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02752" w14:textId="2E7F710F" w:rsidR="000450A4" w:rsidRPr="000E77D2" w:rsidRDefault="000450A4" w:rsidP="007F16BE">
      <w:pPr>
        <w:widowControl w:val="0"/>
        <w:jc w:val="center"/>
        <w:rPr>
          <w:rFonts w:ascii="Times New Roman" w:hAnsi="Times New Roman"/>
          <w:b/>
          <w:bCs/>
          <w:iCs/>
          <w:sz w:val="22"/>
          <w:szCs w:val="22"/>
          <w:u w:val="single"/>
          <w:lang w:val="sr-Latn-ME"/>
        </w:rPr>
      </w:pPr>
      <w:r w:rsidRPr="000E77D2">
        <w:rPr>
          <w:rFonts w:ascii="Times New Roman" w:hAnsi="Times New Roman"/>
          <w:b/>
          <w:bCs/>
          <w:iCs/>
          <w:sz w:val="22"/>
          <w:szCs w:val="22"/>
          <w:u w:val="single"/>
          <w:lang w:val="sr-Latn-ME"/>
        </w:rPr>
        <w:t>SAŽETAK KARAKTERISTIKA L</w:t>
      </w:r>
      <w:r w:rsidR="005872E2" w:rsidRPr="000E77D2">
        <w:rPr>
          <w:rFonts w:ascii="Times New Roman" w:hAnsi="Times New Roman"/>
          <w:b/>
          <w:bCs/>
          <w:iCs/>
          <w:sz w:val="22"/>
          <w:szCs w:val="22"/>
          <w:u w:val="single"/>
          <w:lang w:val="sr-Latn-ME"/>
        </w:rPr>
        <w:t>IJ</w:t>
      </w:r>
      <w:r w:rsidRPr="000E77D2">
        <w:rPr>
          <w:rFonts w:ascii="Times New Roman" w:hAnsi="Times New Roman"/>
          <w:b/>
          <w:bCs/>
          <w:iCs/>
          <w:sz w:val="22"/>
          <w:szCs w:val="22"/>
          <w:u w:val="single"/>
          <w:lang w:val="sr-Latn-ME"/>
        </w:rPr>
        <w:t>EKA</w:t>
      </w:r>
    </w:p>
    <w:p w14:paraId="154164A9" w14:textId="237E4FDE" w:rsidR="00834DBB" w:rsidRPr="000E77D2" w:rsidRDefault="00834DBB" w:rsidP="007F16BE">
      <w:pPr>
        <w:pStyle w:val="Header"/>
        <w:widowControl w:val="0"/>
        <w:tabs>
          <w:tab w:val="clear" w:pos="4536"/>
          <w:tab w:val="clear" w:pos="9072"/>
          <w:tab w:val="left" w:pos="284"/>
        </w:tabs>
        <w:rPr>
          <w:rFonts w:ascii="Times New Roman" w:hAnsi="Times New Roman"/>
          <w:sz w:val="22"/>
          <w:szCs w:val="22"/>
          <w:lang w:val="sr-Latn-ME"/>
        </w:rPr>
      </w:pPr>
    </w:p>
    <w:p w14:paraId="3FCAC9FF" w14:textId="77777777" w:rsidR="007F16BE" w:rsidRPr="000E77D2" w:rsidRDefault="007F16BE" w:rsidP="007F16BE">
      <w:pPr>
        <w:pStyle w:val="Header"/>
        <w:widowControl w:val="0"/>
        <w:tabs>
          <w:tab w:val="clear" w:pos="4536"/>
          <w:tab w:val="clear" w:pos="9072"/>
          <w:tab w:val="left" w:pos="284"/>
        </w:tabs>
        <w:rPr>
          <w:rFonts w:ascii="Times New Roman" w:hAnsi="Times New Roman"/>
          <w:sz w:val="22"/>
          <w:szCs w:val="22"/>
          <w:lang w:val="sr-Latn-ME"/>
        </w:rPr>
      </w:pPr>
    </w:p>
    <w:p w14:paraId="6A38A85B" w14:textId="1F29ACDE" w:rsidR="000450A4" w:rsidRPr="000E77D2" w:rsidRDefault="005872E2" w:rsidP="007F16BE">
      <w:pPr>
        <w:pStyle w:val="Header"/>
        <w:widowControl w:val="0"/>
        <w:tabs>
          <w:tab w:val="clear" w:pos="4536"/>
          <w:tab w:val="clear" w:pos="9072"/>
          <w:tab w:val="left" w:pos="284"/>
        </w:tabs>
        <w:rPr>
          <w:rFonts w:ascii="Times New Roman" w:hAnsi="Times New Roman"/>
          <w:b/>
          <w:bCs/>
          <w:sz w:val="22"/>
          <w:szCs w:val="22"/>
          <w:lang w:val="sr-Latn-ME"/>
        </w:rPr>
      </w:pPr>
      <w:r w:rsidRPr="000E77D2">
        <w:rPr>
          <w:rFonts w:ascii="Times New Roman" w:hAnsi="Times New Roman"/>
          <w:b/>
          <w:bCs/>
          <w:sz w:val="22"/>
          <w:szCs w:val="22"/>
          <w:lang w:val="sr-Latn-ME"/>
        </w:rPr>
        <w:t>1. NAZIV</w:t>
      </w:r>
      <w:r w:rsidR="000450A4" w:rsidRPr="000E77D2">
        <w:rPr>
          <w:rFonts w:ascii="Times New Roman" w:hAnsi="Times New Roman"/>
          <w:b/>
          <w:bCs/>
          <w:sz w:val="22"/>
          <w:szCs w:val="22"/>
          <w:lang w:val="sr-Latn-ME"/>
        </w:rPr>
        <w:t xml:space="preserve"> L</w:t>
      </w:r>
      <w:r w:rsidRPr="000E77D2">
        <w:rPr>
          <w:rFonts w:ascii="Times New Roman" w:hAnsi="Times New Roman"/>
          <w:b/>
          <w:bCs/>
          <w:sz w:val="22"/>
          <w:szCs w:val="22"/>
          <w:lang w:val="sr-Latn-ME"/>
        </w:rPr>
        <w:t>IJ</w:t>
      </w:r>
      <w:r w:rsidR="000450A4" w:rsidRPr="000E77D2">
        <w:rPr>
          <w:rFonts w:ascii="Times New Roman" w:hAnsi="Times New Roman"/>
          <w:b/>
          <w:bCs/>
          <w:sz w:val="22"/>
          <w:szCs w:val="22"/>
          <w:lang w:val="sr-Latn-ME"/>
        </w:rPr>
        <w:t>EKA</w:t>
      </w:r>
    </w:p>
    <w:p w14:paraId="1A9F9DA0" w14:textId="77777777" w:rsidR="000450A4" w:rsidRPr="000E77D2" w:rsidRDefault="000450A4" w:rsidP="007F16BE">
      <w:pPr>
        <w:pStyle w:val="Header"/>
        <w:tabs>
          <w:tab w:val="clear" w:pos="4536"/>
          <w:tab w:val="clear" w:pos="9072"/>
          <w:tab w:val="left" w:pos="284"/>
        </w:tabs>
        <w:rPr>
          <w:rFonts w:ascii="Times New Roman" w:hAnsi="Times New Roman"/>
          <w:b/>
          <w:bCs/>
          <w:sz w:val="22"/>
          <w:szCs w:val="22"/>
          <w:lang w:val="sr-Latn-ME"/>
        </w:rPr>
      </w:pPr>
    </w:p>
    <w:p w14:paraId="786ED28C" w14:textId="51CA61ED" w:rsidR="000450A4" w:rsidRPr="000E77D2" w:rsidRDefault="000450A4" w:rsidP="007F16BE">
      <w:pPr>
        <w:pStyle w:val="Header"/>
        <w:tabs>
          <w:tab w:val="clear" w:pos="4536"/>
          <w:tab w:val="clear" w:pos="9072"/>
          <w:tab w:val="left" w:pos="284"/>
        </w:tabs>
        <w:rPr>
          <w:rFonts w:ascii="Times New Roman" w:hAnsi="Times New Roman"/>
          <w:sz w:val="22"/>
          <w:szCs w:val="22"/>
          <w:lang w:val="sr-Latn-ME"/>
        </w:rPr>
      </w:pPr>
      <w:r w:rsidRPr="000E77D2">
        <w:rPr>
          <w:rFonts w:ascii="Times New Roman" w:hAnsi="Times New Roman"/>
          <w:sz w:val="22"/>
          <w:szCs w:val="22"/>
          <w:lang w:val="sr-Latn-ME"/>
        </w:rPr>
        <w:t>Aromasin</w:t>
      </w:r>
      <w:r w:rsidR="0032559C" w:rsidRPr="000E77D2">
        <w:rPr>
          <w:rFonts w:ascii="Times New Roman" w:hAnsi="Times New Roman"/>
          <w:sz w:val="22"/>
          <w:szCs w:val="22"/>
          <w:lang w:val="sr-Latn-ME"/>
        </w:rPr>
        <w:t xml:space="preserve">, </w:t>
      </w:r>
      <w:r w:rsidRPr="000E77D2">
        <w:rPr>
          <w:rFonts w:ascii="Times New Roman" w:hAnsi="Times New Roman"/>
          <w:sz w:val="22"/>
          <w:szCs w:val="22"/>
          <w:lang w:val="sr-Latn-ME"/>
        </w:rPr>
        <w:t>25 mg</w:t>
      </w:r>
      <w:r w:rsidR="0032559C" w:rsidRPr="000E77D2">
        <w:rPr>
          <w:rFonts w:ascii="Times New Roman" w:hAnsi="Times New Roman"/>
          <w:sz w:val="22"/>
          <w:szCs w:val="22"/>
          <w:lang w:val="sr-Latn-ME"/>
        </w:rPr>
        <w:t xml:space="preserve">, </w:t>
      </w:r>
      <w:r w:rsidRPr="000E77D2">
        <w:rPr>
          <w:rFonts w:ascii="Times New Roman" w:hAnsi="Times New Roman"/>
          <w:sz w:val="22"/>
          <w:szCs w:val="22"/>
          <w:lang w:val="sr-Latn-ME"/>
        </w:rPr>
        <w:t>obložen</w:t>
      </w:r>
      <w:r w:rsidR="007D25A9" w:rsidRPr="000E77D2">
        <w:rPr>
          <w:rFonts w:ascii="Times New Roman" w:hAnsi="Times New Roman"/>
          <w:sz w:val="22"/>
          <w:szCs w:val="22"/>
          <w:lang w:val="sr-Latn-ME"/>
        </w:rPr>
        <w:t>a</w:t>
      </w:r>
      <w:r w:rsidRPr="000E77D2">
        <w:rPr>
          <w:rFonts w:ascii="Times New Roman" w:hAnsi="Times New Roman"/>
          <w:sz w:val="22"/>
          <w:szCs w:val="22"/>
          <w:lang w:val="sr-Latn-ME"/>
        </w:rPr>
        <w:t xml:space="preserve"> tablet</w:t>
      </w:r>
      <w:r w:rsidR="007D25A9" w:rsidRPr="000E77D2">
        <w:rPr>
          <w:rFonts w:ascii="Times New Roman" w:hAnsi="Times New Roman"/>
          <w:sz w:val="22"/>
          <w:szCs w:val="22"/>
          <w:lang w:val="sr-Latn-ME"/>
        </w:rPr>
        <w:t>a</w:t>
      </w:r>
    </w:p>
    <w:p w14:paraId="4E903361" w14:textId="77777777" w:rsidR="00934045" w:rsidRPr="000E77D2" w:rsidRDefault="00934045" w:rsidP="007F16BE">
      <w:pPr>
        <w:pStyle w:val="Header"/>
        <w:tabs>
          <w:tab w:val="clear" w:pos="4536"/>
          <w:tab w:val="clear" w:pos="9072"/>
          <w:tab w:val="left" w:pos="284"/>
        </w:tabs>
        <w:rPr>
          <w:rFonts w:ascii="Times New Roman" w:hAnsi="Times New Roman"/>
          <w:sz w:val="22"/>
          <w:szCs w:val="22"/>
          <w:lang w:val="sr-Latn-ME"/>
        </w:rPr>
      </w:pPr>
    </w:p>
    <w:p w14:paraId="0D0FE715" w14:textId="100E54A7" w:rsidR="000450A4" w:rsidRPr="000E77D2" w:rsidRDefault="000450A4" w:rsidP="007F16BE">
      <w:pPr>
        <w:pStyle w:val="Header"/>
        <w:tabs>
          <w:tab w:val="clear" w:pos="4536"/>
          <w:tab w:val="clear" w:pos="9072"/>
          <w:tab w:val="left" w:pos="284"/>
        </w:tabs>
        <w:jc w:val="left"/>
        <w:rPr>
          <w:rFonts w:ascii="Times New Roman" w:hAnsi="Times New Roman"/>
          <w:sz w:val="22"/>
          <w:szCs w:val="22"/>
          <w:lang w:val="sr-Latn-ME"/>
        </w:rPr>
      </w:pPr>
      <w:r w:rsidRPr="000E77D2">
        <w:rPr>
          <w:rFonts w:ascii="Times New Roman" w:hAnsi="Times New Roman"/>
          <w:sz w:val="22"/>
          <w:szCs w:val="22"/>
          <w:lang w:val="sr-Latn-ME"/>
        </w:rPr>
        <w:t>INN:</w:t>
      </w:r>
      <w:r w:rsidR="00934045" w:rsidRPr="000E77D2">
        <w:rPr>
          <w:rFonts w:ascii="Times New Roman" w:hAnsi="Times New Roman"/>
          <w:sz w:val="22"/>
          <w:szCs w:val="22"/>
          <w:lang w:val="sr-Latn-ME"/>
        </w:rPr>
        <w:t xml:space="preserve"> </w:t>
      </w:r>
      <w:r w:rsidRPr="000E77D2">
        <w:rPr>
          <w:rFonts w:ascii="Times New Roman" w:hAnsi="Times New Roman"/>
          <w:sz w:val="22"/>
          <w:szCs w:val="22"/>
          <w:lang w:val="sr-Latn-ME"/>
        </w:rPr>
        <w:t>eksemestan</w:t>
      </w:r>
    </w:p>
    <w:p w14:paraId="3620D81D" w14:textId="77777777" w:rsidR="000450A4" w:rsidRPr="000E77D2" w:rsidRDefault="000450A4" w:rsidP="007F16BE">
      <w:pPr>
        <w:pStyle w:val="Header"/>
        <w:tabs>
          <w:tab w:val="clear" w:pos="4536"/>
          <w:tab w:val="clear" w:pos="9072"/>
          <w:tab w:val="left" w:pos="284"/>
        </w:tabs>
        <w:jc w:val="left"/>
        <w:rPr>
          <w:rFonts w:ascii="Times New Roman" w:hAnsi="Times New Roman"/>
          <w:sz w:val="22"/>
          <w:szCs w:val="22"/>
          <w:lang w:val="sr-Latn-ME"/>
        </w:rPr>
      </w:pPr>
    </w:p>
    <w:p w14:paraId="5283822A" w14:textId="77777777" w:rsidR="00A80B33" w:rsidRPr="000E77D2" w:rsidRDefault="00A80B33" w:rsidP="007F16BE">
      <w:pPr>
        <w:pStyle w:val="Header"/>
        <w:tabs>
          <w:tab w:val="clear" w:pos="4536"/>
          <w:tab w:val="clear" w:pos="9072"/>
          <w:tab w:val="left" w:pos="284"/>
        </w:tabs>
        <w:jc w:val="left"/>
        <w:rPr>
          <w:rFonts w:ascii="Times New Roman" w:hAnsi="Times New Roman"/>
          <w:sz w:val="22"/>
          <w:szCs w:val="22"/>
          <w:lang w:val="sr-Latn-ME"/>
        </w:rPr>
      </w:pPr>
    </w:p>
    <w:p w14:paraId="250F8EF4" w14:textId="77777777" w:rsidR="000450A4" w:rsidRPr="000E77D2" w:rsidRDefault="000450A4" w:rsidP="007F16BE">
      <w:pPr>
        <w:pStyle w:val="Header"/>
        <w:tabs>
          <w:tab w:val="clear" w:pos="4536"/>
          <w:tab w:val="clear" w:pos="9072"/>
          <w:tab w:val="left" w:pos="284"/>
        </w:tabs>
        <w:rPr>
          <w:rFonts w:ascii="Times New Roman" w:hAnsi="Times New Roman"/>
          <w:b/>
          <w:bCs/>
          <w:sz w:val="22"/>
          <w:szCs w:val="22"/>
          <w:lang w:val="sr-Latn-ME"/>
        </w:rPr>
      </w:pPr>
      <w:r w:rsidRPr="000E77D2">
        <w:rPr>
          <w:rFonts w:ascii="Times New Roman" w:hAnsi="Times New Roman"/>
          <w:b/>
          <w:bCs/>
          <w:sz w:val="22"/>
          <w:szCs w:val="22"/>
          <w:lang w:val="sr-Latn-ME"/>
        </w:rPr>
        <w:t>2. KVALITATIVNI I KVANTITATIVNI SASTAV</w:t>
      </w:r>
    </w:p>
    <w:p w14:paraId="5F1E2F90" w14:textId="3A7C960B" w:rsidR="00F362CE" w:rsidRPr="000E77D2" w:rsidRDefault="00F362CE" w:rsidP="007F16BE">
      <w:pPr>
        <w:pStyle w:val="Header"/>
        <w:tabs>
          <w:tab w:val="clear" w:pos="4536"/>
          <w:tab w:val="clear" w:pos="9072"/>
          <w:tab w:val="left" w:pos="284"/>
        </w:tabs>
        <w:rPr>
          <w:rFonts w:ascii="Times New Roman" w:hAnsi="Times New Roman"/>
          <w:color w:val="FF0000"/>
          <w:sz w:val="22"/>
          <w:szCs w:val="22"/>
          <w:lang w:val="sr-Latn-ME"/>
        </w:rPr>
      </w:pPr>
    </w:p>
    <w:p w14:paraId="4D65F5ED" w14:textId="77777777" w:rsidR="00EC1356" w:rsidRPr="000E77D2" w:rsidRDefault="000450A4" w:rsidP="007F16BE">
      <w:pPr>
        <w:pStyle w:val="Header"/>
        <w:tabs>
          <w:tab w:val="clear" w:pos="4536"/>
          <w:tab w:val="clear" w:pos="9072"/>
          <w:tab w:val="left" w:pos="284"/>
        </w:tabs>
        <w:rPr>
          <w:rFonts w:ascii="Times New Roman" w:hAnsi="Times New Roman"/>
          <w:b/>
          <w:bCs/>
          <w:color w:val="FF0000"/>
          <w:sz w:val="22"/>
          <w:szCs w:val="22"/>
          <w:lang w:val="sr-Latn-ME"/>
        </w:rPr>
      </w:pPr>
      <w:r w:rsidRPr="000E77D2">
        <w:rPr>
          <w:rFonts w:ascii="Times New Roman" w:hAnsi="Times New Roman"/>
          <w:sz w:val="22"/>
          <w:szCs w:val="22"/>
          <w:lang w:val="sr-Latn-ME"/>
        </w:rPr>
        <w:t>Jedna obložena tableta sadrži 25 mg eksemestana.</w:t>
      </w:r>
    </w:p>
    <w:p w14:paraId="3FAD6861" w14:textId="77777777" w:rsidR="00EC1356" w:rsidRPr="000E77D2" w:rsidRDefault="00EC1356" w:rsidP="007F16BE">
      <w:pPr>
        <w:pStyle w:val="Header"/>
        <w:tabs>
          <w:tab w:val="clear" w:pos="4536"/>
          <w:tab w:val="clear" w:pos="9072"/>
          <w:tab w:val="left" w:pos="284"/>
        </w:tabs>
        <w:rPr>
          <w:rFonts w:ascii="Times New Roman" w:hAnsi="Times New Roman"/>
          <w:color w:val="FF0000"/>
          <w:sz w:val="22"/>
          <w:szCs w:val="22"/>
          <w:highlight w:val="cyan"/>
          <w:lang w:val="sr-Latn-ME"/>
        </w:rPr>
      </w:pPr>
    </w:p>
    <w:p w14:paraId="54DECE44" w14:textId="17D3C6D8" w:rsidR="000450A4" w:rsidRPr="000E77D2" w:rsidRDefault="00EC1356" w:rsidP="007F16BE">
      <w:pPr>
        <w:pStyle w:val="Header"/>
        <w:tabs>
          <w:tab w:val="clear" w:pos="4536"/>
          <w:tab w:val="clear" w:pos="9072"/>
          <w:tab w:val="left" w:pos="284"/>
        </w:tabs>
        <w:rPr>
          <w:rFonts w:ascii="Times New Roman" w:hAnsi="Times New Roman"/>
          <w:sz w:val="22"/>
          <w:szCs w:val="22"/>
          <w:lang w:val="sr-Latn-ME"/>
        </w:rPr>
      </w:pPr>
      <w:r w:rsidRPr="000E77D2">
        <w:rPr>
          <w:rFonts w:ascii="Times New Roman" w:hAnsi="Times New Roman"/>
          <w:sz w:val="22"/>
          <w:szCs w:val="22"/>
          <w:lang w:val="sr-Latn-ME"/>
        </w:rPr>
        <w:t>Pomoćne supstance sa poznatim dejstvom</w:t>
      </w:r>
      <w:r w:rsidR="007D25A9" w:rsidRPr="000E77D2">
        <w:rPr>
          <w:rFonts w:ascii="Times New Roman" w:hAnsi="Times New Roman"/>
          <w:sz w:val="22"/>
          <w:szCs w:val="22"/>
          <w:lang w:val="sr-Latn-ME"/>
        </w:rPr>
        <w:t>:</w:t>
      </w:r>
    </w:p>
    <w:p w14:paraId="029BE544" w14:textId="2C809EED" w:rsidR="000450A4" w:rsidRPr="000E77D2" w:rsidRDefault="000450A4" w:rsidP="007F16BE">
      <w:pPr>
        <w:pStyle w:val="Header"/>
        <w:tabs>
          <w:tab w:val="clear" w:pos="4536"/>
          <w:tab w:val="clear" w:pos="9072"/>
          <w:tab w:val="left" w:pos="284"/>
        </w:tabs>
        <w:rPr>
          <w:rFonts w:ascii="Times New Roman" w:hAnsi="Times New Roman"/>
          <w:sz w:val="22"/>
          <w:szCs w:val="22"/>
          <w:lang w:val="sr-Latn-ME"/>
        </w:rPr>
      </w:pPr>
      <w:r w:rsidRPr="000E77D2">
        <w:rPr>
          <w:rFonts w:ascii="Times New Roman" w:hAnsi="Times New Roman"/>
          <w:sz w:val="22"/>
          <w:szCs w:val="22"/>
          <w:lang w:val="sr-Latn-ME"/>
        </w:rPr>
        <w:t>Jedna obložena tableta sadrži 30</w:t>
      </w:r>
      <w:r w:rsidR="007D25A9" w:rsidRPr="000E77D2">
        <w:rPr>
          <w:rFonts w:ascii="Times New Roman" w:hAnsi="Times New Roman"/>
          <w:sz w:val="22"/>
          <w:szCs w:val="22"/>
          <w:lang w:val="sr-Latn-ME"/>
        </w:rPr>
        <w:t>,</w:t>
      </w:r>
      <w:r w:rsidRPr="000E77D2">
        <w:rPr>
          <w:rFonts w:ascii="Times New Roman" w:hAnsi="Times New Roman"/>
          <w:sz w:val="22"/>
          <w:szCs w:val="22"/>
          <w:lang w:val="sr-Latn-ME"/>
        </w:rPr>
        <w:t>2 mg saharoze i 0</w:t>
      </w:r>
      <w:r w:rsidR="007D25A9" w:rsidRPr="000E77D2">
        <w:rPr>
          <w:rFonts w:ascii="Times New Roman" w:hAnsi="Times New Roman"/>
          <w:sz w:val="22"/>
          <w:szCs w:val="22"/>
          <w:lang w:val="sr-Latn-ME"/>
        </w:rPr>
        <w:t>,</w:t>
      </w:r>
      <w:r w:rsidRPr="000E77D2">
        <w:rPr>
          <w:rFonts w:ascii="Times New Roman" w:hAnsi="Times New Roman"/>
          <w:sz w:val="22"/>
          <w:szCs w:val="22"/>
          <w:lang w:val="sr-Latn-ME"/>
        </w:rPr>
        <w:t>003 mg metil</w:t>
      </w:r>
      <w:r w:rsidR="007D25A9" w:rsidRPr="000E77D2">
        <w:rPr>
          <w:rFonts w:ascii="Times New Roman" w:hAnsi="Times New Roman"/>
          <w:sz w:val="22"/>
          <w:szCs w:val="22"/>
          <w:lang w:val="sr-Latn-ME"/>
        </w:rPr>
        <w:t xml:space="preserve"> </w:t>
      </w:r>
      <w:r w:rsidRPr="000E77D2">
        <w:rPr>
          <w:rFonts w:ascii="Times New Roman" w:hAnsi="Times New Roman"/>
          <w:sz w:val="22"/>
          <w:szCs w:val="22"/>
          <w:lang w:val="sr-Latn-ME"/>
        </w:rPr>
        <w:t>parahidroksibenzoata (E218).</w:t>
      </w:r>
    </w:p>
    <w:p w14:paraId="6492F195" w14:textId="77777777" w:rsidR="00EC1356" w:rsidRPr="000E77D2" w:rsidRDefault="00EC1356" w:rsidP="007F16BE">
      <w:pPr>
        <w:pStyle w:val="Header"/>
        <w:tabs>
          <w:tab w:val="clear" w:pos="4536"/>
          <w:tab w:val="clear" w:pos="9072"/>
          <w:tab w:val="left" w:pos="284"/>
        </w:tabs>
        <w:rPr>
          <w:rFonts w:ascii="Times New Roman" w:hAnsi="Times New Roman"/>
          <w:sz w:val="22"/>
          <w:szCs w:val="22"/>
          <w:lang w:val="sr-Latn-ME"/>
        </w:rPr>
      </w:pPr>
    </w:p>
    <w:p w14:paraId="26223CBF" w14:textId="77777777" w:rsidR="00C4199E" w:rsidRPr="000E77D2" w:rsidRDefault="00C4199E" w:rsidP="007F16BE">
      <w:pPr>
        <w:pStyle w:val="Header"/>
        <w:tabs>
          <w:tab w:val="clear" w:pos="4536"/>
          <w:tab w:val="clear" w:pos="9072"/>
          <w:tab w:val="left" w:pos="284"/>
        </w:tabs>
        <w:rPr>
          <w:rFonts w:ascii="Times New Roman" w:hAnsi="Times New Roman"/>
          <w:sz w:val="22"/>
          <w:szCs w:val="22"/>
          <w:lang w:val="sr-Latn-ME"/>
        </w:rPr>
      </w:pPr>
      <w:r w:rsidRPr="000E77D2">
        <w:rPr>
          <w:rFonts w:ascii="Times New Roman" w:hAnsi="Times New Roman"/>
          <w:sz w:val="22"/>
          <w:szCs w:val="22"/>
          <w:lang w:val="sr-Latn-ME"/>
        </w:rPr>
        <w:t>Za spisak svih ekscipijenasa, pogledati dio 6.1.</w:t>
      </w:r>
    </w:p>
    <w:p w14:paraId="59078820" w14:textId="77777777" w:rsidR="000450A4" w:rsidRPr="000E77D2" w:rsidRDefault="000450A4" w:rsidP="007F16BE">
      <w:pPr>
        <w:pStyle w:val="Header"/>
        <w:tabs>
          <w:tab w:val="clear" w:pos="4536"/>
          <w:tab w:val="clear" w:pos="9072"/>
          <w:tab w:val="left" w:pos="284"/>
        </w:tabs>
        <w:jc w:val="left"/>
        <w:rPr>
          <w:rFonts w:ascii="Times New Roman" w:hAnsi="Times New Roman"/>
          <w:sz w:val="22"/>
          <w:szCs w:val="22"/>
          <w:lang w:val="sr-Latn-ME"/>
        </w:rPr>
      </w:pPr>
    </w:p>
    <w:p w14:paraId="6A953BCB" w14:textId="77777777" w:rsidR="00A80B33" w:rsidRPr="000E77D2" w:rsidRDefault="00A80B33" w:rsidP="007F16BE">
      <w:pPr>
        <w:pStyle w:val="Header"/>
        <w:tabs>
          <w:tab w:val="clear" w:pos="4536"/>
          <w:tab w:val="clear" w:pos="9072"/>
          <w:tab w:val="left" w:pos="284"/>
        </w:tabs>
        <w:jc w:val="left"/>
        <w:rPr>
          <w:rFonts w:ascii="Times New Roman" w:hAnsi="Times New Roman"/>
          <w:sz w:val="22"/>
          <w:szCs w:val="22"/>
          <w:lang w:val="sr-Latn-ME"/>
        </w:rPr>
      </w:pPr>
    </w:p>
    <w:p w14:paraId="10FE0A18" w14:textId="77777777" w:rsidR="000450A4" w:rsidRPr="000E77D2" w:rsidRDefault="000450A4" w:rsidP="007F16BE">
      <w:pPr>
        <w:pStyle w:val="Header"/>
        <w:tabs>
          <w:tab w:val="clear" w:pos="4536"/>
          <w:tab w:val="clear" w:pos="9072"/>
          <w:tab w:val="left" w:pos="284"/>
        </w:tabs>
        <w:rPr>
          <w:rFonts w:ascii="Times New Roman" w:hAnsi="Times New Roman"/>
          <w:b/>
          <w:bCs/>
          <w:sz w:val="22"/>
          <w:szCs w:val="22"/>
          <w:lang w:val="sr-Latn-ME"/>
        </w:rPr>
      </w:pPr>
      <w:r w:rsidRPr="000E77D2">
        <w:rPr>
          <w:rFonts w:ascii="Times New Roman" w:hAnsi="Times New Roman"/>
          <w:b/>
          <w:bCs/>
          <w:sz w:val="22"/>
          <w:szCs w:val="22"/>
          <w:lang w:val="sr-Latn-ME"/>
        </w:rPr>
        <w:t>3. FARMACEUTSKI OBLIK</w:t>
      </w:r>
    </w:p>
    <w:p w14:paraId="7CD605B8" w14:textId="77777777" w:rsidR="000450A4" w:rsidRPr="000E77D2" w:rsidRDefault="000450A4" w:rsidP="007F16BE">
      <w:pPr>
        <w:pStyle w:val="Header"/>
        <w:tabs>
          <w:tab w:val="clear" w:pos="4536"/>
          <w:tab w:val="clear" w:pos="9072"/>
          <w:tab w:val="left" w:pos="284"/>
        </w:tabs>
        <w:rPr>
          <w:rFonts w:ascii="Times New Roman" w:hAnsi="Times New Roman"/>
          <w:b/>
          <w:bCs/>
          <w:sz w:val="22"/>
          <w:szCs w:val="22"/>
          <w:lang w:val="sr-Latn-ME"/>
        </w:rPr>
      </w:pPr>
    </w:p>
    <w:p w14:paraId="39A65D3A" w14:textId="77777777" w:rsidR="000450A4" w:rsidRPr="000E77D2" w:rsidRDefault="000450A4" w:rsidP="007F16BE">
      <w:pPr>
        <w:rPr>
          <w:rFonts w:ascii="Times New Roman" w:hAnsi="Times New Roman"/>
          <w:sz w:val="22"/>
          <w:szCs w:val="22"/>
          <w:lang w:val="sr-Latn-ME"/>
        </w:rPr>
      </w:pPr>
      <w:r w:rsidRPr="000E77D2">
        <w:rPr>
          <w:rFonts w:ascii="Times New Roman" w:hAnsi="Times New Roman"/>
          <w:sz w:val="22"/>
          <w:szCs w:val="22"/>
          <w:lang w:val="sr-Latn-ME"/>
        </w:rPr>
        <w:t>Obložena tableta.</w:t>
      </w:r>
    </w:p>
    <w:p w14:paraId="31F42D0E" w14:textId="77777777" w:rsidR="007D25A9" w:rsidRPr="000E77D2" w:rsidRDefault="007D25A9" w:rsidP="007F16BE">
      <w:pPr>
        <w:pStyle w:val="Header"/>
        <w:tabs>
          <w:tab w:val="clear" w:pos="4536"/>
          <w:tab w:val="clear" w:pos="9072"/>
          <w:tab w:val="left" w:pos="284"/>
        </w:tabs>
        <w:rPr>
          <w:rFonts w:ascii="Times New Roman" w:hAnsi="Times New Roman"/>
          <w:sz w:val="22"/>
          <w:szCs w:val="22"/>
          <w:lang w:val="sr-Latn-ME"/>
        </w:rPr>
      </w:pPr>
    </w:p>
    <w:p w14:paraId="3E535DCD" w14:textId="5FCD9C9A" w:rsidR="000450A4" w:rsidRPr="000E77D2" w:rsidRDefault="000450A4" w:rsidP="007F16BE">
      <w:pPr>
        <w:pStyle w:val="Header"/>
        <w:tabs>
          <w:tab w:val="clear" w:pos="4536"/>
          <w:tab w:val="clear" w:pos="9072"/>
          <w:tab w:val="left" w:pos="284"/>
        </w:tabs>
        <w:rPr>
          <w:rFonts w:ascii="Times New Roman" w:hAnsi="Times New Roman"/>
          <w:sz w:val="22"/>
          <w:szCs w:val="22"/>
          <w:lang w:val="sr-Latn-ME"/>
        </w:rPr>
      </w:pPr>
      <w:r w:rsidRPr="000E77D2">
        <w:rPr>
          <w:rFonts w:ascii="Times New Roman" w:hAnsi="Times New Roman"/>
          <w:sz w:val="22"/>
          <w:szCs w:val="22"/>
          <w:lang w:val="sr-Latn-ME"/>
        </w:rPr>
        <w:t>Okrugl</w:t>
      </w:r>
      <w:r w:rsidR="002B2EED" w:rsidRPr="000E77D2">
        <w:rPr>
          <w:rFonts w:ascii="Times New Roman" w:hAnsi="Times New Roman"/>
          <w:sz w:val="22"/>
          <w:szCs w:val="22"/>
          <w:lang w:val="sr-Latn-ME"/>
        </w:rPr>
        <w:t>e</w:t>
      </w:r>
      <w:r w:rsidRPr="000E77D2">
        <w:rPr>
          <w:rFonts w:ascii="Times New Roman" w:hAnsi="Times New Roman"/>
          <w:sz w:val="22"/>
          <w:szCs w:val="22"/>
          <w:lang w:val="sr-Latn-ME"/>
        </w:rPr>
        <w:t>, bikonveksn</w:t>
      </w:r>
      <w:r w:rsidR="002B2EED" w:rsidRPr="000E77D2">
        <w:rPr>
          <w:rFonts w:ascii="Times New Roman" w:hAnsi="Times New Roman"/>
          <w:sz w:val="22"/>
          <w:szCs w:val="22"/>
          <w:lang w:val="sr-Latn-ME"/>
        </w:rPr>
        <w:t>e</w:t>
      </w:r>
      <w:r w:rsidRPr="000E77D2">
        <w:rPr>
          <w:rFonts w:ascii="Times New Roman" w:hAnsi="Times New Roman"/>
          <w:sz w:val="22"/>
          <w:szCs w:val="22"/>
          <w:lang w:val="sr-Latn-ME"/>
        </w:rPr>
        <w:t>, obložen</w:t>
      </w:r>
      <w:r w:rsidR="002B2EED" w:rsidRPr="000E77D2">
        <w:rPr>
          <w:rFonts w:ascii="Times New Roman" w:hAnsi="Times New Roman"/>
          <w:sz w:val="22"/>
          <w:szCs w:val="22"/>
          <w:lang w:val="sr-Latn-ME"/>
        </w:rPr>
        <w:t>e</w:t>
      </w:r>
      <w:r w:rsidRPr="000E77D2">
        <w:rPr>
          <w:rFonts w:ascii="Times New Roman" w:hAnsi="Times New Roman"/>
          <w:sz w:val="22"/>
          <w:szCs w:val="22"/>
          <w:lang w:val="sr-Latn-ME"/>
        </w:rPr>
        <w:t xml:space="preserve"> tablet</w:t>
      </w:r>
      <w:r w:rsidR="002B2EED" w:rsidRPr="000E77D2">
        <w:rPr>
          <w:rFonts w:ascii="Times New Roman" w:hAnsi="Times New Roman"/>
          <w:sz w:val="22"/>
          <w:szCs w:val="22"/>
          <w:lang w:val="sr-Latn-ME"/>
        </w:rPr>
        <w:t>e</w:t>
      </w:r>
      <w:r w:rsidRPr="000E77D2">
        <w:rPr>
          <w:rFonts w:ascii="Times New Roman" w:hAnsi="Times New Roman"/>
          <w:sz w:val="22"/>
          <w:szCs w:val="22"/>
          <w:lang w:val="sr-Latn-ME"/>
        </w:rPr>
        <w:t xml:space="preserve"> skoro b</w:t>
      </w:r>
      <w:r w:rsidR="005872E2" w:rsidRPr="000E77D2">
        <w:rPr>
          <w:rFonts w:ascii="Times New Roman" w:hAnsi="Times New Roman"/>
          <w:sz w:val="22"/>
          <w:szCs w:val="22"/>
          <w:lang w:val="sr-Latn-ME"/>
        </w:rPr>
        <w:t>ij</w:t>
      </w:r>
      <w:r w:rsidRPr="000E77D2">
        <w:rPr>
          <w:rFonts w:ascii="Times New Roman" w:hAnsi="Times New Roman"/>
          <w:sz w:val="22"/>
          <w:szCs w:val="22"/>
          <w:lang w:val="sr-Latn-ME"/>
        </w:rPr>
        <w:t>ele do sivkaste boje,</w:t>
      </w:r>
      <w:r w:rsidR="00F362CE" w:rsidRPr="000E77D2">
        <w:rPr>
          <w:rFonts w:ascii="Times New Roman" w:hAnsi="Times New Roman"/>
          <w:sz w:val="22"/>
          <w:szCs w:val="22"/>
          <w:lang w:val="sr-Latn-ME"/>
        </w:rPr>
        <w:t xml:space="preserve"> prečnika od oko 6</w:t>
      </w:r>
      <w:r w:rsidR="00EC1356" w:rsidRPr="000E77D2">
        <w:rPr>
          <w:rFonts w:ascii="Times New Roman" w:hAnsi="Times New Roman"/>
          <w:sz w:val="22"/>
          <w:szCs w:val="22"/>
          <w:lang w:val="sr-Latn-ME"/>
        </w:rPr>
        <w:t> </w:t>
      </w:r>
      <w:r w:rsidR="00F362CE" w:rsidRPr="000E77D2">
        <w:rPr>
          <w:rFonts w:ascii="Times New Roman" w:hAnsi="Times New Roman"/>
          <w:sz w:val="22"/>
          <w:szCs w:val="22"/>
          <w:lang w:val="sr-Latn-ME"/>
        </w:rPr>
        <w:t>mm</w:t>
      </w:r>
      <w:r w:rsidR="00EC1356" w:rsidRPr="000E77D2">
        <w:rPr>
          <w:rFonts w:ascii="Times New Roman" w:hAnsi="Times New Roman"/>
          <w:sz w:val="22"/>
          <w:szCs w:val="22"/>
          <w:lang w:val="sr-Latn-ME"/>
        </w:rPr>
        <w:t>,</w:t>
      </w:r>
      <w:r w:rsidRPr="000E77D2">
        <w:rPr>
          <w:rFonts w:ascii="Times New Roman" w:hAnsi="Times New Roman"/>
          <w:sz w:val="22"/>
          <w:szCs w:val="22"/>
          <w:lang w:val="sr-Latn-ME"/>
        </w:rPr>
        <w:t xml:space="preserve"> sa odštampanom oznakom 7663 crne boje na jednoj strani</w:t>
      </w:r>
      <w:r w:rsidR="007D25A9" w:rsidRPr="000E77D2">
        <w:rPr>
          <w:rFonts w:ascii="Times New Roman" w:hAnsi="Times New Roman"/>
          <w:sz w:val="22"/>
          <w:szCs w:val="22"/>
          <w:lang w:val="sr-Latn-ME"/>
        </w:rPr>
        <w:t xml:space="preserve"> tablete</w:t>
      </w:r>
      <w:r w:rsidRPr="000E77D2">
        <w:rPr>
          <w:rFonts w:ascii="Times New Roman" w:hAnsi="Times New Roman"/>
          <w:sz w:val="22"/>
          <w:szCs w:val="22"/>
          <w:lang w:val="sr-Latn-ME"/>
        </w:rPr>
        <w:t>.</w:t>
      </w:r>
    </w:p>
    <w:p w14:paraId="1F42523F" w14:textId="77777777" w:rsidR="000450A4" w:rsidRPr="000E77D2" w:rsidRDefault="000450A4" w:rsidP="007F16BE">
      <w:pPr>
        <w:pStyle w:val="Header"/>
        <w:tabs>
          <w:tab w:val="clear" w:pos="4536"/>
          <w:tab w:val="clear" w:pos="9072"/>
          <w:tab w:val="left" w:pos="284"/>
        </w:tabs>
        <w:rPr>
          <w:rFonts w:ascii="Times New Roman" w:hAnsi="Times New Roman"/>
          <w:sz w:val="22"/>
          <w:szCs w:val="22"/>
          <w:lang w:val="sr-Latn-ME"/>
        </w:rPr>
      </w:pPr>
    </w:p>
    <w:p w14:paraId="22FAB96A" w14:textId="77777777" w:rsidR="00A80B33" w:rsidRPr="000E77D2" w:rsidRDefault="00A80B33" w:rsidP="007F16BE">
      <w:pPr>
        <w:pStyle w:val="Header"/>
        <w:tabs>
          <w:tab w:val="clear" w:pos="4536"/>
          <w:tab w:val="clear" w:pos="9072"/>
          <w:tab w:val="left" w:pos="284"/>
        </w:tabs>
        <w:rPr>
          <w:rFonts w:ascii="Times New Roman" w:hAnsi="Times New Roman"/>
          <w:sz w:val="22"/>
          <w:szCs w:val="22"/>
          <w:lang w:val="sr-Latn-ME"/>
        </w:rPr>
      </w:pPr>
    </w:p>
    <w:p w14:paraId="4E5A0D62" w14:textId="77777777" w:rsidR="000450A4" w:rsidRPr="000E77D2" w:rsidRDefault="000450A4" w:rsidP="00BE6A13">
      <w:pPr>
        <w:pStyle w:val="Header"/>
        <w:tabs>
          <w:tab w:val="clear" w:pos="4536"/>
          <w:tab w:val="clear" w:pos="9072"/>
          <w:tab w:val="left" w:pos="284"/>
        </w:tabs>
        <w:rPr>
          <w:rFonts w:ascii="Times New Roman" w:hAnsi="Times New Roman"/>
          <w:b/>
          <w:bCs/>
          <w:sz w:val="22"/>
          <w:szCs w:val="22"/>
          <w:lang w:val="sr-Latn-ME"/>
        </w:rPr>
      </w:pPr>
      <w:r w:rsidRPr="000E77D2">
        <w:rPr>
          <w:rFonts w:ascii="Times New Roman" w:hAnsi="Times New Roman"/>
          <w:b/>
          <w:bCs/>
          <w:sz w:val="22"/>
          <w:szCs w:val="22"/>
          <w:lang w:val="sr-Latn-ME"/>
        </w:rPr>
        <w:t>4. KLINIČKI PODACI</w:t>
      </w:r>
    </w:p>
    <w:p w14:paraId="6FC041EA" w14:textId="77777777" w:rsidR="000450A4" w:rsidRPr="000E77D2" w:rsidRDefault="000450A4" w:rsidP="00BE6A13">
      <w:pPr>
        <w:pStyle w:val="Header"/>
        <w:tabs>
          <w:tab w:val="clear" w:pos="4536"/>
          <w:tab w:val="clear" w:pos="9072"/>
          <w:tab w:val="left" w:pos="284"/>
        </w:tabs>
        <w:rPr>
          <w:rFonts w:ascii="Times New Roman" w:hAnsi="Times New Roman"/>
          <w:b/>
          <w:bCs/>
          <w:sz w:val="22"/>
          <w:szCs w:val="22"/>
          <w:lang w:val="sr-Latn-ME"/>
        </w:rPr>
      </w:pPr>
    </w:p>
    <w:p w14:paraId="3DAD9BA1" w14:textId="77777777" w:rsidR="000450A4" w:rsidRPr="000E77D2" w:rsidRDefault="000450A4" w:rsidP="00BE6A13">
      <w:pPr>
        <w:pStyle w:val="Header"/>
        <w:tabs>
          <w:tab w:val="clear" w:pos="4536"/>
          <w:tab w:val="clear" w:pos="9072"/>
          <w:tab w:val="left" w:pos="284"/>
        </w:tabs>
        <w:rPr>
          <w:rFonts w:ascii="Times New Roman" w:hAnsi="Times New Roman"/>
          <w:b/>
          <w:bCs/>
          <w:sz w:val="22"/>
          <w:szCs w:val="22"/>
          <w:lang w:val="sr-Latn-ME"/>
        </w:rPr>
      </w:pPr>
      <w:r w:rsidRPr="000E77D2">
        <w:rPr>
          <w:rFonts w:ascii="Times New Roman" w:hAnsi="Times New Roman"/>
          <w:b/>
          <w:bCs/>
          <w:sz w:val="22"/>
          <w:szCs w:val="22"/>
          <w:lang w:val="sr-Latn-ME"/>
        </w:rPr>
        <w:t>4.1. Terapijske indikacije</w:t>
      </w:r>
    </w:p>
    <w:p w14:paraId="48383F70" w14:textId="77777777" w:rsidR="000450A4" w:rsidRPr="000E77D2" w:rsidRDefault="000450A4" w:rsidP="00BE6A13">
      <w:pPr>
        <w:pStyle w:val="Header"/>
        <w:tabs>
          <w:tab w:val="clear" w:pos="4536"/>
          <w:tab w:val="clear" w:pos="9072"/>
          <w:tab w:val="left" w:pos="284"/>
        </w:tabs>
        <w:rPr>
          <w:rFonts w:ascii="Times New Roman" w:hAnsi="Times New Roman"/>
          <w:b/>
          <w:bCs/>
          <w:color w:val="FF0000"/>
          <w:sz w:val="22"/>
          <w:szCs w:val="22"/>
          <w:lang w:val="sr-Latn-ME"/>
        </w:rPr>
      </w:pPr>
    </w:p>
    <w:p w14:paraId="30E67E42" w14:textId="3FAB81E8" w:rsidR="000450A4" w:rsidRPr="000E77D2" w:rsidRDefault="00626C65" w:rsidP="00BE6A13">
      <w:pPr>
        <w:rPr>
          <w:rFonts w:ascii="Times New Roman" w:hAnsi="Times New Roman"/>
          <w:sz w:val="22"/>
          <w:szCs w:val="22"/>
          <w:lang w:val="sr-Latn-ME"/>
        </w:rPr>
      </w:pPr>
      <w:r w:rsidRPr="000E77D2">
        <w:rPr>
          <w:rFonts w:ascii="Times New Roman" w:hAnsi="Times New Roman"/>
          <w:sz w:val="22"/>
          <w:szCs w:val="22"/>
          <w:lang w:val="sr-Latn-ME"/>
        </w:rPr>
        <w:t xml:space="preserve">Lijek </w:t>
      </w:r>
      <w:r w:rsidR="000450A4" w:rsidRPr="000E77D2">
        <w:rPr>
          <w:rFonts w:ascii="Times New Roman" w:hAnsi="Times New Roman"/>
          <w:sz w:val="22"/>
          <w:szCs w:val="22"/>
          <w:lang w:val="sr-Latn-ME"/>
        </w:rPr>
        <w:t>Aromasin je indikovan kod žena u postmenopauzi za pomoćnu (adjuvantnu) terapiju invazivnog ranog karcinoma dojke sa pozitivnim nalazom estrogenih receptora, posl</w:t>
      </w:r>
      <w:r w:rsidR="00BE6A13" w:rsidRPr="000E77D2">
        <w:rPr>
          <w:rFonts w:ascii="Times New Roman" w:hAnsi="Times New Roman"/>
          <w:sz w:val="22"/>
          <w:szCs w:val="22"/>
          <w:lang w:val="sr-Latn-ME"/>
        </w:rPr>
        <w:t>ij</w:t>
      </w:r>
      <w:r w:rsidR="000450A4" w:rsidRPr="000E77D2">
        <w:rPr>
          <w:rFonts w:ascii="Times New Roman" w:hAnsi="Times New Roman"/>
          <w:sz w:val="22"/>
          <w:szCs w:val="22"/>
          <w:lang w:val="sr-Latn-ME"/>
        </w:rPr>
        <w:t>e završetka inicijalne pomoćne (adjuvantne) terapije tamoksifenom u toku 2-3 godine.</w:t>
      </w:r>
    </w:p>
    <w:p w14:paraId="15868A43" w14:textId="77777777" w:rsidR="000450A4" w:rsidRPr="000E77D2" w:rsidRDefault="000450A4" w:rsidP="00BE6A13">
      <w:pPr>
        <w:rPr>
          <w:rFonts w:ascii="Times New Roman" w:hAnsi="Times New Roman"/>
          <w:color w:val="FF0000"/>
          <w:sz w:val="22"/>
          <w:szCs w:val="22"/>
          <w:lang w:val="sr-Latn-ME"/>
        </w:rPr>
      </w:pPr>
    </w:p>
    <w:p w14:paraId="6572EF79" w14:textId="17E13378" w:rsidR="000450A4" w:rsidRPr="000E77D2" w:rsidRDefault="00626C65" w:rsidP="00BE6A13">
      <w:pPr>
        <w:pStyle w:val="Header"/>
        <w:tabs>
          <w:tab w:val="clear" w:pos="4536"/>
          <w:tab w:val="clear" w:pos="9072"/>
          <w:tab w:val="left" w:pos="284"/>
        </w:tabs>
        <w:rPr>
          <w:rFonts w:ascii="Times New Roman" w:hAnsi="Times New Roman"/>
          <w:sz w:val="22"/>
          <w:szCs w:val="22"/>
          <w:lang w:val="sr-Latn-ME"/>
        </w:rPr>
      </w:pPr>
      <w:r w:rsidRPr="000E77D2">
        <w:rPr>
          <w:rFonts w:ascii="Times New Roman" w:hAnsi="Times New Roman"/>
          <w:sz w:val="22"/>
          <w:szCs w:val="22"/>
          <w:lang w:val="sr-Latn-ME"/>
        </w:rPr>
        <w:t xml:space="preserve">Lijek </w:t>
      </w:r>
      <w:r w:rsidR="000450A4" w:rsidRPr="000E77D2">
        <w:rPr>
          <w:rFonts w:ascii="Times New Roman" w:hAnsi="Times New Roman"/>
          <w:sz w:val="22"/>
          <w:szCs w:val="22"/>
          <w:lang w:val="sr-Latn-ME"/>
        </w:rPr>
        <w:t>Aromasin je indikovan za l</w:t>
      </w:r>
      <w:r w:rsidR="00CC1D6F" w:rsidRPr="000E77D2">
        <w:rPr>
          <w:rFonts w:ascii="Times New Roman" w:hAnsi="Times New Roman"/>
          <w:sz w:val="22"/>
          <w:szCs w:val="22"/>
          <w:lang w:val="sr-Latn-ME"/>
        </w:rPr>
        <w:t>ij</w:t>
      </w:r>
      <w:r w:rsidR="000450A4" w:rsidRPr="000E77D2">
        <w:rPr>
          <w:rFonts w:ascii="Times New Roman" w:hAnsi="Times New Roman"/>
          <w:sz w:val="22"/>
          <w:szCs w:val="22"/>
          <w:lang w:val="sr-Latn-ME"/>
        </w:rPr>
        <w:t>ečenje uznapredovalog karcinoma dojke kod žena kod kojih je menopauza nastupila prirodnim putem ili je bila indukovana, i kod kojih je bolest napredovala posl</w:t>
      </w:r>
      <w:r w:rsidR="00BE6A13" w:rsidRPr="000E77D2">
        <w:rPr>
          <w:rFonts w:ascii="Times New Roman" w:hAnsi="Times New Roman"/>
          <w:sz w:val="22"/>
          <w:szCs w:val="22"/>
          <w:lang w:val="sr-Latn-ME"/>
        </w:rPr>
        <w:t>ij</w:t>
      </w:r>
      <w:r w:rsidR="000450A4" w:rsidRPr="000E77D2">
        <w:rPr>
          <w:rFonts w:ascii="Times New Roman" w:hAnsi="Times New Roman"/>
          <w:sz w:val="22"/>
          <w:szCs w:val="22"/>
          <w:lang w:val="sr-Latn-ME"/>
        </w:rPr>
        <w:t>e prim</w:t>
      </w:r>
      <w:r w:rsidR="00FA7856" w:rsidRPr="000E77D2">
        <w:rPr>
          <w:rFonts w:ascii="Times New Roman" w:hAnsi="Times New Roman"/>
          <w:sz w:val="22"/>
          <w:szCs w:val="22"/>
          <w:lang w:val="sr-Latn-ME"/>
        </w:rPr>
        <w:t>j</w:t>
      </w:r>
      <w:r w:rsidR="000450A4" w:rsidRPr="000E77D2">
        <w:rPr>
          <w:rFonts w:ascii="Times New Roman" w:hAnsi="Times New Roman"/>
          <w:sz w:val="22"/>
          <w:szCs w:val="22"/>
          <w:lang w:val="sr-Latn-ME"/>
        </w:rPr>
        <w:t>ene antiestrogene terapije. Efikasnost nije zab</w:t>
      </w:r>
      <w:r w:rsidR="00FA7856" w:rsidRPr="000E77D2">
        <w:rPr>
          <w:rFonts w:ascii="Times New Roman" w:hAnsi="Times New Roman"/>
          <w:sz w:val="22"/>
          <w:szCs w:val="22"/>
          <w:lang w:val="sr-Latn-ME"/>
        </w:rPr>
        <w:t>i</w:t>
      </w:r>
      <w:r w:rsidR="000450A4" w:rsidRPr="000E77D2">
        <w:rPr>
          <w:rFonts w:ascii="Times New Roman" w:hAnsi="Times New Roman"/>
          <w:sz w:val="22"/>
          <w:szCs w:val="22"/>
          <w:lang w:val="sr-Latn-ME"/>
        </w:rPr>
        <w:t>l</w:t>
      </w:r>
      <w:r w:rsidR="00FA7856" w:rsidRPr="000E77D2">
        <w:rPr>
          <w:rFonts w:ascii="Times New Roman" w:hAnsi="Times New Roman"/>
          <w:sz w:val="22"/>
          <w:szCs w:val="22"/>
          <w:lang w:val="sr-Latn-ME"/>
        </w:rPr>
        <w:t>j</w:t>
      </w:r>
      <w:r w:rsidR="000450A4" w:rsidRPr="000E77D2">
        <w:rPr>
          <w:rFonts w:ascii="Times New Roman" w:hAnsi="Times New Roman"/>
          <w:sz w:val="22"/>
          <w:szCs w:val="22"/>
          <w:lang w:val="sr-Latn-ME"/>
        </w:rPr>
        <w:t>ežena kod pacijentkinja sa negativnim nalazom estrogenih receptora.</w:t>
      </w:r>
    </w:p>
    <w:p w14:paraId="0559EB93" w14:textId="77777777" w:rsidR="000450A4" w:rsidRPr="000E77D2" w:rsidRDefault="000450A4" w:rsidP="00BE6A13">
      <w:pPr>
        <w:pStyle w:val="Header"/>
        <w:tabs>
          <w:tab w:val="clear" w:pos="4536"/>
          <w:tab w:val="clear" w:pos="9072"/>
          <w:tab w:val="left" w:pos="284"/>
        </w:tabs>
        <w:rPr>
          <w:rFonts w:ascii="Times New Roman" w:hAnsi="Times New Roman"/>
          <w:sz w:val="22"/>
          <w:szCs w:val="22"/>
          <w:lang w:val="sr-Latn-ME"/>
        </w:rPr>
      </w:pPr>
    </w:p>
    <w:p w14:paraId="65AF081E" w14:textId="15D97AC1" w:rsidR="000450A4" w:rsidRPr="000E77D2" w:rsidRDefault="000450A4" w:rsidP="00BE6A13">
      <w:pPr>
        <w:pStyle w:val="Header"/>
        <w:tabs>
          <w:tab w:val="clear" w:pos="4536"/>
          <w:tab w:val="clear" w:pos="9072"/>
          <w:tab w:val="left" w:pos="284"/>
        </w:tabs>
        <w:rPr>
          <w:rFonts w:ascii="Times New Roman" w:hAnsi="Times New Roman"/>
          <w:b/>
          <w:bCs/>
          <w:sz w:val="22"/>
          <w:szCs w:val="22"/>
          <w:lang w:val="sr-Latn-ME"/>
        </w:rPr>
      </w:pPr>
      <w:r w:rsidRPr="000E77D2">
        <w:rPr>
          <w:rFonts w:ascii="Times New Roman" w:hAnsi="Times New Roman"/>
          <w:b/>
          <w:bCs/>
          <w:sz w:val="22"/>
          <w:szCs w:val="22"/>
          <w:lang w:val="sr-Latn-ME"/>
        </w:rPr>
        <w:t>4.2. Doziranje i način prim</w:t>
      </w:r>
      <w:r w:rsidR="00FA7856" w:rsidRPr="000E77D2">
        <w:rPr>
          <w:rFonts w:ascii="Times New Roman" w:hAnsi="Times New Roman"/>
          <w:b/>
          <w:bCs/>
          <w:sz w:val="22"/>
          <w:szCs w:val="22"/>
          <w:lang w:val="sr-Latn-ME"/>
        </w:rPr>
        <w:t>j</w:t>
      </w:r>
      <w:r w:rsidRPr="000E77D2">
        <w:rPr>
          <w:rFonts w:ascii="Times New Roman" w:hAnsi="Times New Roman"/>
          <w:b/>
          <w:bCs/>
          <w:sz w:val="22"/>
          <w:szCs w:val="22"/>
          <w:lang w:val="sr-Latn-ME"/>
        </w:rPr>
        <w:t>ene</w:t>
      </w:r>
    </w:p>
    <w:p w14:paraId="06D75D10" w14:textId="77777777" w:rsidR="000450A4" w:rsidRPr="000E77D2" w:rsidRDefault="000450A4" w:rsidP="00BE6A13">
      <w:pPr>
        <w:pStyle w:val="Header"/>
        <w:tabs>
          <w:tab w:val="clear" w:pos="4536"/>
          <w:tab w:val="clear" w:pos="9072"/>
          <w:tab w:val="left" w:pos="284"/>
        </w:tabs>
        <w:rPr>
          <w:rFonts w:ascii="Times New Roman" w:hAnsi="Times New Roman"/>
          <w:b/>
          <w:bCs/>
          <w:sz w:val="22"/>
          <w:szCs w:val="22"/>
          <w:lang w:val="sr-Latn-ME"/>
        </w:rPr>
      </w:pPr>
    </w:p>
    <w:p w14:paraId="0F19F373" w14:textId="77777777" w:rsidR="000450A4" w:rsidRPr="000E77D2" w:rsidRDefault="000450A4" w:rsidP="00BE6A13">
      <w:pPr>
        <w:rPr>
          <w:rFonts w:ascii="Times New Roman" w:hAnsi="Times New Roman"/>
          <w:sz w:val="22"/>
          <w:szCs w:val="22"/>
          <w:u w:val="single"/>
          <w:lang w:val="sr-Latn-ME"/>
        </w:rPr>
      </w:pPr>
      <w:r w:rsidRPr="000E77D2">
        <w:rPr>
          <w:rFonts w:ascii="Times New Roman" w:hAnsi="Times New Roman"/>
          <w:sz w:val="22"/>
          <w:szCs w:val="22"/>
          <w:u w:val="single"/>
          <w:lang w:val="sr-Latn-ME"/>
        </w:rPr>
        <w:t>Doziranje</w:t>
      </w:r>
    </w:p>
    <w:p w14:paraId="719D44F0" w14:textId="77777777" w:rsidR="000450A4" w:rsidRPr="000E77D2" w:rsidRDefault="000450A4" w:rsidP="00BE6A13">
      <w:pPr>
        <w:rPr>
          <w:rFonts w:ascii="Times New Roman" w:hAnsi="Times New Roman"/>
          <w:sz w:val="22"/>
          <w:szCs w:val="22"/>
          <w:u w:val="single"/>
          <w:lang w:val="sr-Latn-ME"/>
        </w:rPr>
      </w:pPr>
    </w:p>
    <w:p w14:paraId="396A93F0" w14:textId="77777777" w:rsidR="000450A4" w:rsidRPr="000E77D2" w:rsidRDefault="000450A4" w:rsidP="00BE6A13">
      <w:pPr>
        <w:rPr>
          <w:rFonts w:ascii="Times New Roman" w:hAnsi="Times New Roman"/>
          <w:i/>
          <w:sz w:val="22"/>
          <w:szCs w:val="22"/>
          <w:lang w:val="sr-Latn-ME"/>
        </w:rPr>
      </w:pPr>
      <w:r w:rsidRPr="000E77D2">
        <w:rPr>
          <w:rFonts w:ascii="Times New Roman" w:hAnsi="Times New Roman"/>
          <w:i/>
          <w:sz w:val="22"/>
          <w:szCs w:val="22"/>
          <w:lang w:val="sr-Latn-ME"/>
        </w:rPr>
        <w:t>Odrasle i starije pacijentkinje</w:t>
      </w:r>
    </w:p>
    <w:p w14:paraId="2AA27A9D" w14:textId="7FFDC976" w:rsidR="000450A4" w:rsidRPr="000E77D2" w:rsidRDefault="000450A4" w:rsidP="00BE6A13">
      <w:pPr>
        <w:rPr>
          <w:rFonts w:ascii="Times New Roman" w:hAnsi="Times New Roman"/>
          <w:sz w:val="22"/>
          <w:szCs w:val="22"/>
          <w:lang w:val="sr-Latn-ME"/>
        </w:rPr>
      </w:pPr>
      <w:r w:rsidRPr="000E77D2">
        <w:rPr>
          <w:rFonts w:ascii="Times New Roman" w:hAnsi="Times New Roman"/>
          <w:spacing w:val="-2"/>
          <w:sz w:val="22"/>
          <w:szCs w:val="22"/>
          <w:lang w:val="sr-Latn-ME"/>
        </w:rPr>
        <w:t>Preporučena doza l</w:t>
      </w:r>
      <w:r w:rsidR="00FA7856" w:rsidRPr="000E77D2">
        <w:rPr>
          <w:rFonts w:ascii="Times New Roman" w:hAnsi="Times New Roman"/>
          <w:spacing w:val="-2"/>
          <w:sz w:val="22"/>
          <w:szCs w:val="22"/>
          <w:lang w:val="sr-Latn-ME"/>
        </w:rPr>
        <w:t>ij</w:t>
      </w:r>
      <w:r w:rsidRPr="000E77D2">
        <w:rPr>
          <w:rFonts w:ascii="Times New Roman" w:hAnsi="Times New Roman"/>
          <w:spacing w:val="-2"/>
          <w:sz w:val="22"/>
          <w:szCs w:val="22"/>
          <w:lang w:val="sr-Latn-ME"/>
        </w:rPr>
        <w:t>eka Aromasin je jedna tableta od 25 mg, koja se prim</w:t>
      </w:r>
      <w:r w:rsidR="00FA7856" w:rsidRPr="000E77D2">
        <w:rPr>
          <w:rFonts w:ascii="Times New Roman" w:hAnsi="Times New Roman"/>
          <w:spacing w:val="-2"/>
          <w:sz w:val="22"/>
          <w:szCs w:val="22"/>
          <w:lang w:val="sr-Latn-ME"/>
        </w:rPr>
        <w:t>j</w:t>
      </w:r>
      <w:r w:rsidRPr="000E77D2">
        <w:rPr>
          <w:rFonts w:ascii="Times New Roman" w:hAnsi="Times New Roman"/>
          <w:spacing w:val="-2"/>
          <w:sz w:val="22"/>
          <w:szCs w:val="22"/>
          <w:lang w:val="sr-Latn-ME"/>
        </w:rPr>
        <w:t>enjuje jednom dnevno</w:t>
      </w:r>
      <w:r w:rsidRPr="000E77D2">
        <w:rPr>
          <w:rFonts w:ascii="Times New Roman" w:hAnsi="Times New Roman"/>
          <w:sz w:val="22"/>
          <w:szCs w:val="22"/>
          <w:lang w:val="sr-Latn-ME"/>
        </w:rPr>
        <w:t>, najbolje posle obroka.</w:t>
      </w:r>
    </w:p>
    <w:p w14:paraId="3646A517" w14:textId="77777777" w:rsidR="000450A4" w:rsidRPr="000E77D2" w:rsidRDefault="000450A4" w:rsidP="00BE6A13">
      <w:pPr>
        <w:rPr>
          <w:rFonts w:ascii="Times New Roman" w:hAnsi="Times New Roman"/>
          <w:sz w:val="22"/>
          <w:szCs w:val="22"/>
          <w:lang w:val="sr-Latn-ME"/>
        </w:rPr>
      </w:pPr>
    </w:p>
    <w:p w14:paraId="4F3824D8" w14:textId="7F657E19"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Kod pacijentkinja sa ranim karcinomom dojke terapiju l</w:t>
      </w:r>
      <w:r w:rsidR="00FA7856" w:rsidRPr="000E77D2">
        <w:rPr>
          <w:rFonts w:ascii="Times New Roman" w:hAnsi="Times New Roman"/>
          <w:sz w:val="22"/>
          <w:szCs w:val="22"/>
          <w:lang w:val="sr-Latn-ME"/>
        </w:rPr>
        <w:t>ij</w:t>
      </w:r>
      <w:r w:rsidRPr="000E77D2">
        <w:rPr>
          <w:rFonts w:ascii="Times New Roman" w:hAnsi="Times New Roman"/>
          <w:sz w:val="22"/>
          <w:szCs w:val="22"/>
          <w:lang w:val="sr-Latn-ME"/>
        </w:rPr>
        <w:t>ekom Aromasin bi trebalo nastaviti do završetka petogodišnje prim</w:t>
      </w:r>
      <w:r w:rsidR="00FA7856" w:rsidRPr="000E77D2">
        <w:rPr>
          <w:rFonts w:ascii="Times New Roman" w:hAnsi="Times New Roman"/>
          <w:sz w:val="22"/>
          <w:szCs w:val="22"/>
          <w:lang w:val="sr-Latn-ME"/>
        </w:rPr>
        <w:t>j</w:t>
      </w:r>
      <w:r w:rsidRPr="000E77D2">
        <w:rPr>
          <w:rFonts w:ascii="Times New Roman" w:hAnsi="Times New Roman"/>
          <w:sz w:val="22"/>
          <w:szCs w:val="22"/>
          <w:lang w:val="sr-Latn-ME"/>
        </w:rPr>
        <w:t xml:space="preserve">ene kombinovane sekvencijalne </w:t>
      </w:r>
      <w:r w:rsidR="00C0524C" w:rsidRPr="000E77D2">
        <w:rPr>
          <w:rFonts w:ascii="Times New Roman" w:hAnsi="Times New Roman"/>
          <w:sz w:val="22"/>
          <w:szCs w:val="22"/>
          <w:lang w:val="sr-Latn-ME"/>
        </w:rPr>
        <w:t>adjuvantn</w:t>
      </w:r>
      <w:r w:rsidRPr="000E77D2">
        <w:rPr>
          <w:rFonts w:ascii="Times New Roman" w:hAnsi="Times New Roman"/>
          <w:sz w:val="22"/>
          <w:szCs w:val="22"/>
          <w:lang w:val="sr-Latn-ME"/>
        </w:rPr>
        <w:t xml:space="preserve">e hormonske terapije (tamoksifen, a zatim </w:t>
      </w:r>
      <w:r w:rsidR="00626C65" w:rsidRPr="000E77D2">
        <w:rPr>
          <w:rFonts w:ascii="Times New Roman" w:hAnsi="Times New Roman"/>
          <w:sz w:val="22"/>
          <w:szCs w:val="22"/>
          <w:lang w:val="sr-Latn-ME"/>
        </w:rPr>
        <w:t xml:space="preserve">lijek </w:t>
      </w:r>
      <w:r w:rsidRPr="000E77D2">
        <w:rPr>
          <w:rFonts w:ascii="Times New Roman" w:hAnsi="Times New Roman"/>
          <w:sz w:val="22"/>
          <w:szCs w:val="22"/>
          <w:lang w:val="sr-Latn-ME"/>
        </w:rPr>
        <w:t>Aromasin) ili ranije u slučaju da dođe do pojave relapsa tumora.</w:t>
      </w:r>
    </w:p>
    <w:p w14:paraId="37EA42DE" w14:textId="77777777" w:rsidR="000450A4" w:rsidRPr="000E77D2" w:rsidRDefault="000450A4" w:rsidP="00BE6A13">
      <w:pPr>
        <w:rPr>
          <w:rFonts w:ascii="Times New Roman" w:hAnsi="Times New Roman"/>
          <w:sz w:val="22"/>
          <w:szCs w:val="22"/>
          <w:lang w:val="sr-Latn-ME"/>
        </w:rPr>
      </w:pPr>
    </w:p>
    <w:p w14:paraId="311414AB" w14:textId="3002BD94"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Kod pacijentkinja sa uznapredovalim karcinomom dojke, l</w:t>
      </w:r>
      <w:r w:rsidR="00FA7856" w:rsidRPr="000E77D2">
        <w:rPr>
          <w:rFonts w:ascii="Times New Roman" w:hAnsi="Times New Roman"/>
          <w:sz w:val="22"/>
          <w:szCs w:val="22"/>
          <w:lang w:val="sr-Latn-ME"/>
        </w:rPr>
        <w:t>ij</w:t>
      </w:r>
      <w:r w:rsidRPr="000E77D2">
        <w:rPr>
          <w:rFonts w:ascii="Times New Roman" w:hAnsi="Times New Roman"/>
          <w:sz w:val="22"/>
          <w:szCs w:val="22"/>
          <w:lang w:val="sr-Latn-ME"/>
        </w:rPr>
        <w:t>ečenje l</w:t>
      </w:r>
      <w:r w:rsidR="00FA7856" w:rsidRPr="000E77D2">
        <w:rPr>
          <w:rFonts w:ascii="Times New Roman" w:hAnsi="Times New Roman"/>
          <w:sz w:val="22"/>
          <w:szCs w:val="22"/>
          <w:lang w:val="sr-Latn-ME"/>
        </w:rPr>
        <w:t>ij</w:t>
      </w:r>
      <w:r w:rsidRPr="000E77D2">
        <w:rPr>
          <w:rFonts w:ascii="Times New Roman" w:hAnsi="Times New Roman"/>
          <w:sz w:val="22"/>
          <w:szCs w:val="22"/>
          <w:lang w:val="sr-Latn-ME"/>
        </w:rPr>
        <w:t>ekom Aromasin bi trebalo nastaviti do pojave evidentnog napredovanja tumorskog procesa.</w:t>
      </w:r>
    </w:p>
    <w:p w14:paraId="6A69ABAD" w14:textId="77777777" w:rsidR="000450A4" w:rsidRPr="000E77D2" w:rsidRDefault="000450A4" w:rsidP="00BE6A13">
      <w:pPr>
        <w:rPr>
          <w:rFonts w:ascii="Times New Roman" w:hAnsi="Times New Roman"/>
          <w:sz w:val="22"/>
          <w:szCs w:val="22"/>
          <w:lang w:val="sr-Latn-ME"/>
        </w:rPr>
      </w:pPr>
    </w:p>
    <w:p w14:paraId="72EBF797" w14:textId="679C3443" w:rsidR="000450A4" w:rsidRPr="000E77D2" w:rsidRDefault="000450A4" w:rsidP="00BE6A13">
      <w:pPr>
        <w:rPr>
          <w:rFonts w:ascii="Times New Roman" w:hAnsi="Times New Roman"/>
          <w:spacing w:val="-4"/>
          <w:sz w:val="22"/>
          <w:szCs w:val="22"/>
          <w:lang w:val="sr-Latn-ME"/>
        </w:rPr>
      </w:pPr>
      <w:r w:rsidRPr="000E77D2">
        <w:rPr>
          <w:rFonts w:ascii="Times New Roman" w:hAnsi="Times New Roman"/>
          <w:spacing w:val="-4"/>
          <w:sz w:val="22"/>
          <w:szCs w:val="22"/>
          <w:lang w:val="sr-Latn-ME"/>
        </w:rPr>
        <w:t xml:space="preserve">Nije potrebno prilagođavanje doze kod pacijentkinja sa </w:t>
      </w:r>
      <w:r w:rsidR="00657FEE" w:rsidRPr="000E77D2">
        <w:rPr>
          <w:rFonts w:ascii="Times New Roman" w:hAnsi="Times New Roman"/>
          <w:spacing w:val="-4"/>
          <w:sz w:val="22"/>
          <w:szCs w:val="22"/>
          <w:lang w:val="sr-Latn-ME"/>
        </w:rPr>
        <w:t>ošećen</w:t>
      </w:r>
      <w:r w:rsidR="00C0524C" w:rsidRPr="000E77D2">
        <w:rPr>
          <w:rFonts w:ascii="Times New Roman" w:hAnsi="Times New Roman"/>
          <w:spacing w:val="-4"/>
          <w:sz w:val="22"/>
          <w:szCs w:val="22"/>
          <w:lang w:val="sr-Latn-ME"/>
        </w:rPr>
        <w:t>je</w:t>
      </w:r>
      <w:r w:rsidR="00657FEE" w:rsidRPr="000E77D2">
        <w:rPr>
          <w:rFonts w:ascii="Times New Roman" w:hAnsi="Times New Roman"/>
          <w:spacing w:val="-4"/>
          <w:sz w:val="22"/>
          <w:szCs w:val="22"/>
          <w:lang w:val="sr-Latn-ME"/>
        </w:rPr>
        <w:t xml:space="preserve">m </w:t>
      </w:r>
      <w:r w:rsidRPr="000E77D2">
        <w:rPr>
          <w:rFonts w:ascii="Times New Roman" w:hAnsi="Times New Roman"/>
          <w:spacing w:val="-4"/>
          <w:sz w:val="22"/>
          <w:szCs w:val="22"/>
          <w:lang w:val="sr-Latn-ME"/>
        </w:rPr>
        <w:t>funkcij</w:t>
      </w:r>
      <w:r w:rsidR="00C0524C" w:rsidRPr="000E77D2">
        <w:rPr>
          <w:rFonts w:ascii="Times New Roman" w:hAnsi="Times New Roman"/>
          <w:spacing w:val="-4"/>
          <w:sz w:val="22"/>
          <w:szCs w:val="22"/>
          <w:lang w:val="sr-Latn-ME"/>
        </w:rPr>
        <w:t>e</w:t>
      </w:r>
      <w:r w:rsidRPr="000E77D2">
        <w:rPr>
          <w:rFonts w:ascii="Times New Roman" w:hAnsi="Times New Roman"/>
          <w:spacing w:val="-4"/>
          <w:sz w:val="22"/>
          <w:szCs w:val="22"/>
          <w:lang w:val="sr-Latn-ME"/>
        </w:rPr>
        <w:t xml:space="preserve"> jetre ili bubrega (vid</w:t>
      </w:r>
      <w:r w:rsidR="00FA7856" w:rsidRPr="000E77D2">
        <w:rPr>
          <w:rFonts w:ascii="Times New Roman" w:hAnsi="Times New Roman"/>
          <w:spacing w:val="-4"/>
          <w:sz w:val="22"/>
          <w:szCs w:val="22"/>
          <w:lang w:val="sr-Latn-ME"/>
        </w:rPr>
        <w:t>j</w:t>
      </w:r>
      <w:r w:rsidRPr="000E77D2">
        <w:rPr>
          <w:rFonts w:ascii="Times New Roman" w:hAnsi="Times New Roman"/>
          <w:spacing w:val="-4"/>
          <w:sz w:val="22"/>
          <w:szCs w:val="22"/>
          <w:lang w:val="sr-Latn-ME"/>
        </w:rPr>
        <w:t xml:space="preserve">eti </w:t>
      </w:r>
      <w:r w:rsidR="00BE6A13" w:rsidRPr="000E77D2">
        <w:rPr>
          <w:rFonts w:ascii="Times New Roman" w:hAnsi="Times New Roman"/>
          <w:spacing w:val="-4"/>
          <w:sz w:val="22"/>
          <w:szCs w:val="22"/>
          <w:lang w:val="sr-Latn-ME"/>
        </w:rPr>
        <w:t>dio</w:t>
      </w:r>
      <w:r w:rsidRPr="000E77D2">
        <w:rPr>
          <w:rFonts w:ascii="Times New Roman" w:hAnsi="Times New Roman"/>
          <w:spacing w:val="-4"/>
          <w:sz w:val="22"/>
          <w:szCs w:val="22"/>
          <w:lang w:val="sr-Latn-ME"/>
        </w:rPr>
        <w:t xml:space="preserve"> 5.2).</w:t>
      </w:r>
    </w:p>
    <w:p w14:paraId="7BABB000" w14:textId="77777777" w:rsidR="000450A4" w:rsidRPr="000E77D2" w:rsidRDefault="000450A4" w:rsidP="00BE6A13">
      <w:pPr>
        <w:rPr>
          <w:rFonts w:ascii="Times New Roman" w:hAnsi="Times New Roman"/>
          <w:i/>
          <w:sz w:val="22"/>
          <w:szCs w:val="22"/>
          <w:lang w:val="sr-Latn-ME"/>
        </w:rPr>
      </w:pPr>
      <w:r w:rsidRPr="000E77D2">
        <w:rPr>
          <w:rFonts w:ascii="Times New Roman" w:hAnsi="Times New Roman"/>
          <w:i/>
          <w:sz w:val="22"/>
          <w:szCs w:val="22"/>
          <w:lang w:val="sr-Latn-ME"/>
        </w:rPr>
        <w:lastRenderedPageBreak/>
        <w:t>Pedijatrijska populacija</w:t>
      </w:r>
    </w:p>
    <w:p w14:paraId="08C41E78" w14:textId="31B7966E" w:rsidR="000450A4" w:rsidRPr="000E77D2" w:rsidRDefault="000450A4" w:rsidP="00BE6A13">
      <w:pPr>
        <w:pStyle w:val="Header"/>
        <w:tabs>
          <w:tab w:val="clear" w:pos="4536"/>
          <w:tab w:val="clear" w:pos="9072"/>
          <w:tab w:val="left" w:pos="284"/>
        </w:tabs>
        <w:rPr>
          <w:rFonts w:ascii="Times New Roman" w:hAnsi="Times New Roman"/>
          <w:sz w:val="22"/>
          <w:szCs w:val="22"/>
          <w:lang w:val="sr-Latn-ME"/>
        </w:rPr>
      </w:pPr>
      <w:r w:rsidRPr="000E77D2">
        <w:rPr>
          <w:rFonts w:ascii="Times New Roman" w:hAnsi="Times New Roman"/>
          <w:sz w:val="22"/>
          <w:szCs w:val="22"/>
          <w:lang w:val="sr-Latn-ME"/>
        </w:rPr>
        <w:t>Ne preporučuje se prim</w:t>
      </w:r>
      <w:r w:rsidR="00ED08E7" w:rsidRPr="000E77D2">
        <w:rPr>
          <w:rFonts w:ascii="Times New Roman" w:hAnsi="Times New Roman"/>
          <w:sz w:val="22"/>
          <w:szCs w:val="22"/>
          <w:lang w:val="sr-Latn-ME"/>
        </w:rPr>
        <w:t>j</w:t>
      </w:r>
      <w:r w:rsidRPr="000E77D2">
        <w:rPr>
          <w:rFonts w:ascii="Times New Roman" w:hAnsi="Times New Roman"/>
          <w:sz w:val="22"/>
          <w:szCs w:val="22"/>
          <w:lang w:val="sr-Latn-ME"/>
        </w:rPr>
        <w:t>ena kod d</w:t>
      </w:r>
      <w:r w:rsidR="00ED08E7" w:rsidRPr="000E77D2">
        <w:rPr>
          <w:rFonts w:ascii="Times New Roman" w:hAnsi="Times New Roman"/>
          <w:sz w:val="22"/>
          <w:szCs w:val="22"/>
          <w:lang w:val="sr-Latn-ME"/>
        </w:rPr>
        <w:t>j</w:t>
      </w:r>
      <w:r w:rsidRPr="000E77D2">
        <w:rPr>
          <w:rFonts w:ascii="Times New Roman" w:hAnsi="Times New Roman"/>
          <w:sz w:val="22"/>
          <w:szCs w:val="22"/>
          <w:lang w:val="sr-Latn-ME"/>
        </w:rPr>
        <w:t>ece.</w:t>
      </w:r>
    </w:p>
    <w:p w14:paraId="66D19FC8" w14:textId="77777777" w:rsidR="000450A4" w:rsidRPr="000E77D2" w:rsidRDefault="000450A4" w:rsidP="00BE6A13">
      <w:pPr>
        <w:pStyle w:val="Header"/>
        <w:tabs>
          <w:tab w:val="clear" w:pos="4536"/>
          <w:tab w:val="clear" w:pos="9072"/>
          <w:tab w:val="left" w:pos="284"/>
        </w:tabs>
        <w:rPr>
          <w:rFonts w:ascii="Times New Roman" w:hAnsi="Times New Roman"/>
          <w:color w:val="FF0000"/>
          <w:sz w:val="22"/>
          <w:szCs w:val="22"/>
          <w:lang w:val="sr-Latn-ME"/>
        </w:rPr>
      </w:pPr>
    </w:p>
    <w:p w14:paraId="12EBB2B8" w14:textId="77777777" w:rsidR="000450A4" w:rsidRPr="000E77D2" w:rsidRDefault="000450A4" w:rsidP="00BE6A13">
      <w:pPr>
        <w:pStyle w:val="Header"/>
        <w:keepNext/>
        <w:tabs>
          <w:tab w:val="clear" w:pos="4536"/>
          <w:tab w:val="clear" w:pos="9072"/>
          <w:tab w:val="left" w:pos="284"/>
        </w:tabs>
        <w:rPr>
          <w:rFonts w:ascii="Times New Roman" w:hAnsi="Times New Roman"/>
          <w:b/>
          <w:bCs/>
          <w:sz w:val="22"/>
          <w:szCs w:val="22"/>
          <w:lang w:val="sr-Latn-ME"/>
        </w:rPr>
      </w:pPr>
      <w:r w:rsidRPr="000E77D2">
        <w:rPr>
          <w:rFonts w:ascii="Times New Roman" w:hAnsi="Times New Roman"/>
          <w:b/>
          <w:bCs/>
          <w:sz w:val="22"/>
          <w:szCs w:val="22"/>
          <w:lang w:val="sr-Latn-ME"/>
        </w:rPr>
        <w:t>4.3. Kontraindikacije</w:t>
      </w:r>
    </w:p>
    <w:p w14:paraId="3F076D21" w14:textId="77777777" w:rsidR="00214DEF" w:rsidRPr="000E77D2" w:rsidRDefault="00214DEF" w:rsidP="00BE6A13">
      <w:pPr>
        <w:pStyle w:val="Header"/>
        <w:tabs>
          <w:tab w:val="clear" w:pos="4536"/>
          <w:tab w:val="clear" w:pos="9072"/>
          <w:tab w:val="left" w:pos="284"/>
        </w:tabs>
        <w:rPr>
          <w:rFonts w:ascii="Times New Roman" w:hAnsi="Times New Roman"/>
          <w:b/>
          <w:bCs/>
          <w:color w:val="FF0000"/>
          <w:sz w:val="22"/>
          <w:szCs w:val="22"/>
          <w:lang w:val="sr-Latn-ME"/>
        </w:rPr>
      </w:pPr>
    </w:p>
    <w:p w14:paraId="7734085E" w14:textId="7BA94C09" w:rsidR="000450A4" w:rsidRPr="000E77D2" w:rsidRDefault="00626C65" w:rsidP="00BE6A13">
      <w:pPr>
        <w:pStyle w:val="Header"/>
        <w:tabs>
          <w:tab w:val="clear" w:pos="4536"/>
          <w:tab w:val="clear" w:pos="9072"/>
          <w:tab w:val="left" w:pos="284"/>
        </w:tabs>
        <w:rPr>
          <w:rFonts w:ascii="Times New Roman" w:hAnsi="Times New Roman"/>
          <w:sz w:val="22"/>
          <w:szCs w:val="22"/>
          <w:lang w:val="sr-Latn-ME"/>
        </w:rPr>
      </w:pPr>
      <w:r w:rsidRPr="000E77D2">
        <w:rPr>
          <w:rFonts w:ascii="Times New Roman" w:hAnsi="Times New Roman"/>
          <w:sz w:val="22"/>
          <w:szCs w:val="22"/>
          <w:lang w:val="sr-Latn-ME"/>
        </w:rPr>
        <w:t xml:space="preserve">Lijek </w:t>
      </w:r>
      <w:r w:rsidR="000450A4" w:rsidRPr="000E77D2">
        <w:rPr>
          <w:rFonts w:ascii="Times New Roman" w:hAnsi="Times New Roman"/>
          <w:sz w:val="22"/>
          <w:szCs w:val="22"/>
          <w:lang w:val="sr-Latn-ME"/>
        </w:rPr>
        <w:t>Aromasin je kontraindikovan kod pacijentkinja sa</w:t>
      </w:r>
      <w:r w:rsidR="00CC4A3E" w:rsidRPr="000E77D2">
        <w:rPr>
          <w:rFonts w:ascii="Times New Roman" w:hAnsi="Times New Roman"/>
          <w:sz w:val="22"/>
          <w:szCs w:val="22"/>
          <w:lang w:val="sr-Latn-ME"/>
        </w:rPr>
        <w:t xml:space="preserve"> </w:t>
      </w:r>
      <w:r w:rsidR="000450A4" w:rsidRPr="000E77D2">
        <w:rPr>
          <w:rFonts w:ascii="Times New Roman" w:hAnsi="Times New Roman"/>
          <w:sz w:val="22"/>
          <w:szCs w:val="22"/>
          <w:lang w:val="sr-Latn-ME"/>
        </w:rPr>
        <w:t>preos</w:t>
      </w:r>
      <w:r w:rsidR="008649B8" w:rsidRPr="000E77D2">
        <w:rPr>
          <w:rFonts w:ascii="Times New Roman" w:hAnsi="Times New Roman"/>
          <w:sz w:val="22"/>
          <w:szCs w:val="22"/>
          <w:lang w:val="sr-Latn-ME"/>
        </w:rPr>
        <w:t>j</w:t>
      </w:r>
      <w:r w:rsidR="000450A4" w:rsidRPr="000E77D2">
        <w:rPr>
          <w:rFonts w:ascii="Times New Roman" w:hAnsi="Times New Roman"/>
          <w:sz w:val="22"/>
          <w:szCs w:val="22"/>
          <w:lang w:val="sr-Latn-ME"/>
        </w:rPr>
        <w:t xml:space="preserve">etljivošću na aktivnu supstancu ili na bilo koju </w:t>
      </w:r>
      <w:r w:rsidR="00E131BC" w:rsidRPr="000E77D2">
        <w:rPr>
          <w:rFonts w:ascii="Times New Roman" w:hAnsi="Times New Roman"/>
          <w:sz w:val="22"/>
          <w:szCs w:val="22"/>
          <w:lang w:val="sr-Latn-ME"/>
        </w:rPr>
        <w:t xml:space="preserve">od </w:t>
      </w:r>
      <w:r w:rsidR="000450A4" w:rsidRPr="000E77D2">
        <w:rPr>
          <w:rFonts w:ascii="Times New Roman" w:hAnsi="Times New Roman"/>
          <w:sz w:val="22"/>
          <w:szCs w:val="22"/>
          <w:lang w:val="sr-Latn-ME"/>
        </w:rPr>
        <w:t>pomoćn</w:t>
      </w:r>
      <w:r w:rsidR="00E131BC" w:rsidRPr="000E77D2">
        <w:rPr>
          <w:rFonts w:ascii="Times New Roman" w:hAnsi="Times New Roman"/>
          <w:sz w:val="22"/>
          <w:szCs w:val="22"/>
          <w:lang w:val="sr-Latn-ME"/>
        </w:rPr>
        <w:t>ih</w:t>
      </w:r>
      <w:r w:rsidR="000450A4" w:rsidRPr="000E77D2">
        <w:rPr>
          <w:rFonts w:ascii="Times New Roman" w:hAnsi="Times New Roman"/>
          <w:sz w:val="22"/>
          <w:szCs w:val="22"/>
          <w:lang w:val="sr-Latn-ME"/>
        </w:rPr>
        <w:t xml:space="preserve"> supstanc</w:t>
      </w:r>
      <w:r w:rsidR="00E131BC" w:rsidRPr="000E77D2">
        <w:rPr>
          <w:rFonts w:ascii="Times New Roman" w:hAnsi="Times New Roman"/>
          <w:sz w:val="22"/>
          <w:szCs w:val="22"/>
          <w:lang w:val="sr-Latn-ME"/>
        </w:rPr>
        <w:t>i</w:t>
      </w:r>
      <w:r w:rsidR="000450A4" w:rsidRPr="000E77D2">
        <w:rPr>
          <w:rFonts w:ascii="Times New Roman" w:hAnsi="Times New Roman"/>
          <w:sz w:val="22"/>
          <w:szCs w:val="22"/>
          <w:lang w:val="sr-Latn-ME"/>
        </w:rPr>
        <w:t xml:space="preserve"> naveden</w:t>
      </w:r>
      <w:r w:rsidR="00E131BC" w:rsidRPr="000E77D2">
        <w:rPr>
          <w:rFonts w:ascii="Times New Roman" w:hAnsi="Times New Roman"/>
          <w:sz w:val="22"/>
          <w:szCs w:val="22"/>
          <w:lang w:val="sr-Latn-ME"/>
        </w:rPr>
        <w:t>ih</w:t>
      </w:r>
      <w:r w:rsidR="000450A4" w:rsidRPr="000E77D2">
        <w:rPr>
          <w:rFonts w:ascii="Times New Roman" w:hAnsi="Times New Roman"/>
          <w:sz w:val="22"/>
          <w:szCs w:val="22"/>
          <w:lang w:val="sr-Latn-ME"/>
        </w:rPr>
        <w:t xml:space="preserve"> u </w:t>
      </w:r>
      <w:r w:rsidR="00BE6A13" w:rsidRPr="000E77D2">
        <w:rPr>
          <w:rFonts w:ascii="Times New Roman" w:hAnsi="Times New Roman"/>
          <w:sz w:val="22"/>
          <w:szCs w:val="22"/>
          <w:lang w:val="sr-Latn-ME"/>
        </w:rPr>
        <w:t xml:space="preserve">dijelu </w:t>
      </w:r>
      <w:r w:rsidR="000450A4" w:rsidRPr="000E77D2">
        <w:rPr>
          <w:rFonts w:ascii="Times New Roman" w:hAnsi="Times New Roman"/>
          <w:sz w:val="22"/>
          <w:szCs w:val="22"/>
          <w:lang w:val="sr-Latn-ME"/>
        </w:rPr>
        <w:t>6.1, zatim kod žena u premenopauzi, kod žena u trudnoći ili u periodu laktacije.</w:t>
      </w:r>
    </w:p>
    <w:p w14:paraId="223201F3" w14:textId="77777777" w:rsidR="000450A4" w:rsidRPr="000E77D2" w:rsidRDefault="000450A4" w:rsidP="00BE6A13">
      <w:pPr>
        <w:pStyle w:val="Header"/>
        <w:tabs>
          <w:tab w:val="clear" w:pos="4536"/>
          <w:tab w:val="clear" w:pos="9072"/>
          <w:tab w:val="left" w:pos="284"/>
        </w:tabs>
        <w:rPr>
          <w:rFonts w:ascii="Times New Roman" w:hAnsi="Times New Roman"/>
          <w:sz w:val="22"/>
          <w:szCs w:val="22"/>
          <w:lang w:val="sr-Latn-ME"/>
        </w:rPr>
      </w:pPr>
    </w:p>
    <w:p w14:paraId="73818E3B" w14:textId="3A2018F7" w:rsidR="000450A4" w:rsidRPr="000E77D2" w:rsidRDefault="000450A4" w:rsidP="00BE6A13">
      <w:pPr>
        <w:pStyle w:val="Header"/>
        <w:tabs>
          <w:tab w:val="clear" w:pos="4536"/>
          <w:tab w:val="clear" w:pos="9072"/>
          <w:tab w:val="left" w:pos="284"/>
        </w:tabs>
        <w:rPr>
          <w:rFonts w:ascii="Times New Roman" w:hAnsi="Times New Roman"/>
          <w:b/>
          <w:bCs/>
          <w:sz w:val="22"/>
          <w:szCs w:val="22"/>
          <w:lang w:val="sr-Latn-ME"/>
        </w:rPr>
      </w:pPr>
      <w:r w:rsidRPr="000E77D2">
        <w:rPr>
          <w:rFonts w:ascii="Times New Roman" w:hAnsi="Times New Roman"/>
          <w:b/>
          <w:bCs/>
          <w:sz w:val="22"/>
          <w:szCs w:val="22"/>
          <w:lang w:val="sr-Latn-ME"/>
        </w:rPr>
        <w:t>4.4. Posebna upozorenja i m</w:t>
      </w:r>
      <w:r w:rsidR="0084733E" w:rsidRPr="000E77D2">
        <w:rPr>
          <w:rFonts w:ascii="Times New Roman" w:hAnsi="Times New Roman"/>
          <w:b/>
          <w:bCs/>
          <w:sz w:val="22"/>
          <w:szCs w:val="22"/>
          <w:lang w:val="sr-Latn-ME"/>
        </w:rPr>
        <w:t>j</w:t>
      </w:r>
      <w:r w:rsidRPr="000E77D2">
        <w:rPr>
          <w:rFonts w:ascii="Times New Roman" w:hAnsi="Times New Roman"/>
          <w:b/>
          <w:bCs/>
          <w:sz w:val="22"/>
          <w:szCs w:val="22"/>
          <w:lang w:val="sr-Latn-ME"/>
        </w:rPr>
        <w:t>ere opreza pri upotrebi l</w:t>
      </w:r>
      <w:r w:rsidR="0084733E" w:rsidRPr="000E77D2">
        <w:rPr>
          <w:rFonts w:ascii="Times New Roman" w:hAnsi="Times New Roman"/>
          <w:b/>
          <w:bCs/>
          <w:sz w:val="22"/>
          <w:szCs w:val="22"/>
          <w:lang w:val="sr-Latn-ME"/>
        </w:rPr>
        <w:t>ij</w:t>
      </w:r>
      <w:r w:rsidRPr="000E77D2">
        <w:rPr>
          <w:rFonts w:ascii="Times New Roman" w:hAnsi="Times New Roman"/>
          <w:b/>
          <w:bCs/>
          <w:sz w:val="22"/>
          <w:szCs w:val="22"/>
          <w:lang w:val="sr-Latn-ME"/>
        </w:rPr>
        <w:t>eka</w:t>
      </w:r>
    </w:p>
    <w:p w14:paraId="4C3A6E29" w14:textId="77777777" w:rsidR="000450A4" w:rsidRPr="000E77D2" w:rsidRDefault="000450A4" w:rsidP="00BE6A13">
      <w:pPr>
        <w:rPr>
          <w:rFonts w:ascii="Times New Roman" w:hAnsi="Times New Roman"/>
          <w:color w:val="FF0000"/>
          <w:spacing w:val="-4"/>
          <w:sz w:val="22"/>
          <w:szCs w:val="22"/>
          <w:lang w:val="sr-Latn-ME"/>
        </w:rPr>
      </w:pPr>
    </w:p>
    <w:p w14:paraId="78A0F6FA" w14:textId="5A82F705" w:rsidR="000450A4" w:rsidRPr="000E77D2" w:rsidRDefault="00626C65" w:rsidP="00BE6A13">
      <w:pPr>
        <w:rPr>
          <w:rFonts w:ascii="Times New Roman" w:hAnsi="Times New Roman"/>
          <w:sz w:val="22"/>
          <w:szCs w:val="22"/>
          <w:lang w:val="sr-Latn-ME"/>
        </w:rPr>
      </w:pPr>
      <w:r w:rsidRPr="000E77D2">
        <w:rPr>
          <w:rFonts w:ascii="Times New Roman" w:hAnsi="Times New Roman"/>
          <w:spacing w:val="-4"/>
          <w:sz w:val="22"/>
          <w:szCs w:val="22"/>
          <w:lang w:val="sr-Latn-ME"/>
        </w:rPr>
        <w:t xml:space="preserve">Lijek </w:t>
      </w:r>
      <w:r w:rsidR="000450A4" w:rsidRPr="000E77D2">
        <w:rPr>
          <w:rFonts w:ascii="Times New Roman" w:hAnsi="Times New Roman"/>
          <w:spacing w:val="-4"/>
          <w:sz w:val="22"/>
          <w:szCs w:val="22"/>
          <w:lang w:val="sr-Latn-ME"/>
        </w:rPr>
        <w:t xml:space="preserve">Aromasin </w:t>
      </w:r>
      <w:r w:rsidR="00E40DE0" w:rsidRPr="000E77D2">
        <w:rPr>
          <w:rFonts w:ascii="Times New Roman" w:hAnsi="Times New Roman"/>
          <w:spacing w:val="-4"/>
          <w:sz w:val="22"/>
          <w:szCs w:val="22"/>
          <w:lang w:val="sr-Latn-ME"/>
        </w:rPr>
        <w:t>ne treba</w:t>
      </w:r>
      <w:r w:rsidR="000450A4" w:rsidRPr="000E77D2">
        <w:rPr>
          <w:rFonts w:ascii="Times New Roman" w:hAnsi="Times New Roman"/>
          <w:spacing w:val="-4"/>
          <w:sz w:val="22"/>
          <w:szCs w:val="22"/>
          <w:lang w:val="sr-Latn-ME"/>
        </w:rPr>
        <w:t xml:space="preserve"> prim</w:t>
      </w:r>
      <w:r w:rsidR="008649B8" w:rsidRPr="000E77D2">
        <w:rPr>
          <w:rFonts w:ascii="Times New Roman" w:hAnsi="Times New Roman"/>
          <w:spacing w:val="-4"/>
          <w:sz w:val="22"/>
          <w:szCs w:val="22"/>
          <w:lang w:val="sr-Latn-ME"/>
        </w:rPr>
        <w:t>j</w:t>
      </w:r>
      <w:r w:rsidR="000450A4" w:rsidRPr="000E77D2">
        <w:rPr>
          <w:rFonts w:ascii="Times New Roman" w:hAnsi="Times New Roman"/>
          <w:spacing w:val="-4"/>
          <w:sz w:val="22"/>
          <w:szCs w:val="22"/>
          <w:lang w:val="sr-Latn-ME"/>
        </w:rPr>
        <w:t>enjivati kod žena sa postojećim endokrinim statusom premenopauze</w:t>
      </w:r>
      <w:r w:rsidR="000450A4" w:rsidRPr="000E77D2">
        <w:rPr>
          <w:rFonts w:ascii="Times New Roman" w:hAnsi="Times New Roman"/>
          <w:sz w:val="22"/>
          <w:szCs w:val="22"/>
          <w:lang w:val="sr-Latn-ME"/>
        </w:rPr>
        <w:t>. Stoga, kada god je to neophodno, postojanje menopauze treba potvrditi određivanjem nivoa LH, FSH i estradiola.</w:t>
      </w:r>
    </w:p>
    <w:p w14:paraId="522FDE17" w14:textId="77777777" w:rsidR="000450A4" w:rsidRPr="000E77D2" w:rsidRDefault="000450A4" w:rsidP="00BE6A13">
      <w:pPr>
        <w:rPr>
          <w:rFonts w:ascii="Times New Roman" w:hAnsi="Times New Roman"/>
          <w:sz w:val="22"/>
          <w:szCs w:val="22"/>
          <w:lang w:val="sr-Latn-ME"/>
        </w:rPr>
      </w:pPr>
    </w:p>
    <w:p w14:paraId="1167E935" w14:textId="341301E1" w:rsidR="000450A4" w:rsidRPr="000E77D2" w:rsidRDefault="00626C65" w:rsidP="00BE6A13">
      <w:pPr>
        <w:rPr>
          <w:rFonts w:ascii="Times New Roman" w:hAnsi="Times New Roman"/>
          <w:sz w:val="22"/>
          <w:szCs w:val="22"/>
          <w:lang w:val="sr-Latn-ME"/>
        </w:rPr>
      </w:pPr>
      <w:r w:rsidRPr="000E77D2">
        <w:rPr>
          <w:rFonts w:ascii="Times New Roman" w:hAnsi="Times New Roman"/>
          <w:sz w:val="22"/>
          <w:szCs w:val="22"/>
          <w:lang w:val="sr-Latn-ME"/>
        </w:rPr>
        <w:t xml:space="preserve">Lijek </w:t>
      </w:r>
      <w:r w:rsidR="000450A4" w:rsidRPr="000E77D2">
        <w:rPr>
          <w:rFonts w:ascii="Times New Roman" w:hAnsi="Times New Roman"/>
          <w:sz w:val="22"/>
          <w:szCs w:val="22"/>
          <w:lang w:val="sr-Latn-ME"/>
        </w:rPr>
        <w:t xml:space="preserve">Aromasin </w:t>
      </w:r>
      <w:r w:rsidR="00E40DE0" w:rsidRPr="000E77D2">
        <w:rPr>
          <w:rFonts w:ascii="Times New Roman" w:hAnsi="Times New Roman"/>
          <w:sz w:val="22"/>
          <w:szCs w:val="22"/>
          <w:lang w:val="sr-Latn-ME"/>
        </w:rPr>
        <w:t>treba</w:t>
      </w:r>
      <w:r w:rsidR="000450A4" w:rsidRPr="000E77D2">
        <w:rPr>
          <w:rFonts w:ascii="Times New Roman" w:hAnsi="Times New Roman"/>
          <w:sz w:val="22"/>
          <w:szCs w:val="22"/>
          <w:lang w:val="sr-Latn-ME"/>
        </w:rPr>
        <w:t xml:space="preserve"> prim</w:t>
      </w:r>
      <w:r w:rsidR="008649B8" w:rsidRPr="000E77D2">
        <w:rPr>
          <w:rFonts w:ascii="Times New Roman" w:hAnsi="Times New Roman"/>
          <w:sz w:val="22"/>
          <w:szCs w:val="22"/>
          <w:lang w:val="sr-Latn-ME"/>
        </w:rPr>
        <w:t>j</w:t>
      </w:r>
      <w:r w:rsidR="000450A4" w:rsidRPr="000E77D2">
        <w:rPr>
          <w:rFonts w:ascii="Times New Roman" w:hAnsi="Times New Roman"/>
          <w:sz w:val="22"/>
          <w:szCs w:val="22"/>
          <w:lang w:val="sr-Latn-ME"/>
        </w:rPr>
        <w:t xml:space="preserve">enjivati sa oprezom kod pacijentkinja sa </w:t>
      </w:r>
      <w:r w:rsidR="00E131BC" w:rsidRPr="000E77D2">
        <w:rPr>
          <w:rFonts w:ascii="Times New Roman" w:hAnsi="Times New Roman"/>
          <w:sz w:val="22"/>
          <w:szCs w:val="22"/>
          <w:lang w:val="sr-Latn-ME"/>
        </w:rPr>
        <w:t>oštećen</w:t>
      </w:r>
      <w:r w:rsidR="00C0524C" w:rsidRPr="000E77D2">
        <w:rPr>
          <w:rFonts w:ascii="Times New Roman" w:hAnsi="Times New Roman"/>
          <w:sz w:val="22"/>
          <w:szCs w:val="22"/>
          <w:lang w:val="sr-Latn-ME"/>
        </w:rPr>
        <w:t>je</w:t>
      </w:r>
      <w:r w:rsidR="00E131BC" w:rsidRPr="000E77D2">
        <w:rPr>
          <w:rFonts w:ascii="Times New Roman" w:hAnsi="Times New Roman"/>
          <w:sz w:val="22"/>
          <w:szCs w:val="22"/>
          <w:lang w:val="sr-Latn-ME"/>
        </w:rPr>
        <w:t xml:space="preserve">m </w:t>
      </w:r>
      <w:r w:rsidR="000450A4" w:rsidRPr="000E77D2">
        <w:rPr>
          <w:rFonts w:ascii="Times New Roman" w:hAnsi="Times New Roman"/>
          <w:sz w:val="22"/>
          <w:szCs w:val="22"/>
          <w:lang w:val="sr-Latn-ME"/>
        </w:rPr>
        <w:t>funkcij</w:t>
      </w:r>
      <w:r w:rsidR="00C0524C" w:rsidRPr="000E77D2">
        <w:rPr>
          <w:rFonts w:ascii="Times New Roman" w:hAnsi="Times New Roman"/>
          <w:sz w:val="22"/>
          <w:szCs w:val="22"/>
          <w:lang w:val="sr-Latn-ME"/>
        </w:rPr>
        <w:t>e</w:t>
      </w:r>
      <w:r w:rsidR="000450A4" w:rsidRPr="000E77D2">
        <w:rPr>
          <w:rFonts w:ascii="Times New Roman" w:hAnsi="Times New Roman"/>
          <w:sz w:val="22"/>
          <w:szCs w:val="22"/>
          <w:lang w:val="sr-Latn-ME"/>
        </w:rPr>
        <w:t xml:space="preserve"> jetre ili bubrega.</w:t>
      </w:r>
    </w:p>
    <w:p w14:paraId="5A6A495B" w14:textId="77777777" w:rsidR="000450A4" w:rsidRPr="000E77D2" w:rsidRDefault="000450A4" w:rsidP="00BE6A13">
      <w:pPr>
        <w:rPr>
          <w:rFonts w:ascii="Times New Roman" w:hAnsi="Times New Roman"/>
          <w:sz w:val="22"/>
          <w:szCs w:val="22"/>
          <w:lang w:val="sr-Latn-ME"/>
        </w:rPr>
      </w:pPr>
    </w:p>
    <w:p w14:paraId="3A8CFD41" w14:textId="76C4822E" w:rsidR="000450A4" w:rsidRPr="000E77D2" w:rsidRDefault="00E267E8" w:rsidP="00BE6A13">
      <w:pPr>
        <w:rPr>
          <w:rFonts w:ascii="Times New Roman" w:hAnsi="Times New Roman"/>
          <w:sz w:val="22"/>
          <w:szCs w:val="22"/>
          <w:lang w:val="sr-Latn-ME"/>
        </w:rPr>
      </w:pPr>
      <w:r w:rsidRPr="000E77D2">
        <w:rPr>
          <w:rFonts w:ascii="Times New Roman" w:hAnsi="Times New Roman"/>
          <w:sz w:val="22"/>
          <w:szCs w:val="22"/>
          <w:lang w:val="sr-Latn-ME"/>
        </w:rPr>
        <w:t>L</w:t>
      </w:r>
      <w:r w:rsidR="008649B8" w:rsidRPr="000E77D2">
        <w:rPr>
          <w:rFonts w:ascii="Times New Roman" w:hAnsi="Times New Roman"/>
          <w:sz w:val="22"/>
          <w:szCs w:val="22"/>
          <w:lang w:val="sr-Latn-ME"/>
        </w:rPr>
        <w:t>ij</w:t>
      </w:r>
      <w:r w:rsidRPr="000E77D2">
        <w:rPr>
          <w:rFonts w:ascii="Times New Roman" w:hAnsi="Times New Roman"/>
          <w:sz w:val="22"/>
          <w:szCs w:val="22"/>
          <w:lang w:val="sr-Latn-ME"/>
        </w:rPr>
        <w:t xml:space="preserve">ek </w:t>
      </w:r>
      <w:r w:rsidR="000450A4" w:rsidRPr="000E77D2">
        <w:rPr>
          <w:rFonts w:ascii="Times New Roman" w:hAnsi="Times New Roman"/>
          <w:sz w:val="22"/>
          <w:szCs w:val="22"/>
          <w:lang w:val="sr-Latn-ME"/>
        </w:rPr>
        <w:t>Aromasin sadrž</w:t>
      </w:r>
      <w:r w:rsidRPr="000E77D2">
        <w:rPr>
          <w:rFonts w:ascii="Times New Roman" w:hAnsi="Times New Roman"/>
          <w:sz w:val="22"/>
          <w:szCs w:val="22"/>
          <w:lang w:val="sr-Latn-ME"/>
        </w:rPr>
        <w:t>i</w:t>
      </w:r>
      <w:r w:rsidR="000450A4" w:rsidRPr="000E77D2">
        <w:rPr>
          <w:rFonts w:ascii="Times New Roman" w:hAnsi="Times New Roman"/>
          <w:sz w:val="22"/>
          <w:szCs w:val="22"/>
          <w:lang w:val="sr-Latn-ME"/>
        </w:rPr>
        <w:t xml:space="preserve"> saharozu</w:t>
      </w:r>
      <w:r w:rsidR="00E41D27" w:rsidRPr="000E77D2">
        <w:rPr>
          <w:rFonts w:ascii="Times New Roman" w:hAnsi="Times New Roman"/>
          <w:sz w:val="22"/>
          <w:szCs w:val="22"/>
          <w:lang w:val="sr-Latn-ME"/>
        </w:rPr>
        <w:t>.</w:t>
      </w:r>
      <w:r w:rsidR="000E77C7" w:rsidRPr="000E77D2">
        <w:rPr>
          <w:rFonts w:ascii="Times New Roman" w:hAnsi="Times New Roman"/>
          <w:sz w:val="22"/>
          <w:szCs w:val="22"/>
          <w:lang w:val="sr-Latn-ME"/>
        </w:rPr>
        <w:t xml:space="preserve"> </w:t>
      </w:r>
      <w:r w:rsidR="00E41D27" w:rsidRPr="000E77D2">
        <w:rPr>
          <w:rFonts w:ascii="Times New Roman" w:hAnsi="Times New Roman"/>
          <w:sz w:val="22"/>
          <w:szCs w:val="22"/>
          <w:lang w:val="sr-Latn-ME"/>
        </w:rPr>
        <w:t>P</w:t>
      </w:r>
      <w:r w:rsidR="000450A4" w:rsidRPr="000E77D2">
        <w:rPr>
          <w:rFonts w:ascii="Times New Roman" w:hAnsi="Times New Roman"/>
          <w:sz w:val="22"/>
          <w:szCs w:val="22"/>
          <w:lang w:val="sr-Latn-ME"/>
        </w:rPr>
        <w:t>acijent</w:t>
      </w:r>
      <w:r w:rsidR="00E41D27" w:rsidRPr="000E77D2">
        <w:rPr>
          <w:rFonts w:ascii="Times New Roman" w:hAnsi="Times New Roman"/>
          <w:sz w:val="22"/>
          <w:szCs w:val="22"/>
          <w:lang w:val="sr-Latn-ME"/>
        </w:rPr>
        <w:t>i</w:t>
      </w:r>
      <w:r w:rsidR="000450A4" w:rsidRPr="000E77D2">
        <w:rPr>
          <w:rFonts w:ascii="Times New Roman" w:hAnsi="Times New Roman"/>
          <w:sz w:val="22"/>
          <w:szCs w:val="22"/>
          <w:lang w:val="sr-Latn-ME"/>
        </w:rPr>
        <w:t xml:space="preserve"> sa retkim nasl</w:t>
      </w:r>
      <w:r w:rsidR="008649B8" w:rsidRPr="000E77D2">
        <w:rPr>
          <w:rFonts w:ascii="Times New Roman" w:hAnsi="Times New Roman"/>
          <w:sz w:val="22"/>
          <w:szCs w:val="22"/>
          <w:lang w:val="sr-Latn-ME"/>
        </w:rPr>
        <w:t>j</w:t>
      </w:r>
      <w:r w:rsidR="000450A4" w:rsidRPr="000E77D2">
        <w:rPr>
          <w:rFonts w:ascii="Times New Roman" w:hAnsi="Times New Roman"/>
          <w:sz w:val="22"/>
          <w:szCs w:val="22"/>
          <w:lang w:val="sr-Latn-ME"/>
        </w:rPr>
        <w:t xml:space="preserve">ednim </w:t>
      </w:r>
      <w:r w:rsidR="00E41D27" w:rsidRPr="000E77D2">
        <w:rPr>
          <w:rFonts w:ascii="Times New Roman" w:hAnsi="Times New Roman"/>
          <w:sz w:val="22"/>
          <w:szCs w:val="22"/>
          <w:lang w:val="sr-Latn-ME"/>
        </w:rPr>
        <w:t>oboljenjem i</w:t>
      </w:r>
      <w:r w:rsidR="000450A4" w:rsidRPr="000E77D2">
        <w:rPr>
          <w:rFonts w:ascii="Times New Roman" w:hAnsi="Times New Roman"/>
          <w:sz w:val="22"/>
          <w:szCs w:val="22"/>
          <w:lang w:val="sr-Latn-ME"/>
        </w:rPr>
        <w:t xml:space="preserve">ntolerancije na fruktozu, </w:t>
      </w:r>
      <w:r w:rsidR="00E41D27" w:rsidRPr="000E77D2">
        <w:rPr>
          <w:rFonts w:ascii="Times New Roman" w:hAnsi="Times New Roman"/>
          <w:sz w:val="22"/>
          <w:szCs w:val="22"/>
          <w:lang w:val="sr-Latn-ME"/>
        </w:rPr>
        <w:t>glukozno</w:t>
      </w:r>
      <w:r w:rsidR="000450A4" w:rsidRPr="000E77D2">
        <w:rPr>
          <w:rFonts w:ascii="Times New Roman" w:hAnsi="Times New Roman"/>
          <w:sz w:val="22"/>
          <w:szCs w:val="22"/>
          <w:lang w:val="sr-Latn-ME"/>
        </w:rPr>
        <w:t>-</w:t>
      </w:r>
      <w:r w:rsidR="00E41D27" w:rsidRPr="000E77D2">
        <w:rPr>
          <w:rFonts w:ascii="Times New Roman" w:hAnsi="Times New Roman"/>
          <w:sz w:val="22"/>
          <w:szCs w:val="22"/>
          <w:lang w:val="sr-Latn-ME"/>
        </w:rPr>
        <w:t xml:space="preserve">galaktoznom malapsorpcijom </w:t>
      </w:r>
      <w:r w:rsidR="000450A4" w:rsidRPr="000E77D2">
        <w:rPr>
          <w:rFonts w:ascii="Times New Roman" w:hAnsi="Times New Roman"/>
          <w:sz w:val="22"/>
          <w:szCs w:val="22"/>
          <w:lang w:val="sr-Latn-ME"/>
        </w:rPr>
        <w:t>ili nedostatkom saharaze-izomaltaze</w:t>
      </w:r>
      <w:r w:rsidR="00E41D27" w:rsidRPr="000E77D2">
        <w:rPr>
          <w:rFonts w:ascii="Times New Roman" w:hAnsi="Times New Roman"/>
          <w:sz w:val="22"/>
          <w:szCs w:val="22"/>
          <w:lang w:val="sr-Latn-ME"/>
        </w:rPr>
        <w:t xml:space="preserve"> ne sm</w:t>
      </w:r>
      <w:r w:rsidR="008649B8" w:rsidRPr="000E77D2">
        <w:rPr>
          <w:rFonts w:ascii="Times New Roman" w:hAnsi="Times New Roman"/>
          <w:sz w:val="22"/>
          <w:szCs w:val="22"/>
          <w:lang w:val="sr-Latn-ME"/>
        </w:rPr>
        <w:t>i</w:t>
      </w:r>
      <w:r w:rsidR="00E41D27" w:rsidRPr="000E77D2">
        <w:rPr>
          <w:rFonts w:ascii="Times New Roman" w:hAnsi="Times New Roman"/>
          <w:sz w:val="22"/>
          <w:szCs w:val="22"/>
          <w:lang w:val="sr-Latn-ME"/>
        </w:rPr>
        <w:t>ju koristiti ovaj l</w:t>
      </w:r>
      <w:r w:rsidR="008649B8" w:rsidRPr="000E77D2">
        <w:rPr>
          <w:rFonts w:ascii="Times New Roman" w:hAnsi="Times New Roman"/>
          <w:sz w:val="22"/>
          <w:szCs w:val="22"/>
          <w:lang w:val="sr-Latn-ME"/>
        </w:rPr>
        <w:t>ij</w:t>
      </w:r>
      <w:r w:rsidR="00E41D27" w:rsidRPr="000E77D2">
        <w:rPr>
          <w:rFonts w:ascii="Times New Roman" w:hAnsi="Times New Roman"/>
          <w:sz w:val="22"/>
          <w:szCs w:val="22"/>
          <w:lang w:val="sr-Latn-ME"/>
        </w:rPr>
        <w:t>ek</w:t>
      </w:r>
      <w:r w:rsidR="000450A4" w:rsidRPr="000E77D2">
        <w:rPr>
          <w:rFonts w:ascii="Times New Roman" w:hAnsi="Times New Roman"/>
          <w:sz w:val="22"/>
          <w:szCs w:val="22"/>
          <w:lang w:val="sr-Latn-ME"/>
        </w:rPr>
        <w:t>.</w:t>
      </w:r>
    </w:p>
    <w:p w14:paraId="4DDC6E3F" w14:textId="77777777" w:rsidR="000450A4" w:rsidRPr="000E77D2" w:rsidRDefault="000450A4" w:rsidP="00BE6A13">
      <w:pPr>
        <w:rPr>
          <w:rFonts w:ascii="Times New Roman" w:hAnsi="Times New Roman"/>
          <w:sz w:val="22"/>
          <w:szCs w:val="22"/>
          <w:lang w:val="sr-Latn-ME"/>
        </w:rPr>
      </w:pPr>
    </w:p>
    <w:p w14:paraId="1C7E333E" w14:textId="3489ED34" w:rsidR="000450A4" w:rsidRPr="000E77D2" w:rsidRDefault="00E267E8" w:rsidP="00BE6A13">
      <w:pPr>
        <w:rPr>
          <w:rFonts w:ascii="Times New Roman" w:hAnsi="Times New Roman"/>
          <w:sz w:val="22"/>
          <w:szCs w:val="22"/>
          <w:lang w:val="sr-Latn-ME"/>
        </w:rPr>
      </w:pPr>
      <w:r w:rsidRPr="000E77D2">
        <w:rPr>
          <w:rFonts w:ascii="Times New Roman" w:hAnsi="Times New Roman"/>
          <w:sz w:val="22"/>
          <w:szCs w:val="22"/>
          <w:lang w:val="sr-Latn-ME"/>
        </w:rPr>
        <w:t>L</w:t>
      </w:r>
      <w:r w:rsidR="008649B8" w:rsidRPr="000E77D2">
        <w:rPr>
          <w:rFonts w:ascii="Times New Roman" w:hAnsi="Times New Roman"/>
          <w:sz w:val="22"/>
          <w:szCs w:val="22"/>
          <w:lang w:val="sr-Latn-ME"/>
        </w:rPr>
        <w:t>ij</w:t>
      </w:r>
      <w:r w:rsidRPr="000E77D2">
        <w:rPr>
          <w:rFonts w:ascii="Times New Roman" w:hAnsi="Times New Roman"/>
          <w:sz w:val="22"/>
          <w:szCs w:val="22"/>
          <w:lang w:val="sr-Latn-ME"/>
        </w:rPr>
        <w:t xml:space="preserve">ek </w:t>
      </w:r>
      <w:r w:rsidR="000450A4" w:rsidRPr="000E77D2">
        <w:rPr>
          <w:rFonts w:ascii="Times New Roman" w:hAnsi="Times New Roman"/>
          <w:sz w:val="22"/>
          <w:szCs w:val="22"/>
          <w:lang w:val="sr-Latn-ME"/>
        </w:rPr>
        <w:t>Aromasin sadrž</w:t>
      </w:r>
      <w:r w:rsidRPr="000E77D2">
        <w:rPr>
          <w:rFonts w:ascii="Times New Roman" w:hAnsi="Times New Roman"/>
          <w:sz w:val="22"/>
          <w:szCs w:val="22"/>
          <w:lang w:val="sr-Latn-ME"/>
        </w:rPr>
        <w:t>i</w:t>
      </w:r>
      <w:r w:rsidR="000450A4" w:rsidRPr="000E77D2">
        <w:rPr>
          <w:rFonts w:ascii="Times New Roman" w:hAnsi="Times New Roman"/>
          <w:sz w:val="22"/>
          <w:szCs w:val="22"/>
          <w:lang w:val="sr-Latn-ME"/>
        </w:rPr>
        <w:t xml:space="preserve"> metilparahidroksibenzoat, koji može </w:t>
      </w:r>
      <w:r w:rsidR="00E41D27" w:rsidRPr="000E77D2">
        <w:rPr>
          <w:rFonts w:ascii="Times New Roman" w:hAnsi="Times New Roman"/>
          <w:sz w:val="22"/>
          <w:szCs w:val="22"/>
          <w:lang w:val="sr-Latn-ME"/>
        </w:rPr>
        <w:t>izazvati</w:t>
      </w:r>
      <w:r w:rsidR="000450A4" w:rsidRPr="000E77D2">
        <w:rPr>
          <w:rFonts w:ascii="Times New Roman" w:hAnsi="Times New Roman"/>
          <w:sz w:val="22"/>
          <w:szCs w:val="22"/>
          <w:lang w:val="sr-Latn-ME"/>
        </w:rPr>
        <w:t xml:space="preserve"> alergijske reakcije</w:t>
      </w:r>
      <w:r w:rsidR="00E41D27" w:rsidRPr="000E77D2">
        <w:rPr>
          <w:rFonts w:ascii="Times New Roman" w:hAnsi="Times New Roman"/>
          <w:sz w:val="22"/>
          <w:szCs w:val="22"/>
          <w:lang w:val="sr-Latn-ME"/>
        </w:rPr>
        <w:t>, čak i</w:t>
      </w:r>
      <w:r w:rsidR="000450A4" w:rsidRPr="000E77D2">
        <w:rPr>
          <w:rFonts w:ascii="Times New Roman" w:hAnsi="Times New Roman"/>
          <w:sz w:val="22"/>
          <w:szCs w:val="22"/>
          <w:lang w:val="sr-Latn-ME"/>
        </w:rPr>
        <w:t xml:space="preserve"> odložene.</w:t>
      </w:r>
    </w:p>
    <w:p w14:paraId="30808886" w14:textId="77777777" w:rsidR="000450A4" w:rsidRPr="000E77D2" w:rsidRDefault="000450A4" w:rsidP="00BE6A13">
      <w:pPr>
        <w:rPr>
          <w:rFonts w:ascii="Times New Roman" w:hAnsi="Times New Roman"/>
          <w:color w:val="FF0000"/>
          <w:sz w:val="22"/>
          <w:szCs w:val="22"/>
          <w:lang w:val="sr-Latn-ME"/>
        </w:rPr>
      </w:pPr>
    </w:p>
    <w:p w14:paraId="4E023C98" w14:textId="3FF2E129" w:rsidR="000450A4" w:rsidRPr="000E77D2" w:rsidRDefault="008649B8" w:rsidP="00BE6A13">
      <w:pPr>
        <w:pStyle w:val="Header"/>
        <w:tabs>
          <w:tab w:val="clear" w:pos="4536"/>
          <w:tab w:val="clear" w:pos="9072"/>
          <w:tab w:val="left" w:pos="284"/>
        </w:tabs>
        <w:rPr>
          <w:rFonts w:ascii="Times New Roman" w:hAnsi="Times New Roman"/>
          <w:sz w:val="22"/>
          <w:szCs w:val="22"/>
          <w:lang w:val="sr-Latn-ME"/>
        </w:rPr>
      </w:pPr>
      <w:r w:rsidRPr="000E77D2">
        <w:rPr>
          <w:rFonts w:ascii="Times New Roman" w:hAnsi="Times New Roman"/>
          <w:sz w:val="22"/>
          <w:szCs w:val="22"/>
          <w:lang w:val="sr-Latn-ME"/>
        </w:rPr>
        <w:t>O</w:t>
      </w:r>
      <w:r w:rsidR="000450A4" w:rsidRPr="000E77D2">
        <w:rPr>
          <w:rFonts w:ascii="Times New Roman" w:hAnsi="Times New Roman"/>
          <w:sz w:val="22"/>
          <w:szCs w:val="22"/>
          <w:lang w:val="sr-Latn-ME"/>
        </w:rPr>
        <w:t xml:space="preserve">bzirom na to da </w:t>
      </w:r>
      <w:r w:rsidR="00626C65" w:rsidRPr="000E77D2">
        <w:rPr>
          <w:rFonts w:ascii="Times New Roman" w:hAnsi="Times New Roman"/>
          <w:sz w:val="22"/>
          <w:szCs w:val="22"/>
          <w:lang w:val="sr-Latn-ME"/>
        </w:rPr>
        <w:t xml:space="preserve">lijek </w:t>
      </w:r>
      <w:r w:rsidR="000450A4" w:rsidRPr="000E77D2">
        <w:rPr>
          <w:rFonts w:ascii="Times New Roman" w:hAnsi="Times New Roman"/>
          <w:sz w:val="22"/>
          <w:szCs w:val="22"/>
          <w:lang w:val="sr-Latn-ME"/>
        </w:rPr>
        <w:t xml:space="preserve">Aromasin snažno snižava estrogen, </w:t>
      </w:r>
      <w:r w:rsidR="00E131BC" w:rsidRPr="000E77D2">
        <w:rPr>
          <w:rFonts w:ascii="Times New Roman" w:hAnsi="Times New Roman"/>
          <w:sz w:val="22"/>
          <w:szCs w:val="22"/>
          <w:lang w:val="sr-Latn-ME"/>
        </w:rPr>
        <w:t xml:space="preserve">uočeni su </w:t>
      </w:r>
      <w:r w:rsidR="000450A4" w:rsidRPr="000E77D2">
        <w:rPr>
          <w:rFonts w:ascii="Times New Roman" w:hAnsi="Times New Roman"/>
          <w:sz w:val="22"/>
          <w:szCs w:val="22"/>
          <w:lang w:val="sr-Latn-ME"/>
        </w:rPr>
        <w:t>smanjenje gustine koštanog tkiva</w:t>
      </w:r>
      <w:r w:rsidR="006078F3" w:rsidRPr="000E77D2">
        <w:rPr>
          <w:rFonts w:ascii="Times New Roman" w:hAnsi="Times New Roman"/>
          <w:sz w:val="22"/>
          <w:szCs w:val="22"/>
          <w:lang w:val="sr-Latn-ME"/>
        </w:rPr>
        <w:t xml:space="preserve"> (engl. </w:t>
      </w:r>
      <w:r w:rsidR="006078F3" w:rsidRPr="000E77D2">
        <w:rPr>
          <w:rFonts w:ascii="Times New Roman" w:hAnsi="Times New Roman"/>
          <w:i/>
          <w:sz w:val="22"/>
          <w:szCs w:val="22"/>
          <w:lang w:val="sr-Latn-ME"/>
        </w:rPr>
        <w:t xml:space="preserve">bone mineral density – </w:t>
      </w:r>
      <w:r w:rsidR="006078F3" w:rsidRPr="000E77D2">
        <w:rPr>
          <w:rFonts w:ascii="Times New Roman" w:hAnsi="Times New Roman"/>
          <w:sz w:val="22"/>
          <w:szCs w:val="22"/>
          <w:lang w:val="sr-Latn-ME"/>
        </w:rPr>
        <w:t>BMD)</w:t>
      </w:r>
      <w:r w:rsidR="00E131BC" w:rsidRPr="000E77D2">
        <w:rPr>
          <w:rFonts w:ascii="Times New Roman" w:hAnsi="Times New Roman"/>
          <w:sz w:val="22"/>
          <w:szCs w:val="22"/>
          <w:lang w:val="sr-Latn-ME"/>
        </w:rPr>
        <w:t xml:space="preserve"> i </w:t>
      </w:r>
      <w:r w:rsidR="000450A4" w:rsidRPr="000E77D2">
        <w:rPr>
          <w:rFonts w:ascii="Times New Roman" w:hAnsi="Times New Roman"/>
          <w:sz w:val="22"/>
          <w:szCs w:val="22"/>
          <w:lang w:val="sr-Latn-ME"/>
        </w:rPr>
        <w:t>povećan rizik od preloma kostiju nakon prim</w:t>
      </w:r>
      <w:r w:rsidRPr="000E77D2">
        <w:rPr>
          <w:rFonts w:ascii="Times New Roman" w:hAnsi="Times New Roman"/>
          <w:sz w:val="22"/>
          <w:szCs w:val="22"/>
          <w:lang w:val="sr-Latn-ME"/>
        </w:rPr>
        <w:t>j</w:t>
      </w:r>
      <w:r w:rsidR="000450A4" w:rsidRPr="000E77D2">
        <w:rPr>
          <w:rFonts w:ascii="Times New Roman" w:hAnsi="Times New Roman"/>
          <w:sz w:val="22"/>
          <w:szCs w:val="22"/>
          <w:lang w:val="sr-Latn-ME"/>
        </w:rPr>
        <w:t>ene l</w:t>
      </w:r>
      <w:r w:rsidRPr="000E77D2">
        <w:rPr>
          <w:rFonts w:ascii="Times New Roman" w:hAnsi="Times New Roman"/>
          <w:sz w:val="22"/>
          <w:szCs w:val="22"/>
          <w:lang w:val="sr-Latn-ME"/>
        </w:rPr>
        <w:t>ij</w:t>
      </w:r>
      <w:r w:rsidR="000450A4" w:rsidRPr="000E77D2">
        <w:rPr>
          <w:rFonts w:ascii="Times New Roman" w:hAnsi="Times New Roman"/>
          <w:sz w:val="22"/>
          <w:szCs w:val="22"/>
          <w:lang w:val="sr-Latn-ME"/>
        </w:rPr>
        <w:t>eka (vid</w:t>
      </w:r>
      <w:r w:rsidRPr="000E77D2">
        <w:rPr>
          <w:rFonts w:ascii="Times New Roman" w:hAnsi="Times New Roman"/>
          <w:sz w:val="22"/>
          <w:szCs w:val="22"/>
          <w:lang w:val="sr-Latn-ME"/>
        </w:rPr>
        <w:t>j</w:t>
      </w:r>
      <w:r w:rsidR="000450A4" w:rsidRPr="000E77D2">
        <w:rPr>
          <w:rFonts w:ascii="Times New Roman" w:hAnsi="Times New Roman"/>
          <w:sz w:val="22"/>
          <w:szCs w:val="22"/>
          <w:lang w:val="sr-Latn-ME"/>
        </w:rPr>
        <w:t xml:space="preserve">eti </w:t>
      </w:r>
      <w:r w:rsidR="00BE6A13" w:rsidRPr="000E77D2">
        <w:rPr>
          <w:rFonts w:ascii="Times New Roman" w:hAnsi="Times New Roman"/>
          <w:sz w:val="22"/>
          <w:szCs w:val="22"/>
          <w:lang w:val="sr-Latn-ME"/>
        </w:rPr>
        <w:t>dio</w:t>
      </w:r>
      <w:r w:rsidR="00214DEF" w:rsidRPr="000E77D2">
        <w:rPr>
          <w:rFonts w:ascii="Times New Roman" w:hAnsi="Times New Roman"/>
          <w:sz w:val="22"/>
          <w:szCs w:val="22"/>
          <w:lang w:val="sr-Latn-ME"/>
        </w:rPr>
        <w:t> </w:t>
      </w:r>
      <w:r w:rsidR="000450A4" w:rsidRPr="000E77D2">
        <w:rPr>
          <w:rFonts w:ascii="Times New Roman" w:hAnsi="Times New Roman"/>
          <w:sz w:val="22"/>
          <w:szCs w:val="22"/>
          <w:lang w:val="sr-Latn-ME"/>
        </w:rPr>
        <w:t xml:space="preserve">5.1). Prilikom započinjanja </w:t>
      </w:r>
      <w:r w:rsidR="00C0524C" w:rsidRPr="000E77D2">
        <w:rPr>
          <w:rFonts w:ascii="Times New Roman" w:hAnsi="Times New Roman"/>
          <w:sz w:val="22"/>
          <w:szCs w:val="22"/>
          <w:lang w:val="sr-Latn-ME"/>
        </w:rPr>
        <w:t>adjuvantn</w:t>
      </w:r>
      <w:r w:rsidR="000450A4" w:rsidRPr="000E77D2">
        <w:rPr>
          <w:rFonts w:ascii="Times New Roman" w:hAnsi="Times New Roman"/>
          <w:sz w:val="22"/>
          <w:szCs w:val="22"/>
          <w:lang w:val="sr-Latn-ME"/>
        </w:rPr>
        <w:t>e terapije l</w:t>
      </w:r>
      <w:r w:rsidRPr="000E77D2">
        <w:rPr>
          <w:rFonts w:ascii="Times New Roman" w:hAnsi="Times New Roman"/>
          <w:sz w:val="22"/>
          <w:szCs w:val="22"/>
          <w:lang w:val="sr-Latn-ME"/>
        </w:rPr>
        <w:t>ij</w:t>
      </w:r>
      <w:r w:rsidR="000450A4" w:rsidRPr="000E77D2">
        <w:rPr>
          <w:rFonts w:ascii="Times New Roman" w:hAnsi="Times New Roman"/>
          <w:sz w:val="22"/>
          <w:szCs w:val="22"/>
          <w:lang w:val="sr-Latn-ME"/>
        </w:rPr>
        <w:t>ekom Aromasin, neophodno je da se kod žena sa osteoporozom, kao i kod žena sa rizikom od osteoporoze, izvrši proc</w:t>
      </w:r>
      <w:r w:rsidRPr="000E77D2">
        <w:rPr>
          <w:rFonts w:ascii="Times New Roman" w:hAnsi="Times New Roman"/>
          <w:sz w:val="22"/>
          <w:szCs w:val="22"/>
          <w:lang w:val="sr-Latn-ME"/>
        </w:rPr>
        <w:t>j</w:t>
      </w:r>
      <w:r w:rsidR="000450A4" w:rsidRPr="000E77D2">
        <w:rPr>
          <w:rFonts w:ascii="Times New Roman" w:hAnsi="Times New Roman"/>
          <w:sz w:val="22"/>
          <w:szCs w:val="22"/>
          <w:lang w:val="sr-Latn-ME"/>
        </w:rPr>
        <w:t>ena gustine koštanog tkiva</w:t>
      </w:r>
      <w:r w:rsidR="006078F3" w:rsidRPr="000E77D2">
        <w:rPr>
          <w:rFonts w:ascii="Times New Roman" w:hAnsi="Times New Roman"/>
          <w:sz w:val="22"/>
          <w:szCs w:val="22"/>
          <w:lang w:val="sr-Latn-ME"/>
        </w:rPr>
        <w:t xml:space="preserve"> (</w:t>
      </w:r>
      <w:r w:rsidR="00022C86" w:rsidRPr="000E77D2">
        <w:rPr>
          <w:rFonts w:ascii="Times New Roman" w:hAnsi="Times New Roman"/>
          <w:sz w:val="22"/>
          <w:szCs w:val="22"/>
          <w:lang w:val="sr-Latn-ME"/>
        </w:rPr>
        <w:t>BMD)</w:t>
      </w:r>
      <w:r w:rsidR="000450A4" w:rsidRPr="000E77D2">
        <w:rPr>
          <w:rFonts w:ascii="Times New Roman" w:hAnsi="Times New Roman"/>
          <w:sz w:val="22"/>
          <w:szCs w:val="22"/>
          <w:lang w:val="sr-Latn-ME"/>
        </w:rPr>
        <w:t xml:space="preserve"> na osnovu važećih kliničkih vodiča i prakse. </w:t>
      </w:r>
      <w:r w:rsidR="00022C86" w:rsidRPr="000E77D2">
        <w:rPr>
          <w:rFonts w:ascii="Times New Roman" w:hAnsi="Times New Roman"/>
          <w:sz w:val="22"/>
          <w:szCs w:val="22"/>
          <w:lang w:val="sr-Latn-ME"/>
        </w:rPr>
        <w:t>Proc</w:t>
      </w:r>
      <w:r w:rsidRPr="000E77D2">
        <w:rPr>
          <w:rFonts w:ascii="Times New Roman" w:hAnsi="Times New Roman"/>
          <w:sz w:val="22"/>
          <w:szCs w:val="22"/>
          <w:lang w:val="sr-Latn-ME"/>
        </w:rPr>
        <w:t>j</w:t>
      </w:r>
      <w:r w:rsidR="00022C86" w:rsidRPr="000E77D2">
        <w:rPr>
          <w:rFonts w:ascii="Times New Roman" w:hAnsi="Times New Roman"/>
          <w:sz w:val="22"/>
          <w:szCs w:val="22"/>
          <w:lang w:val="sr-Latn-ME"/>
        </w:rPr>
        <w:t>ena mineralne gustine koštanog tkiva k</w:t>
      </w:r>
      <w:r w:rsidR="000450A4" w:rsidRPr="000E77D2">
        <w:rPr>
          <w:rFonts w:ascii="Times New Roman" w:hAnsi="Times New Roman"/>
          <w:sz w:val="22"/>
          <w:szCs w:val="22"/>
          <w:lang w:val="sr-Latn-ME"/>
        </w:rPr>
        <w:t>od pacijentkinja sa uznapredovalom bolešću treba da se vrši</w:t>
      </w:r>
      <w:r w:rsidR="00022C86" w:rsidRPr="000E77D2">
        <w:rPr>
          <w:rFonts w:ascii="Times New Roman" w:hAnsi="Times New Roman"/>
          <w:sz w:val="22"/>
          <w:szCs w:val="22"/>
          <w:lang w:val="sr-Latn-ME"/>
        </w:rPr>
        <w:t xml:space="preserve"> individualno</w:t>
      </w:r>
      <w:r w:rsidR="000450A4" w:rsidRPr="000E77D2">
        <w:rPr>
          <w:rFonts w:ascii="Times New Roman" w:hAnsi="Times New Roman"/>
          <w:sz w:val="22"/>
          <w:szCs w:val="22"/>
          <w:lang w:val="sr-Latn-ME"/>
        </w:rPr>
        <w:t xml:space="preserve"> </w:t>
      </w:r>
      <w:r w:rsidR="00022C86" w:rsidRPr="000E77D2">
        <w:rPr>
          <w:rFonts w:ascii="Times New Roman" w:hAnsi="Times New Roman"/>
          <w:sz w:val="22"/>
          <w:szCs w:val="22"/>
          <w:lang w:val="sr-Latn-ME"/>
        </w:rPr>
        <w:t>prema</w:t>
      </w:r>
      <w:r w:rsidR="000450A4" w:rsidRPr="000E77D2">
        <w:rPr>
          <w:rFonts w:ascii="Times New Roman" w:hAnsi="Times New Roman"/>
          <w:sz w:val="22"/>
          <w:szCs w:val="22"/>
          <w:lang w:val="sr-Latn-ME"/>
        </w:rPr>
        <w:t xml:space="preserve"> svak</w:t>
      </w:r>
      <w:r w:rsidR="00022C86" w:rsidRPr="000E77D2">
        <w:rPr>
          <w:rFonts w:ascii="Times New Roman" w:hAnsi="Times New Roman"/>
          <w:sz w:val="22"/>
          <w:szCs w:val="22"/>
          <w:lang w:val="sr-Latn-ME"/>
        </w:rPr>
        <w:t>oj</w:t>
      </w:r>
      <w:r w:rsidR="000450A4" w:rsidRPr="000E77D2">
        <w:rPr>
          <w:rFonts w:ascii="Times New Roman" w:hAnsi="Times New Roman"/>
          <w:sz w:val="22"/>
          <w:szCs w:val="22"/>
          <w:lang w:val="sr-Latn-ME"/>
        </w:rPr>
        <w:t xml:space="preserve"> pacijentkinj</w:t>
      </w:r>
      <w:r w:rsidR="00022C86" w:rsidRPr="000E77D2">
        <w:rPr>
          <w:rFonts w:ascii="Times New Roman" w:hAnsi="Times New Roman"/>
          <w:sz w:val="22"/>
          <w:szCs w:val="22"/>
          <w:lang w:val="sr-Latn-ME"/>
        </w:rPr>
        <w:t>i</w:t>
      </w:r>
      <w:r w:rsidR="000450A4" w:rsidRPr="000E77D2">
        <w:rPr>
          <w:rFonts w:ascii="Times New Roman" w:hAnsi="Times New Roman"/>
          <w:sz w:val="22"/>
          <w:szCs w:val="22"/>
          <w:lang w:val="sr-Latn-ME"/>
        </w:rPr>
        <w:t xml:space="preserve"> ponaosob</w:t>
      </w:r>
      <w:r w:rsidR="00022C86" w:rsidRPr="000E77D2">
        <w:rPr>
          <w:rFonts w:ascii="Times New Roman" w:hAnsi="Times New Roman"/>
          <w:sz w:val="22"/>
          <w:szCs w:val="22"/>
          <w:lang w:val="sr-Latn-ME"/>
        </w:rPr>
        <w:t xml:space="preserve"> (engl. </w:t>
      </w:r>
      <w:r w:rsidR="00022C86" w:rsidRPr="000E77D2">
        <w:rPr>
          <w:rFonts w:ascii="Times New Roman" w:hAnsi="Times New Roman"/>
          <w:i/>
          <w:sz w:val="22"/>
          <w:szCs w:val="22"/>
          <w:lang w:val="sr-Latn-ME"/>
        </w:rPr>
        <w:t>on a case-by-case basis</w:t>
      </w:r>
      <w:r w:rsidR="00022C86" w:rsidRPr="000E77D2">
        <w:rPr>
          <w:rFonts w:ascii="Times New Roman" w:hAnsi="Times New Roman"/>
          <w:sz w:val="22"/>
          <w:szCs w:val="22"/>
          <w:lang w:val="sr-Latn-ME"/>
        </w:rPr>
        <w:t>)</w:t>
      </w:r>
      <w:r w:rsidR="000450A4" w:rsidRPr="000E77D2">
        <w:rPr>
          <w:rFonts w:ascii="Times New Roman" w:hAnsi="Times New Roman"/>
          <w:sz w:val="22"/>
          <w:szCs w:val="22"/>
          <w:lang w:val="sr-Latn-ME"/>
        </w:rPr>
        <w:t>. Iako ne postoje adekvatni podaci koji pokazuju efekte l</w:t>
      </w:r>
      <w:r w:rsidRPr="000E77D2">
        <w:rPr>
          <w:rFonts w:ascii="Times New Roman" w:hAnsi="Times New Roman"/>
          <w:sz w:val="22"/>
          <w:szCs w:val="22"/>
          <w:lang w:val="sr-Latn-ME"/>
        </w:rPr>
        <w:t>ij</w:t>
      </w:r>
      <w:r w:rsidR="000450A4" w:rsidRPr="000E77D2">
        <w:rPr>
          <w:rFonts w:ascii="Times New Roman" w:hAnsi="Times New Roman"/>
          <w:sz w:val="22"/>
          <w:szCs w:val="22"/>
          <w:lang w:val="sr-Latn-ME"/>
        </w:rPr>
        <w:t>eka</w:t>
      </w:r>
      <w:r w:rsidR="00E267E8" w:rsidRPr="000E77D2">
        <w:rPr>
          <w:rFonts w:ascii="Times New Roman" w:hAnsi="Times New Roman"/>
          <w:sz w:val="22"/>
          <w:szCs w:val="22"/>
          <w:lang w:val="sr-Latn-ME"/>
        </w:rPr>
        <w:t xml:space="preserve"> Aromasin</w:t>
      </w:r>
      <w:r w:rsidR="000450A4" w:rsidRPr="000E77D2">
        <w:rPr>
          <w:rFonts w:ascii="Times New Roman" w:hAnsi="Times New Roman"/>
          <w:sz w:val="22"/>
          <w:szCs w:val="22"/>
          <w:lang w:val="sr-Latn-ME"/>
        </w:rPr>
        <w:t xml:space="preserve"> na smanjenje mineralne gustine kostiju posl</w:t>
      </w:r>
      <w:r w:rsidR="00AB5AF6" w:rsidRPr="000E77D2">
        <w:rPr>
          <w:rFonts w:ascii="Times New Roman" w:hAnsi="Times New Roman"/>
          <w:sz w:val="22"/>
          <w:szCs w:val="22"/>
          <w:lang w:val="sr-Latn-ME"/>
        </w:rPr>
        <w:t>ij</w:t>
      </w:r>
      <w:r w:rsidR="000450A4" w:rsidRPr="000E77D2">
        <w:rPr>
          <w:rFonts w:ascii="Times New Roman" w:hAnsi="Times New Roman"/>
          <w:sz w:val="22"/>
          <w:szCs w:val="22"/>
          <w:lang w:val="sr-Latn-ME"/>
        </w:rPr>
        <w:t>e</w:t>
      </w:r>
      <w:r w:rsidR="00E267E8" w:rsidRPr="000E77D2">
        <w:rPr>
          <w:rFonts w:ascii="Times New Roman" w:hAnsi="Times New Roman"/>
          <w:sz w:val="22"/>
          <w:szCs w:val="22"/>
          <w:lang w:val="sr-Latn-ME"/>
        </w:rPr>
        <w:t xml:space="preserve"> njegove</w:t>
      </w:r>
      <w:r w:rsidR="000450A4" w:rsidRPr="000E77D2">
        <w:rPr>
          <w:rFonts w:ascii="Times New Roman" w:hAnsi="Times New Roman"/>
          <w:sz w:val="22"/>
          <w:szCs w:val="22"/>
          <w:lang w:val="sr-Latn-ME"/>
        </w:rPr>
        <w:t xml:space="preserve"> prim</w:t>
      </w:r>
      <w:r w:rsidRPr="000E77D2">
        <w:rPr>
          <w:rFonts w:ascii="Times New Roman" w:hAnsi="Times New Roman"/>
          <w:sz w:val="22"/>
          <w:szCs w:val="22"/>
          <w:lang w:val="sr-Latn-ME"/>
        </w:rPr>
        <w:t>j</w:t>
      </w:r>
      <w:r w:rsidR="000450A4" w:rsidRPr="000E77D2">
        <w:rPr>
          <w:rFonts w:ascii="Times New Roman" w:hAnsi="Times New Roman"/>
          <w:sz w:val="22"/>
          <w:szCs w:val="22"/>
          <w:lang w:val="sr-Latn-ME"/>
        </w:rPr>
        <w:t>ene, pacijentkinje koje se l</w:t>
      </w:r>
      <w:r w:rsidRPr="000E77D2">
        <w:rPr>
          <w:rFonts w:ascii="Times New Roman" w:hAnsi="Times New Roman"/>
          <w:sz w:val="22"/>
          <w:szCs w:val="22"/>
          <w:lang w:val="sr-Latn-ME"/>
        </w:rPr>
        <w:t>ij</w:t>
      </w:r>
      <w:r w:rsidR="000450A4" w:rsidRPr="000E77D2">
        <w:rPr>
          <w:rFonts w:ascii="Times New Roman" w:hAnsi="Times New Roman"/>
          <w:sz w:val="22"/>
          <w:szCs w:val="22"/>
          <w:lang w:val="sr-Latn-ME"/>
        </w:rPr>
        <w:t xml:space="preserve">eče </w:t>
      </w:r>
      <w:r w:rsidR="00E267E8" w:rsidRPr="000E77D2">
        <w:rPr>
          <w:rFonts w:ascii="Times New Roman" w:hAnsi="Times New Roman"/>
          <w:sz w:val="22"/>
          <w:szCs w:val="22"/>
          <w:lang w:val="sr-Latn-ME"/>
        </w:rPr>
        <w:t xml:space="preserve">ovim </w:t>
      </w:r>
      <w:r w:rsidR="000450A4" w:rsidRPr="000E77D2">
        <w:rPr>
          <w:rFonts w:ascii="Times New Roman" w:hAnsi="Times New Roman"/>
          <w:sz w:val="22"/>
          <w:szCs w:val="22"/>
          <w:lang w:val="sr-Latn-ME"/>
        </w:rPr>
        <w:t>l</w:t>
      </w:r>
      <w:r w:rsidRPr="000E77D2">
        <w:rPr>
          <w:rFonts w:ascii="Times New Roman" w:hAnsi="Times New Roman"/>
          <w:sz w:val="22"/>
          <w:szCs w:val="22"/>
          <w:lang w:val="sr-Latn-ME"/>
        </w:rPr>
        <w:t>ij</w:t>
      </w:r>
      <w:r w:rsidR="000450A4" w:rsidRPr="000E77D2">
        <w:rPr>
          <w:rFonts w:ascii="Times New Roman" w:hAnsi="Times New Roman"/>
          <w:sz w:val="22"/>
          <w:szCs w:val="22"/>
          <w:lang w:val="sr-Latn-ME"/>
        </w:rPr>
        <w:t xml:space="preserve">ekom treba pažljivo pratiti, a terapiju ili profilaksu osteoporoze treba započeti kod pacijentkinja pod rizikom. </w:t>
      </w:r>
    </w:p>
    <w:p w14:paraId="46DB6ABC" w14:textId="77777777" w:rsidR="000450A4" w:rsidRPr="000E77D2" w:rsidRDefault="000450A4" w:rsidP="00BE6A13">
      <w:pPr>
        <w:pStyle w:val="Header"/>
        <w:tabs>
          <w:tab w:val="clear" w:pos="4536"/>
          <w:tab w:val="clear" w:pos="9072"/>
          <w:tab w:val="left" w:pos="284"/>
        </w:tabs>
        <w:rPr>
          <w:rFonts w:ascii="Times New Roman" w:hAnsi="Times New Roman"/>
          <w:color w:val="FF0000"/>
          <w:sz w:val="22"/>
          <w:szCs w:val="22"/>
          <w:lang w:val="sr-Latn-ME"/>
        </w:rPr>
      </w:pPr>
    </w:p>
    <w:p w14:paraId="6A9A8E21" w14:textId="5FE36C7B" w:rsidR="000450A4" w:rsidRPr="000E77D2" w:rsidRDefault="000450A4" w:rsidP="00BE6A13">
      <w:pPr>
        <w:pStyle w:val="Header"/>
        <w:tabs>
          <w:tab w:val="clear" w:pos="4536"/>
          <w:tab w:val="clear" w:pos="9072"/>
          <w:tab w:val="left" w:pos="284"/>
        </w:tabs>
        <w:rPr>
          <w:rFonts w:ascii="Times New Roman" w:hAnsi="Times New Roman"/>
          <w:sz w:val="22"/>
          <w:szCs w:val="22"/>
          <w:lang w:val="sr-Latn-ME"/>
        </w:rPr>
      </w:pPr>
      <w:r w:rsidRPr="000E77D2">
        <w:rPr>
          <w:rFonts w:ascii="Times New Roman" w:hAnsi="Times New Roman"/>
          <w:sz w:val="22"/>
          <w:szCs w:val="22"/>
          <w:lang w:val="sr-Latn-ME"/>
        </w:rPr>
        <w:t xml:space="preserve">Zbog </w:t>
      </w:r>
      <w:r w:rsidR="00022C86" w:rsidRPr="000E77D2">
        <w:rPr>
          <w:rFonts w:ascii="Times New Roman" w:hAnsi="Times New Roman"/>
          <w:sz w:val="22"/>
          <w:szCs w:val="22"/>
          <w:lang w:val="sr-Latn-ME"/>
        </w:rPr>
        <w:t xml:space="preserve">velike </w:t>
      </w:r>
      <w:r w:rsidRPr="000E77D2">
        <w:rPr>
          <w:rFonts w:ascii="Times New Roman" w:hAnsi="Times New Roman"/>
          <w:sz w:val="22"/>
          <w:szCs w:val="22"/>
          <w:lang w:val="sr-Latn-ME"/>
        </w:rPr>
        <w:t>prevalencije teške deficijencije vitamina D kod žena koje imaju karcinom dojke u ranoj fazi, treba razmotriti rutinsku proc</w:t>
      </w:r>
      <w:r w:rsidR="008649B8" w:rsidRPr="000E77D2">
        <w:rPr>
          <w:rFonts w:ascii="Times New Roman" w:hAnsi="Times New Roman"/>
          <w:sz w:val="22"/>
          <w:szCs w:val="22"/>
          <w:lang w:val="sr-Latn-ME"/>
        </w:rPr>
        <w:t>j</w:t>
      </w:r>
      <w:r w:rsidRPr="000E77D2">
        <w:rPr>
          <w:rFonts w:ascii="Times New Roman" w:hAnsi="Times New Roman"/>
          <w:sz w:val="22"/>
          <w:szCs w:val="22"/>
          <w:lang w:val="sr-Latn-ME"/>
        </w:rPr>
        <w:t>enu nivoa 25-hidroksi-vitamina D pr</w:t>
      </w:r>
      <w:r w:rsidR="008649B8" w:rsidRPr="000E77D2">
        <w:rPr>
          <w:rFonts w:ascii="Times New Roman" w:hAnsi="Times New Roman"/>
          <w:sz w:val="22"/>
          <w:szCs w:val="22"/>
          <w:lang w:val="sr-Latn-ME"/>
        </w:rPr>
        <w:t>ij</w:t>
      </w:r>
      <w:r w:rsidRPr="000E77D2">
        <w:rPr>
          <w:rFonts w:ascii="Times New Roman" w:hAnsi="Times New Roman"/>
          <w:sz w:val="22"/>
          <w:szCs w:val="22"/>
          <w:lang w:val="sr-Latn-ME"/>
        </w:rPr>
        <w:t>e početka l</w:t>
      </w:r>
      <w:r w:rsidR="008649B8" w:rsidRPr="000E77D2">
        <w:rPr>
          <w:rFonts w:ascii="Times New Roman" w:hAnsi="Times New Roman"/>
          <w:sz w:val="22"/>
          <w:szCs w:val="22"/>
          <w:lang w:val="sr-Latn-ME"/>
        </w:rPr>
        <w:t>ij</w:t>
      </w:r>
      <w:r w:rsidRPr="000E77D2">
        <w:rPr>
          <w:rFonts w:ascii="Times New Roman" w:hAnsi="Times New Roman"/>
          <w:sz w:val="22"/>
          <w:szCs w:val="22"/>
          <w:lang w:val="sr-Latn-ME"/>
        </w:rPr>
        <w:t xml:space="preserve">ečenja inhibitorom aromataze. Žene koje imaju deficijenciju vitamina D treba da </w:t>
      </w:r>
      <w:r w:rsidR="007A0F09" w:rsidRPr="000E77D2">
        <w:rPr>
          <w:rFonts w:ascii="Times New Roman" w:hAnsi="Times New Roman"/>
          <w:sz w:val="22"/>
          <w:szCs w:val="22"/>
          <w:lang w:val="sr-Latn-ME"/>
        </w:rPr>
        <w:t>uzimaju ov</w:t>
      </w:r>
      <w:r w:rsidR="00F01DF2" w:rsidRPr="000E77D2">
        <w:rPr>
          <w:rFonts w:ascii="Times New Roman" w:hAnsi="Times New Roman"/>
          <w:sz w:val="22"/>
          <w:szCs w:val="22"/>
          <w:lang w:val="sr-Latn-ME"/>
        </w:rPr>
        <w:t>a</w:t>
      </w:r>
      <w:r w:rsidR="00BD6EA7" w:rsidRPr="000E77D2">
        <w:rPr>
          <w:rFonts w:ascii="Times New Roman" w:hAnsi="Times New Roman"/>
          <w:sz w:val="22"/>
          <w:szCs w:val="22"/>
          <w:lang w:val="sr-Latn-ME"/>
        </w:rPr>
        <w:t>j</w:t>
      </w:r>
      <w:r w:rsidRPr="000E77D2">
        <w:rPr>
          <w:rFonts w:ascii="Times New Roman" w:hAnsi="Times New Roman"/>
          <w:sz w:val="22"/>
          <w:szCs w:val="22"/>
          <w:lang w:val="sr-Latn-ME"/>
        </w:rPr>
        <w:t xml:space="preserve"> vitamin. </w:t>
      </w:r>
    </w:p>
    <w:p w14:paraId="464B6E0A" w14:textId="77777777" w:rsidR="000450A4" w:rsidRPr="000E77D2" w:rsidRDefault="000450A4" w:rsidP="00BE6A13">
      <w:pPr>
        <w:pStyle w:val="Header"/>
        <w:tabs>
          <w:tab w:val="clear" w:pos="4536"/>
          <w:tab w:val="clear" w:pos="9072"/>
          <w:tab w:val="left" w:pos="284"/>
        </w:tabs>
        <w:rPr>
          <w:rFonts w:ascii="Times New Roman" w:hAnsi="Times New Roman"/>
          <w:color w:val="FF0000"/>
          <w:sz w:val="22"/>
          <w:szCs w:val="22"/>
          <w:lang w:val="sr-Latn-ME"/>
        </w:rPr>
      </w:pPr>
    </w:p>
    <w:p w14:paraId="07BF64BC" w14:textId="3C66D833" w:rsidR="00F362CE" w:rsidRPr="000E77D2" w:rsidRDefault="00F362CE" w:rsidP="00BE6A13">
      <w:pPr>
        <w:pStyle w:val="Header"/>
        <w:tabs>
          <w:tab w:val="clear" w:pos="4536"/>
          <w:tab w:val="clear" w:pos="9072"/>
          <w:tab w:val="left" w:pos="284"/>
        </w:tabs>
        <w:rPr>
          <w:rFonts w:ascii="Times New Roman" w:hAnsi="Times New Roman"/>
          <w:sz w:val="22"/>
          <w:szCs w:val="22"/>
          <w:lang w:val="sr-Latn-ME"/>
        </w:rPr>
      </w:pPr>
      <w:bookmarkStart w:id="0" w:name="_Hlk160613332"/>
      <w:r w:rsidRPr="000E77D2">
        <w:rPr>
          <w:rFonts w:ascii="Times New Roman" w:hAnsi="Times New Roman"/>
          <w:sz w:val="22"/>
          <w:szCs w:val="22"/>
          <w:lang w:val="sr-Latn-ME"/>
        </w:rPr>
        <w:t>Ovaj lijek sadrži manje od 1</w:t>
      </w:r>
      <w:r w:rsidR="00EC1356" w:rsidRPr="000E77D2">
        <w:rPr>
          <w:rFonts w:ascii="Times New Roman" w:hAnsi="Times New Roman"/>
          <w:sz w:val="22"/>
          <w:szCs w:val="22"/>
          <w:lang w:val="sr-Latn-ME"/>
        </w:rPr>
        <w:t> </w:t>
      </w:r>
      <w:r w:rsidRPr="000E77D2">
        <w:rPr>
          <w:rFonts w:ascii="Times New Roman" w:hAnsi="Times New Roman"/>
          <w:sz w:val="22"/>
          <w:szCs w:val="22"/>
          <w:lang w:val="sr-Latn-ME"/>
        </w:rPr>
        <w:t>mmol natrijuma (23</w:t>
      </w:r>
      <w:r w:rsidR="00EC1356" w:rsidRPr="000E77D2">
        <w:rPr>
          <w:rFonts w:ascii="Times New Roman" w:hAnsi="Times New Roman"/>
          <w:sz w:val="22"/>
          <w:szCs w:val="22"/>
          <w:lang w:val="sr-Latn-ME"/>
        </w:rPr>
        <w:t> </w:t>
      </w:r>
      <w:r w:rsidRPr="000E77D2">
        <w:rPr>
          <w:rFonts w:ascii="Times New Roman" w:hAnsi="Times New Roman"/>
          <w:sz w:val="22"/>
          <w:szCs w:val="22"/>
          <w:lang w:val="sr-Latn-ME"/>
        </w:rPr>
        <w:t>mg) po tableti, što znači da je suštinski „bez natrijuma“.</w:t>
      </w:r>
    </w:p>
    <w:bookmarkEnd w:id="0"/>
    <w:p w14:paraId="1B913050" w14:textId="77777777" w:rsidR="00F362CE" w:rsidRPr="000E77D2" w:rsidRDefault="00F362CE" w:rsidP="00BE6A13">
      <w:pPr>
        <w:pStyle w:val="Header"/>
        <w:tabs>
          <w:tab w:val="clear" w:pos="4536"/>
          <w:tab w:val="clear" w:pos="9072"/>
          <w:tab w:val="left" w:pos="284"/>
        </w:tabs>
        <w:rPr>
          <w:rFonts w:ascii="Times New Roman" w:hAnsi="Times New Roman"/>
          <w:color w:val="FF0000"/>
          <w:sz w:val="22"/>
          <w:szCs w:val="22"/>
          <w:lang w:val="sr-Latn-ME"/>
        </w:rPr>
      </w:pPr>
    </w:p>
    <w:p w14:paraId="56C95E9B" w14:textId="638492C7" w:rsidR="000450A4" w:rsidRPr="000E77D2" w:rsidRDefault="000450A4" w:rsidP="00BE6A13">
      <w:pPr>
        <w:pStyle w:val="Header"/>
        <w:tabs>
          <w:tab w:val="clear" w:pos="4536"/>
          <w:tab w:val="clear" w:pos="9072"/>
          <w:tab w:val="left" w:pos="284"/>
        </w:tabs>
        <w:rPr>
          <w:rFonts w:ascii="Times New Roman" w:hAnsi="Times New Roman"/>
          <w:b/>
          <w:bCs/>
          <w:sz w:val="22"/>
          <w:szCs w:val="22"/>
          <w:lang w:val="sr-Latn-ME"/>
        </w:rPr>
      </w:pPr>
      <w:r w:rsidRPr="000E77D2">
        <w:rPr>
          <w:rFonts w:ascii="Times New Roman" w:hAnsi="Times New Roman"/>
          <w:b/>
          <w:bCs/>
          <w:sz w:val="22"/>
          <w:szCs w:val="22"/>
          <w:lang w:val="sr-Latn-ME"/>
        </w:rPr>
        <w:t>4.5. Interakcije sa drugim l</w:t>
      </w:r>
      <w:r w:rsidR="0084733E" w:rsidRPr="000E77D2">
        <w:rPr>
          <w:rFonts w:ascii="Times New Roman" w:hAnsi="Times New Roman"/>
          <w:b/>
          <w:bCs/>
          <w:sz w:val="22"/>
          <w:szCs w:val="22"/>
          <w:lang w:val="sr-Latn-ME"/>
        </w:rPr>
        <w:t>j</w:t>
      </w:r>
      <w:r w:rsidRPr="000E77D2">
        <w:rPr>
          <w:rFonts w:ascii="Times New Roman" w:hAnsi="Times New Roman"/>
          <w:b/>
          <w:bCs/>
          <w:sz w:val="22"/>
          <w:szCs w:val="22"/>
          <w:lang w:val="sr-Latn-ME"/>
        </w:rPr>
        <w:t>ekovima i druge vrste interakcija</w:t>
      </w:r>
    </w:p>
    <w:p w14:paraId="063F4C82" w14:textId="77777777" w:rsidR="000450A4" w:rsidRPr="000E77D2" w:rsidRDefault="000450A4" w:rsidP="00BE6A13">
      <w:pPr>
        <w:rPr>
          <w:rFonts w:ascii="Times New Roman" w:hAnsi="Times New Roman"/>
          <w:color w:val="FF0000"/>
          <w:sz w:val="22"/>
          <w:szCs w:val="22"/>
          <w:lang w:val="sr-Latn-ME"/>
        </w:rPr>
      </w:pPr>
    </w:p>
    <w:p w14:paraId="4566D5CB" w14:textId="70704431"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 xml:space="preserve">Rezultati ispitivanja u </w:t>
      </w:r>
      <w:r w:rsidRPr="000E77D2">
        <w:rPr>
          <w:rFonts w:ascii="Times New Roman" w:hAnsi="Times New Roman"/>
          <w:i/>
          <w:sz w:val="22"/>
          <w:szCs w:val="22"/>
          <w:lang w:val="sr-Latn-ME"/>
        </w:rPr>
        <w:t>in vitro</w:t>
      </w:r>
      <w:r w:rsidRPr="000E77D2">
        <w:rPr>
          <w:rFonts w:ascii="Times New Roman" w:hAnsi="Times New Roman"/>
          <w:sz w:val="22"/>
          <w:szCs w:val="22"/>
          <w:lang w:val="sr-Latn-ME"/>
        </w:rPr>
        <w:t xml:space="preserve"> uslovima su pokazali da se l</w:t>
      </w:r>
      <w:r w:rsidR="00421EA8" w:rsidRPr="000E77D2">
        <w:rPr>
          <w:rFonts w:ascii="Times New Roman" w:hAnsi="Times New Roman"/>
          <w:sz w:val="22"/>
          <w:szCs w:val="22"/>
          <w:lang w:val="sr-Latn-ME"/>
        </w:rPr>
        <w:t>ij</w:t>
      </w:r>
      <w:r w:rsidRPr="000E77D2">
        <w:rPr>
          <w:rFonts w:ascii="Times New Roman" w:hAnsi="Times New Roman"/>
          <w:sz w:val="22"/>
          <w:szCs w:val="22"/>
          <w:lang w:val="sr-Latn-ME"/>
        </w:rPr>
        <w:t xml:space="preserve">ek metaboliše aktivnošću citohroma P450 </w:t>
      </w:r>
      <w:r w:rsidR="006078F3" w:rsidRPr="000E77D2">
        <w:rPr>
          <w:rFonts w:ascii="Times New Roman" w:hAnsi="Times New Roman"/>
          <w:sz w:val="22"/>
          <w:szCs w:val="22"/>
          <w:lang w:val="sr-Latn-ME"/>
        </w:rPr>
        <w:br/>
      </w:r>
      <w:r w:rsidRPr="000E77D2">
        <w:rPr>
          <w:rFonts w:ascii="Times New Roman" w:hAnsi="Times New Roman"/>
          <w:sz w:val="22"/>
          <w:szCs w:val="22"/>
          <w:lang w:val="sr-Latn-ME"/>
        </w:rPr>
        <w:t>CYP 3A4 i aldoketoreduktaza (vid</w:t>
      </w:r>
      <w:r w:rsidR="00421EA8" w:rsidRPr="000E77D2">
        <w:rPr>
          <w:rFonts w:ascii="Times New Roman" w:hAnsi="Times New Roman"/>
          <w:sz w:val="22"/>
          <w:szCs w:val="22"/>
          <w:lang w:val="sr-Latn-ME"/>
        </w:rPr>
        <w:t>j</w:t>
      </w:r>
      <w:r w:rsidRPr="000E77D2">
        <w:rPr>
          <w:rFonts w:ascii="Times New Roman" w:hAnsi="Times New Roman"/>
          <w:sz w:val="22"/>
          <w:szCs w:val="22"/>
          <w:lang w:val="sr-Latn-ME"/>
        </w:rPr>
        <w:t xml:space="preserve">eti </w:t>
      </w:r>
      <w:r w:rsidR="00BE6A13" w:rsidRPr="000E77D2">
        <w:rPr>
          <w:rFonts w:ascii="Times New Roman" w:hAnsi="Times New Roman"/>
          <w:sz w:val="22"/>
          <w:szCs w:val="22"/>
          <w:lang w:val="sr-Latn-ME"/>
        </w:rPr>
        <w:t>dio</w:t>
      </w:r>
      <w:r w:rsidRPr="000E77D2">
        <w:rPr>
          <w:rFonts w:ascii="Times New Roman" w:hAnsi="Times New Roman"/>
          <w:sz w:val="22"/>
          <w:szCs w:val="22"/>
          <w:lang w:val="sr-Latn-ME"/>
        </w:rPr>
        <w:t xml:space="preserve"> 5.2) i da ne inhibira nijedan od glavnih CYP izoenzima. U kliničkom farmakokinetičkom ispitivanju, specifična inhibicija CYP 3A4 ketokonazolom nije imala značajne efekte na farmakokinetiku eksemestana.</w:t>
      </w:r>
    </w:p>
    <w:p w14:paraId="152499ED" w14:textId="77777777" w:rsidR="000450A4" w:rsidRPr="000E77D2" w:rsidRDefault="000450A4" w:rsidP="00BE6A13">
      <w:pPr>
        <w:rPr>
          <w:rFonts w:ascii="Times New Roman" w:hAnsi="Times New Roman"/>
          <w:sz w:val="22"/>
          <w:szCs w:val="22"/>
          <w:lang w:val="sr-Latn-ME"/>
        </w:rPr>
      </w:pPr>
    </w:p>
    <w:p w14:paraId="3831D005" w14:textId="04E04E88" w:rsidR="000450A4" w:rsidRPr="000E77D2" w:rsidRDefault="000450A4" w:rsidP="00BE6A13">
      <w:pPr>
        <w:pStyle w:val="Header"/>
        <w:tabs>
          <w:tab w:val="clear" w:pos="4536"/>
          <w:tab w:val="clear" w:pos="9072"/>
          <w:tab w:val="left" w:pos="284"/>
        </w:tabs>
        <w:rPr>
          <w:rFonts w:ascii="Times New Roman" w:hAnsi="Times New Roman"/>
          <w:sz w:val="22"/>
          <w:szCs w:val="22"/>
          <w:lang w:val="sr-Latn-ME"/>
        </w:rPr>
      </w:pPr>
      <w:r w:rsidRPr="000E77D2">
        <w:rPr>
          <w:rFonts w:ascii="Times New Roman" w:hAnsi="Times New Roman"/>
          <w:sz w:val="22"/>
          <w:szCs w:val="22"/>
          <w:lang w:val="sr-Latn-ME"/>
        </w:rPr>
        <w:t>U ispitivanju interakcije rifampicina, snažnog induktora CYP450 prim</w:t>
      </w:r>
      <w:r w:rsidR="00CC1D6F" w:rsidRPr="000E77D2">
        <w:rPr>
          <w:rFonts w:ascii="Times New Roman" w:hAnsi="Times New Roman"/>
          <w:sz w:val="22"/>
          <w:szCs w:val="22"/>
          <w:lang w:val="sr-Latn-ME"/>
        </w:rPr>
        <w:t>ij</w:t>
      </w:r>
      <w:r w:rsidRPr="000E77D2">
        <w:rPr>
          <w:rFonts w:ascii="Times New Roman" w:hAnsi="Times New Roman"/>
          <w:sz w:val="22"/>
          <w:szCs w:val="22"/>
          <w:lang w:val="sr-Latn-ME"/>
        </w:rPr>
        <w:t>enjenog u dozi od 600 mg dnevno, i eksemestana prim</w:t>
      </w:r>
      <w:r w:rsidR="00421EA8" w:rsidRPr="000E77D2">
        <w:rPr>
          <w:rFonts w:ascii="Times New Roman" w:hAnsi="Times New Roman"/>
          <w:sz w:val="22"/>
          <w:szCs w:val="22"/>
          <w:lang w:val="sr-Latn-ME"/>
        </w:rPr>
        <w:t>ij</w:t>
      </w:r>
      <w:r w:rsidRPr="000E77D2">
        <w:rPr>
          <w:rFonts w:ascii="Times New Roman" w:hAnsi="Times New Roman"/>
          <w:sz w:val="22"/>
          <w:szCs w:val="22"/>
          <w:lang w:val="sr-Latn-ME"/>
        </w:rPr>
        <w:t>enjenog u jednokratnoj dozi od 25 mg, PIK eksemestana je bio redukovan za 54%, a C</w:t>
      </w:r>
      <w:r w:rsidRPr="000E77D2">
        <w:rPr>
          <w:rFonts w:ascii="Times New Roman" w:hAnsi="Times New Roman"/>
          <w:sz w:val="22"/>
          <w:szCs w:val="22"/>
          <w:vertAlign w:val="subscript"/>
          <w:lang w:val="sr-Latn-ME"/>
        </w:rPr>
        <w:t>max</w:t>
      </w:r>
      <w:r w:rsidRPr="000E77D2">
        <w:rPr>
          <w:rFonts w:ascii="Times New Roman" w:hAnsi="Times New Roman"/>
          <w:sz w:val="22"/>
          <w:szCs w:val="22"/>
          <w:lang w:val="sr-Latn-ME"/>
        </w:rPr>
        <w:t xml:space="preserve"> za 41%. Iako klinički značaj ove interakcije nije ispitivan, istovremena prim</w:t>
      </w:r>
      <w:r w:rsidR="00421EA8" w:rsidRPr="000E77D2">
        <w:rPr>
          <w:rFonts w:ascii="Times New Roman" w:hAnsi="Times New Roman"/>
          <w:sz w:val="22"/>
          <w:szCs w:val="22"/>
          <w:lang w:val="sr-Latn-ME"/>
        </w:rPr>
        <w:t>j</w:t>
      </w:r>
      <w:r w:rsidRPr="000E77D2">
        <w:rPr>
          <w:rFonts w:ascii="Times New Roman" w:hAnsi="Times New Roman"/>
          <w:sz w:val="22"/>
          <w:szCs w:val="22"/>
          <w:lang w:val="sr-Latn-ME"/>
        </w:rPr>
        <w:t>ena l</w:t>
      </w:r>
      <w:r w:rsidR="00421EA8" w:rsidRPr="000E77D2">
        <w:rPr>
          <w:rFonts w:ascii="Times New Roman" w:hAnsi="Times New Roman"/>
          <w:sz w:val="22"/>
          <w:szCs w:val="22"/>
          <w:lang w:val="sr-Latn-ME"/>
        </w:rPr>
        <w:t>j</w:t>
      </w:r>
      <w:r w:rsidRPr="000E77D2">
        <w:rPr>
          <w:rFonts w:ascii="Times New Roman" w:hAnsi="Times New Roman"/>
          <w:sz w:val="22"/>
          <w:szCs w:val="22"/>
          <w:lang w:val="sr-Latn-ME"/>
        </w:rPr>
        <w:t>ekova, kao što su rifampicin, antikonvulzivi (npr. fenitoin i karbamazepin) i biljni preparati koji sadrže kantarion (</w:t>
      </w:r>
      <w:r w:rsidRPr="000E77D2">
        <w:rPr>
          <w:rFonts w:ascii="Times New Roman" w:hAnsi="Times New Roman"/>
          <w:i/>
          <w:sz w:val="22"/>
          <w:szCs w:val="22"/>
          <w:lang w:val="sr-Latn-ME"/>
        </w:rPr>
        <w:t>Hypericum perforatum</w:t>
      </w:r>
      <w:r w:rsidRPr="000E77D2">
        <w:rPr>
          <w:rFonts w:ascii="Times New Roman" w:hAnsi="Times New Roman"/>
          <w:sz w:val="22"/>
          <w:szCs w:val="22"/>
          <w:lang w:val="sr-Latn-ME"/>
        </w:rPr>
        <w:t>), a koji su svi poznati induktori CYP3A4, može redukovati efikasnost l</w:t>
      </w:r>
      <w:r w:rsidR="00421EA8" w:rsidRPr="000E77D2">
        <w:rPr>
          <w:rFonts w:ascii="Times New Roman" w:hAnsi="Times New Roman"/>
          <w:sz w:val="22"/>
          <w:szCs w:val="22"/>
          <w:lang w:val="sr-Latn-ME"/>
        </w:rPr>
        <w:t>ij</w:t>
      </w:r>
      <w:r w:rsidRPr="000E77D2">
        <w:rPr>
          <w:rFonts w:ascii="Times New Roman" w:hAnsi="Times New Roman"/>
          <w:sz w:val="22"/>
          <w:szCs w:val="22"/>
          <w:lang w:val="sr-Latn-ME"/>
        </w:rPr>
        <w:t>eka Aromasin.</w:t>
      </w:r>
    </w:p>
    <w:p w14:paraId="6A062F1F" w14:textId="77777777" w:rsidR="000450A4" w:rsidRPr="000E77D2" w:rsidRDefault="000450A4" w:rsidP="00BE6A13">
      <w:pPr>
        <w:pStyle w:val="Header"/>
        <w:tabs>
          <w:tab w:val="clear" w:pos="4536"/>
          <w:tab w:val="clear" w:pos="9072"/>
          <w:tab w:val="left" w:pos="284"/>
        </w:tabs>
        <w:rPr>
          <w:rFonts w:ascii="Times New Roman" w:hAnsi="Times New Roman"/>
          <w:sz w:val="22"/>
          <w:szCs w:val="22"/>
          <w:lang w:val="sr-Latn-ME"/>
        </w:rPr>
      </w:pPr>
    </w:p>
    <w:p w14:paraId="0A4ABA44" w14:textId="5CD45825" w:rsidR="000450A4" w:rsidRPr="000E77D2" w:rsidRDefault="00626C65" w:rsidP="00BE6A13">
      <w:pPr>
        <w:rPr>
          <w:rFonts w:ascii="Times New Roman" w:hAnsi="Times New Roman"/>
          <w:sz w:val="22"/>
          <w:szCs w:val="22"/>
          <w:lang w:val="sr-Latn-ME"/>
        </w:rPr>
      </w:pPr>
      <w:r w:rsidRPr="000E77D2">
        <w:rPr>
          <w:rFonts w:ascii="Times New Roman" w:hAnsi="Times New Roman"/>
          <w:sz w:val="22"/>
          <w:szCs w:val="22"/>
          <w:lang w:val="sr-Latn-ME"/>
        </w:rPr>
        <w:lastRenderedPageBreak/>
        <w:t xml:space="preserve">Lijek </w:t>
      </w:r>
      <w:r w:rsidR="000450A4" w:rsidRPr="000E77D2">
        <w:rPr>
          <w:rFonts w:ascii="Times New Roman" w:hAnsi="Times New Roman"/>
          <w:sz w:val="22"/>
          <w:szCs w:val="22"/>
          <w:lang w:val="sr-Latn-ME"/>
        </w:rPr>
        <w:t>Aromasin bi trebalo sa oprezom kombinovati sa l</w:t>
      </w:r>
      <w:r w:rsidR="00421EA8" w:rsidRPr="000E77D2">
        <w:rPr>
          <w:rFonts w:ascii="Times New Roman" w:hAnsi="Times New Roman"/>
          <w:sz w:val="22"/>
          <w:szCs w:val="22"/>
          <w:lang w:val="sr-Latn-ME"/>
        </w:rPr>
        <w:t>j</w:t>
      </w:r>
      <w:r w:rsidR="000450A4" w:rsidRPr="000E77D2">
        <w:rPr>
          <w:rFonts w:ascii="Times New Roman" w:hAnsi="Times New Roman"/>
          <w:sz w:val="22"/>
          <w:szCs w:val="22"/>
          <w:lang w:val="sr-Latn-ME"/>
        </w:rPr>
        <w:t>ekovima koji se metabolišu preko CYP3A4 i koji imaju malu terapijsku širinu. Ne postoje klinička iskustva u vezi sa istovremenom prim</w:t>
      </w:r>
      <w:r w:rsidR="00421EA8" w:rsidRPr="000E77D2">
        <w:rPr>
          <w:rFonts w:ascii="Times New Roman" w:hAnsi="Times New Roman"/>
          <w:sz w:val="22"/>
          <w:szCs w:val="22"/>
          <w:lang w:val="sr-Latn-ME"/>
        </w:rPr>
        <w:t>j</w:t>
      </w:r>
      <w:r w:rsidR="000450A4" w:rsidRPr="000E77D2">
        <w:rPr>
          <w:rFonts w:ascii="Times New Roman" w:hAnsi="Times New Roman"/>
          <w:sz w:val="22"/>
          <w:szCs w:val="22"/>
          <w:lang w:val="sr-Latn-ME"/>
        </w:rPr>
        <w:t>enom l</w:t>
      </w:r>
      <w:r w:rsidR="00421EA8" w:rsidRPr="000E77D2">
        <w:rPr>
          <w:rFonts w:ascii="Times New Roman" w:hAnsi="Times New Roman"/>
          <w:sz w:val="22"/>
          <w:szCs w:val="22"/>
          <w:lang w:val="sr-Latn-ME"/>
        </w:rPr>
        <w:t>ij</w:t>
      </w:r>
      <w:r w:rsidR="000450A4" w:rsidRPr="000E77D2">
        <w:rPr>
          <w:rFonts w:ascii="Times New Roman" w:hAnsi="Times New Roman"/>
          <w:sz w:val="22"/>
          <w:szCs w:val="22"/>
          <w:lang w:val="sr-Latn-ME"/>
        </w:rPr>
        <w:t>eka Aromasin i drugih antitumorskih l</w:t>
      </w:r>
      <w:r w:rsidR="00421EA8" w:rsidRPr="000E77D2">
        <w:rPr>
          <w:rFonts w:ascii="Times New Roman" w:hAnsi="Times New Roman"/>
          <w:sz w:val="22"/>
          <w:szCs w:val="22"/>
          <w:lang w:val="sr-Latn-ME"/>
        </w:rPr>
        <w:t>j</w:t>
      </w:r>
      <w:r w:rsidR="000450A4" w:rsidRPr="000E77D2">
        <w:rPr>
          <w:rFonts w:ascii="Times New Roman" w:hAnsi="Times New Roman"/>
          <w:sz w:val="22"/>
          <w:szCs w:val="22"/>
          <w:lang w:val="sr-Latn-ME"/>
        </w:rPr>
        <w:t>ekova.</w:t>
      </w:r>
    </w:p>
    <w:p w14:paraId="6FD87BCC" w14:textId="77777777" w:rsidR="000450A4" w:rsidRPr="000E77D2" w:rsidRDefault="000450A4" w:rsidP="00BE6A13">
      <w:pPr>
        <w:pStyle w:val="Header"/>
        <w:tabs>
          <w:tab w:val="clear" w:pos="4536"/>
          <w:tab w:val="clear" w:pos="9072"/>
          <w:tab w:val="left" w:pos="284"/>
        </w:tabs>
        <w:rPr>
          <w:rFonts w:ascii="Times New Roman" w:hAnsi="Times New Roman"/>
          <w:color w:val="FF0000"/>
          <w:sz w:val="22"/>
          <w:szCs w:val="22"/>
          <w:lang w:val="sr-Latn-ME"/>
        </w:rPr>
      </w:pPr>
    </w:p>
    <w:p w14:paraId="5F122AAF" w14:textId="06103FCC" w:rsidR="000450A4" w:rsidRPr="000E77D2" w:rsidRDefault="00626C65" w:rsidP="00BE6A13">
      <w:pPr>
        <w:pStyle w:val="Header"/>
        <w:tabs>
          <w:tab w:val="clear" w:pos="4536"/>
          <w:tab w:val="clear" w:pos="9072"/>
          <w:tab w:val="left" w:pos="284"/>
        </w:tabs>
        <w:rPr>
          <w:rFonts w:ascii="Times New Roman" w:hAnsi="Times New Roman"/>
          <w:sz w:val="22"/>
          <w:szCs w:val="22"/>
          <w:lang w:val="sr-Latn-ME"/>
        </w:rPr>
      </w:pPr>
      <w:r w:rsidRPr="000E77D2">
        <w:rPr>
          <w:rFonts w:ascii="Times New Roman" w:hAnsi="Times New Roman"/>
          <w:sz w:val="22"/>
          <w:szCs w:val="22"/>
          <w:lang w:val="sr-Latn-ME"/>
        </w:rPr>
        <w:t xml:space="preserve">Lijek </w:t>
      </w:r>
      <w:r w:rsidR="000450A4" w:rsidRPr="000E77D2">
        <w:rPr>
          <w:rFonts w:ascii="Times New Roman" w:hAnsi="Times New Roman"/>
          <w:sz w:val="22"/>
          <w:szCs w:val="22"/>
          <w:lang w:val="sr-Latn-ME"/>
        </w:rPr>
        <w:t>Aromasin ne bi trebalo istovremeno prim</w:t>
      </w:r>
      <w:r w:rsidR="00421EA8" w:rsidRPr="000E77D2">
        <w:rPr>
          <w:rFonts w:ascii="Times New Roman" w:hAnsi="Times New Roman"/>
          <w:sz w:val="22"/>
          <w:szCs w:val="22"/>
          <w:lang w:val="sr-Latn-ME"/>
        </w:rPr>
        <w:t>j</w:t>
      </w:r>
      <w:r w:rsidR="000450A4" w:rsidRPr="000E77D2">
        <w:rPr>
          <w:rFonts w:ascii="Times New Roman" w:hAnsi="Times New Roman"/>
          <w:sz w:val="22"/>
          <w:szCs w:val="22"/>
          <w:lang w:val="sr-Latn-ME"/>
        </w:rPr>
        <w:t>enjivati sa l</w:t>
      </w:r>
      <w:r w:rsidR="00421EA8" w:rsidRPr="000E77D2">
        <w:rPr>
          <w:rFonts w:ascii="Times New Roman" w:hAnsi="Times New Roman"/>
          <w:sz w:val="22"/>
          <w:szCs w:val="22"/>
          <w:lang w:val="sr-Latn-ME"/>
        </w:rPr>
        <w:t xml:space="preserve">jekovima koji sadrže estrogen, </w:t>
      </w:r>
      <w:r w:rsidR="000450A4" w:rsidRPr="000E77D2">
        <w:rPr>
          <w:rFonts w:ascii="Times New Roman" w:hAnsi="Times New Roman"/>
          <w:sz w:val="22"/>
          <w:szCs w:val="22"/>
          <w:lang w:val="sr-Latn-ME"/>
        </w:rPr>
        <w:t>obzirom na to da takvi l</w:t>
      </w:r>
      <w:r w:rsidR="00421EA8" w:rsidRPr="000E77D2">
        <w:rPr>
          <w:rFonts w:ascii="Times New Roman" w:hAnsi="Times New Roman"/>
          <w:sz w:val="22"/>
          <w:szCs w:val="22"/>
          <w:lang w:val="sr-Latn-ME"/>
        </w:rPr>
        <w:t>j</w:t>
      </w:r>
      <w:r w:rsidR="000450A4" w:rsidRPr="000E77D2">
        <w:rPr>
          <w:rFonts w:ascii="Times New Roman" w:hAnsi="Times New Roman"/>
          <w:sz w:val="22"/>
          <w:szCs w:val="22"/>
          <w:lang w:val="sr-Latn-ME"/>
        </w:rPr>
        <w:t>ekovi smanjuju njegovo farmakološko dejstvo.</w:t>
      </w:r>
    </w:p>
    <w:p w14:paraId="56FC52DD" w14:textId="77777777" w:rsidR="000450A4" w:rsidRPr="000E77D2" w:rsidRDefault="000450A4" w:rsidP="00BE6A13">
      <w:pPr>
        <w:pStyle w:val="Header"/>
        <w:tabs>
          <w:tab w:val="clear" w:pos="4536"/>
          <w:tab w:val="clear" w:pos="9072"/>
          <w:tab w:val="left" w:pos="284"/>
        </w:tabs>
        <w:rPr>
          <w:rFonts w:ascii="Times New Roman" w:hAnsi="Times New Roman"/>
          <w:sz w:val="22"/>
          <w:szCs w:val="22"/>
          <w:lang w:val="sr-Latn-ME"/>
        </w:rPr>
      </w:pPr>
    </w:p>
    <w:p w14:paraId="2903D994" w14:textId="3CD69484" w:rsidR="000450A4" w:rsidRPr="000E77D2" w:rsidRDefault="000450A4" w:rsidP="00BE6A13">
      <w:pPr>
        <w:pStyle w:val="Header"/>
        <w:keepNext/>
        <w:tabs>
          <w:tab w:val="clear" w:pos="4536"/>
          <w:tab w:val="clear" w:pos="9072"/>
          <w:tab w:val="left" w:pos="284"/>
        </w:tabs>
        <w:rPr>
          <w:rFonts w:ascii="Times New Roman" w:hAnsi="Times New Roman"/>
          <w:b/>
          <w:bCs/>
          <w:sz w:val="22"/>
          <w:szCs w:val="22"/>
          <w:lang w:val="sr-Latn-ME"/>
        </w:rPr>
      </w:pPr>
      <w:r w:rsidRPr="000E77D2">
        <w:rPr>
          <w:rFonts w:ascii="Times New Roman" w:hAnsi="Times New Roman"/>
          <w:b/>
          <w:bCs/>
          <w:sz w:val="22"/>
          <w:szCs w:val="22"/>
          <w:lang w:val="sr-Latn-ME"/>
        </w:rPr>
        <w:t>4.6. P</w:t>
      </w:r>
      <w:r w:rsidR="00C4199E" w:rsidRPr="000E77D2">
        <w:rPr>
          <w:rFonts w:ascii="Times New Roman" w:hAnsi="Times New Roman"/>
          <w:b/>
          <w:bCs/>
          <w:sz w:val="22"/>
          <w:szCs w:val="22"/>
          <w:lang w:val="sr-Latn-ME"/>
        </w:rPr>
        <w:t>lodnost,</w:t>
      </w:r>
      <w:r w:rsidR="0084733E" w:rsidRPr="000E77D2">
        <w:rPr>
          <w:rFonts w:ascii="Times New Roman" w:hAnsi="Times New Roman"/>
          <w:b/>
          <w:bCs/>
          <w:sz w:val="22"/>
          <w:szCs w:val="22"/>
          <w:lang w:val="sr-Latn-ME"/>
        </w:rPr>
        <w:t xml:space="preserve"> </w:t>
      </w:r>
      <w:r w:rsidRPr="000E77D2">
        <w:rPr>
          <w:rFonts w:ascii="Times New Roman" w:hAnsi="Times New Roman"/>
          <w:b/>
          <w:bCs/>
          <w:sz w:val="22"/>
          <w:szCs w:val="22"/>
          <w:lang w:val="sr-Latn-ME"/>
        </w:rPr>
        <w:t>trudnoć</w:t>
      </w:r>
      <w:r w:rsidR="00C4199E" w:rsidRPr="000E77D2">
        <w:rPr>
          <w:rFonts w:ascii="Times New Roman" w:hAnsi="Times New Roman"/>
          <w:b/>
          <w:bCs/>
          <w:sz w:val="22"/>
          <w:szCs w:val="22"/>
          <w:lang w:val="sr-Latn-ME"/>
        </w:rPr>
        <w:t>a</w:t>
      </w:r>
      <w:r w:rsidRPr="000E77D2">
        <w:rPr>
          <w:rFonts w:ascii="Times New Roman" w:hAnsi="Times New Roman"/>
          <w:b/>
          <w:bCs/>
          <w:sz w:val="22"/>
          <w:szCs w:val="22"/>
          <w:lang w:val="sr-Latn-ME"/>
        </w:rPr>
        <w:t xml:space="preserve"> i dojenj</w:t>
      </w:r>
      <w:r w:rsidR="00C4199E" w:rsidRPr="000E77D2">
        <w:rPr>
          <w:rFonts w:ascii="Times New Roman" w:hAnsi="Times New Roman"/>
          <w:b/>
          <w:bCs/>
          <w:sz w:val="22"/>
          <w:szCs w:val="22"/>
          <w:lang w:val="sr-Latn-ME"/>
        </w:rPr>
        <w:t>e</w:t>
      </w:r>
    </w:p>
    <w:p w14:paraId="13BECED2" w14:textId="77777777" w:rsidR="000450A4" w:rsidRPr="000E77D2" w:rsidRDefault="000450A4" w:rsidP="00BE6A13">
      <w:pPr>
        <w:pStyle w:val="Header"/>
        <w:keepNext/>
        <w:tabs>
          <w:tab w:val="clear" w:pos="4536"/>
          <w:tab w:val="clear" w:pos="9072"/>
          <w:tab w:val="left" w:pos="284"/>
        </w:tabs>
        <w:rPr>
          <w:rFonts w:ascii="Times New Roman" w:hAnsi="Times New Roman"/>
          <w:sz w:val="22"/>
          <w:szCs w:val="22"/>
          <w:u w:val="single"/>
          <w:lang w:val="sr-Latn-ME"/>
        </w:rPr>
      </w:pPr>
    </w:p>
    <w:p w14:paraId="1A110FC7" w14:textId="77777777" w:rsidR="000450A4" w:rsidRPr="000E77D2" w:rsidRDefault="000450A4" w:rsidP="00BE6A13">
      <w:pPr>
        <w:pStyle w:val="Header"/>
        <w:tabs>
          <w:tab w:val="clear" w:pos="4536"/>
          <w:tab w:val="clear" w:pos="9072"/>
          <w:tab w:val="left" w:pos="284"/>
        </w:tabs>
        <w:rPr>
          <w:rFonts w:ascii="Times New Roman" w:hAnsi="Times New Roman"/>
          <w:sz w:val="22"/>
          <w:szCs w:val="22"/>
          <w:u w:val="single"/>
          <w:lang w:val="sr-Latn-ME"/>
        </w:rPr>
      </w:pPr>
      <w:r w:rsidRPr="000E77D2">
        <w:rPr>
          <w:rFonts w:ascii="Times New Roman" w:hAnsi="Times New Roman"/>
          <w:sz w:val="22"/>
          <w:szCs w:val="22"/>
          <w:u w:val="single"/>
          <w:lang w:val="sr-Latn-ME"/>
        </w:rPr>
        <w:t>Trudnoća</w:t>
      </w:r>
    </w:p>
    <w:p w14:paraId="1B9715B2" w14:textId="77777777" w:rsidR="000450A4" w:rsidRPr="000E77D2" w:rsidRDefault="000450A4" w:rsidP="00BE6A13">
      <w:pPr>
        <w:pStyle w:val="Header"/>
        <w:tabs>
          <w:tab w:val="clear" w:pos="4536"/>
          <w:tab w:val="clear" w:pos="9072"/>
          <w:tab w:val="left" w:pos="284"/>
        </w:tabs>
        <w:rPr>
          <w:rFonts w:ascii="Times New Roman" w:hAnsi="Times New Roman"/>
          <w:sz w:val="22"/>
          <w:szCs w:val="22"/>
          <w:lang w:val="sr-Latn-ME"/>
        </w:rPr>
      </w:pPr>
    </w:p>
    <w:p w14:paraId="0E27FD52" w14:textId="511280F0" w:rsidR="000450A4" w:rsidRPr="000E77D2" w:rsidRDefault="000450A4" w:rsidP="00BE6A13">
      <w:pPr>
        <w:pStyle w:val="Header"/>
        <w:tabs>
          <w:tab w:val="clear" w:pos="4536"/>
          <w:tab w:val="clear" w:pos="9072"/>
          <w:tab w:val="left" w:pos="284"/>
        </w:tabs>
        <w:rPr>
          <w:rFonts w:ascii="Times New Roman" w:hAnsi="Times New Roman"/>
          <w:sz w:val="22"/>
          <w:szCs w:val="22"/>
          <w:lang w:val="sr-Latn-ME"/>
        </w:rPr>
      </w:pPr>
      <w:r w:rsidRPr="000E77D2">
        <w:rPr>
          <w:rFonts w:ascii="Times New Roman" w:hAnsi="Times New Roman"/>
          <w:sz w:val="22"/>
          <w:szCs w:val="22"/>
          <w:lang w:val="sr-Latn-ME"/>
        </w:rPr>
        <w:t>Nema kliničkih podataka o izloženosti l</w:t>
      </w:r>
      <w:r w:rsidR="00421EA8" w:rsidRPr="000E77D2">
        <w:rPr>
          <w:rFonts w:ascii="Times New Roman" w:hAnsi="Times New Roman"/>
          <w:sz w:val="22"/>
          <w:szCs w:val="22"/>
          <w:lang w:val="sr-Latn-ME"/>
        </w:rPr>
        <w:t>ij</w:t>
      </w:r>
      <w:r w:rsidRPr="000E77D2">
        <w:rPr>
          <w:rFonts w:ascii="Times New Roman" w:hAnsi="Times New Roman"/>
          <w:sz w:val="22"/>
          <w:szCs w:val="22"/>
          <w:lang w:val="sr-Latn-ME"/>
        </w:rPr>
        <w:t xml:space="preserve">eku Aromasin u trudnoći. U ispitivanjima </w:t>
      </w:r>
      <w:r w:rsidR="00EC1356" w:rsidRPr="000E77D2">
        <w:rPr>
          <w:rFonts w:ascii="Times New Roman" w:hAnsi="Times New Roman"/>
          <w:sz w:val="22"/>
          <w:szCs w:val="22"/>
          <w:lang w:val="sr-Latn-ME"/>
        </w:rPr>
        <w:t>kod</w:t>
      </w:r>
      <w:r w:rsidRPr="000E77D2">
        <w:rPr>
          <w:rFonts w:ascii="Times New Roman" w:hAnsi="Times New Roman"/>
          <w:sz w:val="22"/>
          <w:szCs w:val="22"/>
          <w:lang w:val="sr-Latn-ME"/>
        </w:rPr>
        <w:t xml:space="preserve"> životinja je zab</w:t>
      </w:r>
      <w:r w:rsidR="00421EA8" w:rsidRPr="000E77D2">
        <w:rPr>
          <w:rFonts w:ascii="Times New Roman" w:hAnsi="Times New Roman"/>
          <w:sz w:val="22"/>
          <w:szCs w:val="22"/>
          <w:lang w:val="sr-Latn-ME"/>
        </w:rPr>
        <w:t>i</w:t>
      </w:r>
      <w:r w:rsidRPr="000E77D2">
        <w:rPr>
          <w:rFonts w:ascii="Times New Roman" w:hAnsi="Times New Roman"/>
          <w:sz w:val="22"/>
          <w:szCs w:val="22"/>
          <w:lang w:val="sr-Latn-ME"/>
        </w:rPr>
        <w:t>l</w:t>
      </w:r>
      <w:r w:rsidR="00421EA8" w:rsidRPr="000E77D2">
        <w:rPr>
          <w:rFonts w:ascii="Times New Roman" w:hAnsi="Times New Roman"/>
          <w:sz w:val="22"/>
          <w:szCs w:val="22"/>
          <w:lang w:val="sr-Latn-ME"/>
        </w:rPr>
        <w:t>j</w:t>
      </w:r>
      <w:r w:rsidRPr="000E77D2">
        <w:rPr>
          <w:rFonts w:ascii="Times New Roman" w:hAnsi="Times New Roman"/>
          <w:sz w:val="22"/>
          <w:szCs w:val="22"/>
          <w:lang w:val="sr-Latn-ME"/>
        </w:rPr>
        <w:t>ežena reproduktivna toksičnost (vid</w:t>
      </w:r>
      <w:r w:rsidR="00421EA8" w:rsidRPr="000E77D2">
        <w:rPr>
          <w:rFonts w:ascii="Times New Roman" w:hAnsi="Times New Roman"/>
          <w:sz w:val="22"/>
          <w:szCs w:val="22"/>
          <w:lang w:val="sr-Latn-ME"/>
        </w:rPr>
        <w:t>j</w:t>
      </w:r>
      <w:r w:rsidRPr="000E77D2">
        <w:rPr>
          <w:rFonts w:ascii="Times New Roman" w:hAnsi="Times New Roman"/>
          <w:sz w:val="22"/>
          <w:szCs w:val="22"/>
          <w:lang w:val="sr-Latn-ME"/>
        </w:rPr>
        <w:t xml:space="preserve">eti </w:t>
      </w:r>
      <w:r w:rsidR="00BE6A13" w:rsidRPr="000E77D2">
        <w:rPr>
          <w:rFonts w:ascii="Times New Roman" w:hAnsi="Times New Roman"/>
          <w:sz w:val="22"/>
          <w:szCs w:val="22"/>
          <w:lang w:val="sr-Latn-ME"/>
        </w:rPr>
        <w:t>dio</w:t>
      </w:r>
      <w:r w:rsidRPr="000E77D2">
        <w:rPr>
          <w:rFonts w:ascii="Times New Roman" w:hAnsi="Times New Roman"/>
          <w:sz w:val="22"/>
          <w:szCs w:val="22"/>
          <w:lang w:val="sr-Latn-ME"/>
        </w:rPr>
        <w:t xml:space="preserve"> 5.3). Stoga je </w:t>
      </w:r>
      <w:r w:rsidR="00626C65" w:rsidRPr="000E77D2">
        <w:rPr>
          <w:rFonts w:ascii="Times New Roman" w:hAnsi="Times New Roman"/>
          <w:sz w:val="22"/>
          <w:szCs w:val="22"/>
          <w:lang w:val="sr-Latn-ME"/>
        </w:rPr>
        <w:t xml:space="preserve">primjena lijeka </w:t>
      </w:r>
      <w:r w:rsidRPr="000E77D2">
        <w:rPr>
          <w:rFonts w:ascii="Times New Roman" w:hAnsi="Times New Roman"/>
          <w:sz w:val="22"/>
          <w:szCs w:val="22"/>
          <w:lang w:val="sr-Latn-ME"/>
        </w:rPr>
        <w:t>Aromasin kontraindikovan</w:t>
      </w:r>
      <w:r w:rsidR="00626C65" w:rsidRPr="000E77D2">
        <w:rPr>
          <w:rFonts w:ascii="Times New Roman" w:hAnsi="Times New Roman"/>
          <w:sz w:val="22"/>
          <w:szCs w:val="22"/>
          <w:lang w:val="sr-Latn-ME"/>
        </w:rPr>
        <w:t>a</w:t>
      </w:r>
      <w:r w:rsidRPr="000E77D2">
        <w:rPr>
          <w:rFonts w:ascii="Times New Roman" w:hAnsi="Times New Roman"/>
          <w:sz w:val="22"/>
          <w:szCs w:val="22"/>
          <w:lang w:val="sr-Latn-ME"/>
        </w:rPr>
        <w:t xml:space="preserve"> kod žena u trudnoći. </w:t>
      </w:r>
    </w:p>
    <w:p w14:paraId="2F2DFA59" w14:textId="77777777" w:rsidR="000450A4" w:rsidRPr="000E77D2" w:rsidRDefault="000450A4" w:rsidP="00BE6A13">
      <w:pPr>
        <w:pStyle w:val="Header"/>
        <w:tabs>
          <w:tab w:val="clear" w:pos="4536"/>
          <w:tab w:val="clear" w:pos="9072"/>
          <w:tab w:val="left" w:pos="284"/>
        </w:tabs>
        <w:rPr>
          <w:rFonts w:ascii="Times New Roman" w:hAnsi="Times New Roman"/>
          <w:color w:val="FF0000"/>
          <w:sz w:val="22"/>
          <w:szCs w:val="22"/>
          <w:u w:val="single"/>
          <w:lang w:val="sr-Latn-ME"/>
        </w:rPr>
      </w:pPr>
    </w:p>
    <w:p w14:paraId="11E9EDB8" w14:textId="3E3D9CC8" w:rsidR="000450A4" w:rsidRPr="000E77D2" w:rsidRDefault="000450A4" w:rsidP="00BE6A13">
      <w:pPr>
        <w:pStyle w:val="Header"/>
        <w:tabs>
          <w:tab w:val="clear" w:pos="4536"/>
          <w:tab w:val="clear" w:pos="9072"/>
          <w:tab w:val="left" w:pos="284"/>
        </w:tabs>
        <w:rPr>
          <w:rFonts w:ascii="Times New Roman" w:hAnsi="Times New Roman"/>
          <w:sz w:val="22"/>
          <w:szCs w:val="22"/>
          <w:u w:val="single"/>
          <w:lang w:val="sr-Latn-ME"/>
        </w:rPr>
      </w:pPr>
      <w:r w:rsidRPr="000E77D2">
        <w:rPr>
          <w:rFonts w:ascii="Times New Roman" w:hAnsi="Times New Roman"/>
          <w:sz w:val="22"/>
          <w:szCs w:val="22"/>
          <w:u w:val="single"/>
          <w:lang w:val="sr-Latn-ME"/>
        </w:rPr>
        <w:t>Dojenje</w:t>
      </w:r>
    </w:p>
    <w:p w14:paraId="609BC3AB" w14:textId="2778C353" w:rsidR="00F24ECF" w:rsidRPr="000E77D2" w:rsidRDefault="00F24ECF" w:rsidP="00BE6A13">
      <w:pPr>
        <w:pStyle w:val="Header"/>
        <w:tabs>
          <w:tab w:val="clear" w:pos="4536"/>
          <w:tab w:val="clear" w:pos="9072"/>
          <w:tab w:val="left" w:pos="284"/>
        </w:tabs>
        <w:rPr>
          <w:rFonts w:ascii="Times New Roman" w:hAnsi="Times New Roman"/>
          <w:sz w:val="22"/>
          <w:szCs w:val="22"/>
          <w:lang w:val="sr-Latn-ME"/>
        </w:rPr>
      </w:pPr>
    </w:p>
    <w:p w14:paraId="0BE7D146" w14:textId="66EFE4BE" w:rsidR="000450A4" w:rsidRPr="000E77D2" w:rsidRDefault="000450A4" w:rsidP="00BE6A13">
      <w:pPr>
        <w:pStyle w:val="Header"/>
        <w:tabs>
          <w:tab w:val="clear" w:pos="4536"/>
          <w:tab w:val="clear" w:pos="9072"/>
          <w:tab w:val="left" w:pos="284"/>
        </w:tabs>
        <w:rPr>
          <w:rFonts w:ascii="Times New Roman" w:hAnsi="Times New Roman"/>
          <w:sz w:val="22"/>
          <w:szCs w:val="22"/>
          <w:lang w:val="sr-Latn-ME"/>
        </w:rPr>
      </w:pPr>
      <w:r w:rsidRPr="000E77D2">
        <w:rPr>
          <w:rFonts w:ascii="Times New Roman" w:hAnsi="Times New Roman"/>
          <w:sz w:val="22"/>
          <w:szCs w:val="22"/>
          <w:lang w:val="sr-Latn-ME"/>
        </w:rPr>
        <w:t>N</w:t>
      </w:r>
      <w:r w:rsidR="006609BB" w:rsidRPr="000E77D2">
        <w:rPr>
          <w:rFonts w:ascii="Times New Roman" w:hAnsi="Times New Roman"/>
          <w:sz w:val="22"/>
          <w:szCs w:val="22"/>
          <w:lang w:val="sr-Latn-ME"/>
        </w:rPr>
        <w:t>e</w:t>
      </w:r>
      <w:r w:rsidRPr="000E77D2">
        <w:rPr>
          <w:rFonts w:ascii="Times New Roman" w:hAnsi="Times New Roman"/>
          <w:sz w:val="22"/>
          <w:szCs w:val="22"/>
          <w:lang w:val="sr-Latn-ME"/>
        </w:rPr>
        <w:t xml:space="preserve">poznato </w:t>
      </w:r>
      <w:r w:rsidR="006609BB" w:rsidRPr="000E77D2">
        <w:rPr>
          <w:rFonts w:ascii="Times New Roman" w:hAnsi="Times New Roman"/>
          <w:sz w:val="22"/>
          <w:szCs w:val="22"/>
          <w:lang w:val="sr-Latn-ME"/>
        </w:rPr>
        <w:t xml:space="preserve">je </w:t>
      </w:r>
      <w:r w:rsidRPr="000E77D2">
        <w:rPr>
          <w:rFonts w:ascii="Times New Roman" w:hAnsi="Times New Roman"/>
          <w:sz w:val="22"/>
          <w:szCs w:val="22"/>
          <w:lang w:val="sr-Latn-ME"/>
        </w:rPr>
        <w:t>da li se eksemestan izlučuje u ml</w:t>
      </w:r>
      <w:r w:rsidR="00421EA8" w:rsidRPr="000E77D2">
        <w:rPr>
          <w:rFonts w:ascii="Times New Roman" w:hAnsi="Times New Roman"/>
          <w:sz w:val="22"/>
          <w:szCs w:val="22"/>
          <w:lang w:val="sr-Latn-ME"/>
        </w:rPr>
        <w:t>ij</w:t>
      </w:r>
      <w:r w:rsidRPr="000E77D2">
        <w:rPr>
          <w:rFonts w:ascii="Times New Roman" w:hAnsi="Times New Roman"/>
          <w:sz w:val="22"/>
          <w:szCs w:val="22"/>
          <w:lang w:val="sr-Latn-ME"/>
        </w:rPr>
        <w:t xml:space="preserve">eko dojilja. </w:t>
      </w:r>
      <w:r w:rsidR="005729CD" w:rsidRPr="000E77D2">
        <w:rPr>
          <w:rFonts w:ascii="Times New Roman" w:hAnsi="Times New Roman"/>
          <w:sz w:val="22"/>
          <w:szCs w:val="22"/>
          <w:lang w:val="sr-Latn-ME"/>
        </w:rPr>
        <w:t xml:space="preserve">Lijek </w:t>
      </w:r>
      <w:r w:rsidRPr="000E77D2">
        <w:rPr>
          <w:rFonts w:ascii="Times New Roman" w:hAnsi="Times New Roman"/>
          <w:sz w:val="22"/>
          <w:szCs w:val="22"/>
          <w:lang w:val="sr-Latn-ME"/>
        </w:rPr>
        <w:t xml:space="preserve">Aromasin </w:t>
      </w:r>
      <w:r w:rsidR="00B85A88" w:rsidRPr="000E77D2">
        <w:rPr>
          <w:rFonts w:ascii="Times New Roman" w:hAnsi="Times New Roman"/>
          <w:sz w:val="22"/>
          <w:szCs w:val="22"/>
          <w:lang w:val="sr-Latn-ME"/>
        </w:rPr>
        <w:t>se ne sm</w:t>
      </w:r>
      <w:r w:rsidR="00421EA8" w:rsidRPr="000E77D2">
        <w:rPr>
          <w:rFonts w:ascii="Times New Roman" w:hAnsi="Times New Roman"/>
          <w:sz w:val="22"/>
          <w:szCs w:val="22"/>
          <w:lang w:val="sr-Latn-ME"/>
        </w:rPr>
        <w:t>ij</w:t>
      </w:r>
      <w:r w:rsidR="00B85A88" w:rsidRPr="000E77D2">
        <w:rPr>
          <w:rFonts w:ascii="Times New Roman" w:hAnsi="Times New Roman"/>
          <w:sz w:val="22"/>
          <w:szCs w:val="22"/>
          <w:lang w:val="sr-Latn-ME"/>
        </w:rPr>
        <w:t>e</w:t>
      </w:r>
      <w:r w:rsidRPr="000E77D2">
        <w:rPr>
          <w:rFonts w:ascii="Times New Roman" w:hAnsi="Times New Roman"/>
          <w:sz w:val="22"/>
          <w:szCs w:val="22"/>
          <w:lang w:val="sr-Latn-ME"/>
        </w:rPr>
        <w:t xml:space="preserve"> prim</w:t>
      </w:r>
      <w:r w:rsidR="00421EA8" w:rsidRPr="000E77D2">
        <w:rPr>
          <w:rFonts w:ascii="Times New Roman" w:hAnsi="Times New Roman"/>
          <w:sz w:val="22"/>
          <w:szCs w:val="22"/>
          <w:lang w:val="sr-Latn-ME"/>
        </w:rPr>
        <w:t>j</w:t>
      </w:r>
      <w:r w:rsidRPr="000E77D2">
        <w:rPr>
          <w:rFonts w:ascii="Times New Roman" w:hAnsi="Times New Roman"/>
          <w:sz w:val="22"/>
          <w:szCs w:val="22"/>
          <w:lang w:val="sr-Latn-ME"/>
        </w:rPr>
        <w:t>enjivati kod žena u periodu laktacije.</w:t>
      </w:r>
    </w:p>
    <w:p w14:paraId="57541F1A" w14:textId="77777777" w:rsidR="000450A4" w:rsidRPr="000E77D2" w:rsidRDefault="000450A4" w:rsidP="00BE6A13">
      <w:pPr>
        <w:ind w:left="720" w:hanging="720"/>
        <w:rPr>
          <w:rFonts w:ascii="Times New Roman" w:hAnsi="Times New Roman"/>
          <w:sz w:val="22"/>
          <w:szCs w:val="22"/>
          <w:u w:val="single"/>
          <w:lang w:val="sr-Latn-ME"/>
        </w:rPr>
      </w:pPr>
    </w:p>
    <w:p w14:paraId="5B7AFED7" w14:textId="1C274237" w:rsidR="00F24ECF" w:rsidRPr="000E77D2" w:rsidRDefault="006609BB" w:rsidP="00BE6A13">
      <w:pPr>
        <w:pStyle w:val="Header"/>
        <w:tabs>
          <w:tab w:val="clear" w:pos="4536"/>
          <w:tab w:val="clear" w:pos="9072"/>
          <w:tab w:val="left" w:pos="284"/>
        </w:tabs>
        <w:rPr>
          <w:rFonts w:ascii="Times New Roman" w:hAnsi="Times New Roman"/>
          <w:sz w:val="22"/>
          <w:szCs w:val="22"/>
          <w:u w:val="single"/>
          <w:lang w:val="sr-Latn-ME"/>
        </w:rPr>
      </w:pPr>
      <w:r w:rsidRPr="000E77D2">
        <w:rPr>
          <w:rFonts w:ascii="Times New Roman" w:hAnsi="Times New Roman"/>
          <w:sz w:val="22"/>
          <w:szCs w:val="22"/>
          <w:u w:val="single"/>
          <w:lang w:val="sr-Latn-ME"/>
        </w:rPr>
        <w:t>Plodnost</w:t>
      </w:r>
    </w:p>
    <w:p w14:paraId="1C2DACC8" w14:textId="77777777" w:rsidR="00F24ECF" w:rsidRPr="000E77D2" w:rsidRDefault="00F24ECF" w:rsidP="00BE6A13">
      <w:pPr>
        <w:pStyle w:val="Header"/>
        <w:tabs>
          <w:tab w:val="clear" w:pos="4536"/>
          <w:tab w:val="clear" w:pos="9072"/>
          <w:tab w:val="left" w:pos="284"/>
        </w:tabs>
        <w:rPr>
          <w:rFonts w:ascii="Times New Roman" w:hAnsi="Times New Roman"/>
          <w:sz w:val="22"/>
          <w:szCs w:val="22"/>
          <w:u w:val="single"/>
          <w:lang w:val="sr-Latn-ME"/>
        </w:rPr>
      </w:pPr>
    </w:p>
    <w:p w14:paraId="7D2C145F" w14:textId="34B64617" w:rsidR="000450A4" w:rsidRPr="000E77D2" w:rsidRDefault="000450A4" w:rsidP="00BE6A13">
      <w:pPr>
        <w:pStyle w:val="Header"/>
        <w:tabs>
          <w:tab w:val="clear" w:pos="4536"/>
          <w:tab w:val="clear" w:pos="9072"/>
          <w:tab w:val="left" w:pos="284"/>
        </w:tabs>
        <w:rPr>
          <w:rFonts w:ascii="Times New Roman" w:hAnsi="Times New Roman"/>
          <w:sz w:val="22"/>
          <w:szCs w:val="22"/>
          <w:lang w:val="sr-Latn-ME"/>
        </w:rPr>
      </w:pPr>
      <w:r w:rsidRPr="000E77D2">
        <w:rPr>
          <w:rFonts w:ascii="Times New Roman" w:hAnsi="Times New Roman"/>
          <w:sz w:val="22"/>
          <w:szCs w:val="22"/>
          <w:lang w:val="sr-Latn-ME"/>
        </w:rPr>
        <w:t>Potrebno je da l</w:t>
      </w:r>
      <w:r w:rsidR="00421EA8" w:rsidRPr="000E77D2">
        <w:rPr>
          <w:rFonts w:ascii="Times New Roman" w:hAnsi="Times New Roman"/>
          <w:sz w:val="22"/>
          <w:szCs w:val="22"/>
          <w:lang w:val="sr-Latn-ME"/>
        </w:rPr>
        <w:t>j</w:t>
      </w:r>
      <w:r w:rsidRPr="000E77D2">
        <w:rPr>
          <w:rFonts w:ascii="Times New Roman" w:hAnsi="Times New Roman"/>
          <w:sz w:val="22"/>
          <w:szCs w:val="22"/>
          <w:lang w:val="sr-Latn-ME"/>
        </w:rPr>
        <w:t>ekar razgovara sa ženama koje mogu ostati trudne, uključujući žene koje su u perimenopauzi ili koje su od skor</w:t>
      </w:r>
      <w:r w:rsidR="0060178E" w:rsidRPr="000E77D2">
        <w:rPr>
          <w:rFonts w:ascii="Times New Roman" w:hAnsi="Times New Roman"/>
          <w:sz w:val="22"/>
          <w:szCs w:val="22"/>
          <w:lang w:val="sr-Latn-ME"/>
        </w:rPr>
        <w:t>o</w:t>
      </w:r>
      <w:r w:rsidRPr="000E77D2">
        <w:rPr>
          <w:rFonts w:ascii="Times New Roman" w:hAnsi="Times New Roman"/>
          <w:sz w:val="22"/>
          <w:szCs w:val="22"/>
          <w:lang w:val="sr-Latn-ME"/>
        </w:rPr>
        <w:t xml:space="preserve"> u postmenopauzi, o potrebi za sprovođenjem adekvatne kontracepcije, sve dok se u potpunosti ne utvrdi njihov postmenopa</w:t>
      </w:r>
      <w:r w:rsidR="00CA3418" w:rsidRPr="000E77D2">
        <w:rPr>
          <w:rFonts w:ascii="Times New Roman" w:hAnsi="Times New Roman"/>
          <w:sz w:val="22"/>
          <w:szCs w:val="22"/>
          <w:lang w:val="sr-Latn-ME"/>
        </w:rPr>
        <w:t>uzni status (vid</w:t>
      </w:r>
      <w:r w:rsidR="00421EA8" w:rsidRPr="000E77D2">
        <w:rPr>
          <w:rFonts w:ascii="Times New Roman" w:hAnsi="Times New Roman"/>
          <w:sz w:val="22"/>
          <w:szCs w:val="22"/>
          <w:lang w:val="sr-Latn-ME"/>
        </w:rPr>
        <w:t>j</w:t>
      </w:r>
      <w:r w:rsidR="00CA3418" w:rsidRPr="000E77D2">
        <w:rPr>
          <w:rFonts w:ascii="Times New Roman" w:hAnsi="Times New Roman"/>
          <w:sz w:val="22"/>
          <w:szCs w:val="22"/>
          <w:lang w:val="sr-Latn-ME"/>
        </w:rPr>
        <w:t xml:space="preserve">eti </w:t>
      </w:r>
      <w:r w:rsidR="00AB5AF6" w:rsidRPr="000E77D2">
        <w:rPr>
          <w:rFonts w:ascii="Times New Roman" w:hAnsi="Times New Roman"/>
          <w:sz w:val="22"/>
          <w:szCs w:val="22"/>
          <w:lang w:val="sr-Latn-ME"/>
        </w:rPr>
        <w:t>djelove</w:t>
      </w:r>
      <w:r w:rsidR="00CA3418" w:rsidRPr="000E77D2">
        <w:rPr>
          <w:rFonts w:ascii="Times New Roman" w:hAnsi="Times New Roman"/>
          <w:sz w:val="22"/>
          <w:szCs w:val="22"/>
          <w:lang w:val="sr-Latn-ME"/>
        </w:rPr>
        <w:t xml:space="preserve"> 4.3 </w:t>
      </w:r>
      <w:r w:rsidRPr="000E77D2">
        <w:rPr>
          <w:rFonts w:ascii="Times New Roman" w:hAnsi="Times New Roman"/>
          <w:sz w:val="22"/>
          <w:szCs w:val="22"/>
          <w:lang w:val="sr-Latn-ME"/>
        </w:rPr>
        <w:t>i 4.4).</w:t>
      </w:r>
    </w:p>
    <w:p w14:paraId="1F168703" w14:textId="77777777" w:rsidR="000450A4" w:rsidRPr="000E77D2" w:rsidRDefault="000450A4" w:rsidP="00BE6A13">
      <w:pPr>
        <w:pStyle w:val="Header"/>
        <w:tabs>
          <w:tab w:val="clear" w:pos="4536"/>
          <w:tab w:val="clear" w:pos="9072"/>
          <w:tab w:val="left" w:pos="284"/>
        </w:tabs>
        <w:rPr>
          <w:rFonts w:ascii="Times New Roman" w:hAnsi="Times New Roman"/>
          <w:color w:val="FF0000"/>
          <w:sz w:val="22"/>
          <w:szCs w:val="22"/>
          <w:lang w:val="sr-Latn-ME"/>
        </w:rPr>
      </w:pPr>
    </w:p>
    <w:p w14:paraId="3E46335D" w14:textId="39A9BA09" w:rsidR="000450A4" w:rsidRPr="000E77D2" w:rsidRDefault="000450A4" w:rsidP="00BE6A13">
      <w:pPr>
        <w:pStyle w:val="Header"/>
        <w:tabs>
          <w:tab w:val="clear" w:pos="4536"/>
          <w:tab w:val="clear" w:pos="9072"/>
          <w:tab w:val="left" w:pos="284"/>
        </w:tabs>
        <w:rPr>
          <w:rFonts w:ascii="Times New Roman" w:hAnsi="Times New Roman"/>
          <w:b/>
          <w:bCs/>
          <w:sz w:val="22"/>
          <w:szCs w:val="22"/>
          <w:lang w:val="sr-Latn-ME"/>
        </w:rPr>
      </w:pPr>
      <w:r w:rsidRPr="000E77D2">
        <w:rPr>
          <w:rFonts w:ascii="Times New Roman" w:hAnsi="Times New Roman"/>
          <w:b/>
          <w:bCs/>
          <w:sz w:val="22"/>
          <w:szCs w:val="22"/>
          <w:lang w:val="sr-Latn-ME"/>
        </w:rPr>
        <w:t xml:space="preserve">4.7. Uticaj na </w:t>
      </w:r>
      <w:bookmarkStart w:id="1" w:name="_Hlk160606759"/>
      <w:r w:rsidRPr="000E77D2">
        <w:rPr>
          <w:rFonts w:ascii="Times New Roman" w:hAnsi="Times New Roman"/>
          <w:b/>
          <w:bCs/>
          <w:sz w:val="22"/>
          <w:szCs w:val="22"/>
          <w:lang w:val="sr-Latn-ME"/>
        </w:rPr>
        <w:t>sposobnost</w:t>
      </w:r>
      <w:r w:rsidR="004A6D29" w:rsidRPr="000E77D2">
        <w:rPr>
          <w:rFonts w:ascii="Times New Roman" w:hAnsi="Times New Roman"/>
          <w:b/>
          <w:bCs/>
          <w:sz w:val="22"/>
          <w:szCs w:val="22"/>
          <w:lang w:val="sr-Latn-ME"/>
        </w:rPr>
        <w:t xml:space="preserve"> </w:t>
      </w:r>
      <w:r w:rsidRPr="000E77D2">
        <w:rPr>
          <w:rFonts w:ascii="Times New Roman" w:hAnsi="Times New Roman"/>
          <w:b/>
          <w:bCs/>
          <w:sz w:val="22"/>
          <w:szCs w:val="22"/>
          <w:lang w:val="sr-Latn-ME"/>
        </w:rPr>
        <w:t>upravljanja vozil</w:t>
      </w:r>
      <w:r w:rsidR="00934045" w:rsidRPr="000E77D2">
        <w:rPr>
          <w:rFonts w:ascii="Times New Roman" w:hAnsi="Times New Roman"/>
          <w:b/>
          <w:bCs/>
          <w:sz w:val="22"/>
          <w:szCs w:val="22"/>
          <w:lang w:val="sr-Latn-ME"/>
        </w:rPr>
        <w:t>i</w:t>
      </w:r>
      <w:r w:rsidRPr="000E77D2">
        <w:rPr>
          <w:rFonts w:ascii="Times New Roman" w:hAnsi="Times New Roman"/>
          <w:b/>
          <w:bCs/>
          <w:sz w:val="22"/>
          <w:szCs w:val="22"/>
          <w:lang w:val="sr-Latn-ME"/>
        </w:rPr>
        <w:t>m</w:t>
      </w:r>
      <w:r w:rsidR="00934045" w:rsidRPr="000E77D2">
        <w:rPr>
          <w:rFonts w:ascii="Times New Roman" w:hAnsi="Times New Roman"/>
          <w:b/>
          <w:bCs/>
          <w:sz w:val="22"/>
          <w:szCs w:val="22"/>
          <w:lang w:val="sr-Latn-ME"/>
        </w:rPr>
        <w:t>a</w:t>
      </w:r>
      <w:r w:rsidRPr="000E77D2">
        <w:rPr>
          <w:rFonts w:ascii="Times New Roman" w:hAnsi="Times New Roman"/>
          <w:b/>
          <w:bCs/>
          <w:sz w:val="22"/>
          <w:szCs w:val="22"/>
          <w:lang w:val="sr-Latn-ME"/>
        </w:rPr>
        <w:t xml:space="preserve"> i rukovanja mašinama</w:t>
      </w:r>
      <w:bookmarkEnd w:id="1"/>
    </w:p>
    <w:p w14:paraId="262D563F" w14:textId="77777777" w:rsidR="000450A4" w:rsidRPr="000E77D2" w:rsidRDefault="000450A4" w:rsidP="00BE6A13">
      <w:pPr>
        <w:pStyle w:val="Header"/>
        <w:tabs>
          <w:tab w:val="clear" w:pos="4536"/>
          <w:tab w:val="clear" w:pos="9072"/>
          <w:tab w:val="left" w:pos="284"/>
        </w:tabs>
        <w:rPr>
          <w:rFonts w:ascii="Times New Roman" w:hAnsi="Times New Roman"/>
          <w:b/>
          <w:bCs/>
          <w:color w:val="FF0000"/>
          <w:spacing w:val="-8"/>
          <w:sz w:val="22"/>
          <w:szCs w:val="22"/>
          <w:lang w:val="sr-Latn-ME"/>
        </w:rPr>
      </w:pPr>
    </w:p>
    <w:p w14:paraId="7A3B5498" w14:textId="67417597" w:rsidR="006609BB" w:rsidRPr="000E77D2" w:rsidRDefault="006609BB" w:rsidP="00BE6A13">
      <w:pPr>
        <w:pStyle w:val="Header"/>
        <w:tabs>
          <w:tab w:val="clear" w:pos="4536"/>
          <w:tab w:val="clear" w:pos="9072"/>
          <w:tab w:val="left" w:pos="284"/>
        </w:tabs>
        <w:rPr>
          <w:rFonts w:ascii="Times New Roman" w:hAnsi="Times New Roman"/>
          <w:sz w:val="22"/>
          <w:szCs w:val="22"/>
          <w:lang w:val="sr-Latn-ME"/>
        </w:rPr>
      </w:pPr>
      <w:bookmarkStart w:id="2" w:name="_Hlk160613844"/>
      <w:r w:rsidRPr="000E77D2">
        <w:rPr>
          <w:rFonts w:ascii="Times New Roman" w:hAnsi="Times New Roman"/>
          <w:sz w:val="22"/>
          <w:szCs w:val="22"/>
          <w:lang w:val="sr-Latn-ME"/>
        </w:rPr>
        <w:t xml:space="preserve">Eksemestan </w:t>
      </w:r>
      <w:r w:rsidR="00073118" w:rsidRPr="000E77D2">
        <w:rPr>
          <w:rFonts w:ascii="Times New Roman" w:hAnsi="Times New Roman"/>
          <w:sz w:val="22"/>
          <w:szCs w:val="22"/>
          <w:lang w:val="sr-Latn-ME"/>
        </w:rPr>
        <w:t xml:space="preserve">ima </w:t>
      </w:r>
      <w:r w:rsidRPr="000E77D2">
        <w:rPr>
          <w:rFonts w:ascii="Times New Roman" w:hAnsi="Times New Roman"/>
          <w:sz w:val="22"/>
          <w:szCs w:val="22"/>
          <w:lang w:val="sr-Latn-ME"/>
        </w:rPr>
        <w:t>umjeren uti</w:t>
      </w:r>
      <w:r w:rsidR="00073118" w:rsidRPr="000E77D2">
        <w:rPr>
          <w:rFonts w:ascii="Times New Roman" w:hAnsi="Times New Roman"/>
          <w:sz w:val="22"/>
          <w:szCs w:val="22"/>
          <w:lang w:val="sr-Latn-ME"/>
        </w:rPr>
        <w:t>caj</w:t>
      </w:r>
      <w:r w:rsidRPr="000E77D2">
        <w:rPr>
          <w:rFonts w:ascii="Times New Roman" w:hAnsi="Times New Roman"/>
          <w:sz w:val="22"/>
          <w:szCs w:val="22"/>
          <w:lang w:val="sr-Latn-ME"/>
        </w:rPr>
        <w:t xml:space="preserve"> na sposobnost upravljanja motornim vozilima i rukovanj</w:t>
      </w:r>
      <w:r w:rsidR="00F24ECF" w:rsidRPr="000E77D2">
        <w:rPr>
          <w:rFonts w:ascii="Times New Roman" w:hAnsi="Times New Roman"/>
          <w:sz w:val="22"/>
          <w:szCs w:val="22"/>
          <w:lang w:val="sr-Latn-ME"/>
        </w:rPr>
        <w:t>e</w:t>
      </w:r>
      <w:r w:rsidRPr="000E77D2">
        <w:rPr>
          <w:rFonts w:ascii="Times New Roman" w:hAnsi="Times New Roman"/>
          <w:sz w:val="22"/>
          <w:szCs w:val="22"/>
          <w:lang w:val="sr-Latn-ME"/>
        </w:rPr>
        <w:t xml:space="preserve"> mašinama.</w:t>
      </w:r>
    </w:p>
    <w:bookmarkEnd w:id="2"/>
    <w:p w14:paraId="6D823BEA" w14:textId="77777777" w:rsidR="006609BB" w:rsidRPr="000E77D2" w:rsidRDefault="006609BB" w:rsidP="00BE6A13">
      <w:pPr>
        <w:pStyle w:val="Header"/>
        <w:tabs>
          <w:tab w:val="clear" w:pos="4536"/>
          <w:tab w:val="clear" w:pos="9072"/>
          <w:tab w:val="left" w:pos="284"/>
        </w:tabs>
        <w:rPr>
          <w:rFonts w:ascii="Times New Roman" w:hAnsi="Times New Roman"/>
          <w:sz w:val="22"/>
          <w:szCs w:val="22"/>
          <w:lang w:val="sr-Latn-ME"/>
        </w:rPr>
      </w:pPr>
    </w:p>
    <w:p w14:paraId="34527219" w14:textId="582FAA33" w:rsidR="000450A4" w:rsidRPr="000E77D2" w:rsidRDefault="000450A4" w:rsidP="00BE6A13">
      <w:pPr>
        <w:pStyle w:val="Header"/>
        <w:tabs>
          <w:tab w:val="clear" w:pos="4536"/>
          <w:tab w:val="clear" w:pos="9072"/>
          <w:tab w:val="left" w:pos="284"/>
        </w:tabs>
        <w:rPr>
          <w:rFonts w:ascii="Times New Roman" w:hAnsi="Times New Roman"/>
          <w:sz w:val="22"/>
          <w:szCs w:val="22"/>
          <w:lang w:val="sr-Latn-ME"/>
        </w:rPr>
      </w:pPr>
      <w:r w:rsidRPr="000E77D2">
        <w:rPr>
          <w:rFonts w:ascii="Times New Roman" w:hAnsi="Times New Roman"/>
          <w:sz w:val="22"/>
          <w:szCs w:val="22"/>
          <w:lang w:val="sr-Latn-ME"/>
        </w:rPr>
        <w:t>Pospanost, somnolencija, astenija i vrtoglavica su zab</w:t>
      </w:r>
      <w:r w:rsidR="00FA2A03" w:rsidRPr="000E77D2">
        <w:rPr>
          <w:rFonts w:ascii="Times New Roman" w:hAnsi="Times New Roman"/>
          <w:sz w:val="22"/>
          <w:szCs w:val="22"/>
          <w:lang w:val="sr-Latn-ME"/>
        </w:rPr>
        <w:t>i</w:t>
      </w:r>
      <w:r w:rsidRPr="000E77D2">
        <w:rPr>
          <w:rFonts w:ascii="Times New Roman" w:hAnsi="Times New Roman"/>
          <w:sz w:val="22"/>
          <w:szCs w:val="22"/>
          <w:lang w:val="sr-Latn-ME"/>
        </w:rPr>
        <w:t>l</w:t>
      </w:r>
      <w:r w:rsidR="00FA2A03" w:rsidRPr="000E77D2">
        <w:rPr>
          <w:rFonts w:ascii="Times New Roman" w:hAnsi="Times New Roman"/>
          <w:sz w:val="22"/>
          <w:szCs w:val="22"/>
          <w:lang w:val="sr-Latn-ME"/>
        </w:rPr>
        <w:t>j</w:t>
      </w:r>
      <w:r w:rsidRPr="000E77D2">
        <w:rPr>
          <w:rFonts w:ascii="Times New Roman" w:hAnsi="Times New Roman"/>
          <w:sz w:val="22"/>
          <w:szCs w:val="22"/>
          <w:lang w:val="sr-Latn-ME"/>
        </w:rPr>
        <w:t>eženi posl</w:t>
      </w:r>
      <w:r w:rsidR="00AB5AF6" w:rsidRPr="000E77D2">
        <w:rPr>
          <w:rFonts w:ascii="Times New Roman" w:hAnsi="Times New Roman"/>
          <w:sz w:val="22"/>
          <w:szCs w:val="22"/>
          <w:lang w:val="sr-Latn-ME"/>
        </w:rPr>
        <w:t>ij</w:t>
      </w:r>
      <w:r w:rsidRPr="000E77D2">
        <w:rPr>
          <w:rFonts w:ascii="Times New Roman" w:hAnsi="Times New Roman"/>
          <w:sz w:val="22"/>
          <w:szCs w:val="22"/>
          <w:lang w:val="sr-Latn-ME"/>
        </w:rPr>
        <w:t>e prim</w:t>
      </w:r>
      <w:r w:rsidR="00FA2A03" w:rsidRPr="000E77D2">
        <w:rPr>
          <w:rFonts w:ascii="Times New Roman" w:hAnsi="Times New Roman"/>
          <w:sz w:val="22"/>
          <w:szCs w:val="22"/>
          <w:lang w:val="sr-Latn-ME"/>
        </w:rPr>
        <w:t>j</w:t>
      </w:r>
      <w:r w:rsidRPr="000E77D2">
        <w:rPr>
          <w:rFonts w:ascii="Times New Roman" w:hAnsi="Times New Roman"/>
          <w:sz w:val="22"/>
          <w:szCs w:val="22"/>
          <w:lang w:val="sr-Latn-ME"/>
        </w:rPr>
        <w:t xml:space="preserve">ene </w:t>
      </w:r>
      <w:r w:rsidR="006609BB" w:rsidRPr="000E77D2">
        <w:rPr>
          <w:rFonts w:ascii="Times New Roman" w:hAnsi="Times New Roman"/>
          <w:sz w:val="22"/>
          <w:szCs w:val="22"/>
          <w:lang w:val="sr-Latn-ME"/>
        </w:rPr>
        <w:t>eksemestana</w:t>
      </w:r>
      <w:r w:rsidRPr="000E77D2">
        <w:rPr>
          <w:rFonts w:ascii="Times New Roman" w:hAnsi="Times New Roman"/>
          <w:sz w:val="22"/>
          <w:szCs w:val="22"/>
          <w:lang w:val="sr-Latn-ME"/>
        </w:rPr>
        <w:t>. Pacijentkinje treba obav</w:t>
      </w:r>
      <w:r w:rsidR="00FA2A03" w:rsidRPr="000E77D2">
        <w:rPr>
          <w:rFonts w:ascii="Times New Roman" w:hAnsi="Times New Roman"/>
          <w:sz w:val="22"/>
          <w:szCs w:val="22"/>
          <w:lang w:val="sr-Latn-ME"/>
        </w:rPr>
        <w:t>ij</w:t>
      </w:r>
      <w:r w:rsidRPr="000E77D2">
        <w:rPr>
          <w:rFonts w:ascii="Times New Roman" w:hAnsi="Times New Roman"/>
          <w:sz w:val="22"/>
          <w:szCs w:val="22"/>
          <w:lang w:val="sr-Latn-ME"/>
        </w:rPr>
        <w:t>estiti da ukoliko se pojave navedeni efekti, fizičke i/ili mentalne sposobnosti neophodne za upravljanje mašinama ili motornim vozilom mogu biti smanjene.</w:t>
      </w:r>
    </w:p>
    <w:p w14:paraId="59F0004C" w14:textId="77777777" w:rsidR="000450A4" w:rsidRPr="000E77D2" w:rsidRDefault="000450A4" w:rsidP="00BE6A13">
      <w:pPr>
        <w:pStyle w:val="Header"/>
        <w:tabs>
          <w:tab w:val="clear" w:pos="4536"/>
          <w:tab w:val="clear" w:pos="9072"/>
          <w:tab w:val="left" w:pos="284"/>
        </w:tabs>
        <w:rPr>
          <w:rFonts w:ascii="Times New Roman" w:hAnsi="Times New Roman"/>
          <w:color w:val="FF0000"/>
          <w:sz w:val="22"/>
          <w:szCs w:val="22"/>
          <w:lang w:val="sr-Latn-ME"/>
        </w:rPr>
      </w:pPr>
    </w:p>
    <w:p w14:paraId="67484DEE" w14:textId="77777777" w:rsidR="000450A4" w:rsidRPr="000E77D2" w:rsidRDefault="000450A4" w:rsidP="00BE6A13">
      <w:pPr>
        <w:pStyle w:val="Header"/>
        <w:tabs>
          <w:tab w:val="clear" w:pos="4536"/>
          <w:tab w:val="clear" w:pos="9072"/>
          <w:tab w:val="left" w:pos="284"/>
        </w:tabs>
        <w:rPr>
          <w:rFonts w:ascii="Times New Roman" w:hAnsi="Times New Roman"/>
          <w:b/>
          <w:bCs/>
          <w:sz w:val="22"/>
          <w:szCs w:val="22"/>
          <w:lang w:val="sr-Latn-ME"/>
        </w:rPr>
      </w:pPr>
      <w:r w:rsidRPr="000E77D2">
        <w:rPr>
          <w:rFonts w:ascii="Times New Roman" w:hAnsi="Times New Roman"/>
          <w:b/>
          <w:bCs/>
          <w:sz w:val="22"/>
          <w:szCs w:val="22"/>
          <w:lang w:val="sr-Latn-ME"/>
        </w:rPr>
        <w:t>4.8. Neželjena dejstva</w:t>
      </w:r>
    </w:p>
    <w:p w14:paraId="5BE299FF" w14:textId="77777777" w:rsidR="000450A4" w:rsidRPr="000E77D2" w:rsidRDefault="000450A4" w:rsidP="00BE6A13">
      <w:pPr>
        <w:rPr>
          <w:rFonts w:ascii="Times New Roman" w:hAnsi="Times New Roman"/>
          <w:color w:val="FF0000"/>
          <w:sz w:val="22"/>
          <w:szCs w:val="22"/>
          <w:lang w:val="sr-Latn-ME"/>
        </w:rPr>
      </w:pPr>
    </w:p>
    <w:p w14:paraId="1F3AB31D" w14:textId="5EDE1983" w:rsidR="000450A4" w:rsidRPr="000E77D2" w:rsidRDefault="006609BB" w:rsidP="00BE6A13">
      <w:pPr>
        <w:rPr>
          <w:rFonts w:ascii="Times New Roman" w:hAnsi="Times New Roman"/>
          <w:sz w:val="22"/>
          <w:szCs w:val="22"/>
          <w:lang w:val="sr-Latn-ME"/>
        </w:rPr>
      </w:pPr>
      <w:r w:rsidRPr="000E77D2">
        <w:rPr>
          <w:rFonts w:ascii="Times New Roman" w:hAnsi="Times New Roman"/>
          <w:sz w:val="22"/>
          <w:szCs w:val="22"/>
          <w:lang w:val="sr-Latn-ME"/>
        </w:rPr>
        <w:t>S</w:t>
      </w:r>
      <w:r w:rsidR="004701CB" w:rsidRPr="000E77D2">
        <w:rPr>
          <w:rFonts w:ascii="Times New Roman" w:hAnsi="Times New Roman"/>
          <w:sz w:val="22"/>
          <w:szCs w:val="22"/>
          <w:lang w:val="sr-Latn-ME"/>
        </w:rPr>
        <w:t>ve s</w:t>
      </w:r>
      <w:r w:rsidR="000450A4" w:rsidRPr="000E77D2">
        <w:rPr>
          <w:rFonts w:ascii="Times New Roman" w:hAnsi="Times New Roman"/>
          <w:sz w:val="22"/>
          <w:szCs w:val="22"/>
          <w:lang w:val="sr-Latn-ME"/>
        </w:rPr>
        <w:t>proveden</w:t>
      </w:r>
      <w:r w:rsidRPr="000E77D2">
        <w:rPr>
          <w:rFonts w:ascii="Times New Roman" w:hAnsi="Times New Roman"/>
          <w:sz w:val="22"/>
          <w:szCs w:val="22"/>
          <w:lang w:val="sr-Latn-ME"/>
        </w:rPr>
        <w:t>e</w:t>
      </w:r>
      <w:r w:rsidR="000450A4" w:rsidRPr="000E77D2">
        <w:rPr>
          <w:rFonts w:ascii="Times New Roman" w:hAnsi="Times New Roman"/>
          <w:sz w:val="22"/>
          <w:szCs w:val="22"/>
          <w:lang w:val="sr-Latn-ME"/>
        </w:rPr>
        <w:t xml:space="preserve"> kliničk</w:t>
      </w:r>
      <w:r w:rsidRPr="000E77D2">
        <w:rPr>
          <w:rFonts w:ascii="Times New Roman" w:hAnsi="Times New Roman"/>
          <w:sz w:val="22"/>
          <w:szCs w:val="22"/>
          <w:lang w:val="sr-Latn-ME"/>
        </w:rPr>
        <w:t>e</w:t>
      </w:r>
      <w:r w:rsidR="000450A4" w:rsidRPr="000E77D2">
        <w:rPr>
          <w:rFonts w:ascii="Times New Roman" w:hAnsi="Times New Roman"/>
          <w:sz w:val="22"/>
          <w:szCs w:val="22"/>
          <w:lang w:val="sr-Latn-ME"/>
        </w:rPr>
        <w:t xml:space="preserve"> studij</w:t>
      </w:r>
      <w:r w:rsidRPr="000E77D2">
        <w:rPr>
          <w:rFonts w:ascii="Times New Roman" w:hAnsi="Times New Roman"/>
          <w:sz w:val="22"/>
          <w:szCs w:val="22"/>
          <w:lang w:val="sr-Latn-ME"/>
        </w:rPr>
        <w:t>e</w:t>
      </w:r>
      <w:r w:rsidR="000450A4" w:rsidRPr="000E77D2">
        <w:rPr>
          <w:rFonts w:ascii="Times New Roman" w:hAnsi="Times New Roman"/>
          <w:sz w:val="22"/>
          <w:szCs w:val="22"/>
          <w:lang w:val="sr-Latn-ME"/>
        </w:rPr>
        <w:t xml:space="preserve"> pokazal</w:t>
      </w:r>
      <w:r w:rsidRPr="000E77D2">
        <w:rPr>
          <w:rFonts w:ascii="Times New Roman" w:hAnsi="Times New Roman"/>
          <w:sz w:val="22"/>
          <w:szCs w:val="22"/>
          <w:lang w:val="sr-Latn-ME"/>
        </w:rPr>
        <w:t>e</w:t>
      </w:r>
      <w:r w:rsidR="000450A4" w:rsidRPr="000E77D2">
        <w:rPr>
          <w:rFonts w:ascii="Times New Roman" w:hAnsi="Times New Roman"/>
          <w:sz w:val="22"/>
          <w:szCs w:val="22"/>
          <w:lang w:val="sr-Latn-ME"/>
        </w:rPr>
        <w:t xml:space="preserve"> </w:t>
      </w:r>
      <w:r w:rsidR="00F24ECF" w:rsidRPr="000E77D2">
        <w:rPr>
          <w:rFonts w:ascii="Times New Roman" w:hAnsi="Times New Roman"/>
          <w:sz w:val="22"/>
          <w:szCs w:val="22"/>
          <w:lang w:val="sr-Latn-ME"/>
        </w:rPr>
        <w:t xml:space="preserve">su </w:t>
      </w:r>
      <w:r w:rsidR="000450A4" w:rsidRPr="000E77D2">
        <w:rPr>
          <w:rFonts w:ascii="Times New Roman" w:hAnsi="Times New Roman"/>
          <w:sz w:val="22"/>
          <w:szCs w:val="22"/>
          <w:lang w:val="sr-Latn-ME"/>
        </w:rPr>
        <w:t xml:space="preserve">da se </w:t>
      </w:r>
      <w:r w:rsidR="005729CD" w:rsidRPr="000E77D2">
        <w:rPr>
          <w:rFonts w:ascii="Times New Roman" w:hAnsi="Times New Roman"/>
          <w:sz w:val="22"/>
          <w:szCs w:val="22"/>
          <w:lang w:val="sr-Latn-ME"/>
        </w:rPr>
        <w:t xml:space="preserve">lijek </w:t>
      </w:r>
      <w:r w:rsidR="000450A4" w:rsidRPr="000E77D2">
        <w:rPr>
          <w:rFonts w:ascii="Times New Roman" w:hAnsi="Times New Roman"/>
          <w:sz w:val="22"/>
          <w:szCs w:val="22"/>
          <w:lang w:val="sr-Latn-ME"/>
        </w:rPr>
        <w:t>Aromasin generalno dobro podnosi</w:t>
      </w:r>
      <w:r w:rsidR="0060178E" w:rsidRPr="000E77D2">
        <w:rPr>
          <w:rFonts w:ascii="Times New Roman" w:hAnsi="Times New Roman"/>
          <w:sz w:val="22"/>
          <w:szCs w:val="22"/>
          <w:lang w:val="sr-Latn-ME"/>
        </w:rPr>
        <w:t xml:space="preserve"> pri standardnoj dozi od 25 mg</w:t>
      </w:r>
      <w:r w:rsidR="00B85A88" w:rsidRPr="000E77D2">
        <w:rPr>
          <w:rFonts w:ascii="Times New Roman" w:hAnsi="Times New Roman"/>
          <w:sz w:val="22"/>
          <w:szCs w:val="22"/>
          <w:lang w:val="sr-Latn-ME"/>
        </w:rPr>
        <w:t xml:space="preserve"> dnevno</w:t>
      </w:r>
      <w:r w:rsidR="0060178E" w:rsidRPr="000E77D2">
        <w:rPr>
          <w:rFonts w:ascii="Times New Roman" w:hAnsi="Times New Roman"/>
          <w:sz w:val="22"/>
          <w:szCs w:val="22"/>
          <w:lang w:val="sr-Latn-ME"/>
        </w:rPr>
        <w:t xml:space="preserve"> i da su</w:t>
      </w:r>
      <w:r w:rsidR="000450A4" w:rsidRPr="000E77D2">
        <w:rPr>
          <w:rFonts w:ascii="Times New Roman" w:hAnsi="Times New Roman"/>
          <w:sz w:val="22"/>
          <w:szCs w:val="22"/>
          <w:lang w:val="sr-Latn-ME"/>
        </w:rPr>
        <w:t xml:space="preserve"> neželjeni efekti obično blagi do um</w:t>
      </w:r>
      <w:r w:rsidR="00FA2A03" w:rsidRPr="000E77D2">
        <w:rPr>
          <w:rFonts w:ascii="Times New Roman" w:hAnsi="Times New Roman"/>
          <w:sz w:val="22"/>
          <w:szCs w:val="22"/>
          <w:lang w:val="sr-Latn-ME"/>
        </w:rPr>
        <w:t>j</w:t>
      </w:r>
      <w:r w:rsidR="000450A4" w:rsidRPr="000E77D2">
        <w:rPr>
          <w:rFonts w:ascii="Times New Roman" w:hAnsi="Times New Roman"/>
          <w:sz w:val="22"/>
          <w:szCs w:val="22"/>
          <w:lang w:val="sr-Latn-ME"/>
        </w:rPr>
        <w:t xml:space="preserve">ereni. </w:t>
      </w:r>
    </w:p>
    <w:p w14:paraId="29F63375" w14:textId="77777777" w:rsidR="000450A4" w:rsidRPr="000E77D2" w:rsidRDefault="000450A4" w:rsidP="00BE6A13">
      <w:pPr>
        <w:rPr>
          <w:rFonts w:ascii="Times New Roman" w:hAnsi="Times New Roman"/>
          <w:color w:val="FF0000"/>
          <w:sz w:val="22"/>
          <w:szCs w:val="22"/>
          <w:lang w:val="sr-Latn-ME"/>
        </w:rPr>
      </w:pPr>
    </w:p>
    <w:p w14:paraId="6520D3C3" w14:textId="0829D4FF"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 xml:space="preserve">Kod pacijentkinja sa ranim karcinomom dojke, koje su kao </w:t>
      </w:r>
      <w:r w:rsidR="00C0524C" w:rsidRPr="000E77D2">
        <w:rPr>
          <w:rFonts w:ascii="Times New Roman" w:hAnsi="Times New Roman"/>
          <w:sz w:val="22"/>
          <w:szCs w:val="22"/>
          <w:lang w:val="sr-Latn-ME"/>
        </w:rPr>
        <w:t>adjuvantn</w:t>
      </w:r>
      <w:r w:rsidRPr="000E77D2">
        <w:rPr>
          <w:rFonts w:ascii="Times New Roman" w:hAnsi="Times New Roman"/>
          <w:sz w:val="22"/>
          <w:szCs w:val="22"/>
          <w:lang w:val="sr-Latn-ME"/>
        </w:rPr>
        <w:t xml:space="preserve">u terapiju inicijalno primale tamoksifen, a zatim </w:t>
      </w:r>
      <w:r w:rsidR="005729CD" w:rsidRPr="000E77D2">
        <w:rPr>
          <w:rFonts w:ascii="Times New Roman" w:hAnsi="Times New Roman"/>
          <w:sz w:val="22"/>
          <w:szCs w:val="22"/>
          <w:lang w:val="sr-Latn-ME"/>
        </w:rPr>
        <w:t xml:space="preserve">lijek </w:t>
      </w:r>
      <w:r w:rsidRPr="000E77D2">
        <w:rPr>
          <w:rFonts w:ascii="Times New Roman" w:hAnsi="Times New Roman"/>
          <w:sz w:val="22"/>
          <w:szCs w:val="22"/>
          <w:lang w:val="sr-Latn-ME"/>
        </w:rPr>
        <w:t>Aromasin, stopa obustavljanja prim</w:t>
      </w:r>
      <w:r w:rsidR="00FA2A03" w:rsidRPr="000E77D2">
        <w:rPr>
          <w:rFonts w:ascii="Times New Roman" w:hAnsi="Times New Roman"/>
          <w:sz w:val="22"/>
          <w:szCs w:val="22"/>
          <w:lang w:val="sr-Latn-ME"/>
        </w:rPr>
        <w:t>j</w:t>
      </w:r>
      <w:r w:rsidRPr="000E77D2">
        <w:rPr>
          <w:rFonts w:ascii="Times New Roman" w:hAnsi="Times New Roman"/>
          <w:sz w:val="22"/>
          <w:szCs w:val="22"/>
          <w:lang w:val="sr-Latn-ME"/>
        </w:rPr>
        <w:t>ene l</w:t>
      </w:r>
      <w:r w:rsidR="00FA2A03" w:rsidRPr="000E77D2">
        <w:rPr>
          <w:rFonts w:ascii="Times New Roman" w:hAnsi="Times New Roman"/>
          <w:sz w:val="22"/>
          <w:szCs w:val="22"/>
          <w:lang w:val="sr-Latn-ME"/>
        </w:rPr>
        <w:t>ij</w:t>
      </w:r>
      <w:r w:rsidRPr="000E77D2">
        <w:rPr>
          <w:rFonts w:ascii="Times New Roman" w:hAnsi="Times New Roman"/>
          <w:sz w:val="22"/>
          <w:szCs w:val="22"/>
          <w:lang w:val="sr-Latn-ME"/>
        </w:rPr>
        <w:t>eka usled pojave neželjenih dejstava iznosila je 7,4%. Najčešće su prijavljena sl</w:t>
      </w:r>
      <w:r w:rsidR="00FA2A03" w:rsidRPr="000E77D2">
        <w:rPr>
          <w:rFonts w:ascii="Times New Roman" w:hAnsi="Times New Roman"/>
          <w:sz w:val="22"/>
          <w:szCs w:val="22"/>
          <w:lang w:val="sr-Latn-ME"/>
        </w:rPr>
        <w:t>j</w:t>
      </w:r>
      <w:r w:rsidRPr="000E77D2">
        <w:rPr>
          <w:rFonts w:ascii="Times New Roman" w:hAnsi="Times New Roman"/>
          <w:sz w:val="22"/>
          <w:szCs w:val="22"/>
          <w:lang w:val="sr-Latn-ME"/>
        </w:rPr>
        <w:t>edeća neželjena dejstva: naleti vrućine (22%), artralgija (18%) i zamor (16%).</w:t>
      </w:r>
    </w:p>
    <w:p w14:paraId="3768CBE3" w14:textId="77777777" w:rsidR="000450A4" w:rsidRPr="000E77D2" w:rsidRDefault="000450A4" w:rsidP="00BE6A13">
      <w:pPr>
        <w:rPr>
          <w:rFonts w:ascii="Times New Roman" w:hAnsi="Times New Roman"/>
          <w:sz w:val="22"/>
          <w:szCs w:val="22"/>
          <w:lang w:val="sr-Latn-ME"/>
        </w:rPr>
      </w:pPr>
    </w:p>
    <w:p w14:paraId="4A629A75" w14:textId="6C8FE3E4"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U ukupnoj populaciji pacijentkinja sa uznapredovalim karcinomom dojke stopa obustavljanja prim</w:t>
      </w:r>
      <w:r w:rsidR="00FA2A03" w:rsidRPr="000E77D2">
        <w:rPr>
          <w:rFonts w:ascii="Times New Roman" w:hAnsi="Times New Roman"/>
          <w:sz w:val="22"/>
          <w:szCs w:val="22"/>
          <w:lang w:val="sr-Latn-ME"/>
        </w:rPr>
        <w:t>j</w:t>
      </w:r>
      <w:r w:rsidRPr="000E77D2">
        <w:rPr>
          <w:rFonts w:ascii="Times New Roman" w:hAnsi="Times New Roman"/>
          <w:sz w:val="22"/>
          <w:szCs w:val="22"/>
          <w:lang w:val="sr-Latn-ME"/>
        </w:rPr>
        <w:t>ene l</w:t>
      </w:r>
      <w:r w:rsidR="00FA2A03" w:rsidRPr="000E77D2">
        <w:rPr>
          <w:rFonts w:ascii="Times New Roman" w:hAnsi="Times New Roman"/>
          <w:sz w:val="22"/>
          <w:szCs w:val="22"/>
          <w:lang w:val="sr-Latn-ME"/>
        </w:rPr>
        <w:t>ij</w:t>
      </w:r>
      <w:r w:rsidRPr="000E77D2">
        <w:rPr>
          <w:rFonts w:ascii="Times New Roman" w:hAnsi="Times New Roman"/>
          <w:sz w:val="22"/>
          <w:szCs w:val="22"/>
          <w:lang w:val="sr-Latn-ME"/>
        </w:rPr>
        <w:t>eka usl</w:t>
      </w:r>
      <w:r w:rsidR="00AB5AF6" w:rsidRPr="000E77D2">
        <w:rPr>
          <w:rFonts w:ascii="Times New Roman" w:hAnsi="Times New Roman"/>
          <w:sz w:val="22"/>
          <w:szCs w:val="22"/>
          <w:lang w:val="sr-Latn-ME"/>
        </w:rPr>
        <w:t>j</w:t>
      </w:r>
      <w:r w:rsidRPr="000E77D2">
        <w:rPr>
          <w:rFonts w:ascii="Times New Roman" w:hAnsi="Times New Roman"/>
          <w:sz w:val="22"/>
          <w:szCs w:val="22"/>
          <w:lang w:val="sr-Latn-ME"/>
        </w:rPr>
        <w:t>ed pojave neželjenih dejstava iznosila je 2,8%. Najčešće su prijavljena sl</w:t>
      </w:r>
      <w:r w:rsidR="00FA2A03" w:rsidRPr="000E77D2">
        <w:rPr>
          <w:rFonts w:ascii="Times New Roman" w:hAnsi="Times New Roman"/>
          <w:sz w:val="22"/>
          <w:szCs w:val="22"/>
          <w:lang w:val="sr-Latn-ME"/>
        </w:rPr>
        <w:t>j</w:t>
      </w:r>
      <w:r w:rsidRPr="000E77D2">
        <w:rPr>
          <w:rFonts w:ascii="Times New Roman" w:hAnsi="Times New Roman"/>
          <w:sz w:val="22"/>
          <w:szCs w:val="22"/>
          <w:lang w:val="sr-Latn-ME"/>
        </w:rPr>
        <w:t>edeća neželjena dejstva: naleti vrućine (14%) i mučnina (12%).</w:t>
      </w:r>
    </w:p>
    <w:p w14:paraId="43CC4FEC" w14:textId="77777777" w:rsidR="000450A4" w:rsidRPr="000E77D2" w:rsidRDefault="000450A4" w:rsidP="00BE6A13">
      <w:pPr>
        <w:rPr>
          <w:rFonts w:ascii="Times New Roman" w:hAnsi="Times New Roman"/>
          <w:sz w:val="22"/>
          <w:szCs w:val="22"/>
          <w:lang w:val="sr-Latn-ME"/>
        </w:rPr>
      </w:pPr>
    </w:p>
    <w:p w14:paraId="1022ED46" w14:textId="31A6B780"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Najveći broj neželjenih dejstava se može dovesti u vezu sa uobičajenim farmakološkim posl</w:t>
      </w:r>
      <w:r w:rsidR="00FA2A03" w:rsidRPr="000E77D2">
        <w:rPr>
          <w:rFonts w:ascii="Times New Roman" w:hAnsi="Times New Roman"/>
          <w:sz w:val="22"/>
          <w:szCs w:val="22"/>
          <w:lang w:val="sr-Latn-ME"/>
        </w:rPr>
        <w:t>j</w:t>
      </w:r>
      <w:r w:rsidRPr="000E77D2">
        <w:rPr>
          <w:rFonts w:ascii="Times New Roman" w:hAnsi="Times New Roman"/>
          <w:sz w:val="22"/>
          <w:szCs w:val="22"/>
          <w:lang w:val="sr-Latn-ME"/>
        </w:rPr>
        <w:t>edicama smanjenja nivoa estrogena (npr. naleti vrućine).</w:t>
      </w:r>
    </w:p>
    <w:p w14:paraId="26F5566C" w14:textId="77777777" w:rsidR="000450A4" w:rsidRPr="000E77D2" w:rsidRDefault="000450A4" w:rsidP="00BE6A13">
      <w:pPr>
        <w:pStyle w:val="Header"/>
        <w:tabs>
          <w:tab w:val="clear" w:pos="4536"/>
          <w:tab w:val="clear" w:pos="9072"/>
          <w:tab w:val="left" w:pos="284"/>
        </w:tabs>
        <w:rPr>
          <w:rFonts w:ascii="Times New Roman" w:hAnsi="Times New Roman"/>
          <w:bCs/>
          <w:color w:val="FF0000"/>
          <w:sz w:val="22"/>
          <w:szCs w:val="22"/>
          <w:lang w:val="sr-Latn-ME"/>
        </w:rPr>
      </w:pPr>
    </w:p>
    <w:p w14:paraId="2D01255B" w14:textId="631A2AED" w:rsidR="000450A4" w:rsidRPr="000E77D2" w:rsidRDefault="000450A4" w:rsidP="00BE6A13">
      <w:pPr>
        <w:pStyle w:val="Header"/>
        <w:tabs>
          <w:tab w:val="clear" w:pos="4536"/>
          <w:tab w:val="clear" w:pos="9072"/>
          <w:tab w:val="left" w:pos="284"/>
        </w:tabs>
        <w:rPr>
          <w:rFonts w:ascii="Times New Roman" w:hAnsi="Times New Roman"/>
          <w:sz w:val="22"/>
          <w:szCs w:val="22"/>
          <w:lang w:val="sr-Latn-ME"/>
        </w:rPr>
      </w:pPr>
      <w:r w:rsidRPr="000E77D2">
        <w:rPr>
          <w:rFonts w:ascii="Times New Roman" w:hAnsi="Times New Roman"/>
          <w:sz w:val="22"/>
          <w:szCs w:val="22"/>
          <w:lang w:val="sr-Latn-ME"/>
        </w:rPr>
        <w:t xml:space="preserve">Prijavljena neželjena dejstva iz kliničkih studija i postmarketinškog iskustva su u daljem tekstu klasifikovana u odnosu na </w:t>
      </w:r>
      <w:r w:rsidR="00C36892" w:rsidRPr="000E77D2">
        <w:rPr>
          <w:rFonts w:ascii="Times New Roman" w:hAnsi="Times New Roman"/>
          <w:sz w:val="22"/>
          <w:szCs w:val="22"/>
          <w:lang w:val="sr-Latn-ME"/>
        </w:rPr>
        <w:t>klasu sistema organa</w:t>
      </w:r>
      <w:r w:rsidRPr="000E77D2">
        <w:rPr>
          <w:rFonts w:ascii="Times New Roman" w:hAnsi="Times New Roman"/>
          <w:sz w:val="22"/>
          <w:szCs w:val="22"/>
          <w:lang w:val="sr-Latn-ME"/>
        </w:rPr>
        <w:t xml:space="preserve"> i učestalost.</w:t>
      </w:r>
    </w:p>
    <w:p w14:paraId="2002EFC6" w14:textId="77777777" w:rsidR="000450A4" w:rsidRPr="000E77D2" w:rsidRDefault="000450A4" w:rsidP="00BE6A13">
      <w:pPr>
        <w:pStyle w:val="Header"/>
        <w:tabs>
          <w:tab w:val="clear" w:pos="4536"/>
          <w:tab w:val="clear" w:pos="9072"/>
          <w:tab w:val="left" w:pos="284"/>
        </w:tabs>
        <w:rPr>
          <w:rFonts w:ascii="Times New Roman" w:hAnsi="Times New Roman"/>
          <w:sz w:val="22"/>
          <w:szCs w:val="22"/>
          <w:lang w:val="sr-Latn-ME"/>
        </w:rPr>
      </w:pPr>
    </w:p>
    <w:p w14:paraId="2BB53EFF" w14:textId="2D531CAE" w:rsidR="000450A4" w:rsidRPr="000E77D2" w:rsidRDefault="000450A4" w:rsidP="00BE6A13">
      <w:pPr>
        <w:pStyle w:val="Header"/>
        <w:tabs>
          <w:tab w:val="clear" w:pos="4536"/>
          <w:tab w:val="clear" w:pos="9072"/>
          <w:tab w:val="left" w:pos="284"/>
        </w:tabs>
        <w:rPr>
          <w:rFonts w:ascii="Times New Roman" w:hAnsi="Times New Roman"/>
          <w:sz w:val="22"/>
          <w:szCs w:val="22"/>
          <w:lang w:val="sr-Latn-ME"/>
        </w:rPr>
      </w:pPr>
      <w:r w:rsidRPr="000E77D2">
        <w:rPr>
          <w:rFonts w:ascii="Times New Roman" w:hAnsi="Times New Roman"/>
          <w:sz w:val="22"/>
          <w:szCs w:val="22"/>
          <w:lang w:val="sr-Latn-ME"/>
        </w:rPr>
        <w:t xml:space="preserve">Neželjena dejstva su u odnosu na učestalost definisana kao: veoma česta </w:t>
      </w:r>
      <w:r w:rsidRPr="000E77D2">
        <w:rPr>
          <w:rFonts w:ascii="Times New Roman" w:hAnsi="Times New Roman"/>
          <w:sz w:val="22"/>
          <w:szCs w:val="22"/>
          <w:lang w:val="sr-Latn-ME" w:eastAsia="en-GB"/>
        </w:rPr>
        <w:t>(≥1/10); česta (≥1/100 do &lt;1/10); povremena (≥1/1000 do &lt;1/100); r</w:t>
      </w:r>
      <w:r w:rsidR="00FA2A03" w:rsidRPr="000E77D2">
        <w:rPr>
          <w:rFonts w:ascii="Times New Roman" w:hAnsi="Times New Roman"/>
          <w:sz w:val="22"/>
          <w:szCs w:val="22"/>
          <w:lang w:val="sr-Latn-ME" w:eastAsia="en-GB"/>
        </w:rPr>
        <w:t>ij</w:t>
      </w:r>
      <w:r w:rsidRPr="000E77D2">
        <w:rPr>
          <w:rFonts w:ascii="Times New Roman" w:hAnsi="Times New Roman"/>
          <w:sz w:val="22"/>
          <w:szCs w:val="22"/>
          <w:lang w:val="sr-Latn-ME" w:eastAsia="en-GB"/>
        </w:rPr>
        <w:t>etka (≥1/10000 do &lt;1/1000); veoma r</w:t>
      </w:r>
      <w:r w:rsidR="00FA2A03" w:rsidRPr="000E77D2">
        <w:rPr>
          <w:rFonts w:ascii="Times New Roman" w:hAnsi="Times New Roman"/>
          <w:sz w:val="22"/>
          <w:szCs w:val="22"/>
          <w:lang w:val="sr-Latn-ME" w:eastAsia="en-GB"/>
        </w:rPr>
        <w:t>ij</w:t>
      </w:r>
      <w:r w:rsidRPr="000E77D2">
        <w:rPr>
          <w:rFonts w:ascii="Times New Roman" w:hAnsi="Times New Roman"/>
          <w:sz w:val="22"/>
          <w:szCs w:val="22"/>
          <w:lang w:val="sr-Latn-ME" w:eastAsia="en-GB"/>
        </w:rPr>
        <w:t>etka (&lt;1/10000); n</w:t>
      </w:r>
      <w:r w:rsidR="00AB5AF6" w:rsidRPr="000E77D2">
        <w:rPr>
          <w:rFonts w:ascii="Times New Roman" w:hAnsi="Times New Roman"/>
          <w:sz w:val="22"/>
          <w:szCs w:val="22"/>
          <w:lang w:val="sr-Latn-ME" w:eastAsia="en-GB"/>
        </w:rPr>
        <w:t>e</w:t>
      </w:r>
      <w:r w:rsidRPr="000E77D2">
        <w:rPr>
          <w:rFonts w:ascii="Times New Roman" w:hAnsi="Times New Roman"/>
          <w:sz w:val="22"/>
          <w:szCs w:val="22"/>
          <w:lang w:val="sr-Latn-ME" w:eastAsia="en-GB"/>
        </w:rPr>
        <w:t>poznata</w:t>
      </w:r>
      <w:r w:rsidR="007F16BE" w:rsidRPr="000E77D2">
        <w:rPr>
          <w:rFonts w:ascii="Times New Roman" w:hAnsi="Times New Roman"/>
          <w:sz w:val="22"/>
          <w:szCs w:val="22"/>
          <w:lang w:val="sr-Latn-ME" w:eastAsia="en-GB"/>
        </w:rPr>
        <w:t xml:space="preserve"> </w:t>
      </w:r>
      <w:r w:rsidRPr="000E77D2">
        <w:rPr>
          <w:rFonts w:ascii="Times New Roman" w:hAnsi="Times New Roman"/>
          <w:sz w:val="22"/>
          <w:szCs w:val="22"/>
          <w:lang w:val="sr-Latn-ME" w:eastAsia="en-GB"/>
        </w:rPr>
        <w:t>(ne može se proc</w:t>
      </w:r>
      <w:r w:rsidR="00FA2A03" w:rsidRPr="000E77D2">
        <w:rPr>
          <w:rFonts w:ascii="Times New Roman" w:hAnsi="Times New Roman"/>
          <w:sz w:val="22"/>
          <w:szCs w:val="22"/>
          <w:lang w:val="sr-Latn-ME" w:eastAsia="en-GB"/>
        </w:rPr>
        <w:t>ij</w:t>
      </w:r>
      <w:r w:rsidRPr="000E77D2">
        <w:rPr>
          <w:rFonts w:ascii="Times New Roman" w:hAnsi="Times New Roman"/>
          <w:sz w:val="22"/>
          <w:szCs w:val="22"/>
          <w:lang w:val="sr-Latn-ME" w:eastAsia="en-GB"/>
        </w:rPr>
        <w:t xml:space="preserve">eniti na osnovu </w:t>
      </w:r>
      <w:r w:rsidR="00934045" w:rsidRPr="000E77D2">
        <w:rPr>
          <w:rFonts w:ascii="Times New Roman" w:hAnsi="Times New Roman"/>
          <w:sz w:val="22"/>
          <w:szCs w:val="22"/>
          <w:lang w:val="sr-Latn-ME" w:eastAsia="en-GB"/>
        </w:rPr>
        <w:t xml:space="preserve">dostupnih </w:t>
      </w:r>
      <w:r w:rsidRPr="000E77D2">
        <w:rPr>
          <w:rFonts w:ascii="Times New Roman" w:hAnsi="Times New Roman"/>
          <w:sz w:val="22"/>
          <w:szCs w:val="22"/>
          <w:lang w:val="sr-Latn-ME" w:eastAsia="en-GB"/>
        </w:rPr>
        <w:t>podataka).</w:t>
      </w:r>
    </w:p>
    <w:p w14:paraId="6F1D6629" w14:textId="77777777" w:rsidR="000450A4" w:rsidRPr="000E77D2" w:rsidRDefault="000450A4" w:rsidP="00BE6A13">
      <w:pPr>
        <w:pStyle w:val="Header"/>
        <w:keepNext/>
        <w:tabs>
          <w:tab w:val="clear" w:pos="4536"/>
          <w:tab w:val="clear" w:pos="9072"/>
          <w:tab w:val="left" w:pos="284"/>
          <w:tab w:val="left" w:pos="2279"/>
        </w:tabs>
        <w:ind w:left="2126" w:hanging="2126"/>
        <w:rPr>
          <w:rFonts w:ascii="Times New Roman" w:hAnsi="Times New Roman"/>
          <w:b/>
          <w:i/>
          <w:sz w:val="22"/>
          <w:szCs w:val="22"/>
          <w:lang w:val="sr-Latn-ME"/>
        </w:rPr>
      </w:pPr>
      <w:r w:rsidRPr="000E77D2">
        <w:rPr>
          <w:rFonts w:ascii="Times New Roman" w:hAnsi="Times New Roman"/>
          <w:b/>
          <w:i/>
          <w:sz w:val="22"/>
          <w:szCs w:val="22"/>
          <w:lang w:val="sr-Latn-ME"/>
        </w:rPr>
        <w:lastRenderedPageBreak/>
        <w:t>Poremećaji krvi i limfnog sistema:</w:t>
      </w:r>
    </w:p>
    <w:p w14:paraId="55E519B2" w14:textId="7DC53EF0" w:rsidR="000450A4" w:rsidRPr="000E77D2" w:rsidRDefault="000450A4" w:rsidP="00BE6A13">
      <w:pPr>
        <w:keepNext/>
        <w:tabs>
          <w:tab w:val="left" w:pos="2279"/>
        </w:tabs>
        <w:ind w:left="2126" w:hanging="2126"/>
        <w:rPr>
          <w:rFonts w:ascii="Times New Roman" w:hAnsi="Times New Roman"/>
          <w:sz w:val="22"/>
          <w:szCs w:val="22"/>
          <w:lang w:val="sr-Latn-ME"/>
        </w:rPr>
      </w:pPr>
      <w:r w:rsidRPr="000E77D2">
        <w:rPr>
          <w:rFonts w:ascii="Times New Roman" w:hAnsi="Times New Roman"/>
          <w:i/>
          <w:sz w:val="22"/>
          <w:szCs w:val="22"/>
          <w:lang w:val="sr-Latn-ME"/>
        </w:rPr>
        <w:t>Veoma česta</w:t>
      </w:r>
      <w:r w:rsidRPr="000E77D2">
        <w:rPr>
          <w:rFonts w:ascii="Times New Roman" w:hAnsi="Times New Roman"/>
          <w:sz w:val="22"/>
          <w:szCs w:val="22"/>
          <w:lang w:val="sr-Latn-ME"/>
        </w:rPr>
        <w:tab/>
        <w:t>Leukopenija **</w:t>
      </w:r>
    </w:p>
    <w:p w14:paraId="5117A398" w14:textId="7B050970" w:rsidR="000450A4" w:rsidRPr="000E77D2" w:rsidRDefault="000450A4" w:rsidP="00BE6A13">
      <w:pPr>
        <w:keepNext/>
        <w:tabs>
          <w:tab w:val="left" w:pos="2160"/>
          <w:tab w:val="left" w:pos="2279"/>
        </w:tabs>
        <w:ind w:left="2126" w:hanging="2126"/>
        <w:rPr>
          <w:rFonts w:ascii="Times New Roman" w:hAnsi="Times New Roman"/>
          <w:sz w:val="22"/>
          <w:szCs w:val="22"/>
          <w:lang w:val="sr-Latn-ME"/>
        </w:rPr>
      </w:pPr>
      <w:r w:rsidRPr="000E77D2">
        <w:rPr>
          <w:rFonts w:ascii="Times New Roman" w:hAnsi="Times New Roman"/>
          <w:i/>
          <w:sz w:val="22"/>
          <w:szCs w:val="22"/>
          <w:lang w:val="sr-Latn-ME"/>
        </w:rPr>
        <w:t>Česta</w:t>
      </w:r>
      <w:r w:rsidRPr="000E77D2">
        <w:rPr>
          <w:rFonts w:ascii="Times New Roman" w:hAnsi="Times New Roman"/>
          <w:sz w:val="22"/>
          <w:szCs w:val="22"/>
          <w:lang w:val="sr-Latn-ME"/>
        </w:rPr>
        <w:tab/>
        <w:t>Trombocitopenija **</w:t>
      </w:r>
    </w:p>
    <w:p w14:paraId="12EBE792" w14:textId="630AFB06" w:rsidR="000450A4" w:rsidRPr="000E77D2" w:rsidRDefault="000450A4" w:rsidP="00BE6A13">
      <w:pPr>
        <w:tabs>
          <w:tab w:val="left" w:pos="2160"/>
          <w:tab w:val="left" w:pos="2279"/>
        </w:tabs>
        <w:ind w:left="2127" w:hanging="2127"/>
        <w:rPr>
          <w:rFonts w:ascii="Times New Roman" w:hAnsi="Times New Roman"/>
          <w:sz w:val="22"/>
          <w:szCs w:val="22"/>
          <w:lang w:val="sr-Latn-ME"/>
        </w:rPr>
      </w:pPr>
      <w:r w:rsidRPr="000E77D2">
        <w:rPr>
          <w:rFonts w:ascii="Times New Roman" w:hAnsi="Times New Roman"/>
          <w:i/>
          <w:sz w:val="22"/>
          <w:szCs w:val="22"/>
          <w:lang w:val="sr-Latn-ME"/>
        </w:rPr>
        <w:t>Nepoznata učestalost</w:t>
      </w:r>
      <w:r w:rsidRPr="000E77D2">
        <w:rPr>
          <w:rFonts w:ascii="Times New Roman" w:hAnsi="Times New Roman"/>
          <w:sz w:val="22"/>
          <w:szCs w:val="22"/>
          <w:lang w:val="sr-Latn-ME"/>
        </w:rPr>
        <w:tab/>
        <w:t>Smanjen broj limfocita **</w:t>
      </w:r>
    </w:p>
    <w:p w14:paraId="7F1F8E59" w14:textId="77777777" w:rsidR="000450A4" w:rsidRPr="000E77D2" w:rsidRDefault="000450A4" w:rsidP="00BE6A13">
      <w:pPr>
        <w:pStyle w:val="Header"/>
        <w:tabs>
          <w:tab w:val="clear" w:pos="4536"/>
          <w:tab w:val="clear" w:pos="9072"/>
          <w:tab w:val="left" w:pos="284"/>
          <w:tab w:val="left" w:pos="2279"/>
        </w:tabs>
        <w:ind w:left="2127" w:hanging="2127"/>
        <w:rPr>
          <w:rFonts w:ascii="Times New Roman" w:hAnsi="Times New Roman"/>
          <w:sz w:val="22"/>
          <w:szCs w:val="22"/>
          <w:lang w:val="sr-Latn-ME"/>
        </w:rPr>
      </w:pPr>
    </w:p>
    <w:p w14:paraId="78A4E304" w14:textId="68800498" w:rsidR="000450A4" w:rsidRPr="000E77D2" w:rsidRDefault="00EC0E7E" w:rsidP="00BE6A13">
      <w:pPr>
        <w:pStyle w:val="Header"/>
        <w:tabs>
          <w:tab w:val="clear" w:pos="4536"/>
          <w:tab w:val="clear" w:pos="9072"/>
          <w:tab w:val="left" w:pos="284"/>
          <w:tab w:val="left" w:pos="2279"/>
        </w:tabs>
        <w:ind w:left="2127" w:hanging="2127"/>
        <w:rPr>
          <w:rFonts w:ascii="Times New Roman" w:hAnsi="Times New Roman"/>
          <w:b/>
          <w:i/>
          <w:sz w:val="22"/>
          <w:szCs w:val="22"/>
          <w:lang w:val="sr-Latn-ME"/>
        </w:rPr>
      </w:pPr>
      <w:r w:rsidRPr="000E77D2">
        <w:rPr>
          <w:rFonts w:ascii="Times New Roman" w:hAnsi="Times New Roman"/>
          <w:b/>
          <w:i/>
          <w:sz w:val="22"/>
          <w:szCs w:val="22"/>
          <w:lang w:val="sr-Latn-ME"/>
        </w:rPr>
        <w:t>P</w:t>
      </w:r>
      <w:r w:rsidR="000450A4" w:rsidRPr="000E77D2">
        <w:rPr>
          <w:rFonts w:ascii="Times New Roman" w:hAnsi="Times New Roman"/>
          <w:b/>
          <w:i/>
          <w:sz w:val="22"/>
          <w:szCs w:val="22"/>
          <w:lang w:val="sr-Latn-ME"/>
        </w:rPr>
        <w:t>oremećaji</w:t>
      </w:r>
      <w:r w:rsidRPr="000E77D2">
        <w:rPr>
          <w:rFonts w:ascii="Times New Roman" w:hAnsi="Times New Roman"/>
          <w:b/>
          <w:i/>
          <w:sz w:val="22"/>
          <w:szCs w:val="22"/>
          <w:lang w:val="sr-Latn-ME"/>
        </w:rPr>
        <w:t xml:space="preserve"> imunog sistema</w:t>
      </w:r>
      <w:r w:rsidR="000450A4" w:rsidRPr="000E77D2">
        <w:rPr>
          <w:rFonts w:ascii="Times New Roman" w:hAnsi="Times New Roman"/>
          <w:b/>
          <w:i/>
          <w:sz w:val="22"/>
          <w:szCs w:val="22"/>
          <w:lang w:val="sr-Latn-ME"/>
        </w:rPr>
        <w:t>:</w:t>
      </w:r>
    </w:p>
    <w:p w14:paraId="68A605DD" w14:textId="1235492B" w:rsidR="000450A4" w:rsidRPr="000E77D2" w:rsidRDefault="000450A4" w:rsidP="00BE6A13">
      <w:pPr>
        <w:tabs>
          <w:tab w:val="left" w:pos="2160"/>
          <w:tab w:val="left" w:pos="2279"/>
        </w:tabs>
        <w:ind w:left="2127" w:hanging="2127"/>
        <w:rPr>
          <w:rFonts w:ascii="Times New Roman" w:hAnsi="Times New Roman"/>
          <w:sz w:val="22"/>
          <w:szCs w:val="22"/>
          <w:lang w:val="sr-Latn-ME"/>
        </w:rPr>
      </w:pPr>
      <w:r w:rsidRPr="000E77D2">
        <w:rPr>
          <w:rFonts w:ascii="Times New Roman" w:hAnsi="Times New Roman"/>
          <w:i/>
          <w:sz w:val="22"/>
          <w:szCs w:val="22"/>
          <w:lang w:val="sr-Latn-ME"/>
        </w:rPr>
        <w:t>Povremena</w:t>
      </w:r>
      <w:r w:rsidRPr="000E77D2">
        <w:rPr>
          <w:rFonts w:ascii="Times New Roman" w:hAnsi="Times New Roman"/>
          <w:sz w:val="22"/>
          <w:szCs w:val="22"/>
          <w:lang w:val="sr-Latn-ME"/>
        </w:rPr>
        <w:tab/>
        <w:t>Reakcija preos</w:t>
      </w:r>
      <w:r w:rsidR="00FA2A03" w:rsidRPr="000E77D2">
        <w:rPr>
          <w:rFonts w:ascii="Times New Roman" w:hAnsi="Times New Roman"/>
          <w:sz w:val="22"/>
          <w:szCs w:val="22"/>
          <w:lang w:val="sr-Latn-ME"/>
        </w:rPr>
        <w:t>j</w:t>
      </w:r>
      <w:r w:rsidRPr="000E77D2">
        <w:rPr>
          <w:rFonts w:ascii="Times New Roman" w:hAnsi="Times New Roman"/>
          <w:sz w:val="22"/>
          <w:szCs w:val="22"/>
          <w:lang w:val="sr-Latn-ME"/>
        </w:rPr>
        <w:t>etljivosti</w:t>
      </w:r>
    </w:p>
    <w:p w14:paraId="443BE167" w14:textId="77777777" w:rsidR="000450A4" w:rsidRPr="000E77D2" w:rsidRDefault="000450A4" w:rsidP="00BE6A13">
      <w:pPr>
        <w:pStyle w:val="Header"/>
        <w:tabs>
          <w:tab w:val="clear" w:pos="4536"/>
          <w:tab w:val="clear" w:pos="9072"/>
          <w:tab w:val="left" w:pos="284"/>
          <w:tab w:val="left" w:pos="2279"/>
        </w:tabs>
        <w:ind w:left="2127" w:hanging="2127"/>
        <w:rPr>
          <w:rFonts w:ascii="Times New Roman" w:hAnsi="Times New Roman"/>
          <w:color w:val="FF0000"/>
          <w:sz w:val="22"/>
          <w:szCs w:val="22"/>
          <w:lang w:val="sr-Latn-ME"/>
        </w:rPr>
      </w:pPr>
    </w:p>
    <w:p w14:paraId="4842F865" w14:textId="77777777" w:rsidR="000450A4" w:rsidRPr="000E77D2" w:rsidRDefault="000450A4" w:rsidP="00BE6A13">
      <w:pPr>
        <w:pStyle w:val="Header"/>
        <w:tabs>
          <w:tab w:val="clear" w:pos="4536"/>
          <w:tab w:val="clear" w:pos="9072"/>
          <w:tab w:val="left" w:pos="284"/>
          <w:tab w:val="left" w:pos="2279"/>
        </w:tabs>
        <w:ind w:left="2127" w:hanging="2127"/>
        <w:rPr>
          <w:rFonts w:ascii="Times New Roman" w:hAnsi="Times New Roman"/>
          <w:b/>
          <w:i/>
          <w:sz w:val="22"/>
          <w:szCs w:val="22"/>
          <w:lang w:val="sr-Latn-ME"/>
        </w:rPr>
      </w:pPr>
      <w:r w:rsidRPr="000E77D2">
        <w:rPr>
          <w:rFonts w:ascii="Times New Roman" w:hAnsi="Times New Roman"/>
          <w:b/>
          <w:i/>
          <w:sz w:val="22"/>
          <w:szCs w:val="22"/>
          <w:lang w:val="sr-Latn-ME"/>
        </w:rPr>
        <w:t>Poremećaji metabolizma i ishrane</w:t>
      </w:r>
    </w:p>
    <w:p w14:paraId="4C401B93" w14:textId="600C67DC" w:rsidR="000450A4" w:rsidRPr="000E77D2" w:rsidRDefault="000450A4" w:rsidP="00BE6A13">
      <w:pPr>
        <w:tabs>
          <w:tab w:val="left" w:pos="2160"/>
          <w:tab w:val="left" w:pos="2279"/>
        </w:tabs>
        <w:ind w:left="2127" w:hanging="2127"/>
        <w:rPr>
          <w:rFonts w:ascii="Times New Roman" w:hAnsi="Times New Roman"/>
          <w:sz w:val="22"/>
          <w:szCs w:val="22"/>
          <w:lang w:val="sr-Latn-ME"/>
        </w:rPr>
      </w:pPr>
      <w:r w:rsidRPr="000E77D2">
        <w:rPr>
          <w:rFonts w:ascii="Times New Roman" w:hAnsi="Times New Roman"/>
          <w:i/>
          <w:sz w:val="22"/>
          <w:szCs w:val="22"/>
          <w:lang w:val="sr-Latn-ME"/>
        </w:rPr>
        <w:t>Česta</w:t>
      </w:r>
      <w:r w:rsidRPr="000E77D2">
        <w:rPr>
          <w:rFonts w:ascii="Times New Roman" w:hAnsi="Times New Roman"/>
          <w:sz w:val="22"/>
          <w:szCs w:val="22"/>
          <w:lang w:val="sr-Latn-ME"/>
        </w:rPr>
        <w:tab/>
        <w:t>Anoreksija</w:t>
      </w:r>
    </w:p>
    <w:p w14:paraId="526EAAEC" w14:textId="77777777" w:rsidR="000450A4" w:rsidRPr="000E77D2" w:rsidRDefault="000450A4" w:rsidP="00BE6A13">
      <w:pPr>
        <w:tabs>
          <w:tab w:val="left" w:pos="2279"/>
        </w:tabs>
        <w:ind w:left="2126" w:hanging="2126"/>
        <w:rPr>
          <w:rFonts w:ascii="Times New Roman" w:hAnsi="Times New Roman"/>
          <w:sz w:val="22"/>
          <w:szCs w:val="22"/>
          <w:lang w:val="sr-Latn-ME"/>
        </w:rPr>
      </w:pPr>
    </w:p>
    <w:p w14:paraId="7A9FF560" w14:textId="77777777" w:rsidR="000450A4" w:rsidRPr="000E77D2" w:rsidRDefault="000450A4" w:rsidP="00BE6A13">
      <w:pPr>
        <w:tabs>
          <w:tab w:val="left" w:pos="2279"/>
        </w:tabs>
        <w:ind w:left="2126" w:hanging="2126"/>
        <w:rPr>
          <w:rFonts w:ascii="Times New Roman" w:hAnsi="Times New Roman"/>
          <w:b/>
          <w:i/>
          <w:sz w:val="22"/>
          <w:szCs w:val="22"/>
          <w:lang w:val="sr-Latn-ME"/>
        </w:rPr>
      </w:pPr>
      <w:r w:rsidRPr="000E77D2">
        <w:rPr>
          <w:rFonts w:ascii="Times New Roman" w:hAnsi="Times New Roman"/>
          <w:b/>
          <w:i/>
          <w:sz w:val="22"/>
          <w:szCs w:val="22"/>
          <w:lang w:val="sr-Latn-ME"/>
        </w:rPr>
        <w:t>Psihijatrijski poremećaji</w:t>
      </w:r>
    </w:p>
    <w:p w14:paraId="65955551" w14:textId="329CD683" w:rsidR="000450A4" w:rsidRPr="000E77D2" w:rsidRDefault="000450A4" w:rsidP="00BE6A13">
      <w:pPr>
        <w:tabs>
          <w:tab w:val="left" w:pos="2160"/>
          <w:tab w:val="left" w:pos="2279"/>
        </w:tabs>
        <w:ind w:left="2127" w:hanging="2127"/>
        <w:rPr>
          <w:rFonts w:ascii="Times New Roman" w:hAnsi="Times New Roman"/>
          <w:sz w:val="22"/>
          <w:szCs w:val="22"/>
          <w:lang w:val="sr-Latn-ME"/>
        </w:rPr>
      </w:pPr>
      <w:r w:rsidRPr="000E77D2">
        <w:rPr>
          <w:rFonts w:ascii="Times New Roman" w:hAnsi="Times New Roman"/>
          <w:i/>
          <w:sz w:val="22"/>
          <w:szCs w:val="22"/>
          <w:lang w:val="sr-Latn-ME"/>
        </w:rPr>
        <w:t>Veoma česta</w:t>
      </w:r>
      <w:r w:rsidRPr="000E77D2">
        <w:rPr>
          <w:rFonts w:ascii="Times New Roman" w:hAnsi="Times New Roman"/>
          <w:sz w:val="22"/>
          <w:szCs w:val="22"/>
          <w:lang w:val="sr-Latn-ME"/>
        </w:rPr>
        <w:tab/>
        <w:t>Depresija, nesanica</w:t>
      </w:r>
    </w:p>
    <w:p w14:paraId="2CF6DE6B" w14:textId="77777777" w:rsidR="000450A4" w:rsidRPr="000E77D2" w:rsidRDefault="000450A4" w:rsidP="00BE6A13">
      <w:pPr>
        <w:tabs>
          <w:tab w:val="left" w:pos="2160"/>
          <w:tab w:val="left" w:pos="2279"/>
        </w:tabs>
        <w:ind w:left="2127" w:hanging="2127"/>
        <w:rPr>
          <w:rFonts w:ascii="Times New Roman" w:hAnsi="Times New Roman"/>
          <w:sz w:val="22"/>
          <w:szCs w:val="22"/>
          <w:lang w:val="sr-Latn-ME"/>
        </w:rPr>
      </w:pPr>
    </w:p>
    <w:p w14:paraId="15BF681F" w14:textId="77777777" w:rsidR="000450A4" w:rsidRPr="000E77D2" w:rsidRDefault="000450A4" w:rsidP="00BE6A13">
      <w:pPr>
        <w:tabs>
          <w:tab w:val="left" w:pos="2279"/>
        </w:tabs>
        <w:ind w:left="2127" w:hanging="2127"/>
        <w:rPr>
          <w:rFonts w:ascii="Times New Roman" w:hAnsi="Times New Roman"/>
          <w:b/>
          <w:i/>
          <w:sz w:val="22"/>
          <w:szCs w:val="22"/>
          <w:lang w:val="sr-Latn-ME"/>
        </w:rPr>
      </w:pPr>
      <w:r w:rsidRPr="000E77D2">
        <w:rPr>
          <w:rFonts w:ascii="Times New Roman" w:hAnsi="Times New Roman"/>
          <w:b/>
          <w:i/>
          <w:sz w:val="22"/>
          <w:szCs w:val="22"/>
          <w:lang w:val="sr-Latn-ME"/>
        </w:rPr>
        <w:t>Poremećaji nervnog sistema</w:t>
      </w:r>
    </w:p>
    <w:p w14:paraId="6B0A180B" w14:textId="793CC368" w:rsidR="000450A4" w:rsidRPr="000E77D2" w:rsidRDefault="000450A4" w:rsidP="00BE6A13">
      <w:pPr>
        <w:tabs>
          <w:tab w:val="left" w:pos="2160"/>
          <w:tab w:val="left" w:pos="2279"/>
        </w:tabs>
        <w:ind w:left="2127" w:hanging="2127"/>
        <w:rPr>
          <w:rFonts w:ascii="Times New Roman" w:hAnsi="Times New Roman"/>
          <w:sz w:val="22"/>
          <w:szCs w:val="22"/>
          <w:lang w:val="sr-Latn-ME"/>
        </w:rPr>
      </w:pPr>
      <w:r w:rsidRPr="000E77D2">
        <w:rPr>
          <w:rFonts w:ascii="Times New Roman" w:hAnsi="Times New Roman"/>
          <w:i/>
          <w:sz w:val="22"/>
          <w:szCs w:val="22"/>
          <w:lang w:val="sr-Latn-ME"/>
        </w:rPr>
        <w:t>Veoma česta</w:t>
      </w:r>
      <w:r w:rsidRPr="000E77D2">
        <w:rPr>
          <w:rFonts w:ascii="Times New Roman" w:hAnsi="Times New Roman"/>
          <w:sz w:val="22"/>
          <w:szCs w:val="22"/>
          <w:lang w:val="sr-Latn-ME"/>
        </w:rPr>
        <w:tab/>
        <w:t>Glavobolja, vrtoglavica</w:t>
      </w:r>
    </w:p>
    <w:p w14:paraId="7D495355" w14:textId="3A42699C" w:rsidR="000450A4" w:rsidRPr="000E77D2" w:rsidRDefault="000450A4" w:rsidP="00BE6A13">
      <w:pPr>
        <w:tabs>
          <w:tab w:val="left" w:pos="2160"/>
          <w:tab w:val="left" w:pos="2279"/>
        </w:tabs>
        <w:ind w:left="2127" w:hanging="2127"/>
        <w:rPr>
          <w:rFonts w:ascii="Times New Roman" w:hAnsi="Times New Roman"/>
          <w:sz w:val="22"/>
          <w:szCs w:val="22"/>
          <w:lang w:val="sr-Latn-ME"/>
        </w:rPr>
      </w:pPr>
      <w:r w:rsidRPr="000E77D2">
        <w:rPr>
          <w:rFonts w:ascii="Times New Roman" w:hAnsi="Times New Roman"/>
          <w:i/>
          <w:sz w:val="22"/>
          <w:szCs w:val="22"/>
          <w:lang w:val="sr-Latn-ME"/>
        </w:rPr>
        <w:t>Česta</w:t>
      </w:r>
      <w:r w:rsidRPr="000E77D2">
        <w:rPr>
          <w:rFonts w:ascii="Times New Roman" w:hAnsi="Times New Roman"/>
          <w:sz w:val="22"/>
          <w:szCs w:val="22"/>
          <w:lang w:val="sr-Latn-ME"/>
        </w:rPr>
        <w:tab/>
        <w:t>Sindrom karpalnog tunela, parestezija</w:t>
      </w:r>
    </w:p>
    <w:p w14:paraId="010ECEF5" w14:textId="20DA4729" w:rsidR="000450A4" w:rsidRPr="000E77D2" w:rsidRDefault="000450A4" w:rsidP="00BE6A13">
      <w:pPr>
        <w:tabs>
          <w:tab w:val="left" w:pos="2160"/>
          <w:tab w:val="left" w:pos="2279"/>
        </w:tabs>
        <w:ind w:left="2127" w:hanging="2127"/>
        <w:rPr>
          <w:rFonts w:ascii="Times New Roman" w:hAnsi="Times New Roman"/>
          <w:sz w:val="22"/>
          <w:szCs w:val="22"/>
          <w:lang w:val="sr-Latn-ME"/>
        </w:rPr>
      </w:pPr>
      <w:r w:rsidRPr="000E77D2">
        <w:rPr>
          <w:rFonts w:ascii="Times New Roman" w:hAnsi="Times New Roman"/>
          <w:i/>
          <w:sz w:val="22"/>
          <w:szCs w:val="22"/>
          <w:lang w:val="sr-Latn-ME"/>
        </w:rPr>
        <w:t>R</w:t>
      </w:r>
      <w:r w:rsidR="00FA2A03" w:rsidRPr="000E77D2">
        <w:rPr>
          <w:rFonts w:ascii="Times New Roman" w:hAnsi="Times New Roman"/>
          <w:i/>
          <w:sz w:val="22"/>
          <w:szCs w:val="22"/>
          <w:lang w:val="sr-Latn-ME"/>
        </w:rPr>
        <w:t>ij</w:t>
      </w:r>
      <w:r w:rsidRPr="000E77D2">
        <w:rPr>
          <w:rFonts w:ascii="Times New Roman" w:hAnsi="Times New Roman"/>
          <w:i/>
          <w:sz w:val="22"/>
          <w:szCs w:val="22"/>
          <w:lang w:val="sr-Latn-ME"/>
        </w:rPr>
        <w:t>etka</w:t>
      </w:r>
      <w:r w:rsidRPr="000E77D2">
        <w:rPr>
          <w:rFonts w:ascii="Times New Roman" w:hAnsi="Times New Roman"/>
          <w:sz w:val="22"/>
          <w:szCs w:val="22"/>
          <w:lang w:val="sr-Latn-ME"/>
        </w:rPr>
        <w:tab/>
        <w:t>Somnolencija</w:t>
      </w:r>
    </w:p>
    <w:p w14:paraId="30262FD9" w14:textId="77777777" w:rsidR="000450A4" w:rsidRPr="000E77D2" w:rsidRDefault="000450A4" w:rsidP="00BE6A13">
      <w:pPr>
        <w:tabs>
          <w:tab w:val="left" w:pos="2279"/>
        </w:tabs>
        <w:ind w:left="2127" w:hanging="2127"/>
        <w:rPr>
          <w:rFonts w:ascii="Times New Roman" w:hAnsi="Times New Roman"/>
          <w:b/>
          <w:i/>
          <w:sz w:val="22"/>
          <w:szCs w:val="22"/>
          <w:lang w:val="sr-Latn-ME"/>
        </w:rPr>
      </w:pPr>
    </w:p>
    <w:p w14:paraId="44065D11" w14:textId="77777777" w:rsidR="000450A4" w:rsidRPr="000E77D2" w:rsidRDefault="000450A4" w:rsidP="00BE6A13">
      <w:pPr>
        <w:tabs>
          <w:tab w:val="left" w:pos="2279"/>
        </w:tabs>
        <w:ind w:left="2127" w:hanging="2127"/>
        <w:rPr>
          <w:rFonts w:ascii="Times New Roman" w:hAnsi="Times New Roman"/>
          <w:b/>
          <w:i/>
          <w:sz w:val="22"/>
          <w:szCs w:val="22"/>
          <w:lang w:val="sr-Latn-ME"/>
        </w:rPr>
      </w:pPr>
      <w:r w:rsidRPr="000E77D2">
        <w:rPr>
          <w:rFonts w:ascii="Times New Roman" w:hAnsi="Times New Roman"/>
          <w:b/>
          <w:i/>
          <w:sz w:val="22"/>
          <w:szCs w:val="22"/>
          <w:lang w:val="sr-Latn-ME"/>
        </w:rPr>
        <w:t>Vaskularni poremećaji</w:t>
      </w:r>
    </w:p>
    <w:p w14:paraId="432D3439" w14:textId="2C25D344" w:rsidR="000450A4" w:rsidRPr="000E77D2" w:rsidRDefault="000450A4" w:rsidP="00BE6A13">
      <w:pPr>
        <w:tabs>
          <w:tab w:val="left" w:pos="2160"/>
          <w:tab w:val="left" w:pos="2279"/>
        </w:tabs>
        <w:ind w:left="2127" w:hanging="2127"/>
        <w:rPr>
          <w:rFonts w:ascii="Times New Roman" w:hAnsi="Times New Roman"/>
          <w:sz w:val="22"/>
          <w:szCs w:val="22"/>
          <w:lang w:val="sr-Latn-ME"/>
        </w:rPr>
      </w:pPr>
      <w:r w:rsidRPr="000E77D2">
        <w:rPr>
          <w:rFonts w:ascii="Times New Roman" w:hAnsi="Times New Roman"/>
          <w:i/>
          <w:sz w:val="22"/>
          <w:szCs w:val="22"/>
          <w:lang w:val="sr-Latn-ME"/>
        </w:rPr>
        <w:t>Veoma česta</w:t>
      </w:r>
      <w:r w:rsidRPr="000E77D2">
        <w:rPr>
          <w:rFonts w:ascii="Times New Roman" w:hAnsi="Times New Roman"/>
          <w:sz w:val="22"/>
          <w:szCs w:val="22"/>
          <w:lang w:val="sr-Latn-ME"/>
        </w:rPr>
        <w:tab/>
        <w:t>Naleti vrućine</w:t>
      </w:r>
    </w:p>
    <w:p w14:paraId="3839452D" w14:textId="77777777" w:rsidR="000450A4" w:rsidRPr="000E77D2" w:rsidRDefault="000450A4" w:rsidP="00BE6A13">
      <w:pPr>
        <w:tabs>
          <w:tab w:val="left" w:pos="2279"/>
        </w:tabs>
        <w:ind w:left="2127" w:hanging="2127"/>
        <w:rPr>
          <w:rFonts w:ascii="Times New Roman" w:hAnsi="Times New Roman"/>
          <w:sz w:val="22"/>
          <w:szCs w:val="22"/>
          <w:lang w:val="sr-Latn-ME"/>
        </w:rPr>
      </w:pPr>
    </w:p>
    <w:p w14:paraId="081F9A5B" w14:textId="77777777" w:rsidR="000450A4" w:rsidRPr="000E77D2" w:rsidRDefault="000450A4" w:rsidP="00BE6A13">
      <w:pPr>
        <w:tabs>
          <w:tab w:val="left" w:pos="2279"/>
        </w:tabs>
        <w:ind w:left="2127" w:hanging="2127"/>
        <w:rPr>
          <w:rFonts w:ascii="Times New Roman" w:hAnsi="Times New Roman"/>
          <w:b/>
          <w:i/>
          <w:sz w:val="22"/>
          <w:szCs w:val="22"/>
          <w:lang w:val="sr-Latn-ME"/>
        </w:rPr>
      </w:pPr>
      <w:r w:rsidRPr="000E77D2">
        <w:rPr>
          <w:rFonts w:ascii="Times New Roman" w:hAnsi="Times New Roman"/>
          <w:b/>
          <w:i/>
          <w:sz w:val="22"/>
          <w:szCs w:val="22"/>
          <w:lang w:val="sr-Latn-ME"/>
        </w:rPr>
        <w:t>Gastrointestinalni poremećaji</w:t>
      </w:r>
    </w:p>
    <w:p w14:paraId="3F7141B7" w14:textId="5EB892B9" w:rsidR="000450A4" w:rsidRPr="000E77D2" w:rsidRDefault="000450A4" w:rsidP="00BE6A13">
      <w:pPr>
        <w:tabs>
          <w:tab w:val="left" w:pos="2172"/>
          <w:tab w:val="left" w:pos="2279"/>
        </w:tabs>
        <w:ind w:left="2127" w:hanging="2127"/>
        <w:rPr>
          <w:rFonts w:ascii="Times New Roman" w:hAnsi="Times New Roman"/>
          <w:sz w:val="22"/>
          <w:szCs w:val="22"/>
          <w:lang w:val="sr-Latn-ME"/>
        </w:rPr>
      </w:pPr>
      <w:r w:rsidRPr="000E77D2">
        <w:rPr>
          <w:rFonts w:ascii="Times New Roman" w:hAnsi="Times New Roman"/>
          <w:i/>
          <w:sz w:val="22"/>
          <w:szCs w:val="22"/>
          <w:lang w:val="sr-Latn-ME"/>
        </w:rPr>
        <w:t>Veoma česta</w:t>
      </w:r>
      <w:r w:rsidRPr="000E77D2">
        <w:rPr>
          <w:rFonts w:ascii="Times New Roman" w:hAnsi="Times New Roman"/>
          <w:sz w:val="22"/>
          <w:szCs w:val="22"/>
          <w:lang w:val="sr-Latn-ME"/>
        </w:rPr>
        <w:tab/>
        <w:t>Bol u abdomenu, mučnina</w:t>
      </w:r>
    </w:p>
    <w:p w14:paraId="76F2ED35" w14:textId="1077D9D8" w:rsidR="000450A4" w:rsidRPr="000E77D2" w:rsidRDefault="000450A4" w:rsidP="00BE6A13">
      <w:pPr>
        <w:tabs>
          <w:tab w:val="left" w:pos="2172"/>
          <w:tab w:val="left" w:pos="2279"/>
        </w:tabs>
        <w:ind w:left="2127" w:hanging="2127"/>
        <w:rPr>
          <w:rFonts w:ascii="Times New Roman" w:hAnsi="Times New Roman"/>
          <w:sz w:val="22"/>
          <w:szCs w:val="22"/>
          <w:lang w:val="sr-Latn-ME"/>
        </w:rPr>
      </w:pPr>
      <w:r w:rsidRPr="000E77D2">
        <w:rPr>
          <w:rFonts w:ascii="Times New Roman" w:hAnsi="Times New Roman"/>
          <w:i/>
          <w:sz w:val="22"/>
          <w:szCs w:val="22"/>
          <w:lang w:val="sr-Latn-ME"/>
        </w:rPr>
        <w:t>Česta</w:t>
      </w:r>
      <w:r w:rsidRPr="000E77D2">
        <w:rPr>
          <w:rFonts w:ascii="Times New Roman" w:hAnsi="Times New Roman"/>
          <w:sz w:val="22"/>
          <w:szCs w:val="22"/>
          <w:lang w:val="sr-Latn-ME"/>
        </w:rPr>
        <w:tab/>
        <w:t xml:space="preserve">Povraćanje, dijareja, </w:t>
      </w:r>
      <w:r w:rsidR="00D66CCD" w:rsidRPr="000E77D2">
        <w:rPr>
          <w:rFonts w:ascii="Times New Roman" w:hAnsi="Times New Roman"/>
          <w:sz w:val="22"/>
          <w:szCs w:val="22"/>
          <w:lang w:val="sr-Latn-ME"/>
        </w:rPr>
        <w:t>konstipacija</w:t>
      </w:r>
      <w:r w:rsidRPr="000E77D2">
        <w:rPr>
          <w:rFonts w:ascii="Times New Roman" w:hAnsi="Times New Roman"/>
          <w:sz w:val="22"/>
          <w:szCs w:val="22"/>
          <w:lang w:val="sr-Latn-ME"/>
        </w:rPr>
        <w:t>, dispepsija</w:t>
      </w:r>
    </w:p>
    <w:p w14:paraId="60830163" w14:textId="77777777" w:rsidR="000450A4" w:rsidRPr="000E77D2" w:rsidRDefault="000450A4" w:rsidP="00BE6A13">
      <w:pPr>
        <w:tabs>
          <w:tab w:val="left" w:pos="2279"/>
        </w:tabs>
        <w:ind w:left="2127" w:hanging="2127"/>
        <w:rPr>
          <w:rFonts w:ascii="Times New Roman" w:hAnsi="Times New Roman"/>
          <w:b/>
          <w:i/>
          <w:sz w:val="22"/>
          <w:szCs w:val="22"/>
          <w:lang w:val="sr-Latn-ME"/>
        </w:rPr>
      </w:pPr>
    </w:p>
    <w:p w14:paraId="1CD92BD4" w14:textId="77777777" w:rsidR="000450A4" w:rsidRPr="000E77D2" w:rsidRDefault="000450A4" w:rsidP="00BE6A13">
      <w:pPr>
        <w:tabs>
          <w:tab w:val="left" w:pos="2172"/>
          <w:tab w:val="left" w:pos="2279"/>
        </w:tabs>
        <w:ind w:left="2127" w:hanging="2127"/>
        <w:rPr>
          <w:rFonts w:ascii="Times New Roman" w:hAnsi="Times New Roman"/>
          <w:b/>
          <w:i/>
          <w:sz w:val="22"/>
          <w:szCs w:val="22"/>
          <w:lang w:val="sr-Latn-ME"/>
        </w:rPr>
      </w:pPr>
      <w:r w:rsidRPr="000E77D2">
        <w:rPr>
          <w:rFonts w:ascii="Times New Roman" w:hAnsi="Times New Roman"/>
          <w:b/>
          <w:i/>
          <w:sz w:val="22"/>
          <w:szCs w:val="22"/>
          <w:lang w:val="sr-Latn-ME"/>
        </w:rPr>
        <w:t>Hepatobilijarni poremećaji</w:t>
      </w:r>
    </w:p>
    <w:p w14:paraId="039F1F93" w14:textId="7F2DD8CC" w:rsidR="000450A4" w:rsidRPr="000E77D2" w:rsidRDefault="000450A4" w:rsidP="00BE6A13">
      <w:pPr>
        <w:tabs>
          <w:tab w:val="left" w:pos="2172"/>
          <w:tab w:val="left" w:pos="2279"/>
        </w:tabs>
        <w:ind w:left="2127" w:hanging="2127"/>
        <w:rPr>
          <w:rFonts w:ascii="Times New Roman" w:hAnsi="Times New Roman"/>
          <w:sz w:val="22"/>
          <w:szCs w:val="22"/>
          <w:lang w:val="sr-Latn-ME"/>
        </w:rPr>
      </w:pPr>
      <w:r w:rsidRPr="000E77D2">
        <w:rPr>
          <w:rFonts w:ascii="Times New Roman" w:hAnsi="Times New Roman"/>
          <w:i/>
          <w:sz w:val="22"/>
          <w:szCs w:val="22"/>
          <w:lang w:val="sr-Latn-ME"/>
        </w:rPr>
        <w:t>R</w:t>
      </w:r>
      <w:r w:rsidR="00FA2A03" w:rsidRPr="000E77D2">
        <w:rPr>
          <w:rFonts w:ascii="Times New Roman" w:hAnsi="Times New Roman"/>
          <w:i/>
          <w:sz w:val="22"/>
          <w:szCs w:val="22"/>
          <w:lang w:val="sr-Latn-ME"/>
        </w:rPr>
        <w:t>ij</w:t>
      </w:r>
      <w:r w:rsidRPr="000E77D2">
        <w:rPr>
          <w:rFonts w:ascii="Times New Roman" w:hAnsi="Times New Roman"/>
          <w:i/>
          <w:sz w:val="22"/>
          <w:szCs w:val="22"/>
          <w:lang w:val="sr-Latn-ME"/>
        </w:rPr>
        <w:t>etka</w:t>
      </w:r>
      <w:r w:rsidRPr="000E77D2">
        <w:rPr>
          <w:rFonts w:ascii="Times New Roman" w:hAnsi="Times New Roman"/>
          <w:sz w:val="22"/>
          <w:szCs w:val="22"/>
          <w:lang w:val="sr-Latn-ME"/>
        </w:rPr>
        <w:tab/>
        <w:t>Hepatitis</w:t>
      </w:r>
      <w:r w:rsidRPr="000E77D2">
        <w:rPr>
          <w:rFonts w:ascii="Times New Roman" w:hAnsi="Times New Roman"/>
          <w:sz w:val="22"/>
          <w:szCs w:val="22"/>
          <w:vertAlign w:val="superscript"/>
          <w:lang w:val="sr-Latn-ME"/>
        </w:rPr>
        <w:t>†</w:t>
      </w:r>
      <w:r w:rsidRPr="000E77D2">
        <w:rPr>
          <w:rFonts w:ascii="Times New Roman" w:hAnsi="Times New Roman"/>
          <w:sz w:val="22"/>
          <w:szCs w:val="22"/>
          <w:lang w:val="sr-Latn-ME"/>
        </w:rPr>
        <w:t>, holestatski hepatitis</w:t>
      </w:r>
      <w:r w:rsidRPr="000E77D2">
        <w:rPr>
          <w:rFonts w:ascii="Times New Roman" w:hAnsi="Times New Roman"/>
          <w:sz w:val="22"/>
          <w:szCs w:val="22"/>
          <w:vertAlign w:val="superscript"/>
          <w:lang w:val="sr-Latn-ME"/>
        </w:rPr>
        <w:t>†</w:t>
      </w:r>
    </w:p>
    <w:p w14:paraId="0A8AEFA5" w14:textId="77777777" w:rsidR="000450A4" w:rsidRPr="000E77D2" w:rsidRDefault="000450A4" w:rsidP="00BE6A13">
      <w:pPr>
        <w:tabs>
          <w:tab w:val="left" w:pos="2279"/>
        </w:tabs>
        <w:ind w:left="2127" w:hanging="2127"/>
        <w:rPr>
          <w:rFonts w:ascii="Times New Roman" w:hAnsi="Times New Roman"/>
          <w:b/>
          <w:i/>
          <w:color w:val="FF0000"/>
          <w:sz w:val="22"/>
          <w:szCs w:val="22"/>
          <w:lang w:val="sr-Latn-ME"/>
        </w:rPr>
      </w:pPr>
    </w:p>
    <w:p w14:paraId="0F184AFC" w14:textId="77777777" w:rsidR="000450A4" w:rsidRPr="000E77D2" w:rsidRDefault="000450A4" w:rsidP="00BE6A13">
      <w:pPr>
        <w:tabs>
          <w:tab w:val="left" w:pos="2279"/>
        </w:tabs>
        <w:ind w:left="2127" w:hanging="2127"/>
        <w:rPr>
          <w:rFonts w:ascii="Times New Roman" w:hAnsi="Times New Roman"/>
          <w:b/>
          <w:i/>
          <w:sz w:val="22"/>
          <w:szCs w:val="22"/>
          <w:lang w:val="sr-Latn-ME"/>
        </w:rPr>
      </w:pPr>
      <w:r w:rsidRPr="000E77D2">
        <w:rPr>
          <w:rFonts w:ascii="Times New Roman" w:hAnsi="Times New Roman"/>
          <w:b/>
          <w:i/>
          <w:sz w:val="22"/>
          <w:szCs w:val="22"/>
          <w:lang w:val="sr-Latn-ME"/>
        </w:rPr>
        <w:t>Poremećaji kože i potkožnog tkiva</w:t>
      </w:r>
    </w:p>
    <w:p w14:paraId="3201684F" w14:textId="451C1E7D" w:rsidR="000450A4" w:rsidRPr="000E77D2" w:rsidRDefault="000450A4" w:rsidP="00BE6A13">
      <w:pPr>
        <w:tabs>
          <w:tab w:val="left" w:pos="2172"/>
          <w:tab w:val="left" w:pos="2279"/>
        </w:tabs>
        <w:ind w:left="2127" w:hanging="2127"/>
        <w:rPr>
          <w:rFonts w:ascii="Times New Roman" w:hAnsi="Times New Roman"/>
          <w:sz w:val="22"/>
          <w:szCs w:val="22"/>
          <w:lang w:val="sr-Latn-ME"/>
        </w:rPr>
      </w:pPr>
      <w:r w:rsidRPr="000E77D2">
        <w:rPr>
          <w:rFonts w:ascii="Times New Roman" w:hAnsi="Times New Roman"/>
          <w:i/>
          <w:sz w:val="22"/>
          <w:szCs w:val="22"/>
          <w:lang w:val="sr-Latn-ME"/>
        </w:rPr>
        <w:t>Veoma česta</w:t>
      </w:r>
      <w:r w:rsidRPr="000E77D2">
        <w:rPr>
          <w:rFonts w:ascii="Times New Roman" w:hAnsi="Times New Roman"/>
          <w:sz w:val="22"/>
          <w:szCs w:val="22"/>
          <w:lang w:val="sr-Latn-ME"/>
        </w:rPr>
        <w:tab/>
      </w:r>
      <w:r w:rsidR="006609BB" w:rsidRPr="000E77D2">
        <w:rPr>
          <w:rFonts w:ascii="Times New Roman" w:hAnsi="Times New Roman"/>
          <w:sz w:val="22"/>
          <w:szCs w:val="22"/>
          <w:lang w:val="sr-Latn-ME"/>
        </w:rPr>
        <w:t>Hiperhidroza</w:t>
      </w:r>
    </w:p>
    <w:p w14:paraId="7B0B7277" w14:textId="2DD7CEBE" w:rsidR="000450A4" w:rsidRPr="000E77D2" w:rsidRDefault="000450A4" w:rsidP="00BE6A13">
      <w:pPr>
        <w:tabs>
          <w:tab w:val="left" w:pos="2172"/>
          <w:tab w:val="left" w:pos="2279"/>
        </w:tabs>
        <w:ind w:left="2127" w:hanging="2127"/>
        <w:rPr>
          <w:rFonts w:ascii="Times New Roman" w:hAnsi="Times New Roman"/>
          <w:sz w:val="22"/>
          <w:szCs w:val="22"/>
          <w:lang w:val="sr-Latn-ME"/>
        </w:rPr>
      </w:pPr>
      <w:r w:rsidRPr="000E77D2">
        <w:rPr>
          <w:rFonts w:ascii="Times New Roman" w:hAnsi="Times New Roman"/>
          <w:i/>
          <w:sz w:val="22"/>
          <w:szCs w:val="22"/>
          <w:lang w:val="sr-Latn-ME"/>
        </w:rPr>
        <w:t>Česta</w:t>
      </w:r>
      <w:r w:rsidRPr="000E77D2">
        <w:rPr>
          <w:rFonts w:ascii="Times New Roman" w:hAnsi="Times New Roman"/>
          <w:sz w:val="22"/>
          <w:szCs w:val="22"/>
          <w:lang w:val="sr-Latn-ME"/>
        </w:rPr>
        <w:tab/>
        <w:t>Alopecija, osip, urtikarija, svrab</w:t>
      </w:r>
    </w:p>
    <w:p w14:paraId="01334249" w14:textId="28B35ED0" w:rsidR="000450A4" w:rsidRPr="000E77D2" w:rsidRDefault="000450A4" w:rsidP="00BE6A13">
      <w:pPr>
        <w:tabs>
          <w:tab w:val="left" w:pos="2279"/>
        </w:tabs>
        <w:ind w:left="2127" w:hanging="2127"/>
        <w:rPr>
          <w:rFonts w:ascii="Times New Roman" w:hAnsi="Times New Roman"/>
          <w:sz w:val="22"/>
          <w:szCs w:val="22"/>
          <w:lang w:val="sr-Latn-ME"/>
        </w:rPr>
      </w:pPr>
      <w:r w:rsidRPr="000E77D2">
        <w:rPr>
          <w:rFonts w:ascii="Times New Roman" w:hAnsi="Times New Roman"/>
          <w:i/>
          <w:sz w:val="22"/>
          <w:szCs w:val="22"/>
          <w:lang w:val="sr-Latn-ME"/>
        </w:rPr>
        <w:t>R</w:t>
      </w:r>
      <w:r w:rsidR="00FA2A03" w:rsidRPr="000E77D2">
        <w:rPr>
          <w:rFonts w:ascii="Times New Roman" w:hAnsi="Times New Roman"/>
          <w:i/>
          <w:sz w:val="22"/>
          <w:szCs w:val="22"/>
          <w:lang w:val="sr-Latn-ME"/>
        </w:rPr>
        <w:t>ij</w:t>
      </w:r>
      <w:r w:rsidRPr="000E77D2">
        <w:rPr>
          <w:rFonts w:ascii="Times New Roman" w:hAnsi="Times New Roman"/>
          <w:i/>
          <w:sz w:val="22"/>
          <w:szCs w:val="22"/>
          <w:lang w:val="sr-Latn-ME"/>
        </w:rPr>
        <w:t>etka</w:t>
      </w:r>
      <w:r w:rsidRPr="000E77D2">
        <w:rPr>
          <w:rFonts w:ascii="Times New Roman" w:hAnsi="Times New Roman"/>
          <w:sz w:val="22"/>
          <w:szCs w:val="22"/>
          <w:lang w:val="sr-Latn-ME"/>
        </w:rPr>
        <w:tab/>
        <w:t>Akutna generalizovana egzantematozna pustuloza</w:t>
      </w:r>
      <w:r w:rsidRPr="000E77D2">
        <w:rPr>
          <w:rFonts w:ascii="Times New Roman" w:hAnsi="Times New Roman"/>
          <w:sz w:val="22"/>
          <w:szCs w:val="22"/>
          <w:vertAlign w:val="superscript"/>
          <w:lang w:val="sr-Latn-ME"/>
        </w:rPr>
        <w:t>†</w:t>
      </w:r>
    </w:p>
    <w:p w14:paraId="26829229" w14:textId="77777777" w:rsidR="000450A4" w:rsidRPr="000E77D2" w:rsidRDefault="000450A4" w:rsidP="00BE6A13">
      <w:pPr>
        <w:tabs>
          <w:tab w:val="left" w:pos="2172"/>
          <w:tab w:val="left" w:pos="2279"/>
        </w:tabs>
        <w:ind w:left="2127" w:hanging="2127"/>
        <w:rPr>
          <w:rFonts w:ascii="Times New Roman" w:hAnsi="Times New Roman"/>
          <w:sz w:val="22"/>
          <w:szCs w:val="22"/>
          <w:lang w:val="sr-Latn-ME"/>
        </w:rPr>
      </w:pPr>
    </w:p>
    <w:p w14:paraId="7A2DE5BD" w14:textId="04491288" w:rsidR="000450A4" w:rsidRPr="000E77D2" w:rsidRDefault="000450A4" w:rsidP="00BE6A13">
      <w:pPr>
        <w:tabs>
          <w:tab w:val="left" w:pos="2172"/>
          <w:tab w:val="left" w:pos="2279"/>
        </w:tabs>
        <w:ind w:left="2127" w:hanging="2127"/>
        <w:rPr>
          <w:rFonts w:ascii="Times New Roman" w:hAnsi="Times New Roman"/>
          <w:b/>
          <w:i/>
          <w:sz w:val="22"/>
          <w:szCs w:val="22"/>
          <w:lang w:val="sr-Latn-ME"/>
        </w:rPr>
      </w:pPr>
      <w:r w:rsidRPr="000E77D2">
        <w:rPr>
          <w:rFonts w:ascii="Times New Roman" w:hAnsi="Times New Roman"/>
          <w:b/>
          <w:i/>
          <w:sz w:val="22"/>
          <w:szCs w:val="22"/>
          <w:lang w:val="sr-Latn-ME"/>
        </w:rPr>
        <w:t>Poremećaji mišićno-</w:t>
      </w:r>
      <w:r w:rsidR="00EC0E7E" w:rsidRPr="000E77D2">
        <w:rPr>
          <w:rFonts w:ascii="Times New Roman" w:hAnsi="Times New Roman"/>
          <w:b/>
          <w:i/>
          <w:sz w:val="22"/>
          <w:szCs w:val="22"/>
          <w:lang w:val="sr-Latn-ME"/>
        </w:rPr>
        <w:t>koštanog sistema i</w:t>
      </w:r>
      <w:r w:rsidRPr="000E77D2">
        <w:rPr>
          <w:rFonts w:ascii="Times New Roman" w:hAnsi="Times New Roman"/>
          <w:b/>
          <w:i/>
          <w:sz w:val="22"/>
          <w:szCs w:val="22"/>
          <w:lang w:val="sr-Latn-ME"/>
        </w:rPr>
        <w:t xml:space="preserve"> vezivnog tkiva</w:t>
      </w:r>
    </w:p>
    <w:p w14:paraId="4DD38DDD" w14:textId="56CE7AB8" w:rsidR="000450A4" w:rsidRPr="000E77D2" w:rsidRDefault="000450A4" w:rsidP="00BE6A13">
      <w:pPr>
        <w:tabs>
          <w:tab w:val="left" w:pos="2172"/>
          <w:tab w:val="left" w:pos="2279"/>
        </w:tabs>
        <w:ind w:left="2127" w:hanging="2127"/>
        <w:rPr>
          <w:rFonts w:ascii="Times New Roman" w:hAnsi="Times New Roman"/>
          <w:b/>
          <w:sz w:val="22"/>
          <w:szCs w:val="22"/>
          <w:lang w:val="sr-Latn-ME"/>
        </w:rPr>
      </w:pPr>
      <w:r w:rsidRPr="000E77D2">
        <w:rPr>
          <w:rFonts w:ascii="Times New Roman" w:hAnsi="Times New Roman"/>
          <w:i/>
          <w:sz w:val="22"/>
          <w:szCs w:val="22"/>
          <w:lang w:val="sr-Latn-ME"/>
        </w:rPr>
        <w:t>Veoma česta</w:t>
      </w:r>
      <w:r w:rsidRPr="000E77D2">
        <w:rPr>
          <w:rFonts w:ascii="Times New Roman" w:hAnsi="Times New Roman"/>
          <w:sz w:val="22"/>
          <w:szCs w:val="22"/>
          <w:lang w:val="sr-Latn-ME"/>
        </w:rPr>
        <w:tab/>
        <w:t>Bol u zglobovima, mišićima i kostima</w:t>
      </w:r>
      <w:r w:rsidRPr="000E77D2">
        <w:rPr>
          <w:rFonts w:ascii="Times New Roman" w:hAnsi="Times New Roman"/>
          <w:b/>
          <w:sz w:val="22"/>
          <w:szCs w:val="22"/>
          <w:lang w:val="sr-Latn-ME"/>
        </w:rPr>
        <w:t>*</w:t>
      </w:r>
    </w:p>
    <w:p w14:paraId="47F645A8" w14:textId="170571A3" w:rsidR="000450A4" w:rsidRPr="000E77D2" w:rsidRDefault="000450A4" w:rsidP="00BE6A13">
      <w:pPr>
        <w:tabs>
          <w:tab w:val="left" w:pos="2172"/>
          <w:tab w:val="left" w:pos="2279"/>
        </w:tabs>
        <w:ind w:left="2127" w:hanging="2127"/>
        <w:rPr>
          <w:rFonts w:ascii="Times New Roman" w:hAnsi="Times New Roman"/>
          <w:sz w:val="22"/>
          <w:szCs w:val="22"/>
          <w:lang w:val="sr-Latn-ME"/>
        </w:rPr>
      </w:pPr>
      <w:r w:rsidRPr="000E77D2">
        <w:rPr>
          <w:rFonts w:ascii="Times New Roman" w:hAnsi="Times New Roman"/>
          <w:i/>
          <w:sz w:val="22"/>
          <w:szCs w:val="22"/>
          <w:lang w:val="sr-Latn-ME"/>
        </w:rPr>
        <w:t>Česta</w:t>
      </w:r>
      <w:r w:rsidRPr="000E77D2">
        <w:rPr>
          <w:rFonts w:ascii="Times New Roman" w:hAnsi="Times New Roman"/>
          <w:sz w:val="22"/>
          <w:szCs w:val="22"/>
          <w:lang w:val="sr-Latn-ME"/>
        </w:rPr>
        <w:tab/>
        <w:t>Prelomi, osteoporoza</w:t>
      </w:r>
    </w:p>
    <w:p w14:paraId="4DDB06DC" w14:textId="77777777" w:rsidR="000450A4" w:rsidRPr="000E77D2" w:rsidRDefault="000450A4" w:rsidP="00BE6A13">
      <w:pPr>
        <w:tabs>
          <w:tab w:val="left" w:pos="2279"/>
        </w:tabs>
        <w:ind w:left="2127" w:hanging="2127"/>
        <w:rPr>
          <w:rFonts w:ascii="Times New Roman" w:hAnsi="Times New Roman"/>
          <w:sz w:val="22"/>
          <w:szCs w:val="22"/>
          <w:lang w:val="sr-Latn-ME"/>
        </w:rPr>
      </w:pPr>
    </w:p>
    <w:p w14:paraId="66A3150A" w14:textId="5D1C874A" w:rsidR="000450A4" w:rsidRPr="000E77D2" w:rsidRDefault="000450A4" w:rsidP="00BE6A13">
      <w:pPr>
        <w:tabs>
          <w:tab w:val="left" w:pos="2279"/>
        </w:tabs>
        <w:ind w:left="2127" w:hanging="2127"/>
        <w:rPr>
          <w:rFonts w:ascii="Times New Roman" w:hAnsi="Times New Roman"/>
          <w:b/>
          <w:i/>
          <w:sz w:val="22"/>
          <w:szCs w:val="22"/>
          <w:lang w:val="sr-Latn-ME"/>
        </w:rPr>
      </w:pPr>
      <w:r w:rsidRPr="000E77D2">
        <w:rPr>
          <w:rFonts w:ascii="Times New Roman" w:hAnsi="Times New Roman"/>
          <w:b/>
          <w:i/>
          <w:sz w:val="22"/>
          <w:szCs w:val="22"/>
          <w:lang w:val="sr-Latn-ME"/>
        </w:rPr>
        <w:t>Opšti poremećaji i reakcije na m</w:t>
      </w:r>
      <w:r w:rsidR="00FA2A03" w:rsidRPr="000E77D2">
        <w:rPr>
          <w:rFonts w:ascii="Times New Roman" w:hAnsi="Times New Roman"/>
          <w:b/>
          <w:i/>
          <w:sz w:val="22"/>
          <w:szCs w:val="22"/>
          <w:lang w:val="sr-Latn-ME"/>
        </w:rPr>
        <w:t>j</w:t>
      </w:r>
      <w:r w:rsidRPr="000E77D2">
        <w:rPr>
          <w:rFonts w:ascii="Times New Roman" w:hAnsi="Times New Roman"/>
          <w:b/>
          <w:i/>
          <w:sz w:val="22"/>
          <w:szCs w:val="22"/>
          <w:lang w:val="sr-Latn-ME"/>
        </w:rPr>
        <w:t>estu prim</w:t>
      </w:r>
      <w:r w:rsidR="00FA2A03" w:rsidRPr="000E77D2">
        <w:rPr>
          <w:rFonts w:ascii="Times New Roman" w:hAnsi="Times New Roman"/>
          <w:b/>
          <w:i/>
          <w:sz w:val="22"/>
          <w:szCs w:val="22"/>
          <w:lang w:val="sr-Latn-ME"/>
        </w:rPr>
        <w:t>j</w:t>
      </w:r>
      <w:r w:rsidRPr="000E77D2">
        <w:rPr>
          <w:rFonts w:ascii="Times New Roman" w:hAnsi="Times New Roman"/>
          <w:b/>
          <w:i/>
          <w:sz w:val="22"/>
          <w:szCs w:val="22"/>
          <w:lang w:val="sr-Latn-ME"/>
        </w:rPr>
        <w:t>ene</w:t>
      </w:r>
    </w:p>
    <w:p w14:paraId="196B08C9" w14:textId="62DFBC68" w:rsidR="000450A4" w:rsidRPr="000E77D2" w:rsidRDefault="000450A4" w:rsidP="00BE6A13">
      <w:pPr>
        <w:tabs>
          <w:tab w:val="left" w:pos="2160"/>
          <w:tab w:val="left" w:pos="2279"/>
        </w:tabs>
        <w:ind w:left="2127" w:hanging="2127"/>
        <w:rPr>
          <w:rFonts w:ascii="Times New Roman" w:hAnsi="Times New Roman"/>
          <w:sz w:val="22"/>
          <w:szCs w:val="22"/>
          <w:lang w:val="sr-Latn-ME"/>
        </w:rPr>
      </w:pPr>
      <w:r w:rsidRPr="000E77D2">
        <w:rPr>
          <w:rFonts w:ascii="Times New Roman" w:hAnsi="Times New Roman"/>
          <w:i/>
          <w:sz w:val="22"/>
          <w:szCs w:val="22"/>
          <w:lang w:val="sr-Latn-ME"/>
        </w:rPr>
        <w:t>Veoma česta</w:t>
      </w:r>
      <w:r w:rsidRPr="000E77D2">
        <w:rPr>
          <w:rFonts w:ascii="Times New Roman" w:hAnsi="Times New Roman"/>
          <w:sz w:val="22"/>
          <w:szCs w:val="22"/>
          <w:lang w:val="sr-Latn-ME"/>
        </w:rPr>
        <w:tab/>
        <w:t>Bol, zamor</w:t>
      </w:r>
    </w:p>
    <w:p w14:paraId="3A3CCCEE" w14:textId="45A2384C" w:rsidR="000450A4" w:rsidRPr="000E77D2" w:rsidRDefault="000450A4" w:rsidP="00BE6A13">
      <w:pPr>
        <w:tabs>
          <w:tab w:val="left" w:pos="2160"/>
          <w:tab w:val="left" w:pos="2279"/>
        </w:tabs>
        <w:ind w:left="2127" w:hanging="2127"/>
        <w:rPr>
          <w:rFonts w:ascii="Times New Roman" w:hAnsi="Times New Roman"/>
          <w:sz w:val="22"/>
          <w:szCs w:val="22"/>
          <w:lang w:val="sr-Latn-ME"/>
        </w:rPr>
      </w:pPr>
      <w:r w:rsidRPr="000E77D2">
        <w:rPr>
          <w:rFonts w:ascii="Times New Roman" w:hAnsi="Times New Roman"/>
          <w:i/>
          <w:sz w:val="22"/>
          <w:szCs w:val="22"/>
          <w:lang w:val="sr-Latn-ME"/>
        </w:rPr>
        <w:t>Česta</w:t>
      </w:r>
      <w:r w:rsidRPr="000E77D2">
        <w:rPr>
          <w:rFonts w:ascii="Times New Roman" w:hAnsi="Times New Roman"/>
          <w:sz w:val="22"/>
          <w:szCs w:val="22"/>
          <w:lang w:val="sr-Latn-ME"/>
        </w:rPr>
        <w:tab/>
        <w:t>Periferni edem, astenija</w:t>
      </w:r>
    </w:p>
    <w:p w14:paraId="3228033A" w14:textId="77777777" w:rsidR="006609BB" w:rsidRPr="000E77D2" w:rsidRDefault="006609BB" w:rsidP="00BE6A13">
      <w:pPr>
        <w:tabs>
          <w:tab w:val="left" w:pos="2160"/>
          <w:tab w:val="left" w:pos="2279"/>
        </w:tabs>
        <w:ind w:left="2127" w:hanging="2127"/>
        <w:rPr>
          <w:rFonts w:ascii="Times New Roman" w:hAnsi="Times New Roman"/>
          <w:sz w:val="22"/>
          <w:szCs w:val="22"/>
          <w:lang w:val="sr-Latn-ME"/>
        </w:rPr>
      </w:pPr>
    </w:p>
    <w:p w14:paraId="1614BEC3" w14:textId="5A90536E" w:rsidR="006609BB" w:rsidRPr="000E77D2" w:rsidRDefault="006609BB" w:rsidP="00BE6A13">
      <w:pPr>
        <w:tabs>
          <w:tab w:val="left" w:pos="2160"/>
          <w:tab w:val="left" w:pos="2279"/>
        </w:tabs>
        <w:ind w:left="2127" w:hanging="2127"/>
        <w:rPr>
          <w:rFonts w:ascii="Times New Roman" w:hAnsi="Times New Roman"/>
          <w:b/>
          <w:bCs/>
          <w:i/>
          <w:iCs/>
          <w:sz w:val="22"/>
          <w:szCs w:val="22"/>
          <w:lang w:val="sr-Latn-ME"/>
        </w:rPr>
      </w:pPr>
      <w:r w:rsidRPr="000E77D2">
        <w:rPr>
          <w:rFonts w:ascii="Times New Roman" w:hAnsi="Times New Roman"/>
          <w:b/>
          <w:bCs/>
          <w:i/>
          <w:iCs/>
          <w:sz w:val="22"/>
          <w:szCs w:val="22"/>
          <w:lang w:val="sr-Latn-ME"/>
        </w:rPr>
        <w:t>Ispitivanja:</w:t>
      </w:r>
    </w:p>
    <w:p w14:paraId="7FECECD6" w14:textId="0DDB6CEF" w:rsidR="006609BB" w:rsidRPr="000E77D2" w:rsidRDefault="006609BB" w:rsidP="00BE6A13">
      <w:pPr>
        <w:tabs>
          <w:tab w:val="left" w:pos="2160"/>
          <w:tab w:val="left" w:pos="2279"/>
        </w:tabs>
        <w:ind w:left="2127" w:hanging="2127"/>
        <w:rPr>
          <w:rFonts w:ascii="Times New Roman" w:hAnsi="Times New Roman"/>
          <w:sz w:val="22"/>
          <w:szCs w:val="22"/>
          <w:lang w:val="sr-Latn-ME"/>
        </w:rPr>
      </w:pPr>
      <w:r w:rsidRPr="000E77D2">
        <w:rPr>
          <w:rFonts w:ascii="Times New Roman" w:hAnsi="Times New Roman"/>
          <w:i/>
          <w:iCs/>
          <w:sz w:val="22"/>
          <w:szCs w:val="22"/>
          <w:lang w:val="sr-Latn-ME"/>
        </w:rPr>
        <w:t>Veoma česta</w:t>
      </w:r>
      <w:r w:rsidRPr="000E77D2">
        <w:rPr>
          <w:rFonts w:ascii="Times New Roman" w:hAnsi="Times New Roman"/>
          <w:sz w:val="22"/>
          <w:szCs w:val="22"/>
          <w:lang w:val="sr-Latn-ME"/>
        </w:rPr>
        <w:tab/>
      </w:r>
      <w:bookmarkStart w:id="3" w:name="_Hlk160614361"/>
      <w:r w:rsidRPr="000E77D2">
        <w:rPr>
          <w:rFonts w:ascii="Times New Roman" w:hAnsi="Times New Roman"/>
          <w:sz w:val="22"/>
          <w:szCs w:val="22"/>
          <w:lang w:val="sr-Latn-ME"/>
        </w:rPr>
        <w:t>Povećane vrijednosti enzima jetre, povećana koncentracija bilirubina u krvi, povećan</w:t>
      </w:r>
      <w:r w:rsidR="00073118" w:rsidRPr="000E77D2">
        <w:rPr>
          <w:rFonts w:ascii="Times New Roman" w:hAnsi="Times New Roman"/>
          <w:sz w:val="22"/>
          <w:szCs w:val="22"/>
          <w:lang w:val="sr-Latn-ME"/>
        </w:rPr>
        <w:t>e vrijednosti</w:t>
      </w:r>
      <w:r w:rsidRPr="000E77D2">
        <w:rPr>
          <w:rFonts w:ascii="Times New Roman" w:hAnsi="Times New Roman"/>
          <w:sz w:val="22"/>
          <w:szCs w:val="22"/>
          <w:lang w:val="sr-Latn-ME"/>
        </w:rPr>
        <w:t xml:space="preserve"> alkalne fosfataze u krvi</w:t>
      </w:r>
    </w:p>
    <w:bookmarkEnd w:id="3"/>
    <w:p w14:paraId="498E8BFE" w14:textId="77777777" w:rsidR="000450A4" w:rsidRPr="000E77D2" w:rsidRDefault="000450A4" w:rsidP="00BE6A13">
      <w:pPr>
        <w:tabs>
          <w:tab w:val="left" w:pos="2279"/>
        </w:tabs>
        <w:ind w:left="2127" w:hanging="2268"/>
        <w:rPr>
          <w:rFonts w:ascii="Times New Roman" w:hAnsi="Times New Roman"/>
          <w:color w:val="FF0000"/>
          <w:sz w:val="22"/>
          <w:szCs w:val="22"/>
          <w:lang w:val="sr-Latn-ME"/>
        </w:rPr>
      </w:pPr>
    </w:p>
    <w:p w14:paraId="7C9D7EB0" w14:textId="029F2AC9" w:rsidR="000450A4" w:rsidRPr="000E77D2" w:rsidRDefault="000450A4" w:rsidP="00BE6A13">
      <w:pPr>
        <w:rPr>
          <w:rFonts w:ascii="Times New Roman" w:hAnsi="Times New Roman"/>
          <w:sz w:val="22"/>
          <w:szCs w:val="22"/>
          <w:lang w:val="sr-Latn-ME"/>
        </w:rPr>
      </w:pPr>
      <w:r w:rsidRPr="000E77D2">
        <w:rPr>
          <w:rFonts w:ascii="Times New Roman" w:hAnsi="Times New Roman"/>
          <w:b/>
          <w:sz w:val="22"/>
          <w:szCs w:val="22"/>
          <w:lang w:val="sr-Latn-ME"/>
        </w:rPr>
        <w:t>*</w:t>
      </w:r>
      <w:r w:rsidRPr="000E77D2">
        <w:rPr>
          <w:rFonts w:ascii="Times New Roman" w:hAnsi="Times New Roman"/>
          <w:sz w:val="22"/>
          <w:szCs w:val="22"/>
          <w:lang w:val="sr-Latn-ME"/>
        </w:rPr>
        <w:t>Obuhvata artralgiju, a r</w:t>
      </w:r>
      <w:r w:rsidR="00FA2A03" w:rsidRPr="000E77D2">
        <w:rPr>
          <w:rFonts w:ascii="Times New Roman" w:hAnsi="Times New Roman"/>
          <w:sz w:val="22"/>
          <w:szCs w:val="22"/>
          <w:lang w:val="sr-Latn-ME"/>
        </w:rPr>
        <w:t>j</w:t>
      </w:r>
      <w:r w:rsidRPr="000E77D2">
        <w:rPr>
          <w:rFonts w:ascii="Times New Roman" w:hAnsi="Times New Roman"/>
          <w:sz w:val="22"/>
          <w:szCs w:val="22"/>
          <w:lang w:val="sr-Latn-ME"/>
        </w:rPr>
        <w:t>eđe i bolove u ekstremitetima, osteoartritis, bol u leđima, artritis, mialgiju i</w:t>
      </w:r>
      <w:r w:rsidR="003F0FD2" w:rsidRPr="000E77D2">
        <w:rPr>
          <w:rFonts w:ascii="Times New Roman" w:hAnsi="Times New Roman"/>
          <w:sz w:val="22"/>
          <w:szCs w:val="22"/>
          <w:lang w:val="sr-Latn-ME"/>
        </w:rPr>
        <w:t xml:space="preserve"> </w:t>
      </w:r>
      <w:r w:rsidRPr="000E77D2">
        <w:rPr>
          <w:rFonts w:ascii="Times New Roman" w:hAnsi="Times New Roman"/>
          <w:sz w:val="22"/>
          <w:szCs w:val="22"/>
          <w:lang w:val="sr-Latn-ME"/>
        </w:rPr>
        <w:t>ukočenost zglobova.</w:t>
      </w:r>
    </w:p>
    <w:p w14:paraId="411229F6" w14:textId="12393949" w:rsidR="000450A4" w:rsidRPr="000E77D2" w:rsidRDefault="000450A4" w:rsidP="00BE6A13">
      <w:pPr>
        <w:rPr>
          <w:rFonts w:ascii="Times New Roman" w:hAnsi="Times New Roman"/>
          <w:sz w:val="22"/>
          <w:szCs w:val="22"/>
          <w:lang w:val="sr-Latn-ME"/>
        </w:rPr>
      </w:pPr>
      <w:r w:rsidRPr="000E77D2">
        <w:rPr>
          <w:rFonts w:ascii="Times New Roman" w:hAnsi="Times New Roman"/>
          <w:b/>
          <w:sz w:val="22"/>
          <w:szCs w:val="22"/>
          <w:lang w:val="sr-Latn-ME"/>
        </w:rPr>
        <w:t>**</w:t>
      </w:r>
      <w:r w:rsidRPr="000E77D2">
        <w:rPr>
          <w:rFonts w:ascii="Times New Roman" w:hAnsi="Times New Roman"/>
          <w:sz w:val="22"/>
          <w:szCs w:val="22"/>
          <w:lang w:val="sr-Latn-ME"/>
        </w:rPr>
        <w:t>Kod pacijentkinja sa uznapredovalim karcinomom dojke trombocitopenija i leukopenija su r</w:t>
      </w:r>
      <w:r w:rsidR="00FA2A03" w:rsidRPr="000E77D2">
        <w:rPr>
          <w:rFonts w:ascii="Times New Roman" w:hAnsi="Times New Roman"/>
          <w:sz w:val="22"/>
          <w:szCs w:val="22"/>
          <w:lang w:val="sr-Latn-ME"/>
        </w:rPr>
        <w:t>ij</w:t>
      </w:r>
      <w:r w:rsidRPr="000E77D2">
        <w:rPr>
          <w:rFonts w:ascii="Times New Roman" w:hAnsi="Times New Roman"/>
          <w:sz w:val="22"/>
          <w:szCs w:val="22"/>
          <w:lang w:val="sr-Latn-ME"/>
        </w:rPr>
        <w:t>etko prijavljivane. Povremeno smanjenje broja limfocita se javljalo kod oko 20% pacijentkinja koje su primale l</w:t>
      </w:r>
      <w:r w:rsidR="00FA2A03" w:rsidRPr="000E77D2">
        <w:rPr>
          <w:rFonts w:ascii="Times New Roman" w:hAnsi="Times New Roman"/>
          <w:sz w:val="22"/>
          <w:szCs w:val="22"/>
          <w:lang w:val="sr-Latn-ME"/>
        </w:rPr>
        <w:t>ij</w:t>
      </w:r>
      <w:r w:rsidRPr="000E77D2">
        <w:rPr>
          <w:rFonts w:ascii="Times New Roman" w:hAnsi="Times New Roman"/>
          <w:sz w:val="22"/>
          <w:szCs w:val="22"/>
          <w:lang w:val="sr-Latn-ME"/>
        </w:rPr>
        <w:t>ek Aromasin, i to posebno kod onih sa već postojećom limfocitopenijom. Ipak, pros</w:t>
      </w:r>
      <w:r w:rsidR="00FA2A03" w:rsidRPr="000E77D2">
        <w:rPr>
          <w:rFonts w:ascii="Times New Roman" w:hAnsi="Times New Roman"/>
          <w:sz w:val="22"/>
          <w:szCs w:val="22"/>
          <w:lang w:val="sr-Latn-ME"/>
        </w:rPr>
        <w:t>j</w:t>
      </w:r>
      <w:r w:rsidRPr="000E77D2">
        <w:rPr>
          <w:rFonts w:ascii="Times New Roman" w:hAnsi="Times New Roman"/>
          <w:sz w:val="22"/>
          <w:szCs w:val="22"/>
          <w:lang w:val="sr-Latn-ME"/>
        </w:rPr>
        <w:t>ečan broj limfocita se kod ovih pacijentkinja nije značajno m</w:t>
      </w:r>
      <w:r w:rsidR="00FA2A03" w:rsidRPr="000E77D2">
        <w:rPr>
          <w:rFonts w:ascii="Times New Roman" w:hAnsi="Times New Roman"/>
          <w:sz w:val="22"/>
          <w:szCs w:val="22"/>
          <w:lang w:val="sr-Latn-ME"/>
        </w:rPr>
        <w:t>ij</w:t>
      </w:r>
      <w:r w:rsidRPr="000E77D2">
        <w:rPr>
          <w:rFonts w:ascii="Times New Roman" w:hAnsi="Times New Roman"/>
          <w:sz w:val="22"/>
          <w:szCs w:val="22"/>
          <w:lang w:val="sr-Latn-ME"/>
        </w:rPr>
        <w:t>enjao tokom vremena i nije bilo pratećeg porasta broja virusnih infekcija. Navedeni efekti nisu zab</w:t>
      </w:r>
      <w:r w:rsidR="00FA2A03" w:rsidRPr="000E77D2">
        <w:rPr>
          <w:rFonts w:ascii="Times New Roman" w:hAnsi="Times New Roman"/>
          <w:sz w:val="22"/>
          <w:szCs w:val="22"/>
          <w:lang w:val="sr-Latn-ME"/>
        </w:rPr>
        <w:t>i</w:t>
      </w:r>
      <w:r w:rsidRPr="000E77D2">
        <w:rPr>
          <w:rFonts w:ascii="Times New Roman" w:hAnsi="Times New Roman"/>
          <w:sz w:val="22"/>
          <w:szCs w:val="22"/>
          <w:lang w:val="sr-Latn-ME"/>
        </w:rPr>
        <w:t>l</w:t>
      </w:r>
      <w:r w:rsidR="00FA2A03" w:rsidRPr="000E77D2">
        <w:rPr>
          <w:rFonts w:ascii="Times New Roman" w:hAnsi="Times New Roman"/>
          <w:sz w:val="22"/>
          <w:szCs w:val="22"/>
          <w:lang w:val="sr-Latn-ME"/>
        </w:rPr>
        <w:t>j</w:t>
      </w:r>
      <w:r w:rsidRPr="000E77D2">
        <w:rPr>
          <w:rFonts w:ascii="Times New Roman" w:hAnsi="Times New Roman"/>
          <w:sz w:val="22"/>
          <w:szCs w:val="22"/>
          <w:lang w:val="sr-Latn-ME"/>
        </w:rPr>
        <w:t>eženi u studijama sa karcinomom dojke u ranoj fazi gd</w:t>
      </w:r>
      <w:r w:rsidR="00FA2A03" w:rsidRPr="000E77D2">
        <w:rPr>
          <w:rFonts w:ascii="Times New Roman" w:hAnsi="Times New Roman"/>
          <w:sz w:val="22"/>
          <w:szCs w:val="22"/>
          <w:lang w:val="sr-Latn-ME"/>
        </w:rPr>
        <w:t>j</w:t>
      </w:r>
      <w:r w:rsidRPr="000E77D2">
        <w:rPr>
          <w:rFonts w:ascii="Times New Roman" w:hAnsi="Times New Roman"/>
          <w:sz w:val="22"/>
          <w:szCs w:val="22"/>
          <w:lang w:val="sr-Latn-ME"/>
        </w:rPr>
        <w:t>e su pacijentkinje l</w:t>
      </w:r>
      <w:r w:rsidR="00FA2A03" w:rsidRPr="000E77D2">
        <w:rPr>
          <w:rFonts w:ascii="Times New Roman" w:hAnsi="Times New Roman"/>
          <w:sz w:val="22"/>
          <w:szCs w:val="22"/>
          <w:lang w:val="sr-Latn-ME"/>
        </w:rPr>
        <w:t>ij</w:t>
      </w:r>
      <w:r w:rsidRPr="000E77D2">
        <w:rPr>
          <w:rFonts w:ascii="Times New Roman" w:hAnsi="Times New Roman"/>
          <w:sz w:val="22"/>
          <w:szCs w:val="22"/>
          <w:lang w:val="sr-Latn-ME"/>
        </w:rPr>
        <w:t>ečene l</w:t>
      </w:r>
      <w:r w:rsidR="00FA2A03" w:rsidRPr="000E77D2">
        <w:rPr>
          <w:rFonts w:ascii="Times New Roman" w:hAnsi="Times New Roman"/>
          <w:sz w:val="22"/>
          <w:szCs w:val="22"/>
          <w:lang w:val="sr-Latn-ME"/>
        </w:rPr>
        <w:t>ij</w:t>
      </w:r>
      <w:r w:rsidRPr="000E77D2">
        <w:rPr>
          <w:rFonts w:ascii="Times New Roman" w:hAnsi="Times New Roman"/>
          <w:sz w:val="22"/>
          <w:szCs w:val="22"/>
          <w:lang w:val="sr-Latn-ME"/>
        </w:rPr>
        <w:t>ekom Aromasin.</w:t>
      </w:r>
    </w:p>
    <w:p w14:paraId="70E09E27"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vertAlign w:val="superscript"/>
          <w:lang w:val="sr-Latn-ME"/>
        </w:rPr>
        <w:t xml:space="preserve">† </w:t>
      </w:r>
      <w:r w:rsidRPr="000E77D2">
        <w:rPr>
          <w:rFonts w:ascii="Times New Roman" w:hAnsi="Times New Roman"/>
          <w:sz w:val="22"/>
          <w:szCs w:val="22"/>
          <w:lang w:val="sr-Latn-ME"/>
        </w:rPr>
        <w:t>Učestalost preručunata na osnovu pravila 3/X.</w:t>
      </w:r>
    </w:p>
    <w:p w14:paraId="74202B8F" w14:textId="77777777" w:rsidR="000450A4" w:rsidRPr="000E77D2" w:rsidRDefault="000450A4" w:rsidP="00BE6A13">
      <w:pPr>
        <w:rPr>
          <w:rFonts w:ascii="Times New Roman" w:hAnsi="Times New Roman"/>
          <w:color w:val="FF0000"/>
          <w:sz w:val="22"/>
          <w:szCs w:val="22"/>
          <w:lang w:val="sr-Latn-ME"/>
        </w:rPr>
      </w:pPr>
    </w:p>
    <w:p w14:paraId="113414A6" w14:textId="663628A5"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lastRenderedPageBreak/>
        <w:t xml:space="preserve">U tabeli ispod je prikazana učestalost </w:t>
      </w:r>
      <w:r w:rsidR="00730107" w:rsidRPr="000E77D2">
        <w:rPr>
          <w:rFonts w:ascii="Times New Roman" w:hAnsi="Times New Roman"/>
          <w:sz w:val="22"/>
          <w:szCs w:val="22"/>
          <w:lang w:val="sr-Latn-ME"/>
        </w:rPr>
        <w:t>unapr</w:t>
      </w:r>
      <w:r w:rsidR="00AB5AF6" w:rsidRPr="000E77D2">
        <w:rPr>
          <w:rFonts w:ascii="Times New Roman" w:hAnsi="Times New Roman"/>
          <w:sz w:val="22"/>
          <w:szCs w:val="22"/>
          <w:lang w:val="sr-Latn-ME"/>
        </w:rPr>
        <w:t>ij</w:t>
      </w:r>
      <w:r w:rsidR="00730107" w:rsidRPr="000E77D2">
        <w:rPr>
          <w:rFonts w:ascii="Times New Roman" w:hAnsi="Times New Roman"/>
          <w:sz w:val="22"/>
          <w:szCs w:val="22"/>
          <w:lang w:val="sr-Latn-ME"/>
        </w:rPr>
        <w:t xml:space="preserve">ed definisanih </w:t>
      </w:r>
      <w:r w:rsidRPr="000E77D2">
        <w:rPr>
          <w:rFonts w:ascii="Times New Roman" w:hAnsi="Times New Roman"/>
          <w:sz w:val="22"/>
          <w:szCs w:val="22"/>
          <w:lang w:val="sr-Latn-ME"/>
        </w:rPr>
        <w:t>neželjenih dejstava i oboljenja zab</w:t>
      </w:r>
      <w:r w:rsidR="00FA2A03" w:rsidRPr="000E77D2">
        <w:rPr>
          <w:rFonts w:ascii="Times New Roman" w:hAnsi="Times New Roman"/>
          <w:sz w:val="22"/>
          <w:szCs w:val="22"/>
          <w:lang w:val="sr-Latn-ME"/>
        </w:rPr>
        <w:t>i</w:t>
      </w:r>
      <w:r w:rsidRPr="000E77D2">
        <w:rPr>
          <w:rFonts w:ascii="Times New Roman" w:hAnsi="Times New Roman"/>
          <w:sz w:val="22"/>
          <w:szCs w:val="22"/>
          <w:lang w:val="sr-Latn-ME"/>
        </w:rPr>
        <w:t>l</w:t>
      </w:r>
      <w:r w:rsidR="00FA2A03" w:rsidRPr="000E77D2">
        <w:rPr>
          <w:rFonts w:ascii="Times New Roman" w:hAnsi="Times New Roman"/>
          <w:sz w:val="22"/>
          <w:szCs w:val="22"/>
          <w:lang w:val="sr-Latn-ME"/>
        </w:rPr>
        <w:t>j</w:t>
      </w:r>
      <w:r w:rsidRPr="000E77D2">
        <w:rPr>
          <w:rFonts w:ascii="Times New Roman" w:hAnsi="Times New Roman"/>
          <w:sz w:val="22"/>
          <w:szCs w:val="22"/>
          <w:lang w:val="sr-Latn-ME"/>
        </w:rPr>
        <w:t>eženih u ispitivanju pacijentkinja sa ranim karcinomom dojke (</w:t>
      </w:r>
      <w:r w:rsidR="00002AEA" w:rsidRPr="000E77D2">
        <w:rPr>
          <w:rFonts w:ascii="Times New Roman" w:hAnsi="Times New Roman"/>
          <w:sz w:val="22"/>
          <w:szCs w:val="22"/>
          <w:lang w:val="sr-Latn-ME"/>
        </w:rPr>
        <w:t xml:space="preserve">engl. </w:t>
      </w:r>
      <w:r w:rsidRPr="000E77D2">
        <w:rPr>
          <w:rFonts w:ascii="Times New Roman" w:hAnsi="Times New Roman"/>
          <w:i/>
          <w:sz w:val="22"/>
          <w:szCs w:val="22"/>
          <w:lang w:val="sr-Latn-ME"/>
        </w:rPr>
        <w:t>Intergroup Exemestane Study</w:t>
      </w:r>
      <w:r w:rsidRPr="000E77D2">
        <w:rPr>
          <w:rFonts w:ascii="Times New Roman" w:hAnsi="Times New Roman"/>
          <w:sz w:val="22"/>
          <w:szCs w:val="22"/>
          <w:lang w:val="sr-Latn-ME"/>
        </w:rPr>
        <w:t xml:space="preserve"> - IES), i to bez obzira na uzrok, koja su se javljala kod pacijentkinja u toku prim</w:t>
      </w:r>
      <w:r w:rsidR="00CC1D6F" w:rsidRPr="000E77D2">
        <w:rPr>
          <w:rFonts w:ascii="Times New Roman" w:hAnsi="Times New Roman"/>
          <w:sz w:val="22"/>
          <w:szCs w:val="22"/>
          <w:lang w:val="sr-Latn-ME"/>
        </w:rPr>
        <w:t>j</w:t>
      </w:r>
      <w:r w:rsidRPr="000E77D2">
        <w:rPr>
          <w:rFonts w:ascii="Times New Roman" w:hAnsi="Times New Roman"/>
          <w:sz w:val="22"/>
          <w:szCs w:val="22"/>
          <w:lang w:val="sr-Latn-ME"/>
        </w:rPr>
        <w:t>ene terapije tokom ispitivanja, kao i ona koja su se javljala do 30 dana posle obustavljanja terapije.</w:t>
      </w:r>
    </w:p>
    <w:p w14:paraId="1608D5FC" w14:textId="77777777" w:rsidR="000450A4" w:rsidRPr="000E77D2" w:rsidRDefault="000450A4" w:rsidP="00BE6A13">
      <w:pPr>
        <w:rPr>
          <w:rFonts w:ascii="Times New Roman" w:hAnsi="Times New Roman"/>
          <w:sz w:val="22"/>
          <w:szCs w:val="22"/>
          <w:lang w:val="sr-Latn-ME"/>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0"/>
        <w:gridCol w:w="1854"/>
        <w:gridCol w:w="1866"/>
      </w:tblGrid>
      <w:tr w:rsidR="005872E2" w:rsidRPr="000E77D2" w14:paraId="2A4C9FFF" w14:textId="77777777">
        <w:tc>
          <w:tcPr>
            <w:tcW w:w="3720" w:type="dxa"/>
            <w:tcBorders>
              <w:top w:val="nil"/>
              <w:left w:val="nil"/>
              <w:right w:val="nil"/>
            </w:tcBorders>
          </w:tcPr>
          <w:p w14:paraId="6C05E86E" w14:textId="77777777" w:rsidR="000450A4" w:rsidRPr="000E77D2" w:rsidRDefault="000450A4" w:rsidP="00BE6A13">
            <w:pPr>
              <w:spacing w:line="40" w:lineRule="exact"/>
              <w:rPr>
                <w:rFonts w:ascii="Times New Roman" w:hAnsi="Times New Roman"/>
                <w:b/>
                <w:color w:val="FF0000"/>
                <w:sz w:val="22"/>
                <w:szCs w:val="22"/>
                <w:lang w:val="sr-Latn-ME"/>
              </w:rPr>
            </w:pPr>
          </w:p>
        </w:tc>
        <w:tc>
          <w:tcPr>
            <w:tcW w:w="1854" w:type="dxa"/>
            <w:tcBorders>
              <w:top w:val="nil"/>
              <w:left w:val="nil"/>
              <w:right w:val="nil"/>
            </w:tcBorders>
          </w:tcPr>
          <w:p w14:paraId="39B2B388" w14:textId="77777777" w:rsidR="000450A4" w:rsidRPr="000E77D2" w:rsidRDefault="000450A4" w:rsidP="00BE6A13">
            <w:pPr>
              <w:spacing w:line="40" w:lineRule="exact"/>
              <w:rPr>
                <w:rFonts w:ascii="Times New Roman" w:hAnsi="Times New Roman"/>
                <w:b/>
                <w:color w:val="FF0000"/>
                <w:sz w:val="22"/>
                <w:szCs w:val="22"/>
                <w:lang w:val="sr-Latn-ME"/>
              </w:rPr>
            </w:pPr>
          </w:p>
        </w:tc>
        <w:tc>
          <w:tcPr>
            <w:tcW w:w="1866" w:type="dxa"/>
            <w:tcBorders>
              <w:top w:val="nil"/>
              <w:left w:val="nil"/>
              <w:right w:val="nil"/>
            </w:tcBorders>
          </w:tcPr>
          <w:p w14:paraId="179E2DB8" w14:textId="77777777" w:rsidR="000450A4" w:rsidRPr="000E77D2" w:rsidRDefault="000450A4" w:rsidP="00BE6A13">
            <w:pPr>
              <w:spacing w:line="40" w:lineRule="exact"/>
              <w:rPr>
                <w:rFonts w:ascii="Times New Roman" w:hAnsi="Times New Roman"/>
                <w:b/>
                <w:color w:val="FF0000"/>
                <w:sz w:val="22"/>
                <w:szCs w:val="22"/>
                <w:lang w:val="sr-Latn-ME"/>
              </w:rPr>
            </w:pPr>
          </w:p>
        </w:tc>
      </w:tr>
      <w:tr w:rsidR="005872E2" w:rsidRPr="000E77D2" w14:paraId="7BE3F109" w14:textId="77777777">
        <w:tc>
          <w:tcPr>
            <w:tcW w:w="3720" w:type="dxa"/>
          </w:tcPr>
          <w:p w14:paraId="58A2BD4C" w14:textId="77777777" w:rsidR="000450A4" w:rsidRPr="000E77D2" w:rsidRDefault="000450A4" w:rsidP="00BE6A13">
            <w:pPr>
              <w:rPr>
                <w:rFonts w:ascii="Times New Roman" w:hAnsi="Times New Roman"/>
                <w:b/>
                <w:sz w:val="22"/>
                <w:szCs w:val="22"/>
                <w:lang w:val="sr-Latn-ME"/>
              </w:rPr>
            </w:pPr>
            <w:r w:rsidRPr="000E77D2">
              <w:rPr>
                <w:rFonts w:ascii="Times New Roman" w:hAnsi="Times New Roman"/>
                <w:b/>
                <w:sz w:val="22"/>
                <w:szCs w:val="22"/>
                <w:lang w:val="sr-Latn-ME"/>
              </w:rPr>
              <w:t>Neželjena dejstva ili oboljenja</w:t>
            </w:r>
          </w:p>
        </w:tc>
        <w:tc>
          <w:tcPr>
            <w:tcW w:w="1854" w:type="dxa"/>
          </w:tcPr>
          <w:p w14:paraId="7644E745" w14:textId="77777777" w:rsidR="000450A4" w:rsidRPr="000E77D2" w:rsidRDefault="000450A4" w:rsidP="00BE6A13">
            <w:pPr>
              <w:rPr>
                <w:rFonts w:ascii="Times New Roman" w:hAnsi="Times New Roman"/>
                <w:b/>
                <w:sz w:val="22"/>
                <w:szCs w:val="22"/>
                <w:lang w:val="sr-Latn-ME"/>
              </w:rPr>
            </w:pPr>
            <w:r w:rsidRPr="000E77D2">
              <w:rPr>
                <w:rFonts w:ascii="Times New Roman" w:hAnsi="Times New Roman"/>
                <w:b/>
                <w:sz w:val="22"/>
                <w:szCs w:val="22"/>
                <w:lang w:val="sr-Latn-ME"/>
              </w:rPr>
              <w:t>Eksemestan</w:t>
            </w:r>
            <w:r w:rsidRPr="000E77D2">
              <w:rPr>
                <w:rFonts w:ascii="Times New Roman" w:hAnsi="Times New Roman"/>
                <w:b/>
                <w:sz w:val="22"/>
                <w:szCs w:val="22"/>
                <w:lang w:val="sr-Latn-ME"/>
              </w:rPr>
              <w:br/>
              <w:t>(N = 2249)</w:t>
            </w:r>
          </w:p>
        </w:tc>
        <w:tc>
          <w:tcPr>
            <w:tcW w:w="1866" w:type="dxa"/>
          </w:tcPr>
          <w:p w14:paraId="4C693A07" w14:textId="77777777" w:rsidR="000450A4" w:rsidRPr="000E77D2" w:rsidRDefault="000450A4" w:rsidP="00BE6A13">
            <w:pPr>
              <w:rPr>
                <w:rFonts w:ascii="Times New Roman" w:hAnsi="Times New Roman"/>
                <w:b/>
                <w:sz w:val="22"/>
                <w:szCs w:val="22"/>
                <w:lang w:val="sr-Latn-ME"/>
              </w:rPr>
            </w:pPr>
            <w:r w:rsidRPr="000E77D2">
              <w:rPr>
                <w:rFonts w:ascii="Times New Roman" w:hAnsi="Times New Roman"/>
                <w:b/>
                <w:sz w:val="22"/>
                <w:szCs w:val="22"/>
                <w:lang w:val="sr-Latn-ME"/>
              </w:rPr>
              <w:t>Tamoksifen</w:t>
            </w:r>
            <w:r w:rsidRPr="000E77D2">
              <w:rPr>
                <w:rFonts w:ascii="Times New Roman" w:hAnsi="Times New Roman"/>
                <w:b/>
                <w:sz w:val="22"/>
                <w:szCs w:val="22"/>
                <w:lang w:val="sr-Latn-ME"/>
              </w:rPr>
              <w:br/>
              <w:t>(N = 2279)</w:t>
            </w:r>
          </w:p>
        </w:tc>
      </w:tr>
      <w:tr w:rsidR="005872E2" w:rsidRPr="000E77D2" w14:paraId="6211F27D" w14:textId="77777777">
        <w:tc>
          <w:tcPr>
            <w:tcW w:w="3720" w:type="dxa"/>
          </w:tcPr>
          <w:p w14:paraId="72A2E5F2"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Naleti vrućine</w:t>
            </w:r>
          </w:p>
        </w:tc>
        <w:tc>
          <w:tcPr>
            <w:tcW w:w="1854" w:type="dxa"/>
          </w:tcPr>
          <w:p w14:paraId="6E5C6288"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491 (21,8%)</w:t>
            </w:r>
          </w:p>
        </w:tc>
        <w:tc>
          <w:tcPr>
            <w:tcW w:w="1866" w:type="dxa"/>
          </w:tcPr>
          <w:p w14:paraId="693CF1B7"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457 (20,1%)</w:t>
            </w:r>
          </w:p>
        </w:tc>
      </w:tr>
      <w:tr w:rsidR="005872E2" w:rsidRPr="000E77D2" w14:paraId="6585CC25" w14:textId="77777777">
        <w:tc>
          <w:tcPr>
            <w:tcW w:w="3720" w:type="dxa"/>
          </w:tcPr>
          <w:p w14:paraId="65908CA9"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Zamor</w:t>
            </w:r>
          </w:p>
        </w:tc>
        <w:tc>
          <w:tcPr>
            <w:tcW w:w="1854" w:type="dxa"/>
          </w:tcPr>
          <w:p w14:paraId="757114C5"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367 (16,3%)</w:t>
            </w:r>
          </w:p>
        </w:tc>
        <w:tc>
          <w:tcPr>
            <w:tcW w:w="1866" w:type="dxa"/>
          </w:tcPr>
          <w:p w14:paraId="0E36C08E"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344 (15,1%)</w:t>
            </w:r>
          </w:p>
        </w:tc>
      </w:tr>
      <w:tr w:rsidR="005872E2" w:rsidRPr="000E77D2" w14:paraId="220546E5" w14:textId="77777777">
        <w:tc>
          <w:tcPr>
            <w:tcW w:w="3720" w:type="dxa"/>
          </w:tcPr>
          <w:p w14:paraId="58F588FF"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Glavobolja</w:t>
            </w:r>
          </w:p>
        </w:tc>
        <w:tc>
          <w:tcPr>
            <w:tcW w:w="1854" w:type="dxa"/>
          </w:tcPr>
          <w:p w14:paraId="5E958B82"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305 (13,6%)</w:t>
            </w:r>
          </w:p>
        </w:tc>
        <w:tc>
          <w:tcPr>
            <w:tcW w:w="1866" w:type="dxa"/>
          </w:tcPr>
          <w:p w14:paraId="2A15D125"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255 (11,2%)</w:t>
            </w:r>
          </w:p>
        </w:tc>
      </w:tr>
      <w:tr w:rsidR="005872E2" w:rsidRPr="000E77D2" w14:paraId="48479364" w14:textId="77777777">
        <w:tc>
          <w:tcPr>
            <w:tcW w:w="3720" w:type="dxa"/>
          </w:tcPr>
          <w:p w14:paraId="3F7D797C"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Nesanica</w:t>
            </w:r>
          </w:p>
        </w:tc>
        <w:tc>
          <w:tcPr>
            <w:tcW w:w="1854" w:type="dxa"/>
          </w:tcPr>
          <w:p w14:paraId="4BAA7006"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290 (12,9%)</w:t>
            </w:r>
          </w:p>
        </w:tc>
        <w:tc>
          <w:tcPr>
            <w:tcW w:w="1866" w:type="dxa"/>
          </w:tcPr>
          <w:p w14:paraId="6498782F"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204 (9,0%)</w:t>
            </w:r>
          </w:p>
        </w:tc>
      </w:tr>
      <w:tr w:rsidR="005872E2" w:rsidRPr="000E77D2" w14:paraId="2CB2B24F" w14:textId="77777777">
        <w:tc>
          <w:tcPr>
            <w:tcW w:w="3720" w:type="dxa"/>
          </w:tcPr>
          <w:p w14:paraId="7CEE47E1"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Pojačano znojenje</w:t>
            </w:r>
          </w:p>
        </w:tc>
        <w:tc>
          <w:tcPr>
            <w:tcW w:w="1854" w:type="dxa"/>
          </w:tcPr>
          <w:p w14:paraId="5C4879CC"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270 (12,0%)</w:t>
            </w:r>
          </w:p>
        </w:tc>
        <w:tc>
          <w:tcPr>
            <w:tcW w:w="1866" w:type="dxa"/>
          </w:tcPr>
          <w:p w14:paraId="63757913"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242 (10,6%)</w:t>
            </w:r>
          </w:p>
        </w:tc>
      </w:tr>
      <w:tr w:rsidR="005872E2" w:rsidRPr="000E77D2" w14:paraId="4D0351EB" w14:textId="77777777">
        <w:tc>
          <w:tcPr>
            <w:tcW w:w="3720" w:type="dxa"/>
          </w:tcPr>
          <w:p w14:paraId="5E6F4375"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Ginekološka oboljenja</w:t>
            </w:r>
          </w:p>
        </w:tc>
        <w:tc>
          <w:tcPr>
            <w:tcW w:w="1854" w:type="dxa"/>
          </w:tcPr>
          <w:p w14:paraId="6D7BD9A2"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235 (10,5%)</w:t>
            </w:r>
          </w:p>
        </w:tc>
        <w:tc>
          <w:tcPr>
            <w:tcW w:w="1866" w:type="dxa"/>
          </w:tcPr>
          <w:p w14:paraId="43591EE7" w14:textId="421DEA52"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340 (14,9%)</w:t>
            </w:r>
          </w:p>
        </w:tc>
      </w:tr>
      <w:tr w:rsidR="005872E2" w:rsidRPr="000E77D2" w14:paraId="0CC7FBC8" w14:textId="77777777">
        <w:tc>
          <w:tcPr>
            <w:tcW w:w="3720" w:type="dxa"/>
          </w:tcPr>
          <w:p w14:paraId="136A8196"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Vrtoglavica</w:t>
            </w:r>
          </w:p>
        </w:tc>
        <w:tc>
          <w:tcPr>
            <w:tcW w:w="1854" w:type="dxa"/>
          </w:tcPr>
          <w:p w14:paraId="77FA0977"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224 (10,0%)</w:t>
            </w:r>
          </w:p>
        </w:tc>
        <w:tc>
          <w:tcPr>
            <w:tcW w:w="1866" w:type="dxa"/>
          </w:tcPr>
          <w:p w14:paraId="4E4A205A"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200 (8,8%)</w:t>
            </w:r>
          </w:p>
        </w:tc>
      </w:tr>
      <w:tr w:rsidR="005872E2" w:rsidRPr="000E77D2" w14:paraId="4163773F" w14:textId="77777777">
        <w:tc>
          <w:tcPr>
            <w:tcW w:w="3720" w:type="dxa"/>
          </w:tcPr>
          <w:p w14:paraId="6F12EE63"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Mučnina</w:t>
            </w:r>
          </w:p>
        </w:tc>
        <w:tc>
          <w:tcPr>
            <w:tcW w:w="1854" w:type="dxa"/>
          </w:tcPr>
          <w:p w14:paraId="445037C9"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200 (8,9%)</w:t>
            </w:r>
          </w:p>
        </w:tc>
        <w:tc>
          <w:tcPr>
            <w:tcW w:w="1866" w:type="dxa"/>
          </w:tcPr>
          <w:p w14:paraId="5479028B"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208 (9,1%)</w:t>
            </w:r>
          </w:p>
        </w:tc>
      </w:tr>
      <w:tr w:rsidR="005872E2" w:rsidRPr="000E77D2" w14:paraId="6E3E8156" w14:textId="77777777">
        <w:tc>
          <w:tcPr>
            <w:tcW w:w="3720" w:type="dxa"/>
          </w:tcPr>
          <w:p w14:paraId="1FE2832E"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Osteoporoza</w:t>
            </w:r>
          </w:p>
        </w:tc>
        <w:tc>
          <w:tcPr>
            <w:tcW w:w="1854" w:type="dxa"/>
          </w:tcPr>
          <w:p w14:paraId="4FCF46A3"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116 (5,2%)</w:t>
            </w:r>
          </w:p>
        </w:tc>
        <w:tc>
          <w:tcPr>
            <w:tcW w:w="1866" w:type="dxa"/>
          </w:tcPr>
          <w:p w14:paraId="5DD5CDA1"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66 (2,9%)</w:t>
            </w:r>
          </w:p>
        </w:tc>
      </w:tr>
      <w:tr w:rsidR="005872E2" w:rsidRPr="000E77D2" w14:paraId="7BFDDE09" w14:textId="77777777">
        <w:tc>
          <w:tcPr>
            <w:tcW w:w="3720" w:type="dxa"/>
          </w:tcPr>
          <w:p w14:paraId="6EF4B700"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Vaginalno krvarenje</w:t>
            </w:r>
          </w:p>
        </w:tc>
        <w:tc>
          <w:tcPr>
            <w:tcW w:w="1854" w:type="dxa"/>
          </w:tcPr>
          <w:p w14:paraId="3D1D7775"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90 (4</w:t>
            </w:r>
            <w:r w:rsidR="00002AEA" w:rsidRPr="000E77D2">
              <w:rPr>
                <w:rFonts w:ascii="Times New Roman" w:hAnsi="Times New Roman"/>
                <w:sz w:val="22"/>
                <w:szCs w:val="22"/>
                <w:lang w:val="sr-Latn-ME"/>
              </w:rPr>
              <w:t>,0</w:t>
            </w:r>
            <w:r w:rsidRPr="000E77D2">
              <w:rPr>
                <w:rFonts w:ascii="Times New Roman" w:hAnsi="Times New Roman"/>
                <w:sz w:val="22"/>
                <w:szCs w:val="22"/>
                <w:lang w:val="sr-Latn-ME"/>
              </w:rPr>
              <w:t>%)</w:t>
            </w:r>
          </w:p>
        </w:tc>
        <w:tc>
          <w:tcPr>
            <w:tcW w:w="1866" w:type="dxa"/>
          </w:tcPr>
          <w:p w14:paraId="2E7C921B"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121 (5,3%)</w:t>
            </w:r>
          </w:p>
        </w:tc>
      </w:tr>
      <w:tr w:rsidR="005872E2" w:rsidRPr="000E77D2" w14:paraId="36717566" w14:textId="77777777">
        <w:tc>
          <w:tcPr>
            <w:tcW w:w="3720" w:type="dxa"/>
          </w:tcPr>
          <w:p w14:paraId="553C035E"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Ostali primarni karcinomi</w:t>
            </w:r>
          </w:p>
        </w:tc>
        <w:tc>
          <w:tcPr>
            <w:tcW w:w="1854" w:type="dxa"/>
          </w:tcPr>
          <w:p w14:paraId="7A5A0FFA"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84 (3,6%)</w:t>
            </w:r>
          </w:p>
        </w:tc>
        <w:tc>
          <w:tcPr>
            <w:tcW w:w="1866" w:type="dxa"/>
          </w:tcPr>
          <w:p w14:paraId="6C23DA0F"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125 (5,3%)</w:t>
            </w:r>
          </w:p>
        </w:tc>
      </w:tr>
      <w:tr w:rsidR="005872E2" w:rsidRPr="000E77D2" w14:paraId="36C2A9C4" w14:textId="77777777">
        <w:tc>
          <w:tcPr>
            <w:tcW w:w="3720" w:type="dxa"/>
          </w:tcPr>
          <w:p w14:paraId="39B19EF3"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Povraćanje</w:t>
            </w:r>
          </w:p>
        </w:tc>
        <w:tc>
          <w:tcPr>
            <w:tcW w:w="1854" w:type="dxa"/>
          </w:tcPr>
          <w:p w14:paraId="6E2BA265"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50 (2,2%)</w:t>
            </w:r>
          </w:p>
        </w:tc>
        <w:tc>
          <w:tcPr>
            <w:tcW w:w="1866" w:type="dxa"/>
          </w:tcPr>
          <w:p w14:paraId="1B01FFE5"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54 (2,4%)</w:t>
            </w:r>
          </w:p>
        </w:tc>
      </w:tr>
      <w:tr w:rsidR="005872E2" w:rsidRPr="000E77D2" w14:paraId="332C8CA3" w14:textId="77777777">
        <w:tc>
          <w:tcPr>
            <w:tcW w:w="3720" w:type="dxa"/>
          </w:tcPr>
          <w:p w14:paraId="64F7992B"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Poremećaji vida</w:t>
            </w:r>
          </w:p>
        </w:tc>
        <w:tc>
          <w:tcPr>
            <w:tcW w:w="1854" w:type="dxa"/>
          </w:tcPr>
          <w:p w14:paraId="09BC0614"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45 (2,0%)</w:t>
            </w:r>
          </w:p>
        </w:tc>
        <w:tc>
          <w:tcPr>
            <w:tcW w:w="1866" w:type="dxa"/>
          </w:tcPr>
          <w:p w14:paraId="0D41DF9F"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53 (2,3%)</w:t>
            </w:r>
          </w:p>
        </w:tc>
      </w:tr>
      <w:tr w:rsidR="005872E2" w:rsidRPr="000E77D2" w14:paraId="458AA14F" w14:textId="77777777">
        <w:tc>
          <w:tcPr>
            <w:tcW w:w="3720" w:type="dxa"/>
          </w:tcPr>
          <w:p w14:paraId="4F1C13B1"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Tromboembolija</w:t>
            </w:r>
          </w:p>
        </w:tc>
        <w:tc>
          <w:tcPr>
            <w:tcW w:w="1854" w:type="dxa"/>
          </w:tcPr>
          <w:p w14:paraId="032C5C46"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16 (0,7%)</w:t>
            </w:r>
          </w:p>
        </w:tc>
        <w:tc>
          <w:tcPr>
            <w:tcW w:w="1866" w:type="dxa"/>
          </w:tcPr>
          <w:p w14:paraId="57DC9D47"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42 (1,8%)</w:t>
            </w:r>
          </w:p>
        </w:tc>
      </w:tr>
      <w:tr w:rsidR="005872E2" w:rsidRPr="000E77D2" w14:paraId="24071492" w14:textId="77777777">
        <w:tc>
          <w:tcPr>
            <w:tcW w:w="3720" w:type="dxa"/>
          </w:tcPr>
          <w:p w14:paraId="725B2F7C" w14:textId="15D81528"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Frakture kao posl</w:t>
            </w:r>
            <w:r w:rsidR="00666000" w:rsidRPr="000E77D2">
              <w:rPr>
                <w:rFonts w:ascii="Times New Roman" w:hAnsi="Times New Roman"/>
                <w:sz w:val="22"/>
                <w:szCs w:val="22"/>
                <w:lang w:val="sr-Latn-ME"/>
              </w:rPr>
              <w:t>j</w:t>
            </w:r>
            <w:r w:rsidRPr="000E77D2">
              <w:rPr>
                <w:rFonts w:ascii="Times New Roman" w:hAnsi="Times New Roman"/>
                <w:sz w:val="22"/>
                <w:szCs w:val="22"/>
                <w:lang w:val="sr-Latn-ME"/>
              </w:rPr>
              <w:t>edica osteoporoze</w:t>
            </w:r>
          </w:p>
        </w:tc>
        <w:tc>
          <w:tcPr>
            <w:tcW w:w="1854" w:type="dxa"/>
          </w:tcPr>
          <w:p w14:paraId="2F399572"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14 (0,6%)</w:t>
            </w:r>
          </w:p>
        </w:tc>
        <w:tc>
          <w:tcPr>
            <w:tcW w:w="1866" w:type="dxa"/>
          </w:tcPr>
          <w:p w14:paraId="4F26F162"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12 (0,5%)</w:t>
            </w:r>
          </w:p>
        </w:tc>
      </w:tr>
      <w:tr w:rsidR="000450A4" w:rsidRPr="000E77D2" w14:paraId="5D100FBA" w14:textId="77777777">
        <w:tc>
          <w:tcPr>
            <w:tcW w:w="3720" w:type="dxa"/>
          </w:tcPr>
          <w:p w14:paraId="3EACE1F5"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Infarkt miokarda</w:t>
            </w:r>
          </w:p>
        </w:tc>
        <w:tc>
          <w:tcPr>
            <w:tcW w:w="1854" w:type="dxa"/>
          </w:tcPr>
          <w:p w14:paraId="09654155"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13 (0,6%)</w:t>
            </w:r>
          </w:p>
        </w:tc>
        <w:tc>
          <w:tcPr>
            <w:tcW w:w="1866" w:type="dxa"/>
          </w:tcPr>
          <w:p w14:paraId="0C881EBE"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4 (0,2%)</w:t>
            </w:r>
          </w:p>
        </w:tc>
      </w:tr>
    </w:tbl>
    <w:p w14:paraId="4C382EF5" w14:textId="77777777" w:rsidR="001F2D8A" w:rsidRPr="000E77D2" w:rsidRDefault="001F2D8A" w:rsidP="00BE6A13">
      <w:pPr>
        <w:pStyle w:val="Header"/>
        <w:tabs>
          <w:tab w:val="clear" w:pos="4536"/>
          <w:tab w:val="clear" w:pos="9072"/>
          <w:tab w:val="left" w:pos="284"/>
        </w:tabs>
        <w:rPr>
          <w:rFonts w:ascii="Times New Roman" w:hAnsi="Times New Roman"/>
          <w:bCs/>
          <w:color w:val="FF0000"/>
          <w:sz w:val="22"/>
          <w:szCs w:val="22"/>
          <w:lang w:val="sr-Latn-ME"/>
        </w:rPr>
      </w:pPr>
    </w:p>
    <w:p w14:paraId="226E456C" w14:textId="3017B5B1" w:rsidR="000450A4" w:rsidRPr="000E77D2" w:rsidRDefault="000450A4" w:rsidP="00BE6A13">
      <w:pPr>
        <w:pStyle w:val="Header"/>
        <w:tabs>
          <w:tab w:val="clear" w:pos="4536"/>
          <w:tab w:val="clear" w:pos="9072"/>
          <w:tab w:val="left" w:pos="284"/>
        </w:tabs>
        <w:rPr>
          <w:rFonts w:ascii="Times New Roman" w:hAnsi="Times New Roman"/>
          <w:bCs/>
          <w:sz w:val="22"/>
          <w:szCs w:val="22"/>
          <w:lang w:val="sr-Latn-ME"/>
        </w:rPr>
      </w:pPr>
      <w:r w:rsidRPr="000E77D2">
        <w:rPr>
          <w:rFonts w:ascii="Times New Roman" w:hAnsi="Times New Roman"/>
          <w:bCs/>
          <w:sz w:val="22"/>
          <w:szCs w:val="22"/>
          <w:lang w:val="sr-Latn-ME"/>
        </w:rPr>
        <w:t>U IES studiji učestalost ishemijskih kardioloških događaja u grup</w:t>
      </w:r>
      <w:r w:rsidR="00730107" w:rsidRPr="000E77D2">
        <w:rPr>
          <w:rFonts w:ascii="Times New Roman" w:hAnsi="Times New Roman"/>
          <w:bCs/>
          <w:sz w:val="22"/>
          <w:szCs w:val="22"/>
          <w:lang w:val="sr-Latn-ME"/>
        </w:rPr>
        <w:t>ama</w:t>
      </w:r>
      <w:r w:rsidRPr="000E77D2">
        <w:rPr>
          <w:rFonts w:ascii="Times New Roman" w:hAnsi="Times New Roman"/>
          <w:bCs/>
          <w:sz w:val="22"/>
          <w:szCs w:val="22"/>
          <w:lang w:val="sr-Latn-ME"/>
        </w:rPr>
        <w:t xml:space="preserve"> koj</w:t>
      </w:r>
      <w:r w:rsidR="00730107" w:rsidRPr="000E77D2">
        <w:rPr>
          <w:rFonts w:ascii="Times New Roman" w:hAnsi="Times New Roman"/>
          <w:bCs/>
          <w:sz w:val="22"/>
          <w:szCs w:val="22"/>
          <w:lang w:val="sr-Latn-ME"/>
        </w:rPr>
        <w:t>e</w:t>
      </w:r>
      <w:r w:rsidRPr="000E77D2">
        <w:rPr>
          <w:rFonts w:ascii="Times New Roman" w:hAnsi="Times New Roman"/>
          <w:bCs/>
          <w:sz w:val="22"/>
          <w:szCs w:val="22"/>
          <w:lang w:val="sr-Latn-ME"/>
        </w:rPr>
        <w:t xml:space="preserve"> </w:t>
      </w:r>
      <w:r w:rsidR="00730107" w:rsidRPr="000E77D2">
        <w:rPr>
          <w:rFonts w:ascii="Times New Roman" w:hAnsi="Times New Roman"/>
          <w:bCs/>
          <w:sz w:val="22"/>
          <w:szCs w:val="22"/>
          <w:lang w:val="sr-Latn-ME"/>
        </w:rPr>
        <w:t>su</w:t>
      </w:r>
      <w:r w:rsidRPr="000E77D2">
        <w:rPr>
          <w:rFonts w:ascii="Times New Roman" w:hAnsi="Times New Roman"/>
          <w:bCs/>
          <w:sz w:val="22"/>
          <w:szCs w:val="22"/>
          <w:lang w:val="sr-Latn-ME"/>
        </w:rPr>
        <w:t xml:space="preserve"> primal</w:t>
      </w:r>
      <w:r w:rsidR="00730107" w:rsidRPr="000E77D2">
        <w:rPr>
          <w:rFonts w:ascii="Times New Roman" w:hAnsi="Times New Roman"/>
          <w:bCs/>
          <w:sz w:val="22"/>
          <w:szCs w:val="22"/>
          <w:lang w:val="sr-Latn-ME"/>
        </w:rPr>
        <w:t>e</w:t>
      </w:r>
      <w:r w:rsidRPr="000E77D2">
        <w:rPr>
          <w:rFonts w:ascii="Times New Roman" w:hAnsi="Times New Roman"/>
          <w:bCs/>
          <w:sz w:val="22"/>
          <w:szCs w:val="22"/>
          <w:lang w:val="sr-Latn-ME"/>
        </w:rPr>
        <w:t xml:space="preserve"> eksemestan</w:t>
      </w:r>
      <w:r w:rsidR="00730107" w:rsidRPr="000E77D2">
        <w:rPr>
          <w:rFonts w:ascii="Times New Roman" w:hAnsi="Times New Roman"/>
          <w:bCs/>
          <w:sz w:val="22"/>
          <w:szCs w:val="22"/>
          <w:lang w:val="sr-Latn-ME"/>
        </w:rPr>
        <w:t xml:space="preserve"> i tamoksifen</w:t>
      </w:r>
      <w:r w:rsidRPr="000E77D2">
        <w:rPr>
          <w:rFonts w:ascii="Times New Roman" w:hAnsi="Times New Roman"/>
          <w:bCs/>
          <w:sz w:val="22"/>
          <w:szCs w:val="22"/>
          <w:lang w:val="sr-Latn-ME"/>
        </w:rPr>
        <w:t xml:space="preserve"> je iznosila 4,5% prema 4,2%. Nije prim</w:t>
      </w:r>
      <w:r w:rsidR="00666000" w:rsidRPr="000E77D2">
        <w:rPr>
          <w:rFonts w:ascii="Times New Roman" w:hAnsi="Times New Roman"/>
          <w:bCs/>
          <w:sz w:val="22"/>
          <w:szCs w:val="22"/>
          <w:lang w:val="sr-Latn-ME"/>
        </w:rPr>
        <w:t>ij</w:t>
      </w:r>
      <w:r w:rsidRPr="000E77D2">
        <w:rPr>
          <w:rFonts w:ascii="Times New Roman" w:hAnsi="Times New Roman"/>
          <w:bCs/>
          <w:sz w:val="22"/>
          <w:szCs w:val="22"/>
          <w:lang w:val="sr-Latn-ME"/>
        </w:rPr>
        <w:t>ećena značajna razlika za bilo koji kardiovaskularni događaj uključujući hipertenziju (9,9% prema 8,4%), infarkt miokarda (0,6% prema 0,2%) i srčanu i</w:t>
      </w:r>
      <w:r w:rsidR="00F96AAE" w:rsidRPr="000E77D2">
        <w:rPr>
          <w:rFonts w:ascii="Times New Roman" w:hAnsi="Times New Roman"/>
          <w:bCs/>
          <w:sz w:val="22"/>
          <w:szCs w:val="22"/>
          <w:lang w:val="sr-Latn-ME"/>
        </w:rPr>
        <w:t>n</w:t>
      </w:r>
      <w:r w:rsidRPr="000E77D2">
        <w:rPr>
          <w:rFonts w:ascii="Times New Roman" w:hAnsi="Times New Roman"/>
          <w:bCs/>
          <w:sz w:val="22"/>
          <w:szCs w:val="22"/>
          <w:lang w:val="sr-Latn-ME"/>
        </w:rPr>
        <w:t>suficijenciju (1,1% prema 0,7%).</w:t>
      </w:r>
    </w:p>
    <w:p w14:paraId="7B6A0098" w14:textId="77777777" w:rsidR="000450A4" w:rsidRPr="000E77D2" w:rsidRDefault="000450A4" w:rsidP="00BE6A13">
      <w:pPr>
        <w:rPr>
          <w:rFonts w:ascii="Times New Roman" w:hAnsi="Times New Roman"/>
          <w:iCs/>
          <w:sz w:val="22"/>
          <w:szCs w:val="22"/>
          <w:lang w:val="sr-Latn-ME" w:eastAsia="en-GB"/>
        </w:rPr>
      </w:pPr>
    </w:p>
    <w:p w14:paraId="2CA5C88C" w14:textId="6195C572"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 xml:space="preserve">U IES </w:t>
      </w:r>
      <w:r w:rsidRPr="000E77D2">
        <w:rPr>
          <w:rFonts w:ascii="Times New Roman" w:hAnsi="Times New Roman"/>
          <w:bCs/>
          <w:sz w:val="22"/>
          <w:szCs w:val="22"/>
          <w:lang w:val="sr-Latn-ME"/>
        </w:rPr>
        <w:t>studiji</w:t>
      </w:r>
      <w:r w:rsidRPr="000E77D2">
        <w:rPr>
          <w:rFonts w:ascii="Times New Roman" w:hAnsi="Times New Roman"/>
          <w:sz w:val="22"/>
          <w:szCs w:val="22"/>
          <w:lang w:val="sr-Latn-ME"/>
        </w:rPr>
        <w:t>, hiperholesterolemija se javljala u većem procentu prilikom upotrebe eksemestana u poređenju sa tamoksifenom (3,7% prema 2,1%).</w:t>
      </w:r>
    </w:p>
    <w:p w14:paraId="6F0B69F7" w14:textId="77777777" w:rsidR="000450A4" w:rsidRPr="000E77D2" w:rsidRDefault="000450A4" w:rsidP="00BE6A13">
      <w:pPr>
        <w:rPr>
          <w:rFonts w:ascii="Times New Roman" w:hAnsi="Times New Roman"/>
          <w:color w:val="FF0000"/>
          <w:sz w:val="22"/>
          <w:szCs w:val="22"/>
          <w:lang w:val="sr-Latn-ME"/>
        </w:rPr>
      </w:pPr>
    </w:p>
    <w:p w14:paraId="23ED1108" w14:textId="4D82E4EE" w:rsidR="000450A4" w:rsidRPr="000E77D2" w:rsidRDefault="000450A4" w:rsidP="00AB5AF6">
      <w:pPr>
        <w:rPr>
          <w:rFonts w:ascii="Times New Roman" w:hAnsi="Times New Roman"/>
          <w:sz w:val="22"/>
          <w:szCs w:val="22"/>
          <w:lang w:val="sr-Latn-ME"/>
        </w:rPr>
      </w:pPr>
      <w:r w:rsidRPr="000E77D2">
        <w:rPr>
          <w:rFonts w:ascii="Times New Roman" w:hAnsi="Times New Roman"/>
          <w:sz w:val="22"/>
          <w:szCs w:val="22"/>
          <w:lang w:val="sr-Latn-ME"/>
        </w:rPr>
        <w:t>U zasebnom, dvostruko sl</w:t>
      </w:r>
      <w:r w:rsidR="00081996" w:rsidRPr="000E77D2">
        <w:rPr>
          <w:rFonts w:ascii="Times New Roman" w:hAnsi="Times New Roman"/>
          <w:sz w:val="22"/>
          <w:szCs w:val="22"/>
          <w:lang w:val="sr-Latn-ME"/>
        </w:rPr>
        <w:t>ij</w:t>
      </w:r>
      <w:r w:rsidRPr="000E77D2">
        <w:rPr>
          <w:rFonts w:ascii="Times New Roman" w:hAnsi="Times New Roman"/>
          <w:sz w:val="22"/>
          <w:szCs w:val="22"/>
          <w:lang w:val="sr-Latn-ME"/>
        </w:rPr>
        <w:t>epom, randomizovanom ispitivanju kod žena u postmenopauzi sa ranim stadijumom karcinoma dojke niskog rizika koje su l</w:t>
      </w:r>
      <w:r w:rsidR="00081996" w:rsidRPr="000E77D2">
        <w:rPr>
          <w:rFonts w:ascii="Times New Roman" w:hAnsi="Times New Roman"/>
          <w:sz w:val="22"/>
          <w:szCs w:val="22"/>
          <w:lang w:val="sr-Latn-ME"/>
        </w:rPr>
        <w:t>ij</w:t>
      </w:r>
      <w:r w:rsidRPr="000E77D2">
        <w:rPr>
          <w:rFonts w:ascii="Times New Roman" w:hAnsi="Times New Roman"/>
          <w:sz w:val="22"/>
          <w:szCs w:val="22"/>
          <w:lang w:val="sr-Latn-ME"/>
        </w:rPr>
        <w:t>ečene eksemestanom (n=73) ili placebom (n=73) tokom 24 m</w:t>
      </w:r>
      <w:r w:rsidR="00081996" w:rsidRPr="000E77D2">
        <w:rPr>
          <w:rFonts w:ascii="Times New Roman" w:hAnsi="Times New Roman"/>
          <w:sz w:val="22"/>
          <w:szCs w:val="22"/>
          <w:lang w:val="sr-Latn-ME"/>
        </w:rPr>
        <w:t>j</w:t>
      </w:r>
      <w:r w:rsidRPr="000E77D2">
        <w:rPr>
          <w:rFonts w:ascii="Times New Roman" w:hAnsi="Times New Roman"/>
          <w:sz w:val="22"/>
          <w:szCs w:val="22"/>
          <w:lang w:val="sr-Latn-ME"/>
        </w:rPr>
        <w:t>eseca, eksemestan je povezan sa pros</w:t>
      </w:r>
      <w:r w:rsidR="00081996" w:rsidRPr="000E77D2">
        <w:rPr>
          <w:rFonts w:ascii="Times New Roman" w:hAnsi="Times New Roman"/>
          <w:sz w:val="22"/>
          <w:szCs w:val="22"/>
          <w:lang w:val="sr-Latn-ME"/>
        </w:rPr>
        <w:t>j</w:t>
      </w:r>
      <w:r w:rsidRPr="000E77D2">
        <w:rPr>
          <w:rFonts w:ascii="Times New Roman" w:hAnsi="Times New Roman"/>
          <w:sz w:val="22"/>
          <w:szCs w:val="22"/>
          <w:lang w:val="sr-Latn-ME"/>
        </w:rPr>
        <w:t>ečnim</w:t>
      </w:r>
      <w:r w:rsidR="00730107" w:rsidRPr="000E77D2">
        <w:rPr>
          <w:rFonts w:ascii="Times New Roman" w:hAnsi="Times New Roman"/>
          <w:sz w:val="22"/>
          <w:szCs w:val="22"/>
          <w:lang w:val="sr-Latn-ME"/>
        </w:rPr>
        <w:t xml:space="preserve"> srednjim</w:t>
      </w:r>
      <w:r w:rsidRPr="000E77D2">
        <w:rPr>
          <w:rFonts w:ascii="Times New Roman" w:hAnsi="Times New Roman"/>
          <w:sz w:val="22"/>
          <w:szCs w:val="22"/>
          <w:lang w:val="sr-Latn-ME"/>
        </w:rPr>
        <w:t xml:space="preserve"> smanjenjem koncentracije HDL-holesterola</w:t>
      </w:r>
      <w:r w:rsidR="00AB5AF6" w:rsidRPr="000E77D2">
        <w:rPr>
          <w:rFonts w:ascii="Times New Roman" w:hAnsi="Times New Roman"/>
          <w:sz w:val="22"/>
          <w:szCs w:val="22"/>
          <w:lang w:val="sr-Latn-ME"/>
        </w:rPr>
        <w:t xml:space="preserve"> </w:t>
      </w:r>
      <w:r w:rsidRPr="000E77D2">
        <w:rPr>
          <w:rFonts w:ascii="Times New Roman" w:hAnsi="Times New Roman"/>
          <w:sz w:val="22"/>
          <w:szCs w:val="22"/>
          <w:lang w:val="sr-Latn-ME"/>
        </w:rPr>
        <w:t>od</w:t>
      </w:r>
      <w:r w:rsidR="003D228B" w:rsidRPr="000E77D2">
        <w:rPr>
          <w:rFonts w:ascii="Times New Roman" w:hAnsi="Times New Roman"/>
          <w:sz w:val="22"/>
          <w:szCs w:val="22"/>
          <w:lang w:val="sr-Latn-ME"/>
        </w:rPr>
        <w:t xml:space="preserve"> </w:t>
      </w:r>
      <w:r w:rsidRPr="000E77D2">
        <w:rPr>
          <w:rFonts w:ascii="Times New Roman" w:hAnsi="Times New Roman"/>
          <w:sz w:val="22"/>
          <w:szCs w:val="22"/>
          <w:lang w:val="sr-Latn-ME"/>
        </w:rPr>
        <w:t xml:space="preserve">7-9%, u odnosu na povećanje od 1% kod placeba. Takođe, u grupi </w:t>
      </w:r>
      <w:r w:rsidR="00081996" w:rsidRPr="000E77D2">
        <w:rPr>
          <w:rFonts w:ascii="Times New Roman" w:hAnsi="Times New Roman"/>
          <w:sz w:val="22"/>
          <w:szCs w:val="22"/>
          <w:lang w:val="sr-Latn-ME"/>
        </w:rPr>
        <w:t>koja je primala eksemestan, zabi</w:t>
      </w:r>
      <w:r w:rsidRPr="000E77D2">
        <w:rPr>
          <w:rFonts w:ascii="Times New Roman" w:hAnsi="Times New Roman"/>
          <w:sz w:val="22"/>
          <w:szCs w:val="22"/>
          <w:lang w:val="sr-Latn-ME"/>
        </w:rPr>
        <w:t>l</w:t>
      </w:r>
      <w:r w:rsidR="00081996" w:rsidRPr="000E77D2">
        <w:rPr>
          <w:rFonts w:ascii="Times New Roman" w:hAnsi="Times New Roman"/>
          <w:sz w:val="22"/>
          <w:szCs w:val="22"/>
          <w:lang w:val="sr-Latn-ME"/>
        </w:rPr>
        <w:t>j</w:t>
      </w:r>
      <w:r w:rsidRPr="000E77D2">
        <w:rPr>
          <w:rFonts w:ascii="Times New Roman" w:hAnsi="Times New Roman"/>
          <w:sz w:val="22"/>
          <w:szCs w:val="22"/>
          <w:lang w:val="sr-Latn-ME"/>
        </w:rPr>
        <w:t>eženo je smanjenje apolipoproteina A1 od 5-6%, u poređenju sa 0-2% kod placeba. Efekat na druge ispitivane lipidne parametre (ukupan holesterol, LDL holesterol, trigliceridi, apolipoprotein-B i lipoprotein-a) je bio veoma sličan u obe ispitivane grupe. Klinički značaj ovih rezultata nije jasan.</w:t>
      </w:r>
    </w:p>
    <w:p w14:paraId="58B333C0" w14:textId="77777777" w:rsidR="000450A4" w:rsidRPr="000E77D2" w:rsidRDefault="000450A4" w:rsidP="00BE6A13">
      <w:pPr>
        <w:pStyle w:val="Header"/>
        <w:tabs>
          <w:tab w:val="clear" w:pos="4536"/>
          <w:tab w:val="clear" w:pos="9072"/>
          <w:tab w:val="left" w:pos="284"/>
        </w:tabs>
        <w:rPr>
          <w:rFonts w:ascii="Times New Roman" w:hAnsi="Times New Roman"/>
          <w:bCs/>
          <w:color w:val="FF0000"/>
          <w:sz w:val="22"/>
          <w:szCs w:val="22"/>
          <w:lang w:val="sr-Latn-ME"/>
        </w:rPr>
      </w:pPr>
    </w:p>
    <w:p w14:paraId="6DD53067" w14:textId="6E40543B" w:rsidR="000450A4" w:rsidRPr="000E77D2" w:rsidRDefault="000450A4" w:rsidP="00BE6A13">
      <w:pPr>
        <w:rPr>
          <w:rFonts w:ascii="Times New Roman" w:hAnsi="Times New Roman"/>
          <w:bCs/>
          <w:sz w:val="22"/>
          <w:szCs w:val="22"/>
          <w:lang w:val="sr-Latn-ME"/>
        </w:rPr>
      </w:pPr>
      <w:r w:rsidRPr="000E77D2">
        <w:rPr>
          <w:rFonts w:ascii="Times New Roman" w:hAnsi="Times New Roman"/>
          <w:bCs/>
          <w:sz w:val="22"/>
          <w:szCs w:val="22"/>
          <w:lang w:val="sr-Latn-ME"/>
        </w:rPr>
        <w:t>U IES studiji prim</w:t>
      </w:r>
      <w:r w:rsidR="00081996" w:rsidRPr="000E77D2">
        <w:rPr>
          <w:rFonts w:ascii="Times New Roman" w:hAnsi="Times New Roman"/>
          <w:bCs/>
          <w:sz w:val="22"/>
          <w:szCs w:val="22"/>
          <w:lang w:val="sr-Latn-ME"/>
        </w:rPr>
        <w:t>ij</w:t>
      </w:r>
      <w:r w:rsidRPr="000E77D2">
        <w:rPr>
          <w:rFonts w:ascii="Times New Roman" w:hAnsi="Times New Roman"/>
          <w:bCs/>
          <w:sz w:val="22"/>
          <w:szCs w:val="22"/>
          <w:lang w:val="sr-Latn-ME"/>
        </w:rPr>
        <w:t>ećena je pojava ulkusa želuca veće učestalosti u grupi koja je primala eksemestan u odnosu na grupu koja je p</w:t>
      </w:r>
      <w:r w:rsidR="0046495E" w:rsidRPr="000E77D2">
        <w:rPr>
          <w:rFonts w:ascii="Times New Roman" w:hAnsi="Times New Roman"/>
          <w:bCs/>
          <w:sz w:val="22"/>
          <w:szCs w:val="22"/>
          <w:lang w:val="sr-Latn-ME"/>
        </w:rPr>
        <w:t>rimala tamoksifen (0,7% prema &lt;</w:t>
      </w:r>
      <w:r w:rsidRPr="000E77D2">
        <w:rPr>
          <w:rFonts w:ascii="Times New Roman" w:hAnsi="Times New Roman"/>
          <w:bCs/>
          <w:sz w:val="22"/>
          <w:szCs w:val="22"/>
          <w:lang w:val="sr-Latn-ME"/>
        </w:rPr>
        <w:t>0,1%). Većina pacijenata sa ulkusom želuca je primala istovremenu terapiju sa nesteroidnim antiinflamatornim l</w:t>
      </w:r>
      <w:r w:rsidR="00CC1D6F" w:rsidRPr="000E77D2">
        <w:rPr>
          <w:rFonts w:ascii="Times New Roman" w:hAnsi="Times New Roman"/>
          <w:bCs/>
          <w:sz w:val="22"/>
          <w:szCs w:val="22"/>
          <w:lang w:val="sr-Latn-ME"/>
        </w:rPr>
        <w:t>j</w:t>
      </w:r>
      <w:r w:rsidRPr="000E77D2">
        <w:rPr>
          <w:rFonts w:ascii="Times New Roman" w:hAnsi="Times New Roman"/>
          <w:bCs/>
          <w:sz w:val="22"/>
          <w:szCs w:val="22"/>
          <w:lang w:val="sr-Latn-ME"/>
        </w:rPr>
        <w:t>ekovima i/ili su ranije primali ove l</w:t>
      </w:r>
      <w:r w:rsidR="00081996" w:rsidRPr="000E77D2">
        <w:rPr>
          <w:rFonts w:ascii="Times New Roman" w:hAnsi="Times New Roman"/>
          <w:bCs/>
          <w:sz w:val="22"/>
          <w:szCs w:val="22"/>
          <w:lang w:val="sr-Latn-ME"/>
        </w:rPr>
        <w:t>j</w:t>
      </w:r>
      <w:r w:rsidRPr="000E77D2">
        <w:rPr>
          <w:rFonts w:ascii="Times New Roman" w:hAnsi="Times New Roman"/>
          <w:bCs/>
          <w:sz w:val="22"/>
          <w:szCs w:val="22"/>
          <w:lang w:val="sr-Latn-ME"/>
        </w:rPr>
        <w:t>ekove.</w:t>
      </w:r>
    </w:p>
    <w:p w14:paraId="26AECF96" w14:textId="77777777" w:rsidR="000450A4" w:rsidRPr="000E77D2" w:rsidRDefault="000450A4" w:rsidP="00BE6A13">
      <w:pPr>
        <w:rPr>
          <w:rFonts w:ascii="Times New Roman" w:hAnsi="Times New Roman"/>
          <w:bCs/>
          <w:color w:val="FF0000"/>
          <w:sz w:val="22"/>
          <w:szCs w:val="22"/>
          <w:lang w:val="sr-Latn-ME"/>
        </w:rPr>
      </w:pPr>
    </w:p>
    <w:p w14:paraId="7319279D" w14:textId="77777777" w:rsidR="004A6D29" w:rsidRPr="000E77D2" w:rsidRDefault="004A6D29" w:rsidP="00BE6A13">
      <w:pPr>
        <w:keepNext/>
        <w:keepLines/>
        <w:spacing w:line="276" w:lineRule="auto"/>
        <w:rPr>
          <w:rFonts w:ascii="Times New Roman" w:eastAsia="Calibri" w:hAnsi="Times New Roman"/>
          <w:sz w:val="22"/>
          <w:szCs w:val="22"/>
          <w:u w:val="single"/>
          <w:lang w:val="sr-Latn-ME"/>
        </w:rPr>
      </w:pPr>
      <w:r w:rsidRPr="000E77D2">
        <w:rPr>
          <w:rFonts w:ascii="Times New Roman" w:eastAsia="Calibri" w:hAnsi="Times New Roman"/>
          <w:sz w:val="22"/>
          <w:szCs w:val="22"/>
          <w:u w:val="single"/>
          <w:lang w:val="sr-Latn-ME"/>
        </w:rPr>
        <w:t>Prijavljivanje sumnji na neželjena dejstva</w:t>
      </w:r>
    </w:p>
    <w:p w14:paraId="2711AB0C" w14:textId="14C7464E" w:rsidR="004A6D29" w:rsidRPr="000E77D2" w:rsidRDefault="004A6D29" w:rsidP="00BE6A13">
      <w:pPr>
        <w:keepNext/>
        <w:keepLines/>
        <w:rPr>
          <w:rFonts w:ascii="Times New Roman" w:eastAsia="Calibri" w:hAnsi="Times New Roman"/>
          <w:sz w:val="22"/>
          <w:szCs w:val="22"/>
          <w:highlight w:val="yellow"/>
          <w:lang w:val="sr-Latn-ME"/>
        </w:rPr>
      </w:pPr>
      <w:r w:rsidRPr="000E77D2">
        <w:rPr>
          <w:rFonts w:ascii="Times New Roman" w:eastAsia="Calibri" w:hAnsi="Times New Roman"/>
          <w:sz w:val="22"/>
          <w:szCs w:val="22"/>
          <w:lang w:val="sr-Latn-ME"/>
        </w:rPr>
        <w:t xml:space="preserve">Prijavljivanje neželjenih dejstava nakon dobijanja dozvole je od velikog značaja jer obezbjeđuje kontinuirano praćenje odnosa korist/rizik primjene lijeka. Zdravstveni radnici treba da prijave svaku sumnju na neželjeno dejstvo ovog lijeka </w:t>
      </w:r>
      <w:r w:rsidR="006609BB" w:rsidRPr="000E77D2">
        <w:rPr>
          <w:rFonts w:ascii="Times New Roman" w:eastAsia="Calibri" w:hAnsi="Times New Roman"/>
          <w:sz w:val="22"/>
          <w:szCs w:val="22"/>
          <w:lang w:val="sr-Latn-ME"/>
        </w:rPr>
        <w:t>Institutu za ljekove i medicinska sredstva Crne Gore (CInMED)</w:t>
      </w:r>
      <w:r w:rsidRPr="000E77D2">
        <w:rPr>
          <w:rFonts w:ascii="Times New Roman" w:eastAsia="Calibri" w:hAnsi="Times New Roman"/>
          <w:sz w:val="22"/>
          <w:szCs w:val="22"/>
          <w:lang w:val="sr-Latn-ME"/>
        </w:rPr>
        <w:t>:</w:t>
      </w:r>
    </w:p>
    <w:p w14:paraId="6BDBAC52" w14:textId="0B31B78B" w:rsidR="004A6D29" w:rsidRPr="000E77D2" w:rsidRDefault="006609BB" w:rsidP="00BE6A13">
      <w:pPr>
        <w:pStyle w:val="NoSpacing"/>
        <w:jc w:val="both"/>
        <w:rPr>
          <w:rFonts w:eastAsia="Calibri"/>
          <w:sz w:val="22"/>
          <w:szCs w:val="22"/>
          <w:lang w:val="sr-Latn-ME"/>
        </w:rPr>
      </w:pPr>
      <w:r w:rsidRPr="000E77D2">
        <w:rPr>
          <w:rFonts w:eastAsia="Calibri"/>
          <w:sz w:val="22"/>
          <w:szCs w:val="22"/>
          <w:lang w:val="sr-Latn-ME"/>
        </w:rPr>
        <w:t>Institut za ljekove i medicinska sredstva</w:t>
      </w:r>
    </w:p>
    <w:p w14:paraId="704022AF" w14:textId="77777777" w:rsidR="006609BB" w:rsidRPr="000E77D2" w:rsidRDefault="006609BB" w:rsidP="00BE6A13">
      <w:pPr>
        <w:pStyle w:val="NoSpacing"/>
        <w:jc w:val="both"/>
        <w:rPr>
          <w:rFonts w:eastAsia="Calibri"/>
          <w:sz w:val="22"/>
          <w:szCs w:val="22"/>
          <w:lang w:val="sr-Latn-ME"/>
        </w:rPr>
      </w:pPr>
    </w:p>
    <w:p w14:paraId="656EB222" w14:textId="77777777" w:rsidR="004A6D29" w:rsidRPr="000E77D2" w:rsidRDefault="004A6D29" w:rsidP="00BE6A13">
      <w:pPr>
        <w:pStyle w:val="NoSpacing"/>
        <w:jc w:val="both"/>
        <w:rPr>
          <w:rFonts w:eastAsia="Calibri"/>
          <w:sz w:val="22"/>
          <w:szCs w:val="22"/>
          <w:lang w:val="sr-Latn-ME"/>
        </w:rPr>
      </w:pPr>
      <w:r w:rsidRPr="000E77D2">
        <w:rPr>
          <w:rFonts w:eastAsia="Calibri"/>
          <w:sz w:val="22"/>
          <w:szCs w:val="22"/>
          <w:lang w:val="sr-Latn-ME"/>
        </w:rPr>
        <w:t>Odjeljenje za farmakovigilancu</w:t>
      </w:r>
    </w:p>
    <w:p w14:paraId="62B4B55D" w14:textId="77777777" w:rsidR="004A6D29" w:rsidRPr="000E77D2" w:rsidRDefault="004A6D29" w:rsidP="00BE6A13">
      <w:pPr>
        <w:pStyle w:val="NoSpacing"/>
        <w:jc w:val="both"/>
        <w:rPr>
          <w:rFonts w:eastAsia="Calibri"/>
          <w:sz w:val="22"/>
          <w:szCs w:val="22"/>
          <w:lang w:val="sr-Latn-ME"/>
        </w:rPr>
      </w:pPr>
      <w:r w:rsidRPr="000E77D2">
        <w:rPr>
          <w:rFonts w:eastAsia="Calibri"/>
          <w:sz w:val="22"/>
          <w:szCs w:val="22"/>
          <w:lang w:val="sr-Latn-ME"/>
        </w:rPr>
        <w:t>Bulevar Ivana Crnojevića 64a, 81000 Podgorica</w:t>
      </w:r>
    </w:p>
    <w:p w14:paraId="499EAA05" w14:textId="77777777" w:rsidR="004A6D29" w:rsidRPr="000E77D2" w:rsidRDefault="004A6D29" w:rsidP="00BE6A13">
      <w:pPr>
        <w:pStyle w:val="NoSpacing"/>
        <w:jc w:val="both"/>
        <w:rPr>
          <w:rFonts w:eastAsia="Calibri"/>
          <w:sz w:val="22"/>
          <w:szCs w:val="22"/>
          <w:lang w:val="sr-Latn-ME"/>
        </w:rPr>
      </w:pPr>
    </w:p>
    <w:p w14:paraId="66ED579B" w14:textId="77777777" w:rsidR="004A6D29" w:rsidRPr="000E77D2" w:rsidRDefault="004A6D29" w:rsidP="00BE6A13">
      <w:pPr>
        <w:pStyle w:val="NoSpacing"/>
        <w:jc w:val="both"/>
        <w:rPr>
          <w:rFonts w:eastAsia="Calibri"/>
          <w:sz w:val="22"/>
          <w:szCs w:val="22"/>
          <w:lang w:val="sr-Latn-ME"/>
        </w:rPr>
      </w:pPr>
      <w:r w:rsidRPr="000E77D2">
        <w:rPr>
          <w:rFonts w:eastAsia="Calibri"/>
          <w:sz w:val="22"/>
          <w:szCs w:val="22"/>
          <w:lang w:val="sr-Latn-ME"/>
        </w:rPr>
        <w:lastRenderedPageBreak/>
        <w:t>tel: +382 (0) 20 310 280</w:t>
      </w:r>
    </w:p>
    <w:p w14:paraId="3A46D4B0" w14:textId="77777777" w:rsidR="004A6D29" w:rsidRPr="000E77D2" w:rsidRDefault="004A6D29" w:rsidP="00BE6A13">
      <w:pPr>
        <w:pStyle w:val="NoSpacing"/>
        <w:jc w:val="both"/>
        <w:rPr>
          <w:rFonts w:eastAsia="Calibri"/>
          <w:sz w:val="22"/>
          <w:szCs w:val="22"/>
          <w:lang w:val="sr-Latn-ME"/>
        </w:rPr>
      </w:pPr>
      <w:r w:rsidRPr="000E77D2">
        <w:rPr>
          <w:rFonts w:eastAsia="Calibri"/>
          <w:sz w:val="22"/>
          <w:szCs w:val="22"/>
          <w:lang w:val="sr-Latn-ME"/>
        </w:rPr>
        <w:t>fax: +382 (0) 20 310 581</w:t>
      </w:r>
    </w:p>
    <w:p w14:paraId="33EFA35F" w14:textId="77777777" w:rsidR="007D25A9" w:rsidRPr="000E77D2" w:rsidRDefault="00D964CF" w:rsidP="007D25A9">
      <w:pPr>
        <w:pStyle w:val="NoSpacing"/>
        <w:jc w:val="both"/>
        <w:rPr>
          <w:rFonts w:eastAsia="Calibri"/>
          <w:sz w:val="22"/>
          <w:szCs w:val="22"/>
          <w:lang w:val="sr-Latn-ME"/>
        </w:rPr>
      </w:pPr>
      <w:hyperlink r:id="rId7" w:history="1">
        <w:r w:rsidR="007D25A9" w:rsidRPr="000E77D2">
          <w:rPr>
            <w:rStyle w:val="Hyperlink"/>
            <w:rFonts w:eastAsia="Calibri"/>
            <w:sz w:val="22"/>
            <w:szCs w:val="22"/>
            <w:lang w:val="sr-Latn-ME"/>
          </w:rPr>
          <w:t>www.cinmed.me</w:t>
        </w:r>
      </w:hyperlink>
    </w:p>
    <w:p w14:paraId="0B5B3C58" w14:textId="77777777" w:rsidR="007D25A9" w:rsidRPr="000E77D2" w:rsidRDefault="00D964CF" w:rsidP="007D25A9">
      <w:pPr>
        <w:pStyle w:val="NoSpacing"/>
        <w:jc w:val="both"/>
        <w:rPr>
          <w:rFonts w:eastAsia="Calibri"/>
          <w:color w:val="0000FF"/>
          <w:sz w:val="22"/>
          <w:szCs w:val="22"/>
          <w:u w:val="single"/>
          <w:lang w:val="sr-Latn-ME"/>
        </w:rPr>
      </w:pPr>
      <w:hyperlink r:id="rId8" w:history="1">
        <w:r w:rsidR="007D25A9" w:rsidRPr="000E77D2">
          <w:rPr>
            <w:rStyle w:val="Hyperlink"/>
            <w:rFonts w:eastAsia="Calibri"/>
            <w:sz w:val="22"/>
            <w:szCs w:val="22"/>
            <w:lang w:val="sr-Latn-ME"/>
          </w:rPr>
          <w:t>nezeljenadejstva@cinmed.me</w:t>
        </w:r>
      </w:hyperlink>
    </w:p>
    <w:p w14:paraId="155FB4B1" w14:textId="32BCEA9D" w:rsidR="006609BB" w:rsidRPr="000E77D2" w:rsidRDefault="006609BB" w:rsidP="00BE6A13">
      <w:pPr>
        <w:pStyle w:val="NoSpacing"/>
        <w:jc w:val="both"/>
        <w:rPr>
          <w:rFonts w:eastAsia="Calibri"/>
          <w:sz w:val="22"/>
          <w:szCs w:val="22"/>
          <w:lang w:val="sr-Latn-ME"/>
        </w:rPr>
      </w:pPr>
      <w:r w:rsidRPr="000E77D2">
        <w:rPr>
          <w:rFonts w:eastAsia="Calibri"/>
          <w:sz w:val="22"/>
          <w:szCs w:val="22"/>
          <w:lang w:val="sr-Latn-ME"/>
        </w:rPr>
        <w:t>putem IS zdravstvene zaštite</w:t>
      </w:r>
    </w:p>
    <w:p w14:paraId="01CA5AF0" w14:textId="47337D55" w:rsidR="004A6D29" w:rsidRPr="000E77D2" w:rsidRDefault="006609BB" w:rsidP="00BE6A13">
      <w:pPr>
        <w:pStyle w:val="NoSpacing"/>
        <w:jc w:val="both"/>
        <w:rPr>
          <w:rFonts w:eastAsia="Calibri"/>
          <w:sz w:val="22"/>
          <w:szCs w:val="22"/>
          <w:lang w:val="sr-Latn-ME"/>
        </w:rPr>
      </w:pPr>
      <w:bookmarkStart w:id="4" w:name="_Hlk160614884"/>
      <w:r w:rsidRPr="000E77D2">
        <w:rPr>
          <w:rFonts w:eastAsia="Calibri"/>
          <w:sz w:val="22"/>
          <w:szCs w:val="22"/>
          <w:lang w:val="sr-Latn-ME"/>
        </w:rPr>
        <w:t>QR kod za online prijavu sumnje na neželjeno dejstvo lijeka:</w:t>
      </w:r>
    </w:p>
    <w:bookmarkEnd w:id="4"/>
    <w:p w14:paraId="4B0F4CEE" w14:textId="778D1059" w:rsidR="004A6D29" w:rsidRPr="000E77D2" w:rsidRDefault="004A6D29" w:rsidP="00BE6A13">
      <w:pPr>
        <w:pStyle w:val="NoSpacing"/>
        <w:jc w:val="both"/>
        <w:rPr>
          <w:rFonts w:eastAsia="Calibri"/>
          <w:sz w:val="22"/>
          <w:szCs w:val="22"/>
          <w:lang w:val="sr-Latn-ME"/>
        </w:rPr>
      </w:pPr>
    </w:p>
    <w:p w14:paraId="4A7A8A4F" w14:textId="18844461" w:rsidR="000450A4" w:rsidRPr="000E77D2" w:rsidRDefault="007D25A9" w:rsidP="00BE6A13">
      <w:pPr>
        <w:rPr>
          <w:rFonts w:ascii="Times New Roman" w:hAnsi="Times New Roman"/>
          <w:color w:val="FF0000"/>
          <w:sz w:val="22"/>
          <w:szCs w:val="22"/>
          <w:lang w:val="sr-Latn-ME"/>
        </w:rPr>
      </w:pPr>
      <w:r w:rsidRPr="000E77D2">
        <w:rPr>
          <w:rFonts w:ascii="Times New Roman" w:hAnsi="Times New Roman"/>
          <w:b/>
          <w:bCs/>
          <w:noProof/>
          <w:sz w:val="22"/>
          <w:szCs w:val="22"/>
          <w:lang w:val="sr-Latn-ME"/>
        </w:rPr>
        <w:drawing>
          <wp:inline distT="0" distB="0" distL="0" distR="0" wp14:anchorId="4CB44471" wp14:editId="3AB27C37">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6F78B40" w14:textId="77777777" w:rsidR="006609BB" w:rsidRPr="000E77D2" w:rsidRDefault="006609BB" w:rsidP="00BE6A13">
      <w:pPr>
        <w:rPr>
          <w:rFonts w:ascii="Times New Roman" w:hAnsi="Times New Roman"/>
          <w:color w:val="FF0000"/>
          <w:sz w:val="22"/>
          <w:szCs w:val="22"/>
          <w:lang w:val="sr-Latn-ME"/>
        </w:rPr>
      </w:pPr>
    </w:p>
    <w:p w14:paraId="5A18E5DE" w14:textId="4A8242B8" w:rsidR="000450A4" w:rsidRPr="000E77D2" w:rsidRDefault="000450A4" w:rsidP="00BE6A13">
      <w:pPr>
        <w:pStyle w:val="Header"/>
        <w:tabs>
          <w:tab w:val="clear" w:pos="4536"/>
          <w:tab w:val="clear" w:pos="9072"/>
          <w:tab w:val="left" w:pos="284"/>
        </w:tabs>
        <w:rPr>
          <w:rFonts w:ascii="Times New Roman" w:hAnsi="Times New Roman"/>
          <w:b/>
          <w:bCs/>
          <w:sz w:val="22"/>
          <w:szCs w:val="22"/>
          <w:lang w:val="sr-Latn-ME"/>
        </w:rPr>
      </w:pPr>
      <w:r w:rsidRPr="000E77D2">
        <w:rPr>
          <w:rFonts w:ascii="Times New Roman" w:hAnsi="Times New Roman"/>
          <w:b/>
          <w:bCs/>
          <w:sz w:val="22"/>
          <w:szCs w:val="22"/>
          <w:lang w:val="sr-Latn-ME"/>
        </w:rPr>
        <w:t>4.9. Predoziranje</w:t>
      </w:r>
      <w:r w:rsidR="001C786F" w:rsidRPr="000E77D2">
        <w:rPr>
          <w:rFonts w:ascii="Times New Roman" w:hAnsi="Times New Roman"/>
          <w:b/>
          <w:bCs/>
          <w:sz w:val="22"/>
          <w:szCs w:val="22"/>
          <w:lang w:val="sr-Latn-ME"/>
        </w:rPr>
        <w:t xml:space="preserve"> </w:t>
      </w:r>
    </w:p>
    <w:p w14:paraId="08376871" w14:textId="77777777" w:rsidR="000450A4" w:rsidRPr="000E77D2" w:rsidRDefault="000450A4" w:rsidP="00BE6A13">
      <w:pPr>
        <w:pStyle w:val="Header"/>
        <w:tabs>
          <w:tab w:val="clear" w:pos="4536"/>
          <w:tab w:val="clear" w:pos="9072"/>
          <w:tab w:val="left" w:pos="284"/>
        </w:tabs>
        <w:rPr>
          <w:rFonts w:ascii="Times New Roman" w:hAnsi="Times New Roman"/>
          <w:color w:val="FF0000"/>
          <w:spacing w:val="-2"/>
          <w:sz w:val="22"/>
          <w:szCs w:val="22"/>
          <w:lang w:val="sr-Latn-ME"/>
        </w:rPr>
      </w:pPr>
    </w:p>
    <w:p w14:paraId="50AE7504" w14:textId="5ECA278F" w:rsidR="000450A4" w:rsidRPr="000E77D2" w:rsidRDefault="000450A4" w:rsidP="00BE6A13">
      <w:pPr>
        <w:pStyle w:val="Header"/>
        <w:tabs>
          <w:tab w:val="clear" w:pos="4536"/>
          <w:tab w:val="clear" w:pos="9072"/>
          <w:tab w:val="left" w:pos="284"/>
        </w:tabs>
        <w:rPr>
          <w:rFonts w:ascii="Times New Roman" w:hAnsi="Times New Roman"/>
          <w:sz w:val="22"/>
          <w:szCs w:val="22"/>
          <w:lang w:val="sr-Latn-ME"/>
        </w:rPr>
      </w:pPr>
      <w:r w:rsidRPr="000E77D2">
        <w:rPr>
          <w:rFonts w:ascii="Times New Roman" w:hAnsi="Times New Roman"/>
          <w:spacing w:val="-2"/>
          <w:sz w:val="22"/>
          <w:szCs w:val="22"/>
          <w:lang w:val="sr-Latn-ME"/>
        </w:rPr>
        <w:t>Klinička ispitivanja su sprovedena sa l</w:t>
      </w:r>
      <w:r w:rsidR="007B01E3" w:rsidRPr="000E77D2">
        <w:rPr>
          <w:rFonts w:ascii="Times New Roman" w:hAnsi="Times New Roman"/>
          <w:spacing w:val="-2"/>
          <w:sz w:val="22"/>
          <w:szCs w:val="22"/>
          <w:lang w:val="sr-Latn-ME"/>
        </w:rPr>
        <w:t>ij</w:t>
      </w:r>
      <w:r w:rsidRPr="000E77D2">
        <w:rPr>
          <w:rFonts w:ascii="Times New Roman" w:hAnsi="Times New Roman"/>
          <w:spacing w:val="-2"/>
          <w:sz w:val="22"/>
          <w:szCs w:val="22"/>
          <w:lang w:val="sr-Latn-ME"/>
        </w:rPr>
        <w:t>ekom Aromasin koji je prim</w:t>
      </w:r>
      <w:r w:rsidR="007B01E3" w:rsidRPr="000E77D2">
        <w:rPr>
          <w:rFonts w:ascii="Times New Roman" w:hAnsi="Times New Roman"/>
          <w:spacing w:val="-2"/>
          <w:sz w:val="22"/>
          <w:szCs w:val="22"/>
          <w:lang w:val="sr-Latn-ME"/>
        </w:rPr>
        <w:t>ij</w:t>
      </w:r>
      <w:r w:rsidRPr="000E77D2">
        <w:rPr>
          <w:rFonts w:ascii="Times New Roman" w:hAnsi="Times New Roman"/>
          <w:spacing w:val="-2"/>
          <w:sz w:val="22"/>
          <w:szCs w:val="22"/>
          <w:lang w:val="sr-Latn-ME"/>
        </w:rPr>
        <w:t xml:space="preserve">enjen u jednokratnoj dozi do 800 mg </w:t>
      </w:r>
      <w:r w:rsidRPr="000E77D2">
        <w:rPr>
          <w:rFonts w:ascii="Times New Roman" w:hAnsi="Times New Roman"/>
          <w:sz w:val="22"/>
          <w:szCs w:val="22"/>
          <w:lang w:val="sr-Latn-ME"/>
        </w:rPr>
        <w:t xml:space="preserve">u grupi </w:t>
      </w:r>
      <w:r w:rsidR="003F0FD2" w:rsidRPr="000E77D2">
        <w:rPr>
          <w:rFonts w:ascii="Times New Roman" w:hAnsi="Times New Roman"/>
          <w:sz w:val="22"/>
          <w:szCs w:val="22"/>
          <w:lang w:val="sr-Latn-ME"/>
        </w:rPr>
        <w:t xml:space="preserve">zdravih </w:t>
      </w:r>
      <w:r w:rsidRPr="000E77D2">
        <w:rPr>
          <w:rFonts w:ascii="Times New Roman" w:hAnsi="Times New Roman"/>
          <w:sz w:val="22"/>
          <w:szCs w:val="22"/>
          <w:lang w:val="sr-Latn-ME"/>
        </w:rPr>
        <w:t>žena dobrovoljaca i do 600 mg kod žena u postmenopauzi sa uznapredovalim karcinomom dojke; ove doze se veoma dobro podnose. Nije poznata jednokratna doza l</w:t>
      </w:r>
      <w:r w:rsidR="007B01E3" w:rsidRPr="000E77D2">
        <w:rPr>
          <w:rFonts w:ascii="Times New Roman" w:hAnsi="Times New Roman"/>
          <w:sz w:val="22"/>
          <w:szCs w:val="22"/>
          <w:lang w:val="sr-Latn-ME"/>
        </w:rPr>
        <w:t>ij</w:t>
      </w:r>
      <w:r w:rsidRPr="000E77D2">
        <w:rPr>
          <w:rFonts w:ascii="Times New Roman" w:hAnsi="Times New Roman"/>
          <w:sz w:val="22"/>
          <w:szCs w:val="22"/>
          <w:lang w:val="sr-Latn-ME"/>
        </w:rPr>
        <w:t>eka Aromasin čija bi prim</w:t>
      </w:r>
      <w:r w:rsidR="007B01E3" w:rsidRPr="000E77D2">
        <w:rPr>
          <w:rFonts w:ascii="Times New Roman" w:hAnsi="Times New Roman"/>
          <w:sz w:val="22"/>
          <w:szCs w:val="22"/>
          <w:lang w:val="sr-Latn-ME"/>
        </w:rPr>
        <w:t>j</w:t>
      </w:r>
      <w:r w:rsidRPr="000E77D2">
        <w:rPr>
          <w:rFonts w:ascii="Times New Roman" w:hAnsi="Times New Roman"/>
          <w:sz w:val="22"/>
          <w:szCs w:val="22"/>
          <w:lang w:val="sr-Latn-ME"/>
        </w:rPr>
        <w:t>ena mogla da rezultuje pojavom simptoma opasnih po život. Kod pacova i pasa je zab</w:t>
      </w:r>
      <w:r w:rsidR="007B01E3" w:rsidRPr="000E77D2">
        <w:rPr>
          <w:rFonts w:ascii="Times New Roman" w:hAnsi="Times New Roman"/>
          <w:sz w:val="22"/>
          <w:szCs w:val="22"/>
          <w:lang w:val="sr-Latn-ME"/>
        </w:rPr>
        <w:t>i</w:t>
      </w:r>
      <w:r w:rsidRPr="000E77D2">
        <w:rPr>
          <w:rFonts w:ascii="Times New Roman" w:hAnsi="Times New Roman"/>
          <w:sz w:val="22"/>
          <w:szCs w:val="22"/>
          <w:lang w:val="sr-Latn-ME"/>
        </w:rPr>
        <w:t>l</w:t>
      </w:r>
      <w:r w:rsidR="007B01E3" w:rsidRPr="000E77D2">
        <w:rPr>
          <w:rFonts w:ascii="Times New Roman" w:hAnsi="Times New Roman"/>
          <w:sz w:val="22"/>
          <w:szCs w:val="22"/>
          <w:lang w:val="sr-Latn-ME"/>
        </w:rPr>
        <w:t>j</w:t>
      </w:r>
      <w:r w:rsidRPr="000E77D2">
        <w:rPr>
          <w:rFonts w:ascii="Times New Roman" w:hAnsi="Times New Roman"/>
          <w:sz w:val="22"/>
          <w:szCs w:val="22"/>
          <w:lang w:val="sr-Latn-ME"/>
        </w:rPr>
        <w:t>eženo da smrtni ishod nastupa posle prim</w:t>
      </w:r>
      <w:r w:rsidR="007B01E3" w:rsidRPr="000E77D2">
        <w:rPr>
          <w:rFonts w:ascii="Times New Roman" w:hAnsi="Times New Roman"/>
          <w:sz w:val="22"/>
          <w:szCs w:val="22"/>
          <w:lang w:val="sr-Latn-ME"/>
        </w:rPr>
        <w:t>j</w:t>
      </w:r>
      <w:r w:rsidRPr="000E77D2">
        <w:rPr>
          <w:rFonts w:ascii="Times New Roman" w:hAnsi="Times New Roman"/>
          <w:sz w:val="22"/>
          <w:szCs w:val="22"/>
          <w:lang w:val="sr-Latn-ME"/>
        </w:rPr>
        <w:t>ene jednokratne doze veće 2000 (pacov), odnosno 4000 (pas) puta u odnosu na dozu preporučenu kod ljudi, a koja je standardizovana na osnovu t</w:t>
      </w:r>
      <w:r w:rsidR="007B01E3" w:rsidRPr="000E77D2">
        <w:rPr>
          <w:rFonts w:ascii="Times New Roman" w:hAnsi="Times New Roman"/>
          <w:sz w:val="22"/>
          <w:szCs w:val="22"/>
          <w:lang w:val="sr-Latn-ME"/>
        </w:rPr>
        <w:t>j</w:t>
      </w:r>
      <w:r w:rsidRPr="000E77D2">
        <w:rPr>
          <w:rFonts w:ascii="Times New Roman" w:hAnsi="Times New Roman"/>
          <w:sz w:val="22"/>
          <w:szCs w:val="22"/>
          <w:lang w:val="sr-Latn-ME"/>
        </w:rPr>
        <w:t>elesne površine (mg/m</w:t>
      </w:r>
      <w:r w:rsidRPr="000E77D2">
        <w:rPr>
          <w:rFonts w:ascii="Times New Roman" w:hAnsi="Times New Roman"/>
          <w:sz w:val="22"/>
          <w:szCs w:val="22"/>
          <w:vertAlign w:val="superscript"/>
          <w:lang w:val="sr-Latn-ME"/>
        </w:rPr>
        <w:t>2</w:t>
      </w:r>
      <w:r w:rsidRPr="000E77D2">
        <w:rPr>
          <w:rFonts w:ascii="Times New Roman" w:hAnsi="Times New Roman"/>
          <w:sz w:val="22"/>
          <w:szCs w:val="22"/>
          <w:lang w:val="sr-Latn-ME"/>
        </w:rPr>
        <w:t>). Ne postoji specifični antidot kod predoziranja, stoga se moraju prim</w:t>
      </w:r>
      <w:r w:rsidR="00CC1D6F" w:rsidRPr="000E77D2">
        <w:rPr>
          <w:rFonts w:ascii="Times New Roman" w:hAnsi="Times New Roman"/>
          <w:sz w:val="22"/>
          <w:szCs w:val="22"/>
          <w:lang w:val="sr-Latn-ME"/>
        </w:rPr>
        <w:t>ij</w:t>
      </w:r>
      <w:r w:rsidRPr="000E77D2">
        <w:rPr>
          <w:rFonts w:ascii="Times New Roman" w:hAnsi="Times New Roman"/>
          <w:sz w:val="22"/>
          <w:szCs w:val="22"/>
          <w:lang w:val="sr-Latn-ME"/>
        </w:rPr>
        <w:t>eniti simptomatske m</w:t>
      </w:r>
      <w:r w:rsidR="007B01E3" w:rsidRPr="000E77D2">
        <w:rPr>
          <w:rFonts w:ascii="Times New Roman" w:hAnsi="Times New Roman"/>
          <w:sz w:val="22"/>
          <w:szCs w:val="22"/>
          <w:lang w:val="sr-Latn-ME"/>
        </w:rPr>
        <w:t>j</w:t>
      </w:r>
      <w:r w:rsidRPr="000E77D2">
        <w:rPr>
          <w:rFonts w:ascii="Times New Roman" w:hAnsi="Times New Roman"/>
          <w:sz w:val="22"/>
          <w:szCs w:val="22"/>
          <w:lang w:val="sr-Latn-ME"/>
        </w:rPr>
        <w:t>ere. Indikovana je prim</w:t>
      </w:r>
      <w:r w:rsidR="007B01E3" w:rsidRPr="000E77D2">
        <w:rPr>
          <w:rFonts w:ascii="Times New Roman" w:hAnsi="Times New Roman"/>
          <w:sz w:val="22"/>
          <w:szCs w:val="22"/>
          <w:lang w:val="sr-Latn-ME"/>
        </w:rPr>
        <w:t>j</w:t>
      </w:r>
      <w:r w:rsidRPr="000E77D2">
        <w:rPr>
          <w:rFonts w:ascii="Times New Roman" w:hAnsi="Times New Roman"/>
          <w:sz w:val="22"/>
          <w:szCs w:val="22"/>
          <w:lang w:val="sr-Latn-ME"/>
        </w:rPr>
        <w:t>ena opštih m</w:t>
      </w:r>
      <w:r w:rsidR="007B01E3" w:rsidRPr="000E77D2">
        <w:rPr>
          <w:rFonts w:ascii="Times New Roman" w:hAnsi="Times New Roman"/>
          <w:sz w:val="22"/>
          <w:szCs w:val="22"/>
          <w:lang w:val="sr-Latn-ME"/>
        </w:rPr>
        <w:t>j</w:t>
      </w:r>
      <w:r w:rsidRPr="000E77D2">
        <w:rPr>
          <w:rFonts w:ascii="Times New Roman" w:hAnsi="Times New Roman"/>
          <w:sz w:val="22"/>
          <w:szCs w:val="22"/>
          <w:lang w:val="sr-Latn-ME"/>
        </w:rPr>
        <w:t>era, kao što su npr. učestalo merenje vitalnih znakova i pažljivo posmatranje pacijentkinje.</w:t>
      </w:r>
    </w:p>
    <w:p w14:paraId="4FCBFC9C" w14:textId="77777777" w:rsidR="000450A4" w:rsidRPr="000E77D2" w:rsidRDefault="000450A4" w:rsidP="00BE6A13">
      <w:pPr>
        <w:pStyle w:val="Header"/>
        <w:tabs>
          <w:tab w:val="clear" w:pos="4536"/>
          <w:tab w:val="clear" w:pos="9072"/>
          <w:tab w:val="left" w:pos="284"/>
        </w:tabs>
        <w:rPr>
          <w:rFonts w:ascii="Times New Roman" w:hAnsi="Times New Roman"/>
          <w:color w:val="FF0000"/>
          <w:sz w:val="22"/>
          <w:szCs w:val="22"/>
          <w:lang w:val="sr-Latn-ME"/>
        </w:rPr>
      </w:pPr>
    </w:p>
    <w:p w14:paraId="1F63839A" w14:textId="77777777" w:rsidR="00A80B33" w:rsidRPr="000E77D2" w:rsidRDefault="00A80B33" w:rsidP="00BE6A13">
      <w:pPr>
        <w:pStyle w:val="Header"/>
        <w:tabs>
          <w:tab w:val="clear" w:pos="4536"/>
          <w:tab w:val="clear" w:pos="9072"/>
          <w:tab w:val="left" w:pos="284"/>
        </w:tabs>
        <w:rPr>
          <w:rFonts w:ascii="Times New Roman" w:hAnsi="Times New Roman"/>
          <w:color w:val="FF0000"/>
          <w:sz w:val="22"/>
          <w:szCs w:val="22"/>
          <w:lang w:val="sr-Latn-ME"/>
        </w:rPr>
      </w:pPr>
    </w:p>
    <w:p w14:paraId="5FA6C490" w14:textId="77777777" w:rsidR="000450A4" w:rsidRPr="000E77D2" w:rsidRDefault="000450A4" w:rsidP="00BE6A13">
      <w:pPr>
        <w:pStyle w:val="Header"/>
        <w:tabs>
          <w:tab w:val="clear" w:pos="4536"/>
          <w:tab w:val="clear" w:pos="9072"/>
          <w:tab w:val="left" w:pos="284"/>
        </w:tabs>
        <w:rPr>
          <w:rFonts w:ascii="Times New Roman" w:hAnsi="Times New Roman"/>
          <w:b/>
          <w:bCs/>
          <w:sz w:val="22"/>
          <w:szCs w:val="22"/>
          <w:lang w:val="sr-Latn-ME"/>
        </w:rPr>
      </w:pPr>
      <w:r w:rsidRPr="000E77D2">
        <w:rPr>
          <w:rFonts w:ascii="Times New Roman" w:hAnsi="Times New Roman"/>
          <w:b/>
          <w:bCs/>
          <w:sz w:val="22"/>
          <w:szCs w:val="22"/>
          <w:lang w:val="sr-Latn-ME"/>
        </w:rPr>
        <w:t>5. FARMAKOLOŠKI PODACI</w:t>
      </w:r>
    </w:p>
    <w:p w14:paraId="1BCFA4A0" w14:textId="77777777" w:rsidR="001F2D8A" w:rsidRPr="000E77D2" w:rsidRDefault="001F2D8A" w:rsidP="00BE6A13">
      <w:pPr>
        <w:pStyle w:val="Header"/>
        <w:tabs>
          <w:tab w:val="clear" w:pos="4536"/>
          <w:tab w:val="clear" w:pos="9072"/>
          <w:tab w:val="left" w:pos="284"/>
        </w:tabs>
        <w:rPr>
          <w:rFonts w:ascii="Times New Roman" w:hAnsi="Times New Roman"/>
          <w:b/>
          <w:bCs/>
          <w:sz w:val="22"/>
          <w:szCs w:val="22"/>
          <w:lang w:val="sr-Latn-ME"/>
        </w:rPr>
      </w:pPr>
    </w:p>
    <w:p w14:paraId="07EB5F93" w14:textId="77777777" w:rsidR="000450A4" w:rsidRPr="000E77D2" w:rsidRDefault="000450A4" w:rsidP="00BE6A13">
      <w:pPr>
        <w:pStyle w:val="Header"/>
        <w:tabs>
          <w:tab w:val="clear" w:pos="4536"/>
          <w:tab w:val="clear" w:pos="9072"/>
          <w:tab w:val="left" w:pos="284"/>
        </w:tabs>
        <w:rPr>
          <w:rFonts w:ascii="Times New Roman" w:hAnsi="Times New Roman"/>
          <w:b/>
          <w:bCs/>
          <w:sz w:val="22"/>
          <w:szCs w:val="22"/>
          <w:lang w:val="sr-Latn-ME"/>
        </w:rPr>
      </w:pPr>
      <w:r w:rsidRPr="000E77D2">
        <w:rPr>
          <w:rFonts w:ascii="Times New Roman" w:hAnsi="Times New Roman"/>
          <w:b/>
          <w:bCs/>
          <w:sz w:val="22"/>
          <w:szCs w:val="22"/>
          <w:lang w:val="sr-Latn-ME"/>
        </w:rPr>
        <w:t>5.1. Farmakodinamski podaci</w:t>
      </w:r>
    </w:p>
    <w:p w14:paraId="6BBE4EE2" w14:textId="77777777" w:rsidR="001F2D8A" w:rsidRPr="000E77D2" w:rsidRDefault="001F2D8A" w:rsidP="00BE6A13">
      <w:pPr>
        <w:pStyle w:val="Header"/>
        <w:tabs>
          <w:tab w:val="clear" w:pos="4536"/>
          <w:tab w:val="clear" w:pos="9072"/>
          <w:tab w:val="left" w:pos="284"/>
        </w:tabs>
        <w:rPr>
          <w:rFonts w:ascii="Times New Roman" w:hAnsi="Times New Roman"/>
          <w:b/>
          <w:bCs/>
          <w:sz w:val="22"/>
          <w:szCs w:val="22"/>
          <w:lang w:val="sr-Latn-ME"/>
        </w:rPr>
      </w:pPr>
    </w:p>
    <w:p w14:paraId="7EE5350D" w14:textId="6B6C023E" w:rsidR="000450A4" w:rsidRPr="000E77D2" w:rsidRDefault="000450A4" w:rsidP="00BE6A13">
      <w:pPr>
        <w:rPr>
          <w:rFonts w:ascii="Times New Roman" w:hAnsi="Times New Roman"/>
          <w:sz w:val="22"/>
          <w:szCs w:val="22"/>
          <w:lang w:val="sr-Latn-ME" w:eastAsia="sr-Latn-RS"/>
        </w:rPr>
      </w:pPr>
      <w:r w:rsidRPr="000E77D2">
        <w:rPr>
          <w:rFonts w:ascii="Times New Roman" w:hAnsi="Times New Roman"/>
          <w:bCs/>
          <w:sz w:val="22"/>
          <w:szCs w:val="22"/>
          <w:lang w:val="sr-Latn-ME"/>
        </w:rPr>
        <w:t>Farmakoterapijska grupa:</w:t>
      </w:r>
      <w:r w:rsidR="00EC0E7E" w:rsidRPr="000E77D2">
        <w:rPr>
          <w:rFonts w:ascii="Times New Roman" w:hAnsi="Times New Roman"/>
          <w:sz w:val="22"/>
          <w:szCs w:val="22"/>
          <w:lang w:val="sr-Latn-ME"/>
        </w:rPr>
        <w:t xml:space="preserve"> </w:t>
      </w:r>
      <w:r w:rsidR="00C24C64" w:rsidRPr="000E77D2">
        <w:rPr>
          <w:rFonts w:ascii="Times New Roman" w:hAnsi="Times New Roman"/>
          <w:sz w:val="22"/>
          <w:szCs w:val="22"/>
          <w:lang w:val="sr-Latn-ME" w:eastAsia="sr-Latn-RS"/>
        </w:rPr>
        <w:t>Hormonski antagonisti i srodni l</w:t>
      </w:r>
      <w:r w:rsidR="007B01E3" w:rsidRPr="000E77D2">
        <w:rPr>
          <w:rFonts w:ascii="Times New Roman" w:hAnsi="Times New Roman"/>
          <w:sz w:val="22"/>
          <w:szCs w:val="22"/>
          <w:lang w:val="sr-Latn-ME" w:eastAsia="sr-Latn-RS"/>
        </w:rPr>
        <w:t>j</w:t>
      </w:r>
      <w:r w:rsidR="00C24C64" w:rsidRPr="000E77D2">
        <w:rPr>
          <w:rFonts w:ascii="Times New Roman" w:hAnsi="Times New Roman"/>
          <w:sz w:val="22"/>
          <w:szCs w:val="22"/>
          <w:lang w:val="sr-Latn-ME" w:eastAsia="sr-Latn-RS"/>
        </w:rPr>
        <w:t xml:space="preserve">ekovi; </w:t>
      </w:r>
      <w:r w:rsidRPr="000E77D2">
        <w:rPr>
          <w:rFonts w:ascii="Times New Roman" w:hAnsi="Times New Roman"/>
          <w:sz w:val="22"/>
          <w:szCs w:val="22"/>
          <w:lang w:val="sr-Latn-ME"/>
        </w:rPr>
        <w:t xml:space="preserve">Inhibitori </w:t>
      </w:r>
      <w:r w:rsidR="00C24C64" w:rsidRPr="000E77D2">
        <w:rPr>
          <w:rFonts w:ascii="Times New Roman" w:hAnsi="Times New Roman"/>
          <w:sz w:val="22"/>
          <w:szCs w:val="22"/>
          <w:lang w:val="sr-Latn-ME"/>
        </w:rPr>
        <w:t xml:space="preserve">enzima </w:t>
      </w:r>
      <w:r w:rsidRPr="000E77D2">
        <w:rPr>
          <w:rFonts w:ascii="Times New Roman" w:hAnsi="Times New Roman"/>
          <w:sz w:val="22"/>
          <w:szCs w:val="22"/>
          <w:lang w:val="sr-Latn-ME"/>
        </w:rPr>
        <w:t>aromataze</w:t>
      </w:r>
    </w:p>
    <w:p w14:paraId="3A3124CA" w14:textId="77777777" w:rsidR="001F2D8A" w:rsidRPr="000E77D2" w:rsidRDefault="001F2D8A" w:rsidP="00BE6A13">
      <w:pPr>
        <w:pStyle w:val="Header"/>
        <w:tabs>
          <w:tab w:val="clear" w:pos="4536"/>
          <w:tab w:val="clear" w:pos="9072"/>
          <w:tab w:val="left" w:pos="284"/>
        </w:tabs>
        <w:rPr>
          <w:rFonts w:ascii="Times New Roman" w:hAnsi="Times New Roman"/>
          <w:b/>
          <w:bCs/>
          <w:sz w:val="22"/>
          <w:szCs w:val="22"/>
          <w:lang w:val="sr-Latn-ME"/>
        </w:rPr>
      </w:pPr>
    </w:p>
    <w:p w14:paraId="0A5D36F9" w14:textId="299F0254" w:rsidR="000450A4" w:rsidRPr="000E77D2" w:rsidRDefault="000450A4" w:rsidP="00BE6A13">
      <w:pPr>
        <w:pStyle w:val="Header"/>
        <w:tabs>
          <w:tab w:val="clear" w:pos="4536"/>
          <w:tab w:val="clear" w:pos="9072"/>
          <w:tab w:val="left" w:pos="284"/>
        </w:tabs>
        <w:rPr>
          <w:rFonts w:ascii="Times New Roman" w:hAnsi="Times New Roman"/>
          <w:sz w:val="22"/>
          <w:szCs w:val="22"/>
          <w:lang w:val="sr-Latn-ME"/>
        </w:rPr>
      </w:pPr>
      <w:r w:rsidRPr="000E77D2">
        <w:rPr>
          <w:rFonts w:ascii="Times New Roman" w:hAnsi="Times New Roman"/>
          <w:bCs/>
          <w:sz w:val="22"/>
          <w:szCs w:val="22"/>
          <w:lang w:val="sr-Latn-ME"/>
        </w:rPr>
        <w:t xml:space="preserve">ATC </w:t>
      </w:r>
      <w:r w:rsidR="001C786F" w:rsidRPr="000E77D2">
        <w:rPr>
          <w:rFonts w:ascii="Times New Roman" w:hAnsi="Times New Roman"/>
          <w:bCs/>
          <w:sz w:val="22"/>
          <w:szCs w:val="22"/>
          <w:lang w:val="sr-Latn-ME"/>
        </w:rPr>
        <w:t>kod</w:t>
      </w:r>
      <w:r w:rsidRPr="000E77D2">
        <w:rPr>
          <w:rFonts w:ascii="Times New Roman" w:hAnsi="Times New Roman"/>
          <w:bCs/>
          <w:sz w:val="22"/>
          <w:szCs w:val="22"/>
          <w:lang w:val="sr-Latn-ME"/>
        </w:rPr>
        <w:t>:</w:t>
      </w:r>
      <w:r w:rsidR="00EC0E7E" w:rsidRPr="000E77D2">
        <w:rPr>
          <w:rFonts w:ascii="Times New Roman" w:hAnsi="Times New Roman"/>
          <w:sz w:val="22"/>
          <w:szCs w:val="22"/>
          <w:lang w:val="sr-Latn-ME"/>
        </w:rPr>
        <w:t xml:space="preserve"> </w:t>
      </w:r>
      <w:r w:rsidRPr="000E77D2">
        <w:rPr>
          <w:rFonts w:ascii="Times New Roman" w:hAnsi="Times New Roman"/>
          <w:sz w:val="22"/>
          <w:szCs w:val="22"/>
          <w:lang w:val="sr-Latn-ME"/>
        </w:rPr>
        <w:t>L02BG06</w:t>
      </w:r>
    </w:p>
    <w:p w14:paraId="35129CEA" w14:textId="77777777" w:rsidR="001F2D8A" w:rsidRPr="000E77D2" w:rsidRDefault="001F2D8A" w:rsidP="00BE6A13">
      <w:pPr>
        <w:rPr>
          <w:rFonts w:ascii="Times New Roman" w:hAnsi="Times New Roman"/>
          <w:color w:val="FF0000"/>
          <w:sz w:val="22"/>
          <w:szCs w:val="22"/>
          <w:u w:val="single"/>
          <w:lang w:val="sr-Latn-ME"/>
        </w:rPr>
      </w:pPr>
    </w:p>
    <w:p w14:paraId="261A882A" w14:textId="77777777" w:rsidR="000450A4" w:rsidRPr="000E77D2" w:rsidRDefault="000450A4" w:rsidP="00BE6A13">
      <w:pPr>
        <w:rPr>
          <w:rFonts w:ascii="Times New Roman" w:hAnsi="Times New Roman"/>
          <w:sz w:val="22"/>
          <w:szCs w:val="22"/>
          <w:u w:val="single"/>
          <w:lang w:val="sr-Latn-ME"/>
        </w:rPr>
      </w:pPr>
      <w:r w:rsidRPr="000E77D2">
        <w:rPr>
          <w:rFonts w:ascii="Times New Roman" w:hAnsi="Times New Roman"/>
          <w:sz w:val="22"/>
          <w:szCs w:val="22"/>
          <w:u w:val="single"/>
          <w:lang w:val="sr-Latn-ME"/>
        </w:rPr>
        <w:t>Mehanizam dejstva</w:t>
      </w:r>
    </w:p>
    <w:p w14:paraId="62E66DDA" w14:textId="77777777" w:rsidR="000450A4" w:rsidRPr="000E77D2" w:rsidRDefault="000450A4" w:rsidP="00BE6A13">
      <w:pPr>
        <w:rPr>
          <w:rFonts w:ascii="Times New Roman" w:hAnsi="Times New Roman"/>
          <w:sz w:val="22"/>
          <w:szCs w:val="22"/>
          <w:lang w:val="sr-Latn-ME"/>
        </w:rPr>
      </w:pPr>
    </w:p>
    <w:p w14:paraId="3D111FAF" w14:textId="31955980"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Eksemestan je ireverzibilni, steroidni inhibitor aromataze, strukturno sličn</w:t>
      </w:r>
      <w:r w:rsidR="00184D1F" w:rsidRPr="000E77D2">
        <w:rPr>
          <w:rFonts w:ascii="Times New Roman" w:hAnsi="Times New Roman"/>
          <w:sz w:val="22"/>
          <w:szCs w:val="22"/>
          <w:lang w:val="sr-Latn-ME"/>
        </w:rPr>
        <w:t>an</w:t>
      </w:r>
      <w:r w:rsidRPr="000E77D2">
        <w:rPr>
          <w:rFonts w:ascii="Times New Roman" w:hAnsi="Times New Roman"/>
          <w:sz w:val="22"/>
          <w:szCs w:val="22"/>
          <w:lang w:val="sr-Latn-ME"/>
        </w:rPr>
        <w:t xml:space="preserve"> prirodnom supstratu androstenedionu. Kod žena u postmenopauzi estrogeni se primarno sintetišu konverzijom androgena u estrogene preko enzima aromataze, prisutne u perifernim tkivima. Smanjenje estrogena izazvano inhibicijom aromataze predstavlja osnov efikasne i selektivne terapije hormonski-zavisnog karcinoma dojke kod žena u postmenopauzi. Oralna prim</w:t>
      </w:r>
      <w:r w:rsidR="007B01E3" w:rsidRPr="000E77D2">
        <w:rPr>
          <w:rFonts w:ascii="Times New Roman" w:hAnsi="Times New Roman"/>
          <w:sz w:val="22"/>
          <w:szCs w:val="22"/>
          <w:lang w:val="sr-Latn-ME"/>
        </w:rPr>
        <w:t>j</w:t>
      </w:r>
      <w:r w:rsidRPr="000E77D2">
        <w:rPr>
          <w:rFonts w:ascii="Times New Roman" w:hAnsi="Times New Roman"/>
          <w:sz w:val="22"/>
          <w:szCs w:val="22"/>
          <w:lang w:val="sr-Latn-ME"/>
        </w:rPr>
        <w:t>ena l</w:t>
      </w:r>
      <w:r w:rsidR="007B01E3" w:rsidRPr="000E77D2">
        <w:rPr>
          <w:rFonts w:ascii="Times New Roman" w:hAnsi="Times New Roman"/>
          <w:sz w:val="22"/>
          <w:szCs w:val="22"/>
          <w:lang w:val="sr-Latn-ME"/>
        </w:rPr>
        <w:t>ij</w:t>
      </w:r>
      <w:r w:rsidRPr="000E77D2">
        <w:rPr>
          <w:rFonts w:ascii="Times New Roman" w:hAnsi="Times New Roman"/>
          <w:sz w:val="22"/>
          <w:szCs w:val="22"/>
          <w:lang w:val="sr-Latn-ME"/>
        </w:rPr>
        <w:t>eka Aromasin kod žena u postmenopauzi značajno smanjuje koncentraciju serumskog estrogena, i to počev</w:t>
      </w:r>
      <w:r w:rsidR="001D49AC" w:rsidRPr="000E77D2">
        <w:rPr>
          <w:rFonts w:ascii="Times New Roman" w:hAnsi="Times New Roman"/>
          <w:sz w:val="22"/>
          <w:szCs w:val="22"/>
          <w:lang w:val="sr-Latn-ME"/>
        </w:rPr>
        <w:t>ši</w:t>
      </w:r>
      <w:r w:rsidRPr="000E77D2">
        <w:rPr>
          <w:rFonts w:ascii="Times New Roman" w:hAnsi="Times New Roman"/>
          <w:sz w:val="22"/>
          <w:szCs w:val="22"/>
          <w:lang w:val="sr-Latn-ME"/>
        </w:rPr>
        <w:t xml:space="preserve"> sa dozom od 5 mg, dok se maksimalna supresija (&gt;90%) dostiže posle prim</w:t>
      </w:r>
      <w:r w:rsidR="007B01E3" w:rsidRPr="000E77D2">
        <w:rPr>
          <w:rFonts w:ascii="Times New Roman" w:hAnsi="Times New Roman"/>
          <w:sz w:val="22"/>
          <w:szCs w:val="22"/>
          <w:lang w:val="sr-Latn-ME"/>
        </w:rPr>
        <w:t>j</w:t>
      </w:r>
      <w:r w:rsidRPr="000E77D2">
        <w:rPr>
          <w:rFonts w:ascii="Times New Roman" w:hAnsi="Times New Roman"/>
          <w:sz w:val="22"/>
          <w:szCs w:val="22"/>
          <w:lang w:val="sr-Latn-ME"/>
        </w:rPr>
        <w:t>ene doze od 10-25 mg. Prim</w:t>
      </w:r>
      <w:r w:rsidR="007B01E3" w:rsidRPr="000E77D2">
        <w:rPr>
          <w:rFonts w:ascii="Times New Roman" w:hAnsi="Times New Roman"/>
          <w:sz w:val="22"/>
          <w:szCs w:val="22"/>
          <w:lang w:val="sr-Latn-ME"/>
        </w:rPr>
        <w:t>j</w:t>
      </w:r>
      <w:r w:rsidRPr="000E77D2">
        <w:rPr>
          <w:rFonts w:ascii="Times New Roman" w:hAnsi="Times New Roman"/>
          <w:sz w:val="22"/>
          <w:szCs w:val="22"/>
          <w:lang w:val="sr-Latn-ME"/>
        </w:rPr>
        <w:t>ena l</w:t>
      </w:r>
      <w:r w:rsidR="007B01E3" w:rsidRPr="000E77D2">
        <w:rPr>
          <w:rFonts w:ascii="Times New Roman" w:hAnsi="Times New Roman"/>
          <w:sz w:val="22"/>
          <w:szCs w:val="22"/>
          <w:lang w:val="sr-Latn-ME"/>
        </w:rPr>
        <w:t>ij</w:t>
      </w:r>
      <w:r w:rsidRPr="000E77D2">
        <w:rPr>
          <w:rFonts w:ascii="Times New Roman" w:hAnsi="Times New Roman"/>
          <w:sz w:val="22"/>
          <w:szCs w:val="22"/>
          <w:lang w:val="sr-Latn-ME"/>
        </w:rPr>
        <w:t>eka u dnevnoj dozi od 25 mg kod žena u postmenopauzi sa karcinomom dojke redukuje aktivnost ukupne t</w:t>
      </w:r>
      <w:r w:rsidR="007B01E3" w:rsidRPr="000E77D2">
        <w:rPr>
          <w:rFonts w:ascii="Times New Roman" w:hAnsi="Times New Roman"/>
          <w:sz w:val="22"/>
          <w:szCs w:val="22"/>
          <w:lang w:val="sr-Latn-ME"/>
        </w:rPr>
        <w:t>j</w:t>
      </w:r>
      <w:r w:rsidRPr="000E77D2">
        <w:rPr>
          <w:rFonts w:ascii="Times New Roman" w:hAnsi="Times New Roman"/>
          <w:sz w:val="22"/>
          <w:szCs w:val="22"/>
          <w:lang w:val="sr-Latn-ME"/>
        </w:rPr>
        <w:t>elesne aromataze za 98%.</w:t>
      </w:r>
    </w:p>
    <w:p w14:paraId="54F94E18" w14:textId="77777777" w:rsidR="000450A4" w:rsidRPr="000E77D2" w:rsidRDefault="000450A4" w:rsidP="00BE6A13">
      <w:pPr>
        <w:rPr>
          <w:rFonts w:ascii="Times New Roman" w:hAnsi="Times New Roman"/>
          <w:sz w:val="22"/>
          <w:szCs w:val="22"/>
          <w:lang w:val="sr-Latn-ME"/>
        </w:rPr>
      </w:pPr>
    </w:p>
    <w:p w14:paraId="7B35E088" w14:textId="21B0CCD1"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Eksemestan ne ispoljava progestogenu, niti estrogenu aktivnost. Manji stepen androgene aktivnosti, v</w:t>
      </w:r>
      <w:r w:rsidR="007B01E3" w:rsidRPr="000E77D2">
        <w:rPr>
          <w:rFonts w:ascii="Times New Roman" w:hAnsi="Times New Roman"/>
          <w:sz w:val="22"/>
          <w:szCs w:val="22"/>
          <w:lang w:val="sr-Latn-ME"/>
        </w:rPr>
        <w:t>j</w:t>
      </w:r>
      <w:r w:rsidRPr="000E77D2">
        <w:rPr>
          <w:rFonts w:ascii="Times New Roman" w:hAnsi="Times New Roman"/>
          <w:sz w:val="22"/>
          <w:szCs w:val="22"/>
          <w:lang w:val="sr-Latn-ME"/>
        </w:rPr>
        <w:t>erovatno izazvane 17-hidro derivatima, zab</w:t>
      </w:r>
      <w:r w:rsidR="007B01E3" w:rsidRPr="000E77D2">
        <w:rPr>
          <w:rFonts w:ascii="Times New Roman" w:hAnsi="Times New Roman"/>
          <w:sz w:val="22"/>
          <w:szCs w:val="22"/>
          <w:lang w:val="sr-Latn-ME"/>
        </w:rPr>
        <w:t>i</w:t>
      </w:r>
      <w:r w:rsidRPr="000E77D2">
        <w:rPr>
          <w:rFonts w:ascii="Times New Roman" w:hAnsi="Times New Roman"/>
          <w:sz w:val="22"/>
          <w:szCs w:val="22"/>
          <w:lang w:val="sr-Latn-ME"/>
        </w:rPr>
        <w:t>l</w:t>
      </w:r>
      <w:r w:rsidR="007B01E3" w:rsidRPr="000E77D2">
        <w:rPr>
          <w:rFonts w:ascii="Times New Roman" w:hAnsi="Times New Roman"/>
          <w:sz w:val="22"/>
          <w:szCs w:val="22"/>
          <w:lang w:val="sr-Latn-ME"/>
        </w:rPr>
        <w:t>j</w:t>
      </w:r>
      <w:r w:rsidRPr="000E77D2">
        <w:rPr>
          <w:rFonts w:ascii="Times New Roman" w:hAnsi="Times New Roman"/>
          <w:sz w:val="22"/>
          <w:szCs w:val="22"/>
          <w:lang w:val="sr-Latn-ME"/>
        </w:rPr>
        <w:t xml:space="preserve">ežen je uglavnom sa </w:t>
      </w:r>
      <w:r w:rsidR="000B2836" w:rsidRPr="000E77D2">
        <w:rPr>
          <w:rFonts w:ascii="Times New Roman" w:hAnsi="Times New Roman"/>
          <w:sz w:val="22"/>
          <w:szCs w:val="22"/>
          <w:lang w:val="sr-Latn-ME"/>
        </w:rPr>
        <w:t xml:space="preserve">velikim </w:t>
      </w:r>
      <w:r w:rsidRPr="000E77D2">
        <w:rPr>
          <w:rFonts w:ascii="Times New Roman" w:hAnsi="Times New Roman"/>
          <w:sz w:val="22"/>
          <w:szCs w:val="22"/>
          <w:lang w:val="sr-Latn-ME"/>
        </w:rPr>
        <w:t>dozama. U ispitivanjima višekratne prim</w:t>
      </w:r>
      <w:r w:rsidR="007B01E3" w:rsidRPr="000E77D2">
        <w:rPr>
          <w:rFonts w:ascii="Times New Roman" w:hAnsi="Times New Roman"/>
          <w:sz w:val="22"/>
          <w:szCs w:val="22"/>
          <w:lang w:val="sr-Latn-ME"/>
        </w:rPr>
        <w:t>j</w:t>
      </w:r>
      <w:r w:rsidRPr="000E77D2">
        <w:rPr>
          <w:rFonts w:ascii="Times New Roman" w:hAnsi="Times New Roman"/>
          <w:sz w:val="22"/>
          <w:szCs w:val="22"/>
          <w:lang w:val="sr-Latn-ME"/>
        </w:rPr>
        <w:t>ene l</w:t>
      </w:r>
      <w:r w:rsidR="007B01E3" w:rsidRPr="000E77D2">
        <w:rPr>
          <w:rFonts w:ascii="Times New Roman" w:hAnsi="Times New Roman"/>
          <w:sz w:val="22"/>
          <w:szCs w:val="22"/>
          <w:lang w:val="sr-Latn-ME"/>
        </w:rPr>
        <w:t>ij</w:t>
      </w:r>
      <w:r w:rsidRPr="000E77D2">
        <w:rPr>
          <w:rFonts w:ascii="Times New Roman" w:hAnsi="Times New Roman"/>
          <w:sz w:val="22"/>
          <w:szCs w:val="22"/>
          <w:lang w:val="sr-Latn-ME"/>
        </w:rPr>
        <w:t>eka Aromasin u toku dana ni</w:t>
      </w:r>
      <w:r w:rsidR="00184D1F" w:rsidRPr="000E77D2">
        <w:rPr>
          <w:rFonts w:ascii="Times New Roman" w:hAnsi="Times New Roman"/>
          <w:sz w:val="22"/>
          <w:szCs w:val="22"/>
          <w:lang w:val="sr-Latn-ME"/>
        </w:rPr>
        <w:t>je</w:t>
      </w:r>
      <w:r w:rsidRPr="000E77D2">
        <w:rPr>
          <w:rFonts w:ascii="Times New Roman" w:hAnsi="Times New Roman"/>
          <w:sz w:val="22"/>
          <w:szCs w:val="22"/>
          <w:lang w:val="sr-Latn-ME"/>
        </w:rPr>
        <w:t>su detektovana bilo kakva dejstva l</w:t>
      </w:r>
      <w:r w:rsidR="007B01E3" w:rsidRPr="000E77D2">
        <w:rPr>
          <w:rFonts w:ascii="Times New Roman" w:hAnsi="Times New Roman"/>
          <w:sz w:val="22"/>
          <w:szCs w:val="22"/>
          <w:lang w:val="sr-Latn-ME"/>
        </w:rPr>
        <w:t>ij</w:t>
      </w:r>
      <w:r w:rsidRPr="000E77D2">
        <w:rPr>
          <w:rFonts w:ascii="Times New Roman" w:hAnsi="Times New Roman"/>
          <w:sz w:val="22"/>
          <w:szCs w:val="22"/>
          <w:lang w:val="sr-Latn-ME"/>
        </w:rPr>
        <w:t>eka na biosintezu kortizola ili aldosterona u nadbubrežnoj žl</w:t>
      </w:r>
      <w:r w:rsidR="007B01E3" w:rsidRPr="000E77D2">
        <w:rPr>
          <w:rFonts w:ascii="Times New Roman" w:hAnsi="Times New Roman"/>
          <w:sz w:val="22"/>
          <w:szCs w:val="22"/>
          <w:lang w:val="sr-Latn-ME"/>
        </w:rPr>
        <w:t>ij</w:t>
      </w:r>
      <w:r w:rsidRPr="000E77D2">
        <w:rPr>
          <w:rFonts w:ascii="Times New Roman" w:hAnsi="Times New Roman"/>
          <w:sz w:val="22"/>
          <w:szCs w:val="22"/>
          <w:lang w:val="sr-Latn-ME"/>
        </w:rPr>
        <w:t>ezdi, m</w:t>
      </w:r>
      <w:r w:rsidR="007B01E3" w:rsidRPr="000E77D2">
        <w:rPr>
          <w:rFonts w:ascii="Times New Roman" w:hAnsi="Times New Roman"/>
          <w:sz w:val="22"/>
          <w:szCs w:val="22"/>
          <w:lang w:val="sr-Latn-ME"/>
        </w:rPr>
        <w:t>j</w:t>
      </w:r>
      <w:r w:rsidRPr="000E77D2">
        <w:rPr>
          <w:rFonts w:ascii="Times New Roman" w:hAnsi="Times New Roman"/>
          <w:sz w:val="22"/>
          <w:szCs w:val="22"/>
          <w:lang w:val="sr-Latn-ME"/>
        </w:rPr>
        <w:t>erene pr</w:t>
      </w:r>
      <w:r w:rsidR="007B01E3" w:rsidRPr="000E77D2">
        <w:rPr>
          <w:rFonts w:ascii="Times New Roman" w:hAnsi="Times New Roman"/>
          <w:sz w:val="22"/>
          <w:szCs w:val="22"/>
          <w:lang w:val="sr-Latn-ME"/>
        </w:rPr>
        <w:t>ij</w:t>
      </w:r>
      <w:r w:rsidRPr="000E77D2">
        <w:rPr>
          <w:rFonts w:ascii="Times New Roman" w:hAnsi="Times New Roman"/>
          <w:sz w:val="22"/>
          <w:szCs w:val="22"/>
          <w:lang w:val="sr-Latn-ME"/>
        </w:rPr>
        <w:t>e ili posl</w:t>
      </w:r>
      <w:r w:rsidR="00184D1F" w:rsidRPr="000E77D2">
        <w:rPr>
          <w:rFonts w:ascii="Times New Roman" w:hAnsi="Times New Roman"/>
          <w:sz w:val="22"/>
          <w:szCs w:val="22"/>
          <w:lang w:val="sr-Latn-ME"/>
        </w:rPr>
        <w:t>ij</w:t>
      </w:r>
      <w:r w:rsidRPr="000E77D2">
        <w:rPr>
          <w:rFonts w:ascii="Times New Roman" w:hAnsi="Times New Roman"/>
          <w:sz w:val="22"/>
          <w:szCs w:val="22"/>
          <w:lang w:val="sr-Latn-ME"/>
        </w:rPr>
        <w:t>e stimulacije adrenokortikotropnim hormonom (ACTH), a time je pokazana selektivnost dejstva l</w:t>
      </w:r>
      <w:r w:rsidR="007B01E3" w:rsidRPr="000E77D2">
        <w:rPr>
          <w:rFonts w:ascii="Times New Roman" w:hAnsi="Times New Roman"/>
          <w:sz w:val="22"/>
          <w:szCs w:val="22"/>
          <w:lang w:val="sr-Latn-ME"/>
        </w:rPr>
        <w:t>ij</w:t>
      </w:r>
      <w:r w:rsidRPr="000E77D2">
        <w:rPr>
          <w:rFonts w:ascii="Times New Roman" w:hAnsi="Times New Roman"/>
          <w:sz w:val="22"/>
          <w:szCs w:val="22"/>
          <w:lang w:val="sr-Latn-ME"/>
        </w:rPr>
        <w:t>eka u odnosu na druge enzime uključene u sintezu steroidnih hormona.</w:t>
      </w:r>
    </w:p>
    <w:p w14:paraId="5CF3BE3C" w14:textId="77777777" w:rsidR="000450A4" w:rsidRPr="000E77D2" w:rsidRDefault="000450A4" w:rsidP="00BE6A13">
      <w:pPr>
        <w:rPr>
          <w:rFonts w:ascii="Times New Roman" w:hAnsi="Times New Roman"/>
          <w:sz w:val="22"/>
          <w:szCs w:val="22"/>
          <w:lang w:val="sr-Latn-ME"/>
        </w:rPr>
      </w:pPr>
    </w:p>
    <w:p w14:paraId="0DD5F52B" w14:textId="15A61A52"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Stoga, supstitucija gl</w:t>
      </w:r>
      <w:r w:rsidR="001D49AC" w:rsidRPr="000E77D2">
        <w:rPr>
          <w:rFonts w:ascii="Times New Roman" w:hAnsi="Times New Roman"/>
          <w:sz w:val="22"/>
          <w:szCs w:val="22"/>
          <w:lang w:val="sr-Latn-ME"/>
        </w:rPr>
        <w:t>u</w:t>
      </w:r>
      <w:r w:rsidRPr="000E77D2">
        <w:rPr>
          <w:rFonts w:ascii="Times New Roman" w:hAnsi="Times New Roman"/>
          <w:sz w:val="22"/>
          <w:szCs w:val="22"/>
          <w:lang w:val="sr-Latn-ME"/>
        </w:rPr>
        <w:t>kokortikoidima ili mineralokortikoidima nije potrebna. Blago povećanje nivoa serumskog LH i FSH, koje ne zavisi od prim</w:t>
      </w:r>
      <w:r w:rsidR="007B01E3" w:rsidRPr="000E77D2">
        <w:rPr>
          <w:rFonts w:ascii="Times New Roman" w:hAnsi="Times New Roman"/>
          <w:sz w:val="22"/>
          <w:szCs w:val="22"/>
          <w:lang w:val="sr-Latn-ME"/>
        </w:rPr>
        <w:t>ij</w:t>
      </w:r>
      <w:r w:rsidRPr="000E77D2">
        <w:rPr>
          <w:rFonts w:ascii="Times New Roman" w:hAnsi="Times New Roman"/>
          <w:sz w:val="22"/>
          <w:szCs w:val="22"/>
          <w:lang w:val="sr-Latn-ME"/>
        </w:rPr>
        <w:t>enjene doze, zab</w:t>
      </w:r>
      <w:r w:rsidR="00CC1D6F" w:rsidRPr="000E77D2">
        <w:rPr>
          <w:rFonts w:ascii="Times New Roman" w:hAnsi="Times New Roman"/>
          <w:sz w:val="22"/>
          <w:szCs w:val="22"/>
          <w:lang w:val="sr-Latn-ME"/>
        </w:rPr>
        <w:t>i</w:t>
      </w:r>
      <w:r w:rsidRPr="000E77D2">
        <w:rPr>
          <w:rFonts w:ascii="Times New Roman" w:hAnsi="Times New Roman"/>
          <w:sz w:val="22"/>
          <w:szCs w:val="22"/>
          <w:lang w:val="sr-Latn-ME"/>
        </w:rPr>
        <w:t>l</w:t>
      </w:r>
      <w:r w:rsidR="00CC1D6F" w:rsidRPr="000E77D2">
        <w:rPr>
          <w:rFonts w:ascii="Times New Roman" w:hAnsi="Times New Roman"/>
          <w:sz w:val="22"/>
          <w:szCs w:val="22"/>
          <w:lang w:val="sr-Latn-ME"/>
        </w:rPr>
        <w:t>j</w:t>
      </w:r>
      <w:r w:rsidRPr="000E77D2">
        <w:rPr>
          <w:rFonts w:ascii="Times New Roman" w:hAnsi="Times New Roman"/>
          <w:sz w:val="22"/>
          <w:szCs w:val="22"/>
          <w:lang w:val="sr-Latn-ME"/>
        </w:rPr>
        <w:t>eženo je čak i posle prim</w:t>
      </w:r>
      <w:r w:rsidR="007B01E3" w:rsidRPr="000E77D2">
        <w:rPr>
          <w:rFonts w:ascii="Times New Roman" w:hAnsi="Times New Roman"/>
          <w:sz w:val="22"/>
          <w:szCs w:val="22"/>
          <w:lang w:val="sr-Latn-ME"/>
        </w:rPr>
        <w:t>j</w:t>
      </w:r>
      <w:r w:rsidRPr="000E77D2">
        <w:rPr>
          <w:rFonts w:ascii="Times New Roman" w:hAnsi="Times New Roman"/>
          <w:sz w:val="22"/>
          <w:szCs w:val="22"/>
          <w:lang w:val="sr-Latn-ME"/>
        </w:rPr>
        <w:t>ene malih doza; ipak, u odnosu na farmakološku grupu kojoj l</w:t>
      </w:r>
      <w:r w:rsidR="007B01E3" w:rsidRPr="000E77D2">
        <w:rPr>
          <w:rFonts w:ascii="Times New Roman" w:hAnsi="Times New Roman"/>
          <w:sz w:val="22"/>
          <w:szCs w:val="22"/>
          <w:lang w:val="sr-Latn-ME"/>
        </w:rPr>
        <w:t>ij</w:t>
      </w:r>
      <w:r w:rsidRPr="000E77D2">
        <w:rPr>
          <w:rFonts w:ascii="Times New Roman" w:hAnsi="Times New Roman"/>
          <w:sz w:val="22"/>
          <w:szCs w:val="22"/>
          <w:lang w:val="sr-Latn-ME"/>
        </w:rPr>
        <w:t>ek pripada, ovaj efekat je očekivan i v</w:t>
      </w:r>
      <w:r w:rsidR="007B01E3" w:rsidRPr="000E77D2">
        <w:rPr>
          <w:rFonts w:ascii="Times New Roman" w:hAnsi="Times New Roman"/>
          <w:sz w:val="22"/>
          <w:szCs w:val="22"/>
          <w:lang w:val="sr-Latn-ME"/>
        </w:rPr>
        <w:t>j</w:t>
      </w:r>
      <w:r w:rsidRPr="000E77D2">
        <w:rPr>
          <w:rFonts w:ascii="Times New Roman" w:hAnsi="Times New Roman"/>
          <w:sz w:val="22"/>
          <w:szCs w:val="22"/>
          <w:lang w:val="sr-Latn-ME"/>
        </w:rPr>
        <w:t xml:space="preserve">erovatno je </w:t>
      </w:r>
      <w:r w:rsidRPr="000E77D2">
        <w:rPr>
          <w:rFonts w:ascii="Times New Roman" w:hAnsi="Times New Roman"/>
          <w:sz w:val="22"/>
          <w:szCs w:val="22"/>
          <w:lang w:val="sr-Latn-ME"/>
        </w:rPr>
        <w:lastRenderedPageBreak/>
        <w:t>rezultat povratnog dejstva na hipofizu usl</w:t>
      </w:r>
      <w:r w:rsidR="00184D1F" w:rsidRPr="000E77D2">
        <w:rPr>
          <w:rFonts w:ascii="Times New Roman" w:hAnsi="Times New Roman"/>
          <w:sz w:val="22"/>
          <w:szCs w:val="22"/>
          <w:lang w:val="sr-Latn-ME"/>
        </w:rPr>
        <w:t>j</w:t>
      </w:r>
      <w:r w:rsidRPr="000E77D2">
        <w:rPr>
          <w:rFonts w:ascii="Times New Roman" w:hAnsi="Times New Roman"/>
          <w:sz w:val="22"/>
          <w:szCs w:val="22"/>
          <w:lang w:val="sr-Latn-ME"/>
        </w:rPr>
        <w:t>ed smanjenja nivoa estrogena, koji inače stimuliše sekreciju gonadotropina iz hipofize i kod žena u postmenopauzi.</w:t>
      </w:r>
    </w:p>
    <w:p w14:paraId="642B1F47" w14:textId="77777777" w:rsidR="000450A4" w:rsidRPr="000E77D2" w:rsidRDefault="000450A4" w:rsidP="00BE6A13">
      <w:pPr>
        <w:rPr>
          <w:rFonts w:ascii="Times New Roman" w:hAnsi="Times New Roman"/>
          <w:sz w:val="22"/>
          <w:szCs w:val="22"/>
          <w:u w:val="single"/>
          <w:lang w:val="sr-Latn-ME"/>
        </w:rPr>
      </w:pPr>
    </w:p>
    <w:p w14:paraId="655BCA85" w14:textId="4F855B4F" w:rsidR="000450A4" w:rsidRPr="000E77D2" w:rsidRDefault="000450A4" w:rsidP="00BE6A13">
      <w:pPr>
        <w:keepNext/>
        <w:rPr>
          <w:rFonts w:ascii="Times New Roman" w:hAnsi="Times New Roman"/>
          <w:sz w:val="22"/>
          <w:szCs w:val="22"/>
          <w:u w:val="single"/>
          <w:lang w:val="sr-Latn-ME"/>
        </w:rPr>
      </w:pPr>
      <w:r w:rsidRPr="000E77D2">
        <w:rPr>
          <w:rFonts w:ascii="Times New Roman" w:hAnsi="Times New Roman"/>
          <w:sz w:val="22"/>
          <w:szCs w:val="22"/>
          <w:u w:val="single"/>
          <w:lang w:val="sr-Latn-ME"/>
        </w:rPr>
        <w:t>Klinička efikasnost i bezb</w:t>
      </w:r>
      <w:r w:rsidR="007B01E3" w:rsidRPr="000E77D2">
        <w:rPr>
          <w:rFonts w:ascii="Times New Roman" w:hAnsi="Times New Roman"/>
          <w:sz w:val="22"/>
          <w:szCs w:val="22"/>
          <w:u w:val="single"/>
          <w:lang w:val="sr-Latn-ME"/>
        </w:rPr>
        <w:t>j</w:t>
      </w:r>
      <w:r w:rsidRPr="000E77D2">
        <w:rPr>
          <w:rFonts w:ascii="Times New Roman" w:hAnsi="Times New Roman"/>
          <w:sz w:val="22"/>
          <w:szCs w:val="22"/>
          <w:u w:val="single"/>
          <w:lang w:val="sr-Latn-ME"/>
        </w:rPr>
        <w:t>ednost</w:t>
      </w:r>
    </w:p>
    <w:p w14:paraId="0D754775" w14:textId="77777777" w:rsidR="000450A4" w:rsidRPr="000E77D2" w:rsidRDefault="000450A4" w:rsidP="00BE6A13">
      <w:pPr>
        <w:keepNext/>
        <w:rPr>
          <w:rFonts w:ascii="Times New Roman" w:hAnsi="Times New Roman"/>
          <w:sz w:val="22"/>
          <w:szCs w:val="22"/>
          <w:u w:val="single"/>
          <w:lang w:val="sr-Latn-ME"/>
        </w:rPr>
      </w:pPr>
    </w:p>
    <w:p w14:paraId="6742FFA2" w14:textId="2440CAA3" w:rsidR="000450A4" w:rsidRPr="000E77D2" w:rsidRDefault="000450A4" w:rsidP="00BE6A13">
      <w:pPr>
        <w:keepNext/>
        <w:rPr>
          <w:rFonts w:ascii="Times New Roman" w:hAnsi="Times New Roman"/>
          <w:i/>
          <w:sz w:val="22"/>
          <w:szCs w:val="22"/>
          <w:u w:val="single"/>
          <w:lang w:val="sr-Latn-ME"/>
        </w:rPr>
      </w:pPr>
      <w:r w:rsidRPr="000E77D2">
        <w:rPr>
          <w:rFonts w:ascii="Times New Roman" w:hAnsi="Times New Roman"/>
          <w:i/>
          <w:sz w:val="22"/>
          <w:szCs w:val="22"/>
          <w:u w:val="single"/>
          <w:lang w:val="sr-Latn-ME"/>
        </w:rPr>
        <w:t>Pomoćna-adjuvantna terapija ranog karcinoma dojke</w:t>
      </w:r>
    </w:p>
    <w:p w14:paraId="1055E988" w14:textId="77777777" w:rsidR="000450A4" w:rsidRPr="000E77D2" w:rsidRDefault="000450A4" w:rsidP="00BE6A13">
      <w:pPr>
        <w:rPr>
          <w:rFonts w:ascii="Times New Roman" w:hAnsi="Times New Roman"/>
          <w:sz w:val="22"/>
          <w:szCs w:val="22"/>
          <w:lang w:val="sr-Latn-ME"/>
        </w:rPr>
      </w:pPr>
    </w:p>
    <w:p w14:paraId="4AECCDAA" w14:textId="398E57E9"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U multicentričnoj, randomizovanoj, dvostruko sl</w:t>
      </w:r>
      <w:r w:rsidR="007B01E3" w:rsidRPr="000E77D2">
        <w:rPr>
          <w:rFonts w:ascii="Times New Roman" w:hAnsi="Times New Roman"/>
          <w:sz w:val="22"/>
          <w:szCs w:val="22"/>
          <w:lang w:val="sr-Latn-ME"/>
        </w:rPr>
        <w:t>ij</w:t>
      </w:r>
      <w:r w:rsidRPr="000E77D2">
        <w:rPr>
          <w:rFonts w:ascii="Times New Roman" w:hAnsi="Times New Roman"/>
          <w:sz w:val="22"/>
          <w:szCs w:val="22"/>
          <w:lang w:val="sr-Latn-ME"/>
        </w:rPr>
        <w:t>epoj studiji sprovedenoj kod 4724 žen</w:t>
      </w:r>
      <w:r w:rsidR="00635E8F" w:rsidRPr="000E77D2">
        <w:rPr>
          <w:rFonts w:ascii="Times New Roman" w:hAnsi="Times New Roman"/>
          <w:sz w:val="22"/>
          <w:szCs w:val="22"/>
          <w:lang w:val="sr-Latn-ME"/>
        </w:rPr>
        <w:t>e</w:t>
      </w:r>
      <w:r w:rsidRPr="000E77D2">
        <w:rPr>
          <w:rFonts w:ascii="Times New Roman" w:hAnsi="Times New Roman"/>
          <w:sz w:val="22"/>
          <w:szCs w:val="22"/>
          <w:lang w:val="sr-Latn-ME"/>
        </w:rPr>
        <w:t xml:space="preserve"> u postmenopauzi sa pozitivnim nalazom estrogenih receptora ili primarnim karcinomom dojke nepoznate etiologije, pacijentkinje kod kojih nije bilo pogoršanja bolesti posl</w:t>
      </w:r>
      <w:r w:rsidR="00184D1F" w:rsidRPr="000E77D2">
        <w:rPr>
          <w:rFonts w:ascii="Times New Roman" w:hAnsi="Times New Roman"/>
          <w:sz w:val="22"/>
          <w:szCs w:val="22"/>
          <w:lang w:val="sr-Latn-ME"/>
        </w:rPr>
        <w:t>ij</w:t>
      </w:r>
      <w:r w:rsidRPr="000E77D2">
        <w:rPr>
          <w:rFonts w:ascii="Times New Roman" w:hAnsi="Times New Roman"/>
          <w:sz w:val="22"/>
          <w:szCs w:val="22"/>
          <w:lang w:val="sr-Latn-ME"/>
        </w:rPr>
        <w:t xml:space="preserve">e </w:t>
      </w:r>
      <w:r w:rsidR="00C0524C" w:rsidRPr="000E77D2">
        <w:rPr>
          <w:rFonts w:ascii="Times New Roman" w:hAnsi="Times New Roman"/>
          <w:sz w:val="22"/>
          <w:szCs w:val="22"/>
          <w:lang w:val="sr-Latn-ME"/>
        </w:rPr>
        <w:t>adjuvantn</w:t>
      </w:r>
      <w:r w:rsidRPr="000E77D2">
        <w:rPr>
          <w:rFonts w:ascii="Times New Roman" w:hAnsi="Times New Roman"/>
          <w:sz w:val="22"/>
          <w:szCs w:val="22"/>
          <w:lang w:val="sr-Latn-ME"/>
        </w:rPr>
        <w:t>e terapije tamoksifenom u toku 2</w:t>
      </w:r>
      <w:r w:rsidR="00635E8F" w:rsidRPr="000E77D2">
        <w:rPr>
          <w:rFonts w:ascii="Times New Roman" w:hAnsi="Times New Roman"/>
          <w:sz w:val="22"/>
          <w:szCs w:val="22"/>
          <w:lang w:val="sr-Latn-ME"/>
        </w:rPr>
        <w:t xml:space="preserve"> do </w:t>
      </w:r>
      <w:r w:rsidRPr="000E77D2">
        <w:rPr>
          <w:rFonts w:ascii="Times New Roman" w:hAnsi="Times New Roman"/>
          <w:sz w:val="22"/>
          <w:szCs w:val="22"/>
          <w:lang w:val="sr-Latn-ME"/>
        </w:rPr>
        <w:t>3 godine su randomizovane da primaju</w:t>
      </w:r>
      <w:r w:rsidR="00E20147" w:rsidRPr="000E77D2">
        <w:rPr>
          <w:rFonts w:ascii="Times New Roman" w:hAnsi="Times New Roman"/>
          <w:sz w:val="22"/>
          <w:szCs w:val="22"/>
          <w:lang w:val="sr-Latn-ME"/>
        </w:rPr>
        <w:t xml:space="preserve"> l</w:t>
      </w:r>
      <w:r w:rsidR="007B01E3" w:rsidRPr="000E77D2">
        <w:rPr>
          <w:rFonts w:ascii="Times New Roman" w:hAnsi="Times New Roman"/>
          <w:sz w:val="22"/>
          <w:szCs w:val="22"/>
          <w:lang w:val="sr-Latn-ME"/>
        </w:rPr>
        <w:t>ij</w:t>
      </w:r>
      <w:r w:rsidR="00E20147" w:rsidRPr="000E77D2">
        <w:rPr>
          <w:rFonts w:ascii="Times New Roman" w:hAnsi="Times New Roman"/>
          <w:sz w:val="22"/>
          <w:szCs w:val="22"/>
          <w:lang w:val="sr-Latn-ME"/>
        </w:rPr>
        <w:t>ek</w:t>
      </w:r>
      <w:r w:rsidRPr="000E77D2">
        <w:rPr>
          <w:rFonts w:ascii="Times New Roman" w:hAnsi="Times New Roman"/>
          <w:sz w:val="22"/>
          <w:szCs w:val="22"/>
          <w:lang w:val="sr-Latn-ME"/>
        </w:rPr>
        <w:t xml:space="preserve"> Aromasin (25 mg/dan) u toku 3-2 godine ili tamoksifen (20 ili 30 mg/dan) do završetka ukupnog petogodišnjeg perioda pod hormonskom terapijom.</w:t>
      </w:r>
    </w:p>
    <w:p w14:paraId="799AC2A1" w14:textId="77777777" w:rsidR="000450A4" w:rsidRPr="000E77D2" w:rsidRDefault="000450A4" w:rsidP="00BE6A13">
      <w:pPr>
        <w:rPr>
          <w:rFonts w:ascii="Times New Roman" w:hAnsi="Times New Roman"/>
          <w:color w:val="FF0000"/>
          <w:sz w:val="22"/>
          <w:szCs w:val="22"/>
          <w:lang w:val="sr-Latn-ME"/>
        </w:rPr>
      </w:pPr>
    </w:p>
    <w:p w14:paraId="41298C74" w14:textId="52501FA7" w:rsidR="000450A4" w:rsidRPr="000E77D2" w:rsidRDefault="000450A4" w:rsidP="00BE6A13">
      <w:pPr>
        <w:ind w:left="371" w:hanging="371"/>
        <w:rPr>
          <w:rFonts w:ascii="Times New Roman" w:hAnsi="Times New Roman"/>
          <w:i/>
          <w:sz w:val="22"/>
          <w:szCs w:val="22"/>
          <w:lang w:val="sr-Latn-ME"/>
        </w:rPr>
      </w:pPr>
      <w:r w:rsidRPr="000E77D2">
        <w:rPr>
          <w:rFonts w:ascii="Times New Roman" w:hAnsi="Times New Roman"/>
          <w:i/>
          <w:sz w:val="22"/>
          <w:szCs w:val="22"/>
          <w:lang w:val="sr-Latn-ME"/>
        </w:rPr>
        <w:t>Pros</w:t>
      </w:r>
      <w:r w:rsidR="007B01E3" w:rsidRPr="000E77D2">
        <w:rPr>
          <w:rFonts w:ascii="Times New Roman" w:hAnsi="Times New Roman"/>
          <w:i/>
          <w:sz w:val="22"/>
          <w:szCs w:val="22"/>
          <w:lang w:val="sr-Latn-ME"/>
        </w:rPr>
        <w:t>j</w:t>
      </w:r>
      <w:r w:rsidRPr="000E77D2">
        <w:rPr>
          <w:rFonts w:ascii="Times New Roman" w:hAnsi="Times New Roman"/>
          <w:i/>
          <w:sz w:val="22"/>
          <w:szCs w:val="22"/>
          <w:lang w:val="sr-Latn-ME"/>
        </w:rPr>
        <w:t>ečno praćenje pacijentkinja od 52 m</w:t>
      </w:r>
      <w:r w:rsidR="007B01E3" w:rsidRPr="000E77D2">
        <w:rPr>
          <w:rFonts w:ascii="Times New Roman" w:hAnsi="Times New Roman"/>
          <w:i/>
          <w:sz w:val="22"/>
          <w:szCs w:val="22"/>
          <w:lang w:val="sr-Latn-ME"/>
        </w:rPr>
        <w:t>j</w:t>
      </w:r>
      <w:r w:rsidRPr="000E77D2">
        <w:rPr>
          <w:rFonts w:ascii="Times New Roman" w:hAnsi="Times New Roman"/>
          <w:i/>
          <w:sz w:val="22"/>
          <w:szCs w:val="22"/>
          <w:lang w:val="sr-Latn-ME"/>
        </w:rPr>
        <w:t>eseca kod IES studije</w:t>
      </w:r>
    </w:p>
    <w:p w14:paraId="71FE229E" w14:textId="66DB36C3" w:rsidR="000450A4" w:rsidRPr="000E77D2" w:rsidRDefault="000450A4" w:rsidP="00BE6A13">
      <w:pPr>
        <w:rPr>
          <w:rFonts w:ascii="Times New Roman" w:hAnsi="Times New Roman"/>
          <w:sz w:val="22"/>
          <w:szCs w:val="22"/>
          <w:lang w:val="sr-Latn-ME"/>
        </w:rPr>
      </w:pPr>
    </w:p>
    <w:p w14:paraId="3D82F77E" w14:textId="2DEAFD7E"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Posl</w:t>
      </w:r>
      <w:r w:rsidR="00184D1F" w:rsidRPr="000E77D2">
        <w:rPr>
          <w:rFonts w:ascii="Times New Roman" w:hAnsi="Times New Roman"/>
          <w:sz w:val="22"/>
          <w:szCs w:val="22"/>
          <w:lang w:val="sr-Latn-ME"/>
        </w:rPr>
        <w:t>ij</w:t>
      </w:r>
      <w:r w:rsidRPr="000E77D2">
        <w:rPr>
          <w:rFonts w:ascii="Times New Roman" w:hAnsi="Times New Roman"/>
          <w:sz w:val="22"/>
          <w:szCs w:val="22"/>
          <w:lang w:val="sr-Latn-ME"/>
        </w:rPr>
        <w:t xml:space="preserve">e </w:t>
      </w:r>
      <w:r w:rsidR="007E2290" w:rsidRPr="000E77D2">
        <w:rPr>
          <w:rFonts w:ascii="Times New Roman" w:hAnsi="Times New Roman"/>
          <w:sz w:val="22"/>
          <w:szCs w:val="22"/>
          <w:lang w:val="sr-Latn-ME"/>
        </w:rPr>
        <w:t>medijane</w:t>
      </w:r>
      <w:r w:rsidRPr="000E77D2">
        <w:rPr>
          <w:rFonts w:ascii="Times New Roman" w:hAnsi="Times New Roman"/>
          <w:sz w:val="22"/>
          <w:szCs w:val="22"/>
          <w:lang w:val="sr-Latn-ME"/>
        </w:rPr>
        <w:t xml:space="preserve"> trajanja terapije od oko 30 m</w:t>
      </w:r>
      <w:r w:rsidR="007B01E3" w:rsidRPr="000E77D2">
        <w:rPr>
          <w:rFonts w:ascii="Times New Roman" w:hAnsi="Times New Roman"/>
          <w:sz w:val="22"/>
          <w:szCs w:val="22"/>
          <w:lang w:val="sr-Latn-ME"/>
        </w:rPr>
        <w:t>j</w:t>
      </w:r>
      <w:r w:rsidRPr="000E77D2">
        <w:rPr>
          <w:rFonts w:ascii="Times New Roman" w:hAnsi="Times New Roman"/>
          <w:sz w:val="22"/>
          <w:szCs w:val="22"/>
          <w:lang w:val="sr-Latn-ME"/>
        </w:rPr>
        <w:t xml:space="preserve">eseci i </w:t>
      </w:r>
      <w:r w:rsidR="007E2290" w:rsidRPr="000E77D2">
        <w:rPr>
          <w:rFonts w:ascii="Times New Roman" w:hAnsi="Times New Roman"/>
          <w:sz w:val="22"/>
          <w:szCs w:val="22"/>
          <w:lang w:val="sr-Latn-ME"/>
        </w:rPr>
        <w:t>medijane</w:t>
      </w:r>
      <w:r w:rsidRPr="000E77D2">
        <w:rPr>
          <w:rFonts w:ascii="Times New Roman" w:hAnsi="Times New Roman"/>
          <w:sz w:val="22"/>
          <w:szCs w:val="22"/>
          <w:lang w:val="sr-Latn-ME"/>
        </w:rPr>
        <w:t xml:space="preserve"> praćenja pacijentkinja od oko 52 m</w:t>
      </w:r>
      <w:r w:rsidR="007B01E3" w:rsidRPr="000E77D2">
        <w:rPr>
          <w:rFonts w:ascii="Times New Roman" w:hAnsi="Times New Roman"/>
          <w:sz w:val="22"/>
          <w:szCs w:val="22"/>
          <w:lang w:val="sr-Latn-ME"/>
        </w:rPr>
        <w:t>j</w:t>
      </w:r>
      <w:r w:rsidRPr="000E77D2">
        <w:rPr>
          <w:rFonts w:ascii="Times New Roman" w:hAnsi="Times New Roman"/>
          <w:sz w:val="22"/>
          <w:szCs w:val="22"/>
          <w:lang w:val="sr-Latn-ME"/>
        </w:rPr>
        <w:t>eseca, rezultati su pokazali da je sekvencijalna terapija l</w:t>
      </w:r>
      <w:r w:rsidR="007B01E3" w:rsidRPr="000E77D2">
        <w:rPr>
          <w:rFonts w:ascii="Times New Roman" w:hAnsi="Times New Roman"/>
          <w:sz w:val="22"/>
          <w:szCs w:val="22"/>
          <w:lang w:val="sr-Latn-ME"/>
        </w:rPr>
        <w:t>ij</w:t>
      </w:r>
      <w:r w:rsidRPr="000E77D2">
        <w:rPr>
          <w:rFonts w:ascii="Times New Roman" w:hAnsi="Times New Roman"/>
          <w:sz w:val="22"/>
          <w:szCs w:val="22"/>
          <w:lang w:val="sr-Latn-ME"/>
        </w:rPr>
        <w:t>ekom Aromasin posl</w:t>
      </w:r>
      <w:r w:rsidR="00184D1F" w:rsidRPr="000E77D2">
        <w:rPr>
          <w:rFonts w:ascii="Times New Roman" w:hAnsi="Times New Roman"/>
          <w:sz w:val="22"/>
          <w:szCs w:val="22"/>
          <w:lang w:val="sr-Latn-ME"/>
        </w:rPr>
        <w:t>ij</w:t>
      </w:r>
      <w:r w:rsidRPr="000E77D2">
        <w:rPr>
          <w:rFonts w:ascii="Times New Roman" w:hAnsi="Times New Roman"/>
          <w:sz w:val="22"/>
          <w:szCs w:val="22"/>
          <w:lang w:val="sr-Latn-ME"/>
        </w:rPr>
        <w:t xml:space="preserve">e dvogodišnje ili trogodišnje </w:t>
      </w:r>
      <w:r w:rsidR="00C0524C" w:rsidRPr="000E77D2">
        <w:rPr>
          <w:rFonts w:ascii="Times New Roman" w:hAnsi="Times New Roman"/>
          <w:sz w:val="22"/>
          <w:szCs w:val="22"/>
          <w:lang w:val="sr-Latn-ME"/>
        </w:rPr>
        <w:t>adjuvantn</w:t>
      </w:r>
      <w:r w:rsidRPr="000E77D2">
        <w:rPr>
          <w:rFonts w:ascii="Times New Roman" w:hAnsi="Times New Roman"/>
          <w:sz w:val="22"/>
          <w:szCs w:val="22"/>
          <w:lang w:val="sr-Latn-ME"/>
        </w:rPr>
        <w:t>e terapije tamoksifenom bila udružena sa klinički i statistički značajnim produženjem vremena preživljavanja bez znakova bolesti (</w:t>
      </w:r>
      <w:r w:rsidR="00635E8F" w:rsidRPr="000E77D2">
        <w:rPr>
          <w:rFonts w:ascii="Times New Roman" w:hAnsi="Times New Roman"/>
          <w:sz w:val="22"/>
          <w:szCs w:val="22"/>
          <w:lang w:val="sr-Latn-ME"/>
        </w:rPr>
        <w:t xml:space="preserve">engl. </w:t>
      </w:r>
      <w:r w:rsidRPr="000E77D2">
        <w:rPr>
          <w:rFonts w:ascii="Times New Roman" w:hAnsi="Times New Roman"/>
          <w:i/>
          <w:sz w:val="22"/>
          <w:szCs w:val="22"/>
          <w:lang w:val="sr-Latn-ME"/>
        </w:rPr>
        <w:t>disease-free survival - DFS</w:t>
      </w:r>
      <w:r w:rsidRPr="000E77D2">
        <w:rPr>
          <w:rFonts w:ascii="Times New Roman" w:hAnsi="Times New Roman"/>
          <w:sz w:val="22"/>
          <w:szCs w:val="22"/>
          <w:lang w:val="sr-Latn-ME"/>
        </w:rPr>
        <w:t>) u odnosu na nastavak prim</w:t>
      </w:r>
      <w:r w:rsidR="007B01E3" w:rsidRPr="000E77D2">
        <w:rPr>
          <w:rFonts w:ascii="Times New Roman" w:hAnsi="Times New Roman"/>
          <w:sz w:val="22"/>
          <w:szCs w:val="22"/>
          <w:lang w:val="sr-Latn-ME"/>
        </w:rPr>
        <w:t>j</w:t>
      </w:r>
      <w:r w:rsidRPr="000E77D2">
        <w:rPr>
          <w:rFonts w:ascii="Times New Roman" w:hAnsi="Times New Roman"/>
          <w:sz w:val="22"/>
          <w:szCs w:val="22"/>
          <w:lang w:val="sr-Latn-ME"/>
        </w:rPr>
        <w:t>ene tamoksifena. Analiza je pokazala da je prim</w:t>
      </w:r>
      <w:r w:rsidR="007B01E3" w:rsidRPr="000E77D2">
        <w:rPr>
          <w:rFonts w:ascii="Times New Roman" w:hAnsi="Times New Roman"/>
          <w:sz w:val="22"/>
          <w:szCs w:val="22"/>
          <w:lang w:val="sr-Latn-ME"/>
        </w:rPr>
        <w:t>j</w:t>
      </w:r>
      <w:r w:rsidRPr="000E77D2">
        <w:rPr>
          <w:rFonts w:ascii="Times New Roman" w:hAnsi="Times New Roman"/>
          <w:sz w:val="22"/>
          <w:szCs w:val="22"/>
          <w:lang w:val="sr-Latn-ME"/>
        </w:rPr>
        <w:t>ena l</w:t>
      </w:r>
      <w:r w:rsidR="007B01E3" w:rsidRPr="000E77D2">
        <w:rPr>
          <w:rFonts w:ascii="Times New Roman" w:hAnsi="Times New Roman"/>
          <w:sz w:val="22"/>
          <w:szCs w:val="22"/>
          <w:lang w:val="sr-Latn-ME"/>
        </w:rPr>
        <w:t>ij</w:t>
      </w:r>
      <w:r w:rsidRPr="000E77D2">
        <w:rPr>
          <w:rFonts w:ascii="Times New Roman" w:hAnsi="Times New Roman"/>
          <w:sz w:val="22"/>
          <w:szCs w:val="22"/>
          <w:lang w:val="sr-Latn-ME"/>
        </w:rPr>
        <w:t>eka Aromasin tokom praćenja u studiji smanjila rizik za ponovnu pojavu karcinoma dojke za 24% u poređenju sa tamoksifenom (odnos rizika = 0,76; p = 0,00015). Povoljni efekti prim</w:t>
      </w:r>
      <w:r w:rsidR="007B01E3" w:rsidRPr="000E77D2">
        <w:rPr>
          <w:rFonts w:ascii="Times New Roman" w:hAnsi="Times New Roman"/>
          <w:sz w:val="22"/>
          <w:szCs w:val="22"/>
          <w:lang w:val="sr-Latn-ME"/>
        </w:rPr>
        <w:t>j</w:t>
      </w:r>
      <w:r w:rsidRPr="000E77D2">
        <w:rPr>
          <w:rFonts w:ascii="Times New Roman" w:hAnsi="Times New Roman"/>
          <w:sz w:val="22"/>
          <w:szCs w:val="22"/>
          <w:lang w:val="sr-Latn-ME"/>
        </w:rPr>
        <w:t>ene eksemestana u odnosu na tamoksifen, uzimajući u obzir vreme preživljavanja bez znakova bolesti, bili su očigledni bez obzira na stanje limfnih žl</w:t>
      </w:r>
      <w:r w:rsidR="007B01E3" w:rsidRPr="000E77D2">
        <w:rPr>
          <w:rFonts w:ascii="Times New Roman" w:hAnsi="Times New Roman"/>
          <w:sz w:val="22"/>
          <w:szCs w:val="22"/>
          <w:lang w:val="sr-Latn-ME"/>
        </w:rPr>
        <w:t>ij</w:t>
      </w:r>
      <w:r w:rsidRPr="000E77D2">
        <w:rPr>
          <w:rFonts w:ascii="Times New Roman" w:hAnsi="Times New Roman"/>
          <w:sz w:val="22"/>
          <w:szCs w:val="22"/>
          <w:lang w:val="sr-Latn-ME"/>
        </w:rPr>
        <w:t>ezda ili prethodnu hem</w:t>
      </w:r>
      <w:r w:rsidR="00635E8F" w:rsidRPr="000E77D2">
        <w:rPr>
          <w:rFonts w:ascii="Times New Roman" w:hAnsi="Times New Roman"/>
          <w:sz w:val="22"/>
          <w:szCs w:val="22"/>
          <w:lang w:val="sr-Latn-ME"/>
        </w:rPr>
        <w:t>i</w:t>
      </w:r>
      <w:r w:rsidRPr="000E77D2">
        <w:rPr>
          <w:rFonts w:ascii="Times New Roman" w:hAnsi="Times New Roman"/>
          <w:sz w:val="22"/>
          <w:szCs w:val="22"/>
          <w:lang w:val="sr-Latn-ME"/>
        </w:rPr>
        <w:t>oterapiju.</w:t>
      </w:r>
    </w:p>
    <w:p w14:paraId="645D6C6C" w14:textId="77777777" w:rsidR="000450A4" w:rsidRPr="000E77D2" w:rsidRDefault="000450A4" w:rsidP="00BE6A13">
      <w:pPr>
        <w:rPr>
          <w:rFonts w:ascii="Times New Roman" w:hAnsi="Times New Roman"/>
          <w:color w:val="FF0000"/>
          <w:sz w:val="22"/>
          <w:szCs w:val="22"/>
          <w:lang w:val="sr-Latn-ME"/>
        </w:rPr>
      </w:pPr>
    </w:p>
    <w:p w14:paraId="6F15484B" w14:textId="0234DF26" w:rsidR="000450A4" w:rsidRPr="000E77D2" w:rsidRDefault="00161E8A" w:rsidP="00BE6A13">
      <w:pPr>
        <w:rPr>
          <w:rFonts w:ascii="Times New Roman" w:hAnsi="Times New Roman"/>
          <w:sz w:val="22"/>
          <w:szCs w:val="22"/>
          <w:lang w:val="sr-Latn-ME"/>
        </w:rPr>
      </w:pPr>
      <w:r w:rsidRPr="000E77D2">
        <w:rPr>
          <w:rFonts w:ascii="Times New Roman" w:hAnsi="Times New Roman"/>
          <w:sz w:val="22"/>
          <w:szCs w:val="22"/>
          <w:lang w:val="sr-Latn-ME"/>
        </w:rPr>
        <w:t>L</w:t>
      </w:r>
      <w:r w:rsidR="00B60BDC" w:rsidRPr="000E77D2">
        <w:rPr>
          <w:rFonts w:ascii="Times New Roman" w:hAnsi="Times New Roman"/>
          <w:sz w:val="22"/>
          <w:szCs w:val="22"/>
          <w:lang w:val="sr-Latn-ME"/>
        </w:rPr>
        <w:t>ij</w:t>
      </w:r>
      <w:r w:rsidRPr="000E77D2">
        <w:rPr>
          <w:rFonts w:ascii="Times New Roman" w:hAnsi="Times New Roman"/>
          <w:sz w:val="22"/>
          <w:szCs w:val="22"/>
          <w:lang w:val="sr-Latn-ME"/>
        </w:rPr>
        <w:t xml:space="preserve">ek </w:t>
      </w:r>
      <w:r w:rsidR="000450A4" w:rsidRPr="000E77D2">
        <w:rPr>
          <w:rFonts w:ascii="Times New Roman" w:hAnsi="Times New Roman"/>
          <w:sz w:val="22"/>
          <w:szCs w:val="22"/>
          <w:lang w:val="sr-Latn-ME"/>
        </w:rPr>
        <w:t>Aromasin je takođe značajno redukovao rizik za pojavu kontralateralnog karcinoma dojke (odnos</w:t>
      </w:r>
      <w:r w:rsidR="006A1330" w:rsidRPr="000E77D2">
        <w:rPr>
          <w:rFonts w:ascii="Times New Roman" w:hAnsi="Times New Roman"/>
          <w:sz w:val="22"/>
          <w:szCs w:val="22"/>
          <w:lang w:val="sr-Latn-ME"/>
        </w:rPr>
        <w:t> </w:t>
      </w:r>
      <w:r w:rsidR="000450A4" w:rsidRPr="000E77D2">
        <w:rPr>
          <w:rFonts w:ascii="Times New Roman" w:hAnsi="Times New Roman"/>
          <w:sz w:val="22"/>
          <w:szCs w:val="22"/>
          <w:lang w:val="sr-Latn-ME"/>
        </w:rPr>
        <w:t>rizika</w:t>
      </w:r>
      <w:r w:rsidR="00A22060" w:rsidRPr="000E77D2">
        <w:rPr>
          <w:rFonts w:ascii="Times New Roman" w:hAnsi="Times New Roman"/>
          <w:sz w:val="22"/>
          <w:szCs w:val="22"/>
          <w:lang w:val="sr-Latn-ME"/>
        </w:rPr>
        <w:t> </w:t>
      </w:r>
      <w:r w:rsidR="000450A4" w:rsidRPr="000E77D2">
        <w:rPr>
          <w:rFonts w:ascii="Times New Roman" w:hAnsi="Times New Roman"/>
          <w:sz w:val="22"/>
          <w:szCs w:val="22"/>
          <w:lang w:val="sr-Latn-ME"/>
        </w:rPr>
        <w:t>=</w:t>
      </w:r>
      <w:r w:rsidR="00A22060" w:rsidRPr="000E77D2">
        <w:rPr>
          <w:rFonts w:ascii="Times New Roman" w:hAnsi="Times New Roman"/>
          <w:sz w:val="22"/>
          <w:szCs w:val="22"/>
          <w:lang w:val="sr-Latn-ME"/>
        </w:rPr>
        <w:t> </w:t>
      </w:r>
      <w:r w:rsidR="000450A4" w:rsidRPr="000E77D2">
        <w:rPr>
          <w:rFonts w:ascii="Times New Roman" w:hAnsi="Times New Roman"/>
          <w:sz w:val="22"/>
          <w:szCs w:val="22"/>
          <w:lang w:val="sr-Latn-ME"/>
        </w:rPr>
        <w:t>0,57; p = 0,04158).</w:t>
      </w:r>
    </w:p>
    <w:p w14:paraId="1E835604" w14:textId="77777777" w:rsidR="000450A4" w:rsidRPr="000E77D2" w:rsidRDefault="000450A4" w:rsidP="00BE6A13">
      <w:pPr>
        <w:rPr>
          <w:rFonts w:ascii="Times New Roman" w:hAnsi="Times New Roman"/>
          <w:sz w:val="22"/>
          <w:szCs w:val="22"/>
          <w:lang w:val="sr-Latn-ME"/>
        </w:rPr>
      </w:pPr>
    </w:p>
    <w:p w14:paraId="2F87992B" w14:textId="2ACC3AB1"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U ukupnoj ispitiv</w:t>
      </w:r>
      <w:r w:rsidR="00B60BDC" w:rsidRPr="000E77D2">
        <w:rPr>
          <w:rFonts w:ascii="Times New Roman" w:hAnsi="Times New Roman"/>
          <w:sz w:val="22"/>
          <w:szCs w:val="22"/>
          <w:lang w:val="sr-Latn-ME"/>
        </w:rPr>
        <w:t>anoj populaciji, zabi</w:t>
      </w:r>
      <w:r w:rsidRPr="000E77D2">
        <w:rPr>
          <w:rFonts w:ascii="Times New Roman" w:hAnsi="Times New Roman"/>
          <w:sz w:val="22"/>
          <w:szCs w:val="22"/>
          <w:lang w:val="sr-Latn-ME"/>
        </w:rPr>
        <w:t>l</w:t>
      </w:r>
      <w:r w:rsidR="00B60BDC" w:rsidRPr="000E77D2">
        <w:rPr>
          <w:rFonts w:ascii="Times New Roman" w:hAnsi="Times New Roman"/>
          <w:sz w:val="22"/>
          <w:szCs w:val="22"/>
          <w:lang w:val="sr-Latn-ME"/>
        </w:rPr>
        <w:t>j</w:t>
      </w:r>
      <w:r w:rsidRPr="000E77D2">
        <w:rPr>
          <w:rFonts w:ascii="Times New Roman" w:hAnsi="Times New Roman"/>
          <w:sz w:val="22"/>
          <w:szCs w:val="22"/>
          <w:lang w:val="sr-Latn-ME"/>
        </w:rPr>
        <w:t>ežen je trend poboljšanja ukupnog preživljavanja u grupi koja je primala eksemestan (222 smrtna ishoda) u poređenju sa grupom koja je primala tamoksifen (262 smrtna ishoda) sa odnosom rizika = 0,85 (</w:t>
      </w:r>
      <w:r w:rsidRPr="000E77D2">
        <w:rPr>
          <w:rFonts w:ascii="Times New Roman" w:hAnsi="Times New Roman"/>
          <w:i/>
          <w:sz w:val="22"/>
          <w:szCs w:val="22"/>
          <w:lang w:val="sr-Latn-ME"/>
        </w:rPr>
        <w:t>log-rank</w:t>
      </w:r>
      <w:r w:rsidRPr="000E77D2">
        <w:rPr>
          <w:rFonts w:ascii="Times New Roman" w:hAnsi="Times New Roman"/>
          <w:sz w:val="22"/>
          <w:szCs w:val="22"/>
          <w:lang w:val="sr-Latn-ME"/>
        </w:rPr>
        <w:t xml:space="preserve"> test: p = 0,07362), što predstavlja 15% smanjenja rizika od </w:t>
      </w:r>
      <w:r w:rsidR="00B60BDC" w:rsidRPr="000E77D2">
        <w:rPr>
          <w:rFonts w:ascii="Times New Roman" w:hAnsi="Times New Roman"/>
          <w:sz w:val="22"/>
          <w:szCs w:val="22"/>
          <w:lang w:val="sr-Latn-ME"/>
        </w:rPr>
        <w:t>smrti u korist eksemestana. Zabi</w:t>
      </w:r>
      <w:r w:rsidRPr="000E77D2">
        <w:rPr>
          <w:rFonts w:ascii="Times New Roman" w:hAnsi="Times New Roman"/>
          <w:sz w:val="22"/>
          <w:szCs w:val="22"/>
          <w:lang w:val="sr-Latn-ME"/>
        </w:rPr>
        <w:t>l</w:t>
      </w:r>
      <w:r w:rsidR="00B60BDC" w:rsidRPr="000E77D2">
        <w:rPr>
          <w:rFonts w:ascii="Times New Roman" w:hAnsi="Times New Roman"/>
          <w:sz w:val="22"/>
          <w:szCs w:val="22"/>
          <w:lang w:val="sr-Latn-ME"/>
        </w:rPr>
        <w:t>j</w:t>
      </w:r>
      <w:r w:rsidRPr="000E77D2">
        <w:rPr>
          <w:rFonts w:ascii="Times New Roman" w:hAnsi="Times New Roman"/>
          <w:sz w:val="22"/>
          <w:szCs w:val="22"/>
          <w:lang w:val="sr-Latn-ME"/>
        </w:rPr>
        <w:t xml:space="preserve">eženo je statistički značajno smanjenje od 23% u riziku od smrti (odnos rizika za ukupno preživljavanje 0,77; </w:t>
      </w:r>
      <w:r w:rsidRPr="000E77D2">
        <w:rPr>
          <w:rFonts w:ascii="Times New Roman" w:hAnsi="Times New Roman"/>
          <w:i/>
          <w:sz w:val="22"/>
          <w:szCs w:val="22"/>
          <w:lang w:val="sr-Latn-ME"/>
        </w:rPr>
        <w:t>Wald chi square</w:t>
      </w:r>
      <w:r w:rsidRPr="000E77D2">
        <w:rPr>
          <w:rFonts w:ascii="Times New Roman" w:hAnsi="Times New Roman"/>
          <w:sz w:val="22"/>
          <w:szCs w:val="22"/>
          <w:lang w:val="sr-Latn-ME"/>
        </w:rPr>
        <w:t xml:space="preserve"> test: p</w:t>
      </w:r>
      <w:r w:rsidR="00AB2837" w:rsidRPr="000E77D2">
        <w:rPr>
          <w:rFonts w:ascii="Times New Roman" w:hAnsi="Times New Roman"/>
          <w:sz w:val="22"/>
          <w:szCs w:val="22"/>
          <w:lang w:val="sr-Latn-ME"/>
        </w:rPr>
        <w:t xml:space="preserve"> </w:t>
      </w:r>
      <w:r w:rsidRPr="000E77D2">
        <w:rPr>
          <w:rFonts w:ascii="Times New Roman" w:hAnsi="Times New Roman"/>
          <w:sz w:val="22"/>
          <w:szCs w:val="22"/>
          <w:lang w:val="sr-Latn-ME"/>
        </w:rPr>
        <w:t>=</w:t>
      </w:r>
      <w:r w:rsidR="00AB2837" w:rsidRPr="000E77D2">
        <w:rPr>
          <w:rFonts w:ascii="Times New Roman" w:hAnsi="Times New Roman"/>
          <w:sz w:val="22"/>
          <w:szCs w:val="22"/>
          <w:lang w:val="sr-Latn-ME"/>
        </w:rPr>
        <w:t xml:space="preserve"> </w:t>
      </w:r>
      <w:r w:rsidRPr="000E77D2">
        <w:rPr>
          <w:rFonts w:ascii="Times New Roman" w:hAnsi="Times New Roman"/>
          <w:sz w:val="22"/>
          <w:szCs w:val="22"/>
          <w:lang w:val="sr-Latn-ME"/>
        </w:rPr>
        <w:t>0,0069) u grupi koja je primala eksemestan u poređenju sa grupom koja je primala tamoksifen nakon podešavanja prethodno definisanih prognostičkih faktora (npr. ER status, nodalni status, prethodna hem</w:t>
      </w:r>
      <w:r w:rsidR="00635E8F" w:rsidRPr="000E77D2">
        <w:rPr>
          <w:rFonts w:ascii="Times New Roman" w:hAnsi="Times New Roman"/>
          <w:sz w:val="22"/>
          <w:szCs w:val="22"/>
          <w:lang w:val="sr-Latn-ME"/>
        </w:rPr>
        <w:t>i</w:t>
      </w:r>
      <w:r w:rsidRPr="000E77D2">
        <w:rPr>
          <w:rFonts w:ascii="Times New Roman" w:hAnsi="Times New Roman"/>
          <w:sz w:val="22"/>
          <w:szCs w:val="22"/>
          <w:lang w:val="sr-Latn-ME"/>
        </w:rPr>
        <w:t>oterapija, upotreba HRT i upotreba bifosfonata).</w:t>
      </w:r>
    </w:p>
    <w:p w14:paraId="000BC591" w14:textId="77777777" w:rsidR="000450A4" w:rsidRPr="000E77D2" w:rsidRDefault="000450A4" w:rsidP="00BE6A13">
      <w:pPr>
        <w:rPr>
          <w:rFonts w:ascii="Times New Roman" w:hAnsi="Times New Roman"/>
          <w:color w:val="FF0000"/>
          <w:sz w:val="22"/>
          <w:szCs w:val="22"/>
          <w:lang w:val="sr-Latn-ME"/>
        </w:rPr>
      </w:pPr>
    </w:p>
    <w:p w14:paraId="452A68C7" w14:textId="2846CAEA" w:rsidR="000450A4" w:rsidRPr="000E77D2" w:rsidRDefault="000450A4" w:rsidP="00BE6A13">
      <w:pPr>
        <w:rPr>
          <w:rFonts w:ascii="Times New Roman" w:hAnsi="Times New Roman"/>
          <w:sz w:val="22"/>
          <w:szCs w:val="22"/>
          <w:lang w:val="sr-Latn-ME"/>
        </w:rPr>
      </w:pPr>
      <w:r w:rsidRPr="000E77D2">
        <w:rPr>
          <w:rFonts w:ascii="Times New Roman" w:hAnsi="Times New Roman"/>
          <w:b/>
          <w:sz w:val="22"/>
          <w:szCs w:val="22"/>
          <w:lang w:val="sr-Latn-ME"/>
        </w:rPr>
        <w:t>Najvažniji pokazatelji efikasnosti tokom 52 m</w:t>
      </w:r>
      <w:r w:rsidR="00B60BDC" w:rsidRPr="000E77D2">
        <w:rPr>
          <w:rFonts w:ascii="Times New Roman" w:hAnsi="Times New Roman"/>
          <w:b/>
          <w:sz w:val="22"/>
          <w:szCs w:val="22"/>
          <w:lang w:val="sr-Latn-ME"/>
        </w:rPr>
        <w:t>j</w:t>
      </w:r>
      <w:r w:rsidRPr="000E77D2">
        <w:rPr>
          <w:rFonts w:ascii="Times New Roman" w:hAnsi="Times New Roman"/>
          <w:b/>
          <w:sz w:val="22"/>
          <w:szCs w:val="22"/>
          <w:lang w:val="sr-Latn-ME"/>
        </w:rPr>
        <w:t>eseca kod svih pacijentkinja (</w:t>
      </w:r>
      <w:r w:rsidRPr="000E77D2">
        <w:rPr>
          <w:rFonts w:ascii="Times New Roman" w:hAnsi="Times New Roman"/>
          <w:b/>
          <w:i/>
          <w:sz w:val="22"/>
          <w:szCs w:val="22"/>
          <w:lang w:val="sr-Latn-ME"/>
        </w:rPr>
        <w:t xml:space="preserve">intention to treat </w:t>
      </w:r>
      <w:r w:rsidRPr="000E77D2">
        <w:rPr>
          <w:rFonts w:ascii="Times New Roman" w:hAnsi="Times New Roman"/>
          <w:b/>
          <w:sz w:val="22"/>
          <w:szCs w:val="22"/>
          <w:lang w:val="sr-Latn-ME"/>
        </w:rPr>
        <w:t>populacija) i kod pacijentkinja sa pozitivnim nalazom estrogenih receptora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1829"/>
        <w:gridCol w:w="1783"/>
        <w:gridCol w:w="2062"/>
        <w:gridCol w:w="1375"/>
      </w:tblGrid>
      <w:tr w:rsidR="005872E2" w:rsidRPr="000E77D2" w14:paraId="6231BB5E" w14:textId="77777777" w:rsidTr="00184D1F">
        <w:tc>
          <w:tcPr>
            <w:tcW w:w="1110" w:type="pct"/>
          </w:tcPr>
          <w:p w14:paraId="070262C1" w14:textId="2B0BA19E" w:rsidR="000450A4" w:rsidRPr="000E77D2" w:rsidRDefault="00184D1F" w:rsidP="00BE6A13">
            <w:pPr>
              <w:rPr>
                <w:rFonts w:ascii="Times New Roman" w:hAnsi="Times New Roman"/>
                <w:b/>
                <w:sz w:val="22"/>
                <w:szCs w:val="22"/>
                <w:lang w:val="sr-Latn-ME"/>
              </w:rPr>
            </w:pPr>
            <w:r w:rsidRPr="000E77D2">
              <w:rPr>
                <w:rFonts w:ascii="Times New Roman" w:hAnsi="Times New Roman"/>
                <w:b/>
                <w:sz w:val="22"/>
                <w:szCs w:val="22"/>
                <w:lang w:val="sr-Latn-ME"/>
              </w:rPr>
              <w:t>Parametar praćenja</w:t>
            </w:r>
          </w:p>
          <w:p w14:paraId="01932C08" w14:textId="77777777" w:rsidR="000450A4" w:rsidRPr="000E77D2" w:rsidRDefault="000450A4" w:rsidP="00BE6A13">
            <w:pPr>
              <w:rPr>
                <w:rFonts w:ascii="Times New Roman" w:hAnsi="Times New Roman"/>
                <w:b/>
                <w:sz w:val="22"/>
                <w:szCs w:val="22"/>
                <w:lang w:val="sr-Latn-ME"/>
              </w:rPr>
            </w:pPr>
          </w:p>
          <w:p w14:paraId="060CDEF0" w14:textId="77777777" w:rsidR="000450A4" w:rsidRPr="000E77D2" w:rsidRDefault="000450A4" w:rsidP="00BE6A13">
            <w:pPr>
              <w:rPr>
                <w:rFonts w:ascii="Times New Roman" w:hAnsi="Times New Roman"/>
                <w:b/>
                <w:sz w:val="22"/>
                <w:szCs w:val="22"/>
                <w:lang w:val="sr-Latn-ME"/>
              </w:rPr>
            </w:pPr>
            <w:r w:rsidRPr="000E77D2">
              <w:rPr>
                <w:rFonts w:ascii="Times New Roman" w:hAnsi="Times New Roman"/>
                <w:b/>
                <w:sz w:val="22"/>
                <w:szCs w:val="22"/>
                <w:lang w:val="sr-Latn-ME"/>
              </w:rPr>
              <w:t>Populacija</w:t>
            </w:r>
          </w:p>
        </w:tc>
        <w:tc>
          <w:tcPr>
            <w:tcW w:w="1009" w:type="pct"/>
          </w:tcPr>
          <w:p w14:paraId="36D16139" w14:textId="77777777" w:rsidR="000450A4" w:rsidRPr="000E77D2" w:rsidRDefault="000450A4" w:rsidP="00BE6A13">
            <w:pPr>
              <w:rPr>
                <w:rFonts w:ascii="Times New Roman" w:hAnsi="Times New Roman"/>
                <w:b/>
                <w:sz w:val="22"/>
                <w:szCs w:val="22"/>
                <w:lang w:val="sr-Latn-ME"/>
              </w:rPr>
            </w:pPr>
            <w:r w:rsidRPr="000E77D2">
              <w:rPr>
                <w:rFonts w:ascii="Times New Roman" w:hAnsi="Times New Roman"/>
                <w:b/>
                <w:sz w:val="22"/>
                <w:szCs w:val="22"/>
                <w:lang w:val="sr-Latn-ME"/>
              </w:rPr>
              <w:t>Eksemestan</w:t>
            </w:r>
          </w:p>
          <w:p w14:paraId="198BAA5A" w14:textId="77777777" w:rsidR="000450A4" w:rsidRPr="000E77D2" w:rsidRDefault="000450A4" w:rsidP="00BE6A13">
            <w:pPr>
              <w:rPr>
                <w:rFonts w:ascii="Times New Roman" w:hAnsi="Times New Roman"/>
                <w:b/>
                <w:sz w:val="22"/>
                <w:szCs w:val="22"/>
                <w:lang w:val="sr-Latn-ME"/>
              </w:rPr>
            </w:pPr>
          </w:p>
          <w:p w14:paraId="1E130A60" w14:textId="77F45298" w:rsidR="000450A4" w:rsidRPr="000E77D2" w:rsidRDefault="000450A4" w:rsidP="00BE6A13">
            <w:pPr>
              <w:rPr>
                <w:rFonts w:ascii="Times New Roman" w:hAnsi="Times New Roman"/>
                <w:b/>
                <w:sz w:val="22"/>
                <w:szCs w:val="22"/>
                <w:lang w:val="sr-Latn-ME"/>
              </w:rPr>
            </w:pPr>
            <w:r w:rsidRPr="000E77D2">
              <w:rPr>
                <w:rFonts w:ascii="Times New Roman" w:hAnsi="Times New Roman"/>
                <w:b/>
                <w:sz w:val="22"/>
                <w:szCs w:val="22"/>
                <w:lang w:val="sr-Latn-ME"/>
              </w:rPr>
              <w:t>Broj/Ukupan broj</w:t>
            </w:r>
            <w:r w:rsidRPr="000E77D2">
              <w:rPr>
                <w:rFonts w:ascii="Times New Roman" w:hAnsi="Times New Roman"/>
                <w:b/>
                <w:sz w:val="22"/>
                <w:szCs w:val="22"/>
                <w:lang w:val="sr-Latn-ME"/>
              </w:rPr>
              <w:br/>
              <w:t>- N (%)</w:t>
            </w:r>
          </w:p>
        </w:tc>
        <w:tc>
          <w:tcPr>
            <w:tcW w:w="984" w:type="pct"/>
          </w:tcPr>
          <w:p w14:paraId="5B81C9E2" w14:textId="77777777" w:rsidR="000450A4" w:rsidRPr="000E77D2" w:rsidRDefault="000450A4" w:rsidP="00BE6A13">
            <w:pPr>
              <w:rPr>
                <w:rFonts w:ascii="Times New Roman" w:hAnsi="Times New Roman"/>
                <w:b/>
                <w:sz w:val="22"/>
                <w:szCs w:val="22"/>
                <w:lang w:val="sr-Latn-ME"/>
              </w:rPr>
            </w:pPr>
            <w:r w:rsidRPr="000E77D2">
              <w:rPr>
                <w:rFonts w:ascii="Times New Roman" w:hAnsi="Times New Roman"/>
                <w:b/>
                <w:sz w:val="22"/>
                <w:szCs w:val="22"/>
                <w:lang w:val="sr-Latn-ME"/>
              </w:rPr>
              <w:t>Tamoksifen</w:t>
            </w:r>
          </w:p>
          <w:p w14:paraId="1D2AC81B" w14:textId="77777777" w:rsidR="000450A4" w:rsidRPr="000E77D2" w:rsidRDefault="000450A4" w:rsidP="00BE6A13">
            <w:pPr>
              <w:rPr>
                <w:rFonts w:ascii="Times New Roman" w:hAnsi="Times New Roman"/>
                <w:b/>
                <w:sz w:val="22"/>
                <w:szCs w:val="22"/>
                <w:lang w:val="sr-Latn-ME"/>
              </w:rPr>
            </w:pPr>
          </w:p>
          <w:p w14:paraId="0D4B87F5" w14:textId="73117732" w:rsidR="000450A4" w:rsidRPr="000E77D2" w:rsidRDefault="000450A4" w:rsidP="00BE6A13">
            <w:pPr>
              <w:rPr>
                <w:rFonts w:ascii="Times New Roman" w:hAnsi="Times New Roman"/>
                <w:b/>
                <w:sz w:val="22"/>
                <w:szCs w:val="22"/>
                <w:lang w:val="sr-Latn-ME"/>
              </w:rPr>
            </w:pPr>
            <w:r w:rsidRPr="000E77D2">
              <w:rPr>
                <w:rFonts w:ascii="Times New Roman" w:hAnsi="Times New Roman"/>
                <w:b/>
                <w:sz w:val="22"/>
                <w:szCs w:val="22"/>
                <w:lang w:val="sr-Latn-ME"/>
              </w:rPr>
              <w:t>Broj/Ukupan broj - N (%)</w:t>
            </w:r>
          </w:p>
        </w:tc>
        <w:tc>
          <w:tcPr>
            <w:tcW w:w="1138" w:type="pct"/>
          </w:tcPr>
          <w:p w14:paraId="25AB74CF" w14:textId="77777777" w:rsidR="000450A4" w:rsidRPr="000E77D2" w:rsidRDefault="000450A4" w:rsidP="00BE6A13">
            <w:pPr>
              <w:rPr>
                <w:rFonts w:ascii="Times New Roman" w:hAnsi="Times New Roman"/>
                <w:b/>
                <w:sz w:val="22"/>
                <w:szCs w:val="22"/>
                <w:lang w:val="sr-Latn-ME"/>
              </w:rPr>
            </w:pPr>
            <w:r w:rsidRPr="000E77D2">
              <w:rPr>
                <w:rFonts w:ascii="Times New Roman" w:hAnsi="Times New Roman"/>
                <w:b/>
                <w:sz w:val="22"/>
                <w:szCs w:val="22"/>
                <w:lang w:val="sr-Latn-ME"/>
              </w:rPr>
              <w:t>Odnos rizika</w:t>
            </w:r>
          </w:p>
          <w:p w14:paraId="3DACE285" w14:textId="77777777" w:rsidR="000450A4" w:rsidRPr="000E77D2" w:rsidRDefault="000450A4" w:rsidP="00BE6A13">
            <w:pPr>
              <w:rPr>
                <w:rFonts w:ascii="Times New Roman" w:hAnsi="Times New Roman"/>
                <w:b/>
                <w:sz w:val="22"/>
                <w:szCs w:val="22"/>
                <w:lang w:val="sr-Latn-ME"/>
              </w:rPr>
            </w:pPr>
          </w:p>
          <w:p w14:paraId="2C7AE06F" w14:textId="77777777" w:rsidR="000450A4" w:rsidRPr="000E77D2" w:rsidRDefault="000450A4" w:rsidP="00BE6A13">
            <w:pPr>
              <w:rPr>
                <w:rFonts w:ascii="Times New Roman" w:hAnsi="Times New Roman"/>
                <w:b/>
                <w:sz w:val="22"/>
                <w:szCs w:val="22"/>
                <w:lang w:val="sr-Latn-ME"/>
              </w:rPr>
            </w:pPr>
            <w:r w:rsidRPr="000E77D2">
              <w:rPr>
                <w:rFonts w:ascii="Times New Roman" w:hAnsi="Times New Roman"/>
                <w:b/>
                <w:sz w:val="22"/>
                <w:szCs w:val="22"/>
                <w:lang w:val="sr-Latn-ME"/>
              </w:rPr>
              <w:t>(interval pouzdanosti = 95% CI)</w:t>
            </w:r>
          </w:p>
        </w:tc>
        <w:tc>
          <w:tcPr>
            <w:tcW w:w="759" w:type="pct"/>
          </w:tcPr>
          <w:p w14:paraId="0100CD2F" w14:textId="77777777" w:rsidR="000450A4" w:rsidRPr="000E77D2" w:rsidRDefault="000450A4" w:rsidP="00BE6A13">
            <w:pPr>
              <w:rPr>
                <w:rFonts w:ascii="Times New Roman" w:hAnsi="Times New Roman"/>
                <w:b/>
                <w:sz w:val="22"/>
                <w:szCs w:val="22"/>
                <w:lang w:val="sr-Latn-ME"/>
              </w:rPr>
            </w:pPr>
          </w:p>
          <w:p w14:paraId="16CC22CC" w14:textId="77777777" w:rsidR="000450A4" w:rsidRPr="000E77D2" w:rsidRDefault="000450A4" w:rsidP="00BE6A13">
            <w:pPr>
              <w:rPr>
                <w:rFonts w:ascii="Times New Roman" w:hAnsi="Times New Roman"/>
                <w:b/>
                <w:sz w:val="22"/>
                <w:szCs w:val="22"/>
                <w:lang w:val="sr-Latn-ME"/>
              </w:rPr>
            </w:pPr>
          </w:p>
          <w:p w14:paraId="305FB1B8" w14:textId="0EB5294A" w:rsidR="000450A4" w:rsidRPr="000E77D2" w:rsidRDefault="000450A4" w:rsidP="00BE6A13">
            <w:pPr>
              <w:rPr>
                <w:rFonts w:ascii="Times New Roman" w:hAnsi="Times New Roman"/>
                <w:b/>
                <w:sz w:val="22"/>
                <w:szCs w:val="22"/>
                <w:lang w:val="sr-Latn-ME"/>
              </w:rPr>
            </w:pPr>
            <w:r w:rsidRPr="000E77D2">
              <w:rPr>
                <w:rFonts w:ascii="Times New Roman" w:hAnsi="Times New Roman"/>
                <w:b/>
                <w:sz w:val="22"/>
                <w:szCs w:val="22"/>
                <w:lang w:val="sr-Latn-ME"/>
              </w:rPr>
              <w:t>p-vr</w:t>
            </w:r>
            <w:r w:rsidR="00184D1F" w:rsidRPr="000E77D2">
              <w:rPr>
                <w:rFonts w:ascii="Times New Roman" w:hAnsi="Times New Roman"/>
                <w:b/>
                <w:sz w:val="22"/>
                <w:szCs w:val="22"/>
                <w:lang w:val="sr-Latn-ME"/>
              </w:rPr>
              <w:t>ij</w:t>
            </w:r>
            <w:r w:rsidRPr="000E77D2">
              <w:rPr>
                <w:rFonts w:ascii="Times New Roman" w:hAnsi="Times New Roman"/>
                <w:b/>
                <w:sz w:val="22"/>
                <w:szCs w:val="22"/>
                <w:lang w:val="sr-Latn-ME"/>
              </w:rPr>
              <w:t>ednost</w:t>
            </w:r>
            <w:r w:rsidRPr="000E77D2">
              <w:rPr>
                <w:rFonts w:ascii="Times New Roman" w:hAnsi="Times New Roman"/>
                <w:b/>
                <w:sz w:val="22"/>
                <w:szCs w:val="22"/>
                <w:vertAlign w:val="superscript"/>
                <w:lang w:val="sr-Latn-ME"/>
              </w:rPr>
              <w:t>*</w:t>
            </w:r>
          </w:p>
        </w:tc>
      </w:tr>
      <w:tr w:rsidR="005872E2" w:rsidRPr="000E77D2" w14:paraId="7DD54DB6" w14:textId="77777777" w:rsidTr="00184D1F">
        <w:tc>
          <w:tcPr>
            <w:tcW w:w="1110" w:type="pct"/>
          </w:tcPr>
          <w:p w14:paraId="28EDED57" w14:textId="77777777" w:rsidR="000450A4" w:rsidRPr="000E77D2" w:rsidRDefault="000450A4" w:rsidP="00BE6A13">
            <w:pPr>
              <w:rPr>
                <w:rFonts w:ascii="Times New Roman" w:hAnsi="Times New Roman"/>
                <w:b/>
                <w:sz w:val="22"/>
                <w:szCs w:val="22"/>
                <w:lang w:val="sr-Latn-ME"/>
              </w:rPr>
            </w:pPr>
            <w:r w:rsidRPr="000E77D2">
              <w:rPr>
                <w:rFonts w:ascii="Times New Roman" w:hAnsi="Times New Roman"/>
                <w:b/>
                <w:sz w:val="22"/>
                <w:szCs w:val="22"/>
                <w:lang w:val="sr-Latn-ME"/>
              </w:rPr>
              <w:t>Preživljavanje bez znakova bolesti</w:t>
            </w:r>
            <w:r w:rsidRPr="000E77D2">
              <w:rPr>
                <w:rFonts w:ascii="Times New Roman" w:hAnsi="Times New Roman"/>
                <w:b/>
                <w:sz w:val="22"/>
                <w:szCs w:val="22"/>
                <w:vertAlign w:val="superscript"/>
                <w:lang w:val="sr-Latn-ME"/>
              </w:rPr>
              <w:t>a</w:t>
            </w:r>
          </w:p>
          <w:p w14:paraId="4AB6D8DA" w14:textId="77777777" w:rsidR="000450A4" w:rsidRPr="000E77D2" w:rsidRDefault="000450A4" w:rsidP="00BE6A13">
            <w:pPr>
              <w:rPr>
                <w:rFonts w:ascii="Times New Roman" w:hAnsi="Times New Roman"/>
                <w:sz w:val="22"/>
                <w:szCs w:val="22"/>
                <w:lang w:val="sr-Latn-ME"/>
              </w:rPr>
            </w:pPr>
          </w:p>
          <w:p w14:paraId="63AA1084"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Sve pacijentkinje</w:t>
            </w:r>
          </w:p>
          <w:p w14:paraId="0E487252"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Pacijentkinje sa ER+</w:t>
            </w:r>
          </w:p>
        </w:tc>
        <w:tc>
          <w:tcPr>
            <w:tcW w:w="1009" w:type="pct"/>
          </w:tcPr>
          <w:p w14:paraId="0C566984" w14:textId="77777777" w:rsidR="000450A4" w:rsidRPr="000E77D2" w:rsidRDefault="000450A4" w:rsidP="00BE6A13">
            <w:pPr>
              <w:rPr>
                <w:rFonts w:ascii="Times New Roman" w:hAnsi="Times New Roman"/>
                <w:sz w:val="22"/>
                <w:szCs w:val="22"/>
                <w:lang w:val="sr-Latn-ME"/>
              </w:rPr>
            </w:pPr>
          </w:p>
          <w:p w14:paraId="6A1AA97E" w14:textId="77777777" w:rsidR="000450A4" w:rsidRPr="000E77D2" w:rsidRDefault="000450A4" w:rsidP="00BE6A13">
            <w:pPr>
              <w:rPr>
                <w:rFonts w:ascii="Times New Roman" w:hAnsi="Times New Roman"/>
                <w:sz w:val="22"/>
                <w:szCs w:val="22"/>
                <w:lang w:val="sr-Latn-ME"/>
              </w:rPr>
            </w:pPr>
          </w:p>
          <w:p w14:paraId="1BE53DFD" w14:textId="77777777" w:rsidR="000450A4" w:rsidRPr="000E77D2" w:rsidRDefault="000450A4" w:rsidP="00BE6A13">
            <w:pPr>
              <w:rPr>
                <w:rFonts w:ascii="Times New Roman" w:hAnsi="Times New Roman"/>
                <w:sz w:val="22"/>
                <w:szCs w:val="22"/>
                <w:lang w:val="sr-Latn-ME"/>
              </w:rPr>
            </w:pPr>
          </w:p>
          <w:p w14:paraId="4487C603"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b/>
                <w:sz w:val="22"/>
                <w:szCs w:val="22"/>
                <w:lang w:val="sr-Latn-ME"/>
              </w:rPr>
              <w:t>354</w:t>
            </w:r>
            <w:r w:rsidRPr="000E77D2">
              <w:rPr>
                <w:rFonts w:ascii="Times New Roman" w:hAnsi="Times New Roman"/>
                <w:sz w:val="22"/>
                <w:szCs w:val="22"/>
                <w:lang w:val="sr-Latn-ME"/>
              </w:rPr>
              <w:t>/2352 (15,1%)</w:t>
            </w:r>
          </w:p>
          <w:p w14:paraId="27C43649"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b/>
                <w:sz w:val="22"/>
                <w:szCs w:val="22"/>
                <w:lang w:val="sr-Latn-ME"/>
              </w:rPr>
              <w:t>289</w:t>
            </w:r>
            <w:r w:rsidRPr="000E77D2">
              <w:rPr>
                <w:rFonts w:ascii="Times New Roman" w:hAnsi="Times New Roman"/>
                <w:sz w:val="22"/>
                <w:szCs w:val="22"/>
                <w:lang w:val="sr-Latn-ME"/>
              </w:rPr>
              <w:t>/2023 (14,3%)</w:t>
            </w:r>
          </w:p>
        </w:tc>
        <w:tc>
          <w:tcPr>
            <w:tcW w:w="984" w:type="pct"/>
          </w:tcPr>
          <w:p w14:paraId="2D635627" w14:textId="77777777" w:rsidR="000450A4" w:rsidRPr="000E77D2" w:rsidRDefault="000450A4" w:rsidP="00BE6A13">
            <w:pPr>
              <w:rPr>
                <w:rFonts w:ascii="Times New Roman" w:hAnsi="Times New Roman"/>
                <w:sz w:val="22"/>
                <w:szCs w:val="22"/>
                <w:lang w:val="sr-Latn-ME"/>
              </w:rPr>
            </w:pPr>
          </w:p>
          <w:p w14:paraId="56ECE285" w14:textId="77777777" w:rsidR="000450A4" w:rsidRPr="000E77D2" w:rsidRDefault="000450A4" w:rsidP="00BE6A13">
            <w:pPr>
              <w:rPr>
                <w:rFonts w:ascii="Times New Roman" w:hAnsi="Times New Roman"/>
                <w:sz w:val="22"/>
                <w:szCs w:val="22"/>
                <w:lang w:val="sr-Latn-ME"/>
              </w:rPr>
            </w:pPr>
          </w:p>
          <w:p w14:paraId="58BAE5AD" w14:textId="77777777" w:rsidR="000450A4" w:rsidRPr="000E77D2" w:rsidRDefault="000450A4" w:rsidP="00BE6A13">
            <w:pPr>
              <w:rPr>
                <w:rFonts w:ascii="Times New Roman" w:hAnsi="Times New Roman"/>
                <w:sz w:val="22"/>
                <w:szCs w:val="22"/>
                <w:lang w:val="sr-Latn-ME"/>
              </w:rPr>
            </w:pPr>
          </w:p>
          <w:p w14:paraId="150A0421"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b/>
                <w:sz w:val="22"/>
                <w:szCs w:val="22"/>
                <w:lang w:val="sr-Latn-ME"/>
              </w:rPr>
              <w:t>453</w:t>
            </w:r>
            <w:r w:rsidRPr="000E77D2">
              <w:rPr>
                <w:rFonts w:ascii="Times New Roman" w:hAnsi="Times New Roman"/>
                <w:sz w:val="22"/>
                <w:szCs w:val="22"/>
                <w:lang w:val="sr-Latn-ME"/>
              </w:rPr>
              <w:t>/2372 (19,1%)</w:t>
            </w:r>
          </w:p>
          <w:p w14:paraId="3C4D1724"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b/>
                <w:sz w:val="22"/>
                <w:szCs w:val="22"/>
                <w:lang w:val="sr-Latn-ME"/>
              </w:rPr>
              <w:t>370</w:t>
            </w:r>
            <w:r w:rsidRPr="000E77D2">
              <w:rPr>
                <w:rFonts w:ascii="Times New Roman" w:hAnsi="Times New Roman"/>
                <w:sz w:val="22"/>
                <w:szCs w:val="22"/>
                <w:lang w:val="sr-Latn-ME"/>
              </w:rPr>
              <w:t>/2021 (18,3%)</w:t>
            </w:r>
          </w:p>
        </w:tc>
        <w:tc>
          <w:tcPr>
            <w:tcW w:w="1138" w:type="pct"/>
          </w:tcPr>
          <w:p w14:paraId="747D9FE9" w14:textId="77777777" w:rsidR="000450A4" w:rsidRPr="000E77D2" w:rsidRDefault="000450A4" w:rsidP="00BE6A13">
            <w:pPr>
              <w:rPr>
                <w:rFonts w:ascii="Times New Roman" w:hAnsi="Times New Roman"/>
                <w:sz w:val="22"/>
                <w:szCs w:val="22"/>
                <w:lang w:val="sr-Latn-ME"/>
              </w:rPr>
            </w:pPr>
          </w:p>
          <w:p w14:paraId="126C93B3" w14:textId="77777777" w:rsidR="000450A4" w:rsidRPr="000E77D2" w:rsidRDefault="000450A4" w:rsidP="00BE6A13">
            <w:pPr>
              <w:rPr>
                <w:rFonts w:ascii="Times New Roman" w:hAnsi="Times New Roman"/>
                <w:sz w:val="22"/>
                <w:szCs w:val="22"/>
                <w:lang w:val="sr-Latn-ME"/>
              </w:rPr>
            </w:pPr>
          </w:p>
          <w:p w14:paraId="6A6AFCA3" w14:textId="77777777" w:rsidR="000450A4" w:rsidRPr="000E77D2" w:rsidRDefault="000450A4" w:rsidP="00BE6A13">
            <w:pPr>
              <w:rPr>
                <w:rFonts w:ascii="Times New Roman" w:hAnsi="Times New Roman"/>
                <w:sz w:val="22"/>
                <w:szCs w:val="22"/>
                <w:lang w:val="sr-Latn-ME"/>
              </w:rPr>
            </w:pPr>
          </w:p>
          <w:p w14:paraId="256AE56A"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0,76 (0,67-0,88)</w:t>
            </w:r>
          </w:p>
          <w:p w14:paraId="10EFD213"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0,75 (0,65-0,88)</w:t>
            </w:r>
          </w:p>
        </w:tc>
        <w:tc>
          <w:tcPr>
            <w:tcW w:w="759" w:type="pct"/>
          </w:tcPr>
          <w:p w14:paraId="5B5AF014" w14:textId="77777777" w:rsidR="000450A4" w:rsidRPr="000E77D2" w:rsidRDefault="000450A4" w:rsidP="00BE6A13">
            <w:pPr>
              <w:rPr>
                <w:rFonts w:ascii="Times New Roman" w:hAnsi="Times New Roman"/>
                <w:sz w:val="22"/>
                <w:szCs w:val="22"/>
                <w:lang w:val="sr-Latn-ME"/>
              </w:rPr>
            </w:pPr>
          </w:p>
          <w:p w14:paraId="4AB90C8D" w14:textId="77777777" w:rsidR="000450A4" w:rsidRPr="000E77D2" w:rsidRDefault="000450A4" w:rsidP="00BE6A13">
            <w:pPr>
              <w:rPr>
                <w:rFonts w:ascii="Times New Roman" w:hAnsi="Times New Roman"/>
                <w:sz w:val="22"/>
                <w:szCs w:val="22"/>
                <w:lang w:val="sr-Latn-ME"/>
              </w:rPr>
            </w:pPr>
          </w:p>
          <w:p w14:paraId="38235C88" w14:textId="77777777" w:rsidR="000450A4" w:rsidRPr="000E77D2" w:rsidRDefault="000450A4" w:rsidP="00BE6A13">
            <w:pPr>
              <w:rPr>
                <w:rFonts w:ascii="Times New Roman" w:hAnsi="Times New Roman"/>
                <w:sz w:val="22"/>
                <w:szCs w:val="22"/>
                <w:lang w:val="sr-Latn-ME"/>
              </w:rPr>
            </w:pPr>
          </w:p>
          <w:p w14:paraId="3FA1A90B"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0,00015</w:t>
            </w:r>
          </w:p>
          <w:p w14:paraId="37DEEA75"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0,00030</w:t>
            </w:r>
          </w:p>
        </w:tc>
      </w:tr>
      <w:tr w:rsidR="005872E2" w:rsidRPr="000E77D2" w14:paraId="6F2EEF48" w14:textId="77777777" w:rsidTr="00184D1F">
        <w:tc>
          <w:tcPr>
            <w:tcW w:w="1110" w:type="pct"/>
          </w:tcPr>
          <w:p w14:paraId="7B133CB2" w14:textId="7E4E90E1" w:rsidR="000450A4" w:rsidRPr="000E77D2" w:rsidRDefault="000450A4" w:rsidP="00BE6A13">
            <w:pPr>
              <w:rPr>
                <w:rFonts w:ascii="Times New Roman" w:hAnsi="Times New Roman"/>
                <w:b/>
                <w:sz w:val="22"/>
                <w:szCs w:val="22"/>
                <w:lang w:val="sr-Latn-ME"/>
              </w:rPr>
            </w:pPr>
            <w:r w:rsidRPr="000E77D2">
              <w:rPr>
                <w:rFonts w:ascii="Times New Roman" w:hAnsi="Times New Roman"/>
                <w:b/>
                <w:sz w:val="22"/>
                <w:szCs w:val="22"/>
                <w:lang w:val="sr-Latn-ME"/>
              </w:rPr>
              <w:t>Kontralateralni karcinom dojke</w:t>
            </w:r>
          </w:p>
          <w:p w14:paraId="2C0C62FD" w14:textId="77777777" w:rsidR="000450A4" w:rsidRPr="000E77D2" w:rsidRDefault="000450A4" w:rsidP="00BE6A13">
            <w:pPr>
              <w:rPr>
                <w:rFonts w:ascii="Times New Roman" w:hAnsi="Times New Roman"/>
                <w:sz w:val="22"/>
                <w:szCs w:val="22"/>
                <w:lang w:val="sr-Latn-ME"/>
              </w:rPr>
            </w:pPr>
          </w:p>
          <w:p w14:paraId="723E5428"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Sve pacijentkinje</w:t>
            </w:r>
          </w:p>
          <w:p w14:paraId="5C2F70F9" w14:textId="27191581"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Pacijentkinjesa ER+</w:t>
            </w:r>
          </w:p>
        </w:tc>
        <w:tc>
          <w:tcPr>
            <w:tcW w:w="1009" w:type="pct"/>
          </w:tcPr>
          <w:p w14:paraId="230DF69F" w14:textId="77777777" w:rsidR="000450A4" w:rsidRPr="000E77D2" w:rsidRDefault="000450A4" w:rsidP="00BE6A13">
            <w:pPr>
              <w:rPr>
                <w:rFonts w:ascii="Times New Roman" w:hAnsi="Times New Roman"/>
                <w:sz w:val="22"/>
                <w:szCs w:val="22"/>
                <w:lang w:val="sr-Latn-ME"/>
              </w:rPr>
            </w:pPr>
          </w:p>
          <w:p w14:paraId="69BAF665" w14:textId="77777777" w:rsidR="000450A4" w:rsidRPr="000E77D2" w:rsidRDefault="000450A4" w:rsidP="00BE6A13">
            <w:pPr>
              <w:rPr>
                <w:rFonts w:ascii="Times New Roman" w:hAnsi="Times New Roman"/>
                <w:sz w:val="22"/>
                <w:szCs w:val="22"/>
                <w:lang w:val="sr-Latn-ME"/>
              </w:rPr>
            </w:pPr>
          </w:p>
          <w:p w14:paraId="448B6937" w14:textId="77777777" w:rsidR="000450A4" w:rsidRPr="000E77D2" w:rsidRDefault="000450A4" w:rsidP="00BE6A13">
            <w:pPr>
              <w:rPr>
                <w:rFonts w:ascii="Times New Roman" w:hAnsi="Times New Roman"/>
                <w:sz w:val="22"/>
                <w:szCs w:val="22"/>
                <w:lang w:val="sr-Latn-ME"/>
              </w:rPr>
            </w:pPr>
          </w:p>
          <w:p w14:paraId="33504BBB"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b/>
                <w:sz w:val="22"/>
                <w:szCs w:val="22"/>
                <w:lang w:val="sr-Latn-ME"/>
              </w:rPr>
              <w:t>20</w:t>
            </w:r>
            <w:r w:rsidRPr="000E77D2">
              <w:rPr>
                <w:rFonts w:ascii="Times New Roman" w:hAnsi="Times New Roman"/>
                <w:sz w:val="22"/>
                <w:szCs w:val="22"/>
                <w:lang w:val="sr-Latn-ME"/>
              </w:rPr>
              <w:t>/2352 (0,9%)</w:t>
            </w:r>
          </w:p>
          <w:p w14:paraId="2A761C3A"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b/>
                <w:sz w:val="22"/>
                <w:szCs w:val="22"/>
                <w:lang w:val="sr-Latn-ME"/>
              </w:rPr>
              <w:t>18</w:t>
            </w:r>
            <w:r w:rsidRPr="000E77D2">
              <w:rPr>
                <w:rFonts w:ascii="Times New Roman" w:hAnsi="Times New Roman"/>
                <w:sz w:val="22"/>
                <w:szCs w:val="22"/>
                <w:lang w:val="sr-Latn-ME"/>
              </w:rPr>
              <w:t>/2023 (0,9%)</w:t>
            </w:r>
          </w:p>
        </w:tc>
        <w:tc>
          <w:tcPr>
            <w:tcW w:w="984" w:type="pct"/>
          </w:tcPr>
          <w:p w14:paraId="1025A800" w14:textId="77777777" w:rsidR="000450A4" w:rsidRPr="000E77D2" w:rsidRDefault="000450A4" w:rsidP="00BE6A13">
            <w:pPr>
              <w:rPr>
                <w:rFonts w:ascii="Times New Roman" w:hAnsi="Times New Roman"/>
                <w:sz w:val="22"/>
                <w:szCs w:val="22"/>
                <w:lang w:val="sr-Latn-ME"/>
              </w:rPr>
            </w:pPr>
          </w:p>
          <w:p w14:paraId="0FAAD40E" w14:textId="77777777" w:rsidR="000450A4" w:rsidRPr="000E77D2" w:rsidRDefault="000450A4" w:rsidP="00BE6A13">
            <w:pPr>
              <w:rPr>
                <w:rFonts w:ascii="Times New Roman" w:hAnsi="Times New Roman"/>
                <w:sz w:val="22"/>
                <w:szCs w:val="22"/>
                <w:lang w:val="sr-Latn-ME"/>
              </w:rPr>
            </w:pPr>
          </w:p>
          <w:p w14:paraId="2795DE93" w14:textId="77777777" w:rsidR="000450A4" w:rsidRPr="000E77D2" w:rsidRDefault="000450A4" w:rsidP="00BE6A13">
            <w:pPr>
              <w:rPr>
                <w:rFonts w:ascii="Times New Roman" w:hAnsi="Times New Roman"/>
                <w:sz w:val="22"/>
                <w:szCs w:val="22"/>
                <w:lang w:val="sr-Latn-ME"/>
              </w:rPr>
            </w:pPr>
          </w:p>
          <w:p w14:paraId="3B887DCD"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b/>
                <w:sz w:val="22"/>
                <w:szCs w:val="22"/>
                <w:lang w:val="sr-Latn-ME"/>
              </w:rPr>
              <w:t>35</w:t>
            </w:r>
            <w:r w:rsidRPr="000E77D2">
              <w:rPr>
                <w:rFonts w:ascii="Times New Roman" w:hAnsi="Times New Roman"/>
                <w:sz w:val="22"/>
                <w:szCs w:val="22"/>
                <w:lang w:val="sr-Latn-ME"/>
              </w:rPr>
              <w:t>/2372 (1,5%)</w:t>
            </w:r>
          </w:p>
          <w:p w14:paraId="7E4EF77D"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b/>
                <w:sz w:val="22"/>
                <w:szCs w:val="22"/>
                <w:lang w:val="sr-Latn-ME"/>
              </w:rPr>
              <w:t>33</w:t>
            </w:r>
            <w:r w:rsidRPr="000E77D2">
              <w:rPr>
                <w:rFonts w:ascii="Times New Roman" w:hAnsi="Times New Roman"/>
                <w:sz w:val="22"/>
                <w:szCs w:val="22"/>
                <w:lang w:val="sr-Latn-ME"/>
              </w:rPr>
              <w:t>/2021 (1,6%)</w:t>
            </w:r>
          </w:p>
        </w:tc>
        <w:tc>
          <w:tcPr>
            <w:tcW w:w="1138" w:type="pct"/>
          </w:tcPr>
          <w:p w14:paraId="36796455" w14:textId="77777777" w:rsidR="000450A4" w:rsidRPr="000E77D2" w:rsidRDefault="000450A4" w:rsidP="00BE6A13">
            <w:pPr>
              <w:rPr>
                <w:rFonts w:ascii="Times New Roman" w:hAnsi="Times New Roman"/>
                <w:sz w:val="22"/>
                <w:szCs w:val="22"/>
                <w:lang w:val="sr-Latn-ME"/>
              </w:rPr>
            </w:pPr>
          </w:p>
          <w:p w14:paraId="6A0AD656" w14:textId="77777777" w:rsidR="000450A4" w:rsidRPr="000E77D2" w:rsidRDefault="000450A4" w:rsidP="00BE6A13">
            <w:pPr>
              <w:rPr>
                <w:rFonts w:ascii="Times New Roman" w:hAnsi="Times New Roman"/>
                <w:sz w:val="22"/>
                <w:szCs w:val="22"/>
                <w:lang w:val="sr-Latn-ME"/>
              </w:rPr>
            </w:pPr>
          </w:p>
          <w:p w14:paraId="3CCD89B1" w14:textId="77777777" w:rsidR="000450A4" w:rsidRPr="000E77D2" w:rsidRDefault="000450A4" w:rsidP="00BE6A13">
            <w:pPr>
              <w:rPr>
                <w:rFonts w:ascii="Times New Roman" w:hAnsi="Times New Roman"/>
                <w:sz w:val="22"/>
                <w:szCs w:val="22"/>
                <w:lang w:val="sr-Latn-ME"/>
              </w:rPr>
            </w:pPr>
          </w:p>
          <w:p w14:paraId="34282D15"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0,57 (0,33-0,99)</w:t>
            </w:r>
          </w:p>
          <w:p w14:paraId="04565A0C"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0,54 (0,30-0,95)</w:t>
            </w:r>
          </w:p>
        </w:tc>
        <w:tc>
          <w:tcPr>
            <w:tcW w:w="759" w:type="pct"/>
          </w:tcPr>
          <w:p w14:paraId="7FC9228C" w14:textId="77777777" w:rsidR="000450A4" w:rsidRPr="000E77D2" w:rsidRDefault="000450A4" w:rsidP="00BE6A13">
            <w:pPr>
              <w:rPr>
                <w:rFonts w:ascii="Times New Roman" w:hAnsi="Times New Roman"/>
                <w:sz w:val="22"/>
                <w:szCs w:val="22"/>
                <w:lang w:val="sr-Latn-ME"/>
              </w:rPr>
            </w:pPr>
          </w:p>
          <w:p w14:paraId="623F4ACB" w14:textId="77777777" w:rsidR="000450A4" w:rsidRPr="000E77D2" w:rsidRDefault="000450A4" w:rsidP="00BE6A13">
            <w:pPr>
              <w:rPr>
                <w:rFonts w:ascii="Times New Roman" w:hAnsi="Times New Roman"/>
                <w:sz w:val="22"/>
                <w:szCs w:val="22"/>
                <w:lang w:val="sr-Latn-ME"/>
              </w:rPr>
            </w:pPr>
          </w:p>
          <w:p w14:paraId="31254A34" w14:textId="77777777" w:rsidR="000450A4" w:rsidRPr="000E77D2" w:rsidRDefault="000450A4" w:rsidP="00BE6A13">
            <w:pPr>
              <w:rPr>
                <w:rFonts w:ascii="Times New Roman" w:hAnsi="Times New Roman"/>
                <w:sz w:val="22"/>
                <w:szCs w:val="22"/>
                <w:lang w:val="sr-Latn-ME"/>
              </w:rPr>
            </w:pPr>
          </w:p>
          <w:p w14:paraId="7E9C7B69"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0,04158</w:t>
            </w:r>
          </w:p>
          <w:p w14:paraId="54377922"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0,03048</w:t>
            </w:r>
          </w:p>
        </w:tc>
      </w:tr>
      <w:tr w:rsidR="005872E2" w:rsidRPr="000E77D2" w14:paraId="378E69FB" w14:textId="77777777" w:rsidTr="00184D1F">
        <w:tc>
          <w:tcPr>
            <w:tcW w:w="1110" w:type="pct"/>
          </w:tcPr>
          <w:p w14:paraId="769E8681" w14:textId="77777777" w:rsidR="000450A4" w:rsidRPr="000E77D2" w:rsidRDefault="000450A4" w:rsidP="00BE6A13">
            <w:pPr>
              <w:rPr>
                <w:rFonts w:ascii="Times New Roman" w:hAnsi="Times New Roman"/>
                <w:b/>
                <w:sz w:val="22"/>
                <w:szCs w:val="22"/>
                <w:lang w:val="sr-Latn-ME"/>
              </w:rPr>
            </w:pPr>
            <w:r w:rsidRPr="000E77D2">
              <w:rPr>
                <w:rFonts w:ascii="Times New Roman" w:hAnsi="Times New Roman"/>
                <w:b/>
                <w:sz w:val="22"/>
                <w:szCs w:val="22"/>
                <w:lang w:val="sr-Latn-ME"/>
              </w:rPr>
              <w:lastRenderedPageBreak/>
              <w:t>Preživljavanje bez karcinoma dojke</w:t>
            </w:r>
            <w:r w:rsidRPr="000E77D2">
              <w:rPr>
                <w:rFonts w:ascii="Times New Roman" w:hAnsi="Times New Roman"/>
                <w:b/>
                <w:sz w:val="22"/>
                <w:szCs w:val="22"/>
                <w:vertAlign w:val="superscript"/>
                <w:lang w:val="sr-Latn-ME"/>
              </w:rPr>
              <w:t>b</w:t>
            </w:r>
          </w:p>
          <w:p w14:paraId="3A9AEB8A" w14:textId="77777777" w:rsidR="000450A4" w:rsidRPr="000E77D2" w:rsidRDefault="000450A4" w:rsidP="00BE6A13">
            <w:pPr>
              <w:rPr>
                <w:rFonts w:ascii="Times New Roman" w:hAnsi="Times New Roman"/>
                <w:sz w:val="22"/>
                <w:szCs w:val="22"/>
                <w:lang w:val="sr-Latn-ME"/>
              </w:rPr>
            </w:pPr>
          </w:p>
          <w:p w14:paraId="644ADD87"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Sve pacijentkinje</w:t>
            </w:r>
          </w:p>
          <w:p w14:paraId="2721806D"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Pacijentkinje sa ER+</w:t>
            </w:r>
          </w:p>
        </w:tc>
        <w:tc>
          <w:tcPr>
            <w:tcW w:w="1009" w:type="pct"/>
          </w:tcPr>
          <w:p w14:paraId="4B489D27" w14:textId="77777777" w:rsidR="000450A4" w:rsidRPr="000E77D2" w:rsidRDefault="000450A4" w:rsidP="00BE6A13">
            <w:pPr>
              <w:rPr>
                <w:rFonts w:ascii="Times New Roman" w:hAnsi="Times New Roman"/>
                <w:sz w:val="22"/>
                <w:szCs w:val="22"/>
                <w:lang w:val="sr-Latn-ME"/>
              </w:rPr>
            </w:pPr>
          </w:p>
          <w:p w14:paraId="3BC1CCEA" w14:textId="77777777" w:rsidR="000450A4" w:rsidRPr="000E77D2" w:rsidRDefault="000450A4" w:rsidP="00BE6A13">
            <w:pPr>
              <w:rPr>
                <w:rFonts w:ascii="Times New Roman" w:hAnsi="Times New Roman"/>
                <w:sz w:val="22"/>
                <w:szCs w:val="22"/>
                <w:lang w:val="sr-Latn-ME"/>
              </w:rPr>
            </w:pPr>
          </w:p>
          <w:p w14:paraId="14DF0E7E" w14:textId="77777777" w:rsidR="000450A4" w:rsidRPr="000E77D2" w:rsidRDefault="000450A4" w:rsidP="00BE6A13">
            <w:pPr>
              <w:rPr>
                <w:rFonts w:ascii="Times New Roman" w:hAnsi="Times New Roman"/>
                <w:sz w:val="22"/>
                <w:szCs w:val="22"/>
                <w:lang w:val="sr-Latn-ME"/>
              </w:rPr>
            </w:pPr>
          </w:p>
          <w:p w14:paraId="4C3BB750"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b/>
                <w:sz w:val="22"/>
                <w:szCs w:val="22"/>
                <w:lang w:val="sr-Latn-ME"/>
              </w:rPr>
              <w:t>289</w:t>
            </w:r>
            <w:r w:rsidRPr="000E77D2">
              <w:rPr>
                <w:rFonts w:ascii="Times New Roman" w:hAnsi="Times New Roman"/>
                <w:sz w:val="22"/>
                <w:szCs w:val="22"/>
                <w:lang w:val="sr-Latn-ME"/>
              </w:rPr>
              <w:t>/2352 (12,3%)</w:t>
            </w:r>
          </w:p>
          <w:p w14:paraId="29F4531A"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b/>
                <w:sz w:val="22"/>
                <w:szCs w:val="22"/>
                <w:lang w:val="sr-Latn-ME"/>
              </w:rPr>
              <w:t>232</w:t>
            </w:r>
            <w:r w:rsidRPr="000E77D2">
              <w:rPr>
                <w:rFonts w:ascii="Times New Roman" w:hAnsi="Times New Roman"/>
                <w:sz w:val="22"/>
                <w:szCs w:val="22"/>
                <w:lang w:val="sr-Latn-ME"/>
              </w:rPr>
              <w:t>/2023 (11,5%)</w:t>
            </w:r>
          </w:p>
        </w:tc>
        <w:tc>
          <w:tcPr>
            <w:tcW w:w="984" w:type="pct"/>
          </w:tcPr>
          <w:p w14:paraId="1D24DA86" w14:textId="77777777" w:rsidR="000450A4" w:rsidRPr="000E77D2" w:rsidRDefault="000450A4" w:rsidP="00BE6A13">
            <w:pPr>
              <w:rPr>
                <w:rFonts w:ascii="Times New Roman" w:hAnsi="Times New Roman"/>
                <w:sz w:val="22"/>
                <w:szCs w:val="22"/>
                <w:lang w:val="sr-Latn-ME"/>
              </w:rPr>
            </w:pPr>
          </w:p>
          <w:p w14:paraId="29E0047F" w14:textId="77777777" w:rsidR="000450A4" w:rsidRPr="000E77D2" w:rsidRDefault="000450A4" w:rsidP="00BE6A13">
            <w:pPr>
              <w:rPr>
                <w:rFonts w:ascii="Times New Roman" w:hAnsi="Times New Roman"/>
                <w:sz w:val="22"/>
                <w:szCs w:val="22"/>
                <w:lang w:val="sr-Latn-ME"/>
              </w:rPr>
            </w:pPr>
          </w:p>
          <w:p w14:paraId="1219505C" w14:textId="77777777" w:rsidR="000450A4" w:rsidRPr="000E77D2" w:rsidRDefault="000450A4" w:rsidP="00BE6A13">
            <w:pPr>
              <w:rPr>
                <w:rFonts w:ascii="Times New Roman" w:hAnsi="Times New Roman"/>
                <w:sz w:val="22"/>
                <w:szCs w:val="22"/>
                <w:lang w:val="sr-Latn-ME"/>
              </w:rPr>
            </w:pPr>
          </w:p>
          <w:p w14:paraId="702C9330"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b/>
                <w:sz w:val="22"/>
                <w:szCs w:val="22"/>
                <w:lang w:val="sr-Latn-ME"/>
              </w:rPr>
              <w:t>373</w:t>
            </w:r>
            <w:r w:rsidRPr="000E77D2">
              <w:rPr>
                <w:rFonts w:ascii="Times New Roman" w:hAnsi="Times New Roman"/>
                <w:sz w:val="22"/>
                <w:szCs w:val="22"/>
                <w:lang w:val="sr-Latn-ME"/>
              </w:rPr>
              <w:t>/2372 (15,7%)</w:t>
            </w:r>
          </w:p>
          <w:p w14:paraId="79179A5C"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b/>
                <w:sz w:val="22"/>
                <w:szCs w:val="22"/>
                <w:lang w:val="sr-Latn-ME"/>
              </w:rPr>
              <w:t>305</w:t>
            </w:r>
            <w:r w:rsidRPr="000E77D2">
              <w:rPr>
                <w:rFonts w:ascii="Times New Roman" w:hAnsi="Times New Roman"/>
                <w:sz w:val="22"/>
                <w:szCs w:val="22"/>
                <w:lang w:val="sr-Latn-ME"/>
              </w:rPr>
              <w:t>/2021 (15,1%)</w:t>
            </w:r>
          </w:p>
        </w:tc>
        <w:tc>
          <w:tcPr>
            <w:tcW w:w="1138" w:type="pct"/>
          </w:tcPr>
          <w:p w14:paraId="1989BA47" w14:textId="77777777" w:rsidR="000450A4" w:rsidRPr="000E77D2" w:rsidRDefault="000450A4" w:rsidP="00BE6A13">
            <w:pPr>
              <w:rPr>
                <w:rFonts w:ascii="Times New Roman" w:hAnsi="Times New Roman"/>
                <w:sz w:val="22"/>
                <w:szCs w:val="22"/>
                <w:lang w:val="sr-Latn-ME"/>
              </w:rPr>
            </w:pPr>
          </w:p>
          <w:p w14:paraId="53BBFD33" w14:textId="77777777" w:rsidR="000450A4" w:rsidRPr="000E77D2" w:rsidRDefault="000450A4" w:rsidP="00BE6A13">
            <w:pPr>
              <w:rPr>
                <w:rFonts w:ascii="Times New Roman" w:hAnsi="Times New Roman"/>
                <w:sz w:val="22"/>
                <w:szCs w:val="22"/>
                <w:lang w:val="sr-Latn-ME"/>
              </w:rPr>
            </w:pPr>
          </w:p>
          <w:p w14:paraId="6DED6B56" w14:textId="77777777" w:rsidR="000450A4" w:rsidRPr="000E77D2" w:rsidRDefault="000450A4" w:rsidP="00BE6A13">
            <w:pPr>
              <w:rPr>
                <w:rFonts w:ascii="Times New Roman" w:hAnsi="Times New Roman"/>
                <w:sz w:val="22"/>
                <w:szCs w:val="22"/>
                <w:lang w:val="sr-Latn-ME"/>
              </w:rPr>
            </w:pPr>
          </w:p>
          <w:p w14:paraId="483BABF7"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0,76 (0,65-0,89)</w:t>
            </w:r>
          </w:p>
          <w:p w14:paraId="344107F6"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0,73 (0,62-0,87)</w:t>
            </w:r>
          </w:p>
        </w:tc>
        <w:tc>
          <w:tcPr>
            <w:tcW w:w="759" w:type="pct"/>
          </w:tcPr>
          <w:p w14:paraId="3DDB2B0E" w14:textId="77777777" w:rsidR="000450A4" w:rsidRPr="000E77D2" w:rsidRDefault="000450A4" w:rsidP="00BE6A13">
            <w:pPr>
              <w:rPr>
                <w:rFonts w:ascii="Times New Roman" w:hAnsi="Times New Roman"/>
                <w:sz w:val="22"/>
                <w:szCs w:val="22"/>
                <w:lang w:val="sr-Latn-ME"/>
              </w:rPr>
            </w:pPr>
          </w:p>
          <w:p w14:paraId="1C0F84E4" w14:textId="77777777" w:rsidR="000450A4" w:rsidRPr="000E77D2" w:rsidRDefault="000450A4" w:rsidP="00BE6A13">
            <w:pPr>
              <w:rPr>
                <w:rFonts w:ascii="Times New Roman" w:hAnsi="Times New Roman"/>
                <w:sz w:val="22"/>
                <w:szCs w:val="22"/>
                <w:lang w:val="sr-Latn-ME"/>
              </w:rPr>
            </w:pPr>
          </w:p>
          <w:p w14:paraId="1A69D946" w14:textId="77777777" w:rsidR="000450A4" w:rsidRPr="000E77D2" w:rsidRDefault="000450A4" w:rsidP="00BE6A13">
            <w:pPr>
              <w:rPr>
                <w:rFonts w:ascii="Times New Roman" w:hAnsi="Times New Roman"/>
                <w:sz w:val="22"/>
                <w:szCs w:val="22"/>
                <w:lang w:val="sr-Latn-ME"/>
              </w:rPr>
            </w:pPr>
          </w:p>
          <w:p w14:paraId="69C11FFA"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0,00041</w:t>
            </w:r>
          </w:p>
          <w:p w14:paraId="30F4B9F3"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0,00038</w:t>
            </w:r>
          </w:p>
        </w:tc>
      </w:tr>
      <w:tr w:rsidR="005872E2" w:rsidRPr="000E77D2" w14:paraId="6A71CB9D" w14:textId="77777777" w:rsidTr="00184D1F">
        <w:tc>
          <w:tcPr>
            <w:tcW w:w="1110" w:type="pct"/>
          </w:tcPr>
          <w:p w14:paraId="6D849FB1" w14:textId="77777777" w:rsidR="000450A4" w:rsidRPr="000E77D2" w:rsidRDefault="000450A4" w:rsidP="00BE6A13">
            <w:pPr>
              <w:keepNext/>
              <w:rPr>
                <w:rFonts w:ascii="Times New Roman" w:hAnsi="Times New Roman"/>
                <w:b/>
                <w:sz w:val="22"/>
                <w:szCs w:val="22"/>
                <w:lang w:val="sr-Latn-ME"/>
              </w:rPr>
            </w:pPr>
            <w:r w:rsidRPr="000E77D2">
              <w:rPr>
                <w:rFonts w:ascii="Times New Roman" w:hAnsi="Times New Roman"/>
                <w:b/>
                <w:sz w:val="22"/>
                <w:szCs w:val="22"/>
                <w:lang w:val="sr-Latn-ME"/>
              </w:rPr>
              <w:t>Preživljavanje bez udaljenih metastaza</w:t>
            </w:r>
            <w:r w:rsidRPr="000E77D2">
              <w:rPr>
                <w:rFonts w:ascii="Times New Roman" w:hAnsi="Times New Roman"/>
                <w:b/>
                <w:sz w:val="22"/>
                <w:szCs w:val="22"/>
                <w:vertAlign w:val="superscript"/>
                <w:lang w:val="sr-Latn-ME"/>
              </w:rPr>
              <w:t>c</w:t>
            </w:r>
          </w:p>
          <w:p w14:paraId="13EF3D85" w14:textId="77777777" w:rsidR="000450A4" w:rsidRPr="000E77D2" w:rsidRDefault="000450A4" w:rsidP="00BE6A13">
            <w:pPr>
              <w:keepNext/>
              <w:rPr>
                <w:rFonts w:ascii="Times New Roman" w:hAnsi="Times New Roman"/>
                <w:sz w:val="22"/>
                <w:szCs w:val="22"/>
                <w:lang w:val="sr-Latn-ME"/>
              </w:rPr>
            </w:pPr>
          </w:p>
          <w:p w14:paraId="5C17C04D" w14:textId="77777777" w:rsidR="000450A4" w:rsidRPr="000E77D2" w:rsidRDefault="000450A4" w:rsidP="00BE6A13">
            <w:pPr>
              <w:keepNext/>
              <w:rPr>
                <w:rFonts w:ascii="Times New Roman" w:hAnsi="Times New Roman"/>
                <w:sz w:val="22"/>
                <w:szCs w:val="22"/>
                <w:lang w:val="sr-Latn-ME"/>
              </w:rPr>
            </w:pPr>
            <w:r w:rsidRPr="000E77D2">
              <w:rPr>
                <w:rFonts w:ascii="Times New Roman" w:hAnsi="Times New Roman"/>
                <w:sz w:val="22"/>
                <w:szCs w:val="22"/>
                <w:lang w:val="sr-Latn-ME"/>
              </w:rPr>
              <w:t>Sve pacijentkinje</w:t>
            </w:r>
          </w:p>
          <w:p w14:paraId="16393187" w14:textId="77777777" w:rsidR="000450A4" w:rsidRPr="000E77D2" w:rsidRDefault="000450A4" w:rsidP="00BE6A13">
            <w:pPr>
              <w:keepNext/>
              <w:rPr>
                <w:rFonts w:ascii="Times New Roman" w:hAnsi="Times New Roman"/>
                <w:sz w:val="22"/>
                <w:szCs w:val="22"/>
                <w:lang w:val="sr-Latn-ME"/>
              </w:rPr>
            </w:pPr>
            <w:r w:rsidRPr="000E77D2">
              <w:rPr>
                <w:rFonts w:ascii="Times New Roman" w:hAnsi="Times New Roman"/>
                <w:sz w:val="22"/>
                <w:szCs w:val="22"/>
                <w:lang w:val="sr-Latn-ME"/>
              </w:rPr>
              <w:t>Pacijentkinje sa ER+</w:t>
            </w:r>
          </w:p>
        </w:tc>
        <w:tc>
          <w:tcPr>
            <w:tcW w:w="1009" w:type="pct"/>
          </w:tcPr>
          <w:p w14:paraId="2B2DBC92" w14:textId="77777777" w:rsidR="000450A4" w:rsidRPr="000E77D2" w:rsidRDefault="000450A4" w:rsidP="00BE6A13">
            <w:pPr>
              <w:keepNext/>
              <w:rPr>
                <w:rFonts w:ascii="Times New Roman" w:hAnsi="Times New Roman"/>
                <w:sz w:val="22"/>
                <w:szCs w:val="22"/>
                <w:lang w:val="sr-Latn-ME"/>
              </w:rPr>
            </w:pPr>
          </w:p>
          <w:p w14:paraId="14A7ED2E" w14:textId="77777777" w:rsidR="000450A4" w:rsidRPr="000E77D2" w:rsidRDefault="000450A4" w:rsidP="00BE6A13">
            <w:pPr>
              <w:keepNext/>
              <w:rPr>
                <w:rFonts w:ascii="Times New Roman" w:hAnsi="Times New Roman"/>
                <w:sz w:val="22"/>
                <w:szCs w:val="22"/>
                <w:lang w:val="sr-Latn-ME"/>
              </w:rPr>
            </w:pPr>
          </w:p>
          <w:p w14:paraId="0942C3C6" w14:textId="77777777" w:rsidR="000450A4" w:rsidRPr="000E77D2" w:rsidRDefault="000450A4" w:rsidP="00BE6A13">
            <w:pPr>
              <w:keepNext/>
              <w:rPr>
                <w:rFonts w:ascii="Times New Roman" w:hAnsi="Times New Roman"/>
                <w:sz w:val="22"/>
                <w:szCs w:val="22"/>
                <w:lang w:val="sr-Latn-ME"/>
              </w:rPr>
            </w:pPr>
          </w:p>
          <w:p w14:paraId="4B046BC9" w14:textId="77777777" w:rsidR="00184D1F" w:rsidRPr="000E77D2" w:rsidRDefault="00184D1F" w:rsidP="00BE6A13">
            <w:pPr>
              <w:keepNext/>
              <w:rPr>
                <w:rFonts w:ascii="Times New Roman" w:hAnsi="Times New Roman"/>
                <w:b/>
                <w:sz w:val="22"/>
                <w:szCs w:val="22"/>
                <w:lang w:val="sr-Latn-ME"/>
              </w:rPr>
            </w:pPr>
          </w:p>
          <w:p w14:paraId="615D3009" w14:textId="1A2CFD77" w:rsidR="000450A4" w:rsidRPr="000E77D2" w:rsidRDefault="000450A4" w:rsidP="00BE6A13">
            <w:pPr>
              <w:keepNext/>
              <w:rPr>
                <w:rFonts w:ascii="Times New Roman" w:hAnsi="Times New Roman"/>
                <w:sz w:val="22"/>
                <w:szCs w:val="22"/>
                <w:lang w:val="sr-Latn-ME"/>
              </w:rPr>
            </w:pPr>
            <w:r w:rsidRPr="000E77D2">
              <w:rPr>
                <w:rFonts w:ascii="Times New Roman" w:hAnsi="Times New Roman"/>
                <w:b/>
                <w:sz w:val="22"/>
                <w:szCs w:val="22"/>
                <w:lang w:val="sr-Latn-ME"/>
              </w:rPr>
              <w:t>248</w:t>
            </w:r>
            <w:r w:rsidRPr="000E77D2">
              <w:rPr>
                <w:rFonts w:ascii="Times New Roman" w:hAnsi="Times New Roman"/>
                <w:sz w:val="22"/>
                <w:szCs w:val="22"/>
                <w:lang w:val="sr-Latn-ME"/>
              </w:rPr>
              <w:t>/2352 (10,5%)</w:t>
            </w:r>
          </w:p>
          <w:p w14:paraId="4F08B072" w14:textId="085AD09B" w:rsidR="000450A4" w:rsidRPr="000E77D2" w:rsidRDefault="000450A4" w:rsidP="00BE6A13">
            <w:pPr>
              <w:keepNext/>
              <w:rPr>
                <w:rFonts w:ascii="Times New Roman" w:hAnsi="Times New Roman"/>
                <w:sz w:val="22"/>
                <w:szCs w:val="22"/>
                <w:lang w:val="sr-Latn-ME"/>
              </w:rPr>
            </w:pPr>
            <w:r w:rsidRPr="000E77D2">
              <w:rPr>
                <w:rFonts w:ascii="Times New Roman" w:hAnsi="Times New Roman"/>
                <w:b/>
                <w:sz w:val="22"/>
                <w:szCs w:val="22"/>
                <w:lang w:val="sr-Latn-ME"/>
              </w:rPr>
              <w:t>194</w:t>
            </w:r>
            <w:r w:rsidR="00B0643C" w:rsidRPr="000E77D2">
              <w:rPr>
                <w:rFonts w:ascii="Times New Roman" w:hAnsi="Times New Roman"/>
                <w:sz w:val="22"/>
                <w:szCs w:val="22"/>
                <w:lang w:val="sr-Latn-ME"/>
              </w:rPr>
              <w:t>/2023 (9,</w:t>
            </w:r>
            <w:r w:rsidRPr="000E77D2">
              <w:rPr>
                <w:rFonts w:ascii="Times New Roman" w:hAnsi="Times New Roman"/>
                <w:sz w:val="22"/>
                <w:szCs w:val="22"/>
                <w:lang w:val="sr-Latn-ME"/>
              </w:rPr>
              <w:t>6%)</w:t>
            </w:r>
          </w:p>
        </w:tc>
        <w:tc>
          <w:tcPr>
            <w:tcW w:w="984" w:type="pct"/>
          </w:tcPr>
          <w:p w14:paraId="1B65E3D4" w14:textId="77777777" w:rsidR="000450A4" w:rsidRPr="000E77D2" w:rsidRDefault="000450A4" w:rsidP="00BE6A13">
            <w:pPr>
              <w:keepNext/>
              <w:rPr>
                <w:rFonts w:ascii="Times New Roman" w:hAnsi="Times New Roman"/>
                <w:sz w:val="22"/>
                <w:szCs w:val="22"/>
                <w:lang w:val="sr-Latn-ME"/>
              </w:rPr>
            </w:pPr>
          </w:p>
          <w:p w14:paraId="2EE1EA66" w14:textId="77777777" w:rsidR="000450A4" w:rsidRPr="000E77D2" w:rsidRDefault="000450A4" w:rsidP="00BE6A13">
            <w:pPr>
              <w:keepNext/>
              <w:rPr>
                <w:rFonts w:ascii="Times New Roman" w:hAnsi="Times New Roman"/>
                <w:sz w:val="22"/>
                <w:szCs w:val="22"/>
                <w:lang w:val="sr-Latn-ME"/>
              </w:rPr>
            </w:pPr>
          </w:p>
          <w:p w14:paraId="2BEA0F3E" w14:textId="77777777" w:rsidR="000450A4" w:rsidRPr="000E77D2" w:rsidRDefault="000450A4" w:rsidP="00BE6A13">
            <w:pPr>
              <w:keepNext/>
              <w:rPr>
                <w:rFonts w:ascii="Times New Roman" w:hAnsi="Times New Roman"/>
                <w:sz w:val="22"/>
                <w:szCs w:val="22"/>
                <w:lang w:val="sr-Latn-ME"/>
              </w:rPr>
            </w:pPr>
          </w:p>
          <w:p w14:paraId="230DB3E8" w14:textId="77777777" w:rsidR="00184D1F" w:rsidRPr="000E77D2" w:rsidRDefault="00184D1F" w:rsidP="00BE6A13">
            <w:pPr>
              <w:keepNext/>
              <w:rPr>
                <w:rFonts w:ascii="Times New Roman" w:hAnsi="Times New Roman"/>
                <w:b/>
                <w:sz w:val="22"/>
                <w:szCs w:val="22"/>
                <w:lang w:val="sr-Latn-ME"/>
              </w:rPr>
            </w:pPr>
          </w:p>
          <w:p w14:paraId="4D577C3D" w14:textId="1CAC8F99" w:rsidR="000450A4" w:rsidRPr="000E77D2" w:rsidRDefault="000450A4" w:rsidP="00BE6A13">
            <w:pPr>
              <w:keepNext/>
              <w:rPr>
                <w:rFonts w:ascii="Times New Roman" w:hAnsi="Times New Roman"/>
                <w:sz w:val="22"/>
                <w:szCs w:val="22"/>
                <w:lang w:val="sr-Latn-ME"/>
              </w:rPr>
            </w:pPr>
            <w:r w:rsidRPr="000E77D2">
              <w:rPr>
                <w:rFonts w:ascii="Times New Roman" w:hAnsi="Times New Roman"/>
                <w:b/>
                <w:sz w:val="22"/>
                <w:szCs w:val="22"/>
                <w:lang w:val="sr-Latn-ME"/>
              </w:rPr>
              <w:t>297</w:t>
            </w:r>
            <w:r w:rsidRPr="000E77D2">
              <w:rPr>
                <w:rFonts w:ascii="Times New Roman" w:hAnsi="Times New Roman"/>
                <w:sz w:val="22"/>
                <w:szCs w:val="22"/>
                <w:lang w:val="sr-Latn-ME"/>
              </w:rPr>
              <w:t>/2372 (12,5%)</w:t>
            </w:r>
          </w:p>
          <w:p w14:paraId="30460B46" w14:textId="1F017C83" w:rsidR="000450A4" w:rsidRPr="000E77D2" w:rsidRDefault="000450A4" w:rsidP="00BE6A13">
            <w:pPr>
              <w:keepNext/>
              <w:rPr>
                <w:rFonts w:ascii="Times New Roman" w:hAnsi="Times New Roman"/>
                <w:sz w:val="22"/>
                <w:szCs w:val="22"/>
                <w:lang w:val="sr-Latn-ME"/>
              </w:rPr>
            </w:pPr>
            <w:r w:rsidRPr="000E77D2">
              <w:rPr>
                <w:rFonts w:ascii="Times New Roman" w:hAnsi="Times New Roman"/>
                <w:b/>
                <w:sz w:val="22"/>
                <w:szCs w:val="22"/>
                <w:lang w:val="sr-Latn-ME"/>
              </w:rPr>
              <w:t>242</w:t>
            </w:r>
            <w:r w:rsidRPr="000E77D2">
              <w:rPr>
                <w:rFonts w:ascii="Times New Roman" w:hAnsi="Times New Roman"/>
                <w:sz w:val="22"/>
                <w:szCs w:val="22"/>
                <w:lang w:val="sr-Latn-ME"/>
              </w:rPr>
              <w:t>/2021 (12</w:t>
            </w:r>
            <w:r w:rsidR="00B0643C" w:rsidRPr="000E77D2">
              <w:rPr>
                <w:rFonts w:ascii="Times New Roman" w:hAnsi="Times New Roman"/>
                <w:sz w:val="22"/>
                <w:szCs w:val="22"/>
                <w:lang w:val="sr-Latn-ME"/>
              </w:rPr>
              <w:t>,</w:t>
            </w:r>
            <w:r w:rsidRPr="000E77D2">
              <w:rPr>
                <w:rFonts w:ascii="Times New Roman" w:hAnsi="Times New Roman"/>
                <w:sz w:val="22"/>
                <w:szCs w:val="22"/>
                <w:lang w:val="sr-Latn-ME"/>
              </w:rPr>
              <w:t>0%)</w:t>
            </w:r>
          </w:p>
        </w:tc>
        <w:tc>
          <w:tcPr>
            <w:tcW w:w="1138" w:type="pct"/>
          </w:tcPr>
          <w:p w14:paraId="0A2B517A" w14:textId="77777777" w:rsidR="000450A4" w:rsidRPr="000E77D2" w:rsidRDefault="000450A4" w:rsidP="00BE6A13">
            <w:pPr>
              <w:keepNext/>
              <w:rPr>
                <w:rFonts w:ascii="Times New Roman" w:hAnsi="Times New Roman"/>
                <w:sz w:val="22"/>
                <w:szCs w:val="22"/>
                <w:lang w:val="sr-Latn-ME"/>
              </w:rPr>
            </w:pPr>
          </w:p>
          <w:p w14:paraId="3AE16F04" w14:textId="77777777" w:rsidR="000450A4" w:rsidRPr="000E77D2" w:rsidRDefault="000450A4" w:rsidP="00BE6A13">
            <w:pPr>
              <w:keepNext/>
              <w:rPr>
                <w:rFonts w:ascii="Times New Roman" w:hAnsi="Times New Roman"/>
                <w:sz w:val="22"/>
                <w:szCs w:val="22"/>
                <w:lang w:val="sr-Latn-ME"/>
              </w:rPr>
            </w:pPr>
          </w:p>
          <w:p w14:paraId="756CC10B" w14:textId="77777777" w:rsidR="000450A4" w:rsidRPr="000E77D2" w:rsidRDefault="000450A4" w:rsidP="00BE6A13">
            <w:pPr>
              <w:keepNext/>
              <w:rPr>
                <w:rFonts w:ascii="Times New Roman" w:hAnsi="Times New Roman"/>
                <w:sz w:val="22"/>
                <w:szCs w:val="22"/>
                <w:lang w:val="sr-Latn-ME"/>
              </w:rPr>
            </w:pPr>
          </w:p>
          <w:p w14:paraId="6FC34BFE" w14:textId="77777777" w:rsidR="00184D1F" w:rsidRPr="000E77D2" w:rsidRDefault="00184D1F" w:rsidP="00BE6A13">
            <w:pPr>
              <w:keepNext/>
              <w:rPr>
                <w:rFonts w:ascii="Times New Roman" w:hAnsi="Times New Roman"/>
                <w:sz w:val="22"/>
                <w:szCs w:val="22"/>
                <w:lang w:val="sr-Latn-ME"/>
              </w:rPr>
            </w:pPr>
          </w:p>
          <w:p w14:paraId="6836C5F8" w14:textId="6095D96E" w:rsidR="000450A4" w:rsidRPr="000E77D2" w:rsidRDefault="000450A4" w:rsidP="00BE6A13">
            <w:pPr>
              <w:keepNext/>
              <w:rPr>
                <w:rFonts w:ascii="Times New Roman" w:hAnsi="Times New Roman"/>
                <w:sz w:val="22"/>
                <w:szCs w:val="22"/>
                <w:lang w:val="sr-Latn-ME"/>
              </w:rPr>
            </w:pPr>
            <w:r w:rsidRPr="000E77D2">
              <w:rPr>
                <w:rFonts w:ascii="Times New Roman" w:hAnsi="Times New Roman"/>
                <w:sz w:val="22"/>
                <w:szCs w:val="22"/>
                <w:lang w:val="sr-Latn-ME"/>
              </w:rPr>
              <w:t>0,83 (0,70-0,98)</w:t>
            </w:r>
          </w:p>
          <w:p w14:paraId="1855A86B" w14:textId="7C136513" w:rsidR="000450A4" w:rsidRPr="000E77D2" w:rsidRDefault="00B0643C" w:rsidP="00BE6A13">
            <w:pPr>
              <w:keepNext/>
              <w:rPr>
                <w:rFonts w:ascii="Times New Roman" w:hAnsi="Times New Roman"/>
                <w:sz w:val="22"/>
                <w:szCs w:val="22"/>
                <w:lang w:val="sr-Latn-ME"/>
              </w:rPr>
            </w:pPr>
            <w:r w:rsidRPr="000E77D2">
              <w:rPr>
                <w:rFonts w:ascii="Times New Roman" w:hAnsi="Times New Roman"/>
                <w:sz w:val="22"/>
                <w:szCs w:val="22"/>
                <w:lang w:val="sr-Latn-ME"/>
              </w:rPr>
              <w:t>0,78 (0,65-0,</w:t>
            </w:r>
            <w:r w:rsidR="000450A4" w:rsidRPr="000E77D2">
              <w:rPr>
                <w:rFonts w:ascii="Times New Roman" w:hAnsi="Times New Roman"/>
                <w:sz w:val="22"/>
                <w:szCs w:val="22"/>
                <w:lang w:val="sr-Latn-ME"/>
              </w:rPr>
              <w:t>95)</w:t>
            </w:r>
          </w:p>
        </w:tc>
        <w:tc>
          <w:tcPr>
            <w:tcW w:w="759" w:type="pct"/>
          </w:tcPr>
          <w:p w14:paraId="292AC4E0" w14:textId="77777777" w:rsidR="000450A4" w:rsidRPr="000E77D2" w:rsidRDefault="000450A4" w:rsidP="00BE6A13">
            <w:pPr>
              <w:keepNext/>
              <w:rPr>
                <w:rFonts w:ascii="Times New Roman" w:hAnsi="Times New Roman"/>
                <w:sz w:val="22"/>
                <w:szCs w:val="22"/>
                <w:lang w:val="sr-Latn-ME"/>
              </w:rPr>
            </w:pPr>
          </w:p>
          <w:p w14:paraId="68CF7B19" w14:textId="77777777" w:rsidR="000450A4" w:rsidRPr="000E77D2" w:rsidRDefault="000450A4" w:rsidP="00BE6A13">
            <w:pPr>
              <w:keepNext/>
              <w:rPr>
                <w:rFonts w:ascii="Times New Roman" w:hAnsi="Times New Roman"/>
                <w:sz w:val="22"/>
                <w:szCs w:val="22"/>
                <w:lang w:val="sr-Latn-ME"/>
              </w:rPr>
            </w:pPr>
          </w:p>
          <w:p w14:paraId="7AB250FC" w14:textId="77777777" w:rsidR="000450A4" w:rsidRPr="000E77D2" w:rsidRDefault="000450A4" w:rsidP="00BE6A13">
            <w:pPr>
              <w:keepNext/>
              <w:rPr>
                <w:rFonts w:ascii="Times New Roman" w:hAnsi="Times New Roman"/>
                <w:sz w:val="22"/>
                <w:szCs w:val="22"/>
                <w:lang w:val="sr-Latn-ME"/>
              </w:rPr>
            </w:pPr>
          </w:p>
          <w:p w14:paraId="106E824E" w14:textId="77777777" w:rsidR="00184D1F" w:rsidRPr="000E77D2" w:rsidRDefault="00184D1F" w:rsidP="00BE6A13">
            <w:pPr>
              <w:keepNext/>
              <w:rPr>
                <w:rFonts w:ascii="Times New Roman" w:hAnsi="Times New Roman"/>
                <w:sz w:val="22"/>
                <w:szCs w:val="22"/>
                <w:lang w:val="sr-Latn-ME"/>
              </w:rPr>
            </w:pPr>
          </w:p>
          <w:p w14:paraId="25D9CAC2" w14:textId="37534443" w:rsidR="000450A4" w:rsidRPr="000E77D2" w:rsidRDefault="000450A4" w:rsidP="00BE6A13">
            <w:pPr>
              <w:keepNext/>
              <w:rPr>
                <w:rFonts w:ascii="Times New Roman" w:hAnsi="Times New Roman"/>
                <w:sz w:val="22"/>
                <w:szCs w:val="22"/>
                <w:lang w:val="sr-Latn-ME"/>
              </w:rPr>
            </w:pPr>
            <w:r w:rsidRPr="000E77D2">
              <w:rPr>
                <w:rFonts w:ascii="Times New Roman" w:hAnsi="Times New Roman"/>
                <w:sz w:val="22"/>
                <w:szCs w:val="22"/>
                <w:lang w:val="sr-Latn-ME"/>
              </w:rPr>
              <w:t>0,02621</w:t>
            </w:r>
          </w:p>
          <w:p w14:paraId="2F444E04" w14:textId="77777777" w:rsidR="000450A4" w:rsidRPr="000E77D2" w:rsidRDefault="000450A4" w:rsidP="00BE6A13">
            <w:pPr>
              <w:keepNext/>
              <w:rPr>
                <w:rFonts w:ascii="Times New Roman" w:hAnsi="Times New Roman"/>
                <w:sz w:val="22"/>
                <w:szCs w:val="22"/>
                <w:lang w:val="sr-Latn-ME"/>
              </w:rPr>
            </w:pPr>
            <w:r w:rsidRPr="000E77D2">
              <w:rPr>
                <w:rFonts w:ascii="Times New Roman" w:hAnsi="Times New Roman"/>
                <w:sz w:val="22"/>
                <w:szCs w:val="22"/>
                <w:lang w:val="sr-Latn-ME"/>
              </w:rPr>
              <w:t>0,01123</w:t>
            </w:r>
          </w:p>
        </w:tc>
      </w:tr>
      <w:tr w:rsidR="005872E2" w:rsidRPr="000E77D2" w14:paraId="6A2DFE12" w14:textId="77777777" w:rsidTr="00184D1F">
        <w:tc>
          <w:tcPr>
            <w:tcW w:w="1110" w:type="pct"/>
          </w:tcPr>
          <w:p w14:paraId="2A9D2FE9" w14:textId="77777777" w:rsidR="000450A4" w:rsidRPr="000E77D2" w:rsidRDefault="000450A4" w:rsidP="00BE6A13">
            <w:pPr>
              <w:rPr>
                <w:rFonts w:ascii="Times New Roman" w:hAnsi="Times New Roman"/>
                <w:b/>
                <w:sz w:val="22"/>
                <w:szCs w:val="22"/>
                <w:lang w:val="sr-Latn-ME"/>
              </w:rPr>
            </w:pPr>
            <w:r w:rsidRPr="000E77D2">
              <w:rPr>
                <w:rFonts w:ascii="Times New Roman" w:hAnsi="Times New Roman"/>
                <w:b/>
                <w:sz w:val="22"/>
                <w:szCs w:val="22"/>
                <w:lang w:val="sr-Latn-ME"/>
              </w:rPr>
              <w:t>Ukupno preživljavanje</w:t>
            </w:r>
            <w:r w:rsidRPr="000E77D2">
              <w:rPr>
                <w:rFonts w:ascii="Times New Roman" w:hAnsi="Times New Roman"/>
                <w:b/>
                <w:sz w:val="22"/>
                <w:szCs w:val="22"/>
                <w:vertAlign w:val="superscript"/>
                <w:lang w:val="sr-Latn-ME"/>
              </w:rPr>
              <w:t>d</w:t>
            </w:r>
          </w:p>
          <w:p w14:paraId="6B43CA5E" w14:textId="77777777" w:rsidR="000450A4" w:rsidRPr="000E77D2" w:rsidRDefault="000450A4" w:rsidP="00BE6A13">
            <w:pPr>
              <w:rPr>
                <w:rFonts w:ascii="Times New Roman" w:hAnsi="Times New Roman"/>
                <w:sz w:val="22"/>
                <w:szCs w:val="22"/>
                <w:lang w:val="sr-Latn-ME"/>
              </w:rPr>
            </w:pPr>
          </w:p>
          <w:p w14:paraId="22B7785A"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Sve pacijentkinje</w:t>
            </w:r>
          </w:p>
          <w:p w14:paraId="7390E670"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Pacijentkinje sa ER+</w:t>
            </w:r>
          </w:p>
        </w:tc>
        <w:tc>
          <w:tcPr>
            <w:tcW w:w="1009" w:type="pct"/>
          </w:tcPr>
          <w:p w14:paraId="18E55D69" w14:textId="77777777" w:rsidR="000450A4" w:rsidRPr="000E77D2" w:rsidRDefault="000450A4" w:rsidP="00BE6A13">
            <w:pPr>
              <w:rPr>
                <w:rFonts w:ascii="Times New Roman" w:hAnsi="Times New Roman"/>
                <w:sz w:val="22"/>
                <w:szCs w:val="22"/>
                <w:lang w:val="sr-Latn-ME"/>
              </w:rPr>
            </w:pPr>
          </w:p>
          <w:p w14:paraId="323D4F40" w14:textId="77777777" w:rsidR="000450A4" w:rsidRPr="000E77D2" w:rsidRDefault="000450A4" w:rsidP="00BE6A13">
            <w:pPr>
              <w:rPr>
                <w:rFonts w:ascii="Times New Roman" w:hAnsi="Times New Roman"/>
                <w:sz w:val="22"/>
                <w:szCs w:val="22"/>
                <w:lang w:val="sr-Latn-ME"/>
              </w:rPr>
            </w:pPr>
          </w:p>
          <w:p w14:paraId="75161660" w14:textId="77777777" w:rsidR="000450A4" w:rsidRPr="000E77D2" w:rsidRDefault="000450A4" w:rsidP="00BE6A13">
            <w:pPr>
              <w:rPr>
                <w:rFonts w:ascii="Times New Roman" w:hAnsi="Times New Roman"/>
                <w:sz w:val="22"/>
                <w:szCs w:val="22"/>
                <w:lang w:val="sr-Latn-ME"/>
              </w:rPr>
            </w:pPr>
          </w:p>
          <w:p w14:paraId="6B654FB1"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b/>
                <w:sz w:val="22"/>
                <w:szCs w:val="22"/>
                <w:lang w:val="sr-Latn-ME"/>
              </w:rPr>
              <w:t>222</w:t>
            </w:r>
            <w:r w:rsidRPr="000E77D2">
              <w:rPr>
                <w:rFonts w:ascii="Times New Roman" w:hAnsi="Times New Roman"/>
                <w:sz w:val="22"/>
                <w:szCs w:val="22"/>
                <w:lang w:val="sr-Latn-ME"/>
              </w:rPr>
              <w:t>/2352 (9,4%)</w:t>
            </w:r>
          </w:p>
          <w:p w14:paraId="28AF2C05"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b/>
                <w:sz w:val="22"/>
                <w:szCs w:val="22"/>
                <w:lang w:val="sr-Latn-ME"/>
              </w:rPr>
              <w:t>178</w:t>
            </w:r>
            <w:r w:rsidRPr="000E77D2">
              <w:rPr>
                <w:rFonts w:ascii="Times New Roman" w:hAnsi="Times New Roman"/>
                <w:sz w:val="22"/>
                <w:szCs w:val="22"/>
                <w:lang w:val="sr-Latn-ME"/>
              </w:rPr>
              <w:t>/2023 (8,8%)</w:t>
            </w:r>
          </w:p>
        </w:tc>
        <w:tc>
          <w:tcPr>
            <w:tcW w:w="984" w:type="pct"/>
          </w:tcPr>
          <w:p w14:paraId="633872E3" w14:textId="77777777" w:rsidR="000450A4" w:rsidRPr="000E77D2" w:rsidRDefault="000450A4" w:rsidP="00BE6A13">
            <w:pPr>
              <w:rPr>
                <w:rFonts w:ascii="Times New Roman" w:hAnsi="Times New Roman"/>
                <w:sz w:val="22"/>
                <w:szCs w:val="22"/>
                <w:lang w:val="sr-Latn-ME"/>
              </w:rPr>
            </w:pPr>
          </w:p>
          <w:p w14:paraId="079C5BB7" w14:textId="77777777" w:rsidR="000450A4" w:rsidRPr="000E77D2" w:rsidRDefault="000450A4" w:rsidP="00BE6A13">
            <w:pPr>
              <w:rPr>
                <w:rFonts w:ascii="Times New Roman" w:hAnsi="Times New Roman"/>
                <w:sz w:val="22"/>
                <w:szCs w:val="22"/>
                <w:lang w:val="sr-Latn-ME"/>
              </w:rPr>
            </w:pPr>
          </w:p>
          <w:p w14:paraId="14772884" w14:textId="77777777" w:rsidR="000450A4" w:rsidRPr="000E77D2" w:rsidRDefault="000450A4" w:rsidP="00BE6A13">
            <w:pPr>
              <w:rPr>
                <w:rFonts w:ascii="Times New Roman" w:hAnsi="Times New Roman"/>
                <w:sz w:val="22"/>
                <w:szCs w:val="22"/>
                <w:lang w:val="sr-Latn-ME"/>
              </w:rPr>
            </w:pPr>
          </w:p>
          <w:p w14:paraId="3A5A09CC"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b/>
                <w:sz w:val="22"/>
                <w:szCs w:val="22"/>
                <w:lang w:val="sr-Latn-ME"/>
              </w:rPr>
              <w:t>262</w:t>
            </w:r>
            <w:r w:rsidRPr="000E77D2">
              <w:rPr>
                <w:rFonts w:ascii="Times New Roman" w:hAnsi="Times New Roman"/>
                <w:sz w:val="22"/>
                <w:szCs w:val="22"/>
                <w:lang w:val="sr-Latn-ME"/>
              </w:rPr>
              <w:t>/2372 (11,0%)</w:t>
            </w:r>
          </w:p>
          <w:p w14:paraId="2B36B9A4"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b/>
                <w:sz w:val="22"/>
                <w:szCs w:val="22"/>
                <w:lang w:val="sr-Latn-ME"/>
              </w:rPr>
              <w:t>211</w:t>
            </w:r>
            <w:r w:rsidRPr="000E77D2">
              <w:rPr>
                <w:rFonts w:ascii="Times New Roman" w:hAnsi="Times New Roman"/>
                <w:sz w:val="22"/>
                <w:szCs w:val="22"/>
                <w:lang w:val="sr-Latn-ME"/>
              </w:rPr>
              <w:t>/2021 (10,4%)</w:t>
            </w:r>
          </w:p>
        </w:tc>
        <w:tc>
          <w:tcPr>
            <w:tcW w:w="1138" w:type="pct"/>
          </w:tcPr>
          <w:p w14:paraId="6D7C9CF2" w14:textId="77777777" w:rsidR="000450A4" w:rsidRPr="000E77D2" w:rsidRDefault="000450A4" w:rsidP="00BE6A13">
            <w:pPr>
              <w:rPr>
                <w:rFonts w:ascii="Times New Roman" w:hAnsi="Times New Roman"/>
                <w:sz w:val="22"/>
                <w:szCs w:val="22"/>
                <w:lang w:val="sr-Latn-ME"/>
              </w:rPr>
            </w:pPr>
          </w:p>
          <w:p w14:paraId="609DDDFB" w14:textId="77777777" w:rsidR="000450A4" w:rsidRPr="000E77D2" w:rsidRDefault="000450A4" w:rsidP="00BE6A13">
            <w:pPr>
              <w:rPr>
                <w:rFonts w:ascii="Times New Roman" w:hAnsi="Times New Roman"/>
                <w:sz w:val="22"/>
                <w:szCs w:val="22"/>
                <w:lang w:val="sr-Latn-ME"/>
              </w:rPr>
            </w:pPr>
          </w:p>
          <w:p w14:paraId="2359DFF2" w14:textId="77777777" w:rsidR="000450A4" w:rsidRPr="000E77D2" w:rsidRDefault="000450A4" w:rsidP="00BE6A13">
            <w:pPr>
              <w:rPr>
                <w:rFonts w:ascii="Times New Roman" w:hAnsi="Times New Roman"/>
                <w:sz w:val="22"/>
                <w:szCs w:val="22"/>
                <w:lang w:val="sr-Latn-ME"/>
              </w:rPr>
            </w:pPr>
          </w:p>
          <w:p w14:paraId="49F100C2"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0,85 (0,71-1,02)</w:t>
            </w:r>
          </w:p>
          <w:p w14:paraId="3DB6F502"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0,84 (0,68-1,02)</w:t>
            </w:r>
          </w:p>
        </w:tc>
        <w:tc>
          <w:tcPr>
            <w:tcW w:w="759" w:type="pct"/>
          </w:tcPr>
          <w:p w14:paraId="2EE22219" w14:textId="77777777" w:rsidR="000450A4" w:rsidRPr="000E77D2" w:rsidRDefault="000450A4" w:rsidP="00BE6A13">
            <w:pPr>
              <w:rPr>
                <w:rFonts w:ascii="Times New Roman" w:hAnsi="Times New Roman"/>
                <w:sz w:val="22"/>
                <w:szCs w:val="22"/>
                <w:lang w:val="sr-Latn-ME"/>
              </w:rPr>
            </w:pPr>
          </w:p>
          <w:p w14:paraId="3442E0CA" w14:textId="77777777" w:rsidR="000450A4" w:rsidRPr="000E77D2" w:rsidRDefault="000450A4" w:rsidP="00BE6A13">
            <w:pPr>
              <w:rPr>
                <w:rFonts w:ascii="Times New Roman" w:hAnsi="Times New Roman"/>
                <w:sz w:val="22"/>
                <w:szCs w:val="22"/>
                <w:lang w:val="sr-Latn-ME"/>
              </w:rPr>
            </w:pPr>
          </w:p>
          <w:p w14:paraId="04B678B5" w14:textId="77777777" w:rsidR="000450A4" w:rsidRPr="000E77D2" w:rsidRDefault="000450A4" w:rsidP="00BE6A13">
            <w:pPr>
              <w:rPr>
                <w:rFonts w:ascii="Times New Roman" w:hAnsi="Times New Roman"/>
                <w:sz w:val="22"/>
                <w:szCs w:val="22"/>
                <w:lang w:val="sr-Latn-ME"/>
              </w:rPr>
            </w:pPr>
          </w:p>
          <w:p w14:paraId="67416AA1"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0,07362</w:t>
            </w:r>
          </w:p>
          <w:p w14:paraId="53A48924"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0,07569</w:t>
            </w:r>
          </w:p>
        </w:tc>
      </w:tr>
    </w:tbl>
    <w:p w14:paraId="0178EA22" w14:textId="423D9DFE" w:rsidR="000450A4" w:rsidRPr="000E77D2" w:rsidRDefault="000450A4" w:rsidP="00BE6A13">
      <w:pPr>
        <w:ind w:left="284" w:hanging="284"/>
        <w:rPr>
          <w:rFonts w:ascii="Times New Roman" w:hAnsi="Times New Roman"/>
          <w:sz w:val="22"/>
          <w:szCs w:val="22"/>
          <w:lang w:val="sr-Latn-ME"/>
        </w:rPr>
      </w:pPr>
      <w:r w:rsidRPr="000E77D2">
        <w:rPr>
          <w:rFonts w:ascii="Times New Roman" w:hAnsi="Times New Roman"/>
          <w:sz w:val="22"/>
          <w:szCs w:val="22"/>
          <w:vertAlign w:val="superscript"/>
          <w:lang w:val="sr-Latn-ME"/>
        </w:rPr>
        <w:t>*</w:t>
      </w:r>
      <w:r w:rsidR="004D6645" w:rsidRPr="000E77D2">
        <w:rPr>
          <w:rFonts w:ascii="Times New Roman" w:hAnsi="Times New Roman"/>
          <w:sz w:val="22"/>
          <w:szCs w:val="22"/>
          <w:lang w:val="sr-Latn-ME"/>
        </w:rPr>
        <w:tab/>
      </w:r>
      <w:r w:rsidRPr="000E77D2">
        <w:rPr>
          <w:rFonts w:ascii="Times New Roman" w:hAnsi="Times New Roman"/>
          <w:sz w:val="22"/>
          <w:szCs w:val="22"/>
          <w:lang w:val="sr-Latn-ME"/>
        </w:rPr>
        <w:t>Log-rank test; Pacijentkinje sa ER+ = pacijentkinje sa pozitivnim nalazom estrogenih receptora;</w:t>
      </w:r>
    </w:p>
    <w:p w14:paraId="16BADBEB" w14:textId="536149FC" w:rsidR="000450A4" w:rsidRPr="000E77D2" w:rsidRDefault="000450A4" w:rsidP="00BE6A13">
      <w:pPr>
        <w:ind w:left="284" w:hanging="284"/>
        <w:rPr>
          <w:rFonts w:ascii="Times New Roman" w:hAnsi="Times New Roman"/>
          <w:sz w:val="22"/>
          <w:szCs w:val="22"/>
          <w:lang w:val="sr-Latn-ME"/>
        </w:rPr>
      </w:pPr>
      <w:r w:rsidRPr="000E77D2">
        <w:rPr>
          <w:rFonts w:ascii="Times New Roman" w:hAnsi="Times New Roman"/>
          <w:b/>
          <w:sz w:val="22"/>
          <w:szCs w:val="22"/>
          <w:vertAlign w:val="superscript"/>
          <w:lang w:val="sr-Latn-ME"/>
        </w:rPr>
        <w:t>a</w:t>
      </w:r>
      <w:r w:rsidR="004D6645" w:rsidRPr="000E77D2">
        <w:rPr>
          <w:rFonts w:ascii="Times New Roman" w:hAnsi="Times New Roman"/>
          <w:sz w:val="22"/>
          <w:szCs w:val="22"/>
          <w:lang w:val="sr-Latn-ME"/>
        </w:rPr>
        <w:t xml:space="preserve"> </w:t>
      </w:r>
      <w:r w:rsidRPr="000E77D2">
        <w:rPr>
          <w:rFonts w:ascii="Times New Roman" w:hAnsi="Times New Roman"/>
          <w:sz w:val="22"/>
          <w:szCs w:val="22"/>
          <w:lang w:val="sr-Latn-ME"/>
        </w:rPr>
        <w:t>Preživljavanje bez znakova bolesti se definiše kao inicijalna rekurentna pojava lokalnog ili udaljenog</w:t>
      </w:r>
      <w:r w:rsidRPr="000E77D2">
        <w:rPr>
          <w:rFonts w:ascii="Times New Roman" w:hAnsi="Times New Roman"/>
          <w:sz w:val="22"/>
          <w:szCs w:val="22"/>
          <w:lang w:val="sr-Latn-ME"/>
        </w:rPr>
        <w:br/>
        <w:t>procesa, kontralateralnog karcinoma dojke ili smrtnog ishoda bez obzira na uzrok;</w:t>
      </w:r>
    </w:p>
    <w:p w14:paraId="19937761" w14:textId="7843F1E0" w:rsidR="000450A4" w:rsidRPr="000E77D2" w:rsidRDefault="000450A4" w:rsidP="00184D1F">
      <w:pPr>
        <w:ind w:left="284" w:hanging="284"/>
        <w:rPr>
          <w:rFonts w:ascii="Times New Roman" w:hAnsi="Times New Roman"/>
          <w:sz w:val="22"/>
          <w:szCs w:val="22"/>
          <w:lang w:val="sr-Latn-ME"/>
        </w:rPr>
      </w:pPr>
      <w:r w:rsidRPr="000E77D2">
        <w:rPr>
          <w:rFonts w:ascii="Times New Roman" w:hAnsi="Times New Roman"/>
          <w:b/>
          <w:sz w:val="22"/>
          <w:szCs w:val="22"/>
          <w:vertAlign w:val="superscript"/>
          <w:lang w:val="sr-Latn-ME"/>
        </w:rPr>
        <w:t>b</w:t>
      </w:r>
      <w:r w:rsidRPr="000E77D2">
        <w:rPr>
          <w:rFonts w:ascii="Times New Roman" w:hAnsi="Times New Roman"/>
          <w:sz w:val="22"/>
          <w:szCs w:val="22"/>
          <w:lang w:val="sr-Latn-ME"/>
        </w:rPr>
        <w:t xml:space="preserve"> Preživljavanje bez karcinoma dojke se definiše kao inicijalna rekurentna pojava lokalnog ili udaljenog</w:t>
      </w:r>
      <w:r w:rsidR="00184D1F" w:rsidRPr="000E77D2">
        <w:rPr>
          <w:rFonts w:ascii="Times New Roman" w:hAnsi="Times New Roman"/>
          <w:sz w:val="22"/>
          <w:szCs w:val="22"/>
          <w:lang w:val="sr-Latn-ME"/>
        </w:rPr>
        <w:t xml:space="preserve"> </w:t>
      </w:r>
      <w:r w:rsidRPr="000E77D2">
        <w:rPr>
          <w:rFonts w:ascii="Times New Roman" w:hAnsi="Times New Roman"/>
          <w:sz w:val="22"/>
          <w:szCs w:val="22"/>
          <w:lang w:val="sr-Latn-ME"/>
        </w:rPr>
        <w:t>procesa, kontralateralnog karcinoma dojke ili smrtnog ishoda usl</w:t>
      </w:r>
      <w:r w:rsidR="00184D1F" w:rsidRPr="000E77D2">
        <w:rPr>
          <w:rFonts w:ascii="Times New Roman" w:hAnsi="Times New Roman"/>
          <w:sz w:val="22"/>
          <w:szCs w:val="22"/>
          <w:lang w:val="sr-Latn-ME"/>
        </w:rPr>
        <w:t>j</w:t>
      </w:r>
      <w:r w:rsidRPr="000E77D2">
        <w:rPr>
          <w:rFonts w:ascii="Times New Roman" w:hAnsi="Times New Roman"/>
          <w:sz w:val="22"/>
          <w:szCs w:val="22"/>
          <w:lang w:val="sr-Latn-ME"/>
        </w:rPr>
        <w:t>ed karcinoma dojke;</w:t>
      </w:r>
    </w:p>
    <w:p w14:paraId="49577B46" w14:textId="4B7C92A1" w:rsidR="000450A4" w:rsidRPr="000E77D2" w:rsidRDefault="000450A4" w:rsidP="00184D1F">
      <w:pPr>
        <w:ind w:left="284" w:hanging="284"/>
        <w:rPr>
          <w:rFonts w:ascii="Times New Roman" w:hAnsi="Times New Roman"/>
          <w:sz w:val="22"/>
          <w:szCs w:val="22"/>
          <w:lang w:val="sr-Latn-ME"/>
        </w:rPr>
      </w:pPr>
      <w:r w:rsidRPr="000E77D2">
        <w:rPr>
          <w:rFonts w:ascii="Times New Roman" w:hAnsi="Times New Roman"/>
          <w:b/>
          <w:sz w:val="22"/>
          <w:szCs w:val="22"/>
          <w:vertAlign w:val="superscript"/>
          <w:lang w:val="sr-Latn-ME"/>
        </w:rPr>
        <w:t>c</w:t>
      </w:r>
      <w:r w:rsidR="00FD73DF" w:rsidRPr="000E77D2">
        <w:rPr>
          <w:rFonts w:ascii="Times New Roman" w:hAnsi="Times New Roman"/>
          <w:sz w:val="22"/>
          <w:szCs w:val="22"/>
          <w:lang w:val="sr-Latn-ME"/>
        </w:rPr>
        <w:tab/>
      </w:r>
      <w:r w:rsidRPr="000E77D2">
        <w:rPr>
          <w:rFonts w:ascii="Times New Roman" w:hAnsi="Times New Roman"/>
          <w:sz w:val="22"/>
          <w:szCs w:val="22"/>
          <w:lang w:val="sr-Latn-ME"/>
        </w:rPr>
        <w:t>Preživljavanje bez udaljenih metastaza se definiše kao inicijalna rekurentna pojava udaljenog procesa</w:t>
      </w:r>
      <w:r w:rsidR="00184D1F" w:rsidRPr="000E77D2">
        <w:rPr>
          <w:rFonts w:ascii="Times New Roman" w:hAnsi="Times New Roman"/>
          <w:sz w:val="22"/>
          <w:szCs w:val="22"/>
          <w:lang w:val="sr-Latn-ME"/>
        </w:rPr>
        <w:t xml:space="preserve"> </w:t>
      </w:r>
      <w:r w:rsidRPr="000E77D2">
        <w:rPr>
          <w:rFonts w:ascii="Times New Roman" w:hAnsi="Times New Roman"/>
          <w:sz w:val="22"/>
          <w:szCs w:val="22"/>
          <w:lang w:val="sr-Latn-ME"/>
        </w:rPr>
        <w:t>ili</w:t>
      </w:r>
      <w:r w:rsidR="00184D1F" w:rsidRPr="000E77D2">
        <w:rPr>
          <w:rFonts w:ascii="Times New Roman" w:hAnsi="Times New Roman"/>
          <w:sz w:val="22"/>
          <w:szCs w:val="22"/>
          <w:lang w:val="sr-Latn-ME"/>
        </w:rPr>
        <w:t xml:space="preserve"> </w:t>
      </w:r>
      <w:r w:rsidRPr="000E77D2">
        <w:rPr>
          <w:rFonts w:ascii="Times New Roman" w:hAnsi="Times New Roman"/>
          <w:sz w:val="22"/>
          <w:szCs w:val="22"/>
          <w:lang w:val="sr-Latn-ME"/>
        </w:rPr>
        <w:t>smrtni</w:t>
      </w:r>
      <w:r w:rsidR="004D6645" w:rsidRPr="000E77D2">
        <w:rPr>
          <w:rFonts w:ascii="Times New Roman" w:hAnsi="Times New Roman"/>
          <w:sz w:val="22"/>
          <w:szCs w:val="22"/>
          <w:lang w:val="sr-Latn-ME"/>
        </w:rPr>
        <w:t xml:space="preserve"> </w:t>
      </w:r>
      <w:r w:rsidRPr="000E77D2">
        <w:rPr>
          <w:rFonts w:ascii="Times New Roman" w:hAnsi="Times New Roman"/>
          <w:sz w:val="22"/>
          <w:szCs w:val="22"/>
          <w:lang w:val="sr-Latn-ME"/>
        </w:rPr>
        <w:t>ishod usl</w:t>
      </w:r>
      <w:r w:rsidR="00184D1F" w:rsidRPr="000E77D2">
        <w:rPr>
          <w:rFonts w:ascii="Times New Roman" w:hAnsi="Times New Roman"/>
          <w:sz w:val="22"/>
          <w:szCs w:val="22"/>
          <w:lang w:val="sr-Latn-ME"/>
        </w:rPr>
        <w:t>j</w:t>
      </w:r>
      <w:r w:rsidRPr="000E77D2">
        <w:rPr>
          <w:rFonts w:ascii="Times New Roman" w:hAnsi="Times New Roman"/>
          <w:sz w:val="22"/>
          <w:szCs w:val="22"/>
          <w:lang w:val="sr-Latn-ME"/>
        </w:rPr>
        <w:t>ed karcinoma dojke;</w:t>
      </w:r>
    </w:p>
    <w:p w14:paraId="3C210303" w14:textId="77777777" w:rsidR="000450A4" w:rsidRPr="000E77D2" w:rsidRDefault="000450A4" w:rsidP="00BE6A13">
      <w:pPr>
        <w:rPr>
          <w:rFonts w:ascii="Times New Roman" w:hAnsi="Times New Roman"/>
          <w:sz w:val="22"/>
          <w:szCs w:val="22"/>
          <w:lang w:val="sr-Latn-ME"/>
        </w:rPr>
      </w:pPr>
      <w:r w:rsidRPr="000E77D2">
        <w:rPr>
          <w:rFonts w:ascii="Times New Roman" w:hAnsi="Times New Roman"/>
          <w:b/>
          <w:sz w:val="22"/>
          <w:szCs w:val="22"/>
          <w:vertAlign w:val="superscript"/>
          <w:lang w:val="sr-Latn-ME"/>
        </w:rPr>
        <w:t>d</w:t>
      </w:r>
      <w:r w:rsidRPr="000E77D2">
        <w:rPr>
          <w:rFonts w:ascii="Times New Roman" w:hAnsi="Times New Roman"/>
          <w:sz w:val="22"/>
          <w:szCs w:val="22"/>
          <w:lang w:val="sr-Latn-ME"/>
        </w:rPr>
        <w:t xml:space="preserve"> </w:t>
      </w:r>
      <w:r w:rsidR="00FD73DF" w:rsidRPr="000E77D2">
        <w:rPr>
          <w:rFonts w:ascii="Times New Roman" w:hAnsi="Times New Roman"/>
          <w:sz w:val="22"/>
          <w:szCs w:val="22"/>
          <w:lang w:val="sr-Latn-ME"/>
        </w:rPr>
        <w:tab/>
      </w:r>
      <w:r w:rsidRPr="000E77D2">
        <w:rPr>
          <w:rFonts w:ascii="Times New Roman" w:hAnsi="Times New Roman"/>
          <w:sz w:val="22"/>
          <w:szCs w:val="22"/>
          <w:lang w:val="sr-Latn-ME"/>
        </w:rPr>
        <w:t>Ukupno preživljavanje se definiše kao pojava smrtnog ishoda bez obzira na uzrok.</w:t>
      </w:r>
    </w:p>
    <w:p w14:paraId="597D4C66" w14:textId="77777777" w:rsidR="000450A4" w:rsidRPr="000E77D2" w:rsidRDefault="000450A4" w:rsidP="00BE6A13">
      <w:pPr>
        <w:rPr>
          <w:rFonts w:ascii="Times New Roman" w:hAnsi="Times New Roman"/>
          <w:color w:val="FF0000"/>
          <w:sz w:val="22"/>
          <w:szCs w:val="22"/>
          <w:lang w:val="sr-Latn-ME"/>
        </w:rPr>
      </w:pPr>
    </w:p>
    <w:p w14:paraId="36E8DBBE" w14:textId="590DC254"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U dodatnoj analizi podgrupa pacijentkinja sa pozitivnim nalazom estrogenih receptora ili sa nepoznatim statusom, nepodešen odnos ukupnog preživljavanja je bio 0,83 (</w:t>
      </w:r>
      <w:r w:rsidRPr="000E77D2">
        <w:rPr>
          <w:rFonts w:ascii="Times New Roman" w:hAnsi="Times New Roman"/>
          <w:i/>
          <w:sz w:val="22"/>
          <w:szCs w:val="22"/>
          <w:lang w:val="sr-Latn-ME"/>
        </w:rPr>
        <w:t>log-rank</w:t>
      </w:r>
      <w:r w:rsidRPr="000E77D2">
        <w:rPr>
          <w:rFonts w:ascii="Times New Roman" w:hAnsi="Times New Roman"/>
          <w:sz w:val="22"/>
          <w:szCs w:val="22"/>
          <w:lang w:val="sr-Latn-ME"/>
        </w:rPr>
        <w:t xml:space="preserve"> test: p</w:t>
      </w:r>
      <w:r w:rsidR="00AB2837" w:rsidRPr="000E77D2">
        <w:rPr>
          <w:rFonts w:ascii="Times New Roman" w:hAnsi="Times New Roman"/>
          <w:sz w:val="22"/>
          <w:szCs w:val="22"/>
          <w:lang w:val="sr-Latn-ME"/>
        </w:rPr>
        <w:t xml:space="preserve"> </w:t>
      </w:r>
      <w:r w:rsidRPr="000E77D2">
        <w:rPr>
          <w:rFonts w:ascii="Times New Roman" w:hAnsi="Times New Roman"/>
          <w:sz w:val="22"/>
          <w:szCs w:val="22"/>
          <w:lang w:val="sr-Latn-ME"/>
        </w:rPr>
        <w:t>=</w:t>
      </w:r>
      <w:r w:rsidR="00AB2837" w:rsidRPr="000E77D2">
        <w:rPr>
          <w:rFonts w:ascii="Times New Roman" w:hAnsi="Times New Roman"/>
          <w:sz w:val="22"/>
          <w:szCs w:val="22"/>
          <w:lang w:val="sr-Latn-ME"/>
        </w:rPr>
        <w:t xml:space="preserve"> </w:t>
      </w:r>
      <w:r w:rsidRPr="000E77D2">
        <w:rPr>
          <w:rFonts w:ascii="Times New Roman" w:hAnsi="Times New Roman"/>
          <w:sz w:val="22"/>
          <w:szCs w:val="22"/>
          <w:lang w:val="sr-Latn-ME"/>
        </w:rPr>
        <w:t>0,04250), odnosno smanjenje rizika od smrtnog ishoda od 17%, što je bilo statistički i klinički značajno.</w:t>
      </w:r>
    </w:p>
    <w:p w14:paraId="1E42D713" w14:textId="77777777" w:rsidR="000450A4" w:rsidRPr="000E77D2" w:rsidRDefault="000450A4" w:rsidP="00BE6A13">
      <w:pPr>
        <w:rPr>
          <w:rFonts w:ascii="Times New Roman" w:hAnsi="Times New Roman"/>
          <w:sz w:val="22"/>
          <w:szCs w:val="22"/>
          <w:lang w:val="sr-Latn-ME"/>
        </w:rPr>
      </w:pPr>
    </w:p>
    <w:p w14:paraId="0541BF95" w14:textId="2CE4C2F8"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Rezultati</w:t>
      </w:r>
      <w:r w:rsidR="00020E02" w:rsidRPr="000E77D2">
        <w:rPr>
          <w:rFonts w:ascii="Times New Roman" w:hAnsi="Times New Roman"/>
          <w:sz w:val="22"/>
          <w:szCs w:val="22"/>
          <w:lang w:val="sr-Latn-ME"/>
        </w:rPr>
        <w:t xml:space="preserve"> </w:t>
      </w:r>
      <w:r w:rsidRPr="000E77D2">
        <w:rPr>
          <w:rFonts w:ascii="Times New Roman" w:hAnsi="Times New Roman"/>
          <w:sz w:val="22"/>
          <w:szCs w:val="22"/>
          <w:lang w:val="sr-Latn-ME"/>
        </w:rPr>
        <w:t>IES substudije dejstva l</w:t>
      </w:r>
      <w:r w:rsidR="00B60BDC" w:rsidRPr="000E77D2">
        <w:rPr>
          <w:rFonts w:ascii="Times New Roman" w:hAnsi="Times New Roman"/>
          <w:sz w:val="22"/>
          <w:szCs w:val="22"/>
          <w:lang w:val="sr-Latn-ME"/>
        </w:rPr>
        <w:t>ij</w:t>
      </w:r>
      <w:r w:rsidRPr="000E77D2">
        <w:rPr>
          <w:rFonts w:ascii="Times New Roman" w:hAnsi="Times New Roman"/>
          <w:sz w:val="22"/>
          <w:szCs w:val="22"/>
          <w:lang w:val="sr-Latn-ME"/>
        </w:rPr>
        <w:t>eka na kosti su pokazali da se kod žena l</w:t>
      </w:r>
      <w:r w:rsidR="00B60BDC" w:rsidRPr="000E77D2">
        <w:rPr>
          <w:rFonts w:ascii="Times New Roman" w:hAnsi="Times New Roman"/>
          <w:sz w:val="22"/>
          <w:szCs w:val="22"/>
          <w:lang w:val="sr-Latn-ME"/>
        </w:rPr>
        <w:t>ij</w:t>
      </w:r>
      <w:r w:rsidRPr="000E77D2">
        <w:rPr>
          <w:rFonts w:ascii="Times New Roman" w:hAnsi="Times New Roman"/>
          <w:sz w:val="22"/>
          <w:szCs w:val="22"/>
          <w:lang w:val="sr-Latn-ME"/>
        </w:rPr>
        <w:t>ečenih l</w:t>
      </w:r>
      <w:r w:rsidR="00B60BDC" w:rsidRPr="000E77D2">
        <w:rPr>
          <w:rFonts w:ascii="Times New Roman" w:hAnsi="Times New Roman"/>
          <w:sz w:val="22"/>
          <w:szCs w:val="22"/>
          <w:lang w:val="sr-Latn-ME"/>
        </w:rPr>
        <w:t>ij</w:t>
      </w:r>
      <w:r w:rsidRPr="000E77D2">
        <w:rPr>
          <w:rFonts w:ascii="Times New Roman" w:hAnsi="Times New Roman"/>
          <w:sz w:val="22"/>
          <w:szCs w:val="22"/>
          <w:lang w:val="sr-Latn-ME"/>
        </w:rPr>
        <w:t>ekom Aromasin, posle inicijalne terapije tamoksifenom, u toku 2-3 godine, b</w:t>
      </w:r>
      <w:r w:rsidR="00B60BDC" w:rsidRPr="000E77D2">
        <w:rPr>
          <w:rFonts w:ascii="Times New Roman" w:hAnsi="Times New Roman"/>
          <w:sz w:val="22"/>
          <w:szCs w:val="22"/>
          <w:lang w:val="sr-Latn-ME"/>
        </w:rPr>
        <w:t>i</w:t>
      </w:r>
      <w:r w:rsidRPr="000E77D2">
        <w:rPr>
          <w:rFonts w:ascii="Times New Roman" w:hAnsi="Times New Roman"/>
          <w:sz w:val="22"/>
          <w:szCs w:val="22"/>
          <w:lang w:val="sr-Latn-ME"/>
        </w:rPr>
        <w:t>l</w:t>
      </w:r>
      <w:r w:rsidR="00B60BDC" w:rsidRPr="000E77D2">
        <w:rPr>
          <w:rFonts w:ascii="Times New Roman" w:hAnsi="Times New Roman"/>
          <w:sz w:val="22"/>
          <w:szCs w:val="22"/>
          <w:lang w:val="sr-Latn-ME"/>
        </w:rPr>
        <w:t>j</w:t>
      </w:r>
      <w:r w:rsidRPr="000E77D2">
        <w:rPr>
          <w:rFonts w:ascii="Times New Roman" w:hAnsi="Times New Roman"/>
          <w:sz w:val="22"/>
          <w:szCs w:val="22"/>
          <w:lang w:val="sr-Latn-ME"/>
        </w:rPr>
        <w:t>eži um</w:t>
      </w:r>
      <w:r w:rsidR="00B60BDC" w:rsidRPr="000E77D2">
        <w:rPr>
          <w:rFonts w:ascii="Times New Roman" w:hAnsi="Times New Roman"/>
          <w:sz w:val="22"/>
          <w:szCs w:val="22"/>
          <w:lang w:val="sr-Latn-ME"/>
        </w:rPr>
        <w:t>j</w:t>
      </w:r>
      <w:r w:rsidRPr="000E77D2">
        <w:rPr>
          <w:rFonts w:ascii="Times New Roman" w:hAnsi="Times New Roman"/>
          <w:sz w:val="22"/>
          <w:szCs w:val="22"/>
          <w:lang w:val="sr-Latn-ME"/>
        </w:rPr>
        <w:t>ereno smanjenje mineralne gustine kostiju. Ukupno u toku studije, posl</w:t>
      </w:r>
      <w:r w:rsidR="00184D1F" w:rsidRPr="000E77D2">
        <w:rPr>
          <w:rFonts w:ascii="Times New Roman" w:hAnsi="Times New Roman"/>
          <w:sz w:val="22"/>
          <w:szCs w:val="22"/>
          <w:lang w:val="sr-Latn-ME"/>
        </w:rPr>
        <w:t>ij</w:t>
      </w:r>
      <w:r w:rsidRPr="000E77D2">
        <w:rPr>
          <w:rFonts w:ascii="Times New Roman" w:hAnsi="Times New Roman"/>
          <w:sz w:val="22"/>
          <w:szCs w:val="22"/>
          <w:lang w:val="sr-Latn-ME"/>
        </w:rPr>
        <w:t>e 30 m</w:t>
      </w:r>
      <w:r w:rsidR="00B60BDC" w:rsidRPr="000E77D2">
        <w:rPr>
          <w:rFonts w:ascii="Times New Roman" w:hAnsi="Times New Roman"/>
          <w:sz w:val="22"/>
          <w:szCs w:val="22"/>
          <w:lang w:val="sr-Latn-ME"/>
        </w:rPr>
        <w:t>j</w:t>
      </w:r>
      <w:r w:rsidRPr="000E77D2">
        <w:rPr>
          <w:rFonts w:ascii="Times New Roman" w:hAnsi="Times New Roman"/>
          <w:sz w:val="22"/>
          <w:szCs w:val="22"/>
          <w:lang w:val="sr-Latn-ME"/>
        </w:rPr>
        <w:t>eseci terapije, incidencija fraktura bila je veća kod pacijentkinja koje su primale</w:t>
      </w:r>
      <w:r w:rsidR="005729CD" w:rsidRPr="000E77D2">
        <w:rPr>
          <w:rFonts w:ascii="Times New Roman" w:hAnsi="Times New Roman"/>
          <w:sz w:val="22"/>
          <w:szCs w:val="22"/>
          <w:lang w:val="sr-Latn-ME"/>
        </w:rPr>
        <w:t xml:space="preserve"> lijek</w:t>
      </w:r>
      <w:r w:rsidRPr="000E77D2">
        <w:rPr>
          <w:rFonts w:ascii="Times New Roman" w:hAnsi="Times New Roman"/>
          <w:sz w:val="22"/>
          <w:szCs w:val="22"/>
          <w:lang w:val="sr-Latn-ME"/>
        </w:rPr>
        <w:t xml:space="preserve"> Aromasin od onih koje su dobijale tamoksifen (4,5% prema 3,3%, p</w:t>
      </w:r>
      <w:r w:rsidR="00AB2837" w:rsidRPr="000E77D2">
        <w:rPr>
          <w:rFonts w:ascii="Times New Roman" w:hAnsi="Times New Roman"/>
          <w:sz w:val="22"/>
          <w:szCs w:val="22"/>
          <w:lang w:val="sr-Latn-ME"/>
        </w:rPr>
        <w:t xml:space="preserve"> </w:t>
      </w:r>
      <w:r w:rsidRPr="000E77D2">
        <w:rPr>
          <w:rFonts w:ascii="Times New Roman" w:hAnsi="Times New Roman"/>
          <w:sz w:val="22"/>
          <w:szCs w:val="22"/>
          <w:lang w:val="sr-Latn-ME"/>
        </w:rPr>
        <w:t>=</w:t>
      </w:r>
      <w:r w:rsidR="00AB2837" w:rsidRPr="000E77D2">
        <w:rPr>
          <w:rFonts w:ascii="Times New Roman" w:hAnsi="Times New Roman"/>
          <w:sz w:val="22"/>
          <w:szCs w:val="22"/>
          <w:lang w:val="sr-Latn-ME"/>
        </w:rPr>
        <w:t xml:space="preserve"> </w:t>
      </w:r>
      <w:r w:rsidRPr="000E77D2">
        <w:rPr>
          <w:rFonts w:ascii="Times New Roman" w:hAnsi="Times New Roman"/>
          <w:sz w:val="22"/>
          <w:szCs w:val="22"/>
          <w:lang w:val="sr-Latn-ME"/>
        </w:rPr>
        <w:t>0,038).</w:t>
      </w:r>
    </w:p>
    <w:p w14:paraId="465F7C23" w14:textId="4B8148CC" w:rsidR="000450A4" w:rsidRPr="000E77D2" w:rsidRDefault="000450A4" w:rsidP="00BE6A13">
      <w:pPr>
        <w:rPr>
          <w:rFonts w:ascii="Times New Roman" w:hAnsi="Times New Roman"/>
          <w:sz w:val="22"/>
          <w:szCs w:val="22"/>
          <w:u w:val="single"/>
          <w:lang w:val="sr-Latn-ME"/>
        </w:rPr>
      </w:pPr>
      <w:r w:rsidRPr="000E77D2">
        <w:rPr>
          <w:rFonts w:ascii="Times New Roman" w:hAnsi="Times New Roman"/>
          <w:sz w:val="22"/>
          <w:szCs w:val="22"/>
          <w:lang w:val="sr-Latn-ME"/>
        </w:rPr>
        <w:t>Rezultati IES substudije dejstva l</w:t>
      </w:r>
      <w:r w:rsidR="00B60BDC" w:rsidRPr="000E77D2">
        <w:rPr>
          <w:rFonts w:ascii="Times New Roman" w:hAnsi="Times New Roman"/>
          <w:sz w:val="22"/>
          <w:szCs w:val="22"/>
          <w:lang w:val="sr-Latn-ME"/>
        </w:rPr>
        <w:t>ij</w:t>
      </w:r>
      <w:r w:rsidRPr="000E77D2">
        <w:rPr>
          <w:rFonts w:ascii="Times New Roman" w:hAnsi="Times New Roman"/>
          <w:sz w:val="22"/>
          <w:szCs w:val="22"/>
          <w:lang w:val="sr-Latn-ME"/>
        </w:rPr>
        <w:t>eka na endometrijum sugerišu da posl</w:t>
      </w:r>
      <w:r w:rsidR="007E2290" w:rsidRPr="000E77D2">
        <w:rPr>
          <w:rFonts w:ascii="Times New Roman" w:hAnsi="Times New Roman"/>
          <w:sz w:val="22"/>
          <w:szCs w:val="22"/>
          <w:lang w:val="sr-Latn-ME"/>
        </w:rPr>
        <w:t>ij</w:t>
      </w:r>
      <w:r w:rsidRPr="000E77D2">
        <w:rPr>
          <w:rFonts w:ascii="Times New Roman" w:hAnsi="Times New Roman"/>
          <w:sz w:val="22"/>
          <w:szCs w:val="22"/>
          <w:lang w:val="sr-Latn-ME"/>
        </w:rPr>
        <w:t>e dvogodišnje terapije pros</w:t>
      </w:r>
      <w:r w:rsidR="00B60BDC" w:rsidRPr="000E77D2">
        <w:rPr>
          <w:rFonts w:ascii="Times New Roman" w:hAnsi="Times New Roman"/>
          <w:sz w:val="22"/>
          <w:szCs w:val="22"/>
          <w:lang w:val="sr-Latn-ME"/>
        </w:rPr>
        <w:t>j</w:t>
      </w:r>
      <w:r w:rsidRPr="000E77D2">
        <w:rPr>
          <w:rFonts w:ascii="Times New Roman" w:hAnsi="Times New Roman"/>
          <w:sz w:val="22"/>
          <w:szCs w:val="22"/>
          <w:lang w:val="sr-Latn-ME"/>
        </w:rPr>
        <w:t xml:space="preserve">ečno smanjenje debljine endometrijuma kod pacijentkinja koje su primale </w:t>
      </w:r>
      <w:r w:rsidR="005729CD" w:rsidRPr="000E77D2">
        <w:rPr>
          <w:rFonts w:ascii="Times New Roman" w:hAnsi="Times New Roman"/>
          <w:sz w:val="22"/>
          <w:szCs w:val="22"/>
          <w:lang w:val="sr-Latn-ME"/>
        </w:rPr>
        <w:t xml:space="preserve">lijek </w:t>
      </w:r>
      <w:r w:rsidRPr="000E77D2">
        <w:rPr>
          <w:rFonts w:ascii="Times New Roman" w:hAnsi="Times New Roman"/>
          <w:sz w:val="22"/>
          <w:szCs w:val="22"/>
          <w:lang w:val="sr-Latn-ME"/>
        </w:rPr>
        <w:t>Aromasin iznosi 33% u odnosu na slabo m</w:t>
      </w:r>
      <w:r w:rsidR="00B60BDC" w:rsidRPr="000E77D2">
        <w:rPr>
          <w:rFonts w:ascii="Times New Roman" w:hAnsi="Times New Roman"/>
          <w:sz w:val="22"/>
          <w:szCs w:val="22"/>
          <w:lang w:val="sr-Latn-ME"/>
        </w:rPr>
        <w:t>j</w:t>
      </w:r>
      <w:r w:rsidRPr="000E77D2">
        <w:rPr>
          <w:rFonts w:ascii="Times New Roman" w:hAnsi="Times New Roman"/>
          <w:sz w:val="22"/>
          <w:szCs w:val="22"/>
          <w:lang w:val="sr-Latn-ME"/>
        </w:rPr>
        <w:t>erljivu prom</w:t>
      </w:r>
      <w:r w:rsidR="00B60BDC" w:rsidRPr="000E77D2">
        <w:rPr>
          <w:rFonts w:ascii="Times New Roman" w:hAnsi="Times New Roman"/>
          <w:sz w:val="22"/>
          <w:szCs w:val="22"/>
          <w:lang w:val="sr-Latn-ME"/>
        </w:rPr>
        <w:t>j</w:t>
      </w:r>
      <w:r w:rsidRPr="000E77D2">
        <w:rPr>
          <w:rFonts w:ascii="Times New Roman" w:hAnsi="Times New Roman"/>
          <w:sz w:val="22"/>
          <w:szCs w:val="22"/>
          <w:lang w:val="sr-Latn-ME"/>
        </w:rPr>
        <w:t>enu debljine endometrijuma kod pacijentkinja koje su dobijale tamoksifen. Proces zadebljavanja endometrijuma koji je zab</w:t>
      </w:r>
      <w:r w:rsidR="00B60BDC" w:rsidRPr="000E77D2">
        <w:rPr>
          <w:rFonts w:ascii="Times New Roman" w:hAnsi="Times New Roman"/>
          <w:sz w:val="22"/>
          <w:szCs w:val="22"/>
          <w:lang w:val="sr-Latn-ME"/>
        </w:rPr>
        <w:t>i</w:t>
      </w:r>
      <w:r w:rsidRPr="000E77D2">
        <w:rPr>
          <w:rFonts w:ascii="Times New Roman" w:hAnsi="Times New Roman"/>
          <w:sz w:val="22"/>
          <w:szCs w:val="22"/>
          <w:lang w:val="sr-Latn-ME"/>
        </w:rPr>
        <w:t>l</w:t>
      </w:r>
      <w:r w:rsidR="00B60BDC" w:rsidRPr="000E77D2">
        <w:rPr>
          <w:rFonts w:ascii="Times New Roman" w:hAnsi="Times New Roman"/>
          <w:sz w:val="22"/>
          <w:szCs w:val="22"/>
          <w:lang w:val="sr-Latn-ME"/>
        </w:rPr>
        <w:t>j</w:t>
      </w:r>
      <w:r w:rsidRPr="000E77D2">
        <w:rPr>
          <w:rFonts w:ascii="Times New Roman" w:hAnsi="Times New Roman"/>
          <w:sz w:val="22"/>
          <w:szCs w:val="22"/>
          <w:lang w:val="sr-Latn-ME"/>
        </w:rPr>
        <w:t>ežen na početku ispitivanja, u toku trajanja studije se vratio na normalne vr</w:t>
      </w:r>
      <w:r w:rsidR="00B60BDC" w:rsidRPr="000E77D2">
        <w:rPr>
          <w:rFonts w:ascii="Times New Roman" w:hAnsi="Times New Roman"/>
          <w:sz w:val="22"/>
          <w:szCs w:val="22"/>
          <w:lang w:val="sr-Latn-ME"/>
        </w:rPr>
        <w:t>ij</w:t>
      </w:r>
      <w:r w:rsidRPr="000E77D2">
        <w:rPr>
          <w:rFonts w:ascii="Times New Roman" w:hAnsi="Times New Roman"/>
          <w:sz w:val="22"/>
          <w:szCs w:val="22"/>
          <w:lang w:val="sr-Latn-ME"/>
        </w:rPr>
        <w:t xml:space="preserve">ednosti (&lt;5 mm) kod 54% pacijentkinja koje su primale </w:t>
      </w:r>
      <w:r w:rsidR="00B60BDC" w:rsidRPr="000E77D2">
        <w:rPr>
          <w:rFonts w:ascii="Times New Roman" w:hAnsi="Times New Roman"/>
          <w:sz w:val="22"/>
          <w:szCs w:val="22"/>
          <w:lang w:val="sr-Latn-ME"/>
        </w:rPr>
        <w:t xml:space="preserve">lijek </w:t>
      </w:r>
      <w:r w:rsidRPr="000E77D2">
        <w:rPr>
          <w:rFonts w:ascii="Times New Roman" w:hAnsi="Times New Roman"/>
          <w:sz w:val="22"/>
          <w:szCs w:val="22"/>
          <w:lang w:val="sr-Latn-ME"/>
        </w:rPr>
        <w:t xml:space="preserve">Aromasin. </w:t>
      </w:r>
    </w:p>
    <w:p w14:paraId="582A2FB8" w14:textId="77777777" w:rsidR="000450A4" w:rsidRPr="000E77D2" w:rsidRDefault="000450A4" w:rsidP="00BE6A13">
      <w:pPr>
        <w:rPr>
          <w:rFonts w:ascii="Times New Roman" w:hAnsi="Times New Roman"/>
          <w:color w:val="FF0000"/>
          <w:sz w:val="22"/>
          <w:szCs w:val="22"/>
          <w:u w:val="single"/>
          <w:lang w:val="sr-Latn-ME"/>
        </w:rPr>
      </w:pPr>
    </w:p>
    <w:p w14:paraId="657579FC" w14:textId="221C48A2" w:rsidR="000450A4" w:rsidRPr="000E77D2" w:rsidRDefault="000450A4" w:rsidP="00BE6A13">
      <w:pPr>
        <w:ind w:left="369" w:hanging="369"/>
        <w:rPr>
          <w:rFonts w:ascii="Times New Roman" w:hAnsi="Times New Roman"/>
          <w:i/>
          <w:sz w:val="22"/>
          <w:szCs w:val="22"/>
          <w:lang w:val="sr-Latn-ME"/>
        </w:rPr>
      </w:pPr>
      <w:r w:rsidRPr="000E77D2">
        <w:rPr>
          <w:rFonts w:ascii="Times New Roman" w:hAnsi="Times New Roman"/>
          <w:i/>
          <w:sz w:val="22"/>
          <w:szCs w:val="22"/>
          <w:lang w:val="sr-Latn-ME"/>
        </w:rPr>
        <w:t>Pros</w:t>
      </w:r>
      <w:r w:rsidR="00B60BDC" w:rsidRPr="000E77D2">
        <w:rPr>
          <w:rFonts w:ascii="Times New Roman" w:hAnsi="Times New Roman"/>
          <w:i/>
          <w:sz w:val="22"/>
          <w:szCs w:val="22"/>
          <w:lang w:val="sr-Latn-ME"/>
        </w:rPr>
        <w:t>j</w:t>
      </w:r>
      <w:r w:rsidRPr="000E77D2">
        <w:rPr>
          <w:rFonts w:ascii="Times New Roman" w:hAnsi="Times New Roman"/>
          <w:i/>
          <w:sz w:val="22"/>
          <w:szCs w:val="22"/>
          <w:lang w:val="sr-Latn-ME"/>
        </w:rPr>
        <w:t>ečno praćenje pacijentkinja od 87 m</w:t>
      </w:r>
      <w:r w:rsidR="00B60BDC" w:rsidRPr="000E77D2">
        <w:rPr>
          <w:rFonts w:ascii="Times New Roman" w:hAnsi="Times New Roman"/>
          <w:i/>
          <w:sz w:val="22"/>
          <w:szCs w:val="22"/>
          <w:lang w:val="sr-Latn-ME"/>
        </w:rPr>
        <w:t>j</w:t>
      </w:r>
      <w:r w:rsidRPr="000E77D2">
        <w:rPr>
          <w:rFonts w:ascii="Times New Roman" w:hAnsi="Times New Roman"/>
          <w:i/>
          <w:sz w:val="22"/>
          <w:szCs w:val="22"/>
          <w:lang w:val="sr-Latn-ME"/>
        </w:rPr>
        <w:t>eseci kod IES studije</w:t>
      </w:r>
    </w:p>
    <w:p w14:paraId="66D5B813" w14:textId="77777777" w:rsidR="000450A4" w:rsidRPr="000E77D2" w:rsidRDefault="000450A4" w:rsidP="00BE6A13">
      <w:pPr>
        <w:rPr>
          <w:rFonts w:ascii="Times New Roman" w:hAnsi="Times New Roman"/>
          <w:sz w:val="22"/>
          <w:szCs w:val="22"/>
          <w:lang w:val="sr-Latn-ME"/>
        </w:rPr>
      </w:pPr>
    </w:p>
    <w:p w14:paraId="13CEA29C" w14:textId="34EC9AE9" w:rsidR="00A47E5B" w:rsidRPr="000E77D2" w:rsidRDefault="000450A4" w:rsidP="007E2290">
      <w:pPr>
        <w:rPr>
          <w:rFonts w:ascii="Times New Roman" w:hAnsi="Times New Roman"/>
          <w:sz w:val="22"/>
          <w:szCs w:val="22"/>
          <w:lang w:val="sr-Latn-ME"/>
        </w:rPr>
      </w:pPr>
      <w:r w:rsidRPr="000E77D2">
        <w:rPr>
          <w:rFonts w:ascii="Times New Roman" w:hAnsi="Times New Roman"/>
          <w:sz w:val="22"/>
          <w:szCs w:val="22"/>
          <w:lang w:val="sr-Latn-ME"/>
        </w:rPr>
        <w:t>Posl</w:t>
      </w:r>
      <w:r w:rsidR="007E2290" w:rsidRPr="000E77D2">
        <w:rPr>
          <w:rFonts w:ascii="Times New Roman" w:hAnsi="Times New Roman"/>
          <w:sz w:val="22"/>
          <w:szCs w:val="22"/>
          <w:lang w:val="sr-Latn-ME"/>
        </w:rPr>
        <w:t>ij</w:t>
      </w:r>
      <w:r w:rsidRPr="000E77D2">
        <w:rPr>
          <w:rFonts w:ascii="Times New Roman" w:hAnsi="Times New Roman"/>
          <w:sz w:val="22"/>
          <w:szCs w:val="22"/>
          <w:lang w:val="sr-Latn-ME"/>
        </w:rPr>
        <w:t xml:space="preserve">e </w:t>
      </w:r>
      <w:r w:rsidR="007E2290" w:rsidRPr="000E77D2">
        <w:rPr>
          <w:rFonts w:ascii="Times New Roman" w:hAnsi="Times New Roman"/>
          <w:sz w:val="22"/>
          <w:szCs w:val="22"/>
          <w:lang w:val="sr-Latn-ME"/>
        </w:rPr>
        <w:t>medijane</w:t>
      </w:r>
      <w:r w:rsidRPr="000E77D2">
        <w:rPr>
          <w:rFonts w:ascii="Times New Roman" w:hAnsi="Times New Roman"/>
          <w:sz w:val="22"/>
          <w:szCs w:val="22"/>
          <w:lang w:val="sr-Latn-ME"/>
        </w:rPr>
        <w:t xml:space="preserve"> trajanja terapije od oko 30 m</w:t>
      </w:r>
      <w:r w:rsidR="00917F9B" w:rsidRPr="000E77D2">
        <w:rPr>
          <w:rFonts w:ascii="Times New Roman" w:hAnsi="Times New Roman"/>
          <w:sz w:val="22"/>
          <w:szCs w:val="22"/>
          <w:lang w:val="sr-Latn-ME"/>
        </w:rPr>
        <w:t>j</w:t>
      </w:r>
      <w:r w:rsidRPr="000E77D2">
        <w:rPr>
          <w:rFonts w:ascii="Times New Roman" w:hAnsi="Times New Roman"/>
          <w:sz w:val="22"/>
          <w:szCs w:val="22"/>
          <w:lang w:val="sr-Latn-ME"/>
        </w:rPr>
        <w:t xml:space="preserve">eseci i </w:t>
      </w:r>
      <w:r w:rsidR="007E2290" w:rsidRPr="000E77D2">
        <w:rPr>
          <w:rFonts w:ascii="Times New Roman" w:hAnsi="Times New Roman"/>
          <w:sz w:val="22"/>
          <w:szCs w:val="22"/>
          <w:lang w:val="sr-Latn-ME"/>
        </w:rPr>
        <w:t>medijane</w:t>
      </w:r>
      <w:r w:rsidRPr="000E77D2">
        <w:rPr>
          <w:rFonts w:ascii="Times New Roman" w:hAnsi="Times New Roman"/>
          <w:sz w:val="22"/>
          <w:szCs w:val="22"/>
          <w:lang w:val="sr-Latn-ME"/>
        </w:rPr>
        <w:t xml:space="preserve"> praćenja pacijentkinja od oko 87 m</w:t>
      </w:r>
      <w:r w:rsidR="00B60BDC" w:rsidRPr="000E77D2">
        <w:rPr>
          <w:rFonts w:ascii="Times New Roman" w:hAnsi="Times New Roman"/>
          <w:sz w:val="22"/>
          <w:szCs w:val="22"/>
          <w:lang w:val="sr-Latn-ME"/>
        </w:rPr>
        <w:t>j</w:t>
      </w:r>
      <w:r w:rsidRPr="000E77D2">
        <w:rPr>
          <w:rFonts w:ascii="Times New Roman" w:hAnsi="Times New Roman"/>
          <w:sz w:val="22"/>
          <w:szCs w:val="22"/>
          <w:lang w:val="sr-Latn-ME"/>
        </w:rPr>
        <w:t>eseci, rezultati su pokazali da je sekvencijalna terapija eksemestanom posl</w:t>
      </w:r>
      <w:r w:rsidR="007E2290" w:rsidRPr="000E77D2">
        <w:rPr>
          <w:rFonts w:ascii="Times New Roman" w:hAnsi="Times New Roman"/>
          <w:sz w:val="22"/>
          <w:szCs w:val="22"/>
          <w:lang w:val="sr-Latn-ME"/>
        </w:rPr>
        <w:t>ij</w:t>
      </w:r>
      <w:r w:rsidRPr="000E77D2">
        <w:rPr>
          <w:rFonts w:ascii="Times New Roman" w:hAnsi="Times New Roman"/>
          <w:sz w:val="22"/>
          <w:szCs w:val="22"/>
          <w:lang w:val="sr-Latn-ME"/>
        </w:rPr>
        <w:t>e dvogodišnje ili trogodišnje adjuvantne terapije tamoksifenom bila udružena sa klinički i statistički značajnim produženjem vremena preživljavanja bez znakova bolesti (</w:t>
      </w:r>
      <w:r w:rsidR="0067645F" w:rsidRPr="000E77D2">
        <w:rPr>
          <w:rFonts w:ascii="Times New Roman" w:hAnsi="Times New Roman"/>
          <w:sz w:val="22"/>
          <w:szCs w:val="22"/>
          <w:lang w:val="sr-Latn-ME"/>
        </w:rPr>
        <w:t xml:space="preserve">engl. </w:t>
      </w:r>
      <w:r w:rsidRPr="000E77D2">
        <w:rPr>
          <w:rFonts w:ascii="Times New Roman" w:hAnsi="Times New Roman"/>
          <w:i/>
          <w:sz w:val="22"/>
          <w:szCs w:val="22"/>
          <w:lang w:val="sr-Latn-ME"/>
        </w:rPr>
        <w:t>disease-free survival - DFS</w:t>
      </w:r>
      <w:r w:rsidRPr="000E77D2">
        <w:rPr>
          <w:rFonts w:ascii="Times New Roman" w:hAnsi="Times New Roman"/>
          <w:sz w:val="22"/>
          <w:szCs w:val="22"/>
          <w:lang w:val="sr-Latn-ME"/>
        </w:rPr>
        <w:t>) u odnosu na nastavak prim</w:t>
      </w:r>
      <w:r w:rsidR="00B60BDC" w:rsidRPr="000E77D2">
        <w:rPr>
          <w:rFonts w:ascii="Times New Roman" w:hAnsi="Times New Roman"/>
          <w:sz w:val="22"/>
          <w:szCs w:val="22"/>
          <w:lang w:val="sr-Latn-ME"/>
        </w:rPr>
        <w:t>j</w:t>
      </w:r>
      <w:r w:rsidRPr="000E77D2">
        <w:rPr>
          <w:rFonts w:ascii="Times New Roman" w:hAnsi="Times New Roman"/>
          <w:sz w:val="22"/>
          <w:szCs w:val="22"/>
          <w:lang w:val="sr-Latn-ME"/>
        </w:rPr>
        <w:t>ene tamoksifena. Rezultati su pokazali da je prim</w:t>
      </w:r>
      <w:r w:rsidR="00B60BDC" w:rsidRPr="000E77D2">
        <w:rPr>
          <w:rFonts w:ascii="Times New Roman" w:hAnsi="Times New Roman"/>
          <w:sz w:val="22"/>
          <w:szCs w:val="22"/>
          <w:lang w:val="sr-Latn-ME"/>
        </w:rPr>
        <w:t>j</w:t>
      </w:r>
      <w:r w:rsidRPr="000E77D2">
        <w:rPr>
          <w:rFonts w:ascii="Times New Roman" w:hAnsi="Times New Roman"/>
          <w:sz w:val="22"/>
          <w:szCs w:val="22"/>
          <w:lang w:val="sr-Latn-ME"/>
        </w:rPr>
        <w:t>ena l</w:t>
      </w:r>
      <w:r w:rsidR="00B60BDC" w:rsidRPr="000E77D2">
        <w:rPr>
          <w:rFonts w:ascii="Times New Roman" w:hAnsi="Times New Roman"/>
          <w:sz w:val="22"/>
          <w:szCs w:val="22"/>
          <w:lang w:val="sr-Latn-ME"/>
        </w:rPr>
        <w:t>ij</w:t>
      </w:r>
      <w:r w:rsidRPr="000E77D2">
        <w:rPr>
          <w:rFonts w:ascii="Times New Roman" w:hAnsi="Times New Roman"/>
          <w:sz w:val="22"/>
          <w:szCs w:val="22"/>
          <w:lang w:val="sr-Latn-ME"/>
        </w:rPr>
        <w:t>eka Aromasin tokom praćenja u studiji značajno smanjila rizik za ponovnu pojavu karcinoma dojke za 16% u odnosu na tamoksifen (odnos rizika 0,84; p</w:t>
      </w:r>
      <w:r w:rsidR="000B2836" w:rsidRPr="000E77D2">
        <w:rPr>
          <w:rFonts w:ascii="Times New Roman" w:hAnsi="Times New Roman"/>
          <w:sz w:val="22"/>
          <w:szCs w:val="22"/>
          <w:lang w:val="sr-Latn-ME"/>
        </w:rPr>
        <w:t> </w:t>
      </w:r>
      <w:r w:rsidRPr="000E77D2">
        <w:rPr>
          <w:rFonts w:ascii="Times New Roman" w:hAnsi="Times New Roman"/>
          <w:sz w:val="22"/>
          <w:szCs w:val="22"/>
          <w:lang w:val="sr-Latn-ME"/>
        </w:rPr>
        <w:t>=</w:t>
      </w:r>
      <w:r w:rsidR="000B2836" w:rsidRPr="000E77D2">
        <w:rPr>
          <w:rFonts w:ascii="Times New Roman" w:hAnsi="Times New Roman"/>
          <w:sz w:val="22"/>
          <w:szCs w:val="22"/>
          <w:lang w:val="sr-Latn-ME"/>
        </w:rPr>
        <w:t> </w:t>
      </w:r>
      <w:r w:rsidRPr="000E77D2">
        <w:rPr>
          <w:rFonts w:ascii="Times New Roman" w:hAnsi="Times New Roman"/>
          <w:sz w:val="22"/>
          <w:szCs w:val="22"/>
          <w:lang w:val="sr-Latn-ME"/>
        </w:rPr>
        <w:t>0,002).</w:t>
      </w:r>
    </w:p>
    <w:p w14:paraId="79410586" w14:textId="319BA0A8" w:rsidR="000450A4" w:rsidRPr="000E77D2" w:rsidRDefault="000450A4" w:rsidP="007E2290">
      <w:pPr>
        <w:rPr>
          <w:rFonts w:ascii="Times New Roman" w:hAnsi="Times New Roman"/>
          <w:bCs/>
          <w:sz w:val="22"/>
          <w:szCs w:val="22"/>
          <w:lang w:val="sr-Latn-ME"/>
        </w:rPr>
      </w:pPr>
      <w:r w:rsidRPr="000E77D2">
        <w:rPr>
          <w:rFonts w:ascii="Times New Roman" w:hAnsi="Times New Roman"/>
          <w:sz w:val="22"/>
          <w:szCs w:val="22"/>
          <w:lang w:val="sr-Latn-ME"/>
        </w:rPr>
        <w:lastRenderedPageBreak/>
        <w:t>Povoljni efekti prim</w:t>
      </w:r>
      <w:r w:rsidR="00B60BDC" w:rsidRPr="000E77D2">
        <w:rPr>
          <w:rFonts w:ascii="Times New Roman" w:hAnsi="Times New Roman"/>
          <w:sz w:val="22"/>
          <w:szCs w:val="22"/>
          <w:lang w:val="sr-Latn-ME"/>
        </w:rPr>
        <w:t>j</w:t>
      </w:r>
      <w:r w:rsidRPr="000E77D2">
        <w:rPr>
          <w:rFonts w:ascii="Times New Roman" w:hAnsi="Times New Roman"/>
          <w:sz w:val="22"/>
          <w:szCs w:val="22"/>
          <w:lang w:val="sr-Latn-ME"/>
        </w:rPr>
        <w:t xml:space="preserve">ene eksemestana u odnosu na tamoksifen, </w:t>
      </w:r>
      <w:r w:rsidR="00A22060" w:rsidRPr="000E77D2">
        <w:rPr>
          <w:rFonts w:ascii="Times New Roman" w:hAnsi="Times New Roman"/>
          <w:sz w:val="22"/>
          <w:szCs w:val="22"/>
          <w:lang w:val="sr-Latn-ME"/>
        </w:rPr>
        <w:t>na osnovu</w:t>
      </w:r>
      <w:r w:rsidRPr="000E77D2">
        <w:rPr>
          <w:rFonts w:ascii="Times New Roman" w:hAnsi="Times New Roman"/>
          <w:sz w:val="22"/>
          <w:szCs w:val="22"/>
          <w:lang w:val="sr-Latn-ME"/>
        </w:rPr>
        <w:t xml:space="preserve"> vreme</w:t>
      </w:r>
      <w:r w:rsidR="00A22060" w:rsidRPr="000E77D2">
        <w:rPr>
          <w:rFonts w:ascii="Times New Roman" w:hAnsi="Times New Roman"/>
          <w:sz w:val="22"/>
          <w:szCs w:val="22"/>
          <w:lang w:val="sr-Latn-ME"/>
        </w:rPr>
        <w:t>na</w:t>
      </w:r>
      <w:r w:rsidRPr="000E77D2">
        <w:rPr>
          <w:rFonts w:ascii="Times New Roman" w:hAnsi="Times New Roman"/>
          <w:sz w:val="22"/>
          <w:szCs w:val="22"/>
          <w:lang w:val="sr-Latn-ME"/>
        </w:rPr>
        <w:t xml:space="preserve"> preživljavanja bez znakova bolesti (DFS), bili su očigledni bez obzira na status limfnih čvorova ili prethodnu hem</w:t>
      </w:r>
      <w:r w:rsidR="00635E8F" w:rsidRPr="000E77D2">
        <w:rPr>
          <w:rFonts w:ascii="Times New Roman" w:hAnsi="Times New Roman"/>
          <w:sz w:val="22"/>
          <w:szCs w:val="22"/>
          <w:lang w:val="sr-Latn-ME"/>
        </w:rPr>
        <w:t>i</w:t>
      </w:r>
      <w:r w:rsidRPr="000E77D2">
        <w:rPr>
          <w:rFonts w:ascii="Times New Roman" w:hAnsi="Times New Roman"/>
          <w:sz w:val="22"/>
          <w:szCs w:val="22"/>
          <w:lang w:val="sr-Latn-ME"/>
        </w:rPr>
        <w:t>oterapiju, odnosno hormonsku terapiju. Statistička značajnost nije održana u nekoliko podgrupa sa malim brojem pacijentkinja. Podaci su pokazali trend u korist eksemestana kod pacijentkinja sa više od 9 pozitivnih limfnih čvorova ili kod pacijentkinja koje su prethodno primale CMF hem</w:t>
      </w:r>
      <w:r w:rsidR="00635E8F" w:rsidRPr="000E77D2">
        <w:rPr>
          <w:rFonts w:ascii="Times New Roman" w:hAnsi="Times New Roman"/>
          <w:sz w:val="22"/>
          <w:szCs w:val="22"/>
          <w:lang w:val="sr-Latn-ME"/>
        </w:rPr>
        <w:t>i</w:t>
      </w:r>
      <w:r w:rsidRPr="000E77D2">
        <w:rPr>
          <w:rFonts w:ascii="Times New Roman" w:hAnsi="Times New Roman"/>
          <w:sz w:val="22"/>
          <w:szCs w:val="22"/>
          <w:lang w:val="sr-Latn-ME"/>
        </w:rPr>
        <w:t>oterapiju (ciklofosfamid,</w:t>
      </w:r>
      <w:r w:rsidR="007E2290" w:rsidRPr="000E77D2">
        <w:rPr>
          <w:rFonts w:ascii="Times New Roman" w:hAnsi="Times New Roman"/>
          <w:sz w:val="22"/>
          <w:szCs w:val="22"/>
          <w:lang w:val="sr-Latn-ME"/>
        </w:rPr>
        <w:t xml:space="preserve"> </w:t>
      </w:r>
      <w:r w:rsidRPr="000E77D2">
        <w:rPr>
          <w:rFonts w:ascii="Times New Roman" w:hAnsi="Times New Roman"/>
          <w:sz w:val="22"/>
          <w:szCs w:val="22"/>
          <w:lang w:val="sr-Latn-ME"/>
        </w:rPr>
        <w:t>metotreksat i 5-fluorouracil). Kod pacijentkinja sa nepoznatim statusom limfnih čvorova, neodređenim statusom prethodno prim</w:t>
      </w:r>
      <w:r w:rsidR="00B60BDC" w:rsidRPr="000E77D2">
        <w:rPr>
          <w:rFonts w:ascii="Times New Roman" w:hAnsi="Times New Roman"/>
          <w:sz w:val="22"/>
          <w:szCs w:val="22"/>
          <w:lang w:val="sr-Latn-ME"/>
        </w:rPr>
        <w:t>ij</w:t>
      </w:r>
      <w:r w:rsidRPr="000E77D2">
        <w:rPr>
          <w:rFonts w:ascii="Times New Roman" w:hAnsi="Times New Roman"/>
          <w:sz w:val="22"/>
          <w:szCs w:val="22"/>
          <w:lang w:val="sr-Latn-ME"/>
        </w:rPr>
        <w:t>enjene hem</w:t>
      </w:r>
      <w:r w:rsidR="00635E8F" w:rsidRPr="000E77D2">
        <w:rPr>
          <w:rFonts w:ascii="Times New Roman" w:hAnsi="Times New Roman"/>
          <w:sz w:val="22"/>
          <w:szCs w:val="22"/>
          <w:lang w:val="sr-Latn-ME"/>
        </w:rPr>
        <w:t>i</w:t>
      </w:r>
      <w:r w:rsidRPr="000E77D2">
        <w:rPr>
          <w:rFonts w:ascii="Times New Roman" w:hAnsi="Times New Roman"/>
          <w:sz w:val="22"/>
          <w:szCs w:val="22"/>
          <w:lang w:val="sr-Latn-ME"/>
        </w:rPr>
        <w:t>oterapije, kao i sa nepoznatim/neutvrđenim statusom prethodne hormonske terapije, prim</w:t>
      </w:r>
      <w:r w:rsidR="00B60BDC" w:rsidRPr="000E77D2">
        <w:rPr>
          <w:rFonts w:ascii="Times New Roman" w:hAnsi="Times New Roman"/>
          <w:sz w:val="22"/>
          <w:szCs w:val="22"/>
          <w:lang w:val="sr-Latn-ME"/>
        </w:rPr>
        <w:t>ij</w:t>
      </w:r>
      <w:r w:rsidRPr="000E77D2">
        <w:rPr>
          <w:rFonts w:ascii="Times New Roman" w:hAnsi="Times New Roman"/>
          <w:sz w:val="22"/>
          <w:szCs w:val="22"/>
          <w:lang w:val="sr-Latn-ME"/>
        </w:rPr>
        <w:t>ećen je trend u korist tamoksifena koji nije bio statistički značajan.</w:t>
      </w:r>
    </w:p>
    <w:p w14:paraId="4E7DD120" w14:textId="77777777" w:rsidR="000450A4" w:rsidRPr="000E77D2" w:rsidRDefault="000450A4" w:rsidP="00BE6A13">
      <w:pPr>
        <w:rPr>
          <w:rFonts w:ascii="Times New Roman" w:hAnsi="Times New Roman"/>
          <w:color w:val="FF0000"/>
          <w:sz w:val="22"/>
          <w:szCs w:val="22"/>
          <w:lang w:val="sr-Latn-ME"/>
        </w:rPr>
      </w:pPr>
    </w:p>
    <w:p w14:paraId="4BCCA499" w14:textId="1CF09B9C"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Uz to, eksemestan je takođe značajno produžio preživljavanje bez karcinoma dojke (odnos rizika 0,82, p</w:t>
      </w:r>
      <w:r w:rsidR="000B2836" w:rsidRPr="000E77D2">
        <w:rPr>
          <w:rFonts w:ascii="Times New Roman" w:hAnsi="Times New Roman"/>
          <w:sz w:val="22"/>
          <w:szCs w:val="22"/>
          <w:lang w:val="sr-Latn-ME"/>
        </w:rPr>
        <w:t> </w:t>
      </w:r>
      <w:r w:rsidRPr="000E77D2">
        <w:rPr>
          <w:rFonts w:ascii="Times New Roman" w:hAnsi="Times New Roman"/>
          <w:sz w:val="22"/>
          <w:szCs w:val="22"/>
          <w:lang w:val="sr-Latn-ME"/>
        </w:rPr>
        <w:t>=</w:t>
      </w:r>
      <w:r w:rsidR="000B2836" w:rsidRPr="000E77D2">
        <w:rPr>
          <w:rFonts w:ascii="Times New Roman" w:hAnsi="Times New Roman"/>
          <w:sz w:val="22"/>
          <w:szCs w:val="22"/>
          <w:lang w:val="sr-Latn-ME"/>
        </w:rPr>
        <w:t> </w:t>
      </w:r>
      <w:r w:rsidRPr="000E77D2">
        <w:rPr>
          <w:rFonts w:ascii="Times New Roman" w:hAnsi="Times New Roman"/>
          <w:sz w:val="22"/>
          <w:szCs w:val="22"/>
          <w:lang w:val="sr-Latn-ME"/>
        </w:rPr>
        <w:t>0,00263) i preživljavanje bez udaljenih metastaza (odnos rizika 0,85, p</w:t>
      </w:r>
      <w:r w:rsidR="000B2836" w:rsidRPr="000E77D2">
        <w:rPr>
          <w:rFonts w:ascii="Times New Roman" w:hAnsi="Times New Roman"/>
          <w:sz w:val="22"/>
          <w:szCs w:val="22"/>
          <w:lang w:val="sr-Latn-ME"/>
        </w:rPr>
        <w:t> </w:t>
      </w:r>
      <w:r w:rsidRPr="000E77D2">
        <w:rPr>
          <w:rFonts w:ascii="Times New Roman" w:hAnsi="Times New Roman"/>
          <w:sz w:val="22"/>
          <w:szCs w:val="22"/>
          <w:lang w:val="sr-Latn-ME"/>
        </w:rPr>
        <w:t>=</w:t>
      </w:r>
      <w:r w:rsidR="000B2836" w:rsidRPr="000E77D2">
        <w:rPr>
          <w:rFonts w:ascii="Times New Roman" w:hAnsi="Times New Roman"/>
          <w:sz w:val="22"/>
          <w:szCs w:val="22"/>
          <w:lang w:val="sr-Latn-ME"/>
        </w:rPr>
        <w:t> </w:t>
      </w:r>
      <w:r w:rsidRPr="000E77D2">
        <w:rPr>
          <w:rFonts w:ascii="Times New Roman" w:hAnsi="Times New Roman"/>
          <w:sz w:val="22"/>
          <w:szCs w:val="22"/>
          <w:lang w:val="sr-Latn-ME"/>
        </w:rPr>
        <w:t>0,02425).</w:t>
      </w:r>
    </w:p>
    <w:p w14:paraId="04D3519C" w14:textId="77777777" w:rsidR="000450A4" w:rsidRPr="000E77D2" w:rsidRDefault="000450A4" w:rsidP="00BE6A13">
      <w:pPr>
        <w:ind w:left="11"/>
        <w:rPr>
          <w:rFonts w:ascii="Times New Roman" w:hAnsi="Times New Roman"/>
          <w:sz w:val="22"/>
          <w:szCs w:val="22"/>
          <w:lang w:val="sr-Latn-ME"/>
        </w:rPr>
      </w:pPr>
    </w:p>
    <w:p w14:paraId="39EE80D9" w14:textId="3A6F0800" w:rsidR="000450A4" w:rsidRPr="000E77D2" w:rsidRDefault="00545F66" w:rsidP="007E2290">
      <w:pPr>
        <w:rPr>
          <w:rFonts w:ascii="Times New Roman" w:hAnsi="Times New Roman"/>
          <w:sz w:val="22"/>
          <w:szCs w:val="22"/>
          <w:lang w:val="sr-Latn-ME"/>
        </w:rPr>
      </w:pPr>
      <w:r w:rsidRPr="000E77D2">
        <w:rPr>
          <w:rFonts w:ascii="Times New Roman" w:hAnsi="Times New Roman"/>
          <w:sz w:val="22"/>
          <w:szCs w:val="22"/>
          <w:lang w:val="sr-Latn-ME"/>
        </w:rPr>
        <w:t>L</w:t>
      </w:r>
      <w:r w:rsidR="00B60BDC" w:rsidRPr="000E77D2">
        <w:rPr>
          <w:rFonts w:ascii="Times New Roman" w:hAnsi="Times New Roman"/>
          <w:sz w:val="22"/>
          <w:szCs w:val="22"/>
          <w:lang w:val="sr-Latn-ME"/>
        </w:rPr>
        <w:t>ij</w:t>
      </w:r>
      <w:r w:rsidRPr="000E77D2">
        <w:rPr>
          <w:rFonts w:ascii="Times New Roman" w:hAnsi="Times New Roman"/>
          <w:sz w:val="22"/>
          <w:szCs w:val="22"/>
          <w:lang w:val="sr-Latn-ME"/>
        </w:rPr>
        <w:t xml:space="preserve">ek </w:t>
      </w:r>
      <w:r w:rsidR="000450A4" w:rsidRPr="000E77D2">
        <w:rPr>
          <w:rFonts w:ascii="Times New Roman" w:hAnsi="Times New Roman"/>
          <w:sz w:val="22"/>
          <w:szCs w:val="22"/>
          <w:lang w:val="sr-Latn-ME"/>
        </w:rPr>
        <w:t>Aromasin je takođe smanjio rizik od pojave kontralateralnog karcinoma dojke, iako je efekat prestao da bude statistički značajan u posmatranom periodu studije (odnos rizika 0,74, p</w:t>
      </w:r>
      <w:r w:rsidR="00EC0E7E" w:rsidRPr="000E77D2">
        <w:rPr>
          <w:rFonts w:ascii="Times New Roman" w:hAnsi="Times New Roman"/>
          <w:sz w:val="22"/>
          <w:szCs w:val="22"/>
          <w:lang w:val="sr-Latn-ME"/>
        </w:rPr>
        <w:t xml:space="preserve"> </w:t>
      </w:r>
      <w:r w:rsidR="000450A4" w:rsidRPr="000E77D2">
        <w:rPr>
          <w:rFonts w:ascii="Times New Roman" w:hAnsi="Times New Roman"/>
          <w:sz w:val="22"/>
          <w:szCs w:val="22"/>
          <w:lang w:val="sr-Latn-ME"/>
        </w:rPr>
        <w:t>=</w:t>
      </w:r>
      <w:r w:rsidR="00EC0E7E" w:rsidRPr="000E77D2">
        <w:rPr>
          <w:rFonts w:ascii="Times New Roman" w:hAnsi="Times New Roman"/>
          <w:sz w:val="22"/>
          <w:szCs w:val="22"/>
          <w:lang w:val="sr-Latn-ME"/>
        </w:rPr>
        <w:t xml:space="preserve"> </w:t>
      </w:r>
      <w:r w:rsidR="000450A4" w:rsidRPr="000E77D2">
        <w:rPr>
          <w:rFonts w:ascii="Times New Roman" w:hAnsi="Times New Roman"/>
          <w:sz w:val="22"/>
          <w:szCs w:val="22"/>
          <w:lang w:val="sr-Latn-ME"/>
        </w:rPr>
        <w:t>0,12983). U ukupnoj ispitivanoj populaciji, prim</w:t>
      </w:r>
      <w:r w:rsidR="00B60BDC" w:rsidRPr="000E77D2">
        <w:rPr>
          <w:rFonts w:ascii="Times New Roman" w:hAnsi="Times New Roman"/>
          <w:sz w:val="22"/>
          <w:szCs w:val="22"/>
          <w:lang w:val="sr-Latn-ME"/>
        </w:rPr>
        <w:t>ij</w:t>
      </w:r>
      <w:r w:rsidR="000450A4" w:rsidRPr="000E77D2">
        <w:rPr>
          <w:rFonts w:ascii="Times New Roman" w:hAnsi="Times New Roman"/>
          <w:sz w:val="22"/>
          <w:szCs w:val="22"/>
          <w:lang w:val="sr-Latn-ME"/>
        </w:rPr>
        <w:t>ećen je trend poboljšanja ukupnog preživljavanja (</w:t>
      </w:r>
      <w:r w:rsidR="00A47E5B" w:rsidRPr="000E77D2">
        <w:rPr>
          <w:rFonts w:ascii="Times New Roman" w:hAnsi="Times New Roman"/>
          <w:sz w:val="22"/>
          <w:szCs w:val="22"/>
          <w:lang w:val="sr-Latn-ME"/>
        </w:rPr>
        <w:t xml:space="preserve">engl. </w:t>
      </w:r>
      <w:r w:rsidR="00A47E5B" w:rsidRPr="000E77D2">
        <w:rPr>
          <w:rFonts w:ascii="Times New Roman" w:hAnsi="Times New Roman"/>
          <w:i/>
          <w:sz w:val="22"/>
          <w:szCs w:val="22"/>
          <w:lang w:val="sr-Latn-ME"/>
        </w:rPr>
        <w:t xml:space="preserve">overall survival - </w:t>
      </w:r>
      <w:r w:rsidR="000450A4" w:rsidRPr="000E77D2">
        <w:rPr>
          <w:rFonts w:ascii="Times New Roman" w:hAnsi="Times New Roman"/>
          <w:sz w:val="22"/>
          <w:szCs w:val="22"/>
          <w:lang w:val="sr-Latn-ME"/>
        </w:rPr>
        <w:t>OS) za eksemestan (373 smrtna ishoda) u odnosu na tamoksifen (420 smrtn</w:t>
      </w:r>
      <w:r w:rsidR="00A47E5B" w:rsidRPr="000E77D2">
        <w:rPr>
          <w:rFonts w:ascii="Times New Roman" w:hAnsi="Times New Roman"/>
          <w:sz w:val="22"/>
          <w:szCs w:val="22"/>
          <w:lang w:val="sr-Latn-ME"/>
        </w:rPr>
        <w:t>ih</w:t>
      </w:r>
      <w:r w:rsidR="000450A4" w:rsidRPr="000E77D2">
        <w:rPr>
          <w:rFonts w:ascii="Times New Roman" w:hAnsi="Times New Roman"/>
          <w:sz w:val="22"/>
          <w:szCs w:val="22"/>
          <w:lang w:val="sr-Latn-ME"/>
        </w:rPr>
        <w:t xml:space="preserve"> ishoda) sa odnosom rizika 0,89 (</w:t>
      </w:r>
      <w:r w:rsidR="00414989" w:rsidRPr="000E77D2">
        <w:rPr>
          <w:rFonts w:ascii="Times New Roman" w:hAnsi="Times New Roman"/>
          <w:i/>
          <w:sz w:val="22"/>
          <w:szCs w:val="22"/>
          <w:lang w:val="sr-Latn-ME"/>
        </w:rPr>
        <w:t>log-</w:t>
      </w:r>
      <w:r w:rsidR="000450A4" w:rsidRPr="000E77D2">
        <w:rPr>
          <w:rFonts w:ascii="Times New Roman" w:hAnsi="Times New Roman"/>
          <w:i/>
          <w:sz w:val="22"/>
          <w:szCs w:val="22"/>
          <w:lang w:val="sr-Latn-ME"/>
        </w:rPr>
        <w:t>rank</w:t>
      </w:r>
      <w:r w:rsidR="00C91719" w:rsidRPr="000E77D2">
        <w:rPr>
          <w:rFonts w:ascii="Times New Roman" w:hAnsi="Times New Roman"/>
          <w:i/>
          <w:sz w:val="22"/>
          <w:szCs w:val="22"/>
          <w:lang w:val="sr-Latn-ME"/>
        </w:rPr>
        <w:t xml:space="preserve"> </w:t>
      </w:r>
      <w:r w:rsidR="000450A4" w:rsidRPr="000E77D2">
        <w:rPr>
          <w:rFonts w:ascii="Times New Roman" w:hAnsi="Times New Roman"/>
          <w:sz w:val="22"/>
          <w:szCs w:val="22"/>
          <w:lang w:val="sr-Latn-ME"/>
        </w:rPr>
        <w:t>test:</w:t>
      </w:r>
      <w:r w:rsidR="00C91719" w:rsidRPr="000E77D2">
        <w:rPr>
          <w:rFonts w:ascii="Times New Roman" w:hAnsi="Times New Roman"/>
          <w:sz w:val="22"/>
          <w:szCs w:val="22"/>
          <w:lang w:val="sr-Latn-ME"/>
        </w:rPr>
        <w:t xml:space="preserve"> </w:t>
      </w:r>
      <w:r w:rsidR="000450A4" w:rsidRPr="000E77D2">
        <w:rPr>
          <w:rFonts w:ascii="Times New Roman" w:hAnsi="Times New Roman"/>
          <w:sz w:val="22"/>
          <w:szCs w:val="22"/>
          <w:lang w:val="sr-Latn-ME"/>
        </w:rPr>
        <w:t xml:space="preserve">p = 0,08972), što predstavlja smanjenje rizika od smrtnog ishoda od 11% u korist eksemestana. Statistički značajno smanjenje rizika od smrtnog ishoda od 18% (odnos rizika za ukupno preživljavanje 0,82; </w:t>
      </w:r>
      <w:r w:rsidR="000450A4" w:rsidRPr="000E77D2">
        <w:rPr>
          <w:rFonts w:ascii="Times New Roman" w:hAnsi="Times New Roman"/>
          <w:i/>
          <w:sz w:val="22"/>
          <w:szCs w:val="22"/>
          <w:lang w:val="sr-Latn-ME"/>
        </w:rPr>
        <w:t>Wald chi square test</w:t>
      </w:r>
      <w:r w:rsidR="000450A4" w:rsidRPr="000E77D2">
        <w:rPr>
          <w:rFonts w:ascii="Times New Roman" w:hAnsi="Times New Roman"/>
          <w:sz w:val="22"/>
          <w:szCs w:val="22"/>
          <w:lang w:val="sr-Latn-ME"/>
        </w:rPr>
        <w:t>: p = 0,0082) prim</w:t>
      </w:r>
      <w:r w:rsidR="00B60BDC" w:rsidRPr="000E77D2">
        <w:rPr>
          <w:rFonts w:ascii="Times New Roman" w:hAnsi="Times New Roman"/>
          <w:sz w:val="22"/>
          <w:szCs w:val="22"/>
          <w:lang w:val="sr-Latn-ME"/>
        </w:rPr>
        <w:t>ij</w:t>
      </w:r>
      <w:r w:rsidR="000450A4" w:rsidRPr="000E77D2">
        <w:rPr>
          <w:rFonts w:ascii="Times New Roman" w:hAnsi="Times New Roman"/>
          <w:sz w:val="22"/>
          <w:szCs w:val="22"/>
          <w:lang w:val="sr-Latn-ME"/>
        </w:rPr>
        <w:t>ećeno je za eksemestan u odnosu na tamoksifen kod ukupne ispitivane populacije nakon podešavanja prethodno definisanih prognostičkih faktora (npr. status estrogenih receptora, status limfnih čvorova, prethodna hem</w:t>
      </w:r>
      <w:r w:rsidR="00635E8F" w:rsidRPr="000E77D2">
        <w:rPr>
          <w:rFonts w:ascii="Times New Roman" w:hAnsi="Times New Roman"/>
          <w:sz w:val="22"/>
          <w:szCs w:val="22"/>
          <w:lang w:val="sr-Latn-ME"/>
        </w:rPr>
        <w:t>i</w:t>
      </w:r>
      <w:r w:rsidR="000450A4" w:rsidRPr="000E77D2">
        <w:rPr>
          <w:rFonts w:ascii="Times New Roman" w:hAnsi="Times New Roman"/>
          <w:sz w:val="22"/>
          <w:szCs w:val="22"/>
          <w:lang w:val="sr-Latn-ME"/>
        </w:rPr>
        <w:t>oterapija, upotreba HRT i upotreba bifosfonata).</w:t>
      </w:r>
    </w:p>
    <w:p w14:paraId="0DD1E0FF" w14:textId="77777777" w:rsidR="000450A4" w:rsidRPr="000E77D2" w:rsidRDefault="000450A4" w:rsidP="00BE6A13">
      <w:pPr>
        <w:rPr>
          <w:rFonts w:ascii="Times New Roman" w:hAnsi="Times New Roman"/>
          <w:sz w:val="22"/>
          <w:szCs w:val="22"/>
          <w:lang w:val="sr-Latn-ME"/>
        </w:rPr>
      </w:pPr>
    </w:p>
    <w:p w14:paraId="47B15A26" w14:textId="3C10312E"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 xml:space="preserve">U dodatnoj analizi podgrupe pacijentkinja sa pozitivnim ili nepoznatim statusom estrogenih receptora, odnos rizika za nepodešeno ukupno preživljavanje bio je 0,86 </w:t>
      </w:r>
      <w:r w:rsidRPr="000E77D2">
        <w:rPr>
          <w:rFonts w:ascii="Times New Roman" w:hAnsi="Times New Roman"/>
          <w:i/>
          <w:sz w:val="22"/>
          <w:szCs w:val="22"/>
          <w:lang w:val="sr-Latn-ME"/>
        </w:rPr>
        <w:t>(log-rank test</w:t>
      </w:r>
      <w:r w:rsidRPr="000E77D2">
        <w:rPr>
          <w:rFonts w:ascii="Times New Roman" w:hAnsi="Times New Roman"/>
          <w:sz w:val="22"/>
          <w:szCs w:val="22"/>
          <w:lang w:val="sr-Latn-ME"/>
        </w:rPr>
        <w:t>: p = 0,04262), što predstavlja klinički i statistički značajno smanjenje rizika od smrtnog ishoda koje iznosi 14%.</w:t>
      </w:r>
    </w:p>
    <w:p w14:paraId="79DC3087" w14:textId="77777777" w:rsidR="000450A4" w:rsidRPr="000E77D2" w:rsidRDefault="000450A4" w:rsidP="00BE6A13">
      <w:pPr>
        <w:rPr>
          <w:rFonts w:ascii="Times New Roman" w:hAnsi="Times New Roman"/>
          <w:color w:val="FF0000"/>
          <w:sz w:val="22"/>
          <w:szCs w:val="22"/>
          <w:lang w:val="sr-Latn-ME"/>
        </w:rPr>
      </w:pPr>
    </w:p>
    <w:p w14:paraId="0F3EAB40" w14:textId="75B68147"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Rezultati substudije dejstva l</w:t>
      </w:r>
      <w:r w:rsidR="00B60BDC" w:rsidRPr="000E77D2">
        <w:rPr>
          <w:rFonts w:ascii="Times New Roman" w:hAnsi="Times New Roman"/>
          <w:sz w:val="22"/>
          <w:szCs w:val="22"/>
          <w:lang w:val="sr-Latn-ME"/>
        </w:rPr>
        <w:t>ij</w:t>
      </w:r>
      <w:r w:rsidRPr="000E77D2">
        <w:rPr>
          <w:rFonts w:ascii="Times New Roman" w:hAnsi="Times New Roman"/>
          <w:sz w:val="22"/>
          <w:szCs w:val="22"/>
          <w:lang w:val="sr-Latn-ME"/>
        </w:rPr>
        <w:t>eka na kosti pokazali su da kod pacijentkinja l</w:t>
      </w:r>
      <w:r w:rsidR="00B60BDC" w:rsidRPr="000E77D2">
        <w:rPr>
          <w:rFonts w:ascii="Times New Roman" w:hAnsi="Times New Roman"/>
          <w:sz w:val="22"/>
          <w:szCs w:val="22"/>
          <w:lang w:val="sr-Latn-ME"/>
        </w:rPr>
        <w:t>ij</w:t>
      </w:r>
      <w:r w:rsidRPr="000E77D2">
        <w:rPr>
          <w:rFonts w:ascii="Times New Roman" w:hAnsi="Times New Roman"/>
          <w:sz w:val="22"/>
          <w:szCs w:val="22"/>
          <w:lang w:val="sr-Latn-ME"/>
        </w:rPr>
        <w:t>ečenih eksemestanom u periodu od 2 do 3 godine nakon dvogodišnjeg ili trogodišnjeg l</w:t>
      </w:r>
      <w:r w:rsidR="00B60BDC" w:rsidRPr="000E77D2">
        <w:rPr>
          <w:rFonts w:ascii="Times New Roman" w:hAnsi="Times New Roman"/>
          <w:sz w:val="22"/>
          <w:szCs w:val="22"/>
          <w:lang w:val="sr-Latn-ME"/>
        </w:rPr>
        <w:t>ij</w:t>
      </w:r>
      <w:r w:rsidRPr="000E77D2">
        <w:rPr>
          <w:rFonts w:ascii="Times New Roman" w:hAnsi="Times New Roman"/>
          <w:sz w:val="22"/>
          <w:szCs w:val="22"/>
          <w:lang w:val="sr-Latn-ME"/>
        </w:rPr>
        <w:t>ečenja tamoksifenom dolazi do povećanog gubitka mineralne gustine kostiju (</w:t>
      </w:r>
      <w:r w:rsidR="00AD64C2" w:rsidRPr="000E77D2">
        <w:rPr>
          <w:rFonts w:ascii="Times New Roman" w:hAnsi="Times New Roman"/>
          <w:sz w:val="22"/>
          <w:szCs w:val="22"/>
          <w:lang w:val="sr-Latn-ME"/>
        </w:rPr>
        <w:t xml:space="preserve">engl. </w:t>
      </w:r>
      <w:r w:rsidRPr="000E77D2">
        <w:rPr>
          <w:rFonts w:ascii="Times New Roman" w:hAnsi="Times New Roman"/>
          <w:i/>
          <w:sz w:val="22"/>
          <w:szCs w:val="22"/>
          <w:lang w:val="sr-Latn-ME"/>
        </w:rPr>
        <w:t>bone mineral density</w:t>
      </w:r>
      <w:r w:rsidRPr="000E77D2">
        <w:rPr>
          <w:rFonts w:ascii="Times New Roman" w:hAnsi="Times New Roman"/>
          <w:sz w:val="22"/>
          <w:szCs w:val="22"/>
          <w:lang w:val="sr-Latn-ME"/>
        </w:rPr>
        <w:t xml:space="preserve"> - BMD) tokom terapije (srednji % prom</w:t>
      </w:r>
      <w:r w:rsidR="007E2290" w:rsidRPr="000E77D2">
        <w:rPr>
          <w:rFonts w:ascii="Times New Roman" w:hAnsi="Times New Roman"/>
          <w:sz w:val="22"/>
          <w:szCs w:val="22"/>
          <w:lang w:val="sr-Latn-ME"/>
        </w:rPr>
        <w:t>j</w:t>
      </w:r>
      <w:r w:rsidRPr="000E77D2">
        <w:rPr>
          <w:rFonts w:ascii="Times New Roman" w:hAnsi="Times New Roman"/>
          <w:sz w:val="22"/>
          <w:szCs w:val="22"/>
          <w:lang w:val="sr-Latn-ME"/>
        </w:rPr>
        <w:t>ene u odnosu na početne vr</w:t>
      </w:r>
      <w:r w:rsidR="00B60BDC" w:rsidRPr="000E77D2">
        <w:rPr>
          <w:rFonts w:ascii="Times New Roman" w:hAnsi="Times New Roman"/>
          <w:sz w:val="22"/>
          <w:szCs w:val="22"/>
          <w:lang w:val="sr-Latn-ME"/>
        </w:rPr>
        <w:t>ij</w:t>
      </w:r>
      <w:r w:rsidRPr="000E77D2">
        <w:rPr>
          <w:rFonts w:ascii="Times New Roman" w:hAnsi="Times New Roman"/>
          <w:sz w:val="22"/>
          <w:szCs w:val="22"/>
          <w:lang w:val="sr-Latn-ME"/>
        </w:rPr>
        <w:t>ednosti BMD u 36. m</w:t>
      </w:r>
      <w:r w:rsidR="00B60BDC" w:rsidRPr="000E77D2">
        <w:rPr>
          <w:rFonts w:ascii="Times New Roman" w:hAnsi="Times New Roman"/>
          <w:sz w:val="22"/>
          <w:szCs w:val="22"/>
          <w:lang w:val="sr-Latn-ME"/>
        </w:rPr>
        <w:t>j</w:t>
      </w:r>
      <w:r w:rsidRPr="000E77D2">
        <w:rPr>
          <w:rFonts w:ascii="Times New Roman" w:hAnsi="Times New Roman"/>
          <w:sz w:val="22"/>
          <w:szCs w:val="22"/>
          <w:lang w:val="sr-Latn-ME"/>
        </w:rPr>
        <w:t>esecu: -3,37 [kičma], -2,96 [kuk ukupno] za eksemestan i -1,29 [kičma], -2,02 [kuk ukupno] za tamoksifen). Međutim, do kraja 24. m</w:t>
      </w:r>
      <w:r w:rsidR="00B60BDC" w:rsidRPr="000E77D2">
        <w:rPr>
          <w:rFonts w:ascii="Times New Roman" w:hAnsi="Times New Roman"/>
          <w:sz w:val="22"/>
          <w:szCs w:val="22"/>
          <w:lang w:val="sr-Latn-ME"/>
        </w:rPr>
        <w:t>j</w:t>
      </w:r>
      <w:r w:rsidRPr="000E77D2">
        <w:rPr>
          <w:rFonts w:ascii="Times New Roman" w:hAnsi="Times New Roman"/>
          <w:sz w:val="22"/>
          <w:szCs w:val="22"/>
          <w:lang w:val="sr-Latn-ME"/>
        </w:rPr>
        <w:t>eseca nakon završetka terapije, razlika u prom</w:t>
      </w:r>
      <w:r w:rsidR="00B60BDC" w:rsidRPr="000E77D2">
        <w:rPr>
          <w:rFonts w:ascii="Times New Roman" w:hAnsi="Times New Roman"/>
          <w:sz w:val="22"/>
          <w:szCs w:val="22"/>
          <w:lang w:val="sr-Latn-ME"/>
        </w:rPr>
        <w:t>j</w:t>
      </w:r>
      <w:r w:rsidRPr="000E77D2">
        <w:rPr>
          <w:rFonts w:ascii="Times New Roman" w:hAnsi="Times New Roman"/>
          <w:sz w:val="22"/>
          <w:szCs w:val="22"/>
          <w:lang w:val="sr-Latn-ME"/>
        </w:rPr>
        <w:t>eni BMD u odnosu početne vr</w:t>
      </w:r>
      <w:r w:rsidR="00B60BDC" w:rsidRPr="000E77D2">
        <w:rPr>
          <w:rFonts w:ascii="Times New Roman" w:hAnsi="Times New Roman"/>
          <w:sz w:val="22"/>
          <w:szCs w:val="22"/>
          <w:lang w:val="sr-Latn-ME"/>
        </w:rPr>
        <w:t>ij</w:t>
      </w:r>
      <w:r w:rsidRPr="000E77D2">
        <w:rPr>
          <w:rFonts w:ascii="Times New Roman" w:hAnsi="Times New Roman"/>
          <w:sz w:val="22"/>
          <w:szCs w:val="22"/>
          <w:lang w:val="sr-Latn-ME"/>
        </w:rPr>
        <w:t>ednosti bila je minimalna između ove dv</w:t>
      </w:r>
      <w:r w:rsidR="00B60BDC" w:rsidRPr="000E77D2">
        <w:rPr>
          <w:rFonts w:ascii="Times New Roman" w:hAnsi="Times New Roman"/>
          <w:sz w:val="22"/>
          <w:szCs w:val="22"/>
          <w:lang w:val="sr-Latn-ME"/>
        </w:rPr>
        <w:t>ij</w:t>
      </w:r>
      <w:r w:rsidRPr="000E77D2">
        <w:rPr>
          <w:rFonts w:ascii="Times New Roman" w:hAnsi="Times New Roman"/>
          <w:sz w:val="22"/>
          <w:szCs w:val="22"/>
          <w:lang w:val="sr-Latn-ME"/>
        </w:rPr>
        <w:t>e grupe pacijentkinja, pri čemu je grupa na tamoksifenu imala neznatno veći gubitak koštane mase na svim m</w:t>
      </w:r>
      <w:r w:rsidR="00B60BDC" w:rsidRPr="000E77D2">
        <w:rPr>
          <w:rFonts w:ascii="Times New Roman" w:hAnsi="Times New Roman"/>
          <w:sz w:val="22"/>
          <w:szCs w:val="22"/>
          <w:lang w:val="sr-Latn-ME"/>
        </w:rPr>
        <w:t>j</w:t>
      </w:r>
      <w:r w:rsidRPr="000E77D2">
        <w:rPr>
          <w:rFonts w:ascii="Times New Roman" w:hAnsi="Times New Roman"/>
          <w:sz w:val="22"/>
          <w:szCs w:val="22"/>
          <w:lang w:val="sr-Latn-ME"/>
        </w:rPr>
        <w:t>estima (srednji % prom</w:t>
      </w:r>
      <w:r w:rsidR="00B60BDC" w:rsidRPr="000E77D2">
        <w:rPr>
          <w:rFonts w:ascii="Times New Roman" w:hAnsi="Times New Roman"/>
          <w:sz w:val="22"/>
          <w:szCs w:val="22"/>
          <w:lang w:val="sr-Latn-ME"/>
        </w:rPr>
        <w:t>j</w:t>
      </w:r>
      <w:r w:rsidRPr="000E77D2">
        <w:rPr>
          <w:rFonts w:ascii="Times New Roman" w:hAnsi="Times New Roman"/>
          <w:sz w:val="22"/>
          <w:szCs w:val="22"/>
          <w:lang w:val="sr-Latn-ME"/>
        </w:rPr>
        <w:t>ene u odnosu na početne vr</w:t>
      </w:r>
      <w:r w:rsidR="00B60BDC" w:rsidRPr="000E77D2">
        <w:rPr>
          <w:rFonts w:ascii="Times New Roman" w:hAnsi="Times New Roman"/>
          <w:sz w:val="22"/>
          <w:szCs w:val="22"/>
          <w:lang w:val="sr-Latn-ME"/>
        </w:rPr>
        <w:t>ij</w:t>
      </w:r>
      <w:r w:rsidRPr="000E77D2">
        <w:rPr>
          <w:rFonts w:ascii="Times New Roman" w:hAnsi="Times New Roman"/>
          <w:sz w:val="22"/>
          <w:szCs w:val="22"/>
          <w:lang w:val="sr-Latn-ME"/>
        </w:rPr>
        <w:t>ednosti BMD u 24. m</w:t>
      </w:r>
      <w:r w:rsidR="00917F9B" w:rsidRPr="000E77D2">
        <w:rPr>
          <w:rFonts w:ascii="Times New Roman" w:hAnsi="Times New Roman"/>
          <w:sz w:val="22"/>
          <w:szCs w:val="22"/>
          <w:lang w:val="sr-Latn-ME"/>
        </w:rPr>
        <w:t>j</w:t>
      </w:r>
      <w:r w:rsidRPr="000E77D2">
        <w:rPr>
          <w:rFonts w:ascii="Times New Roman" w:hAnsi="Times New Roman"/>
          <w:sz w:val="22"/>
          <w:szCs w:val="22"/>
          <w:lang w:val="sr-Latn-ME"/>
        </w:rPr>
        <w:t xml:space="preserve">esecu nakon završetka terapije: -2,17 [kičma], -3,06 [kuk ukupno] za eksemestan i -3,44 [kičma], -4,15 [kuk ukupno] za tamoksifen). </w:t>
      </w:r>
    </w:p>
    <w:p w14:paraId="723C61A1" w14:textId="77777777" w:rsidR="000450A4" w:rsidRPr="000E77D2" w:rsidRDefault="000450A4" w:rsidP="00BE6A13">
      <w:pPr>
        <w:rPr>
          <w:rFonts w:ascii="Times New Roman" w:hAnsi="Times New Roman"/>
          <w:sz w:val="22"/>
          <w:szCs w:val="22"/>
          <w:lang w:val="sr-Latn-ME"/>
        </w:rPr>
      </w:pPr>
    </w:p>
    <w:p w14:paraId="117A6436" w14:textId="26500906"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Broj svih preloma prijavljenih tokom terapje kao i za vr</w:t>
      </w:r>
      <w:r w:rsidR="00B60BDC" w:rsidRPr="000E77D2">
        <w:rPr>
          <w:rFonts w:ascii="Times New Roman" w:hAnsi="Times New Roman"/>
          <w:sz w:val="22"/>
          <w:szCs w:val="22"/>
          <w:lang w:val="sr-Latn-ME"/>
        </w:rPr>
        <w:t>ij</w:t>
      </w:r>
      <w:r w:rsidRPr="000E77D2">
        <w:rPr>
          <w:rFonts w:ascii="Times New Roman" w:hAnsi="Times New Roman"/>
          <w:sz w:val="22"/>
          <w:szCs w:val="22"/>
          <w:lang w:val="sr-Latn-ME"/>
        </w:rPr>
        <w:t>eme perioda praćenja bio je značajno veći u grupi koja je primala eksemestan u odnosu na grupu koja je primala tamoksifen (169 [7,3%] u odnosu na 122 [5,2%]; p = 0,004), ali nije zab</w:t>
      </w:r>
      <w:r w:rsidR="00B60BDC" w:rsidRPr="000E77D2">
        <w:rPr>
          <w:rFonts w:ascii="Times New Roman" w:hAnsi="Times New Roman"/>
          <w:sz w:val="22"/>
          <w:szCs w:val="22"/>
          <w:lang w:val="sr-Latn-ME"/>
        </w:rPr>
        <w:t>i</w:t>
      </w:r>
      <w:r w:rsidRPr="000E77D2">
        <w:rPr>
          <w:rFonts w:ascii="Times New Roman" w:hAnsi="Times New Roman"/>
          <w:sz w:val="22"/>
          <w:szCs w:val="22"/>
          <w:lang w:val="sr-Latn-ME"/>
        </w:rPr>
        <w:t>l</w:t>
      </w:r>
      <w:r w:rsidR="00B60BDC" w:rsidRPr="000E77D2">
        <w:rPr>
          <w:rFonts w:ascii="Times New Roman" w:hAnsi="Times New Roman"/>
          <w:sz w:val="22"/>
          <w:szCs w:val="22"/>
          <w:lang w:val="sr-Latn-ME"/>
        </w:rPr>
        <w:t>j</w:t>
      </w:r>
      <w:r w:rsidRPr="000E77D2">
        <w:rPr>
          <w:rFonts w:ascii="Times New Roman" w:hAnsi="Times New Roman"/>
          <w:sz w:val="22"/>
          <w:szCs w:val="22"/>
          <w:lang w:val="sr-Latn-ME"/>
        </w:rPr>
        <w:t>ežena razlika u broju preloma povezanih sa osteoporozom.</w:t>
      </w:r>
    </w:p>
    <w:p w14:paraId="1F6335B9" w14:textId="77777777" w:rsidR="000450A4" w:rsidRPr="000E77D2" w:rsidRDefault="000450A4" w:rsidP="00BE6A13">
      <w:pPr>
        <w:rPr>
          <w:rFonts w:ascii="Times New Roman" w:hAnsi="Times New Roman"/>
          <w:color w:val="FF0000"/>
          <w:sz w:val="22"/>
          <w:szCs w:val="22"/>
          <w:lang w:val="sr-Latn-ME"/>
        </w:rPr>
      </w:pPr>
    </w:p>
    <w:p w14:paraId="3C10C656" w14:textId="33EDDFE8" w:rsidR="00AB2837" w:rsidRPr="000E77D2" w:rsidRDefault="00AB2837" w:rsidP="00BE6A13">
      <w:pPr>
        <w:ind w:left="369" w:hanging="369"/>
        <w:rPr>
          <w:rFonts w:ascii="Times New Roman" w:hAnsi="Times New Roman"/>
          <w:i/>
          <w:sz w:val="22"/>
          <w:szCs w:val="22"/>
          <w:lang w:val="sr-Latn-ME"/>
        </w:rPr>
      </w:pPr>
      <w:r w:rsidRPr="000E77D2">
        <w:rPr>
          <w:rFonts w:ascii="Times New Roman" w:hAnsi="Times New Roman"/>
          <w:i/>
          <w:sz w:val="22"/>
          <w:szCs w:val="22"/>
          <w:lang w:val="sr-Latn-ME"/>
        </w:rPr>
        <w:t>Finalno praćenje pacijentkinja od 119 m</w:t>
      </w:r>
      <w:r w:rsidR="00B60BDC" w:rsidRPr="000E77D2">
        <w:rPr>
          <w:rFonts w:ascii="Times New Roman" w:hAnsi="Times New Roman"/>
          <w:i/>
          <w:sz w:val="22"/>
          <w:szCs w:val="22"/>
          <w:lang w:val="sr-Latn-ME"/>
        </w:rPr>
        <w:t>j</w:t>
      </w:r>
      <w:r w:rsidRPr="000E77D2">
        <w:rPr>
          <w:rFonts w:ascii="Times New Roman" w:hAnsi="Times New Roman"/>
          <w:i/>
          <w:sz w:val="22"/>
          <w:szCs w:val="22"/>
          <w:lang w:val="sr-Latn-ME"/>
        </w:rPr>
        <w:t>eseci kod IES studije</w:t>
      </w:r>
    </w:p>
    <w:p w14:paraId="6A9599B2" w14:textId="77777777" w:rsidR="00AB2837" w:rsidRPr="000E77D2" w:rsidRDefault="00AB2837" w:rsidP="00BE6A13">
      <w:pPr>
        <w:rPr>
          <w:rFonts w:ascii="Times New Roman" w:hAnsi="Times New Roman"/>
          <w:sz w:val="22"/>
          <w:szCs w:val="22"/>
          <w:lang w:val="sr-Latn-ME"/>
        </w:rPr>
      </w:pPr>
    </w:p>
    <w:p w14:paraId="0836344F" w14:textId="00BBA443" w:rsidR="00AB2837" w:rsidRPr="000E77D2" w:rsidRDefault="00AB2837" w:rsidP="00BE6A13">
      <w:pPr>
        <w:rPr>
          <w:rFonts w:ascii="Times New Roman" w:hAnsi="Times New Roman"/>
          <w:sz w:val="22"/>
          <w:szCs w:val="22"/>
          <w:lang w:val="sr-Latn-ME"/>
        </w:rPr>
      </w:pPr>
      <w:r w:rsidRPr="000E77D2">
        <w:rPr>
          <w:rFonts w:ascii="Times New Roman" w:hAnsi="Times New Roman"/>
          <w:sz w:val="22"/>
          <w:szCs w:val="22"/>
          <w:lang w:val="sr-Latn-ME"/>
        </w:rPr>
        <w:t xml:space="preserve">Posle </w:t>
      </w:r>
      <w:r w:rsidR="007E2290" w:rsidRPr="000E77D2">
        <w:rPr>
          <w:rFonts w:ascii="Times New Roman" w:hAnsi="Times New Roman"/>
          <w:sz w:val="22"/>
          <w:szCs w:val="22"/>
          <w:lang w:val="sr-Latn-ME"/>
        </w:rPr>
        <w:t>medijane</w:t>
      </w:r>
      <w:r w:rsidRPr="000E77D2">
        <w:rPr>
          <w:rFonts w:ascii="Times New Roman" w:hAnsi="Times New Roman"/>
          <w:sz w:val="22"/>
          <w:szCs w:val="22"/>
          <w:lang w:val="sr-Latn-ME"/>
        </w:rPr>
        <w:t xml:space="preserve"> trajanja terapije od oko 30 m</w:t>
      </w:r>
      <w:r w:rsidR="00B60BDC" w:rsidRPr="000E77D2">
        <w:rPr>
          <w:rFonts w:ascii="Times New Roman" w:hAnsi="Times New Roman"/>
          <w:sz w:val="22"/>
          <w:szCs w:val="22"/>
          <w:lang w:val="sr-Latn-ME"/>
        </w:rPr>
        <w:t>j</w:t>
      </w:r>
      <w:r w:rsidRPr="000E77D2">
        <w:rPr>
          <w:rFonts w:ascii="Times New Roman" w:hAnsi="Times New Roman"/>
          <w:sz w:val="22"/>
          <w:szCs w:val="22"/>
          <w:lang w:val="sr-Latn-ME"/>
        </w:rPr>
        <w:t xml:space="preserve">eseci i </w:t>
      </w:r>
      <w:r w:rsidR="007E2290" w:rsidRPr="000E77D2">
        <w:rPr>
          <w:rFonts w:ascii="Times New Roman" w:hAnsi="Times New Roman"/>
          <w:sz w:val="22"/>
          <w:szCs w:val="22"/>
          <w:lang w:val="sr-Latn-ME"/>
        </w:rPr>
        <w:t>medijane</w:t>
      </w:r>
      <w:r w:rsidRPr="000E77D2">
        <w:rPr>
          <w:rFonts w:ascii="Times New Roman" w:hAnsi="Times New Roman"/>
          <w:sz w:val="22"/>
          <w:szCs w:val="22"/>
          <w:lang w:val="sr-Latn-ME"/>
        </w:rPr>
        <w:t xml:space="preserve"> praćenja pacijentkinja od oko 119 m</w:t>
      </w:r>
      <w:r w:rsidR="00B60BDC" w:rsidRPr="000E77D2">
        <w:rPr>
          <w:rFonts w:ascii="Times New Roman" w:hAnsi="Times New Roman"/>
          <w:sz w:val="22"/>
          <w:szCs w:val="22"/>
          <w:lang w:val="sr-Latn-ME"/>
        </w:rPr>
        <w:t>j</w:t>
      </w:r>
      <w:r w:rsidRPr="000E77D2">
        <w:rPr>
          <w:rFonts w:ascii="Times New Roman" w:hAnsi="Times New Roman"/>
          <w:sz w:val="22"/>
          <w:szCs w:val="22"/>
          <w:lang w:val="sr-Latn-ME"/>
        </w:rPr>
        <w:t>eseci, rezultati su pokazali da je sekvencijalna terapija eksemestanom posl</w:t>
      </w:r>
      <w:r w:rsidR="007E2290" w:rsidRPr="000E77D2">
        <w:rPr>
          <w:rFonts w:ascii="Times New Roman" w:hAnsi="Times New Roman"/>
          <w:sz w:val="22"/>
          <w:szCs w:val="22"/>
          <w:lang w:val="sr-Latn-ME"/>
        </w:rPr>
        <w:t>ij</w:t>
      </w:r>
      <w:r w:rsidRPr="000E77D2">
        <w:rPr>
          <w:rFonts w:ascii="Times New Roman" w:hAnsi="Times New Roman"/>
          <w:sz w:val="22"/>
          <w:szCs w:val="22"/>
          <w:lang w:val="sr-Latn-ME"/>
        </w:rPr>
        <w:t xml:space="preserve">e dvogodišnje ili trogodišnje </w:t>
      </w:r>
      <w:r w:rsidR="003D228B" w:rsidRPr="000E77D2">
        <w:rPr>
          <w:rFonts w:ascii="Times New Roman" w:hAnsi="Times New Roman"/>
          <w:sz w:val="22"/>
          <w:szCs w:val="22"/>
          <w:lang w:val="sr-Latn-ME"/>
        </w:rPr>
        <w:t xml:space="preserve">adjuvantne </w:t>
      </w:r>
      <w:r w:rsidRPr="000E77D2">
        <w:rPr>
          <w:rFonts w:ascii="Times New Roman" w:hAnsi="Times New Roman"/>
          <w:sz w:val="22"/>
          <w:szCs w:val="22"/>
          <w:lang w:val="sr-Latn-ME"/>
        </w:rPr>
        <w:t>terapije tamoksifenom bila udružena sa klinički i statistički značajnim produženjem vremena preživljavanja bez znakova bolesti (DFS) u odnosu na nastavak prim</w:t>
      </w:r>
      <w:r w:rsidR="00B60BDC" w:rsidRPr="000E77D2">
        <w:rPr>
          <w:rFonts w:ascii="Times New Roman" w:hAnsi="Times New Roman"/>
          <w:sz w:val="22"/>
          <w:szCs w:val="22"/>
          <w:lang w:val="sr-Latn-ME"/>
        </w:rPr>
        <w:t>j</w:t>
      </w:r>
      <w:r w:rsidRPr="000E77D2">
        <w:rPr>
          <w:rFonts w:ascii="Times New Roman" w:hAnsi="Times New Roman"/>
          <w:sz w:val="22"/>
          <w:szCs w:val="22"/>
          <w:lang w:val="sr-Latn-ME"/>
        </w:rPr>
        <w:t>ene tamoksifena. Analiza je pokazala da je prim</w:t>
      </w:r>
      <w:r w:rsidR="00B60BDC" w:rsidRPr="000E77D2">
        <w:rPr>
          <w:rFonts w:ascii="Times New Roman" w:hAnsi="Times New Roman"/>
          <w:sz w:val="22"/>
          <w:szCs w:val="22"/>
          <w:lang w:val="sr-Latn-ME"/>
        </w:rPr>
        <w:t>j</w:t>
      </w:r>
      <w:r w:rsidRPr="000E77D2">
        <w:rPr>
          <w:rFonts w:ascii="Times New Roman" w:hAnsi="Times New Roman"/>
          <w:sz w:val="22"/>
          <w:szCs w:val="22"/>
          <w:lang w:val="sr-Latn-ME"/>
        </w:rPr>
        <w:t>ena eksemestana tokom praćenja u studiji smanjila rizik za ponovnu pojavu karcinoma dojke za 14% u poređenju sa tamoksifenom (odnos rizika = 0,86; p = 0,00393). Povoljni efekti prim</w:t>
      </w:r>
      <w:r w:rsidR="00B60BDC" w:rsidRPr="000E77D2">
        <w:rPr>
          <w:rFonts w:ascii="Times New Roman" w:hAnsi="Times New Roman"/>
          <w:sz w:val="22"/>
          <w:szCs w:val="22"/>
          <w:lang w:val="sr-Latn-ME"/>
        </w:rPr>
        <w:t>j</w:t>
      </w:r>
      <w:r w:rsidRPr="000E77D2">
        <w:rPr>
          <w:rFonts w:ascii="Times New Roman" w:hAnsi="Times New Roman"/>
          <w:sz w:val="22"/>
          <w:szCs w:val="22"/>
          <w:lang w:val="sr-Latn-ME"/>
        </w:rPr>
        <w:t>ene eksemestana u odnosu na tamoksifen, uzimajući u obzir vr</w:t>
      </w:r>
      <w:r w:rsidR="00B60BDC" w:rsidRPr="000E77D2">
        <w:rPr>
          <w:rFonts w:ascii="Times New Roman" w:hAnsi="Times New Roman"/>
          <w:sz w:val="22"/>
          <w:szCs w:val="22"/>
          <w:lang w:val="sr-Latn-ME"/>
        </w:rPr>
        <w:t>ij</w:t>
      </w:r>
      <w:r w:rsidRPr="000E77D2">
        <w:rPr>
          <w:rFonts w:ascii="Times New Roman" w:hAnsi="Times New Roman"/>
          <w:sz w:val="22"/>
          <w:szCs w:val="22"/>
          <w:lang w:val="sr-Latn-ME"/>
        </w:rPr>
        <w:t>eme preživljavanja bez znakova bolesti, bili su očigledni bez obzira na stanje limfnih žl</w:t>
      </w:r>
      <w:r w:rsidR="00B60BDC" w:rsidRPr="000E77D2">
        <w:rPr>
          <w:rFonts w:ascii="Times New Roman" w:hAnsi="Times New Roman"/>
          <w:sz w:val="22"/>
          <w:szCs w:val="22"/>
          <w:lang w:val="sr-Latn-ME"/>
        </w:rPr>
        <w:t>ij</w:t>
      </w:r>
      <w:r w:rsidRPr="000E77D2">
        <w:rPr>
          <w:rFonts w:ascii="Times New Roman" w:hAnsi="Times New Roman"/>
          <w:sz w:val="22"/>
          <w:szCs w:val="22"/>
          <w:lang w:val="sr-Latn-ME"/>
        </w:rPr>
        <w:t>ezda ili prethodnu hemioterapiju.</w:t>
      </w:r>
    </w:p>
    <w:p w14:paraId="22816ABB" w14:textId="77777777" w:rsidR="00AB2837" w:rsidRPr="000E77D2" w:rsidRDefault="00AB2837" w:rsidP="00BE6A13">
      <w:pPr>
        <w:rPr>
          <w:rFonts w:ascii="Times New Roman" w:hAnsi="Times New Roman"/>
          <w:color w:val="FF0000"/>
          <w:sz w:val="22"/>
          <w:szCs w:val="22"/>
          <w:lang w:val="sr-Latn-ME"/>
        </w:rPr>
      </w:pPr>
    </w:p>
    <w:p w14:paraId="59E84BF8" w14:textId="1B0C61F1" w:rsidR="00AB2837" w:rsidRPr="000E77D2" w:rsidRDefault="00AB2837" w:rsidP="00BE6A13">
      <w:pPr>
        <w:rPr>
          <w:rFonts w:ascii="Times New Roman" w:hAnsi="Times New Roman"/>
          <w:sz w:val="22"/>
          <w:szCs w:val="22"/>
          <w:lang w:val="sr-Latn-ME"/>
        </w:rPr>
      </w:pPr>
      <w:r w:rsidRPr="000E77D2">
        <w:rPr>
          <w:rFonts w:ascii="Times New Roman" w:hAnsi="Times New Roman"/>
          <w:sz w:val="22"/>
          <w:szCs w:val="22"/>
          <w:lang w:val="sr-Latn-ME"/>
        </w:rPr>
        <w:t>Eksemestan je takođe doveo do značajnog produženja vremena bez pojave karcinoma dojke (odnos</w:t>
      </w:r>
      <w:r w:rsidR="006A1330" w:rsidRPr="000E77D2">
        <w:rPr>
          <w:rFonts w:ascii="Times New Roman" w:hAnsi="Times New Roman"/>
          <w:sz w:val="22"/>
          <w:szCs w:val="22"/>
          <w:lang w:val="sr-Latn-ME"/>
        </w:rPr>
        <w:t> </w:t>
      </w:r>
      <w:r w:rsidRPr="000E77D2">
        <w:rPr>
          <w:rFonts w:ascii="Times New Roman" w:hAnsi="Times New Roman"/>
          <w:sz w:val="22"/>
          <w:szCs w:val="22"/>
          <w:lang w:val="sr-Latn-ME"/>
        </w:rPr>
        <w:t>rizika</w:t>
      </w:r>
      <w:r w:rsidR="006A1330" w:rsidRPr="000E77D2">
        <w:rPr>
          <w:rFonts w:ascii="Times New Roman" w:hAnsi="Times New Roman"/>
          <w:sz w:val="22"/>
          <w:szCs w:val="22"/>
          <w:lang w:val="sr-Latn-ME"/>
        </w:rPr>
        <w:t> </w:t>
      </w:r>
      <w:r w:rsidRPr="000E77D2">
        <w:rPr>
          <w:rFonts w:ascii="Times New Roman" w:hAnsi="Times New Roman"/>
          <w:sz w:val="22"/>
          <w:szCs w:val="22"/>
          <w:lang w:val="sr-Latn-ME"/>
        </w:rPr>
        <w:t>=</w:t>
      </w:r>
      <w:r w:rsidR="006A1330" w:rsidRPr="000E77D2">
        <w:rPr>
          <w:rFonts w:ascii="Times New Roman" w:hAnsi="Times New Roman"/>
          <w:sz w:val="22"/>
          <w:szCs w:val="22"/>
          <w:lang w:val="sr-Latn-ME"/>
        </w:rPr>
        <w:t> </w:t>
      </w:r>
      <w:r w:rsidR="00414989" w:rsidRPr="000E77D2">
        <w:rPr>
          <w:rFonts w:ascii="Times New Roman" w:hAnsi="Times New Roman"/>
          <w:sz w:val="22"/>
          <w:szCs w:val="22"/>
          <w:lang w:val="sr-Latn-ME"/>
        </w:rPr>
        <w:t>0,83; p</w:t>
      </w:r>
      <w:r w:rsidRPr="000E77D2">
        <w:rPr>
          <w:rFonts w:ascii="Times New Roman" w:hAnsi="Times New Roman"/>
          <w:sz w:val="22"/>
          <w:szCs w:val="22"/>
          <w:lang w:val="sr-Latn-ME"/>
        </w:rPr>
        <w:t xml:space="preserve">&lt;0,00152) kao i ponovne pojave udaljenih metastaza (odnos rizika = 0,86; </w:t>
      </w:r>
      <w:r w:rsidRPr="000E77D2">
        <w:rPr>
          <w:rFonts w:ascii="Times New Roman" w:hAnsi="Times New Roman"/>
          <w:sz w:val="22"/>
          <w:szCs w:val="22"/>
          <w:lang w:val="sr-Latn-ME"/>
        </w:rPr>
        <w:lastRenderedPageBreak/>
        <w:t>p = 0,02213). Eksemestan je takođe doveo do smanjenja rizika za pojavu kontralateralnog karcinoma dojke, mada ovaj efekat više nije bio statistički značajan (odnos rizika = 0,75; p = 0,10707).</w:t>
      </w:r>
    </w:p>
    <w:p w14:paraId="3FB7403C" w14:textId="77777777" w:rsidR="00AB2837" w:rsidRPr="000E77D2" w:rsidRDefault="00AB2837" w:rsidP="00BE6A13">
      <w:pPr>
        <w:rPr>
          <w:rFonts w:ascii="Times New Roman" w:hAnsi="Times New Roman"/>
          <w:sz w:val="22"/>
          <w:szCs w:val="22"/>
          <w:lang w:val="sr-Latn-ME"/>
        </w:rPr>
      </w:pPr>
    </w:p>
    <w:p w14:paraId="74282126" w14:textId="4753319F" w:rsidR="00AB2837" w:rsidRPr="000E77D2" w:rsidRDefault="00AB2837" w:rsidP="00BE6A13">
      <w:pPr>
        <w:pStyle w:val="Paragraph"/>
        <w:spacing w:after="0"/>
        <w:jc w:val="both"/>
        <w:rPr>
          <w:color w:val="FF0000"/>
          <w:sz w:val="22"/>
          <w:szCs w:val="22"/>
          <w:lang w:val="sr-Latn-ME" w:eastAsia="it-IT"/>
        </w:rPr>
      </w:pPr>
      <w:r w:rsidRPr="000E77D2">
        <w:rPr>
          <w:sz w:val="22"/>
          <w:szCs w:val="22"/>
          <w:lang w:val="sr-Latn-ME" w:eastAsia="it-IT"/>
        </w:rPr>
        <w:t>U ukupnoj ispitivanoj populaciji, nije bilo statistički značajne razlike u ukupnom preživljavanju izm</w:t>
      </w:r>
      <w:r w:rsidR="00752676" w:rsidRPr="000E77D2">
        <w:rPr>
          <w:sz w:val="22"/>
          <w:szCs w:val="22"/>
          <w:lang w:val="sr-Latn-ME" w:eastAsia="it-IT"/>
        </w:rPr>
        <w:t>e</w:t>
      </w:r>
      <w:r w:rsidRPr="000E77D2">
        <w:rPr>
          <w:sz w:val="22"/>
          <w:szCs w:val="22"/>
          <w:lang w:val="sr-Latn-ME" w:eastAsia="it-IT"/>
        </w:rPr>
        <w:t>đu dv</w:t>
      </w:r>
      <w:r w:rsidR="00A423CB" w:rsidRPr="000E77D2">
        <w:rPr>
          <w:sz w:val="22"/>
          <w:szCs w:val="22"/>
          <w:lang w:val="sr-Latn-ME" w:eastAsia="it-IT"/>
        </w:rPr>
        <w:t>ij</w:t>
      </w:r>
      <w:r w:rsidRPr="000E77D2">
        <w:rPr>
          <w:sz w:val="22"/>
          <w:szCs w:val="22"/>
          <w:lang w:val="sr-Latn-ME" w:eastAsia="it-IT"/>
        </w:rPr>
        <w:t>e grupe, sa 467 zab</w:t>
      </w:r>
      <w:r w:rsidR="00A423CB" w:rsidRPr="000E77D2">
        <w:rPr>
          <w:sz w:val="22"/>
          <w:szCs w:val="22"/>
          <w:lang w:val="sr-Latn-ME" w:eastAsia="it-IT"/>
        </w:rPr>
        <w:t>i</w:t>
      </w:r>
      <w:r w:rsidRPr="000E77D2">
        <w:rPr>
          <w:sz w:val="22"/>
          <w:szCs w:val="22"/>
          <w:lang w:val="sr-Latn-ME" w:eastAsia="it-IT"/>
        </w:rPr>
        <w:t>l</w:t>
      </w:r>
      <w:r w:rsidR="00A423CB" w:rsidRPr="000E77D2">
        <w:rPr>
          <w:sz w:val="22"/>
          <w:szCs w:val="22"/>
          <w:lang w:val="sr-Latn-ME" w:eastAsia="it-IT"/>
        </w:rPr>
        <w:t>j</w:t>
      </w:r>
      <w:r w:rsidRPr="000E77D2">
        <w:rPr>
          <w:sz w:val="22"/>
          <w:szCs w:val="22"/>
          <w:lang w:val="sr-Latn-ME" w:eastAsia="it-IT"/>
        </w:rPr>
        <w:t>eženih smrtnih ishoda (19,9%) u grupi koja je primala eksemestan i 510 smrtnih ishoda (21,5%) u grupi koja je primala tamoksifen (odnos rizika = 0,91, p = 0,15737, bez podešavanja za višestruka ispitivanja). U podgrupi pacijentkinja sa pozitivnim nalazom estrogenih receptora ili sa nepoznatim statusom, nepodešeni odnos rizika za ukupno preživljavanje iznosio je 0,89 (</w:t>
      </w:r>
      <w:r w:rsidRPr="000E77D2">
        <w:rPr>
          <w:i/>
          <w:sz w:val="22"/>
          <w:szCs w:val="22"/>
          <w:lang w:val="sr-Latn-ME" w:eastAsia="it-IT"/>
        </w:rPr>
        <w:t xml:space="preserve">log-rank </w:t>
      </w:r>
      <w:r w:rsidRPr="000E77D2">
        <w:rPr>
          <w:sz w:val="22"/>
          <w:szCs w:val="22"/>
          <w:lang w:val="sr-Latn-ME" w:eastAsia="it-IT"/>
        </w:rPr>
        <w:t>test: p = 0,07881) u grupi koja je primala eksemestan u odnosu na grupu koja je primala tamoksifen</w:t>
      </w:r>
      <w:r w:rsidRPr="000E77D2">
        <w:rPr>
          <w:color w:val="FF0000"/>
          <w:sz w:val="22"/>
          <w:szCs w:val="22"/>
          <w:lang w:val="sr-Latn-ME" w:eastAsia="it-IT"/>
        </w:rPr>
        <w:t>.</w:t>
      </w:r>
    </w:p>
    <w:p w14:paraId="428CA976" w14:textId="77777777" w:rsidR="00AB2837" w:rsidRPr="000E77D2" w:rsidRDefault="00AB2837" w:rsidP="00BE6A13">
      <w:pPr>
        <w:rPr>
          <w:rFonts w:ascii="Times New Roman" w:hAnsi="Times New Roman"/>
          <w:color w:val="FF0000"/>
          <w:sz w:val="22"/>
          <w:szCs w:val="22"/>
          <w:lang w:val="sr-Latn-ME"/>
        </w:rPr>
      </w:pPr>
    </w:p>
    <w:p w14:paraId="294DFB0C" w14:textId="2DDEE8E9" w:rsidR="00AB2837" w:rsidRPr="000E77D2" w:rsidRDefault="00AB2837" w:rsidP="00BE6A13">
      <w:pPr>
        <w:rPr>
          <w:rFonts w:ascii="Times New Roman" w:hAnsi="Times New Roman"/>
          <w:sz w:val="22"/>
          <w:szCs w:val="22"/>
          <w:lang w:val="sr-Latn-ME"/>
        </w:rPr>
      </w:pPr>
      <w:r w:rsidRPr="000E77D2">
        <w:rPr>
          <w:rFonts w:ascii="Times New Roman" w:hAnsi="Times New Roman"/>
          <w:sz w:val="22"/>
          <w:szCs w:val="22"/>
          <w:lang w:val="sr-Latn-ME"/>
        </w:rPr>
        <w:t>U ukupnoj ispitivanoj populaciji, zab</w:t>
      </w:r>
      <w:r w:rsidR="00A423CB" w:rsidRPr="000E77D2">
        <w:rPr>
          <w:rFonts w:ascii="Times New Roman" w:hAnsi="Times New Roman"/>
          <w:sz w:val="22"/>
          <w:szCs w:val="22"/>
          <w:lang w:val="sr-Latn-ME"/>
        </w:rPr>
        <w:t>i</w:t>
      </w:r>
      <w:r w:rsidRPr="000E77D2">
        <w:rPr>
          <w:rFonts w:ascii="Times New Roman" w:hAnsi="Times New Roman"/>
          <w:sz w:val="22"/>
          <w:szCs w:val="22"/>
          <w:lang w:val="sr-Latn-ME"/>
        </w:rPr>
        <w:t>l</w:t>
      </w:r>
      <w:r w:rsidR="00A423CB" w:rsidRPr="000E77D2">
        <w:rPr>
          <w:rFonts w:ascii="Times New Roman" w:hAnsi="Times New Roman"/>
          <w:sz w:val="22"/>
          <w:szCs w:val="22"/>
          <w:lang w:val="sr-Latn-ME"/>
        </w:rPr>
        <w:t>j</w:t>
      </w:r>
      <w:r w:rsidRPr="000E77D2">
        <w:rPr>
          <w:rFonts w:ascii="Times New Roman" w:hAnsi="Times New Roman"/>
          <w:sz w:val="22"/>
          <w:szCs w:val="22"/>
          <w:lang w:val="sr-Latn-ME"/>
        </w:rPr>
        <w:t xml:space="preserve">eženo je statistički značajno smanjenje od 14% u riziku od smrtnog ishoda (odnos rizika za ukupno preživljavanje </w:t>
      </w:r>
      <w:r w:rsidRPr="000E77D2">
        <w:rPr>
          <w:rFonts w:ascii="Times New Roman" w:hAnsi="Times New Roman"/>
          <w:sz w:val="22"/>
          <w:szCs w:val="22"/>
          <w:lang w:val="sr-Latn-ME" w:eastAsia="it-IT"/>
        </w:rPr>
        <w:t xml:space="preserve">= </w:t>
      </w:r>
      <w:r w:rsidRPr="000E77D2">
        <w:rPr>
          <w:rFonts w:ascii="Times New Roman" w:hAnsi="Times New Roman"/>
          <w:sz w:val="22"/>
          <w:szCs w:val="22"/>
          <w:lang w:val="sr-Latn-ME"/>
        </w:rPr>
        <w:t xml:space="preserve">0,86; </w:t>
      </w:r>
      <w:r w:rsidRPr="000E77D2">
        <w:rPr>
          <w:rFonts w:ascii="Times New Roman" w:hAnsi="Times New Roman"/>
          <w:i/>
          <w:sz w:val="22"/>
          <w:szCs w:val="22"/>
          <w:lang w:val="sr-Latn-ME"/>
        </w:rPr>
        <w:t>Wald chi square</w:t>
      </w:r>
      <w:r w:rsidRPr="000E77D2">
        <w:rPr>
          <w:rFonts w:ascii="Times New Roman" w:hAnsi="Times New Roman"/>
          <w:sz w:val="22"/>
          <w:szCs w:val="22"/>
          <w:lang w:val="sr-Latn-ME"/>
        </w:rPr>
        <w:t xml:space="preserve"> test: p = 0,0257) u grupi koja je primala eksemestan u poređenju sa grupom koja je primala tamoksifen nakon podešavanja prethodno definisanih prognostičkih faktora (npr. ER status, nodalni status, prethodna hemioterapija, upotreba HRT i upotreba bifosfonata).</w:t>
      </w:r>
    </w:p>
    <w:p w14:paraId="3E1E9F96" w14:textId="77777777" w:rsidR="002025A7" w:rsidRPr="000E77D2" w:rsidRDefault="002025A7" w:rsidP="00BE6A13">
      <w:pPr>
        <w:rPr>
          <w:rFonts w:ascii="Times New Roman" w:hAnsi="Times New Roman"/>
          <w:sz w:val="22"/>
          <w:szCs w:val="22"/>
          <w:lang w:val="sr-Latn-ME"/>
        </w:rPr>
      </w:pPr>
    </w:p>
    <w:p w14:paraId="2FA4B368" w14:textId="68A73616" w:rsidR="00AB2837" w:rsidRPr="000E77D2" w:rsidRDefault="00AB2837" w:rsidP="00BE6A13">
      <w:pPr>
        <w:rPr>
          <w:rFonts w:ascii="Times New Roman" w:hAnsi="Times New Roman"/>
          <w:sz w:val="22"/>
          <w:szCs w:val="22"/>
          <w:lang w:val="sr-Latn-ME"/>
        </w:rPr>
      </w:pPr>
      <w:r w:rsidRPr="000E77D2">
        <w:rPr>
          <w:rFonts w:ascii="Times New Roman" w:hAnsi="Times New Roman"/>
          <w:sz w:val="22"/>
          <w:szCs w:val="22"/>
          <w:lang w:val="sr-Latn-ME"/>
        </w:rPr>
        <w:t>Manja incidencija drugih primarnih karcinoma (i</w:t>
      </w:r>
      <w:r w:rsidR="00A423CB" w:rsidRPr="000E77D2">
        <w:rPr>
          <w:rFonts w:ascii="Times New Roman" w:hAnsi="Times New Roman"/>
          <w:sz w:val="22"/>
          <w:szCs w:val="22"/>
          <w:lang w:val="sr-Latn-ME"/>
        </w:rPr>
        <w:t>sključujući karcinom dojke) zabi</w:t>
      </w:r>
      <w:r w:rsidRPr="000E77D2">
        <w:rPr>
          <w:rFonts w:ascii="Times New Roman" w:hAnsi="Times New Roman"/>
          <w:sz w:val="22"/>
          <w:szCs w:val="22"/>
          <w:lang w:val="sr-Latn-ME"/>
        </w:rPr>
        <w:t>l</w:t>
      </w:r>
      <w:r w:rsidR="00A423CB" w:rsidRPr="000E77D2">
        <w:rPr>
          <w:rFonts w:ascii="Times New Roman" w:hAnsi="Times New Roman"/>
          <w:sz w:val="22"/>
          <w:szCs w:val="22"/>
          <w:lang w:val="sr-Latn-ME"/>
        </w:rPr>
        <w:t>j</w:t>
      </w:r>
      <w:r w:rsidRPr="000E77D2">
        <w:rPr>
          <w:rFonts w:ascii="Times New Roman" w:hAnsi="Times New Roman"/>
          <w:sz w:val="22"/>
          <w:szCs w:val="22"/>
          <w:lang w:val="sr-Latn-ME"/>
        </w:rPr>
        <w:t>ežena je u grupi l</w:t>
      </w:r>
      <w:r w:rsidR="00A423CB" w:rsidRPr="000E77D2">
        <w:rPr>
          <w:rFonts w:ascii="Times New Roman" w:hAnsi="Times New Roman"/>
          <w:sz w:val="22"/>
          <w:szCs w:val="22"/>
          <w:lang w:val="sr-Latn-ME"/>
        </w:rPr>
        <w:t>ij</w:t>
      </w:r>
      <w:r w:rsidRPr="000E77D2">
        <w:rPr>
          <w:rFonts w:ascii="Times New Roman" w:hAnsi="Times New Roman"/>
          <w:sz w:val="22"/>
          <w:szCs w:val="22"/>
          <w:lang w:val="sr-Latn-ME"/>
        </w:rPr>
        <w:t>ečenoj eksemestanom u poređenju sa grupom koja je primala samo tamoksifen (9,9% prema 12,4%).</w:t>
      </w:r>
    </w:p>
    <w:p w14:paraId="5C837186" w14:textId="77777777" w:rsidR="00AB2837" w:rsidRPr="000E77D2" w:rsidRDefault="00AB2837" w:rsidP="00BE6A13">
      <w:pPr>
        <w:rPr>
          <w:rFonts w:ascii="Times New Roman" w:hAnsi="Times New Roman"/>
          <w:sz w:val="22"/>
          <w:szCs w:val="22"/>
          <w:lang w:val="sr-Latn-ME"/>
        </w:rPr>
      </w:pPr>
    </w:p>
    <w:p w14:paraId="39A70C3A" w14:textId="06CE8DD2" w:rsidR="00AB2837" w:rsidRPr="000E77D2" w:rsidRDefault="00AB2837" w:rsidP="00BE6A13">
      <w:pPr>
        <w:rPr>
          <w:rFonts w:ascii="Times New Roman" w:hAnsi="Times New Roman"/>
          <w:sz w:val="22"/>
          <w:szCs w:val="22"/>
          <w:lang w:val="sr-Latn-ME"/>
        </w:rPr>
      </w:pPr>
      <w:r w:rsidRPr="000E77D2">
        <w:rPr>
          <w:rFonts w:ascii="Times New Roman" w:hAnsi="Times New Roman"/>
          <w:sz w:val="22"/>
          <w:szCs w:val="22"/>
          <w:lang w:val="sr-Latn-ME"/>
        </w:rPr>
        <w:t>U glavnoj studiji, čija je medijana vremena praćenja kod svih učesnica iznosila 119 m</w:t>
      </w:r>
      <w:r w:rsidR="00A423CB" w:rsidRPr="000E77D2">
        <w:rPr>
          <w:rFonts w:ascii="Times New Roman" w:hAnsi="Times New Roman"/>
          <w:sz w:val="22"/>
          <w:szCs w:val="22"/>
          <w:lang w:val="sr-Latn-ME"/>
        </w:rPr>
        <w:t>j</w:t>
      </w:r>
      <w:r w:rsidRPr="000E77D2">
        <w:rPr>
          <w:rFonts w:ascii="Times New Roman" w:hAnsi="Times New Roman"/>
          <w:sz w:val="22"/>
          <w:szCs w:val="22"/>
          <w:lang w:val="sr-Latn-ME"/>
        </w:rPr>
        <w:t xml:space="preserve">eseci </w:t>
      </w:r>
      <w:r w:rsidRPr="000E77D2">
        <w:rPr>
          <w:rFonts w:ascii="Times New Roman" w:hAnsi="Times New Roman"/>
          <w:sz w:val="22"/>
          <w:szCs w:val="22"/>
          <w:lang w:val="sr-Latn-ME"/>
        </w:rPr>
        <w:br/>
        <w:t>(0 – 163,94), a medijana trajanja terapije eksemestanom 30 m</w:t>
      </w:r>
      <w:r w:rsidR="00A423CB" w:rsidRPr="000E77D2">
        <w:rPr>
          <w:rFonts w:ascii="Times New Roman" w:hAnsi="Times New Roman"/>
          <w:sz w:val="22"/>
          <w:szCs w:val="22"/>
          <w:lang w:val="sr-Latn-ME"/>
        </w:rPr>
        <w:t>j</w:t>
      </w:r>
      <w:r w:rsidRPr="000E77D2">
        <w:rPr>
          <w:rFonts w:ascii="Times New Roman" w:hAnsi="Times New Roman"/>
          <w:sz w:val="22"/>
          <w:szCs w:val="22"/>
          <w:lang w:val="sr-Latn-ME"/>
        </w:rPr>
        <w:t>eseci (0 – 40,41), pojava fraktura kostiju zab</w:t>
      </w:r>
      <w:r w:rsidR="00A423CB" w:rsidRPr="000E77D2">
        <w:rPr>
          <w:rFonts w:ascii="Times New Roman" w:hAnsi="Times New Roman"/>
          <w:sz w:val="22"/>
          <w:szCs w:val="22"/>
          <w:lang w:val="sr-Latn-ME"/>
        </w:rPr>
        <w:t>i</w:t>
      </w:r>
      <w:r w:rsidRPr="000E77D2">
        <w:rPr>
          <w:rFonts w:ascii="Times New Roman" w:hAnsi="Times New Roman"/>
          <w:sz w:val="22"/>
          <w:szCs w:val="22"/>
          <w:lang w:val="sr-Latn-ME"/>
        </w:rPr>
        <w:t>l</w:t>
      </w:r>
      <w:r w:rsidR="00A423CB" w:rsidRPr="000E77D2">
        <w:rPr>
          <w:rFonts w:ascii="Times New Roman" w:hAnsi="Times New Roman"/>
          <w:sz w:val="22"/>
          <w:szCs w:val="22"/>
          <w:lang w:val="sr-Latn-ME"/>
        </w:rPr>
        <w:t>j</w:t>
      </w:r>
      <w:r w:rsidRPr="000E77D2">
        <w:rPr>
          <w:rFonts w:ascii="Times New Roman" w:hAnsi="Times New Roman"/>
          <w:sz w:val="22"/>
          <w:szCs w:val="22"/>
          <w:lang w:val="sr-Latn-ME"/>
        </w:rPr>
        <w:t>ežena je kod 169 (7,3%) pacijentkinja u grupi koja je primala eksemestan u odnosu na 122 (5,2%) pacijentkinje u grupi koja je primala tamoksifen (p = 0,004).</w:t>
      </w:r>
    </w:p>
    <w:p w14:paraId="588CF226" w14:textId="77777777" w:rsidR="00AB2837" w:rsidRPr="000E77D2" w:rsidRDefault="00AB2837" w:rsidP="00BE6A13">
      <w:pPr>
        <w:ind w:left="371" w:hanging="371"/>
        <w:rPr>
          <w:rFonts w:ascii="Times New Roman" w:hAnsi="Times New Roman"/>
          <w:i/>
          <w:color w:val="FF0000"/>
          <w:sz w:val="22"/>
          <w:szCs w:val="22"/>
          <w:lang w:val="sr-Latn-ME"/>
        </w:rPr>
      </w:pPr>
    </w:p>
    <w:tbl>
      <w:tblPr>
        <w:tblW w:w="5000" w:type="pct"/>
        <w:tblLook w:val="04A0" w:firstRow="1" w:lastRow="0" w:firstColumn="1" w:lastColumn="0" w:noHBand="0" w:noVBand="1"/>
      </w:tblPr>
      <w:tblGrid>
        <w:gridCol w:w="2331"/>
        <w:gridCol w:w="546"/>
        <w:gridCol w:w="821"/>
        <w:gridCol w:w="139"/>
        <w:gridCol w:w="1116"/>
        <w:gridCol w:w="2469"/>
        <w:gridCol w:w="1649"/>
      </w:tblGrid>
      <w:tr w:rsidR="005872E2" w:rsidRPr="000E77D2" w14:paraId="5508EA6A" w14:textId="77777777" w:rsidTr="00956AA6">
        <w:trPr>
          <w:cantSplit/>
        </w:trPr>
        <w:tc>
          <w:tcPr>
            <w:tcW w:w="5000" w:type="pct"/>
            <w:gridSpan w:val="7"/>
            <w:tcBorders>
              <w:top w:val="nil"/>
              <w:left w:val="nil"/>
              <w:bottom w:val="single" w:sz="4" w:space="0" w:color="auto"/>
              <w:right w:val="nil"/>
            </w:tcBorders>
            <w:hideMark/>
          </w:tcPr>
          <w:p w14:paraId="323276EB" w14:textId="77777777" w:rsidR="00AB2837" w:rsidRPr="000E77D2" w:rsidRDefault="00AB2837" w:rsidP="00BE6A13">
            <w:pPr>
              <w:pStyle w:val="Caption"/>
              <w:spacing w:before="0" w:after="0"/>
              <w:jc w:val="both"/>
              <w:rPr>
                <w:rFonts w:cs="Times New Roman"/>
                <w:sz w:val="22"/>
                <w:szCs w:val="22"/>
                <w:lang w:val="sr-Latn-ME"/>
              </w:rPr>
            </w:pPr>
            <w:r w:rsidRPr="000E77D2">
              <w:rPr>
                <w:rFonts w:cs="Times New Roman"/>
                <w:sz w:val="22"/>
                <w:szCs w:val="22"/>
                <w:lang w:val="sr-Latn-ME"/>
              </w:rPr>
              <w:t>Rezultati efikasnosti u IES studiji kod žena u postmenopauzi sa ranim karcinomom dojke (ITT)</w:t>
            </w:r>
          </w:p>
        </w:tc>
      </w:tr>
      <w:tr w:rsidR="005872E2" w:rsidRPr="000E77D2" w14:paraId="0E687C2C" w14:textId="77777777" w:rsidTr="00956AA6">
        <w:trPr>
          <w:cantSplit/>
        </w:trPr>
        <w:tc>
          <w:tcPr>
            <w:tcW w:w="1287" w:type="pct"/>
            <w:vMerge w:val="restart"/>
            <w:tcBorders>
              <w:top w:val="single" w:sz="4" w:space="0" w:color="auto"/>
              <w:left w:val="nil"/>
              <w:bottom w:val="single" w:sz="4" w:space="0" w:color="auto"/>
              <w:right w:val="nil"/>
            </w:tcBorders>
          </w:tcPr>
          <w:p w14:paraId="5215C491" w14:textId="77777777" w:rsidR="00AB2837" w:rsidRPr="000E77D2" w:rsidRDefault="00AB2837" w:rsidP="00BE6A13">
            <w:pPr>
              <w:pStyle w:val="TableTextColHead"/>
              <w:jc w:val="both"/>
              <w:rPr>
                <w:color w:val="FF0000"/>
                <w:sz w:val="22"/>
                <w:szCs w:val="22"/>
                <w:lang w:val="sr-Latn-ME"/>
              </w:rPr>
            </w:pPr>
          </w:p>
        </w:tc>
        <w:tc>
          <w:tcPr>
            <w:tcW w:w="1439" w:type="pct"/>
            <w:gridSpan w:val="4"/>
            <w:tcBorders>
              <w:top w:val="single" w:sz="4" w:space="0" w:color="auto"/>
              <w:left w:val="nil"/>
              <w:bottom w:val="nil"/>
              <w:right w:val="nil"/>
            </w:tcBorders>
            <w:hideMark/>
          </w:tcPr>
          <w:p w14:paraId="2822C346" w14:textId="77777777" w:rsidR="00AB2837" w:rsidRPr="000E77D2" w:rsidRDefault="00AB2837" w:rsidP="00461873">
            <w:pPr>
              <w:pStyle w:val="TableTextColHead"/>
              <w:rPr>
                <w:sz w:val="22"/>
                <w:szCs w:val="22"/>
                <w:lang w:val="sr-Latn-ME"/>
              </w:rPr>
            </w:pPr>
            <w:r w:rsidRPr="000E77D2">
              <w:rPr>
                <w:sz w:val="22"/>
                <w:szCs w:val="22"/>
                <w:lang w:val="sr-Latn-ME"/>
              </w:rPr>
              <w:t>broj događaja</w:t>
            </w:r>
          </w:p>
        </w:tc>
        <w:tc>
          <w:tcPr>
            <w:tcW w:w="2274" w:type="pct"/>
            <w:gridSpan w:val="2"/>
            <w:tcBorders>
              <w:top w:val="single" w:sz="4" w:space="0" w:color="auto"/>
              <w:left w:val="nil"/>
              <w:bottom w:val="nil"/>
              <w:right w:val="nil"/>
            </w:tcBorders>
            <w:hideMark/>
          </w:tcPr>
          <w:p w14:paraId="58AA0AAD" w14:textId="77777777" w:rsidR="00AB2837" w:rsidRPr="000E77D2" w:rsidRDefault="00AB2837" w:rsidP="00461873">
            <w:pPr>
              <w:pStyle w:val="TableTextColHead"/>
              <w:jc w:val="right"/>
              <w:rPr>
                <w:sz w:val="22"/>
                <w:szCs w:val="22"/>
                <w:lang w:val="sr-Latn-ME"/>
              </w:rPr>
            </w:pPr>
            <w:r w:rsidRPr="000E77D2">
              <w:rPr>
                <w:sz w:val="22"/>
                <w:szCs w:val="22"/>
                <w:lang w:val="sr-Latn-ME"/>
              </w:rPr>
              <w:t>odnos rizika</w:t>
            </w:r>
          </w:p>
        </w:tc>
      </w:tr>
      <w:tr w:rsidR="005872E2" w:rsidRPr="000E77D2" w14:paraId="0D976998" w14:textId="77777777" w:rsidTr="00956AA6">
        <w:trPr>
          <w:cantSplit/>
        </w:trPr>
        <w:tc>
          <w:tcPr>
            <w:tcW w:w="1287" w:type="pct"/>
            <w:vMerge/>
            <w:tcBorders>
              <w:top w:val="single" w:sz="4" w:space="0" w:color="auto"/>
              <w:left w:val="nil"/>
              <w:bottom w:val="single" w:sz="4" w:space="0" w:color="auto"/>
              <w:right w:val="nil"/>
            </w:tcBorders>
            <w:vAlign w:val="center"/>
            <w:hideMark/>
          </w:tcPr>
          <w:p w14:paraId="597057FC" w14:textId="77777777" w:rsidR="00AB2837" w:rsidRPr="000E77D2" w:rsidRDefault="00AB2837" w:rsidP="00BE6A13">
            <w:pPr>
              <w:rPr>
                <w:rFonts w:ascii="Times New Roman" w:hAnsi="Times New Roman"/>
                <w:b/>
                <w:color w:val="FF0000"/>
                <w:sz w:val="22"/>
                <w:szCs w:val="22"/>
                <w:lang w:val="sr-Latn-ME"/>
              </w:rPr>
            </w:pPr>
          </w:p>
        </w:tc>
        <w:tc>
          <w:tcPr>
            <w:tcW w:w="757" w:type="pct"/>
            <w:gridSpan w:val="2"/>
            <w:tcBorders>
              <w:top w:val="nil"/>
              <w:left w:val="nil"/>
              <w:bottom w:val="single" w:sz="4" w:space="0" w:color="auto"/>
              <w:right w:val="nil"/>
            </w:tcBorders>
            <w:hideMark/>
          </w:tcPr>
          <w:p w14:paraId="45EC3AA2" w14:textId="77777777" w:rsidR="00AB2837" w:rsidRPr="000E77D2" w:rsidRDefault="00AB2837" w:rsidP="00BE6A13">
            <w:pPr>
              <w:pStyle w:val="TableTextColHead"/>
              <w:jc w:val="both"/>
              <w:rPr>
                <w:color w:val="FF0000"/>
                <w:sz w:val="22"/>
                <w:szCs w:val="22"/>
                <w:lang w:val="sr-Latn-ME"/>
              </w:rPr>
            </w:pPr>
            <w:r w:rsidRPr="000E77D2">
              <w:rPr>
                <w:sz w:val="22"/>
                <w:szCs w:val="22"/>
                <w:lang w:val="sr-Latn-ME"/>
              </w:rPr>
              <w:t>eksemestan</w:t>
            </w:r>
          </w:p>
        </w:tc>
        <w:tc>
          <w:tcPr>
            <w:tcW w:w="681" w:type="pct"/>
            <w:gridSpan w:val="2"/>
            <w:tcBorders>
              <w:top w:val="nil"/>
              <w:left w:val="nil"/>
              <w:bottom w:val="single" w:sz="4" w:space="0" w:color="auto"/>
              <w:right w:val="nil"/>
            </w:tcBorders>
            <w:hideMark/>
          </w:tcPr>
          <w:p w14:paraId="12923BC3" w14:textId="77777777" w:rsidR="00AB2837" w:rsidRPr="000E77D2" w:rsidRDefault="00AB2837" w:rsidP="00BE6A13">
            <w:pPr>
              <w:pStyle w:val="TableTextColHead"/>
              <w:jc w:val="both"/>
              <w:rPr>
                <w:sz w:val="22"/>
                <w:szCs w:val="22"/>
                <w:lang w:val="sr-Latn-ME"/>
              </w:rPr>
            </w:pPr>
            <w:r w:rsidRPr="000E77D2">
              <w:rPr>
                <w:sz w:val="22"/>
                <w:szCs w:val="22"/>
                <w:lang w:val="sr-Latn-ME"/>
              </w:rPr>
              <w:t>tamoksifen</w:t>
            </w:r>
          </w:p>
        </w:tc>
        <w:tc>
          <w:tcPr>
            <w:tcW w:w="1363" w:type="pct"/>
            <w:tcBorders>
              <w:top w:val="nil"/>
              <w:left w:val="nil"/>
              <w:bottom w:val="single" w:sz="4" w:space="0" w:color="auto"/>
              <w:right w:val="nil"/>
            </w:tcBorders>
            <w:hideMark/>
          </w:tcPr>
          <w:p w14:paraId="0F0B5254" w14:textId="77777777" w:rsidR="00AB2837" w:rsidRPr="000E77D2" w:rsidRDefault="00AB2837" w:rsidP="00BE6A13">
            <w:pPr>
              <w:pStyle w:val="TableTextColHead"/>
              <w:jc w:val="both"/>
              <w:rPr>
                <w:sz w:val="22"/>
                <w:szCs w:val="22"/>
                <w:lang w:val="sr-Latn-ME"/>
              </w:rPr>
            </w:pPr>
            <w:r w:rsidRPr="000E77D2">
              <w:rPr>
                <w:sz w:val="22"/>
                <w:szCs w:val="22"/>
                <w:lang w:val="sr-Latn-ME"/>
              </w:rPr>
              <w:t>odnos rizika</w:t>
            </w:r>
          </w:p>
        </w:tc>
        <w:tc>
          <w:tcPr>
            <w:tcW w:w="911" w:type="pct"/>
            <w:tcBorders>
              <w:top w:val="nil"/>
              <w:left w:val="nil"/>
              <w:bottom w:val="single" w:sz="4" w:space="0" w:color="auto"/>
              <w:right w:val="nil"/>
            </w:tcBorders>
            <w:hideMark/>
          </w:tcPr>
          <w:p w14:paraId="4062139E" w14:textId="1ABDCF73" w:rsidR="00AB2837" w:rsidRPr="000E77D2" w:rsidRDefault="00AB2837" w:rsidP="00BE6A13">
            <w:pPr>
              <w:pStyle w:val="TableTextColHead"/>
              <w:jc w:val="both"/>
              <w:rPr>
                <w:sz w:val="22"/>
                <w:szCs w:val="22"/>
                <w:lang w:val="sr-Latn-ME"/>
              </w:rPr>
            </w:pPr>
            <w:r w:rsidRPr="000E77D2">
              <w:rPr>
                <w:sz w:val="22"/>
                <w:szCs w:val="22"/>
                <w:lang w:val="sr-Latn-ME"/>
              </w:rPr>
              <w:t>p-vr</w:t>
            </w:r>
            <w:r w:rsidR="00A423CB" w:rsidRPr="000E77D2">
              <w:rPr>
                <w:sz w:val="22"/>
                <w:szCs w:val="22"/>
                <w:lang w:val="sr-Latn-ME"/>
              </w:rPr>
              <w:t>ij</w:t>
            </w:r>
            <w:r w:rsidRPr="000E77D2">
              <w:rPr>
                <w:sz w:val="22"/>
                <w:szCs w:val="22"/>
                <w:lang w:val="sr-Latn-ME"/>
              </w:rPr>
              <w:t>ednost</w:t>
            </w:r>
          </w:p>
        </w:tc>
      </w:tr>
      <w:tr w:rsidR="005872E2" w:rsidRPr="000E77D2" w14:paraId="09927E8D" w14:textId="77777777" w:rsidTr="00956AA6">
        <w:trPr>
          <w:cantSplit/>
        </w:trPr>
        <w:tc>
          <w:tcPr>
            <w:tcW w:w="5000" w:type="pct"/>
            <w:gridSpan w:val="7"/>
            <w:tcBorders>
              <w:top w:val="single" w:sz="4" w:space="0" w:color="auto"/>
              <w:left w:val="nil"/>
              <w:bottom w:val="nil"/>
              <w:right w:val="nil"/>
            </w:tcBorders>
            <w:hideMark/>
          </w:tcPr>
          <w:p w14:paraId="04BAB3DB" w14:textId="0050711B" w:rsidR="00AB2837" w:rsidRPr="000E77D2" w:rsidRDefault="00461873" w:rsidP="00461873">
            <w:pPr>
              <w:pStyle w:val="TableText"/>
              <w:jc w:val="both"/>
              <w:rPr>
                <w:rFonts w:cs="Times New Roman"/>
                <w:b/>
                <w:sz w:val="22"/>
                <w:szCs w:val="22"/>
                <w:lang w:val="sr-Latn-ME"/>
              </w:rPr>
            </w:pPr>
            <w:r w:rsidRPr="000E77D2">
              <w:rPr>
                <w:rFonts w:cs="Times New Roman"/>
                <w:b/>
                <w:sz w:val="22"/>
                <w:szCs w:val="22"/>
                <w:lang w:val="sr-Latn-ME"/>
              </w:rPr>
              <w:t>Medijana</w:t>
            </w:r>
            <w:r w:rsidR="00AB2837" w:rsidRPr="000E77D2">
              <w:rPr>
                <w:rFonts w:cs="Times New Roman"/>
                <w:b/>
                <w:sz w:val="22"/>
                <w:szCs w:val="22"/>
                <w:lang w:val="sr-Latn-ME"/>
              </w:rPr>
              <w:t xml:space="preserve"> terapij</w:t>
            </w:r>
            <w:r w:rsidRPr="000E77D2">
              <w:rPr>
                <w:rFonts w:cs="Times New Roman"/>
                <w:b/>
                <w:sz w:val="22"/>
                <w:szCs w:val="22"/>
                <w:lang w:val="sr-Latn-ME"/>
              </w:rPr>
              <w:t>e</w:t>
            </w:r>
            <w:r w:rsidR="00AB2837" w:rsidRPr="000E77D2">
              <w:rPr>
                <w:rFonts w:cs="Times New Roman"/>
                <w:b/>
                <w:sz w:val="22"/>
                <w:szCs w:val="22"/>
                <w:lang w:val="sr-Latn-ME"/>
              </w:rPr>
              <w:t xml:space="preserve"> od 30 m</w:t>
            </w:r>
            <w:r w:rsidR="00A423CB" w:rsidRPr="000E77D2">
              <w:rPr>
                <w:rFonts w:cs="Times New Roman"/>
                <w:b/>
                <w:sz w:val="22"/>
                <w:szCs w:val="22"/>
                <w:lang w:val="sr-Latn-ME"/>
              </w:rPr>
              <w:t>j</w:t>
            </w:r>
            <w:r w:rsidR="00AB2837" w:rsidRPr="000E77D2">
              <w:rPr>
                <w:rFonts w:cs="Times New Roman"/>
                <w:b/>
                <w:sz w:val="22"/>
                <w:szCs w:val="22"/>
                <w:lang w:val="sr-Latn-ME"/>
              </w:rPr>
              <w:t xml:space="preserve">eseci i </w:t>
            </w:r>
            <w:r w:rsidRPr="000E77D2">
              <w:rPr>
                <w:rFonts w:cs="Times New Roman"/>
                <w:b/>
                <w:sz w:val="22"/>
                <w:szCs w:val="22"/>
                <w:lang w:val="sr-Latn-ME"/>
              </w:rPr>
              <w:t>medijana</w:t>
            </w:r>
            <w:r w:rsidR="00AB2837" w:rsidRPr="000E77D2">
              <w:rPr>
                <w:rFonts w:cs="Times New Roman"/>
                <w:b/>
                <w:sz w:val="22"/>
                <w:szCs w:val="22"/>
                <w:lang w:val="sr-Latn-ME"/>
              </w:rPr>
              <w:t xml:space="preserve"> praćenj</w:t>
            </w:r>
            <w:r w:rsidRPr="000E77D2">
              <w:rPr>
                <w:rFonts w:cs="Times New Roman"/>
                <w:b/>
                <w:sz w:val="22"/>
                <w:szCs w:val="22"/>
                <w:lang w:val="sr-Latn-ME"/>
              </w:rPr>
              <w:t>a</w:t>
            </w:r>
            <w:r w:rsidR="00AB2837" w:rsidRPr="000E77D2">
              <w:rPr>
                <w:rFonts w:cs="Times New Roman"/>
                <w:b/>
                <w:sz w:val="22"/>
                <w:szCs w:val="22"/>
                <w:lang w:val="sr-Latn-ME"/>
              </w:rPr>
              <w:t xml:space="preserve"> od 34,5 m</w:t>
            </w:r>
            <w:r w:rsidR="00A423CB" w:rsidRPr="000E77D2">
              <w:rPr>
                <w:rFonts w:cs="Times New Roman"/>
                <w:b/>
                <w:sz w:val="22"/>
                <w:szCs w:val="22"/>
                <w:lang w:val="sr-Latn-ME"/>
              </w:rPr>
              <w:t>j</w:t>
            </w:r>
            <w:r w:rsidR="00AB2837" w:rsidRPr="000E77D2">
              <w:rPr>
                <w:rFonts w:cs="Times New Roman"/>
                <w:b/>
                <w:sz w:val="22"/>
                <w:szCs w:val="22"/>
                <w:lang w:val="sr-Latn-ME"/>
              </w:rPr>
              <w:t>eseca</w:t>
            </w:r>
          </w:p>
        </w:tc>
      </w:tr>
      <w:tr w:rsidR="005872E2" w:rsidRPr="000E77D2" w14:paraId="0EFFE953" w14:textId="77777777" w:rsidTr="00956AA6">
        <w:trPr>
          <w:cantSplit/>
        </w:trPr>
        <w:tc>
          <w:tcPr>
            <w:tcW w:w="1590" w:type="pct"/>
            <w:gridSpan w:val="2"/>
            <w:hideMark/>
          </w:tcPr>
          <w:p w14:paraId="540D9E38" w14:textId="77777777" w:rsidR="00AB2837" w:rsidRPr="000E77D2" w:rsidRDefault="00AB2837" w:rsidP="00BE6A13">
            <w:pPr>
              <w:pStyle w:val="TableText"/>
              <w:jc w:val="both"/>
              <w:rPr>
                <w:rFonts w:cs="Times New Roman"/>
                <w:sz w:val="22"/>
                <w:szCs w:val="22"/>
                <w:vertAlign w:val="superscript"/>
                <w:lang w:val="sr-Latn-ME"/>
              </w:rPr>
            </w:pPr>
            <w:r w:rsidRPr="000E77D2">
              <w:rPr>
                <w:rFonts w:cs="Times New Roman"/>
                <w:sz w:val="22"/>
                <w:szCs w:val="22"/>
                <w:lang w:val="sr-Latn-ME"/>
              </w:rPr>
              <w:t>Preživljavanje bez znakova bolesti</w:t>
            </w:r>
            <w:r w:rsidR="00801FC9" w:rsidRPr="000E77D2">
              <w:rPr>
                <w:rFonts w:cs="Times New Roman"/>
                <w:sz w:val="22"/>
                <w:szCs w:val="22"/>
                <w:vertAlign w:val="superscript"/>
                <w:lang w:val="sr-Latn-ME"/>
              </w:rPr>
              <w:t>c</w:t>
            </w:r>
          </w:p>
        </w:tc>
        <w:tc>
          <w:tcPr>
            <w:tcW w:w="530" w:type="pct"/>
            <w:gridSpan w:val="2"/>
            <w:hideMark/>
          </w:tcPr>
          <w:p w14:paraId="297BB09F" w14:textId="77777777" w:rsidR="00AB2837" w:rsidRPr="000E77D2" w:rsidRDefault="00AB2837" w:rsidP="00BE6A13">
            <w:pPr>
              <w:pStyle w:val="TableTextCentered"/>
              <w:jc w:val="both"/>
              <w:rPr>
                <w:sz w:val="22"/>
                <w:szCs w:val="22"/>
                <w:lang w:val="sr-Latn-ME"/>
              </w:rPr>
            </w:pPr>
            <w:r w:rsidRPr="000E77D2">
              <w:rPr>
                <w:sz w:val="22"/>
                <w:szCs w:val="22"/>
                <w:lang w:val="sr-Latn-ME"/>
              </w:rPr>
              <w:t>213</w:t>
            </w:r>
          </w:p>
        </w:tc>
        <w:tc>
          <w:tcPr>
            <w:tcW w:w="606" w:type="pct"/>
            <w:hideMark/>
          </w:tcPr>
          <w:p w14:paraId="09339B48" w14:textId="77777777" w:rsidR="00AB2837" w:rsidRPr="000E77D2" w:rsidRDefault="00AB2837" w:rsidP="00BE6A13">
            <w:pPr>
              <w:pStyle w:val="TableTextCentered"/>
              <w:jc w:val="both"/>
              <w:rPr>
                <w:sz w:val="22"/>
                <w:szCs w:val="22"/>
                <w:lang w:val="sr-Latn-ME"/>
              </w:rPr>
            </w:pPr>
            <w:r w:rsidRPr="000E77D2">
              <w:rPr>
                <w:sz w:val="22"/>
                <w:szCs w:val="22"/>
                <w:lang w:val="sr-Latn-ME"/>
              </w:rPr>
              <w:t>306</w:t>
            </w:r>
          </w:p>
        </w:tc>
        <w:tc>
          <w:tcPr>
            <w:tcW w:w="1363" w:type="pct"/>
            <w:hideMark/>
          </w:tcPr>
          <w:p w14:paraId="1BD8D2A1" w14:textId="77777777" w:rsidR="00AB2837" w:rsidRPr="000E77D2" w:rsidRDefault="00AB2837" w:rsidP="00BE6A13">
            <w:pPr>
              <w:pStyle w:val="TableTextCentered"/>
              <w:jc w:val="both"/>
              <w:rPr>
                <w:sz w:val="22"/>
                <w:szCs w:val="22"/>
                <w:lang w:val="sr-Latn-ME"/>
              </w:rPr>
            </w:pPr>
            <w:r w:rsidRPr="000E77D2">
              <w:rPr>
                <w:sz w:val="22"/>
                <w:szCs w:val="22"/>
                <w:lang w:val="sr-Latn-ME"/>
              </w:rPr>
              <w:t>0,69 (95% CI: 0,58-0,82)</w:t>
            </w:r>
          </w:p>
        </w:tc>
        <w:tc>
          <w:tcPr>
            <w:tcW w:w="911" w:type="pct"/>
            <w:hideMark/>
          </w:tcPr>
          <w:p w14:paraId="68152A2D" w14:textId="77777777" w:rsidR="00AB2837" w:rsidRPr="000E77D2" w:rsidRDefault="00AB2837" w:rsidP="00BE6A13">
            <w:pPr>
              <w:pStyle w:val="TableTextCentered"/>
              <w:jc w:val="both"/>
              <w:rPr>
                <w:sz w:val="22"/>
                <w:szCs w:val="22"/>
                <w:lang w:val="sr-Latn-ME"/>
              </w:rPr>
            </w:pPr>
            <w:r w:rsidRPr="000E77D2">
              <w:rPr>
                <w:sz w:val="22"/>
                <w:szCs w:val="22"/>
                <w:lang w:val="sr-Latn-ME"/>
              </w:rPr>
              <w:t>0,00003</w:t>
            </w:r>
          </w:p>
        </w:tc>
      </w:tr>
      <w:tr w:rsidR="005872E2" w:rsidRPr="000E77D2" w14:paraId="3D65F622" w14:textId="77777777" w:rsidTr="00956AA6">
        <w:trPr>
          <w:cantSplit/>
        </w:trPr>
        <w:tc>
          <w:tcPr>
            <w:tcW w:w="1590" w:type="pct"/>
            <w:gridSpan w:val="2"/>
            <w:hideMark/>
          </w:tcPr>
          <w:p w14:paraId="0AA6DAFD" w14:textId="77777777" w:rsidR="00AB2837" w:rsidRPr="000E77D2" w:rsidRDefault="00AB2837" w:rsidP="00BE6A13">
            <w:pPr>
              <w:pStyle w:val="TableText"/>
              <w:jc w:val="both"/>
              <w:rPr>
                <w:rFonts w:cs="Times New Roman"/>
                <w:sz w:val="22"/>
                <w:szCs w:val="22"/>
                <w:vertAlign w:val="superscript"/>
                <w:lang w:val="sr-Latn-ME"/>
              </w:rPr>
            </w:pPr>
            <w:r w:rsidRPr="000E77D2">
              <w:rPr>
                <w:rFonts w:cs="Times New Roman"/>
                <w:sz w:val="22"/>
                <w:szCs w:val="22"/>
                <w:lang w:val="sr-Latn-ME"/>
              </w:rPr>
              <w:t>Preživljavanje bez karcinoma dojke</w:t>
            </w:r>
            <w:r w:rsidR="00801FC9" w:rsidRPr="000E77D2">
              <w:rPr>
                <w:rFonts w:cs="Times New Roman"/>
                <w:sz w:val="22"/>
                <w:szCs w:val="22"/>
                <w:vertAlign w:val="superscript"/>
                <w:lang w:val="sr-Latn-ME"/>
              </w:rPr>
              <w:t>b</w:t>
            </w:r>
          </w:p>
        </w:tc>
        <w:tc>
          <w:tcPr>
            <w:tcW w:w="530" w:type="pct"/>
            <w:gridSpan w:val="2"/>
            <w:hideMark/>
          </w:tcPr>
          <w:p w14:paraId="3E2BDA7A" w14:textId="77777777" w:rsidR="00AB2837" w:rsidRPr="000E77D2" w:rsidRDefault="00AB2837" w:rsidP="00BE6A13">
            <w:pPr>
              <w:pStyle w:val="TableTextCentered"/>
              <w:jc w:val="both"/>
              <w:rPr>
                <w:sz w:val="22"/>
                <w:szCs w:val="22"/>
                <w:lang w:val="sr-Latn-ME"/>
              </w:rPr>
            </w:pPr>
            <w:r w:rsidRPr="000E77D2">
              <w:rPr>
                <w:sz w:val="22"/>
                <w:szCs w:val="22"/>
                <w:lang w:val="sr-Latn-ME"/>
              </w:rPr>
              <w:t>171</w:t>
            </w:r>
          </w:p>
        </w:tc>
        <w:tc>
          <w:tcPr>
            <w:tcW w:w="606" w:type="pct"/>
            <w:hideMark/>
          </w:tcPr>
          <w:p w14:paraId="3369477F" w14:textId="77777777" w:rsidR="00AB2837" w:rsidRPr="000E77D2" w:rsidRDefault="00AB2837" w:rsidP="00BE6A13">
            <w:pPr>
              <w:pStyle w:val="TableTextCentered"/>
              <w:jc w:val="both"/>
              <w:rPr>
                <w:sz w:val="22"/>
                <w:szCs w:val="22"/>
                <w:lang w:val="sr-Latn-ME"/>
              </w:rPr>
            </w:pPr>
            <w:r w:rsidRPr="000E77D2">
              <w:rPr>
                <w:sz w:val="22"/>
                <w:szCs w:val="22"/>
                <w:lang w:val="sr-Latn-ME"/>
              </w:rPr>
              <w:t>262</w:t>
            </w:r>
          </w:p>
        </w:tc>
        <w:tc>
          <w:tcPr>
            <w:tcW w:w="1363" w:type="pct"/>
            <w:hideMark/>
          </w:tcPr>
          <w:p w14:paraId="68E8B06C" w14:textId="77777777" w:rsidR="00AB2837" w:rsidRPr="000E77D2" w:rsidRDefault="00AB2837" w:rsidP="00BE6A13">
            <w:pPr>
              <w:pStyle w:val="TableTextCentered"/>
              <w:jc w:val="both"/>
              <w:rPr>
                <w:sz w:val="22"/>
                <w:szCs w:val="22"/>
                <w:lang w:val="sr-Latn-ME"/>
              </w:rPr>
            </w:pPr>
            <w:r w:rsidRPr="000E77D2">
              <w:rPr>
                <w:sz w:val="22"/>
                <w:szCs w:val="22"/>
                <w:lang w:val="sr-Latn-ME"/>
              </w:rPr>
              <w:t>0,65 (95% CI: 0,54-0,79)</w:t>
            </w:r>
          </w:p>
        </w:tc>
        <w:tc>
          <w:tcPr>
            <w:tcW w:w="911" w:type="pct"/>
            <w:hideMark/>
          </w:tcPr>
          <w:p w14:paraId="41C4FE8B" w14:textId="77777777" w:rsidR="00AB2837" w:rsidRPr="000E77D2" w:rsidRDefault="00AB2837" w:rsidP="00BE6A13">
            <w:pPr>
              <w:pStyle w:val="TableTextCentered"/>
              <w:jc w:val="both"/>
              <w:rPr>
                <w:sz w:val="22"/>
                <w:szCs w:val="22"/>
                <w:lang w:val="sr-Latn-ME"/>
              </w:rPr>
            </w:pPr>
            <w:r w:rsidRPr="000E77D2">
              <w:rPr>
                <w:sz w:val="22"/>
                <w:szCs w:val="22"/>
                <w:lang w:val="sr-Latn-ME"/>
              </w:rPr>
              <w:t>&lt;0,00001</w:t>
            </w:r>
          </w:p>
        </w:tc>
      </w:tr>
      <w:tr w:rsidR="005872E2" w:rsidRPr="000E77D2" w14:paraId="03EDC85B" w14:textId="77777777" w:rsidTr="00956AA6">
        <w:trPr>
          <w:cantSplit/>
        </w:trPr>
        <w:tc>
          <w:tcPr>
            <w:tcW w:w="1590" w:type="pct"/>
            <w:gridSpan w:val="2"/>
            <w:hideMark/>
          </w:tcPr>
          <w:p w14:paraId="0BA055D0" w14:textId="77777777" w:rsidR="00AB2837" w:rsidRPr="000E77D2" w:rsidRDefault="00AB2837" w:rsidP="00BE6A13">
            <w:pPr>
              <w:pStyle w:val="TableText"/>
              <w:jc w:val="both"/>
              <w:rPr>
                <w:rFonts w:cs="Times New Roman"/>
                <w:sz w:val="22"/>
                <w:szCs w:val="22"/>
                <w:lang w:val="sr-Latn-ME"/>
              </w:rPr>
            </w:pPr>
            <w:r w:rsidRPr="000E77D2">
              <w:rPr>
                <w:rFonts w:cs="Times New Roman"/>
                <w:sz w:val="22"/>
                <w:szCs w:val="22"/>
                <w:lang w:val="sr-Latn-ME"/>
              </w:rPr>
              <w:t xml:space="preserve">Kontralateralni karcinom dojke </w:t>
            </w:r>
          </w:p>
        </w:tc>
        <w:tc>
          <w:tcPr>
            <w:tcW w:w="530" w:type="pct"/>
            <w:gridSpan w:val="2"/>
            <w:hideMark/>
          </w:tcPr>
          <w:p w14:paraId="2108CFC7" w14:textId="77777777" w:rsidR="00AB2837" w:rsidRPr="000E77D2" w:rsidRDefault="00AB2837" w:rsidP="00BE6A13">
            <w:pPr>
              <w:pStyle w:val="TableTextCentered"/>
              <w:jc w:val="both"/>
              <w:rPr>
                <w:sz w:val="22"/>
                <w:szCs w:val="22"/>
                <w:lang w:val="sr-Latn-ME"/>
              </w:rPr>
            </w:pPr>
            <w:r w:rsidRPr="000E77D2">
              <w:rPr>
                <w:sz w:val="22"/>
                <w:szCs w:val="22"/>
                <w:lang w:val="sr-Latn-ME"/>
              </w:rPr>
              <w:t>8</w:t>
            </w:r>
          </w:p>
        </w:tc>
        <w:tc>
          <w:tcPr>
            <w:tcW w:w="606" w:type="pct"/>
            <w:hideMark/>
          </w:tcPr>
          <w:p w14:paraId="6A17B625" w14:textId="77777777" w:rsidR="00AB2837" w:rsidRPr="000E77D2" w:rsidRDefault="00AB2837" w:rsidP="00BE6A13">
            <w:pPr>
              <w:pStyle w:val="TableTextCentered"/>
              <w:jc w:val="both"/>
              <w:rPr>
                <w:sz w:val="22"/>
                <w:szCs w:val="22"/>
                <w:lang w:val="sr-Latn-ME"/>
              </w:rPr>
            </w:pPr>
            <w:r w:rsidRPr="000E77D2">
              <w:rPr>
                <w:sz w:val="22"/>
                <w:szCs w:val="22"/>
                <w:lang w:val="sr-Latn-ME"/>
              </w:rPr>
              <w:t>25</w:t>
            </w:r>
          </w:p>
        </w:tc>
        <w:tc>
          <w:tcPr>
            <w:tcW w:w="1363" w:type="pct"/>
            <w:hideMark/>
          </w:tcPr>
          <w:p w14:paraId="2AB393C4" w14:textId="77777777" w:rsidR="00AB2837" w:rsidRPr="000E77D2" w:rsidRDefault="00AB2837" w:rsidP="00BE6A13">
            <w:pPr>
              <w:pStyle w:val="TableTextCentered"/>
              <w:jc w:val="both"/>
              <w:rPr>
                <w:sz w:val="22"/>
                <w:szCs w:val="22"/>
                <w:lang w:val="sr-Latn-ME"/>
              </w:rPr>
            </w:pPr>
            <w:r w:rsidRPr="000E77D2">
              <w:rPr>
                <w:sz w:val="22"/>
                <w:szCs w:val="22"/>
                <w:lang w:val="sr-Latn-ME"/>
              </w:rPr>
              <w:t>0,32 (95% CI: 0,15-0,72)</w:t>
            </w:r>
          </w:p>
        </w:tc>
        <w:tc>
          <w:tcPr>
            <w:tcW w:w="911" w:type="pct"/>
            <w:hideMark/>
          </w:tcPr>
          <w:p w14:paraId="46389660" w14:textId="77777777" w:rsidR="00AB2837" w:rsidRPr="000E77D2" w:rsidRDefault="00AB2837" w:rsidP="00BE6A13">
            <w:pPr>
              <w:pStyle w:val="TableTextCentered"/>
              <w:jc w:val="both"/>
              <w:rPr>
                <w:sz w:val="22"/>
                <w:szCs w:val="22"/>
                <w:lang w:val="sr-Latn-ME"/>
              </w:rPr>
            </w:pPr>
            <w:r w:rsidRPr="000E77D2">
              <w:rPr>
                <w:sz w:val="22"/>
                <w:szCs w:val="22"/>
                <w:lang w:val="sr-Latn-ME"/>
              </w:rPr>
              <w:t>0,00340</w:t>
            </w:r>
          </w:p>
        </w:tc>
      </w:tr>
      <w:tr w:rsidR="005872E2" w:rsidRPr="000E77D2" w14:paraId="0B95701A" w14:textId="77777777" w:rsidTr="00956AA6">
        <w:trPr>
          <w:cantSplit/>
        </w:trPr>
        <w:tc>
          <w:tcPr>
            <w:tcW w:w="1590" w:type="pct"/>
            <w:gridSpan w:val="2"/>
            <w:hideMark/>
          </w:tcPr>
          <w:p w14:paraId="542BF89D" w14:textId="77777777" w:rsidR="00AB2837" w:rsidRPr="000E77D2" w:rsidRDefault="00AB2837" w:rsidP="00BE6A13">
            <w:pPr>
              <w:pStyle w:val="TableText"/>
              <w:jc w:val="both"/>
              <w:rPr>
                <w:rFonts w:cs="Times New Roman"/>
                <w:sz w:val="22"/>
                <w:szCs w:val="22"/>
                <w:vertAlign w:val="superscript"/>
                <w:lang w:val="sr-Latn-ME"/>
              </w:rPr>
            </w:pPr>
            <w:r w:rsidRPr="000E77D2">
              <w:rPr>
                <w:rFonts w:cs="Times New Roman"/>
                <w:sz w:val="22"/>
                <w:szCs w:val="22"/>
                <w:lang w:val="sr-Latn-ME"/>
              </w:rPr>
              <w:t>Preživljavanje bez udaljenih metastaza</w:t>
            </w:r>
            <w:r w:rsidR="00801FC9" w:rsidRPr="000E77D2">
              <w:rPr>
                <w:rFonts w:cs="Times New Roman"/>
                <w:sz w:val="22"/>
                <w:szCs w:val="22"/>
                <w:vertAlign w:val="superscript"/>
                <w:lang w:val="sr-Latn-ME"/>
              </w:rPr>
              <w:t>c</w:t>
            </w:r>
          </w:p>
        </w:tc>
        <w:tc>
          <w:tcPr>
            <w:tcW w:w="530" w:type="pct"/>
            <w:gridSpan w:val="2"/>
            <w:hideMark/>
          </w:tcPr>
          <w:p w14:paraId="35ED89A9" w14:textId="77777777" w:rsidR="00AB2837" w:rsidRPr="000E77D2" w:rsidRDefault="00AB2837" w:rsidP="00BE6A13">
            <w:pPr>
              <w:pStyle w:val="TableTextCentered"/>
              <w:jc w:val="both"/>
              <w:rPr>
                <w:sz w:val="22"/>
                <w:szCs w:val="22"/>
                <w:lang w:val="sr-Latn-ME"/>
              </w:rPr>
            </w:pPr>
            <w:r w:rsidRPr="000E77D2">
              <w:rPr>
                <w:sz w:val="22"/>
                <w:szCs w:val="22"/>
                <w:lang w:val="sr-Latn-ME"/>
              </w:rPr>
              <w:t>142</w:t>
            </w:r>
          </w:p>
        </w:tc>
        <w:tc>
          <w:tcPr>
            <w:tcW w:w="606" w:type="pct"/>
            <w:hideMark/>
          </w:tcPr>
          <w:p w14:paraId="74C6DE13" w14:textId="77777777" w:rsidR="00AB2837" w:rsidRPr="000E77D2" w:rsidRDefault="00AB2837" w:rsidP="00BE6A13">
            <w:pPr>
              <w:pStyle w:val="TableTextCentered"/>
              <w:jc w:val="both"/>
              <w:rPr>
                <w:sz w:val="22"/>
                <w:szCs w:val="22"/>
                <w:lang w:val="sr-Latn-ME"/>
              </w:rPr>
            </w:pPr>
            <w:r w:rsidRPr="000E77D2">
              <w:rPr>
                <w:sz w:val="22"/>
                <w:szCs w:val="22"/>
                <w:lang w:val="sr-Latn-ME"/>
              </w:rPr>
              <w:t>204</w:t>
            </w:r>
          </w:p>
        </w:tc>
        <w:tc>
          <w:tcPr>
            <w:tcW w:w="1363" w:type="pct"/>
            <w:hideMark/>
          </w:tcPr>
          <w:p w14:paraId="0C427C43" w14:textId="77777777" w:rsidR="00AB2837" w:rsidRPr="000E77D2" w:rsidRDefault="00AB2837" w:rsidP="00BE6A13">
            <w:pPr>
              <w:pStyle w:val="TableTextCentered"/>
              <w:jc w:val="both"/>
              <w:rPr>
                <w:sz w:val="22"/>
                <w:szCs w:val="22"/>
                <w:lang w:val="sr-Latn-ME"/>
              </w:rPr>
            </w:pPr>
            <w:r w:rsidRPr="000E77D2">
              <w:rPr>
                <w:sz w:val="22"/>
                <w:szCs w:val="22"/>
                <w:lang w:val="sr-Latn-ME"/>
              </w:rPr>
              <w:t>0,70 (95% CI: 0,56-0,86)</w:t>
            </w:r>
          </w:p>
        </w:tc>
        <w:tc>
          <w:tcPr>
            <w:tcW w:w="911" w:type="pct"/>
            <w:hideMark/>
          </w:tcPr>
          <w:p w14:paraId="6DA5C578" w14:textId="77777777" w:rsidR="00AB2837" w:rsidRPr="000E77D2" w:rsidRDefault="00AB2837" w:rsidP="00BE6A13">
            <w:pPr>
              <w:pStyle w:val="TableTextCentered"/>
              <w:jc w:val="both"/>
              <w:rPr>
                <w:sz w:val="22"/>
                <w:szCs w:val="22"/>
                <w:lang w:val="sr-Latn-ME"/>
              </w:rPr>
            </w:pPr>
            <w:r w:rsidRPr="000E77D2">
              <w:rPr>
                <w:sz w:val="22"/>
                <w:szCs w:val="22"/>
                <w:lang w:val="sr-Latn-ME"/>
              </w:rPr>
              <w:t>0,00083</w:t>
            </w:r>
          </w:p>
        </w:tc>
      </w:tr>
      <w:tr w:rsidR="005872E2" w:rsidRPr="000E77D2" w14:paraId="61C40D15" w14:textId="77777777" w:rsidTr="00956AA6">
        <w:trPr>
          <w:cantSplit/>
        </w:trPr>
        <w:tc>
          <w:tcPr>
            <w:tcW w:w="1590" w:type="pct"/>
            <w:gridSpan w:val="2"/>
            <w:hideMark/>
          </w:tcPr>
          <w:p w14:paraId="7EFA514F" w14:textId="77777777" w:rsidR="00AB2837" w:rsidRPr="000E77D2" w:rsidRDefault="00AB2837" w:rsidP="00BE6A13">
            <w:pPr>
              <w:pStyle w:val="TableText"/>
              <w:jc w:val="both"/>
              <w:rPr>
                <w:rFonts w:cs="Times New Roman"/>
                <w:sz w:val="22"/>
                <w:szCs w:val="22"/>
                <w:vertAlign w:val="superscript"/>
                <w:lang w:val="sr-Latn-ME"/>
              </w:rPr>
            </w:pPr>
            <w:r w:rsidRPr="000E77D2">
              <w:rPr>
                <w:rFonts w:cs="Times New Roman"/>
                <w:sz w:val="22"/>
                <w:szCs w:val="22"/>
                <w:lang w:val="sr-Latn-ME"/>
              </w:rPr>
              <w:t>Ukupno preživljavanje</w:t>
            </w:r>
            <w:r w:rsidR="00801FC9" w:rsidRPr="000E77D2">
              <w:rPr>
                <w:rFonts w:cs="Times New Roman"/>
                <w:sz w:val="22"/>
                <w:szCs w:val="22"/>
                <w:vertAlign w:val="superscript"/>
                <w:lang w:val="sr-Latn-ME"/>
              </w:rPr>
              <w:t>d</w:t>
            </w:r>
          </w:p>
        </w:tc>
        <w:tc>
          <w:tcPr>
            <w:tcW w:w="530" w:type="pct"/>
            <w:gridSpan w:val="2"/>
            <w:hideMark/>
          </w:tcPr>
          <w:p w14:paraId="640E48EB" w14:textId="77777777" w:rsidR="00AB2837" w:rsidRPr="000E77D2" w:rsidRDefault="00AB2837" w:rsidP="00BE6A13">
            <w:pPr>
              <w:pStyle w:val="TableTextCentered"/>
              <w:jc w:val="both"/>
              <w:rPr>
                <w:sz w:val="22"/>
                <w:szCs w:val="22"/>
                <w:lang w:val="sr-Latn-ME"/>
              </w:rPr>
            </w:pPr>
            <w:r w:rsidRPr="000E77D2">
              <w:rPr>
                <w:sz w:val="22"/>
                <w:szCs w:val="22"/>
                <w:lang w:val="sr-Latn-ME"/>
              </w:rPr>
              <w:t>116</w:t>
            </w:r>
          </w:p>
        </w:tc>
        <w:tc>
          <w:tcPr>
            <w:tcW w:w="606" w:type="pct"/>
            <w:hideMark/>
          </w:tcPr>
          <w:p w14:paraId="13105DEE" w14:textId="77777777" w:rsidR="00AB2837" w:rsidRPr="000E77D2" w:rsidRDefault="00AB2837" w:rsidP="00BE6A13">
            <w:pPr>
              <w:pStyle w:val="TableTextCentered"/>
              <w:jc w:val="both"/>
              <w:rPr>
                <w:sz w:val="22"/>
                <w:szCs w:val="22"/>
                <w:lang w:val="sr-Latn-ME"/>
              </w:rPr>
            </w:pPr>
            <w:r w:rsidRPr="000E77D2">
              <w:rPr>
                <w:sz w:val="22"/>
                <w:szCs w:val="22"/>
                <w:lang w:val="sr-Latn-ME"/>
              </w:rPr>
              <w:t>137</w:t>
            </w:r>
          </w:p>
        </w:tc>
        <w:tc>
          <w:tcPr>
            <w:tcW w:w="1363" w:type="pct"/>
            <w:hideMark/>
          </w:tcPr>
          <w:p w14:paraId="75F01EEB" w14:textId="77777777" w:rsidR="00AB2837" w:rsidRPr="000E77D2" w:rsidRDefault="00AB2837" w:rsidP="00BE6A13">
            <w:pPr>
              <w:pStyle w:val="TableTextCentered"/>
              <w:jc w:val="both"/>
              <w:rPr>
                <w:sz w:val="22"/>
                <w:szCs w:val="22"/>
                <w:lang w:val="sr-Latn-ME"/>
              </w:rPr>
            </w:pPr>
            <w:r w:rsidRPr="000E77D2">
              <w:rPr>
                <w:sz w:val="22"/>
                <w:szCs w:val="22"/>
                <w:lang w:val="sr-Latn-ME"/>
              </w:rPr>
              <w:t>0,86 (95% CI: 0,67-1,10)</w:t>
            </w:r>
          </w:p>
        </w:tc>
        <w:tc>
          <w:tcPr>
            <w:tcW w:w="911" w:type="pct"/>
            <w:hideMark/>
          </w:tcPr>
          <w:p w14:paraId="17DF04B3" w14:textId="77777777" w:rsidR="00AB2837" w:rsidRPr="000E77D2" w:rsidRDefault="00AB2837" w:rsidP="00BE6A13">
            <w:pPr>
              <w:pStyle w:val="TableTextCentered"/>
              <w:jc w:val="both"/>
              <w:rPr>
                <w:sz w:val="22"/>
                <w:szCs w:val="22"/>
                <w:lang w:val="sr-Latn-ME"/>
              </w:rPr>
            </w:pPr>
            <w:r w:rsidRPr="000E77D2">
              <w:rPr>
                <w:sz w:val="22"/>
                <w:szCs w:val="22"/>
                <w:lang w:val="sr-Latn-ME"/>
              </w:rPr>
              <w:t>0,22962</w:t>
            </w:r>
          </w:p>
        </w:tc>
      </w:tr>
      <w:tr w:rsidR="005872E2" w:rsidRPr="000E77D2" w14:paraId="081B0E0C" w14:textId="77777777" w:rsidTr="00956AA6">
        <w:trPr>
          <w:cantSplit/>
        </w:trPr>
        <w:tc>
          <w:tcPr>
            <w:tcW w:w="5000" w:type="pct"/>
            <w:gridSpan w:val="7"/>
            <w:hideMark/>
          </w:tcPr>
          <w:p w14:paraId="3936D877" w14:textId="2F40DE12" w:rsidR="00AB2837" w:rsidRPr="000E77D2" w:rsidRDefault="00461873" w:rsidP="00461873">
            <w:pPr>
              <w:pStyle w:val="TableTextCentered"/>
              <w:jc w:val="both"/>
              <w:rPr>
                <w:b/>
                <w:sz w:val="22"/>
                <w:szCs w:val="22"/>
                <w:lang w:val="sr-Latn-ME"/>
              </w:rPr>
            </w:pPr>
            <w:r w:rsidRPr="000E77D2">
              <w:rPr>
                <w:b/>
                <w:sz w:val="22"/>
                <w:szCs w:val="22"/>
                <w:lang w:val="sr-Latn-ME"/>
              </w:rPr>
              <w:t>Medijana</w:t>
            </w:r>
            <w:r w:rsidR="00AB2837" w:rsidRPr="000E77D2">
              <w:rPr>
                <w:b/>
                <w:sz w:val="22"/>
                <w:szCs w:val="22"/>
                <w:lang w:val="sr-Latn-ME"/>
              </w:rPr>
              <w:t xml:space="preserve"> terapij</w:t>
            </w:r>
            <w:r w:rsidRPr="000E77D2">
              <w:rPr>
                <w:b/>
                <w:sz w:val="22"/>
                <w:szCs w:val="22"/>
                <w:lang w:val="sr-Latn-ME"/>
              </w:rPr>
              <w:t>e</w:t>
            </w:r>
            <w:r w:rsidR="00AB2837" w:rsidRPr="000E77D2">
              <w:rPr>
                <w:b/>
                <w:sz w:val="22"/>
                <w:szCs w:val="22"/>
                <w:lang w:val="sr-Latn-ME"/>
              </w:rPr>
              <w:t xml:space="preserve"> od 30 m</w:t>
            </w:r>
            <w:r w:rsidR="00A423CB" w:rsidRPr="000E77D2">
              <w:rPr>
                <w:b/>
                <w:sz w:val="22"/>
                <w:szCs w:val="22"/>
                <w:lang w:val="sr-Latn-ME"/>
              </w:rPr>
              <w:t>j</w:t>
            </w:r>
            <w:r w:rsidR="00AB2837" w:rsidRPr="000E77D2">
              <w:rPr>
                <w:b/>
                <w:sz w:val="22"/>
                <w:szCs w:val="22"/>
                <w:lang w:val="sr-Latn-ME"/>
              </w:rPr>
              <w:t xml:space="preserve">eseci i </w:t>
            </w:r>
            <w:r w:rsidRPr="000E77D2">
              <w:rPr>
                <w:b/>
                <w:sz w:val="22"/>
                <w:szCs w:val="22"/>
                <w:lang w:val="sr-Latn-ME"/>
              </w:rPr>
              <w:t>medijana</w:t>
            </w:r>
            <w:r w:rsidR="00AB2837" w:rsidRPr="000E77D2">
              <w:rPr>
                <w:b/>
                <w:sz w:val="22"/>
                <w:szCs w:val="22"/>
                <w:lang w:val="sr-Latn-ME"/>
              </w:rPr>
              <w:t xml:space="preserve"> praćenj</w:t>
            </w:r>
            <w:r w:rsidRPr="000E77D2">
              <w:rPr>
                <w:b/>
                <w:sz w:val="22"/>
                <w:szCs w:val="22"/>
                <w:lang w:val="sr-Latn-ME"/>
              </w:rPr>
              <w:t>a</w:t>
            </w:r>
            <w:r w:rsidR="00AB2837" w:rsidRPr="000E77D2">
              <w:rPr>
                <w:b/>
                <w:sz w:val="22"/>
                <w:szCs w:val="22"/>
                <w:lang w:val="sr-Latn-ME"/>
              </w:rPr>
              <w:t xml:space="preserve"> od 52 m</w:t>
            </w:r>
            <w:r w:rsidR="00A423CB" w:rsidRPr="000E77D2">
              <w:rPr>
                <w:b/>
                <w:sz w:val="22"/>
                <w:szCs w:val="22"/>
                <w:lang w:val="sr-Latn-ME"/>
              </w:rPr>
              <w:t>j</w:t>
            </w:r>
            <w:r w:rsidR="00AB2837" w:rsidRPr="000E77D2">
              <w:rPr>
                <w:b/>
                <w:sz w:val="22"/>
                <w:szCs w:val="22"/>
                <w:lang w:val="sr-Latn-ME"/>
              </w:rPr>
              <w:t>eseca</w:t>
            </w:r>
          </w:p>
        </w:tc>
      </w:tr>
      <w:tr w:rsidR="005872E2" w:rsidRPr="000E77D2" w14:paraId="1582A54A" w14:textId="77777777" w:rsidTr="00956AA6">
        <w:trPr>
          <w:cantSplit/>
        </w:trPr>
        <w:tc>
          <w:tcPr>
            <w:tcW w:w="1590" w:type="pct"/>
            <w:gridSpan w:val="2"/>
            <w:hideMark/>
          </w:tcPr>
          <w:p w14:paraId="10F69A69" w14:textId="77777777" w:rsidR="00AB2837" w:rsidRPr="000E77D2" w:rsidRDefault="00AB2837" w:rsidP="00BE6A13">
            <w:pPr>
              <w:pStyle w:val="TableText"/>
              <w:jc w:val="both"/>
              <w:rPr>
                <w:rFonts w:cs="Times New Roman"/>
                <w:sz w:val="22"/>
                <w:szCs w:val="22"/>
                <w:vertAlign w:val="superscript"/>
                <w:lang w:val="sr-Latn-ME"/>
              </w:rPr>
            </w:pPr>
            <w:r w:rsidRPr="000E77D2">
              <w:rPr>
                <w:rFonts w:cs="Times New Roman"/>
                <w:sz w:val="22"/>
                <w:szCs w:val="22"/>
                <w:lang w:val="sr-Latn-ME"/>
              </w:rPr>
              <w:t>Preživljavanje bez znakova bolesti</w:t>
            </w:r>
            <w:r w:rsidR="002E61EB" w:rsidRPr="000E77D2">
              <w:rPr>
                <w:rFonts w:cs="Times New Roman"/>
                <w:sz w:val="22"/>
                <w:szCs w:val="22"/>
                <w:vertAlign w:val="superscript"/>
                <w:lang w:val="sr-Latn-ME"/>
              </w:rPr>
              <w:t>a</w:t>
            </w:r>
          </w:p>
        </w:tc>
        <w:tc>
          <w:tcPr>
            <w:tcW w:w="455" w:type="pct"/>
            <w:hideMark/>
          </w:tcPr>
          <w:p w14:paraId="5F8E5C86" w14:textId="77777777" w:rsidR="00AB2837" w:rsidRPr="000E77D2" w:rsidRDefault="00AB2837" w:rsidP="00BE6A13">
            <w:pPr>
              <w:pStyle w:val="TableTextCentered"/>
              <w:jc w:val="both"/>
              <w:rPr>
                <w:sz w:val="22"/>
                <w:szCs w:val="22"/>
                <w:lang w:val="sr-Latn-ME"/>
              </w:rPr>
            </w:pPr>
            <w:r w:rsidRPr="000E77D2">
              <w:rPr>
                <w:sz w:val="22"/>
                <w:szCs w:val="22"/>
                <w:lang w:val="sr-Latn-ME"/>
              </w:rPr>
              <w:t>354</w:t>
            </w:r>
          </w:p>
        </w:tc>
        <w:tc>
          <w:tcPr>
            <w:tcW w:w="681" w:type="pct"/>
            <w:gridSpan w:val="2"/>
            <w:hideMark/>
          </w:tcPr>
          <w:p w14:paraId="73806B3A" w14:textId="77777777" w:rsidR="00AB2837" w:rsidRPr="000E77D2" w:rsidRDefault="00AB2837" w:rsidP="00BE6A13">
            <w:pPr>
              <w:pStyle w:val="TableTextCentered"/>
              <w:jc w:val="both"/>
              <w:rPr>
                <w:sz w:val="22"/>
                <w:szCs w:val="22"/>
                <w:lang w:val="sr-Latn-ME"/>
              </w:rPr>
            </w:pPr>
            <w:r w:rsidRPr="000E77D2">
              <w:rPr>
                <w:sz w:val="22"/>
                <w:szCs w:val="22"/>
                <w:lang w:val="sr-Latn-ME"/>
              </w:rPr>
              <w:t>453</w:t>
            </w:r>
          </w:p>
        </w:tc>
        <w:tc>
          <w:tcPr>
            <w:tcW w:w="1363" w:type="pct"/>
            <w:hideMark/>
          </w:tcPr>
          <w:p w14:paraId="209E7527" w14:textId="77777777" w:rsidR="00AB2837" w:rsidRPr="000E77D2" w:rsidRDefault="00AB2837" w:rsidP="00BE6A13">
            <w:pPr>
              <w:pStyle w:val="TableTextCentered"/>
              <w:jc w:val="both"/>
              <w:rPr>
                <w:sz w:val="22"/>
                <w:szCs w:val="22"/>
                <w:lang w:val="sr-Latn-ME"/>
              </w:rPr>
            </w:pPr>
            <w:r w:rsidRPr="000E77D2">
              <w:rPr>
                <w:sz w:val="22"/>
                <w:szCs w:val="22"/>
                <w:lang w:val="sr-Latn-ME"/>
              </w:rPr>
              <w:t>0,77 (95% CI: 0,67-0,88)</w:t>
            </w:r>
          </w:p>
        </w:tc>
        <w:tc>
          <w:tcPr>
            <w:tcW w:w="911" w:type="pct"/>
            <w:hideMark/>
          </w:tcPr>
          <w:p w14:paraId="7A010DFD" w14:textId="77777777" w:rsidR="00AB2837" w:rsidRPr="000E77D2" w:rsidRDefault="00AB2837" w:rsidP="00BE6A13">
            <w:pPr>
              <w:pStyle w:val="TableTextCentered"/>
              <w:jc w:val="both"/>
              <w:rPr>
                <w:sz w:val="22"/>
                <w:szCs w:val="22"/>
                <w:lang w:val="sr-Latn-ME"/>
              </w:rPr>
            </w:pPr>
            <w:r w:rsidRPr="000E77D2">
              <w:rPr>
                <w:sz w:val="22"/>
                <w:szCs w:val="22"/>
                <w:lang w:val="sr-Latn-ME"/>
              </w:rPr>
              <w:t>0,00015</w:t>
            </w:r>
          </w:p>
        </w:tc>
      </w:tr>
      <w:tr w:rsidR="005872E2" w:rsidRPr="000E77D2" w14:paraId="23D09452" w14:textId="77777777" w:rsidTr="00956AA6">
        <w:trPr>
          <w:cantSplit/>
        </w:trPr>
        <w:tc>
          <w:tcPr>
            <w:tcW w:w="1590" w:type="pct"/>
            <w:gridSpan w:val="2"/>
            <w:hideMark/>
          </w:tcPr>
          <w:p w14:paraId="500BBD75" w14:textId="77777777" w:rsidR="00AB2837" w:rsidRPr="000E77D2" w:rsidRDefault="00AB2837" w:rsidP="00BE6A13">
            <w:pPr>
              <w:pStyle w:val="TableText"/>
              <w:jc w:val="both"/>
              <w:rPr>
                <w:rFonts w:cs="Times New Roman"/>
                <w:sz w:val="22"/>
                <w:szCs w:val="22"/>
                <w:vertAlign w:val="superscript"/>
                <w:lang w:val="sr-Latn-ME"/>
              </w:rPr>
            </w:pPr>
            <w:r w:rsidRPr="000E77D2">
              <w:rPr>
                <w:rFonts w:cs="Times New Roman"/>
                <w:sz w:val="22"/>
                <w:szCs w:val="22"/>
                <w:lang w:val="sr-Latn-ME"/>
              </w:rPr>
              <w:t>Preživljavanje bez karcinoma dojke</w:t>
            </w:r>
            <w:r w:rsidR="002E61EB" w:rsidRPr="000E77D2">
              <w:rPr>
                <w:rFonts w:cs="Times New Roman"/>
                <w:sz w:val="22"/>
                <w:szCs w:val="22"/>
                <w:vertAlign w:val="superscript"/>
                <w:lang w:val="sr-Latn-ME"/>
              </w:rPr>
              <w:t>b</w:t>
            </w:r>
          </w:p>
        </w:tc>
        <w:tc>
          <w:tcPr>
            <w:tcW w:w="455" w:type="pct"/>
            <w:hideMark/>
          </w:tcPr>
          <w:p w14:paraId="6D700678" w14:textId="77777777" w:rsidR="00AB2837" w:rsidRPr="000E77D2" w:rsidRDefault="00AB2837" w:rsidP="00BE6A13">
            <w:pPr>
              <w:pStyle w:val="TableTextCentered"/>
              <w:jc w:val="both"/>
              <w:rPr>
                <w:sz w:val="22"/>
                <w:szCs w:val="22"/>
                <w:lang w:val="sr-Latn-ME"/>
              </w:rPr>
            </w:pPr>
            <w:r w:rsidRPr="000E77D2">
              <w:rPr>
                <w:sz w:val="22"/>
                <w:szCs w:val="22"/>
                <w:lang w:val="sr-Latn-ME"/>
              </w:rPr>
              <w:t>289</w:t>
            </w:r>
          </w:p>
        </w:tc>
        <w:tc>
          <w:tcPr>
            <w:tcW w:w="681" w:type="pct"/>
            <w:gridSpan w:val="2"/>
            <w:hideMark/>
          </w:tcPr>
          <w:p w14:paraId="7DB5290B" w14:textId="77777777" w:rsidR="00AB2837" w:rsidRPr="000E77D2" w:rsidRDefault="00AB2837" w:rsidP="00BE6A13">
            <w:pPr>
              <w:pStyle w:val="TableTextCentered"/>
              <w:jc w:val="both"/>
              <w:rPr>
                <w:sz w:val="22"/>
                <w:szCs w:val="22"/>
                <w:lang w:val="sr-Latn-ME"/>
              </w:rPr>
            </w:pPr>
            <w:r w:rsidRPr="000E77D2">
              <w:rPr>
                <w:sz w:val="22"/>
                <w:szCs w:val="22"/>
                <w:lang w:val="sr-Latn-ME"/>
              </w:rPr>
              <w:t>373</w:t>
            </w:r>
          </w:p>
        </w:tc>
        <w:tc>
          <w:tcPr>
            <w:tcW w:w="1363" w:type="pct"/>
            <w:hideMark/>
          </w:tcPr>
          <w:p w14:paraId="29F48A27" w14:textId="77777777" w:rsidR="00AB2837" w:rsidRPr="000E77D2" w:rsidRDefault="00AB2837" w:rsidP="00BE6A13">
            <w:pPr>
              <w:pStyle w:val="TableTextCentered"/>
              <w:jc w:val="both"/>
              <w:rPr>
                <w:sz w:val="22"/>
                <w:szCs w:val="22"/>
                <w:lang w:val="sr-Latn-ME"/>
              </w:rPr>
            </w:pPr>
            <w:r w:rsidRPr="000E77D2">
              <w:rPr>
                <w:sz w:val="22"/>
                <w:szCs w:val="22"/>
                <w:lang w:val="sr-Latn-ME"/>
              </w:rPr>
              <w:t>0,76 (95% CI: 0,65-0,89)</w:t>
            </w:r>
          </w:p>
        </w:tc>
        <w:tc>
          <w:tcPr>
            <w:tcW w:w="911" w:type="pct"/>
            <w:hideMark/>
          </w:tcPr>
          <w:p w14:paraId="2564B716" w14:textId="77777777" w:rsidR="00AB2837" w:rsidRPr="000E77D2" w:rsidRDefault="00AB2837" w:rsidP="00BE6A13">
            <w:pPr>
              <w:pStyle w:val="TableTextCentered"/>
              <w:jc w:val="both"/>
              <w:rPr>
                <w:sz w:val="22"/>
                <w:szCs w:val="22"/>
                <w:lang w:val="sr-Latn-ME"/>
              </w:rPr>
            </w:pPr>
            <w:r w:rsidRPr="000E77D2">
              <w:rPr>
                <w:sz w:val="22"/>
                <w:szCs w:val="22"/>
                <w:lang w:val="sr-Latn-ME"/>
              </w:rPr>
              <w:t>0,00041</w:t>
            </w:r>
          </w:p>
        </w:tc>
      </w:tr>
      <w:tr w:rsidR="005872E2" w:rsidRPr="000E77D2" w14:paraId="2DFF7354" w14:textId="77777777" w:rsidTr="00956AA6">
        <w:trPr>
          <w:cantSplit/>
        </w:trPr>
        <w:tc>
          <w:tcPr>
            <w:tcW w:w="1590" w:type="pct"/>
            <w:gridSpan w:val="2"/>
            <w:hideMark/>
          </w:tcPr>
          <w:p w14:paraId="13D6D2A7" w14:textId="77777777" w:rsidR="00AB2837" w:rsidRPr="000E77D2" w:rsidRDefault="00AB2837" w:rsidP="00BE6A13">
            <w:pPr>
              <w:pStyle w:val="TableText"/>
              <w:jc w:val="both"/>
              <w:rPr>
                <w:rFonts w:cs="Times New Roman"/>
                <w:sz w:val="22"/>
                <w:szCs w:val="22"/>
                <w:lang w:val="sr-Latn-ME"/>
              </w:rPr>
            </w:pPr>
            <w:r w:rsidRPr="000E77D2">
              <w:rPr>
                <w:rFonts w:cs="Times New Roman"/>
                <w:sz w:val="22"/>
                <w:szCs w:val="22"/>
                <w:lang w:val="sr-Latn-ME"/>
              </w:rPr>
              <w:t xml:space="preserve">Kontralateralni karcinom dojke </w:t>
            </w:r>
          </w:p>
        </w:tc>
        <w:tc>
          <w:tcPr>
            <w:tcW w:w="455" w:type="pct"/>
            <w:hideMark/>
          </w:tcPr>
          <w:p w14:paraId="335C015F" w14:textId="77777777" w:rsidR="00AB2837" w:rsidRPr="000E77D2" w:rsidRDefault="00AB2837" w:rsidP="00BE6A13">
            <w:pPr>
              <w:pStyle w:val="TableTextCentered"/>
              <w:jc w:val="both"/>
              <w:rPr>
                <w:sz w:val="22"/>
                <w:szCs w:val="22"/>
                <w:lang w:val="sr-Latn-ME"/>
              </w:rPr>
            </w:pPr>
            <w:r w:rsidRPr="000E77D2">
              <w:rPr>
                <w:sz w:val="22"/>
                <w:szCs w:val="22"/>
                <w:lang w:val="sr-Latn-ME"/>
              </w:rPr>
              <w:t>20</w:t>
            </w:r>
          </w:p>
        </w:tc>
        <w:tc>
          <w:tcPr>
            <w:tcW w:w="681" w:type="pct"/>
            <w:gridSpan w:val="2"/>
            <w:hideMark/>
          </w:tcPr>
          <w:p w14:paraId="6BAD75E5" w14:textId="77777777" w:rsidR="00AB2837" w:rsidRPr="000E77D2" w:rsidRDefault="00AB2837" w:rsidP="00BE6A13">
            <w:pPr>
              <w:pStyle w:val="TableTextCentered"/>
              <w:jc w:val="both"/>
              <w:rPr>
                <w:sz w:val="22"/>
                <w:szCs w:val="22"/>
                <w:lang w:val="sr-Latn-ME"/>
              </w:rPr>
            </w:pPr>
            <w:r w:rsidRPr="000E77D2">
              <w:rPr>
                <w:sz w:val="22"/>
                <w:szCs w:val="22"/>
                <w:lang w:val="sr-Latn-ME"/>
              </w:rPr>
              <w:t>35</w:t>
            </w:r>
          </w:p>
        </w:tc>
        <w:tc>
          <w:tcPr>
            <w:tcW w:w="1363" w:type="pct"/>
            <w:hideMark/>
          </w:tcPr>
          <w:p w14:paraId="7890D0F8" w14:textId="77777777" w:rsidR="00AB2837" w:rsidRPr="000E77D2" w:rsidRDefault="00AB2837" w:rsidP="00BE6A13">
            <w:pPr>
              <w:pStyle w:val="TableTextCentered"/>
              <w:jc w:val="both"/>
              <w:rPr>
                <w:sz w:val="22"/>
                <w:szCs w:val="22"/>
                <w:lang w:val="sr-Latn-ME"/>
              </w:rPr>
            </w:pPr>
            <w:r w:rsidRPr="000E77D2">
              <w:rPr>
                <w:sz w:val="22"/>
                <w:szCs w:val="22"/>
                <w:lang w:val="sr-Latn-ME"/>
              </w:rPr>
              <w:t>0,57 (95% CI: 0,33-0,99)</w:t>
            </w:r>
          </w:p>
        </w:tc>
        <w:tc>
          <w:tcPr>
            <w:tcW w:w="911" w:type="pct"/>
            <w:hideMark/>
          </w:tcPr>
          <w:p w14:paraId="66ADA0D2" w14:textId="77777777" w:rsidR="00AB2837" w:rsidRPr="000E77D2" w:rsidRDefault="00AB2837" w:rsidP="00BE6A13">
            <w:pPr>
              <w:pStyle w:val="TableTextCentered"/>
              <w:jc w:val="both"/>
              <w:rPr>
                <w:sz w:val="22"/>
                <w:szCs w:val="22"/>
                <w:lang w:val="sr-Latn-ME"/>
              </w:rPr>
            </w:pPr>
            <w:r w:rsidRPr="000E77D2">
              <w:rPr>
                <w:sz w:val="22"/>
                <w:szCs w:val="22"/>
                <w:lang w:val="sr-Latn-ME"/>
              </w:rPr>
              <w:t>0,04158</w:t>
            </w:r>
          </w:p>
        </w:tc>
      </w:tr>
      <w:tr w:rsidR="005872E2" w:rsidRPr="000E77D2" w14:paraId="7EF0FFF0" w14:textId="77777777" w:rsidTr="00956AA6">
        <w:trPr>
          <w:cantSplit/>
        </w:trPr>
        <w:tc>
          <w:tcPr>
            <w:tcW w:w="1590" w:type="pct"/>
            <w:gridSpan w:val="2"/>
            <w:hideMark/>
          </w:tcPr>
          <w:p w14:paraId="3BF82B97" w14:textId="77777777" w:rsidR="00AB2837" w:rsidRPr="000E77D2" w:rsidRDefault="00AB2837" w:rsidP="00BE6A13">
            <w:pPr>
              <w:pStyle w:val="TableText"/>
              <w:jc w:val="both"/>
              <w:rPr>
                <w:rFonts w:cs="Times New Roman"/>
                <w:sz w:val="22"/>
                <w:szCs w:val="22"/>
                <w:vertAlign w:val="superscript"/>
                <w:lang w:val="sr-Latn-ME"/>
              </w:rPr>
            </w:pPr>
            <w:r w:rsidRPr="000E77D2">
              <w:rPr>
                <w:rFonts w:cs="Times New Roman"/>
                <w:sz w:val="22"/>
                <w:szCs w:val="22"/>
                <w:lang w:val="sr-Latn-ME"/>
              </w:rPr>
              <w:t>Preživljavanje bez udaljenih metastaza</w:t>
            </w:r>
            <w:r w:rsidR="002E61EB" w:rsidRPr="000E77D2">
              <w:rPr>
                <w:rFonts w:cs="Times New Roman"/>
                <w:sz w:val="22"/>
                <w:szCs w:val="22"/>
                <w:vertAlign w:val="superscript"/>
                <w:lang w:val="sr-Latn-ME"/>
              </w:rPr>
              <w:t>c</w:t>
            </w:r>
          </w:p>
        </w:tc>
        <w:tc>
          <w:tcPr>
            <w:tcW w:w="455" w:type="pct"/>
            <w:hideMark/>
          </w:tcPr>
          <w:p w14:paraId="3AAD2409" w14:textId="77777777" w:rsidR="00AB2837" w:rsidRPr="000E77D2" w:rsidRDefault="00AB2837" w:rsidP="00BE6A13">
            <w:pPr>
              <w:pStyle w:val="TableTextCentered"/>
              <w:jc w:val="both"/>
              <w:rPr>
                <w:sz w:val="22"/>
                <w:szCs w:val="22"/>
                <w:lang w:val="sr-Latn-ME"/>
              </w:rPr>
            </w:pPr>
            <w:r w:rsidRPr="000E77D2">
              <w:rPr>
                <w:sz w:val="22"/>
                <w:szCs w:val="22"/>
                <w:lang w:val="sr-Latn-ME"/>
              </w:rPr>
              <w:t>248</w:t>
            </w:r>
          </w:p>
        </w:tc>
        <w:tc>
          <w:tcPr>
            <w:tcW w:w="681" w:type="pct"/>
            <w:gridSpan w:val="2"/>
            <w:hideMark/>
          </w:tcPr>
          <w:p w14:paraId="1F4C417E" w14:textId="77777777" w:rsidR="00AB2837" w:rsidRPr="000E77D2" w:rsidRDefault="00AB2837" w:rsidP="00BE6A13">
            <w:pPr>
              <w:pStyle w:val="TableTextCentered"/>
              <w:jc w:val="both"/>
              <w:rPr>
                <w:sz w:val="22"/>
                <w:szCs w:val="22"/>
                <w:lang w:val="sr-Latn-ME"/>
              </w:rPr>
            </w:pPr>
            <w:r w:rsidRPr="000E77D2">
              <w:rPr>
                <w:sz w:val="22"/>
                <w:szCs w:val="22"/>
                <w:lang w:val="sr-Latn-ME"/>
              </w:rPr>
              <w:t>297</w:t>
            </w:r>
          </w:p>
        </w:tc>
        <w:tc>
          <w:tcPr>
            <w:tcW w:w="1363" w:type="pct"/>
            <w:hideMark/>
          </w:tcPr>
          <w:p w14:paraId="4B79388B" w14:textId="77777777" w:rsidR="00AB2837" w:rsidRPr="000E77D2" w:rsidRDefault="00AB2837" w:rsidP="00BE6A13">
            <w:pPr>
              <w:pStyle w:val="TableTextCentered"/>
              <w:jc w:val="both"/>
              <w:rPr>
                <w:sz w:val="22"/>
                <w:szCs w:val="22"/>
                <w:lang w:val="sr-Latn-ME"/>
              </w:rPr>
            </w:pPr>
            <w:r w:rsidRPr="000E77D2">
              <w:rPr>
                <w:sz w:val="22"/>
                <w:szCs w:val="22"/>
                <w:lang w:val="sr-Latn-ME"/>
              </w:rPr>
              <w:t>0,83 (95% CI: 0,70-0,98)</w:t>
            </w:r>
          </w:p>
        </w:tc>
        <w:tc>
          <w:tcPr>
            <w:tcW w:w="911" w:type="pct"/>
            <w:hideMark/>
          </w:tcPr>
          <w:p w14:paraId="047B0810" w14:textId="77777777" w:rsidR="00AB2837" w:rsidRPr="000E77D2" w:rsidRDefault="00AB2837" w:rsidP="00BE6A13">
            <w:pPr>
              <w:pStyle w:val="TableTextCentered"/>
              <w:jc w:val="both"/>
              <w:rPr>
                <w:sz w:val="22"/>
                <w:szCs w:val="22"/>
                <w:lang w:val="sr-Latn-ME"/>
              </w:rPr>
            </w:pPr>
            <w:r w:rsidRPr="000E77D2">
              <w:rPr>
                <w:sz w:val="22"/>
                <w:szCs w:val="22"/>
                <w:lang w:val="sr-Latn-ME"/>
              </w:rPr>
              <w:t>0,02621</w:t>
            </w:r>
          </w:p>
        </w:tc>
      </w:tr>
      <w:tr w:rsidR="005872E2" w:rsidRPr="000E77D2" w14:paraId="61B115E5" w14:textId="77777777" w:rsidTr="00956AA6">
        <w:trPr>
          <w:cantSplit/>
        </w:trPr>
        <w:tc>
          <w:tcPr>
            <w:tcW w:w="1590" w:type="pct"/>
            <w:gridSpan w:val="2"/>
            <w:hideMark/>
          </w:tcPr>
          <w:p w14:paraId="7E9787E1" w14:textId="77777777" w:rsidR="00AB2837" w:rsidRPr="000E77D2" w:rsidRDefault="00AB2837" w:rsidP="00BE6A13">
            <w:pPr>
              <w:pStyle w:val="TableText"/>
              <w:jc w:val="both"/>
              <w:rPr>
                <w:rFonts w:cs="Times New Roman"/>
                <w:sz w:val="22"/>
                <w:szCs w:val="22"/>
                <w:vertAlign w:val="superscript"/>
                <w:lang w:val="sr-Latn-ME"/>
              </w:rPr>
            </w:pPr>
            <w:r w:rsidRPr="000E77D2">
              <w:rPr>
                <w:rFonts w:cs="Times New Roman"/>
                <w:sz w:val="22"/>
                <w:szCs w:val="22"/>
                <w:lang w:val="sr-Latn-ME"/>
              </w:rPr>
              <w:t>Ukupno preživljavanje</w:t>
            </w:r>
            <w:r w:rsidR="002E61EB" w:rsidRPr="000E77D2">
              <w:rPr>
                <w:rFonts w:cs="Times New Roman"/>
                <w:sz w:val="22"/>
                <w:szCs w:val="22"/>
                <w:vertAlign w:val="superscript"/>
                <w:lang w:val="sr-Latn-ME"/>
              </w:rPr>
              <w:t>d</w:t>
            </w:r>
          </w:p>
        </w:tc>
        <w:tc>
          <w:tcPr>
            <w:tcW w:w="455" w:type="pct"/>
            <w:hideMark/>
          </w:tcPr>
          <w:p w14:paraId="1644BFF2" w14:textId="77777777" w:rsidR="00AB2837" w:rsidRPr="000E77D2" w:rsidRDefault="00AB2837" w:rsidP="00BE6A13">
            <w:pPr>
              <w:pStyle w:val="TableTextCentered"/>
              <w:jc w:val="both"/>
              <w:rPr>
                <w:sz w:val="22"/>
                <w:szCs w:val="22"/>
                <w:lang w:val="sr-Latn-ME"/>
              </w:rPr>
            </w:pPr>
            <w:r w:rsidRPr="000E77D2">
              <w:rPr>
                <w:sz w:val="22"/>
                <w:szCs w:val="22"/>
                <w:lang w:val="sr-Latn-ME"/>
              </w:rPr>
              <w:t>222</w:t>
            </w:r>
          </w:p>
        </w:tc>
        <w:tc>
          <w:tcPr>
            <w:tcW w:w="681" w:type="pct"/>
            <w:gridSpan w:val="2"/>
            <w:hideMark/>
          </w:tcPr>
          <w:p w14:paraId="66846E78" w14:textId="77777777" w:rsidR="00AB2837" w:rsidRPr="000E77D2" w:rsidRDefault="00AB2837" w:rsidP="00BE6A13">
            <w:pPr>
              <w:pStyle w:val="TableTextCentered"/>
              <w:jc w:val="both"/>
              <w:rPr>
                <w:sz w:val="22"/>
                <w:szCs w:val="22"/>
                <w:lang w:val="sr-Latn-ME"/>
              </w:rPr>
            </w:pPr>
            <w:r w:rsidRPr="000E77D2">
              <w:rPr>
                <w:sz w:val="22"/>
                <w:szCs w:val="22"/>
                <w:lang w:val="sr-Latn-ME"/>
              </w:rPr>
              <w:t>262</w:t>
            </w:r>
          </w:p>
        </w:tc>
        <w:tc>
          <w:tcPr>
            <w:tcW w:w="1363" w:type="pct"/>
            <w:hideMark/>
          </w:tcPr>
          <w:p w14:paraId="018EDD58" w14:textId="77777777" w:rsidR="00AB2837" w:rsidRPr="000E77D2" w:rsidRDefault="00AB2837" w:rsidP="00BE6A13">
            <w:pPr>
              <w:pStyle w:val="TableTextCentered"/>
              <w:jc w:val="both"/>
              <w:rPr>
                <w:sz w:val="22"/>
                <w:szCs w:val="22"/>
                <w:lang w:val="sr-Latn-ME"/>
              </w:rPr>
            </w:pPr>
            <w:r w:rsidRPr="000E77D2">
              <w:rPr>
                <w:sz w:val="22"/>
                <w:szCs w:val="22"/>
                <w:lang w:val="sr-Latn-ME"/>
              </w:rPr>
              <w:t>0,85 (95% CI: 0,71-1,02)</w:t>
            </w:r>
          </w:p>
        </w:tc>
        <w:tc>
          <w:tcPr>
            <w:tcW w:w="911" w:type="pct"/>
            <w:hideMark/>
          </w:tcPr>
          <w:p w14:paraId="60CE3416" w14:textId="77777777" w:rsidR="00AB2837" w:rsidRPr="000E77D2" w:rsidRDefault="00AB2837" w:rsidP="00BE6A13">
            <w:pPr>
              <w:pStyle w:val="TableTextCentered"/>
              <w:jc w:val="both"/>
              <w:rPr>
                <w:sz w:val="22"/>
                <w:szCs w:val="22"/>
                <w:lang w:val="sr-Latn-ME"/>
              </w:rPr>
            </w:pPr>
            <w:r w:rsidRPr="000E77D2">
              <w:rPr>
                <w:sz w:val="22"/>
                <w:szCs w:val="22"/>
                <w:lang w:val="sr-Latn-ME"/>
              </w:rPr>
              <w:t>0,07362</w:t>
            </w:r>
          </w:p>
        </w:tc>
      </w:tr>
      <w:tr w:rsidR="005872E2" w:rsidRPr="000E77D2" w14:paraId="1902EABA" w14:textId="77777777" w:rsidTr="00956AA6">
        <w:trPr>
          <w:cantSplit/>
        </w:trPr>
        <w:tc>
          <w:tcPr>
            <w:tcW w:w="5000" w:type="pct"/>
            <w:gridSpan w:val="7"/>
            <w:hideMark/>
          </w:tcPr>
          <w:p w14:paraId="61A1D8B1" w14:textId="2722B94A" w:rsidR="00AB2837" w:rsidRPr="000E77D2" w:rsidRDefault="00461873" w:rsidP="00BE6A13">
            <w:pPr>
              <w:pStyle w:val="TableTextCentered"/>
              <w:jc w:val="both"/>
              <w:rPr>
                <w:b/>
                <w:sz w:val="22"/>
                <w:szCs w:val="22"/>
                <w:lang w:val="sr-Latn-ME"/>
              </w:rPr>
            </w:pPr>
            <w:r w:rsidRPr="000E77D2">
              <w:rPr>
                <w:b/>
                <w:sz w:val="22"/>
                <w:szCs w:val="22"/>
                <w:lang w:val="sr-Latn-ME"/>
              </w:rPr>
              <w:t>Medijana</w:t>
            </w:r>
            <w:r w:rsidR="00AB2837" w:rsidRPr="000E77D2">
              <w:rPr>
                <w:b/>
                <w:sz w:val="22"/>
                <w:szCs w:val="22"/>
                <w:lang w:val="sr-Latn-ME"/>
              </w:rPr>
              <w:t xml:space="preserve"> terapij</w:t>
            </w:r>
            <w:r w:rsidRPr="000E77D2">
              <w:rPr>
                <w:b/>
                <w:sz w:val="22"/>
                <w:szCs w:val="22"/>
                <w:lang w:val="sr-Latn-ME"/>
              </w:rPr>
              <w:t>e</w:t>
            </w:r>
            <w:r w:rsidR="00AB2837" w:rsidRPr="000E77D2">
              <w:rPr>
                <w:b/>
                <w:sz w:val="22"/>
                <w:szCs w:val="22"/>
                <w:lang w:val="sr-Latn-ME"/>
              </w:rPr>
              <w:t xml:space="preserve"> od 30 m</w:t>
            </w:r>
            <w:r w:rsidR="00A423CB" w:rsidRPr="000E77D2">
              <w:rPr>
                <w:b/>
                <w:sz w:val="22"/>
                <w:szCs w:val="22"/>
                <w:lang w:val="sr-Latn-ME"/>
              </w:rPr>
              <w:t>j</w:t>
            </w:r>
            <w:r w:rsidR="00AB2837" w:rsidRPr="000E77D2">
              <w:rPr>
                <w:b/>
                <w:sz w:val="22"/>
                <w:szCs w:val="22"/>
                <w:lang w:val="sr-Latn-ME"/>
              </w:rPr>
              <w:t xml:space="preserve">eseci i </w:t>
            </w:r>
            <w:r w:rsidRPr="000E77D2">
              <w:rPr>
                <w:b/>
                <w:sz w:val="22"/>
                <w:szCs w:val="22"/>
                <w:lang w:val="sr-Latn-ME"/>
              </w:rPr>
              <w:t>medijana</w:t>
            </w:r>
            <w:r w:rsidR="00AB2837" w:rsidRPr="000E77D2">
              <w:rPr>
                <w:b/>
                <w:sz w:val="22"/>
                <w:szCs w:val="22"/>
                <w:lang w:val="sr-Latn-ME"/>
              </w:rPr>
              <w:t xml:space="preserve"> praćenj</w:t>
            </w:r>
            <w:r w:rsidRPr="000E77D2">
              <w:rPr>
                <w:b/>
                <w:sz w:val="22"/>
                <w:szCs w:val="22"/>
                <w:lang w:val="sr-Latn-ME"/>
              </w:rPr>
              <w:t>a</w:t>
            </w:r>
            <w:r w:rsidR="00AB2837" w:rsidRPr="000E77D2">
              <w:rPr>
                <w:b/>
                <w:sz w:val="22"/>
                <w:szCs w:val="22"/>
                <w:lang w:val="sr-Latn-ME"/>
              </w:rPr>
              <w:t xml:space="preserve"> od 87 m</w:t>
            </w:r>
            <w:r w:rsidR="00A423CB" w:rsidRPr="000E77D2">
              <w:rPr>
                <w:b/>
                <w:sz w:val="22"/>
                <w:szCs w:val="22"/>
                <w:lang w:val="sr-Latn-ME"/>
              </w:rPr>
              <w:t>j</w:t>
            </w:r>
            <w:r w:rsidR="00AB2837" w:rsidRPr="000E77D2">
              <w:rPr>
                <w:b/>
                <w:sz w:val="22"/>
                <w:szCs w:val="22"/>
                <w:lang w:val="sr-Latn-ME"/>
              </w:rPr>
              <w:t>eseci</w:t>
            </w:r>
          </w:p>
        </w:tc>
      </w:tr>
      <w:tr w:rsidR="005872E2" w:rsidRPr="000E77D2" w14:paraId="23858A12" w14:textId="77777777" w:rsidTr="00956AA6">
        <w:trPr>
          <w:cantSplit/>
        </w:trPr>
        <w:tc>
          <w:tcPr>
            <w:tcW w:w="1590" w:type="pct"/>
            <w:gridSpan w:val="2"/>
            <w:hideMark/>
          </w:tcPr>
          <w:p w14:paraId="1FF38EAE" w14:textId="77777777" w:rsidR="00AB2837" w:rsidRPr="000E77D2" w:rsidRDefault="00AB2837" w:rsidP="00BE6A13">
            <w:pPr>
              <w:pStyle w:val="TableText"/>
              <w:jc w:val="both"/>
              <w:rPr>
                <w:rFonts w:cs="Times New Roman"/>
                <w:sz w:val="22"/>
                <w:szCs w:val="22"/>
                <w:vertAlign w:val="superscript"/>
                <w:lang w:val="sr-Latn-ME"/>
              </w:rPr>
            </w:pPr>
            <w:r w:rsidRPr="000E77D2">
              <w:rPr>
                <w:rFonts w:cs="Times New Roman"/>
                <w:sz w:val="22"/>
                <w:szCs w:val="22"/>
                <w:lang w:val="sr-Latn-ME"/>
              </w:rPr>
              <w:t>Preživljavanje bez znakova bolesti</w:t>
            </w:r>
            <w:r w:rsidR="002E61EB" w:rsidRPr="000E77D2">
              <w:rPr>
                <w:rFonts w:cs="Times New Roman"/>
                <w:sz w:val="22"/>
                <w:szCs w:val="22"/>
                <w:vertAlign w:val="superscript"/>
                <w:lang w:val="sr-Latn-ME"/>
              </w:rPr>
              <w:t>a</w:t>
            </w:r>
          </w:p>
        </w:tc>
        <w:tc>
          <w:tcPr>
            <w:tcW w:w="455" w:type="pct"/>
            <w:hideMark/>
          </w:tcPr>
          <w:p w14:paraId="5DB56A06" w14:textId="77777777" w:rsidR="00AB2837" w:rsidRPr="000E77D2" w:rsidRDefault="00AB2837" w:rsidP="00BE6A13">
            <w:pPr>
              <w:pStyle w:val="TableTextCentered"/>
              <w:jc w:val="both"/>
              <w:rPr>
                <w:sz w:val="22"/>
                <w:szCs w:val="22"/>
                <w:lang w:val="sr-Latn-ME"/>
              </w:rPr>
            </w:pPr>
            <w:r w:rsidRPr="000E77D2">
              <w:rPr>
                <w:sz w:val="22"/>
                <w:szCs w:val="22"/>
                <w:lang w:val="sr-Latn-ME"/>
              </w:rPr>
              <w:t>552</w:t>
            </w:r>
          </w:p>
        </w:tc>
        <w:tc>
          <w:tcPr>
            <w:tcW w:w="681" w:type="pct"/>
            <w:gridSpan w:val="2"/>
            <w:hideMark/>
          </w:tcPr>
          <w:p w14:paraId="13B14698" w14:textId="77777777" w:rsidR="00AB2837" w:rsidRPr="000E77D2" w:rsidRDefault="00AB2837" w:rsidP="00BE6A13">
            <w:pPr>
              <w:pStyle w:val="TableTextCentered"/>
              <w:jc w:val="both"/>
              <w:rPr>
                <w:sz w:val="22"/>
                <w:szCs w:val="22"/>
                <w:lang w:val="sr-Latn-ME"/>
              </w:rPr>
            </w:pPr>
            <w:r w:rsidRPr="000E77D2">
              <w:rPr>
                <w:sz w:val="22"/>
                <w:szCs w:val="22"/>
                <w:lang w:val="sr-Latn-ME"/>
              </w:rPr>
              <w:t>641</w:t>
            </w:r>
          </w:p>
        </w:tc>
        <w:tc>
          <w:tcPr>
            <w:tcW w:w="1363" w:type="pct"/>
            <w:hideMark/>
          </w:tcPr>
          <w:p w14:paraId="12EDE39A" w14:textId="77777777" w:rsidR="00AB2837" w:rsidRPr="000E77D2" w:rsidRDefault="00AB2837" w:rsidP="00BE6A13">
            <w:pPr>
              <w:pStyle w:val="TableTextCentered"/>
              <w:jc w:val="both"/>
              <w:rPr>
                <w:sz w:val="22"/>
                <w:szCs w:val="22"/>
                <w:lang w:val="sr-Latn-ME"/>
              </w:rPr>
            </w:pPr>
            <w:r w:rsidRPr="000E77D2">
              <w:rPr>
                <w:sz w:val="22"/>
                <w:szCs w:val="22"/>
                <w:lang w:val="sr-Latn-ME"/>
              </w:rPr>
              <w:t>0,84 (95% CI: 0,75-0,94)</w:t>
            </w:r>
          </w:p>
        </w:tc>
        <w:tc>
          <w:tcPr>
            <w:tcW w:w="911" w:type="pct"/>
            <w:hideMark/>
          </w:tcPr>
          <w:p w14:paraId="4B414F21" w14:textId="77777777" w:rsidR="00AB2837" w:rsidRPr="000E77D2" w:rsidRDefault="00AB2837" w:rsidP="00BE6A13">
            <w:pPr>
              <w:pStyle w:val="TableTextCentered"/>
              <w:jc w:val="both"/>
              <w:rPr>
                <w:sz w:val="22"/>
                <w:szCs w:val="22"/>
                <w:lang w:val="sr-Latn-ME"/>
              </w:rPr>
            </w:pPr>
            <w:r w:rsidRPr="000E77D2">
              <w:rPr>
                <w:sz w:val="22"/>
                <w:szCs w:val="22"/>
                <w:lang w:val="sr-Latn-ME"/>
              </w:rPr>
              <w:t>0,002</w:t>
            </w:r>
          </w:p>
        </w:tc>
      </w:tr>
      <w:tr w:rsidR="005872E2" w:rsidRPr="000E77D2" w14:paraId="0D35421F" w14:textId="77777777" w:rsidTr="00956AA6">
        <w:trPr>
          <w:cantSplit/>
        </w:trPr>
        <w:tc>
          <w:tcPr>
            <w:tcW w:w="1590" w:type="pct"/>
            <w:gridSpan w:val="2"/>
            <w:hideMark/>
          </w:tcPr>
          <w:p w14:paraId="550E894A" w14:textId="77777777" w:rsidR="00AB2837" w:rsidRPr="000E77D2" w:rsidRDefault="00AB2837" w:rsidP="00BE6A13">
            <w:pPr>
              <w:pStyle w:val="TableText"/>
              <w:jc w:val="both"/>
              <w:rPr>
                <w:rFonts w:cs="Times New Roman"/>
                <w:sz w:val="22"/>
                <w:szCs w:val="22"/>
                <w:vertAlign w:val="superscript"/>
                <w:lang w:val="sr-Latn-ME"/>
              </w:rPr>
            </w:pPr>
            <w:r w:rsidRPr="000E77D2">
              <w:rPr>
                <w:rFonts w:cs="Times New Roman"/>
                <w:sz w:val="22"/>
                <w:szCs w:val="22"/>
                <w:lang w:val="sr-Latn-ME"/>
              </w:rPr>
              <w:t>Preživljavanje bez karcinoma dojke</w:t>
            </w:r>
            <w:r w:rsidR="002E61EB" w:rsidRPr="000E77D2">
              <w:rPr>
                <w:rFonts w:cs="Times New Roman"/>
                <w:sz w:val="22"/>
                <w:szCs w:val="22"/>
                <w:vertAlign w:val="superscript"/>
                <w:lang w:val="sr-Latn-ME"/>
              </w:rPr>
              <w:t>b</w:t>
            </w:r>
          </w:p>
        </w:tc>
        <w:tc>
          <w:tcPr>
            <w:tcW w:w="455" w:type="pct"/>
            <w:hideMark/>
          </w:tcPr>
          <w:p w14:paraId="29B5B0EE" w14:textId="77777777" w:rsidR="00AB2837" w:rsidRPr="000E77D2" w:rsidRDefault="00AB2837" w:rsidP="00BE6A13">
            <w:pPr>
              <w:pStyle w:val="TableTextCentered"/>
              <w:jc w:val="both"/>
              <w:rPr>
                <w:sz w:val="22"/>
                <w:szCs w:val="22"/>
                <w:lang w:val="sr-Latn-ME"/>
              </w:rPr>
            </w:pPr>
            <w:r w:rsidRPr="000E77D2">
              <w:rPr>
                <w:sz w:val="22"/>
                <w:szCs w:val="22"/>
                <w:lang w:val="sr-Latn-ME"/>
              </w:rPr>
              <w:t>434</w:t>
            </w:r>
          </w:p>
        </w:tc>
        <w:tc>
          <w:tcPr>
            <w:tcW w:w="681" w:type="pct"/>
            <w:gridSpan w:val="2"/>
            <w:hideMark/>
          </w:tcPr>
          <w:p w14:paraId="3A515428" w14:textId="77777777" w:rsidR="00AB2837" w:rsidRPr="000E77D2" w:rsidRDefault="00AB2837" w:rsidP="00BE6A13">
            <w:pPr>
              <w:pStyle w:val="TableTextCentered"/>
              <w:jc w:val="both"/>
              <w:rPr>
                <w:sz w:val="22"/>
                <w:szCs w:val="22"/>
                <w:lang w:val="sr-Latn-ME"/>
              </w:rPr>
            </w:pPr>
            <w:r w:rsidRPr="000E77D2">
              <w:rPr>
                <w:sz w:val="22"/>
                <w:szCs w:val="22"/>
                <w:lang w:val="sr-Latn-ME"/>
              </w:rPr>
              <w:t>513</w:t>
            </w:r>
          </w:p>
        </w:tc>
        <w:tc>
          <w:tcPr>
            <w:tcW w:w="1363" w:type="pct"/>
            <w:hideMark/>
          </w:tcPr>
          <w:p w14:paraId="5D165720" w14:textId="77777777" w:rsidR="00AB2837" w:rsidRPr="000E77D2" w:rsidRDefault="00AB2837" w:rsidP="00BE6A13">
            <w:pPr>
              <w:pStyle w:val="TableTextCentered"/>
              <w:jc w:val="both"/>
              <w:rPr>
                <w:sz w:val="22"/>
                <w:szCs w:val="22"/>
                <w:lang w:val="sr-Latn-ME"/>
              </w:rPr>
            </w:pPr>
            <w:r w:rsidRPr="000E77D2">
              <w:rPr>
                <w:sz w:val="22"/>
                <w:szCs w:val="22"/>
                <w:lang w:val="sr-Latn-ME"/>
              </w:rPr>
              <w:t>0,82 (95% CI: 0,72-0,94)</w:t>
            </w:r>
          </w:p>
        </w:tc>
        <w:tc>
          <w:tcPr>
            <w:tcW w:w="911" w:type="pct"/>
            <w:hideMark/>
          </w:tcPr>
          <w:p w14:paraId="3D19433D" w14:textId="77777777" w:rsidR="00AB2837" w:rsidRPr="000E77D2" w:rsidRDefault="00AB2837" w:rsidP="00BE6A13">
            <w:pPr>
              <w:pStyle w:val="TableTextCentered"/>
              <w:jc w:val="both"/>
              <w:rPr>
                <w:sz w:val="22"/>
                <w:szCs w:val="22"/>
                <w:lang w:val="sr-Latn-ME"/>
              </w:rPr>
            </w:pPr>
            <w:r w:rsidRPr="000E77D2">
              <w:rPr>
                <w:sz w:val="22"/>
                <w:szCs w:val="22"/>
                <w:lang w:val="sr-Latn-ME"/>
              </w:rPr>
              <w:t>0,00263</w:t>
            </w:r>
          </w:p>
        </w:tc>
      </w:tr>
      <w:tr w:rsidR="005872E2" w:rsidRPr="000E77D2" w14:paraId="4BAB2E52" w14:textId="77777777" w:rsidTr="00956AA6">
        <w:trPr>
          <w:cantSplit/>
        </w:trPr>
        <w:tc>
          <w:tcPr>
            <w:tcW w:w="1590" w:type="pct"/>
            <w:gridSpan w:val="2"/>
            <w:hideMark/>
          </w:tcPr>
          <w:p w14:paraId="4F365343" w14:textId="77777777" w:rsidR="00AB2837" w:rsidRPr="000E77D2" w:rsidRDefault="00AB2837" w:rsidP="00BE6A13">
            <w:pPr>
              <w:pStyle w:val="TableText"/>
              <w:jc w:val="both"/>
              <w:rPr>
                <w:rFonts w:cs="Times New Roman"/>
                <w:sz w:val="22"/>
                <w:szCs w:val="22"/>
                <w:lang w:val="sr-Latn-ME"/>
              </w:rPr>
            </w:pPr>
            <w:r w:rsidRPr="000E77D2">
              <w:rPr>
                <w:rFonts w:cs="Times New Roman"/>
                <w:sz w:val="22"/>
                <w:szCs w:val="22"/>
                <w:lang w:val="sr-Latn-ME"/>
              </w:rPr>
              <w:t xml:space="preserve">Kontralateralni karcinom dojke </w:t>
            </w:r>
          </w:p>
        </w:tc>
        <w:tc>
          <w:tcPr>
            <w:tcW w:w="455" w:type="pct"/>
            <w:hideMark/>
          </w:tcPr>
          <w:p w14:paraId="72250D6D" w14:textId="77777777" w:rsidR="00AB2837" w:rsidRPr="000E77D2" w:rsidRDefault="00AB2837" w:rsidP="00BE6A13">
            <w:pPr>
              <w:pStyle w:val="TableTextCentered"/>
              <w:jc w:val="both"/>
              <w:rPr>
                <w:sz w:val="22"/>
                <w:szCs w:val="22"/>
                <w:lang w:val="sr-Latn-ME"/>
              </w:rPr>
            </w:pPr>
            <w:r w:rsidRPr="000E77D2">
              <w:rPr>
                <w:sz w:val="22"/>
                <w:szCs w:val="22"/>
                <w:lang w:val="sr-Latn-ME"/>
              </w:rPr>
              <w:t>43</w:t>
            </w:r>
          </w:p>
        </w:tc>
        <w:tc>
          <w:tcPr>
            <w:tcW w:w="681" w:type="pct"/>
            <w:gridSpan w:val="2"/>
            <w:hideMark/>
          </w:tcPr>
          <w:p w14:paraId="1280F182" w14:textId="77777777" w:rsidR="00AB2837" w:rsidRPr="000E77D2" w:rsidRDefault="00AB2837" w:rsidP="00BE6A13">
            <w:pPr>
              <w:pStyle w:val="TableTextCentered"/>
              <w:jc w:val="both"/>
              <w:rPr>
                <w:sz w:val="22"/>
                <w:szCs w:val="22"/>
                <w:lang w:val="sr-Latn-ME"/>
              </w:rPr>
            </w:pPr>
            <w:r w:rsidRPr="000E77D2">
              <w:rPr>
                <w:sz w:val="22"/>
                <w:szCs w:val="22"/>
                <w:lang w:val="sr-Latn-ME"/>
              </w:rPr>
              <w:t>58</w:t>
            </w:r>
          </w:p>
        </w:tc>
        <w:tc>
          <w:tcPr>
            <w:tcW w:w="1363" w:type="pct"/>
            <w:hideMark/>
          </w:tcPr>
          <w:p w14:paraId="77BDB2B5" w14:textId="77777777" w:rsidR="00AB2837" w:rsidRPr="000E77D2" w:rsidRDefault="00AB2837" w:rsidP="00BE6A13">
            <w:pPr>
              <w:pStyle w:val="TableTextCentered"/>
              <w:jc w:val="both"/>
              <w:rPr>
                <w:sz w:val="22"/>
                <w:szCs w:val="22"/>
                <w:lang w:val="sr-Latn-ME"/>
              </w:rPr>
            </w:pPr>
            <w:r w:rsidRPr="000E77D2">
              <w:rPr>
                <w:sz w:val="22"/>
                <w:szCs w:val="22"/>
                <w:lang w:val="sr-Latn-ME"/>
              </w:rPr>
              <w:t>0,74 (95% CI: 0,50-1,10)</w:t>
            </w:r>
          </w:p>
        </w:tc>
        <w:tc>
          <w:tcPr>
            <w:tcW w:w="911" w:type="pct"/>
            <w:hideMark/>
          </w:tcPr>
          <w:p w14:paraId="437DC995" w14:textId="77777777" w:rsidR="00AB2837" w:rsidRPr="000E77D2" w:rsidRDefault="00AB2837" w:rsidP="00BE6A13">
            <w:pPr>
              <w:pStyle w:val="TableTextCentered"/>
              <w:jc w:val="both"/>
              <w:rPr>
                <w:sz w:val="22"/>
                <w:szCs w:val="22"/>
                <w:lang w:val="sr-Latn-ME"/>
              </w:rPr>
            </w:pPr>
            <w:r w:rsidRPr="000E77D2">
              <w:rPr>
                <w:sz w:val="22"/>
                <w:szCs w:val="22"/>
                <w:lang w:val="sr-Latn-ME"/>
              </w:rPr>
              <w:t>0,12983</w:t>
            </w:r>
          </w:p>
        </w:tc>
      </w:tr>
      <w:tr w:rsidR="005872E2" w:rsidRPr="000E77D2" w14:paraId="5CDB4228" w14:textId="77777777" w:rsidTr="00956AA6">
        <w:trPr>
          <w:cantSplit/>
        </w:trPr>
        <w:tc>
          <w:tcPr>
            <w:tcW w:w="1590" w:type="pct"/>
            <w:gridSpan w:val="2"/>
            <w:hideMark/>
          </w:tcPr>
          <w:p w14:paraId="011CEDCA" w14:textId="77777777" w:rsidR="00AB2837" w:rsidRPr="000E77D2" w:rsidRDefault="00AB2837" w:rsidP="00BE6A13">
            <w:pPr>
              <w:pStyle w:val="TableText"/>
              <w:jc w:val="both"/>
              <w:rPr>
                <w:rFonts w:cs="Times New Roman"/>
                <w:sz w:val="22"/>
                <w:szCs w:val="22"/>
                <w:vertAlign w:val="superscript"/>
                <w:lang w:val="sr-Latn-ME"/>
              </w:rPr>
            </w:pPr>
            <w:r w:rsidRPr="000E77D2">
              <w:rPr>
                <w:rFonts w:cs="Times New Roman"/>
                <w:sz w:val="22"/>
                <w:szCs w:val="22"/>
                <w:lang w:val="sr-Latn-ME"/>
              </w:rPr>
              <w:t>Preživljavanje bez udaljenih metastaza</w:t>
            </w:r>
            <w:r w:rsidR="002E61EB" w:rsidRPr="000E77D2">
              <w:rPr>
                <w:rFonts w:cs="Times New Roman"/>
                <w:sz w:val="22"/>
                <w:szCs w:val="22"/>
                <w:vertAlign w:val="superscript"/>
                <w:lang w:val="sr-Latn-ME"/>
              </w:rPr>
              <w:t>c</w:t>
            </w:r>
          </w:p>
        </w:tc>
        <w:tc>
          <w:tcPr>
            <w:tcW w:w="455" w:type="pct"/>
            <w:hideMark/>
          </w:tcPr>
          <w:p w14:paraId="4DDB045F" w14:textId="77777777" w:rsidR="00AB2837" w:rsidRPr="000E77D2" w:rsidRDefault="00AB2837" w:rsidP="00BE6A13">
            <w:pPr>
              <w:pStyle w:val="TableTextCentered"/>
              <w:jc w:val="both"/>
              <w:rPr>
                <w:sz w:val="22"/>
                <w:szCs w:val="22"/>
                <w:lang w:val="sr-Latn-ME"/>
              </w:rPr>
            </w:pPr>
            <w:r w:rsidRPr="000E77D2">
              <w:rPr>
                <w:sz w:val="22"/>
                <w:szCs w:val="22"/>
                <w:lang w:val="sr-Latn-ME"/>
              </w:rPr>
              <w:t>353</w:t>
            </w:r>
          </w:p>
        </w:tc>
        <w:tc>
          <w:tcPr>
            <w:tcW w:w="681" w:type="pct"/>
            <w:gridSpan w:val="2"/>
            <w:hideMark/>
          </w:tcPr>
          <w:p w14:paraId="66438DDF" w14:textId="77777777" w:rsidR="00AB2837" w:rsidRPr="000E77D2" w:rsidRDefault="00AB2837" w:rsidP="00BE6A13">
            <w:pPr>
              <w:pStyle w:val="TableTextCentered"/>
              <w:jc w:val="both"/>
              <w:rPr>
                <w:sz w:val="22"/>
                <w:szCs w:val="22"/>
                <w:lang w:val="sr-Latn-ME"/>
              </w:rPr>
            </w:pPr>
            <w:r w:rsidRPr="000E77D2">
              <w:rPr>
                <w:sz w:val="22"/>
                <w:szCs w:val="22"/>
                <w:lang w:val="sr-Latn-ME"/>
              </w:rPr>
              <w:t>409</w:t>
            </w:r>
          </w:p>
        </w:tc>
        <w:tc>
          <w:tcPr>
            <w:tcW w:w="1363" w:type="pct"/>
            <w:hideMark/>
          </w:tcPr>
          <w:p w14:paraId="48A695C1" w14:textId="77777777" w:rsidR="00AB2837" w:rsidRPr="000E77D2" w:rsidRDefault="00AB2837" w:rsidP="00BE6A13">
            <w:pPr>
              <w:pStyle w:val="TableTextCentered"/>
              <w:jc w:val="both"/>
              <w:rPr>
                <w:sz w:val="22"/>
                <w:szCs w:val="22"/>
                <w:lang w:val="sr-Latn-ME"/>
              </w:rPr>
            </w:pPr>
            <w:r w:rsidRPr="000E77D2">
              <w:rPr>
                <w:sz w:val="22"/>
                <w:szCs w:val="22"/>
                <w:lang w:val="sr-Latn-ME"/>
              </w:rPr>
              <w:t>0,85 (95% CI: 0,74-0,98)</w:t>
            </w:r>
          </w:p>
        </w:tc>
        <w:tc>
          <w:tcPr>
            <w:tcW w:w="911" w:type="pct"/>
            <w:hideMark/>
          </w:tcPr>
          <w:p w14:paraId="39CBDC9D" w14:textId="77777777" w:rsidR="00AB2837" w:rsidRPr="000E77D2" w:rsidRDefault="00AB2837" w:rsidP="00BE6A13">
            <w:pPr>
              <w:pStyle w:val="TableTextCentered"/>
              <w:jc w:val="both"/>
              <w:rPr>
                <w:sz w:val="22"/>
                <w:szCs w:val="22"/>
                <w:lang w:val="sr-Latn-ME"/>
              </w:rPr>
            </w:pPr>
            <w:r w:rsidRPr="000E77D2">
              <w:rPr>
                <w:sz w:val="22"/>
                <w:szCs w:val="22"/>
                <w:lang w:val="sr-Latn-ME"/>
              </w:rPr>
              <w:t>0,02425</w:t>
            </w:r>
          </w:p>
        </w:tc>
      </w:tr>
      <w:tr w:rsidR="005872E2" w:rsidRPr="000E77D2" w14:paraId="1B7C3409" w14:textId="77777777" w:rsidTr="00956AA6">
        <w:trPr>
          <w:cantSplit/>
        </w:trPr>
        <w:tc>
          <w:tcPr>
            <w:tcW w:w="1590" w:type="pct"/>
            <w:gridSpan w:val="2"/>
            <w:hideMark/>
          </w:tcPr>
          <w:p w14:paraId="6285F18A" w14:textId="77777777" w:rsidR="00AB2837" w:rsidRPr="000E77D2" w:rsidRDefault="00AB2837" w:rsidP="00BE6A13">
            <w:pPr>
              <w:pStyle w:val="TableText"/>
              <w:jc w:val="both"/>
              <w:rPr>
                <w:rFonts w:cs="Times New Roman"/>
                <w:sz w:val="22"/>
                <w:szCs w:val="22"/>
                <w:vertAlign w:val="superscript"/>
                <w:lang w:val="sr-Latn-ME"/>
              </w:rPr>
            </w:pPr>
            <w:r w:rsidRPr="000E77D2">
              <w:rPr>
                <w:rFonts w:cs="Times New Roman"/>
                <w:sz w:val="22"/>
                <w:szCs w:val="22"/>
                <w:lang w:val="sr-Latn-ME"/>
              </w:rPr>
              <w:t>Ukupno preživljavanje</w:t>
            </w:r>
            <w:r w:rsidR="002E61EB" w:rsidRPr="000E77D2">
              <w:rPr>
                <w:rFonts w:cs="Times New Roman"/>
                <w:sz w:val="22"/>
                <w:szCs w:val="22"/>
                <w:vertAlign w:val="superscript"/>
                <w:lang w:val="sr-Latn-ME"/>
              </w:rPr>
              <w:t>d</w:t>
            </w:r>
          </w:p>
        </w:tc>
        <w:tc>
          <w:tcPr>
            <w:tcW w:w="455" w:type="pct"/>
            <w:hideMark/>
          </w:tcPr>
          <w:p w14:paraId="47902262" w14:textId="77777777" w:rsidR="00AB2837" w:rsidRPr="000E77D2" w:rsidRDefault="00AB2837" w:rsidP="00BE6A13">
            <w:pPr>
              <w:pStyle w:val="TableTextCentered"/>
              <w:jc w:val="both"/>
              <w:rPr>
                <w:sz w:val="22"/>
                <w:szCs w:val="22"/>
                <w:lang w:val="sr-Latn-ME"/>
              </w:rPr>
            </w:pPr>
            <w:r w:rsidRPr="000E77D2">
              <w:rPr>
                <w:sz w:val="22"/>
                <w:szCs w:val="22"/>
                <w:lang w:val="sr-Latn-ME"/>
              </w:rPr>
              <w:t>373</w:t>
            </w:r>
          </w:p>
        </w:tc>
        <w:tc>
          <w:tcPr>
            <w:tcW w:w="681" w:type="pct"/>
            <w:gridSpan w:val="2"/>
            <w:hideMark/>
          </w:tcPr>
          <w:p w14:paraId="7F83EEFA" w14:textId="77777777" w:rsidR="00AB2837" w:rsidRPr="000E77D2" w:rsidRDefault="00AB2837" w:rsidP="00BE6A13">
            <w:pPr>
              <w:pStyle w:val="TableTextCentered"/>
              <w:jc w:val="both"/>
              <w:rPr>
                <w:sz w:val="22"/>
                <w:szCs w:val="22"/>
                <w:lang w:val="sr-Latn-ME"/>
              </w:rPr>
            </w:pPr>
            <w:r w:rsidRPr="000E77D2">
              <w:rPr>
                <w:sz w:val="22"/>
                <w:szCs w:val="22"/>
                <w:lang w:val="sr-Latn-ME"/>
              </w:rPr>
              <w:t>420</w:t>
            </w:r>
          </w:p>
        </w:tc>
        <w:tc>
          <w:tcPr>
            <w:tcW w:w="1363" w:type="pct"/>
            <w:hideMark/>
          </w:tcPr>
          <w:p w14:paraId="0373E3CF" w14:textId="77777777" w:rsidR="00AB2837" w:rsidRPr="000E77D2" w:rsidRDefault="00AB2837" w:rsidP="00BE6A13">
            <w:pPr>
              <w:pStyle w:val="TableTextCentered"/>
              <w:jc w:val="both"/>
              <w:rPr>
                <w:sz w:val="22"/>
                <w:szCs w:val="22"/>
                <w:lang w:val="sr-Latn-ME"/>
              </w:rPr>
            </w:pPr>
            <w:r w:rsidRPr="000E77D2">
              <w:rPr>
                <w:sz w:val="22"/>
                <w:szCs w:val="22"/>
                <w:lang w:val="sr-Latn-ME"/>
              </w:rPr>
              <w:t>0,89 (95% CI: 0,77-1,02)</w:t>
            </w:r>
          </w:p>
        </w:tc>
        <w:tc>
          <w:tcPr>
            <w:tcW w:w="911" w:type="pct"/>
            <w:hideMark/>
          </w:tcPr>
          <w:p w14:paraId="0FF740C3" w14:textId="77777777" w:rsidR="00AB2837" w:rsidRPr="000E77D2" w:rsidRDefault="00AB2837" w:rsidP="00BE6A13">
            <w:pPr>
              <w:pStyle w:val="TableTextCentered"/>
              <w:jc w:val="both"/>
              <w:rPr>
                <w:sz w:val="22"/>
                <w:szCs w:val="22"/>
                <w:lang w:val="sr-Latn-ME"/>
              </w:rPr>
            </w:pPr>
            <w:r w:rsidRPr="000E77D2">
              <w:rPr>
                <w:sz w:val="22"/>
                <w:szCs w:val="22"/>
                <w:lang w:val="sr-Latn-ME"/>
              </w:rPr>
              <w:t>0,08972</w:t>
            </w:r>
          </w:p>
        </w:tc>
      </w:tr>
      <w:tr w:rsidR="005872E2" w:rsidRPr="000E77D2" w14:paraId="1ACEC036" w14:textId="77777777" w:rsidTr="00956AA6">
        <w:trPr>
          <w:cantSplit/>
        </w:trPr>
        <w:tc>
          <w:tcPr>
            <w:tcW w:w="5000" w:type="pct"/>
            <w:gridSpan w:val="7"/>
            <w:hideMark/>
          </w:tcPr>
          <w:p w14:paraId="06E503C8" w14:textId="3A54D8BC" w:rsidR="00AB2837" w:rsidRPr="000E77D2" w:rsidRDefault="00461873" w:rsidP="00BE6A13">
            <w:pPr>
              <w:pStyle w:val="TableTextCentered"/>
              <w:jc w:val="both"/>
              <w:rPr>
                <w:b/>
                <w:sz w:val="22"/>
                <w:szCs w:val="22"/>
                <w:lang w:val="sr-Latn-ME"/>
              </w:rPr>
            </w:pPr>
            <w:r w:rsidRPr="000E77D2">
              <w:rPr>
                <w:b/>
                <w:sz w:val="22"/>
                <w:szCs w:val="22"/>
                <w:lang w:val="sr-Latn-ME"/>
              </w:rPr>
              <w:lastRenderedPageBreak/>
              <w:t>Medijana</w:t>
            </w:r>
            <w:r w:rsidR="00AB2837" w:rsidRPr="000E77D2">
              <w:rPr>
                <w:b/>
                <w:sz w:val="22"/>
                <w:szCs w:val="22"/>
                <w:lang w:val="sr-Latn-ME"/>
              </w:rPr>
              <w:t xml:space="preserve"> terapij</w:t>
            </w:r>
            <w:r w:rsidRPr="000E77D2">
              <w:rPr>
                <w:b/>
                <w:sz w:val="22"/>
                <w:szCs w:val="22"/>
                <w:lang w:val="sr-Latn-ME"/>
              </w:rPr>
              <w:t>e</w:t>
            </w:r>
            <w:r w:rsidR="00AB2837" w:rsidRPr="000E77D2">
              <w:rPr>
                <w:b/>
                <w:sz w:val="22"/>
                <w:szCs w:val="22"/>
                <w:lang w:val="sr-Latn-ME"/>
              </w:rPr>
              <w:t xml:space="preserve"> od 30 m</w:t>
            </w:r>
            <w:r w:rsidR="00A423CB" w:rsidRPr="000E77D2">
              <w:rPr>
                <w:b/>
                <w:sz w:val="22"/>
                <w:szCs w:val="22"/>
                <w:lang w:val="sr-Latn-ME"/>
              </w:rPr>
              <w:t>j</w:t>
            </w:r>
            <w:r w:rsidR="00AB2837" w:rsidRPr="000E77D2">
              <w:rPr>
                <w:b/>
                <w:sz w:val="22"/>
                <w:szCs w:val="22"/>
                <w:lang w:val="sr-Latn-ME"/>
              </w:rPr>
              <w:t xml:space="preserve">eseci i </w:t>
            </w:r>
            <w:r w:rsidRPr="000E77D2">
              <w:rPr>
                <w:b/>
                <w:sz w:val="22"/>
                <w:szCs w:val="22"/>
                <w:lang w:val="sr-Latn-ME"/>
              </w:rPr>
              <w:t>medijana</w:t>
            </w:r>
            <w:r w:rsidR="00AB2837" w:rsidRPr="000E77D2">
              <w:rPr>
                <w:b/>
                <w:sz w:val="22"/>
                <w:szCs w:val="22"/>
                <w:lang w:val="sr-Latn-ME"/>
              </w:rPr>
              <w:t xml:space="preserve"> praćenj</w:t>
            </w:r>
            <w:r w:rsidRPr="000E77D2">
              <w:rPr>
                <w:b/>
                <w:sz w:val="22"/>
                <w:szCs w:val="22"/>
                <w:lang w:val="sr-Latn-ME"/>
              </w:rPr>
              <w:t>a</w:t>
            </w:r>
            <w:r w:rsidR="00AB2837" w:rsidRPr="000E77D2">
              <w:rPr>
                <w:b/>
                <w:sz w:val="22"/>
                <w:szCs w:val="22"/>
                <w:lang w:val="sr-Latn-ME"/>
              </w:rPr>
              <w:t xml:space="preserve"> od 119 m</w:t>
            </w:r>
            <w:r w:rsidR="00A423CB" w:rsidRPr="000E77D2">
              <w:rPr>
                <w:b/>
                <w:sz w:val="22"/>
                <w:szCs w:val="22"/>
                <w:lang w:val="sr-Latn-ME"/>
              </w:rPr>
              <w:t>j</w:t>
            </w:r>
            <w:r w:rsidR="00AB2837" w:rsidRPr="000E77D2">
              <w:rPr>
                <w:b/>
                <w:sz w:val="22"/>
                <w:szCs w:val="22"/>
                <w:lang w:val="sr-Latn-ME"/>
              </w:rPr>
              <w:t>eseci</w:t>
            </w:r>
          </w:p>
        </w:tc>
      </w:tr>
      <w:tr w:rsidR="005872E2" w:rsidRPr="000E77D2" w14:paraId="6F56DA6E" w14:textId="77777777" w:rsidTr="00956AA6">
        <w:trPr>
          <w:cantSplit/>
        </w:trPr>
        <w:tc>
          <w:tcPr>
            <w:tcW w:w="1590" w:type="pct"/>
            <w:gridSpan w:val="2"/>
            <w:hideMark/>
          </w:tcPr>
          <w:p w14:paraId="08B0A612" w14:textId="77777777" w:rsidR="00AB2837" w:rsidRPr="000E77D2" w:rsidRDefault="00AB2837" w:rsidP="00BE6A13">
            <w:pPr>
              <w:pStyle w:val="TableText"/>
              <w:jc w:val="both"/>
              <w:rPr>
                <w:rFonts w:cs="Times New Roman"/>
                <w:sz w:val="22"/>
                <w:szCs w:val="22"/>
                <w:vertAlign w:val="superscript"/>
                <w:lang w:val="sr-Latn-ME"/>
              </w:rPr>
            </w:pPr>
            <w:r w:rsidRPr="000E77D2">
              <w:rPr>
                <w:rFonts w:cs="Times New Roman"/>
                <w:sz w:val="22"/>
                <w:szCs w:val="22"/>
                <w:lang w:val="sr-Latn-ME"/>
              </w:rPr>
              <w:t>Preživljavanje bez znakova bolesti</w:t>
            </w:r>
            <w:r w:rsidR="002E61EB" w:rsidRPr="000E77D2">
              <w:rPr>
                <w:rFonts w:cs="Times New Roman"/>
                <w:sz w:val="22"/>
                <w:szCs w:val="22"/>
                <w:vertAlign w:val="superscript"/>
                <w:lang w:val="sr-Latn-ME"/>
              </w:rPr>
              <w:t>a</w:t>
            </w:r>
          </w:p>
        </w:tc>
        <w:tc>
          <w:tcPr>
            <w:tcW w:w="455" w:type="pct"/>
            <w:hideMark/>
          </w:tcPr>
          <w:p w14:paraId="7BDFBAD4" w14:textId="77777777" w:rsidR="00AB2837" w:rsidRPr="000E77D2" w:rsidRDefault="00AB2837" w:rsidP="00BE6A13">
            <w:pPr>
              <w:pStyle w:val="TableTextCentered"/>
              <w:jc w:val="both"/>
              <w:rPr>
                <w:sz w:val="22"/>
                <w:szCs w:val="22"/>
                <w:lang w:val="sr-Latn-ME"/>
              </w:rPr>
            </w:pPr>
            <w:r w:rsidRPr="000E77D2">
              <w:rPr>
                <w:sz w:val="22"/>
                <w:szCs w:val="22"/>
                <w:lang w:val="sr-Latn-ME"/>
              </w:rPr>
              <w:t>672</w:t>
            </w:r>
          </w:p>
        </w:tc>
        <w:tc>
          <w:tcPr>
            <w:tcW w:w="681" w:type="pct"/>
            <w:gridSpan w:val="2"/>
            <w:hideMark/>
          </w:tcPr>
          <w:p w14:paraId="510F635B" w14:textId="77777777" w:rsidR="00AB2837" w:rsidRPr="000E77D2" w:rsidRDefault="00AB2837" w:rsidP="00BE6A13">
            <w:pPr>
              <w:pStyle w:val="TableTextCentered"/>
              <w:jc w:val="both"/>
              <w:rPr>
                <w:sz w:val="22"/>
                <w:szCs w:val="22"/>
                <w:lang w:val="sr-Latn-ME"/>
              </w:rPr>
            </w:pPr>
            <w:r w:rsidRPr="000E77D2">
              <w:rPr>
                <w:sz w:val="22"/>
                <w:szCs w:val="22"/>
                <w:lang w:val="sr-Latn-ME"/>
              </w:rPr>
              <w:t>761</w:t>
            </w:r>
          </w:p>
        </w:tc>
        <w:tc>
          <w:tcPr>
            <w:tcW w:w="1363" w:type="pct"/>
            <w:hideMark/>
          </w:tcPr>
          <w:p w14:paraId="56637C24" w14:textId="77777777" w:rsidR="00AB2837" w:rsidRPr="000E77D2" w:rsidRDefault="00AB2837" w:rsidP="00BE6A13">
            <w:pPr>
              <w:pStyle w:val="TableTextCentered"/>
              <w:jc w:val="both"/>
              <w:rPr>
                <w:sz w:val="22"/>
                <w:szCs w:val="22"/>
                <w:lang w:val="sr-Latn-ME"/>
              </w:rPr>
            </w:pPr>
            <w:r w:rsidRPr="000E77D2">
              <w:rPr>
                <w:sz w:val="22"/>
                <w:szCs w:val="22"/>
                <w:lang w:val="sr-Latn-ME"/>
              </w:rPr>
              <w:t>0,86 (95% CI: 0,77-0,95)</w:t>
            </w:r>
          </w:p>
        </w:tc>
        <w:tc>
          <w:tcPr>
            <w:tcW w:w="911" w:type="pct"/>
            <w:hideMark/>
          </w:tcPr>
          <w:p w14:paraId="419E4200" w14:textId="77777777" w:rsidR="00AB2837" w:rsidRPr="000E77D2" w:rsidRDefault="00AB2837" w:rsidP="00BE6A13">
            <w:pPr>
              <w:pStyle w:val="TableTextCentered"/>
              <w:jc w:val="both"/>
              <w:rPr>
                <w:sz w:val="22"/>
                <w:szCs w:val="22"/>
                <w:lang w:val="sr-Latn-ME"/>
              </w:rPr>
            </w:pPr>
            <w:r w:rsidRPr="000E77D2">
              <w:rPr>
                <w:sz w:val="22"/>
                <w:szCs w:val="22"/>
                <w:lang w:val="sr-Latn-ME"/>
              </w:rPr>
              <w:t>0,00393</w:t>
            </w:r>
          </w:p>
        </w:tc>
      </w:tr>
      <w:tr w:rsidR="005872E2" w:rsidRPr="000E77D2" w14:paraId="4C8DC609" w14:textId="77777777" w:rsidTr="00956AA6">
        <w:trPr>
          <w:cantSplit/>
        </w:trPr>
        <w:tc>
          <w:tcPr>
            <w:tcW w:w="1590" w:type="pct"/>
            <w:gridSpan w:val="2"/>
            <w:hideMark/>
          </w:tcPr>
          <w:p w14:paraId="7206A565" w14:textId="77777777" w:rsidR="00AB2837" w:rsidRPr="000E77D2" w:rsidRDefault="00AB2837" w:rsidP="00BE6A13">
            <w:pPr>
              <w:pStyle w:val="TableText"/>
              <w:jc w:val="both"/>
              <w:rPr>
                <w:rFonts w:cs="Times New Roman"/>
                <w:sz w:val="22"/>
                <w:szCs w:val="22"/>
                <w:vertAlign w:val="superscript"/>
                <w:lang w:val="sr-Latn-ME"/>
              </w:rPr>
            </w:pPr>
            <w:r w:rsidRPr="000E77D2">
              <w:rPr>
                <w:rFonts w:cs="Times New Roman"/>
                <w:sz w:val="22"/>
                <w:szCs w:val="22"/>
                <w:lang w:val="sr-Latn-ME"/>
              </w:rPr>
              <w:t>Preživljavanje bez karcinoma dojke</w:t>
            </w:r>
            <w:r w:rsidR="002E61EB" w:rsidRPr="000E77D2">
              <w:rPr>
                <w:rFonts w:cs="Times New Roman"/>
                <w:sz w:val="22"/>
                <w:szCs w:val="22"/>
                <w:vertAlign w:val="superscript"/>
                <w:lang w:val="sr-Latn-ME"/>
              </w:rPr>
              <w:t>b</w:t>
            </w:r>
          </w:p>
        </w:tc>
        <w:tc>
          <w:tcPr>
            <w:tcW w:w="455" w:type="pct"/>
            <w:hideMark/>
          </w:tcPr>
          <w:p w14:paraId="04040211" w14:textId="77777777" w:rsidR="00AB2837" w:rsidRPr="000E77D2" w:rsidRDefault="00AB2837" w:rsidP="00BE6A13">
            <w:pPr>
              <w:pStyle w:val="TableTextCentered"/>
              <w:jc w:val="both"/>
              <w:rPr>
                <w:sz w:val="22"/>
                <w:szCs w:val="22"/>
                <w:lang w:val="sr-Latn-ME"/>
              </w:rPr>
            </w:pPr>
            <w:r w:rsidRPr="000E77D2">
              <w:rPr>
                <w:sz w:val="22"/>
                <w:szCs w:val="22"/>
                <w:lang w:val="sr-Latn-ME"/>
              </w:rPr>
              <w:t>517</w:t>
            </w:r>
          </w:p>
        </w:tc>
        <w:tc>
          <w:tcPr>
            <w:tcW w:w="681" w:type="pct"/>
            <w:gridSpan w:val="2"/>
            <w:hideMark/>
          </w:tcPr>
          <w:p w14:paraId="28CFE8B8" w14:textId="77777777" w:rsidR="00AB2837" w:rsidRPr="000E77D2" w:rsidRDefault="00AB2837" w:rsidP="00BE6A13">
            <w:pPr>
              <w:pStyle w:val="TableTextCentered"/>
              <w:jc w:val="both"/>
              <w:rPr>
                <w:sz w:val="22"/>
                <w:szCs w:val="22"/>
                <w:lang w:val="sr-Latn-ME"/>
              </w:rPr>
            </w:pPr>
            <w:r w:rsidRPr="000E77D2">
              <w:rPr>
                <w:sz w:val="22"/>
                <w:szCs w:val="22"/>
                <w:lang w:val="sr-Latn-ME"/>
              </w:rPr>
              <w:t>608</w:t>
            </w:r>
          </w:p>
        </w:tc>
        <w:tc>
          <w:tcPr>
            <w:tcW w:w="1363" w:type="pct"/>
            <w:hideMark/>
          </w:tcPr>
          <w:p w14:paraId="4B1FAA91" w14:textId="77777777" w:rsidR="00AB2837" w:rsidRPr="000E77D2" w:rsidRDefault="00AB2837" w:rsidP="00BE6A13">
            <w:pPr>
              <w:pStyle w:val="TableTextCentered"/>
              <w:jc w:val="both"/>
              <w:rPr>
                <w:sz w:val="22"/>
                <w:szCs w:val="22"/>
                <w:lang w:val="sr-Latn-ME"/>
              </w:rPr>
            </w:pPr>
            <w:r w:rsidRPr="000E77D2">
              <w:rPr>
                <w:sz w:val="22"/>
                <w:szCs w:val="22"/>
                <w:lang w:val="sr-Latn-ME"/>
              </w:rPr>
              <w:t>0,83 (95% CI: 0,74-0,93)</w:t>
            </w:r>
          </w:p>
        </w:tc>
        <w:tc>
          <w:tcPr>
            <w:tcW w:w="911" w:type="pct"/>
            <w:hideMark/>
          </w:tcPr>
          <w:p w14:paraId="18DF60B5" w14:textId="77777777" w:rsidR="00AB2837" w:rsidRPr="000E77D2" w:rsidRDefault="00AB2837" w:rsidP="00BE6A13">
            <w:pPr>
              <w:pStyle w:val="TableTextCentered"/>
              <w:jc w:val="both"/>
              <w:rPr>
                <w:sz w:val="22"/>
                <w:szCs w:val="22"/>
                <w:lang w:val="sr-Latn-ME"/>
              </w:rPr>
            </w:pPr>
            <w:r w:rsidRPr="000E77D2">
              <w:rPr>
                <w:sz w:val="22"/>
                <w:szCs w:val="22"/>
                <w:lang w:val="sr-Latn-ME"/>
              </w:rPr>
              <w:t>0,00152</w:t>
            </w:r>
          </w:p>
        </w:tc>
      </w:tr>
      <w:tr w:rsidR="005872E2" w:rsidRPr="000E77D2" w14:paraId="1648DFC7" w14:textId="77777777" w:rsidTr="00956AA6">
        <w:trPr>
          <w:cantSplit/>
        </w:trPr>
        <w:tc>
          <w:tcPr>
            <w:tcW w:w="1590" w:type="pct"/>
            <w:gridSpan w:val="2"/>
            <w:hideMark/>
          </w:tcPr>
          <w:p w14:paraId="75F32FA4" w14:textId="77777777" w:rsidR="00AB2837" w:rsidRPr="000E77D2" w:rsidRDefault="00AB2837" w:rsidP="00BE6A13">
            <w:pPr>
              <w:pStyle w:val="TableText"/>
              <w:jc w:val="both"/>
              <w:rPr>
                <w:rFonts w:cs="Times New Roman"/>
                <w:sz w:val="22"/>
                <w:szCs w:val="22"/>
                <w:vertAlign w:val="superscript"/>
                <w:lang w:val="sr-Latn-ME"/>
              </w:rPr>
            </w:pPr>
            <w:r w:rsidRPr="000E77D2">
              <w:rPr>
                <w:rFonts w:cs="Times New Roman"/>
                <w:sz w:val="22"/>
                <w:szCs w:val="22"/>
                <w:lang w:val="sr-Latn-ME"/>
              </w:rPr>
              <w:t xml:space="preserve">Kontralateralni karcinom dojke </w:t>
            </w:r>
          </w:p>
        </w:tc>
        <w:tc>
          <w:tcPr>
            <w:tcW w:w="455" w:type="pct"/>
            <w:hideMark/>
          </w:tcPr>
          <w:p w14:paraId="0D77A7C2" w14:textId="77777777" w:rsidR="00AB2837" w:rsidRPr="000E77D2" w:rsidRDefault="00AB2837" w:rsidP="00BE6A13">
            <w:pPr>
              <w:pStyle w:val="TableTextCentered"/>
              <w:jc w:val="both"/>
              <w:rPr>
                <w:sz w:val="22"/>
                <w:szCs w:val="22"/>
                <w:lang w:val="sr-Latn-ME"/>
              </w:rPr>
            </w:pPr>
            <w:r w:rsidRPr="000E77D2">
              <w:rPr>
                <w:sz w:val="22"/>
                <w:szCs w:val="22"/>
                <w:lang w:val="sr-Latn-ME"/>
              </w:rPr>
              <w:t>57</w:t>
            </w:r>
          </w:p>
        </w:tc>
        <w:tc>
          <w:tcPr>
            <w:tcW w:w="681" w:type="pct"/>
            <w:gridSpan w:val="2"/>
            <w:hideMark/>
          </w:tcPr>
          <w:p w14:paraId="426B76A6" w14:textId="77777777" w:rsidR="00AB2837" w:rsidRPr="000E77D2" w:rsidRDefault="00AB2837" w:rsidP="00BE6A13">
            <w:pPr>
              <w:pStyle w:val="TableTextCentered"/>
              <w:jc w:val="both"/>
              <w:rPr>
                <w:sz w:val="22"/>
                <w:szCs w:val="22"/>
                <w:lang w:val="sr-Latn-ME"/>
              </w:rPr>
            </w:pPr>
            <w:r w:rsidRPr="000E77D2">
              <w:rPr>
                <w:sz w:val="22"/>
                <w:szCs w:val="22"/>
                <w:lang w:val="sr-Latn-ME"/>
              </w:rPr>
              <w:t>75</w:t>
            </w:r>
          </w:p>
        </w:tc>
        <w:tc>
          <w:tcPr>
            <w:tcW w:w="1363" w:type="pct"/>
            <w:hideMark/>
          </w:tcPr>
          <w:p w14:paraId="2FB3887C" w14:textId="77777777" w:rsidR="00AB2837" w:rsidRPr="000E77D2" w:rsidRDefault="00AB2837" w:rsidP="00BE6A13">
            <w:pPr>
              <w:pStyle w:val="TableTextCentered"/>
              <w:jc w:val="both"/>
              <w:rPr>
                <w:sz w:val="22"/>
                <w:szCs w:val="22"/>
                <w:lang w:val="sr-Latn-ME"/>
              </w:rPr>
            </w:pPr>
            <w:r w:rsidRPr="000E77D2">
              <w:rPr>
                <w:sz w:val="22"/>
                <w:szCs w:val="22"/>
                <w:lang w:val="sr-Latn-ME"/>
              </w:rPr>
              <w:t>0,75 (95% CI: 0,53-1,06)</w:t>
            </w:r>
          </w:p>
        </w:tc>
        <w:tc>
          <w:tcPr>
            <w:tcW w:w="911" w:type="pct"/>
            <w:hideMark/>
          </w:tcPr>
          <w:p w14:paraId="1587D025" w14:textId="77777777" w:rsidR="00AB2837" w:rsidRPr="000E77D2" w:rsidRDefault="00AB2837" w:rsidP="00BE6A13">
            <w:pPr>
              <w:pStyle w:val="TableTextCentered"/>
              <w:jc w:val="both"/>
              <w:rPr>
                <w:sz w:val="22"/>
                <w:szCs w:val="22"/>
                <w:lang w:val="sr-Latn-ME"/>
              </w:rPr>
            </w:pPr>
            <w:r w:rsidRPr="000E77D2">
              <w:rPr>
                <w:sz w:val="22"/>
                <w:szCs w:val="22"/>
                <w:lang w:val="sr-Latn-ME"/>
              </w:rPr>
              <w:t>0,10707</w:t>
            </w:r>
          </w:p>
        </w:tc>
      </w:tr>
      <w:tr w:rsidR="005872E2" w:rsidRPr="000E77D2" w14:paraId="60A879D6" w14:textId="77777777" w:rsidTr="00956AA6">
        <w:trPr>
          <w:cantSplit/>
        </w:trPr>
        <w:tc>
          <w:tcPr>
            <w:tcW w:w="1590" w:type="pct"/>
            <w:gridSpan w:val="2"/>
            <w:hideMark/>
          </w:tcPr>
          <w:p w14:paraId="04BDA1F3" w14:textId="77777777" w:rsidR="00AB2837" w:rsidRPr="000E77D2" w:rsidRDefault="00AB2837" w:rsidP="00BE6A13">
            <w:pPr>
              <w:pStyle w:val="TableText"/>
              <w:jc w:val="both"/>
              <w:rPr>
                <w:rFonts w:cs="Times New Roman"/>
                <w:sz w:val="22"/>
                <w:szCs w:val="22"/>
                <w:vertAlign w:val="superscript"/>
                <w:lang w:val="sr-Latn-ME"/>
              </w:rPr>
            </w:pPr>
            <w:r w:rsidRPr="000E77D2">
              <w:rPr>
                <w:rFonts w:cs="Times New Roman"/>
                <w:sz w:val="22"/>
                <w:szCs w:val="22"/>
                <w:lang w:val="sr-Latn-ME"/>
              </w:rPr>
              <w:t>Preživljavanje bez udaljenih metastaza</w:t>
            </w:r>
            <w:r w:rsidR="002E61EB" w:rsidRPr="000E77D2">
              <w:rPr>
                <w:rFonts w:cs="Times New Roman"/>
                <w:sz w:val="22"/>
                <w:szCs w:val="22"/>
                <w:vertAlign w:val="superscript"/>
                <w:lang w:val="sr-Latn-ME"/>
              </w:rPr>
              <w:t>c</w:t>
            </w:r>
          </w:p>
        </w:tc>
        <w:tc>
          <w:tcPr>
            <w:tcW w:w="455" w:type="pct"/>
            <w:hideMark/>
          </w:tcPr>
          <w:p w14:paraId="79FA93C8" w14:textId="77777777" w:rsidR="00AB2837" w:rsidRPr="000E77D2" w:rsidRDefault="00AB2837" w:rsidP="00BE6A13">
            <w:pPr>
              <w:pStyle w:val="TableTextCentered"/>
              <w:jc w:val="both"/>
              <w:rPr>
                <w:sz w:val="22"/>
                <w:szCs w:val="22"/>
                <w:lang w:val="sr-Latn-ME"/>
              </w:rPr>
            </w:pPr>
            <w:r w:rsidRPr="000E77D2">
              <w:rPr>
                <w:sz w:val="22"/>
                <w:szCs w:val="22"/>
                <w:lang w:val="sr-Latn-ME"/>
              </w:rPr>
              <w:t>411</w:t>
            </w:r>
          </w:p>
        </w:tc>
        <w:tc>
          <w:tcPr>
            <w:tcW w:w="681" w:type="pct"/>
            <w:gridSpan w:val="2"/>
            <w:hideMark/>
          </w:tcPr>
          <w:p w14:paraId="1D045BD1" w14:textId="77777777" w:rsidR="00AB2837" w:rsidRPr="000E77D2" w:rsidRDefault="00AB2837" w:rsidP="00BE6A13">
            <w:pPr>
              <w:pStyle w:val="TableTextCentered"/>
              <w:jc w:val="both"/>
              <w:rPr>
                <w:sz w:val="22"/>
                <w:szCs w:val="22"/>
                <w:lang w:val="sr-Latn-ME"/>
              </w:rPr>
            </w:pPr>
            <w:r w:rsidRPr="000E77D2">
              <w:rPr>
                <w:sz w:val="22"/>
                <w:szCs w:val="22"/>
                <w:lang w:val="sr-Latn-ME"/>
              </w:rPr>
              <w:t>472</w:t>
            </w:r>
          </w:p>
        </w:tc>
        <w:tc>
          <w:tcPr>
            <w:tcW w:w="1363" w:type="pct"/>
            <w:hideMark/>
          </w:tcPr>
          <w:p w14:paraId="4B4313A7" w14:textId="77777777" w:rsidR="00AB2837" w:rsidRPr="000E77D2" w:rsidRDefault="00AB2837" w:rsidP="00BE6A13">
            <w:pPr>
              <w:pStyle w:val="TableTextCentered"/>
              <w:jc w:val="both"/>
              <w:rPr>
                <w:sz w:val="22"/>
                <w:szCs w:val="22"/>
                <w:lang w:val="sr-Latn-ME"/>
              </w:rPr>
            </w:pPr>
            <w:r w:rsidRPr="000E77D2">
              <w:rPr>
                <w:sz w:val="22"/>
                <w:szCs w:val="22"/>
                <w:lang w:val="sr-Latn-ME"/>
              </w:rPr>
              <w:t>0,86 (95% CI: 0,75-0,98)</w:t>
            </w:r>
          </w:p>
        </w:tc>
        <w:tc>
          <w:tcPr>
            <w:tcW w:w="911" w:type="pct"/>
            <w:hideMark/>
          </w:tcPr>
          <w:p w14:paraId="6755C662" w14:textId="77777777" w:rsidR="00AB2837" w:rsidRPr="000E77D2" w:rsidRDefault="00AB2837" w:rsidP="00BE6A13">
            <w:pPr>
              <w:pStyle w:val="TableTextCentered"/>
              <w:jc w:val="both"/>
              <w:rPr>
                <w:sz w:val="22"/>
                <w:szCs w:val="22"/>
                <w:lang w:val="sr-Latn-ME"/>
              </w:rPr>
            </w:pPr>
            <w:r w:rsidRPr="000E77D2">
              <w:rPr>
                <w:sz w:val="22"/>
                <w:szCs w:val="22"/>
                <w:lang w:val="sr-Latn-ME"/>
              </w:rPr>
              <w:t>0,02213</w:t>
            </w:r>
          </w:p>
        </w:tc>
      </w:tr>
      <w:tr w:rsidR="005872E2" w:rsidRPr="000E77D2" w14:paraId="79A26717" w14:textId="77777777" w:rsidTr="00956AA6">
        <w:trPr>
          <w:cantSplit/>
        </w:trPr>
        <w:tc>
          <w:tcPr>
            <w:tcW w:w="1590" w:type="pct"/>
            <w:gridSpan w:val="2"/>
            <w:hideMark/>
          </w:tcPr>
          <w:p w14:paraId="3A56F796" w14:textId="77777777" w:rsidR="00AB2837" w:rsidRPr="000E77D2" w:rsidRDefault="00AB2837" w:rsidP="00BE6A13">
            <w:pPr>
              <w:pStyle w:val="TableText"/>
              <w:jc w:val="both"/>
              <w:rPr>
                <w:rFonts w:cs="Times New Roman"/>
                <w:sz w:val="22"/>
                <w:szCs w:val="22"/>
                <w:vertAlign w:val="superscript"/>
                <w:lang w:val="sr-Latn-ME"/>
              </w:rPr>
            </w:pPr>
            <w:r w:rsidRPr="000E77D2">
              <w:rPr>
                <w:rFonts w:cs="Times New Roman"/>
                <w:sz w:val="22"/>
                <w:szCs w:val="22"/>
                <w:lang w:val="sr-Latn-ME"/>
              </w:rPr>
              <w:t>Ukupno preživljavanje</w:t>
            </w:r>
            <w:r w:rsidR="002E61EB" w:rsidRPr="000E77D2">
              <w:rPr>
                <w:rFonts w:cs="Times New Roman"/>
                <w:sz w:val="22"/>
                <w:szCs w:val="22"/>
                <w:vertAlign w:val="superscript"/>
                <w:lang w:val="sr-Latn-ME"/>
              </w:rPr>
              <w:t>d</w:t>
            </w:r>
          </w:p>
        </w:tc>
        <w:tc>
          <w:tcPr>
            <w:tcW w:w="455" w:type="pct"/>
            <w:hideMark/>
          </w:tcPr>
          <w:p w14:paraId="3564FE19" w14:textId="77777777" w:rsidR="00AB2837" w:rsidRPr="000E77D2" w:rsidRDefault="00AB2837" w:rsidP="00BE6A13">
            <w:pPr>
              <w:pStyle w:val="TableTextCentered"/>
              <w:jc w:val="both"/>
              <w:rPr>
                <w:sz w:val="22"/>
                <w:szCs w:val="22"/>
                <w:lang w:val="sr-Latn-ME"/>
              </w:rPr>
            </w:pPr>
            <w:r w:rsidRPr="000E77D2">
              <w:rPr>
                <w:sz w:val="22"/>
                <w:szCs w:val="22"/>
                <w:lang w:val="sr-Latn-ME"/>
              </w:rPr>
              <w:t>467</w:t>
            </w:r>
          </w:p>
        </w:tc>
        <w:tc>
          <w:tcPr>
            <w:tcW w:w="681" w:type="pct"/>
            <w:gridSpan w:val="2"/>
            <w:hideMark/>
          </w:tcPr>
          <w:p w14:paraId="7E74DF4B" w14:textId="77777777" w:rsidR="00AB2837" w:rsidRPr="000E77D2" w:rsidRDefault="00AB2837" w:rsidP="00BE6A13">
            <w:pPr>
              <w:pStyle w:val="TableTextCentered"/>
              <w:jc w:val="both"/>
              <w:rPr>
                <w:sz w:val="22"/>
                <w:szCs w:val="22"/>
                <w:lang w:val="sr-Latn-ME"/>
              </w:rPr>
            </w:pPr>
            <w:r w:rsidRPr="000E77D2">
              <w:rPr>
                <w:sz w:val="22"/>
                <w:szCs w:val="22"/>
                <w:lang w:val="sr-Latn-ME"/>
              </w:rPr>
              <w:t>510</w:t>
            </w:r>
          </w:p>
        </w:tc>
        <w:tc>
          <w:tcPr>
            <w:tcW w:w="1363" w:type="pct"/>
            <w:hideMark/>
          </w:tcPr>
          <w:p w14:paraId="64A734C2" w14:textId="77777777" w:rsidR="00AB2837" w:rsidRPr="000E77D2" w:rsidRDefault="00AB2837" w:rsidP="00BE6A13">
            <w:pPr>
              <w:pStyle w:val="TableTextCentered"/>
              <w:jc w:val="both"/>
              <w:rPr>
                <w:sz w:val="22"/>
                <w:szCs w:val="22"/>
                <w:lang w:val="sr-Latn-ME"/>
              </w:rPr>
            </w:pPr>
            <w:r w:rsidRPr="000E77D2">
              <w:rPr>
                <w:sz w:val="22"/>
                <w:szCs w:val="22"/>
                <w:lang w:val="sr-Latn-ME"/>
              </w:rPr>
              <w:t>0,91 (95% CI: 0,81-1,04)</w:t>
            </w:r>
          </w:p>
        </w:tc>
        <w:tc>
          <w:tcPr>
            <w:tcW w:w="911" w:type="pct"/>
            <w:hideMark/>
          </w:tcPr>
          <w:p w14:paraId="7D9FE1B2" w14:textId="77777777" w:rsidR="00AB2837" w:rsidRPr="000E77D2" w:rsidRDefault="00AB2837" w:rsidP="00BE6A13">
            <w:pPr>
              <w:pStyle w:val="TableTextCentered"/>
              <w:jc w:val="both"/>
              <w:rPr>
                <w:sz w:val="22"/>
                <w:szCs w:val="22"/>
                <w:lang w:val="sr-Latn-ME"/>
              </w:rPr>
            </w:pPr>
            <w:r w:rsidRPr="000E77D2">
              <w:rPr>
                <w:sz w:val="22"/>
                <w:szCs w:val="22"/>
                <w:lang w:val="sr-Latn-ME"/>
              </w:rPr>
              <w:t>0,15737</w:t>
            </w:r>
          </w:p>
        </w:tc>
      </w:tr>
      <w:tr w:rsidR="005872E2" w:rsidRPr="000E77D2" w14:paraId="27AAD095" w14:textId="77777777" w:rsidTr="00956AA6">
        <w:trPr>
          <w:cantSplit/>
        </w:trPr>
        <w:tc>
          <w:tcPr>
            <w:tcW w:w="5000" w:type="pct"/>
            <w:gridSpan w:val="7"/>
            <w:tcBorders>
              <w:top w:val="single" w:sz="4" w:space="0" w:color="auto"/>
              <w:left w:val="nil"/>
              <w:bottom w:val="nil"/>
              <w:right w:val="nil"/>
            </w:tcBorders>
            <w:hideMark/>
          </w:tcPr>
          <w:p w14:paraId="6659E01A" w14:textId="77777777" w:rsidR="00AB2837" w:rsidRPr="000E77D2" w:rsidRDefault="00AB2837" w:rsidP="00BE6A13">
            <w:pPr>
              <w:pStyle w:val="TableTextFootnote"/>
              <w:jc w:val="both"/>
              <w:rPr>
                <w:sz w:val="22"/>
                <w:szCs w:val="22"/>
                <w:lang w:val="sr-Latn-ME"/>
              </w:rPr>
            </w:pPr>
            <w:r w:rsidRPr="000E77D2">
              <w:rPr>
                <w:sz w:val="22"/>
                <w:szCs w:val="22"/>
                <w:lang w:val="sr-Latn-ME"/>
              </w:rPr>
              <w:t xml:space="preserve">CI = interval pouzdanosti; IES = </w:t>
            </w:r>
            <w:r w:rsidRPr="000E77D2">
              <w:rPr>
                <w:i/>
                <w:sz w:val="22"/>
                <w:szCs w:val="22"/>
                <w:lang w:val="sr-Latn-ME"/>
              </w:rPr>
              <w:t>Intergroup Exemestane Study</w:t>
            </w:r>
            <w:r w:rsidRPr="000E77D2">
              <w:rPr>
                <w:sz w:val="22"/>
                <w:szCs w:val="22"/>
                <w:lang w:val="sr-Latn-ME"/>
              </w:rPr>
              <w:t xml:space="preserve">; ITT = </w:t>
            </w:r>
            <w:r w:rsidRPr="000E77D2">
              <w:rPr>
                <w:i/>
                <w:sz w:val="22"/>
                <w:szCs w:val="22"/>
                <w:lang w:val="sr-Latn-ME"/>
              </w:rPr>
              <w:t xml:space="preserve">intention-to-treat </w:t>
            </w:r>
            <w:r w:rsidRPr="000E77D2">
              <w:rPr>
                <w:sz w:val="22"/>
                <w:szCs w:val="22"/>
                <w:lang w:val="sr-Latn-ME"/>
              </w:rPr>
              <w:t>populacija.</w:t>
            </w:r>
          </w:p>
          <w:p w14:paraId="20F7444D" w14:textId="77777777" w:rsidR="00AB2837" w:rsidRPr="000E77D2" w:rsidRDefault="002E61EB" w:rsidP="00BE6A13">
            <w:pPr>
              <w:pStyle w:val="TableTextFootnote"/>
              <w:jc w:val="both"/>
              <w:rPr>
                <w:sz w:val="22"/>
                <w:szCs w:val="22"/>
                <w:lang w:val="sr-Latn-ME"/>
              </w:rPr>
            </w:pPr>
            <w:r w:rsidRPr="000E77D2">
              <w:rPr>
                <w:sz w:val="22"/>
                <w:szCs w:val="22"/>
                <w:vertAlign w:val="superscript"/>
                <w:lang w:val="sr-Latn-ME"/>
              </w:rPr>
              <w:t>a</w:t>
            </w:r>
            <w:r w:rsidR="00AB2837" w:rsidRPr="000E77D2">
              <w:rPr>
                <w:sz w:val="22"/>
                <w:szCs w:val="22"/>
                <w:lang w:val="sr-Latn-ME"/>
              </w:rPr>
              <w:tab/>
              <w:t>Preživljavanje bez znakova bolesti se definiše kao inicijalna rekurentna pojava lokalnog ili udaljenog procesa, kontralateralnog karcinoma dojke ili smrtnog ishoda bez obzira na uzrok;</w:t>
            </w:r>
            <w:r w:rsidR="00AB2837" w:rsidRPr="000E77D2" w:rsidDel="00E14202">
              <w:rPr>
                <w:sz w:val="22"/>
                <w:szCs w:val="22"/>
                <w:lang w:val="sr-Latn-ME"/>
              </w:rPr>
              <w:t xml:space="preserve"> </w:t>
            </w:r>
          </w:p>
          <w:p w14:paraId="4904054E" w14:textId="77777777" w:rsidR="00AB2837" w:rsidRPr="000E77D2" w:rsidRDefault="002E61EB" w:rsidP="00BE6A13">
            <w:pPr>
              <w:pStyle w:val="TableTextFootnote"/>
              <w:jc w:val="both"/>
              <w:rPr>
                <w:sz w:val="22"/>
                <w:szCs w:val="22"/>
                <w:lang w:val="sr-Latn-ME"/>
              </w:rPr>
            </w:pPr>
            <w:r w:rsidRPr="000E77D2">
              <w:rPr>
                <w:sz w:val="22"/>
                <w:szCs w:val="22"/>
                <w:vertAlign w:val="superscript"/>
                <w:lang w:val="sr-Latn-ME"/>
              </w:rPr>
              <w:t>b</w:t>
            </w:r>
            <w:r w:rsidR="00AB2837" w:rsidRPr="000E77D2">
              <w:rPr>
                <w:sz w:val="22"/>
                <w:szCs w:val="22"/>
                <w:lang w:val="sr-Latn-ME"/>
              </w:rPr>
              <w:tab/>
              <w:t>Preživljavanje bez karcinoma dojke se definiše kao inicijalna rekurentna pojava lokalnog ili udaljenog procesa, kontralateralnog karcinoma dojke ili smrtnog ishoda usled karcinoma dojke;</w:t>
            </w:r>
            <w:r w:rsidR="00AB2837" w:rsidRPr="000E77D2" w:rsidDel="00E14202">
              <w:rPr>
                <w:sz w:val="22"/>
                <w:szCs w:val="22"/>
                <w:lang w:val="sr-Latn-ME"/>
              </w:rPr>
              <w:t xml:space="preserve"> </w:t>
            </w:r>
          </w:p>
          <w:p w14:paraId="3A4C582E" w14:textId="77777777" w:rsidR="00AB2837" w:rsidRPr="000E77D2" w:rsidRDefault="002E61EB" w:rsidP="00BE6A13">
            <w:pPr>
              <w:pStyle w:val="TableTextFootnote"/>
              <w:jc w:val="both"/>
              <w:rPr>
                <w:sz w:val="22"/>
                <w:szCs w:val="22"/>
                <w:lang w:val="sr-Latn-ME"/>
              </w:rPr>
            </w:pPr>
            <w:r w:rsidRPr="000E77D2">
              <w:rPr>
                <w:sz w:val="22"/>
                <w:szCs w:val="22"/>
                <w:vertAlign w:val="superscript"/>
                <w:lang w:val="sr-Latn-ME"/>
              </w:rPr>
              <w:t>c</w:t>
            </w:r>
            <w:r w:rsidR="00AB2837" w:rsidRPr="000E77D2">
              <w:rPr>
                <w:sz w:val="22"/>
                <w:szCs w:val="22"/>
                <w:lang w:val="sr-Latn-ME"/>
              </w:rPr>
              <w:tab/>
              <w:t xml:space="preserve">Preživljavanje bez udaljenih metastaza se definiše kao inicijalna rekurentna pojava udaljenog procesa ili smrtni ishod usled karcinoma dojke; </w:t>
            </w:r>
          </w:p>
          <w:p w14:paraId="139D4FA5" w14:textId="77777777" w:rsidR="00AB2837" w:rsidRPr="000E77D2" w:rsidRDefault="002E61EB" w:rsidP="00BE6A13">
            <w:pPr>
              <w:pStyle w:val="TableTextFootnote"/>
              <w:jc w:val="both"/>
              <w:rPr>
                <w:sz w:val="22"/>
                <w:szCs w:val="22"/>
                <w:lang w:val="sr-Latn-ME"/>
              </w:rPr>
            </w:pPr>
            <w:r w:rsidRPr="000E77D2">
              <w:rPr>
                <w:sz w:val="22"/>
                <w:szCs w:val="22"/>
                <w:vertAlign w:val="superscript"/>
                <w:lang w:val="sr-Latn-ME"/>
              </w:rPr>
              <w:t>d</w:t>
            </w:r>
            <w:r w:rsidR="00AB2837" w:rsidRPr="000E77D2">
              <w:rPr>
                <w:sz w:val="22"/>
                <w:szCs w:val="22"/>
                <w:lang w:val="sr-Latn-ME"/>
              </w:rPr>
              <w:tab/>
              <w:t>Ukupno preživljavanje se definiše kao pojava smrtnog ishoda bez obzira na uzrok.</w:t>
            </w:r>
          </w:p>
          <w:p w14:paraId="1DDFA432" w14:textId="316F3DA9" w:rsidR="00461873" w:rsidRPr="000E77D2" w:rsidRDefault="00461873" w:rsidP="00BE6A13">
            <w:pPr>
              <w:pStyle w:val="TableTextFootnote"/>
              <w:jc w:val="both"/>
              <w:rPr>
                <w:sz w:val="22"/>
                <w:szCs w:val="22"/>
                <w:lang w:val="sr-Latn-ME"/>
              </w:rPr>
            </w:pPr>
          </w:p>
        </w:tc>
      </w:tr>
    </w:tbl>
    <w:p w14:paraId="1C5832AE" w14:textId="77777777" w:rsidR="000450A4" w:rsidRPr="000E77D2" w:rsidRDefault="000450A4" w:rsidP="00BE6A13">
      <w:pPr>
        <w:rPr>
          <w:rFonts w:ascii="Times New Roman" w:hAnsi="Times New Roman"/>
          <w:i/>
          <w:sz w:val="22"/>
          <w:szCs w:val="22"/>
          <w:u w:val="single"/>
          <w:lang w:val="sr-Latn-ME"/>
        </w:rPr>
      </w:pPr>
      <w:r w:rsidRPr="000E77D2">
        <w:rPr>
          <w:rFonts w:ascii="Times New Roman" w:hAnsi="Times New Roman"/>
          <w:i/>
          <w:sz w:val="22"/>
          <w:szCs w:val="22"/>
          <w:u w:val="single"/>
          <w:lang w:val="sr-Latn-ME"/>
        </w:rPr>
        <w:t>Terapija uznapredovalog karcinoma dojke</w:t>
      </w:r>
    </w:p>
    <w:p w14:paraId="7E9CF567" w14:textId="77777777" w:rsidR="000450A4" w:rsidRPr="000E77D2" w:rsidRDefault="000450A4" w:rsidP="00BE6A13">
      <w:pPr>
        <w:rPr>
          <w:rFonts w:ascii="Times New Roman" w:hAnsi="Times New Roman"/>
          <w:spacing w:val="-4"/>
          <w:sz w:val="22"/>
          <w:szCs w:val="22"/>
          <w:lang w:val="sr-Latn-ME"/>
        </w:rPr>
      </w:pPr>
    </w:p>
    <w:p w14:paraId="667F7976" w14:textId="734732AB" w:rsidR="000450A4" w:rsidRPr="000E77D2" w:rsidRDefault="000450A4" w:rsidP="00BE6A13">
      <w:pPr>
        <w:rPr>
          <w:rFonts w:ascii="Times New Roman" w:hAnsi="Times New Roman"/>
          <w:sz w:val="22"/>
          <w:szCs w:val="22"/>
          <w:lang w:val="sr-Latn-ME"/>
        </w:rPr>
      </w:pPr>
      <w:r w:rsidRPr="000E77D2">
        <w:rPr>
          <w:rFonts w:ascii="Times New Roman" w:hAnsi="Times New Roman"/>
          <w:spacing w:val="-4"/>
          <w:sz w:val="22"/>
          <w:szCs w:val="22"/>
          <w:lang w:val="sr-Latn-ME"/>
        </w:rPr>
        <w:t>U randomizovanom i kontrolisanom kliničkom ispitivanju</w:t>
      </w:r>
      <w:r w:rsidR="00B0643C" w:rsidRPr="000E77D2">
        <w:rPr>
          <w:rFonts w:ascii="Times New Roman" w:hAnsi="Times New Roman"/>
          <w:spacing w:val="-4"/>
          <w:sz w:val="22"/>
          <w:szCs w:val="22"/>
          <w:lang w:val="sr-Latn-ME"/>
        </w:rPr>
        <w:t xml:space="preserve"> </w:t>
      </w:r>
      <w:r w:rsidR="00E20147" w:rsidRPr="000E77D2">
        <w:rPr>
          <w:rFonts w:ascii="Times New Roman" w:hAnsi="Times New Roman"/>
          <w:spacing w:val="-4"/>
          <w:sz w:val="22"/>
          <w:szCs w:val="22"/>
          <w:lang w:val="sr-Latn-ME"/>
        </w:rPr>
        <w:t>l</w:t>
      </w:r>
      <w:r w:rsidR="00A423CB" w:rsidRPr="000E77D2">
        <w:rPr>
          <w:rFonts w:ascii="Times New Roman" w:hAnsi="Times New Roman"/>
          <w:spacing w:val="-4"/>
          <w:sz w:val="22"/>
          <w:szCs w:val="22"/>
          <w:lang w:val="sr-Latn-ME"/>
        </w:rPr>
        <w:t>ij</w:t>
      </w:r>
      <w:r w:rsidR="00E20147" w:rsidRPr="000E77D2">
        <w:rPr>
          <w:rFonts w:ascii="Times New Roman" w:hAnsi="Times New Roman"/>
          <w:spacing w:val="-4"/>
          <w:sz w:val="22"/>
          <w:szCs w:val="22"/>
          <w:lang w:val="sr-Latn-ME"/>
        </w:rPr>
        <w:t>ek</w:t>
      </w:r>
      <w:r w:rsidRPr="000E77D2">
        <w:rPr>
          <w:rFonts w:ascii="Times New Roman" w:hAnsi="Times New Roman"/>
          <w:spacing w:val="-4"/>
          <w:sz w:val="22"/>
          <w:szCs w:val="22"/>
          <w:lang w:val="sr-Latn-ME"/>
        </w:rPr>
        <w:t xml:space="preserve"> Aromasin prim</w:t>
      </w:r>
      <w:r w:rsidR="00CC1D6F" w:rsidRPr="000E77D2">
        <w:rPr>
          <w:rFonts w:ascii="Times New Roman" w:hAnsi="Times New Roman"/>
          <w:spacing w:val="-4"/>
          <w:sz w:val="22"/>
          <w:szCs w:val="22"/>
          <w:lang w:val="sr-Latn-ME"/>
        </w:rPr>
        <w:t>j</w:t>
      </w:r>
      <w:r w:rsidRPr="000E77D2">
        <w:rPr>
          <w:rFonts w:ascii="Times New Roman" w:hAnsi="Times New Roman"/>
          <w:spacing w:val="-4"/>
          <w:sz w:val="22"/>
          <w:szCs w:val="22"/>
          <w:lang w:val="sr-Latn-ME"/>
        </w:rPr>
        <w:t>enjivan u dnevnoj dozi od 25 mg</w:t>
      </w:r>
      <w:r w:rsidRPr="000E77D2">
        <w:rPr>
          <w:rFonts w:ascii="Times New Roman" w:hAnsi="Times New Roman"/>
          <w:sz w:val="22"/>
          <w:szCs w:val="22"/>
          <w:lang w:val="sr-Latn-ME"/>
        </w:rPr>
        <w:t xml:space="preserve"> je pokazao statistički značajno produženje vremena preživljavanja, vremena do ponovne progresije bolesti i vremena do pojave izostanka terapijskog dejstva l</w:t>
      </w:r>
      <w:r w:rsidR="00A423CB" w:rsidRPr="000E77D2">
        <w:rPr>
          <w:rFonts w:ascii="Times New Roman" w:hAnsi="Times New Roman"/>
          <w:sz w:val="22"/>
          <w:szCs w:val="22"/>
          <w:lang w:val="sr-Latn-ME"/>
        </w:rPr>
        <w:t>ij</w:t>
      </w:r>
      <w:r w:rsidRPr="000E77D2">
        <w:rPr>
          <w:rFonts w:ascii="Times New Roman" w:hAnsi="Times New Roman"/>
          <w:sz w:val="22"/>
          <w:szCs w:val="22"/>
          <w:lang w:val="sr-Latn-ME"/>
        </w:rPr>
        <w:t xml:space="preserve">eka u odnosu na standardnu </w:t>
      </w:r>
      <w:r w:rsidR="00A423CB" w:rsidRPr="000E77D2">
        <w:rPr>
          <w:rFonts w:ascii="Times New Roman" w:hAnsi="Times New Roman"/>
          <w:sz w:val="22"/>
          <w:szCs w:val="22"/>
          <w:lang w:val="sr-Latn-ME"/>
        </w:rPr>
        <w:t xml:space="preserve">hormonsku terapiju sa megestrol </w:t>
      </w:r>
      <w:r w:rsidRPr="000E77D2">
        <w:rPr>
          <w:rFonts w:ascii="Times New Roman" w:hAnsi="Times New Roman"/>
          <w:sz w:val="22"/>
          <w:szCs w:val="22"/>
          <w:lang w:val="sr-Latn-ME"/>
        </w:rPr>
        <w:t>acetatom kod žena u postmenopauzi sa uznapredovalim karcinomom dojke, čija je bolest napredovala posl</w:t>
      </w:r>
      <w:r w:rsidR="00461873" w:rsidRPr="000E77D2">
        <w:rPr>
          <w:rFonts w:ascii="Times New Roman" w:hAnsi="Times New Roman"/>
          <w:sz w:val="22"/>
          <w:szCs w:val="22"/>
          <w:lang w:val="sr-Latn-ME"/>
        </w:rPr>
        <w:t>ij</w:t>
      </w:r>
      <w:r w:rsidRPr="000E77D2">
        <w:rPr>
          <w:rFonts w:ascii="Times New Roman" w:hAnsi="Times New Roman"/>
          <w:sz w:val="22"/>
          <w:szCs w:val="22"/>
          <w:lang w:val="sr-Latn-ME"/>
        </w:rPr>
        <w:t>e, ili u toku terapije tamoksifenom, bez obzira da li je on bio prim</w:t>
      </w:r>
      <w:r w:rsidR="00461873" w:rsidRPr="000E77D2">
        <w:rPr>
          <w:rFonts w:ascii="Times New Roman" w:hAnsi="Times New Roman"/>
          <w:sz w:val="22"/>
          <w:szCs w:val="22"/>
          <w:lang w:val="sr-Latn-ME"/>
        </w:rPr>
        <w:t>i</w:t>
      </w:r>
      <w:r w:rsidR="00A423CB" w:rsidRPr="000E77D2">
        <w:rPr>
          <w:rFonts w:ascii="Times New Roman" w:hAnsi="Times New Roman"/>
          <w:sz w:val="22"/>
          <w:szCs w:val="22"/>
          <w:lang w:val="sr-Latn-ME"/>
        </w:rPr>
        <w:t>j</w:t>
      </w:r>
      <w:r w:rsidRPr="000E77D2">
        <w:rPr>
          <w:rFonts w:ascii="Times New Roman" w:hAnsi="Times New Roman"/>
          <w:sz w:val="22"/>
          <w:szCs w:val="22"/>
          <w:lang w:val="sr-Latn-ME"/>
        </w:rPr>
        <w:t xml:space="preserve">enjen kao </w:t>
      </w:r>
      <w:r w:rsidR="00C0524C" w:rsidRPr="000E77D2">
        <w:rPr>
          <w:rFonts w:ascii="Times New Roman" w:hAnsi="Times New Roman"/>
          <w:sz w:val="22"/>
          <w:szCs w:val="22"/>
          <w:lang w:val="sr-Latn-ME"/>
        </w:rPr>
        <w:t>adjuvantn</w:t>
      </w:r>
      <w:r w:rsidR="003F0FE1" w:rsidRPr="000E77D2">
        <w:rPr>
          <w:rFonts w:ascii="Times New Roman" w:hAnsi="Times New Roman"/>
          <w:sz w:val="22"/>
          <w:szCs w:val="22"/>
          <w:lang w:val="sr-Latn-ME"/>
        </w:rPr>
        <w:t xml:space="preserve">a </w:t>
      </w:r>
      <w:r w:rsidRPr="000E77D2">
        <w:rPr>
          <w:rFonts w:ascii="Times New Roman" w:hAnsi="Times New Roman"/>
          <w:sz w:val="22"/>
          <w:szCs w:val="22"/>
          <w:lang w:val="sr-Latn-ME"/>
        </w:rPr>
        <w:t>terapija ili terapija prve linije u uznapredovaloj bolesti.</w:t>
      </w:r>
    </w:p>
    <w:p w14:paraId="43638640" w14:textId="77777777" w:rsidR="000450A4" w:rsidRPr="000E77D2" w:rsidRDefault="000450A4" w:rsidP="00BE6A13">
      <w:pPr>
        <w:rPr>
          <w:rFonts w:ascii="Times New Roman" w:hAnsi="Times New Roman"/>
          <w:color w:val="FF0000"/>
          <w:sz w:val="22"/>
          <w:szCs w:val="22"/>
          <w:lang w:val="sr-Latn-ME"/>
        </w:rPr>
      </w:pPr>
    </w:p>
    <w:p w14:paraId="5C220BAE" w14:textId="77777777" w:rsidR="000450A4" w:rsidRPr="000E77D2" w:rsidRDefault="000450A4" w:rsidP="00BE6A13">
      <w:pPr>
        <w:pStyle w:val="Header"/>
        <w:tabs>
          <w:tab w:val="clear" w:pos="4536"/>
          <w:tab w:val="clear" w:pos="9072"/>
          <w:tab w:val="left" w:pos="284"/>
        </w:tabs>
        <w:rPr>
          <w:rFonts w:ascii="Times New Roman" w:hAnsi="Times New Roman"/>
          <w:b/>
          <w:bCs/>
          <w:sz w:val="22"/>
          <w:szCs w:val="22"/>
          <w:lang w:val="sr-Latn-ME"/>
        </w:rPr>
      </w:pPr>
      <w:r w:rsidRPr="000E77D2">
        <w:rPr>
          <w:rFonts w:ascii="Times New Roman" w:hAnsi="Times New Roman"/>
          <w:b/>
          <w:bCs/>
          <w:sz w:val="22"/>
          <w:szCs w:val="22"/>
          <w:lang w:val="sr-Latn-ME"/>
        </w:rPr>
        <w:t>5.2. Farmakokinetički podaci</w:t>
      </w:r>
    </w:p>
    <w:p w14:paraId="21270886" w14:textId="77777777" w:rsidR="001F2D8A" w:rsidRPr="000E77D2" w:rsidRDefault="001F2D8A" w:rsidP="00BE6A13">
      <w:pPr>
        <w:pStyle w:val="Header"/>
        <w:tabs>
          <w:tab w:val="clear" w:pos="4536"/>
          <w:tab w:val="clear" w:pos="9072"/>
          <w:tab w:val="left" w:pos="284"/>
        </w:tabs>
        <w:rPr>
          <w:rFonts w:ascii="Times New Roman" w:hAnsi="Times New Roman"/>
          <w:b/>
          <w:bCs/>
          <w:color w:val="FF0000"/>
          <w:sz w:val="22"/>
          <w:szCs w:val="22"/>
          <w:lang w:val="sr-Latn-ME"/>
        </w:rPr>
      </w:pPr>
    </w:p>
    <w:p w14:paraId="717ECF3F" w14:textId="77777777" w:rsidR="000450A4" w:rsidRPr="000E77D2" w:rsidRDefault="000450A4" w:rsidP="00BE6A13">
      <w:pPr>
        <w:rPr>
          <w:rFonts w:ascii="Times New Roman" w:hAnsi="Times New Roman"/>
          <w:sz w:val="22"/>
          <w:szCs w:val="22"/>
          <w:u w:val="single"/>
          <w:lang w:val="sr-Latn-ME"/>
        </w:rPr>
      </w:pPr>
      <w:r w:rsidRPr="000E77D2">
        <w:rPr>
          <w:rFonts w:ascii="Times New Roman" w:hAnsi="Times New Roman"/>
          <w:sz w:val="22"/>
          <w:szCs w:val="22"/>
          <w:u w:val="single"/>
          <w:lang w:val="sr-Latn-ME"/>
        </w:rPr>
        <w:t>Resorpcija</w:t>
      </w:r>
    </w:p>
    <w:p w14:paraId="28E1AA89" w14:textId="77777777" w:rsidR="000450A4" w:rsidRPr="000E77D2" w:rsidRDefault="000450A4" w:rsidP="00BE6A13">
      <w:pPr>
        <w:rPr>
          <w:rFonts w:ascii="Times New Roman" w:hAnsi="Times New Roman"/>
          <w:sz w:val="22"/>
          <w:szCs w:val="22"/>
          <w:lang w:val="sr-Latn-ME"/>
        </w:rPr>
      </w:pPr>
    </w:p>
    <w:p w14:paraId="74580CFA" w14:textId="19FB4CD2"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Posl</w:t>
      </w:r>
      <w:r w:rsidR="00461873" w:rsidRPr="000E77D2">
        <w:rPr>
          <w:rFonts w:ascii="Times New Roman" w:hAnsi="Times New Roman"/>
          <w:sz w:val="22"/>
          <w:szCs w:val="22"/>
          <w:lang w:val="sr-Latn-ME"/>
        </w:rPr>
        <w:t>ij</w:t>
      </w:r>
      <w:r w:rsidRPr="000E77D2">
        <w:rPr>
          <w:rFonts w:ascii="Times New Roman" w:hAnsi="Times New Roman"/>
          <w:sz w:val="22"/>
          <w:szCs w:val="22"/>
          <w:lang w:val="sr-Latn-ME"/>
        </w:rPr>
        <w:t>e oralne prim</w:t>
      </w:r>
      <w:r w:rsidR="00A423CB" w:rsidRPr="000E77D2">
        <w:rPr>
          <w:rFonts w:ascii="Times New Roman" w:hAnsi="Times New Roman"/>
          <w:sz w:val="22"/>
          <w:szCs w:val="22"/>
          <w:lang w:val="sr-Latn-ME"/>
        </w:rPr>
        <w:t>j</w:t>
      </w:r>
      <w:r w:rsidRPr="000E77D2">
        <w:rPr>
          <w:rFonts w:ascii="Times New Roman" w:hAnsi="Times New Roman"/>
          <w:sz w:val="22"/>
          <w:szCs w:val="22"/>
          <w:lang w:val="sr-Latn-ME"/>
        </w:rPr>
        <w:t>ene l</w:t>
      </w:r>
      <w:r w:rsidR="00A423CB" w:rsidRPr="000E77D2">
        <w:rPr>
          <w:rFonts w:ascii="Times New Roman" w:hAnsi="Times New Roman"/>
          <w:sz w:val="22"/>
          <w:szCs w:val="22"/>
          <w:lang w:val="sr-Latn-ME"/>
        </w:rPr>
        <w:t>ij</w:t>
      </w:r>
      <w:r w:rsidRPr="000E77D2">
        <w:rPr>
          <w:rFonts w:ascii="Times New Roman" w:hAnsi="Times New Roman"/>
          <w:sz w:val="22"/>
          <w:szCs w:val="22"/>
          <w:lang w:val="sr-Latn-ME"/>
        </w:rPr>
        <w:t>eka Aromasin, eksemestan se brzo resorbuje. Frakcija prim</w:t>
      </w:r>
      <w:r w:rsidR="00A423CB" w:rsidRPr="000E77D2">
        <w:rPr>
          <w:rFonts w:ascii="Times New Roman" w:hAnsi="Times New Roman"/>
          <w:sz w:val="22"/>
          <w:szCs w:val="22"/>
          <w:lang w:val="sr-Latn-ME"/>
        </w:rPr>
        <w:t>ij</w:t>
      </w:r>
      <w:r w:rsidRPr="000E77D2">
        <w:rPr>
          <w:rFonts w:ascii="Times New Roman" w:hAnsi="Times New Roman"/>
          <w:sz w:val="22"/>
          <w:szCs w:val="22"/>
          <w:lang w:val="sr-Latn-ME"/>
        </w:rPr>
        <w:t>enjene doze koja se resorbuje iz gastrointestinalnog trakta je velika. Nije poznato kolika je apsolutna biološka raspoloživost l</w:t>
      </w:r>
      <w:r w:rsidR="00A423CB" w:rsidRPr="000E77D2">
        <w:rPr>
          <w:rFonts w:ascii="Times New Roman" w:hAnsi="Times New Roman"/>
          <w:sz w:val="22"/>
          <w:szCs w:val="22"/>
          <w:lang w:val="sr-Latn-ME"/>
        </w:rPr>
        <w:t>ij</w:t>
      </w:r>
      <w:r w:rsidRPr="000E77D2">
        <w:rPr>
          <w:rFonts w:ascii="Times New Roman" w:hAnsi="Times New Roman"/>
          <w:sz w:val="22"/>
          <w:szCs w:val="22"/>
          <w:lang w:val="sr-Latn-ME"/>
        </w:rPr>
        <w:t>eka kod ljudi, iako se pretpostavlja da bi mogla biti ograničena ekstenzivnim metabolizmog prvog prolaska kroz jetru. Slični efekti su doveli do apsolutne biološke raspoloživosti l</w:t>
      </w:r>
      <w:r w:rsidR="00A423CB" w:rsidRPr="000E77D2">
        <w:rPr>
          <w:rFonts w:ascii="Times New Roman" w:hAnsi="Times New Roman"/>
          <w:sz w:val="22"/>
          <w:szCs w:val="22"/>
          <w:lang w:val="sr-Latn-ME"/>
        </w:rPr>
        <w:t>ij</w:t>
      </w:r>
      <w:r w:rsidRPr="000E77D2">
        <w:rPr>
          <w:rFonts w:ascii="Times New Roman" w:hAnsi="Times New Roman"/>
          <w:sz w:val="22"/>
          <w:szCs w:val="22"/>
          <w:lang w:val="sr-Latn-ME"/>
        </w:rPr>
        <w:t>eka kod pacova i pasa u iznosu od 5%. Posl</w:t>
      </w:r>
      <w:r w:rsidR="00461873" w:rsidRPr="000E77D2">
        <w:rPr>
          <w:rFonts w:ascii="Times New Roman" w:hAnsi="Times New Roman"/>
          <w:sz w:val="22"/>
          <w:szCs w:val="22"/>
          <w:lang w:val="sr-Latn-ME"/>
        </w:rPr>
        <w:t>ij</w:t>
      </w:r>
      <w:r w:rsidRPr="000E77D2">
        <w:rPr>
          <w:rFonts w:ascii="Times New Roman" w:hAnsi="Times New Roman"/>
          <w:sz w:val="22"/>
          <w:szCs w:val="22"/>
          <w:lang w:val="sr-Latn-ME"/>
        </w:rPr>
        <w:t>e prim</w:t>
      </w:r>
      <w:r w:rsidR="00A423CB" w:rsidRPr="000E77D2">
        <w:rPr>
          <w:rFonts w:ascii="Times New Roman" w:hAnsi="Times New Roman"/>
          <w:sz w:val="22"/>
          <w:szCs w:val="22"/>
          <w:lang w:val="sr-Latn-ME"/>
        </w:rPr>
        <w:t>j</w:t>
      </w:r>
      <w:r w:rsidRPr="000E77D2">
        <w:rPr>
          <w:rFonts w:ascii="Times New Roman" w:hAnsi="Times New Roman"/>
          <w:sz w:val="22"/>
          <w:szCs w:val="22"/>
          <w:lang w:val="sr-Latn-ME"/>
        </w:rPr>
        <w:t>ene pojedinačne doze od 25 mg maksimalna koncentracija l</w:t>
      </w:r>
      <w:r w:rsidR="00A423CB" w:rsidRPr="000E77D2">
        <w:rPr>
          <w:rFonts w:ascii="Times New Roman" w:hAnsi="Times New Roman"/>
          <w:sz w:val="22"/>
          <w:szCs w:val="22"/>
          <w:lang w:val="sr-Latn-ME"/>
        </w:rPr>
        <w:t>ij</w:t>
      </w:r>
      <w:r w:rsidRPr="000E77D2">
        <w:rPr>
          <w:rFonts w:ascii="Times New Roman" w:hAnsi="Times New Roman"/>
          <w:sz w:val="22"/>
          <w:szCs w:val="22"/>
          <w:lang w:val="sr-Latn-ME"/>
        </w:rPr>
        <w:t>eka u plazmi od 18 ng/m</w:t>
      </w:r>
      <w:r w:rsidR="00A423CB" w:rsidRPr="000E77D2">
        <w:rPr>
          <w:rFonts w:ascii="Times New Roman" w:hAnsi="Times New Roman"/>
          <w:sz w:val="22"/>
          <w:szCs w:val="22"/>
          <w:lang w:val="sr-Latn-ME"/>
        </w:rPr>
        <w:t>l</w:t>
      </w:r>
      <w:r w:rsidRPr="000E77D2">
        <w:rPr>
          <w:rFonts w:ascii="Times New Roman" w:hAnsi="Times New Roman"/>
          <w:sz w:val="22"/>
          <w:szCs w:val="22"/>
          <w:lang w:val="sr-Latn-ME"/>
        </w:rPr>
        <w:t xml:space="preserve"> se postiže posle dva sata. Istovremena prim</w:t>
      </w:r>
      <w:r w:rsidR="00A423CB" w:rsidRPr="000E77D2">
        <w:rPr>
          <w:rFonts w:ascii="Times New Roman" w:hAnsi="Times New Roman"/>
          <w:sz w:val="22"/>
          <w:szCs w:val="22"/>
          <w:lang w:val="sr-Latn-ME"/>
        </w:rPr>
        <w:t>j</w:t>
      </w:r>
      <w:r w:rsidRPr="000E77D2">
        <w:rPr>
          <w:rFonts w:ascii="Times New Roman" w:hAnsi="Times New Roman"/>
          <w:sz w:val="22"/>
          <w:szCs w:val="22"/>
          <w:lang w:val="sr-Latn-ME"/>
        </w:rPr>
        <w:t>ena l</w:t>
      </w:r>
      <w:r w:rsidR="00A423CB" w:rsidRPr="000E77D2">
        <w:rPr>
          <w:rFonts w:ascii="Times New Roman" w:hAnsi="Times New Roman"/>
          <w:sz w:val="22"/>
          <w:szCs w:val="22"/>
          <w:lang w:val="sr-Latn-ME"/>
        </w:rPr>
        <w:t>ij</w:t>
      </w:r>
      <w:r w:rsidRPr="000E77D2">
        <w:rPr>
          <w:rFonts w:ascii="Times New Roman" w:hAnsi="Times New Roman"/>
          <w:sz w:val="22"/>
          <w:szCs w:val="22"/>
          <w:lang w:val="sr-Latn-ME"/>
        </w:rPr>
        <w:t>eka sa hranom povećava biološku raspoloživost za 40%.</w:t>
      </w:r>
    </w:p>
    <w:p w14:paraId="70F6D066" w14:textId="77777777" w:rsidR="000450A4" w:rsidRPr="000E77D2" w:rsidRDefault="000450A4" w:rsidP="00BE6A13">
      <w:pPr>
        <w:rPr>
          <w:rFonts w:ascii="Times New Roman" w:hAnsi="Times New Roman"/>
          <w:sz w:val="22"/>
          <w:szCs w:val="22"/>
          <w:lang w:val="sr-Latn-ME"/>
        </w:rPr>
      </w:pPr>
    </w:p>
    <w:p w14:paraId="47A5C361" w14:textId="77777777" w:rsidR="000450A4" w:rsidRPr="000E77D2" w:rsidRDefault="000450A4" w:rsidP="00BE6A13">
      <w:pPr>
        <w:rPr>
          <w:rFonts w:ascii="Times New Roman" w:hAnsi="Times New Roman"/>
          <w:sz w:val="22"/>
          <w:szCs w:val="22"/>
          <w:u w:val="single"/>
          <w:lang w:val="sr-Latn-ME"/>
        </w:rPr>
      </w:pPr>
      <w:r w:rsidRPr="000E77D2">
        <w:rPr>
          <w:rFonts w:ascii="Times New Roman" w:hAnsi="Times New Roman"/>
          <w:sz w:val="22"/>
          <w:szCs w:val="22"/>
          <w:u w:val="single"/>
          <w:lang w:val="sr-Latn-ME"/>
        </w:rPr>
        <w:t>Distribucija</w:t>
      </w:r>
    </w:p>
    <w:p w14:paraId="3D45307D" w14:textId="77777777" w:rsidR="000450A4" w:rsidRPr="000E77D2" w:rsidRDefault="000450A4" w:rsidP="00BE6A13">
      <w:pPr>
        <w:rPr>
          <w:rFonts w:ascii="Times New Roman" w:hAnsi="Times New Roman"/>
          <w:color w:val="FF0000"/>
          <w:sz w:val="22"/>
          <w:szCs w:val="22"/>
          <w:lang w:val="sr-Latn-ME"/>
        </w:rPr>
      </w:pPr>
    </w:p>
    <w:p w14:paraId="2261F37E" w14:textId="45473B30"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Volumen distribucije eksemestana, bez korekcije u odnosu na oralnu biološku raspoloživost, iznosi 20000</w:t>
      </w:r>
      <w:r w:rsidR="00EB7183" w:rsidRPr="000E77D2">
        <w:rPr>
          <w:rFonts w:ascii="Times New Roman" w:hAnsi="Times New Roman"/>
          <w:sz w:val="22"/>
          <w:szCs w:val="22"/>
          <w:lang w:val="sr-Latn-ME"/>
        </w:rPr>
        <w:t> </w:t>
      </w:r>
      <w:r w:rsidRPr="000E77D2">
        <w:rPr>
          <w:rFonts w:ascii="Times New Roman" w:hAnsi="Times New Roman"/>
          <w:sz w:val="22"/>
          <w:szCs w:val="22"/>
          <w:lang w:val="sr-Latn-ME"/>
        </w:rPr>
        <w:t>litara. Kinetika l</w:t>
      </w:r>
      <w:r w:rsidR="00A423CB" w:rsidRPr="000E77D2">
        <w:rPr>
          <w:rFonts w:ascii="Times New Roman" w:hAnsi="Times New Roman"/>
          <w:sz w:val="22"/>
          <w:szCs w:val="22"/>
          <w:lang w:val="sr-Latn-ME"/>
        </w:rPr>
        <w:t>ij</w:t>
      </w:r>
      <w:r w:rsidRPr="000E77D2">
        <w:rPr>
          <w:rFonts w:ascii="Times New Roman" w:hAnsi="Times New Roman"/>
          <w:sz w:val="22"/>
          <w:szCs w:val="22"/>
          <w:lang w:val="sr-Latn-ME"/>
        </w:rPr>
        <w:t>eka je linearnog karaktera i ukupno poluvr</w:t>
      </w:r>
      <w:r w:rsidR="00A423CB" w:rsidRPr="000E77D2">
        <w:rPr>
          <w:rFonts w:ascii="Times New Roman" w:hAnsi="Times New Roman"/>
          <w:sz w:val="22"/>
          <w:szCs w:val="22"/>
          <w:lang w:val="sr-Latn-ME"/>
        </w:rPr>
        <w:t>ij</w:t>
      </w:r>
      <w:r w:rsidRPr="000E77D2">
        <w:rPr>
          <w:rFonts w:ascii="Times New Roman" w:hAnsi="Times New Roman"/>
          <w:sz w:val="22"/>
          <w:szCs w:val="22"/>
          <w:lang w:val="sr-Latn-ME"/>
        </w:rPr>
        <w:t>eme eliminacije iznosi 24 h. Vezivanje l</w:t>
      </w:r>
      <w:r w:rsidR="00A423CB" w:rsidRPr="000E77D2">
        <w:rPr>
          <w:rFonts w:ascii="Times New Roman" w:hAnsi="Times New Roman"/>
          <w:sz w:val="22"/>
          <w:szCs w:val="22"/>
          <w:lang w:val="sr-Latn-ME"/>
        </w:rPr>
        <w:t>ij</w:t>
      </w:r>
      <w:r w:rsidRPr="000E77D2">
        <w:rPr>
          <w:rFonts w:ascii="Times New Roman" w:hAnsi="Times New Roman"/>
          <w:sz w:val="22"/>
          <w:szCs w:val="22"/>
          <w:lang w:val="sr-Latn-ME"/>
        </w:rPr>
        <w:t>eka za proteine plazme iznosi 90% i ne zavisi od njegove koncentracije. Eksemestan i njegovi metaboliti se ne vezuju za eritrocite.</w:t>
      </w:r>
    </w:p>
    <w:p w14:paraId="4F3D15A4" w14:textId="58B67482" w:rsidR="00141EE3" w:rsidRPr="000E77D2" w:rsidRDefault="00141EE3" w:rsidP="00BE6A13">
      <w:pPr>
        <w:rPr>
          <w:rFonts w:ascii="Times New Roman" w:hAnsi="Times New Roman"/>
          <w:sz w:val="22"/>
          <w:szCs w:val="22"/>
          <w:lang w:val="sr-Latn-ME"/>
        </w:rPr>
      </w:pPr>
    </w:p>
    <w:p w14:paraId="22C6F893" w14:textId="219948E5"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Posl</w:t>
      </w:r>
      <w:r w:rsidR="00461873" w:rsidRPr="000E77D2">
        <w:rPr>
          <w:rFonts w:ascii="Times New Roman" w:hAnsi="Times New Roman"/>
          <w:sz w:val="22"/>
          <w:szCs w:val="22"/>
          <w:lang w:val="sr-Latn-ME"/>
        </w:rPr>
        <w:t>ij</w:t>
      </w:r>
      <w:r w:rsidRPr="000E77D2">
        <w:rPr>
          <w:rFonts w:ascii="Times New Roman" w:hAnsi="Times New Roman"/>
          <w:sz w:val="22"/>
          <w:szCs w:val="22"/>
          <w:lang w:val="sr-Latn-ME"/>
        </w:rPr>
        <w:t>e prim</w:t>
      </w:r>
      <w:r w:rsidR="00A423CB" w:rsidRPr="000E77D2">
        <w:rPr>
          <w:rFonts w:ascii="Times New Roman" w:hAnsi="Times New Roman"/>
          <w:sz w:val="22"/>
          <w:szCs w:val="22"/>
          <w:lang w:val="sr-Latn-ME"/>
        </w:rPr>
        <w:t>j</w:t>
      </w:r>
      <w:r w:rsidRPr="000E77D2">
        <w:rPr>
          <w:rFonts w:ascii="Times New Roman" w:hAnsi="Times New Roman"/>
          <w:sz w:val="22"/>
          <w:szCs w:val="22"/>
          <w:lang w:val="sr-Latn-ME"/>
        </w:rPr>
        <w:t>ene ponovljenih doza ne dolazi do pojave neočekivane akumulacije eksemestana.</w:t>
      </w:r>
    </w:p>
    <w:p w14:paraId="463AE409" w14:textId="77777777" w:rsidR="000450A4" w:rsidRPr="000E77D2" w:rsidRDefault="000450A4" w:rsidP="00BE6A13">
      <w:pPr>
        <w:rPr>
          <w:rFonts w:ascii="Times New Roman" w:hAnsi="Times New Roman"/>
          <w:sz w:val="22"/>
          <w:szCs w:val="22"/>
          <w:lang w:val="sr-Latn-ME"/>
        </w:rPr>
      </w:pPr>
    </w:p>
    <w:p w14:paraId="5C4B15CB" w14:textId="77777777" w:rsidR="000450A4" w:rsidRPr="000E77D2" w:rsidRDefault="000450A4" w:rsidP="00BE6A13">
      <w:pPr>
        <w:rPr>
          <w:rFonts w:ascii="Times New Roman" w:hAnsi="Times New Roman"/>
          <w:b/>
          <w:sz w:val="22"/>
          <w:szCs w:val="22"/>
          <w:lang w:val="sr-Latn-ME"/>
        </w:rPr>
      </w:pPr>
      <w:r w:rsidRPr="000E77D2">
        <w:rPr>
          <w:rFonts w:ascii="Times New Roman" w:hAnsi="Times New Roman"/>
          <w:sz w:val="22"/>
          <w:szCs w:val="22"/>
          <w:u w:val="single"/>
          <w:lang w:val="sr-Latn-ME"/>
        </w:rPr>
        <w:t>Eliminacija</w:t>
      </w:r>
    </w:p>
    <w:p w14:paraId="478FF57F" w14:textId="77777777" w:rsidR="000450A4" w:rsidRPr="000E77D2" w:rsidRDefault="000450A4" w:rsidP="00BE6A13">
      <w:pPr>
        <w:rPr>
          <w:rFonts w:ascii="Times New Roman" w:hAnsi="Times New Roman"/>
          <w:sz w:val="22"/>
          <w:szCs w:val="22"/>
          <w:lang w:val="sr-Latn-ME"/>
        </w:rPr>
      </w:pPr>
    </w:p>
    <w:p w14:paraId="4E1644E1" w14:textId="2712A07A"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Eksemestan se metaboliše oksidacijom njegovog metilenskog ostatka na poziciji broj 6 preko CYP 3A4 izoenzima i/ili redukcijom 17-keto grupe dejstvom aldoketoreduktaze, posle čega sl</w:t>
      </w:r>
      <w:r w:rsidR="00A423CB" w:rsidRPr="000E77D2">
        <w:rPr>
          <w:rFonts w:ascii="Times New Roman" w:hAnsi="Times New Roman"/>
          <w:sz w:val="22"/>
          <w:szCs w:val="22"/>
          <w:lang w:val="sr-Latn-ME"/>
        </w:rPr>
        <w:t>ij</w:t>
      </w:r>
      <w:r w:rsidRPr="000E77D2">
        <w:rPr>
          <w:rFonts w:ascii="Times New Roman" w:hAnsi="Times New Roman"/>
          <w:sz w:val="22"/>
          <w:szCs w:val="22"/>
          <w:lang w:val="sr-Latn-ME"/>
        </w:rPr>
        <w:t xml:space="preserve">edi konjugacija. Klirens eksemestana, bez korekcije u odnosu na oralnu biološku raspoloživost, iznosi 500 </w:t>
      </w:r>
      <w:r w:rsidR="00461873" w:rsidRPr="000E77D2">
        <w:rPr>
          <w:rFonts w:ascii="Times New Roman" w:hAnsi="Times New Roman"/>
          <w:sz w:val="22"/>
          <w:szCs w:val="22"/>
          <w:lang w:val="sr-Latn-ME"/>
        </w:rPr>
        <w:t>l</w:t>
      </w:r>
      <w:r w:rsidRPr="000E77D2">
        <w:rPr>
          <w:rFonts w:ascii="Times New Roman" w:hAnsi="Times New Roman"/>
          <w:sz w:val="22"/>
          <w:szCs w:val="22"/>
          <w:lang w:val="sr-Latn-ME"/>
        </w:rPr>
        <w:t>/h.</w:t>
      </w:r>
      <w:r w:rsidR="002025A7" w:rsidRPr="000E77D2">
        <w:rPr>
          <w:rFonts w:ascii="Times New Roman" w:hAnsi="Times New Roman"/>
          <w:sz w:val="22"/>
          <w:szCs w:val="22"/>
          <w:lang w:val="sr-Latn-ME"/>
        </w:rPr>
        <w:t xml:space="preserve"> </w:t>
      </w:r>
      <w:r w:rsidRPr="000E77D2">
        <w:rPr>
          <w:rFonts w:ascii="Times New Roman" w:hAnsi="Times New Roman"/>
          <w:sz w:val="22"/>
          <w:szCs w:val="22"/>
          <w:lang w:val="sr-Latn-ME"/>
        </w:rPr>
        <w:t>Metaboliti su inaktivni ili inhibiraju aromatazu u manjoj m</w:t>
      </w:r>
      <w:r w:rsidR="00A423CB" w:rsidRPr="000E77D2">
        <w:rPr>
          <w:rFonts w:ascii="Times New Roman" w:hAnsi="Times New Roman"/>
          <w:sz w:val="22"/>
          <w:szCs w:val="22"/>
          <w:lang w:val="sr-Latn-ME"/>
        </w:rPr>
        <w:t>j</w:t>
      </w:r>
      <w:r w:rsidRPr="000E77D2">
        <w:rPr>
          <w:rFonts w:ascii="Times New Roman" w:hAnsi="Times New Roman"/>
          <w:sz w:val="22"/>
          <w:szCs w:val="22"/>
          <w:lang w:val="sr-Latn-ME"/>
        </w:rPr>
        <w:t>eri u odnosu na osnovnu supstancu.</w:t>
      </w:r>
      <w:r w:rsidR="002025A7" w:rsidRPr="000E77D2">
        <w:rPr>
          <w:rFonts w:ascii="Times New Roman" w:hAnsi="Times New Roman"/>
          <w:sz w:val="22"/>
          <w:szCs w:val="22"/>
          <w:lang w:val="sr-Latn-ME"/>
        </w:rPr>
        <w:t xml:space="preserve"> </w:t>
      </w:r>
      <w:r w:rsidRPr="000E77D2">
        <w:rPr>
          <w:rFonts w:ascii="Times New Roman" w:hAnsi="Times New Roman"/>
          <w:sz w:val="22"/>
          <w:szCs w:val="22"/>
          <w:lang w:val="sr-Latn-ME"/>
        </w:rPr>
        <w:t>Količina prim</w:t>
      </w:r>
      <w:r w:rsidR="00A423CB" w:rsidRPr="000E77D2">
        <w:rPr>
          <w:rFonts w:ascii="Times New Roman" w:hAnsi="Times New Roman"/>
          <w:sz w:val="22"/>
          <w:szCs w:val="22"/>
          <w:lang w:val="sr-Latn-ME"/>
        </w:rPr>
        <w:t>ij</w:t>
      </w:r>
      <w:r w:rsidRPr="000E77D2">
        <w:rPr>
          <w:rFonts w:ascii="Times New Roman" w:hAnsi="Times New Roman"/>
          <w:sz w:val="22"/>
          <w:szCs w:val="22"/>
          <w:lang w:val="sr-Latn-ME"/>
        </w:rPr>
        <w:t>enjene doze l</w:t>
      </w:r>
      <w:r w:rsidR="00A423CB" w:rsidRPr="000E77D2">
        <w:rPr>
          <w:rFonts w:ascii="Times New Roman" w:hAnsi="Times New Roman"/>
          <w:sz w:val="22"/>
          <w:szCs w:val="22"/>
          <w:lang w:val="sr-Latn-ME"/>
        </w:rPr>
        <w:t>ij</w:t>
      </w:r>
      <w:r w:rsidRPr="000E77D2">
        <w:rPr>
          <w:rFonts w:ascii="Times New Roman" w:hAnsi="Times New Roman"/>
          <w:sz w:val="22"/>
          <w:szCs w:val="22"/>
          <w:lang w:val="sr-Latn-ME"/>
        </w:rPr>
        <w:t>eka koja se u neprom</w:t>
      </w:r>
      <w:r w:rsidR="00A423CB" w:rsidRPr="000E77D2">
        <w:rPr>
          <w:rFonts w:ascii="Times New Roman" w:hAnsi="Times New Roman"/>
          <w:sz w:val="22"/>
          <w:szCs w:val="22"/>
          <w:lang w:val="sr-Latn-ME"/>
        </w:rPr>
        <w:t>ij</w:t>
      </w:r>
      <w:r w:rsidRPr="000E77D2">
        <w:rPr>
          <w:rFonts w:ascii="Times New Roman" w:hAnsi="Times New Roman"/>
          <w:sz w:val="22"/>
          <w:szCs w:val="22"/>
          <w:lang w:val="sr-Latn-ME"/>
        </w:rPr>
        <w:t xml:space="preserve">enjenom obliku izlučuje urinom iznosi 1%. Eliminacija </w:t>
      </w:r>
      <w:r w:rsidRPr="000E77D2">
        <w:rPr>
          <w:rFonts w:ascii="Times New Roman" w:hAnsi="Times New Roman"/>
          <w:sz w:val="22"/>
          <w:szCs w:val="22"/>
          <w:vertAlign w:val="superscript"/>
          <w:lang w:val="sr-Latn-ME"/>
        </w:rPr>
        <w:t>14</w:t>
      </w:r>
      <w:r w:rsidRPr="000E77D2">
        <w:rPr>
          <w:rFonts w:ascii="Times New Roman" w:hAnsi="Times New Roman"/>
          <w:sz w:val="22"/>
          <w:szCs w:val="22"/>
          <w:lang w:val="sr-Latn-ME"/>
        </w:rPr>
        <w:t>C-ob</w:t>
      </w:r>
      <w:r w:rsidR="00461873" w:rsidRPr="000E77D2">
        <w:rPr>
          <w:rFonts w:ascii="Times New Roman" w:hAnsi="Times New Roman"/>
          <w:sz w:val="22"/>
          <w:szCs w:val="22"/>
          <w:lang w:val="sr-Latn-ME"/>
        </w:rPr>
        <w:t>i</w:t>
      </w:r>
      <w:r w:rsidRPr="000E77D2">
        <w:rPr>
          <w:rFonts w:ascii="Times New Roman" w:hAnsi="Times New Roman"/>
          <w:sz w:val="22"/>
          <w:szCs w:val="22"/>
          <w:lang w:val="sr-Latn-ME"/>
        </w:rPr>
        <w:t>l</w:t>
      </w:r>
      <w:r w:rsidR="00461873" w:rsidRPr="000E77D2">
        <w:rPr>
          <w:rFonts w:ascii="Times New Roman" w:hAnsi="Times New Roman"/>
          <w:sz w:val="22"/>
          <w:szCs w:val="22"/>
          <w:lang w:val="sr-Latn-ME"/>
        </w:rPr>
        <w:t>j</w:t>
      </w:r>
      <w:r w:rsidRPr="000E77D2">
        <w:rPr>
          <w:rFonts w:ascii="Times New Roman" w:hAnsi="Times New Roman"/>
          <w:sz w:val="22"/>
          <w:szCs w:val="22"/>
          <w:lang w:val="sr-Latn-ME"/>
        </w:rPr>
        <w:t>eženog eksemestana posl</w:t>
      </w:r>
      <w:r w:rsidR="00461873" w:rsidRPr="000E77D2">
        <w:rPr>
          <w:rFonts w:ascii="Times New Roman" w:hAnsi="Times New Roman"/>
          <w:sz w:val="22"/>
          <w:szCs w:val="22"/>
          <w:lang w:val="sr-Latn-ME"/>
        </w:rPr>
        <w:t>ij</w:t>
      </w:r>
      <w:r w:rsidRPr="000E77D2">
        <w:rPr>
          <w:rFonts w:ascii="Times New Roman" w:hAnsi="Times New Roman"/>
          <w:sz w:val="22"/>
          <w:szCs w:val="22"/>
          <w:lang w:val="sr-Latn-ME"/>
        </w:rPr>
        <w:t>e jedne ned</w:t>
      </w:r>
      <w:r w:rsidR="00A423CB" w:rsidRPr="000E77D2">
        <w:rPr>
          <w:rFonts w:ascii="Times New Roman" w:hAnsi="Times New Roman"/>
          <w:sz w:val="22"/>
          <w:szCs w:val="22"/>
          <w:lang w:val="sr-Latn-ME"/>
        </w:rPr>
        <w:t>j</w:t>
      </w:r>
      <w:r w:rsidRPr="000E77D2">
        <w:rPr>
          <w:rFonts w:ascii="Times New Roman" w:hAnsi="Times New Roman"/>
          <w:sz w:val="22"/>
          <w:szCs w:val="22"/>
          <w:lang w:val="sr-Latn-ME"/>
        </w:rPr>
        <w:t>elje podjednaka je u urinu i fecesu (po 40%).</w:t>
      </w:r>
    </w:p>
    <w:p w14:paraId="625F781F" w14:textId="77777777" w:rsidR="000450A4" w:rsidRPr="000E77D2" w:rsidRDefault="000450A4" w:rsidP="00BE6A13">
      <w:pPr>
        <w:rPr>
          <w:rFonts w:ascii="Times New Roman" w:hAnsi="Times New Roman"/>
          <w:sz w:val="22"/>
          <w:szCs w:val="22"/>
          <w:u w:val="single"/>
          <w:lang w:val="sr-Latn-ME"/>
        </w:rPr>
      </w:pPr>
      <w:r w:rsidRPr="000E77D2">
        <w:rPr>
          <w:rFonts w:ascii="Times New Roman" w:hAnsi="Times New Roman"/>
          <w:sz w:val="22"/>
          <w:szCs w:val="22"/>
          <w:u w:val="single"/>
          <w:lang w:val="sr-Latn-ME"/>
        </w:rPr>
        <w:lastRenderedPageBreak/>
        <w:t>Posebne populacije</w:t>
      </w:r>
    </w:p>
    <w:p w14:paraId="03903587" w14:textId="77777777" w:rsidR="000450A4" w:rsidRPr="000E77D2" w:rsidRDefault="000450A4" w:rsidP="00BE6A13">
      <w:pPr>
        <w:rPr>
          <w:rFonts w:ascii="Times New Roman" w:hAnsi="Times New Roman"/>
          <w:b/>
          <w:sz w:val="22"/>
          <w:szCs w:val="22"/>
          <w:lang w:val="sr-Latn-ME"/>
        </w:rPr>
      </w:pPr>
    </w:p>
    <w:p w14:paraId="4E621D9C" w14:textId="77777777" w:rsidR="000450A4" w:rsidRPr="000E77D2" w:rsidRDefault="000450A4" w:rsidP="00BE6A13">
      <w:pPr>
        <w:rPr>
          <w:rFonts w:ascii="Times New Roman" w:hAnsi="Times New Roman"/>
          <w:b/>
          <w:sz w:val="22"/>
          <w:szCs w:val="22"/>
          <w:lang w:val="sr-Latn-ME"/>
        </w:rPr>
      </w:pPr>
      <w:r w:rsidRPr="000E77D2">
        <w:rPr>
          <w:rFonts w:ascii="Times New Roman" w:hAnsi="Times New Roman"/>
          <w:i/>
          <w:sz w:val="22"/>
          <w:szCs w:val="22"/>
          <w:lang w:val="sr-Latn-ME"/>
        </w:rPr>
        <w:t>Starosno doba</w:t>
      </w:r>
    </w:p>
    <w:p w14:paraId="2516D1E6" w14:textId="7FBB0C7E"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Nije zab</w:t>
      </w:r>
      <w:r w:rsidR="000A1FEF" w:rsidRPr="000E77D2">
        <w:rPr>
          <w:rFonts w:ascii="Times New Roman" w:hAnsi="Times New Roman"/>
          <w:sz w:val="22"/>
          <w:szCs w:val="22"/>
          <w:lang w:val="sr-Latn-ME"/>
        </w:rPr>
        <w:t>i</w:t>
      </w:r>
      <w:r w:rsidRPr="000E77D2">
        <w:rPr>
          <w:rFonts w:ascii="Times New Roman" w:hAnsi="Times New Roman"/>
          <w:sz w:val="22"/>
          <w:szCs w:val="22"/>
          <w:lang w:val="sr-Latn-ME"/>
        </w:rPr>
        <w:t>ležena značajna korelacija između sistemske prim</w:t>
      </w:r>
      <w:r w:rsidR="000A1FEF" w:rsidRPr="000E77D2">
        <w:rPr>
          <w:rFonts w:ascii="Times New Roman" w:hAnsi="Times New Roman"/>
          <w:sz w:val="22"/>
          <w:szCs w:val="22"/>
          <w:lang w:val="sr-Latn-ME"/>
        </w:rPr>
        <w:t>j</w:t>
      </w:r>
      <w:r w:rsidRPr="000E77D2">
        <w:rPr>
          <w:rFonts w:ascii="Times New Roman" w:hAnsi="Times New Roman"/>
          <w:sz w:val="22"/>
          <w:szCs w:val="22"/>
          <w:lang w:val="sr-Latn-ME"/>
        </w:rPr>
        <w:t>ene l</w:t>
      </w:r>
      <w:r w:rsidR="000A1FEF" w:rsidRPr="000E77D2">
        <w:rPr>
          <w:rFonts w:ascii="Times New Roman" w:hAnsi="Times New Roman"/>
          <w:sz w:val="22"/>
          <w:szCs w:val="22"/>
          <w:lang w:val="sr-Latn-ME"/>
        </w:rPr>
        <w:t>ij</w:t>
      </w:r>
      <w:r w:rsidRPr="000E77D2">
        <w:rPr>
          <w:rFonts w:ascii="Times New Roman" w:hAnsi="Times New Roman"/>
          <w:sz w:val="22"/>
          <w:szCs w:val="22"/>
          <w:lang w:val="sr-Latn-ME"/>
        </w:rPr>
        <w:t>eka Aromasin i starosne dobi pacijentkinja.</w:t>
      </w:r>
    </w:p>
    <w:p w14:paraId="777F316E" w14:textId="77777777" w:rsidR="000450A4" w:rsidRPr="000E77D2" w:rsidRDefault="000450A4" w:rsidP="00BE6A13">
      <w:pPr>
        <w:rPr>
          <w:rFonts w:ascii="Times New Roman" w:hAnsi="Times New Roman"/>
          <w:b/>
          <w:sz w:val="22"/>
          <w:szCs w:val="22"/>
          <w:lang w:val="sr-Latn-ME"/>
        </w:rPr>
      </w:pPr>
    </w:p>
    <w:p w14:paraId="659830BC" w14:textId="45DB3F53" w:rsidR="000450A4" w:rsidRPr="000E77D2" w:rsidRDefault="000450A4" w:rsidP="00BE6A13">
      <w:pPr>
        <w:rPr>
          <w:rFonts w:ascii="Times New Roman" w:hAnsi="Times New Roman"/>
          <w:b/>
          <w:sz w:val="22"/>
          <w:szCs w:val="22"/>
          <w:lang w:val="sr-Latn-ME"/>
        </w:rPr>
      </w:pPr>
      <w:r w:rsidRPr="000E77D2">
        <w:rPr>
          <w:rFonts w:ascii="Times New Roman" w:hAnsi="Times New Roman"/>
          <w:i/>
          <w:sz w:val="22"/>
          <w:szCs w:val="22"/>
          <w:lang w:val="sr-Latn-ME"/>
        </w:rPr>
        <w:t>Oštećenje</w:t>
      </w:r>
      <w:r w:rsidRPr="000E77D2">
        <w:rPr>
          <w:rFonts w:ascii="Times New Roman" w:hAnsi="Times New Roman"/>
          <w:b/>
          <w:sz w:val="22"/>
          <w:szCs w:val="22"/>
          <w:lang w:val="sr-Latn-ME"/>
        </w:rPr>
        <w:t xml:space="preserve"> </w:t>
      </w:r>
      <w:r w:rsidR="00EB7183" w:rsidRPr="000E77D2">
        <w:rPr>
          <w:rFonts w:ascii="Times New Roman" w:hAnsi="Times New Roman"/>
          <w:i/>
          <w:sz w:val="22"/>
          <w:szCs w:val="22"/>
          <w:lang w:val="sr-Latn-ME"/>
        </w:rPr>
        <w:t xml:space="preserve">funkcije </w:t>
      </w:r>
      <w:r w:rsidRPr="000E77D2">
        <w:rPr>
          <w:rFonts w:ascii="Times New Roman" w:hAnsi="Times New Roman"/>
          <w:i/>
          <w:sz w:val="22"/>
          <w:szCs w:val="22"/>
          <w:lang w:val="sr-Latn-ME"/>
        </w:rPr>
        <w:t>bubrega</w:t>
      </w:r>
    </w:p>
    <w:p w14:paraId="1A928C2B" w14:textId="07192F3E"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Kod pacijentkinja sa teškim oštećenjem funkcije bubrega (CL</w:t>
      </w:r>
      <w:r w:rsidRPr="000E77D2">
        <w:rPr>
          <w:rFonts w:ascii="Times New Roman" w:hAnsi="Times New Roman"/>
          <w:sz w:val="22"/>
          <w:szCs w:val="22"/>
          <w:vertAlign w:val="subscript"/>
          <w:lang w:val="sr-Latn-ME"/>
        </w:rPr>
        <w:t>cr</w:t>
      </w:r>
      <w:r w:rsidRPr="000E77D2">
        <w:rPr>
          <w:rFonts w:ascii="Times New Roman" w:hAnsi="Times New Roman"/>
          <w:sz w:val="22"/>
          <w:szCs w:val="22"/>
          <w:lang w:val="sr-Latn-ME"/>
        </w:rPr>
        <w:t xml:space="preserve"> &lt; 30 m</w:t>
      </w:r>
      <w:r w:rsidR="000A1FEF" w:rsidRPr="000E77D2">
        <w:rPr>
          <w:rFonts w:ascii="Times New Roman" w:hAnsi="Times New Roman"/>
          <w:sz w:val="22"/>
          <w:szCs w:val="22"/>
          <w:lang w:val="sr-Latn-ME"/>
        </w:rPr>
        <w:t>l</w:t>
      </w:r>
      <w:r w:rsidRPr="000E77D2">
        <w:rPr>
          <w:rFonts w:ascii="Times New Roman" w:hAnsi="Times New Roman"/>
          <w:sz w:val="22"/>
          <w:szCs w:val="22"/>
          <w:lang w:val="sr-Latn-ME"/>
        </w:rPr>
        <w:t>/min) zab</w:t>
      </w:r>
      <w:r w:rsidR="000A1FEF" w:rsidRPr="000E77D2">
        <w:rPr>
          <w:rFonts w:ascii="Times New Roman" w:hAnsi="Times New Roman"/>
          <w:sz w:val="22"/>
          <w:szCs w:val="22"/>
          <w:lang w:val="sr-Latn-ME"/>
        </w:rPr>
        <w:t>i</w:t>
      </w:r>
      <w:r w:rsidRPr="000E77D2">
        <w:rPr>
          <w:rFonts w:ascii="Times New Roman" w:hAnsi="Times New Roman"/>
          <w:sz w:val="22"/>
          <w:szCs w:val="22"/>
          <w:lang w:val="sr-Latn-ME"/>
        </w:rPr>
        <w:t>l</w:t>
      </w:r>
      <w:r w:rsidR="000A1FEF" w:rsidRPr="000E77D2">
        <w:rPr>
          <w:rFonts w:ascii="Times New Roman" w:hAnsi="Times New Roman"/>
          <w:sz w:val="22"/>
          <w:szCs w:val="22"/>
          <w:lang w:val="sr-Latn-ME"/>
        </w:rPr>
        <w:t>j</w:t>
      </w:r>
      <w:r w:rsidRPr="000E77D2">
        <w:rPr>
          <w:rFonts w:ascii="Times New Roman" w:hAnsi="Times New Roman"/>
          <w:sz w:val="22"/>
          <w:szCs w:val="22"/>
          <w:lang w:val="sr-Latn-ME"/>
        </w:rPr>
        <w:t xml:space="preserve">ežena je dvostruko veća sistemska </w:t>
      </w:r>
      <w:r w:rsidR="00EB7183" w:rsidRPr="000E77D2">
        <w:rPr>
          <w:rFonts w:ascii="Times New Roman" w:hAnsi="Times New Roman"/>
          <w:sz w:val="22"/>
          <w:szCs w:val="22"/>
          <w:lang w:val="sr-Latn-ME"/>
        </w:rPr>
        <w:t xml:space="preserve">izloženost </w:t>
      </w:r>
      <w:r w:rsidRPr="000E77D2">
        <w:rPr>
          <w:rFonts w:ascii="Times New Roman" w:hAnsi="Times New Roman"/>
          <w:sz w:val="22"/>
          <w:szCs w:val="22"/>
          <w:lang w:val="sr-Latn-ME"/>
        </w:rPr>
        <w:t>eksemestanu u odnosu na zdrave dobrovoljce.</w:t>
      </w:r>
    </w:p>
    <w:p w14:paraId="0318085E" w14:textId="692E5CB6"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Uzimajući u obzir bezb</w:t>
      </w:r>
      <w:r w:rsidR="000A1FEF" w:rsidRPr="000E77D2">
        <w:rPr>
          <w:rFonts w:ascii="Times New Roman" w:hAnsi="Times New Roman"/>
          <w:sz w:val="22"/>
          <w:szCs w:val="22"/>
          <w:lang w:val="sr-Latn-ME"/>
        </w:rPr>
        <w:t>j</w:t>
      </w:r>
      <w:r w:rsidRPr="000E77D2">
        <w:rPr>
          <w:rFonts w:ascii="Times New Roman" w:hAnsi="Times New Roman"/>
          <w:sz w:val="22"/>
          <w:szCs w:val="22"/>
          <w:lang w:val="sr-Latn-ME"/>
        </w:rPr>
        <w:t>ednosni profil eksemestana, dozu ne treba dodatno prilagođavati.</w:t>
      </w:r>
    </w:p>
    <w:p w14:paraId="4C05C135" w14:textId="77777777" w:rsidR="000450A4" w:rsidRPr="000E77D2" w:rsidRDefault="000450A4" w:rsidP="00BE6A13">
      <w:pPr>
        <w:rPr>
          <w:rFonts w:ascii="Times New Roman" w:hAnsi="Times New Roman"/>
          <w:b/>
          <w:sz w:val="22"/>
          <w:szCs w:val="22"/>
          <w:lang w:val="sr-Latn-ME"/>
        </w:rPr>
      </w:pPr>
    </w:p>
    <w:p w14:paraId="13D1FDE7" w14:textId="6C361A10" w:rsidR="000450A4" w:rsidRPr="000E77D2" w:rsidRDefault="000450A4" w:rsidP="00BE6A13">
      <w:pPr>
        <w:rPr>
          <w:rFonts w:ascii="Times New Roman" w:hAnsi="Times New Roman"/>
          <w:b/>
          <w:sz w:val="22"/>
          <w:szCs w:val="22"/>
          <w:lang w:val="sr-Latn-ME"/>
        </w:rPr>
      </w:pPr>
      <w:r w:rsidRPr="000E77D2">
        <w:rPr>
          <w:rFonts w:ascii="Times New Roman" w:hAnsi="Times New Roman"/>
          <w:i/>
          <w:sz w:val="22"/>
          <w:szCs w:val="22"/>
          <w:lang w:val="sr-Latn-ME"/>
        </w:rPr>
        <w:t>Oštećenje</w:t>
      </w:r>
      <w:r w:rsidRPr="000E77D2">
        <w:rPr>
          <w:rFonts w:ascii="Times New Roman" w:hAnsi="Times New Roman"/>
          <w:b/>
          <w:sz w:val="22"/>
          <w:szCs w:val="22"/>
          <w:lang w:val="sr-Latn-ME"/>
        </w:rPr>
        <w:t xml:space="preserve"> </w:t>
      </w:r>
      <w:r w:rsidR="00EB7183" w:rsidRPr="000E77D2">
        <w:rPr>
          <w:rFonts w:ascii="Times New Roman" w:hAnsi="Times New Roman"/>
          <w:i/>
          <w:sz w:val="22"/>
          <w:szCs w:val="22"/>
          <w:lang w:val="sr-Latn-ME"/>
        </w:rPr>
        <w:t>funkcije</w:t>
      </w:r>
      <w:r w:rsidR="00EB7183" w:rsidRPr="000E77D2">
        <w:rPr>
          <w:rFonts w:ascii="Times New Roman" w:hAnsi="Times New Roman"/>
          <w:b/>
          <w:sz w:val="22"/>
          <w:szCs w:val="22"/>
          <w:lang w:val="sr-Latn-ME"/>
        </w:rPr>
        <w:t xml:space="preserve"> </w:t>
      </w:r>
      <w:r w:rsidRPr="000E77D2">
        <w:rPr>
          <w:rFonts w:ascii="Times New Roman" w:hAnsi="Times New Roman"/>
          <w:i/>
          <w:sz w:val="22"/>
          <w:szCs w:val="22"/>
          <w:lang w:val="sr-Latn-ME"/>
        </w:rPr>
        <w:t>jetre</w:t>
      </w:r>
    </w:p>
    <w:p w14:paraId="7A0643C2" w14:textId="10A329E3" w:rsidR="000450A4" w:rsidRPr="000E77D2" w:rsidRDefault="000450A4" w:rsidP="00461873">
      <w:pPr>
        <w:pStyle w:val="Header"/>
        <w:tabs>
          <w:tab w:val="clear" w:pos="4536"/>
          <w:tab w:val="clear" w:pos="9072"/>
          <w:tab w:val="left" w:pos="284"/>
        </w:tabs>
        <w:rPr>
          <w:rFonts w:ascii="Times New Roman" w:hAnsi="Times New Roman"/>
          <w:sz w:val="22"/>
          <w:szCs w:val="22"/>
          <w:lang w:val="sr-Latn-ME"/>
        </w:rPr>
      </w:pPr>
      <w:r w:rsidRPr="000E77D2">
        <w:rPr>
          <w:rFonts w:ascii="Times New Roman" w:hAnsi="Times New Roman"/>
          <w:sz w:val="22"/>
          <w:szCs w:val="22"/>
          <w:lang w:val="sr-Latn-ME"/>
        </w:rPr>
        <w:t>Kod pacijentkinja sa um</w:t>
      </w:r>
      <w:r w:rsidR="000A1FEF" w:rsidRPr="000E77D2">
        <w:rPr>
          <w:rFonts w:ascii="Times New Roman" w:hAnsi="Times New Roman"/>
          <w:sz w:val="22"/>
          <w:szCs w:val="22"/>
          <w:lang w:val="sr-Latn-ME"/>
        </w:rPr>
        <w:t>j</w:t>
      </w:r>
      <w:r w:rsidRPr="000E77D2">
        <w:rPr>
          <w:rFonts w:ascii="Times New Roman" w:hAnsi="Times New Roman"/>
          <w:sz w:val="22"/>
          <w:szCs w:val="22"/>
          <w:lang w:val="sr-Latn-ME"/>
        </w:rPr>
        <w:t xml:space="preserve">erenim ili teškim oštećenjem funkcije jetre </w:t>
      </w:r>
      <w:r w:rsidR="00EB7183" w:rsidRPr="000E77D2">
        <w:rPr>
          <w:rFonts w:ascii="Times New Roman" w:hAnsi="Times New Roman"/>
          <w:sz w:val="22"/>
          <w:szCs w:val="22"/>
          <w:lang w:val="sr-Latn-ME"/>
        </w:rPr>
        <w:t xml:space="preserve">izloženost </w:t>
      </w:r>
      <w:r w:rsidRPr="000E77D2">
        <w:rPr>
          <w:rFonts w:ascii="Times New Roman" w:hAnsi="Times New Roman"/>
          <w:sz w:val="22"/>
          <w:szCs w:val="22"/>
          <w:lang w:val="sr-Latn-ME"/>
        </w:rPr>
        <w:t>eksemestanu je povećana za 2-3 puta u poređenju sa zdravim dobrovoljcima. Uzimajući u obzir bezb</w:t>
      </w:r>
      <w:r w:rsidR="000A1FEF" w:rsidRPr="000E77D2">
        <w:rPr>
          <w:rFonts w:ascii="Times New Roman" w:hAnsi="Times New Roman"/>
          <w:sz w:val="22"/>
          <w:szCs w:val="22"/>
          <w:lang w:val="sr-Latn-ME"/>
        </w:rPr>
        <w:t>j</w:t>
      </w:r>
      <w:r w:rsidRPr="000E77D2">
        <w:rPr>
          <w:rFonts w:ascii="Times New Roman" w:hAnsi="Times New Roman"/>
          <w:sz w:val="22"/>
          <w:szCs w:val="22"/>
          <w:lang w:val="sr-Latn-ME"/>
        </w:rPr>
        <w:t>ednosni profil eksemestana, dozu ne treba dodatno prilagođavati.</w:t>
      </w:r>
    </w:p>
    <w:p w14:paraId="5D625632" w14:textId="77777777" w:rsidR="000450A4" w:rsidRPr="000E77D2" w:rsidRDefault="000450A4" w:rsidP="00BE6A13">
      <w:pPr>
        <w:pStyle w:val="Header"/>
        <w:tabs>
          <w:tab w:val="clear" w:pos="4536"/>
          <w:tab w:val="clear" w:pos="9072"/>
          <w:tab w:val="left" w:pos="284"/>
        </w:tabs>
        <w:rPr>
          <w:rFonts w:ascii="Times New Roman" w:hAnsi="Times New Roman"/>
          <w:sz w:val="22"/>
          <w:szCs w:val="22"/>
          <w:lang w:val="sr-Latn-ME"/>
        </w:rPr>
      </w:pPr>
    </w:p>
    <w:p w14:paraId="2091AB96" w14:textId="005CE120" w:rsidR="000450A4" w:rsidRPr="000E77D2" w:rsidRDefault="000450A4" w:rsidP="00BE6A13">
      <w:pPr>
        <w:pStyle w:val="Header"/>
        <w:keepNext/>
        <w:tabs>
          <w:tab w:val="clear" w:pos="4536"/>
          <w:tab w:val="clear" w:pos="9072"/>
          <w:tab w:val="left" w:pos="284"/>
        </w:tabs>
        <w:rPr>
          <w:rFonts w:ascii="Times New Roman" w:hAnsi="Times New Roman"/>
          <w:b/>
          <w:bCs/>
          <w:sz w:val="22"/>
          <w:szCs w:val="22"/>
          <w:lang w:val="sr-Latn-ME"/>
        </w:rPr>
      </w:pPr>
      <w:r w:rsidRPr="000E77D2">
        <w:rPr>
          <w:rFonts w:ascii="Times New Roman" w:hAnsi="Times New Roman"/>
          <w:b/>
          <w:bCs/>
          <w:sz w:val="22"/>
          <w:szCs w:val="22"/>
          <w:lang w:val="sr-Latn-ME"/>
        </w:rPr>
        <w:t>5.3. Pretklinički podaci o bezb</w:t>
      </w:r>
      <w:r w:rsidR="00FB183F" w:rsidRPr="000E77D2">
        <w:rPr>
          <w:rFonts w:ascii="Times New Roman" w:hAnsi="Times New Roman"/>
          <w:b/>
          <w:bCs/>
          <w:sz w:val="22"/>
          <w:szCs w:val="22"/>
          <w:lang w:val="sr-Latn-ME"/>
        </w:rPr>
        <w:t>j</w:t>
      </w:r>
      <w:r w:rsidRPr="000E77D2">
        <w:rPr>
          <w:rFonts w:ascii="Times New Roman" w:hAnsi="Times New Roman"/>
          <w:b/>
          <w:bCs/>
          <w:sz w:val="22"/>
          <w:szCs w:val="22"/>
          <w:lang w:val="sr-Latn-ME"/>
        </w:rPr>
        <w:t xml:space="preserve">ednosti </w:t>
      </w:r>
    </w:p>
    <w:p w14:paraId="0F7050CB" w14:textId="77777777" w:rsidR="000450A4" w:rsidRPr="000E77D2" w:rsidRDefault="000450A4" w:rsidP="00BE6A13">
      <w:pPr>
        <w:rPr>
          <w:rFonts w:ascii="Times New Roman" w:hAnsi="Times New Roman"/>
          <w:color w:val="FF0000"/>
          <w:sz w:val="22"/>
          <w:szCs w:val="22"/>
          <w:u w:val="single"/>
          <w:lang w:val="sr-Latn-ME"/>
        </w:rPr>
      </w:pPr>
    </w:p>
    <w:p w14:paraId="62D8312B" w14:textId="77777777" w:rsidR="00B47FA0" w:rsidRPr="000E77D2" w:rsidRDefault="00B47FA0" w:rsidP="00BE6A13">
      <w:pPr>
        <w:rPr>
          <w:rFonts w:ascii="Times New Roman" w:hAnsi="Times New Roman"/>
          <w:sz w:val="22"/>
          <w:szCs w:val="22"/>
          <w:lang w:val="sr-Latn-ME"/>
        </w:rPr>
      </w:pPr>
      <w:r w:rsidRPr="000E77D2">
        <w:rPr>
          <w:rFonts w:ascii="Times New Roman" w:hAnsi="Times New Roman"/>
          <w:sz w:val="22"/>
          <w:szCs w:val="22"/>
          <w:u w:val="single"/>
          <w:lang w:val="sr-Latn-ME"/>
        </w:rPr>
        <w:t>Toksikološka ispitivanja</w:t>
      </w:r>
      <w:r w:rsidRPr="000E77D2">
        <w:rPr>
          <w:rFonts w:ascii="Times New Roman" w:hAnsi="Times New Roman"/>
          <w:sz w:val="22"/>
          <w:szCs w:val="22"/>
          <w:lang w:val="sr-Latn-ME"/>
        </w:rPr>
        <w:t xml:space="preserve"> </w:t>
      </w:r>
    </w:p>
    <w:p w14:paraId="1AE32C05" w14:textId="051CF2B9" w:rsidR="00B47FA0" w:rsidRPr="000E77D2" w:rsidRDefault="00B47FA0" w:rsidP="00BE6A13">
      <w:pPr>
        <w:rPr>
          <w:rFonts w:ascii="Times New Roman" w:hAnsi="Times New Roman"/>
          <w:sz w:val="22"/>
          <w:szCs w:val="22"/>
          <w:lang w:val="sr-Latn-ME"/>
        </w:rPr>
      </w:pPr>
    </w:p>
    <w:p w14:paraId="181C76CA" w14:textId="42985915" w:rsidR="00B47FA0" w:rsidRPr="000E77D2" w:rsidRDefault="00B47FA0" w:rsidP="00BE6A13">
      <w:pPr>
        <w:rPr>
          <w:rFonts w:ascii="Times New Roman" w:hAnsi="Times New Roman"/>
          <w:sz w:val="22"/>
          <w:szCs w:val="22"/>
          <w:lang w:val="sr-Latn-ME"/>
        </w:rPr>
      </w:pPr>
      <w:r w:rsidRPr="000E77D2">
        <w:rPr>
          <w:rFonts w:ascii="Times New Roman" w:hAnsi="Times New Roman"/>
          <w:sz w:val="22"/>
          <w:szCs w:val="22"/>
          <w:lang w:val="sr-Latn-ME"/>
        </w:rPr>
        <w:t>Efekti prim</w:t>
      </w:r>
      <w:r w:rsidR="000A1FEF" w:rsidRPr="000E77D2">
        <w:rPr>
          <w:rFonts w:ascii="Times New Roman" w:hAnsi="Times New Roman"/>
          <w:sz w:val="22"/>
          <w:szCs w:val="22"/>
          <w:lang w:val="sr-Latn-ME"/>
        </w:rPr>
        <w:t>j</w:t>
      </w:r>
      <w:r w:rsidRPr="000E77D2">
        <w:rPr>
          <w:rFonts w:ascii="Times New Roman" w:hAnsi="Times New Roman"/>
          <w:sz w:val="22"/>
          <w:szCs w:val="22"/>
          <w:lang w:val="sr-Latn-ME"/>
        </w:rPr>
        <w:t>ene ponovljenih doza su u toksikološkim studijama na pacovima i psima generalno bili posl</w:t>
      </w:r>
      <w:r w:rsidR="000A1FEF" w:rsidRPr="000E77D2">
        <w:rPr>
          <w:rFonts w:ascii="Times New Roman" w:hAnsi="Times New Roman"/>
          <w:sz w:val="22"/>
          <w:szCs w:val="22"/>
          <w:lang w:val="sr-Latn-ME"/>
        </w:rPr>
        <w:t>j</w:t>
      </w:r>
      <w:r w:rsidRPr="000E77D2">
        <w:rPr>
          <w:rFonts w:ascii="Times New Roman" w:hAnsi="Times New Roman"/>
          <w:sz w:val="22"/>
          <w:szCs w:val="22"/>
          <w:lang w:val="sr-Latn-ME"/>
        </w:rPr>
        <w:t>edica farmakološke aktivnosti eksemestana, kao što su npr. efekti na reproduktivne organe i organe udružene sa njihovom funkcijom. Ostali toksikološki efekti (na jetru, bubreg ili centralni nervni sistem) su zab</w:t>
      </w:r>
      <w:r w:rsidR="000A1FEF" w:rsidRPr="000E77D2">
        <w:rPr>
          <w:rFonts w:ascii="Times New Roman" w:hAnsi="Times New Roman"/>
          <w:sz w:val="22"/>
          <w:szCs w:val="22"/>
          <w:lang w:val="sr-Latn-ME"/>
        </w:rPr>
        <w:t>i</w:t>
      </w:r>
      <w:r w:rsidRPr="000E77D2">
        <w:rPr>
          <w:rFonts w:ascii="Times New Roman" w:hAnsi="Times New Roman"/>
          <w:sz w:val="22"/>
          <w:szCs w:val="22"/>
          <w:lang w:val="sr-Latn-ME"/>
        </w:rPr>
        <w:t>l</w:t>
      </w:r>
      <w:r w:rsidR="000A1FEF" w:rsidRPr="000E77D2">
        <w:rPr>
          <w:rFonts w:ascii="Times New Roman" w:hAnsi="Times New Roman"/>
          <w:sz w:val="22"/>
          <w:szCs w:val="22"/>
          <w:lang w:val="sr-Latn-ME"/>
        </w:rPr>
        <w:t>j</w:t>
      </w:r>
      <w:r w:rsidRPr="000E77D2">
        <w:rPr>
          <w:rFonts w:ascii="Times New Roman" w:hAnsi="Times New Roman"/>
          <w:sz w:val="22"/>
          <w:szCs w:val="22"/>
          <w:lang w:val="sr-Latn-ME"/>
        </w:rPr>
        <w:t>eženi isključivo prilikom izlaganja l</w:t>
      </w:r>
      <w:r w:rsidR="000A1FEF" w:rsidRPr="000E77D2">
        <w:rPr>
          <w:rFonts w:ascii="Times New Roman" w:hAnsi="Times New Roman"/>
          <w:sz w:val="22"/>
          <w:szCs w:val="22"/>
          <w:lang w:val="sr-Latn-ME"/>
        </w:rPr>
        <w:t>ij</w:t>
      </w:r>
      <w:r w:rsidRPr="000E77D2">
        <w:rPr>
          <w:rFonts w:ascii="Times New Roman" w:hAnsi="Times New Roman"/>
          <w:sz w:val="22"/>
          <w:szCs w:val="22"/>
          <w:lang w:val="sr-Latn-ME"/>
        </w:rPr>
        <w:t>eku za koje se smatra da u dovoljnoj m</w:t>
      </w:r>
      <w:r w:rsidR="000A1FEF" w:rsidRPr="000E77D2">
        <w:rPr>
          <w:rFonts w:ascii="Times New Roman" w:hAnsi="Times New Roman"/>
          <w:sz w:val="22"/>
          <w:szCs w:val="22"/>
          <w:lang w:val="sr-Latn-ME"/>
        </w:rPr>
        <w:t>j</w:t>
      </w:r>
      <w:r w:rsidRPr="000E77D2">
        <w:rPr>
          <w:rFonts w:ascii="Times New Roman" w:hAnsi="Times New Roman"/>
          <w:sz w:val="22"/>
          <w:szCs w:val="22"/>
          <w:lang w:val="sr-Latn-ME"/>
        </w:rPr>
        <w:t>eri prelazi maksimalnu izloženost kod ljudi, te je od malog značaja za kliničku upotrebu.</w:t>
      </w:r>
    </w:p>
    <w:p w14:paraId="1705D4FD" w14:textId="77777777" w:rsidR="00B47FA0" w:rsidRPr="000E77D2" w:rsidRDefault="00B47FA0" w:rsidP="00BE6A13">
      <w:pPr>
        <w:rPr>
          <w:rFonts w:ascii="Times New Roman" w:hAnsi="Times New Roman"/>
          <w:sz w:val="22"/>
          <w:szCs w:val="22"/>
          <w:lang w:val="sr-Latn-ME"/>
        </w:rPr>
      </w:pPr>
    </w:p>
    <w:p w14:paraId="55C8AAD3" w14:textId="77777777" w:rsidR="000450A4" w:rsidRPr="000E77D2" w:rsidRDefault="000450A4" w:rsidP="00BE6A13">
      <w:pPr>
        <w:rPr>
          <w:rFonts w:ascii="Times New Roman" w:hAnsi="Times New Roman"/>
          <w:b/>
          <w:sz w:val="22"/>
          <w:szCs w:val="22"/>
          <w:lang w:val="sr-Latn-ME"/>
        </w:rPr>
      </w:pPr>
      <w:r w:rsidRPr="000E77D2">
        <w:rPr>
          <w:rFonts w:ascii="Times New Roman" w:hAnsi="Times New Roman"/>
          <w:sz w:val="22"/>
          <w:szCs w:val="22"/>
          <w:u w:val="single"/>
          <w:lang w:val="sr-Latn-ME"/>
        </w:rPr>
        <w:t>Mutagenost</w:t>
      </w:r>
    </w:p>
    <w:p w14:paraId="0E4E5458" w14:textId="77777777" w:rsidR="000450A4" w:rsidRPr="000E77D2" w:rsidRDefault="000450A4" w:rsidP="00BE6A13">
      <w:pPr>
        <w:rPr>
          <w:rFonts w:ascii="Times New Roman" w:hAnsi="Times New Roman"/>
          <w:b/>
          <w:sz w:val="22"/>
          <w:szCs w:val="22"/>
          <w:lang w:val="sr-Latn-ME"/>
        </w:rPr>
      </w:pPr>
    </w:p>
    <w:p w14:paraId="09563416" w14:textId="3EBA15D0"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Eksemestan nije izazivao genetsku toksičnost kod bakterija (</w:t>
      </w:r>
      <w:r w:rsidRPr="000E77D2">
        <w:rPr>
          <w:rFonts w:ascii="Times New Roman" w:hAnsi="Times New Roman"/>
          <w:i/>
          <w:sz w:val="22"/>
          <w:szCs w:val="22"/>
          <w:lang w:val="sr-Latn-ME"/>
        </w:rPr>
        <w:t>Ames</w:t>
      </w:r>
      <w:r w:rsidR="00B47FA0" w:rsidRPr="000E77D2">
        <w:rPr>
          <w:rFonts w:ascii="Times New Roman" w:hAnsi="Times New Roman"/>
          <w:i/>
          <w:sz w:val="22"/>
          <w:szCs w:val="22"/>
          <w:lang w:val="sr-Latn-ME"/>
        </w:rPr>
        <w:t>-</w:t>
      </w:r>
      <w:r w:rsidR="00B47FA0" w:rsidRPr="000E77D2">
        <w:rPr>
          <w:rFonts w:ascii="Times New Roman" w:hAnsi="Times New Roman"/>
          <w:sz w:val="22"/>
          <w:szCs w:val="22"/>
          <w:lang w:val="sr-Latn-ME"/>
        </w:rPr>
        <w:t>ov</w:t>
      </w:r>
      <w:r w:rsidRPr="000E77D2">
        <w:rPr>
          <w:rFonts w:ascii="Times New Roman" w:hAnsi="Times New Roman"/>
          <w:sz w:val="22"/>
          <w:szCs w:val="22"/>
          <w:lang w:val="sr-Latn-ME"/>
        </w:rPr>
        <w:t xml:space="preserve"> test), kod ćelija V79 kineskog hrčka,</w:t>
      </w:r>
      <w:r w:rsidR="00141EE3" w:rsidRPr="000E77D2">
        <w:rPr>
          <w:rFonts w:ascii="Times New Roman" w:hAnsi="Times New Roman"/>
          <w:sz w:val="22"/>
          <w:szCs w:val="22"/>
          <w:lang w:val="sr-Latn-ME"/>
        </w:rPr>
        <w:t xml:space="preserve"> </w:t>
      </w:r>
      <w:r w:rsidRPr="000E77D2">
        <w:rPr>
          <w:rFonts w:ascii="Times New Roman" w:hAnsi="Times New Roman"/>
          <w:sz w:val="22"/>
          <w:szCs w:val="22"/>
          <w:lang w:val="sr-Latn-ME"/>
        </w:rPr>
        <w:t xml:space="preserve">hepatocita pacova ili u mikronukleusnom </w:t>
      </w:r>
      <w:r w:rsidR="00B47FA0" w:rsidRPr="000E77D2">
        <w:rPr>
          <w:rFonts w:ascii="Times New Roman" w:hAnsi="Times New Roman"/>
          <w:sz w:val="22"/>
          <w:szCs w:val="22"/>
          <w:lang w:val="sr-Latn-ME"/>
        </w:rPr>
        <w:t xml:space="preserve">testu </w:t>
      </w:r>
      <w:r w:rsidRPr="000E77D2">
        <w:rPr>
          <w:rFonts w:ascii="Times New Roman" w:hAnsi="Times New Roman"/>
          <w:sz w:val="22"/>
          <w:szCs w:val="22"/>
          <w:lang w:val="sr-Latn-ME"/>
        </w:rPr>
        <w:t xml:space="preserve">kod miševa. Iako je u </w:t>
      </w:r>
      <w:r w:rsidRPr="000E77D2">
        <w:rPr>
          <w:rFonts w:ascii="Times New Roman" w:hAnsi="Times New Roman"/>
          <w:i/>
          <w:sz w:val="22"/>
          <w:szCs w:val="22"/>
          <w:lang w:val="sr-Latn-ME"/>
        </w:rPr>
        <w:t>in vitro</w:t>
      </w:r>
      <w:r w:rsidRPr="000E77D2">
        <w:rPr>
          <w:rFonts w:ascii="Times New Roman" w:hAnsi="Times New Roman"/>
          <w:sz w:val="22"/>
          <w:szCs w:val="22"/>
          <w:lang w:val="sr-Latn-ME"/>
        </w:rPr>
        <w:t xml:space="preserve"> uslovima eksemestan kod limfocita imao klastogeni efek</w:t>
      </w:r>
      <w:r w:rsidR="00B47FA0" w:rsidRPr="000E77D2">
        <w:rPr>
          <w:rFonts w:ascii="Times New Roman" w:hAnsi="Times New Roman"/>
          <w:sz w:val="22"/>
          <w:szCs w:val="22"/>
          <w:lang w:val="sr-Latn-ME"/>
        </w:rPr>
        <w:t>a</w:t>
      </w:r>
      <w:r w:rsidRPr="000E77D2">
        <w:rPr>
          <w:rFonts w:ascii="Times New Roman" w:hAnsi="Times New Roman"/>
          <w:sz w:val="22"/>
          <w:szCs w:val="22"/>
          <w:lang w:val="sr-Latn-ME"/>
        </w:rPr>
        <w:t>t, ovaj nalaz se nije javio u dv</w:t>
      </w:r>
      <w:r w:rsidR="000A1FEF" w:rsidRPr="000E77D2">
        <w:rPr>
          <w:rFonts w:ascii="Times New Roman" w:hAnsi="Times New Roman"/>
          <w:sz w:val="22"/>
          <w:szCs w:val="22"/>
          <w:lang w:val="sr-Latn-ME"/>
        </w:rPr>
        <w:t>ij</w:t>
      </w:r>
      <w:r w:rsidRPr="000E77D2">
        <w:rPr>
          <w:rFonts w:ascii="Times New Roman" w:hAnsi="Times New Roman"/>
          <w:sz w:val="22"/>
          <w:szCs w:val="22"/>
          <w:lang w:val="sr-Latn-ME"/>
        </w:rPr>
        <w:t xml:space="preserve">e </w:t>
      </w:r>
      <w:r w:rsidRPr="000E77D2">
        <w:rPr>
          <w:rFonts w:ascii="Times New Roman" w:hAnsi="Times New Roman"/>
          <w:i/>
          <w:sz w:val="22"/>
          <w:szCs w:val="22"/>
          <w:lang w:val="sr-Latn-ME"/>
        </w:rPr>
        <w:t>in vivo</w:t>
      </w:r>
      <w:r w:rsidRPr="000E77D2">
        <w:rPr>
          <w:rFonts w:ascii="Times New Roman" w:hAnsi="Times New Roman"/>
          <w:sz w:val="22"/>
          <w:szCs w:val="22"/>
          <w:lang w:val="sr-Latn-ME"/>
        </w:rPr>
        <w:t xml:space="preserve"> studije.</w:t>
      </w:r>
    </w:p>
    <w:p w14:paraId="4B18E604" w14:textId="77777777" w:rsidR="000450A4" w:rsidRPr="000E77D2" w:rsidRDefault="000450A4" w:rsidP="00BE6A13">
      <w:pPr>
        <w:rPr>
          <w:rFonts w:ascii="Times New Roman" w:hAnsi="Times New Roman"/>
          <w:b/>
          <w:color w:val="FF0000"/>
          <w:sz w:val="22"/>
          <w:szCs w:val="22"/>
          <w:lang w:val="sr-Latn-ME"/>
        </w:rPr>
      </w:pPr>
    </w:p>
    <w:p w14:paraId="153CFFDF" w14:textId="77777777" w:rsidR="000450A4" w:rsidRPr="000E77D2" w:rsidRDefault="000450A4" w:rsidP="00BE6A13">
      <w:pPr>
        <w:rPr>
          <w:rFonts w:ascii="Times New Roman" w:hAnsi="Times New Roman"/>
          <w:b/>
          <w:sz w:val="22"/>
          <w:szCs w:val="22"/>
          <w:lang w:val="sr-Latn-ME"/>
        </w:rPr>
      </w:pPr>
      <w:r w:rsidRPr="000E77D2">
        <w:rPr>
          <w:rFonts w:ascii="Times New Roman" w:hAnsi="Times New Roman"/>
          <w:sz w:val="22"/>
          <w:szCs w:val="22"/>
          <w:u w:val="single"/>
          <w:lang w:val="sr-Latn-ME"/>
        </w:rPr>
        <w:t>Reproduktivna toksičnost</w:t>
      </w:r>
    </w:p>
    <w:p w14:paraId="6030CE60" w14:textId="77777777" w:rsidR="000450A4" w:rsidRPr="000E77D2" w:rsidRDefault="000450A4" w:rsidP="00BE6A13">
      <w:pPr>
        <w:rPr>
          <w:rFonts w:ascii="Times New Roman" w:hAnsi="Times New Roman"/>
          <w:b/>
          <w:sz w:val="22"/>
          <w:szCs w:val="22"/>
          <w:lang w:val="sr-Latn-ME"/>
        </w:rPr>
      </w:pPr>
    </w:p>
    <w:p w14:paraId="4B6A13D6" w14:textId="29A17ED0" w:rsidR="000450A4" w:rsidRPr="000E77D2" w:rsidRDefault="000450A4" w:rsidP="00BE6A13">
      <w:pPr>
        <w:rPr>
          <w:rFonts w:ascii="Times New Roman" w:hAnsi="Times New Roman"/>
          <w:sz w:val="22"/>
          <w:szCs w:val="22"/>
          <w:lang w:val="sr-Latn-ME"/>
        </w:rPr>
      </w:pPr>
      <w:r w:rsidRPr="000E77D2">
        <w:rPr>
          <w:rFonts w:ascii="Times New Roman" w:hAnsi="Times New Roman"/>
          <w:sz w:val="22"/>
          <w:szCs w:val="22"/>
          <w:lang w:val="sr-Latn-ME"/>
        </w:rPr>
        <w:t xml:space="preserve">Eksemestan je ispoljio embriotoksično dejstvo kod pacova i kunića posle sistemske </w:t>
      </w:r>
      <w:r w:rsidR="00B47FA0" w:rsidRPr="000E77D2">
        <w:rPr>
          <w:rFonts w:ascii="Times New Roman" w:hAnsi="Times New Roman"/>
          <w:sz w:val="22"/>
          <w:szCs w:val="22"/>
          <w:lang w:val="sr-Latn-ME"/>
        </w:rPr>
        <w:t>izloženosti l</w:t>
      </w:r>
      <w:r w:rsidR="000A1FEF" w:rsidRPr="000E77D2">
        <w:rPr>
          <w:rFonts w:ascii="Times New Roman" w:hAnsi="Times New Roman"/>
          <w:sz w:val="22"/>
          <w:szCs w:val="22"/>
          <w:lang w:val="sr-Latn-ME"/>
        </w:rPr>
        <w:t>ij</w:t>
      </w:r>
      <w:r w:rsidR="00B47FA0" w:rsidRPr="000E77D2">
        <w:rPr>
          <w:rFonts w:ascii="Times New Roman" w:hAnsi="Times New Roman"/>
          <w:sz w:val="22"/>
          <w:szCs w:val="22"/>
          <w:lang w:val="sr-Latn-ME"/>
        </w:rPr>
        <w:t xml:space="preserve">eku </w:t>
      </w:r>
      <w:r w:rsidRPr="000E77D2">
        <w:rPr>
          <w:rFonts w:ascii="Times New Roman" w:hAnsi="Times New Roman"/>
          <w:sz w:val="22"/>
          <w:szCs w:val="22"/>
          <w:lang w:val="sr-Latn-ME"/>
        </w:rPr>
        <w:t>koja je slična onoj zab</w:t>
      </w:r>
      <w:r w:rsidR="000A1FEF" w:rsidRPr="000E77D2">
        <w:rPr>
          <w:rFonts w:ascii="Times New Roman" w:hAnsi="Times New Roman"/>
          <w:sz w:val="22"/>
          <w:szCs w:val="22"/>
          <w:lang w:val="sr-Latn-ME"/>
        </w:rPr>
        <w:t>i</w:t>
      </w:r>
      <w:r w:rsidRPr="000E77D2">
        <w:rPr>
          <w:rFonts w:ascii="Times New Roman" w:hAnsi="Times New Roman"/>
          <w:sz w:val="22"/>
          <w:szCs w:val="22"/>
          <w:lang w:val="sr-Latn-ME"/>
        </w:rPr>
        <w:t>l</w:t>
      </w:r>
      <w:r w:rsidR="000A1FEF" w:rsidRPr="000E77D2">
        <w:rPr>
          <w:rFonts w:ascii="Times New Roman" w:hAnsi="Times New Roman"/>
          <w:sz w:val="22"/>
          <w:szCs w:val="22"/>
          <w:lang w:val="sr-Latn-ME"/>
        </w:rPr>
        <w:t>j</w:t>
      </w:r>
      <w:r w:rsidRPr="000E77D2">
        <w:rPr>
          <w:rFonts w:ascii="Times New Roman" w:hAnsi="Times New Roman"/>
          <w:sz w:val="22"/>
          <w:szCs w:val="22"/>
          <w:lang w:val="sr-Latn-ME"/>
        </w:rPr>
        <w:t>eženoj kod ljudi posle prim</w:t>
      </w:r>
      <w:r w:rsidR="00CC1D6F" w:rsidRPr="000E77D2">
        <w:rPr>
          <w:rFonts w:ascii="Times New Roman" w:hAnsi="Times New Roman"/>
          <w:sz w:val="22"/>
          <w:szCs w:val="22"/>
          <w:lang w:val="sr-Latn-ME"/>
        </w:rPr>
        <w:t>j</w:t>
      </w:r>
      <w:r w:rsidRPr="000E77D2">
        <w:rPr>
          <w:rFonts w:ascii="Times New Roman" w:hAnsi="Times New Roman"/>
          <w:sz w:val="22"/>
          <w:szCs w:val="22"/>
          <w:lang w:val="sr-Latn-ME"/>
        </w:rPr>
        <w:t>ene doze od 25 mg/dan. Nije bilo dokaza o teratogenosti.</w:t>
      </w:r>
    </w:p>
    <w:p w14:paraId="3F87E636" w14:textId="77777777" w:rsidR="000450A4" w:rsidRPr="000E77D2" w:rsidRDefault="000450A4" w:rsidP="00BE6A13">
      <w:pPr>
        <w:pStyle w:val="Header"/>
        <w:tabs>
          <w:tab w:val="clear" w:pos="4536"/>
          <w:tab w:val="clear" w:pos="9072"/>
          <w:tab w:val="left" w:pos="284"/>
        </w:tabs>
        <w:rPr>
          <w:rFonts w:ascii="Times New Roman" w:hAnsi="Times New Roman"/>
          <w:sz w:val="22"/>
          <w:szCs w:val="22"/>
          <w:lang w:val="sr-Latn-ME"/>
        </w:rPr>
      </w:pPr>
    </w:p>
    <w:p w14:paraId="5B978DEA" w14:textId="77777777" w:rsidR="000450A4" w:rsidRPr="000E77D2" w:rsidRDefault="00B47FA0" w:rsidP="00BE6A13">
      <w:pPr>
        <w:pStyle w:val="Header"/>
        <w:tabs>
          <w:tab w:val="clear" w:pos="4536"/>
          <w:tab w:val="clear" w:pos="9072"/>
          <w:tab w:val="left" w:pos="284"/>
        </w:tabs>
        <w:rPr>
          <w:rFonts w:ascii="Times New Roman" w:hAnsi="Times New Roman"/>
          <w:sz w:val="22"/>
          <w:szCs w:val="22"/>
          <w:lang w:val="sr-Latn-ME"/>
        </w:rPr>
      </w:pPr>
      <w:r w:rsidRPr="000E77D2">
        <w:rPr>
          <w:rFonts w:ascii="Times New Roman" w:hAnsi="Times New Roman"/>
          <w:sz w:val="22"/>
          <w:szCs w:val="22"/>
          <w:u w:val="single"/>
          <w:lang w:val="sr-Latn-ME"/>
        </w:rPr>
        <w:t>Karcinogenost</w:t>
      </w:r>
    </w:p>
    <w:p w14:paraId="602C4437" w14:textId="77777777" w:rsidR="000450A4" w:rsidRPr="000E77D2" w:rsidRDefault="000450A4" w:rsidP="00BE6A13">
      <w:pPr>
        <w:pStyle w:val="Header"/>
        <w:tabs>
          <w:tab w:val="clear" w:pos="4536"/>
          <w:tab w:val="clear" w:pos="9072"/>
          <w:tab w:val="left" w:pos="284"/>
        </w:tabs>
        <w:rPr>
          <w:rFonts w:ascii="Times New Roman" w:hAnsi="Times New Roman"/>
          <w:sz w:val="22"/>
          <w:szCs w:val="22"/>
          <w:lang w:val="sr-Latn-ME"/>
        </w:rPr>
      </w:pPr>
    </w:p>
    <w:p w14:paraId="1D41D5A3" w14:textId="5A578639" w:rsidR="000450A4" w:rsidRPr="000E77D2" w:rsidRDefault="000450A4" w:rsidP="00BE6A13">
      <w:pPr>
        <w:pStyle w:val="Header"/>
        <w:tabs>
          <w:tab w:val="clear" w:pos="4536"/>
          <w:tab w:val="clear" w:pos="9072"/>
          <w:tab w:val="left" w:pos="284"/>
        </w:tabs>
        <w:rPr>
          <w:rFonts w:ascii="Times New Roman" w:hAnsi="Times New Roman"/>
          <w:sz w:val="22"/>
          <w:szCs w:val="22"/>
          <w:lang w:val="sr-Latn-ME"/>
        </w:rPr>
      </w:pPr>
      <w:r w:rsidRPr="000E77D2">
        <w:rPr>
          <w:rFonts w:ascii="Times New Roman" w:hAnsi="Times New Roman"/>
          <w:sz w:val="22"/>
          <w:szCs w:val="22"/>
          <w:lang w:val="sr-Latn-ME"/>
        </w:rPr>
        <w:t>U dvogodišnjem ispitivanju ka</w:t>
      </w:r>
      <w:r w:rsidR="00B47FA0" w:rsidRPr="000E77D2">
        <w:rPr>
          <w:rFonts w:ascii="Times New Roman" w:hAnsi="Times New Roman"/>
          <w:sz w:val="22"/>
          <w:szCs w:val="22"/>
          <w:lang w:val="sr-Latn-ME"/>
        </w:rPr>
        <w:t>rcin</w:t>
      </w:r>
      <w:r w:rsidRPr="000E77D2">
        <w:rPr>
          <w:rFonts w:ascii="Times New Roman" w:hAnsi="Times New Roman"/>
          <w:sz w:val="22"/>
          <w:szCs w:val="22"/>
          <w:lang w:val="sr-Latn-ME"/>
        </w:rPr>
        <w:t>ogenosti kod ženki pacova zab</w:t>
      </w:r>
      <w:r w:rsidR="000A1FEF" w:rsidRPr="000E77D2">
        <w:rPr>
          <w:rFonts w:ascii="Times New Roman" w:hAnsi="Times New Roman"/>
          <w:sz w:val="22"/>
          <w:szCs w:val="22"/>
          <w:lang w:val="sr-Latn-ME"/>
        </w:rPr>
        <w:t>i</w:t>
      </w:r>
      <w:r w:rsidRPr="000E77D2">
        <w:rPr>
          <w:rFonts w:ascii="Times New Roman" w:hAnsi="Times New Roman"/>
          <w:sz w:val="22"/>
          <w:szCs w:val="22"/>
          <w:lang w:val="sr-Latn-ME"/>
        </w:rPr>
        <w:t>l</w:t>
      </w:r>
      <w:r w:rsidR="000A1FEF" w:rsidRPr="000E77D2">
        <w:rPr>
          <w:rFonts w:ascii="Times New Roman" w:hAnsi="Times New Roman"/>
          <w:sz w:val="22"/>
          <w:szCs w:val="22"/>
          <w:lang w:val="sr-Latn-ME"/>
        </w:rPr>
        <w:t>j</w:t>
      </w:r>
      <w:r w:rsidRPr="000E77D2">
        <w:rPr>
          <w:rFonts w:ascii="Times New Roman" w:hAnsi="Times New Roman"/>
          <w:sz w:val="22"/>
          <w:szCs w:val="22"/>
          <w:lang w:val="sr-Latn-ME"/>
        </w:rPr>
        <w:t>ežena je pojava tumora koji ni</w:t>
      </w:r>
      <w:r w:rsidR="00461873" w:rsidRPr="000E77D2">
        <w:rPr>
          <w:rFonts w:ascii="Times New Roman" w:hAnsi="Times New Roman"/>
          <w:sz w:val="22"/>
          <w:szCs w:val="22"/>
          <w:lang w:val="sr-Latn-ME"/>
        </w:rPr>
        <w:t>je</w:t>
      </w:r>
      <w:r w:rsidRPr="000E77D2">
        <w:rPr>
          <w:rFonts w:ascii="Times New Roman" w:hAnsi="Times New Roman"/>
          <w:sz w:val="22"/>
          <w:szCs w:val="22"/>
          <w:lang w:val="sr-Latn-ME"/>
        </w:rPr>
        <w:t>su bili u vezi sa prim</w:t>
      </w:r>
      <w:r w:rsidR="000A1FEF" w:rsidRPr="000E77D2">
        <w:rPr>
          <w:rFonts w:ascii="Times New Roman" w:hAnsi="Times New Roman"/>
          <w:sz w:val="22"/>
          <w:szCs w:val="22"/>
          <w:lang w:val="sr-Latn-ME"/>
        </w:rPr>
        <w:t>ij</w:t>
      </w:r>
      <w:r w:rsidRPr="000E77D2">
        <w:rPr>
          <w:rFonts w:ascii="Times New Roman" w:hAnsi="Times New Roman"/>
          <w:sz w:val="22"/>
          <w:szCs w:val="22"/>
          <w:lang w:val="sr-Latn-ME"/>
        </w:rPr>
        <w:t>enjenom terapijom. Kod mužjaka pacova studija je prekinuta u devedeset drugoj ned</w:t>
      </w:r>
      <w:r w:rsidR="000A1FEF" w:rsidRPr="000E77D2">
        <w:rPr>
          <w:rFonts w:ascii="Times New Roman" w:hAnsi="Times New Roman"/>
          <w:sz w:val="22"/>
          <w:szCs w:val="22"/>
          <w:lang w:val="sr-Latn-ME"/>
        </w:rPr>
        <w:t>j</w:t>
      </w:r>
      <w:r w:rsidRPr="000E77D2">
        <w:rPr>
          <w:rFonts w:ascii="Times New Roman" w:hAnsi="Times New Roman"/>
          <w:sz w:val="22"/>
          <w:szCs w:val="22"/>
          <w:lang w:val="sr-Latn-ME"/>
        </w:rPr>
        <w:t>elji usl</w:t>
      </w:r>
      <w:r w:rsidR="00B812A5" w:rsidRPr="000E77D2">
        <w:rPr>
          <w:rFonts w:ascii="Times New Roman" w:hAnsi="Times New Roman"/>
          <w:sz w:val="22"/>
          <w:szCs w:val="22"/>
          <w:lang w:val="sr-Latn-ME"/>
        </w:rPr>
        <w:t>j</w:t>
      </w:r>
      <w:r w:rsidRPr="000E77D2">
        <w:rPr>
          <w:rFonts w:ascii="Times New Roman" w:hAnsi="Times New Roman"/>
          <w:sz w:val="22"/>
          <w:szCs w:val="22"/>
          <w:lang w:val="sr-Latn-ME"/>
        </w:rPr>
        <w:t>ed pojave ranih uginuća uzrokovanih hroničnom nefropatijom. U dvogodišnjem ispitivanju ka</w:t>
      </w:r>
      <w:r w:rsidR="00B47FA0" w:rsidRPr="000E77D2">
        <w:rPr>
          <w:rFonts w:ascii="Times New Roman" w:hAnsi="Times New Roman"/>
          <w:sz w:val="22"/>
          <w:szCs w:val="22"/>
          <w:lang w:val="sr-Latn-ME"/>
        </w:rPr>
        <w:t>rcin</w:t>
      </w:r>
      <w:r w:rsidRPr="000E77D2">
        <w:rPr>
          <w:rFonts w:ascii="Times New Roman" w:hAnsi="Times New Roman"/>
          <w:sz w:val="22"/>
          <w:szCs w:val="22"/>
          <w:lang w:val="sr-Latn-ME"/>
        </w:rPr>
        <w:t>ogenosti kod miševa u oba pola je zab</w:t>
      </w:r>
      <w:r w:rsidR="000A1FEF" w:rsidRPr="000E77D2">
        <w:rPr>
          <w:rFonts w:ascii="Times New Roman" w:hAnsi="Times New Roman"/>
          <w:sz w:val="22"/>
          <w:szCs w:val="22"/>
          <w:lang w:val="sr-Latn-ME"/>
        </w:rPr>
        <w:t>i</w:t>
      </w:r>
      <w:r w:rsidRPr="000E77D2">
        <w:rPr>
          <w:rFonts w:ascii="Times New Roman" w:hAnsi="Times New Roman"/>
          <w:sz w:val="22"/>
          <w:szCs w:val="22"/>
          <w:lang w:val="sr-Latn-ME"/>
        </w:rPr>
        <w:t>l</w:t>
      </w:r>
      <w:r w:rsidR="000A1FEF" w:rsidRPr="000E77D2">
        <w:rPr>
          <w:rFonts w:ascii="Times New Roman" w:hAnsi="Times New Roman"/>
          <w:sz w:val="22"/>
          <w:szCs w:val="22"/>
          <w:lang w:val="sr-Latn-ME"/>
        </w:rPr>
        <w:t>j</w:t>
      </w:r>
      <w:r w:rsidRPr="000E77D2">
        <w:rPr>
          <w:rFonts w:ascii="Times New Roman" w:hAnsi="Times New Roman"/>
          <w:sz w:val="22"/>
          <w:szCs w:val="22"/>
          <w:lang w:val="sr-Latn-ME"/>
        </w:rPr>
        <w:t>ežen porast incidencije hepatičkih neoplazmi posl</w:t>
      </w:r>
      <w:r w:rsidR="00B812A5" w:rsidRPr="000E77D2">
        <w:rPr>
          <w:rFonts w:ascii="Times New Roman" w:hAnsi="Times New Roman"/>
          <w:sz w:val="22"/>
          <w:szCs w:val="22"/>
          <w:lang w:val="sr-Latn-ME"/>
        </w:rPr>
        <w:t>ij</w:t>
      </w:r>
      <w:r w:rsidRPr="000E77D2">
        <w:rPr>
          <w:rFonts w:ascii="Times New Roman" w:hAnsi="Times New Roman"/>
          <w:sz w:val="22"/>
          <w:szCs w:val="22"/>
          <w:lang w:val="sr-Latn-ME"/>
        </w:rPr>
        <w:t>e prim</w:t>
      </w:r>
      <w:r w:rsidR="000A1FEF" w:rsidRPr="000E77D2">
        <w:rPr>
          <w:rFonts w:ascii="Times New Roman" w:hAnsi="Times New Roman"/>
          <w:sz w:val="22"/>
          <w:szCs w:val="22"/>
          <w:lang w:val="sr-Latn-ME"/>
        </w:rPr>
        <w:t>j</w:t>
      </w:r>
      <w:r w:rsidRPr="000E77D2">
        <w:rPr>
          <w:rFonts w:ascii="Times New Roman" w:hAnsi="Times New Roman"/>
          <w:sz w:val="22"/>
          <w:szCs w:val="22"/>
          <w:lang w:val="sr-Latn-ME"/>
        </w:rPr>
        <w:t xml:space="preserve">ene srednjih i velikih doza (150 i 450 mg/kg/dan). Za ovaj nalaz se smatra da je u vezi sa indukcijom mikrozomalnih enzima jetre, efekta koji je registrovan kod miševa, ali ne i u kliničkim ispitivanjima. Porast incidencije tubularnih </w:t>
      </w:r>
      <w:r w:rsidR="000A1FEF" w:rsidRPr="000E77D2">
        <w:rPr>
          <w:rFonts w:ascii="Times New Roman" w:hAnsi="Times New Roman"/>
          <w:sz w:val="22"/>
          <w:szCs w:val="22"/>
          <w:lang w:val="sr-Latn-ME"/>
        </w:rPr>
        <w:t>adenoma bubrega je takođe zabi</w:t>
      </w:r>
      <w:r w:rsidRPr="000E77D2">
        <w:rPr>
          <w:rFonts w:ascii="Times New Roman" w:hAnsi="Times New Roman"/>
          <w:sz w:val="22"/>
          <w:szCs w:val="22"/>
          <w:lang w:val="sr-Latn-ME"/>
        </w:rPr>
        <w:t>l</w:t>
      </w:r>
      <w:r w:rsidR="000A1FEF" w:rsidRPr="000E77D2">
        <w:rPr>
          <w:rFonts w:ascii="Times New Roman" w:hAnsi="Times New Roman"/>
          <w:sz w:val="22"/>
          <w:szCs w:val="22"/>
          <w:lang w:val="sr-Latn-ME"/>
        </w:rPr>
        <w:t>j</w:t>
      </w:r>
      <w:r w:rsidRPr="000E77D2">
        <w:rPr>
          <w:rFonts w:ascii="Times New Roman" w:hAnsi="Times New Roman"/>
          <w:sz w:val="22"/>
          <w:szCs w:val="22"/>
          <w:lang w:val="sr-Latn-ME"/>
        </w:rPr>
        <w:t>ežen kod mužjaka miševa posl</w:t>
      </w:r>
      <w:r w:rsidR="00B812A5" w:rsidRPr="000E77D2">
        <w:rPr>
          <w:rFonts w:ascii="Times New Roman" w:hAnsi="Times New Roman"/>
          <w:sz w:val="22"/>
          <w:szCs w:val="22"/>
          <w:lang w:val="sr-Latn-ME"/>
        </w:rPr>
        <w:t>ij</w:t>
      </w:r>
      <w:r w:rsidRPr="000E77D2">
        <w:rPr>
          <w:rFonts w:ascii="Times New Roman" w:hAnsi="Times New Roman"/>
          <w:sz w:val="22"/>
          <w:szCs w:val="22"/>
          <w:lang w:val="sr-Latn-ME"/>
        </w:rPr>
        <w:t>e prim</w:t>
      </w:r>
      <w:r w:rsidR="000A1FEF" w:rsidRPr="000E77D2">
        <w:rPr>
          <w:rFonts w:ascii="Times New Roman" w:hAnsi="Times New Roman"/>
          <w:sz w:val="22"/>
          <w:szCs w:val="22"/>
          <w:lang w:val="sr-Latn-ME"/>
        </w:rPr>
        <w:t>j</w:t>
      </w:r>
      <w:r w:rsidRPr="000E77D2">
        <w:rPr>
          <w:rFonts w:ascii="Times New Roman" w:hAnsi="Times New Roman"/>
          <w:sz w:val="22"/>
          <w:szCs w:val="22"/>
          <w:lang w:val="sr-Latn-ME"/>
        </w:rPr>
        <w:t>ene velike doze (450 mg/kg/dan). Smatra se da je ova pojava specifična za vrstu životinje i pol, kao i da se javlja posle prim</w:t>
      </w:r>
      <w:r w:rsidR="000A1FEF" w:rsidRPr="000E77D2">
        <w:rPr>
          <w:rFonts w:ascii="Times New Roman" w:hAnsi="Times New Roman"/>
          <w:sz w:val="22"/>
          <w:szCs w:val="22"/>
          <w:lang w:val="sr-Latn-ME"/>
        </w:rPr>
        <w:t>j</w:t>
      </w:r>
      <w:r w:rsidRPr="000E77D2">
        <w:rPr>
          <w:rFonts w:ascii="Times New Roman" w:hAnsi="Times New Roman"/>
          <w:sz w:val="22"/>
          <w:szCs w:val="22"/>
          <w:lang w:val="sr-Latn-ME"/>
        </w:rPr>
        <w:t>ene doze kojom se postiže 63 puta veća ekspozicija u odnosu na onu koja se javlja kod ljudi posl</w:t>
      </w:r>
      <w:r w:rsidR="00B812A5" w:rsidRPr="000E77D2">
        <w:rPr>
          <w:rFonts w:ascii="Times New Roman" w:hAnsi="Times New Roman"/>
          <w:sz w:val="22"/>
          <w:szCs w:val="22"/>
          <w:lang w:val="sr-Latn-ME"/>
        </w:rPr>
        <w:t>ij</w:t>
      </w:r>
      <w:r w:rsidRPr="000E77D2">
        <w:rPr>
          <w:rFonts w:ascii="Times New Roman" w:hAnsi="Times New Roman"/>
          <w:sz w:val="22"/>
          <w:szCs w:val="22"/>
          <w:lang w:val="sr-Latn-ME"/>
        </w:rPr>
        <w:t>e prim</w:t>
      </w:r>
      <w:r w:rsidR="000A1FEF" w:rsidRPr="000E77D2">
        <w:rPr>
          <w:rFonts w:ascii="Times New Roman" w:hAnsi="Times New Roman"/>
          <w:sz w:val="22"/>
          <w:szCs w:val="22"/>
          <w:lang w:val="sr-Latn-ME"/>
        </w:rPr>
        <w:t>j</w:t>
      </w:r>
      <w:r w:rsidRPr="000E77D2">
        <w:rPr>
          <w:rFonts w:ascii="Times New Roman" w:hAnsi="Times New Roman"/>
          <w:sz w:val="22"/>
          <w:szCs w:val="22"/>
          <w:lang w:val="sr-Latn-ME"/>
        </w:rPr>
        <w:t>ene terapijske doze. Ni jedno od ovih zab</w:t>
      </w:r>
      <w:r w:rsidR="000A1FEF" w:rsidRPr="000E77D2">
        <w:rPr>
          <w:rFonts w:ascii="Times New Roman" w:hAnsi="Times New Roman"/>
          <w:sz w:val="22"/>
          <w:szCs w:val="22"/>
          <w:lang w:val="sr-Latn-ME"/>
        </w:rPr>
        <w:t>i</w:t>
      </w:r>
      <w:r w:rsidRPr="000E77D2">
        <w:rPr>
          <w:rFonts w:ascii="Times New Roman" w:hAnsi="Times New Roman"/>
          <w:sz w:val="22"/>
          <w:szCs w:val="22"/>
          <w:lang w:val="sr-Latn-ME"/>
        </w:rPr>
        <w:t>l</w:t>
      </w:r>
      <w:r w:rsidR="000A1FEF" w:rsidRPr="000E77D2">
        <w:rPr>
          <w:rFonts w:ascii="Times New Roman" w:hAnsi="Times New Roman"/>
          <w:sz w:val="22"/>
          <w:szCs w:val="22"/>
          <w:lang w:val="sr-Latn-ME"/>
        </w:rPr>
        <w:t>j</w:t>
      </w:r>
      <w:r w:rsidRPr="000E77D2">
        <w:rPr>
          <w:rFonts w:ascii="Times New Roman" w:hAnsi="Times New Roman"/>
          <w:sz w:val="22"/>
          <w:szCs w:val="22"/>
          <w:lang w:val="sr-Latn-ME"/>
        </w:rPr>
        <w:t>eženih dejstava se ne smatra klinički relevantnim u terapiji pacijentkinja eksemestanom.</w:t>
      </w:r>
    </w:p>
    <w:p w14:paraId="01AD9806" w14:textId="77777777" w:rsidR="000450A4" w:rsidRPr="000E77D2" w:rsidRDefault="000450A4" w:rsidP="00BE6A13">
      <w:pPr>
        <w:pStyle w:val="Header"/>
        <w:tabs>
          <w:tab w:val="clear" w:pos="4536"/>
          <w:tab w:val="clear" w:pos="9072"/>
          <w:tab w:val="left" w:pos="284"/>
        </w:tabs>
        <w:rPr>
          <w:rFonts w:ascii="Times New Roman" w:hAnsi="Times New Roman"/>
          <w:color w:val="FF0000"/>
          <w:sz w:val="22"/>
          <w:szCs w:val="22"/>
          <w:lang w:val="sr-Latn-ME"/>
        </w:rPr>
      </w:pPr>
    </w:p>
    <w:p w14:paraId="7BADCE6E" w14:textId="77777777" w:rsidR="000450A4" w:rsidRPr="000E77D2" w:rsidRDefault="000450A4" w:rsidP="007F16BE">
      <w:pPr>
        <w:pStyle w:val="Header"/>
        <w:keepNext/>
        <w:keepLines/>
        <w:tabs>
          <w:tab w:val="clear" w:pos="4536"/>
          <w:tab w:val="clear" w:pos="9072"/>
          <w:tab w:val="left" w:pos="284"/>
        </w:tabs>
        <w:jc w:val="left"/>
        <w:rPr>
          <w:rFonts w:ascii="Times New Roman" w:hAnsi="Times New Roman"/>
          <w:b/>
          <w:bCs/>
          <w:sz w:val="22"/>
          <w:szCs w:val="22"/>
          <w:lang w:val="sr-Latn-ME"/>
        </w:rPr>
      </w:pPr>
      <w:r w:rsidRPr="000E77D2">
        <w:rPr>
          <w:rFonts w:ascii="Times New Roman" w:hAnsi="Times New Roman"/>
          <w:b/>
          <w:bCs/>
          <w:sz w:val="22"/>
          <w:szCs w:val="22"/>
          <w:lang w:val="sr-Latn-ME"/>
        </w:rPr>
        <w:lastRenderedPageBreak/>
        <w:t>6. FARMACEUTSKI PODACI</w:t>
      </w:r>
    </w:p>
    <w:p w14:paraId="55D55144" w14:textId="77777777" w:rsidR="000450A4" w:rsidRPr="000E77D2" w:rsidRDefault="000450A4" w:rsidP="007F16BE">
      <w:pPr>
        <w:pStyle w:val="Header"/>
        <w:keepNext/>
        <w:keepLines/>
        <w:tabs>
          <w:tab w:val="clear" w:pos="4536"/>
          <w:tab w:val="clear" w:pos="9072"/>
          <w:tab w:val="left" w:pos="284"/>
        </w:tabs>
        <w:jc w:val="left"/>
        <w:rPr>
          <w:rFonts w:ascii="Times New Roman" w:hAnsi="Times New Roman"/>
          <w:bCs/>
          <w:sz w:val="22"/>
          <w:szCs w:val="22"/>
          <w:lang w:val="sr-Latn-ME"/>
        </w:rPr>
      </w:pPr>
    </w:p>
    <w:p w14:paraId="739B7F7B" w14:textId="4CD4315B" w:rsidR="000450A4" w:rsidRPr="000E77D2" w:rsidRDefault="000450A4" w:rsidP="007F16BE">
      <w:pPr>
        <w:pStyle w:val="Header"/>
        <w:keepNext/>
        <w:keepLines/>
        <w:tabs>
          <w:tab w:val="clear" w:pos="4536"/>
          <w:tab w:val="clear" w:pos="9072"/>
          <w:tab w:val="left" w:pos="284"/>
        </w:tabs>
        <w:jc w:val="left"/>
        <w:rPr>
          <w:rFonts w:ascii="Times New Roman" w:hAnsi="Times New Roman"/>
          <w:b/>
          <w:bCs/>
          <w:sz w:val="22"/>
          <w:szCs w:val="22"/>
          <w:lang w:val="sr-Latn-ME"/>
        </w:rPr>
      </w:pPr>
      <w:r w:rsidRPr="000E77D2">
        <w:rPr>
          <w:rFonts w:ascii="Times New Roman" w:hAnsi="Times New Roman"/>
          <w:b/>
          <w:bCs/>
          <w:sz w:val="22"/>
          <w:szCs w:val="22"/>
          <w:lang w:val="sr-Latn-ME"/>
        </w:rPr>
        <w:t>6.1. Lista pomoćnih supstanci</w:t>
      </w:r>
      <w:r w:rsidR="00C4199E" w:rsidRPr="000E77D2">
        <w:rPr>
          <w:rFonts w:ascii="Times New Roman" w:hAnsi="Times New Roman"/>
          <w:b/>
          <w:bCs/>
          <w:sz w:val="22"/>
          <w:szCs w:val="22"/>
          <w:lang w:val="sr-Latn-ME"/>
        </w:rPr>
        <w:t xml:space="preserve"> (ekscipijenasa)</w:t>
      </w:r>
    </w:p>
    <w:p w14:paraId="2F769376" w14:textId="77777777" w:rsidR="001F2D8A" w:rsidRPr="000E77D2" w:rsidRDefault="001F2D8A" w:rsidP="007F16BE">
      <w:pPr>
        <w:pStyle w:val="Header"/>
        <w:keepNext/>
        <w:keepLines/>
        <w:tabs>
          <w:tab w:val="clear" w:pos="4536"/>
          <w:tab w:val="clear" w:pos="9072"/>
          <w:tab w:val="left" w:pos="284"/>
        </w:tabs>
        <w:jc w:val="left"/>
        <w:rPr>
          <w:rFonts w:ascii="Times New Roman" w:hAnsi="Times New Roman"/>
          <w:bCs/>
          <w:color w:val="FF0000"/>
          <w:sz w:val="22"/>
          <w:szCs w:val="22"/>
          <w:lang w:val="sr-Latn-ME"/>
        </w:rPr>
      </w:pPr>
    </w:p>
    <w:p w14:paraId="7303E06B" w14:textId="77777777" w:rsidR="000450A4" w:rsidRPr="000E77D2" w:rsidRDefault="000450A4" w:rsidP="007F16BE">
      <w:pPr>
        <w:keepNext/>
        <w:keepLines/>
        <w:rPr>
          <w:rFonts w:ascii="Times New Roman" w:hAnsi="Times New Roman"/>
          <w:sz w:val="22"/>
          <w:szCs w:val="22"/>
          <w:lang w:val="sr-Latn-ME"/>
        </w:rPr>
      </w:pPr>
      <w:r w:rsidRPr="000E77D2">
        <w:rPr>
          <w:rFonts w:ascii="Times New Roman" w:hAnsi="Times New Roman"/>
          <w:sz w:val="22"/>
          <w:szCs w:val="22"/>
          <w:u w:val="single"/>
          <w:lang w:val="sr-Latn-ME"/>
        </w:rPr>
        <w:t>Jezgro tablete:</w:t>
      </w:r>
      <w:r w:rsidRPr="000E77D2">
        <w:rPr>
          <w:rFonts w:ascii="Times New Roman" w:hAnsi="Times New Roman"/>
          <w:sz w:val="22"/>
          <w:szCs w:val="22"/>
          <w:lang w:val="sr-Latn-ME"/>
        </w:rPr>
        <w:t xml:space="preserve"> </w:t>
      </w:r>
    </w:p>
    <w:p w14:paraId="76C55ECE" w14:textId="75B05E6A" w:rsidR="000450A4" w:rsidRPr="000E77D2" w:rsidRDefault="007F16BE" w:rsidP="007F16BE">
      <w:pPr>
        <w:rPr>
          <w:rFonts w:ascii="Times New Roman" w:hAnsi="Times New Roman"/>
          <w:sz w:val="22"/>
          <w:szCs w:val="22"/>
          <w:lang w:val="sr-Latn-ME"/>
        </w:rPr>
      </w:pPr>
      <w:r w:rsidRPr="000E77D2">
        <w:rPr>
          <w:rFonts w:ascii="Times New Roman" w:hAnsi="Times New Roman"/>
          <w:sz w:val="22"/>
          <w:szCs w:val="22"/>
          <w:lang w:val="sr-Latn-ME"/>
        </w:rPr>
        <w:t>s</w:t>
      </w:r>
      <w:r w:rsidR="000A1FEF" w:rsidRPr="000E77D2">
        <w:rPr>
          <w:rFonts w:ascii="Times New Roman" w:hAnsi="Times New Roman"/>
          <w:sz w:val="22"/>
          <w:szCs w:val="22"/>
          <w:lang w:val="sr-Latn-ME"/>
        </w:rPr>
        <w:t xml:space="preserve">ilicijum </w:t>
      </w:r>
      <w:r w:rsidR="000450A4" w:rsidRPr="000E77D2">
        <w:rPr>
          <w:rFonts w:ascii="Times New Roman" w:hAnsi="Times New Roman"/>
          <w:sz w:val="22"/>
          <w:szCs w:val="22"/>
          <w:lang w:val="sr-Latn-ME"/>
        </w:rPr>
        <w:t>dioksid, koloidni, hidratisan</w:t>
      </w:r>
      <w:r w:rsidR="007D25A9" w:rsidRPr="000E77D2">
        <w:rPr>
          <w:rFonts w:ascii="Times New Roman" w:hAnsi="Times New Roman"/>
          <w:sz w:val="22"/>
          <w:szCs w:val="22"/>
          <w:lang w:val="sr-Latn-ME"/>
        </w:rPr>
        <w:t>i</w:t>
      </w:r>
      <w:r w:rsidR="000450A4" w:rsidRPr="000E77D2">
        <w:rPr>
          <w:rFonts w:ascii="Times New Roman" w:hAnsi="Times New Roman"/>
          <w:sz w:val="22"/>
          <w:szCs w:val="22"/>
          <w:lang w:val="sr-Latn-ME"/>
        </w:rPr>
        <w:t xml:space="preserve">; </w:t>
      </w:r>
    </w:p>
    <w:p w14:paraId="0CD3014C" w14:textId="77777777" w:rsidR="000450A4" w:rsidRPr="000E77D2" w:rsidRDefault="000450A4" w:rsidP="007F16BE">
      <w:pPr>
        <w:rPr>
          <w:rFonts w:ascii="Times New Roman" w:hAnsi="Times New Roman"/>
          <w:sz w:val="22"/>
          <w:szCs w:val="22"/>
          <w:lang w:val="sr-Latn-ME"/>
        </w:rPr>
      </w:pPr>
      <w:r w:rsidRPr="000E77D2">
        <w:rPr>
          <w:rFonts w:ascii="Times New Roman" w:hAnsi="Times New Roman"/>
          <w:sz w:val="22"/>
          <w:szCs w:val="22"/>
          <w:lang w:val="sr-Latn-ME"/>
        </w:rPr>
        <w:t xml:space="preserve">krospovidon; </w:t>
      </w:r>
    </w:p>
    <w:p w14:paraId="15E568D9" w14:textId="77777777" w:rsidR="000450A4" w:rsidRPr="000E77D2" w:rsidRDefault="000450A4" w:rsidP="007F16BE">
      <w:pPr>
        <w:rPr>
          <w:rFonts w:ascii="Times New Roman" w:hAnsi="Times New Roman"/>
          <w:sz w:val="22"/>
          <w:szCs w:val="22"/>
          <w:lang w:val="sr-Latn-ME"/>
        </w:rPr>
      </w:pPr>
      <w:r w:rsidRPr="000E77D2">
        <w:rPr>
          <w:rFonts w:ascii="Times New Roman" w:hAnsi="Times New Roman"/>
          <w:sz w:val="22"/>
          <w:szCs w:val="22"/>
          <w:lang w:val="sr-Latn-ME"/>
        </w:rPr>
        <w:t xml:space="preserve">hipromeloza; </w:t>
      </w:r>
    </w:p>
    <w:p w14:paraId="1CF41511" w14:textId="729DBE16" w:rsidR="000450A4" w:rsidRPr="000E77D2" w:rsidRDefault="000A1FEF" w:rsidP="007F16BE">
      <w:pPr>
        <w:rPr>
          <w:rFonts w:ascii="Times New Roman" w:hAnsi="Times New Roman"/>
          <w:sz w:val="22"/>
          <w:szCs w:val="22"/>
          <w:lang w:val="sr-Latn-ME"/>
        </w:rPr>
      </w:pPr>
      <w:r w:rsidRPr="000E77D2">
        <w:rPr>
          <w:rFonts w:ascii="Times New Roman" w:hAnsi="Times New Roman"/>
          <w:sz w:val="22"/>
          <w:szCs w:val="22"/>
          <w:lang w:val="sr-Latn-ME"/>
        </w:rPr>
        <w:t xml:space="preserve">magnezijum </w:t>
      </w:r>
      <w:r w:rsidR="000450A4" w:rsidRPr="000E77D2">
        <w:rPr>
          <w:rFonts w:ascii="Times New Roman" w:hAnsi="Times New Roman"/>
          <w:sz w:val="22"/>
          <w:szCs w:val="22"/>
          <w:lang w:val="sr-Latn-ME"/>
        </w:rPr>
        <w:t xml:space="preserve">stearat; </w:t>
      </w:r>
    </w:p>
    <w:p w14:paraId="5AD8E48C" w14:textId="4B749982" w:rsidR="000450A4" w:rsidRPr="000E77D2" w:rsidRDefault="000450A4" w:rsidP="007F16BE">
      <w:pPr>
        <w:rPr>
          <w:rFonts w:ascii="Times New Roman" w:hAnsi="Times New Roman"/>
          <w:sz w:val="22"/>
          <w:szCs w:val="22"/>
          <w:lang w:val="sr-Latn-ME"/>
        </w:rPr>
      </w:pPr>
      <w:r w:rsidRPr="000E77D2">
        <w:rPr>
          <w:rFonts w:ascii="Times New Roman" w:hAnsi="Times New Roman"/>
          <w:sz w:val="22"/>
          <w:szCs w:val="22"/>
          <w:lang w:val="sr-Latn-ME"/>
        </w:rPr>
        <w:t xml:space="preserve">manitol (E421); </w:t>
      </w:r>
    </w:p>
    <w:p w14:paraId="4DC4B19D" w14:textId="77777777" w:rsidR="000450A4" w:rsidRPr="000E77D2" w:rsidRDefault="000450A4" w:rsidP="007F16BE">
      <w:pPr>
        <w:rPr>
          <w:rFonts w:ascii="Times New Roman" w:hAnsi="Times New Roman"/>
          <w:sz w:val="22"/>
          <w:szCs w:val="22"/>
          <w:lang w:val="sr-Latn-ME"/>
        </w:rPr>
      </w:pPr>
      <w:r w:rsidRPr="000E77D2">
        <w:rPr>
          <w:rFonts w:ascii="Times New Roman" w:hAnsi="Times New Roman"/>
          <w:sz w:val="22"/>
          <w:szCs w:val="22"/>
          <w:lang w:val="sr-Latn-ME"/>
        </w:rPr>
        <w:t xml:space="preserve">celuloza, mikrokristalna; </w:t>
      </w:r>
    </w:p>
    <w:p w14:paraId="0DDEBD50" w14:textId="7C054860" w:rsidR="000450A4" w:rsidRPr="000E77D2" w:rsidRDefault="000A1FEF" w:rsidP="007F16BE">
      <w:pPr>
        <w:rPr>
          <w:rFonts w:ascii="Times New Roman" w:hAnsi="Times New Roman"/>
          <w:sz w:val="22"/>
          <w:szCs w:val="22"/>
          <w:lang w:val="sr-Latn-ME"/>
        </w:rPr>
      </w:pPr>
      <w:r w:rsidRPr="000E77D2">
        <w:rPr>
          <w:rFonts w:ascii="Times New Roman" w:hAnsi="Times New Roman"/>
          <w:sz w:val="22"/>
          <w:szCs w:val="22"/>
          <w:lang w:val="sr-Latn-ME"/>
        </w:rPr>
        <w:t xml:space="preserve">natrijum </w:t>
      </w:r>
      <w:r w:rsidR="000450A4" w:rsidRPr="000E77D2">
        <w:rPr>
          <w:rFonts w:ascii="Times New Roman" w:hAnsi="Times New Roman"/>
          <w:sz w:val="22"/>
          <w:szCs w:val="22"/>
          <w:lang w:val="sr-Latn-ME"/>
        </w:rPr>
        <w:t>skrob</w:t>
      </w:r>
      <w:r w:rsidR="007D25A9" w:rsidRPr="000E77D2">
        <w:rPr>
          <w:rFonts w:ascii="Times New Roman" w:hAnsi="Times New Roman"/>
          <w:sz w:val="22"/>
          <w:szCs w:val="22"/>
          <w:lang w:val="sr-Latn-ME"/>
        </w:rPr>
        <w:t xml:space="preserve"> </w:t>
      </w:r>
      <w:r w:rsidR="000450A4" w:rsidRPr="000E77D2">
        <w:rPr>
          <w:rFonts w:ascii="Times New Roman" w:hAnsi="Times New Roman"/>
          <w:sz w:val="22"/>
          <w:szCs w:val="22"/>
          <w:lang w:val="sr-Latn-ME"/>
        </w:rPr>
        <w:t xml:space="preserve">glikolat (tip A); </w:t>
      </w:r>
    </w:p>
    <w:p w14:paraId="35116168" w14:textId="77777777" w:rsidR="000450A4" w:rsidRPr="000E77D2" w:rsidRDefault="000450A4" w:rsidP="007F16BE">
      <w:pPr>
        <w:rPr>
          <w:rFonts w:ascii="Times New Roman" w:hAnsi="Times New Roman"/>
          <w:sz w:val="22"/>
          <w:szCs w:val="22"/>
          <w:lang w:val="sr-Latn-ME"/>
        </w:rPr>
      </w:pPr>
      <w:r w:rsidRPr="000E77D2">
        <w:rPr>
          <w:rFonts w:ascii="Times New Roman" w:hAnsi="Times New Roman"/>
          <w:sz w:val="22"/>
          <w:szCs w:val="22"/>
          <w:lang w:val="sr-Latn-ME"/>
        </w:rPr>
        <w:t>polisorbat 80.</w:t>
      </w:r>
    </w:p>
    <w:p w14:paraId="76D2A739" w14:textId="77777777" w:rsidR="000450A4" w:rsidRPr="000E77D2" w:rsidRDefault="000450A4" w:rsidP="007F16BE">
      <w:pPr>
        <w:rPr>
          <w:rFonts w:ascii="Times New Roman" w:hAnsi="Times New Roman"/>
          <w:sz w:val="22"/>
          <w:szCs w:val="22"/>
          <w:u w:val="single"/>
          <w:lang w:val="sr-Latn-ME"/>
        </w:rPr>
      </w:pPr>
    </w:p>
    <w:p w14:paraId="0A662AC0" w14:textId="77777777" w:rsidR="000450A4" w:rsidRPr="000E77D2" w:rsidRDefault="000450A4" w:rsidP="007F16BE">
      <w:pPr>
        <w:rPr>
          <w:rFonts w:ascii="Times New Roman" w:hAnsi="Times New Roman"/>
          <w:sz w:val="22"/>
          <w:szCs w:val="22"/>
          <w:lang w:val="sr-Latn-ME"/>
        </w:rPr>
      </w:pPr>
      <w:r w:rsidRPr="000E77D2">
        <w:rPr>
          <w:rFonts w:ascii="Times New Roman" w:hAnsi="Times New Roman"/>
          <w:sz w:val="22"/>
          <w:szCs w:val="22"/>
          <w:u w:val="single"/>
          <w:lang w:val="sr-Latn-ME"/>
        </w:rPr>
        <w:t>Obloga</w:t>
      </w:r>
      <w:r w:rsidR="002B2EED" w:rsidRPr="000E77D2">
        <w:rPr>
          <w:rFonts w:ascii="Times New Roman" w:hAnsi="Times New Roman"/>
          <w:sz w:val="22"/>
          <w:szCs w:val="22"/>
          <w:u w:val="single"/>
          <w:lang w:val="sr-Latn-ME"/>
        </w:rPr>
        <w:t xml:space="preserve"> tablete</w:t>
      </w:r>
      <w:r w:rsidRPr="000E77D2">
        <w:rPr>
          <w:rFonts w:ascii="Times New Roman" w:hAnsi="Times New Roman"/>
          <w:sz w:val="22"/>
          <w:szCs w:val="22"/>
          <w:u w:val="single"/>
          <w:lang w:val="sr-Latn-ME"/>
        </w:rPr>
        <w:t>:</w:t>
      </w:r>
      <w:r w:rsidRPr="000E77D2">
        <w:rPr>
          <w:rFonts w:ascii="Times New Roman" w:hAnsi="Times New Roman"/>
          <w:sz w:val="22"/>
          <w:szCs w:val="22"/>
          <w:lang w:val="sr-Latn-ME"/>
        </w:rPr>
        <w:t xml:space="preserve"> </w:t>
      </w:r>
    </w:p>
    <w:p w14:paraId="0C82B097" w14:textId="77777777" w:rsidR="000450A4" w:rsidRPr="000E77D2" w:rsidRDefault="000450A4" w:rsidP="007F16BE">
      <w:pPr>
        <w:rPr>
          <w:rFonts w:ascii="Times New Roman" w:hAnsi="Times New Roman"/>
          <w:sz w:val="22"/>
          <w:szCs w:val="22"/>
          <w:lang w:val="sr-Latn-ME"/>
        </w:rPr>
      </w:pPr>
      <w:r w:rsidRPr="000E77D2">
        <w:rPr>
          <w:rFonts w:ascii="Times New Roman" w:hAnsi="Times New Roman"/>
          <w:sz w:val="22"/>
          <w:szCs w:val="22"/>
          <w:lang w:val="sr-Latn-ME"/>
        </w:rPr>
        <w:t xml:space="preserve">hipromeloza; </w:t>
      </w:r>
    </w:p>
    <w:p w14:paraId="0CBD441C" w14:textId="205EC28C" w:rsidR="000450A4" w:rsidRPr="000E77D2" w:rsidRDefault="000450A4" w:rsidP="007F16BE">
      <w:pPr>
        <w:rPr>
          <w:rFonts w:ascii="Times New Roman" w:hAnsi="Times New Roman"/>
          <w:sz w:val="22"/>
          <w:szCs w:val="22"/>
          <w:lang w:val="sr-Latn-ME"/>
        </w:rPr>
      </w:pPr>
      <w:r w:rsidRPr="000E77D2">
        <w:rPr>
          <w:rFonts w:ascii="Times New Roman" w:hAnsi="Times New Roman"/>
          <w:sz w:val="22"/>
          <w:szCs w:val="22"/>
          <w:lang w:val="sr-Latn-ME"/>
        </w:rPr>
        <w:t xml:space="preserve">polivinilalkohol; </w:t>
      </w:r>
    </w:p>
    <w:p w14:paraId="53EAA2F0" w14:textId="2DC5C369" w:rsidR="000450A4" w:rsidRPr="000E77D2" w:rsidRDefault="000450A4" w:rsidP="007F16BE">
      <w:pPr>
        <w:rPr>
          <w:rFonts w:ascii="Times New Roman" w:hAnsi="Times New Roman"/>
          <w:sz w:val="22"/>
          <w:szCs w:val="22"/>
          <w:lang w:val="sr-Latn-ME"/>
        </w:rPr>
      </w:pPr>
      <w:r w:rsidRPr="000E77D2">
        <w:rPr>
          <w:rFonts w:ascii="Times New Roman" w:hAnsi="Times New Roman"/>
          <w:sz w:val="22"/>
          <w:szCs w:val="22"/>
          <w:lang w:val="sr-Latn-ME"/>
        </w:rPr>
        <w:t>simetikon</w:t>
      </w:r>
      <w:r w:rsidR="00D964CF">
        <w:rPr>
          <w:rFonts w:ascii="Times New Roman" w:hAnsi="Times New Roman"/>
          <w:sz w:val="22"/>
          <w:szCs w:val="22"/>
          <w:lang w:val="sr-Latn-ME"/>
        </w:rPr>
        <w:t>,</w:t>
      </w:r>
      <w:bookmarkStart w:id="5" w:name="_GoBack"/>
      <w:bookmarkEnd w:id="5"/>
      <w:r w:rsidRPr="000E77D2">
        <w:rPr>
          <w:rFonts w:ascii="Times New Roman" w:hAnsi="Times New Roman"/>
          <w:sz w:val="22"/>
          <w:szCs w:val="22"/>
          <w:lang w:val="sr-Latn-ME"/>
        </w:rPr>
        <w:t xml:space="preserve"> emulzija; </w:t>
      </w:r>
    </w:p>
    <w:p w14:paraId="6B79B6F0" w14:textId="77777777" w:rsidR="000450A4" w:rsidRPr="000E77D2" w:rsidRDefault="000450A4" w:rsidP="007F16BE">
      <w:pPr>
        <w:rPr>
          <w:rFonts w:ascii="Times New Roman" w:hAnsi="Times New Roman"/>
          <w:sz w:val="22"/>
          <w:szCs w:val="22"/>
          <w:lang w:val="sr-Latn-ME"/>
        </w:rPr>
      </w:pPr>
      <w:r w:rsidRPr="000E77D2">
        <w:rPr>
          <w:rFonts w:ascii="Times New Roman" w:hAnsi="Times New Roman"/>
          <w:sz w:val="22"/>
          <w:szCs w:val="22"/>
          <w:lang w:val="sr-Latn-ME"/>
        </w:rPr>
        <w:t xml:space="preserve">makrogol 6000; </w:t>
      </w:r>
    </w:p>
    <w:p w14:paraId="376C08A7" w14:textId="77777777" w:rsidR="000450A4" w:rsidRPr="000E77D2" w:rsidRDefault="000450A4" w:rsidP="007F16BE">
      <w:pPr>
        <w:rPr>
          <w:rFonts w:ascii="Times New Roman" w:hAnsi="Times New Roman"/>
          <w:sz w:val="22"/>
          <w:szCs w:val="22"/>
          <w:lang w:val="sr-Latn-ME"/>
        </w:rPr>
      </w:pPr>
      <w:r w:rsidRPr="000E77D2">
        <w:rPr>
          <w:rFonts w:ascii="Times New Roman" w:hAnsi="Times New Roman"/>
          <w:sz w:val="22"/>
          <w:szCs w:val="22"/>
          <w:lang w:val="sr-Latn-ME"/>
        </w:rPr>
        <w:t xml:space="preserve">saharoza; </w:t>
      </w:r>
    </w:p>
    <w:p w14:paraId="4694C50F" w14:textId="5B3FC5E3" w:rsidR="000450A4" w:rsidRPr="000E77D2" w:rsidRDefault="000A1FEF" w:rsidP="007F16BE">
      <w:pPr>
        <w:rPr>
          <w:rFonts w:ascii="Times New Roman" w:hAnsi="Times New Roman"/>
          <w:sz w:val="22"/>
          <w:szCs w:val="22"/>
          <w:lang w:val="sr-Latn-ME"/>
        </w:rPr>
      </w:pPr>
      <w:r w:rsidRPr="000E77D2">
        <w:rPr>
          <w:rFonts w:ascii="Times New Roman" w:hAnsi="Times New Roman"/>
          <w:sz w:val="22"/>
          <w:szCs w:val="22"/>
          <w:lang w:val="sr-Latn-ME"/>
        </w:rPr>
        <w:t xml:space="preserve">magnezijum </w:t>
      </w:r>
      <w:r w:rsidR="000450A4" w:rsidRPr="000E77D2">
        <w:rPr>
          <w:rFonts w:ascii="Times New Roman" w:hAnsi="Times New Roman"/>
          <w:sz w:val="22"/>
          <w:szCs w:val="22"/>
          <w:lang w:val="sr-Latn-ME"/>
        </w:rPr>
        <w:t xml:space="preserve">karbonat, laki; </w:t>
      </w:r>
    </w:p>
    <w:p w14:paraId="5458BAD9" w14:textId="5331F84D" w:rsidR="000450A4" w:rsidRPr="000E77D2" w:rsidRDefault="000A1FEF" w:rsidP="007F16BE">
      <w:pPr>
        <w:rPr>
          <w:rFonts w:ascii="Times New Roman" w:hAnsi="Times New Roman"/>
          <w:sz w:val="22"/>
          <w:szCs w:val="22"/>
          <w:lang w:val="sr-Latn-ME"/>
        </w:rPr>
      </w:pPr>
      <w:r w:rsidRPr="000E77D2">
        <w:rPr>
          <w:rFonts w:ascii="Times New Roman" w:hAnsi="Times New Roman"/>
          <w:sz w:val="22"/>
          <w:szCs w:val="22"/>
          <w:lang w:val="sr-Latn-ME"/>
        </w:rPr>
        <w:t xml:space="preserve">titan </w:t>
      </w:r>
      <w:r w:rsidR="000450A4" w:rsidRPr="000E77D2">
        <w:rPr>
          <w:rFonts w:ascii="Times New Roman" w:hAnsi="Times New Roman"/>
          <w:sz w:val="22"/>
          <w:szCs w:val="22"/>
          <w:lang w:val="sr-Latn-ME"/>
        </w:rPr>
        <w:t xml:space="preserve">dioksid (E171); </w:t>
      </w:r>
    </w:p>
    <w:p w14:paraId="6B04EDF9" w14:textId="5F67360B" w:rsidR="000450A4" w:rsidRPr="000E77D2" w:rsidRDefault="000450A4" w:rsidP="007F16BE">
      <w:pPr>
        <w:rPr>
          <w:rFonts w:ascii="Times New Roman" w:hAnsi="Times New Roman"/>
          <w:sz w:val="22"/>
          <w:szCs w:val="22"/>
          <w:lang w:val="sr-Latn-ME"/>
        </w:rPr>
      </w:pPr>
      <w:r w:rsidRPr="000E77D2">
        <w:rPr>
          <w:rFonts w:ascii="Times New Roman" w:hAnsi="Times New Roman"/>
          <w:sz w:val="22"/>
          <w:szCs w:val="22"/>
          <w:lang w:val="sr-Latn-ME"/>
        </w:rPr>
        <w:t>metil</w:t>
      </w:r>
      <w:r w:rsidR="007D25A9" w:rsidRPr="000E77D2">
        <w:rPr>
          <w:rFonts w:ascii="Times New Roman" w:hAnsi="Times New Roman"/>
          <w:sz w:val="22"/>
          <w:szCs w:val="22"/>
          <w:lang w:val="sr-Latn-ME"/>
        </w:rPr>
        <w:t xml:space="preserve"> </w:t>
      </w:r>
      <w:r w:rsidRPr="000E77D2">
        <w:rPr>
          <w:rFonts w:ascii="Times New Roman" w:hAnsi="Times New Roman"/>
          <w:sz w:val="22"/>
          <w:szCs w:val="22"/>
          <w:lang w:val="sr-Latn-ME"/>
        </w:rPr>
        <w:t xml:space="preserve">parahidroksibenzoat (E218); </w:t>
      </w:r>
    </w:p>
    <w:p w14:paraId="372A4CD0" w14:textId="77777777" w:rsidR="000450A4" w:rsidRPr="000E77D2" w:rsidRDefault="000450A4" w:rsidP="007F16BE">
      <w:pPr>
        <w:rPr>
          <w:rFonts w:ascii="Times New Roman" w:hAnsi="Times New Roman"/>
          <w:sz w:val="22"/>
          <w:szCs w:val="22"/>
          <w:lang w:val="sr-Latn-ME"/>
        </w:rPr>
      </w:pPr>
      <w:r w:rsidRPr="000E77D2">
        <w:rPr>
          <w:rFonts w:ascii="Times New Roman" w:hAnsi="Times New Roman"/>
          <w:sz w:val="22"/>
          <w:szCs w:val="22"/>
          <w:lang w:val="sr-Latn-ME"/>
        </w:rPr>
        <w:t xml:space="preserve">cetilestar vosak; </w:t>
      </w:r>
    </w:p>
    <w:p w14:paraId="6CD19BDB" w14:textId="77777777" w:rsidR="000450A4" w:rsidRPr="000E77D2" w:rsidRDefault="000450A4" w:rsidP="007F16BE">
      <w:pPr>
        <w:rPr>
          <w:rFonts w:ascii="Times New Roman" w:hAnsi="Times New Roman"/>
          <w:sz w:val="22"/>
          <w:szCs w:val="22"/>
          <w:lang w:val="sr-Latn-ME"/>
        </w:rPr>
      </w:pPr>
      <w:r w:rsidRPr="000E77D2">
        <w:rPr>
          <w:rFonts w:ascii="Times New Roman" w:hAnsi="Times New Roman"/>
          <w:sz w:val="22"/>
          <w:szCs w:val="22"/>
          <w:lang w:val="sr-Latn-ME"/>
        </w:rPr>
        <w:t xml:space="preserve">talk; </w:t>
      </w:r>
    </w:p>
    <w:p w14:paraId="405507A9" w14:textId="77777777" w:rsidR="000450A4" w:rsidRPr="000E77D2" w:rsidRDefault="000450A4" w:rsidP="007F16BE">
      <w:pPr>
        <w:rPr>
          <w:rFonts w:ascii="Times New Roman" w:hAnsi="Times New Roman"/>
          <w:sz w:val="22"/>
          <w:szCs w:val="22"/>
          <w:lang w:val="sr-Latn-ME"/>
        </w:rPr>
      </w:pPr>
      <w:r w:rsidRPr="000E77D2">
        <w:rPr>
          <w:rFonts w:ascii="Times New Roman" w:hAnsi="Times New Roman"/>
          <w:sz w:val="22"/>
          <w:szCs w:val="22"/>
          <w:lang w:val="sr-Latn-ME"/>
        </w:rPr>
        <w:t xml:space="preserve">karnauba vosak. </w:t>
      </w:r>
    </w:p>
    <w:p w14:paraId="1913B5D7" w14:textId="77777777" w:rsidR="000450A4" w:rsidRPr="000E77D2" w:rsidRDefault="000450A4" w:rsidP="007F16BE">
      <w:pPr>
        <w:rPr>
          <w:rFonts w:ascii="Times New Roman" w:hAnsi="Times New Roman"/>
          <w:sz w:val="22"/>
          <w:szCs w:val="22"/>
          <w:u w:val="single"/>
          <w:lang w:val="sr-Latn-ME"/>
        </w:rPr>
      </w:pPr>
    </w:p>
    <w:p w14:paraId="2433AB9C" w14:textId="77777777" w:rsidR="000450A4" w:rsidRPr="000E77D2" w:rsidRDefault="000450A4" w:rsidP="007F16BE">
      <w:pPr>
        <w:rPr>
          <w:rFonts w:ascii="Times New Roman" w:hAnsi="Times New Roman"/>
          <w:sz w:val="22"/>
          <w:szCs w:val="22"/>
          <w:lang w:val="sr-Latn-ME"/>
        </w:rPr>
      </w:pPr>
      <w:r w:rsidRPr="000E77D2">
        <w:rPr>
          <w:rFonts w:ascii="Times New Roman" w:hAnsi="Times New Roman"/>
          <w:sz w:val="22"/>
          <w:szCs w:val="22"/>
          <w:u w:val="single"/>
          <w:lang w:val="sr-Latn-ME"/>
        </w:rPr>
        <w:t>Mastilo za štampu:</w:t>
      </w:r>
      <w:r w:rsidRPr="000E77D2">
        <w:rPr>
          <w:rFonts w:ascii="Times New Roman" w:hAnsi="Times New Roman"/>
          <w:sz w:val="22"/>
          <w:szCs w:val="22"/>
          <w:lang w:val="sr-Latn-ME"/>
        </w:rPr>
        <w:t xml:space="preserve"> </w:t>
      </w:r>
    </w:p>
    <w:p w14:paraId="6D4B437B" w14:textId="533064B9" w:rsidR="000450A4" w:rsidRPr="000E77D2" w:rsidRDefault="002422AC" w:rsidP="007F16BE">
      <w:pPr>
        <w:rPr>
          <w:rFonts w:ascii="Times New Roman" w:hAnsi="Times New Roman"/>
          <w:sz w:val="22"/>
          <w:szCs w:val="22"/>
          <w:lang w:val="sr-Latn-ME"/>
        </w:rPr>
      </w:pPr>
      <w:r w:rsidRPr="000E77D2">
        <w:rPr>
          <w:rFonts w:ascii="Times New Roman" w:hAnsi="Times New Roman"/>
          <w:sz w:val="22"/>
          <w:szCs w:val="22"/>
          <w:lang w:val="sr-Latn-ME"/>
        </w:rPr>
        <w:t>etanol</w:t>
      </w:r>
      <w:r w:rsidR="000450A4" w:rsidRPr="000E77D2">
        <w:rPr>
          <w:rFonts w:ascii="Times New Roman" w:hAnsi="Times New Roman"/>
          <w:sz w:val="22"/>
          <w:szCs w:val="22"/>
          <w:lang w:val="sr-Latn-ME"/>
        </w:rPr>
        <w:t xml:space="preserve">; </w:t>
      </w:r>
    </w:p>
    <w:p w14:paraId="7B68AE48" w14:textId="77777777" w:rsidR="000450A4" w:rsidRPr="000E77D2" w:rsidRDefault="000450A4" w:rsidP="007F16BE">
      <w:pPr>
        <w:rPr>
          <w:rFonts w:ascii="Times New Roman" w:hAnsi="Times New Roman"/>
          <w:sz w:val="22"/>
          <w:szCs w:val="22"/>
          <w:lang w:val="sr-Latn-ME"/>
        </w:rPr>
      </w:pPr>
      <w:r w:rsidRPr="000E77D2">
        <w:rPr>
          <w:rFonts w:ascii="Times New Roman" w:hAnsi="Times New Roman"/>
          <w:sz w:val="22"/>
          <w:szCs w:val="22"/>
          <w:lang w:val="sr-Latn-ME"/>
        </w:rPr>
        <w:t xml:space="preserve">šelak; </w:t>
      </w:r>
    </w:p>
    <w:p w14:paraId="79F2EFDF" w14:textId="0294E687" w:rsidR="000450A4" w:rsidRPr="000E77D2" w:rsidRDefault="000450A4" w:rsidP="007F16BE">
      <w:pPr>
        <w:rPr>
          <w:rFonts w:ascii="Times New Roman" w:hAnsi="Times New Roman"/>
          <w:sz w:val="22"/>
          <w:szCs w:val="22"/>
          <w:lang w:val="sr-Latn-ME"/>
        </w:rPr>
      </w:pPr>
      <w:r w:rsidRPr="000E77D2">
        <w:rPr>
          <w:rFonts w:ascii="Times New Roman" w:hAnsi="Times New Roman"/>
          <w:sz w:val="22"/>
          <w:szCs w:val="22"/>
          <w:lang w:val="sr-Latn-ME"/>
        </w:rPr>
        <w:t>gvožđe</w:t>
      </w:r>
      <w:r w:rsidR="007D25A9" w:rsidRPr="000E77D2">
        <w:rPr>
          <w:rFonts w:ascii="Times New Roman" w:hAnsi="Times New Roman"/>
          <w:sz w:val="22"/>
          <w:szCs w:val="22"/>
          <w:lang w:val="sr-Latn-ME"/>
        </w:rPr>
        <w:t xml:space="preserve"> </w:t>
      </w:r>
      <w:r w:rsidRPr="000E77D2">
        <w:rPr>
          <w:rFonts w:ascii="Times New Roman" w:hAnsi="Times New Roman"/>
          <w:sz w:val="22"/>
          <w:szCs w:val="22"/>
          <w:lang w:val="sr-Latn-ME"/>
        </w:rPr>
        <w:t>(III)</w:t>
      </w:r>
      <w:r w:rsidR="002422AC" w:rsidRPr="000E77D2">
        <w:rPr>
          <w:rFonts w:ascii="Times New Roman" w:hAnsi="Times New Roman"/>
          <w:sz w:val="22"/>
          <w:szCs w:val="22"/>
          <w:lang w:val="sr-Latn-ME"/>
        </w:rPr>
        <w:t xml:space="preserve"> </w:t>
      </w:r>
      <w:r w:rsidRPr="000E77D2">
        <w:rPr>
          <w:rFonts w:ascii="Times New Roman" w:hAnsi="Times New Roman"/>
          <w:sz w:val="22"/>
          <w:szCs w:val="22"/>
          <w:lang w:val="sr-Latn-ME"/>
        </w:rPr>
        <w:t>oksid, crni (E172);</w:t>
      </w:r>
    </w:p>
    <w:p w14:paraId="77E9379E" w14:textId="129E81CF" w:rsidR="000450A4" w:rsidRPr="000E77D2" w:rsidRDefault="000A1FEF" w:rsidP="007F16BE">
      <w:pPr>
        <w:rPr>
          <w:rFonts w:ascii="Times New Roman" w:hAnsi="Times New Roman"/>
          <w:sz w:val="22"/>
          <w:szCs w:val="22"/>
          <w:lang w:val="sr-Latn-ME"/>
        </w:rPr>
      </w:pPr>
      <w:r w:rsidRPr="000E77D2">
        <w:rPr>
          <w:rFonts w:ascii="Times New Roman" w:hAnsi="Times New Roman"/>
          <w:sz w:val="22"/>
          <w:szCs w:val="22"/>
          <w:lang w:val="sr-Latn-ME"/>
        </w:rPr>
        <w:t xml:space="preserve">titan </w:t>
      </w:r>
      <w:r w:rsidR="000450A4" w:rsidRPr="000E77D2">
        <w:rPr>
          <w:rFonts w:ascii="Times New Roman" w:hAnsi="Times New Roman"/>
          <w:sz w:val="22"/>
          <w:szCs w:val="22"/>
          <w:lang w:val="sr-Latn-ME"/>
        </w:rPr>
        <w:t>dioksid (E171).</w:t>
      </w:r>
    </w:p>
    <w:p w14:paraId="4907A11C" w14:textId="77777777" w:rsidR="001F2D8A" w:rsidRPr="000E77D2" w:rsidRDefault="001F2D8A" w:rsidP="007F16BE">
      <w:pPr>
        <w:pStyle w:val="Header"/>
        <w:tabs>
          <w:tab w:val="clear" w:pos="4536"/>
          <w:tab w:val="clear" w:pos="9072"/>
          <w:tab w:val="left" w:pos="284"/>
        </w:tabs>
        <w:jc w:val="left"/>
        <w:rPr>
          <w:rFonts w:ascii="Times New Roman" w:hAnsi="Times New Roman"/>
          <w:b/>
          <w:bCs/>
          <w:color w:val="FF0000"/>
          <w:sz w:val="22"/>
          <w:szCs w:val="22"/>
          <w:lang w:val="sr-Latn-ME"/>
        </w:rPr>
      </w:pPr>
    </w:p>
    <w:p w14:paraId="44BC7AA0" w14:textId="4B8F624D" w:rsidR="000450A4" w:rsidRPr="000E77D2" w:rsidRDefault="000450A4" w:rsidP="007F16BE">
      <w:pPr>
        <w:pStyle w:val="Header"/>
        <w:tabs>
          <w:tab w:val="clear" w:pos="4536"/>
          <w:tab w:val="clear" w:pos="9072"/>
          <w:tab w:val="left" w:pos="284"/>
        </w:tabs>
        <w:jc w:val="left"/>
        <w:rPr>
          <w:rFonts w:ascii="Times New Roman" w:hAnsi="Times New Roman"/>
          <w:b/>
          <w:bCs/>
          <w:sz w:val="22"/>
          <w:szCs w:val="22"/>
          <w:lang w:val="sr-Latn-ME"/>
        </w:rPr>
      </w:pPr>
      <w:r w:rsidRPr="000E77D2">
        <w:rPr>
          <w:rFonts w:ascii="Times New Roman" w:hAnsi="Times New Roman"/>
          <w:b/>
          <w:bCs/>
          <w:sz w:val="22"/>
          <w:szCs w:val="22"/>
          <w:lang w:val="sr-Latn-ME"/>
        </w:rPr>
        <w:t>6.2. Inkompatibilnost</w:t>
      </w:r>
      <w:r w:rsidR="00031846" w:rsidRPr="000E77D2">
        <w:rPr>
          <w:rFonts w:ascii="Times New Roman" w:hAnsi="Times New Roman"/>
          <w:b/>
          <w:bCs/>
          <w:sz w:val="22"/>
          <w:szCs w:val="22"/>
          <w:lang w:val="sr-Latn-ME"/>
        </w:rPr>
        <w:t>i</w:t>
      </w:r>
    </w:p>
    <w:p w14:paraId="0DB92298" w14:textId="77777777" w:rsidR="001F2D8A" w:rsidRPr="000E77D2" w:rsidRDefault="001F2D8A" w:rsidP="007F16BE">
      <w:pPr>
        <w:pStyle w:val="Header"/>
        <w:tabs>
          <w:tab w:val="clear" w:pos="4536"/>
          <w:tab w:val="clear" w:pos="9072"/>
          <w:tab w:val="left" w:pos="284"/>
        </w:tabs>
        <w:jc w:val="left"/>
        <w:rPr>
          <w:rFonts w:ascii="Times New Roman" w:hAnsi="Times New Roman"/>
          <w:b/>
          <w:bCs/>
          <w:color w:val="FF0000"/>
          <w:sz w:val="22"/>
          <w:szCs w:val="22"/>
          <w:lang w:val="sr-Latn-ME"/>
        </w:rPr>
      </w:pPr>
    </w:p>
    <w:p w14:paraId="1270EC3A" w14:textId="12BAF524" w:rsidR="000450A4" w:rsidRPr="000E77D2" w:rsidRDefault="000450A4" w:rsidP="007F16BE">
      <w:pPr>
        <w:pStyle w:val="Header"/>
        <w:tabs>
          <w:tab w:val="clear" w:pos="4536"/>
          <w:tab w:val="clear" w:pos="9072"/>
          <w:tab w:val="left" w:pos="284"/>
        </w:tabs>
        <w:jc w:val="left"/>
        <w:rPr>
          <w:rFonts w:ascii="Times New Roman" w:hAnsi="Times New Roman"/>
          <w:sz w:val="22"/>
          <w:szCs w:val="22"/>
          <w:lang w:val="sr-Latn-ME"/>
        </w:rPr>
      </w:pPr>
      <w:r w:rsidRPr="000E77D2">
        <w:rPr>
          <w:rFonts w:ascii="Times New Roman" w:hAnsi="Times New Roman"/>
          <w:sz w:val="22"/>
          <w:szCs w:val="22"/>
          <w:lang w:val="sr-Latn-ME"/>
        </w:rPr>
        <w:t>Nije prim</w:t>
      </w:r>
      <w:r w:rsidR="000A1FEF" w:rsidRPr="000E77D2">
        <w:rPr>
          <w:rFonts w:ascii="Times New Roman" w:hAnsi="Times New Roman"/>
          <w:sz w:val="22"/>
          <w:szCs w:val="22"/>
          <w:lang w:val="sr-Latn-ME"/>
        </w:rPr>
        <w:t>j</w:t>
      </w:r>
      <w:r w:rsidRPr="000E77D2">
        <w:rPr>
          <w:rFonts w:ascii="Times New Roman" w:hAnsi="Times New Roman"/>
          <w:sz w:val="22"/>
          <w:szCs w:val="22"/>
          <w:lang w:val="sr-Latn-ME"/>
        </w:rPr>
        <w:t>enljivo.</w:t>
      </w:r>
    </w:p>
    <w:p w14:paraId="112319BB" w14:textId="77777777" w:rsidR="001F2D8A" w:rsidRPr="000E77D2" w:rsidRDefault="001F2D8A" w:rsidP="007F16BE">
      <w:pPr>
        <w:pStyle w:val="Header"/>
        <w:tabs>
          <w:tab w:val="clear" w:pos="4536"/>
          <w:tab w:val="clear" w:pos="9072"/>
          <w:tab w:val="left" w:pos="284"/>
        </w:tabs>
        <w:jc w:val="left"/>
        <w:rPr>
          <w:rFonts w:ascii="Times New Roman" w:hAnsi="Times New Roman"/>
          <w:sz w:val="22"/>
          <w:szCs w:val="22"/>
          <w:lang w:val="sr-Latn-ME"/>
        </w:rPr>
      </w:pPr>
    </w:p>
    <w:p w14:paraId="0A9ED84E" w14:textId="77777777" w:rsidR="000450A4" w:rsidRPr="000E77D2" w:rsidRDefault="000450A4" w:rsidP="007F16BE">
      <w:pPr>
        <w:pStyle w:val="Header"/>
        <w:tabs>
          <w:tab w:val="clear" w:pos="4536"/>
          <w:tab w:val="clear" w:pos="9072"/>
          <w:tab w:val="left" w:pos="284"/>
        </w:tabs>
        <w:jc w:val="left"/>
        <w:rPr>
          <w:rFonts w:ascii="Times New Roman" w:hAnsi="Times New Roman"/>
          <w:b/>
          <w:bCs/>
          <w:sz w:val="22"/>
          <w:szCs w:val="22"/>
          <w:lang w:val="sr-Latn-ME"/>
        </w:rPr>
      </w:pPr>
      <w:r w:rsidRPr="000E77D2">
        <w:rPr>
          <w:rFonts w:ascii="Times New Roman" w:hAnsi="Times New Roman"/>
          <w:b/>
          <w:bCs/>
          <w:sz w:val="22"/>
          <w:szCs w:val="22"/>
          <w:lang w:val="sr-Latn-ME"/>
        </w:rPr>
        <w:t>6.3. Rok upotrebe</w:t>
      </w:r>
    </w:p>
    <w:p w14:paraId="0ADCD2C0" w14:textId="77777777" w:rsidR="001F2D8A" w:rsidRPr="000E77D2" w:rsidRDefault="001F2D8A" w:rsidP="007F16BE">
      <w:pPr>
        <w:pStyle w:val="Header"/>
        <w:tabs>
          <w:tab w:val="clear" w:pos="4536"/>
          <w:tab w:val="clear" w:pos="9072"/>
          <w:tab w:val="left" w:pos="284"/>
        </w:tabs>
        <w:jc w:val="left"/>
        <w:rPr>
          <w:rFonts w:ascii="Times New Roman" w:hAnsi="Times New Roman"/>
          <w:b/>
          <w:bCs/>
          <w:sz w:val="22"/>
          <w:szCs w:val="22"/>
          <w:lang w:val="sr-Latn-ME"/>
        </w:rPr>
      </w:pPr>
    </w:p>
    <w:p w14:paraId="548DBBE2" w14:textId="77777777" w:rsidR="000450A4" w:rsidRPr="000E77D2" w:rsidRDefault="000450A4" w:rsidP="007F16BE">
      <w:pPr>
        <w:pStyle w:val="Header"/>
        <w:tabs>
          <w:tab w:val="clear" w:pos="4536"/>
          <w:tab w:val="clear" w:pos="9072"/>
          <w:tab w:val="left" w:pos="284"/>
        </w:tabs>
        <w:jc w:val="left"/>
        <w:rPr>
          <w:rFonts w:ascii="Times New Roman" w:hAnsi="Times New Roman"/>
          <w:sz w:val="22"/>
          <w:szCs w:val="22"/>
          <w:lang w:val="sr-Latn-ME"/>
        </w:rPr>
      </w:pPr>
      <w:r w:rsidRPr="000E77D2">
        <w:rPr>
          <w:rFonts w:ascii="Times New Roman" w:hAnsi="Times New Roman"/>
          <w:sz w:val="22"/>
          <w:szCs w:val="22"/>
          <w:lang w:val="sr-Latn-ME"/>
        </w:rPr>
        <w:t>Tri (3) godine.</w:t>
      </w:r>
    </w:p>
    <w:p w14:paraId="5C6DA66A" w14:textId="77777777" w:rsidR="001F2D8A" w:rsidRPr="000E77D2" w:rsidRDefault="001F2D8A" w:rsidP="007F16BE">
      <w:pPr>
        <w:pStyle w:val="Header"/>
        <w:tabs>
          <w:tab w:val="clear" w:pos="4536"/>
          <w:tab w:val="clear" w:pos="9072"/>
          <w:tab w:val="left" w:pos="284"/>
        </w:tabs>
        <w:jc w:val="left"/>
        <w:rPr>
          <w:rFonts w:ascii="Times New Roman" w:hAnsi="Times New Roman"/>
          <w:sz w:val="22"/>
          <w:szCs w:val="22"/>
          <w:lang w:val="sr-Latn-ME"/>
        </w:rPr>
      </w:pPr>
    </w:p>
    <w:p w14:paraId="75961E20" w14:textId="62DB0DDD" w:rsidR="000450A4" w:rsidRPr="000E77D2" w:rsidRDefault="000450A4" w:rsidP="007F16BE">
      <w:pPr>
        <w:pStyle w:val="Header"/>
        <w:tabs>
          <w:tab w:val="clear" w:pos="4536"/>
          <w:tab w:val="clear" w:pos="9072"/>
          <w:tab w:val="left" w:pos="284"/>
        </w:tabs>
        <w:jc w:val="left"/>
        <w:rPr>
          <w:rFonts w:ascii="Times New Roman" w:hAnsi="Times New Roman"/>
          <w:b/>
          <w:bCs/>
          <w:sz w:val="22"/>
          <w:szCs w:val="22"/>
          <w:lang w:val="sr-Latn-ME"/>
        </w:rPr>
      </w:pPr>
      <w:r w:rsidRPr="000E77D2">
        <w:rPr>
          <w:rFonts w:ascii="Times New Roman" w:hAnsi="Times New Roman"/>
          <w:b/>
          <w:bCs/>
          <w:sz w:val="22"/>
          <w:szCs w:val="22"/>
          <w:lang w:val="sr-Latn-ME"/>
        </w:rPr>
        <w:t>6.4. Posebne m</w:t>
      </w:r>
      <w:r w:rsidR="00031846" w:rsidRPr="000E77D2">
        <w:rPr>
          <w:rFonts w:ascii="Times New Roman" w:hAnsi="Times New Roman"/>
          <w:b/>
          <w:bCs/>
          <w:sz w:val="22"/>
          <w:szCs w:val="22"/>
          <w:lang w:val="sr-Latn-ME"/>
        </w:rPr>
        <w:t>j</w:t>
      </w:r>
      <w:r w:rsidRPr="000E77D2">
        <w:rPr>
          <w:rFonts w:ascii="Times New Roman" w:hAnsi="Times New Roman"/>
          <w:b/>
          <w:bCs/>
          <w:sz w:val="22"/>
          <w:szCs w:val="22"/>
          <w:lang w:val="sr-Latn-ME"/>
        </w:rPr>
        <w:t xml:space="preserve">ere </w:t>
      </w:r>
      <w:r w:rsidR="00F141B2" w:rsidRPr="000E77D2">
        <w:rPr>
          <w:rFonts w:ascii="Times New Roman" w:hAnsi="Times New Roman"/>
          <w:b/>
          <w:bCs/>
          <w:sz w:val="22"/>
          <w:szCs w:val="22"/>
          <w:lang w:val="sr-Latn-ME"/>
        </w:rPr>
        <w:t xml:space="preserve">upozorenja </w:t>
      </w:r>
      <w:r w:rsidRPr="000E77D2">
        <w:rPr>
          <w:rFonts w:ascii="Times New Roman" w:hAnsi="Times New Roman"/>
          <w:b/>
          <w:bCs/>
          <w:sz w:val="22"/>
          <w:szCs w:val="22"/>
          <w:lang w:val="sr-Latn-ME"/>
        </w:rPr>
        <w:t>pri čuvanju</w:t>
      </w:r>
      <w:r w:rsidR="00031846" w:rsidRPr="000E77D2">
        <w:rPr>
          <w:rFonts w:ascii="Times New Roman" w:hAnsi="Times New Roman"/>
          <w:b/>
          <w:bCs/>
          <w:sz w:val="22"/>
          <w:szCs w:val="22"/>
          <w:lang w:val="sr-Latn-ME"/>
        </w:rPr>
        <w:t xml:space="preserve"> lijeka</w:t>
      </w:r>
    </w:p>
    <w:p w14:paraId="1B0EA7DD" w14:textId="77777777" w:rsidR="001F2D8A" w:rsidRPr="000E77D2" w:rsidRDefault="001F2D8A" w:rsidP="007F16BE">
      <w:pPr>
        <w:pStyle w:val="Header"/>
        <w:tabs>
          <w:tab w:val="clear" w:pos="4536"/>
          <w:tab w:val="clear" w:pos="9072"/>
          <w:tab w:val="left" w:pos="284"/>
        </w:tabs>
        <w:jc w:val="left"/>
        <w:rPr>
          <w:rFonts w:ascii="Times New Roman" w:hAnsi="Times New Roman"/>
          <w:bCs/>
          <w:sz w:val="22"/>
          <w:szCs w:val="22"/>
          <w:lang w:val="sr-Latn-ME"/>
        </w:rPr>
      </w:pPr>
    </w:p>
    <w:p w14:paraId="1C4A94E4" w14:textId="0654BF7F" w:rsidR="000450A4" w:rsidRPr="000E77D2" w:rsidRDefault="000450A4" w:rsidP="007F16BE">
      <w:pPr>
        <w:pStyle w:val="Header"/>
        <w:tabs>
          <w:tab w:val="clear" w:pos="4536"/>
          <w:tab w:val="clear" w:pos="9072"/>
          <w:tab w:val="left" w:pos="284"/>
        </w:tabs>
        <w:jc w:val="left"/>
        <w:rPr>
          <w:rFonts w:ascii="Times New Roman" w:hAnsi="Times New Roman"/>
          <w:sz w:val="22"/>
          <w:szCs w:val="22"/>
          <w:lang w:val="sr-Latn-ME"/>
        </w:rPr>
      </w:pPr>
      <w:r w:rsidRPr="000E77D2">
        <w:rPr>
          <w:rFonts w:ascii="Times New Roman" w:hAnsi="Times New Roman"/>
          <w:sz w:val="22"/>
          <w:szCs w:val="22"/>
          <w:lang w:val="sr-Latn-ME"/>
        </w:rPr>
        <w:t>Čuvati na temperaturi do 30</w:t>
      </w:r>
      <w:r w:rsidRPr="000E77D2">
        <w:rPr>
          <w:rFonts w:ascii="Times New Roman" w:hAnsi="Times New Roman"/>
          <w:sz w:val="22"/>
          <w:szCs w:val="22"/>
          <w:lang w:val="sr-Latn-ME"/>
        </w:rPr>
        <w:sym w:font="Symbol" w:char="F0B0"/>
      </w:r>
      <w:r w:rsidRPr="000E77D2">
        <w:rPr>
          <w:rFonts w:ascii="Times New Roman" w:hAnsi="Times New Roman"/>
          <w:sz w:val="22"/>
          <w:szCs w:val="22"/>
          <w:lang w:val="sr-Latn-ME"/>
        </w:rPr>
        <w:t>C.</w:t>
      </w:r>
    </w:p>
    <w:p w14:paraId="743EACDE" w14:textId="77777777" w:rsidR="001F2D8A" w:rsidRPr="000E77D2" w:rsidRDefault="001F2D8A" w:rsidP="007F16BE">
      <w:pPr>
        <w:pStyle w:val="Header"/>
        <w:tabs>
          <w:tab w:val="clear" w:pos="4536"/>
          <w:tab w:val="clear" w:pos="9072"/>
          <w:tab w:val="left" w:pos="284"/>
        </w:tabs>
        <w:jc w:val="left"/>
        <w:rPr>
          <w:rFonts w:ascii="Times New Roman" w:hAnsi="Times New Roman"/>
          <w:color w:val="FF0000"/>
          <w:sz w:val="22"/>
          <w:szCs w:val="22"/>
          <w:lang w:val="sr-Latn-ME"/>
        </w:rPr>
      </w:pPr>
    </w:p>
    <w:p w14:paraId="237AA9C6" w14:textId="5A1C5140" w:rsidR="000450A4" w:rsidRPr="000E77D2" w:rsidRDefault="00031846" w:rsidP="007F16BE">
      <w:pPr>
        <w:pStyle w:val="Header"/>
        <w:tabs>
          <w:tab w:val="clear" w:pos="4536"/>
          <w:tab w:val="clear" w:pos="9072"/>
          <w:tab w:val="left" w:pos="284"/>
        </w:tabs>
        <w:jc w:val="left"/>
        <w:rPr>
          <w:rFonts w:ascii="Times New Roman" w:hAnsi="Times New Roman"/>
          <w:b/>
          <w:bCs/>
          <w:sz w:val="22"/>
          <w:szCs w:val="22"/>
          <w:lang w:val="sr-Latn-ME"/>
        </w:rPr>
      </w:pPr>
      <w:r w:rsidRPr="000E77D2">
        <w:rPr>
          <w:rFonts w:ascii="Times New Roman" w:hAnsi="Times New Roman"/>
          <w:b/>
          <w:bCs/>
          <w:sz w:val="22"/>
          <w:szCs w:val="22"/>
          <w:lang w:val="sr-Latn-ME"/>
        </w:rPr>
        <w:t>6.5. Vrst</w:t>
      </w:r>
      <w:r w:rsidR="000450A4" w:rsidRPr="000E77D2">
        <w:rPr>
          <w:rFonts w:ascii="Times New Roman" w:hAnsi="Times New Roman"/>
          <w:b/>
          <w:bCs/>
          <w:sz w:val="22"/>
          <w:szCs w:val="22"/>
          <w:lang w:val="sr-Latn-ME"/>
        </w:rPr>
        <w:t xml:space="preserve">a i sadržaj </w:t>
      </w:r>
      <w:r w:rsidR="000B2836" w:rsidRPr="000E77D2">
        <w:rPr>
          <w:rFonts w:ascii="Times New Roman" w:hAnsi="Times New Roman"/>
          <w:b/>
          <w:bCs/>
          <w:sz w:val="22"/>
          <w:szCs w:val="22"/>
          <w:lang w:val="sr-Latn-ME"/>
        </w:rPr>
        <w:t>pakovanja</w:t>
      </w:r>
    </w:p>
    <w:p w14:paraId="33CFE4C7" w14:textId="77777777" w:rsidR="000450A4" w:rsidRPr="000E77D2" w:rsidRDefault="000450A4" w:rsidP="007F16BE">
      <w:pPr>
        <w:rPr>
          <w:rFonts w:ascii="Times New Roman" w:hAnsi="Times New Roman"/>
          <w:color w:val="FF0000"/>
          <w:sz w:val="22"/>
          <w:szCs w:val="22"/>
          <w:lang w:val="sr-Latn-ME"/>
        </w:rPr>
      </w:pPr>
    </w:p>
    <w:p w14:paraId="49886396" w14:textId="0B65F732" w:rsidR="000450A4" w:rsidRPr="000E77D2" w:rsidRDefault="000450A4" w:rsidP="007F16BE">
      <w:pPr>
        <w:rPr>
          <w:rFonts w:ascii="Times New Roman" w:hAnsi="Times New Roman"/>
          <w:sz w:val="22"/>
          <w:szCs w:val="22"/>
          <w:lang w:val="sr-Latn-ME"/>
        </w:rPr>
      </w:pPr>
      <w:r w:rsidRPr="000E77D2">
        <w:rPr>
          <w:rFonts w:ascii="Times New Roman" w:hAnsi="Times New Roman"/>
          <w:sz w:val="22"/>
          <w:szCs w:val="22"/>
          <w:lang w:val="sr-Latn-ME"/>
        </w:rPr>
        <w:t>Unutrašnje pakovanje</w:t>
      </w:r>
      <w:r w:rsidR="00C24CB6" w:rsidRPr="000E77D2">
        <w:rPr>
          <w:rFonts w:ascii="Times New Roman" w:hAnsi="Times New Roman"/>
          <w:sz w:val="22"/>
          <w:szCs w:val="22"/>
          <w:lang w:val="sr-Latn-ME"/>
        </w:rPr>
        <w:t xml:space="preserve"> je</w:t>
      </w:r>
      <w:r w:rsidRPr="000E77D2">
        <w:rPr>
          <w:rFonts w:ascii="Times New Roman" w:hAnsi="Times New Roman"/>
          <w:sz w:val="22"/>
          <w:szCs w:val="22"/>
          <w:lang w:val="sr-Latn-ME"/>
        </w:rPr>
        <w:t xml:space="preserve"> PVC-PVDC/PVDC- aluminijumski blister.</w:t>
      </w:r>
    </w:p>
    <w:p w14:paraId="10613B4D" w14:textId="74AFD333" w:rsidR="000450A4" w:rsidRPr="000E77D2" w:rsidRDefault="000450A4" w:rsidP="007F16BE">
      <w:pPr>
        <w:rPr>
          <w:rFonts w:ascii="Times New Roman" w:hAnsi="Times New Roman"/>
          <w:sz w:val="22"/>
          <w:szCs w:val="22"/>
          <w:lang w:val="sr-Latn-ME"/>
        </w:rPr>
      </w:pPr>
      <w:r w:rsidRPr="000E77D2">
        <w:rPr>
          <w:rFonts w:ascii="Times New Roman" w:hAnsi="Times New Roman"/>
          <w:sz w:val="22"/>
          <w:szCs w:val="22"/>
          <w:lang w:val="sr-Latn-ME"/>
        </w:rPr>
        <w:t>Spoljašnje pakovanje</w:t>
      </w:r>
      <w:r w:rsidR="00C24CB6" w:rsidRPr="000E77D2">
        <w:rPr>
          <w:rFonts w:ascii="Times New Roman" w:hAnsi="Times New Roman"/>
          <w:sz w:val="22"/>
          <w:szCs w:val="22"/>
          <w:lang w:val="sr-Latn-ME"/>
        </w:rPr>
        <w:t xml:space="preserve"> je složiva</w:t>
      </w:r>
      <w:r w:rsidRPr="000E77D2">
        <w:rPr>
          <w:rFonts w:ascii="Times New Roman" w:hAnsi="Times New Roman"/>
          <w:sz w:val="22"/>
          <w:szCs w:val="22"/>
          <w:lang w:val="sr-Latn-ME"/>
        </w:rPr>
        <w:t xml:space="preserve"> kartonska kutija </w:t>
      </w:r>
      <w:r w:rsidR="002422AC" w:rsidRPr="000E77D2">
        <w:rPr>
          <w:rFonts w:ascii="Times New Roman" w:hAnsi="Times New Roman"/>
          <w:sz w:val="22"/>
          <w:szCs w:val="22"/>
          <w:lang w:val="sr-Latn-ME"/>
        </w:rPr>
        <w:t>u kojoj se nalaze</w:t>
      </w:r>
      <w:r w:rsidRPr="000E77D2">
        <w:rPr>
          <w:rFonts w:ascii="Times New Roman" w:hAnsi="Times New Roman"/>
          <w:sz w:val="22"/>
          <w:szCs w:val="22"/>
          <w:lang w:val="sr-Latn-ME"/>
        </w:rPr>
        <w:t xml:space="preserve"> 2 blistera sa po 15 </w:t>
      </w:r>
      <w:r w:rsidR="00DA48F3" w:rsidRPr="000E77D2">
        <w:rPr>
          <w:rFonts w:ascii="Times New Roman" w:hAnsi="Times New Roman"/>
          <w:sz w:val="22"/>
          <w:szCs w:val="22"/>
          <w:lang w:val="sr-Latn-ME"/>
        </w:rPr>
        <w:t xml:space="preserve">obloženih </w:t>
      </w:r>
      <w:r w:rsidRPr="000E77D2">
        <w:rPr>
          <w:rFonts w:ascii="Times New Roman" w:hAnsi="Times New Roman"/>
          <w:sz w:val="22"/>
          <w:szCs w:val="22"/>
          <w:lang w:val="sr-Latn-ME"/>
        </w:rPr>
        <w:t>tableta</w:t>
      </w:r>
      <w:r w:rsidR="00DA48F3" w:rsidRPr="000E77D2">
        <w:rPr>
          <w:rFonts w:ascii="Times New Roman" w:hAnsi="Times New Roman"/>
          <w:sz w:val="22"/>
          <w:szCs w:val="22"/>
          <w:lang w:val="sr-Latn-ME"/>
        </w:rPr>
        <w:t xml:space="preserve"> (ukupno 30</w:t>
      </w:r>
      <w:r w:rsidR="004703D0" w:rsidRPr="000E77D2">
        <w:rPr>
          <w:rFonts w:ascii="Times New Roman" w:hAnsi="Times New Roman"/>
          <w:sz w:val="22"/>
          <w:szCs w:val="22"/>
          <w:lang w:val="sr-Latn-ME"/>
        </w:rPr>
        <w:t> </w:t>
      </w:r>
      <w:r w:rsidR="00DA48F3" w:rsidRPr="000E77D2">
        <w:rPr>
          <w:rFonts w:ascii="Times New Roman" w:hAnsi="Times New Roman"/>
          <w:sz w:val="22"/>
          <w:szCs w:val="22"/>
          <w:lang w:val="sr-Latn-ME"/>
        </w:rPr>
        <w:t>obloženih tableta)</w:t>
      </w:r>
      <w:r w:rsidR="000A1FEF" w:rsidRPr="000E77D2">
        <w:rPr>
          <w:rFonts w:ascii="Times New Roman" w:hAnsi="Times New Roman"/>
          <w:sz w:val="22"/>
          <w:szCs w:val="22"/>
          <w:lang w:val="sr-Latn-ME"/>
        </w:rPr>
        <w:t xml:space="preserve"> i Uputstvo za </w:t>
      </w:r>
      <w:r w:rsidR="002422AC" w:rsidRPr="000E77D2">
        <w:rPr>
          <w:rFonts w:ascii="Times New Roman" w:hAnsi="Times New Roman"/>
          <w:sz w:val="22"/>
          <w:szCs w:val="22"/>
          <w:lang w:val="sr-Latn-ME"/>
        </w:rPr>
        <w:t>lijek</w:t>
      </w:r>
      <w:r w:rsidRPr="000E77D2">
        <w:rPr>
          <w:rFonts w:ascii="Times New Roman" w:hAnsi="Times New Roman"/>
          <w:sz w:val="22"/>
          <w:szCs w:val="22"/>
          <w:lang w:val="sr-Latn-ME"/>
        </w:rPr>
        <w:t>.</w:t>
      </w:r>
    </w:p>
    <w:p w14:paraId="7D2CA939" w14:textId="77777777" w:rsidR="000450A4" w:rsidRPr="000E77D2" w:rsidRDefault="000450A4" w:rsidP="007F16BE">
      <w:pPr>
        <w:rPr>
          <w:rFonts w:ascii="Times New Roman" w:hAnsi="Times New Roman"/>
          <w:color w:val="FF0000"/>
          <w:sz w:val="22"/>
          <w:szCs w:val="22"/>
          <w:lang w:val="sr-Latn-ME"/>
        </w:rPr>
      </w:pPr>
    </w:p>
    <w:p w14:paraId="3564EF03" w14:textId="3CE7D24F" w:rsidR="000450A4" w:rsidRPr="000E77D2" w:rsidRDefault="000450A4" w:rsidP="007F16BE">
      <w:pPr>
        <w:pStyle w:val="Header"/>
        <w:tabs>
          <w:tab w:val="clear" w:pos="4536"/>
          <w:tab w:val="clear" w:pos="9072"/>
          <w:tab w:val="left" w:pos="284"/>
        </w:tabs>
        <w:rPr>
          <w:rFonts w:ascii="Times New Roman" w:hAnsi="Times New Roman"/>
          <w:b/>
          <w:bCs/>
          <w:sz w:val="22"/>
          <w:szCs w:val="22"/>
          <w:lang w:val="sr-Latn-ME"/>
        </w:rPr>
      </w:pPr>
      <w:r w:rsidRPr="000E77D2">
        <w:rPr>
          <w:rFonts w:ascii="Times New Roman" w:hAnsi="Times New Roman"/>
          <w:b/>
          <w:bCs/>
          <w:sz w:val="22"/>
          <w:szCs w:val="22"/>
          <w:lang w:val="sr-Latn-ME"/>
        </w:rPr>
        <w:t>6.6. Posebne m</w:t>
      </w:r>
      <w:r w:rsidR="00031846" w:rsidRPr="000E77D2">
        <w:rPr>
          <w:rFonts w:ascii="Times New Roman" w:hAnsi="Times New Roman"/>
          <w:b/>
          <w:bCs/>
          <w:sz w:val="22"/>
          <w:szCs w:val="22"/>
          <w:lang w:val="sr-Latn-ME"/>
        </w:rPr>
        <w:t>j</w:t>
      </w:r>
      <w:r w:rsidRPr="000E77D2">
        <w:rPr>
          <w:rFonts w:ascii="Times New Roman" w:hAnsi="Times New Roman"/>
          <w:b/>
          <w:bCs/>
          <w:sz w:val="22"/>
          <w:szCs w:val="22"/>
          <w:lang w:val="sr-Latn-ME"/>
        </w:rPr>
        <w:t>ere opreza pri odlaganju materijala koji treba odbaciti nakon prim</w:t>
      </w:r>
      <w:r w:rsidR="00031846" w:rsidRPr="000E77D2">
        <w:rPr>
          <w:rFonts w:ascii="Times New Roman" w:hAnsi="Times New Roman"/>
          <w:b/>
          <w:bCs/>
          <w:sz w:val="22"/>
          <w:szCs w:val="22"/>
          <w:lang w:val="sr-Latn-ME"/>
        </w:rPr>
        <w:t>j</w:t>
      </w:r>
      <w:r w:rsidRPr="000E77D2">
        <w:rPr>
          <w:rFonts w:ascii="Times New Roman" w:hAnsi="Times New Roman"/>
          <w:b/>
          <w:bCs/>
          <w:sz w:val="22"/>
          <w:szCs w:val="22"/>
          <w:lang w:val="sr-Latn-ME"/>
        </w:rPr>
        <w:t>ene l</w:t>
      </w:r>
      <w:r w:rsidR="00031846" w:rsidRPr="000E77D2">
        <w:rPr>
          <w:rFonts w:ascii="Times New Roman" w:hAnsi="Times New Roman"/>
          <w:b/>
          <w:bCs/>
          <w:sz w:val="22"/>
          <w:szCs w:val="22"/>
          <w:lang w:val="sr-Latn-ME"/>
        </w:rPr>
        <w:t>ij</w:t>
      </w:r>
      <w:r w:rsidRPr="000E77D2">
        <w:rPr>
          <w:rFonts w:ascii="Times New Roman" w:hAnsi="Times New Roman"/>
          <w:b/>
          <w:bCs/>
          <w:sz w:val="22"/>
          <w:szCs w:val="22"/>
          <w:lang w:val="sr-Latn-ME"/>
        </w:rPr>
        <w:t xml:space="preserve">eka </w:t>
      </w:r>
      <w:r w:rsidR="00F141B2" w:rsidRPr="000E77D2">
        <w:rPr>
          <w:rFonts w:ascii="Times New Roman" w:hAnsi="Times New Roman"/>
          <w:b/>
          <w:bCs/>
          <w:sz w:val="22"/>
          <w:szCs w:val="22"/>
          <w:lang w:val="sr-Latn-ME"/>
        </w:rPr>
        <w:t>(i druga uputstva za rukovanje lijekom)</w:t>
      </w:r>
    </w:p>
    <w:p w14:paraId="7C3210F1" w14:textId="77777777" w:rsidR="001F2D8A" w:rsidRPr="000E77D2" w:rsidRDefault="001F2D8A" w:rsidP="007F16BE">
      <w:pPr>
        <w:pStyle w:val="Header"/>
        <w:tabs>
          <w:tab w:val="clear" w:pos="4536"/>
          <w:tab w:val="clear" w:pos="9072"/>
          <w:tab w:val="left" w:pos="284"/>
        </w:tabs>
        <w:jc w:val="left"/>
        <w:rPr>
          <w:rFonts w:ascii="Times New Roman" w:hAnsi="Times New Roman"/>
          <w:bCs/>
          <w:color w:val="FF0000"/>
          <w:sz w:val="22"/>
          <w:szCs w:val="22"/>
          <w:lang w:val="sr-Latn-ME"/>
        </w:rPr>
      </w:pPr>
    </w:p>
    <w:p w14:paraId="62601949" w14:textId="7E3EAA40" w:rsidR="006609BB" w:rsidRPr="000E77D2" w:rsidRDefault="002422AC" w:rsidP="002422AC">
      <w:pPr>
        <w:pStyle w:val="Header"/>
        <w:jc w:val="left"/>
        <w:rPr>
          <w:rFonts w:ascii="Times New Roman" w:hAnsi="Times New Roman"/>
          <w:sz w:val="22"/>
          <w:szCs w:val="22"/>
          <w:lang w:val="sr-Latn-ME"/>
        </w:rPr>
      </w:pPr>
      <w:bookmarkStart w:id="6" w:name="_Hlk160615348"/>
      <w:r w:rsidRPr="000E77D2">
        <w:rPr>
          <w:rFonts w:ascii="Times New Roman" w:hAnsi="Times New Roman"/>
          <w:sz w:val="22"/>
          <w:szCs w:val="22"/>
          <w:lang w:val="sr-Latn-ME"/>
        </w:rPr>
        <w:t>Svu neiskorišćenu količinu lijeka ili otpadnog materijala nakon njegove upotrebe treba ukloniti, u skladu sa važećim propisima.</w:t>
      </w:r>
    </w:p>
    <w:bookmarkEnd w:id="6"/>
    <w:p w14:paraId="2C519A9C" w14:textId="77777777" w:rsidR="001F2D8A" w:rsidRPr="000E77D2" w:rsidRDefault="001F2D8A" w:rsidP="007F16BE">
      <w:pPr>
        <w:pStyle w:val="Header"/>
        <w:tabs>
          <w:tab w:val="clear" w:pos="4536"/>
          <w:tab w:val="clear" w:pos="9072"/>
          <w:tab w:val="left" w:pos="284"/>
        </w:tabs>
        <w:jc w:val="left"/>
        <w:rPr>
          <w:rFonts w:ascii="Times New Roman" w:hAnsi="Times New Roman"/>
          <w:color w:val="FF0000"/>
          <w:sz w:val="22"/>
          <w:szCs w:val="22"/>
          <w:lang w:val="sr-Latn-ME"/>
        </w:rPr>
      </w:pPr>
    </w:p>
    <w:p w14:paraId="51A522B2" w14:textId="77777777" w:rsidR="000450A4" w:rsidRPr="000E77D2" w:rsidRDefault="000450A4" w:rsidP="007F16BE">
      <w:pPr>
        <w:pStyle w:val="Header"/>
        <w:tabs>
          <w:tab w:val="clear" w:pos="4536"/>
          <w:tab w:val="clear" w:pos="9072"/>
          <w:tab w:val="left" w:pos="284"/>
        </w:tabs>
        <w:rPr>
          <w:rFonts w:ascii="Times New Roman" w:hAnsi="Times New Roman"/>
          <w:b/>
          <w:bCs/>
          <w:sz w:val="22"/>
          <w:szCs w:val="22"/>
          <w:lang w:val="sr-Latn-ME"/>
        </w:rPr>
      </w:pPr>
      <w:r w:rsidRPr="000E77D2">
        <w:rPr>
          <w:rFonts w:ascii="Times New Roman" w:hAnsi="Times New Roman"/>
          <w:b/>
          <w:bCs/>
          <w:sz w:val="22"/>
          <w:szCs w:val="22"/>
          <w:lang w:val="sr-Latn-ME"/>
        </w:rPr>
        <w:lastRenderedPageBreak/>
        <w:t xml:space="preserve">7. NOSILAC DOZVOLE </w:t>
      </w:r>
    </w:p>
    <w:p w14:paraId="4730E034" w14:textId="77777777" w:rsidR="001F2D8A" w:rsidRPr="000E77D2" w:rsidRDefault="001F2D8A" w:rsidP="007F16BE">
      <w:pPr>
        <w:pStyle w:val="Header"/>
        <w:tabs>
          <w:tab w:val="clear" w:pos="4536"/>
          <w:tab w:val="clear" w:pos="9072"/>
          <w:tab w:val="left" w:pos="284"/>
        </w:tabs>
        <w:jc w:val="left"/>
        <w:rPr>
          <w:rFonts w:ascii="Times New Roman" w:hAnsi="Times New Roman"/>
          <w:bCs/>
          <w:color w:val="FF0000"/>
          <w:sz w:val="22"/>
          <w:szCs w:val="22"/>
          <w:lang w:val="sr-Latn-ME"/>
        </w:rPr>
      </w:pPr>
    </w:p>
    <w:p w14:paraId="1D196799" w14:textId="0FAB3F4D" w:rsidR="001F2D8A" w:rsidRPr="000E77D2" w:rsidRDefault="000A1FEF" w:rsidP="007F16BE">
      <w:pPr>
        <w:pStyle w:val="Header"/>
        <w:tabs>
          <w:tab w:val="clear" w:pos="4536"/>
          <w:tab w:val="clear" w:pos="9072"/>
          <w:tab w:val="left" w:pos="284"/>
        </w:tabs>
        <w:rPr>
          <w:rFonts w:ascii="Times New Roman" w:hAnsi="Times New Roman"/>
          <w:sz w:val="22"/>
          <w:szCs w:val="22"/>
          <w:lang w:val="sr-Latn-ME"/>
        </w:rPr>
      </w:pPr>
      <w:r w:rsidRPr="000E77D2">
        <w:rPr>
          <w:rFonts w:ascii="Times New Roman" w:hAnsi="Times New Roman"/>
          <w:sz w:val="22"/>
          <w:szCs w:val="22"/>
          <w:lang w:val="sr-Latn-ME"/>
        </w:rPr>
        <w:t>Evropa Lek Pharma d.o.o. Podgorica, Kritskog odreda 4/1, 81000 Podgorica, Crna Gora</w:t>
      </w:r>
    </w:p>
    <w:p w14:paraId="6CD6C0A1" w14:textId="5D8AF7F7" w:rsidR="000A1FEF" w:rsidRPr="000E77D2" w:rsidRDefault="000A1FEF" w:rsidP="007F16BE">
      <w:pPr>
        <w:pStyle w:val="Header"/>
        <w:tabs>
          <w:tab w:val="clear" w:pos="4536"/>
          <w:tab w:val="clear" w:pos="9072"/>
          <w:tab w:val="left" w:pos="284"/>
        </w:tabs>
        <w:rPr>
          <w:rFonts w:ascii="Times New Roman" w:hAnsi="Times New Roman"/>
          <w:color w:val="FF0000"/>
          <w:sz w:val="22"/>
          <w:szCs w:val="22"/>
          <w:lang w:val="sr-Latn-ME"/>
        </w:rPr>
      </w:pPr>
    </w:p>
    <w:p w14:paraId="3757A815" w14:textId="77777777" w:rsidR="007F16BE" w:rsidRPr="000E77D2" w:rsidRDefault="007F16BE" w:rsidP="007F16BE">
      <w:pPr>
        <w:pStyle w:val="Header"/>
        <w:tabs>
          <w:tab w:val="clear" w:pos="4536"/>
          <w:tab w:val="clear" w:pos="9072"/>
          <w:tab w:val="left" w:pos="284"/>
        </w:tabs>
        <w:rPr>
          <w:rFonts w:ascii="Times New Roman" w:hAnsi="Times New Roman"/>
          <w:color w:val="FF0000"/>
          <w:sz w:val="22"/>
          <w:szCs w:val="22"/>
          <w:lang w:val="sr-Latn-ME"/>
        </w:rPr>
      </w:pPr>
    </w:p>
    <w:p w14:paraId="72A8254E" w14:textId="0A55E65E" w:rsidR="000450A4" w:rsidRPr="000E77D2" w:rsidRDefault="000450A4" w:rsidP="007F16BE">
      <w:pPr>
        <w:pStyle w:val="Header"/>
        <w:tabs>
          <w:tab w:val="clear" w:pos="4536"/>
          <w:tab w:val="clear" w:pos="9072"/>
          <w:tab w:val="left" w:pos="284"/>
        </w:tabs>
        <w:rPr>
          <w:rFonts w:ascii="Times New Roman" w:hAnsi="Times New Roman"/>
          <w:b/>
          <w:bCs/>
          <w:sz w:val="22"/>
          <w:szCs w:val="22"/>
          <w:lang w:val="sr-Latn-ME"/>
        </w:rPr>
      </w:pPr>
      <w:r w:rsidRPr="000E77D2">
        <w:rPr>
          <w:rFonts w:ascii="Times New Roman" w:hAnsi="Times New Roman"/>
          <w:b/>
          <w:bCs/>
          <w:sz w:val="22"/>
          <w:szCs w:val="22"/>
          <w:lang w:val="sr-Latn-ME"/>
        </w:rPr>
        <w:t>8. BROJ DOZVOLE</w:t>
      </w:r>
      <w:r w:rsidR="002C2EF1" w:rsidRPr="000E77D2">
        <w:rPr>
          <w:rFonts w:ascii="Times New Roman" w:hAnsi="Times New Roman"/>
          <w:b/>
          <w:bCs/>
          <w:sz w:val="22"/>
          <w:szCs w:val="22"/>
          <w:lang w:val="sr-Latn-ME"/>
        </w:rPr>
        <w:t xml:space="preserve"> </w:t>
      </w:r>
      <w:r w:rsidR="00F141B2" w:rsidRPr="000E77D2">
        <w:rPr>
          <w:rFonts w:ascii="Times New Roman" w:hAnsi="Times New Roman"/>
          <w:b/>
          <w:bCs/>
          <w:sz w:val="22"/>
          <w:szCs w:val="22"/>
          <w:lang w:val="sr-Latn-ME"/>
        </w:rPr>
        <w:t>ZA STAVLJANJE LIJEKA U PROMET</w:t>
      </w:r>
    </w:p>
    <w:p w14:paraId="37AC218A" w14:textId="48F181F0" w:rsidR="001F2D8A" w:rsidRPr="000E77D2" w:rsidRDefault="001F2D8A" w:rsidP="007F16BE">
      <w:pPr>
        <w:pStyle w:val="Header"/>
        <w:tabs>
          <w:tab w:val="clear" w:pos="4536"/>
          <w:tab w:val="clear" w:pos="9072"/>
          <w:tab w:val="left" w:pos="284"/>
        </w:tabs>
        <w:jc w:val="left"/>
        <w:rPr>
          <w:rFonts w:ascii="Times New Roman" w:hAnsi="Times New Roman"/>
          <w:bCs/>
          <w:color w:val="FF0000"/>
          <w:sz w:val="22"/>
          <w:szCs w:val="22"/>
          <w:lang w:val="sr-Latn-ME"/>
        </w:rPr>
      </w:pPr>
    </w:p>
    <w:p w14:paraId="30ADD177" w14:textId="782F83FE" w:rsidR="000A1FEF" w:rsidRPr="000E77D2" w:rsidRDefault="000E77D2" w:rsidP="007F16BE">
      <w:pPr>
        <w:pStyle w:val="Header"/>
        <w:tabs>
          <w:tab w:val="clear" w:pos="4536"/>
          <w:tab w:val="clear" w:pos="9072"/>
          <w:tab w:val="left" w:pos="284"/>
        </w:tabs>
        <w:jc w:val="left"/>
        <w:rPr>
          <w:rFonts w:ascii="Times New Roman" w:hAnsi="Times New Roman"/>
          <w:sz w:val="22"/>
          <w:szCs w:val="22"/>
          <w:lang w:val="sr-Latn-ME"/>
        </w:rPr>
      </w:pPr>
      <w:r w:rsidRPr="000E77D2">
        <w:rPr>
          <w:rFonts w:ascii="Times New Roman" w:hAnsi="Times New Roman"/>
          <w:sz w:val="22"/>
          <w:szCs w:val="22"/>
        </w:rPr>
        <w:t>2030/24/6766 - 7370</w:t>
      </w:r>
    </w:p>
    <w:p w14:paraId="2ED59830" w14:textId="6BF5368E" w:rsidR="007F16BE" w:rsidRDefault="007F16BE" w:rsidP="007F16BE">
      <w:pPr>
        <w:pStyle w:val="Header"/>
        <w:tabs>
          <w:tab w:val="clear" w:pos="4536"/>
          <w:tab w:val="clear" w:pos="9072"/>
          <w:tab w:val="left" w:pos="284"/>
        </w:tabs>
        <w:jc w:val="left"/>
        <w:rPr>
          <w:rFonts w:ascii="Times New Roman" w:hAnsi="Times New Roman"/>
          <w:color w:val="FF0000"/>
          <w:sz w:val="22"/>
          <w:szCs w:val="22"/>
          <w:lang w:val="sr-Latn-ME"/>
        </w:rPr>
      </w:pPr>
    </w:p>
    <w:p w14:paraId="393AD11C" w14:textId="77777777" w:rsidR="000E77D2" w:rsidRPr="000E77D2" w:rsidRDefault="000E77D2" w:rsidP="007F16BE">
      <w:pPr>
        <w:pStyle w:val="Header"/>
        <w:tabs>
          <w:tab w:val="clear" w:pos="4536"/>
          <w:tab w:val="clear" w:pos="9072"/>
          <w:tab w:val="left" w:pos="284"/>
        </w:tabs>
        <w:jc w:val="left"/>
        <w:rPr>
          <w:rFonts w:ascii="Times New Roman" w:hAnsi="Times New Roman"/>
          <w:color w:val="FF0000"/>
          <w:sz w:val="22"/>
          <w:szCs w:val="22"/>
          <w:lang w:val="sr-Latn-ME"/>
        </w:rPr>
      </w:pPr>
    </w:p>
    <w:p w14:paraId="2833427C" w14:textId="7D9E918F" w:rsidR="00031846" w:rsidRPr="000E77D2" w:rsidRDefault="000450A4" w:rsidP="007F16BE">
      <w:pPr>
        <w:pStyle w:val="Header"/>
        <w:tabs>
          <w:tab w:val="clear" w:pos="4536"/>
          <w:tab w:val="clear" w:pos="9072"/>
          <w:tab w:val="left" w:pos="284"/>
        </w:tabs>
        <w:rPr>
          <w:rFonts w:ascii="Times New Roman" w:hAnsi="Times New Roman"/>
          <w:b/>
          <w:bCs/>
          <w:sz w:val="22"/>
          <w:szCs w:val="22"/>
          <w:lang w:val="sr-Latn-ME"/>
        </w:rPr>
      </w:pPr>
      <w:r w:rsidRPr="000E77D2">
        <w:rPr>
          <w:rFonts w:ascii="Times New Roman" w:hAnsi="Times New Roman"/>
          <w:b/>
          <w:bCs/>
          <w:sz w:val="22"/>
          <w:szCs w:val="22"/>
          <w:lang w:val="sr-Latn-ME"/>
        </w:rPr>
        <w:t xml:space="preserve">9. </w:t>
      </w:r>
      <w:r w:rsidR="00031846" w:rsidRPr="000E77D2">
        <w:rPr>
          <w:rFonts w:ascii="Times New Roman" w:hAnsi="Times New Roman"/>
          <w:b/>
          <w:bCs/>
          <w:sz w:val="22"/>
          <w:szCs w:val="22"/>
          <w:lang w:val="sr-Latn-ME"/>
        </w:rPr>
        <w:t>DATUM PRVE DOZVOLE OBNOVE DOZVOLE</w:t>
      </w:r>
      <w:r w:rsidR="00F141B2" w:rsidRPr="000E77D2">
        <w:rPr>
          <w:rFonts w:ascii="Times New Roman" w:hAnsi="Times New Roman"/>
          <w:b/>
          <w:bCs/>
          <w:sz w:val="22"/>
          <w:szCs w:val="22"/>
          <w:lang w:val="sr-Latn-ME"/>
        </w:rPr>
        <w:t xml:space="preserve"> ZA STAVLJANJE LIJEKA U PROMET</w:t>
      </w:r>
    </w:p>
    <w:p w14:paraId="71C21D2F" w14:textId="744F7B1F" w:rsidR="000450A4" w:rsidRPr="000E77D2" w:rsidRDefault="000450A4" w:rsidP="007F16BE">
      <w:pPr>
        <w:pStyle w:val="Header"/>
        <w:tabs>
          <w:tab w:val="clear" w:pos="4536"/>
          <w:tab w:val="clear" w:pos="9072"/>
          <w:tab w:val="left" w:pos="284"/>
        </w:tabs>
        <w:rPr>
          <w:rFonts w:ascii="Times New Roman" w:hAnsi="Times New Roman"/>
          <w:b/>
          <w:bCs/>
          <w:sz w:val="22"/>
          <w:szCs w:val="22"/>
          <w:lang w:val="sr-Latn-ME"/>
        </w:rPr>
      </w:pPr>
    </w:p>
    <w:p w14:paraId="637D43E1" w14:textId="090704AE" w:rsidR="009A2CDE" w:rsidRPr="000E77D2" w:rsidRDefault="002422AC" w:rsidP="007F16BE">
      <w:pPr>
        <w:pStyle w:val="Header"/>
        <w:tabs>
          <w:tab w:val="clear" w:pos="4536"/>
          <w:tab w:val="clear" w:pos="9072"/>
          <w:tab w:val="left" w:pos="284"/>
        </w:tabs>
        <w:jc w:val="left"/>
        <w:rPr>
          <w:rFonts w:ascii="Times New Roman" w:hAnsi="Times New Roman"/>
          <w:sz w:val="22"/>
          <w:szCs w:val="22"/>
          <w:lang w:val="sr-Latn-ME"/>
        </w:rPr>
      </w:pPr>
      <w:r w:rsidRPr="000E77D2">
        <w:rPr>
          <w:rFonts w:ascii="Times New Roman" w:hAnsi="Times New Roman"/>
          <w:sz w:val="22"/>
          <w:szCs w:val="22"/>
          <w:lang w:val="sr-Latn-ME"/>
        </w:rPr>
        <w:t>Datum prve dozvole</w:t>
      </w:r>
      <w:r w:rsidR="000A1FEF" w:rsidRPr="000E77D2">
        <w:rPr>
          <w:rFonts w:ascii="Times New Roman" w:hAnsi="Times New Roman"/>
          <w:sz w:val="22"/>
          <w:szCs w:val="22"/>
          <w:lang w:val="sr-Latn-ME"/>
        </w:rPr>
        <w:t>: 22.06.2015. godine</w:t>
      </w:r>
      <w:r w:rsidRPr="000E77D2">
        <w:rPr>
          <w:rFonts w:ascii="Times New Roman" w:hAnsi="Times New Roman"/>
          <w:sz w:val="22"/>
          <w:szCs w:val="22"/>
          <w:lang w:val="sr-Latn-ME"/>
        </w:rPr>
        <w:br/>
        <w:t>Datum poslednje obnove dozvole:</w:t>
      </w:r>
      <w:r w:rsidR="000E77D2">
        <w:rPr>
          <w:rFonts w:ascii="Times New Roman" w:hAnsi="Times New Roman"/>
          <w:sz w:val="22"/>
          <w:szCs w:val="22"/>
          <w:lang w:val="sr-Latn-ME"/>
        </w:rPr>
        <w:t xml:space="preserve"> </w:t>
      </w:r>
      <w:r w:rsidR="000E77D2" w:rsidRPr="000E77D2">
        <w:rPr>
          <w:rFonts w:ascii="Times New Roman" w:hAnsi="Times New Roman"/>
          <w:sz w:val="22"/>
          <w:szCs w:val="22"/>
        </w:rPr>
        <w:t xml:space="preserve">20.12.2024. </w:t>
      </w:r>
      <w:proofErr w:type="gramStart"/>
      <w:r w:rsidR="000E77D2" w:rsidRPr="000E77D2">
        <w:rPr>
          <w:rFonts w:ascii="Times New Roman" w:hAnsi="Times New Roman"/>
          <w:sz w:val="22"/>
          <w:szCs w:val="22"/>
        </w:rPr>
        <w:t>godine</w:t>
      </w:r>
      <w:proofErr w:type="gramEnd"/>
    </w:p>
    <w:p w14:paraId="4488B8C5" w14:textId="77777777" w:rsidR="000A1FEF" w:rsidRPr="000E77D2" w:rsidRDefault="000A1FEF" w:rsidP="007F16BE">
      <w:pPr>
        <w:pStyle w:val="Header"/>
        <w:tabs>
          <w:tab w:val="clear" w:pos="4536"/>
          <w:tab w:val="clear" w:pos="9072"/>
          <w:tab w:val="left" w:pos="284"/>
        </w:tabs>
        <w:jc w:val="left"/>
        <w:rPr>
          <w:rFonts w:ascii="Times New Roman" w:hAnsi="Times New Roman"/>
          <w:b/>
          <w:bCs/>
          <w:color w:val="FF0000"/>
          <w:sz w:val="22"/>
          <w:szCs w:val="22"/>
          <w:lang w:val="sr-Latn-ME"/>
        </w:rPr>
      </w:pPr>
    </w:p>
    <w:p w14:paraId="6D3A6532" w14:textId="77777777" w:rsidR="00C0115B" w:rsidRPr="000E77D2" w:rsidRDefault="00C0115B" w:rsidP="007F16BE">
      <w:pPr>
        <w:pStyle w:val="Header"/>
        <w:tabs>
          <w:tab w:val="clear" w:pos="4536"/>
          <w:tab w:val="clear" w:pos="9072"/>
          <w:tab w:val="left" w:pos="284"/>
        </w:tabs>
        <w:jc w:val="left"/>
        <w:rPr>
          <w:rFonts w:ascii="Times New Roman" w:hAnsi="Times New Roman"/>
          <w:b/>
          <w:bCs/>
          <w:color w:val="FF0000"/>
          <w:sz w:val="22"/>
          <w:szCs w:val="22"/>
          <w:lang w:val="sr-Latn-ME"/>
        </w:rPr>
      </w:pPr>
    </w:p>
    <w:p w14:paraId="6F6F0D48" w14:textId="27FACAC5" w:rsidR="00031846" w:rsidRPr="000E77D2" w:rsidRDefault="000450A4" w:rsidP="007F16BE">
      <w:pPr>
        <w:pStyle w:val="Header"/>
        <w:tabs>
          <w:tab w:val="clear" w:pos="4536"/>
          <w:tab w:val="clear" w:pos="9072"/>
          <w:tab w:val="left" w:pos="284"/>
        </w:tabs>
        <w:rPr>
          <w:rFonts w:ascii="Times New Roman" w:hAnsi="Times New Roman"/>
          <w:b/>
          <w:bCs/>
          <w:sz w:val="22"/>
          <w:szCs w:val="22"/>
          <w:lang w:val="sr-Latn-ME"/>
        </w:rPr>
      </w:pPr>
      <w:r w:rsidRPr="000E77D2">
        <w:rPr>
          <w:rFonts w:ascii="Times New Roman" w:hAnsi="Times New Roman"/>
          <w:b/>
          <w:bCs/>
          <w:sz w:val="22"/>
          <w:szCs w:val="22"/>
          <w:lang w:val="sr-Latn-ME"/>
        </w:rPr>
        <w:t xml:space="preserve">10. </w:t>
      </w:r>
      <w:r w:rsidR="00031846" w:rsidRPr="000E77D2">
        <w:rPr>
          <w:rFonts w:ascii="Times New Roman" w:hAnsi="Times New Roman"/>
          <w:b/>
          <w:bCs/>
          <w:sz w:val="22"/>
          <w:szCs w:val="22"/>
          <w:lang w:val="sr-Latn-ME"/>
        </w:rPr>
        <w:t xml:space="preserve">DATUM REVIZIJE </w:t>
      </w:r>
      <w:r w:rsidR="000E77D2">
        <w:rPr>
          <w:rFonts w:ascii="Times New Roman" w:hAnsi="Times New Roman"/>
          <w:b/>
          <w:bCs/>
          <w:sz w:val="22"/>
          <w:szCs w:val="22"/>
          <w:lang w:val="sr-Latn-ME"/>
        </w:rPr>
        <w:t>TEKSTA</w:t>
      </w:r>
    </w:p>
    <w:p w14:paraId="7BDF8ADA" w14:textId="7227798D" w:rsidR="000450A4" w:rsidRPr="000E77D2" w:rsidRDefault="000450A4" w:rsidP="007F16BE">
      <w:pPr>
        <w:pStyle w:val="Header"/>
        <w:tabs>
          <w:tab w:val="clear" w:pos="4536"/>
          <w:tab w:val="clear" w:pos="9072"/>
          <w:tab w:val="left" w:pos="284"/>
        </w:tabs>
        <w:rPr>
          <w:rFonts w:ascii="Times New Roman" w:hAnsi="Times New Roman"/>
          <w:color w:val="FF0000"/>
          <w:sz w:val="22"/>
          <w:szCs w:val="22"/>
          <w:lang w:val="sr-Latn-ME"/>
        </w:rPr>
      </w:pPr>
    </w:p>
    <w:p w14:paraId="49DED6EA" w14:textId="2B614F02" w:rsidR="00834DBB" w:rsidRPr="000E77D2" w:rsidRDefault="000E77D2" w:rsidP="007F16BE">
      <w:pPr>
        <w:pStyle w:val="Header"/>
        <w:tabs>
          <w:tab w:val="clear" w:pos="4536"/>
          <w:tab w:val="clear" w:pos="9072"/>
          <w:tab w:val="left" w:pos="284"/>
        </w:tabs>
        <w:jc w:val="left"/>
        <w:rPr>
          <w:rFonts w:ascii="Times New Roman" w:hAnsi="Times New Roman"/>
          <w:sz w:val="22"/>
          <w:szCs w:val="22"/>
          <w:lang w:val="sr-Latn-ME"/>
        </w:rPr>
      </w:pPr>
      <w:r>
        <w:rPr>
          <w:rFonts w:ascii="Times New Roman" w:hAnsi="Times New Roman"/>
          <w:sz w:val="22"/>
          <w:szCs w:val="22"/>
          <w:lang w:val="sr-Latn-ME"/>
        </w:rPr>
        <w:t>Decembar, 2024. godine</w:t>
      </w:r>
    </w:p>
    <w:sectPr w:rsidR="00834DBB" w:rsidRPr="000E77D2" w:rsidSect="007D25A9">
      <w:headerReference w:type="default" r:id="rId11"/>
      <w:footerReference w:type="even" r:id="rId12"/>
      <w:footerReference w:type="defaul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5ABE4" w14:textId="77777777" w:rsidR="00B6072C" w:rsidRDefault="00B6072C">
      <w:r>
        <w:separator/>
      </w:r>
    </w:p>
  </w:endnote>
  <w:endnote w:type="continuationSeparator" w:id="0">
    <w:p w14:paraId="4984C138" w14:textId="77777777" w:rsidR="00B6072C" w:rsidRDefault="00B6072C">
      <w:r>
        <w:continuationSeparator/>
      </w:r>
    </w:p>
  </w:endnote>
  <w:endnote w:type="continuationNotice" w:id="1">
    <w:p w14:paraId="54646F73" w14:textId="77777777" w:rsidR="00B6072C" w:rsidRDefault="00B607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Humanist777">
    <w:altName w:val="Arial"/>
    <w:panose1 w:val="00000000000000000000"/>
    <w:charset w:val="00"/>
    <w:family w:val="swiss"/>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CB859" w14:textId="77777777" w:rsidR="00D964CF" w:rsidRDefault="00D964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D68E0D5" w14:textId="77777777" w:rsidR="00D964CF" w:rsidRDefault="00D964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04A01" w14:textId="28869F1A" w:rsidR="00D964CF" w:rsidRPr="007F16BE" w:rsidRDefault="00D964CF" w:rsidP="007F16BE">
    <w:pPr>
      <w:pStyle w:val="Footer"/>
      <w:tabs>
        <w:tab w:val="clear" w:pos="9072"/>
        <w:tab w:val="left" w:pos="5448"/>
        <w:tab w:val="right" w:pos="9639"/>
      </w:tabs>
      <w:jc w:val="center"/>
      <w:rPr>
        <w:rFonts w:ascii="Times New Roman" w:hAnsi="Times New Roman"/>
        <w:sz w:val="22"/>
      </w:rPr>
    </w:pPr>
    <w:r w:rsidRPr="007F16BE">
      <w:rPr>
        <w:rFonts w:ascii="Times New Roman" w:hAnsi="Times New Roman"/>
        <w:sz w:val="22"/>
        <w:szCs w:val="18"/>
      </w:rPr>
      <w:fldChar w:fldCharType="begin"/>
    </w:r>
    <w:r w:rsidRPr="007F16BE">
      <w:rPr>
        <w:rFonts w:ascii="Times New Roman" w:hAnsi="Times New Roman"/>
        <w:sz w:val="22"/>
        <w:szCs w:val="18"/>
      </w:rPr>
      <w:instrText xml:space="preserve"> PAGE </w:instrText>
    </w:r>
    <w:r w:rsidRPr="007F16BE">
      <w:rPr>
        <w:rFonts w:ascii="Times New Roman" w:hAnsi="Times New Roman"/>
        <w:sz w:val="22"/>
        <w:szCs w:val="18"/>
      </w:rPr>
      <w:fldChar w:fldCharType="separate"/>
    </w:r>
    <w:r w:rsidR="00520ED7">
      <w:rPr>
        <w:rFonts w:ascii="Times New Roman" w:hAnsi="Times New Roman"/>
        <w:noProof/>
        <w:sz w:val="22"/>
        <w:szCs w:val="18"/>
      </w:rPr>
      <w:t>13</w:t>
    </w:r>
    <w:r w:rsidRPr="007F16BE">
      <w:rPr>
        <w:rFonts w:ascii="Times New Roman" w:hAnsi="Times New Roman"/>
        <w:sz w:val="22"/>
        <w:szCs w:val="18"/>
      </w:rPr>
      <w:fldChar w:fldCharType="end"/>
    </w:r>
    <w:r w:rsidRPr="007F16BE">
      <w:rPr>
        <w:rFonts w:ascii="Times New Roman" w:hAnsi="Times New Roman"/>
        <w:sz w:val="22"/>
        <w:szCs w:val="18"/>
      </w:rPr>
      <w:t xml:space="preserve"> / </w:t>
    </w:r>
    <w:r w:rsidRPr="007F16BE">
      <w:rPr>
        <w:rFonts w:ascii="Times New Roman" w:hAnsi="Times New Roman"/>
        <w:sz w:val="22"/>
        <w:szCs w:val="18"/>
      </w:rPr>
      <w:fldChar w:fldCharType="begin"/>
    </w:r>
    <w:r w:rsidRPr="007F16BE">
      <w:rPr>
        <w:rFonts w:ascii="Times New Roman" w:hAnsi="Times New Roman"/>
        <w:sz w:val="22"/>
        <w:szCs w:val="18"/>
      </w:rPr>
      <w:instrText xml:space="preserve"> NUMPAGES  </w:instrText>
    </w:r>
    <w:r w:rsidRPr="007F16BE">
      <w:rPr>
        <w:rFonts w:ascii="Times New Roman" w:hAnsi="Times New Roman"/>
        <w:sz w:val="22"/>
        <w:szCs w:val="18"/>
      </w:rPr>
      <w:fldChar w:fldCharType="separate"/>
    </w:r>
    <w:r w:rsidR="00520ED7">
      <w:rPr>
        <w:rFonts w:ascii="Times New Roman" w:hAnsi="Times New Roman"/>
        <w:noProof/>
        <w:sz w:val="22"/>
        <w:szCs w:val="18"/>
      </w:rPr>
      <w:t>14</w:t>
    </w:r>
    <w:r w:rsidRPr="007F16BE">
      <w:rPr>
        <w:rFonts w:ascii="Times New Roman" w:hAnsi="Times New Roman"/>
        <w:sz w:val="22"/>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B78F8" w14:textId="77777777" w:rsidR="00B6072C" w:rsidRDefault="00B6072C">
      <w:r>
        <w:separator/>
      </w:r>
    </w:p>
  </w:footnote>
  <w:footnote w:type="continuationSeparator" w:id="0">
    <w:p w14:paraId="30277847" w14:textId="77777777" w:rsidR="00B6072C" w:rsidRDefault="00B6072C">
      <w:r>
        <w:continuationSeparator/>
      </w:r>
    </w:p>
  </w:footnote>
  <w:footnote w:type="continuationNotice" w:id="1">
    <w:p w14:paraId="6A0D16CE" w14:textId="77777777" w:rsidR="00B6072C" w:rsidRDefault="00B6072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A34E" w14:textId="77777777" w:rsidR="00D964CF" w:rsidRDefault="00D964CF" w:rsidP="000450A4">
    <w:pPr>
      <w:pStyle w:val="Header"/>
      <w:tabs>
        <w:tab w:val="clear" w:pos="4536"/>
        <w:tab w:val="clear" w:pos="9072"/>
        <w:tab w:val="left" w:pos="4365"/>
      </w:tabs>
      <w:rPr>
        <w:rFonts w:ascii="Arial" w:hAnsi="Arial" w:cs="Arial"/>
        <w:lang w:val="sr-Latn-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1533"/>
    <w:rsid w:val="00002AEA"/>
    <w:rsid w:val="00003630"/>
    <w:rsid w:val="00020E02"/>
    <w:rsid w:val="00022C86"/>
    <w:rsid w:val="00031846"/>
    <w:rsid w:val="00037C50"/>
    <w:rsid w:val="00040E15"/>
    <w:rsid w:val="00041697"/>
    <w:rsid w:val="000450A4"/>
    <w:rsid w:val="00046A23"/>
    <w:rsid w:val="00046A37"/>
    <w:rsid w:val="00053300"/>
    <w:rsid w:val="000534EB"/>
    <w:rsid w:val="00054944"/>
    <w:rsid w:val="00073118"/>
    <w:rsid w:val="000731BA"/>
    <w:rsid w:val="00076D65"/>
    <w:rsid w:val="00081996"/>
    <w:rsid w:val="00083B37"/>
    <w:rsid w:val="00083BE0"/>
    <w:rsid w:val="000844F2"/>
    <w:rsid w:val="00087C84"/>
    <w:rsid w:val="000952DE"/>
    <w:rsid w:val="00096645"/>
    <w:rsid w:val="000A1FEF"/>
    <w:rsid w:val="000A24A9"/>
    <w:rsid w:val="000A421F"/>
    <w:rsid w:val="000A427C"/>
    <w:rsid w:val="000A480C"/>
    <w:rsid w:val="000B0AA3"/>
    <w:rsid w:val="000B2836"/>
    <w:rsid w:val="000B4216"/>
    <w:rsid w:val="000C2779"/>
    <w:rsid w:val="000E436F"/>
    <w:rsid w:val="000E73CD"/>
    <w:rsid w:val="000E77C7"/>
    <w:rsid w:val="000E77D2"/>
    <w:rsid w:val="000F28EF"/>
    <w:rsid w:val="000F45D8"/>
    <w:rsid w:val="000F7EB5"/>
    <w:rsid w:val="000F7F58"/>
    <w:rsid w:val="00100066"/>
    <w:rsid w:val="00107374"/>
    <w:rsid w:val="001159AF"/>
    <w:rsid w:val="00121696"/>
    <w:rsid w:val="00122F47"/>
    <w:rsid w:val="00130269"/>
    <w:rsid w:val="00132706"/>
    <w:rsid w:val="00136C0D"/>
    <w:rsid w:val="00141EE3"/>
    <w:rsid w:val="001423F2"/>
    <w:rsid w:val="00143CB5"/>
    <w:rsid w:val="0014421F"/>
    <w:rsid w:val="00145F78"/>
    <w:rsid w:val="00147686"/>
    <w:rsid w:val="00155157"/>
    <w:rsid w:val="001552F9"/>
    <w:rsid w:val="00161E8A"/>
    <w:rsid w:val="00163CDA"/>
    <w:rsid w:val="00164A3D"/>
    <w:rsid w:val="0016612D"/>
    <w:rsid w:val="00173BA6"/>
    <w:rsid w:val="00184D1F"/>
    <w:rsid w:val="00187895"/>
    <w:rsid w:val="001914CD"/>
    <w:rsid w:val="00192BE2"/>
    <w:rsid w:val="001A0A81"/>
    <w:rsid w:val="001A4A29"/>
    <w:rsid w:val="001B2382"/>
    <w:rsid w:val="001C4162"/>
    <w:rsid w:val="001C5E32"/>
    <w:rsid w:val="001C786F"/>
    <w:rsid w:val="001D3E50"/>
    <w:rsid w:val="001D49AC"/>
    <w:rsid w:val="001E0811"/>
    <w:rsid w:val="001E1BC8"/>
    <w:rsid w:val="001E4B14"/>
    <w:rsid w:val="001E50A6"/>
    <w:rsid w:val="001E66B7"/>
    <w:rsid w:val="001E7C9C"/>
    <w:rsid w:val="001F2D8A"/>
    <w:rsid w:val="001F4291"/>
    <w:rsid w:val="001F7D6A"/>
    <w:rsid w:val="002022C1"/>
    <w:rsid w:val="002025A7"/>
    <w:rsid w:val="00210DBD"/>
    <w:rsid w:val="00210F2E"/>
    <w:rsid w:val="00214DEF"/>
    <w:rsid w:val="002257A2"/>
    <w:rsid w:val="00234984"/>
    <w:rsid w:val="002349C6"/>
    <w:rsid w:val="0023640C"/>
    <w:rsid w:val="00240A1D"/>
    <w:rsid w:val="002422AC"/>
    <w:rsid w:val="00255997"/>
    <w:rsid w:val="00256827"/>
    <w:rsid w:val="002607AD"/>
    <w:rsid w:val="00260EC2"/>
    <w:rsid w:val="00262DF0"/>
    <w:rsid w:val="0026345B"/>
    <w:rsid w:val="002650C1"/>
    <w:rsid w:val="00265A2B"/>
    <w:rsid w:val="00266A11"/>
    <w:rsid w:val="00273635"/>
    <w:rsid w:val="00273BE0"/>
    <w:rsid w:val="00282E2E"/>
    <w:rsid w:val="00283C15"/>
    <w:rsid w:val="00291C92"/>
    <w:rsid w:val="00292A0D"/>
    <w:rsid w:val="002B2EED"/>
    <w:rsid w:val="002B358A"/>
    <w:rsid w:val="002B62CE"/>
    <w:rsid w:val="002B6F6A"/>
    <w:rsid w:val="002C2EF1"/>
    <w:rsid w:val="002D651A"/>
    <w:rsid w:val="002D6AD7"/>
    <w:rsid w:val="002D76BF"/>
    <w:rsid w:val="002E1995"/>
    <w:rsid w:val="002E61EB"/>
    <w:rsid w:val="002F79FC"/>
    <w:rsid w:val="00300234"/>
    <w:rsid w:val="00302581"/>
    <w:rsid w:val="0030759C"/>
    <w:rsid w:val="00307EBA"/>
    <w:rsid w:val="00310E81"/>
    <w:rsid w:val="00312036"/>
    <w:rsid w:val="0031420B"/>
    <w:rsid w:val="00317045"/>
    <w:rsid w:val="00325414"/>
    <w:rsid w:val="0032559C"/>
    <w:rsid w:val="00333F71"/>
    <w:rsid w:val="003342B4"/>
    <w:rsid w:val="003344FF"/>
    <w:rsid w:val="0034200B"/>
    <w:rsid w:val="0035320C"/>
    <w:rsid w:val="0035645F"/>
    <w:rsid w:val="00362896"/>
    <w:rsid w:val="00362D7C"/>
    <w:rsid w:val="00366ED5"/>
    <w:rsid w:val="00367259"/>
    <w:rsid w:val="003770CE"/>
    <w:rsid w:val="0038565C"/>
    <w:rsid w:val="003928E0"/>
    <w:rsid w:val="00395004"/>
    <w:rsid w:val="003A4D10"/>
    <w:rsid w:val="003B2082"/>
    <w:rsid w:val="003B7C43"/>
    <w:rsid w:val="003D228B"/>
    <w:rsid w:val="003D2ADE"/>
    <w:rsid w:val="003E01A7"/>
    <w:rsid w:val="003E11EF"/>
    <w:rsid w:val="003E15B9"/>
    <w:rsid w:val="003E21DF"/>
    <w:rsid w:val="003F03F3"/>
    <w:rsid w:val="003F0FD2"/>
    <w:rsid w:val="003F0FE1"/>
    <w:rsid w:val="003F11AD"/>
    <w:rsid w:val="00406B2D"/>
    <w:rsid w:val="0041440D"/>
    <w:rsid w:val="00414989"/>
    <w:rsid w:val="00421EA8"/>
    <w:rsid w:val="00426F71"/>
    <w:rsid w:val="00427498"/>
    <w:rsid w:val="00427D41"/>
    <w:rsid w:val="00432FCD"/>
    <w:rsid w:val="00436736"/>
    <w:rsid w:val="0044232A"/>
    <w:rsid w:val="00445B68"/>
    <w:rsid w:val="0045077A"/>
    <w:rsid w:val="004513A5"/>
    <w:rsid w:val="00455EF1"/>
    <w:rsid w:val="00461873"/>
    <w:rsid w:val="0046495E"/>
    <w:rsid w:val="004701CB"/>
    <w:rsid w:val="004703D0"/>
    <w:rsid w:val="00472B29"/>
    <w:rsid w:val="0048477D"/>
    <w:rsid w:val="00490670"/>
    <w:rsid w:val="0049117E"/>
    <w:rsid w:val="00494486"/>
    <w:rsid w:val="004956F6"/>
    <w:rsid w:val="004A5877"/>
    <w:rsid w:val="004A624D"/>
    <w:rsid w:val="004A6D29"/>
    <w:rsid w:val="004B0C91"/>
    <w:rsid w:val="004B6947"/>
    <w:rsid w:val="004C18ED"/>
    <w:rsid w:val="004D6645"/>
    <w:rsid w:val="004F1B9F"/>
    <w:rsid w:val="004F709F"/>
    <w:rsid w:val="004F7577"/>
    <w:rsid w:val="00500E9A"/>
    <w:rsid w:val="00505296"/>
    <w:rsid w:val="00511995"/>
    <w:rsid w:val="00513E2F"/>
    <w:rsid w:val="0051406A"/>
    <w:rsid w:val="0051496E"/>
    <w:rsid w:val="005149A6"/>
    <w:rsid w:val="00520ED7"/>
    <w:rsid w:val="00521CA1"/>
    <w:rsid w:val="00522522"/>
    <w:rsid w:val="005234BA"/>
    <w:rsid w:val="00535229"/>
    <w:rsid w:val="005455F5"/>
    <w:rsid w:val="00545F66"/>
    <w:rsid w:val="005476E6"/>
    <w:rsid w:val="00553D75"/>
    <w:rsid w:val="00557FC2"/>
    <w:rsid w:val="00563543"/>
    <w:rsid w:val="0056677A"/>
    <w:rsid w:val="005705E3"/>
    <w:rsid w:val="005729CD"/>
    <w:rsid w:val="00573506"/>
    <w:rsid w:val="00574E6C"/>
    <w:rsid w:val="00582AB7"/>
    <w:rsid w:val="005872E2"/>
    <w:rsid w:val="005905A0"/>
    <w:rsid w:val="005946B5"/>
    <w:rsid w:val="005A1B8B"/>
    <w:rsid w:val="005A78AC"/>
    <w:rsid w:val="005C2590"/>
    <w:rsid w:val="005C2F03"/>
    <w:rsid w:val="005C3F73"/>
    <w:rsid w:val="005C7891"/>
    <w:rsid w:val="005D05E5"/>
    <w:rsid w:val="005D13FB"/>
    <w:rsid w:val="005D189C"/>
    <w:rsid w:val="005D1B45"/>
    <w:rsid w:val="005D69CE"/>
    <w:rsid w:val="005D7123"/>
    <w:rsid w:val="005D74E8"/>
    <w:rsid w:val="005E20F2"/>
    <w:rsid w:val="005E2BDB"/>
    <w:rsid w:val="005F0F8D"/>
    <w:rsid w:val="005F1AD7"/>
    <w:rsid w:val="0060178E"/>
    <w:rsid w:val="00602E6A"/>
    <w:rsid w:val="0060446C"/>
    <w:rsid w:val="006054EE"/>
    <w:rsid w:val="00605E0C"/>
    <w:rsid w:val="006078F3"/>
    <w:rsid w:val="00607F69"/>
    <w:rsid w:val="00610F86"/>
    <w:rsid w:val="00626C65"/>
    <w:rsid w:val="00627A71"/>
    <w:rsid w:val="00635E8F"/>
    <w:rsid w:val="006408D2"/>
    <w:rsid w:val="006533DA"/>
    <w:rsid w:val="00653524"/>
    <w:rsid w:val="006543BF"/>
    <w:rsid w:val="006559AF"/>
    <w:rsid w:val="00657FEE"/>
    <w:rsid w:val="006609BB"/>
    <w:rsid w:val="00666000"/>
    <w:rsid w:val="0067645F"/>
    <w:rsid w:val="00676E82"/>
    <w:rsid w:val="0068172E"/>
    <w:rsid w:val="00685433"/>
    <w:rsid w:val="006912A9"/>
    <w:rsid w:val="00693D78"/>
    <w:rsid w:val="00693DC9"/>
    <w:rsid w:val="0069456C"/>
    <w:rsid w:val="00697CC5"/>
    <w:rsid w:val="006A1330"/>
    <w:rsid w:val="006A28D0"/>
    <w:rsid w:val="006B27DE"/>
    <w:rsid w:val="006C5438"/>
    <w:rsid w:val="006D0408"/>
    <w:rsid w:val="006D1D05"/>
    <w:rsid w:val="006D7245"/>
    <w:rsid w:val="006E0B45"/>
    <w:rsid w:val="006E10D7"/>
    <w:rsid w:val="006E2A85"/>
    <w:rsid w:val="006F4107"/>
    <w:rsid w:val="006F7006"/>
    <w:rsid w:val="00700CB7"/>
    <w:rsid w:val="00702A16"/>
    <w:rsid w:val="00707281"/>
    <w:rsid w:val="00710AF1"/>
    <w:rsid w:val="0071202C"/>
    <w:rsid w:val="00714D93"/>
    <w:rsid w:val="00714FB0"/>
    <w:rsid w:val="007163C1"/>
    <w:rsid w:val="007235B0"/>
    <w:rsid w:val="00730107"/>
    <w:rsid w:val="007350A8"/>
    <w:rsid w:val="00752676"/>
    <w:rsid w:val="0075543F"/>
    <w:rsid w:val="00767EDB"/>
    <w:rsid w:val="0077132C"/>
    <w:rsid w:val="00783B92"/>
    <w:rsid w:val="00796A14"/>
    <w:rsid w:val="007A0F09"/>
    <w:rsid w:val="007B01E3"/>
    <w:rsid w:val="007B0EF5"/>
    <w:rsid w:val="007B1284"/>
    <w:rsid w:val="007B5864"/>
    <w:rsid w:val="007B5DD8"/>
    <w:rsid w:val="007B679E"/>
    <w:rsid w:val="007B7A52"/>
    <w:rsid w:val="007C0444"/>
    <w:rsid w:val="007C373C"/>
    <w:rsid w:val="007D0AA4"/>
    <w:rsid w:val="007D24EE"/>
    <w:rsid w:val="007D25A9"/>
    <w:rsid w:val="007D443B"/>
    <w:rsid w:val="007D5660"/>
    <w:rsid w:val="007D5C92"/>
    <w:rsid w:val="007E2290"/>
    <w:rsid w:val="007E3CED"/>
    <w:rsid w:val="007E4214"/>
    <w:rsid w:val="007F03D2"/>
    <w:rsid w:val="007F16BE"/>
    <w:rsid w:val="007F3F57"/>
    <w:rsid w:val="00801FC9"/>
    <w:rsid w:val="008027C6"/>
    <w:rsid w:val="00803C51"/>
    <w:rsid w:val="008110A2"/>
    <w:rsid w:val="00817C46"/>
    <w:rsid w:val="008214C0"/>
    <w:rsid w:val="00826F5E"/>
    <w:rsid w:val="00830485"/>
    <w:rsid w:val="00834DBB"/>
    <w:rsid w:val="00842FFB"/>
    <w:rsid w:val="0084733E"/>
    <w:rsid w:val="00850F9A"/>
    <w:rsid w:val="00853354"/>
    <w:rsid w:val="008604D5"/>
    <w:rsid w:val="0086404C"/>
    <w:rsid w:val="008649B8"/>
    <w:rsid w:val="00871F77"/>
    <w:rsid w:val="0087234B"/>
    <w:rsid w:val="00884769"/>
    <w:rsid w:val="00884817"/>
    <w:rsid w:val="00890A46"/>
    <w:rsid w:val="0089593C"/>
    <w:rsid w:val="008A3543"/>
    <w:rsid w:val="008A591B"/>
    <w:rsid w:val="008A759D"/>
    <w:rsid w:val="008B3ED8"/>
    <w:rsid w:val="008B50E3"/>
    <w:rsid w:val="008B6B71"/>
    <w:rsid w:val="008D084B"/>
    <w:rsid w:val="008D1F95"/>
    <w:rsid w:val="008D25AA"/>
    <w:rsid w:val="008E51FB"/>
    <w:rsid w:val="00900141"/>
    <w:rsid w:val="009037A3"/>
    <w:rsid w:val="009038A3"/>
    <w:rsid w:val="00903A01"/>
    <w:rsid w:val="0090581A"/>
    <w:rsid w:val="0091012C"/>
    <w:rsid w:val="0091405E"/>
    <w:rsid w:val="00917F9B"/>
    <w:rsid w:val="009219F4"/>
    <w:rsid w:val="00921AE0"/>
    <w:rsid w:val="00932D2B"/>
    <w:rsid w:val="00933412"/>
    <w:rsid w:val="00934045"/>
    <w:rsid w:val="0093695A"/>
    <w:rsid w:val="009373AF"/>
    <w:rsid w:val="0094436E"/>
    <w:rsid w:val="00945E91"/>
    <w:rsid w:val="00953D40"/>
    <w:rsid w:val="00956AA6"/>
    <w:rsid w:val="00965263"/>
    <w:rsid w:val="0096698F"/>
    <w:rsid w:val="009705DC"/>
    <w:rsid w:val="00983AB4"/>
    <w:rsid w:val="00990FF6"/>
    <w:rsid w:val="0099160C"/>
    <w:rsid w:val="009A05BF"/>
    <w:rsid w:val="009A2CDE"/>
    <w:rsid w:val="009A53CF"/>
    <w:rsid w:val="009B334C"/>
    <w:rsid w:val="009B5B07"/>
    <w:rsid w:val="009B6425"/>
    <w:rsid w:val="009B6852"/>
    <w:rsid w:val="009D0D28"/>
    <w:rsid w:val="009D4303"/>
    <w:rsid w:val="009E36A2"/>
    <w:rsid w:val="009E3C02"/>
    <w:rsid w:val="009E4B12"/>
    <w:rsid w:val="009E7221"/>
    <w:rsid w:val="009F2D12"/>
    <w:rsid w:val="009F4449"/>
    <w:rsid w:val="009F6F8B"/>
    <w:rsid w:val="009F729A"/>
    <w:rsid w:val="00A026A0"/>
    <w:rsid w:val="00A15C01"/>
    <w:rsid w:val="00A163FE"/>
    <w:rsid w:val="00A16EDB"/>
    <w:rsid w:val="00A21031"/>
    <w:rsid w:val="00A22060"/>
    <w:rsid w:val="00A27E16"/>
    <w:rsid w:val="00A30C81"/>
    <w:rsid w:val="00A32E00"/>
    <w:rsid w:val="00A336F0"/>
    <w:rsid w:val="00A35DF4"/>
    <w:rsid w:val="00A3683C"/>
    <w:rsid w:val="00A41816"/>
    <w:rsid w:val="00A423CB"/>
    <w:rsid w:val="00A47E5B"/>
    <w:rsid w:val="00A51C1D"/>
    <w:rsid w:val="00A54DB1"/>
    <w:rsid w:val="00A553B9"/>
    <w:rsid w:val="00A55E51"/>
    <w:rsid w:val="00A62246"/>
    <w:rsid w:val="00A6230C"/>
    <w:rsid w:val="00A63176"/>
    <w:rsid w:val="00A716FC"/>
    <w:rsid w:val="00A76351"/>
    <w:rsid w:val="00A805CE"/>
    <w:rsid w:val="00A80B33"/>
    <w:rsid w:val="00A96F88"/>
    <w:rsid w:val="00AA34D6"/>
    <w:rsid w:val="00AB0FF7"/>
    <w:rsid w:val="00AB1697"/>
    <w:rsid w:val="00AB2837"/>
    <w:rsid w:val="00AB2ED5"/>
    <w:rsid w:val="00AB4D9C"/>
    <w:rsid w:val="00AB5AF6"/>
    <w:rsid w:val="00AB6C72"/>
    <w:rsid w:val="00AC0786"/>
    <w:rsid w:val="00AC1624"/>
    <w:rsid w:val="00AC23A0"/>
    <w:rsid w:val="00AD64C2"/>
    <w:rsid w:val="00AE13EB"/>
    <w:rsid w:val="00AF247B"/>
    <w:rsid w:val="00AF318A"/>
    <w:rsid w:val="00AF7A5C"/>
    <w:rsid w:val="00B0643C"/>
    <w:rsid w:val="00B11DEB"/>
    <w:rsid w:val="00B133B8"/>
    <w:rsid w:val="00B24D8A"/>
    <w:rsid w:val="00B32019"/>
    <w:rsid w:val="00B357AA"/>
    <w:rsid w:val="00B36B63"/>
    <w:rsid w:val="00B378B9"/>
    <w:rsid w:val="00B4292B"/>
    <w:rsid w:val="00B47B5F"/>
    <w:rsid w:val="00B47FA0"/>
    <w:rsid w:val="00B5176B"/>
    <w:rsid w:val="00B53E8B"/>
    <w:rsid w:val="00B6072C"/>
    <w:rsid w:val="00B60BDC"/>
    <w:rsid w:val="00B66D1F"/>
    <w:rsid w:val="00B72AF9"/>
    <w:rsid w:val="00B77332"/>
    <w:rsid w:val="00B8071B"/>
    <w:rsid w:val="00B812A5"/>
    <w:rsid w:val="00B85A88"/>
    <w:rsid w:val="00B871DD"/>
    <w:rsid w:val="00B87E80"/>
    <w:rsid w:val="00B91D75"/>
    <w:rsid w:val="00B9429F"/>
    <w:rsid w:val="00B94DBA"/>
    <w:rsid w:val="00B96344"/>
    <w:rsid w:val="00B96BA4"/>
    <w:rsid w:val="00BA2ECD"/>
    <w:rsid w:val="00BA3B26"/>
    <w:rsid w:val="00BA51CE"/>
    <w:rsid w:val="00BA7E68"/>
    <w:rsid w:val="00BB036F"/>
    <w:rsid w:val="00BB1F93"/>
    <w:rsid w:val="00BB4087"/>
    <w:rsid w:val="00BC07CD"/>
    <w:rsid w:val="00BC620C"/>
    <w:rsid w:val="00BD4A5C"/>
    <w:rsid w:val="00BD4AF0"/>
    <w:rsid w:val="00BD6EA7"/>
    <w:rsid w:val="00BD725A"/>
    <w:rsid w:val="00BE6A13"/>
    <w:rsid w:val="00BF0DE8"/>
    <w:rsid w:val="00BF4587"/>
    <w:rsid w:val="00BF4F99"/>
    <w:rsid w:val="00C00D1C"/>
    <w:rsid w:val="00C0115B"/>
    <w:rsid w:val="00C0524C"/>
    <w:rsid w:val="00C110BF"/>
    <w:rsid w:val="00C13254"/>
    <w:rsid w:val="00C157B3"/>
    <w:rsid w:val="00C24C64"/>
    <w:rsid w:val="00C24CB6"/>
    <w:rsid w:val="00C2724D"/>
    <w:rsid w:val="00C3279B"/>
    <w:rsid w:val="00C3292A"/>
    <w:rsid w:val="00C34D3C"/>
    <w:rsid w:val="00C36892"/>
    <w:rsid w:val="00C4199E"/>
    <w:rsid w:val="00C45E60"/>
    <w:rsid w:val="00C507B3"/>
    <w:rsid w:val="00C531FC"/>
    <w:rsid w:val="00C55F47"/>
    <w:rsid w:val="00C57350"/>
    <w:rsid w:val="00C627C7"/>
    <w:rsid w:val="00C63028"/>
    <w:rsid w:val="00C63522"/>
    <w:rsid w:val="00C65301"/>
    <w:rsid w:val="00C6725A"/>
    <w:rsid w:val="00C75A98"/>
    <w:rsid w:val="00C82E66"/>
    <w:rsid w:val="00C830B2"/>
    <w:rsid w:val="00C83F5C"/>
    <w:rsid w:val="00C91719"/>
    <w:rsid w:val="00C93043"/>
    <w:rsid w:val="00C965B6"/>
    <w:rsid w:val="00C96C12"/>
    <w:rsid w:val="00CA3418"/>
    <w:rsid w:val="00CC1D6F"/>
    <w:rsid w:val="00CC32C2"/>
    <w:rsid w:val="00CC392B"/>
    <w:rsid w:val="00CC4A3E"/>
    <w:rsid w:val="00CC4C88"/>
    <w:rsid w:val="00CC618C"/>
    <w:rsid w:val="00CD6611"/>
    <w:rsid w:val="00CE76DA"/>
    <w:rsid w:val="00CF2799"/>
    <w:rsid w:val="00D02945"/>
    <w:rsid w:val="00D06A0E"/>
    <w:rsid w:val="00D07EA5"/>
    <w:rsid w:val="00D145D3"/>
    <w:rsid w:val="00D151D1"/>
    <w:rsid w:val="00D17990"/>
    <w:rsid w:val="00D31F3F"/>
    <w:rsid w:val="00D32CFA"/>
    <w:rsid w:val="00D339C6"/>
    <w:rsid w:val="00D414E2"/>
    <w:rsid w:val="00D425B4"/>
    <w:rsid w:val="00D44F90"/>
    <w:rsid w:val="00D51D3F"/>
    <w:rsid w:val="00D52644"/>
    <w:rsid w:val="00D55571"/>
    <w:rsid w:val="00D601B8"/>
    <w:rsid w:val="00D61E66"/>
    <w:rsid w:val="00D66CCD"/>
    <w:rsid w:val="00D70127"/>
    <w:rsid w:val="00D726AE"/>
    <w:rsid w:val="00D74E84"/>
    <w:rsid w:val="00D77D67"/>
    <w:rsid w:val="00D802BD"/>
    <w:rsid w:val="00D815D4"/>
    <w:rsid w:val="00D85B38"/>
    <w:rsid w:val="00D87AC0"/>
    <w:rsid w:val="00D920B9"/>
    <w:rsid w:val="00D964CF"/>
    <w:rsid w:val="00DA48F3"/>
    <w:rsid w:val="00DA4D91"/>
    <w:rsid w:val="00DA5D39"/>
    <w:rsid w:val="00DA6249"/>
    <w:rsid w:val="00DB713B"/>
    <w:rsid w:val="00DB7BD2"/>
    <w:rsid w:val="00DC023C"/>
    <w:rsid w:val="00DC74F1"/>
    <w:rsid w:val="00DE7E7B"/>
    <w:rsid w:val="00DF101B"/>
    <w:rsid w:val="00E13137"/>
    <w:rsid w:val="00E131BC"/>
    <w:rsid w:val="00E20147"/>
    <w:rsid w:val="00E23BC5"/>
    <w:rsid w:val="00E267E8"/>
    <w:rsid w:val="00E31507"/>
    <w:rsid w:val="00E31E9B"/>
    <w:rsid w:val="00E3202F"/>
    <w:rsid w:val="00E32799"/>
    <w:rsid w:val="00E367E9"/>
    <w:rsid w:val="00E40DE0"/>
    <w:rsid w:val="00E41D27"/>
    <w:rsid w:val="00E46FA8"/>
    <w:rsid w:val="00E5271F"/>
    <w:rsid w:val="00E53116"/>
    <w:rsid w:val="00E56724"/>
    <w:rsid w:val="00E6113C"/>
    <w:rsid w:val="00E63789"/>
    <w:rsid w:val="00E64BCC"/>
    <w:rsid w:val="00E70246"/>
    <w:rsid w:val="00E710C4"/>
    <w:rsid w:val="00E84A3E"/>
    <w:rsid w:val="00E8561C"/>
    <w:rsid w:val="00E86B1F"/>
    <w:rsid w:val="00E87E19"/>
    <w:rsid w:val="00E92006"/>
    <w:rsid w:val="00EA020F"/>
    <w:rsid w:val="00EA3305"/>
    <w:rsid w:val="00EA3E1B"/>
    <w:rsid w:val="00EA4FB0"/>
    <w:rsid w:val="00EA7874"/>
    <w:rsid w:val="00EB22BE"/>
    <w:rsid w:val="00EB7183"/>
    <w:rsid w:val="00EC0E7E"/>
    <w:rsid w:val="00EC1356"/>
    <w:rsid w:val="00EC3F0D"/>
    <w:rsid w:val="00EC44B0"/>
    <w:rsid w:val="00EC7CCB"/>
    <w:rsid w:val="00ED08E7"/>
    <w:rsid w:val="00ED21C4"/>
    <w:rsid w:val="00ED296B"/>
    <w:rsid w:val="00ED46E2"/>
    <w:rsid w:val="00ED46E3"/>
    <w:rsid w:val="00ED664B"/>
    <w:rsid w:val="00EE2614"/>
    <w:rsid w:val="00EF1D5B"/>
    <w:rsid w:val="00EF2AD9"/>
    <w:rsid w:val="00EF5921"/>
    <w:rsid w:val="00F01DF2"/>
    <w:rsid w:val="00F129E2"/>
    <w:rsid w:val="00F141B2"/>
    <w:rsid w:val="00F156D3"/>
    <w:rsid w:val="00F17407"/>
    <w:rsid w:val="00F20565"/>
    <w:rsid w:val="00F234D5"/>
    <w:rsid w:val="00F24ECF"/>
    <w:rsid w:val="00F250F5"/>
    <w:rsid w:val="00F271D1"/>
    <w:rsid w:val="00F362CE"/>
    <w:rsid w:val="00F36B71"/>
    <w:rsid w:val="00F6500E"/>
    <w:rsid w:val="00F652AC"/>
    <w:rsid w:val="00F6580C"/>
    <w:rsid w:val="00F712A9"/>
    <w:rsid w:val="00F7575D"/>
    <w:rsid w:val="00F75D99"/>
    <w:rsid w:val="00F765A6"/>
    <w:rsid w:val="00F81217"/>
    <w:rsid w:val="00F830B1"/>
    <w:rsid w:val="00F86971"/>
    <w:rsid w:val="00F90BA2"/>
    <w:rsid w:val="00F9129E"/>
    <w:rsid w:val="00F92807"/>
    <w:rsid w:val="00F96AAE"/>
    <w:rsid w:val="00FA2A03"/>
    <w:rsid w:val="00FA7856"/>
    <w:rsid w:val="00FB183F"/>
    <w:rsid w:val="00FB2526"/>
    <w:rsid w:val="00FB7F9E"/>
    <w:rsid w:val="00FC1BC8"/>
    <w:rsid w:val="00FC436E"/>
    <w:rsid w:val="00FC5018"/>
    <w:rsid w:val="00FC6271"/>
    <w:rsid w:val="00FC67E4"/>
    <w:rsid w:val="00FC70B1"/>
    <w:rsid w:val="00FD015F"/>
    <w:rsid w:val="00FD73DF"/>
    <w:rsid w:val="00FD749F"/>
    <w:rsid w:val="00FF103A"/>
    <w:rsid w:val="00FF265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A6BB01"/>
  <w15:docId w15:val="{9D04F75B-1EE8-4783-A504-625314D0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284"/>
      </w:tabs>
      <w:jc w:val="both"/>
    </w:pPr>
    <w:rPr>
      <w:rFonts w:ascii="Humanist777" w:hAnsi="Humanist777"/>
      <w:sz w:val="24"/>
      <w:szCs w:val="24"/>
      <w:lang w:val="en-US" w:eastAsia="en-US"/>
    </w:rPr>
  </w:style>
  <w:style w:type="paragraph" w:styleId="Heading1">
    <w:name w:val="heading 1"/>
    <w:basedOn w:val="Normal"/>
    <w:next w:val="Normal"/>
    <w:qFormat/>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pPr>
      <w:keepNext/>
      <w:jc w:val="center"/>
      <w:outlineLvl w:val="1"/>
    </w:pPr>
    <w:rPr>
      <w:rFonts w:ascii="Arial" w:hAnsi="Arial" w:cs="Arial"/>
      <w:i/>
      <w:iCs/>
      <w:color w:val="999999"/>
      <w:sz w:val="18"/>
    </w:rPr>
  </w:style>
  <w:style w:type="paragraph" w:styleId="Heading3">
    <w:name w:val="heading 3"/>
    <w:basedOn w:val="Normal"/>
    <w:next w:val="Normal"/>
    <w:qFormat/>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pPr>
      <w:keepNext/>
      <w:ind w:right="265"/>
      <w:jc w:val="right"/>
      <w:outlineLvl w:val="3"/>
    </w:pPr>
    <w:rPr>
      <w:rFonts w:ascii="Arial" w:hAnsi="Arial" w:cs="Arial"/>
      <w:i/>
      <w:iCs/>
      <w:color w:val="999999"/>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C"/>
    <w:basedOn w:val="Normal"/>
    <w:link w:val="HeaderChar2"/>
    <w:pPr>
      <w:tabs>
        <w:tab w:val="clear" w:pos="284"/>
        <w:tab w:val="center" w:pos="4536"/>
        <w:tab w:val="right" w:pos="9072"/>
      </w:tabs>
    </w:pPr>
  </w:style>
  <w:style w:type="paragraph" w:styleId="Footer">
    <w:name w:val="footer"/>
    <w:basedOn w:val="Normal"/>
    <w:link w:val="FooterChar"/>
    <w:uiPriority w:val="99"/>
    <w:pPr>
      <w:tabs>
        <w:tab w:val="clear" w:pos="284"/>
        <w:tab w:val="center" w:pos="4536"/>
        <w:tab w:val="right" w:pos="9072"/>
      </w:tabs>
    </w:pPr>
  </w:style>
  <w:style w:type="character" w:styleId="PageNumber">
    <w:name w:val="page number"/>
    <w:basedOn w:val="DefaultParagraphFont"/>
  </w:style>
  <w:style w:type="character" w:styleId="CommentReference">
    <w:name w:val="annotation reference"/>
    <w:semiHidden/>
    <w:rsid w:val="003B2082"/>
    <w:rPr>
      <w:sz w:val="16"/>
      <w:szCs w:val="16"/>
    </w:rPr>
  </w:style>
  <w:style w:type="paragraph" w:styleId="CommentText">
    <w:name w:val="annotation text"/>
    <w:basedOn w:val="Normal"/>
    <w:link w:val="CommentTextChar"/>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table" w:styleId="TableGrid">
    <w:name w:val="Table Grid"/>
    <w:basedOn w:val="TableNormal"/>
    <w:rsid w:val="00C63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73CD"/>
    <w:rPr>
      <w:rFonts w:ascii="Humanist777" w:hAnsi="Humanist777"/>
      <w:sz w:val="24"/>
      <w:szCs w:val="24"/>
      <w:lang w:val="en-US" w:eastAsia="en-US"/>
    </w:rPr>
  </w:style>
  <w:style w:type="character" w:styleId="Hyperlink">
    <w:name w:val="Hyperlink"/>
    <w:rsid w:val="00B11DEB"/>
    <w:rPr>
      <w:color w:val="0000FF"/>
      <w:u w:val="single"/>
    </w:rPr>
  </w:style>
  <w:style w:type="paragraph" w:customStyle="1" w:styleId="Paragraph">
    <w:name w:val="Paragraph"/>
    <w:link w:val="ParagraphChar"/>
    <w:rsid w:val="00AB2837"/>
    <w:pPr>
      <w:spacing w:after="240"/>
    </w:pPr>
    <w:rPr>
      <w:sz w:val="24"/>
      <w:szCs w:val="24"/>
      <w:lang w:val="en-US" w:eastAsia="en-US"/>
    </w:rPr>
  </w:style>
  <w:style w:type="paragraph" w:styleId="Caption">
    <w:name w:val="caption"/>
    <w:next w:val="Paragraph"/>
    <w:unhideWhenUsed/>
    <w:qFormat/>
    <w:rsid w:val="00AB2837"/>
    <w:pPr>
      <w:keepNext/>
      <w:tabs>
        <w:tab w:val="left" w:pos="1152"/>
      </w:tabs>
      <w:spacing w:before="120" w:after="120"/>
      <w:ind w:left="1152" w:hanging="1152"/>
    </w:pPr>
    <w:rPr>
      <w:rFonts w:cs="Arial"/>
      <w:b/>
      <w:bCs/>
      <w:sz w:val="24"/>
      <w:szCs w:val="24"/>
      <w:lang w:val="en-US" w:eastAsia="en-US"/>
    </w:rPr>
  </w:style>
  <w:style w:type="character" w:customStyle="1" w:styleId="ParagraphChar">
    <w:name w:val="Paragraph Char"/>
    <w:link w:val="Paragraph"/>
    <w:locked/>
    <w:rsid w:val="00AB2837"/>
    <w:rPr>
      <w:sz w:val="24"/>
      <w:szCs w:val="24"/>
      <w:lang w:val="en-US" w:eastAsia="en-US"/>
    </w:rPr>
  </w:style>
  <w:style w:type="paragraph" w:customStyle="1" w:styleId="TableText">
    <w:name w:val="TableText"/>
    <w:rsid w:val="00AB2837"/>
    <w:rPr>
      <w:rFonts w:cs="Arial"/>
      <w:lang w:val="en-US" w:eastAsia="en-US"/>
    </w:rPr>
  </w:style>
  <w:style w:type="paragraph" w:customStyle="1" w:styleId="TableTextCentered">
    <w:name w:val="TableText Centered"/>
    <w:rsid w:val="00AB2837"/>
    <w:pPr>
      <w:jc w:val="center"/>
    </w:pPr>
    <w:rPr>
      <w:lang w:val="en-US" w:eastAsia="en-US"/>
    </w:rPr>
  </w:style>
  <w:style w:type="paragraph" w:customStyle="1" w:styleId="TableTextColHead">
    <w:name w:val="TableText Col Head"/>
    <w:rsid w:val="00AB2837"/>
    <w:pPr>
      <w:jc w:val="center"/>
    </w:pPr>
    <w:rPr>
      <w:b/>
      <w:lang w:val="en-US" w:eastAsia="en-US"/>
    </w:rPr>
  </w:style>
  <w:style w:type="paragraph" w:customStyle="1" w:styleId="TableTextFootnote">
    <w:name w:val="TableText Footnote"/>
    <w:rsid w:val="00AB2837"/>
    <w:pPr>
      <w:tabs>
        <w:tab w:val="left" w:pos="360"/>
      </w:tabs>
    </w:pPr>
    <w:rPr>
      <w:lang w:val="en-US" w:eastAsia="en-US"/>
    </w:rPr>
  </w:style>
  <w:style w:type="character" w:styleId="FootnoteReference">
    <w:name w:val="footnote reference"/>
    <w:unhideWhenUsed/>
    <w:rsid w:val="00AB2837"/>
    <w:rPr>
      <w:vertAlign w:val="superscript"/>
    </w:rPr>
  </w:style>
  <w:style w:type="paragraph" w:customStyle="1" w:styleId="Default">
    <w:name w:val="Default"/>
    <w:rsid w:val="003E21DF"/>
    <w:pPr>
      <w:autoSpaceDE w:val="0"/>
      <w:autoSpaceDN w:val="0"/>
      <w:adjustRightInd w:val="0"/>
    </w:pPr>
    <w:rPr>
      <w:color w:val="000000"/>
      <w:sz w:val="24"/>
      <w:szCs w:val="24"/>
      <w:lang w:val="sr-Latn-RS" w:eastAsia="sr-Latn-RS"/>
    </w:rPr>
  </w:style>
  <w:style w:type="character" w:customStyle="1" w:styleId="FooterChar">
    <w:name w:val="Footer Char"/>
    <w:link w:val="Footer"/>
    <w:uiPriority w:val="99"/>
    <w:rsid w:val="00714D93"/>
    <w:rPr>
      <w:rFonts w:ascii="Humanist777" w:hAnsi="Humanist777"/>
      <w:sz w:val="24"/>
      <w:szCs w:val="24"/>
      <w:lang w:val="en-US" w:eastAsia="en-US"/>
    </w:rPr>
  </w:style>
  <w:style w:type="paragraph" w:styleId="NoSpacing">
    <w:name w:val="No Spacing"/>
    <w:uiPriority w:val="1"/>
    <w:qFormat/>
    <w:rsid w:val="004A6D29"/>
    <w:rPr>
      <w:sz w:val="24"/>
      <w:szCs w:val="24"/>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0A1FEF"/>
    <w:rPr>
      <w:rFonts w:ascii="Humanist777" w:hAnsi="Humanist777"/>
      <w:sz w:val="24"/>
      <w:szCs w:val="24"/>
      <w:lang w:val="en-US" w:eastAsia="en-US"/>
    </w:rPr>
  </w:style>
  <w:style w:type="character" w:customStyle="1" w:styleId="CommentTextChar">
    <w:name w:val="Comment Text Char"/>
    <w:basedOn w:val="DefaultParagraphFont"/>
    <w:link w:val="CommentText"/>
    <w:semiHidden/>
    <w:rsid w:val="00BA51CE"/>
    <w:rPr>
      <w:rFonts w:ascii="Humanist777" w:hAnsi="Humanist77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4683">
      <w:bodyDiv w:val="1"/>
      <w:marLeft w:val="0"/>
      <w:marRight w:val="0"/>
      <w:marTop w:val="0"/>
      <w:marBottom w:val="0"/>
      <w:divBdr>
        <w:top w:val="none" w:sz="0" w:space="0" w:color="auto"/>
        <w:left w:val="none" w:sz="0" w:space="0" w:color="auto"/>
        <w:bottom w:val="none" w:sz="0" w:space="0" w:color="auto"/>
        <w:right w:val="none" w:sz="0" w:space="0" w:color="auto"/>
      </w:divBdr>
      <w:divsChild>
        <w:div w:id="967736941">
          <w:marLeft w:val="0"/>
          <w:marRight w:val="0"/>
          <w:marTop w:val="0"/>
          <w:marBottom w:val="0"/>
          <w:divBdr>
            <w:top w:val="none" w:sz="0" w:space="0" w:color="auto"/>
            <w:left w:val="none" w:sz="0" w:space="0" w:color="auto"/>
            <w:bottom w:val="none" w:sz="0" w:space="0" w:color="auto"/>
            <w:right w:val="none" w:sz="0" w:space="0" w:color="auto"/>
          </w:divBdr>
        </w:div>
        <w:div w:id="1174346681">
          <w:marLeft w:val="0"/>
          <w:marRight w:val="0"/>
          <w:marTop w:val="0"/>
          <w:marBottom w:val="0"/>
          <w:divBdr>
            <w:top w:val="none" w:sz="0" w:space="0" w:color="auto"/>
            <w:left w:val="none" w:sz="0" w:space="0" w:color="auto"/>
            <w:bottom w:val="none" w:sz="0" w:space="0" w:color="auto"/>
            <w:right w:val="none" w:sz="0" w:space="0" w:color="auto"/>
          </w:divBdr>
        </w:div>
        <w:div w:id="1438404452">
          <w:marLeft w:val="0"/>
          <w:marRight w:val="0"/>
          <w:marTop w:val="0"/>
          <w:marBottom w:val="0"/>
          <w:divBdr>
            <w:top w:val="none" w:sz="0" w:space="0" w:color="auto"/>
            <w:left w:val="none" w:sz="0" w:space="0" w:color="auto"/>
            <w:bottom w:val="none" w:sz="0" w:space="0" w:color="auto"/>
            <w:right w:val="none" w:sz="0" w:space="0" w:color="auto"/>
          </w:divBdr>
        </w:div>
        <w:div w:id="1724593491">
          <w:marLeft w:val="0"/>
          <w:marRight w:val="0"/>
          <w:marTop w:val="0"/>
          <w:marBottom w:val="0"/>
          <w:divBdr>
            <w:top w:val="none" w:sz="0" w:space="0" w:color="auto"/>
            <w:left w:val="none" w:sz="0" w:space="0" w:color="auto"/>
            <w:bottom w:val="none" w:sz="0" w:space="0" w:color="auto"/>
            <w:right w:val="none" w:sz="0" w:space="0" w:color="auto"/>
          </w:divBdr>
        </w:div>
      </w:divsChild>
    </w:div>
    <w:div w:id="221597027">
      <w:bodyDiv w:val="1"/>
      <w:marLeft w:val="0"/>
      <w:marRight w:val="0"/>
      <w:marTop w:val="0"/>
      <w:marBottom w:val="0"/>
      <w:divBdr>
        <w:top w:val="none" w:sz="0" w:space="0" w:color="auto"/>
        <w:left w:val="none" w:sz="0" w:space="0" w:color="auto"/>
        <w:bottom w:val="none" w:sz="0" w:space="0" w:color="auto"/>
        <w:right w:val="none" w:sz="0" w:space="0" w:color="auto"/>
      </w:divBdr>
      <w:divsChild>
        <w:div w:id="148794196">
          <w:marLeft w:val="0"/>
          <w:marRight w:val="0"/>
          <w:marTop w:val="0"/>
          <w:marBottom w:val="0"/>
          <w:divBdr>
            <w:top w:val="none" w:sz="0" w:space="0" w:color="auto"/>
            <w:left w:val="none" w:sz="0" w:space="0" w:color="auto"/>
            <w:bottom w:val="none" w:sz="0" w:space="0" w:color="auto"/>
            <w:right w:val="none" w:sz="0" w:space="0" w:color="auto"/>
          </w:divBdr>
          <w:divsChild>
            <w:div w:id="982470151">
              <w:marLeft w:val="0"/>
              <w:marRight w:val="0"/>
              <w:marTop w:val="0"/>
              <w:marBottom w:val="0"/>
              <w:divBdr>
                <w:top w:val="none" w:sz="0" w:space="0" w:color="auto"/>
                <w:left w:val="none" w:sz="0" w:space="0" w:color="auto"/>
                <w:bottom w:val="none" w:sz="0" w:space="0" w:color="auto"/>
                <w:right w:val="none" w:sz="0" w:space="0" w:color="auto"/>
              </w:divBdr>
              <w:divsChild>
                <w:div w:id="16469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262631">
      <w:bodyDiv w:val="1"/>
      <w:marLeft w:val="0"/>
      <w:marRight w:val="0"/>
      <w:marTop w:val="0"/>
      <w:marBottom w:val="0"/>
      <w:divBdr>
        <w:top w:val="none" w:sz="0" w:space="0" w:color="auto"/>
        <w:left w:val="none" w:sz="0" w:space="0" w:color="auto"/>
        <w:bottom w:val="none" w:sz="0" w:space="0" w:color="auto"/>
        <w:right w:val="none" w:sz="0" w:space="0" w:color="auto"/>
      </w:divBdr>
      <w:divsChild>
        <w:div w:id="1483229326">
          <w:marLeft w:val="0"/>
          <w:marRight w:val="0"/>
          <w:marTop w:val="0"/>
          <w:marBottom w:val="0"/>
          <w:divBdr>
            <w:top w:val="none" w:sz="0" w:space="0" w:color="auto"/>
            <w:left w:val="none" w:sz="0" w:space="0" w:color="auto"/>
            <w:bottom w:val="none" w:sz="0" w:space="0" w:color="auto"/>
            <w:right w:val="none" w:sz="0" w:space="0" w:color="auto"/>
          </w:divBdr>
          <w:divsChild>
            <w:div w:id="1513184929">
              <w:marLeft w:val="0"/>
              <w:marRight w:val="0"/>
              <w:marTop w:val="0"/>
              <w:marBottom w:val="0"/>
              <w:divBdr>
                <w:top w:val="none" w:sz="0" w:space="0" w:color="auto"/>
                <w:left w:val="none" w:sz="0" w:space="0" w:color="auto"/>
                <w:bottom w:val="none" w:sz="0" w:space="0" w:color="auto"/>
                <w:right w:val="none" w:sz="0" w:space="0" w:color="auto"/>
              </w:divBdr>
              <w:divsChild>
                <w:div w:id="43498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661241">
      <w:bodyDiv w:val="1"/>
      <w:marLeft w:val="0"/>
      <w:marRight w:val="0"/>
      <w:marTop w:val="0"/>
      <w:marBottom w:val="0"/>
      <w:divBdr>
        <w:top w:val="none" w:sz="0" w:space="0" w:color="auto"/>
        <w:left w:val="none" w:sz="0" w:space="0" w:color="auto"/>
        <w:bottom w:val="none" w:sz="0" w:space="0" w:color="auto"/>
        <w:right w:val="none" w:sz="0" w:space="0" w:color="auto"/>
      </w:divBdr>
      <w:divsChild>
        <w:div w:id="1176847803">
          <w:marLeft w:val="0"/>
          <w:marRight w:val="0"/>
          <w:marTop w:val="0"/>
          <w:marBottom w:val="0"/>
          <w:divBdr>
            <w:top w:val="none" w:sz="0" w:space="0" w:color="auto"/>
            <w:left w:val="none" w:sz="0" w:space="0" w:color="auto"/>
            <w:bottom w:val="none" w:sz="0" w:space="0" w:color="auto"/>
            <w:right w:val="none" w:sz="0" w:space="0" w:color="auto"/>
          </w:divBdr>
          <w:divsChild>
            <w:div w:id="719405426">
              <w:marLeft w:val="0"/>
              <w:marRight w:val="0"/>
              <w:marTop w:val="0"/>
              <w:marBottom w:val="0"/>
              <w:divBdr>
                <w:top w:val="none" w:sz="0" w:space="0" w:color="auto"/>
                <w:left w:val="none" w:sz="0" w:space="0" w:color="auto"/>
                <w:bottom w:val="none" w:sz="0" w:space="0" w:color="auto"/>
                <w:right w:val="none" w:sz="0" w:space="0" w:color="auto"/>
              </w:divBdr>
              <w:divsChild>
                <w:div w:id="167745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77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30883-E8BE-46F6-887A-6883F7EA3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5711</Words>
  <Characters>32559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Pfizer Inc</Company>
  <LinksUpToDate>false</LinksUpToDate>
  <CharactersWithSpaces>38194</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Jovana Jovanovic</cp:lastModifiedBy>
  <cp:revision>4</cp:revision>
  <cp:lastPrinted>2024-03-07T16:20:00Z</cp:lastPrinted>
  <dcterms:created xsi:type="dcterms:W3CDTF">2024-12-19T08:27:00Z</dcterms:created>
  <dcterms:modified xsi:type="dcterms:W3CDTF">2024-12-19T08:56:00Z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f72598-90ab-4748-9618-88402b5e95d2_Enabled">
    <vt:lpwstr>true</vt:lpwstr>
  </property>
  <property fmtid="{D5CDD505-2E9C-101B-9397-08002B2CF9AE}" pid="3" name="MSIP_Label_68f72598-90ab-4748-9618-88402b5e95d2_SetDate">
    <vt:lpwstr>2024-03-11T09:49:02Z</vt:lpwstr>
  </property>
  <property fmtid="{D5CDD505-2E9C-101B-9397-08002B2CF9AE}" pid="4" name="MSIP_Label_68f72598-90ab-4748-9618-88402b5e95d2_Method">
    <vt:lpwstr>Privileged</vt:lpwstr>
  </property>
  <property fmtid="{D5CDD505-2E9C-101B-9397-08002B2CF9AE}" pid="5" name="MSIP_Label_68f72598-90ab-4748-9618-88402b5e95d2_Name">
    <vt:lpwstr>68f72598-90ab-4748-9618-88402b5e95d2</vt:lpwstr>
  </property>
  <property fmtid="{D5CDD505-2E9C-101B-9397-08002B2CF9AE}" pid="6" name="MSIP_Label_68f72598-90ab-4748-9618-88402b5e95d2_SiteId">
    <vt:lpwstr>7a916015-20ae-4ad1-9170-eefd915e9272</vt:lpwstr>
  </property>
  <property fmtid="{D5CDD505-2E9C-101B-9397-08002B2CF9AE}" pid="7" name="MSIP_Label_68f72598-90ab-4748-9618-88402b5e95d2_ActionId">
    <vt:lpwstr>a7a22f22-2ea4-4641-a217-4042029f1045</vt:lpwstr>
  </property>
  <property fmtid="{D5CDD505-2E9C-101B-9397-08002B2CF9AE}" pid="8" name="MSIP_Label_68f72598-90ab-4748-9618-88402b5e95d2_ContentBits">
    <vt:lpwstr>0</vt:lpwstr>
  </property>
</Properties>
</file>