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D2FA5" w14:textId="77777777" w:rsidR="00F91C7B" w:rsidRPr="007403A4" w:rsidRDefault="00F91C7B" w:rsidP="001A5518">
      <w:pPr>
        <w:rPr>
          <w:b/>
          <w:bCs/>
          <w:i/>
          <w:iCs/>
          <w:sz w:val="22"/>
          <w:szCs w:val="22"/>
          <w:u w:val="single"/>
          <w:lang w:val="sr-Latn-ME"/>
        </w:rPr>
      </w:pPr>
    </w:p>
    <w:p w14:paraId="2E1976AE" w14:textId="77777777" w:rsidR="002510A5" w:rsidRPr="007403A4" w:rsidRDefault="002510A5" w:rsidP="002510A5">
      <w:pPr>
        <w:jc w:val="center"/>
        <w:rPr>
          <w:b/>
          <w:bCs/>
          <w:iCs/>
          <w:sz w:val="22"/>
          <w:szCs w:val="22"/>
          <w:u w:val="single"/>
          <w:lang w:val="sr-Latn-ME"/>
        </w:rPr>
      </w:pPr>
      <w:r w:rsidRPr="007403A4">
        <w:rPr>
          <w:b/>
          <w:bCs/>
          <w:iCs/>
          <w:sz w:val="22"/>
          <w:szCs w:val="22"/>
          <w:u w:val="single"/>
          <w:lang w:val="sr-Latn-ME"/>
        </w:rPr>
        <w:t>SAŽETAK KARAKTERISTIKA LIJEKA</w:t>
      </w:r>
    </w:p>
    <w:p w14:paraId="21EAAB5C" w14:textId="77777777" w:rsidR="002510A5" w:rsidRPr="007403A4" w:rsidRDefault="002510A5" w:rsidP="002510A5">
      <w:pPr>
        <w:rPr>
          <w:b/>
          <w:bCs/>
          <w:i/>
          <w:iCs/>
          <w:sz w:val="22"/>
          <w:szCs w:val="22"/>
          <w:u w:val="single"/>
          <w:lang w:val="sr-Latn-ME"/>
        </w:rPr>
      </w:pPr>
    </w:p>
    <w:p w14:paraId="42BC9A19" w14:textId="77777777" w:rsidR="003C17AB" w:rsidRPr="007403A4" w:rsidRDefault="003C17AB" w:rsidP="00CA1FEB">
      <w:pPr>
        <w:rPr>
          <w:sz w:val="22"/>
          <w:szCs w:val="22"/>
          <w:lang w:val="sr-Latn-ME"/>
        </w:rPr>
      </w:pPr>
    </w:p>
    <w:p w14:paraId="75127239" w14:textId="7A279C5B" w:rsidR="00C37FD7" w:rsidRPr="007403A4" w:rsidRDefault="00C37FD7" w:rsidP="00F5167F">
      <w:pPr>
        <w:tabs>
          <w:tab w:val="left" w:pos="540"/>
          <w:tab w:val="left" w:pos="569"/>
        </w:tabs>
        <w:rPr>
          <w:bCs/>
          <w:sz w:val="22"/>
          <w:szCs w:val="22"/>
          <w:lang w:val="sr-Latn-ME"/>
        </w:rPr>
      </w:pPr>
    </w:p>
    <w:p w14:paraId="5FB4EE9D" w14:textId="77777777" w:rsidR="00411B4B" w:rsidRPr="007403A4" w:rsidRDefault="00411B4B" w:rsidP="00F5167F">
      <w:pPr>
        <w:tabs>
          <w:tab w:val="left" w:pos="540"/>
          <w:tab w:val="left" w:pos="569"/>
        </w:tabs>
        <w:rPr>
          <w:b/>
          <w:bCs/>
          <w:sz w:val="22"/>
          <w:szCs w:val="22"/>
          <w:lang w:val="sr-Latn-ME"/>
        </w:rPr>
      </w:pPr>
      <w:r w:rsidRPr="007403A4">
        <w:rPr>
          <w:b/>
          <w:bCs/>
          <w:sz w:val="22"/>
          <w:szCs w:val="22"/>
          <w:lang w:val="sr-Latn-ME"/>
        </w:rPr>
        <w:t>1.</w:t>
      </w:r>
      <w:r w:rsidR="00F5167F" w:rsidRPr="007403A4">
        <w:rPr>
          <w:b/>
          <w:bCs/>
          <w:sz w:val="22"/>
          <w:szCs w:val="22"/>
          <w:lang w:val="sr-Latn-ME"/>
        </w:rPr>
        <w:tab/>
      </w:r>
      <w:r w:rsidR="002846DB" w:rsidRPr="007403A4">
        <w:rPr>
          <w:b/>
          <w:bCs/>
          <w:sz w:val="22"/>
          <w:szCs w:val="22"/>
          <w:lang w:val="sr-Latn-ME"/>
        </w:rPr>
        <w:t xml:space="preserve">NAZIV </w:t>
      </w:r>
      <w:r w:rsidRPr="007403A4">
        <w:rPr>
          <w:b/>
          <w:bCs/>
          <w:sz w:val="22"/>
          <w:szCs w:val="22"/>
          <w:lang w:val="sr-Latn-ME"/>
        </w:rPr>
        <w:t>LIJEKA</w:t>
      </w:r>
    </w:p>
    <w:p w14:paraId="3B32EB41" w14:textId="77777777" w:rsidR="00EC2532" w:rsidRPr="007403A4" w:rsidRDefault="00EC2532">
      <w:pPr>
        <w:rPr>
          <w:sz w:val="22"/>
          <w:szCs w:val="22"/>
          <w:lang w:val="sr-Latn-ME"/>
        </w:rPr>
      </w:pPr>
    </w:p>
    <w:p w14:paraId="2B77FDDF" w14:textId="12EE5310" w:rsidR="00107BF7" w:rsidRPr="007403A4" w:rsidRDefault="0089599F" w:rsidP="00B77615">
      <w:pPr>
        <w:jc w:val="both"/>
        <w:rPr>
          <w:iCs/>
          <w:color w:val="808080"/>
          <w:sz w:val="22"/>
          <w:szCs w:val="22"/>
          <w:lang w:val="sr-Latn-ME"/>
        </w:rPr>
      </w:pPr>
      <w:r w:rsidRPr="007403A4">
        <w:rPr>
          <w:bCs/>
          <w:sz w:val="22"/>
          <w:szCs w:val="22"/>
          <w:lang w:val="sr-Latn-ME"/>
        </w:rPr>
        <w:t>Gazyvaro</w:t>
      </w:r>
      <w:r w:rsidRPr="007403A4">
        <w:rPr>
          <w:iCs/>
          <w:sz w:val="22"/>
          <w:szCs w:val="22"/>
          <w:lang w:val="sr-Latn-ME"/>
        </w:rPr>
        <w:t>, 1000</w:t>
      </w:r>
      <w:r w:rsidR="00DD72FA" w:rsidRPr="007403A4">
        <w:rPr>
          <w:iCs/>
          <w:sz w:val="22"/>
          <w:szCs w:val="22"/>
          <w:lang w:val="sr-Latn-ME"/>
        </w:rPr>
        <w:t xml:space="preserve"> </w:t>
      </w:r>
      <w:r w:rsidRPr="007403A4">
        <w:rPr>
          <w:iCs/>
          <w:sz w:val="22"/>
          <w:szCs w:val="22"/>
          <w:lang w:val="sr-Latn-ME"/>
        </w:rPr>
        <w:t>mg/40</w:t>
      </w:r>
      <w:r w:rsidR="00DD72FA" w:rsidRPr="007403A4">
        <w:rPr>
          <w:iCs/>
          <w:sz w:val="22"/>
          <w:szCs w:val="22"/>
          <w:lang w:val="sr-Latn-ME"/>
        </w:rPr>
        <w:t xml:space="preserve"> </w:t>
      </w:r>
      <w:r w:rsidRPr="007403A4">
        <w:rPr>
          <w:iCs/>
          <w:sz w:val="22"/>
          <w:szCs w:val="22"/>
          <w:lang w:val="sr-Latn-ME"/>
        </w:rPr>
        <w:t xml:space="preserve">ml, koncentrat </w:t>
      </w:r>
      <w:r w:rsidR="00ED7C77" w:rsidRPr="007403A4">
        <w:rPr>
          <w:iCs/>
          <w:sz w:val="22"/>
          <w:szCs w:val="22"/>
          <w:lang w:val="sr-Latn-ME"/>
        </w:rPr>
        <w:t>za rastvor za infuziju</w:t>
      </w:r>
    </w:p>
    <w:p w14:paraId="35532503" w14:textId="77777777" w:rsidR="000D425A" w:rsidRPr="007403A4" w:rsidRDefault="000D425A" w:rsidP="00B77615">
      <w:pPr>
        <w:jc w:val="both"/>
        <w:rPr>
          <w:bCs/>
          <w:sz w:val="22"/>
          <w:szCs w:val="22"/>
          <w:lang w:val="sr-Latn-ME"/>
        </w:rPr>
      </w:pPr>
    </w:p>
    <w:p w14:paraId="51BFA520" w14:textId="77777777" w:rsidR="006D20A5" w:rsidRPr="007403A4" w:rsidRDefault="006D20A5" w:rsidP="00B77615">
      <w:pPr>
        <w:jc w:val="both"/>
        <w:rPr>
          <w:sz w:val="22"/>
          <w:szCs w:val="22"/>
          <w:lang w:val="sr-Latn-ME"/>
        </w:rPr>
      </w:pPr>
      <w:r w:rsidRPr="007403A4">
        <w:rPr>
          <w:sz w:val="22"/>
          <w:szCs w:val="22"/>
          <w:lang w:val="sr-Latn-ME"/>
        </w:rPr>
        <w:t>INN:</w:t>
      </w:r>
      <w:r w:rsidR="00ED7C77" w:rsidRPr="007403A4">
        <w:rPr>
          <w:sz w:val="22"/>
          <w:szCs w:val="22"/>
          <w:lang w:val="sr-Latn-ME"/>
        </w:rPr>
        <w:t xml:space="preserve"> obinutuzumab</w:t>
      </w:r>
    </w:p>
    <w:p w14:paraId="402EAFF1" w14:textId="77777777" w:rsidR="006D20A5" w:rsidRPr="007403A4" w:rsidRDefault="006D20A5" w:rsidP="00B77615">
      <w:pPr>
        <w:jc w:val="both"/>
        <w:rPr>
          <w:bCs/>
          <w:sz w:val="22"/>
          <w:szCs w:val="22"/>
          <w:lang w:val="sr-Latn-ME"/>
        </w:rPr>
      </w:pPr>
    </w:p>
    <w:p w14:paraId="5A2078EE" w14:textId="77777777" w:rsidR="00530BD7" w:rsidRPr="007403A4" w:rsidRDefault="00530BD7" w:rsidP="00B77615">
      <w:pPr>
        <w:jc w:val="both"/>
        <w:rPr>
          <w:bCs/>
          <w:sz w:val="22"/>
          <w:szCs w:val="22"/>
          <w:lang w:val="sr-Latn-ME"/>
        </w:rPr>
      </w:pPr>
    </w:p>
    <w:p w14:paraId="2ACC2E22" w14:textId="77777777" w:rsidR="00411B4B" w:rsidRPr="007403A4" w:rsidRDefault="00411B4B" w:rsidP="00B77615">
      <w:pPr>
        <w:tabs>
          <w:tab w:val="left" w:pos="540"/>
          <w:tab w:val="left" w:pos="569"/>
        </w:tabs>
        <w:jc w:val="both"/>
        <w:rPr>
          <w:b/>
          <w:bCs/>
          <w:sz w:val="22"/>
          <w:szCs w:val="22"/>
          <w:lang w:val="sr-Latn-ME"/>
        </w:rPr>
      </w:pPr>
      <w:r w:rsidRPr="007403A4">
        <w:rPr>
          <w:b/>
          <w:bCs/>
          <w:sz w:val="22"/>
          <w:szCs w:val="22"/>
          <w:lang w:val="sr-Latn-ME"/>
        </w:rPr>
        <w:t xml:space="preserve">2. </w:t>
      </w:r>
      <w:r w:rsidR="00F5167F" w:rsidRPr="007403A4">
        <w:rPr>
          <w:b/>
          <w:bCs/>
          <w:sz w:val="22"/>
          <w:szCs w:val="22"/>
          <w:lang w:val="sr-Latn-ME"/>
        </w:rPr>
        <w:tab/>
      </w:r>
      <w:r w:rsidRPr="007403A4">
        <w:rPr>
          <w:b/>
          <w:bCs/>
          <w:sz w:val="22"/>
          <w:szCs w:val="22"/>
          <w:lang w:val="sr-Latn-ME"/>
        </w:rPr>
        <w:t>KVALITATIVNI I KVANTITATIVNI SASTAV</w:t>
      </w:r>
    </w:p>
    <w:p w14:paraId="7612A8DD" w14:textId="77777777" w:rsidR="005A0B2E" w:rsidRPr="007403A4" w:rsidRDefault="005A0B2E" w:rsidP="00B77615">
      <w:pPr>
        <w:jc w:val="both"/>
        <w:rPr>
          <w:sz w:val="22"/>
          <w:szCs w:val="22"/>
          <w:lang w:val="sr-Latn-ME"/>
        </w:rPr>
      </w:pPr>
    </w:p>
    <w:p w14:paraId="44E5104F" w14:textId="39AF358D" w:rsidR="00ED7C77" w:rsidRPr="007403A4" w:rsidRDefault="00ED7C77" w:rsidP="00B77615">
      <w:pPr>
        <w:jc w:val="both"/>
        <w:rPr>
          <w:sz w:val="22"/>
          <w:szCs w:val="22"/>
          <w:lang w:val="sr-Latn-ME"/>
        </w:rPr>
      </w:pPr>
      <w:r w:rsidRPr="007403A4">
        <w:rPr>
          <w:sz w:val="22"/>
          <w:szCs w:val="22"/>
          <w:lang w:val="sr-Latn-ME"/>
        </w:rPr>
        <w:t xml:space="preserve">Jedna bočica sa 40 ml koncentrata sadrži 1000 mg obinutuzumaba, što odgovara koncentraciji od 25 mg/ml prije </w:t>
      </w:r>
      <w:r w:rsidR="00DD72FA" w:rsidRPr="007403A4">
        <w:rPr>
          <w:sz w:val="22"/>
          <w:szCs w:val="22"/>
          <w:lang w:val="sr-Latn-ME"/>
        </w:rPr>
        <w:t>razblaženja</w:t>
      </w:r>
      <w:r w:rsidRPr="007403A4">
        <w:rPr>
          <w:sz w:val="22"/>
          <w:szCs w:val="22"/>
          <w:lang w:val="sr-Latn-ME"/>
        </w:rPr>
        <w:t xml:space="preserve">. </w:t>
      </w:r>
    </w:p>
    <w:p w14:paraId="22AF8171" w14:textId="77777777" w:rsidR="00ED7C77" w:rsidRPr="007403A4" w:rsidRDefault="00ED7C77" w:rsidP="00B77615">
      <w:pPr>
        <w:jc w:val="both"/>
        <w:rPr>
          <w:sz w:val="22"/>
          <w:szCs w:val="22"/>
          <w:lang w:val="sr-Latn-ME"/>
        </w:rPr>
      </w:pPr>
    </w:p>
    <w:p w14:paraId="42057E41" w14:textId="11A63027" w:rsidR="00ED7C77" w:rsidRPr="007403A4" w:rsidRDefault="00ED7C77" w:rsidP="00B77615">
      <w:pPr>
        <w:jc w:val="both"/>
        <w:rPr>
          <w:sz w:val="22"/>
          <w:szCs w:val="22"/>
          <w:lang w:val="sr-Latn-ME"/>
        </w:rPr>
      </w:pPr>
      <w:r w:rsidRPr="007403A4">
        <w:rPr>
          <w:sz w:val="22"/>
          <w:szCs w:val="22"/>
          <w:lang w:val="sr-Latn-ME"/>
        </w:rPr>
        <w:t>Obinutuzumab je humanizovano anti</w:t>
      </w:r>
      <w:r w:rsidRPr="007403A4">
        <w:rPr>
          <w:sz w:val="22"/>
          <w:szCs w:val="22"/>
          <w:lang w:val="sr-Latn-ME"/>
        </w:rPr>
        <w:noBreakHyphen/>
        <w:t>CD20 monoklonsko antitijelo tipa II iz podgrupe IgG1 dobijeno humanizacijom osnovnog mišjeg antitijela B</w:t>
      </w:r>
      <w:r w:rsidRPr="007403A4">
        <w:rPr>
          <w:sz w:val="22"/>
          <w:szCs w:val="22"/>
          <w:lang w:val="sr-Latn-ME"/>
        </w:rPr>
        <w:noBreakHyphen/>
        <w:t>Ly1 i proizvedeno tehnologijom rekombinantne DNK na ćelijskoj liniji jajnika kineskog hrčka.</w:t>
      </w:r>
    </w:p>
    <w:p w14:paraId="67C951E9" w14:textId="77777777" w:rsidR="00ED7C77" w:rsidRPr="007403A4" w:rsidRDefault="00ED7C77" w:rsidP="00B77615">
      <w:pPr>
        <w:jc w:val="both"/>
        <w:rPr>
          <w:sz w:val="22"/>
          <w:szCs w:val="22"/>
          <w:lang w:val="sr-Latn-ME"/>
        </w:rPr>
      </w:pPr>
    </w:p>
    <w:p w14:paraId="315850BB" w14:textId="77777777" w:rsidR="0003793F" w:rsidRPr="007403A4" w:rsidRDefault="0003793F" w:rsidP="00B77615">
      <w:pPr>
        <w:jc w:val="both"/>
        <w:rPr>
          <w:sz w:val="22"/>
          <w:szCs w:val="22"/>
          <w:lang w:val="sr-Latn-ME"/>
        </w:rPr>
      </w:pPr>
      <w:r w:rsidRPr="007403A4">
        <w:rPr>
          <w:sz w:val="22"/>
          <w:szCs w:val="22"/>
          <w:lang w:val="sr-Latn-ME"/>
        </w:rPr>
        <w:t>Za spisak svih ekscipijenasa, pogledati dio 6.1.</w:t>
      </w:r>
    </w:p>
    <w:p w14:paraId="241DDDCB" w14:textId="0307245A" w:rsidR="00C37FD7" w:rsidRPr="007403A4" w:rsidRDefault="00C37FD7" w:rsidP="00B77615">
      <w:pPr>
        <w:jc w:val="both"/>
        <w:rPr>
          <w:sz w:val="22"/>
          <w:szCs w:val="22"/>
          <w:lang w:val="sr-Latn-ME"/>
        </w:rPr>
      </w:pPr>
    </w:p>
    <w:p w14:paraId="440A3B2E" w14:textId="77777777" w:rsidR="007403A4" w:rsidRPr="007403A4" w:rsidRDefault="007403A4" w:rsidP="00B77615">
      <w:pPr>
        <w:jc w:val="both"/>
        <w:rPr>
          <w:sz w:val="22"/>
          <w:szCs w:val="22"/>
          <w:lang w:val="sr-Latn-ME"/>
        </w:rPr>
      </w:pPr>
    </w:p>
    <w:p w14:paraId="28D26FA4" w14:textId="77777777" w:rsidR="00411B4B" w:rsidRPr="007403A4" w:rsidRDefault="00411B4B" w:rsidP="00B77615">
      <w:pPr>
        <w:tabs>
          <w:tab w:val="left" w:pos="540"/>
          <w:tab w:val="left" w:pos="569"/>
        </w:tabs>
        <w:jc w:val="both"/>
        <w:rPr>
          <w:b/>
          <w:bCs/>
          <w:sz w:val="22"/>
          <w:szCs w:val="22"/>
          <w:lang w:val="sr-Latn-ME"/>
        </w:rPr>
      </w:pPr>
      <w:r w:rsidRPr="007403A4">
        <w:rPr>
          <w:b/>
          <w:bCs/>
          <w:sz w:val="22"/>
          <w:szCs w:val="22"/>
          <w:lang w:val="sr-Latn-ME"/>
        </w:rPr>
        <w:t xml:space="preserve">3. </w:t>
      </w:r>
      <w:r w:rsidR="00F5167F" w:rsidRPr="007403A4">
        <w:rPr>
          <w:b/>
          <w:bCs/>
          <w:sz w:val="22"/>
          <w:szCs w:val="22"/>
          <w:lang w:val="sr-Latn-ME"/>
        </w:rPr>
        <w:tab/>
      </w:r>
      <w:r w:rsidRPr="007403A4">
        <w:rPr>
          <w:b/>
          <w:bCs/>
          <w:sz w:val="22"/>
          <w:szCs w:val="22"/>
          <w:lang w:val="sr-Latn-ME"/>
        </w:rPr>
        <w:t>FARMACEUTSKI OBLIK</w:t>
      </w:r>
      <w:r w:rsidR="009F2D23" w:rsidRPr="007403A4">
        <w:rPr>
          <w:b/>
          <w:bCs/>
          <w:sz w:val="22"/>
          <w:szCs w:val="22"/>
          <w:lang w:val="sr-Latn-ME"/>
        </w:rPr>
        <w:t xml:space="preserve"> </w:t>
      </w:r>
    </w:p>
    <w:p w14:paraId="2C11B794" w14:textId="77777777" w:rsidR="00ED7C77" w:rsidRPr="007403A4" w:rsidRDefault="00ED7C77" w:rsidP="00B77615">
      <w:pPr>
        <w:tabs>
          <w:tab w:val="left" w:pos="540"/>
          <w:tab w:val="left" w:pos="569"/>
        </w:tabs>
        <w:jc w:val="both"/>
        <w:rPr>
          <w:b/>
          <w:bCs/>
          <w:sz w:val="22"/>
          <w:szCs w:val="22"/>
          <w:lang w:val="sr-Latn-ME"/>
        </w:rPr>
      </w:pPr>
    </w:p>
    <w:p w14:paraId="3EBC69CE" w14:textId="77777777" w:rsidR="00ED7C77" w:rsidRPr="007403A4" w:rsidRDefault="00ED7C77" w:rsidP="00B77615">
      <w:pPr>
        <w:jc w:val="both"/>
        <w:rPr>
          <w:bCs/>
          <w:sz w:val="22"/>
          <w:szCs w:val="22"/>
          <w:lang w:val="sr-Latn-ME"/>
        </w:rPr>
      </w:pPr>
      <w:r w:rsidRPr="007403A4">
        <w:rPr>
          <w:bCs/>
          <w:sz w:val="22"/>
          <w:szCs w:val="22"/>
          <w:lang w:val="sr-Latn-ME"/>
        </w:rPr>
        <w:t>Koncentrat za rastvor za infuziju.</w:t>
      </w:r>
    </w:p>
    <w:p w14:paraId="5D33D0C9" w14:textId="77777777" w:rsidR="00ED7C77" w:rsidRPr="007403A4" w:rsidRDefault="00ED7C77" w:rsidP="00B77615">
      <w:pPr>
        <w:jc w:val="both"/>
        <w:rPr>
          <w:bCs/>
          <w:sz w:val="22"/>
          <w:szCs w:val="22"/>
          <w:lang w:val="sr-Latn-ME"/>
        </w:rPr>
      </w:pPr>
    </w:p>
    <w:p w14:paraId="27DD9DC4" w14:textId="57500417" w:rsidR="00411B4B" w:rsidRPr="007403A4" w:rsidRDefault="00ED7C77" w:rsidP="00B77615">
      <w:pPr>
        <w:jc w:val="both"/>
        <w:rPr>
          <w:bCs/>
          <w:sz w:val="22"/>
          <w:szCs w:val="22"/>
          <w:lang w:val="sr-Latn-ME"/>
        </w:rPr>
      </w:pPr>
      <w:r w:rsidRPr="007403A4">
        <w:rPr>
          <w:bCs/>
          <w:sz w:val="22"/>
          <w:szCs w:val="22"/>
          <w:lang w:val="sr-Latn-ME"/>
        </w:rPr>
        <w:t xml:space="preserve">Bistra, bezbojna do </w:t>
      </w:r>
      <w:r w:rsidR="009F4E32" w:rsidRPr="007403A4">
        <w:rPr>
          <w:bCs/>
          <w:sz w:val="22"/>
          <w:szCs w:val="22"/>
          <w:lang w:val="sr-Latn-ME"/>
        </w:rPr>
        <w:t xml:space="preserve">smećkasta </w:t>
      </w:r>
      <w:r w:rsidRPr="007403A4">
        <w:rPr>
          <w:bCs/>
          <w:sz w:val="22"/>
          <w:szCs w:val="22"/>
          <w:lang w:val="sr-Latn-ME"/>
        </w:rPr>
        <w:t>tečnost.</w:t>
      </w:r>
    </w:p>
    <w:p w14:paraId="7BFA2D82" w14:textId="410760D1" w:rsidR="00EC2532" w:rsidRPr="007403A4" w:rsidRDefault="00EC2532" w:rsidP="00B77615">
      <w:pPr>
        <w:jc w:val="both"/>
        <w:rPr>
          <w:bCs/>
          <w:sz w:val="22"/>
          <w:szCs w:val="22"/>
          <w:lang w:val="sr-Latn-ME"/>
        </w:rPr>
      </w:pPr>
    </w:p>
    <w:p w14:paraId="531A10DC" w14:textId="77777777" w:rsidR="007403A4" w:rsidRPr="007403A4" w:rsidRDefault="007403A4" w:rsidP="00B77615">
      <w:pPr>
        <w:jc w:val="both"/>
        <w:rPr>
          <w:bCs/>
          <w:sz w:val="22"/>
          <w:szCs w:val="22"/>
          <w:lang w:val="sr-Latn-ME"/>
        </w:rPr>
      </w:pPr>
    </w:p>
    <w:p w14:paraId="47B0D51A" w14:textId="77777777" w:rsidR="00411B4B" w:rsidRPr="007403A4" w:rsidRDefault="00411B4B" w:rsidP="004D3AD0">
      <w:pPr>
        <w:tabs>
          <w:tab w:val="left" w:pos="540"/>
          <w:tab w:val="left" w:pos="569"/>
        </w:tabs>
        <w:jc w:val="both"/>
        <w:rPr>
          <w:b/>
          <w:bCs/>
          <w:sz w:val="22"/>
          <w:szCs w:val="22"/>
          <w:lang w:val="sr-Latn-ME"/>
        </w:rPr>
      </w:pPr>
      <w:r w:rsidRPr="007403A4">
        <w:rPr>
          <w:b/>
          <w:bCs/>
          <w:sz w:val="22"/>
          <w:szCs w:val="22"/>
          <w:lang w:val="sr-Latn-ME"/>
        </w:rPr>
        <w:t xml:space="preserve">4. </w:t>
      </w:r>
      <w:r w:rsidR="00480FB1" w:rsidRPr="007403A4">
        <w:rPr>
          <w:b/>
          <w:bCs/>
          <w:sz w:val="22"/>
          <w:szCs w:val="22"/>
          <w:lang w:val="sr-Latn-ME"/>
        </w:rPr>
        <w:tab/>
      </w:r>
      <w:r w:rsidRPr="007403A4">
        <w:rPr>
          <w:b/>
          <w:bCs/>
          <w:sz w:val="22"/>
          <w:szCs w:val="22"/>
          <w:lang w:val="sr-Latn-ME"/>
        </w:rPr>
        <w:t>KLINIČKI PODACI</w:t>
      </w:r>
    </w:p>
    <w:p w14:paraId="65EC3078" w14:textId="77777777" w:rsidR="00CD6F02" w:rsidRPr="007403A4" w:rsidRDefault="00CD6F02" w:rsidP="004D3AD0">
      <w:pPr>
        <w:tabs>
          <w:tab w:val="left" w:pos="540"/>
          <w:tab w:val="left" w:pos="569"/>
        </w:tabs>
        <w:jc w:val="both"/>
        <w:rPr>
          <w:bCs/>
          <w:sz w:val="22"/>
          <w:szCs w:val="22"/>
          <w:lang w:val="sr-Latn-ME"/>
        </w:rPr>
      </w:pPr>
    </w:p>
    <w:p w14:paraId="310C4642" w14:textId="77777777" w:rsidR="00411B4B" w:rsidRPr="007403A4" w:rsidRDefault="00411B4B" w:rsidP="004D3AD0">
      <w:pPr>
        <w:tabs>
          <w:tab w:val="left" w:pos="540"/>
          <w:tab w:val="left" w:pos="569"/>
        </w:tabs>
        <w:jc w:val="both"/>
        <w:rPr>
          <w:b/>
          <w:bCs/>
          <w:sz w:val="22"/>
          <w:szCs w:val="22"/>
          <w:lang w:val="sr-Latn-ME"/>
        </w:rPr>
      </w:pPr>
      <w:r w:rsidRPr="007403A4">
        <w:rPr>
          <w:b/>
          <w:bCs/>
          <w:sz w:val="22"/>
          <w:szCs w:val="22"/>
          <w:lang w:val="sr-Latn-ME"/>
        </w:rPr>
        <w:t xml:space="preserve">4.1. </w:t>
      </w:r>
      <w:r w:rsidR="00480FB1" w:rsidRPr="007403A4">
        <w:rPr>
          <w:b/>
          <w:bCs/>
          <w:sz w:val="22"/>
          <w:szCs w:val="22"/>
          <w:lang w:val="sr-Latn-ME"/>
        </w:rPr>
        <w:tab/>
      </w:r>
      <w:r w:rsidRPr="007403A4">
        <w:rPr>
          <w:b/>
          <w:bCs/>
          <w:sz w:val="22"/>
          <w:szCs w:val="22"/>
          <w:lang w:val="sr-Latn-ME"/>
        </w:rPr>
        <w:t>Terapijske indikacije</w:t>
      </w:r>
    </w:p>
    <w:p w14:paraId="3EF02393" w14:textId="77777777" w:rsidR="00ED7C77" w:rsidRPr="007403A4" w:rsidRDefault="00ED7C77" w:rsidP="004D3AD0">
      <w:pPr>
        <w:tabs>
          <w:tab w:val="left" w:pos="540"/>
          <w:tab w:val="left" w:pos="569"/>
        </w:tabs>
        <w:jc w:val="both"/>
        <w:rPr>
          <w:b/>
          <w:bCs/>
          <w:sz w:val="22"/>
          <w:szCs w:val="22"/>
          <w:lang w:val="sr-Latn-ME"/>
        </w:rPr>
      </w:pPr>
    </w:p>
    <w:p w14:paraId="1D9190D3" w14:textId="77777777" w:rsidR="00ED7C77" w:rsidRPr="007403A4" w:rsidRDefault="00ED7C77" w:rsidP="004D3AD0">
      <w:pPr>
        <w:tabs>
          <w:tab w:val="left" w:pos="540"/>
          <w:tab w:val="left" w:pos="569"/>
        </w:tabs>
        <w:jc w:val="both"/>
        <w:rPr>
          <w:b/>
          <w:bCs/>
          <w:sz w:val="22"/>
          <w:szCs w:val="22"/>
          <w:u w:val="single"/>
          <w:lang w:val="sr-Latn-ME"/>
        </w:rPr>
      </w:pPr>
      <w:r w:rsidRPr="007403A4">
        <w:rPr>
          <w:bCs/>
          <w:sz w:val="22"/>
          <w:szCs w:val="22"/>
          <w:u w:val="single"/>
          <w:lang w:val="sr-Latn-ME"/>
        </w:rPr>
        <w:t>Hronična limfocitna leukemija (HLL)</w:t>
      </w:r>
    </w:p>
    <w:p w14:paraId="746DC0FF" w14:textId="77777777" w:rsidR="00ED7C77" w:rsidRPr="007403A4" w:rsidRDefault="00ED7C77" w:rsidP="004D3AD0">
      <w:pPr>
        <w:tabs>
          <w:tab w:val="left" w:pos="540"/>
          <w:tab w:val="left" w:pos="569"/>
        </w:tabs>
        <w:jc w:val="both"/>
        <w:rPr>
          <w:bCs/>
          <w:sz w:val="22"/>
          <w:szCs w:val="22"/>
          <w:lang w:val="sr-Latn-ME"/>
        </w:rPr>
      </w:pPr>
    </w:p>
    <w:p w14:paraId="3191E861" w14:textId="2E1A55BA" w:rsidR="00ED7C77" w:rsidRPr="007403A4" w:rsidRDefault="00D201BD" w:rsidP="004D3AD0">
      <w:pPr>
        <w:tabs>
          <w:tab w:val="left" w:pos="540"/>
          <w:tab w:val="left" w:pos="569"/>
        </w:tabs>
        <w:jc w:val="both"/>
        <w:rPr>
          <w:bCs/>
          <w:sz w:val="22"/>
          <w:szCs w:val="22"/>
          <w:lang w:val="sr-Latn-ME"/>
        </w:rPr>
      </w:pPr>
      <w:r w:rsidRPr="007403A4">
        <w:rPr>
          <w:bCs/>
          <w:sz w:val="22"/>
          <w:szCs w:val="22"/>
          <w:lang w:val="sr-Latn-ME"/>
        </w:rPr>
        <w:t xml:space="preserve">Lijek </w:t>
      </w:r>
      <w:r w:rsidR="00ED7C77" w:rsidRPr="007403A4">
        <w:rPr>
          <w:bCs/>
          <w:sz w:val="22"/>
          <w:szCs w:val="22"/>
          <w:lang w:val="sr-Latn-ME"/>
        </w:rPr>
        <w:t>Gazyvaro je u kombinaciji sa hlorambucilom indikovan za liječenje odraslih pacijenata sa prethodno neliječenom HLL i komorbiditetima, zbog kojih kod njih nije odgovarajuća terapija zasnovana na punoj dozi fludarabina (vidjeti dio 5.1).</w:t>
      </w:r>
    </w:p>
    <w:p w14:paraId="458CA0E3" w14:textId="77777777" w:rsidR="00ED7C77" w:rsidRPr="007403A4" w:rsidRDefault="00ED7C77">
      <w:pPr>
        <w:tabs>
          <w:tab w:val="left" w:pos="540"/>
          <w:tab w:val="left" w:pos="569"/>
        </w:tabs>
        <w:jc w:val="both"/>
        <w:rPr>
          <w:bCs/>
          <w:sz w:val="22"/>
          <w:szCs w:val="22"/>
          <w:lang w:val="sr-Latn-ME"/>
        </w:rPr>
      </w:pPr>
    </w:p>
    <w:p w14:paraId="3F050187" w14:textId="77777777" w:rsidR="00ED7C77" w:rsidRPr="007403A4" w:rsidRDefault="00ED7C77">
      <w:pPr>
        <w:tabs>
          <w:tab w:val="left" w:pos="540"/>
          <w:tab w:val="left" w:pos="569"/>
        </w:tabs>
        <w:jc w:val="both"/>
        <w:rPr>
          <w:bCs/>
          <w:sz w:val="22"/>
          <w:szCs w:val="22"/>
          <w:u w:val="single"/>
          <w:lang w:val="sr-Latn-ME"/>
        </w:rPr>
      </w:pPr>
      <w:r w:rsidRPr="007403A4">
        <w:rPr>
          <w:bCs/>
          <w:sz w:val="22"/>
          <w:szCs w:val="22"/>
          <w:u w:val="single"/>
          <w:lang w:val="sr-Latn-ME"/>
        </w:rPr>
        <w:t>Folikularni limfom (FL)</w:t>
      </w:r>
    </w:p>
    <w:p w14:paraId="3E186272" w14:textId="77777777" w:rsidR="00ED7C77" w:rsidRPr="007403A4" w:rsidRDefault="00ED7C77">
      <w:pPr>
        <w:tabs>
          <w:tab w:val="left" w:pos="540"/>
          <w:tab w:val="left" w:pos="569"/>
        </w:tabs>
        <w:jc w:val="both"/>
        <w:rPr>
          <w:bCs/>
          <w:sz w:val="22"/>
          <w:szCs w:val="22"/>
          <w:lang w:val="sr-Latn-ME"/>
        </w:rPr>
      </w:pPr>
    </w:p>
    <w:p w14:paraId="4885976A" w14:textId="79E633BB" w:rsidR="00ED7C77" w:rsidRPr="007403A4" w:rsidRDefault="00D201BD">
      <w:pPr>
        <w:tabs>
          <w:tab w:val="left" w:pos="540"/>
          <w:tab w:val="left" w:pos="569"/>
        </w:tabs>
        <w:jc w:val="both"/>
        <w:rPr>
          <w:bCs/>
          <w:sz w:val="22"/>
          <w:szCs w:val="22"/>
          <w:lang w:val="sr-Latn-ME"/>
        </w:rPr>
      </w:pPr>
      <w:r w:rsidRPr="007403A4">
        <w:rPr>
          <w:bCs/>
          <w:sz w:val="22"/>
          <w:szCs w:val="22"/>
          <w:lang w:val="sr-Latn-ME"/>
        </w:rPr>
        <w:t xml:space="preserve">Lijek </w:t>
      </w:r>
      <w:r w:rsidR="00ED7C77" w:rsidRPr="007403A4">
        <w:rPr>
          <w:bCs/>
          <w:sz w:val="22"/>
          <w:szCs w:val="22"/>
          <w:lang w:val="sr-Latn-ME"/>
        </w:rPr>
        <w:t>Gazyvaro je u kombinaciji sa hemoterapijom, nakon čega kod pacijenata koji ostvare odgovor slijedi terapija održavanja lijekom Gazyvaro, indikovan za liječenje pacijenata sa prethodno neliječenim uznapredovalim FL</w:t>
      </w:r>
      <w:r w:rsidR="00B77615" w:rsidRPr="007403A4">
        <w:rPr>
          <w:bCs/>
          <w:sz w:val="22"/>
          <w:szCs w:val="22"/>
          <w:lang w:val="sr-Latn-ME"/>
        </w:rPr>
        <w:t xml:space="preserve"> </w:t>
      </w:r>
      <w:r w:rsidR="00ED7C77" w:rsidRPr="007403A4">
        <w:rPr>
          <w:bCs/>
          <w:sz w:val="22"/>
          <w:szCs w:val="22"/>
          <w:lang w:val="sr-Latn-ME"/>
        </w:rPr>
        <w:t>(vidjeti dio 5.1).</w:t>
      </w:r>
    </w:p>
    <w:p w14:paraId="480E9BD8" w14:textId="77777777" w:rsidR="00ED7C77" w:rsidRPr="007403A4" w:rsidRDefault="00ED7C77">
      <w:pPr>
        <w:tabs>
          <w:tab w:val="left" w:pos="540"/>
          <w:tab w:val="left" w:pos="569"/>
        </w:tabs>
        <w:jc w:val="both"/>
        <w:rPr>
          <w:bCs/>
          <w:sz w:val="22"/>
          <w:szCs w:val="22"/>
          <w:lang w:val="sr-Latn-ME"/>
        </w:rPr>
      </w:pPr>
    </w:p>
    <w:p w14:paraId="737D7B3E" w14:textId="2096BF59" w:rsidR="00ED7C77" w:rsidRPr="007403A4" w:rsidRDefault="00D201BD">
      <w:pPr>
        <w:tabs>
          <w:tab w:val="left" w:pos="540"/>
          <w:tab w:val="left" w:pos="569"/>
        </w:tabs>
        <w:jc w:val="both"/>
        <w:rPr>
          <w:bCs/>
          <w:sz w:val="22"/>
          <w:szCs w:val="22"/>
          <w:lang w:val="sr-Latn-ME"/>
        </w:rPr>
      </w:pPr>
      <w:r w:rsidRPr="007403A4">
        <w:rPr>
          <w:bCs/>
          <w:sz w:val="22"/>
          <w:szCs w:val="22"/>
          <w:lang w:val="sr-Latn-ME"/>
        </w:rPr>
        <w:t xml:space="preserve">Lijek </w:t>
      </w:r>
      <w:r w:rsidR="00ED7C77" w:rsidRPr="007403A4">
        <w:rPr>
          <w:bCs/>
          <w:sz w:val="22"/>
          <w:szCs w:val="22"/>
          <w:lang w:val="sr-Latn-ME"/>
        </w:rPr>
        <w:t>Gazyvaro je u kombinaciji sa bendamustinom, nakon čega slijedi terapija održavanja lijekom Gazyvaro, indikovan za liječenje pacijenata sa FL koji nijesu odgovorili na liječenje rituksimabom ili protokolom koji sadrži rituksimab, ili su doživjeli progresiju tokom ili do 6 mjeseci nakon takvog liječenja.</w:t>
      </w:r>
    </w:p>
    <w:p w14:paraId="54F18494" w14:textId="77777777" w:rsidR="00411B4B" w:rsidRPr="007403A4" w:rsidRDefault="00411B4B">
      <w:pPr>
        <w:tabs>
          <w:tab w:val="left" w:pos="540"/>
          <w:tab w:val="left" w:pos="569"/>
        </w:tabs>
        <w:jc w:val="both"/>
        <w:rPr>
          <w:bCs/>
          <w:sz w:val="22"/>
          <w:szCs w:val="22"/>
          <w:lang w:val="sr-Latn-ME"/>
        </w:rPr>
      </w:pPr>
    </w:p>
    <w:p w14:paraId="5078075E" w14:textId="77777777" w:rsidR="00411B4B" w:rsidRPr="007403A4" w:rsidRDefault="00411B4B">
      <w:pPr>
        <w:tabs>
          <w:tab w:val="left" w:pos="540"/>
          <w:tab w:val="left" w:pos="569"/>
        </w:tabs>
        <w:jc w:val="both"/>
        <w:rPr>
          <w:b/>
          <w:bCs/>
          <w:sz w:val="22"/>
          <w:szCs w:val="22"/>
          <w:lang w:val="sr-Latn-ME"/>
        </w:rPr>
      </w:pPr>
      <w:r w:rsidRPr="007403A4">
        <w:rPr>
          <w:b/>
          <w:bCs/>
          <w:sz w:val="22"/>
          <w:szCs w:val="22"/>
          <w:lang w:val="sr-Latn-ME"/>
        </w:rPr>
        <w:t xml:space="preserve">4.2. </w:t>
      </w:r>
      <w:r w:rsidR="00480FB1" w:rsidRPr="007403A4">
        <w:rPr>
          <w:b/>
          <w:bCs/>
          <w:sz w:val="22"/>
          <w:szCs w:val="22"/>
          <w:lang w:val="sr-Latn-ME"/>
        </w:rPr>
        <w:tab/>
      </w:r>
      <w:r w:rsidRPr="007403A4">
        <w:rPr>
          <w:b/>
          <w:bCs/>
          <w:sz w:val="22"/>
          <w:szCs w:val="22"/>
          <w:lang w:val="sr-Latn-ME"/>
        </w:rPr>
        <w:t>Doziranje i način primjene</w:t>
      </w:r>
    </w:p>
    <w:p w14:paraId="27BF86AE" w14:textId="77777777" w:rsidR="00ED7C77" w:rsidRPr="007403A4" w:rsidRDefault="00ED7C77">
      <w:pPr>
        <w:tabs>
          <w:tab w:val="left" w:pos="540"/>
          <w:tab w:val="left" w:pos="569"/>
        </w:tabs>
        <w:jc w:val="both"/>
        <w:rPr>
          <w:b/>
          <w:bCs/>
          <w:sz w:val="22"/>
          <w:szCs w:val="22"/>
          <w:lang w:val="sr-Latn-ME"/>
        </w:rPr>
      </w:pPr>
    </w:p>
    <w:p w14:paraId="799E7967" w14:textId="78488D3F" w:rsidR="00ED7C77" w:rsidRPr="007403A4" w:rsidRDefault="00D201BD">
      <w:pPr>
        <w:tabs>
          <w:tab w:val="left" w:pos="540"/>
          <w:tab w:val="left" w:pos="569"/>
        </w:tabs>
        <w:jc w:val="both"/>
        <w:rPr>
          <w:bCs/>
          <w:color w:val="FF0000"/>
          <w:sz w:val="22"/>
          <w:szCs w:val="22"/>
          <w:lang w:val="sr-Latn-ME"/>
        </w:rPr>
      </w:pPr>
      <w:r w:rsidRPr="007403A4">
        <w:rPr>
          <w:bCs/>
          <w:sz w:val="22"/>
          <w:szCs w:val="22"/>
          <w:lang w:val="sr-Latn-ME"/>
        </w:rPr>
        <w:t xml:space="preserve">Lijek </w:t>
      </w:r>
      <w:r w:rsidR="00ED7C77" w:rsidRPr="007403A4">
        <w:rPr>
          <w:bCs/>
          <w:sz w:val="22"/>
          <w:szCs w:val="22"/>
          <w:lang w:val="sr-Latn-ME"/>
        </w:rPr>
        <w:t xml:space="preserve">Gazyvaro se mora primjenjivati pod strogim nadzorom iskusnog ljekara i to u okruženju u kojem je odmah dostupna potpuna oprema za </w:t>
      </w:r>
      <w:r w:rsidR="00565CD9" w:rsidRPr="007403A4">
        <w:rPr>
          <w:bCs/>
          <w:sz w:val="22"/>
          <w:szCs w:val="22"/>
          <w:lang w:val="sr-Latn-ME"/>
        </w:rPr>
        <w:t>reanimaciju</w:t>
      </w:r>
      <w:r w:rsidR="00ED7C77" w:rsidRPr="007403A4">
        <w:rPr>
          <w:bCs/>
          <w:sz w:val="22"/>
          <w:szCs w:val="22"/>
          <w:lang w:val="sr-Latn-ME"/>
        </w:rPr>
        <w:t>.</w:t>
      </w:r>
    </w:p>
    <w:p w14:paraId="72FCB4FD" w14:textId="3D2D4BCB" w:rsidR="00C95059" w:rsidRPr="007403A4" w:rsidRDefault="00C95059">
      <w:pPr>
        <w:tabs>
          <w:tab w:val="left" w:pos="540"/>
          <w:tab w:val="left" w:pos="569"/>
        </w:tabs>
        <w:jc w:val="both"/>
        <w:rPr>
          <w:bCs/>
          <w:sz w:val="22"/>
          <w:szCs w:val="22"/>
          <w:lang w:val="sr-Latn-ME"/>
        </w:rPr>
      </w:pPr>
    </w:p>
    <w:p w14:paraId="72082A3F" w14:textId="77777777" w:rsidR="00452E9D" w:rsidRPr="007403A4" w:rsidRDefault="00452E9D">
      <w:pPr>
        <w:tabs>
          <w:tab w:val="left" w:pos="540"/>
          <w:tab w:val="left" w:pos="569"/>
        </w:tabs>
        <w:jc w:val="both"/>
        <w:rPr>
          <w:bCs/>
          <w:sz w:val="22"/>
          <w:szCs w:val="22"/>
          <w:u w:val="single"/>
          <w:lang w:val="sr-Latn-ME"/>
        </w:rPr>
      </w:pPr>
      <w:r w:rsidRPr="007403A4">
        <w:rPr>
          <w:bCs/>
          <w:sz w:val="22"/>
          <w:szCs w:val="22"/>
          <w:u w:val="single"/>
          <w:lang w:val="sr-Latn-ME"/>
        </w:rPr>
        <w:lastRenderedPageBreak/>
        <w:t>Doziranje</w:t>
      </w:r>
    </w:p>
    <w:p w14:paraId="3E499FAF" w14:textId="77777777" w:rsidR="00B77615" w:rsidRPr="007403A4" w:rsidRDefault="00B77615">
      <w:pPr>
        <w:tabs>
          <w:tab w:val="left" w:pos="540"/>
          <w:tab w:val="left" w:pos="569"/>
        </w:tabs>
        <w:jc w:val="both"/>
        <w:rPr>
          <w:bCs/>
          <w:sz w:val="22"/>
          <w:szCs w:val="22"/>
          <w:u w:val="single"/>
          <w:lang w:val="sr-Latn-ME"/>
        </w:rPr>
      </w:pPr>
    </w:p>
    <w:p w14:paraId="297FCC86"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Profilaksa i premedikacija za sindrom lize tumora</w:t>
      </w:r>
    </w:p>
    <w:p w14:paraId="26D60341" w14:textId="33A65D31"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Pacijenti sa velikim tumorskim opterećenjem i/ili velikim brojem cirkuli</w:t>
      </w:r>
      <w:r w:rsidR="00565CD9" w:rsidRPr="007403A4">
        <w:rPr>
          <w:sz w:val="22"/>
          <w:szCs w:val="22"/>
          <w:lang w:val="sr-Latn-ME"/>
        </w:rPr>
        <w:t>šućih</w:t>
      </w:r>
      <w:r w:rsidRPr="007403A4">
        <w:rPr>
          <w:sz w:val="22"/>
          <w:szCs w:val="22"/>
          <w:lang w:val="sr-Latn-ME"/>
        </w:rPr>
        <w:t xml:space="preserve"> limfocita </w:t>
      </w:r>
      <w:r w:rsidRPr="007403A4">
        <w:rPr>
          <w:noProof/>
          <w:sz w:val="22"/>
          <w:szCs w:val="22"/>
          <w:lang w:val="sr-Latn-ME"/>
        </w:rPr>
        <w:t>(&gt; 25 x 10</w:t>
      </w:r>
      <w:r w:rsidRPr="007403A4">
        <w:rPr>
          <w:noProof/>
          <w:sz w:val="22"/>
          <w:szCs w:val="22"/>
          <w:vertAlign w:val="superscript"/>
          <w:lang w:val="sr-Latn-ME"/>
        </w:rPr>
        <w:t>9</w:t>
      </w:r>
      <w:r w:rsidRPr="007403A4">
        <w:rPr>
          <w:noProof/>
          <w:sz w:val="22"/>
          <w:szCs w:val="22"/>
          <w:lang w:val="sr-Latn-ME"/>
        </w:rPr>
        <w:t>/l</w:t>
      </w:r>
      <w:r w:rsidRPr="007403A4">
        <w:rPr>
          <w:sz w:val="22"/>
          <w:szCs w:val="22"/>
          <w:lang w:val="sr-Latn-ME"/>
        </w:rPr>
        <w:t>) i/ili oštećenjem bubrežne funkcije (klirens kreatinina [CrCl] &lt;70 ml/min) smatraju se rizičnim za razvoj sindroma li</w:t>
      </w:r>
      <w:r w:rsidR="004D59E1" w:rsidRPr="007403A4">
        <w:rPr>
          <w:sz w:val="22"/>
          <w:szCs w:val="22"/>
          <w:lang w:val="sr-Latn-ME"/>
        </w:rPr>
        <w:t>ze tumora i zbog toga bi trebalo</w:t>
      </w:r>
      <w:r w:rsidRPr="007403A4">
        <w:rPr>
          <w:sz w:val="22"/>
          <w:szCs w:val="22"/>
          <w:lang w:val="sr-Latn-ME"/>
        </w:rPr>
        <w:t xml:space="preserve"> da prime profilaksu</w:t>
      </w:r>
      <w:r w:rsidRPr="007403A4">
        <w:rPr>
          <w:noProof/>
          <w:sz w:val="22"/>
          <w:szCs w:val="22"/>
          <w:lang w:val="sr-Latn-ME"/>
        </w:rPr>
        <w:t xml:space="preserve">. </w:t>
      </w:r>
      <w:r w:rsidRPr="007403A4">
        <w:rPr>
          <w:sz w:val="22"/>
          <w:szCs w:val="22"/>
          <w:lang w:val="sr-Latn-ME"/>
        </w:rPr>
        <w:t>Profilaksa</w:t>
      </w:r>
      <w:r w:rsidR="00565CD9" w:rsidRPr="007403A4">
        <w:rPr>
          <w:sz w:val="22"/>
          <w:szCs w:val="22"/>
          <w:lang w:val="sr-Latn-ME"/>
        </w:rPr>
        <w:t xml:space="preserve"> </w:t>
      </w:r>
      <w:r w:rsidRPr="007403A4">
        <w:rPr>
          <w:sz w:val="22"/>
          <w:szCs w:val="22"/>
          <w:lang w:val="sr-Latn-ME"/>
        </w:rPr>
        <w:t>treba da se sastoji od odgovarajuće hidracije i primjene ur</w:t>
      </w:r>
      <w:r w:rsidR="00565CD9" w:rsidRPr="007403A4">
        <w:rPr>
          <w:sz w:val="22"/>
          <w:szCs w:val="22"/>
          <w:lang w:val="sr-Latn-ME"/>
        </w:rPr>
        <w:t>ik</w:t>
      </w:r>
      <w:r w:rsidRPr="007403A4">
        <w:rPr>
          <w:sz w:val="22"/>
          <w:szCs w:val="22"/>
          <w:lang w:val="sr-Latn-ME"/>
        </w:rPr>
        <w:t xml:space="preserve">ostatika (npr. alopurinola), ili neke druge prikladne terapije, poput urat oksidaze (npr. </w:t>
      </w:r>
      <w:r w:rsidRPr="007403A4">
        <w:rPr>
          <w:i/>
          <w:sz w:val="22"/>
          <w:szCs w:val="22"/>
          <w:lang w:val="sr-Latn-ME"/>
        </w:rPr>
        <w:t>razburikaze</w:t>
      </w:r>
      <w:r w:rsidRPr="007403A4">
        <w:rPr>
          <w:sz w:val="22"/>
          <w:szCs w:val="22"/>
          <w:lang w:val="sr-Latn-ME"/>
        </w:rPr>
        <w:t>), započevši 12 – 24 sata prije početka infuzije lijeka Ga</w:t>
      </w:r>
      <w:r w:rsidR="00CE44AB" w:rsidRPr="007403A4">
        <w:rPr>
          <w:sz w:val="22"/>
          <w:szCs w:val="22"/>
          <w:lang w:val="sr-Latn-ME"/>
        </w:rPr>
        <w:t xml:space="preserve">zyvaro u skladu sa uobičajenom </w:t>
      </w:r>
      <w:r w:rsidRPr="007403A4">
        <w:rPr>
          <w:sz w:val="22"/>
          <w:szCs w:val="22"/>
          <w:lang w:val="sr-Latn-ME"/>
        </w:rPr>
        <w:t>praksom (vidjeti dio 4.4). Pacijenti treba</w:t>
      </w:r>
      <w:r w:rsidR="00565CD9" w:rsidRPr="007403A4">
        <w:rPr>
          <w:sz w:val="22"/>
          <w:szCs w:val="22"/>
          <w:lang w:val="sr-Latn-ME"/>
        </w:rPr>
        <w:t xml:space="preserve"> da</w:t>
      </w:r>
      <w:r w:rsidRPr="007403A4">
        <w:rPr>
          <w:sz w:val="22"/>
          <w:szCs w:val="22"/>
          <w:lang w:val="sr-Latn-ME"/>
        </w:rPr>
        <w:t xml:space="preserve"> nastav</w:t>
      </w:r>
      <w:r w:rsidR="00565CD9" w:rsidRPr="007403A4">
        <w:rPr>
          <w:sz w:val="22"/>
          <w:szCs w:val="22"/>
          <w:lang w:val="sr-Latn-ME"/>
        </w:rPr>
        <w:t>e</w:t>
      </w:r>
      <w:r w:rsidRPr="007403A4">
        <w:rPr>
          <w:sz w:val="22"/>
          <w:szCs w:val="22"/>
          <w:lang w:val="sr-Latn-ME"/>
        </w:rPr>
        <w:t xml:space="preserve"> da primaju profilaksu i prije svake sljedeće infuzije, ako se to smatra prikladnim.</w:t>
      </w:r>
    </w:p>
    <w:p w14:paraId="7B478E88" w14:textId="77777777" w:rsidR="00ED7C77" w:rsidRPr="007403A4" w:rsidRDefault="00ED7C77">
      <w:pPr>
        <w:widowControl w:val="0"/>
        <w:spacing w:before="1" w:line="254" w:lineRule="exact"/>
        <w:ind w:right="-108"/>
        <w:jc w:val="both"/>
        <w:rPr>
          <w:sz w:val="22"/>
          <w:szCs w:val="22"/>
          <w:lang w:val="sr-Latn-ME"/>
        </w:rPr>
      </w:pPr>
    </w:p>
    <w:p w14:paraId="7847F487" w14:textId="21F12204"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Profilaksa i premedikacija za reakcije na infuziju</w:t>
      </w:r>
      <w:r w:rsidR="00B85712" w:rsidRPr="007403A4">
        <w:rPr>
          <w:i/>
          <w:sz w:val="22"/>
          <w:szCs w:val="22"/>
          <w:lang w:val="sr-Latn-ME"/>
        </w:rPr>
        <w:t xml:space="preserve"> </w:t>
      </w:r>
    </w:p>
    <w:p w14:paraId="7B7CCD7C" w14:textId="4C30ED7D"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Premedikacija radi smanjenja rizika od </w:t>
      </w:r>
      <w:r w:rsidR="003C6749" w:rsidRPr="007403A4">
        <w:rPr>
          <w:sz w:val="22"/>
          <w:szCs w:val="22"/>
          <w:lang w:val="sr-Latn-ME"/>
        </w:rPr>
        <w:t xml:space="preserve">reakcija na infuziju </w:t>
      </w:r>
      <w:r w:rsidR="00CE44AB" w:rsidRPr="007403A4">
        <w:rPr>
          <w:sz w:val="22"/>
          <w:szCs w:val="22"/>
          <w:lang w:val="sr-Latn-ME"/>
        </w:rPr>
        <w:t xml:space="preserve">opisana je u Tabeli 1 </w:t>
      </w:r>
      <w:r w:rsidRPr="007403A4">
        <w:rPr>
          <w:sz w:val="22"/>
          <w:szCs w:val="22"/>
          <w:lang w:val="sr-Latn-ME"/>
        </w:rPr>
        <w:t>(vidjeti i dio 4.4). Premedikacija kortikosteroidima preporučuje se za pacijente sa FL, a obavezna je za pacijente sa HLL u prvom ciklusu liječenja (vidjeti Tabelu 1). Premedikaciju prije sljedećih infuzija i ostalu premedikaciju treba primjenjivati na način opisan u nastavku.</w:t>
      </w:r>
    </w:p>
    <w:p w14:paraId="7DE41B49" w14:textId="77777777" w:rsidR="00ED7C77" w:rsidRPr="007403A4" w:rsidRDefault="00ED7C77">
      <w:pPr>
        <w:widowControl w:val="0"/>
        <w:spacing w:before="1" w:line="254" w:lineRule="exact"/>
        <w:ind w:right="-108"/>
        <w:jc w:val="both"/>
        <w:rPr>
          <w:sz w:val="22"/>
          <w:szCs w:val="22"/>
          <w:lang w:val="sr-Latn-ME"/>
        </w:rPr>
      </w:pPr>
    </w:p>
    <w:p w14:paraId="32F7A87F" w14:textId="56461538"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Tokom intravenskih infuzija lijeka Gazyvaro može se pojaviti hipotenzija kao simptom reakcija na infuziju. Zbog toga je potrebno da se razmotri </w:t>
      </w:r>
      <w:r w:rsidR="00E80057" w:rsidRPr="007403A4">
        <w:rPr>
          <w:sz w:val="22"/>
          <w:szCs w:val="22"/>
          <w:lang w:val="sr-Latn-ME"/>
        </w:rPr>
        <w:t xml:space="preserve">obustava </w:t>
      </w:r>
      <w:r w:rsidRPr="007403A4">
        <w:rPr>
          <w:sz w:val="22"/>
          <w:szCs w:val="22"/>
          <w:lang w:val="sr-Latn-ME"/>
        </w:rPr>
        <w:t xml:space="preserve">antihipertenzivnog liječenja 12 sati prije i tokom svake infuzije lijeka Gazyvaro kao i još sat vremena nakon primjene lijeka (vidjeti dio 4.4).  </w:t>
      </w:r>
    </w:p>
    <w:p w14:paraId="6207D60B" w14:textId="77777777" w:rsidR="00B77615" w:rsidRPr="007403A4" w:rsidRDefault="00B77615">
      <w:pPr>
        <w:widowControl w:val="0"/>
        <w:spacing w:before="1" w:line="254" w:lineRule="exact"/>
        <w:ind w:right="-108"/>
        <w:jc w:val="both"/>
        <w:rPr>
          <w:sz w:val="22"/>
          <w:szCs w:val="22"/>
          <w:lang w:val="sr-Latn-ME"/>
        </w:rPr>
      </w:pPr>
    </w:p>
    <w:p w14:paraId="646A26EB" w14:textId="4D86B435" w:rsidR="00C95059" w:rsidRPr="007403A4" w:rsidRDefault="00ED7C77">
      <w:pPr>
        <w:widowControl w:val="0"/>
        <w:spacing w:before="1" w:line="254" w:lineRule="exact"/>
        <w:ind w:right="-108"/>
        <w:jc w:val="both"/>
        <w:rPr>
          <w:b/>
          <w:sz w:val="22"/>
          <w:szCs w:val="22"/>
          <w:lang w:val="sr-Latn-ME"/>
        </w:rPr>
      </w:pPr>
      <w:r w:rsidRPr="007403A4">
        <w:rPr>
          <w:b/>
          <w:sz w:val="22"/>
          <w:szCs w:val="22"/>
          <w:lang w:val="sr-Latn-ME"/>
        </w:rPr>
        <w:t xml:space="preserve">Tabela  1  Premedikacija koju je potrebno primijeniti prije infuzije lijeka Gazyvaro radi smanjenja rizika od reakcija na infuziju kod pacijenata sa HLL </w:t>
      </w:r>
      <w:r w:rsidR="00E80057" w:rsidRPr="007403A4">
        <w:rPr>
          <w:b/>
          <w:sz w:val="22"/>
          <w:szCs w:val="22"/>
          <w:lang w:val="sr-Latn-ME"/>
        </w:rPr>
        <w:t>i</w:t>
      </w:r>
      <w:r w:rsidRPr="007403A4">
        <w:rPr>
          <w:b/>
          <w:sz w:val="22"/>
          <w:szCs w:val="22"/>
          <w:lang w:val="sr-Latn-ME"/>
        </w:rPr>
        <w:t xml:space="preserve"> FL (vidjeti dio 4.4)</w:t>
      </w:r>
    </w:p>
    <w:p w14:paraId="771FCF60" w14:textId="77777777" w:rsidR="00E80057" w:rsidRPr="007403A4" w:rsidRDefault="00E80057">
      <w:pPr>
        <w:widowControl w:val="0"/>
        <w:spacing w:before="1" w:line="254" w:lineRule="exact"/>
        <w:ind w:right="-108"/>
        <w:jc w:val="both"/>
        <w:rPr>
          <w:b/>
          <w:sz w:val="22"/>
          <w:szCs w:val="22"/>
          <w:lang w:val="sr-Latn-ME"/>
        </w:rPr>
      </w:pPr>
    </w:p>
    <w:tbl>
      <w:tblPr>
        <w:tblpPr w:leftFromText="180" w:rightFromText="180" w:vertAnchor="text" w:tblpY="1"/>
        <w:tblOverlap w:val="never"/>
        <w:tblW w:w="917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607"/>
        <w:gridCol w:w="1980"/>
        <w:gridCol w:w="2340"/>
        <w:gridCol w:w="2250"/>
      </w:tblGrid>
      <w:tr w:rsidR="00ED7C77" w:rsidRPr="007403A4" w14:paraId="10065894" w14:textId="77777777" w:rsidTr="00C95059">
        <w:trPr>
          <w:cantSplit/>
          <w:tblHeader/>
        </w:trPr>
        <w:tc>
          <w:tcPr>
            <w:tcW w:w="2607" w:type="dxa"/>
          </w:tcPr>
          <w:p w14:paraId="0424CD40" w14:textId="77777777"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Dan u ciklusu liječenja</w:t>
            </w:r>
          </w:p>
        </w:tc>
        <w:tc>
          <w:tcPr>
            <w:tcW w:w="1980" w:type="dxa"/>
          </w:tcPr>
          <w:p w14:paraId="12E2C78D" w14:textId="77777777"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Pacijenti kojima je potrebna premedikacija</w:t>
            </w:r>
          </w:p>
        </w:tc>
        <w:tc>
          <w:tcPr>
            <w:tcW w:w="2340" w:type="dxa"/>
          </w:tcPr>
          <w:p w14:paraId="210E21A6" w14:textId="77777777" w:rsidR="00ED7C77" w:rsidRPr="007403A4" w:rsidRDefault="00ED7C77" w:rsidP="004D3AD0">
            <w:pPr>
              <w:widowControl w:val="0"/>
              <w:spacing w:before="1" w:line="254" w:lineRule="exact"/>
              <w:ind w:right="-108"/>
              <w:jc w:val="both"/>
              <w:rPr>
                <w:b/>
                <w:sz w:val="22"/>
                <w:szCs w:val="22"/>
                <w:lang w:val="sr-Latn-ME"/>
              </w:rPr>
            </w:pPr>
            <w:r w:rsidRPr="007403A4">
              <w:rPr>
                <w:b/>
                <w:sz w:val="22"/>
                <w:szCs w:val="22"/>
                <w:lang w:val="sr-Latn-ME"/>
              </w:rPr>
              <w:t>Premedikacija</w:t>
            </w:r>
          </w:p>
        </w:tc>
        <w:tc>
          <w:tcPr>
            <w:tcW w:w="2250" w:type="dxa"/>
          </w:tcPr>
          <w:p w14:paraId="362DA456" w14:textId="77777777" w:rsidR="00ED7C77" w:rsidRPr="007403A4" w:rsidRDefault="00ED7C77" w:rsidP="004D3AD0">
            <w:pPr>
              <w:widowControl w:val="0"/>
              <w:spacing w:before="1" w:line="254" w:lineRule="exact"/>
              <w:ind w:right="-108"/>
              <w:jc w:val="both"/>
              <w:rPr>
                <w:b/>
                <w:sz w:val="22"/>
                <w:szCs w:val="22"/>
                <w:lang w:val="sr-Latn-ME"/>
              </w:rPr>
            </w:pPr>
            <w:r w:rsidRPr="007403A4">
              <w:rPr>
                <w:b/>
                <w:sz w:val="22"/>
                <w:szCs w:val="22"/>
                <w:lang w:val="sr-Latn-ME"/>
              </w:rPr>
              <w:t>Primjena</w:t>
            </w:r>
          </w:p>
        </w:tc>
      </w:tr>
      <w:tr w:rsidR="00ED7C77" w:rsidRPr="007403A4" w14:paraId="571F9B2E" w14:textId="77777777" w:rsidTr="00C95059">
        <w:trPr>
          <w:cantSplit/>
        </w:trPr>
        <w:tc>
          <w:tcPr>
            <w:tcW w:w="2607" w:type="dxa"/>
            <w:vMerge w:val="restart"/>
          </w:tcPr>
          <w:p w14:paraId="5E80D75E" w14:textId="77777777"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1. ciklus:</w:t>
            </w:r>
          </w:p>
          <w:p w14:paraId="0FD3146F" w14:textId="196D81C2"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1. dan kod HLL i FL</w:t>
            </w:r>
          </w:p>
        </w:tc>
        <w:tc>
          <w:tcPr>
            <w:tcW w:w="1980" w:type="dxa"/>
            <w:vMerge w:val="restart"/>
          </w:tcPr>
          <w:p w14:paraId="2FC38D4A"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Svi pacijenti</w:t>
            </w:r>
          </w:p>
        </w:tc>
        <w:tc>
          <w:tcPr>
            <w:tcW w:w="2340" w:type="dxa"/>
          </w:tcPr>
          <w:p w14:paraId="7C1014BD" w14:textId="2D7D1984" w:rsidR="00ED7C77" w:rsidRPr="007403A4" w:rsidRDefault="00ED7C77" w:rsidP="00C95059">
            <w:pPr>
              <w:widowControl w:val="0"/>
              <w:spacing w:before="1" w:line="254" w:lineRule="exact"/>
              <w:ind w:right="-108"/>
              <w:jc w:val="both"/>
              <w:rPr>
                <w:sz w:val="22"/>
                <w:szCs w:val="22"/>
                <w:vertAlign w:val="superscript"/>
                <w:lang w:val="sr-Latn-ME"/>
              </w:rPr>
            </w:pPr>
            <w:r w:rsidRPr="007403A4">
              <w:rPr>
                <w:sz w:val="22"/>
                <w:szCs w:val="22"/>
                <w:lang w:val="sr-Latn-ME"/>
              </w:rPr>
              <w:t>Intravenski kortikosteroid</w:t>
            </w:r>
            <w:r w:rsidRPr="007403A4">
              <w:rPr>
                <w:sz w:val="22"/>
                <w:szCs w:val="22"/>
                <w:vertAlign w:val="superscript"/>
                <w:lang w:val="sr-Latn-ME"/>
              </w:rPr>
              <w:t>1</w:t>
            </w:r>
            <w:r w:rsidR="003C6749" w:rsidRPr="007403A4">
              <w:rPr>
                <w:sz w:val="22"/>
                <w:szCs w:val="22"/>
                <w:vertAlign w:val="superscript"/>
                <w:lang w:val="sr-Latn-ME"/>
              </w:rPr>
              <w:t>,4</w:t>
            </w:r>
          </w:p>
          <w:p w14:paraId="0FF89418" w14:textId="3BB0925B"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(obavezno kod HLL, preporučuje se kod FL) </w:t>
            </w:r>
          </w:p>
        </w:tc>
        <w:tc>
          <w:tcPr>
            <w:tcW w:w="2250" w:type="dxa"/>
          </w:tcPr>
          <w:p w14:paraId="4E5612E4" w14:textId="5FF1867F"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Završiti primjenu najmanje 1 sat prije infuzije lijeka Gazyvaro</w:t>
            </w:r>
          </w:p>
        </w:tc>
      </w:tr>
      <w:tr w:rsidR="00ED7C77" w:rsidRPr="007403A4" w14:paraId="504842D7" w14:textId="77777777" w:rsidTr="00C95059">
        <w:trPr>
          <w:cantSplit/>
          <w:trHeight w:val="495"/>
        </w:trPr>
        <w:tc>
          <w:tcPr>
            <w:tcW w:w="2607" w:type="dxa"/>
            <w:vMerge/>
          </w:tcPr>
          <w:p w14:paraId="72911231" w14:textId="77777777" w:rsidR="00ED7C77" w:rsidRPr="007403A4" w:rsidRDefault="00ED7C77" w:rsidP="00C95059">
            <w:pPr>
              <w:widowControl w:val="0"/>
              <w:spacing w:before="1" w:line="254" w:lineRule="exact"/>
              <w:ind w:right="-108"/>
              <w:jc w:val="both"/>
              <w:rPr>
                <w:b/>
                <w:sz w:val="22"/>
                <w:szCs w:val="22"/>
                <w:lang w:val="sr-Latn-ME"/>
              </w:rPr>
            </w:pPr>
          </w:p>
        </w:tc>
        <w:tc>
          <w:tcPr>
            <w:tcW w:w="1980" w:type="dxa"/>
            <w:vMerge/>
          </w:tcPr>
          <w:p w14:paraId="4273E3E0" w14:textId="77777777" w:rsidR="00ED7C77" w:rsidRPr="007403A4" w:rsidRDefault="00ED7C77" w:rsidP="00C95059">
            <w:pPr>
              <w:widowControl w:val="0"/>
              <w:spacing w:before="1" w:line="254" w:lineRule="exact"/>
              <w:ind w:right="-108"/>
              <w:jc w:val="both"/>
              <w:rPr>
                <w:sz w:val="22"/>
                <w:szCs w:val="22"/>
                <w:lang w:val="sr-Latn-ME"/>
              </w:rPr>
            </w:pPr>
          </w:p>
        </w:tc>
        <w:tc>
          <w:tcPr>
            <w:tcW w:w="2340" w:type="dxa"/>
          </w:tcPr>
          <w:p w14:paraId="72F9EECD"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Oralni analgetik/antipiretik</w:t>
            </w:r>
            <w:r w:rsidRPr="007403A4">
              <w:rPr>
                <w:sz w:val="22"/>
                <w:szCs w:val="22"/>
                <w:vertAlign w:val="superscript"/>
                <w:lang w:val="sr-Latn-ME"/>
              </w:rPr>
              <w:t>2</w:t>
            </w:r>
            <w:r w:rsidRPr="007403A4">
              <w:rPr>
                <w:sz w:val="22"/>
                <w:szCs w:val="22"/>
                <w:lang w:val="sr-Latn-ME"/>
              </w:rPr>
              <w:t xml:space="preserve"> </w:t>
            </w:r>
          </w:p>
        </w:tc>
        <w:tc>
          <w:tcPr>
            <w:tcW w:w="2250" w:type="dxa"/>
            <w:vMerge w:val="restart"/>
          </w:tcPr>
          <w:p w14:paraId="794B13EC" w14:textId="4FC1AEB2"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Najmanje 30 minuta prije infuzije lijeka Gazyvaro</w:t>
            </w:r>
          </w:p>
        </w:tc>
      </w:tr>
      <w:tr w:rsidR="00ED7C77" w:rsidRPr="007403A4" w14:paraId="060260F8" w14:textId="77777777" w:rsidTr="00C95059">
        <w:trPr>
          <w:cantSplit/>
          <w:trHeight w:val="450"/>
        </w:trPr>
        <w:tc>
          <w:tcPr>
            <w:tcW w:w="2607" w:type="dxa"/>
            <w:vMerge/>
          </w:tcPr>
          <w:p w14:paraId="7F39008D" w14:textId="77777777" w:rsidR="00ED7C77" w:rsidRPr="007403A4" w:rsidRDefault="00ED7C77" w:rsidP="00C95059">
            <w:pPr>
              <w:widowControl w:val="0"/>
              <w:spacing w:before="1" w:line="254" w:lineRule="exact"/>
              <w:ind w:right="-108"/>
              <w:jc w:val="both"/>
              <w:rPr>
                <w:b/>
                <w:sz w:val="22"/>
                <w:szCs w:val="22"/>
                <w:lang w:val="sr-Latn-ME"/>
              </w:rPr>
            </w:pPr>
          </w:p>
        </w:tc>
        <w:tc>
          <w:tcPr>
            <w:tcW w:w="1980" w:type="dxa"/>
            <w:vMerge/>
          </w:tcPr>
          <w:p w14:paraId="48D7283E" w14:textId="77777777" w:rsidR="00ED7C77" w:rsidRPr="007403A4" w:rsidRDefault="00ED7C77" w:rsidP="00C95059">
            <w:pPr>
              <w:widowControl w:val="0"/>
              <w:spacing w:before="1" w:line="254" w:lineRule="exact"/>
              <w:ind w:right="-108"/>
              <w:jc w:val="both"/>
              <w:rPr>
                <w:sz w:val="22"/>
                <w:szCs w:val="22"/>
                <w:lang w:val="sr-Latn-ME"/>
              </w:rPr>
            </w:pPr>
          </w:p>
        </w:tc>
        <w:tc>
          <w:tcPr>
            <w:tcW w:w="2340" w:type="dxa"/>
          </w:tcPr>
          <w:p w14:paraId="012FB8A8"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Antihistaminik</w:t>
            </w:r>
            <w:r w:rsidRPr="007403A4">
              <w:rPr>
                <w:sz w:val="22"/>
                <w:szCs w:val="22"/>
                <w:vertAlign w:val="superscript"/>
                <w:lang w:val="sr-Latn-ME"/>
              </w:rPr>
              <w:t>3</w:t>
            </w:r>
            <w:r w:rsidRPr="007403A4">
              <w:rPr>
                <w:sz w:val="22"/>
                <w:szCs w:val="22"/>
                <w:lang w:val="sr-Latn-ME"/>
              </w:rPr>
              <w:t xml:space="preserve"> </w:t>
            </w:r>
          </w:p>
        </w:tc>
        <w:tc>
          <w:tcPr>
            <w:tcW w:w="2250" w:type="dxa"/>
            <w:vMerge/>
          </w:tcPr>
          <w:p w14:paraId="1ECBA840" w14:textId="77777777" w:rsidR="00ED7C77" w:rsidRPr="007403A4" w:rsidRDefault="00ED7C77" w:rsidP="00C95059">
            <w:pPr>
              <w:widowControl w:val="0"/>
              <w:spacing w:before="1" w:line="254" w:lineRule="exact"/>
              <w:ind w:right="-108"/>
              <w:jc w:val="both"/>
              <w:rPr>
                <w:sz w:val="22"/>
                <w:szCs w:val="22"/>
                <w:lang w:val="sr-Latn-ME"/>
              </w:rPr>
            </w:pPr>
          </w:p>
        </w:tc>
      </w:tr>
      <w:tr w:rsidR="00ED7C77" w:rsidRPr="007403A4" w14:paraId="7AE213DC" w14:textId="77777777" w:rsidTr="00C95059">
        <w:trPr>
          <w:cantSplit/>
        </w:trPr>
        <w:tc>
          <w:tcPr>
            <w:tcW w:w="2607" w:type="dxa"/>
            <w:vMerge w:val="restart"/>
          </w:tcPr>
          <w:p w14:paraId="244EAE2C" w14:textId="77777777"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1. ciklus:</w:t>
            </w:r>
          </w:p>
          <w:p w14:paraId="797CA649" w14:textId="7FEB7C08"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2. dan, samo kod HLL</w:t>
            </w:r>
          </w:p>
        </w:tc>
        <w:tc>
          <w:tcPr>
            <w:tcW w:w="1980" w:type="dxa"/>
            <w:vMerge w:val="restart"/>
          </w:tcPr>
          <w:p w14:paraId="3E042DFA"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Svi pacijenti</w:t>
            </w:r>
          </w:p>
        </w:tc>
        <w:tc>
          <w:tcPr>
            <w:tcW w:w="2340" w:type="dxa"/>
          </w:tcPr>
          <w:p w14:paraId="41649DD2"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Intravenski kortikosteroid</w:t>
            </w:r>
            <w:r w:rsidRPr="007403A4">
              <w:rPr>
                <w:sz w:val="22"/>
                <w:szCs w:val="22"/>
                <w:vertAlign w:val="superscript"/>
                <w:lang w:val="sr-Latn-ME"/>
              </w:rPr>
              <w:t>1</w:t>
            </w:r>
            <w:r w:rsidRPr="007403A4">
              <w:rPr>
                <w:sz w:val="22"/>
                <w:szCs w:val="22"/>
                <w:lang w:val="sr-Latn-ME"/>
              </w:rPr>
              <w:t xml:space="preserve"> (obavezno)</w:t>
            </w:r>
          </w:p>
          <w:p w14:paraId="4C075E80" w14:textId="77777777" w:rsidR="00ED7C77" w:rsidRPr="007403A4" w:rsidRDefault="00ED7C77" w:rsidP="00C95059">
            <w:pPr>
              <w:widowControl w:val="0"/>
              <w:spacing w:before="1" w:line="254" w:lineRule="exact"/>
              <w:ind w:right="-108"/>
              <w:jc w:val="both"/>
              <w:rPr>
                <w:sz w:val="22"/>
                <w:szCs w:val="22"/>
                <w:lang w:val="sr-Latn-ME"/>
              </w:rPr>
            </w:pPr>
          </w:p>
        </w:tc>
        <w:tc>
          <w:tcPr>
            <w:tcW w:w="2250" w:type="dxa"/>
          </w:tcPr>
          <w:p w14:paraId="51C12CD7" w14:textId="5457C678"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Završiti primjenu najmanje 1 sat prije infuzije lijeka Gazyvaro </w:t>
            </w:r>
          </w:p>
        </w:tc>
      </w:tr>
      <w:tr w:rsidR="00ED7C77" w:rsidRPr="007403A4" w14:paraId="6A378BDA" w14:textId="77777777" w:rsidTr="00C95059">
        <w:trPr>
          <w:cantSplit/>
          <w:trHeight w:val="508"/>
        </w:trPr>
        <w:tc>
          <w:tcPr>
            <w:tcW w:w="2607" w:type="dxa"/>
            <w:vMerge/>
          </w:tcPr>
          <w:p w14:paraId="4E20E45E" w14:textId="77777777" w:rsidR="00ED7C77" w:rsidRPr="007403A4" w:rsidRDefault="00ED7C77" w:rsidP="00C95059">
            <w:pPr>
              <w:widowControl w:val="0"/>
              <w:spacing w:before="1" w:line="254" w:lineRule="exact"/>
              <w:ind w:right="-108"/>
              <w:jc w:val="both"/>
              <w:rPr>
                <w:b/>
                <w:sz w:val="22"/>
                <w:szCs w:val="22"/>
                <w:lang w:val="sr-Latn-ME"/>
              </w:rPr>
            </w:pPr>
          </w:p>
        </w:tc>
        <w:tc>
          <w:tcPr>
            <w:tcW w:w="1980" w:type="dxa"/>
            <w:vMerge/>
          </w:tcPr>
          <w:p w14:paraId="5EE5D751" w14:textId="77777777" w:rsidR="00ED7C77" w:rsidRPr="007403A4" w:rsidRDefault="00ED7C77" w:rsidP="00C95059">
            <w:pPr>
              <w:widowControl w:val="0"/>
              <w:spacing w:before="1" w:line="254" w:lineRule="exact"/>
              <w:ind w:right="-108"/>
              <w:jc w:val="both"/>
              <w:rPr>
                <w:sz w:val="22"/>
                <w:szCs w:val="22"/>
                <w:lang w:val="sr-Latn-ME"/>
              </w:rPr>
            </w:pPr>
          </w:p>
        </w:tc>
        <w:tc>
          <w:tcPr>
            <w:tcW w:w="2340" w:type="dxa"/>
          </w:tcPr>
          <w:p w14:paraId="32823138"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Oralni analgetik/antipiretik</w:t>
            </w:r>
            <w:r w:rsidRPr="007403A4">
              <w:rPr>
                <w:sz w:val="22"/>
                <w:szCs w:val="22"/>
                <w:vertAlign w:val="superscript"/>
                <w:lang w:val="sr-Latn-ME"/>
              </w:rPr>
              <w:t>2</w:t>
            </w:r>
            <w:r w:rsidRPr="007403A4">
              <w:rPr>
                <w:sz w:val="22"/>
                <w:szCs w:val="22"/>
                <w:lang w:val="sr-Latn-ME"/>
              </w:rPr>
              <w:t xml:space="preserve"> </w:t>
            </w:r>
          </w:p>
        </w:tc>
        <w:tc>
          <w:tcPr>
            <w:tcW w:w="2250" w:type="dxa"/>
            <w:vMerge w:val="restart"/>
          </w:tcPr>
          <w:p w14:paraId="47A6EF4F" w14:textId="4665C156"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Najmanje 30 minuta prije infuzije lijeka Gazyvaro</w:t>
            </w:r>
          </w:p>
        </w:tc>
      </w:tr>
      <w:tr w:rsidR="00ED7C77" w:rsidRPr="007403A4" w14:paraId="4D7D1660" w14:textId="77777777" w:rsidTr="00C95059">
        <w:trPr>
          <w:cantSplit/>
          <w:trHeight w:val="526"/>
        </w:trPr>
        <w:tc>
          <w:tcPr>
            <w:tcW w:w="2607" w:type="dxa"/>
            <w:vMerge/>
          </w:tcPr>
          <w:p w14:paraId="6FFD2872" w14:textId="77777777" w:rsidR="00ED7C77" w:rsidRPr="007403A4" w:rsidRDefault="00ED7C77" w:rsidP="00C95059">
            <w:pPr>
              <w:widowControl w:val="0"/>
              <w:spacing w:before="1" w:line="254" w:lineRule="exact"/>
              <w:ind w:right="-108"/>
              <w:jc w:val="both"/>
              <w:rPr>
                <w:b/>
                <w:sz w:val="22"/>
                <w:szCs w:val="22"/>
                <w:lang w:val="sr-Latn-ME"/>
              </w:rPr>
            </w:pPr>
          </w:p>
        </w:tc>
        <w:tc>
          <w:tcPr>
            <w:tcW w:w="1980" w:type="dxa"/>
            <w:vMerge/>
          </w:tcPr>
          <w:p w14:paraId="5E05A016" w14:textId="77777777" w:rsidR="00ED7C77" w:rsidRPr="007403A4" w:rsidRDefault="00ED7C77" w:rsidP="00C95059">
            <w:pPr>
              <w:widowControl w:val="0"/>
              <w:spacing w:before="1" w:line="254" w:lineRule="exact"/>
              <w:ind w:right="-108"/>
              <w:jc w:val="both"/>
              <w:rPr>
                <w:sz w:val="22"/>
                <w:szCs w:val="22"/>
                <w:lang w:val="sr-Latn-ME"/>
              </w:rPr>
            </w:pPr>
          </w:p>
        </w:tc>
        <w:tc>
          <w:tcPr>
            <w:tcW w:w="2340" w:type="dxa"/>
          </w:tcPr>
          <w:p w14:paraId="18DB63CE"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Antihistaminik</w:t>
            </w:r>
            <w:r w:rsidRPr="007403A4">
              <w:rPr>
                <w:sz w:val="22"/>
                <w:szCs w:val="22"/>
                <w:vertAlign w:val="superscript"/>
                <w:lang w:val="sr-Latn-ME"/>
              </w:rPr>
              <w:t>3</w:t>
            </w:r>
            <w:r w:rsidRPr="007403A4">
              <w:rPr>
                <w:sz w:val="22"/>
                <w:szCs w:val="22"/>
                <w:lang w:val="sr-Latn-ME"/>
              </w:rPr>
              <w:t xml:space="preserve"> </w:t>
            </w:r>
          </w:p>
        </w:tc>
        <w:tc>
          <w:tcPr>
            <w:tcW w:w="2250" w:type="dxa"/>
            <w:vMerge/>
          </w:tcPr>
          <w:p w14:paraId="33909A52" w14:textId="77777777" w:rsidR="00ED7C77" w:rsidRPr="007403A4" w:rsidRDefault="00ED7C77" w:rsidP="00C95059">
            <w:pPr>
              <w:widowControl w:val="0"/>
              <w:spacing w:before="1" w:line="254" w:lineRule="exact"/>
              <w:ind w:right="-108"/>
              <w:jc w:val="both"/>
              <w:rPr>
                <w:sz w:val="22"/>
                <w:szCs w:val="22"/>
                <w:lang w:val="sr-Latn-ME"/>
              </w:rPr>
            </w:pPr>
          </w:p>
        </w:tc>
      </w:tr>
      <w:tr w:rsidR="00ED7C77" w:rsidRPr="007403A4" w14:paraId="5E77D41E" w14:textId="77777777" w:rsidTr="00C95059">
        <w:trPr>
          <w:cantSplit/>
        </w:trPr>
        <w:tc>
          <w:tcPr>
            <w:tcW w:w="2607" w:type="dxa"/>
            <w:vMerge w:val="restart"/>
          </w:tcPr>
          <w:p w14:paraId="52D051DE" w14:textId="7086008F" w:rsidR="00ED7C77" w:rsidRPr="007403A4" w:rsidRDefault="00ED7C77" w:rsidP="00C95059">
            <w:pPr>
              <w:widowControl w:val="0"/>
              <w:spacing w:before="1" w:line="254" w:lineRule="exact"/>
              <w:ind w:right="-108"/>
              <w:jc w:val="both"/>
              <w:rPr>
                <w:b/>
                <w:sz w:val="22"/>
                <w:szCs w:val="22"/>
                <w:lang w:val="sr-Latn-ME"/>
              </w:rPr>
            </w:pPr>
            <w:r w:rsidRPr="007403A4">
              <w:rPr>
                <w:b/>
                <w:sz w:val="22"/>
                <w:szCs w:val="22"/>
                <w:lang w:val="sr-Latn-ME"/>
              </w:rPr>
              <w:t xml:space="preserve">Sve sljedeće infuzije, kod HLL </w:t>
            </w:r>
            <w:r w:rsidR="003C6749" w:rsidRPr="007403A4">
              <w:rPr>
                <w:b/>
                <w:sz w:val="22"/>
                <w:szCs w:val="22"/>
                <w:lang w:val="sr-Latn-ME"/>
              </w:rPr>
              <w:t>i</w:t>
            </w:r>
            <w:r w:rsidRPr="007403A4">
              <w:rPr>
                <w:b/>
                <w:sz w:val="22"/>
                <w:szCs w:val="22"/>
                <w:lang w:val="sr-Latn-ME"/>
              </w:rPr>
              <w:t xml:space="preserve"> FL</w:t>
            </w:r>
          </w:p>
        </w:tc>
        <w:tc>
          <w:tcPr>
            <w:tcW w:w="1980" w:type="dxa"/>
          </w:tcPr>
          <w:p w14:paraId="1CE18831"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Pacijenti bez reakcije na infuziju tokom prethodne infuzije</w:t>
            </w:r>
          </w:p>
        </w:tc>
        <w:tc>
          <w:tcPr>
            <w:tcW w:w="2340" w:type="dxa"/>
          </w:tcPr>
          <w:p w14:paraId="133291C7"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Oralni analgetik/antipiretik</w:t>
            </w:r>
            <w:r w:rsidRPr="007403A4">
              <w:rPr>
                <w:sz w:val="22"/>
                <w:szCs w:val="22"/>
                <w:vertAlign w:val="superscript"/>
                <w:lang w:val="sr-Latn-ME"/>
              </w:rPr>
              <w:t>2</w:t>
            </w:r>
            <w:r w:rsidRPr="007403A4">
              <w:rPr>
                <w:sz w:val="22"/>
                <w:szCs w:val="22"/>
                <w:lang w:val="sr-Latn-ME"/>
              </w:rPr>
              <w:t xml:space="preserve"> </w:t>
            </w:r>
          </w:p>
        </w:tc>
        <w:tc>
          <w:tcPr>
            <w:tcW w:w="2250" w:type="dxa"/>
            <w:vMerge w:val="restart"/>
          </w:tcPr>
          <w:p w14:paraId="160F27D5" w14:textId="48B6CE9E"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Najmanje 30 minuta prije infuzije lijeka Gazyvaro </w:t>
            </w:r>
          </w:p>
        </w:tc>
      </w:tr>
      <w:tr w:rsidR="00ED7C77" w:rsidRPr="007403A4" w14:paraId="7A6983CA" w14:textId="77777777" w:rsidTr="00C95059">
        <w:trPr>
          <w:cantSplit/>
        </w:trPr>
        <w:tc>
          <w:tcPr>
            <w:tcW w:w="2607" w:type="dxa"/>
            <w:vMerge/>
          </w:tcPr>
          <w:p w14:paraId="36117684" w14:textId="77777777" w:rsidR="00ED7C77" w:rsidRPr="007403A4" w:rsidRDefault="00ED7C77" w:rsidP="00C95059">
            <w:pPr>
              <w:widowControl w:val="0"/>
              <w:spacing w:before="1" w:line="254" w:lineRule="exact"/>
              <w:ind w:right="-108"/>
              <w:jc w:val="both"/>
              <w:rPr>
                <w:sz w:val="22"/>
                <w:szCs w:val="22"/>
                <w:lang w:val="sr-Latn-ME"/>
              </w:rPr>
            </w:pPr>
          </w:p>
        </w:tc>
        <w:tc>
          <w:tcPr>
            <w:tcW w:w="1980" w:type="dxa"/>
          </w:tcPr>
          <w:p w14:paraId="56FC63D8" w14:textId="592D2AC7" w:rsidR="00ED7C77" w:rsidRPr="007403A4" w:rsidDel="000A7323"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Pacijenti sa </w:t>
            </w:r>
            <w:r w:rsidR="003C6749" w:rsidRPr="007403A4">
              <w:rPr>
                <w:sz w:val="22"/>
                <w:szCs w:val="22"/>
                <w:lang w:val="sr-Latn-ME"/>
              </w:rPr>
              <w:t>reakcijom na infuziju</w:t>
            </w:r>
            <w:r w:rsidRPr="007403A4">
              <w:rPr>
                <w:sz w:val="22"/>
                <w:szCs w:val="22"/>
                <w:lang w:val="sr-Latn-ME"/>
              </w:rPr>
              <w:t xml:space="preserve"> (</w:t>
            </w:r>
            <w:r w:rsidR="00F213C5" w:rsidRPr="007403A4">
              <w:rPr>
                <w:sz w:val="22"/>
                <w:szCs w:val="22"/>
                <w:lang w:val="sr-Latn-ME"/>
              </w:rPr>
              <w:t>stepen</w:t>
            </w:r>
            <w:r w:rsidRPr="007403A4">
              <w:rPr>
                <w:sz w:val="22"/>
                <w:szCs w:val="22"/>
                <w:lang w:val="sr-Latn-ME"/>
              </w:rPr>
              <w:t xml:space="preserve"> 1 ili 2) tokom prethodne infuzije</w:t>
            </w:r>
          </w:p>
        </w:tc>
        <w:tc>
          <w:tcPr>
            <w:tcW w:w="2340" w:type="dxa"/>
          </w:tcPr>
          <w:p w14:paraId="2B8F30A8"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Oralni analgetik/antipiretik</w:t>
            </w:r>
            <w:r w:rsidRPr="007403A4">
              <w:rPr>
                <w:sz w:val="22"/>
                <w:szCs w:val="22"/>
                <w:vertAlign w:val="superscript"/>
                <w:lang w:val="sr-Latn-ME"/>
              </w:rPr>
              <w:t>2</w:t>
            </w:r>
          </w:p>
          <w:p w14:paraId="2F4A790B"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Antihistaminik</w:t>
            </w:r>
            <w:r w:rsidRPr="007403A4">
              <w:rPr>
                <w:sz w:val="22"/>
                <w:szCs w:val="22"/>
                <w:vertAlign w:val="superscript"/>
                <w:lang w:val="sr-Latn-ME"/>
              </w:rPr>
              <w:t>3</w:t>
            </w:r>
          </w:p>
        </w:tc>
        <w:tc>
          <w:tcPr>
            <w:tcW w:w="2250" w:type="dxa"/>
            <w:vMerge/>
          </w:tcPr>
          <w:p w14:paraId="571276EF" w14:textId="77777777" w:rsidR="00ED7C77" w:rsidRPr="007403A4" w:rsidRDefault="00ED7C77" w:rsidP="00C95059">
            <w:pPr>
              <w:widowControl w:val="0"/>
              <w:spacing w:before="1" w:line="254" w:lineRule="exact"/>
              <w:ind w:right="-108"/>
              <w:jc w:val="both"/>
              <w:rPr>
                <w:sz w:val="22"/>
                <w:szCs w:val="22"/>
                <w:lang w:val="sr-Latn-ME"/>
              </w:rPr>
            </w:pPr>
          </w:p>
        </w:tc>
      </w:tr>
      <w:tr w:rsidR="00ED7C77" w:rsidRPr="007403A4" w14:paraId="2C769E26" w14:textId="77777777" w:rsidTr="00C95059">
        <w:trPr>
          <w:cantSplit/>
        </w:trPr>
        <w:tc>
          <w:tcPr>
            <w:tcW w:w="2607" w:type="dxa"/>
            <w:vMerge/>
          </w:tcPr>
          <w:p w14:paraId="3CF1DBD6" w14:textId="77777777" w:rsidR="00ED7C77" w:rsidRPr="007403A4" w:rsidRDefault="00ED7C77" w:rsidP="00C95059">
            <w:pPr>
              <w:widowControl w:val="0"/>
              <w:spacing w:before="1" w:line="254" w:lineRule="exact"/>
              <w:ind w:right="-108"/>
              <w:jc w:val="both"/>
              <w:rPr>
                <w:sz w:val="22"/>
                <w:szCs w:val="22"/>
                <w:lang w:val="sr-Latn-ME"/>
              </w:rPr>
            </w:pPr>
          </w:p>
        </w:tc>
        <w:tc>
          <w:tcPr>
            <w:tcW w:w="1980" w:type="dxa"/>
            <w:vMerge w:val="restart"/>
          </w:tcPr>
          <w:p w14:paraId="258B7989" w14:textId="2CCB7658" w:rsidR="00ED7C77" w:rsidRPr="007403A4" w:rsidRDefault="00B85712" w:rsidP="00C95059">
            <w:pPr>
              <w:widowControl w:val="0"/>
              <w:spacing w:before="1" w:line="254" w:lineRule="exact"/>
              <w:ind w:right="-108"/>
              <w:jc w:val="both"/>
              <w:rPr>
                <w:sz w:val="22"/>
                <w:szCs w:val="22"/>
                <w:lang w:val="sr-Latn-ME"/>
              </w:rPr>
            </w:pPr>
            <w:r w:rsidRPr="007403A4">
              <w:rPr>
                <w:sz w:val="22"/>
                <w:szCs w:val="22"/>
                <w:lang w:val="sr-Latn-ME"/>
              </w:rPr>
              <w:t>Pacijenti</w:t>
            </w:r>
            <w:r w:rsidR="00ED7C77" w:rsidRPr="007403A4">
              <w:rPr>
                <w:sz w:val="22"/>
                <w:szCs w:val="22"/>
                <w:lang w:val="sr-Latn-ME"/>
              </w:rPr>
              <w:t xml:space="preserve"> s</w:t>
            </w:r>
            <w:r w:rsidRPr="007403A4">
              <w:rPr>
                <w:sz w:val="22"/>
                <w:szCs w:val="22"/>
                <w:lang w:val="sr-Latn-ME"/>
              </w:rPr>
              <w:t>a</w:t>
            </w:r>
            <w:r w:rsidR="00ED7C77" w:rsidRPr="007403A4">
              <w:rPr>
                <w:sz w:val="22"/>
                <w:szCs w:val="22"/>
                <w:lang w:val="sr-Latn-ME"/>
              </w:rPr>
              <w:t xml:space="preserve"> reakcijom na infuziju</w:t>
            </w:r>
            <w:r w:rsidR="00F213C5" w:rsidRPr="007403A4">
              <w:rPr>
                <w:sz w:val="22"/>
                <w:szCs w:val="22"/>
                <w:lang w:val="sr-Latn-ME"/>
              </w:rPr>
              <w:t xml:space="preserve"> stepen</w:t>
            </w:r>
            <w:r w:rsidRPr="007403A4">
              <w:rPr>
                <w:sz w:val="22"/>
                <w:szCs w:val="22"/>
                <w:lang w:val="sr-Latn-ME"/>
              </w:rPr>
              <w:t xml:space="preserve"> 3</w:t>
            </w:r>
            <w:r w:rsidR="00ED7C77" w:rsidRPr="007403A4">
              <w:rPr>
                <w:sz w:val="22"/>
                <w:szCs w:val="22"/>
                <w:lang w:val="sr-Latn-ME"/>
              </w:rPr>
              <w:t xml:space="preserve"> kod</w:t>
            </w:r>
            <w:r w:rsidR="008A7A48" w:rsidRPr="007403A4">
              <w:rPr>
                <w:sz w:val="22"/>
                <w:szCs w:val="22"/>
                <w:lang w:val="sr-Latn-ME"/>
              </w:rPr>
              <w:t xml:space="preserve"> </w:t>
            </w:r>
            <w:r w:rsidR="00ED7C77" w:rsidRPr="007403A4">
              <w:rPr>
                <w:sz w:val="22"/>
                <w:szCs w:val="22"/>
                <w:lang w:val="sr-Latn-ME"/>
              </w:rPr>
              <w:lastRenderedPageBreak/>
              <w:t xml:space="preserve">prethodne infuzije ILI </w:t>
            </w:r>
          </w:p>
          <w:p w14:paraId="72C2399C" w14:textId="1487C6FC" w:rsidR="00ED7C77" w:rsidRPr="007403A4" w:rsidRDefault="00B85712" w:rsidP="00C95059">
            <w:pPr>
              <w:widowControl w:val="0"/>
              <w:spacing w:before="1" w:line="254" w:lineRule="exact"/>
              <w:ind w:right="-108"/>
              <w:jc w:val="both"/>
              <w:rPr>
                <w:sz w:val="22"/>
                <w:szCs w:val="22"/>
                <w:lang w:val="sr-Latn-ME"/>
              </w:rPr>
            </w:pPr>
            <w:r w:rsidRPr="007403A4">
              <w:rPr>
                <w:sz w:val="22"/>
                <w:szCs w:val="22"/>
                <w:lang w:val="sr-Latn-ME"/>
              </w:rPr>
              <w:t>pacijenti</w:t>
            </w:r>
            <w:r w:rsidR="00ED7C77" w:rsidRPr="007403A4">
              <w:rPr>
                <w:sz w:val="22"/>
                <w:szCs w:val="22"/>
                <w:lang w:val="sr-Latn-ME"/>
              </w:rPr>
              <w:t xml:space="preserve"> s</w:t>
            </w:r>
            <w:r w:rsidR="001B302C" w:rsidRPr="007403A4">
              <w:rPr>
                <w:sz w:val="22"/>
                <w:szCs w:val="22"/>
                <w:lang w:val="sr-Latn-ME"/>
              </w:rPr>
              <w:t>a</w:t>
            </w:r>
            <w:r w:rsidR="00ED7C77" w:rsidRPr="007403A4">
              <w:rPr>
                <w:sz w:val="22"/>
                <w:szCs w:val="22"/>
                <w:lang w:val="sr-Latn-ME"/>
              </w:rPr>
              <w:t xml:space="preserve"> brojem limfocita &gt; 25 x 10</w:t>
            </w:r>
            <w:r w:rsidR="00ED7C77" w:rsidRPr="007403A4">
              <w:rPr>
                <w:sz w:val="22"/>
                <w:szCs w:val="22"/>
                <w:vertAlign w:val="superscript"/>
                <w:lang w:val="sr-Latn-ME"/>
              </w:rPr>
              <w:t>9</w:t>
            </w:r>
            <w:r w:rsidR="00ED7C77" w:rsidRPr="007403A4">
              <w:rPr>
                <w:sz w:val="22"/>
                <w:szCs w:val="22"/>
                <w:lang w:val="sr-Latn-ME"/>
              </w:rPr>
              <w:t xml:space="preserve">/l prije sljedeće primjene lijeka </w:t>
            </w:r>
          </w:p>
          <w:p w14:paraId="20290265" w14:textId="77777777" w:rsidR="00ED7C77" w:rsidRPr="007403A4" w:rsidDel="000A7323" w:rsidRDefault="00ED7C77" w:rsidP="00C95059">
            <w:pPr>
              <w:widowControl w:val="0"/>
              <w:spacing w:before="1" w:line="254" w:lineRule="exact"/>
              <w:ind w:right="-108"/>
              <w:jc w:val="both"/>
              <w:rPr>
                <w:sz w:val="22"/>
                <w:szCs w:val="22"/>
                <w:lang w:val="sr-Latn-ME"/>
              </w:rPr>
            </w:pPr>
          </w:p>
        </w:tc>
        <w:tc>
          <w:tcPr>
            <w:tcW w:w="2340" w:type="dxa"/>
          </w:tcPr>
          <w:p w14:paraId="604DA5BF" w14:textId="223113D4"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lastRenderedPageBreak/>
              <w:t>Intravenski kortikosteroid</w:t>
            </w:r>
            <w:r w:rsidRPr="007403A4">
              <w:rPr>
                <w:sz w:val="22"/>
                <w:szCs w:val="22"/>
                <w:vertAlign w:val="superscript"/>
                <w:lang w:val="sr-Latn-ME"/>
              </w:rPr>
              <w:t>1</w:t>
            </w:r>
            <w:r w:rsidR="00B85712" w:rsidRPr="007403A4">
              <w:rPr>
                <w:sz w:val="22"/>
                <w:szCs w:val="22"/>
                <w:vertAlign w:val="superscript"/>
                <w:lang w:val="sr-Latn-ME"/>
              </w:rPr>
              <w:t>,4</w:t>
            </w:r>
          </w:p>
        </w:tc>
        <w:tc>
          <w:tcPr>
            <w:tcW w:w="2250" w:type="dxa"/>
          </w:tcPr>
          <w:p w14:paraId="1DDC6E0D" w14:textId="28215D1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Završiti primjenu najmanje 1 sat prije infuzije lijeka Gazyvaro </w:t>
            </w:r>
          </w:p>
        </w:tc>
      </w:tr>
      <w:tr w:rsidR="00ED7C77" w:rsidRPr="007403A4" w14:paraId="2C8AA604" w14:textId="77777777" w:rsidTr="00C95059">
        <w:trPr>
          <w:cantSplit/>
          <w:trHeight w:val="1210"/>
        </w:trPr>
        <w:tc>
          <w:tcPr>
            <w:tcW w:w="2607" w:type="dxa"/>
            <w:vMerge/>
          </w:tcPr>
          <w:p w14:paraId="5D9DDED6" w14:textId="77777777" w:rsidR="00ED7C77" w:rsidRPr="007403A4" w:rsidRDefault="00ED7C77" w:rsidP="00C95059">
            <w:pPr>
              <w:widowControl w:val="0"/>
              <w:spacing w:before="1" w:line="254" w:lineRule="exact"/>
              <w:ind w:right="-108"/>
              <w:jc w:val="both"/>
              <w:rPr>
                <w:sz w:val="22"/>
                <w:szCs w:val="22"/>
                <w:lang w:val="sr-Latn-ME"/>
              </w:rPr>
            </w:pPr>
          </w:p>
        </w:tc>
        <w:tc>
          <w:tcPr>
            <w:tcW w:w="1980" w:type="dxa"/>
            <w:vMerge/>
          </w:tcPr>
          <w:p w14:paraId="0C7A9914" w14:textId="77777777" w:rsidR="00ED7C77" w:rsidRPr="007403A4" w:rsidDel="000A7323" w:rsidRDefault="00ED7C77" w:rsidP="00C95059">
            <w:pPr>
              <w:widowControl w:val="0"/>
              <w:spacing w:before="1" w:line="254" w:lineRule="exact"/>
              <w:ind w:right="-108"/>
              <w:jc w:val="both"/>
              <w:rPr>
                <w:sz w:val="22"/>
                <w:szCs w:val="22"/>
                <w:lang w:val="sr-Latn-ME"/>
              </w:rPr>
            </w:pPr>
          </w:p>
        </w:tc>
        <w:tc>
          <w:tcPr>
            <w:tcW w:w="2340" w:type="dxa"/>
          </w:tcPr>
          <w:p w14:paraId="564F45DE"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Oralni analgetik/antipiretik</w:t>
            </w:r>
            <w:r w:rsidRPr="007403A4">
              <w:rPr>
                <w:sz w:val="22"/>
                <w:szCs w:val="22"/>
                <w:vertAlign w:val="superscript"/>
                <w:lang w:val="sr-Latn-ME"/>
              </w:rPr>
              <w:t>2</w:t>
            </w:r>
          </w:p>
          <w:p w14:paraId="3A3838EE"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Antihistaminik</w:t>
            </w:r>
            <w:r w:rsidRPr="007403A4">
              <w:rPr>
                <w:sz w:val="22"/>
                <w:szCs w:val="22"/>
                <w:vertAlign w:val="superscript"/>
                <w:lang w:val="sr-Latn-ME"/>
              </w:rPr>
              <w:t>3</w:t>
            </w:r>
          </w:p>
          <w:p w14:paraId="19ECCFCA"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 </w:t>
            </w:r>
          </w:p>
          <w:p w14:paraId="2CEC3D3E" w14:textId="77777777" w:rsidR="00ED7C77" w:rsidRPr="007403A4" w:rsidRDefault="00ED7C77" w:rsidP="00C95059">
            <w:pPr>
              <w:widowControl w:val="0"/>
              <w:spacing w:before="1" w:line="254" w:lineRule="exact"/>
              <w:ind w:right="-108"/>
              <w:jc w:val="both"/>
              <w:rPr>
                <w:sz w:val="22"/>
                <w:szCs w:val="22"/>
                <w:lang w:val="sr-Latn-ME"/>
              </w:rPr>
            </w:pPr>
          </w:p>
        </w:tc>
        <w:tc>
          <w:tcPr>
            <w:tcW w:w="2250" w:type="dxa"/>
          </w:tcPr>
          <w:p w14:paraId="7DF64A96" w14:textId="22FCFF18"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Najmanje 30 minuta prije infuzije lijeka Gazyvaro</w:t>
            </w:r>
          </w:p>
          <w:p w14:paraId="6C985F3D" w14:textId="77777777" w:rsidR="00ED7C77" w:rsidRPr="007403A4" w:rsidRDefault="00ED7C77" w:rsidP="00C95059">
            <w:pPr>
              <w:widowControl w:val="0"/>
              <w:spacing w:before="1" w:line="254" w:lineRule="exact"/>
              <w:ind w:right="-108"/>
              <w:jc w:val="both"/>
              <w:rPr>
                <w:sz w:val="22"/>
                <w:szCs w:val="22"/>
                <w:lang w:val="sr-Latn-ME"/>
              </w:rPr>
            </w:pPr>
            <w:r w:rsidRPr="007403A4">
              <w:rPr>
                <w:sz w:val="22"/>
                <w:szCs w:val="22"/>
                <w:lang w:val="sr-Latn-ME"/>
              </w:rPr>
              <w:t xml:space="preserve"> </w:t>
            </w:r>
          </w:p>
        </w:tc>
      </w:tr>
    </w:tbl>
    <w:p w14:paraId="5E0FAEDC" w14:textId="02B7DE04" w:rsidR="00ED7C77" w:rsidRPr="007403A4" w:rsidRDefault="008A7A48" w:rsidP="004D3AD0">
      <w:pPr>
        <w:widowControl w:val="0"/>
        <w:spacing w:before="1" w:line="254" w:lineRule="exact"/>
        <w:ind w:right="-108"/>
        <w:jc w:val="both"/>
        <w:rPr>
          <w:i/>
          <w:sz w:val="20"/>
          <w:szCs w:val="20"/>
          <w:lang w:val="sr-Latn-ME"/>
        </w:rPr>
      </w:pPr>
      <w:r w:rsidRPr="007403A4">
        <w:rPr>
          <w:sz w:val="20"/>
          <w:szCs w:val="20"/>
          <w:vertAlign w:val="superscript"/>
          <w:lang w:val="sr-Latn-ME"/>
        </w:rPr>
        <w:br w:type="textWrapping" w:clear="all"/>
      </w:r>
      <w:r w:rsidR="00ED7C77" w:rsidRPr="007403A4">
        <w:rPr>
          <w:sz w:val="20"/>
          <w:szCs w:val="20"/>
          <w:vertAlign w:val="superscript"/>
          <w:lang w:val="sr-Latn-ME"/>
        </w:rPr>
        <w:t>1</w:t>
      </w:r>
      <w:r w:rsidR="00ED7C77" w:rsidRPr="007403A4">
        <w:rPr>
          <w:i/>
          <w:sz w:val="20"/>
          <w:szCs w:val="20"/>
          <w:lang w:val="sr-Latn-ME"/>
        </w:rPr>
        <w:t xml:space="preserve">100 mg prednizona/prednizolona ili 20 mg deksametazona ili 80 mg metilprednizolona; </w:t>
      </w:r>
    </w:p>
    <w:p w14:paraId="1AB40BBC" w14:textId="77777777" w:rsidR="00ED7C77" w:rsidRPr="007403A4" w:rsidRDefault="00ED7C77" w:rsidP="004D3AD0">
      <w:pPr>
        <w:widowControl w:val="0"/>
        <w:spacing w:before="1" w:line="254" w:lineRule="exact"/>
        <w:ind w:right="-108"/>
        <w:jc w:val="both"/>
        <w:rPr>
          <w:i/>
          <w:sz w:val="20"/>
          <w:szCs w:val="20"/>
          <w:lang w:val="sr-Latn-ME"/>
        </w:rPr>
      </w:pPr>
      <w:r w:rsidRPr="007403A4">
        <w:rPr>
          <w:i/>
          <w:sz w:val="20"/>
          <w:szCs w:val="20"/>
          <w:lang w:val="sr-Latn-ME"/>
        </w:rPr>
        <w:t>Ne smije se koristiti hidrokortizon jer se nije pokazao efikasnim u smanjivanju stopa reakcija na infuziju.</w:t>
      </w:r>
    </w:p>
    <w:p w14:paraId="0832EEA9" w14:textId="2491C281" w:rsidR="00ED7C77" w:rsidRPr="007403A4" w:rsidRDefault="00ED7C77">
      <w:pPr>
        <w:widowControl w:val="0"/>
        <w:spacing w:before="1" w:line="254" w:lineRule="exact"/>
        <w:ind w:right="-108"/>
        <w:jc w:val="both"/>
        <w:rPr>
          <w:i/>
          <w:sz w:val="20"/>
          <w:szCs w:val="20"/>
          <w:lang w:val="sr-Latn-ME"/>
        </w:rPr>
      </w:pPr>
      <w:r w:rsidRPr="007403A4">
        <w:rPr>
          <w:sz w:val="20"/>
          <w:szCs w:val="20"/>
          <w:vertAlign w:val="superscript"/>
          <w:lang w:val="sr-Latn-ME"/>
        </w:rPr>
        <w:t>2</w:t>
      </w:r>
      <w:r w:rsidRPr="007403A4">
        <w:rPr>
          <w:i/>
          <w:sz w:val="20"/>
          <w:szCs w:val="20"/>
          <w:lang w:val="sr-Latn-ME"/>
        </w:rPr>
        <w:t>npr. 1000 mg acetaminofena/paracetamola</w:t>
      </w:r>
    </w:p>
    <w:p w14:paraId="24FA8830" w14:textId="5838F1F7" w:rsidR="00ED7C77" w:rsidRPr="007403A4" w:rsidRDefault="00ED7C77">
      <w:pPr>
        <w:widowControl w:val="0"/>
        <w:spacing w:before="1" w:line="254" w:lineRule="exact"/>
        <w:ind w:right="-108"/>
        <w:jc w:val="both"/>
        <w:rPr>
          <w:i/>
          <w:sz w:val="20"/>
          <w:szCs w:val="20"/>
          <w:lang w:val="sr-Latn-ME"/>
        </w:rPr>
      </w:pPr>
      <w:r w:rsidRPr="007403A4">
        <w:rPr>
          <w:sz w:val="20"/>
          <w:szCs w:val="20"/>
          <w:vertAlign w:val="superscript"/>
          <w:lang w:val="sr-Latn-ME"/>
        </w:rPr>
        <w:t>3</w:t>
      </w:r>
      <w:r w:rsidRPr="007403A4">
        <w:rPr>
          <w:i/>
          <w:sz w:val="20"/>
          <w:szCs w:val="20"/>
          <w:lang w:val="sr-Latn-ME"/>
        </w:rPr>
        <w:t>npr. 50 mg difenhidramina</w:t>
      </w:r>
    </w:p>
    <w:p w14:paraId="3A475528" w14:textId="37E95E8B" w:rsidR="00ED7C77" w:rsidRPr="007403A4" w:rsidRDefault="00ED7C77">
      <w:pPr>
        <w:jc w:val="both"/>
        <w:rPr>
          <w:i/>
          <w:sz w:val="20"/>
          <w:szCs w:val="20"/>
          <w:lang w:val="sr-Latn-ME"/>
        </w:rPr>
      </w:pPr>
      <w:r w:rsidRPr="007403A4">
        <w:rPr>
          <w:sz w:val="20"/>
          <w:szCs w:val="20"/>
          <w:vertAlign w:val="superscript"/>
          <w:lang w:val="sr-Latn-ME"/>
        </w:rPr>
        <w:t>4</w:t>
      </w:r>
      <w:r w:rsidRPr="007403A4">
        <w:rPr>
          <w:i/>
          <w:sz w:val="20"/>
          <w:szCs w:val="20"/>
          <w:lang w:val="sr-Latn-ME"/>
        </w:rPr>
        <w:t xml:space="preserve">Ako se hemoterapijski protokol koji sadrži kortikosteroid primjenjuje istog dana kad i </w:t>
      </w:r>
      <w:r w:rsidR="0058265C" w:rsidRPr="007403A4">
        <w:rPr>
          <w:i/>
          <w:sz w:val="20"/>
          <w:szCs w:val="20"/>
          <w:lang w:val="sr-Latn-ME"/>
        </w:rPr>
        <w:t xml:space="preserve">lijek </w:t>
      </w:r>
      <w:r w:rsidRPr="007403A4">
        <w:rPr>
          <w:i/>
          <w:sz w:val="20"/>
          <w:szCs w:val="20"/>
          <w:lang w:val="sr-Latn-ME"/>
        </w:rPr>
        <w:t xml:space="preserve">Gazyvaro, kortikosteroid se može primijeniti </w:t>
      </w:r>
      <w:r w:rsidR="0058265C" w:rsidRPr="007403A4">
        <w:rPr>
          <w:i/>
          <w:sz w:val="20"/>
          <w:szCs w:val="20"/>
          <w:lang w:val="sr-Latn-ME"/>
        </w:rPr>
        <w:t>oralno</w:t>
      </w:r>
      <w:r w:rsidRPr="007403A4">
        <w:rPr>
          <w:i/>
          <w:sz w:val="20"/>
          <w:szCs w:val="20"/>
          <w:lang w:val="sr-Latn-ME"/>
        </w:rPr>
        <w:t xml:space="preserve"> ako se daje najmanje 60 minuta prije lijeka Gazyvaro i u tom slučaju nije potrebno primijeniti dodatni intravenski kortikosteroid kao premedikaciju.</w:t>
      </w:r>
    </w:p>
    <w:p w14:paraId="5D9AB074" w14:textId="77777777" w:rsidR="00ED7C77" w:rsidRPr="007403A4" w:rsidRDefault="00ED7C77">
      <w:pPr>
        <w:widowControl w:val="0"/>
        <w:spacing w:before="1" w:line="254" w:lineRule="exact"/>
        <w:ind w:right="-108"/>
        <w:jc w:val="both"/>
        <w:rPr>
          <w:i/>
          <w:sz w:val="22"/>
          <w:szCs w:val="22"/>
          <w:lang w:val="sr-Latn-ME"/>
        </w:rPr>
      </w:pPr>
    </w:p>
    <w:p w14:paraId="12703294"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Doza</w:t>
      </w:r>
    </w:p>
    <w:p w14:paraId="75510279" w14:textId="77777777" w:rsidR="00ED7C77" w:rsidRPr="007403A4" w:rsidRDefault="00ED7C77">
      <w:pPr>
        <w:widowControl w:val="0"/>
        <w:spacing w:before="1" w:line="254" w:lineRule="exact"/>
        <w:ind w:right="-108"/>
        <w:jc w:val="both"/>
        <w:rPr>
          <w:i/>
          <w:sz w:val="22"/>
          <w:szCs w:val="22"/>
          <w:lang w:val="sr-Latn-ME"/>
        </w:rPr>
      </w:pPr>
    </w:p>
    <w:p w14:paraId="3FD8CA54" w14:textId="77777777" w:rsidR="00ED7C77" w:rsidRPr="007403A4" w:rsidRDefault="00ED7C77">
      <w:pPr>
        <w:widowControl w:val="0"/>
        <w:spacing w:before="1" w:line="254" w:lineRule="exact"/>
        <w:ind w:right="-108"/>
        <w:jc w:val="both"/>
        <w:rPr>
          <w:sz w:val="22"/>
          <w:szCs w:val="22"/>
          <w:u w:val="single"/>
          <w:lang w:val="sr-Latn-ME"/>
        </w:rPr>
      </w:pPr>
      <w:r w:rsidRPr="007403A4">
        <w:rPr>
          <w:sz w:val="22"/>
          <w:szCs w:val="22"/>
          <w:u w:val="single"/>
          <w:lang w:val="sr-Latn-ME"/>
        </w:rPr>
        <w:t>Hronična limfocitna leukemija (HLL, u kombinaciji sa hlorambucilom</w:t>
      </w:r>
      <w:r w:rsidRPr="007403A4">
        <w:rPr>
          <w:sz w:val="22"/>
          <w:szCs w:val="22"/>
          <w:u w:val="single"/>
          <w:vertAlign w:val="superscript"/>
          <w:lang w:val="sr-Latn-ME"/>
        </w:rPr>
        <w:t>1</w:t>
      </w:r>
      <w:r w:rsidRPr="007403A4">
        <w:rPr>
          <w:sz w:val="22"/>
          <w:szCs w:val="22"/>
          <w:u w:val="single"/>
          <w:lang w:val="sr-Latn-ME"/>
        </w:rPr>
        <w:t>)</w:t>
      </w:r>
    </w:p>
    <w:p w14:paraId="7AD6C16B" w14:textId="77777777" w:rsidR="00ED7C77" w:rsidRPr="007403A4" w:rsidRDefault="00ED7C77">
      <w:pPr>
        <w:widowControl w:val="0"/>
        <w:spacing w:before="1" w:line="254" w:lineRule="exact"/>
        <w:ind w:right="-108"/>
        <w:jc w:val="both"/>
        <w:rPr>
          <w:b/>
          <w:sz w:val="22"/>
          <w:szCs w:val="22"/>
          <w:lang w:val="sr-Latn-ME"/>
        </w:rPr>
      </w:pPr>
    </w:p>
    <w:p w14:paraId="1BC71BF6" w14:textId="0EDCC40B"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Preporučena doza lijeka Gazyvaro u kombinaciji sa hlorambucilom za pacijente sa HLL prikazana je u Tabeli 2  </w:t>
      </w:r>
    </w:p>
    <w:p w14:paraId="40886A09" w14:textId="77777777" w:rsidR="00ED7C77" w:rsidRPr="007403A4" w:rsidRDefault="00ED7C77">
      <w:pPr>
        <w:widowControl w:val="0"/>
        <w:spacing w:before="1" w:line="254" w:lineRule="exact"/>
        <w:ind w:right="-108"/>
        <w:jc w:val="both"/>
        <w:rPr>
          <w:b/>
          <w:sz w:val="22"/>
          <w:szCs w:val="22"/>
          <w:lang w:val="sr-Latn-ME"/>
        </w:rPr>
      </w:pPr>
    </w:p>
    <w:p w14:paraId="4C58A18D" w14:textId="77777777" w:rsidR="00ED7C77" w:rsidRPr="007403A4" w:rsidRDefault="00ED7C77">
      <w:pPr>
        <w:widowControl w:val="0"/>
        <w:spacing w:before="1" w:line="254" w:lineRule="exact"/>
        <w:ind w:right="-108"/>
        <w:jc w:val="both"/>
        <w:rPr>
          <w:sz w:val="22"/>
          <w:szCs w:val="22"/>
          <w:u w:val="single"/>
          <w:lang w:val="sr-Latn-ME"/>
        </w:rPr>
      </w:pPr>
      <w:r w:rsidRPr="007403A4">
        <w:rPr>
          <w:sz w:val="22"/>
          <w:szCs w:val="22"/>
          <w:u w:val="single"/>
          <w:lang w:val="sr-Latn-ME"/>
        </w:rPr>
        <w:t>1. ciklus</w:t>
      </w:r>
    </w:p>
    <w:p w14:paraId="7F3A8698" w14:textId="46598501"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Preporučena doza lijeka Gazyvaro</w:t>
      </w:r>
      <w:r w:rsidRPr="007403A4">
        <w:rPr>
          <w:sz w:val="20"/>
          <w:szCs w:val="20"/>
          <w:lang w:val="sr-Latn-ME"/>
        </w:rPr>
        <w:t xml:space="preserve"> </w:t>
      </w:r>
      <w:r w:rsidRPr="007403A4">
        <w:rPr>
          <w:sz w:val="22"/>
          <w:szCs w:val="22"/>
          <w:lang w:val="sr-Latn-ME"/>
        </w:rPr>
        <w:t>u kombinaciji sa hlorambucilom  je 1000 mg a primjenjuje se tokom 1. i 2. dana (ili u nastavku 1. dana)  te 8. dana i 15. dana prvog ciklusa liječenja u trajanju od 28 dana. Za infuziju koja se primjenjuje 1. i 2. dan</w:t>
      </w:r>
      <w:r w:rsidR="0058265C" w:rsidRPr="007403A4">
        <w:rPr>
          <w:sz w:val="22"/>
          <w:szCs w:val="22"/>
          <w:lang w:val="sr-Latn-ME"/>
        </w:rPr>
        <w:t>a</w:t>
      </w:r>
      <w:r w:rsidRPr="007403A4">
        <w:rPr>
          <w:sz w:val="22"/>
          <w:szCs w:val="22"/>
          <w:lang w:val="sr-Latn-ME"/>
        </w:rPr>
        <w:t xml:space="preserve"> potrebno je pripremiti dvije infuzijske vrećice (100 mg za 1. dan i 900 mg za 2. dan). Ako primjena prve vrećice završi bez prilagođavanja brzine infuzije ili prekida primjene, drugu vrećicu je moguće primijeniti istog dana (nije potrebno od</w:t>
      </w:r>
      <w:r w:rsidR="0058265C" w:rsidRPr="007403A4">
        <w:rPr>
          <w:sz w:val="22"/>
          <w:szCs w:val="22"/>
          <w:lang w:val="sr-Latn-ME"/>
        </w:rPr>
        <w:t>lagati</w:t>
      </w:r>
      <w:r w:rsidRPr="007403A4">
        <w:rPr>
          <w:sz w:val="22"/>
          <w:szCs w:val="22"/>
          <w:lang w:val="sr-Latn-ME"/>
        </w:rPr>
        <w:t xml:space="preserve"> primjenu lijeka niti ponovno primijeniti premedikaciju), pod uslovom da za to ima dovoljno vremena te da postoje odgovarajući uslovi i da se tokom cijele infuzije može sprovoditi ljekarski nadzor. Ako je tokom primjene prvih 100 mg lijeka potrebno prilagođavati brzinu infuzije ili prekinuti primjenu, druga vrećica mora se primijeniti sljedećeg dana. </w:t>
      </w:r>
    </w:p>
    <w:p w14:paraId="034A7666"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 </w:t>
      </w:r>
    </w:p>
    <w:p w14:paraId="5AACE039" w14:textId="73505B3D" w:rsidR="00ED7C77" w:rsidRPr="007403A4" w:rsidRDefault="00ED7C77">
      <w:pPr>
        <w:keepNext/>
        <w:shd w:val="clear" w:color="auto" w:fill="FFFFFF"/>
        <w:spacing w:before="1" w:line="254" w:lineRule="exact"/>
        <w:ind w:right="-108"/>
        <w:jc w:val="both"/>
        <w:rPr>
          <w:sz w:val="22"/>
          <w:szCs w:val="22"/>
          <w:u w:val="single"/>
          <w:lang w:val="sr-Latn-ME"/>
        </w:rPr>
      </w:pPr>
      <w:r w:rsidRPr="007403A4">
        <w:rPr>
          <w:sz w:val="22"/>
          <w:szCs w:val="22"/>
          <w:u w:val="single"/>
          <w:lang w:val="sr-Latn-ME"/>
        </w:rPr>
        <w:t>2 </w:t>
      </w:r>
      <w:r w:rsidRPr="007403A4">
        <w:rPr>
          <w:sz w:val="22"/>
          <w:szCs w:val="22"/>
          <w:u w:val="single"/>
          <w:lang w:val="sr-Latn-ME"/>
        </w:rPr>
        <w:noBreakHyphen/>
        <w:t> 6. ciklus</w:t>
      </w:r>
    </w:p>
    <w:p w14:paraId="3522DB41" w14:textId="473167CB" w:rsidR="00ED7C77" w:rsidRPr="007403A4" w:rsidRDefault="00ED7C77">
      <w:pPr>
        <w:spacing w:before="1" w:line="254" w:lineRule="exact"/>
        <w:ind w:right="-108"/>
        <w:jc w:val="both"/>
        <w:rPr>
          <w:sz w:val="22"/>
          <w:szCs w:val="22"/>
          <w:lang w:val="sr-Latn-ME"/>
        </w:rPr>
      </w:pPr>
      <w:r w:rsidRPr="007403A4">
        <w:rPr>
          <w:sz w:val="22"/>
          <w:szCs w:val="22"/>
          <w:lang w:val="sr-Latn-ME"/>
        </w:rPr>
        <w:t xml:space="preserve">Preporučena doza lijeka Gazyvaro </w:t>
      </w:r>
      <w:r w:rsidR="004D59E1" w:rsidRPr="007403A4">
        <w:rPr>
          <w:sz w:val="22"/>
          <w:szCs w:val="22"/>
          <w:lang w:val="sr-Latn-ME"/>
        </w:rPr>
        <w:t xml:space="preserve">u kombinaciji sa hlorambucilom iznosi </w:t>
      </w:r>
      <w:r w:rsidRPr="007403A4">
        <w:rPr>
          <w:sz w:val="22"/>
          <w:szCs w:val="22"/>
          <w:lang w:val="sr-Latn-ME"/>
        </w:rPr>
        <w:t xml:space="preserve">1000 mg, a primjenjuje se 1. dana  svakog ciklusa. </w:t>
      </w:r>
    </w:p>
    <w:p w14:paraId="4C340853" w14:textId="73E3C56A" w:rsidR="009D14CF" w:rsidRPr="007403A4" w:rsidRDefault="009D14CF">
      <w:pPr>
        <w:spacing w:before="1" w:line="254" w:lineRule="exact"/>
        <w:ind w:right="-108"/>
        <w:jc w:val="both"/>
        <w:rPr>
          <w:sz w:val="22"/>
          <w:szCs w:val="22"/>
          <w:lang w:val="sr-Latn-ME"/>
        </w:rPr>
      </w:pPr>
    </w:p>
    <w:p w14:paraId="227A07F7" w14:textId="7E7F200C" w:rsidR="00ED7C77" w:rsidRPr="007403A4" w:rsidRDefault="00ED7C77">
      <w:pPr>
        <w:widowControl w:val="0"/>
        <w:spacing w:before="1" w:line="254" w:lineRule="exact"/>
        <w:ind w:right="-108"/>
        <w:jc w:val="both"/>
        <w:rPr>
          <w:b/>
          <w:sz w:val="22"/>
          <w:szCs w:val="22"/>
          <w:lang w:val="sr-Latn-ME"/>
        </w:rPr>
      </w:pPr>
      <w:r w:rsidRPr="007403A4">
        <w:rPr>
          <w:b/>
          <w:sz w:val="22"/>
          <w:szCs w:val="22"/>
          <w:lang w:val="sr-Latn-ME"/>
        </w:rPr>
        <w:t>Tabela 2 Doza lijeka Gazyvaro koju je potrebno primijeniti kod pacijenata sa HLL</w:t>
      </w:r>
      <w:r w:rsidR="00B85AC6" w:rsidRPr="007403A4">
        <w:rPr>
          <w:b/>
          <w:sz w:val="22"/>
          <w:szCs w:val="22"/>
          <w:lang w:val="sr-Latn-ME"/>
        </w:rPr>
        <w:t xml:space="preserve"> tokom </w:t>
      </w:r>
      <w:r w:rsidRPr="007403A4">
        <w:rPr>
          <w:b/>
          <w:sz w:val="22"/>
          <w:szCs w:val="22"/>
          <w:lang w:val="sr-Latn-ME"/>
        </w:rPr>
        <w:t>6 ciklusa liječenja, od kojih svaki traje 28 dana</w:t>
      </w:r>
    </w:p>
    <w:p w14:paraId="35872C4F" w14:textId="77777777" w:rsidR="00932A9D" w:rsidRPr="007403A4" w:rsidRDefault="00932A9D">
      <w:pPr>
        <w:widowControl w:val="0"/>
        <w:spacing w:before="1" w:line="254" w:lineRule="exact"/>
        <w:ind w:right="-108"/>
        <w:jc w:val="both"/>
        <w:rPr>
          <w:b/>
          <w:sz w:val="22"/>
          <w:szCs w:val="22"/>
          <w:lang w:val="sr-Latn-ME"/>
        </w:rPr>
      </w:pPr>
    </w:p>
    <w:tbl>
      <w:tblPr>
        <w:tblStyle w:val="TableGrid"/>
        <w:tblW w:w="4971" w:type="pct"/>
        <w:tblLayout w:type="fixed"/>
        <w:tblLook w:val="00A0" w:firstRow="1" w:lastRow="0" w:firstColumn="1" w:lastColumn="0" w:noHBand="0" w:noVBand="0"/>
      </w:tblPr>
      <w:tblGrid>
        <w:gridCol w:w="2396"/>
        <w:gridCol w:w="2838"/>
        <w:gridCol w:w="3821"/>
      </w:tblGrid>
      <w:tr w:rsidR="00ED7C77" w:rsidRPr="007403A4" w14:paraId="48D7A4FF" w14:textId="77777777" w:rsidTr="009D14CF">
        <w:tc>
          <w:tcPr>
            <w:tcW w:w="1323" w:type="pct"/>
          </w:tcPr>
          <w:p w14:paraId="3E905C35" w14:textId="77777777" w:rsidR="00ED7C77" w:rsidRPr="007403A4" w:rsidRDefault="00ED7C77">
            <w:pPr>
              <w:widowControl w:val="0"/>
              <w:spacing w:before="1" w:line="254" w:lineRule="exact"/>
              <w:ind w:right="-108"/>
              <w:jc w:val="both"/>
              <w:rPr>
                <w:b/>
                <w:sz w:val="22"/>
                <w:szCs w:val="22"/>
                <w:lang w:val="sr-Latn-ME"/>
              </w:rPr>
            </w:pPr>
            <w:r w:rsidRPr="007403A4">
              <w:rPr>
                <w:b/>
                <w:sz w:val="22"/>
                <w:szCs w:val="22"/>
                <w:lang w:val="sr-Latn-ME"/>
              </w:rPr>
              <w:t>Ciklus</w:t>
            </w:r>
          </w:p>
        </w:tc>
        <w:tc>
          <w:tcPr>
            <w:tcW w:w="1567" w:type="pct"/>
          </w:tcPr>
          <w:p w14:paraId="432E300D" w14:textId="77777777" w:rsidR="00ED7C77" w:rsidRPr="007403A4" w:rsidRDefault="00ED7C77">
            <w:pPr>
              <w:widowControl w:val="0"/>
              <w:spacing w:before="1" w:line="254" w:lineRule="exact"/>
              <w:ind w:right="-108"/>
              <w:jc w:val="both"/>
              <w:rPr>
                <w:b/>
                <w:sz w:val="22"/>
                <w:szCs w:val="22"/>
                <w:lang w:val="sr-Latn-ME"/>
              </w:rPr>
            </w:pPr>
            <w:r w:rsidRPr="007403A4">
              <w:rPr>
                <w:b/>
                <w:sz w:val="22"/>
                <w:szCs w:val="22"/>
                <w:lang w:val="sr-Latn-ME"/>
              </w:rPr>
              <w:t>Dan liječenja</w:t>
            </w:r>
          </w:p>
        </w:tc>
        <w:tc>
          <w:tcPr>
            <w:tcW w:w="2110" w:type="pct"/>
          </w:tcPr>
          <w:p w14:paraId="5DF6318C" w14:textId="495E32E5" w:rsidR="00ED7C77" w:rsidRPr="007403A4" w:rsidRDefault="00ED7C77">
            <w:pPr>
              <w:widowControl w:val="0"/>
              <w:spacing w:before="1" w:line="254" w:lineRule="exact"/>
              <w:ind w:right="-108"/>
              <w:jc w:val="both"/>
              <w:rPr>
                <w:b/>
                <w:sz w:val="22"/>
                <w:szCs w:val="22"/>
                <w:lang w:val="sr-Latn-ME"/>
              </w:rPr>
            </w:pPr>
            <w:r w:rsidRPr="007403A4">
              <w:rPr>
                <w:b/>
                <w:sz w:val="22"/>
                <w:szCs w:val="22"/>
                <w:lang w:val="sr-Latn-ME"/>
              </w:rPr>
              <w:t>Doza lijeka Gazyvaro</w:t>
            </w:r>
          </w:p>
        </w:tc>
      </w:tr>
      <w:tr w:rsidR="00ED7C77" w:rsidRPr="007403A4" w14:paraId="55F35B12" w14:textId="77777777" w:rsidTr="009D14CF">
        <w:trPr>
          <w:trHeight w:val="385"/>
        </w:trPr>
        <w:tc>
          <w:tcPr>
            <w:tcW w:w="1323" w:type="pct"/>
            <w:vMerge w:val="restart"/>
          </w:tcPr>
          <w:p w14:paraId="13E19C03" w14:textId="77777777" w:rsidR="00ED7C77" w:rsidRPr="007403A4" w:rsidRDefault="00ED7C77" w:rsidP="004D3AD0">
            <w:pPr>
              <w:widowControl w:val="0"/>
              <w:spacing w:before="1" w:line="254" w:lineRule="exact"/>
              <w:ind w:right="-108"/>
              <w:jc w:val="both"/>
              <w:rPr>
                <w:b/>
                <w:sz w:val="22"/>
                <w:szCs w:val="22"/>
                <w:lang w:val="sr-Latn-ME"/>
              </w:rPr>
            </w:pPr>
            <w:r w:rsidRPr="007403A4">
              <w:rPr>
                <w:b/>
                <w:sz w:val="22"/>
                <w:szCs w:val="22"/>
                <w:lang w:val="sr-Latn-ME"/>
              </w:rPr>
              <w:t>1. ciklus</w:t>
            </w:r>
          </w:p>
        </w:tc>
        <w:tc>
          <w:tcPr>
            <w:tcW w:w="1567" w:type="pct"/>
          </w:tcPr>
          <w:p w14:paraId="512ADC9B" w14:textId="77777777" w:rsidR="00ED7C77" w:rsidRPr="007403A4" w:rsidRDefault="00ED7C77" w:rsidP="004D3AD0">
            <w:pPr>
              <w:widowControl w:val="0"/>
              <w:spacing w:before="1" w:line="254" w:lineRule="exact"/>
              <w:ind w:right="-108"/>
              <w:jc w:val="both"/>
              <w:rPr>
                <w:sz w:val="22"/>
                <w:szCs w:val="22"/>
                <w:lang w:val="sr-Latn-ME"/>
              </w:rPr>
            </w:pPr>
            <w:r w:rsidRPr="007403A4">
              <w:rPr>
                <w:sz w:val="22"/>
                <w:szCs w:val="22"/>
                <w:lang w:val="sr-Latn-ME"/>
              </w:rPr>
              <w:t>1. dan</w:t>
            </w:r>
          </w:p>
        </w:tc>
        <w:tc>
          <w:tcPr>
            <w:tcW w:w="2110" w:type="pct"/>
          </w:tcPr>
          <w:p w14:paraId="745E0504"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100 mg</w:t>
            </w:r>
          </w:p>
        </w:tc>
      </w:tr>
      <w:tr w:rsidR="00ED7C77" w:rsidRPr="007403A4" w14:paraId="68506125" w14:textId="77777777" w:rsidTr="009D14CF">
        <w:trPr>
          <w:trHeight w:val="385"/>
        </w:trPr>
        <w:tc>
          <w:tcPr>
            <w:tcW w:w="1323" w:type="pct"/>
            <w:vMerge/>
          </w:tcPr>
          <w:p w14:paraId="73F99BAD" w14:textId="77777777" w:rsidR="00ED7C77" w:rsidRPr="007403A4" w:rsidRDefault="00ED7C77">
            <w:pPr>
              <w:widowControl w:val="0"/>
              <w:spacing w:before="1" w:line="254" w:lineRule="exact"/>
              <w:ind w:right="-108"/>
              <w:jc w:val="both"/>
              <w:rPr>
                <w:b/>
                <w:sz w:val="22"/>
                <w:szCs w:val="22"/>
                <w:lang w:val="sr-Latn-ME"/>
              </w:rPr>
            </w:pPr>
          </w:p>
        </w:tc>
        <w:tc>
          <w:tcPr>
            <w:tcW w:w="1567" w:type="pct"/>
          </w:tcPr>
          <w:p w14:paraId="49D62964"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2. dan</w:t>
            </w:r>
          </w:p>
          <w:p w14:paraId="37FED0BF"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(ili nastavak 1. dana)</w:t>
            </w:r>
          </w:p>
        </w:tc>
        <w:tc>
          <w:tcPr>
            <w:tcW w:w="2110" w:type="pct"/>
          </w:tcPr>
          <w:p w14:paraId="459B0D0C"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900 mg</w:t>
            </w:r>
          </w:p>
        </w:tc>
      </w:tr>
      <w:tr w:rsidR="00ED7C77" w:rsidRPr="007403A4" w14:paraId="14784BCD" w14:textId="77777777" w:rsidTr="009D14CF">
        <w:trPr>
          <w:trHeight w:val="385"/>
        </w:trPr>
        <w:tc>
          <w:tcPr>
            <w:tcW w:w="1323" w:type="pct"/>
            <w:vMerge/>
          </w:tcPr>
          <w:p w14:paraId="6EABB5D6" w14:textId="77777777" w:rsidR="00ED7C77" w:rsidRPr="007403A4" w:rsidRDefault="00ED7C77">
            <w:pPr>
              <w:widowControl w:val="0"/>
              <w:spacing w:before="1" w:line="254" w:lineRule="exact"/>
              <w:ind w:right="-108"/>
              <w:jc w:val="both"/>
              <w:rPr>
                <w:b/>
                <w:sz w:val="22"/>
                <w:szCs w:val="22"/>
                <w:lang w:val="sr-Latn-ME"/>
              </w:rPr>
            </w:pPr>
          </w:p>
        </w:tc>
        <w:tc>
          <w:tcPr>
            <w:tcW w:w="1567" w:type="pct"/>
          </w:tcPr>
          <w:p w14:paraId="4C6BB413"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8. dan</w:t>
            </w:r>
          </w:p>
        </w:tc>
        <w:tc>
          <w:tcPr>
            <w:tcW w:w="2110" w:type="pct"/>
          </w:tcPr>
          <w:p w14:paraId="5AE814F1"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1000 mg</w:t>
            </w:r>
          </w:p>
        </w:tc>
      </w:tr>
      <w:tr w:rsidR="00ED7C77" w:rsidRPr="007403A4" w14:paraId="607A4526" w14:textId="77777777" w:rsidTr="009D14CF">
        <w:trPr>
          <w:trHeight w:val="385"/>
        </w:trPr>
        <w:tc>
          <w:tcPr>
            <w:tcW w:w="1323" w:type="pct"/>
            <w:vMerge/>
          </w:tcPr>
          <w:p w14:paraId="6600C0AD" w14:textId="77777777" w:rsidR="00ED7C77" w:rsidRPr="007403A4" w:rsidRDefault="00ED7C77">
            <w:pPr>
              <w:widowControl w:val="0"/>
              <w:spacing w:before="1" w:line="254" w:lineRule="exact"/>
              <w:ind w:right="-108"/>
              <w:jc w:val="both"/>
              <w:rPr>
                <w:b/>
                <w:sz w:val="22"/>
                <w:szCs w:val="22"/>
                <w:lang w:val="sr-Latn-ME"/>
              </w:rPr>
            </w:pPr>
          </w:p>
        </w:tc>
        <w:tc>
          <w:tcPr>
            <w:tcW w:w="1567" w:type="pct"/>
          </w:tcPr>
          <w:p w14:paraId="45EC9872"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15. dan</w:t>
            </w:r>
          </w:p>
        </w:tc>
        <w:tc>
          <w:tcPr>
            <w:tcW w:w="2110" w:type="pct"/>
          </w:tcPr>
          <w:p w14:paraId="20A120F6"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1000 mg</w:t>
            </w:r>
          </w:p>
        </w:tc>
      </w:tr>
      <w:tr w:rsidR="00ED7C77" w:rsidRPr="007403A4" w14:paraId="5901140A" w14:textId="77777777" w:rsidTr="009D14CF">
        <w:trPr>
          <w:trHeight w:val="385"/>
        </w:trPr>
        <w:tc>
          <w:tcPr>
            <w:tcW w:w="1323" w:type="pct"/>
          </w:tcPr>
          <w:p w14:paraId="4DBB9D18" w14:textId="6DFD6CDC" w:rsidR="00ED7C77" w:rsidRPr="007403A4" w:rsidRDefault="00ED7C77" w:rsidP="004D3AD0">
            <w:pPr>
              <w:widowControl w:val="0"/>
              <w:spacing w:before="1" w:line="254" w:lineRule="exact"/>
              <w:ind w:right="-108"/>
              <w:jc w:val="both"/>
              <w:rPr>
                <w:b/>
                <w:sz w:val="22"/>
                <w:szCs w:val="22"/>
                <w:lang w:val="sr-Latn-ME"/>
              </w:rPr>
            </w:pPr>
            <w:r w:rsidRPr="007403A4">
              <w:rPr>
                <w:b/>
                <w:sz w:val="22"/>
                <w:szCs w:val="22"/>
                <w:lang w:val="sr-Latn-ME"/>
              </w:rPr>
              <w:t>2</w:t>
            </w:r>
            <w:r w:rsidRPr="007403A4">
              <w:rPr>
                <w:b/>
                <w:sz w:val="22"/>
                <w:szCs w:val="22"/>
                <w:lang w:val="sr-Latn-ME"/>
              </w:rPr>
              <w:noBreakHyphen/>
              <w:t>6. ciklus</w:t>
            </w:r>
          </w:p>
        </w:tc>
        <w:tc>
          <w:tcPr>
            <w:tcW w:w="1567" w:type="pct"/>
          </w:tcPr>
          <w:p w14:paraId="318676D7" w14:textId="77777777" w:rsidR="00ED7C77" w:rsidRPr="007403A4" w:rsidRDefault="00ED7C77" w:rsidP="004D3AD0">
            <w:pPr>
              <w:widowControl w:val="0"/>
              <w:spacing w:before="1" w:line="254" w:lineRule="exact"/>
              <w:ind w:right="-108"/>
              <w:jc w:val="both"/>
              <w:rPr>
                <w:sz w:val="22"/>
                <w:szCs w:val="22"/>
                <w:lang w:val="sr-Latn-ME"/>
              </w:rPr>
            </w:pPr>
            <w:r w:rsidRPr="007403A4">
              <w:rPr>
                <w:sz w:val="22"/>
                <w:szCs w:val="22"/>
                <w:lang w:val="sr-Latn-ME"/>
              </w:rPr>
              <w:t>1. dan</w:t>
            </w:r>
          </w:p>
        </w:tc>
        <w:tc>
          <w:tcPr>
            <w:tcW w:w="2110" w:type="pct"/>
          </w:tcPr>
          <w:p w14:paraId="0E89D6C6"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1000 mg</w:t>
            </w:r>
          </w:p>
        </w:tc>
      </w:tr>
    </w:tbl>
    <w:p w14:paraId="196AA09F" w14:textId="77777777" w:rsidR="00ED7C77" w:rsidRPr="007403A4" w:rsidRDefault="00ED7C77" w:rsidP="004D3AD0">
      <w:pPr>
        <w:widowControl w:val="0"/>
        <w:spacing w:before="1" w:line="254" w:lineRule="exact"/>
        <w:ind w:right="-108"/>
        <w:jc w:val="both"/>
        <w:rPr>
          <w:i/>
          <w:sz w:val="20"/>
          <w:szCs w:val="20"/>
          <w:lang w:val="sr-Latn-ME"/>
        </w:rPr>
      </w:pPr>
      <w:r w:rsidRPr="007403A4">
        <w:rPr>
          <w:i/>
          <w:sz w:val="20"/>
          <w:szCs w:val="20"/>
          <w:vertAlign w:val="superscript"/>
          <w:lang w:val="sr-Latn-ME"/>
        </w:rPr>
        <w:t>1</w:t>
      </w:r>
      <w:r w:rsidRPr="007403A4">
        <w:rPr>
          <w:i/>
          <w:sz w:val="20"/>
          <w:szCs w:val="20"/>
          <w:lang w:val="sr-Latn-ME"/>
        </w:rPr>
        <w:t>Vidjeti dio 5.1 za informacije o dozi hlorambucila</w:t>
      </w:r>
    </w:p>
    <w:p w14:paraId="2AA0B733" w14:textId="77777777" w:rsidR="00ED7C77" w:rsidRPr="007403A4" w:rsidRDefault="00ED7C77" w:rsidP="004D3AD0">
      <w:pPr>
        <w:widowControl w:val="0"/>
        <w:spacing w:before="1" w:line="254" w:lineRule="exact"/>
        <w:ind w:right="-108"/>
        <w:jc w:val="both"/>
        <w:rPr>
          <w:sz w:val="20"/>
          <w:szCs w:val="20"/>
          <w:lang w:val="sr-Latn-ME"/>
        </w:rPr>
      </w:pPr>
    </w:p>
    <w:p w14:paraId="72A0E548" w14:textId="77777777" w:rsidR="00ED7C77" w:rsidRPr="007403A4" w:rsidRDefault="00ED7C77">
      <w:pPr>
        <w:widowControl w:val="0"/>
        <w:spacing w:before="1" w:line="254" w:lineRule="exact"/>
        <w:ind w:right="-108"/>
        <w:jc w:val="both"/>
        <w:rPr>
          <w:i/>
          <w:sz w:val="22"/>
          <w:szCs w:val="22"/>
          <w:u w:val="single"/>
          <w:lang w:val="sr-Latn-ME"/>
        </w:rPr>
      </w:pPr>
      <w:r w:rsidRPr="007403A4">
        <w:rPr>
          <w:i/>
          <w:sz w:val="22"/>
          <w:szCs w:val="22"/>
          <w:u w:val="single"/>
          <w:lang w:val="sr-Latn-ME"/>
        </w:rPr>
        <w:t>Trajanje liječenja</w:t>
      </w:r>
    </w:p>
    <w:p w14:paraId="2188FF7B" w14:textId="2E46218B"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Šest ciklusa liječenja, od</w:t>
      </w:r>
      <w:r w:rsidR="00B85AC6" w:rsidRPr="007403A4">
        <w:rPr>
          <w:sz w:val="22"/>
          <w:szCs w:val="22"/>
          <w:lang w:val="sr-Latn-ME"/>
        </w:rPr>
        <w:t xml:space="preserve"> </w:t>
      </w:r>
      <w:r w:rsidRPr="007403A4">
        <w:rPr>
          <w:sz w:val="22"/>
          <w:szCs w:val="22"/>
          <w:lang w:val="sr-Latn-ME"/>
        </w:rPr>
        <w:t>kojih svaki traje 28 dana.</w:t>
      </w:r>
    </w:p>
    <w:p w14:paraId="1FBDE322" w14:textId="77777777" w:rsidR="00ED7C77" w:rsidRPr="007403A4" w:rsidRDefault="00ED7C77">
      <w:pPr>
        <w:widowControl w:val="0"/>
        <w:spacing w:before="1" w:line="254" w:lineRule="exact"/>
        <w:ind w:right="-108"/>
        <w:jc w:val="both"/>
        <w:rPr>
          <w:sz w:val="22"/>
          <w:szCs w:val="22"/>
          <w:lang w:val="sr-Latn-ME"/>
        </w:rPr>
      </w:pPr>
    </w:p>
    <w:p w14:paraId="52BF53D6" w14:textId="2F1B64FD" w:rsidR="00ED7C77" w:rsidRPr="007403A4" w:rsidRDefault="00ED7C77">
      <w:pPr>
        <w:widowControl w:val="0"/>
        <w:spacing w:before="1" w:line="254" w:lineRule="exact"/>
        <w:ind w:right="-108"/>
        <w:jc w:val="both"/>
        <w:rPr>
          <w:i/>
          <w:sz w:val="22"/>
          <w:szCs w:val="22"/>
          <w:u w:val="single"/>
          <w:lang w:val="sr-Latn-ME"/>
        </w:rPr>
      </w:pPr>
      <w:r w:rsidRPr="007403A4">
        <w:rPr>
          <w:i/>
          <w:sz w:val="22"/>
          <w:szCs w:val="22"/>
          <w:u w:val="single"/>
          <w:lang w:val="sr-Latn-ME"/>
        </w:rPr>
        <w:t>Od</w:t>
      </w:r>
      <w:r w:rsidR="00B85AC6" w:rsidRPr="007403A4">
        <w:rPr>
          <w:i/>
          <w:sz w:val="22"/>
          <w:szCs w:val="22"/>
          <w:u w:val="single"/>
          <w:lang w:val="sr-Latn-ME"/>
        </w:rPr>
        <w:t>ložene</w:t>
      </w:r>
      <w:r w:rsidRPr="007403A4">
        <w:rPr>
          <w:i/>
          <w:sz w:val="22"/>
          <w:szCs w:val="22"/>
          <w:u w:val="single"/>
          <w:lang w:val="sr-Latn-ME"/>
        </w:rPr>
        <w:t xml:space="preserve"> ili propuštene doze</w:t>
      </w:r>
    </w:p>
    <w:p w14:paraId="11001355" w14:textId="33F1BD34"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Ako pacijent propusti da primi planiranu dozu lijeka Gazyvaro, potrebno je</w:t>
      </w:r>
      <w:r w:rsidR="00B85AC6" w:rsidRPr="007403A4">
        <w:rPr>
          <w:sz w:val="22"/>
          <w:szCs w:val="22"/>
          <w:lang w:val="sr-Latn-ME"/>
        </w:rPr>
        <w:t xml:space="preserve"> da se ona</w:t>
      </w:r>
      <w:r w:rsidRPr="007403A4">
        <w:rPr>
          <w:sz w:val="22"/>
          <w:szCs w:val="22"/>
          <w:lang w:val="sr-Latn-ME"/>
        </w:rPr>
        <w:t xml:space="preserve"> primijeni što je prije </w:t>
      </w:r>
      <w:r w:rsidRPr="007403A4">
        <w:rPr>
          <w:sz w:val="22"/>
          <w:szCs w:val="22"/>
          <w:lang w:val="sr-Latn-ME"/>
        </w:rPr>
        <w:lastRenderedPageBreak/>
        <w:t xml:space="preserve">moguće; ne treba čekati do sljedeće planirane doze. Potrebno je održavati planirani interval liječenja između pojedinačnih doza lijeka Gazyvaro. </w:t>
      </w:r>
    </w:p>
    <w:p w14:paraId="4AF26E82" w14:textId="77777777" w:rsidR="00ED7C77" w:rsidRPr="007403A4" w:rsidRDefault="00ED7C77">
      <w:pPr>
        <w:widowControl w:val="0"/>
        <w:spacing w:before="1" w:line="254" w:lineRule="exact"/>
        <w:ind w:right="-108"/>
        <w:jc w:val="both"/>
        <w:rPr>
          <w:sz w:val="22"/>
          <w:szCs w:val="22"/>
          <w:lang w:val="sr-Latn-ME"/>
        </w:rPr>
      </w:pPr>
    </w:p>
    <w:p w14:paraId="518647C5" w14:textId="77777777" w:rsidR="00ED7C77" w:rsidRPr="007403A4" w:rsidRDefault="00ED7C77">
      <w:pPr>
        <w:widowControl w:val="0"/>
        <w:spacing w:before="1" w:line="254" w:lineRule="exact"/>
        <w:ind w:right="-108"/>
        <w:jc w:val="both"/>
        <w:rPr>
          <w:sz w:val="22"/>
          <w:szCs w:val="22"/>
          <w:u w:val="single"/>
          <w:lang w:val="sr-Latn-ME"/>
        </w:rPr>
      </w:pPr>
      <w:r w:rsidRPr="007403A4">
        <w:rPr>
          <w:sz w:val="22"/>
          <w:szCs w:val="22"/>
          <w:u w:val="single"/>
          <w:lang w:val="sr-Latn-ME"/>
        </w:rPr>
        <w:t xml:space="preserve">Folikularni limfom </w:t>
      </w:r>
    </w:p>
    <w:p w14:paraId="277C228A" w14:textId="745D9B9C"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Preporučena doza lijeka Gazyvaro u kombinaciji sa</w:t>
      </w:r>
      <w:r w:rsidR="00B85AC6" w:rsidRPr="007403A4">
        <w:rPr>
          <w:sz w:val="22"/>
          <w:szCs w:val="22"/>
          <w:lang w:val="sr-Latn-ME"/>
        </w:rPr>
        <w:t xml:space="preserve"> </w:t>
      </w:r>
      <w:r w:rsidRPr="007403A4">
        <w:rPr>
          <w:sz w:val="22"/>
          <w:szCs w:val="22"/>
          <w:lang w:val="sr-Latn-ME"/>
        </w:rPr>
        <w:t xml:space="preserve">hemoterapijom za pacijente sa FL prikazana je u Tabeli </w:t>
      </w:r>
      <w:r w:rsidR="00B85AC6" w:rsidRPr="007403A4">
        <w:rPr>
          <w:sz w:val="22"/>
          <w:szCs w:val="22"/>
          <w:lang w:val="sr-Latn-ME"/>
        </w:rPr>
        <w:t>3</w:t>
      </w:r>
      <w:r w:rsidRPr="007403A4">
        <w:rPr>
          <w:sz w:val="22"/>
          <w:szCs w:val="22"/>
          <w:lang w:val="sr-Latn-ME"/>
        </w:rPr>
        <w:t>.</w:t>
      </w:r>
    </w:p>
    <w:p w14:paraId="6045D708" w14:textId="77777777" w:rsidR="00ED7C77" w:rsidRPr="007403A4" w:rsidRDefault="00ED7C77">
      <w:pPr>
        <w:widowControl w:val="0"/>
        <w:spacing w:before="1" w:line="254" w:lineRule="exact"/>
        <w:ind w:right="-108"/>
        <w:jc w:val="both"/>
        <w:rPr>
          <w:i/>
          <w:sz w:val="22"/>
          <w:szCs w:val="22"/>
          <w:u w:val="single"/>
          <w:lang w:val="sr-Latn-ME"/>
        </w:rPr>
      </w:pPr>
    </w:p>
    <w:p w14:paraId="72573202" w14:textId="77777777" w:rsidR="00ED7C77" w:rsidRPr="007403A4" w:rsidRDefault="00ED7C77">
      <w:pPr>
        <w:widowControl w:val="0"/>
        <w:spacing w:before="1" w:line="254" w:lineRule="exact"/>
        <w:ind w:right="-108"/>
        <w:jc w:val="both"/>
        <w:rPr>
          <w:i/>
          <w:sz w:val="22"/>
          <w:szCs w:val="22"/>
          <w:u w:val="single"/>
          <w:lang w:val="sr-Latn-ME"/>
        </w:rPr>
      </w:pPr>
      <w:r w:rsidRPr="007403A4">
        <w:rPr>
          <w:i/>
          <w:sz w:val="22"/>
          <w:szCs w:val="22"/>
          <w:u w:val="single"/>
          <w:lang w:val="sr-Latn-ME"/>
        </w:rPr>
        <w:t>Pacijenti sa prethodno neliječenim folikularnim limfomom</w:t>
      </w:r>
    </w:p>
    <w:p w14:paraId="16266A58" w14:textId="77777777" w:rsidR="00ED7C77" w:rsidRPr="007403A4" w:rsidRDefault="00ED7C77">
      <w:pPr>
        <w:widowControl w:val="0"/>
        <w:spacing w:before="1" w:line="254" w:lineRule="exact"/>
        <w:ind w:right="-108"/>
        <w:jc w:val="both"/>
        <w:rPr>
          <w:sz w:val="22"/>
          <w:szCs w:val="22"/>
          <w:lang w:val="sr-Latn-ME"/>
        </w:rPr>
      </w:pPr>
    </w:p>
    <w:p w14:paraId="5ACA6FEF"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Uvodno liječenje (u kombinaciji sa hemoterapijom</w:t>
      </w:r>
      <w:r w:rsidRPr="007403A4">
        <w:rPr>
          <w:i/>
          <w:sz w:val="22"/>
          <w:szCs w:val="22"/>
          <w:vertAlign w:val="superscript"/>
          <w:lang w:val="sr-Latn-ME"/>
        </w:rPr>
        <w:t>2</w:t>
      </w:r>
      <w:r w:rsidRPr="007403A4">
        <w:rPr>
          <w:i/>
          <w:sz w:val="22"/>
          <w:szCs w:val="22"/>
          <w:lang w:val="sr-Latn-ME"/>
        </w:rPr>
        <w:t>)</w:t>
      </w:r>
    </w:p>
    <w:p w14:paraId="233505FB" w14:textId="2FA52D2D" w:rsidR="00ED7C77" w:rsidRPr="007403A4" w:rsidRDefault="00AE12AC">
      <w:pPr>
        <w:widowControl w:val="0"/>
        <w:spacing w:before="1" w:line="254" w:lineRule="exact"/>
        <w:ind w:right="-108"/>
        <w:jc w:val="both"/>
        <w:rPr>
          <w:sz w:val="22"/>
          <w:szCs w:val="22"/>
          <w:lang w:val="sr-Latn-ME"/>
        </w:rPr>
      </w:pPr>
      <w:r w:rsidRPr="007403A4">
        <w:rPr>
          <w:sz w:val="22"/>
          <w:szCs w:val="22"/>
          <w:lang w:val="sr-Latn-ME"/>
        </w:rPr>
        <w:t xml:space="preserve">Lijek </w:t>
      </w:r>
      <w:r w:rsidR="00ED7C77" w:rsidRPr="007403A4">
        <w:rPr>
          <w:sz w:val="22"/>
          <w:szCs w:val="22"/>
          <w:lang w:val="sr-Latn-ME"/>
        </w:rPr>
        <w:t>Gazyvaro treba primjenjivati sa hemoterapijom na sljedeći način:</w:t>
      </w:r>
    </w:p>
    <w:p w14:paraId="44334613" w14:textId="77777777" w:rsidR="00ED7C77" w:rsidRPr="007403A4" w:rsidRDefault="00ED7C77">
      <w:pPr>
        <w:widowControl w:val="0"/>
        <w:spacing w:before="1" w:line="254" w:lineRule="exact"/>
        <w:ind w:right="-108"/>
        <w:jc w:val="both"/>
        <w:rPr>
          <w:sz w:val="22"/>
          <w:szCs w:val="22"/>
          <w:lang w:val="sr-Latn-ME"/>
        </w:rPr>
      </w:pPr>
    </w:p>
    <w:p w14:paraId="7E142336" w14:textId="46279832" w:rsidR="00ED7C77" w:rsidRPr="007403A4" w:rsidRDefault="00ED7C77">
      <w:pPr>
        <w:pStyle w:val="ListParagraph"/>
        <w:widowControl w:val="0"/>
        <w:numPr>
          <w:ilvl w:val="0"/>
          <w:numId w:val="4"/>
        </w:numPr>
        <w:spacing w:before="1" w:line="254" w:lineRule="exact"/>
        <w:ind w:right="-108"/>
        <w:rPr>
          <w:rFonts w:ascii="Times New Roman" w:hAnsi="Times New Roman"/>
          <w:sz w:val="22"/>
          <w:szCs w:val="22"/>
          <w:lang w:val="sr-Latn-ME"/>
        </w:rPr>
      </w:pPr>
      <w:r w:rsidRPr="007403A4">
        <w:rPr>
          <w:rFonts w:ascii="Times New Roman" w:hAnsi="Times New Roman"/>
          <w:sz w:val="22"/>
          <w:szCs w:val="22"/>
          <w:lang w:val="sr-Latn-ME"/>
        </w:rPr>
        <w:t>šest 28</w:t>
      </w:r>
      <w:r w:rsidR="00AE12AC" w:rsidRPr="007403A4">
        <w:rPr>
          <w:rFonts w:ascii="Times New Roman" w:hAnsi="Times New Roman"/>
          <w:sz w:val="22"/>
          <w:szCs w:val="22"/>
          <w:lang w:val="sr-Latn-ME"/>
        </w:rPr>
        <w:t>-</w:t>
      </w:r>
      <w:r w:rsidRPr="007403A4">
        <w:rPr>
          <w:rFonts w:ascii="Times New Roman" w:hAnsi="Times New Roman"/>
          <w:sz w:val="22"/>
          <w:szCs w:val="22"/>
          <w:lang w:val="sr-Latn-ME"/>
        </w:rPr>
        <w:t>dnevnih ciklusa u kombinaciji sa bendamustinom</w:t>
      </w:r>
      <w:r w:rsidRPr="007403A4">
        <w:rPr>
          <w:rFonts w:ascii="Times New Roman" w:hAnsi="Times New Roman"/>
          <w:sz w:val="22"/>
          <w:szCs w:val="22"/>
          <w:vertAlign w:val="superscript"/>
          <w:lang w:val="sr-Latn-ME"/>
        </w:rPr>
        <w:t>2</w:t>
      </w:r>
      <w:r w:rsidRPr="007403A4">
        <w:rPr>
          <w:rFonts w:ascii="Times New Roman" w:hAnsi="Times New Roman"/>
          <w:sz w:val="22"/>
          <w:szCs w:val="22"/>
          <w:lang w:val="sr-Latn-ME"/>
        </w:rPr>
        <w:t xml:space="preserve"> ili </w:t>
      </w:r>
    </w:p>
    <w:p w14:paraId="6597C66D" w14:textId="78069EFC" w:rsidR="00ED7C77" w:rsidRPr="007403A4" w:rsidRDefault="00ED7C77">
      <w:pPr>
        <w:pStyle w:val="ListParagraph"/>
        <w:widowControl w:val="0"/>
        <w:numPr>
          <w:ilvl w:val="0"/>
          <w:numId w:val="4"/>
        </w:numPr>
        <w:spacing w:before="1" w:line="254" w:lineRule="exact"/>
        <w:ind w:right="-108"/>
        <w:rPr>
          <w:rFonts w:ascii="Times New Roman" w:hAnsi="Times New Roman"/>
          <w:sz w:val="22"/>
          <w:szCs w:val="22"/>
          <w:lang w:val="sr-Latn-ME"/>
        </w:rPr>
      </w:pPr>
      <w:r w:rsidRPr="007403A4">
        <w:rPr>
          <w:rFonts w:ascii="Times New Roman" w:hAnsi="Times New Roman"/>
          <w:sz w:val="22"/>
          <w:szCs w:val="22"/>
          <w:lang w:val="sr-Latn-ME"/>
        </w:rPr>
        <w:t>šest 21</w:t>
      </w:r>
      <w:r w:rsidR="00AE12AC" w:rsidRPr="007403A4">
        <w:rPr>
          <w:rFonts w:ascii="Times New Roman" w:hAnsi="Times New Roman"/>
          <w:sz w:val="22"/>
          <w:szCs w:val="22"/>
          <w:lang w:val="sr-Latn-ME"/>
        </w:rPr>
        <w:t>-</w:t>
      </w:r>
      <w:r w:rsidRPr="007403A4">
        <w:rPr>
          <w:rFonts w:ascii="Times New Roman" w:hAnsi="Times New Roman"/>
          <w:sz w:val="22"/>
          <w:szCs w:val="22"/>
          <w:lang w:val="sr-Latn-ME"/>
        </w:rPr>
        <w:t>dnevnih ciklusa u kombinaciji sa ciklofosfamidom, doksorubicinom, vinkristinom i prednizolonom (protokolom CHOP), nakon čega slijede 2 dodatna ciklusa monoterapije lijekom Gazyvaro ili</w:t>
      </w:r>
    </w:p>
    <w:p w14:paraId="0AA42E86" w14:textId="3E2F5290" w:rsidR="00ED7C77" w:rsidRPr="007403A4" w:rsidRDefault="00267C75" w:rsidP="00C95059">
      <w:pPr>
        <w:pStyle w:val="ListParagraph"/>
        <w:widowControl w:val="0"/>
        <w:numPr>
          <w:ilvl w:val="0"/>
          <w:numId w:val="4"/>
        </w:numPr>
        <w:spacing w:before="1" w:line="254" w:lineRule="exact"/>
        <w:ind w:right="-108"/>
        <w:rPr>
          <w:rFonts w:ascii="Times New Roman" w:hAnsi="Times New Roman"/>
          <w:sz w:val="22"/>
          <w:szCs w:val="22"/>
          <w:lang w:val="sr-Latn-ME"/>
        </w:rPr>
      </w:pPr>
      <w:r w:rsidRPr="007403A4">
        <w:rPr>
          <w:rFonts w:ascii="Times New Roman" w:hAnsi="Times New Roman"/>
          <w:sz w:val="22"/>
          <w:szCs w:val="22"/>
          <w:lang w:val="sr-Latn-ME"/>
        </w:rPr>
        <w:t xml:space="preserve">osam </w:t>
      </w:r>
      <w:r w:rsidR="00ED7C77" w:rsidRPr="007403A4">
        <w:rPr>
          <w:rFonts w:ascii="Times New Roman" w:hAnsi="Times New Roman"/>
          <w:sz w:val="22"/>
          <w:szCs w:val="22"/>
          <w:lang w:val="sr-Latn-ME"/>
        </w:rPr>
        <w:t>21</w:t>
      </w:r>
      <w:r w:rsidR="00AE12AC" w:rsidRPr="007403A4">
        <w:rPr>
          <w:rFonts w:ascii="Times New Roman" w:hAnsi="Times New Roman"/>
          <w:sz w:val="22"/>
          <w:szCs w:val="22"/>
          <w:lang w:val="sr-Latn-ME"/>
        </w:rPr>
        <w:t>-</w:t>
      </w:r>
      <w:r w:rsidR="00ED7C77" w:rsidRPr="007403A4">
        <w:rPr>
          <w:rFonts w:ascii="Times New Roman" w:hAnsi="Times New Roman"/>
          <w:sz w:val="22"/>
          <w:szCs w:val="22"/>
          <w:lang w:val="sr-Latn-ME"/>
        </w:rPr>
        <w:t>dnevnih ciklusa u kombinaciji sa ciklofosfamidom, vinkristinom i</w:t>
      </w:r>
      <w:r w:rsidR="00AE12AC" w:rsidRPr="007403A4">
        <w:rPr>
          <w:rFonts w:ascii="Times New Roman" w:hAnsi="Times New Roman"/>
          <w:sz w:val="22"/>
          <w:szCs w:val="22"/>
          <w:lang w:val="sr-Latn-ME"/>
        </w:rPr>
        <w:t xml:space="preserve"> </w:t>
      </w:r>
      <w:r w:rsidR="00ED7C77" w:rsidRPr="007403A4">
        <w:rPr>
          <w:rFonts w:ascii="Times New Roman" w:hAnsi="Times New Roman"/>
          <w:sz w:val="22"/>
          <w:szCs w:val="22"/>
          <w:lang w:val="sr-Latn-ME"/>
        </w:rPr>
        <w:t xml:space="preserve">prednizonom/prednizolonom/metilprednizolonom (protokol CVP) </w:t>
      </w:r>
    </w:p>
    <w:p w14:paraId="579985DF" w14:textId="77777777" w:rsidR="00ED7C77" w:rsidRPr="007403A4" w:rsidRDefault="00ED7C77" w:rsidP="004D3AD0">
      <w:pPr>
        <w:widowControl w:val="0"/>
        <w:spacing w:before="1" w:line="254" w:lineRule="exact"/>
        <w:ind w:right="-108"/>
        <w:jc w:val="both"/>
        <w:rPr>
          <w:sz w:val="22"/>
          <w:szCs w:val="22"/>
          <w:lang w:val="sr-Latn-ME"/>
        </w:rPr>
      </w:pPr>
    </w:p>
    <w:p w14:paraId="37B1A8E2" w14:textId="77777777" w:rsidR="00ED7C77" w:rsidRPr="007403A4" w:rsidRDefault="00ED7C77" w:rsidP="004D3AD0">
      <w:pPr>
        <w:widowControl w:val="0"/>
        <w:spacing w:before="1" w:line="254" w:lineRule="exact"/>
        <w:ind w:right="-108"/>
        <w:jc w:val="both"/>
        <w:rPr>
          <w:i/>
          <w:sz w:val="22"/>
          <w:szCs w:val="22"/>
          <w:lang w:val="sr-Latn-ME"/>
        </w:rPr>
      </w:pPr>
      <w:r w:rsidRPr="007403A4">
        <w:rPr>
          <w:i/>
          <w:sz w:val="22"/>
          <w:szCs w:val="22"/>
          <w:lang w:val="sr-Latn-ME"/>
        </w:rPr>
        <w:t>Terapija održavanja</w:t>
      </w:r>
    </w:p>
    <w:p w14:paraId="35A8BD05" w14:textId="1F463BEB"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Pacijenti koji ostvare potpun ili djelimičan odgovor na uvodno liječenje lijekom Gazyvaro u kombinaciji sa hemoterapijom (protokolom CHOP ili CVP ili bendamustinom) treba da nastave da primaju terapiju održavanja samo lijekom Gazyvaro u dozi od 1000 mg jedanput svaka 2 mjeseca tokom 2 godine ili do progresije bolesti ili tokom najviše 2 godine</w:t>
      </w:r>
      <w:r w:rsidR="009D14CF" w:rsidRPr="007403A4">
        <w:rPr>
          <w:sz w:val="22"/>
          <w:szCs w:val="22"/>
          <w:lang w:val="sr-Latn-ME"/>
        </w:rPr>
        <w:t xml:space="preserve"> </w:t>
      </w:r>
      <w:r w:rsidRPr="007403A4">
        <w:rPr>
          <w:sz w:val="22"/>
          <w:szCs w:val="22"/>
          <w:lang w:val="sr-Latn-ME"/>
        </w:rPr>
        <w:t>(šta god nastupi ranije).</w:t>
      </w:r>
    </w:p>
    <w:p w14:paraId="25683745" w14:textId="77777777" w:rsidR="00ED7C77" w:rsidRPr="007403A4" w:rsidRDefault="00ED7C77">
      <w:pPr>
        <w:widowControl w:val="0"/>
        <w:spacing w:before="1" w:line="254" w:lineRule="exact"/>
        <w:ind w:right="-108"/>
        <w:jc w:val="both"/>
        <w:rPr>
          <w:sz w:val="22"/>
          <w:szCs w:val="22"/>
          <w:lang w:val="sr-Latn-ME"/>
        </w:rPr>
      </w:pPr>
    </w:p>
    <w:p w14:paraId="2A1D0C5D" w14:textId="62A09A2A" w:rsidR="00ED7C77" w:rsidRPr="007403A4" w:rsidRDefault="00ED7C77">
      <w:pPr>
        <w:widowControl w:val="0"/>
        <w:spacing w:before="1" w:line="254" w:lineRule="exact"/>
        <w:ind w:right="-108"/>
        <w:jc w:val="both"/>
        <w:rPr>
          <w:i/>
          <w:sz w:val="22"/>
          <w:szCs w:val="22"/>
          <w:u w:val="single"/>
          <w:lang w:val="sr-Latn-ME"/>
        </w:rPr>
      </w:pPr>
      <w:r w:rsidRPr="007403A4">
        <w:rPr>
          <w:i/>
          <w:sz w:val="22"/>
          <w:szCs w:val="22"/>
          <w:u w:val="single"/>
          <w:lang w:val="sr-Latn-ME"/>
        </w:rPr>
        <w:t>Pacijenti sa folikularnim limfomom koji ni</w:t>
      </w:r>
      <w:r w:rsidR="00AE12AC" w:rsidRPr="007403A4">
        <w:rPr>
          <w:i/>
          <w:sz w:val="22"/>
          <w:szCs w:val="22"/>
          <w:u w:val="single"/>
          <w:lang w:val="sr-Latn-ME"/>
        </w:rPr>
        <w:t>je</w:t>
      </w:r>
      <w:r w:rsidRPr="007403A4">
        <w:rPr>
          <w:i/>
          <w:sz w:val="22"/>
          <w:szCs w:val="22"/>
          <w:u w:val="single"/>
          <w:lang w:val="sr-Latn-ME"/>
        </w:rPr>
        <w:t>su odgovorili na liječenje rituksimabom ili protokolom koji sadrži rituksimab, ili su doživjeli progresiju tokom ili do 6 mjeseci nakon takvog liječenja.</w:t>
      </w:r>
    </w:p>
    <w:p w14:paraId="37700B66" w14:textId="77777777" w:rsidR="00ED7C77" w:rsidRPr="007403A4" w:rsidRDefault="00ED7C77">
      <w:pPr>
        <w:widowControl w:val="0"/>
        <w:spacing w:before="1" w:line="254" w:lineRule="exact"/>
        <w:ind w:right="-108"/>
        <w:jc w:val="both"/>
        <w:rPr>
          <w:i/>
          <w:sz w:val="22"/>
          <w:szCs w:val="22"/>
          <w:lang w:val="sr-Latn-ME"/>
        </w:rPr>
      </w:pPr>
    </w:p>
    <w:p w14:paraId="16C471C5" w14:textId="5BEBEB5D"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Uvodno liječenje (u kombinaciji sa bendamustinom</w:t>
      </w:r>
      <w:r w:rsidRPr="007403A4">
        <w:rPr>
          <w:i/>
          <w:sz w:val="22"/>
          <w:szCs w:val="22"/>
          <w:vertAlign w:val="superscript"/>
          <w:lang w:val="sr-Latn-ME"/>
        </w:rPr>
        <w:t>2</w:t>
      </w:r>
      <w:r w:rsidRPr="007403A4">
        <w:rPr>
          <w:i/>
          <w:sz w:val="22"/>
          <w:szCs w:val="22"/>
          <w:lang w:val="sr-Latn-ME"/>
        </w:rPr>
        <w:t>)</w:t>
      </w:r>
    </w:p>
    <w:p w14:paraId="094D50C3" w14:textId="4D984AC0"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Lijek Gazyvaro treba primjenjivati tokom šest 28-dnevnih ciklusa u kombinaciji sa bendamustinom</w:t>
      </w:r>
      <w:r w:rsidRPr="007403A4">
        <w:rPr>
          <w:sz w:val="22"/>
          <w:szCs w:val="22"/>
          <w:vertAlign w:val="superscript"/>
          <w:lang w:val="sr-Latn-ME"/>
        </w:rPr>
        <w:t>2</w:t>
      </w:r>
      <w:r w:rsidRPr="007403A4">
        <w:rPr>
          <w:sz w:val="22"/>
          <w:szCs w:val="22"/>
          <w:lang w:val="sr-Latn-ME"/>
        </w:rPr>
        <w:t xml:space="preserve">. </w:t>
      </w:r>
    </w:p>
    <w:p w14:paraId="761FF32C" w14:textId="77777777" w:rsidR="00ED7C77" w:rsidRPr="007403A4" w:rsidRDefault="00ED7C77">
      <w:pPr>
        <w:widowControl w:val="0"/>
        <w:spacing w:before="1" w:line="254" w:lineRule="exact"/>
        <w:ind w:right="-108"/>
        <w:jc w:val="both"/>
        <w:rPr>
          <w:sz w:val="22"/>
          <w:szCs w:val="22"/>
          <w:lang w:val="sr-Latn-ME"/>
        </w:rPr>
      </w:pPr>
    </w:p>
    <w:p w14:paraId="42C0D0E0"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Terapija održavanja</w:t>
      </w:r>
    </w:p>
    <w:p w14:paraId="7A19FECF" w14:textId="1775EAED"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Pacijenti koji ostvare potpun ili djelimičan odgovor na uvodno liječenje (tj. na prvih 6 ciklusa liječenja) lijekom Gazyvaro u kombinaciji sa bendamustinom ili koji imaju stabilnu bolest, treba</w:t>
      </w:r>
      <w:r w:rsidR="00AE12AC" w:rsidRPr="007403A4">
        <w:rPr>
          <w:sz w:val="22"/>
          <w:szCs w:val="22"/>
          <w:lang w:val="sr-Latn-ME"/>
        </w:rPr>
        <w:t xml:space="preserve"> da</w:t>
      </w:r>
      <w:r w:rsidRPr="007403A4">
        <w:rPr>
          <w:sz w:val="22"/>
          <w:szCs w:val="22"/>
          <w:lang w:val="sr-Latn-ME"/>
        </w:rPr>
        <w:t xml:space="preserve"> nastav</w:t>
      </w:r>
      <w:r w:rsidR="00AE12AC" w:rsidRPr="007403A4">
        <w:rPr>
          <w:sz w:val="22"/>
          <w:szCs w:val="22"/>
          <w:lang w:val="sr-Latn-ME"/>
        </w:rPr>
        <w:t>e da</w:t>
      </w:r>
      <w:r w:rsidRPr="007403A4">
        <w:rPr>
          <w:sz w:val="22"/>
          <w:szCs w:val="22"/>
          <w:lang w:val="sr-Latn-ME"/>
        </w:rPr>
        <w:t xml:space="preserve"> prima</w:t>
      </w:r>
      <w:r w:rsidR="00AE12AC" w:rsidRPr="007403A4">
        <w:rPr>
          <w:sz w:val="22"/>
          <w:szCs w:val="22"/>
          <w:lang w:val="sr-Latn-ME"/>
        </w:rPr>
        <w:t>ju</w:t>
      </w:r>
      <w:r w:rsidRPr="007403A4">
        <w:rPr>
          <w:sz w:val="22"/>
          <w:szCs w:val="22"/>
          <w:lang w:val="sr-Latn-ME"/>
        </w:rPr>
        <w:t xml:space="preserve"> monoterapiju lijekom Gazyvaro u dozi od 1000 mg kao terapiju održavanja jedanput na svaka 2 mjeseca tokom 2 godine ili do progresije bolesti (št</w:t>
      </w:r>
      <w:r w:rsidR="00AE12AC" w:rsidRPr="007403A4">
        <w:rPr>
          <w:sz w:val="22"/>
          <w:szCs w:val="22"/>
          <w:lang w:val="sr-Latn-ME"/>
        </w:rPr>
        <w:t>a</w:t>
      </w:r>
      <w:r w:rsidRPr="007403A4">
        <w:rPr>
          <w:sz w:val="22"/>
          <w:szCs w:val="22"/>
          <w:lang w:val="sr-Latn-ME"/>
        </w:rPr>
        <w:t xml:space="preserve"> god nastupi ranije).</w:t>
      </w:r>
    </w:p>
    <w:p w14:paraId="52513872" w14:textId="77777777" w:rsidR="00ED7C77" w:rsidRPr="007403A4" w:rsidRDefault="00ED7C77">
      <w:pPr>
        <w:widowControl w:val="0"/>
        <w:spacing w:before="1" w:line="254" w:lineRule="exact"/>
        <w:ind w:right="-108"/>
        <w:jc w:val="both"/>
        <w:rPr>
          <w:sz w:val="22"/>
          <w:szCs w:val="22"/>
          <w:lang w:val="sr-Latn-ME"/>
        </w:rPr>
      </w:pPr>
    </w:p>
    <w:p w14:paraId="10EF40F6" w14:textId="73F62FDD" w:rsidR="00ED7C77" w:rsidRPr="007403A4" w:rsidRDefault="00ED7C77">
      <w:pPr>
        <w:widowControl w:val="0"/>
        <w:spacing w:before="1" w:line="254" w:lineRule="exact"/>
        <w:ind w:right="-108"/>
        <w:jc w:val="both"/>
        <w:rPr>
          <w:b/>
          <w:sz w:val="22"/>
          <w:szCs w:val="22"/>
          <w:lang w:val="sr-Latn-ME"/>
        </w:rPr>
      </w:pPr>
      <w:r w:rsidRPr="007403A4">
        <w:rPr>
          <w:b/>
          <w:sz w:val="22"/>
          <w:szCs w:val="22"/>
          <w:lang w:val="sr-Latn-ME"/>
        </w:rPr>
        <w:t>Tabela 3</w:t>
      </w:r>
      <w:r w:rsidR="00AE12AC" w:rsidRPr="007403A4">
        <w:rPr>
          <w:b/>
          <w:sz w:val="22"/>
          <w:szCs w:val="22"/>
          <w:lang w:val="sr-Latn-ME"/>
        </w:rPr>
        <w:t xml:space="preserve"> </w:t>
      </w:r>
      <w:r w:rsidRPr="007403A4">
        <w:rPr>
          <w:b/>
          <w:sz w:val="22"/>
          <w:szCs w:val="22"/>
          <w:lang w:val="sr-Latn-ME"/>
        </w:rPr>
        <w:t>Folikularni limfom; Doza lijeka Gazyvaro koju je potrebno primjeniti tokom u</w:t>
      </w:r>
      <w:r w:rsidR="00C95059" w:rsidRPr="007403A4">
        <w:rPr>
          <w:b/>
          <w:sz w:val="22"/>
          <w:szCs w:val="22"/>
          <w:lang w:val="sr-Latn-ME"/>
        </w:rPr>
        <w:t xml:space="preserve">vodnog </w:t>
      </w:r>
      <w:r w:rsidRPr="007403A4">
        <w:rPr>
          <w:b/>
          <w:sz w:val="22"/>
          <w:szCs w:val="22"/>
          <w:lang w:val="sr-Latn-ME"/>
        </w:rPr>
        <w:t>liječenja, nakon ko</w:t>
      </w:r>
      <w:r w:rsidR="00AE12AC" w:rsidRPr="007403A4">
        <w:rPr>
          <w:b/>
          <w:sz w:val="22"/>
          <w:szCs w:val="22"/>
          <w:lang w:val="sr-Latn-ME"/>
        </w:rPr>
        <w:t>jeg</w:t>
      </w:r>
      <w:r w:rsidRPr="007403A4">
        <w:rPr>
          <w:b/>
          <w:sz w:val="22"/>
          <w:szCs w:val="22"/>
          <w:lang w:val="sr-Latn-ME"/>
        </w:rPr>
        <w:t xml:space="preserve"> slijedi terapija održavanja </w:t>
      </w:r>
    </w:p>
    <w:p w14:paraId="459BE526"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 </w:t>
      </w:r>
    </w:p>
    <w:tbl>
      <w:tblPr>
        <w:tblStyle w:val="TableGrid1"/>
        <w:tblW w:w="5000" w:type="pct"/>
        <w:tblLayout w:type="fixed"/>
        <w:tblLook w:val="00A0" w:firstRow="1" w:lastRow="0" w:firstColumn="1" w:lastColumn="0" w:noHBand="0" w:noVBand="0"/>
      </w:tblPr>
      <w:tblGrid>
        <w:gridCol w:w="2794"/>
        <w:gridCol w:w="3343"/>
        <w:gridCol w:w="2971"/>
      </w:tblGrid>
      <w:tr w:rsidR="00ED7C77" w:rsidRPr="007403A4" w14:paraId="70D4B409" w14:textId="77777777" w:rsidTr="009D14CF">
        <w:trPr>
          <w:trHeight w:val="272"/>
        </w:trPr>
        <w:tc>
          <w:tcPr>
            <w:tcW w:w="1534" w:type="pct"/>
          </w:tcPr>
          <w:p w14:paraId="08B2BD19" w14:textId="77777777" w:rsidR="00ED7C77" w:rsidRPr="007403A4" w:rsidRDefault="00ED7C77">
            <w:pPr>
              <w:keepNext/>
              <w:keepLines/>
              <w:spacing w:beforeLines="60" w:before="144" w:afterLines="60" w:after="144"/>
              <w:ind w:right="-8"/>
              <w:rPr>
                <w:b/>
                <w:sz w:val="22"/>
                <w:szCs w:val="22"/>
                <w:lang w:val="sr-Latn-ME"/>
              </w:rPr>
            </w:pPr>
            <w:r w:rsidRPr="007403A4">
              <w:rPr>
                <w:b/>
                <w:sz w:val="22"/>
                <w:szCs w:val="22"/>
                <w:lang w:val="sr-Latn-ME"/>
              </w:rPr>
              <w:t>Ciklus</w:t>
            </w:r>
          </w:p>
        </w:tc>
        <w:tc>
          <w:tcPr>
            <w:tcW w:w="1835" w:type="pct"/>
          </w:tcPr>
          <w:p w14:paraId="4C0D16D6" w14:textId="77777777" w:rsidR="00ED7C77" w:rsidRPr="007403A4" w:rsidRDefault="00ED7C77">
            <w:pPr>
              <w:keepNext/>
              <w:keepLines/>
              <w:spacing w:beforeLines="60" w:before="144" w:afterLines="60" w:after="144"/>
              <w:ind w:right="-8"/>
              <w:rPr>
                <w:b/>
                <w:sz w:val="22"/>
                <w:szCs w:val="22"/>
                <w:lang w:val="sr-Latn-ME"/>
              </w:rPr>
            </w:pPr>
            <w:r w:rsidRPr="007403A4">
              <w:rPr>
                <w:b/>
                <w:sz w:val="22"/>
                <w:szCs w:val="22"/>
                <w:lang w:val="sr-Latn-ME"/>
              </w:rPr>
              <w:t>Dan liječenja</w:t>
            </w:r>
          </w:p>
        </w:tc>
        <w:tc>
          <w:tcPr>
            <w:tcW w:w="1631" w:type="pct"/>
          </w:tcPr>
          <w:p w14:paraId="2D31F6C5" w14:textId="3AC810A8" w:rsidR="00ED7C77" w:rsidRPr="007403A4" w:rsidRDefault="00ED7C77">
            <w:pPr>
              <w:keepNext/>
              <w:keepLines/>
              <w:spacing w:beforeLines="60" w:before="144" w:afterLines="60" w:after="144"/>
              <w:rPr>
                <w:b/>
                <w:sz w:val="22"/>
                <w:szCs w:val="22"/>
                <w:lang w:val="sr-Latn-ME"/>
              </w:rPr>
            </w:pPr>
            <w:r w:rsidRPr="007403A4">
              <w:rPr>
                <w:b/>
                <w:sz w:val="22"/>
                <w:szCs w:val="22"/>
                <w:lang w:val="sr-Latn-ME"/>
              </w:rPr>
              <w:t>Doza lijeka Gazyvaro</w:t>
            </w:r>
            <w:r w:rsidRPr="007403A4">
              <w:rPr>
                <w:sz w:val="22"/>
                <w:szCs w:val="22"/>
                <w:lang w:val="sr-Latn-ME"/>
              </w:rPr>
              <w:t xml:space="preserve"> </w:t>
            </w:r>
          </w:p>
        </w:tc>
      </w:tr>
      <w:tr w:rsidR="00ED7C77" w:rsidRPr="007403A4" w14:paraId="28F5095F" w14:textId="77777777" w:rsidTr="009D14CF">
        <w:trPr>
          <w:trHeight w:val="194"/>
        </w:trPr>
        <w:tc>
          <w:tcPr>
            <w:tcW w:w="1534" w:type="pct"/>
            <w:vMerge w:val="restart"/>
          </w:tcPr>
          <w:p w14:paraId="2B0BC09F" w14:textId="77777777" w:rsidR="00ED7C77" w:rsidRPr="007403A4" w:rsidRDefault="00ED7C77" w:rsidP="004D3AD0">
            <w:pPr>
              <w:keepNext/>
              <w:keepLines/>
              <w:spacing w:beforeLines="60" w:before="144" w:afterLines="60" w:after="144"/>
              <w:ind w:right="34"/>
              <w:rPr>
                <w:b/>
                <w:sz w:val="22"/>
                <w:szCs w:val="22"/>
                <w:lang w:val="sr-Latn-ME"/>
              </w:rPr>
            </w:pPr>
            <w:r w:rsidRPr="007403A4">
              <w:rPr>
                <w:b/>
                <w:sz w:val="22"/>
                <w:szCs w:val="22"/>
                <w:lang w:val="sr-Latn-ME"/>
              </w:rPr>
              <w:t>1. ciklus</w:t>
            </w:r>
          </w:p>
        </w:tc>
        <w:tc>
          <w:tcPr>
            <w:tcW w:w="1835" w:type="pct"/>
          </w:tcPr>
          <w:p w14:paraId="7CE95745" w14:textId="77777777" w:rsidR="00ED7C77" w:rsidRPr="007403A4" w:rsidRDefault="00ED7C77" w:rsidP="004D3AD0">
            <w:pPr>
              <w:keepNext/>
              <w:keepLines/>
              <w:spacing w:beforeLines="60" w:before="144" w:afterLines="60" w:after="144"/>
              <w:ind w:right="-8"/>
              <w:rPr>
                <w:sz w:val="22"/>
                <w:szCs w:val="22"/>
                <w:lang w:val="sr-Latn-ME"/>
              </w:rPr>
            </w:pPr>
            <w:r w:rsidRPr="007403A4">
              <w:rPr>
                <w:sz w:val="22"/>
                <w:szCs w:val="22"/>
                <w:lang w:val="sr-Latn-ME"/>
              </w:rPr>
              <w:t>1. dan</w:t>
            </w:r>
          </w:p>
        </w:tc>
        <w:tc>
          <w:tcPr>
            <w:tcW w:w="1631" w:type="pct"/>
          </w:tcPr>
          <w:p w14:paraId="1EC5E529" w14:textId="77777777" w:rsidR="00ED7C77" w:rsidRPr="007403A4" w:rsidRDefault="00ED7C77">
            <w:pPr>
              <w:keepNext/>
              <w:keepLines/>
              <w:spacing w:beforeLines="60" w:before="144" w:afterLines="60" w:after="144"/>
              <w:rPr>
                <w:sz w:val="22"/>
                <w:szCs w:val="22"/>
                <w:lang w:val="sr-Latn-ME"/>
              </w:rPr>
            </w:pPr>
            <w:r w:rsidRPr="007403A4">
              <w:rPr>
                <w:sz w:val="22"/>
                <w:szCs w:val="22"/>
                <w:lang w:val="sr-Latn-ME"/>
              </w:rPr>
              <w:t>1000 mg</w:t>
            </w:r>
          </w:p>
        </w:tc>
      </w:tr>
      <w:tr w:rsidR="00ED7C77" w:rsidRPr="007403A4" w14:paraId="6A862E41" w14:textId="77777777" w:rsidTr="009D14CF">
        <w:trPr>
          <w:trHeight w:val="70"/>
        </w:trPr>
        <w:tc>
          <w:tcPr>
            <w:tcW w:w="1534" w:type="pct"/>
            <w:vMerge/>
          </w:tcPr>
          <w:p w14:paraId="5B75532F" w14:textId="77777777" w:rsidR="00ED7C77" w:rsidRPr="007403A4" w:rsidRDefault="00ED7C77">
            <w:pPr>
              <w:keepNext/>
              <w:keepLines/>
              <w:spacing w:beforeLines="60" w:before="144" w:afterLines="60" w:after="144"/>
              <w:ind w:right="34"/>
              <w:rPr>
                <w:b/>
                <w:sz w:val="22"/>
                <w:szCs w:val="22"/>
                <w:lang w:val="sr-Latn-ME"/>
              </w:rPr>
            </w:pPr>
          </w:p>
        </w:tc>
        <w:tc>
          <w:tcPr>
            <w:tcW w:w="1835" w:type="pct"/>
          </w:tcPr>
          <w:p w14:paraId="3F050B77" w14:textId="77777777" w:rsidR="00ED7C77" w:rsidRPr="007403A4" w:rsidRDefault="00ED7C77">
            <w:pPr>
              <w:keepNext/>
              <w:keepLines/>
              <w:spacing w:beforeLines="60" w:before="144" w:afterLines="60" w:after="144"/>
              <w:ind w:right="-8"/>
              <w:rPr>
                <w:sz w:val="22"/>
                <w:szCs w:val="22"/>
                <w:lang w:val="sr-Latn-ME"/>
              </w:rPr>
            </w:pPr>
            <w:r w:rsidRPr="007403A4">
              <w:rPr>
                <w:sz w:val="22"/>
                <w:szCs w:val="22"/>
                <w:lang w:val="sr-Latn-ME"/>
              </w:rPr>
              <w:t>8. dan</w:t>
            </w:r>
          </w:p>
        </w:tc>
        <w:tc>
          <w:tcPr>
            <w:tcW w:w="1631" w:type="pct"/>
          </w:tcPr>
          <w:p w14:paraId="3F95A275" w14:textId="77777777" w:rsidR="00ED7C77" w:rsidRPr="007403A4" w:rsidRDefault="00ED7C77">
            <w:pPr>
              <w:keepNext/>
              <w:keepLines/>
              <w:spacing w:beforeLines="60" w:before="144" w:afterLines="60" w:after="144"/>
              <w:rPr>
                <w:sz w:val="22"/>
                <w:szCs w:val="22"/>
                <w:lang w:val="sr-Latn-ME"/>
              </w:rPr>
            </w:pPr>
            <w:r w:rsidRPr="007403A4">
              <w:rPr>
                <w:sz w:val="22"/>
                <w:szCs w:val="22"/>
                <w:lang w:val="sr-Latn-ME"/>
              </w:rPr>
              <w:t>1000 mg</w:t>
            </w:r>
          </w:p>
        </w:tc>
      </w:tr>
      <w:tr w:rsidR="00ED7C77" w:rsidRPr="007403A4" w14:paraId="3314D12C" w14:textId="77777777" w:rsidTr="009D14CF">
        <w:trPr>
          <w:trHeight w:val="88"/>
        </w:trPr>
        <w:tc>
          <w:tcPr>
            <w:tcW w:w="1534" w:type="pct"/>
            <w:vMerge/>
          </w:tcPr>
          <w:p w14:paraId="38A965F4" w14:textId="77777777" w:rsidR="00ED7C77" w:rsidRPr="007403A4" w:rsidRDefault="00ED7C77">
            <w:pPr>
              <w:keepNext/>
              <w:keepLines/>
              <w:spacing w:beforeLines="60" w:before="144" w:afterLines="60" w:after="144"/>
              <w:ind w:right="34"/>
              <w:rPr>
                <w:b/>
                <w:sz w:val="22"/>
                <w:szCs w:val="22"/>
                <w:lang w:val="sr-Latn-ME"/>
              </w:rPr>
            </w:pPr>
          </w:p>
        </w:tc>
        <w:tc>
          <w:tcPr>
            <w:tcW w:w="1835" w:type="pct"/>
          </w:tcPr>
          <w:p w14:paraId="55B92286" w14:textId="77777777" w:rsidR="00ED7C77" w:rsidRPr="007403A4" w:rsidRDefault="00ED7C77">
            <w:pPr>
              <w:keepNext/>
              <w:keepLines/>
              <w:spacing w:beforeLines="60" w:before="144" w:afterLines="60" w:after="144"/>
              <w:ind w:right="-8"/>
              <w:rPr>
                <w:sz w:val="22"/>
                <w:szCs w:val="22"/>
                <w:lang w:val="sr-Latn-ME"/>
              </w:rPr>
            </w:pPr>
            <w:r w:rsidRPr="007403A4">
              <w:rPr>
                <w:sz w:val="22"/>
                <w:szCs w:val="22"/>
                <w:lang w:val="sr-Latn-ME"/>
              </w:rPr>
              <w:t>15. dan</w:t>
            </w:r>
          </w:p>
        </w:tc>
        <w:tc>
          <w:tcPr>
            <w:tcW w:w="1631" w:type="pct"/>
          </w:tcPr>
          <w:p w14:paraId="3A6E4333" w14:textId="77777777" w:rsidR="00ED7C77" w:rsidRPr="007403A4" w:rsidRDefault="00ED7C77">
            <w:pPr>
              <w:keepNext/>
              <w:keepLines/>
              <w:spacing w:beforeLines="60" w:before="144" w:afterLines="60" w:after="144"/>
              <w:rPr>
                <w:sz w:val="22"/>
                <w:szCs w:val="22"/>
                <w:lang w:val="sr-Latn-ME"/>
              </w:rPr>
            </w:pPr>
            <w:r w:rsidRPr="007403A4">
              <w:rPr>
                <w:sz w:val="22"/>
                <w:szCs w:val="22"/>
                <w:lang w:val="sr-Latn-ME"/>
              </w:rPr>
              <w:t>1000 mg</w:t>
            </w:r>
          </w:p>
        </w:tc>
      </w:tr>
      <w:tr w:rsidR="00ED7C77" w:rsidRPr="007403A4" w14:paraId="6DC035C6" w14:textId="77777777" w:rsidTr="009D14CF">
        <w:trPr>
          <w:trHeight w:val="120"/>
        </w:trPr>
        <w:tc>
          <w:tcPr>
            <w:tcW w:w="1534" w:type="pct"/>
          </w:tcPr>
          <w:p w14:paraId="40A95010" w14:textId="47A0C6E6" w:rsidR="00ED7C77" w:rsidRPr="007403A4" w:rsidRDefault="00ED7C77" w:rsidP="004D3AD0">
            <w:pPr>
              <w:keepNext/>
              <w:spacing w:beforeLines="60" w:before="144" w:afterLines="60" w:after="144"/>
              <w:ind w:right="34"/>
              <w:rPr>
                <w:b/>
                <w:sz w:val="22"/>
                <w:szCs w:val="22"/>
                <w:lang w:val="sr-Latn-ME"/>
              </w:rPr>
            </w:pPr>
            <w:r w:rsidRPr="007403A4">
              <w:rPr>
                <w:b/>
                <w:sz w:val="22"/>
                <w:szCs w:val="22"/>
                <w:lang w:val="sr-Latn-ME"/>
              </w:rPr>
              <w:t>2 – 6. ciklus ili 2 – 8. ciklus</w:t>
            </w:r>
          </w:p>
        </w:tc>
        <w:tc>
          <w:tcPr>
            <w:tcW w:w="1835" w:type="pct"/>
          </w:tcPr>
          <w:p w14:paraId="3A714FCD" w14:textId="77777777" w:rsidR="00ED7C77" w:rsidRPr="007403A4" w:rsidRDefault="00ED7C77" w:rsidP="004D3AD0">
            <w:pPr>
              <w:keepNext/>
              <w:spacing w:beforeLines="60" w:before="144" w:afterLines="60" w:after="144"/>
              <w:ind w:right="-8"/>
              <w:rPr>
                <w:sz w:val="22"/>
                <w:szCs w:val="22"/>
                <w:lang w:val="sr-Latn-ME"/>
              </w:rPr>
            </w:pPr>
            <w:r w:rsidRPr="007403A4">
              <w:rPr>
                <w:sz w:val="22"/>
                <w:szCs w:val="22"/>
                <w:lang w:val="sr-Latn-ME"/>
              </w:rPr>
              <w:t>1. dan</w:t>
            </w:r>
          </w:p>
        </w:tc>
        <w:tc>
          <w:tcPr>
            <w:tcW w:w="1631" w:type="pct"/>
          </w:tcPr>
          <w:p w14:paraId="280F4B15" w14:textId="77777777" w:rsidR="00ED7C77" w:rsidRPr="007403A4" w:rsidRDefault="00ED7C77">
            <w:pPr>
              <w:keepNext/>
              <w:spacing w:beforeLines="60" w:before="144" w:afterLines="60" w:after="144"/>
              <w:rPr>
                <w:sz w:val="22"/>
                <w:szCs w:val="22"/>
                <w:lang w:val="sr-Latn-ME"/>
              </w:rPr>
            </w:pPr>
            <w:r w:rsidRPr="007403A4">
              <w:rPr>
                <w:sz w:val="22"/>
                <w:szCs w:val="22"/>
                <w:lang w:val="sr-Latn-ME"/>
              </w:rPr>
              <w:t>1000 mg</w:t>
            </w:r>
          </w:p>
        </w:tc>
      </w:tr>
      <w:tr w:rsidR="00ED7C77" w:rsidRPr="007403A4" w14:paraId="3A14EAB9" w14:textId="77777777" w:rsidTr="009D14CF">
        <w:trPr>
          <w:trHeight w:val="120"/>
        </w:trPr>
        <w:tc>
          <w:tcPr>
            <w:tcW w:w="1534" w:type="pct"/>
          </w:tcPr>
          <w:p w14:paraId="01DBE246" w14:textId="77777777" w:rsidR="00ED7C77" w:rsidRPr="007403A4" w:rsidRDefault="00ED7C77" w:rsidP="004D3AD0">
            <w:pPr>
              <w:keepNext/>
              <w:spacing w:beforeLines="60" w:before="144" w:afterLines="60" w:after="144"/>
              <w:ind w:right="34"/>
              <w:rPr>
                <w:b/>
                <w:sz w:val="22"/>
                <w:szCs w:val="22"/>
                <w:lang w:val="sr-Latn-ME"/>
              </w:rPr>
            </w:pPr>
            <w:r w:rsidRPr="007403A4">
              <w:rPr>
                <w:b/>
                <w:sz w:val="22"/>
                <w:szCs w:val="22"/>
                <w:lang w:val="sr-Latn-ME"/>
              </w:rPr>
              <w:t>Održavanje</w:t>
            </w:r>
          </w:p>
        </w:tc>
        <w:tc>
          <w:tcPr>
            <w:tcW w:w="1835" w:type="pct"/>
          </w:tcPr>
          <w:p w14:paraId="6B8435EC" w14:textId="7DFB4BD4" w:rsidR="00ED7C77" w:rsidRPr="007403A4" w:rsidRDefault="00ED7C77" w:rsidP="00C95059">
            <w:pPr>
              <w:keepNext/>
              <w:spacing w:beforeLines="60" w:before="144" w:afterLines="60" w:after="144"/>
              <w:ind w:right="-8"/>
              <w:rPr>
                <w:sz w:val="22"/>
                <w:szCs w:val="22"/>
                <w:lang w:val="sr-Latn-ME"/>
              </w:rPr>
            </w:pPr>
            <w:r w:rsidRPr="007403A4">
              <w:rPr>
                <w:sz w:val="22"/>
                <w:szCs w:val="22"/>
                <w:lang w:val="sr-Latn-ME"/>
              </w:rPr>
              <w:t>Svaka 2 mjeseca tokom 2 godine ili do progresije bolesti (št</w:t>
            </w:r>
            <w:r w:rsidR="00AE12AC" w:rsidRPr="007403A4">
              <w:rPr>
                <w:sz w:val="22"/>
                <w:szCs w:val="22"/>
                <w:lang w:val="sr-Latn-ME"/>
              </w:rPr>
              <w:t>a</w:t>
            </w:r>
            <w:r w:rsidRPr="007403A4">
              <w:rPr>
                <w:sz w:val="22"/>
                <w:szCs w:val="22"/>
                <w:lang w:val="sr-Latn-ME"/>
              </w:rPr>
              <w:t xml:space="preserve"> god nastupi ranije)</w:t>
            </w:r>
          </w:p>
        </w:tc>
        <w:tc>
          <w:tcPr>
            <w:tcW w:w="1631" w:type="pct"/>
          </w:tcPr>
          <w:p w14:paraId="4A159C2B" w14:textId="77777777" w:rsidR="00ED7C77" w:rsidRPr="007403A4" w:rsidRDefault="00ED7C77" w:rsidP="004D3AD0">
            <w:pPr>
              <w:keepNext/>
              <w:spacing w:beforeLines="60" w:before="144" w:afterLines="60" w:after="144"/>
              <w:rPr>
                <w:sz w:val="22"/>
                <w:szCs w:val="22"/>
                <w:lang w:val="sr-Latn-ME"/>
              </w:rPr>
            </w:pPr>
            <w:r w:rsidRPr="007403A4">
              <w:rPr>
                <w:sz w:val="22"/>
                <w:szCs w:val="22"/>
                <w:lang w:val="sr-Latn-ME"/>
              </w:rPr>
              <w:t>1000 mg</w:t>
            </w:r>
          </w:p>
        </w:tc>
      </w:tr>
    </w:tbl>
    <w:p w14:paraId="1F44A51D" w14:textId="46C561D3" w:rsidR="00ED7C77" w:rsidRPr="007403A4" w:rsidRDefault="00ED7C77" w:rsidP="004D3AD0">
      <w:pPr>
        <w:widowControl w:val="0"/>
        <w:spacing w:before="1" w:line="254" w:lineRule="exact"/>
        <w:ind w:right="-108"/>
        <w:jc w:val="both"/>
        <w:rPr>
          <w:i/>
          <w:sz w:val="20"/>
          <w:szCs w:val="20"/>
          <w:lang w:val="sr-Latn-ME"/>
        </w:rPr>
      </w:pPr>
      <w:r w:rsidRPr="007403A4">
        <w:rPr>
          <w:i/>
          <w:sz w:val="20"/>
          <w:szCs w:val="20"/>
          <w:vertAlign w:val="superscript"/>
          <w:lang w:val="sr-Latn-ME"/>
        </w:rPr>
        <w:t>2</w:t>
      </w:r>
      <w:r w:rsidRPr="007403A4">
        <w:rPr>
          <w:i/>
          <w:sz w:val="20"/>
          <w:szCs w:val="20"/>
          <w:lang w:val="sr-Latn-ME"/>
        </w:rPr>
        <w:t>Vidjeti dio 5.1 za informacije o dozi bendamustina</w:t>
      </w:r>
    </w:p>
    <w:p w14:paraId="1D46A96E" w14:textId="77777777" w:rsidR="00C95059" w:rsidRPr="007403A4" w:rsidRDefault="00C95059" w:rsidP="004D3AD0">
      <w:pPr>
        <w:widowControl w:val="0"/>
        <w:spacing w:before="1" w:line="254" w:lineRule="exact"/>
        <w:ind w:right="-108"/>
        <w:jc w:val="both"/>
        <w:rPr>
          <w:sz w:val="20"/>
          <w:szCs w:val="20"/>
          <w:lang w:val="sr-Latn-ME"/>
        </w:rPr>
      </w:pPr>
    </w:p>
    <w:p w14:paraId="277EFE70" w14:textId="77777777" w:rsidR="00ED7C77" w:rsidRPr="007403A4" w:rsidRDefault="00ED7C77" w:rsidP="004D3AD0">
      <w:pPr>
        <w:widowControl w:val="0"/>
        <w:spacing w:before="1" w:line="254" w:lineRule="exact"/>
        <w:ind w:right="-108"/>
        <w:jc w:val="both"/>
        <w:rPr>
          <w:i/>
          <w:sz w:val="22"/>
          <w:szCs w:val="22"/>
          <w:u w:val="single"/>
          <w:lang w:val="sr-Latn-ME"/>
        </w:rPr>
      </w:pPr>
      <w:r w:rsidRPr="007403A4">
        <w:rPr>
          <w:i/>
          <w:sz w:val="22"/>
          <w:szCs w:val="22"/>
          <w:u w:val="single"/>
          <w:lang w:val="sr-Latn-ME"/>
        </w:rPr>
        <w:lastRenderedPageBreak/>
        <w:t>Trajanje liječenja</w:t>
      </w:r>
    </w:p>
    <w:p w14:paraId="4DF3CB4E" w14:textId="66D2A5AD"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Uvodno liječenje u trajanju od približno šest mjeseci (šest ciklusa liječenja lijekom Gazyvaro, od kojih svaki traje 28 dana, kada se primjenjuje u kombinaciji sa bendamustinom, ili osam ciklusa liječenja lijekom Gazyvaro, od kojih svaki traje 21 dan, kada se primjenjuje u kombinaciji sa protokolom CHOP ili CVP),</w:t>
      </w:r>
      <w:r w:rsidR="009D14CF" w:rsidRPr="007403A4">
        <w:rPr>
          <w:sz w:val="22"/>
          <w:szCs w:val="22"/>
          <w:lang w:val="sr-Latn-ME"/>
        </w:rPr>
        <w:t xml:space="preserve"> </w:t>
      </w:r>
      <w:r w:rsidRPr="007403A4">
        <w:rPr>
          <w:sz w:val="22"/>
          <w:szCs w:val="22"/>
          <w:lang w:val="sr-Latn-ME"/>
        </w:rPr>
        <w:t>nakon čega slijedi terapija održavanja jedanput na svaka dva mjeseca tokom dvije godine ili do progresije bolesti (što god nastupi ranije).</w:t>
      </w:r>
    </w:p>
    <w:p w14:paraId="1CCB4728" w14:textId="77777777" w:rsidR="00ED7C77" w:rsidRPr="007403A4" w:rsidRDefault="00ED7C77">
      <w:pPr>
        <w:widowControl w:val="0"/>
        <w:spacing w:before="1" w:line="254" w:lineRule="exact"/>
        <w:ind w:right="-108"/>
        <w:jc w:val="both"/>
        <w:rPr>
          <w:sz w:val="22"/>
          <w:szCs w:val="22"/>
          <w:lang w:val="sr-Latn-ME"/>
        </w:rPr>
      </w:pPr>
    </w:p>
    <w:p w14:paraId="3D757883" w14:textId="04EA8E07" w:rsidR="00ED7C77" w:rsidRPr="007403A4" w:rsidRDefault="00ED7C77">
      <w:pPr>
        <w:widowControl w:val="0"/>
        <w:spacing w:before="1" w:line="254" w:lineRule="exact"/>
        <w:ind w:right="-108"/>
        <w:jc w:val="both"/>
        <w:rPr>
          <w:i/>
          <w:sz w:val="22"/>
          <w:szCs w:val="22"/>
          <w:u w:val="single"/>
          <w:lang w:val="sr-Latn-ME"/>
        </w:rPr>
      </w:pPr>
      <w:r w:rsidRPr="007403A4">
        <w:rPr>
          <w:i/>
          <w:sz w:val="22"/>
          <w:szCs w:val="22"/>
          <w:u w:val="single"/>
          <w:lang w:val="sr-Latn-ME"/>
        </w:rPr>
        <w:t>Od</w:t>
      </w:r>
      <w:r w:rsidR="00AE12AC" w:rsidRPr="007403A4">
        <w:rPr>
          <w:i/>
          <w:sz w:val="22"/>
          <w:szCs w:val="22"/>
          <w:u w:val="single"/>
          <w:lang w:val="sr-Latn-ME"/>
        </w:rPr>
        <w:t>ložene</w:t>
      </w:r>
      <w:r w:rsidRPr="007403A4">
        <w:rPr>
          <w:i/>
          <w:sz w:val="22"/>
          <w:szCs w:val="22"/>
          <w:u w:val="single"/>
          <w:lang w:val="sr-Latn-ME"/>
        </w:rPr>
        <w:t xml:space="preserve"> ili propuštene doze</w:t>
      </w:r>
    </w:p>
    <w:p w14:paraId="5E9D0F28" w14:textId="74605A68"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Ako pacijent propusti da primi planiranu dozu lijeka Gazyvaro, potrebno </w:t>
      </w:r>
      <w:r w:rsidR="00AE12AC" w:rsidRPr="007403A4">
        <w:rPr>
          <w:sz w:val="22"/>
          <w:szCs w:val="22"/>
          <w:lang w:val="sr-Latn-ME"/>
        </w:rPr>
        <w:t>je da se ona</w:t>
      </w:r>
      <w:r w:rsidRPr="007403A4">
        <w:rPr>
          <w:sz w:val="22"/>
          <w:szCs w:val="22"/>
          <w:lang w:val="sr-Latn-ME"/>
        </w:rPr>
        <w:t xml:space="preserve"> primijeni što je prije moguće; ne smije se preskočiti doza ili</w:t>
      </w:r>
      <w:r w:rsidR="00AE12AC" w:rsidRPr="007403A4">
        <w:rPr>
          <w:sz w:val="22"/>
          <w:szCs w:val="22"/>
          <w:lang w:val="sr-Latn-ME"/>
        </w:rPr>
        <w:t xml:space="preserve"> </w:t>
      </w:r>
      <w:r w:rsidRPr="007403A4">
        <w:rPr>
          <w:sz w:val="22"/>
          <w:szCs w:val="22"/>
          <w:lang w:val="sr-Latn-ME"/>
        </w:rPr>
        <w:t xml:space="preserve">čekati do sljedeće planirane doze. </w:t>
      </w:r>
    </w:p>
    <w:p w14:paraId="2DE5707A" w14:textId="37E4DD62"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Ako prije 8. dana 1. ciklusa ili 15. dana 1. ciklusa nastupi toksičnost koja zahtijeva od</w:t>
      </w:r>
      <w:r w:rsidR="00AE12AC" w:rsidRPr="007403A4">
        <w:rPr>
          <w:sz w:val="22"/>
          <w:szCs w:val="22"/>
          <w:lang w:val="sr-Latn-ME"/>
        </w:rPr>
        <w:t>laganje</w:t>
      </w:r>
      <w:r w:rsidRPr="007403A4">
        <w:rPr>
          <w:sz w:val="22"/>
          <w:szCs w:val="22"/>
          <w:lang w:val="sr-Latn-ME"/>
        </w:rPr>
        <w:t xml:space="preserve"> liječenja, od</w:t>
      </w:r>
      <w:r w:rsidR="00AE12AC" w:rsidRPr="007403A4">
        <w:rPr>
          <w:sz w:val="22"/>
          <w:szCs w:val="22"/>
          <w:lang w:val="sr-Latn-ME"/>
        </w:rPr>
        <w:t>ložene</w:t>
      </w:r>
      <w:r w:rsidRPr="007403A4">
        <w:rPr>
          <w:sz w:val="22"/>
          <w:szCs w:val="22"/>
          <w:lang w:val="sr-Latn-ME"/>
        </w:rPr>
        <w:t xml:space="preserve"> doze treba primijeniti nakon što se toksičnost povuče. U takvim slučajevima će se  sve sljedeće posjete i početak 2. ciklusa pom</w:t>
      </w:r>
      <w:r w:rsidR="00AE12AC" w:rsidRPr="007403A4">
        <w:rPr>
          <w:sz w:val="22"/>
          <w:szCs w:val="22"/>
          <w:lang w:val="sr-Latn-ME"/>
        </w:rPr>
        <w:t>jeriti</w:t>
      </w:r>
      <w:r w:rsidRPr="007403A4">
        <w:rPr>
          <w:sz w:val="22"/>
          <w:szCs w:val="22"/>
          <w:lang w:val="sr-Latn-ME"/>
        </w:rPr>
        <w:t xml:space="preserve"> kako bi se uračunalo od</w:t>
      </w:r>
      <w:r w:rsidR="00AE12AC" w:rsidRPr="007403A4">
        <w:rPr>
          <w:sz w:val="22"/>
          <w:szCs w:val="22"/>
          <w:lang w:val="sr-Latn-ME"/>
        </w:rPr>
        <w:t>laganje</w:t>
      </w:r>
      <w:r w:rsidRPr="007403A4">
        <w:rPr>
          <w:sz w:val="22"/>
          <w:szCs w:val="22"/>
          <w:lang w:val="sr-Latn-ME"/>
        </w:rPr>
        <w:t xml:space="preserve"> u 1. ciklusu. Tokom terapije održavanja treba se pridržavati prvobitnog rasporeda doziranja za sljedeće doze.</w:t>
      </w:r>
    </w:p>
    <w:p w14:paraId="5618B131" w14:textId="77777777" w:rsidR="00ED7C77" w:rsidRPr="007403A4" w:rsidRDefault="00ED7C77">
      <w:pPr>
        <w:widowControl w:val="0"/>
        <w:spacing w:before="1" w:line="254" w:lineRule="exact"/>
        <w:ind w:right="-108"/>
        <w:jc w:val="both"/>
        <w:rPr>
          <w:sz w:val="20"/>
          <w:szCs w:val="20"/>
          <w:lang w:val="sr-Latn-ME"/>
        </w:rPr>
      </w:pPr>
      <w:r w:rsidRPr="007403A4">
        <w:rPr>
          <w:sz w:val="20"/>
          <w:szCs w:val="20"/>
          <w:lang w:val="sr-Latn-ME"/>
        </w:rPr>
        <w:t xml:space="preserve"> </w:t>
      </w:r>
    </w:p>
    <w:p w14:paraId="0C527979" w14:textId="77777777" w:rsidR="00ED7C77" w:rsidRPr="007403A4" w:rsidRDefault="00ED7C77">
      <w:pPr>
        <w:widowControl w:val="0"/>
        <w:spacing w:before="1" w:line="254" w:lineRule="exact"/>
        <w:ind w:right="-108"/>
        <w:jc w:val="both"/>
        <w:rPr>
          <w:sz w:val="22"/>
          <w:szCs w:val="22"/>
          <w:u w:val="single"/>
          <w:lang w:val="sr-Latn-ME"/>
        </w:rPr>
      </w:pPr>
      <w:r w:rsidRPr="007403A4">
        <w:rPr>
          <w:sz w:val="22"/>
          <w:szCs w:val="22"/>
          <w:u w:val="single"/>
          <w:lang w:val="sr-Latn-ME"/>
        </w:rPr>
        <w:t>Prilagođavanje doze tokom liječenja (sve indikacije)</w:t>
      </w:r>
    </w:p>
    <w:p w14:paraId="530AD42C" w14:textId="148504B9"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 xml:space="preserve">Ne preporučuje se smanjenje doze lijeka Gazyvaro. </w:t>
      </w:r>
    </w:p>
    <w:p w14:paraId="617A852F" w14:textId="4820E148"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Za zbrinjavanje simptoma</w:t>
      </w:r>
      <w:r w:rsidR="00AE12AC" w:rsidRPr="007403A4">
        <w:rPr>
          <w:sz w:val="22"/>
          <w:szCs w:val="22"/>
          <w:lang w:val="sr-Latn-ME"/>
        </w:rPr>
        <w:t>tskih</w:t>
      </w:r>
      <w:r w:rsidRPr="007403A4">
        <w:rPr>
          <w:sz w:val="22"/>
          <w:szCs w:val="22"/>
          <w:lang w:val="sr-Latn-ME"/>
        </w:rPr>
        <w:t xml:space="preserve"> neželjenih dejstava (uključujući reakcije na infuziju), vidjeti </w:t>
      </w:r>
      <w:r w:rsidR="00F213C5" w:rsidRPr="007403A4">
        <w:rPr>
          <w:sz w:val="22"/>
          <w:szCs w:val="22"/>
          <w:lang w:val="sr-Latn-ME"/>
        </w:rPr>
        <w:t>dio</w:t>
      </w:r>
      <w:r w:rsidRPr="007403A4">
        <w:rPr>
          <w:sz w:val="22"/>
          <w:szCs w:val="22"/>
          <w:lang w:val="sr-Latn-ME"/>
        </w:rPr>
        <w:t xml:space="preserve"> u nastavku ('Zbrinjavanje reakcija na infuziju' ili dio 4.4).</w:t>
      </w:r>
    </w:p>
    <w:p w14:paraId="345436D0" w14:textId="77777777" w:rsidR="00ED7C77" w:rsidRPr="007403A4" w:rsidRDefault="00ED7C77">
      <w:pPr>
        <w:widowControl w:val="0"/>
        <w:spacing w:before="1" w:line="254" w:lineRule="exact"/>
        <w:ind w:right="-108"/>
        <w:jc w:val="both"/>
        <w:rPr>
          <w:sz w:val="22"/>
          <w:szCs w:val="22"/>
          <w:lang w:val="sr-Latn-ME"/>
        </w:rPr>
      </w:pPr>
    </w:p>
    <w:p w14:paraId="1DC7A221" w14:textId="77777777" w:rsidR="00ED7C77" w:rsidRPr="007403A4" w:rsidRDefault="00ED7C77">
      <w:pPr>
        <w:widowControl w:val="0"/>
        <w:spacing w:before="1" w:line="254" w:lineRule="exact"/>
        <w:ind w:right="-108"/>
        <w:jc w:val="both"/>
        <w:rPr>
          <w:sz w:val="22"/>
          <w:szCs w:val="22"/>
          <w:u w:val="single"/>
          <w:lang w:val="sr-Latn-ME"/>
        </w:rPr>
      </w:pPr>
      <w:r w:rsidRPr="007403A4">
        <w:rPr>
          <w:sz w:val="22"/>
          <w:szCs w:val="22"/>
          <w:u w:val="single"/>
          <w:lang w:val="sr-Latn-ME"/>
        </w:rPr>
        <w:t xml:space="preserve">Posebne populacije  </w:t>
      </w:r>
    </w:p>
    <w:p w14:paraId="0EA39A4B" w14:textId="77777777" w:rsidR="00ED7C77" w:rsidRPr="007403A4" w:rsidRDefault="00ED7C77">
      <w:pPr>
        <w:widowControl w:val="0"/>
        <w:spacing w:before="1" w:line="254" w:lineRule="exact"/>
        <w:ind w:right="-108"/>
        <w:jc w:val="both"/>
        <w:rPr>
          <w:sz w:val="22"/>
          <w:szCs w:val="22"/>
          <w:lang w:val="sr-Latn-ME"/>
        </w:rPr>
      </w:pPr>
    </w:p>
    <w:p w14:paraId="3562DB9B"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 xml:space="preserve">Starije osobe </w:t>
      </w:r>
    </w:p>
    <w:p w14:paraId="2C8F912B" w14:textId="77777777"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Nije potrebno da se prilagođava doza kod starijih pacijenata (vidjeti dio 5.2).</w:t>
      </w:r>
    </w:p>
    <w:p w14:paraId="1AC0D984" w14:textId="77777777" w:rsidR="00ED7C77" w:rsidRPr="007403A4" w:rsidRDefault="00ED7C77">
      <w:pPr>
        <w:widowControl w:val="0"/>
        <w:spacing w:before="1" w:line="254" w:lineRule="exact"/>
        <w:ind w:right="-108"/>
        <w:jc w:val="both"/>
        <w:rPr>
          <w:sz w:val="22"/>
          <w:szCs w:val="22"/>
          <w:lang w:val="sr-Latn-ME"/>
        </w:rPr>
      </w:pPr>
    </w:p>
    <w:p w14:paraId="73656DF3"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Oštećenje funkcije bubrega</w:t>
      </w:r>
    </w:p>
    <w:p w14:paraId="1537EAAE" w14:textId="306F669E"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Nije potrebno da se prilagođava doza kod pacijenata sa blagim do umjerenim oštećenjem funkcije bubrega (klirens kreatinina [CrCl] 30</w:t>
      </w:r>
      <w:r w:rsidRPr="007403A4">
        <w:rPr>
          <w:sz w:val="22"/>
          <w:szCs w:val="22"/>
          <w:lang w:val="sr-Latn-ME"/>
        </w:rPr>
        <w:noBreakHyphen/>
        <w:t>89 ml/min) (vidjeti dio 5.2). Bezbjednost i efikasnost lijeka Gazyvaro kod pacijenata sa teškim oštećenjem funkcije bubrega (CrCl &lt; 30 ml/min) ni</w:t>
      </w:r>
      <w:r w:rsidR="00AE12AC" w:rsidRPr="007403A4">
        <w:rPr>
          <w:sz w:val="22"/>
          <w:szCs w:val="22"/>
          <w:lang w:val="sr-Latn-ME"/>
        </w:rPr>
        <w:t>je</w:t>
      </w:r>
      <w:r w:rsidRPr="007403A4">
        <w:rPr>
          <w:sz w:val="22"/>
          <w:szCs w:val="22"/>
          <w:lang w:val="sr-Latn-ME"/>
        </w:rPr>
        <w:t>su ustanovljene (vidjeti djelove 4.8 i 5.2).</w:t>
      </w:r>
    </w:p>
    <w:p w14:paraId="1D32E22A" w14:textId="77777777" w:rsidR="00ED7C77" w:rsidRPr="007403A4" w:rsidRDefault="00ED7C77">
      <w:pPr>
        <w:widowControl w:val="0"/>
        <w:spacing w:before="1" w:line="254" w:lineRule="exact"/>
        <w:ind w:right="-108"/>
        <w:jc w:val="both"/>
        <w:rPr>
          <w:sz w:val="22"/>
          <w:szCs w:val="22"/>
          <w:lang w:val="sr-Latn-ME"/>
        </w:rPr>
      </w:pPr>
    </w:p>
    <w:p w14:paraId="441B2DA3"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Oštećenje funkcije  jetre</w:t>
      </w:r>
    </w:p>
    <w:p w14:paraId="61B2B1E3" w14:textId="229F7992"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Bezbjednost i efikasnost lijeka Gazyvaro kod pacijenata sa oštećenjem funkcije jetre ni</w:t>
      </w:r>
      <w:r w:rsidR="00EE5F36" w:rsidRPr="007403A4">
        <w:rPr>
          <w:sz w:val="22"/>
          <w:szCs w:val="22"/>
          <w:lang w:val="sr-Latn-ME"/>
        </w:rPr>
        <w:t>je</w:t>
      </w:r>
      <w:r w:rsidRPr="007403A4">
        <w:rPr>
          <w:sz w:val="22"/>
          <w:szCs w:val="22"/>
          <w:lang w:val="sr-Latn-ME"/>
        </w:rPr>
        <w:t>su ustanovljene. Nije moguće dati posebne preporuke za doziranje.</w:t>
      </w:r>
    </w:p>
    <w:p w14:paraId="1F5F2BFB" w14:textId="77777777" w:rsidR="00ED7C77" w:rsidRPr="007403A4" w:rsidRDefault="00ED7C77">
      <w:pPr>
        <w:widowControl w:val="0"/>
        <w:spacing w:before="1" w:line="254" w:lineRule="exact"/>
        <w:ind w:right="-108"/>
        <w:jc w:val="both"/>
        <w:rPr>
          <w:sz w:val="22"/>
          <w:szCs w:val="22"/>
          <w:lang w:val="sr-Latn-ME"/>
        </w:rPr>
      </w:pPr>
    </w:p>
    <w:p w14:paraId="2126FFD9" w14:textId="77777777" w:rsidR="00ED7C77" w:rsidRPr="007403A4" w:rsidRDefault="00ED7C77">
      <w:pPr>
        <w:widowControl w:val="0"/>
        <w:spacing w:before="1" w:line="254" w:lineRule="exact"/>
        <w:ind w:right="-108"/>
        <w:jc w:val="both"/>
        <w:rPr>
          <w:i/>
          <w:sz w:val="22"/>
          <w:szCs w:val="22"/>
          <w:lang w:val="sr-Latn-ME"/>
        </w:rPr>
      </w:pPr>
      <w:r w:rsidRPr="007403A4">
        <w:rPr>
          <w:i/>
          <w:sz w:val="22"/>
          <w:szCs w:val="22"/>
          <w:lang w:val="sr-Latn-ME"/>
        </w:rPr>
        <w:t>Pedijatrijska populacija</w:t>
      </w:r>
    </w:p>
    <w:p w14:paraId="7031DC21" w14:textId="7B85EE08" w:rsidR="00ED7C77" w:rsidRPr="007403A4" w:rsidRDefault="00ED7C77">
      <w:pPr>
        <w:widowControl w:val="0"/>
        <w:spacing w:before="1" w:line="254" w:lineRule="exact"/>
        <w:ind w:right="-108"/>
        <w:jc w:val="both"/>
        <w:rPr>
          <w:sz w:val="22"/>
          <w:szCs w:val="22"/>
          <w:lang w:val="sr-Latn-ME"/>
        </w:rPr>
      </w:pPr>
      <w:r w:rsidRPr="007403A4">
        <w:rPr>
          <w:sz w:val="22"/>
          <w:szCs w:val="22"/>
          <w:lang w:val="sr-Latn-ME"/>
        </w:rPr>
        <w:t>Bezbjednost i efikasnost lijeka Gazyvaro kod djece i adolescenata mlađih od 18 godina ni</w:t>
      </w:r>
      <w:r w:rsidR="00EE5F36" w:rsidRPr="007403A4">
        <w:rPr>
          <w:sz w:val="22"/>
          <w:szCs w:val="22"/>
          <w:lang w:val="sr-Latn-ME"/>
        </w:rPr>
        <w:t>je</w:t>
      </w:r>
      <w:r w:rsidRPr="007403A4">
        <w:rPr>
          <w:sz w:val="22"/>
          <w:szCs w:val="22"/>
          <w:lang w:val="sr-Latn-ME"/>
        </w:rPr>
        <w:t>su ustanovljene. Nema podataka o primjeni kod djece.</w:t>
      </w:r>
    </w:p>
    <w:p w14:paraId="43D6D5F3" w14:textId="77777777" w:rsidR="00452E9D" w:rsidRPr="007403A4" w:rsidRDefault="00452E9D">
      <w:pPr>
        <w:tabs>
          <w:tab w:val="left" w:pos="540"/>
          <w:tab w:val="left" w:pos="569"/>
        </w:tabs>
        <w:jc w:val="both"/>
        <w:rPr>
          <w:bCs/>
          <w:sz w:val="22"/>
          <w:szCs w:val="22"/>
          <w:u w:val="single"/>
          <w:lang w:val="sr-Latn-ME"/>
        </w:rPr>
      </w:pPr>
    </w:p>
    <w:p w14:paraId="23DA9DC7" w14:textId="77777777" w:rsidR="00452E9D" w:rsidRPr="007403A4" w:rsidRDefault="00452E9D">
      <w:pPr>
        <w:tabs>
          <w:tab w:val="left" w:pos="540"/>
          <w:tab w:val="left" w:pos="569"/>
        </w:tabs>
        <w:jc w:val="both"/>
        <w:rPr>
          <w:bCs/>
          <w:sz w:val="22"/>
          <w:szCs w:val="22"/>
          <w:u w:val="single"/>
          <w:lang w:val="sr-Latn-ME"/>
        </w:rPr>
      </w:pPr>
      <w:r w:rsidRPr="007403A4">
        <w:rPr>
          <w:bCs/>
          <w:sz w:val="22"/>
          <w:szCs w:val="22"/>
          <w:u w:val="single"/>
          <w:lang w:val="sr-Latn-ME"/>
        </w:rPr>
        <w:t>Način primjene</w:t>
      </w:r>
    </w:p>
    <w:p w14:paraId="14E38E3F" w14:textId="3CC07E9C" w:rsidR="00ED7C77" w:rsidRPr="007403A4" w:rsidRDefault="00EE5F36">
      <w:pPr>
        <w:tabs>
          <w:tab w:val="left" w:pos="540"/>
          <w:tab w:val="left" w:pos="569"/>
        </w:tabs>
        <w:jc w:val="both"/>
        <w:rPr>
          <w:bCs/>
          <w:sz w:val="22"/>
          <w:szCs w:val="22"/>
          <w:lang w:val="sr-Latn-ME"/>
        </w:rPr>
      </w:pPr>
      <w:r w:rsidRPr="007403A4">
        <w:rPr>
          <w:bCs/>
          <w:sz w:val="22"/>
          <w:szCs w:val="22"/>
          <w:lang w:val="sr-Latn-ME"/>
        </w:rPr>
        <w:t xml:space="preserve">Lijek </w:t>
      </w:r>
      <w:r w:rsidR="00ED7C77" w:rsidRPr="007403A4">
        <w:rPr>
          <w:bCs/>
          <w:sz w:val="22"/>
          <w:szCs w:val="22"/>
          <w:lang w:val="sr-Latn-ME"/>
        </w:rPr>
        <w:t>Gazyvaro je namijenjen za intravensku primjenu. Nakon raz</w:t>
      </w:r>
      <w:r w:rsidRPr="007403A4">
        <w:rPr>
          <w:bCs/>
          <w:sz w:val="22"/>
          <w:szCs w:val="22"/>
          <w:lang w:val="sr-Latn-ME"/>
        </w:rPr>
        <w:t>blaživanja</w:t>
      </w:r>
      <w:r w:rsidR="00ED7C77" w:rsidRPr="007403A4">
        <w:rPr>
          <w:bCs/>
          <w:sz w:val="22"/>
          <w:szCs w:val="22"/>
          <w:lang w:val="sr-Latn-ME"/>
        </w:rPr>
        <w:t xml:space="preserve">, primjenjuje se intravenskom infuzijom kroz poseban venski put (vidjeti dio 6.6). </w:t>
      </w:r>
      <w:r w:rsidRPr="007403A4">
        <w:rPr>
          <w:bCs/>
          <w:sz w:val="22"/>
          <w:szCs w:val="22"/>
          <w:lang w:val="sr-Latn-ME"/>
        </w:rPr>
        <w:t xml:space="preserve">Lijek </w:t>
      </w:r>
      <w:r w:rsidR="00ED7C77" w:rsidRPr="007403A4">
        <w:rPr>
          <w:bCs/>
          <w:sz w:val="22"/>
          <w:szCs w:val="22"/>
          <w:lang w:val="sr-Latn-ME"/>
        </w:rPr>
        <w:t xml:space="preserve">Gazyvaro se ne smije primijeniti brzom niti bolusnom intravenskom injekcijom. </w:t>
      </w:r>
    </w:p>
    <w:p w14:paraId="78D4CE24" w14:textId="77777777" w:rsidR="00ED7C77" w:rsidRPr="007403A4" w:rsidRDefault="00ED7C77">
      <w:pPr>
        <w:tabs>
          <w:tab w:val="left" w:pos="540"/>
          <w:tab w:val="left" w:pos="569"/>
        </w:tabs>
        <w:jc w:val="both"/>
        <w:rPr>
          <w:bCs/>
          <w:sz w:val="22"/>
          <w:szCs w:val="22"/>
          <w:lang w:val="sr-Latn-ME"/>
        </w:rPr>
      </w:pPr>
    </w:p>
    <w:p w14:paraId="16F53151" w14:textId="3FC5FDE4" w:rsidR="00ED7C77" w:rsidRPr="007403A4" w:rsidRDefault="00ED7C77">
      <w:pPr>
        <w:tabs>
          <w:tab w:val="left" w:pos="540"/>
          <w:tab w:val="left" w:pos="569"/>
        </w:tabs>
        <w:jc w:val="both"/>
        <w:rPr>
          <w:bCs/>
          <w:sz w:val="22"/>
          <w:szCs w:val="22"/>
          <w:lang w:val="sr-Latn-ME"/>
        </w:rPr>
      </w:pPr>
      <w:r w:rsidRPr="007403A4">
        <w:rPr>
          <w:bCs/>
          <w:sz w:val="22"/>
          <w:szCs w:val="22"/>
          <w:lang w:val="sr-Latn-ME"/>
        </w:rPr>
        <w:t>Za uputstvo o raz</w:t>
      </w:r>
      <w:r w:rsidR="00EE5F36" w:rsidRPr="007403A4">
        <w:rPr>
          <w:bCs/>
          <w:sz w:val="22"/>
          <w:szCs w:val="22"/>
          <w:lang w:val="sr-Latn-ME"/>
        </w:rPr>
        <w:t>blaživanju</w:t>
      </w:r>
      <w:r w:rsidRPr="007403A4">
        <w:rPr>
          <w:bCs/>
          <w:sz w:val="22"/>
          <w:szCs w:val="22"/>
          <w:lang w:val="sr-Latn-ME"/>
        </w:rPr>
        <w:t xml:space="preserve"> lijeka Gazyvaro prije primjene vidjeti dio 6.6.</w:t>
      </w:r>
    </w:p>
    <w:p w14:paraId="5771BC2D" w14:textId="77777777" w:rsidR="00ED7C77" w:rsidRPr="007403A4" w:rsidRDefault="00ED7C77">
      <w:pPr>
        <w:tabs>
          <w:tab w:val="left" w:pos="540"/>
          <w:tab w:val="left" w:pos="569"/>
        </w:tabs>
        <w:jc w:val="both"/>
        <w:rPr>
          <w:bCs/>
          <w:sz w:val="22"/>
          <w:szCs w:val="22"/>
          <w:lang w:val="sr-Latn-ME"/>
        </w:rPr>
      </w:pPr>
    </w:p>
    <w:p w14:paraId="22062610" w14:textId="29A9D7CA" w:rsidR="004F24AB" w:rsidRPr="007403A4" w:rsidRDefault="00ED7C77">
      <w:pPr>
        <w:tabs>
          <w:tab w:val="left" w:pos="540"/>
          <w:tab w:val="left" w:pos="569"/>
        </w:tabs>
        <w:jc w:val="both"/>
        <w:rPr>
          <w:bCs/>
          <w:sz w:val="22"/>
          <w:szCs w:val="22"/>
          <w:lang w:val="sr-Latn-ME"/>
        </w:rPr>
      </w:pPr>
      <w:r w:rsidRPr="007403A4">
        <w:rPr>
          <w:bCs/>
          <w:sz w:val="22"/>
          <w:szCs w:val="22"/>
          <w:lang w:val="sr-Latn-ME"/>
        </w:rPr>
        <w:t xml:space="preserve">Smjernice za brzinu infuzije prikazane su u Tabelama 4 </w:t>
      </w:r>
      <w:r w:rsidR="00EE5F36" w:rsidRPr="007403A4">
        <w:rPr>
          <w:bCs/>
          <w:sz w:val="22"/>
          <w:szCs w:val="22"/>
          <w:lang w:val="sr-Latn-ME"/>
        </w:rPr>
        <w:t>-</w:t>
      </w:r>
      <w:r w:rsidRPr="007403A4">
        <w:rPr>
          <w:bCs/>
          <w:sz w:val="22"/>
          <w:szCs w:val="22"/>
          <w:lang w:val="sr-Latn-ME"/>
        </w:rPr>
        <w:t xml:space="preserve"> </w:t>
      </w:r>
      <w:r w:rsidR="004F24AB" w:rsidRPr="007403A4">
        <w:rPr>
          <w:bCs/>
          <w:sz w:val="22"/>
          <w:szCs w:val="22"/>
          <w:lang w:val="sr-Latn-ME"/>
        </w:rPr>
        <w:t>6</w:t>
      </w:r>
      <w:r w:rsidRPr="007403A4">
        <w:rPr>
          <w:bCs/>
          <w:sz w:val="22"/>
          <w:szCs w:val="22"/>
          <w:lang w:val="sr-Latn-ME"/>
        </w:rPr>
        <w:t>.</w:t>
      </w:r>
    </w:p>
    <w:p w14:paraId="536B4A38" w14:textId="77777777" w:rsidR="004F24AB" w:rsidRPr="007403A4" w:rsidRDefault="004F24AB">
      <w:pPr>
        <w:tabs>
          <w:tab w:val="left" w:pos="540"/>
          <w:tab w:val="left" w:pos="569"/>
        </w:tabs>
        <w:jc w:val="both"/>
        <w:rPr>
          <w:bCs/>
          <w:sz w:val="22"/>
          <w:szCs w:val="22"/>
          <w:lang w:val="sr-Latn-ME"/>
        </w:rPr>
      </w:pPr>
    </w:p>
    <w:p w14:paraId="414CFCB0" w14:textId="47F2307B" w:rsidR="00ED7C77" w:rsidRPr="007403A4" w:rsidRDefault="004F24AB">
      <w:pPr>
        <w:tabs>
          <w:tab w:val="left" w:pos="540"/>
          <w:tab w:val="left" w:pos="569"/>
        </w:tabs>
        <w:jc w:val="both"/>
        <w:rPr>
          <w:bCs/>
          <w:sz w:val="22"/>
          <w:szCs w:val="22"/>
          <w:lang w:val="sr-Latn-ME"/>
        </w:rPr>
      </w:pPr>
      <w:r w:rsidRPr="007403A4">
        <w:rPr>
          <w:bCs/>
          <w:sz w:val="22"/>
          <w:szCs w:val="22"/>
          <w:lang w:val="sr-Latn-ME"/>
        </w:rPr>
        <w:t>Hronična limfocitna leukemija (HLL)</w:t>
      </w:r>
      <w:r w:rsidR="00ED7C77" w:rsidRPr="007403A4">
        <w:rPr>
          <w:bCs/>
          <w:sz w:val="22"/>
          <w:szCs w:val="22"/>
          <w:lang w:val="sr-Latn-ME"/>
        </w:rPr>
        <w:t xml:space="preserve"> </w:t>
      </w:r>
    </w:p>
    <w:p w14:paraId="4186CCD2" w14:textId="77777777" w:rsidR="00ED7C77" w:rsidRPr="007403A4" w:rsidRDefault="00ED7C77">
      <w:pPr>
        <w:tabs>
          <w:tab w:val="left" w:pos="540"/>
          <w:tab w:val="left" w:pos="569"/>
        </w:tabs>
        <w:jc w:val="both"/>
        <w:rPr>
          <w:bCs/>
          <w:sz w:val="22"/>
          <w:szCs w:val="22"/>
          <w:lang w:val="sr-Latn-ME"/>
        </w:rPr>
      </w:pPr>
    </w:p>
    <w:p w14:paraId="208857A4" w14:textId="6BCF3F51" w:rsidR="00C95059" w:rsidRPr="007403A4" w:rsidRDefault="00ED7C77">
      <w:pPr>
        <w:tabs>
          <w:tab w:val="left" w:pos="540"/>
          <w:tab w:val="left" w:pos="569"/>
        </w:tabs>
        <w:jc w:val="both"/>
        <w:rPr>
          <w:b/>
          <w:bCs/>
          <w:sz w:val="22"/>
          <w:szCs w:val="22"/>
          <w:lang w:val="sr-Latn-ME"/>
        </w:rPr>
      </w:pPr>
      <w:r w:rsidRPr="007403A4">
        <w:rPr>
          <w:b/>
          <w:bCs/>
          <w:sz w:val="22"/>
          <w:szCs w:val="22"/>
          <w:lang w:val="sr-Latn-ME"/>
        </w:rPr>
        <w:t>Tabela 4</w:t>
      </w:r>
      <w:r w:rsidR="00EE5F36" w:rsidRPr="007403A4">
        <w:rPr>
          <w:b/>
          <w:bCs/>
          <w:sz w:val="22"/>
          <w:szCs w:val="22"/>
          <w:lang w:val="sr-Latn-ME"/>
        </w:rPr>
        <w:t xml:space="preserve"> </w:t>
      </w:r>
      <w:r w:rsidRPr="007403A4">
        <w:rPr>
          <w:b/>
          <w:bCs/>
          <w:sz w:val="22"/>
          <w:szCs w:val="22"/>
          <w:lang w:val="sr-Latn-ME"/>
        </w:rPr>
        <w:t xml:space="preserve">Hronična limfocitna leukemija: Standardna brzina infuzije u odsustvu reakcija na infuziju/preosjetljivosti i preporuke u slučaju da je tokom prethodne infuzije nastupila reakcija na infuziju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52"/>
        <w:gridCol w:w="2078"/>
        <w:gridCol w:w="5682"/>
      </w:tblGrid>
      <w:tr w:rsidR="00ED7C77" w:rsidRPr="007403A4" w14:paraId="1C01A725" w14:textId="77777777" w:rsidTr="007C4C0E">
        <w:trPr>
          <w:jc w:val="center"/>
        </w:trPr>
        <w:tc>
          <w:tcPr>
            <w:tcW w:w="742" w:type="pct"/>
          </w:tcPr>
          <w:p w14:paraId="38FDA2D8"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Ciklus</w:t>
            </w:r>
          </w:p>
        </w:tc>
        <w:tc>
          <w:tcPr>
            <w:tcW w:w="1140" w:type="pct"/>
          </w:tcPr>
          <w:p w14:paraId="755D039E"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Dan liječenja</w:t>
            </w:r>
          </w:p>
        </w:tc>
        <w:tc>
          <w:tcPr>
            <w:tcW w:w="3118" w:type="pct"/>
          </w:tcPr>
          <w:p w14:paraId="0C60CBB9"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 xml:space="preserve">Brzina infuzije </w:t>
            </w:r>
          </w:p>
          <w:p w14:paraId="78742D7A" w14:textId="0D11FCD0"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Brzina infuzije može da se poveća ako pacijent to podnosi. Za zbrinjavanje reakcija na infuziju koje nastupe tokom infuzije vidjeti </w:t>
            </w:r>
            <w:r w:rsidR="00F213C5" w:rsidRPr="007403A4">
              <w:rPr>
                <w:bCs/>
                <w:sz w:val="22"/>
                <w:szCs w:val="22"/>
                <w:lang w:val="sr-Latn-ME"/>
              </w:rPr>
              <w:t>dio</w:t>
            </w:r>
            <w:r w:rsidRPr="007403A4">
              <w:rPr>
                <w:bCs/>
                <w:sz w:val="22"/>
                <w:szCs w:val="22"/>
                <w:lang w:val="sr-Latn-ME"/>
              </w:rPr>
              <w:t xml:space="preserve"> 'Zbrinjavanje reakcija na infuziju'</w:t>
            </w:r>
          </w:p>
        </w:tc>
      </w:tr>
      <w:tr w:rsidR="00ED7C77" w:rsidRPr="007403A4" w14:paraId="0FCB0EA8" w14:textId="77777777" w:rsidTr="007C4C0E">
        <w:trPr>
          <w:trHeight w:val="385"/>
          <w:jc w:val="center"/>
        </w:trPr>
        <w:tc>
          <w:tcPr>
            <w:tcW w:w="742" w:type="pct"/>
            <w:vMerge w:val="restart"/>
          </w:tcPr>
          <w:p w14:paraId="0675F9CE" w14:textId="77777777" w:rsidR="00ED7C77" w:rsidRPr="007403A4" w:rsidRDefault="00ED7C77" w:rsidP="004D3AD0">
            <w:pPr>
              <w:tabs>
                <w:tab w:val="left" w:pos="540"/>
                <w:tab w:val="left" w:pos="569"/>
              </w:tabs>
              <w:jc w:val="both"/>
              <w:rPr>
                <w:b/>
                <w:bCs/>
                <w:sz w:val="22"/>
                <w:szCs w:val="22"/>
                <w:lang w:val="sr-Latn-ME"/>
              </w:rPr>
            </w:pPr>
            <w:r w:rsidRPr="007403A4">
              <w:rPr>
                <w:b/>
                <w:bCs/>
                <w:sz w:val="22"/>
                <w:szCs w:val="22"/>
                <w:lang w:val="sr-Latn-ME"/>
              </w:rPr>
              <w:lastRenderedPageBreak/>
              <w:t>1. ciklus</w:t>
            </w:r>
          </w:p>
        </w:tc>
        <w:tc>
          <w:tcPr>
            <w:tcW w:w="1140" w:type="pct"/>
          </w:tcPr>
          <w:p w14:paraId="76FD129F" w14:textId="77777777" w:rsidR="00ED7C77" w:rsidRPr="007403A4" w:rsidRDefault="00ED7C77" w:rsidP="004D3AD0">
            <w:pPr>
              <w:tabs>
                <w:tab w:val="left" w:pos="540"/>
                <w:tab w:val="left" w:pos="569"/>
              </w:tabs>
              <w:jc w:val="both"/>
              <w:rPr>
                <w:bCs/>
                <w:sz w:val="22"/>
                <w:szCs w:val="22"/>
                <w:lang w:val="sr-Latn-ME"/>
              </w:rPr>
            </w:pPr>
            <w:r w:rsidRPr="007403A4">
              <w:rPr>
                <w:bCs/>
                <w:sz w:val="22"/>
                <w:szCs w:val="22"/>
                <w:lang w:val="sr-Latn-ME"/>
              </w:rPr>
              <w:t xml:space="preserve">1. dan </w:t>
            </w:r>
          </w:p>
          <w:p w14:paraId="65C06634"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 mg)</w:t>
            </w:r>
          </w:p>
        </w:tc>
        <w:tc>
          <w:tcPr>
            <w:tcW w:w="3118" w:type="pct"/>
          </w:tcPr>
          <w:p w14:paraId="211DD041"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Primijeniti brzinom od 25 mg/h tokom 4 sata. Brzina infuzije se ne smije povećavati.</w:t>
            </w:r>
          </w:p>
        </w:tc>
      </w:tr>
      <w:tr w:rsidR="00ED7C77" w:rsidRPr="007403A4" w14:paraId="1A1BDB1D" w14:textId="77777777" w:rsidTr="007C4C0E">
        <w:trPr>
          <w:trHeight w:val="385"/>
          <w:jc w:val="center"/>
        </w:trPr>
        <w:tc>
          <w:tcPr>
            <w:tcW w:w="742" w:type="pct"/>
            <w:vMerge/>
          </w:tcPr>
          <w:p w14:paraId="7BFDE99E" w14:textId="77777777" w:rsidR="00ED7C77" w:rsidRPr="007403A4" w:rsidRDefault="00ED7C77">
            <w:pPr>
              <w:tabs>
                <w:tab w:val="left" w:pos="540"/>
                <w:tab w:val="left" w:pos="569"/>
              </w:tabs>
              <w:jc w:val="both"/>
              <w:rPr>
                <w:b/>
                <w:bCs/>
                <w:sz w:val="22"/>
                <w:szCs w:val="22"/>
                <w:lang w:val="sr-Latn-ME"/>
              </w:rPr>
            </w:pPr>
          </w:p>
        </w:tc>
        <w:tc>
          <w:tcPr>
            <w:tcW w:w="1140" w:type="pct"/>
          </w:tcPr>
          <w:p w14:paraId="56F84124"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2. dan </w:t>
            </w:r>
          </w:p>
          <w:p w14:paraId="0CE7EDE7"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(ili nastavak 1. dana) </w:t>
            </w:r>
          </w:p>
          <w:p w14:paraId="389E7901"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(900 mg)</w:t>
            </w:r>
          </w:p>
        </w:tc>
        <w:tc>
          <w:tcPr>
            <w:tcW w:w="3118" w:type="pct"/>
          </w:tcPr>
          <w:p w14:paraId="3294FD25"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Ako se tokom  prethodne infuzije nije razvila reakcija na infuziju, ovu treba primijeniti brzinom od 50 mg/h. </w:t>
            </w:r>
            <w:r w:rsidRPr="007403A4">
              <w:rPr>
                <w:bCs/>
                <w:sz w:val="22"/>
                <w:szCs w:val="22"/>
                <w:lang w:val="sr-Latn-ME"/>
              </w:rPr>
              <w:br/>
              <w:t>Brzinu infuzije moguće je povećavati za 50 mg/h svakih 30 minuta do maksimalne brzine od 400 mg/h.</w:t>
            </w:r>
          </w:p>
          <w:p w14:paraId="18C04FDB" w14:textId="77777777" w:rsidR="00ED7C77" w:rsidRPr="007403A4" w:rsidRDefault="00ED7C77">
            <w:pPr>
              <w:tabs>
                <w:tab w:val="left" w:pos="540"/>
                <w:tab w:val="left" w:pos="569"/>
              </w:tabs>
              <w:jc w:val="both"/>
              <w:rPr>
                <w:bCs/>
                <w:sz w:val="22"/>
                <w:szCs w:val="22"/>
                <w:lang w:val="sr-Latn-ME"/>
              </w:rPr>
            </w:pPr>
          </w:p>
          <w:p w14:paraId="24C44F1D"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Ako se tokom prethodne infuzije razvila reakcija na infuziju, primjenu treba započeti brzinom od 25 mg/h. Brzinu infuzije moguće je povećavati za 50 mg/h svakih 30 minuta do maksimalne brzine od 400 mg/h.</w:t>
            </w:r>
          </w:p>
        </w:tc>
      </w:tr>
      <w:tr w:rsidR="00ED7C77" w:rsidRPr="007403A4" w14:paraId="7034ADC7" w14:textId="77777777" w:rsidTr="007C4C0E">
        <w:trPr>
          <w:trHeight w:val="385"/>
          <w:jc w:val="center"/>
        </w:trPr>
        <w:tc>
          <w:tcPr>
            <w:tcW w:w="742" w:type="pct"/>
            <w:vMerge/>
          </w:tcPr>
          <w:p w14:paraId="39B19744" w14:textId="77777777" w:rsidR="00ED7C77" w:rsidRPr="007403A4" w:rsidRDefault="00ED7C77">
            <w:pPr>
              <w:tabs>
                <w:tab w:val="left" w:pos="540"/>
                <w:tab w:val="left" w:pos="569"/>
              </w:tabs>
              <w:jc w:val="both"/>
              <w:rPr>
                <w:b/>
                <w:bCs/>
                <w:sz w:val="22"/>
                <w:szCs w:val="22"/>
                <w:lang w:val="sr-Latn-ME"/>
              </w:rPr>
            </w:pPr>
          </w:p>
        </w:tc>
        <w:tc>
          <w:tcPr>
            <w:tcW w:w="1140" w:type="pct"/>
            <w:vAlign w:val="center"/>
          </w:tcPr>
          <w:p w14:paraId="6D04DA3A"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8. dan</w:t>
            </w:r>
          </w:p>
          <w:p w14:paraId="6E34CAB2"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3118" w:type="pct"/>
            <w:vMerge w:val="restart"/>
          </w:tcPr>
          <w:p w14:paraId="7A50F098" w14:textId="733C68CA"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Ako se tokom prethodne infuzije, kada je konačna brzina infuzije bila 100 mg/h ili više, nije razvila reakcija na infuziju infuzije je moguće započeti brzinom od 100 mg/h, a zatim povećavati za 100 mg/h svakih 30 minuta do maksimalno 400 mg/h. </w:t>
            </w:r>
          </w:p>
          <w:p w14:paraId="0E2AE0A5" w14:textId="77777777" w:rsidR="00ED7C77" w:rsidRPr="007403A4" w:rsidRDefault="00ED7C77">
            <w:pPr>
              <w:tabs>
                <w:tab w:val="left" w:pos="540"/>
                <w:tab w:val="left" w:pos="569"/>
              </w:tabs>
              <w:jc w:val="both"/>
              <w:rPr>
                <w:bCs/>
                <w:sz w:val="22"/>
                <w:szCs w:val="22"/>
                <w:lang w:val="sr-Latn-ME"/>
              </w:rPr>
            </w:pPr>
          </w:p>
          <w:p w14:paraId="1DF8E34C"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Ako se tokom prethodne infuzije razvila reakcija na infuziju, ovu treba primijeniti brzinom od 50 mg/h. Brzinu infuzije moguće je povećavati za 50 mg/h svakih 30 minuta do maksimalne brzine od 400 mg/h.</w:t>
            </w:r>
          </w:p>
        </w:tc>
      </w:tr>
      <w:tr w:rsidR="00ED7C77" w:rsidRPr="007403A4" w14:paraId="23948500" w14:textId="77777777" w:rsidTr="007C4C0E">
        <w:trPr>
          <w:trHeight w:val="385"/>
          <w:jc w:val="center"/>
        </w:trPr>
        <w:tc>
          <w:tcPr>
            <w:tcW w:w="742" w:type="pct"/>
            <w:vMerge/>
          </w:tcPr>
          <w:p w14:paraId="2FFB9CF6" w14:textId="77777777" w:rsidR="00ED7C77" w:rsidRPr="007403A4" w:rsidRDefault="00ED7C77">
            <w:pPr>
              <w:tabs>
                <w:tab w:val="left" w:pos="540"/>
                <w:tab w:val="left" w:pos="569"/>
              </w:tabs>
              <w:jc w:val="both"/>
              <w:rPr>
                <w:b/>
                <w:bCs/>
                <w:sz w:val="22"/>
                <w:szCs w:val="22"/>
                <w:lang w:val="sr-Latn-ME"/>
              </w:rPr>
            </w:pPr>
          </w:p>
        </w:tc>
        <w:tc>
          <w:tcPr>
            <w:tcW w:w="1140" w:type="pct"/>
            <w:vAlign w:val="center"/>
          </w:tcPr>
          <w:p w14:paraId="62C151F9"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15. dan</w:t>
            </w:r>
          </w:p>
          <w:p w14:paraId="2D7297AC"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3118" w:type="pct"/>
            <w:vMerge/>
          </w:tcPr>
          <w:p w14:paraId="20316FA3" w14:textId="77777777" w:rsidR="00ED7C77" w:rsidRPr="007403A4" w:rsidRDefault="00ED7C77">
            <w:pPr>
              <w:tabs>
                <w:tab w:val="left" w:pos="540"/>
                <w:tab w:val="left" w:pos="569"/>
              </w:tabs>
              <w:jc w:val="both"/>
              <w:rPr>
                <w:bCs/>
                <w:sz w:val="22"/>
                <w:szCs w:val="22"/>
                <w:lang w:val="sr-Latn-ME"/>
              </w:rPr>
            </w:pPr>
          </w:p>
        </w:tc>
      </w:tr>
      <w:tr w:rsidR="00ED7C77" w:rsidRPr="007403A4" w14:paraId="3A556B42" w14:textId="77777777" w:rsidTr="007C4C0E">
        <w:trPr>
          <w:trHeight w:val="385"/>
          <w:jc w:val="center"/>
        </w:trPr>
        <w:tc>
          <w:tcPr>
            <w:tcW w:w="742" w:type="pct"/>
          </w:tcPr>
          <w:p w14:paraId="13BF211A" w14:textId="061C5C6E" w:rsidR="00ED7C77" w:rsidRPr="007403A4" w:rsidRDefault="00ED7C77" w:rsidP="004D3AD0">
            <w:pPr>
              <w:tabs>
                <w:tab w:val="left" w:pos="540"/>
                <w:tab w:val="left" w:pos="569"/>
              </w:tabs>
              <w:jc w:val="both"/>
              <w:rPr>
                <w:b/>
                <w:bCs/>
                <w:sz w:val="22"/>
                <w:szCs w:val="22"/>
                <w:lang w:val="sr-Latn-ME"/>
              </w:rPr>
            </w:pPr>
            <w:r w:rsidRPr="007403A4">
              <w:rPr>
                <w:b/>
                <w:bCs/>
                <w:sz w:val="22"/>
                <w:szCs w:val="22"/>
                <w:lang w:val="sr-Latn-ME"/>
              </w:rPr>
              <w:t>2</w:t>
            </w:r>
            <w:r w:rsidRPr="007403A4">
              <w:rPr>
                <w:b/>
                <w:bCs/>
                <w:sz w:val="22"/>
                <w:szCs w:val="22"/>
                <w:lang w:val="sr-Latn-ME"/>
              </w:rPr>
              <w:noBreakHyphen/>
              <w:t>6. ciklus</w:t>
            </w:r>
          </w:p>
        </w:tc>
        <w:tc>
          <w:tcPr>
            <w:tcW w:w="1140" w:type="pct"/>
            <w:vAlign w:val="center"/>
          </w:tcPr>
          <w:p w14:paraId="26659C97" w14:textId="77777777" w:rsidR="00ED7C77" w:rsidRPr="007403A4" w:rsidRDefault="00ED7C77" w:rsidP="004D3AD0">
            <w:pPr>
              <w:tabs>
                <w:tab w:val="left" w:pos="540"/>
                <w:tab w:val="left" w:pos="569"/>
              </w:tabs>
              <w:jc w:val="both"/>
              <w:rPr>
                <w:bCs/>
                <w:sz w:val="22"/>
                <w:szCs w:val="22"/>
                <w:lang w:val="sr-Latn-ME"/>
              </w:rPr>
            </w:pPr>
            <w:r w:rsidRPr="007403A4">
              <w:rPr>
                <w:bCs/>
                <w:sz w:val="22"/>
                <w:szCs w:val="22"/>
                <w:lang w:val="sr-Latn-ME"/>
              </w:rPr>
              <w:t>1. dan</w:t>
            </w:r>
          </w:p>
          <w:p w14:paraId="233524E6"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3118" w:type="pct"/>
            <w:vMerge/>
          </w:tcPr>
          <w:p w14:paraId="48D54F71" w14:textId="77777777" w:rsidR="00ED7C77" w:rsidRPr="007403A4" w:rsidRDefault="00ED7C77">
            <w:pPr>
              <w:tabs>
                <w:tab w:val="left" w:pos="540"/>
                <w:tab w:val="left" w:pos="569"/>
              </w:tabs>
              <w:jc w:val="both"/>
              <w:rPr>
                <w:bCs/>
                <w:sz w:val="22"/>
                <w:szCs w:val="22"/>
                <w:lang w:val="sr-Latn-ME"/>
              </w:rPr>
            </w:pPr>
          </w:p>
        </w:tc>
      </w:tr>
    </w:tbl>
    <w:p w14:paraId="3C647A4A" w14:textId="501B6EFE" w:rsidR="004F24AB" w:rsidRPr="007403A4" w:rsidRDefault="004F24AB" w:rsidP="004D3AD0">
      <w:pPr>
        <w:tabs>
          <w:tab w:val="left" w:pos="540"/>
          <w:tab w:val="left" w:pos="569"/>
        </w:tabs>
        <w:jc w:val="both"/>
        <w:rPr>
          <w:b/>
          <w:bCs/>
          <w:sz w:val="22"/>
          <w:szCs w:val="22"/>
          <w:lang w:val="sr-Latn-ME"/>
        </w:rPr>
      </w:pPr>
    </w:p>
    <w:p w14:paraId="13ED2ECD" w14:textId="77E7144E" w:rsidR="004F24AB" w:rsidRPr="007403A4" w:rsidRDefault="002960D2" w:rsidP="00C95059">
      <w:pPr>
        <w:ind w:left="1440" w:hanging="1620"/>
        <w:jc w:val="both"/>
        <w:rPr>
          <w:i/>
          <w:sz w:val="22"/>
          <w:szCs w:val="22"/>
          <w:lang w:val="sr-Latn-ME" w:eastAsia="ja-JP"/>
        </w:rPr>
      </w:pPr>
      <w:r w:rsidRPr="007403A4">
        <w:rPr>
          <w:i/>
          <w:sz w:val="22"/>
          <w:szCs w:val="22"/>
          <w:lang w:val="sr-Latn-ME" w:eastAsia="ja-JP"/>
        </w:rPr>
        <w:t xml:space="preserve">   </w:t>
      </w:r>
      <w:r w:rsidR="004F24AB" w:rsidRPr="007403A4">
        <w:rPr>
          <w:i/>
          <w:sz w:val="22"/>
          <w:szCs w:val="22"/>
          <w:lang w:val="sr-Latn-ME" w:eastAsia="ja-JP"/>
        </w:rPr>
        <w:t>Folikularni limfom (FL)</w:t>
      </w:r>
    </w:p>
    <w:p w14:paraId="0D29368F" w14:textId="77777777" w:rsidR="004F24AB" w:rsidRPr="007403A4" w:rsidRDefault="004F24AB" w:rsidP="00C95059">
      <w:pPr>
        <w:ind w:left="1440" w:hanging="1620"/>
        <w:jc w:val="both"/>
        <w:rPr>
          <w:i/>
          <w:sz w:val="22"/>
          <w:szCs w:val="22"/>
          <w:lang w:val="sr-Latn-ME" w:eastAsia="ja-JP"/>
        </w:rPr>
      </w:pPr>
    </w:p>
    <w:p w14:paraId="011EB564" w14:textId="0912A987" w:rsidR="004F24AB" w:rsidRPr="007403A4" w:rsidRDefault="004F24AB" w:rsidP="00C95059">
      <w:pPr>
        <w:jc w:val="both"/>
        <w:rPr>
          <w:sz w:val="22"/>
          <w:szCs w:val="22"/>
          <w:lang w:val="sr-Latn-ME"/>
        </w:rPr>
      </w:pPr>
      <w:r w:rsidRPr="007403A4">
        <w:rPr>
          <w:sz w:val="22"/>
          <w:szCs w:val="22"/>
          <w:lang w:val="sr-Latn-ME"/>
        </w:rPr>
        <w:t>U ciklusu 1 lijek Gazyvaro treba primjenjivati standardnom brzinom infuzije (vidjeti Tabelu 5). Kod pacijenata kod kojih se tokom ciklusa 1 ne razvije reakcija na infuziju ≥ 3. stepena lijek Gazyvaro se od ciklusa 2 nadalje može primjenjivati u obliku kratkotrajne infuzije (u trajanju od približno</w:t>
      </w:r>
      <w:r w:rsidR="002960D2" w:rsidRPr="007403A4">
        <w:rPr>
          <w:sz w:val="22"/>
          <w:szCs w:val="22"/>
          <w:lang w:val="sr-Latn-ME"/>
        </w:rPr>
        <w:t xml:space="preserve"> </w:t>
      </w:r>
      <w:r w:rsidRPr="007403A4">
        <w:rPr>
          <w:sz w:val="22"/>
          <w:szCs w:val="22"/>
          <w:lang w:val="sr-Latn-ME"/>
        </w:rPr>
        <w:t>90 minuta) (vidjeti Tabelu 6).</w:t>
      </w:r>
    </w:p>
    <w:p w14:paraId="4E05B435" w14:textId="77777777" w:rsidR="004F24AB" w:rsidRPr="007403A4" w:rsidRDefault="004F24AB" w:rsidP="004D3AD0">
      <w:pPr>
        <w:tabs>
          <w:tab w:val="left" w:pos="540"/>
          <w:tab w:val="left" w:pos="569"/>
        </w:tabs>
        <w:jc w:val="both"/>
        <w:rPr>
          <w:b/>
          <w:bCs/>
          <w:sz w:val="22"/>
          <w:szCs w:val="22"/>
          <w:lang w:val="sr-Latn-ME"/>
        </w:rPr>
      </w:pPr>
    </w:p>
    <w:p w14:paraId="0176532B" w14:textId="56780B41" w:rsidR="00ED7C77" w:rsidRPr="007403A4" w:rsidRDefault="00ED7C77">
      <w:pPr>
        <w:tabs>
          <w:tab w:val="left" w:pos="540"/>
          <w:tab w:val="left" w:pos="569"/>
        </w:tabs>
        <w:jc w:val="both"/>
        <w:rPr>
          <w:b/>
          <w:bCs/>
          <w:sz w:val="22"/>
          <w:szCs w:val="22"/>
          <w:lang w:val="sr-Latn-ME"/>
        </w:rPr>
      </w:pPr>
      <w:r w:rsidRPr="007403A4">
        <w:rPr>
          <w:b/>
          <w:bCs/>
          <w:sz w:val="22"/>
          <w:szCs w:val="22"/>
          <w:lang w:val="sr-Latn-ME"/>
        </w:rPr>
        <w:t>Tabela 5</w:t>
      </w:r>
      <w:r w:rsidR="002960D2" w:rsidRPr="007403A4">
        <w:rPr>
          <w:b/>
          <w:bCs/>
          <w:sz w:val="22"/>
          <w:szCs w:val="22"/>
          <w:lang w:val="sr-Latn-ME"/>
        </w:rPr>
        <w:t xml:space="preserve"> </w:t>
      </w:r>
      <w:r w:rsidRPr="007403A4">
        <w:rPr>
          <w:b/>
          <w:bCs/>
          <w:sz w:val="22"/>
          <w:szCs w:val="22"/>
          <w:lang w:val="sr-Latn-ME"/>
        </w:rPr>
        <w:t>Folikularni limfom:</w:t>
      </w:r>
      <w:r w:rsidR="009D14CF" w:rsidRPr="007403A4">
        <w:rPr>
          <w:b/>
          <w:bCs/>
          <w:sz w:val="22"/>
          <w:szCs w:val="22"/>
          <w:lang w:val="sr-Latn-ME"/>
        </w:rPr>
        <w:t xml:space="preserve"> </w:t>
      </w:r>
      <w:r w:rsidRPr="007403A4">
        <w:rPr>
          <w:b/>
          <w:bCs/>
          <w:sz w:val="22"/>
          <w:szCs w:val="22"/>
          <w:lang w:val="sr-Latn-ME"/>
        </w:rPr>
        <w:t>Standardna brzina infuzije i preporuke u slučaju da je t</w:t>
      </w:r>
      <w:r w:rsidR="00F213C5" w:rsidRPr="007403A4">
        <w:rPr>
          <w:b/>
          <w:bCs/>
          <w:sz w:val="22"/>
          <w:szCs w:val="22"/>
          <w:lang w:val="sr-Latn-ME"/>
        </w:rPr>
        <w:t>o</w:t>
      </w:r>
      <w:r w:rsidRPr="007403A4">
        <w:rPr>
          <w:b/>
          <w:bCs/>
          <w:sz w:val="22"/>
          <w:szCs w:val="22"/>
          <w:lang w:val="sr-Latn-ME"/>
        </w:rPr>
        <w:t xml:space="preserve">kom prethodne infuzije nastupila reakcija na infuziju </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636"/>
        <w:gridCol w:w="2925"/>
        <w:gridCol w:w="4551"/>
      </w:tblGrid>
      <w:tr w:rsidR="00ED7C77" w:rsidRPr="007403A4" w14:paraId="4EB1B1CB" w14:textId="77777777" w:rsidTr="00ED7C77">
        <w:trPr>
          <w:trHeight w:val="283"/>
          <w:jc w:val="center"/>
        </w:trPr>
        <w:tc>
          <w:tcPr>
            <w:tcW w:w="898" w:type="pct"/>
            <w:vAlign w:val="center"/>
          </w:tcPr>
          <w:p w14:paraId="33613A1D"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Ciklus</w:t>
            </w:r>
          </w:p>
        </w:tc>
        <w:tc>
          <w:tcPr>
            <w:tcW w:w="1605" w:type="pct"/>
            <w:vAlign w:val="center"/>
          </w:tcPr>
          <w:p w14:paraId="33FF4BCB"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Dan liječenja</w:t>
            </w:r>
          </w:p>
        </w:tc>
        <w:tc>
          <w:tcPr>
            <w:tcW w:w="2497" w:type="pct"/>
            <w:vAlign w:val="center"/>
          </w:tcPr>
          <w:p w14:paraId="640B873E" w14:textId="77777777" w:rsidR="00ED7C77" w:rsidRPr="007403A4" w:rsidRDefault="00ED7C77">
            <w:pPr>
              <w:tabs>
                <w:tab w:val="left" w:pos="540"/>
                <w:tab w:val="left" w:pos="569"/>
              </w:tabs>
              <w:jc w:val="both"/>
              <w:rPr>
                <w:b/>
                <w:bCs/>
                <w:sz w:val="22"/>
                <w:szCs w:val="22"/>
                <w:lang w:val="sr-Latn-ME"/>
              </w:rPr>
            </w:pPr>
            <w:r w:rsidRPr="007403A4">
              <w:rPr>
                <w:b/>
                <w:bCs/>
                <w:sz w:val="22"/>
                <w:szCs w:val="22"/>
                <w:lang w:val="sr-Latn-ME"/>
              </w:rPr>
              <w:t xml:space="preserve">Brzina infuzije </w:t>
            </w:r>
          </w:p>
          <w:p w14:paraId="29504B93" w14:textId="5654AAE8"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Brzina infuzije može da se poveća ako pacijent to podnosi. Za zbrinjavanje reakcija na infuziju koje nastupe tokom infuzije vidjeti </w:t>
            </w:r>
            <w:r w:rsidR="00F213C5" w:rsidRPr="007403A4">
              <w:rPr>
                <w:bCs/>
                <w:sz w:val="22"/>
                <w:szCs w:val="22"/>
                <w:lang w:val="sr-Latn-ME"/>
              </w:rPr>
              <w:t>dio</w:t>
            </w:r>
            <w:r w:rsidRPr="007403A4">
              <w:rPr>
                <w:bCs/>
                <w:sz w:val="22"/>
                <w:szCs w:val="22"/>
                <w:lang w:val="sr-Latn-ME"/>
              </w:rPr>
              <w:t xml:space="preserve">  'Zbrinjavanje reakcija na infuziju'</w:t>
            </w:r>
          </w:p>
          <w:p w14:paraId="087013BB" w14:textId="77777777" w:rsidR="00ED7C77" w:rsidRPr="007403A4" w:rsidRDefault="00ED7C77">
            <w:pPr>
              <w:tabs>
                <w:tab w:val="left" w:pos="540"/>
                <w:tab w:val="left" w:pos="569"/>
              </w:tabs>
              <w:jc w:val="both"/>
              <w:rPr>
                <w:b/>
                <w:bCs/>
                <w:sz w:val="22"/>
                <w:szCs w:val="22"/>
                <w:vertAlign w:val="superscript"/>
                <w:lang w:val="sr-Latn-ME"/>
              </w:rPr>
            </w:pPr>
          </w:p>
        </w:tc>
      </w:tr>
      <w:tr w:rsidR="00ED7C77" w:rsidRPr="007403A4" w14:paraId="76A53481" w14:textId="77777777" w:rsidTr="00ED7C77">
        <w:trPr>
          <w:trHeight w:val="1309"/>
          <w:jc w:val="center"/>
        </w:trPr>
        <w:tc>
          <w:tcPr>
            <w:tcW w:w="898" w:type="pct"/>
            <w:vMerge w:val="restart"/>
            <w:vAlign w:val="center"/>
          </w:tcPr>
          <w:p w14:paraId="11FE8FD1" w14:textId="77777777" w:rsidR="00ED7C77" w:rsidRPr="007403A4" w:rsidRDefault="00ED7C77" w:rsidP="004D3AD0">
            <w:pPr>
              <w:tabs>
                <w:tab w:val="left" w:pos="540"/>
                <w:tab w:val="left" w:pos="569"/>
              </w:tabs>
              <w:jc w:val="both"/>
              <w:rPr>
                <w:b/>
                <w:bCs/>
                <w:sz w:val="22"/>
                <w:szCs w:val="22"/>
                <w:lang w:val="sr-Latn-ME"/>
              </w:rPr>
            </w:pPr>
            <w:r w:rsidRPr="007403A4">
              <w:rPr>
                <w:b/>
                <w:bCs/>
                <w:sz w:val="22"/>
                <w:szCs w:val="22"/>
                <w:lang w:val="sr-Latn-ME"/>
              </w:rPr>
              <w:t>1. ciklus</w:t>
            </w:r>
          </w:p>
        </w:tc>
        <w:tc>
          <w:tcPr>
            <w:tcW w:w="1605" w:type="pct"/>
            <w:vAlign w:val="center"/>
          </w:tcPr>
          <w:p w14:paraId="6DDFFAF2" w14:textId="77777777" w:rsidR="00ED7C77" w:rsidRPr="007403A4" w:rsidRDefault="00ED7C77" w:rsidP="004D3AD0">
            <w:pPr>
              <w:tabs>
                <w:tab w:val="left" w:pos="540"/>
                <w:tab w:val="left" w:pos="569"/>
              </w:tabs>
              <w:jc w:val="both"/>
              <w:rPr>
                <w:bCs/>
                <w:sz w:val="22"/>
                <w:szCs w:val="22"/>
                <w:lang w:val="sr-Latn-ME"/>
              </w:rPr>
            </w:pPr>
            <w:r w:rsidRPr="007403A4">
              <w:rPr>
                <w:bCs/>
                <w:sz w:val="22"/>
                <w:szCs w:val="22"/>
                <w:lang w:val="sr-Latn-ME"/>
              </w:rPr>
              <w:t>1. dan</w:t>
            </w:r>
          </w:p>
          <w:p w14:paraId="44AB14B1"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2497" w:type="pct"/>
            <w:vAlign w:val="center"/>
          </w:tcPr>
          <w:p w14:paraId="7245B106"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Primijeniti brzinom od 50 mg/h. Brzinu infuzije moguće je povećavati za 50 mg/h svakih 30 minuta do maksimalne brzine od 400 mg/h.</w:t>
            </w:r>
          </w:p>
        </w:tc>
      </w:tr>
      <w:tr w:rsidR="00ED7C77" w:rsidRPr="007403A4" w14:paraId="17D38782" w14:textId="77777777" w:rsidTr="00ED7C77">
        <w:trPr>
          <w:trHeight w:val="396"/>
          <w:jc w:val="center"/>
        </w:trPr>
        <w:tc>
          <w:tcPr>
            <w:tcW w:w="898" w:type="pct"/>
            <w:vMerge/>
            <w:tcBorders>
              <w:bottom w:val="single" w:sz="2" w:space="0" w:color="auto"/>
            </w:tcBorders>
            <w:vAlign w:val="center"/>
          </w:tcPr>
          <w:p w14:paraId="3ADC267C" w14:textId="77777777" w:rsidR="00ED7C77" w:rsidRPr="007403A4" w:rsidRDefault="00ED7C77">
            <w:pPr>
              <w:tabs>
                <w:tab w:val="left" w:pos="540"/>
                <w:tab w:val="left" w:pos="569"/>
              </w:tabs>
              <w:jc w:val="both"/>
              <w:rPr>
                <w:b/>
                <w:bCs/>
                <w:sz w:val="22"/>
                <w:szCs w:val="22"/>
                <w:lang w:val="sr-Latn-ME"/>
              </w:rPr>
            </w:pPr>
          </w:p>
        </w:tc>
        <w:tc>
          <w:tcPr>
            <w:tcW w:w="1605" w:type="pct"/>
            <w:tcBorders>
              <w:bottom w:val="single" w:sz="2" w:space="0" w:color="auto"/>
            </w:tcBorders>
            <w:vAlign w:val="center"/>
          </w:tcPr>
          <w:p w14:paraId="2ABD32FF"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8. dan</w:t>
            </w:r>
          </w:p>
          <w:p w14:paraId="375A3335"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2497" w:type="pct"/>
            <w:vMerge w:val="restart"/>
            <w:vAlign w:val="center"/>
          </w:tcPr>
          <w:p w14:paraId="1A6B588A"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Ako se tokom prethodne infuzije, kada je konačna brzina infuzije bila 100 mg/h ili viša, nije razvila reakcija na infuziju ili se razvila reakcija na infuziju 1. stepena, infuzije je moguće započeti brzinom od 100 mg/h, a zatim povećavati za 100 mg/h svakih 30 minuta do maksimalno 400 mg/h.</w:t>
            </w:r>
          </w:p>
          <w:p w14:paraId="23306945" w14:textId="77777777" w:rsidR="00ED7C77" w:rsidRPr="007403A4" w:rsidRDefault="00ED7C77">
            <w:pPr>
              <w:tabs>
                <w:tab w:val="left" w:pos="540"/>
                <w:tab w:val="left" w:pos="569"/>
              </w:tabs>
              <w:jc w:val="both"/>
              <w:rPr>
                <w:bCs/>
                <w:sz w:val="22"/>
                <w:szCs w:val="22"/>
                <w:lang w:val="sr-Latn-ME"/>
              </w:rPr>
            </w:pPr>
          </w:p>
          <w:p w14:paraId="13434C51"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Ako se tokom prethodne infuzije razvila reakcija na infuziju 2. ili višeg stepena, ovu treba primijeniti brzinom od 50 mg/h. Brzinu infuzije moguće je povećavati za 50 mg/h svakih 30 minuta do maksimalne brzine od 400 mg/h.</w:t>
            </w:r>
          </w:p>
        </w:tc>
      </w:tr>
      <w:tr w:rsidR="00ED7C77" w:rsidRPr="007403A4" w14:paraId="3A5AD822" w14:textId="77777777" w:rsidTr="00ED7C77">
        <w:trPr>
          <w:trHeight w:val="385"/>
          <w:jc w:val="center"/>
        </w:trPr>
        <w:tc>
          <w:tcPr>
            <w:tcW w:w="898" w:type="pct"/>
            <w:vMerge/>
            <w:vAlign w:val="center"/>
          </w:tcPr>
          <w:p w14:paraId="29025607" w14:textId="77777777" w:rsidR="00ED7C77" w:rsidRPr="007403A4" w:rsidRDefault="00ED7C77">
            <w:pPr>
              <w:tabs>
                <w:tab w:val="left" w:pos="540"/>
                <w:tab w:val="left" w:pos="569"/>
              </w:tabs>
              <w:jc w:val="both"/>
              <w:rPr>
                <w:b/>
                <w:bCs/>
                <w:sz w:val="22"/>
                <w:szCs w:val="22"/>
                <w:lang w:val="sr-Latn-ME"/>
              </w:rPr>
            </w:pPr>
          </w:p>
        </w:tc>
        <w:tc>
          <w:tcPr>
            <w:tcW w:w="1605" w:type="pct"/>
            <w:vAlign w:val="center"/>
          </w:tcPr>
          <w:p w14:paraId="59AB0F2D"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15. dan</w:t>
            </w:r>
          </w:p>
          <w:p w14:paraId="127219E0"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2497" w:type="pct"/>
            <w:vMerge/>
            <w:vAlign w:val="center"/>
          </w:tcPr>
          <w:p w14:paraId="3E5768C3" w14:textId="77777777" w:rsidR="00ED7C77" w:rsidRPr="007403A4" w:rsidRDefault="00ED7C77">
            <w:pPr>
              <w:tabs>
                <w:tab w:val="left" w:pos="540"/>
                <w:tab w:val="left" w:pos="569"/>
              </w:tabs>
              <w:jc w:val="both"/>
              <w:rPr>
                <w:bCs/>
                <w:sz w:val="22"/>
                <w:szCs w:val="22"/>
                <w:lang w:val="sr-Latn-ME"/>
              </w:rPr>
            </w:pPr>
          </w:p>
        </w:tc>
      </w:tr>
      <w:tr w:rsidR="00ED7C77" w:rsidRPr="007403A4" w14:paraId="4EBF4D45" w14:textId="77777777" w:rsidTr="00ED7C77">
        <w:trPr>
          <w:trHeight w:val="510"/>
          <w:jc w:val="center"/>
        </w:trPr>
        <w:tc>
          <w:tcPr>
            <w:tcW w:w="898" w:type="pct"/>
            <w:vAlign w:val="center"/>
          </w:tcPr>
          <w:p w14:paraId="4A225B48" w14:textId="092D6E83" w:rsidR="00ED7C77" w:rsidRPr="007403A4" w:rsidRDefault="00ED7C77" w:rsidP="004D3AD0">
            <w:pPr>
              <w:tabs>
                <w:tab w:val="left" w:pos="540"/>
                <w:tab w:val="left" w:pos="569"/>
              </w:tabs>
              <w:jc w:val="both"/>
              <w:rPr>
                <w:b/>
                <w:bCs/>
                <w:sz w:val="22"/>
                <w:szCs w:val="22"/>
                <w:lang w:val="sr-Latn-ME"/>
              </w:rPr>
            </w:pPr>
            <w:r w:rsidRPr="007403A4">
              <w:rPr>
                <w:b/>
                <w:bCs/>
                <w:sz w:val="22"/>
                <w:szCs w:val="22"/>
                <w:lang w:val="sr-Latn-ME"/>
              </w:rPr>
              <w:t>2 – 6. ciklus</w:t>
            </w:r>
          </w:p>
        </w:tc>
        <w:tc>
          <w:tcPr>
            <w:tcW w:w="1605" w:type="pct"/>
            <w:vAlign w:val="center"/>
          </w:tcPr>
          <w:p w14:paraId="2314A536" w14:textId="77777777" w:rsidR="00ED7C77" w:rsidRPr="007403A4" w:rsidRDefault="00ED7C77" w:rsidP="004D3AD0">
            <w:pPr>
              <w:tabs>
                <w:tab w:val="left" w:pos="540"/>
                <w:tab w:val="left" w:pos="569"/>
              </w:tabs>
              <w:jc w:val="both"/>
              <w:rPr>
                <w:bCs/>
                <w:sz w:val="22"/>
                <w:szCs w:val="22"/>
                <w:lang w:val="sr-Latn-ME"/>
              </w:rPr>
            </w:pPr>
            <w:r w:rsidRPr="007403A4">
              <w:rPr>
                <w:bCs/>
                <w:sz w:val="22"/>
                <w:szCs w:val="22"/>
                <w:lang w:val="sr-Latn-ME"/>
              </w:rPr>
              <w:t>1. dan</w:t>
            </w:r>
          </w:p>
          <w:p w14:paraId="6A12CA1A" w14:textId="77777777" w:rsidR="00ED7C77" w:rsidRPr="007403A4" w:rsidRDefault="00ED7C77">
            <w:pPr>
              <w:tabs>
                <w:tab w:val="left" w:pos="540"/>
                <w:tab w:val="left" w:pos="569"/>
              </w:tabs>
              <w:jc w:val="both"/>
              <w:rPr>
                <w:bCs/>
                <w:sz w:val="22"/>
                <w:szCs w:val="22"/>
                <w:lang w:val="sr-Latn-ME"/>
              </w:rPr>
            </w:pPr>
            <w:r w:rsidRPr="007403A4">
              <w:rPr>
                <w:bCs/>
                <w:sz w:val="22"/>
                <w:szCs w:val="22"/>
                <w:lang w:val="sr-Latn-ME"/>
              </w:rPr>
              <w:t>(1000 mg)</w:t>
            </w:r>
          </w:p>
        </w:tc>
        <w:tc>
          <w:tcPr>
            <w:tcW w:w="2497" w:type="pct"/>
            <w:vMerge/>
            <w:vAlign w:val="center"/>
          </w:tcPr>
          <w:p w14:paraId="6DE03E34" w14:textId="77777777" w:rsidR="00ED7C77" w:rsidRPr="007403A4" w:rsidRDefault="00ED7C77">
            <w:pPr>
              <w:tabs>
                <w:tab w:val="left" w:pos="540"/>
                <w:tab w:val="left" w:pos="569"/>
              </w:tabs>
              <w:jc w:val="both"/>
              <w:rPr>
                <w:bCs/>
                <w:sz w:val="22"/>
                <w:szCs w:val="22"/>
                <w:lang w:val="sr-Latn-ME"/>
              </w:rPr>
            </w:pPr>
          </w:p>
        </w:tc>
      </w:tr>
      <w:tr w:rsidR="00ED7C77" w:rsidRPr="007403A4" w14:paraId="011B437A" w14:textId="77777777" w:rsidTr="00ED7C77">
        <w:trPr>
          <w:trHeight w:val="385"/>
          <w:jc w:val="center"/>
        </w:trPr>
        <w:tc>
          <w:tcPr>
            <w:tcW w:w="898" w:type="pct"/>
            <w:vAlign w:val="center"/>
          </w:tcPr>
          <w:p w14:paraId="1C043DFD" w14:textId="77777777" w:rsidR="00ED7C77" w:rsidRPr="007403A4" w:rsidRDefault="00ED7C77" w:rsidP="004D3AD0">
            <w:pPr>
              <w:tabs>
                <w:tab w:val="left" w:pos="540"/>
                <w:tab w:val="left" w:pos="569"/>
              </w:tabs>
              <w:jc w:val="both"/>
              <w:rPr>
                <w:b/>
                <w:bCs/>
                <w:sz w:val="22"/>
                <w:szCs w:val="22"/>
                <w:lang w:val="sr-Latn-ME"/>
              </w:rPr>
            </w:pPr>
            <w:r w:rsidRPr="007403A4">
              <w:rPr>
                <w:b/>
                <w:bCs/>
                <w:sz w:val="22"/>
                <w:szCs w:val="22"/>
                <w:lang w:val="sr-Latn-ME"/>
              </w:rPr>
              <w:t>Održavanje</w:t>
            </w:r>
          </w:p>
        </w:tc>
        <w:tc>
          <w:tcPr>
            <w:tcW w:w="1605" w:type="pct"/>
            <w:vAlign w:val="center"/>
          </w:tcPr>
          <w:p w14:paraId="69CAD84B" w14:textId="2EF53E1B" w:rsidR="00ED7C77" w:rsidRPr="007403A4" w:rsidRDefault="00ED7C77" w:rsidP="004D3AD0">
            <w:pPr>
              <w:tabs>
                <w:tab w:val="left" w:pos="540"/>
                <w:tab w:val="left" w:pos="569"/>
              </w:tabs>
              <w:jc w:val="both"/>
              <w:rPr>
                <w:bCs/>
                <w:sz w:val="22"/>
                <w:szCs w:val="22"/>
                <w:lang w:val="sr-Latn-ME"/>
              </w:rPr>
            </w:pPr>
            <w:r w:rsidRPr="007403A4">
              <w:rPr>
                <w:bCs/>
                <w:sz w:val="22"/>
                <w:szCs w:val="22"/>
                <w:lang w:val="sr-Latn-ME"/>
              </w:rPr>
              <w:t>Svaka 2 mjeseca tokom 2 godine ili do progresije bolesti (št</w:t>
            </w:r>
            <w:r w:rsidR="00F213C5" w:rsidRPr="007403A4">
              <w:rPr>
                <w:bCs/>
                <w:sz w:val="22"/>
                <w:szCs w:val="22"/>
                <w:lang w:val="sr-Latn-ME"/>
              </w:rPr>
              <w:t>a</w:t>
            </w:r>
            <w:r w:rsidRPr="007403A4">
              <w:rPr>
                <w:bCs/>
                <w:sz w:val="22"/>
                <w:szCs w:val="22"/>
                <w:lang w:val="sr-Latn-ME"/>
              </w:rPr>
              <w:t xml:space="preserve"> god nastupi prije)</w:t>
            </w:r>
          </w:p>
        </w:tc>
        <w:tc>
          <w:tcPr>
            <w:tcW w:w="2497" w:type="pct"/>
            <w:vMerge/>
            <w:vAlign w:val="center"/>
          </w:tcPr>
          <w:p w14:paraId="25D896BB" w14:textId="77777777" w:rsidR="00ED7C77" w:rsidRPr="007403A4" w:rsidRDefault="00ED7C77">
            <w:pPr>
              <w:tabs>
                <w:tab w:val="left" w:pos="540"/>
                <w:tab w:val="left" w:pos="569"/>
              </w:tabs>
              <w:jc w:val="both"/>
              <w:rPr>
                <w:bCs/>
                <w:sz w:val="22"/>
                <w:szCs w:val="22"/>
                <w:lang w:val="sr-Latn-ME"/>
              </w:rPr>
            </w:pPr>
          </w:p>
        </w:tc>
      </w:tr>
    </w:tbl>
    <w:p w14:paraId="4CA767DA" w14:textId="356FECD5" w:rsidR="004F24AB" w:rsidRPr="007403A4" w:rsidRDefault="004F24AB" w:rsidP="00C95059">
      <w:pPr>
        <w:jc w:val="both"/>
        <w:rPr>
          <w:szCs w:val="22"/>
          <w:lang w:val="sr-Latn-ME" w:eastAsia="ja-JP"/>
        </w:rPr>
      </w:pPr>
    </w:p>
    <w:p w14:paraId="4D48005E" w14:textId="70BE4889" w:rsidR="004F24AB" w:rsidRPr="007403A4" w:rsidRDefault="00F213C5" w:rsidP="00C95059">
      <w:pPr>
        <w:keepNext/>
        <w:ind w:left="1134" w:hanging="1134"/>
        <w:jc w:val="both"/>
        <w:rPr>
          <w:b/>
          <w:sz w:val="22"/>
          <w:szCs w:val="22"/>
          <w:lang w:val="sr-Latn-ME" w:eastAsia="ko-KR" w:bidi="he-IL"/>
        </w:rPr>
      </w:pPr>
      <w:r w:rsidRPr="007403A4">
        <w:rPr>
          <w:b/>
          <w:sz w:val="22"/>
          <w:szCs w:val="22"/>
          <w:lang w:val="sr-Latn-ME" w:eastAsia="ko-KR" w:bidi="he-IL"/>
        </w:rPr>
        <w:lastRenderedPageBreak/>
        <w:t xml:space="preserve">    </w:t>
      </w:r>
      <w:r w:rsidR="004F24AB" w:rsidRPr="007403A4">
        <w:rPr>
          <w:b/>
          <w:sz w:val="22"/>
          <w:szCs w:val="22"/>
          <w:lang w:val="sr-Latn-ME" w:eastAsia="ko-KR" w:bidi="he-IL"/>
        </w:rPr>
        <w:t>Tabela 6</w:t>
      </w:r>
      <w:r w:rsidR="004F24AB" w:rsidRPr="007403A4">
        <w:rPr>
          <w:b/>
          <w:sz w:val="22"/>
          <w:szCs w:val="22"/>
          <w:lang w:val="sr-Latn-ME" w:eastAsia="ko-KR" w:bidi="he-IL"/>
        </w:rPr>
        <w:tab/>
      </w:r>
      <w:r w:rsidR="004F24AB" w:rsidRPr="007403A4">
        <w:rPr>
          <w:b/>
          <w:color w:val="000000"/>
          <w:sz w:val="22"/>
          <w:szCs w:val="22"/>
          <w:lang w:val="sr-Latn-ME"/>
        </w:rPr>
        <w:t>Folikularni limfom</w:t>
      </w:r>
      <w:r w:rsidR="004F24AB" w:rsidRPr="007403A4">
        <w:rPr>
          <w:b/>
          <w:sz w:val="22"/>
          <w:szCs w:val="22"/>
          <w:lang w:val="sr-Latn-ME" w:eastAsia="ko-KR" w:bidi="he-IL"/>
        </w:rPr>
        <w:t xml:space="preserve">: Brzina kratkotrajne infuzije i preporuke u slučaju da je tokom prethodne infuzije nastupila reakcija povezana sa infuzijom </w:t>
      </w:r>
    </w:p>
    <w:p w14:paraId="5E42FEBF" w14:textId="77777777" w:rsidR="004F24AB" w:rsidRPr="007403A4" w:rsidRDefault="004F24AB" w:rsidP="00C95059">
      <w:pPr>
        <w:keepNext/>
        <w:jc w:val="both"/>
        <w:rPr>
          <w:sz w:val="22"/>
          <w:szCs w:val="22"/>
          <w:lang w:val="sr-Latn-ME" w:eastAsia="ko-KR" w:bidi="he-IL"/>
        </w:rPr>
      </w:pPr>
    </w:p>
    <w:tbl>
      <w:tblPr>
        <w:tblW w:w="0" w:type="auto"/>
        <w:tblInd w:w="1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630"/>
        <w:gridCol w:w="2902"/>
        <w:gridCol w:w="4331"/>
      </w:tblGrid>
      <w:tr w:rsidR="004F24AB" w:rsidRPr="007403A4" w14:paraId="5B396ACB" w14:textId="77777777" w:rsidTr="00D201BD">
        <w:tc>
          <w:tcPr>
            <w:tcW w:w="1630" w:type="dxa"/>
            <w:tcBorders>
              <w:top w:val="single" w:sz="4" w:space="0" w:color="auto"/>
              <w:left w:val="single" w:sz="4" w:space="0" w:color="auto"/>
              <w:bottom w:val="single" w:sz="4" w:space="0" w:color="auto"/>
            </w:tcBorders>
            <w:shd w:val="clear" w:color="auto" w:fill="auto"/>
            <w:tcMar>
              <w:top w:w="115" w:type="dxa"/>
              <w:left w:w="115" w:type="dxa"/>
              <w:bottom w:w="115" w:type="dxa"/>
              <w:right w:w="115" w:type="dxa"/>
            </w:tcMar>
          </w:tcPr>
          <w:p w14:paraId="4B33D51B" w14:textId="77777777" w:rsidR="004F24AB" w:rsidRPr="007403A4" w:rsidRDefault="004F24AB" w:rsidP="00C95059">
            <w:pPr>
              <w:keepNext/>
              <w:jc w:val="both"/>
              <w:rPr>
                <w:b/>
                <w:sz w:val="22"/>
                <w:szCs w:val="22"/>
                <w:lang w:val="sr-Latn-ME"/>
              </w:rPr>
            </w:pPr>
            <w:r w:rsidRPr="007403A4">
              <w:rPr>
                <w:b/>
                <w:sz w:val="22"/>
                <w:szCs w:val="22"/>
                <w:lang w:val="sr-Latn-ME"/>
              </w:rPr>
              <w:t>Ciklus</w:t>
            </w:r>
          </w:p>
        </w:tc>
        <w:tc>
          <w:tcPr>
            <w:tcW w:w="2902" w:type="dxa"/>
            <w:tcBorders>
              <w:top w:val="single" w:sz="4" w:space="0" w:color="auto"/>
              <w:left w:val="single" w:sz="4" w:space="0" w:color="auto"/>
              <w:bottom w:val="single" w:sz="4" w:space="0" w:color="auto"/>
            </w:tcBorders>
            <w:shd w:val="clear" w:color="auto" w:fill="auto"/>
          </w:tcPr>
          <w:p w14:paraId="1E833FFB" w14:textId="0D781945" w:rsidR="004F24AB" w:rsidRPr="007403A4" w:rsidRDefault="004F24AB" w:rsidP="00C95059">
            <w:pPr>
              <w:keepNext/>
              <w:jc w:val="both"/>
              <w:rPr>
                <w:b/>
                <w:sz w:val="22"/>
                <w:szCs w:val="22"/>
                <w:lang w:val="sr-Latn-ME"/>
              </w:rPr>
            </w:pPr>
            <w:r w:rsidRPr="007403A4">
              <w:rPr>
                <w:b/>
                <w:sz w:val="22"/>
                <w:szCs w:val="22"/>
                <w:lang w:val="sr-Latn-ME"/>
              </w:rPr>
              <w:t>Dan liječenja</w:t>
            </w:r>
          </w:p>
        </w:tc>
        <w:tc>
          <w:tcPr>
            <w:tcW w:w="4331" w:type="dxa"/>
            <w:tcBorders>
              <w:top w:val="single" w:sz="4" w:space="0" w:color="auto"/>
              <w:bottom w:val="single" w:sz="4" w:space="0" w:color="auto"/>
              <w:right w:val="single" w:sz="4" w:space="0" w:color="auto"/>
            </w:tcBorders>
            <w:shd w:val="clear" w:color="auto" w:fill="auto"/>
            <w:tcMar>
              <w:top w:w="115" w:type="dxa"/>
              <w:left w:w="115" w:type="dxa"/>
              <w:bottom w:w="115" w:type="dxa"/>
              <w:right w:w="115" w:type="dxa"/>
            </w:tcMar>
          </w:tcPr>
          <w:p w14:paraId="2C3A4B7D" w14:textId="77777777" w:rsidR="004F24AB" w:rsidRPr="007403A4" w:rsidRDefault="004F24AB" w:rsidP="00C95059">
            <w:pPr>
              <w:keepNext/>
              <w:ind w:left="20"/>
              <w:jc w:val="both"/>
              <w:rPr>
                <w:b/>
                <w:sz w:val="22"/>
                <w:szCs w:val="22"/>
                <w:lang w:val="sr-Latn-ME"/>
              </w:rPr>
            </w:pPr>
            <w:r w:rsidRPr="007403A4">
              <w:rPr>
                <w:b/>
                <w:sz w:val="22"/>
                <w:szCs w:val="22"/>
                <w:lang w:val="sr-Latn-ME"/>
              </w:rPr>
              <w:t xml:space="preserve">Brzina infuzije </w:t>
            </w:r>
          </w:p>
          <w:p w14:paraId="536EC2F1" w14:textId="540DC7DA" w:rsidR="004F24AB" w:rsidRPr="007403A4" w:rsidRDefault="004F24AB" w:rsidP="00C95059">
            <w:pPr>
              <w:keepNext/>
              <w:ind w:left="20"/>
              <w:jc w:val="both"/>
              <w:rPr>
                <w:b/>
                <w:sz w:val="22"/>
                <w:szCs w:val="22"/>
                <w:lang w:val="sr-Latn-ME"/>
              </w:rPr>
            </w:pPr>
            <w:r w:rsidRPr="007403A4">
              <w:rPr>
                <w:sz w:val="22"/>
                <w:szCs w:val="22"/>
                <w:lang w:val="sr-Latn-ME"/>
              </w:rPr>
              <w:t>Za tretiranje reakcija na infuziju koje nastupe tokom infuzije vidjeti d</w:t>
            </w:r>
            <w:r w:rsidR="00F213C5" w:rsidRPr="007403A4">
              <w:rPr>
                <w:sz w:val="22"/>
                <w:szCs w:val="22"/>
                <w:lang w:val="sr-Latn-ME"/>
              </w:rPr>
              <w:t>io</w:t>
            </w:r>
            <w:r w:rsidRPr="007403A4">
              <w:rPr>
                <w:sz w:val="22"/>
                <w:szCs w:val="22"/>
                <w:lang w:val="sr-Latn-ME"/>
              </w:rPr>
              <w:t xml:space="preserve"> </w:t>
            </w:r>
            <w:r w:rsidR="00F213C5" w:rsidRPr="007403A4">
              <w:rPr>
                <w:sz w:val="22"/>
                <w:szCs w:val="22"/>
                <w:lang w:val="sr-Latn-ME"/>
              </w:rPr>
              <w:t xml:space="preserve"> 'Zbrinjavanje reakcija na infuziju'</w:t>
            </w:r>
          </w:p>
        </w:tc>
      </w:tr>
      <w:tr w:rsidR="004F24AB" w:rsidRPr="007403A4" w14:paraId="23BFF712" w14:textId="77777777" w:rsidTr="00D201BD">
        <w:trPr>
          <w:trHeight w:val="505"/>
        </w:trPr>
        <w:tc>
          <w:tcPr>
            <w:tcW w:w="1630" w:type="dxa"/>
            <w:tcBorders>
              <w:top w:val="single" w:sz="4" w:space="0" w:color="auto"/>
              <w:left w:val="single" w:sz="4" w:space="0" w:color="auto"/>
              <w:bottom w:val="single" w:sz="4" w:space="0" w:color="auto"/>
            </w:tcBorders>
            <w:shd w:val="clear" w:color="auto" w:fill="auto"/>
            <w:tcMar>
              <w:top w:w="115" w:type="dxa"/>
              <w:left w:w="115" w:type="dxa"/>
              <w:bottom w:w="115" w:type="dxa"/>
              <w:right w:w="115" w:type="dxa"/>
            </w:tcMar>
            <w:vAlign w:val="center"/>
          </w:tcPr>
          <w:p w14:paraId="44C2E661" w14:textId="77777777" w:rsidR="004F24AB" w:rsidRPr="007403A4" w:rsidRDefault="004F24AB" w:rsidP="00C95059">
            <w:pPr>
              <w:keepNext/>
              <w:jc w:val="both"/>
              <w:rPr>
                <w:b/>
                <w:sz w:val="22"/>
                <w:szCs w:val="22"/>
                <w:lang w:val="sr-Latn-ME"/>
              </w:rPr>
            </w:pPr>
            <w:r w:rsidRPr="007403A4">
              <w:rPr>
                <w:b/>
                <w:sz w:val="22"/>
                <w:szCs w:val="22"/>
                <w:lang w:val="sr-Latn-ME"/>
              </w:rPr>
              <w:t>Ciklus 2-6 ili ciklus 2-8</w:t>
            </w:r>
          </w:p>
        </w:tc>
        <w:tc>
          <w:tcPr>
            <w:tcW w:w="2902" w:type="dxa"/>
            <w:tcBorders>
              <w:top w:val="single" w:sz="4" w:space="0" w:color="auto"/>
              <w:bottom w:val="single" w:sz="4" w:space="0" w:color="auto"/>
            </w:tcBorders>
            <w:shd w:val="clear" w:color="auto" w:fill="auto"/>
            <w:tcMar>
              <w:top w:w="115" w:type="dxa"/>
              <w:left w:w="115" w:type="dxa"/>
              <w:bottom w:w="115" w:type="dxa"/>
              <w:right w:w="115" w:type="dxa"/>
            </w:tcMar>
            <w:vAlign w:val="center"/>
          </w:tcPr>
          <w:p w14:paraId="040D0204" w14:textId="77777777" w:rsidR="004F24AB" w:rsidRPr="007403A4" w:rsidRDefault="004F24AB" w:rsidP="00C95059">
            <w:pPr>
              <w:keepNext/>
              <w:jc w:val="both"/>
              <w:rPr>
                <w:sz w:val="22"/>
                <w:szCs w:val="22"/>
                <w:lang w:val="sr-Latn-ME"/>
              </w:rPr>
            </w:pPr>
            <w:r w:rsidRPr="007403A4">
              <w:rPr>
                <w:sz w:val="22"/>
                <w:szCs w:val="22"/>
                <w:lang w:val="sr-Latn-ME"/>
              </w:rPr>
              <w:t>1. dan</w:t>
            </w:r>
          </w:p>
          <w:p w14:paraId="021300B7" w14:textId="77777777" w:rsidR="004F24AB" w:rsidRPr="007403A4" w:rsidRDefault="004F24AB" w:rsidP="00C95059">
            <w:pPr>
              <w:keepNext/>
              <w:jc w:val="both"/>
              <w:rPr>
                <w:sz w:val="22"/>
                <w:szCs w:val="22"/>
                <w:lang w:val="sr-Latn-ME"/>
              </w:rPr>
            </w:pPr>
            <w:r w:rsidRPr="007403A4">
              <w:rPr>
                <w:sz w:val="22"/>
                <w:szCs w:val="22"/>
                <w:lang w:val="sr-Latn-ME"/>
              </w:rPr>
              <w:t>(1000 mg)</w:t>
            </w:r>
          </w:p>
        </w:tc>
        <w:tc>
          <w:tcPr>
            <w:tcW w:w="4331" w:type="dxa"/>
            <w:vMerge w:val="restart"/>
            <w:tcBorders>
              <w:right w:val="single" w:sz="4" w:space="0" w:color="auto"/>
            </w:tcBorders>
            <w:shd w:val="clear" w:color="auto" w:fill="auto"/>
            <w:tcMar>
              <w:top w:w="115" w:type="dxa"/>
              <w:left w:w="115" w:type="dxa"/>
              <w:bottom w:w="115" w:type="dxa"/>
              <w:right w:w="115" w:type="dxa"/>
            </w:tcMar>
          </w:tcPr>
          <w:p w14:paraId="2E0F14DE" w14:textId="77777777" w:rsidR="004F24AB" w:rsidRPr="007403A4" w:rsidRDefault="004F24AB" w:rsidP="00C95059">
            <w:pPr>
              <w:keepNext/>
              <w:jc w:val="both"/>
              <w:rPr>
                <w:sz w:val="22"/>
                <w:szCs w:val="22"/>
                <w:lang w:val="sr-Latn-ME"/>
              </w:rPr>
            </w:pPr>
            <w:r w:rsidRPr="007403A4">
              <w:rPr>
                <w:sz w:val="22"/>
                <w:szCs w:val="22"/>
                <w:lang w:val="sr-Latn-ME"/>
              </w:rPr>
              <w:t xml:space="preserve">Ako se tokom ciklusa 1 nije razvila reakcija na infuziju ≥ 3. stepena: </w:t>
            </w:r>
          </w:p>
          <w:p w14:paraId="13A05ED2" w14:textId="77777777" w:rsidR="004F24AB" w:rsidRPr="007403A4" w:rsidRDefault="004F24AB" w:rsidP="00C95059">
            <w:pPr>
              <w:keepNext/>
              <w:jc w:val="both"/>
              <w:rPr>
                <w:sz w:val="22"/>
                <w:szCs w:val="22"/>
                <w:lang w:val="sr-Latn-ME"/>
              </w:rPr>
            </w:pPr>
            <w:r w:rsidRPr="007403A4">
              <w:rPr>
                <w:sz w:val="22"/>
                <w:szCs w:val="22"/>
                <w:lang w:val="sr-Latn-ME"/>
              </w:rPr>
              <w:t>100 mg/h tokom 30 minuta, zatim 900 mg/h tokom približno 60 minuta.</w:t>
            </w:r>
          </w:p>
          <w:p w14:paraId="0A62646D" w14:textId="77777777" w:rsidR="004F24AB" w:rsidRPr="007403A4" w:rsidRDefault="004F24AB" w:rsidP="00C95059">
            <w:pPr>
              <w:keepNext/>
              <w:jc w:val="both"/>
              <w:rPr>
                <w:sz w:val="22"/>
                <w:szCs w:val="22"/>
                <w:lang w:val="sr-Latn-ME"/>
              </w:rPr>
            </w:pPr>
          </w:p>
          <w:p w14:paraId="7BB35DAB" w14:textId="20098665" w:rsidR="004F24AB" w:rsidRPr="007403A4" w:rsidRDefault="004F24AB" w:rsidP="00C95059">
            <w:pPr>
              <w:keepNext/>
              <w:jc w:val="both"/>
              <w:rPr>
                <w:sz w:val="22"/>
                <w:szCs w:val="22"/>
                <w:lang w:val="sr-Latn-ME"/>
              </w:rPr>
            </w:pPr>
            <w:r w:rsidRPr="007403A4">
              <w:rPr>
                <w:sz w:val="22"/>
                <w:szCs w:val="22"/>
                <w:lang w:val="sr-Latn-ME"/>
              </w:rPr>
              <w:t xml:space="preserve">Ako se tokom prethodne kratkotrajne infuzije razvila reakcija na infuziju stepena 1-2 uz kontinuirane simptome ili reakcija na infuziju 3. stepena, sljedeću infuziju obinutuzumaba treba primjeniti standardnom brzinom (vidjeti Tabelu 5). </w:t>
            </w:r>
          </w:p>
          <w:p w14:paraId="2B1D728B" w14:textId="77777777" w:rsidR="004F24AB" w:rsidRPr="007403A4" w:rsidRDefault="004F24AB" w:rsidP="00C95059">
            <w:pPr>
              <w:keepNext/>
              <w:jc w:val="both"/>
              <w:rPr>
                <w:sz w:val="22"/>
                <w:szCs w:val="22"/>
                <w:lang w:val="sr-Latn-ME"/>
              </w:rPr>
            </w:pPr>
          </w:p>
        </w:tc>
      </w:tr>
      <w:tr w:rsidR="004F24AB" w:rsidRPr="007403A4" w14:paraId="60BD3F13" w14:textId="77777777" w:rsidTr="00D201BD">
        <w:trPr>
          <w:trHeight w:val="1227"/>
        </w:trPr>
        <w:tc>
          <w:tcPr>
            <w:tcW w:w="1630" w:type="dxa"/>
            <w:tcBorders>
              <w:top w:val="single" w:sz="4" w:space="0" w:color="auto"/>
              <w:left w:val="single" w:sz="4" w:space="0" w:color="auto"/>
              <w:bottom w:val="single" w:sz="4" w:space="0" w:color="auto"/>
            </w:tcBorders>
            <w:shd w:val="clear" w:color="auto" w:fill="auto"/>
            <w:tcMar>
              <w:top w:w="115" w:type="dxa"/>
              <w:left w:w="115" w:type="dxa"/>
              <w:bottom w:w="115" w:type="dxa"/>
              <w:right w:w="115" w:type="dxa"/>
            </w:tcMar>
            <w:vAlign w:val="center"/>
          </w:tcPr>
          <w:p w14:paraId="16762656" w14:textId="6D94522F" w:rsidR="004F24AB" w:rsidRPr="007403A4" w:rsidRDefault="00F213C5" w:rsidP="00C95059">
            <w:pPr>
              <w:keepNext/>
              <w:jc w:val="both"/>
              <w:rPr>
                <w:b/>
                <w:sz w:val="22"/>
                <w:szCs w:val="22"/>
                <w:lang w:val="sr-Latn-ME"/>
              </w:rPr>
            </w:pPr>
            <w:r w:rsidRPr="007403A4">
              <w:rPr>
                <w:b/>
                <w:sz w:val="22"/>
                <w:szCs w:val="22"/>
                <w:lang w:val="sr-Latn-ME" w:eastAsia="ja-JP"/>
              </w:rPr>
              <w:t>O</w:t>
            </w:r>
            <w:r w:rsidR="004F24AB" w:rsidRPr="007403A4">
              <w:rPr>
                <w:b/>
                <w:sz w:val="22"/>
                <w:szCs w:val="22"/>
                <w:lang w:val="sr-Latn-ME" w:eastAsia="ja-JP"/>
              </w:rPr>
              <w:t>državanj</w:t>
            </w:r>
            <w:r w:rsidRPr="007403A4">
              <w:rPr>
                <w:b/>
                <w:sz w:val="22"/>
                <w:szCs w:val="22"/>
                <w:lang w:val="sr-Latn-ME" w:eastAsia="ja-JP"/>
              </w:rPr>
              <w:t>e</w:t>
            </w:r>
          </w:p>
        </w:tc>
        <w:tc>
          <w:tcPr>
            <w:tcW w:w="2902" w:type="dxa"/>
            <w:tcBorders>
              <w:top w:val="single" w:sz="4" w:space="0" w:color="auto"/>
              <w:bottom w:val="single" w:sz="4" w:space="0" w:color="auto"/>
            </w:tcBorders>
            <w:shd w:val="clear" w:color="auto" w:fill="auto"/>
            <w:tcMar>
              <w:top w:w="115" w:type="dxa"/>
              <w:left w:w="115" w:type="dxa"/>
              <w:bottom w:w="115" w:type="dxa"/>
              <w:right w:w="115" w:type="dxa"/>
            </w:tcMar>
            <w:vAlign w:val="center"/>
          </w:tcPr>
          <w:p w14:paraId="4DA97EF1" w14:textId="6E21B91A" w:rsidR="004F24AB" w:rsidRPr="007403A4" w:rsidRDefault="004F24AB" w:rsidP="00C95059">
            <w:pPr>
              <w:keepNext/>
              <w:jc w:val="both"/>
              <w:rPr>
                <w:sz w:val="22"/>
                <w:szCs w:val="22"/>
                <w:lang w:val="sr-Latn-ME"/>
              </w:rPr>
            </w:pPr>
            <w:r w:rsidRPr="007403A4">
              <w:rPr>
                <w:sz w:val="22"/>
                <w:szCs w:val="22"/>
                <w:lang w:val="sr-Latn-ME"/>
              </w:rPr>
              <w:t xml:space="preserve">Svaka 2 mjeseca tokom 2 godine ili do progresije bolesti </w:t>
            </w:r>
            <w:r w:rsidR="00F213C5" w:rsidRPr="007403A4">
              <w:rPr>
                <w:sz w:val="22"/>
                <w:szCs w:val="22"/>
                <w:lang w:val="sr-Latn-ME"/>
              </w:rPr>
              <w:t>(šta god nastupi prije)</w:t>
            </w:r>
            <w:r w:rsidR="00F213C5" w:rsidRPr="007403A4" w:rsidDel="00F213C5">
              <w:rPr>
                <w:sz w:val="22"/>
                <w:szCs w:val="22"/>
                <w:lang w:val="sr-Latn-ME"/>
              </w:rPr>
              <w:t xml:space="preserve"> </w:t>
            </w:r>
          </w:p>
        </w:tc>
        <w:tc>
          <w:tcPr>
            <w:tcW w:w="4331" w:type="dxa"/>
            <w:vMerge/>
            <w:tcBorders>
              <w:bottom w:val="single" w:sz="4" w:space="0" w:color="auto"/>
              <w:right w:val="single" w:sz="4" w:space="0" w:color="auto"/>
            </w:tcBorders>
            <w:shd w:val="clear" w:color="auto" w:fill="auto"/>
            <w:tcMar>
              <w:top w:w="115" w:type="dxa"/>
              <w:left w:w="115" w:type="dxa"/>
              <w:bottom w:w="115" w:type="dxa"/>
              <w:right w:w="115" w:type="dxa"/>
            </w:tcMar>
          </w:tcPr>
          <w:p w14:paraId="7A77CB40" w14:textId="77777777" w:rsidR="004F24AB" w:rsidRPr="007403A4" w:rsidRDefault="004F24AB" w:rsidP="00C95059">
            <w:pPr>
              <w:keepNext/>
              <w:jc w:val="both"/>
              <w:rPr>
                <w:sz w:val="22"/>
                <w:szCs w:val="22"/>
                <w:lang w:val="sr-Latn-ME"/>
              </w:rPr>
            </w:pPr>
          </w:p>
        </w:tc>
      </w:tr>
    </w:tbl>
    <w:p w14:paraId="02345886" w14:textId="77777777" w:rsidR="004F24AB" w:rsidRPr="007403A4" w:rsidRDefault="004F24AB">
      <w:pPr>
        <w:tabs>
          <w:tab w:val="left" w:pos="540"/>
          <w:tab w:val="left" w:pos="569"/>
        </w:tabs>
        <w:jc w:val="both"/>
        <w:rPr>
          <w:bCs/>
          <w:sz w:val="22"/>
          <w:szCs w:val="22"/>
          <w:lang w:val="sr-Latn-ME"/>
        </w:rPr>
      </w:pPr>
    </w:p>
    <w:p w14:paraId="0ABB2BB7" w14:textId="2B4E9EF1" w:rsidR="00ED7C77" w:rsidRPr="007403A4" w:rsidRDefault="00ED7C77">
      <w:pPr>
        <w:tabs>
          <w:tab w:val="left" w:pos="540"/>
          <w:tab w:val="left" w:pos="569"/>
        </w:tabs>
        <w:jc w:val="both"/>
        <w:rPr>
          <w:bCs/>
          <w:sz w:val="22"/>
          <w:szCs w:val="22"/>
          <w:lang w:val="sr-Latn-ME"/>
        </w:rPr>
      </w:pPr>
      <w:r w:rsidRPr="007403A4">
        <w:rPr>
          <w:bCs/>
          <w:sz w:val="22"/>
          <w:szCs w:val="22"/>
          <w:lang w:val="sr-Latn-ME"/>
        </w:rPr>
        <w:t>Zbrinjavanje reakcija na infuziju (sve indikacije)</w:t>
      </w:r>
    </w:p>
    <w:p w14:paraId="4988D4CC" w14:textId="77777777" w:rsidR="00ED7C77" w:rsidRPr="007403A4" w:rsidRDefault="00ED7C77">
      <w:pPr>
        <w:tabs>
          <w:tab w:val="left" w:pos="540"/>
          <w:tab w:val="left" w:pos="569"/>
        </w:tabs>
        <w:jc w:val="both"/>
        <w:rPr>
          <w:bCs/>
          <w:sz w:val="22"/>
          <w:szCs w:val="22"/>
          <w:lang w:val="sr-Latn-ME"/>
        </w:rPr>
      </w:pPr>
    </w:p>
    <w:p w14:paraId="215878FB" w14:textId="744A180E" w:rsidR="00ED7C77" w:rsidRPr="007403A4" w:rsidRDefault="00ED7C77">
      <w:pPr>
        <w:tabs>
          <w:tab w:val="left" w:pos="540"/>
          <w:tab w:val="left" w:pos="569"/>
        </w:tabs>
        <w:jc w:val="both"/>
        <w:rPr>
          <w:bCs/>
          <w:sz w:val="22"/>
          <w:szCs w:val="22"/>
          <w:lang w:val="sr-Latn-ME"/>
        </w:rPr>
      </w:pPr>
      <w:r w:rsidRPr="007403A4">
        <w:rPr>
          <w:bCs/>
          <w:sz w:val="22"/>
          <w:szCs w:val="22"/>
          <w:lang w:val="sr-Latn-ME"/>
        </w:rPr>
        <w:t>Zbrinjavanje reakcija na infuziju može zahtijevati privremeni prekid primjene, smanjenje brzine infuzije ili obustavu liječenja lijekom Gazyvaro kako je navedeno u nastavku (vidjeti i dio 4.4).</w:t>
      </w:r>
    </w:p>
    <w:p w14:paraId="5A25EF54" w14:textId="77777777" w:rsidR="00ED7C77" w:rsidRPr="007403A4" w:rsidRDefault="00ED7C77">
      <w:pPr>
        <w:tabs>
          <w:tab w:val="left" w:pos="540"/>
          <w:tab w:val="left" w:pos="569"/>
        </w:tabs>
        <w:jc w:val="both"/>
        <w:rPr>
          <w:bCs/>
          <w:sz w:val="22"/>
          <w:szCs w:val="22"/>
          <w:lang w:val="sr-Latn-ME"/>
        </w:rPr>
      </w:pPr>
    </w:p>
    <w:p w14:paraId="7C5B418E" w14:textId="5989CF44" w:rsidR="00ED7C77" w:rsidRPr="007403A4" w:rsidRDefault="00ED7C77">
      <w:pPr>
        <w:pStyle w:val="ListParagraph"/>
        <w:numPr>
          <w:ilvl w:val="0"/>
          <w:numId w:val="5"/>
        </w:numPr>
        <w:tabs>
          <w:tab w:val="left" w:pos="540"/>
          <w:tab w:val="left" w:pos="569"/>
        </w:tabs>
        <w:ind w:left="270" w:hanging="270"/>
        <w:rPr>
          <w:rFonts w:ascii="Times New Roman" w:hAnsi="Times New Roman"/>
          <w:bCs/>
          <w:sz w:val="22"/>
          <w:szCs w:val="22"/>
          <w:lang w:val="sr-Latn-ME"/>
        </w:rPr>
      </w:pPr>
      <w:r w:rsidRPr="007403A4">
        <w:rPr>
          <w:rFonts w:ascii="Times New Roman" w:hAnsi="Times New Roman"/>
          <w:bCs/>
          <w:sz w:val="22"/>
          <w:szCs w:val="22"/>
          <w:lang w:val="sr-Latn-ME"/>
        </w:rPr>
        <w:t>Reakcija 4.</w:t>
      </w:r>
      <w:r w:rsidR="004F24AB" w:rsidRPr="007403A4">
        <w:rPr>
          <w:rFonts w:ascii="Times New Roman" w:hAnsi="Times New Roman"/>
          <w:bCs/>
          <w:sz w:val="22"/>
          <w:szCs w:val="22"/>
          <w:lang w:val="sr-Latn-ME"/>
        </w:rPr>
        <w:t xml:space="preserve"> stepena </w:t>
      </w:r>
      <w:r w:rsidRPr="007403A4">
        <w:rPr>
          <w:rFonts w:ascii="Times New Roman" w:hAnsi="Times New Roman"/>
          <w:bCs/>
          <w:sz w:val="22"/>
          <w:szCs w:val="22"/>
          <w:lang w:val="sr-Latn-ME"/>
        </w:rPr>
        <w:t>(opasna po život): infuzija se mora prekinuti, a terapija trajno obustaviti.</w:t>
      </w:r>
    </w:p>
    <w:p w14:paraId="53EECED5" w14:textId="79A7B72B" w:rsidR="00ED7C77" w:rsidRPr="007403A4" w:rsidRDefault="00ED7C77">
      <w:pPr>
        <w:pStyle w:val="ListParagraph"/>
        <w:numPr>
          <w:ilvl w:val="0"/>
          <w:numId w:val="5"/>
        </w:numPr>
        <w:tabs>
          <w:tab w:val="left" w:pos="540"/>
          <w:tab w:val="left" w:pos="569"/>
        </w:tabs>
        <w:ind w:left="270" w:hanging="270"/>
        <w:rPr>
          <w:rFonts w:ascii="Times New Roman" w:hAnsi="Times New Roman"/>
          <w:bCs/>
          <w:sz w:val="22"/>
          <w:szCs w:val="22"/>
          <w:lang w:val="sr-Latn-ME"/>
        </w:rPr>
      </w:pPr>
      <w:r w:rsidRPr="007403A4">
        <w:rPr>
          <w:rFonts w:ascii="Times New Roman" w:hAnsi="Times New Roman"/>
          <w:bCs/>
          <w:sz w:val="22"/>
          <w:szCs w:val="22"/>
          <w:lang w:val="sr-Latn-ME"/>
        </w:rPr>
        <w:t>Reakcija</w:t>
      </w:r>
      <w:r w:rsidR="00F213C5" w:rsidRPr="007403A4">
        <w:rPr>
          <w:rFonts w:ascii="Times New Roman" w:hAnsi="Times New Roman"/>
          <w:bCs/>
          <w:sz w:val="22"/>
          <w:szCs w:val="22"/>
          <w:lang w:val="sr-Latn-ME"/>
        </w:rPr>
        <w:t xml:space="preserve"> </w:t>
      </w:r>
      <w:r w:rsidRPr="007403A4">
        <w:rPr>
          <w:rFonts w:ascii="Times New Roman" w:hAnsi="Times New Roman"/>
          <w:bCs/>
          <w:sz w:val="22"/>
          <w:szCs w:val="22"/>
          <w:lang w:val="sr-Latn-ME"/>
        </w:rPr>
        <w:t>3.</w:t>
      </w:r>
      <w:r w:rsidR="00F213C5" w:rsidRPr="007403A4">
        <w:rPr>
          <w:rFonts w:ascii="Times New Roman" w:hAnsi="Times New Roman"/>
          <w:bCs/>
          <w:sz w:val="22"/>
          <w:szCs w:val="22"/>
          <w:lang w:val="sr-Latn-ME"/>
        </w:rPr>
        <w:t xml:space="preserve"> </w:t>
      </w:r>
      <w:r w:rsidR="004F24AB" w:rsidRPr="007403A4">
        <w:rPr>
          <w:rFonts w:ascii="Times New Roman" w:hAnsi="Times New Roman"/>
          <w:bCs/>
          <w:sz w:val="22"/>
          <w:szCs w:val="22"/>
          <w:lang w:val="sr-Latn-ME"/>
        </w:rPr>
        <w:t xml:space="preserve">stepena </w:t>
      </w:r>
      <w:r w:rsidRPr="007403A4">
        <w:rPr>
          <w:rFonts w:ascii="Times New Roman" w:hAnsi="Times New Roman"/>
          <w:bCs/>
          <w:sz w:val="22"/>
          <w:szCs w:val="22"/>
          <w:lang w:val="sr-Latn-ME"/>
        </w:rPr>
        <w:t>(teška): infuzija se mora privremeno prekinuti, a simptomi zbrinuti. Nakon povlačenja simptoma, infuziju je moguće ponovo započeti brzinom koja ne smije biti veća od polovine prethodne brzine (brzine primjene u trenutku razvoja reakcije na infuziju), a ako se kod pacijenata ne pojave simptomi reakcije na infuziju, njenu brzinu je moguće nastaviti i postupno povećavati u intervalima koji odgovaraju dozi (vidjeti Tabel</w:t>
      </w:r>
      <w:r w:rsidR="00F213C5" w:rsidRPr="007403A4">
        <w:rPr>
          <w:rFonts w:ascii="Times New Roman" w:hAnsi="Times New Roman"/>
          <w:bCs/>
          <w:sz w:val="22"/>
          <w:szCs w:val="22"/>
          <w:lang w:val="sr-Latn-ME"/>
        </w:rPr>
        <w:t>e</w:t>
      </w:r>
      <w:r w:rsidRPr="007403A4">
        <w:rPr>
          <w:rFonts w:ascii="Times New Roman" w:hAnsi="Times New Roman"/>
          <w:bCs/>
          <w:sz w:val="22"/>
          <w:szCs w:val="22"/>
          <w:lang w:val="sr-Latn-ME"/>
        </w:rPr>
        <w:t xml:space="preserve"> 4 </w:t>
      </w:r>
      <w:r w:rsidR="00F213C5" w:rsidRPr="007403A4">
        <w:rPr>
          <w:rFonts w:ascii="Times New Roman" w:hAnsi="Times New Roman"/>
          <w:bCs/>
          <w:sz w:val="22"/>
          <w:szCs w:val="22"/>
          <w:lang w:val="sr-Latn-ME"/>
        </w:rPr>
        <w:t>-</w:t>
      </w:r>
      <w:r w:rsidRPr="007403A4">
        <w:rPr>
          <w:rFonts w:ascii="Times New Roman" w:hAnsi="Times New Roman"/>
          <w:bCs/>
          <w:sz w:val="22"/>
          <w:szCs w:val="22"/>
          <w:lang w:val="sr-Latn-ME"/>
        </w:rPr>
        <w:t xml:space="preserve"> </w:t>
      </w:r>
      <w:r w:rsidR="004F24AB" w:rsidRPr="007403A4">
        <w:rPr>
          <w:rFonts w:ascii="Times New Roman" w:hAnsi="Times New Roman"/>
          <w:bCs/>
          <w:sz w:val="22"/>
          <w:szCs w:val="22"/>
          <w:lang w:val="sr-Latn-ME"/>
        </w:rPr>
        <w:t>6</w:t>
      </w:r>
      <w:r w:rsidRPr="007403A4">
        <w:rPr>
          <w:rFonts w:ascii="Times New Roman" w:hAnsi="Times New Roman"/>
          <w:bCs/>
          <w:sz w:val="22"/>
          <w:szCs w:val="22"/>
          <w:lang w:val="sr-Latn-ME"/>
        </w:rPr>
        <w:t xml:space="preserve">). Kod pacijenata sa HLL koji prvu dozu (1. dan 1. ciklusa) primaju podijeljenu tokom dva dana, </w:t>
      </w:r>
      <w:r w:rsidR="00F213C5" w:rsidRPr="007403A4">
        <w:rPr>
          <w:rFonts w:ascii="Times New Roman" w:hAnsi="Times New Roman"/>
          <w:bCs/>
          <w:sz w:val="22"/>
          <w:szCs w:val="22"/>
          <w:lang w:val="sr-Latn-ME"/>
        </w:rPr>
        <w:t>b</w:t>
      </w:r>
      <w:r w:rsidRPr="007403A4">
        <w:rPr>
          <w:rFonts w:ascii="Times New Roman" w:hAnsi="Times New Roman"/>
          <w:bCs/>
          <w:sz w:val="22"/>
          <w:szCs w:val="22"/>
          <w:lang w:val="sr-Latn-ME"/>
        </w:rPr>
        <w:t>rzinu infuzije primijenjene 1. dana moguće je nakon 1 sata ponovno povećavati do 25 mg/h, ali ne više od toga. Infuzija se mora prekinuti, a liječenje trajno obustaviti ako kod pacijenata ponovno nastupi reakcija na infuziju 3. stepena.</w:t>
      </w:r>
    </w:p>
    <w:p w14:paraId="071E768A" w14:textId="492961DC" w:rsidR="00DD0C84" w:rsidRPr="007403A4" w:rsidRDefault="00ED7C77" w:rsidP="00ED7CC4">
      <w:pPr>
        <w:keepNext/>
        <w:ind w:left="284" w:hanging="40"/>
        <w:jc w:val="both"/>
        <w:rPr>
          <w:bCs/>
          <w:sz w:val="22"/>
          <w:szCs w:val="22"/>
          <w:lang w:val="sr-Latn-ME"/>
        </w:rPr>
      </w:pPr>
      <w:r w:rsidRPr="007403A4">
        <w:rPr>
          <w:bCs/>
          <w:sz w:val="22"/>
          <w:szCs w:val="22"/>
          <w:lang w:val="sr-Latn-ME"/>
        </w:rPr>
        <w:t>Reakcija 1. ili 2.</w:t>
      </w:r>
      <w:r w:rsidR="004F24AB" w:rsidRPr="007403A4">
        <w:rPr>
          <w:bCs/>
          <w:sz w:val="22"/>
          <w:szCs w:val="22"/>
          <w:lang w:val="sr-Latn-ME"/>
        </w:rPr>
        <w:t xml:space="preserve"> stepena </w:t>
      </w:r>
      <w:r w:rsidRPr="007403A4">
        <w:rPr>
          <w:bCs/>
          <w:sz w:val="22"/>
          <w:szCs w:val="22"/>
          <w:lang w:val="sr-Latn-ME"/>
        </w:rPr>
        <w:t>(blaga do umjerena): brzina infuzije mora se</w:t>
      </w:r>
      <w:r w:rsidR="00ED7CC4" w:rsidRPr="007403A4">
        <w:rPr>
          <w:bCs/>
          <w:sz w:val="22"/>
          <w:szCs w:val="22"/>
          <w:lang w:val="sr-Latn-ME"/>
        </w:rPr>
        <w:t xml:space="preserve"> smanjiti, a simptomi zbrinuti. </w:t>
      </w:r>
      <w:r w:rsidRPr="007403A4">
        <w:rPr>
          <w:bCs/>
          <w:sz w:val="22"/>
          <w:szCs w:val="22"/>
          <w:lang w:val="sr-Latn-ME"/>
        </w:rPr>
        <w:t>Infuziju je moguće nastaviti nakon povlačenja simptoma. Ako se ne pojave simptomi reakcije na infuziju, njenu brzinu je moguće nastaviti i postupno povećavati u intervalima koji odgovaraju dozi (vidjeti Tabel</w:t>
      </w:r>
      <w:r w:rsidR="00F213C5" w:rsidRPr="007403A4">
        <w:rPr>
          <w:bCs/>
          <w:sz w:val="22"/>
          <w:szCs w:val="22"/>
          <w:lang w:val="sr-Latn-ME"/>
        </w:rPr>
        <w:t>e</w:t>
      </w:r>
      <w:r w:rsidRPr="007403A4">
        <w:rPr>
          <w:bCs/>
          <w:sz w:val="22"/>
          <w:szCs w:val="22"/>
          <w:lang w:val="sr-Latn-ME"/>
        </w:rPr>
        <w:t xml:space="preserve"> 4 </w:t>
      </w:r>
      <w:r w:rsidR="00F213C5" w:rsidRPr="007403A4">
        <w:rPr>
          <w:bCs/>
          <w:sz w:val="22"/>
          <w:szCs w:val="22"/>
          <w:lang w:val="sr-Latn-ME"/>
        </w:rPr>
        <w:t>-</w:t>
      </w:r>
      <w:r w:rsidRPr="007403A4">
        <w:rPr>
          <w:bCs/>
          <w:sz w:val="22"/>
          <w:szCs w:val="22"/>
          <w:lang w:val="sr-Latn-ME"/>
        </w:rPr>
        <w:t xml:space="preserve"> </w:t>
      </w:r>
      <w:r w:rsidR="004F24AB" w:rsidRPr="007403A4">
        <w:rPr>
          <w:bCs/>
          <w:sz w:val="22"/>
          <w:szCs w:val="22"/>
          <w:lang w:val="sr-Latn-ME"/>
        </w:rPr>
        <w:t>6</w:t>
      </w:r>
      <w:r w:rsidRPr="007403A4">
        <w:rPr>
          <w:bCs/>
          <w:sz w:val="22"/>
          <w:szCs w:val="22"/>
          <w:lang w:val="sr-Latn-ME"/>
        </w:rPr>
        <w:t>). Kod pacijenata sa HLL</w:t>
      </w:r>
      <w:r w:rsidR="004D59E1" w:rsidRPr="007403A4">
        <w:rPr>
          <w:bCs/>
          <w:sz w:val="22"/>
          <w:szCs w:val="22"/>
          <w:lang w:val="sr-Latn-ME"/>
        </w:rPr>
        <w:t xml:space="preserve"> koji prvu dozu (1. dan 1. </w:t>
      </w:r>
      <w:r w:rsidRPr="007403A4">
        <w:rPr>
          <w:bCs/>
          <w:sz w:val="22"/>
          <w:szCs w:val="22"/>
          <w:lang w:val="sr-Latn-ME"/>
        </w:rPr>
        <w:t>ciklusa) primaju podijeljenu tokom dva dana, brzinu infuzije primijenjene 1. dana moguće je nakon 1 sata ponovno povećavati do 25 mg/h, ali ne više od toga.</w:t>
      </w:r>
    </w:p>
    <w:p w14:paraId="7AA2A70D" w14:textId="77777777" w:rsidR="00C95059" w:rsidRPr="007403A4" w:rsidRDefault="004F24AB" w:rsidP="00C95059">
      <w:pPr>
        <w:jc w:val="both"/>
        <w:rPr>
          <w:sz w:val="22"/>
          <w:szCs w:val="22"/>
          <w:lang w:val="sr-Latn-ME"/>
        </w:rPr>
      </w:pPr>
      <w:r w:rsidRPr="007403A4">
        <w:rPr>
          <w:bCs/>
          <w:sz w:val="22"/>
          <w:szCs w:val="22"/>
          <w:lang w:val="sr-Latn-ME"/>
        </w:rPr>
        <w:br/>
      </w:r>
      <w:r w:rsidR="00F213C5" w:rsidRPr="007403A4">
        <w:rPr>
          <w:sz w:val="22"/>
          <w:szCs w:val="22"/>
          <w:lang w:val="sr-Latn-ME"/>
        </w:rPr>
        <w:t>Zbrinjavanje</w:t>
      </w:r>
      <w:r w:rsidRPr="007403A4">
        <w:rPr>
          <w:sz w:val="22"/>
          <w:szCs w:val="22"/>
          <w:lang w:val="sr-Latn-ME"/>
        </w:rPr>
        <w:t xml:space="preserve"> reakcija na infuziju koje se razviju tokom primjene kratkotrajne infuzije</w:t>
      </w:r>
    </w:p>
    <w:p w14:paraId="699530D9" w14:textId="77777777" w:rsidR="00C95059" w:rsidRPr="007403A4" w:rsidRDefault="00C95059" w:rsidP="00C95059">
      <w:pPr>
        <w:jc w:val="both"/>
        <w:rPr>
          <w:sz w:val="22"/>
          <w:szCs w:val="22"/>
          <w:lang w:val="sr-Latn-ME"/>
        </w:rPr>
      </w:pPr>
    </w:p>
    <w:p w14:paraId="4E2AD429" w14:textId="77777777" w:rsidR="00C95059" w:rsidRPr="007403A4" w:rsidRDefault="004F24AB" w:rsidP="00C95059">
      <w:pPr>
        <w:pStyle w:val="ListParagraph"/>
        <w:numPr>
          <w:ilvl w:val="0"/>
          <w:numId w:val="5"/>
        </w:numPr>
        <w:tabs>
          <w:tab w:val="left" w:pos="540"/>
          <w:tab w:val="left" w:pos="569"/>
        </w:tabs>
        <w:ind w:left="270" w:hanging="270"/>
        <w:rPr>
          <w:bCs/>
          <w:sz w:val="22"/>
          <w:szCs w:val="22"/>
          <w:lang w:val="sr-Latn-ME"/>
        </w:rPr>
      </w:pPr>
      <w:r w:rsidRPr="007403A4">
        <w:rPr>
          <w:rFonts w:ascii="Times New Roman" w:hAnsi="Times New Roman"/>
          <w:bCs/>
          <w:sz w:val="22"/>
          <w:szCs w:val="22"/>
          <w:lang w:val="sr-Latn-ME"/>
        </w:rPr>
        <w:t>Reakcija 4. stepena (opasna po život): infuzija se mora prekinuti, a terapija trajno obustaviti.</w:t>
      </w:r>
    </w:p>
    <w:p w14:paraId="1BF35881" w14:textId="2F28E01F" w:rsidR="004F24AB" w:rsidRPr="007403A4" w:rsidRDefault="004F24AB" w:rsidP="00C95059">
      <w:pPr>
        <w:pStyle w:val="ListParagraph"/>
        <w:numPr>
          <w:ilvl w:val="0"/>
          <w:numId w:val="5"/>
        </w:numPr>
        <w:tabs>
          <w:tab w:val="left" w:pos="540"/>
          <w:tab w:val="left" w:pos="569"/>
        </w:tabs>
        <w:ind w:left="270" w:hanging="270"/>
        <w:rPr>
          <w:rFonts w:ascii="Times New Roman" w:hAnsi="Times New Roman"/>
          <w:bCs/>
          <w:sz w:val="22"/>
          <w:szCs w:val="22"/>
          <w:lang w:val="sr-Latn-ME"/>
        </w:rPr>
      </w:pPr>
      <w:r w:rsidRPr="007403A4">
        <w:rPr>
          <w:rFonts w:ascii="Times New Roman" w:hAnsi="Times New Roman"/>
          <w:bCs/>
          <w:sz w:val="22"/>
          <w:szCs w:val="22"/>
          <w:lang w:val="sr-Latn-ME"/>
        </w:rPr>
        <w:t>Reakcija 3. stepena (teška): infuzija se mora privremeno prekinuti, a simptomi zbrinuti. Nakon povlačenja simptoma, infuziju je moguće ponovno započeti brzinom koja ne smije biti veća od polovine prethodne brzine (brzine primjene u trenutku razvoja reakcije na infuziju) i ne smije premašiti 400 mg/h.</w:t>
      </w:r>
    </w:p>
    <w:p w14:paraId="61970B94" w14:textId="0ED3A65B" w:rsidR="004F24AB" w:rsidRPr="007403A4" w:rsidRDefault="004F24AB" w:rsidP="00C95059">
      <w:pPr>
        <w:keepNext/>
        <w:keepLines/>
        <w:jc w:val="both"/>
        <w:rPr>
          <w:sz w:val="22"/>
          <w:szCs w:val="22"/>
          <w:lang w:val="sr-Latn-ME"/>
        </w:rPr>
      </w:pPr>
      <w:r w:rsidRPr="007403A4">
        <w:rPr>
          <w:sz w:val="22"/>
          <w:szCs w:val="22"/>
          <w:lang w:val="sr-Latn-ME"/>
        </w:rPr>
        <w:lastRenderedPageBreak/>
        <w:t>Ako kod</w:t>
      </w:r>
      <w:r w:rsidR="00DD0C84" w:rsidRPr="007403A4">
        <w:rPr>
          <w:sz w:val="22"/>
          <w:szCs w:val="22"/>
          <w:lang w:val="sr-Latn-ME"/>
        </w:rPr>
        <w:t xml:space="preserve"> </w:t>
      </w:r>
      <w:r w:rsidRPr="007403A4">
        <w:rPr>
          <w:sz w:val="22"/>
          <w:szCs w:val="22"/>
          <w:lang w:val="sr-Latn-ME"/>
        </w:rPr>
        <w:t>pacijenata nakon nastavka infuzije ponovo nastupi reakcija na infuziju 3. stepena, infuzija se mora prekinuti, a liječenje trajno obustaviti. Ako pacijent može dovršiti infuziju bez ponovnih reakcija na infuziju 3. stepena, sl</w:t>
      </w:r>
      <w:r w:rsidR="001B302C" w:rsidRPr="007403A4">
        <w:rPr>
          <w:sz w:val="22"/>
          <w:szCs w:val="22"/>
          <w:lang w:val="sr-Latn-ME"/>
        </w:rPr>
        <w:t>j</w:t>
      </w:r>
      <w:r w:rsidRPr="007403A4">
        <w:rPr>
          <w:sz w:val="22"/>
          <w:szCs w:val="22"/>
          <w:lang w:val="sr-Latn-ME"/>
        </w:rPr>
        <w:t>edeća infuzija bi trebal</w:t>
      </w:r>
      <w:r w:rsidR="00DD0C84" w:rsidRPr="007403A4">
        <w:rPr>
          <w:sz w:val="22"/>
          <w:szCs w:val="22"/>
          <w:lang w:val="sr-Latn-ME"/>
        </w:rPr>
        <w:t>a da se</w:t>
      </w:r>
      <w:r w:rsidRPr="007403A4">
        <w:rPr>
          <w:sz w:val="22"/>
          <w:szCs w:val="22"/>
          <w:lang w:val="sr-Latn-ME"/>
        </w:rPr>
        <w:t xml:space="preserve"> prim</w:t>
      </w:r>
      <w:r w:rsidR="00DD0C84" w:rsidRPr="007403A4">
        <w:rPr>
          <w:sz w:val="22"/>
          <w:szCs w:val="22"/>
          <w:lang w:val="sr-Latn-ME"/>
        </w:rPr>
        <w:t>ijeni</w:t>
      </w:r>
      <w:r w:rsidRPr="007403A4">
        <w:rPr>
          <w:sz w:val="22"/>
          <w:szCs w:val="22"/>
          <w:lang w:val="sr-Latn-ME"/>
        </w:rPr>
        <w:t xml:space="preserve"> brzinom koja ne sm</w:t>
      </w:r>
      <w:r w:rsidR="00DD0C84" w:rsidRPr="007403A4">
        <w:rPr>
          <w:sz w:val="22"/>
          <w:szCs w:val="22"/>
          <w:lang w:val="sr-Latn-ME"/>
        </w:rPr>
        <w:t>ij</w:t>
      </w:r>
      <w:r w:rsidRPr="007403A4">
        <w:rPr>
          <w:sz w:val="22"/>
          <w:szCs w:val="22"/>
          <w:lang w:val="sr-Latn-ME"/>
        </w:rPr>
        <w:t>e biti veća od standardne brzine.</w:t>
      </w:r>
    </w:p>
    <w:p w14:paraId="5E069A55" w14:textId="77777777" w:rsidR="00C95059" w:rsidRPr="007403A4" w:rsidRDefault="004F24AB" w:rsidP="00C95059">
      <w:pPr>
        <w:keepNext/>
        <w:keepLines/>
        <w:ind w:left="605" w:hanging="605"/>
        <w:jc w:val="both"/>
        <w:rPr>
          <w:sz w:val="22"/>
          <w:szCs w:val="22"/>
          <w:lang w:val="sr-Latn-ME"/>
        </w:rPr>
      </w:pPr>
      <w:r w:rsidRPr="007403A4">
        <w:rPr>
          <w:b/>
          <w:sz w:val="22"/>
          <w:szCs w:val="22"/>
          <w:lang w:val="sr-Latn-ME"/>
        </w:rPr>
        <w:sym w:font="Symbol" w:char="F0B7"/>
      </w:r>
      <w:r w:rsidR="00C95059" w:rsidRPr="007403A4">
        <w:rPr>
          <w:b/>
          <w:sz w:val="22"/>
          <w:szCs w:val="22"/>
          <w:lang w:val="sr-Latn-ME"/>
        </w:rPr>
        <w:t xml:space="preserve">   </w:t>
      </w:r>
      <w:r w:rsidRPr="007403A4">
        <w:rPr>
          <w:sz w:val="22"/>
          <w:szCs w:val="22"/>
          <w:lang w:val="sr-Latn-ME"/>
        </w:rPr>
        <w:t>Reakcija 1. ili 2. stepena (blaga do um</w:t>
      </w:r>
      <w:r w:rsidR="006F4017" w:rsidRPr="007403A4">
        <w:rPr>
          <w:sz w:val="22"/>
          <w:szCs w:val="22"/>
          <w:lang w:val="sr-Latn-ME"/>
        </w:rPr>
        <w:t>j</w:t>
      </w:r>
      <w:r w:rsidRPr="007403A4">
        <w:rPr>
          <w:sz w:val="22"/>
          <w:szCs w:val="22"/>
          <w:lang w:val="sr-Latn-ME"/>
        </w:rPr>
        <w:t>erena): mora se smanjiti brzina</w:t>
      </w:r>
      <w:r w:rsidR="00C95059" w:rsidRPr="007403A4">
        <w:rPr>
          <w:sz w:val="22"/>
          <w:szCs w:val="22"/>
          <w:lang w:val="sr-Latn-ME"/>
        </w:rPr>
        <w:t xml:space="preserve"> infuzije, a simptomi zbrinuti.</w:t>
      </w:r>
    </w:p>
    <w:p w14:paraId="0C0792E5" w14:textId="77777777" w:rsidR="00C95059" w:rsidRPr="007403A4" w:rsidRDefault="004F24AB" w:rsidP="00C95059">
      <w:pPr>
        <w:keepNext/>
        <w:keepLines/>
        <w:ind w:left="605" w:hanging="605"/>
        <w:jc w:val="both"/>
        <w:rPr>
          <w:sz w:val="22"/>
          <w:szCs w:val="22"/>
          <w:lang w:val="sr-Latn-ME"/>
        </w:rPr>
      </w:pPr>
      <w:r w:rsidRPr="007403A4">
        <w:rPr>
          <w:sz w:val="22"/>
          <w:szCs w:val="22"/>
          <w:lang w:val="sr-Latn-ME"/>
        </w:rPr>
        <w:t>Infuziju je moguće nastaviti nakon povlačenja simptoma. Ako se</w:t>
      </w:r>
      <w:r w:rsidR="00C95059" w:rsidRPr="007403A4">
        <w:rPr>
          <w:sz w:val="22"/>
          <w:szCs w:val="22"/>
          <w:lang w:val="sr-Latn-ME"/>
        </w:rPr>
        <w:t xml:space="preserve"> ne pojave simptomi reakcije na</w:t>
      </w:r>
    </w:p>
    <w:p w14:paraId="7AA407E0" w14:textId="606133A8" w:rsidR="004F24AB" w:rsidRPr="007403A4" w:rsidRDefault="004F24AB" w:rsidP="00C95059">
      <w:pPr>
        <w:keepNext/>
        <w:keepLines/>
        <w:ind w:left="605" w:hanging="605"/>
        <w:jc w:val="both"/>
        <w:rPr>
          <w:sz w:val="22"/>
          <w:szCs w:val="22"/>
          <w:lang w:val="sr-Latn-ME"/>
        </w:rPr>
      </w:pPr>
      <w:r w:rsidRPr="007403A4">
        <w:rPr>
          <w:sz w:val="22"/>
          <w:szCs w:val="22"/>
          <w:lang w:val="sr-Latn-ME"/>
        </w:rPr>
        <w:t xml:space="preserve">infuziju, brzina se može postepeno povećavati u intervalima koji odgovaraju dozi (vidjeti </w:t>
      </w:r>
      <w:r w:rsidR="006F4017" w:rsidRPr="007403A4">
        <w:rPr>
          <w:sz w:val="22"/>
          <w:szCs w:val="22"/>
          <w:lang w:val="sr-Latn-ME"/>
        </w:rPr>
        <w:t xml:space="preserve"> Tab</w:t>
      </w:r>
      <w:r w:rsidRPr="007403A4">
        <w:rPr>
          <w:sz w:val="22"/>
          <w:szCs w:val="22"/>
          <w:lang w:val="sr-Latn-ME"/>
        </w:rPr>
        <w:t>ele 5 – 6).</w:t>
      </w:r>
    </w:p>
    <w:p w14:paraId="0973DF42" w14:textId="77777777" w:rsidR="00ED7C77" w:rsidRPr="007403A4" w:rsidRDefault="00ED7C77" w:rsidP="00C95059">
      <w:pPr>
        <w:tabs>
          <w:tab w:val="left" w:pos="540"/>
          <w:tab w:val="left" w:pos="569"/>
        </w:tabs>
        <w:jc w:val="both"/>
        <w:rPr>
          <w:bCs/>
          <w:sz w:val="22"/>
          <w:szCs w:val="22"/>
          <w:lang w:val="sr-Latn-ME"/>
        </w:rPr>
      </w:pPr>
    </w:p>
    <w:p w14:paraId="3D488BEB" w14:textId="77777777" w:rsidR="00411B4B" w:rsidRPr="007403A4" w:rsidRDefault="00411B4B" w:rsidP="004D3AD0">
      <w:pPr>
        <w:tabs>
          <w:tab w:val="left" w:pos="540"/>
          <w:tab w:val="left" w:pos="569"/>
        </w:tabs>
        <w:jc w:val="both"/>
        <w:rPr>
          <w:b/>
          <w:bCs/>
          <w:sz w:val="22"/>
          <w:szCs w:val="22"/>
          <w:lang w:val="sr-Latn-ME"/>
        </w:rPr>
      </w:pPr>
      <w:r w:rsidRPr="007403A4">
        <w:rPr>
          <w:b/>
          <w:bCs/>
          <w:sz w:val="22"/>
          <w:szCs w:val="22"/>
          <w:lang w:val="sr-Latn-ME"/>
        </w:rPr>
        <w:t xml:space="preserve">4.3. </w:t>
      </w:r>
      <w:r w:rsidR="00480FB1" w:rsidRPr="007403A4">
        <w:rPr>
          <w:b/>
          <w:bCs/>
          <w:sz w:val="22"/>
          <w:szCs w:val="22"/>
          <w:lang w:val="sr-Latn-ME"/>
        </w:rPr>
        <w:tab/>
      </w:r>
      <w:r w:rsidRPr="007403A4">
        <w:rPr>
          <w:b/>
          <w:bCs/>
          <w:sz w:val="22"/>
          <w:szCs w:val="22"/>
          <w:lang w:val="sr-Latn-ME"/>
        </w:rPr>
        <w:t>Kontraindikacije</w:t>
      </w:r>
    </w:p>
    <w:p w14:paraId="232C7EE7" w14:textId="77777777" w:rsidR="00ED7C77" w:rsidRPr="007403A4" w:rsidRDefault="00ED7C77" w:rsidP="004D3AD0">
      <w:pPr>
        <w:tabs>
          <w:tab w:val="left" w:pos="540"/>
          <w:tab w:val="left" w:pos="569"/>
        </w:tabs>
        <w:jc w:val="both"/>
        <w:rPr>
          <w:b/>
          <w:bCs/>
          <w:sz w:val="22"/>
          <w:szCs w:val="22"/>
          <w:lang w:val="sr-Latn-ME"/>
        </w:rPr>
      </w:pPr>
    </w:p>
    <w:p w14:paraId="7D0D3729" w14:textId="21C57D7E"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Preosjetljivost na aktivnu supstancu ili </w:t>
      </w:r>
      <w:r w:rsidR="00F213C5" w:rsidRPr="007403A4">
        <w:rPr>
          <w:bCs/>
          <w:sz w:val="22"/>
          <w:szCs w:val="22"/>
          <w:lang w:val="sr-Latn-ME"/>
        </w:rPr>
        <w:t xml:space="preserve">na </w:t>
      </w:r>
      <w:r w:rsidRPr="007403A4">
        <w:rPr>
          <w:bCs/>
          <w:sz w:val="22"/>
          <w:szCs w:val="22"/>
          <w:lang w:val="sr-Latn-ME"/>
        </w:rPr>
        <w:t>neku od pomoćnih supstanci navedenih u dijelu 6.1.</w:t>
      </w:r>
    </w:p>
    <w:p w14:paraId="7F0A1887" w14:textId="77777777" w:rsidR="0072020E" w:rsidRPr="007403A4" w:rsidRDefault="0072020E">
      <w:pPr>
        <w:tabs>
          <w:tab w:val="left" w:pos="540"/>
          <w:tab w:val="left" w:pos="569"/>
        </w:tabs>
        <w:jc w:val="both"/>
        <w:rPr>
          <w:bCs/>
          <w:sz w:val="22"/>
          <w:szCs w:val="22"/>
          <w:lang w:val="sr-Latn-ME"/>
        </w:rPr>
      </w:pPr>
    </w:p>
    <w:p w14:paraId="415BDDF7" w14:textId="77777777" w:rsidR="00411B4B" w:rsidRPr="007403A4" w:rsidRDefault="00411B4B">
      <w:pPr>
        <w:tabs>
          <w:tab w:val="left" w:pos="540"/>
          <w:tab w:val="left" w:pos="569"/>
        </w:tabs>
        <w:jc w:val="both"/>
        <w:rPr>
          <w:b/>
          <w:bCs/>
          <w:sz w:val="22"/>
          <w:szCs w:val="22"/>
          <w:lang w:val="sr-Latn-ME"/>
        </w:rPr>
      </w:pPr>
      <w:r w:rsidRPr="007403A4">
        <w:rPr>
          <w:b/>
          <w:bCs/>
          <w:sz w:val="22"/>
          <w:szCs w:val="22"/>
          <w:lang w:val="sr-Latn-ME"/>
        </w:rPr>
        <w:t xml:space="preserve">4.4. </w:t>
      </w:r>
      <w:r w:rsidR="00480FB1" w:rsidRPr="007403A4">
        <w:rPr>
          <w:b/>
          <w:bCs/>
          <w:sz w:val="22"/>
          <w:szCs w:val="22"/>
          <w:lang w:val="sr-Latn-ME"/>
        </w:rPr>
        <w:tab/>
      </w:r>
      <w:r w:rsidRPr="007403A4">
        <w:rPr>
          <w:b/>
          <w:bCs/>
          <w:sz w:val="22"/>
          <w:szCs w:val="22"/>
          <w:lang w:val="sr-Latn-ME"/>
        </w:rPr>
        <w:t>Posebna upozorenja i mjere opreza pri upotrebi lijeka</w:t>
      </w:r>
    </w:p>
    <w:p w14:paraId="7C5F2E5C" w14:textId="6F1F45B9" w:rsidR="007C4C0E" w:rsidRPr="007403A4" w:rsidRDefault="007C4C0E">
      <w:pPr>
        <w:tabs>
          <w:tab w:val="left" w:pos="540"/>
          <w:tab w:val="left" w:pos="569"/>
        </w:tabs>
        <w:jc w:val="both"/>
        <w:rPr>
          <w:b/>
          <w:bCs/>
          <w:sz w:val="22"/>
          <w:szCs w:val="22"/>
          <w:lang w:val="sr-Latn-ME"/>
        </w:rPr>
      </w:pPr>
    </w:p>
    <w:p w14:paraId="1DC2AB51" w14:textId="53D65C7E" w:rsidR="00DC0C7B" w:rsidRPr="007403A4" w:rsidRDefault="00DC0C7B">
      <w:pPr>
        <w:tabs>
          <w:tab w:val="left" w:pos="540"/>
          <w:tab w:val="left" w:pos="569"/>
        </w:tabs>
        <w:jc w:val="both"/>
        <w:rPr>
          <w:bCs/>
          <w:sz w:val="22"/>
          <w:szCs w:val="22"/>
          <w:u w:val="single"/>
          <w:lang w:val="sr-Latn-ME"/>
        </w:rPr>
      </w:pPr>
      <w:r w:rsidRPr="007403A4">
        <w:rPr>
          <w:bCs/>
          <w:sz w:val="22"/>
          <w:szCs w:val="22"/>
          <w:u w:val="single"/>
          <w:lang w:val="sr-Latn-ME"/>
        </w:rPr>
        <w:t>Sledljivost</w:t>
      </w:r>
    </w:p>
    <w:p w14:paraId="7F6FDBB6" w14:textId="44DBB3DF" w:rsidR="009D14CF" w:rsidRPr="007403A4" w:rsidRDefault="00ED7C77">
      <w:pPr>
        <w:spacing w:before="1" w:line="254" w:lineRule="exact"/>
        <w:ind w:right="333"/>
        <w:jc w:val="both"/>
        <w:rPr>
          <w:sz w:val="22"/>
          <w:szCs w:val="22"/>
          <w:lang w:val="sr-Latn-ME"/>
        </w:rPr>
      </w:pPr>
      <w:r w:rsidRPr="007403A4">
        <w:rPr>
          <w:sz w:val="22"/>
          <w:szCs w:val="22"/>
          <w:lang w:val="sr-Latn-ME"/>
        </w:rPr>
        <w:t xml:space="preserve">Kako bi se poboljšalo praćenja bioloških ljekova, naziv i broj serije primijenjenog lijeka potrebno je jasno evidentirati (ili navesti) u zdravstvenom kartonu pacijenta. </w:t>
      </w:r>
    </w:p>
    <w:p w14:paraId="3B905511" w14:textId="77777777" w:rsidR="0016580D" w:rsidRPr="007403A4" w:rsidRDefault="0016580D">
      <w:pPr>
        <w:spacing w:before="1" w:line="254" w:lineRule="exact"/>
        <w:ind w:right="333"/>
        <w:jc w:val="both"/>
        <w:rPr>
          <w:sz w:val="22"/>
          <w:szCs w:val="22"/>
          <w:lang w:val="sr-Latn-ME"/>
        </w:rPr>
      </w:pPr>
    </w:p>
    <w:p w14:paraId="686892F2" w14:textId="34C37A2C" w:rsidR="006207A5" w:rsidRPr="007403A4" w:rsidRDefault="000259E6" w:rsidP="00DC0C7B">
      <w:pPr>
        <w:spacing w:before="1" w:line="254" w:lineRule="exact"/>
        <w:ind w:right="333"/>
        <w:jc w:val="both"/>
        <w:rPr>
          <w:sz w:val="22"/>
          <w:szCs w:val="22"/>
          <w:lang w:val="sr-Latn-ME"/>
        </w:rPr>
      </w:pPr>
      <w:r w:rsidRPr="007403A4">
        <w:rPr>
          <w:sz w:val="22"/>
          <w:szCs w:val="22"/>
          <w:lang w:val="sr-Latn-ME"/>
        </w:rPr>
        <w:t>Na osnovu analize podgrupe</w:t>
      </w:r>
      <w:r w:rsidR="00DC0C7B" w:rsidRPr="007403A4">
        <w:rPr>
          <w:sz w:val="22"/>
          <w:szCs w:val="22"/>
          <w:lang w:val="sr-Latn-ME"/>
        </w:rPr>
        <w:t xml:space="preserve"> kod prethodno neliječenog folikularnog limfoma, djelotvornost kod pacijenata sa FLIPI niskim rizikom (0-1) trenutno</w:t>
      </w:r>
      <w:r w:rsidRPr="007403A4">
        <w:rPr>
          <w:sz w:val="22"/>
          <w:szCs w:val="22"/>
          <w:lang w:val="sr-Latn-ME"/>
        </w:rPr>
        <w:t xml:space="preserve"> nije jasna (pogledajte dio</w:t>
      </w:r>
      <w:r w:rsidR="00DC0C7B" w:rsidRPr="007403A4">
        <w:rPr>
          <w:sz w:val="22"/>
          <w:szCs w:val="22"/>
          <w:lang w:val="sr-Latn-ME"/>
        </w:rPr>
        <w:t xml:space="preserve"> 5.1). Pri izboru terapije za ove pacijente, treba pažljivo razmotriti u</w:t>
      </w:r>
      <w:r w:rsidRPr="007403A4">
        <w:rPr>
          <w:sz w:val="22"/>
          <w:szCs w:val="22"/>
          <w:lang w:val="sr-Latn-ME"/>
        </w:rPr>
        <w:t>kupni sigurnosni profil Gazyvaro</w:t>
      </w:r>
      <w:r w:rsidR="00DC0C7B" w:rsidRPr="007403A4">
        <w:rPr>
          <w:sz w:val="22"/>
          <w:szCs w:val="22"/>
          <w:lang w:val="sr-Latn-ME"/>
        </w:rPr>
        <w:t xml:space="preserve"> u kombinaciji sa hem</w:t>
      </w:r>
      <w:r w:rsidRPr="007403A4">
        <w:rPr>
          <w:sz w:val="22"/>
          <w:szCs w:val="22"/>
          <w:lang w:val="sr-Latn-ME"/>
        </w:rPr>
        <w:t>i</w:t>
      </w:r>
      <w:r w:rsidR="00DC0C7B" w:rsidRPr="007403A4">
        <w:rPr>
          <w:sz w:val="22"/>
          <w:szCs w:val="22"/>
          <w:lang w:val="sr-Latn-ME"/>
        </w:rPr>
        <w:t>oterapijom i specifičnu situaciju pacijenta.</w:t>
      </w:r>
    </w:p>
    <w:p w14:paraId="255E97D6" w14:textId="77777777" w:rsidR="00D66547" w:rsidRPr="007403A4" w:rsidRDefault="00D66547">
      <w:pPr>
        <w:spacing w:before="1" w:line="254" w:lineRule="exact"/>
        <w:ind w:right="333"/>
        <w:jc w:val="both"/>
        <w:rPr>
          <w:sz w:val="22"/>
          <w:szCs w:val="22"/>
          <w:lang w:val="sr-Latn-ME"/>
        </w:rPr>
      </w:pPr>
    </w:p>
    <w:p w14:paraId="13876149" w14:textId="23FA2998" w:rsidR="00ED7C77" w:rsidRPr="007403A4" w:rsidRDefault="00ED7C77">
      <w:pPr>
        <w:widowControl w:val="0"/>
        <w:spacing w:before="1" w:line="254" w:lineRule="exact"/>
        <w:ind w:right="333"/>
        <w:jc w:val="both"/>
        <w:rPr>
          <w:sz w:val="22"/>
          <w:szCs w:val="22"/>
          <w:u w:val="single"/>
          <w:lang w:val="sr-Latn-ME"/>
        </w:rPr>
      </w:pPr>
      <w:r w:rsidRPr="007403A4">
        <w:rPr>
          <w:sz w:val="22"/>
          <w:szCs w:val="22"/>
          <w:u w:val="single"/>
          <w:lang w:val="sr-Latn-ME"/>
        </w:rPr>
        <w:t>Reakcije na infuziju</w:t>
      </w:r>
    </w:p>
    <w:p w14:paraId="4BABDC0D" w14:textId="54FDC5F4"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 xml:space="preserve">Najčešće primijećena neželjena dejstva kod pacijenata liječenih lijekom Gazyvaro bile su reakcije na infuziju, a javljale su se prvenstveno tokom infuzije prvih 1000 mg. Reakcije na infuziju mogu </w:t>
      </w:r>
      <w:r w:rsidR="00635766" w:rsidRPr="007403A4">
        <w:rPr>
          <w:sz w:val="22"/>
          <w:szCs w:val="22"/>
          <w:lang w:val="sr-Latn-ME"/>
        </w:rPr>
        <w:t>da budu</w:t>
      </w:r>
      <w:r w:rsidRPr="007403A4">
        <w:rPr>
          <w:sz w:val="22"/>
          <w:szCs w:val="22"/>
          <w:lang w:val="sr-Latn-ME"/>
        </w:rPr>
        <w:t xml:space="preserve"> povezane sa sindromom otpuštanja citokina, koji je takođe prijavljen </w:t>
      </w:r>
      <w:r w:rsidR="00635766" w:rsidRPr="007403A4">
        <w:rPr>
          <w:sz w:val="22"/>
          <w:szCs w:val="22"/>
          <w:lang w:val="sr-Latn-ME"/>
        </w:rPr>
        <w:t>kod</w:t>
      </w:r>
      <w:r w:rsidRPr="007403A4">
        <w:rPr>
          <w:sz w:val="22"/>
          <w:szCs w:val="22"/>
          <w:lang w:val="sr-Latn-ME"/>
        </w:rPr>
        <w:t xml:space="preserve"> </w:t>
      </w:r>
      <w:r w:rsidR="00635766" w:rsidRPr="007403A4">
        <w:rPr>
          <w:sz w:val="22"/>
          <w:szCs w:val="22"/>
          <w:lang w:val="sr-Latn-ME"/>
        </w:rPr>
        <w:t>pacijenata</w:t>
      </w:r>
      <w:r w:rsidRPr="007403A4">
        <w:rPr>
          <w:sz w:val="22"/>
          <w:szCs w:val="22"/>
          <w:lang w:val="sr-Latn-ME"/>
        </w:rPr>
        <w:t xml:space="preserve"> liječenih lijekom Gazyvaro. Kod pacijenata </w:t>
      </w:r>
      <w:r w:rsidR="00635766" w:rsidRPr="007403A4">
        <w:rPr>
          <w:sz w:val="22"/>
          <w:szCs w:val="22"/>
          <w:lang w:val="sr-Latn-ME"/>
        </w:rPr>
        <w:t xml:space="preserve">sa HLL </w:t>
      </w:r>
      <w:r w:rsidRPr="007403A4">
        <w:rPr>
          <w:sz w:val="22"/>
          <w:szCs w:val="22"/>
          <w:lang w:val="sr-Latn-ME"/>
        </w:rPr>
        <w:t>kod kojih je na način opisan u dijelu 4.2. primijenjena kombinacija mjera za sprečavanje reakcija na infuziju (odgovarajući kortikosteroid, oralni analgetik/antihistaminik, izostavljanje antihipertenziva ujutro na dan prve infuzije i primjena 1. doze 1. ciklusa tokom 2 dana) primijećena je smanjena učestalost reakcija na infuziju svih stepen</w:t>
      </w:r>
      <w:r w:rsidR="00635766" w:rsidRPr="007403A4">
        <w:rPr>
          <w:sz w:val="22"/>
          <w:szCs w:val="22"/>
          <w:lang w:val="sr-Latn-ME"/>
        </w:rPr>
        <w:t>a</w:t>
      </w:r>
      <w:r w:rsidRPr="007403A4">
        <w:rPr>
          <w:sz w:val="22"/>
          <w:szCs w:val="22"/>
          <w:lang w:val="sr-Latn-ME"/>
        </w:rPr>
        <w:t>. Stopa reakcija na infuziju 3. i 4.</w:t>
      </w:r>
      <w:r w:rsidR="004F24AB" w:rsidRPr="007403A4">
        <w:rPr>
          <w:sz w:val="22"/>
          <w:szCs w:val="22"/>
          <w:lang w:val="sr-Latn-ME"/>
        </w:rPr>
        <w:t xml:space="preserve"> stepena </w:t>
      </w:r>
      <w:r w:rsidRPr="007403A4">
        <w:rPr>
          <w:sz w:val="22"/>
          <w:szCs w:val="22"/>
          <w:lang w:val="sr-Latn-ME"/>
        </w:rPr>
        <w:t xml:space="preserve">(procijenjene na relativno malom broju pacijenata) bile su slične prije i nakon uvođenja mjera za njihovo ublažavanje. Potrebno je primjenjivati navedene mjere kako bi se smanjio broj reakcija na infuziju (vidjeti dio 4.2). Učestalost i težina simptoma reakcija na infuziju bile su značajno manje nakon infuzije prvih 1000 mg, pa većina pacijenata nije imala reakcije na infuziju tokom sljedećih primjena lijeka Gazyvaro (vidjeti dio 4.8).  </w:t>
      </w:r>
    </w:p>
    <w:p w14:paraId="1B25B0D9" w14:textId="77777777" w:rsidR="00ED7C77" w:rsidRPr="007403A4" w:rsidRDefault="00ED7C77">
      <w:pPr>
        <w:widowControl w:val="0"/>
        <w:spacing w:before="1" w:line="254" w:lineRule="exact"/>
        <w:ind w:right="333"/>
        <w:jc w:val="both"/>
        <w:rPr>
          <w:sz w:val="22"/>
          <w:szCs w:val="22"/>
          <w:lang w:val="sr-Latn-ME"/>
        </w:rPr>
      </w:pPr>
    </w:p>
    <w:p w14:paraId="0FFE2B4F" w14:textId="1EEB45AA"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Kod većine pacijenata, nezavisno od indikacije, su reakcije na infuziju bile blage do umjerene te ih je bilo moguće zbrinuti usporavanjem ili privremenim prekidom prve infuzije, no prijavljene su i teške te po život opasne reakcije na infuziju koje su zahtijevale simptomatsko liječenje. Reakcije na infuziju klinički mogu biti iste kao i alergijske reakcije uzrokovane imunoglobulinom E (IgE) (npr. anafilaksa). Pacijenti sa HLL koji imaju veliko tumorsko opterećenje i/ili velik broj limfocita u cirkulaciji</w:t>
      </w:r>
      <w:r w:rsidR="00635766" w:rsidRPr="007403A4">
        <w:rPr>
          <w:sz w:val="22"/>
          <w:szCs w:val="22"/>
          <w:lang w:val="sr-Latn-ME"/>
        </w:rPr>
        <w:t xml:space="preserve"> </w:t>
      </w:r>
      <w:r w:rsidRPr="007403A4">
        <w:rPr>
          <w:sz w:val="22"/>
          <w:szCs w:val="22"/>
          <w:lang w:val="sr-Latn-ME"/>
        </w:rPr>
        <w:t>&gt; 25 x 10</w:t>
      </w:r>
      <w:r w:rsidRPr="007403A4">
        <w:rPr>
          <w:sz w:val="22"/>
          <w:szCs w:val="22"/>
          <w:vertAlign w:val="superscript"/>
          <w:lang w:val="sr-Latn-ME"/>
        </w:rPr>
        <w:t>9</w:t>
      </w:r>
      <w:r w:rsidRPr="007403A4">
        <w:rPr>
          <w:sz w:val="22"/>
          <w:szCs w:val="22"/>
          <w:lang w:val="sr-Latn-ME"/>
        </w:rPr>
        <w:t xml:space="preserve">/l mogu imati povećan rizik od teških reakcija na infuziju. Rizik od reakcija na infuziju, uključujući teške reakcije na infuziju, veći je kod pacijenata sa oštećenjem funkcije bubrega (CrCl &lt; 50 ml/min) kao i kod paijenata kod kojih je rezultat na ljestvici za procjenu kumulativne bolesti (engl. </w:t>
      </w:r>
      <w:r w:rsidRPr="007403A4">
        <w:rPr>
          <w:i/>
          <w:sz w:val="22"/>
          <w:szCs w:val="22"/>
          <w:lang w:val="sr-Latn-ME"/>
        </w:rPr>
        <w:t>Cumulative Illness Rating Scale</w:t>
      </w:r>
      <w:r w:rsidRPr="007403A4">
        <w:rPr>
          <w:sz w:val="22"/>
          <w:szCs w:val="22"/>
          <w:lang w:val="sr-Latn-ME"/>
        </w:rPr>
        <w:t xml:space="preserve">, CIRS) iznosio &gt; 6, a CrCl bio &lt; 70 ml/min (vidjeti dio 4.8). Za zbrinjavanje reakcija na infuziju vidjeti dio 4.2 'Doziranje i način primjene'. </w:t>
      </w:r>
    </w:p>
    <w:p w14:paraId="24D02B33" w14:textId="77777777" w:rsidR="00ED7C77" w:rsidRPr="007403A4" w:rsidRDefault="00ED7C77">
      <w:pPr>
        <w:widowControl w:val="0"/>
        <w:spacing w:before="1" w:line="254" w:lineRule="exact"/>
        <w:ind w:right="333"/>
        <w:jc w:val="both"/>
        <w:rPr>
          <w:sz w:val="22"/>
          <w:szCs w:val="22"/>
          <w:lang w:val="sr-Latn-ME"/>
        </w:rPr>
      </w:pPr>
    </w:p>
    <w:p w14:paraId="61161187" w14:textId="6F58FD05"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 xml:space="preserve">Pacijenti ne smiju da nastave da primaju infuzije lijeka Gazyvaro: </w:t>
      </w:r>
    </w:p>
    <w:p w14:paraId="26AB4541" w14:textId="26A017A8" w:rsidR="00ED7C77" w:rsidRPr="007403A4" w:rsidRDefault="00ED7C77">
      <w:pPr>
        <w:pStyle w:val="ListParagraph"/>
        <w:widowControl w:val="0"/>
        <w:numPr>
          <w:ilvl w:val="0"/>
          <w:numId w:val="6"/>
        </w:numPr>
        <w:spacing w:before="1" w:line="254" w:lineRule="exact"/>
        <w:ind w:right="333"/>
        <w:rPr>
          <w:rFonts w:ascii="Times New Roman" w:hAnsi="Times New Roman"/>
          <w:sz w:val="22"/>
          <w:szCs w:val="22"/>
          <w:lang w:val="sr-Latn-ME"/>
        </w:rPr>
      </w:pPr>
      <w:r w:rsidRPr="007403A4">
        <w:rPr>
          <w:rFonts w:ascii="Times New Roman" w:hAnsi="Times New Roman"/>
          <w:sz w:val="22"/>
          <w:szCs w:val="22"/>
          <w:lang w:val="sr-Latn-ME"/>
        </w:rPr>
        <w:t>ako se pojave po život opasni respiratorni simptomi</w:t>
      </w:r>
      <w:r w:rsidR="00635766" w:rsidRPr="007403A4">
        <w:rPr>
          <w:rFonts w:ascii="Times New Roman" w:hAnsi="Times New Roman"/>
          <w:sz w:val="22"/>
          <w:szCs w:val="22"/>
          <w:lang w:val="sr-Latn-ME"/>
        </w:rPr>
        <w:t>,</w:t>
      </w:r>
    </w:p>
    <w:p w14:paraId="138CA6F5" w14:textId="43EF9D7B" w:rsidR="00ED7C77" w:rsidRPr="007403A4" w:rsidRDefault="00ED7C77">
      <w:pPr>
        <w:pStyle w:val="ListParagraph"/>
        <w:widowControl w:val="0"/>
        <w:numPr>
          <w:ilvl w:val="0"/>
          <w:numId w:val="6"/>
        </w:numPr>
        <w:spacing w:before="1" w:line="254" w:lineRule="exact"/>
        <w:ind w:right="333"/>
        <w:rPr>
          <w:rFonts w:ascii="Times New Roman" w:hAnsi="Times New Roman"/>
          <w:sz w:val="22"/>
          <w:szCs w:val="22"/>
          <w:lang w:val="sr-Latn-ME"/>
        </w:rPr>
      </w:pPr>
      <w:r w:rsidRPr="007403A4">
        <w:rPr>
          <w:rFonts w:ascii="Times New Roman" w:hAnsi="Times New Roman"/>
          <w:sz w:val="22"/>
          <w:szCs w:val="22"/>
          <w:lang w:val="sr-Latn-ME"/>
        </w:rPr>
        <w:t>ako nastupi reakcija na infuziju 4.</w:t>
      </w:r>
      <w:r w:rsidR="004F24AB" w:rsidRPr="007403A4">
        <w:rPr>
          <w:rFonts w:ascii="Times New Roman" w:hAnsi="Times New Roman"/>
          <w:sz w:val="22"/>
          <w:szCs w:val="22"/>
          <w:lang w:val="sr-Latn-ME"/>
        </w:rPr>
        <w:t xml:space="preserve"> stepena </w:t>
      </w:r>
      <w:r w:rsidRPr="007403A4">
        <w:rPr>
          <w:rFonts w:ascii="Times New Roman" w:hAnsi="Times New Roman"/>
          <w:sz w:val="22"/>
          <w:szCs w:val="22"/>
          <w:lang w:val="sr-Latn-ME"/>
        </w:rPr>
        <w:t xml:space="preserve">(tj. opasna po život) ili </w:t>
      </w:r>
    </w:p>
    <w:p w14:paraId="5CAE2E23" w14:textId="454B5656" w:rsidR="00ED7C77" w:rsidRPr="007403A4" w:rsidRDefault="00ED7C77" w:rsidP="00C95059">
      <w:pPr>
        <w:pStyle w:val="ListParagraph"/>
        <w:widowControl w:val="0"/>
        <w:numPr>
          <w:ilvl w:val="0"/>
          <w:numId w:val="6"/>
        </w:numPr>
        <w:spacing w:before="1" w:line="254" w:lineRule="exact"/>
        <w:ind w:right="333"/>
        <w:rPr>
          <w:sz w:val="22"/>
          <w:szCs w:val="22"/>
          <w:lang w:val="sr-Latn-ME"/>
        </w:rPr>
      </w:pPr>
      <w:r w:rsidRPr="007403A4">
        <w:rPr>
          <w:rFonts w:ascii="Times New Roman" w:hAnsi="Times New Roman"/>
          <w:sz w:val="22"/>
          <w:szCs w:val="22"/>
          <w:lang w:val="sr-Latn-ME"/>
        </w:rPr>
        <w:t>ako ponovo nastupi (dugotrajna/rekurentna) reakcija na infuziju 3.</w:t>
      </w:r>
      <w:r w:rsidR="004F24AB" w:rsidRPr="007403A4">
        <w:rPr>
          <w:rFonts w:ascii="Times New Roman" w:hAnsi="Times New Roman"/>
          <w:sz w:val="22"/>
          <w:szCs w:val="22"/>
          <w:lang w:val="sr-Latn-ME"/>
        </w:rPr>
        <w:t xml:space="preserve"> stepena </w:t>
      </w:r>
      <w:r w:rsidRPr="007403A4">
        <w:rPr>
          <w:rFonts w:ascii="Times New Roman" w:hAnsi="Times New Roman"/>
          <w:sz w:val="22"/>
          <w:szCs w:val="22"/>
          <w:lang w:val="sr-Latn-ME"/>
        </w:rPr>
        <w:t>(nakon nastavka prve infuzije ili tokom neke sljedeće infuzije).</w:t>
      </w:r>
    </w:p>
    <w:p w14:paraId="212CE1D0" w14:textId="5F2AA147" w:rsidR="00ED7C77" w:rsidRPr="007403A4" w:rsidRDefault="00ED7C77" w:rsidP="004D3AD0">
      <w:pPr>
        <w:widowControl w:val="0"/>
        <w:spacing w:before="1" w:line="254" w:lineRule="exact"/>
        <w:ind w:right="333"/>
        <w:jc w:val="both"/>
        <w:rPr>
          <w:sz w:val="22"/>
          <w:szCs w:val="22"/>
          <w:lang w:val="sr-Latn-ME"/>
        </w:rPr>
      </w:pPr>
      <w:r w:rsidRPr="007403A4">
        <w:rPr>
          <w:sz w:val="22"/>
          <w:szCs w:val="22"/>
          <w:lang w:val="sr-Latn-ME"/>
        </w:rPr>
        <w:t xml:space="preserve">Pacijente sa postojećim srčanim ili plućnim bolestima potrebno je pažljivo nadgledati tokom cijele infuzije i u </w:t>
      </w:r>
      <w:r w:rsidR="00635766" w:rsidRPr="007403A4">
        <w:rPr>
          <w:sz w:val="22"/>
          <w:szCs w:val="22"/>
          <w:lang w:val="sr-Latn-ME"/>
        </w:rPr>
        <w:t>periodu</w:t>
      </w:r>
      <w:r w:rsidRPr="007403A4">
        <w:rPr>
          <w:sz w:val="22"/>
          <w:szCs w:val="22"/>
          <w:lang w:val="sr-Latn-ME"/>
        </w:rPr>
        <w:t xml:space="preserve"> nakon njenog završetka. Tokom intravenskih infuzija lijeka Gazyvaro može da se pojavi hipotenzija. Zbog toga je potrebno da se razmotri </w:t>
      </w:r>
      <w:r w:rsidR="00635766" w:rsidRPr="007403A4">
        <w:rPr>
          <w:sz w:val="22"/>
          <w:szCs w:val="22"/>
          <w:lang w:val="sr-Latn-ME"/>
        </w:rPr>
        <w:t>obustava</w:t>
      </w:r>
      <w:r w:rsidRPr="007403A4">
        <w:rPr>
          <w:sz w:val="22"/>
          <w:szCs w:val="22"/>
          <w:lang w:val="sr-Latn-ME"/>
        </w:rPr>
        <w:t xml:space="preserve"> antihipertenziva 12 sati prije i tokom svake infuzije lijeka Gazyvaro kao i još sat vremena nakon primjene lijeka. Kod pacijenata </w:t>
      </w:r>
      <w:r w:rsidRPr="007403A4">
        <w:rPr>
          <w:sz w:val="22"/>
          <w:szCs w:val="22"/>
          <w:lang w:val="sr-Latn-ME"/>
        </w:rPr>
        <w:lastRenderedPageBreak/>
        <w:t xml:space="preserve">kod kojih postoji akutni rizik od hipertenzivne krize potrebno je procijeniti koristi i rizike </w:t>
      </w:r>
      <w:r w:rsidR="00635766" w:rsidRPr="007403A4">
        <w:rPr>
          <w:sz w:val="22"/>
          <w:szCs w:val="22"/>
          <w:lang w:val="sr-Latn-ME"/>
        </w:rPr>
        <w:t>obustave</w:t>
      </w:r>
      <w:r w:rsidRPr="007403A4">
        <w:rPr>
          <w:sz w:val="22"/>
          <w:szCs w:val="22"/>
          <w:lang w:val="sr-Latn-ME"/>
        </w:rPr>
        <w:t xml:space="preserve"> antihipertenziva.</w:t>
      </w:r>
    </w:p>
    <w:p w14:paraId="51DFAE05" w14:textId="77777777" w:rsidR="00ED7C77" w:rsidRPr="007403A4" w:rsidRDefault="00ED7C77" w:rsidP="004D3AD0">
      <w:pPr>
        <w:widowControl w:val="0"/>
        <w:spacing w:before="1" w:line="254" w:lineRule="exact"/>
        <w:ind w:right="333"/>
        <w:jc w:val="both"/>
        <w:rPr>
          <w:sz w:val="22"/>
          <w:szCs w:val="22"/>
          <w:lang w:val="sr-Latn-ME"/>
        </w:rPr>
      </w:pPr>
    </w:p>
    <w:p w14:paraId="3412B87C" w14:textId="27EC353B" w:rsidR="00ED7C77" w:rsidRPr="007403A4" w:rsidRDefault="00ED7C77">
      <w:pPr>
        <w:widowControl w:val="0"/>
        <w:spacing w:before="1" w:line="254" w:lineRule="exact"/>
        <w:ind w:right="333"/>
        <w:jc w:val="both"/>
        <w:rPr>
          <w:sz w:val="22"/>
          <w:szCs w:val="22"/>
          <w:u w:val="single"/>
          <w:lang w:val="sr-Latn-ME"/>
        </w:rPr>
      </w:pPr>
      <w:r w:rsidRPr="007403A4">
        <w:rPr>
          <w:sz w:val="22"/>
          <w:szCs w:val="22"/>
          <w:u w:val="single"/>
          <w:lang w:val="sr-Latn-ME"/>
        </w:rPr>
        <w:t xml:space="preserve">Reakcije preosjetljivosti </w:t>
      </w:r>
    </w:p>
    <w:p w14:paraId="4D3C4875" w14:textId="419EF2DB"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Kod pacijenata liječenih lijekom Gazyvaro prijavljene su reakcije rane (npr.</w:t>
      </w:r>
      <w:r w:rsidR="007C4C0E" w:rsidRPr="007403A4">
        <w:rPr>
          <w:sz w:val="22"/>
          <w:szCs w:val="22"/>
          <w:lang w:val="sr-Latn-ME"/>
        </w:rPr>
        <w:t xml:space="preserve"> </w:t>
      </w:r>
      <w:r w:rsidRPr="007403A4">
        <w:rPr>
          <w:sz w:val="22"/>
          <w:szCs w:val="22"/>
          <w:lang w:val="sr-Latn-ME"/>
        </w:rPr>
        <w:t>reakcija anafilakse) i kasne preosjetljivosti (npr.</w:t>
      </w:r>
      <w:r w:rsidR="007C4C0E" w:rsidRPr="007403A4">
        <w:rPr>
          <w:sz w:val="22"/>
          <w:szCs w:val="22"/>
          <w:lang w:val="sr-Latn-ME"/>
        </w:rPr>
        <w:t xml:space="preserve"> </w:t>
      </w:r>
      <w:r w:rsidRPr="007403A4">
        <w:rPr>
          <w:sz w:val="22"/>
          <w:szCs w:val="22"/>
          <w:lang w:val="sr-Latn-ME"/>
        </w:rPr>
        <w:t xml:space="preserve">serumska bolest). Preosjetljivost može biti teško klinički razlikovati od </w:t>
      </w:r>
      <w:r w:rsidR="00A839C3" w:rsidRPr="007403A4">
        <w:rPr>
          <w:sz w:val="22"/>
          <w:szCs w:val="22"/>
          <w:lang w:val="sr-Latn-ME"/>
        </w:rPr>
        <w:t>reakcija na infuziju.</w:t>
      </w:r>
      <w:r w:rsidR="007C4C0E" w:rsidRPr="007403A4">
        <w:rPr>
          <w:sz w:val="22"/>
          <w:szCs w:val="22"/>
          <w:lang w:val="sr-Latn-ME"/>
        </w:rPr>
        <w:t xml:space="preserve"> </w:t>
      </w:r>
      <w:r w:rsidRPr="007403A4">
        <w:rPr>
          <w:sz w:val="22"/>
          <w:szCs w:val="22"/>
          <w:lang w:val="sr-Latn-ME"/>
        </w:rPr>
        <w:t xml:space="preserve">Simptomi preosjetljivosti mogu </w:t>
      </w:r>
      <w:r w:rsidR="00635766" w:rsidRPr="007403A4">
        <w:rPr>
          <w:sz w:val="22"/>
          <w:szCs w:val="22"/>
          <w:lang w:val="sr-Latn-ME"/>
        </w:rPr>
        <w:t xml:space="preserve">da </w:t>
      </w:r>
      <w:r w:rsidRPr="007403A4">
        <w:rPr>
          <w:sz w:val="22"/>
          <w:szCs w:val="22"/>
          <w:lang w:val="sr-Latn-ME"/>
        </w:rPr>
        <w:t>nastup</w:t>
      </w:r>
      <w:r w:rsidR="00635766" w:rsidRPr="007403A4">
        <w:rPr>
          <w:sz w:val="22"/>
          <w:szCs w:val="22"/>
          <w:lang w:val="sr-Latn-ME"/>
        </w:rPr>
        <w:t>e</w:t>
      </w:r>
      <w:r w:rsidRPr="007403A4">
        <w:rPr>
          <w:sz w:val="22"/>
          <w:szCs w:val="22"/>
          <w:lang w:val="sr-Latn-ME"/>
        </w:rPr>
        <w:t xml:space="preserve"> nakon prethodnog izlaganja, a </w:t>
      </w:r>
      <w:r w:rsidR="00C40CEB" w:rsidRPr="007403A4">
        <w:rPr>
          <w:sz w:val="22"/>
          <w:szCs w:val="22"/>
          <w:lang w:val="sr-Latn-ME"/>
        </w:rPr>
        <w:t>veoma</w:t>
      </w:r>
      <w:r w:rsidRPr="007403A4">
        <w:rPr>
          <w:sz w:val="22"/>
          <w:szCs w:val="22"/>
          <w:lang w:val="sr-Latn-ME"/>
        </w:rPr>
        <w:t xml:space="preserve"> se rijetko javljaju kod prve infuzije. Ako se tokom ili nakon infuzije posumnja na reakciju preosjetljivosti infuzija se mora prekinuti, a liječenje trajno obustaviti. Pacijenti sa poznatom preosjetljivošću na obinutuzumab ne smiju da primaju ovaj lijek (vidjeti dio 4.3).</w:t>
      </w:r>
    </w:p>
    <w:p w14:paraId="1CB4A16C" w14:textId="77777777" w:rsidR="00ED7C77" w:rsidRPr="007403A4" w:rsidRDefault="00ED7C77">
      <w:pPr>
        <w:widowControl w:val="0"/>
        <w:spacing w:before="1" w:line="254" w:lineRule="exact"/>
        <w:ind w:right="333"/>
        <w:jc w:val="both"/>
        <w:rPr>
          <w:sz w:val="22"/>
          <w:szCs w:val="22"/>
          <w:lang w:val="sr-Latn-ME"/>
        </w:rPr>
      </w:pPr>
    </w:p>
    <w:p w14:paraId="46178A4B" w14:textId="76F1961F" w:rsidR="00ED7C77" w:rsidRPr="007403A4" w:rsidRDefault="00ED7C77">
      <w:pPr>
        <w:widowControl w:val="0"/>
        <w:spacing w:before="1" w:line="254" w:lineRule="exact"/>
        <w:ind w:right="333"/>
        <w:jc w:val="both"/>
        <w:rPr>
          <w:sz w:val="22"/>
          <w:szCs w:val="22"/>
          <w:u w:val="single"/>
          <w:lang w:val="sr-Latn-ME"/>
        </w:rPr>
      </w:pPr>
      <w:r w:rsidRPr="007403A4">
        <w:rPr>
          <w:sz w:val="22"/>
          <w:szCs w:val="22"/>
          <w:u w:val="single"/>
          <w:lang w:val="sr-Latn-ME"/>
        </w:rPr>
        <w:t xml:space="preserve">Sindrom lize tumora (engl. </w:t>
      </w:r>
      <w:r w:rsidRPr="007403A4">
        <w:rPr>
          <w:i/>
          <w:sz w:val="22"/>
          <w:szCs w:val="22"/>
          <w:u w:val="single"/>
          <w:lang w:val="sr-Latn-ME"/>
        </w:rPr>
        <w:t>Tumor lysis syndrome, TLS</w:t>
      </w:r>
      <w:r w:rsidRPr="007403A4">
        <w:rPr>
          <w:sz w:val="22"/>
          <w:szCs w:val="22"/>
          <w:u w:val="single"/>
          <w:lang w:val="sr-Latn-ME"/>
        </w:rPr>
        <w:t>)</w:t>
      </w:r>
    </w:p>
    <w:p w14:paraId="10212DC6" w14:textId="7CB2DBB1"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Tokom liječenja lijekom Gazyvaro prijavljen je TLS. Kod pacijenata koji se smatraju rizičnim za razvoj sindroma lize tumora (npr. pacijenti sa velikim tumorskim opterećenjem i/ili velikim brojem cirkuli</w:t>
      </w:r>
      <w:r w:rsidR="00D57572" w:rsidRPr="007403A4">
        <w:rPr>
          <w:sz w:val="22"/>
          <w:szCs w:val="22"/>
          <w:lang w:val="sr-Latn-ME"/>
        </w:rPr>
        <w:t>šućih</w:t>
      </w:r>
      <w:r w:rsidRPr="007403A4">
        <w:rPr>
          <w:sz w:val="22"/>
          <w:szCs w:val="22"/>
          <w:lang w:val="sr-Latn-ME"/>
        </w:rPr>
        <w:t xml:space="preserve"> limfocita [&gt; 25 x 10</w:t>
      </w:r>
      <w:r w:rsidRPr="007403A4">
        <w:rPr>
          <w:sz w:val="22"/>
          <w:szCs w:val="22"/>
          <w:vertAlign w:val="superscript"/>
          <w:lang w:val="sr-Latn-ME"/>
        </w:rPr>
        <w:t>9</w:t>
      </w:r>
      <w:r w:rsidRPr="007403A4">
        <w:rPr>
          <w:sz w:val="22"/>
          <w:szCs w:val="22"/>
          <w:lang w:val="sr-Latn-ME"/>
        </w:rPr>
        <w:t>/l]) i/ili oštećenjem bubrežne funkcije [CrCl &lt;70 ml/min] potrebno je primijeniti profilaksu za lizu tumora. Profilaksa bi trebala da se sastoji od ogovarajuće hidratacije i primjene ur</w:t>
      </w:r>
      <w:r w:rsidR="00D57572" w:rsidRPr="007403A4">
        <w:rPr>
          <w:sz w:val="22"/>
          <w:szCs w:val="22"/>
          <w:lang w:val="sr-Latn-ME"/>
        </w:rPr>
        <w:t>ik</w:t>
      </w:r>
      <w:r w:rsidRPr="007403A4">
        <w:rPr>
          <w:sz w:val="22"/>
          <w:szCs w:val="22"/>
          <w:lang w:val="sr-Latn-ME"/>
        </w:rPr>
        <w:t xml:space="preserve">ostatika (npr. alopurinola) ili neke druge prikladne terapije </w:t>
      </w:r>
      <w:r w:rsidRPr="007403A4">
        <w:rPr>
          <w:noProof/>
          <w:sz w:val="22"/>
          <w:szCs w:val="22"/>
          <w:lang w:val="sr-Latn-ME"/>
        </w:rPr>
        <w:t>poput urat oksidaze (npr. razburikaze)</w:t>
      </w:r>
      <w:r w:rsidRPr="007403A4">
        <w:rPr>
          <w:sz w:val="22"/>
          <w:szCs w:val="22"/>
          <w:lang w:val="sr-Latn-ME"/>
        </w:rPr>
        <w:t xml:space="preserve">, započevši 12 – 24 sata prije infuzije lijeka Gazyvaro u skladu sa uobičajnom praksom (vidjeti dio 4.2). Sve pacijente koji se smatraju rizičnima potrebno je pažljivo nadgledati tokom  prvih nekoliko dana liječenja, obraćajući posebnu pažnju na funkciju bubrega te vrijednosti kalijuma i mokraćne kiseline. Potrebno je pridržavati se svih dodatnih smjernica u skladu sa uobičajnom praksom. Za liječenje sindroma lize tumora potrebno je, u skladu sa kliničkom indikacijom, korigovati poremećene vrijednosti elektrolita, nadgledati bubrežnu funkciju i ravnotežu tečnosti te uvesti </w:t>
      </w:r>
      <w:r w:rsidR="00D57572" w:rsidRPr="007403A4">
        <w:rPr>
          <w:sz w:val="22"/>
          <w:szCs w:val="22"/>
          <w:lang w:val="sr-Latn-ME"/>
        </w:rPr>
        <w:t>suportivno</w:t>
      </w:r>
      <w:r w:rsidRPr="007403A4">
        <w:rPr>
          <w:sz w:val="22"/>
          <w:szCs w:val="22"/>
          <w:lang w:val="sr-Latn-ME"/>
        </w:rPr>
        <w:t xml:space="preserve"> liječenje, uključujući dijalizu.</w:t>
      </w:r>
    </w:p>
    <w:p w14:paraId="63E5C631" w14:textId="77777777" w:rsidR="00ED7C77" w:rsidRPr="007403A4" w:rsidRDefault="00ED7C77">
      <w:pPr>
        <w:spacing w:before="1" w:line="254" w:lineRule="exact"/>
        <w:ind w:right="333"/>
        <w:jc w:val="both"/>
        <w:rPr>
          <w:sz w:val="22"/>
          <w:szCs w:val="22"/>
          <w:lang w:val="sr-Latn-ME"/>
        </w:rPr>
      </w:pPr>
    </w:p>
    <w:p w14:paraId="3E8B3A6A" w14:textId="615E3B25" w:rsidR="00ED7C77" w:rsidRPr="007403A4" w:rsidRDefault="00ED7C77">
      <w:pPr>
        <w:widowControl w:val="0"/>
        <w:spacing w:before="1" w:line="254" w:lineRule="exact"/>
        <w:ind w:right="333"/>
        <w:jc w:val="both"/>
        <w:rPr>
          <w:sz w:val="22"/>
          <w:szCs w:val="22"/>
          <w:u w:val="single"/>
          <w:lang w:val="sr-Latn-ME"/>
        </w:rPr>
      </w:pPr>
      <w:r w:rsidRPr="007403A4">
        <w:rPr>
          <w:sz w:val="22"/>
          <w:szCs w:val="22"/>
          <w:u w:val="single"/>
          <w:lang w:val="sr-Latn-ME"/>
        </w:rPr>
        <w:t xml:space="preserve">Neutropenija </w:t>
      </w:r>
    </w:p>
    <w:p w14:paraId="7E4CBAF0" w14:textId="2748A7EE"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 xml:space="preserve">Tokom liječenja lijekom Gazyvaro prijavljena je teška i po život opasna neutropenija, uključujući febrilnu neutropeniju. Pacijente kod kojih se pojavi neutropenija potrebno je pažljivo pratiti redovnim laboratorijskim analizama sve do normalizacije krvne slike. Ako je potrebno liječenje, ono mora biti sprovedeno u skladu sa lokalnim smjernicama, a potrebno je razmotriti i primjenu faktora stimulacije rasta kolonija granulocita </w:t>
      </w:r>
      <w:r w:rsidRPr="007403A4">
        <w:rPr>
          <w:lang w:val="sr-Latn-ME"/>
        </w:rPr>
        <w:t>(</w:t>
      </w:r>
      <w:r w:rsidRPr="007403A4">
        <w:rPr>
          <w:sz w:val="22"/>
          <w:lang w:val="sr-Latn-ME"/>
        </w:rPr>
        <w:t xml:space="preserve">engl. </w:t>
      </w:r>
      <w:r w:rsidRPr="007403A4">
        <w:rPr>
          <w:i/>
          <w:noProof/>
          <w:sz w:val="22"/>
          <w:lang w:val="sr-Latn-ME"/>
        </w:rPr>
        <w:t>granulocyte-colony stimulating factors</w:t>
      </w:r>
      <w:r w:rsidRPr="007403A4">
        <w:rPr>
          <w:noProof/>
          <w:sz w:val="22"/>
          <w:lang w:val="sr-Latn-ME"/>
        </w:rPr>
        <w:t>, G</w:t>
      </w:r>
      <w:r w:rsidRPr="007403A4">
        <w:rPr>
          <w:noProof/>
          <w:sz w:val="22"/>
          <w:lang w:val="sr-Latn-ME"/>
        </w:rPr>
        <w:noBreakHyphen/>
        <w:t>CSF</w:t>
      </w:r>
      <w:r w:rsidRPr="007403A4">
        <w:rPr>
          <w:sz w:val="22"/>
          <w:lang w:val="sr-Latn-ME"/>
        </w:rPr>
        <w:t>)</w:t>
      </w:r>
      <w:r w:rsidRPr="007403A4">
        <w:rPr>
          <w:sz w:val="22"/>
          <w:szCs w:val="22"/>
          <w:lang w:val="sr-Latn-ME"/>
        </w:rPr>
        <w:t>. Bilo koje simptome prateće infekcije potrebno je adekvatno liječiti. U slučaju teške i po život opasne neutropenije dolazi u obzir od</w:t>
      </w:r>
      <w:r w:rsidR="00D57572" w:rsidRPr="007403A4">
        <w:rPr>
          <w:sz w:val="22"/>
          <w:szCs w:val="22"/>
          <w:lang w:val="sr-Latn-ME"/>
        </w:rPr>
        <w:t>laganje</w:t>
      </w:r>
      <w:r w:rsidRPr="007403A4">
        <w:rPr>
          <w:sz w:val="22"/>
          <w:szCs w:val="22"/>
          <w:lang w:val="sr-Latn-ME"/>
        </w:rPr>
        <w:t xml:space="preserve"> primjene doze. Kod pacijenata sa teškom neutropenijom koja traje duže od nedjelju dana preporučuje se antimikrobna profilaksa tokom čitavog perioda liječenja, sve dok se neutropenija ne ublaži do 1. ili 2. stepena. Takođe tr</w:t>
      </w:r>
      <w:r w:rsidR="00D57572" w:rsidRPr="007403A4">
        <w:rPr>
          <w:sz w:val="22"/>
          <w:szCs w:val="22"/>
          <w:lang w:val="sr-Latn-ME"/>
        </w:rPr>
        <w:t>e</w:t>
      </w:r>
      <w:r w:rsidRPr="007403A4">
        <w:rPr>
          <w:sz w:val="22"/>
          <w:szCs w:val="22"/>
          <w:lang w:val="sr-Latn-ME"/>
        </w:rPr>
        <w:t>ba razmotriti antivirusn</w:t>
      </w:r>
      <w:r w:rsidR="00D57572" w:rsidRPr="007403A4">
        <w:rPr>
          <w:sz w:val="22"/>
          <w:szCs w:val="22"/>
          <w:lang w:val="sr-Latn-ME"/>
        </w:rPr>
        <w:t>u</w:t>
      </w:r>
      <w:r w:rsidRPr="007403A4">
        <w:rPr>
          <w:sz w:val="22"/>
          <w:szCs w:val="22"/>
          <w:lang w:val="sr-Latn-ME"/>
        </w:rPr>
        <w:t xml:space="preserve"> i antifungaln</w:t>
      </w:r>
      <w:r w:rsidR="00D57572" w:rsidRPr="007403A4">
        <w:rPr>
          <w:sz w:val="22"/>
          <w:szCs w:val="22"/>
          <w:lang w:val="sr-Latn-ME"/>
        </w:rPr>
        <w:t>u</w:t>
      </w:r>
      <w:r w:rsidR="00524085" w:rsidRPr="007403A4">
        <w:rPr>
          <w:sz w:val="22"/>
          <w:szCs w:val="22"/>
          <w:lang w:val="sr-Latn-ME"/>
        </w:rPr>
        <w:t xml:space="preserve"> profilaksu</w:t>
      </w:r>
      <w:r w:rsidRPr="007403A4">
        <w:rPr>
          <w:sz w:val="22"/>
          <w:szCs w:val="22"/>
          <w:lang w:val="sr-Latn-ME"/>
        </w:rPr>
        <w:t xml:space="preserve"> (vidjeti dio 4.2). Može se javiti od</w:t>
      </w:r>
      <w:r w:rsidR="00D57572" w:rsidRPr="007403A4">
        <w:rPr>
          <w:sz w:val="22"/>
          <w:szCs w:val="22"/>
          <w:lang w:val="sr-Latn-ME"/>
        </w:rPr>
        <w:t>ložena</w:t>
      </w:r>
      <w:r w:rsidRPr="007403A4">
        <w:rPr>
          <w:sz w:val="22"/>
          <w:szCs w:val="22"/>
          <w:lang w:val="sr-Latn-ME"/>
        </w:rPr>
        <w:t xml:space="preserve"> neutropenija (28 dana nakon završetka liječenja) ili dugotrajn</w:t>
      </w:r>
      <w:r w:rsidR="00D57572" w:rsidRPr="007403A4">
        <w:rPr>
          <w:sz w:val="22"/>
          <w:szCs w:val="22"/>
          <w:lang w:val="sr-Latn-ME"/>
        </w:rPr>
        <w:t>a</w:t>
      </w:r>
      <w:r w:rsidRPr="007403A4">
        <w:rPr>
          <w:sz w:val="22"/>
          <w:szCs w:val="22"/>
          <w:lang w:val="sr-Latn-ME"/>
        </w:rPr>
        <w:t xml:space="preserve"> neutropenij</w:t>
      </w:r>
      <w:r w:rsidR="00D57572" w:rsidRPr="007403A4">
        <w:rPr>
          <w:sz w:val="22"/>
          <w:szCs w:val="22"/>
          <w:lang w:val="sr-Latn-ME"/>
        </w:rPr>
        <w:t>a</w:t>
      </w:r>
      <w:r w:rsidRPr="007403A4">
        <w:rPr>
          <w:sz w:val="22"/>
          <w:szCs w:val="22"/>
          <w:lang w:val="sr-Latn-ME"/>
        </w:rPr>
        <w:t xml:space="preserve"> (koja traje duže od 28 dana nakon završetka/prekida liječenja). Rizik od neutropenije veći je kod pacijenata sa oštećenjem funkcije bubrega (CrCl &lt; 50 ml/min) (vidjeti dio 4.8). </w:t>
      </w:r>
    </w:p>
    <w:p w14:paraId="60AC8AF6" w14:textId="77777777" w:rsidR="00ED7C77" w:rsidRPr="007403A4" w:rsidRDefault="00ED7C77">
      <w:pPr>
        <w:spacing w:before="1" w:line="254" w:lineRule="exact"/>
        <w:ind w:right="333"/>
        <w:jc w:val="both"/>
        <w:rPr>
          <w:lang w:val="sr-Latn-ME" w:bidi="he-IL"/>
        </w:rPr>
      </w:pPr>
    </w:p>
    <w:p w14:paraId="565BF048" w14:textId="77777777" w:rsidR="00ED7C77" w:rsidRPr="007403A4" w:rsidRDefault="00ED7C77">
      <w:pPr>
        <w:widowControl w:val="0"/>
        <w:spacing w:before="1" w:line="254" w:lineRule="exact"/>
        <w:ind w:right="333"/>
        <w:jc w:val="both"/>
        <w:rPr>
          <w:sz w:val="22"/>
          <w:szCs w:val="22"/>
          <w:u w:val="single"/>
          <w:lang w:val="sr-Latn-ME"/>
        </w:rPr>
      </w:pPr>
      <w:r w:rsidRPr="007403A4">
        <w:rPr>
          <w:sz w:val="22"/>
          <w:szCs w:val="22"/>
          <w:u w:val="single"/>
          <w:lang w:val="sr-Latn-ME"/>
        </w:rPr>
        <w:t xml:space="preserve">Trombocitopenija </w:t>
      </w:r>
    </w:p>
    <w:p w14:paraId="201DF018" w14:textId="18FFFB9C"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 xml:space="preserve">Tokom liječenja lijekom Gazyvaro primijećena je teška i po život opasna trombocitopenija, uključujući akutnu trombocitopeniju (koja se javlja u roku od 24 sata nakon infuzije). Rizik od trombocitopenije je veći kod pacijenata sa oštećenjem funkcije bubrega (CrCl &lt; 50 ml/min) (vidjeti dio 4.8). Kod pacijenata liječenih lijekom Gazyvaro su u 1. ciklusu prijavljeni i događaji smrtonosnih krvarenja. Nije ustanovljena jasna veza između trombocitopenije i događaja krvarenja.  </w:t>
      </w:r>
    </w:p>
    <w:p w14:paraId="37909ED0" w14:textId="77777777" w:rsidR="00ED7C77" w:rsidRPr="007403A4" w:rsidRDefault="00ED7C77">
      <w:pPr>
        <w:widowControl w:val="0"/>
        <w:spacing w:before="1" w:line="254" w:lineRule="exact"/>
        <w:ind w:right="333"/>
        <w:jc w:val="both"/>
        <w:rPr>
          <w:sz w:val="22"/>
          <w:szCs w:val="22"/>
          <w:lang w:val="sr-Latn-ME"/>
        </w:rPr>
      </w:pPr>
    </w:p>
    <w:p w14:paraId="42296016" w14:textId="6EBFE986"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 xml:space="preserve">Pacijente je potrebno strogo nadgledati zbog moguće pojave trombocitopenije, naročito tokom prvog ciklusa; potrebno je </w:t>
      </w:r>
      <w:r w:rsidR="00D57572" w:rsidRPr="007403A4">
        <w:rPr>
          <w:sz w:val="22"/>
          <w:szCs w:val="22"/>
          <w:lang w:val="sr-Latn-ME"/>
        </w:rPr>
        <w:t xml:space="preserve">da se </w:t>
      </w:r>
      <w:r w:rsidRPr="007403A4">
        <w:rPr>
          <w:sz w:val="22"/>
          <w:szCs w:val="22"/>
          <w:lang w:val="sr-Latn-ME"/>
        </w:rPr>
        <w:t>redovno sprovode laboratorijske analize do normalizacije broja trombocita, a u slučajevima teške ili po život opasne trombocitopenije dolazi u obzir od</w:t>
      </w:r>
      <w:r w:rsidR="00D57572" w:rsidRPr="007403A4">
        <w:rPr>
          <w:sz w:val="22"/>
          <w:szCs w:val="22"/>
          <w:lang w:val="sr-Latn-ME"/>
        </w:rPr>
        <w:t>laganje</w:t>
      </w:r>
      <w:r w:rsidRPr="007403A4">
        <w:rPr>
          <w:sz w:val="22"/>
          <w:szCs w:val="22"/>
          <w:lang w:val="sr-Latn-ME"/>
        </w:rPr>
        <w:t xml:space="preserve"> primjene doze. Transfuzija krvnih preparata (tj. transfuzija trombocita) u skladu sa praksom ustanove odluka je nadležnog ljekara. Potrebno je da se vodi računa o istovremenoj primjeni bilo koje terapije koja bi mogla da pogorša događaje povezane sa trombocitopenijom, poput inhibitora trombocita i antikoagulansa, naročito tokom prvog ciklusa.</w:t>
      </w:r>
    </w:p>
    <w:p w14:paraId="7EBA7576" w14:textId="609B01E7" w:rsidR="005F3932" w:rsidRPr="007403A4" w:rsidRDefault="005F3932">
      <w:pPr>
        <w:widowControl w:val="0"/>
        <w:spacing w:before="1" w:line="254" w:lineRule="exact"/>
        <w:ind w:right="333"/>
        <w:jc w:val="both"/>
        <w:rPr>
          <w:sz w:val="22"/>
          <w:szCs w:val="22"/>
          <w:lang w:val="sr-Latn-ME"/>
        </w:rPr>
      </w:pPr>
    </w:p>
    <w:p w14:paraId="559F5F90" w14:textId="536EBF20" w:rsidR="005F3932" w:rsidRPr="007403A4" w:rsidRDefault="005F3932">
      <w:pPr>
        <w:widowControl w:val="0"/>
        <w:spacing w:before="1" w:line="254" w:lineRule="exact"/>
        <w:ind w:right="333"/>
        <w:jc w:val="both"/>
        <w:rPr>
          <w:sz w:val="22"/>
          <w:szCs w:val="22"/>
          <w:lang w:val="sr-Latn-ME"/>
        </w:rPr>
      </w:pPr>
      <w:r w:rsidRPr="007403A4">
        <w:rPr>
          <w:sz w:val="22"/>
          <w:szCs w:val="22"/>
          <w:u w:val="single"/>
          <w:lang w:val="sr-Latn-ME"/>
        </w:rPr>
        <w:t>Poremećaji koagulacije, uključujući diseminovanu intravaskularnu koagulaciju (DIK)</w:t>
      </w:r>
    </w:p>
    <w:p w14:paraId="35A4D7FB" w14:textId="57E22D89" w:rsidR="005F3932" w:rsidRPr="007403A4" w:rsidRDefault="005F3932">
      <w:pPr>
        <w:widowControl w:val="0"/>
        <w:spacing w:before="1" w:line="254" w:lineRule="exact"/>
        <w:ind w:right="333"/>
        <w:jc w:val="both"/>
        <w:rPr>
          <w:sz w:val="22"/>
          <w:szCs w:val="22"/>
          <w:lang w:val="sr-Latn-ME"/>
        </w:rPr>
      </w:pPr>
      <w:r w:rsidRPr="007403A4">
        <w:rPr>
          <w:sz w:val="22"/>
          <w:szCs w:val="22"/>
          <w:lang w:val="sr-Latn-ME"/>
        </w:rPr>
        <w:t xml:space="preserve">Diseminovana intravaskularna koagulacija (DIK), uključujući događaje sa smrtnim ishodom, </w:t>
      </w:r>
      <w:r w:rsidRPr="007403A4">
        <w:rPr>
          <w:sz w:val="22"/>
          <w:szCs w:val="22"/>
          <w:lang w:val="sr-Latn-ME"/>
        </w:rPr>
        <w:lastRenderedPageBreak/>
        <w:t xml:space="preserve">prijavljena je u kliničkim studijama kao i nakon stavljanja lijeka u promet kod pacijenata liječenih lijekom Gazyvaro. Većina slučajeva uključivala je DIK u ranoj fazi (engl. </w:t>
      </w:r>
      <w:r w:rsidRPr="007403A4">
        <w:rPr>
          <w:i/>
          <w:sz w:val="22"/>
          <w:szCs w:val="22"/>
          <w:lang w:val="sr-Latn-ME"/>
        </w:rPr>
        <w:t>non-overt</w:t>
      </w:r>
      <w:r w:rsidRPr="007403A4">
        <w:rPr>
          <w:sz w:val="22"/>
          <w:szCs w:val="22"/>
          <w:lang w:val="sr-Latn-ME"/>
        </w:rPr>
        <w:t>), uz subkliničke (asimptomatske) promjene vrijednosti trombocita i laboratorijskih parametara koagulacije koje su se javile unutar 1-2 dana nakon prve infuzije, a koje bi se obično spontano povukle unutar 1-2 ned</w:t>
      </w:r>
      <w:r w:rsidR="00D57572" w:rsidRPr="007403A4">
        <w:rPr>
          <w:sz w:val="22"/>
          <w:szCs w:val="22"/>
          <w:lang w:val="sr-Latn-ME"/>
        </w:rPr>
        <w:t>j</w:t>
      </w:r>
      <w:r w:rsidRPr="007403A4">
        <w:rPr>
          <w:sz w:val="22"/>
          <w:szCs w:val="22"/>
          <w:lang w:val="sr-Latn-ME"/>
        </w:rPr>
        <w:t>elje bez potrebe za prekidom primjene lijeka ili određenom intervencijom. U pojedinim slučajevima događaji su bili povezani sa reakcijama na infuziju i/ili sindromom lize tumora. Ni</w:t>
      </w:r>
      <w:r w:rsidR="00D57572" w:rsidRPr="007403A4">
        <w:rPr>
          <w:sz w:val="22"/>
          <w:szCs w:val="22"/>
          <w:lang w:val="sr-Latn-ME"/>
        </w:rPr>
        <w:t>je</w:t>
      </w:r>
      <w:r w:rsidRPr="007403A4">
        <w:rPr>
          <w:sz w:val="22"/>
          <w:szCs w:val="22"/>
          <w:lang w:val="sr-Latn-ME"/>
        </w:rPr>
        <w:t>su utvrđeni specifični početni faktori rizika za DIK. Kod pacijenata kod kojih se sumnja na DIK u ranoj fazi treba pažljivo pratiti parametre koagulacije, uključujući vrijednosti trombocita, uz kliničko praćenje kako bi se uočili zna</w:t>
      </w:r>
      <w:r w:rsidR="00F3025A" w:rsidRPr="007403A4">
        <w:rPr>
          <w:sz w:val="22"/>
          <w:szCs w:val="22"/>
          <w:lang w:val="sr-Latn-ME"/>
        </w:rPr>
        <w:t>kovi ili simptomi uznapredovale</w:t>
      </w:r>
      <w:r w:rsidRPr="007403A4">
        <w:rPr>
          <w:sz w:val="22"/>
          <w:szCs w:val="22"/>
          <w:lang w:val="sr-Latn-ME"/>
        </w:rPr>
        <w:t xml:space="preserve"> (engl. </w:t>
      </w:r>
      <w:r w:rsidRPr="007403A4">
        <w:rPr>
          <w:i/>
          <w:sz w:val="22"/>
          <w:szCs w:val="22"/>
          <w:lang w:val="sr-Latn-ME"/>
        </w:rPr>
        <w:t>overt</w:t>
      </w:r>
      <w:r w:rsidRPr="007403A4">
        <w:rPr>
          <w:sz w:val="22"/>
          <w:szCs w:val="22"/>
          <w:lang w:val="sr-Latn-ME"/>
        </w:rPr>
        <w:t xml:space="preserve">) </w:t>
      </w:r>
      <w:r w:rsidR="00F3025A" w:rsidRPr="007403A4">
        <w:rPr>
          <w:sz w:val="22"/>
          <w:szCs w:val="22"/>
          <w:lang w:val="sr-Latn-ME"/>
        </w:rPr>
        <w:t>diseminovane intravaskularne koagulacije</w:t>
      </w:r>
      <w:r w:rsidRPr="007403A4">
        <w:rPr>
          <w:sz w:val="22"/>
          <w:szCs w:val="22"/>
          <w:lang w:val="sr-Latn-ME"/>
        </w:rPr>
        <w:t>. Primjenu lijeka Gazyvaro treba prekinuti čim se posumnja na uznapredovali DIK i uvesti odgovarajuću terapiju.</w:t>
      </w:r>
    </w:p>
    <w:p w14:paraId="4858139E" w14:textId="77777777" w:rsidR="00ED7C77" w:rsidRPr="007403A4" w:rsidRDefault="00ED7C77">
      <w:pPr>
        <w:widowControl w:val="0"/>
        <w:spacing w:before="1" w:line="254" w:lineRule="exact"/>
        <w:ind w:right="333"/>
        <w:jc w:val="both"/>
        <w:rPr>
          <w:sz w:val="22"/>
          <w:szCs w:val="22"/>
          <w:lang w:val="sr-Latn-ME"/>
        </w:rPr>
      </w:pPr>
    </w:p>
    <w:p w14:paraId="75F57640" w14:textId="77777777" w:rsidR="00ED7C77" w:rsidRPr="007403A4" w:rsidRDefault="00ED7C77">
      <w:pPr>
        <w:keepNext/>
        <w:spacing w:before="1" w:line="254" w:lineRule="exact"/>
        <w:ind w:right="333"/>
        <w:jc w:val="both"/>
        <w:rPr>
          <w:sz w:val="22"/>
          <w:szCs w:val="22"/>
          <w:u w:val="single"/>
          <w:lang w:val="sr-Latn-ME"/>
        </w:rPr>
      </w:pPr>
      <w:r w:rsidRPr="007403A4">
        <w:rPr>
          <w:sz w:val="22"/>
          <w:szCs w:val="22"/>
          <w:u w:val="single"/>
          <w:lang w:val="sr-Latn-ME"/>
        </w:rPr>
        <w:t>Pogoršanje postojećih srčanih bolesti</w:t>
      </w:r>
    </w:p>
    <w:p w14:paraId="64C67DFE" w14:textId="2F645E93" w:rsidR="00ED7C77" w:rsidRPr="007403A4" w:rsidRDefault="00ED7C77">
      <w:pPr>
        <w:spacing w:before="1" w:line="254" w:lineRule="exact"/>
        <w:ind w:right="333"/>
        <w:jc w:val="both"/>
        <w:rPr>
          <w:sz w:val="22"/>
          <w:szCs w:val="22"/>
          <w:lang w:val="sr-Latn-ME"/>
        </w:rPr>
      </w:pPr>
      <w:r w:rsidRPr="007403A4">
        <w:rPr>
          <w:sz w:val="22"/>
          <w:szCs w:val="22"/>
          <w:lang w:val="sr-Latn-ME"/>
        </w:rPr>
        <w:t xml:space="preserve">Kod pacijenata sa postojećom srčanom bolešću koji su liječeni lijekom Gazyvaro zabilježene su aritmije (poput fibrilacije pretkomora i tahiaritmije), angina pektoris, akutni koronarni sindrom, infarkt miokarda te insuficijencija srca (vidjeti dio 4.8). Ti događaji se mogu pojaviti kao dio reakcije na infuziju i mogu biti smrtonosni. Zbog toga je pacijente sa srčanim bolestima u anamnezi potrebno pažljivo nadgledati. Osim toga, kod tih pacijenata je potrebno hidraciju sprovoditi uz oprez kako bi se spriječilo moguće preopterećenje tečnošću. </w:t>
      </w:r>
    </w:p>
    <w:p w14:paraId="2DDC6625" w14:textId="77777777" w:rsidR="00ED7C77" w:rsidRPr="007403A4" w:rsidRDefault="00ED7C77">
      <w:pPr>
        <w:spacing w:before="1" w:line="254" w:lineRule="exact"/>
        <w:ind w:right="333"/>
        <w:jc w:val="both"/>
        <w:rPr>
          <w:sz w:val="22"/>
          <w:szCs w:val="22"/>
          <w:lang w:val="sr-Latn-ME"/>
        </w:rPr>
      </w:pPr>
    </w:p>
    <w:p w14:paraId="7B47705B" w14:textId="77777777" w:rsidR="00ED7C77" w:rsidRPr="007403A4" w:rsidRDefault="00ED7C77">
      <w:pPr>
        <w:keepNext/>
        <w:spacing w:before="1" w:line="254" w:lineRule="exact"/>
        <w:ind w:right="333"/>
        <w:jc w:val="both"/>
        <w:rPr>
          <w:color w:val="FF0000"/>
          <w:sz w:val="22"/>
          <w:szCs w:val="22"/>
          <w:u w:val="single"/>
          <w:lang w:val="sr-Latn-ME"/>
        </w:rPr>
      </w:pPr>
      <w:r w:rsidRPr="007403A4">
        <w:rPr>
          <w:sz w:val="22"/>
          <w:szCs w:val="22"/>
          <w:u w:val="single"/>
          <w:lang w:val="sr-Latn-ME"/>
        </w:rPr>
        <w:t>Infekcije</w:t>
      </w:r>
    </w:p>
    <w:p w14:paraId="7EAE47DE" w14:textId="70686AA7" w:rsidR="00ED7C77" w:rsidRPr="007403A4" w:rsidRDefault="00A21B70">
      <w:pPr>
        <w:spacing w:before="1" w:line="254" w:lineRule="exact"/>
        <w:ind w:right="333"/>
        <w:jc w:val="both"/>
        <w:rPr>
          <w:sz w:val="22"/>
          <w:szCs w:val="22"/>
          <w:lang w:val="sr-Latn-ME"/>
        </w:rPr>
      </w:pPr>
      <w:r w:rsidRPr="007403A4">
        <w:rPr>
          <w:sz w:val="22"/>
          <w:szCs w:val="22"/>
          <w:lang w:val="sr-Latn-ME"/>
        </w:rPr>
        <w:t xml:space="preserve">Lijek </w:t>
      </w:r>
      <w:r w:rsidR="00ED7C77" w:rsidRPr="007403A4">
        <w:rPr>
          <w:sz w:val="22"/>
          <w:szCs w:val="22"/>
          <w:lang w:val="sr-Latn-ME"/>
        </w:rPr>
        <w:t xml:space="preserve">Gazyvaro se ne smije primjenjivati ako pacijent ima aktivnu infekciju, i potreban je oprez kad se razmatra primjena lijeka Gazyvaro kod pacijenata sa rekurentnim ili hroničnim infekcijama u anamnezi. Tokom terapije lijekom Gazyvaro i po njenom završetku mogu se razviti ozbiljne bakterijske i gljivične infekcije, a mogu se pojaviti i nove ili reaktivirati postojeće virusne infekcije. Prijavljene su infekcije sa smrtnim ishodom. </w:t>
      </w:r>
    </w:p>
    <w:p w14:paraId="7F0816BE" w14:textId="7793260C" w:rsidR="00ED7C77" w:rsidRPr="007403A4" w:rsidRDefault="00ED7C77">
      <w:pPr>
        <w:spacing w:before="1" w:line="254" w:lineRule="exact"/>
        <w:ind w:right="333"/>
        <w:jc w:val="both"/>
        <w:rPr>
          <w:sz w:val="22"/>
          <w:szCs w:val="22"/>
          <w:lang w:val="sr-Latn-ME"/>
        </w:rPr>
      </w:pPr>
      <w:r w:rsidRPr="007403A4">
        <w:rPr>
          <w:sz w:val="22"/>
          <w:szCs w:val="22"/>
          <w:lang w:val="sr-Latn-ME"/>
        </w:rPr>
        <w:t>Rizik od infekcija, uključujući ozbiljne infekcije, veći je kod pacijenata (HLL) koji imaju CIRS rezultat &gt; 6 i CrCl &lt; 70 ml/min (vidjeti dio 4.8). U ispitivanjima primjene kod folikularnog limfoma primijećena je visoka incidenca infekcija u svim fazama ispitivanja, uključujući praćenje, sa najvišom  incidencom zabilježenom tokom faze održavanja. Tokom faze praćenja, infekcije 3-5.</w:t>
      </w:r>
      <w:r w:rsidR="004F24AB" w:rsidRPr="007403A4">
        <w:rPr>
          <w:sz w:val="22"/>
          <w:szCs w:val="22"/>
          <w:lang w:val="sr-Latn-ME"/>
        </w:rPr>
        <w:t xml:space="preserve"> stepena </w:t>
      </w:r>
      <w:r w:rsidRPr="007403A4">
        <w:rPr>
          <w:sz w:val="22"/>
          <w:szCs w:val="22"/>
          <w:lang w:val="sr-Latn-ME"/>
        </w:rPr>
        <w:t xml:space="preserve">češće su primijećene kod pacijenata koji su tokom faze uvodnog liječenja primali </w:t>
      </w:r>
      <w:r w:rsidR="00A21B70" w:rsidRPr="007403A4">
        <w:rPr>
          <w:sz w:val="22"/>
          <w:szCs w:val="22"/>
          <w:lang w:val="sr-Latn-ME"/>
        </w:rPr>
        <w:t xml:space="preserve">lijek </w:t>
      </w:r>
      <w:r w:rsidRPr="007403A4">
        <w:rPr>
          <w:sz w:val="22"/>
          <w:szCs w:val="22"/>
          <w:lang w:val="sr-Latn-ME"/>
        </w:rPr>
        <w:t>Gazyvaro plus bendamustin.</w:t>
      </w:r>
    </w:p>
    <w:p w14:paraId="745D640B" w14:textId="77777777" w:rsidR="00ED7C77" w:rsidRPr="007403A4" w:rsidRDefault="00ED7C77">
      <w:pPr>
        <w:spacing w:before="1" w:line="254" w:lineRule="exact"/>
        <w:ind w:right="333"/>
        <w:jc w:val="both"/>
        <w:rPr>
          <w:sz w:val="22"/>
          <w:szCs w:val="22"/>
          <w:lang w:val="sr-Latn-ME"/>
        </w:rPr>
      </w:pPr>
    </w:p>
    <w:p w14:paraId="3DD3DEED" w14:textId="77777777" w:rsidR="00ED7C77" w:rsidRPr="007403A4" w:rsidRDefault="00ED7C77">
      <w:pPr>
        <w:keepNext/>
        <w:spacing w:before="1" w:line="254" w:lineRule="exact"/>
        <w:ind w:right="333"/>
        <w:jc w:val="both"/>
        <w:rPr>
          <w:sz w:val="22"/>
          <w:szCs w:val="22"/>
          <w:u w:val="single"/>
          <w:lang w:val="sr-Latn-ME"/>
        </w:rPr>
      </w:pPr>
      <w:r w:rsidRPr="007403A4">
        <w:rPr>
          <w:sz w:val="22"/>
          <w:szCs w:val="22"/>
          <w:u w:val="single"/>
          <w:lang w:val="sr-Latn-ME"/>
        </w:rPr>
        <w:t xml:space="preserve">Reaktivacija hepatitisa B </w:t>
      </w:r>
    </w:p>
    <w:p w14:paraId="041BF75A" w14:textId="01C313AB" w:rsidR="00ED7C77" w:rsidRPr="007403A4" w:rsidRDefault="00ED7C77">
      <w:pPr>
        <w:widowControl w:val="0"/>
        <w:spacing w:before="1" w:line="254" w:lineRule="exact"/>
        <w:ind w:right="333"/>
        <w:jc w:val="both"/>
        <w:rPr>
          <w:sz w:val="22"/>
          <w:szCs w:val="22"/>
          <w:lang w:val="sr-Latn-ME"/>
        </w:rPr>
      </w:pPr>
      <w:r w:rsidRPr="007403A4">
        <w:rPr>
          <w:sz w:val="22"/>
          <w:szCs w:val="22"/>
          <w:lang w:val="sr-Latn-ME"/>
        </w:rPr>
        <w:t>Kod pacijenata liječenih anti</w:t>
      </w:r>
      <w:r w:rsidRPr="007403A4">
        <w:rPr>
          <w:sz w:val="22"/>
          <w:szCs w:val="22"/>
          <w:lang w:val="sr-Latn-ME"/>
        </w:rPr>
        <w:noBreakHyphen/>
        <w:t>CD20 antitijelima, uključujući lijek Gazyvaro, može doći do reaktivacije virusa hepatitisa B (HBV), što u nekim slučajevima može da rezult</w:t>
      </w:r>
      <w:r w:rsidR="00234C0F" w:rsidRPr="007403A4">
        <w:rPr>
          <w:sz w:val="22"/>
          <w:szCs w:val="22"/>
          <w:lang w:val="sr-Latn-ME"/>
        </w:rPr>
        <w:t>uje</w:t>
      </w:r>
      <w:r w:rsidRPr="007403A4">
        <w:rPr>
          <w:sz w:val="22"/>
          <w:szCs w:val="22"/>
          <w:lang w:val="sr-Latn-ME"/>
        </w:rPr>
        <w:t xml:space="preserve"> fulminantnim hepatitisom, insufi</w:t>
      </w:r>
      <w:r w:rsidR="00234C0F" w:rsidRPr="007403A4">
        <w:rPr>
          <w:sz w:val="22"/>
          <w:szCs w:val="22"/>
          <w:lang w:val="sr-Latn-ME"/>
        </w:rPr>
        <w:t>ci</w:t>
      </w:r>
      <w:r w:rsidRPr="007403A4">
        <w:rPr>
          <w:sz w:val="22"/>
          <w:szCs w:val="22"/>
          <w:lang w:val="sr-Latn-ME"/>
        </w:rPr>
        <w:t xml:space="preserve">jencijom jetre i smrtnim ishodom (vidjeti dio 4.8). Prije početka liječenja lijekom Gazyvaro, kod svih pacijenata je potrebno napraviti skrining na HBV. Skrining bi morao najmanje da uključuje određivanje statusa površinskog antigena hepatitisa B (HBsAg) i statusa antitijela na površinski antigen hepatitisa B (HBcAb). Testiranje se može dopuniti i određivanjem drugih odgovarajućih markera, u skladu sa lokalnim smjernicama. Pacijenti sa aktivnim hepatitisom B ne smiju se liječiti lijekom Gazyvaro. Pacijenti sa pozitivnim serološkim testovima na hepatitis B moraju da se prije početka liječenja konsultuju sa stručnjacima za bolesti jetre te ih je potrebno nadgledati i liječiti u skladu sa lokalnim medicinskim standardima kako bi se spriječila reaktivacija hepatitisa. </w:t>
      </w:r>
    </w:p>
    <w:p w14:paraId="3FECF596" w14:textId="77777777" w:rsidR="00ED7C77" w:rsidRPr="007403A4" w:rsidRDefault="00ED7C77">
      <w:pPr>
        <w:spacing w:before="1" w:line="254" w:lineRule="exact"/>
        <w:ind w:right="333"/>
        <w:jc w:val="both"/>
        <w:rPr>
          <w:color w:val="000000"/>
          <w:szCs w:val="22"/>
          <w:lang w:val="sr-Latn-ME" w:bidi="he-IL"/>
        </w:rPr>
      </w:pPr>
    </w:p>
    <w:p w14:paraId="009656AF" w14:textId="77777777" w:rsidR="00ED7C77" w:rsidRPr="007403A4" w:rsidRDefault="00ED7C77">
      <w:pPr>
        <w:spacing w:before="1" w:line="254" w:lineRule="exact"/>
        <w:ind w:right="333"/>
        <w:jc w:val="both"/>
        <w:rPr>
          <w:sz w:val="22"/>
          <w:szCs w:val="22"/>
          <w:u w:val="single"/>
          <w:lang w:val="sr-Latn-ME"/>
        </w:rPr>
      </w:pPr>
      <w:r w:rsidRPr="007403A4">
        <w:rPr>
          <w:sz w:val="22"/>
          <w:szCs w:val="22"/>
          <w:u w:val="single"/>
          <w:lang w:val="sr-Latn-ME"/>
        </w:rPr>
        <w:t>Progresivna multifokalna leukoencefalopatija (PML)</w:t>
      </w:r>
    </w:p>
    <w:p w14:paraId="22882D3A" w14:textId="11FEA67A" w:rsidR="00ED7C77" w:rsidRPr="007403A4" w:rsidRDefault="00ED7C77">
      <w:pPr>
        <w:spacing w:before="1" w:line="254" w:lineRule="exact"/>
        <w:ind w:right="333"/>
        <w:jc w:val="both"/>
        <w:rPr>
          <w:sz w:val="22"/>
          <w:szCs w:val="22"/>
          <w:lang w:val="sr-Latn-ME"/>
        </w:rPr>
      </w:pPr>
      <w:r w:rsidRPr="007403A4">
        <w:rPr>
          <w:sz w:val="22"/>
          <w:szCs w:val="22"/>
          <w:lang w:val="sr-Latn-ME"/>
        </w:rPr>
        <w:t>Kod pacijenata liječenih lijekom Gazyvaro prijavljena je progresivna multifokalna leukoencefalopatija (PML) (vidjeti dio 4.8). Na PML je potrebno posumnjati kod svih pacijenata kod kojih se pojave novi ili promijene već postojeći neurološki simptomi. Simptomi PML ni</w:t>
      </w:r>
      <w:r w:rsidR="00234C0F" w:rsidRPr="007403A4">
        <w:rPr>
          <w:sz w:val="22"/>
          <w:szCs w:val="22"/>
          <w:lang w:val="sr-Latn-ME"/>
        </w:rPr>
        <w:t>je</w:t>
      </w:r>
      <w:r w:rsidRPr="007403A4">
        <w:rPr>
          <w:sz w:val="22"/>
          <w:szCs w:val="22"/>
          <w:lang w:val="sr-Latn-ME"/>
        </w:rPr>
        <w:t>su specifični i razlikuju se zavisno od toga koji je dio mozga zahvaćen. Česti su motorički simptomi koji se odnose na kortikospinalni put (npr. mišićna slabost, paraliza i čulne smetnje), čulni poremećaji, cerebelarni simptomi i ispadi vidnog polja. Mogu se javiti neki znaci/simptomi koji se</w:t>
      </w:r>
      <w:r w:rsidR="00234C0F" w:rsidRPr="007403A4">
        <w:rPr>
          <w:sz w:val="22"/>
          <w:szCs w:val="22"/>
          <w:lang w:val="sr-Latn-ME"/>
        </w:rPr>
        <w:t xml:space="preserve"> </w:t>
      </w:r>
      <w:r w:rsidRPr="007403A4">
        <w:rPr>
          <w:sz w:val="22"/>
          <w:szCs w:val="22"/>
          <w:lang w:val="sr-Latn-ME"/>
        </w:rPr>
        <w:t>smatraju 'kortikalnima' (npr. afazija ili vidno</w:t>
      </w:r>
      <w:r w:rsidRPr="007403A4">
        <w:rPr>
          <w:sz w:val="22"/>
          <w:szCs w:val="22"/>
          <w:lang w:val="sr-Latn-ME"/>
        </w:rPr>
        <w:noBreakHyphen/>
        <w:t>prostorna dezorijentacija). Procjena PML uključuje, između ostalog, konsultaciju sa neurologom, magnet</w:t>
      </w:r>
      <w:r w:rsidR="00234C0F" w:rsidRPr="007403A4">
        <w:rPr>
          <w:sz w:val="22"/>
          <w:szCs w:val="22"/>
          <w:lang w:val="sr-Latn-ME"/>
        </w:rPr>
        <w:t xml:space="preserve">nu </w:t>
      </w:r>
      <w:r w:rsidRPr="007403A4">
        <w:rPr>
          <w:sz w:val="22"/>
          <w:szCs w:val="22"/>
          <w:lang w:val="sr-Latn-ME"/>
        </w:rPr>
        <w:t>rezonanc</w:t>
      </w:r>
      <w:r w:rsidR="00234C0F" w:rsidRPr="007403A4">
        <w:rPr>
          <w:sz w:val="22"/>
          <w:szCs w:val="22"/>
          <w:lang w:val="sr-Latn-ME"/>
        </w:rPr>
        <w:t xml:space="preserve">u mozga </w:t>
      </w:r>
      <w:r w:rsidRPr="007403A4">
        <w:rPr>
          <w:sz w:val="22"/>
          <w:szCs w:val="22"/>
          <w:lang w:val="sr-Latn-ME"/>
        </w:rPr>
        <w:t xml:space="preserve"> (MR) i lumbalnu punkciju (testiranje cerebrospinalnog likvora na prisu</w:t>
      </w:r>
      <w:r w:rsidR="00234C0F" w:rsidRPr="007403A4">
        <w:rPr>
          <w:sz w:val="22"/>
          <w:szCs w:val="22"/>
          <w:lang w:val="sr-Latn-ME"/>
        </w:rPr>
        <w:t>stvo</w:t>
      </w:r>
      <w:r w:rsidRPr="007403A4">
        <w:rPr>
          <w:sz w:val="22"/>
          <w:szCs w:val="22"/>
          <w:lang w:val="sr-Latn-ME"/>
        </w:rPr>
        <w:t xml:space="preserve"> DNK </w:t>
      </w:r>
      <w:r w:rsidRPr="007403A4">
        <w:rPr>
          <w:i/>
          <w:sz w:val="22"/>
          <w:szCs w:val="22"/>
          <w:lang w:val="sr-Latn-ME"/>
        </w:rPr>
        <w:t>John Cunningham</w:t>
      </w:r>
      <w:r w:rsidRPr="007403A4">
        <w:rPr>
          <w:sz w:val="22"/>
          <w:szCs w:val="22"/>
          <w:lang w:val="sr-Latn-ME"/>
        </w:rPr>
        <w:t xml:space="preserve"> virusa). </w:t>
      </w:r>
      <w:r w:rsidR="008627DD" w:rsidRPr="007403A4">
        <w:rPr>
          <w:sz w:val="22"/>
          <w:szCs w:val="22"/>
          <w:lang w:val="sr-Latn-ME"/>
        </w:rPr>
        <w:t>Obustava</w:t>
      </w:r>
      <w:r w:rsidRPr="007403A4">
        <w:rPr>
          <w:sz w:val="22"/>
          <w:szCs w:val="22"/>
          <w:lang w:val="sr-Latn-ME"/>
        </w:rPr>
        <w:t xml:space="preserve"> ter</w:t>
      </w:r>
      <w:r w:rsidR="00B13134" w:rsidRPr="007403A4">
        <w:rPr>
          <w:sz w:val="22"/>
          <w:szCs w:val="22"/>
          <w:lang w:val="sr-Latn-ME"/>
        </w:rPr>
        <w:t>a</w:t>
      </w:r>
      <w:r w:rsidRPr="007403A4">
        <w:rPr>
          <w:sz w:val="22"/>
          <w:szCs w:val="22"/>
          <w:lang w:val="sr-Latn-ME"/>
        </w:rPr>
        <w:t>pije lijekom Gazyvaro potrebn</w:t>
      </w:r>
      <w:r w:rsidR="008627DD" w:rsidRPr="007403A4">
        <w:rPr>
          <w:sz w:val="22"/>
          <w:szCs w:val="22"/>
          <w:lang w:val="sr-Latn-ME"/>
        </w:rPr>
        <w:t>a</w:t>
      </w:r>
      <w:r w:rsidRPr="007403A4">
        <w:rPr>
          <w:sz w:val="22"/>
          <w:szCs w:val="22"/>
          <w:lang w:val="sr-Latn-ME"/>
        </w:rPr>
        <w:t xml:space="preserve"> je dok se ne utvrdi da li pacijent boluje od PML, a ako se PML potvrdi, </w:t>
      </w:r>
      <w:r w:rsidRPr="007403A4">
        <w:rPr>
          <w:sz w:val="22"/>
          <w:szCs w:val="22"/>
          <w:lang w:val="sr-Latn-ME"/>
        </w:rPr>
        <w:lastRenderedPageBreak/>
        <w:t>liječenje je potrebno trajno obustaviti. Takođe dolazi u obzir da se obustavi primjena ili smanji doza svih konkomitantnih hemoterapijskih ili imunosupresivnih ljekova. Pacijenta je potrebno uputiti neurologu radi procjene i liječenja PML</w:t>
      </w:r>
      <w:r w:rsidRPr="007403A4">
        <w:rPr>
          <w:sz w:val="22"/>
          <w:szCs w:val="22"/>
          <w:lang w:val="sr-Latn-ME"/>
        </w:rPr>
        <w:noBreakHyphen/>
        <w:t>a.</w:t>
      </w:r>
    </w:p>
    <w:p w14:paraId="5D3BBFA5" w14:textId="77777777" w:rsidR="00ED7C77" w:rsidRPr="007403A4" w:rsidRDefault="00ED7C77">
      <w:pPr>
        <w:spacing w:before="1" w:line="254" w:lineRule="exact"/>
        <w:ind w:right="333"/>
        <w:jc w:val="both"/>
        <w:rPr>
          <w:sz w:val="22"/>
          <w:szCs w:val="22"/>
          <w:lang w:val="sr-Latn-ME"/>
        </w:rPr>
      </w:pPr>
    </w:p>
    <w:p w14:paraId="5833FD69" w14:textId="77777777" w:rsidR="00ED7C77" w:rsidRPr="007403A4" w:rsidRDefault="00ED7C77">
      <w:pPr>
        <w:keepNext/>
        <w:spacing w:before="1" w:line="254" w:lineRule="exact"/>
        <w:ind w:right="333"/>
        <w:jc w:val="both"/>
        <w:rPr>
          <w:sz w:val="22"/>
          <w:szCs w:val="22"/>
          <w:u w:val="single"/>
          <w:lang w:val="sr-Latn-ME"/>
        </w:rPr>
      </w:pPr>
      <w:r w:rsidRPr="007403A4">
        <w:rPr>
          <w:sz w:val="22"/>
          <w:szCs w:val="22"/>
          <w:u w:val="single"/>
          <w:lang w:val="sr-Latn-ME"/>
        </w:rPr>
        <w:t>Vakcinacija</w:t>
      </w:r>
    </w:p>
    <w:p w14:paraId="5D8D8CD8" w14:textId="71454752" w:rsidR="00ED7C77" w:rsidRPr="007403A4" w:rsidRDefault="00ED7C77">
      <w:pPr>
        <w:spacing w:before="1" w:line="254" w:lineRule="exact"/>
        <w:ind w:right="333"/>
        <w:jc w:val="both"/>
        <w:rPr>
          <w:sz w:val="22"/>
          <w:szCs w:val="22"/>
          <w:lang w:val="sr-Latn-ME"/>
        </w:rPr>
      </w:pPr>
      <w:r w:rsidRPr="007403A4">
        <w:rPr>
          <w:sz w:val="22"/>
          <w:szCs w:val="22"/>
          <w:lang w:val="sr-Latn-ME"/>
        </w:rPr>
        <w:t>Bezbjednost vakcincije živim ili atenui</w:t>
      </w:r>
      <w:r w:rsidR="008627DD" w:rsidRPr="007403A4">
        <w:rPr>
          <w:sz w:val="22"/>
          <w:szCs w:val="22"/>
          <w:lang w:val="sr-Latn-ME"/>
        </w:rPr>
        <w:t>s</w:t>
      </w:r>
      <w:r w:rsidRPr="007403A4">
        <w:rPr>
          <w:sz w:val="22"/>
          <w:szCs w:val="22"/>
          <w:lang w:val="sr-Latn-ME"/>
        </w:rPr>
        <w:t xml:space="preserve">anim virusnim vakcinama nakon terapije lijekom Gazyvaro nije ispitivana. Ne preporučuje se vakcinacija živim virusnim vakcinama tokom liječenja kao ni prije normalizacije broja B ćelija. </w:t>
      </w:r>
    </w:p>
    <w:p w14:paraId="1A61234C" w14:textId="77777777" w:rsidR="00ED7C77" w:rsidRPr="007403A4" w:rsidRDefault="00ED7C77">
      <w:pPr>
        <w:spacing w:before="1" w:line="254" w:lineRule="exact"/>
        <w:ind w:right="333"/>
        <w:jc w:val="both"/>
        <w:rPr>
          <w:sz w:val="22"/>
          <w:szCs w:val="22"/>
          <w:lang w:val="sr-Latn-ME"/>
        </w:rPr>
      </w:pPr>
      <w:r w:rsidRPr="007403A4">
        <w:rPr>
          <w:sz w:val="22"/>
          <w:szCs w:val="22"/>
          <w:lang w:val="sr-Latn-ME"/>
        </w:rPr>
        <w:t xml:space="preserve"> </w:t>
      </w:r>
    </w:p>
    <w:p w14:paraId="1B93D282" w14:textId="09CE0D0D" w:rsidR="00ED7C77" w:rsidRPr="007403A4" w:rsidRDefault="00ED7C77">
      <w:pPr>
        <w:keepNext/>
        <w:spacing w:before="1" w:line="254" w:lineRule="exact"/>
        <w:ind w:right="333"/>
        <w:jc w:val="both"/>
        <w:rPr>
          <w:i/>
          <w:sz w:val="22"/>
          <w:szCs w:val="22"/>
          <w:lang w:val="sr-Latn-ME"/>
        </w:rPr>
      </w:pPr>
      <w:r w:rsidRPr="007403A4">
        <w:rPr>
          <w:i/>
          <w:sz w:val="22"/>
          <w:szCs w:val="22"/>
          <w:lang w:val="sr-Latn-ME"/>
        </w:rPr>
        <w:t xml:space="preserve">Izloženost obinutuzumabu u materici i vakcinacija  </w:t>
      </w:r>
      <w:r w:rsidR="008627DD" w:rsidRPr="007403A4">
        <w:rPr>
          <w:i/>
          <w:sz w:val="22"/>
          <w:szCs w:val="22"/>
          <w:lang w:val="sr-Latn-ME"/>
        </w:rPr>
        <w:t>odojčad</w:t>
      </w:r>
      <w:r w:rsidRPr="007403A4">
        <w:rPr>
          <w:i/>
          <w:sz w:val="22"/>
          <w:szCs w:val="22"/>
          <w:lang w:val="sr-Latn-ME"/>
        </w:rPr>
        <w:t>i živim virusnim vakcinama</w:t>
      </w:r>
    </w:p>
    <w:p w14:paraId="10FF8C09" w14:textId="53E96E8C" w:rsidR="00ED7C77" w:rsidRPr="007403A4" w:rsidRDefault="00ED7C77">
      <w:pPr>
        <w:spacing w:before="1" w:line="254" w:lineRule="exact"/>
        <w:ind w:right="333"/>
        <w:jc w:val="both"/>
        <w:rPr>
          <w:sz w:val="22"/>
          <w:szCs w:val="22"/>
          <w:lang w:val="sr-Latn-ME"/>
        </w:rPr>
      </w:pPr>
      <w:r w:rsidRPr="007403A4">
        <w:rPr>
          <w:sz w:val="22"/>
          <w:szCs w:val="22"/>
          <w:lang w:val="sr-Latn-ME"/>
        </w:rPr>
        <w:t xml:space="preserve">Zbog moguće deplecije B ćelija kod </w:t>
      </w:r>
      <w:r w:rsidR="008627DD" w:rsidRPr="007403A4">
        <w:rPr>
          <w:sz w:val="22"/>
          <w:szCs w:val="22"/>
          <w:lang w:val="sr-Latn-ME"/>
        </w:rPr>
        <w:t>odojčadi</w:t>
      </w:r>
      <w:r w:rsidRPr="007403A4">
        <w:rPr>
          <w:sz w:val="22"/>
          <w:szCs w:val="22"/>
          <w:lang w:val="sr-Latn-ME"/>
        </w:rPr>
        <w:t xml:space="preserve"> čije su majke bile izložene lijeku Gazyvaro tokom trudnoće, </w:t>
      </w:r>
      <w:r w:rsidR="008627DD" w:rsidRPr="007403A4">
        <w:rPr>
          <w:sz w:val="22"/>
          <w:szCs w:val="22"/>
          <w:lang w:val="sr-Latn-ME"/>
        </w:rPr>
        <w:t>odojčad</w:t>
      </w:r>
      <w:r w:rsidRPr="007403A4">
        <w:rPr>
          <w:sz w:val="22"/>
          <w:szCs w:val="22"/>
          <w:lang w:val="sr-Latn-ME"/>
        </w:rPr>
        <w:t xml:space="preserve"> je potrebno nad</w:t>
      </w:r>
      <w:r w:rsidR="008627DD" w:rsidRPr="007403A4">
        <w:rPr>
          <w:sz w:val="22"/>
          <w:szCs w:val="22"/>
          <w:lang w:val="sr-Latn-ME"/>
        </w:rPr>
        <w:t>gledat</w:t>
      </w:r>
      <w:r w:rsidRPr="007403A4">
        <w:rPr>
          <w:sz w:val="22"/>
          <w:szCs w:val="22"/>
          <w:lang w:val="sr-Latn-ME"/>
        </w:rPr>
        <w:t>i kako bi se uočili mogući znaci deplecije B ćelija, a vakcinaciju živim virusnim vakcinama potrebno je od</w:t>
      </w:r>
      <w:r w:rsidR="008627DD" w:rsidRPr="007403A4">
        <w:rPr>
          <w:sz w:val="22"/>
          <w:szCs w:val="22"/>
          <w:lang w:val="sr-Latn-ME"/>
        </w:rPr>
        <w:t>ložiti</w:t>
      </w:r>
      <w:r w:rsidRPr="007403A4">
        <w:rPr>
          <w:sz w:val="22"/>
          <w:szCs w:val="22"/>
          <w:lang w:val="sr-Latn-ME"/>
        </w:rPr>
        <w:t xml:space="preserve"> do oporavka broja B ćelija kod </w:t>
      </w:r>
      <w:r w:rsidR="008627DD" w:rsidRPr="007403A4">
        <w:rPr>
          <w:sz w:val="22"/>
          <w:szCs w:val="22"/>
          <w:lang w:val="sr-Latn-ME"/>
        </w:rPr>
        <w:t>odojčadi</w:t>
      </w:r>
      <w:r w:rsidR="007C4C0E" w:rsidRPr="007403A4">
        <w:rPr>
          <w:sz w:val="22"/>
          <w:szCs w:val="22"/>
          <w:lang w:val="sr-Latn-ME"/>
        </w:rPr>
        <w:t>.</w:t>
      </w:r>
      <w:r w:rsidRPr="007403A4">
        <w:rPr>
          <w:lang w:val="sr-Latn-ME"/>
        </w:rPr>
        <w:t xml:space="preserve"> </w:t>
      </w:r>
      <w:r w:rsidRPr="007403A4">
        <w:rPr>
          <w:sz w:val="22"/>
          <w:szCs w:val="22"/>
          <w:lang w:val="sr-Latn-ME"/>
        </w:rPr>
        <w:t>O bezbjednosti i vremenu vakcinacije treba razgovarati sa djetetovim ljekarom (vidjeti dio 4.6).</w:t>
      </w:r>
    </w:p>
    <w:p w14:paraId="00BC0B6F" w14:textId="6E17BD7C" w:rsidR="00057E35" w:rsidRPr="007403A4" w:rsidRDefault="00057E35">
      <w:pPr>
        <w:tabs>
          <w:tab w:val="left" w:pos="540"/>
          <w:tab w:val="left" w:pos="569"/>
        </w:tabs>
        <w:jc w:val="both"/>
        <w:rPr>
          <w:bCs/>
          <w:sz w:val="22"/>
          <w:szCs w:val="22"/>
          <w:lang w:val="sr-Latn-ME"/>
        </w:rPr>
      </w:pPr>
    </w:p>
    <w:p w14:paraId="490F5300" w14:textId="75DCC437" w:rsidR="00411B4B" w:rsidRPr="007403A4" w:rsidRDefault="00411B4B">
      <w:pPr>
        <w:tabs>
          <w:tab w:val="left" w:pos="540"/>
          <w:tab w:val="left" w:pos="569"/>
        </w:tabs>
        <w:jc w:val="both"/>
        <w:rPr>
          <w:b/>
          <w:bCs/>
          <w:sz w:val="22"/>
          <w:szCs w:val="22"/>
          <w:lang w:val="sr-Latn-ME"/>
        </w:rPr>
      </w:pPr>
      <w:r w:rsidRPr="007403A4">
        <w:rPr>
          <w:b/>
          <w:bCs/>
          <w:sz w:val="22"/>
          <w:szCs w:val="22"/>
          <w:lang w:val="sr-Latn-ME"/>
        </w:rPr>
        <w:t>4.5.</w:t>
      </w:r>
      <w:r w:rsidR="000D60CC" w:rsidRPr="007403A4">
        <w:rPr>
          <w:b/>
          <w:bCs/>
          <w:sz w:val="22"/>
          <w:szCs w:val="22"/>
          <w:lang w:val="sr-Latn-ME"/>
        </w:rPr>
        <w:tab/>
      </w:r>
      <w:r w:rsidRPr="007403A4">
        <w:rPr>
          <w:b/>
          <w:bCs/>
          <w:sz w:val="22"/>
          <w:szCs w:val="22"/>
          <w:lang w:val="sr-Latn-ME"/>
        </w:rPr>
        <w:t>Interakcije sa drugim ljekovima i druge vrste interakcija</w:t>
      </w:r>
    </w:p>
    <w:p w14:paraId="3160617A" w14:textId="77777777" w:rsidR="007A2492" w:rsidRPr="007403A4" w:rsidRDefault="007A2492">
      <w:pPr>
        <w:tabs>
          <w:tab w:val="left" w:pos="540"/>
          <w:tab w:val="left" w:pos="569"/>
        </w:tabs>
        <w:jc w:val="both"/>
        <w:rPr>
          <w:b/>
          <w:bCs/>
          <w:sz w:val="22"/>
          <w:szCs w:val="22"/>
          <w:lang w:val="sr-Latn-ME"/>
        </w:rPr>
      </w:pPr>
    </w:p>
    <w:p w14:paraId="5D6B921A" w14:textId="46F9A01A" w:rsidR="007A2492" w:rsidRPr="007403A4" w:rsidRDefault="00ED7C77">
      <w:pPr>
        <w:tabs>
          <w:tab w:val="left" w:pos="540"/>
          <w:tab w:val="left" w:pos="569"/>
        </w:tabs>
        <w:jc w:val="both"/>
        <w:rPr>
          <w:bCs/>
          <w:sz w:val="22"/>
          <w:szCs w:val="22"/>
          <w:lang w:val="sr-Latn-ME"/>
        </w:rPr>
      </w:pPr>
      <w:r w:rsidRPr="007403A4">
        <w:rPr>
          <w:bCs/>
          <w:sz w:val="22"/>
          <w:szCs w:val="22"/>
          <w:lang w:val="sr-Latn-ME"/>
        </w:rPr>
        <w:t>Ni</w:t>
      </w:r>
      <w:r w:rsidR="008627DD" w:rsidRPr="007403A4">
        <w:rPr>
          <w:bCs/>
          <w:sz w:val="22"/>
          <w:szCs w:val="22"/>
          <w:lang w:val="sr-Latn-ME"/>
        </w:rPr>
        <w:t>je</w:t>
      </w:r>
      <w:r w:rsidRPr="007403A4">
        <w:rPr>
          <w:bCs/>
          <w:sz w:val="22"/>
          <w:szCs w:val="22"/>
          <w:lang w:val="sr-Latn-ME"/>
        </w:rPr>
        <w:t>su sprovedena formalna ispitivanja interakcija sa drugim ljekovima, ali su sprovedena ograničena podispitivanja interakcija između lijeka Gazyvaro u kombinaciji sa bendamustinomom, protokolima CHOP</w:t>
      </w:r>
      <w:r w:rsidR="008627DD" w:rsidRPr="007403A4">
        <w:rPr>
          <w:bCs/>
          <w:sz w:val="22"/>
          <w:szCs w:val="22"/>
          <w:lang w:val="sr-Latn-ME"/>
        </w:rPr>
        <w:t>,</w:t>
      </w:r>
      <w:r w:rsidRPr="007403A4">
        <w:rPr>
          <w:bCs/>
          <w:sz w:val="22"/>
          <w:szCs w:val="22"/>
          <w:lang w:val="sr-Latn-ME"/>
        </w:rPr>
        <w:t xml:space="preserve"> fludarabinom i ciklofosfamidom (proto</w:t>
      </w:r>
      <w:r w:rsidR="007C4C0E" w:rsidRPr="007403A4">
        <w:rPr>
          <w:bCs/>
          <w:sz w:val="22"/>
          <w:szCs w:val="22"/>
          <w:lang w:val="sr-Latn-ME"/>
        </w:rPr>
        <w:t>k</w:t>
      </w:r>
      <w:r w:rsidRPr="007403A4">
        <w:rPr>
          <w:bCs/>
          <w:sz w:val="22"/>
          <w:szCs w:val="22"/>
          <w:lang w:val="sr-Latn-ME"/>
        </w:rPr>
        <w:t>ol FC)</w:t>
      </w:r>
      <w:r w:rsidR="007C4C0E" w:rsidRPr="007403A4">
        <w:rPr>
          <w:bCs/>
          <w:sz w:val="22"/>
          <w:szCs w:val="22"/>
          <w:lang w:val="sr-Latn-ME"/>
        </w:rPr>
        <w:t xml:space="preserve"> </w:t>
      </w:r>
      <w:r w:rsidRPr="007403A4">
        <w:rPr>
          <w:bCs/>
          <w:sz w:val="22"/>
          <w:szCs w:val="22"/>
          <w:lang w:val="sr-Latn-ME"/>
        </w:rPr>
        <w:t xml:space="preserve">te hlorambuciloma. </w:t>
      </w:r>
    </w:p>
    <w:p w14:paraId="50A23632" w14:textId="77777777" w:rsidR="007A2492" w:rsidRPr="007403A4" w:rsidRDefault="007A2492">
      <w:pPr>
        <w:tabs>
          <w:tab w:val="left" w:pos="540"/>
          <w:tab w:val="left" w:pos="569"/>
        </w:tabs>
        <w:jc w:val="both"/>
        <w:rPr>
          <w:bCs/>
          <w:sz w:val="22"/>
          <w:szCs w:val="22"/>
          <w:lang w:val="sr-Latn-ME"/>
        </w:rPr>
      </w:pPr>
    </w:p>
    <w:p w14:paraId="6BF0113F" w14:textId="717FF2D7" w:rsidR="00ED7C77" w:rsidRPr="007403A4" w:rsidRDefault="00ED7C77">
      <w:pPr>
        <w:tabs>
          <w:tab w:val="left" w:pos="540"/>
          <w:tab w:val="left" w:pos="569"/>
        </w:tabs>
        <w:jc w:val="both"/>
        <w:rPr>
          <w:bCs/>
          <w:sz w:val="22"/>
          <w:szCs w:val="22"/>
          <w:lang w:val="sr-Latn-ME"/>
        </w:rPr>
      </w:pPr>
      <w:r w:rsidRPr="007403A4">
        <w:rPr>
          <w:bCs/>
          <w:sz w:val="22"/>
          <w:szCs w:val="22"/>
          <w:lang w:val="sr-Latn-ME"/>
        </w:rPr>
        <w:t xml:space="preserve">Ne može se isključiti rizik od interakcija sa drugim ljekovima </w:t>
      </w:r>
      <w:r w:rsidR="008627DD" w:rsidRPr="007403A4">
        <w:rPr>
          <w:bCs/>
          <w:sz w:val="22"/>
          <w:szCs w:val="22"/>
          <w:lang w:val="sr-Latn-ME"/>
        </w:rPr>
        <w:t>tokom istovremene primjene</w:t>
      </w:r>
    </w:p>
    <w:p w14:paraId="73D298EB" w14:textId="77777777" w:rsidR="00ED7C77" w:rsidRPr="007403A4" w:rsidRDefault="00ED7C77">
      <w:pPr>
        <w:tabs>
          <w:tab w:val="left" w:pos="540"/>
          <w:tab w:val="left" w:pos="569"/>
        </w:tabs>
        <w:jc w:val="both"/>
        <w:rPr>
          <w:bCs/>
          <w:sz w:val="22"/>
          <w:szCs w:val="22"/>
          <w:lang w:val="sr-Latn-ME"/>
        </w:rPr>
      </w:pPr>
    </w:p>
    <w:p w14:paraId="71415319" w14:textId="77777777" w:rsidR="00ED7C77" w:rsidRPr="007403A4" w:rsidRDefault="00ED7C77">
      <w:pPr>
        <w:tabs>
          <w:tab w:val="left" w:pos="540"/>
          <w:tab w:val="left" w:pos="569"/>
        </w:tabs>
        <w:jc w:val="both"/>
        <w:rPr>
          <w:bCs/>
          <w:sz w:val="22"/>
          <w:szCs w:val="22"/>
          <w:u w:val="single"/>
          <w:lang w:val="sr-Latn-ME"/>
        </w:rPr>
      </w:pPr>
      <w:r w:rsidRPr="007403A4">
        <w:rPr>
          <w:bCs/>
          <w:sz w:val="22"/>
          <w:szCs w:val="22"/>
          <w:u w:val="single"/>
          <w:lang w:val="sr-Latn-ME"/>
        </w:rPr>
        <w:t>Farmakokinetičke interakcije</w:t>
      </w:r>
    </w:p>
    <w:p w14:paraId="721DDD4A" w14:textId="5271F57E" w:rsidR="00ED7C77" w:rsidRPr="007403A4" w:rsidRDefault="00ED7C77">
      <w:pPr>
        <w:tabs>
          <w:tab w:val="left" w:pos="540"/>
          <w:tab w:val="left" w:pos="569"/>
        </w:tabs>
        <w:jc w:val="both"/>
        <w:rPr>
          <w:bCs/>
          <w:sz w:val="22"/>
          <w:szCs w:val="22"/>
          <w:lang w:val="sr-Latn-ME"/>
        </w:rPr>
      </w:pPr>
      <w:r w:rsidRPr="007403A4">
        <w:rPr>
          <w:bCs/>
          <w:sz w:val="22"/>
          <w:szCs w:val="22"/>
          <w:lang w:val="sr-Latn-ME"/>
        </w:rPr>
        <w:t>Obinutuzumab nije supstrat, inhibitor niti induktor citohroma P450 (CYP450), enzima uridin difosfat glukuron</w:t>
      </w:r>
      <w:r w:rsidR="008627DD" w:rsidRPr="007403A4">
        <w:rPr>
          <w:bCs/>
          <w:sz w:val="22"/>
          <w:szCs w:val="22"/>
          <w:lang w:val="sr-Latn-ME"/>
        </w:rPr>
        <w:t>il</w:t>
      </w:r>
      <w:r w:rsidRPr="007403A4">
        <w:rPr>
          <w:bCs/>
          <w:sz w:val="22"/>
          <w:szCs w:val="22"/>
          <w:lang w:val="sr-Latn-ME"/>
        </w:rPr>
        <w:t xml:space="preserve">transferaze (UGT) niti </w:t>
      </w:r>
      <w:r w:rsidR="008627DD" w:rsidRPr="007403A4">
        <w:rPr>
          <w:bCs/>
          <w:sz w:val="22"/>
          <w:szCs w:val="22"/>
          <w:lang w:val="sr-Latn-ME"/>
        </w:rPr>
        <w:t>transporter</w:t>
      </w:r>
      <w:r w:rsidRPr="007403A4">
        <w:rPr>
          <w:bCs/>
          <w:sz w:val="22"/>
          <w:szCs w:val="22"/>
          <w:lang w:val="sr-Latn-ME"/>
        </w:rPr>
        <w:t xml:space="preserve"> poput P</w:t>
      </w:r>
      <w:r w:rsidRPr="007403A4">
        <w:rPr>
          <w:bCs/>
          <w:sz w:val="22"/>
          <w:szCs w:val="22"/>
          <w:lang w:val="sr-Latn-ME"/>
        </w:rPr>
        <w:noBreakHyphen/>
        <w:t>glikoproteina. Zbog toga se ne očekuje farmakokinetička interakcija sa</w:t>
      </w:r>
      <w:r w:rsidR="008627DD" w:rsidRPr="007403A4">
        <w:rPr>
          <w:bCs/>
          <w:sz w:val="22"/>
          <w:szCs w:val="22"/>
          <w:lang w:val="sr-Latn-ME"/>
        </w:rPr>
        <w:t xml:space="preserve"> ljekovima</w:t>
      </w:r>
      <w:r w:rsidRPr="007403A4">
        <w:rPr>
          <w:bCs/>
          <w:sz w:val="22"/>
          <w:szCs w:val="22"/>
          <w:lang w:val="sr-Latn-ME"/>
        </w:rPr>
        <w:t xml:space="preserve"> za koje se zna da ih metabolišu spomenuti enzimski sistemi. </w:t>
      </w:r>
    </w:p>
    <w:p w14:paraId="7EBF5FC8" w14:textId="77777777" w:rsidR="00ED7C77" w:rsidRPr="007403A4" w:rsidRDefault="00ED7C77">
      <w:pPr>
        <w:tabs>
          <w:tab w:val="left" w:pos="540"/>
          <w:tab w:val="left" w:pos="569"/>
        </w:tabs>
        <w:jc w:val="both"/>
        <w:rPr>
          <w:bCs/>
          <w:sz w:val="22"/>
          <w:szCs w:val="22"/>
          <w:lang w:val="sr-Latn-ME"/>
        </w:rPr>
      </w:pPr>
    </w:p>
    <w:p w14:paraId="0ECA7E42" w14:textId="78E3CE5E" w:rsidR="00ED7C77" w:rsidRPr="007403A4" w:rsidRDefault="00ED7C77">
      <w:pPr>
        <w:tabs>
          <w:tab w:val="left" w:pos="540"/>
          <w:tab w:val="left" w:pos="569"/>
        </w:tabs>
        <w:jc w:val="both"/>
        <w:rPr>
          <w:bCs/>
          <w:sz w:val="22"/>
          <w:szCs w:val="22"/>
          <w:lang w:val="sr-Latn-ME"/>
        </w:rPr>
      </w:pPr>
      <w:r w:rsidRPr="007403A4">
        <w:rPr>
          <w:bCs/>
          <w:sz w:val="22"/>
          <w:szCs w:val="22"/>
          <w:lang w:val="sr-Latn-ME"/>
        </w:rPr>
        <w:t>Istovremena primjena sa lijekom Gazyvaro nije uticala na farmakokinetiku bendamustina, protokola FC, hlorambucila ni pojedinačnih komponenti protokola CHOP. Osim toga, nije bilo primjetnih efekata bendamustina, hlorambucila ni protokola FC i CHOP na farmakokinetiku lijeka Gazyvaro.</w:t>
      </w:r>
    </w:p>
    <w:p w14:paraId="095A7489" w14:textId="77777777" w:rsidR="00ED7C77" w:rsidRPr="007403A4" w:rsidRDefault="00ED7C77">
      <w:pPr>
        <w:tabs>
          <w:tab w:val="left" w:pos="540"/>
          <w:tab w:val="left" w:pos="569"/>
        </w:tabs>
        <w:jc w:val="both"/>
        <w:rPr>
          <w:bCs/>
          <w:sz w:val="22"/>
          <w:szCs w:val="22"/>
          <w:lang w:val="sr-Latn-ME"/>
        </w:rPr>
      </w:pPr>
    </w:p>
    <w:p w14:paraId="0F09F748" w14:textId="2C2F19DE" w:rsidR="00ED7C77" w:rsidRPr="007403A4" w:rsidRDefault="00ED7C77">
      <w:pPr>
        <w:tabs>
          <w:tab w:val="left" w:pos="540"/>
          <w:tab w:val="left" w:pos="569"/>
        </w:tabs>
        <w:jc w:val="both"/>
        <w:rPr>
          <w:bCs/>
          <w:sz w:val="22"/>
          <w:szCs w:val="22"/>
          <w:u w:val="single"/>
          <w:lang w:val="sr-Latn-ME"/>
        </w:rPr>
      </w:pPr>
      <w:r w:rsidRPr="007403A4">
        <w:rPr>
          <w:bCs/>
          <w:sz w:val="22"/>
          <w:szCs w:val="22"/>
          <w:u w:val="single"/>
          <w:lang w:val="sr-Latn-ME"/>
        </w:rPr>
        <w:t>Farmakodinamičke interakcije</w:t>
      </w:r>
    </w:p>
    <w:p w14:paraId="0C602D65" w14:textId="2E00AE4D" w:rsidR="00ED7C77" w:rsidRPr="007403A4" w:rsidRDefault="00993F6C">
      <w:pPr>
        <w:tabs>
          <w:tab w:val="left" w:pos="540"/>
          <w:tab w:val="left" w:pos="569"/>
        </w:tabs>
        <w:jc w:val="both"/>
        <w:rPr>
          <w:bCs/>
          <w:sz w:val="22"/>
          <w:szCs w:val="22"/>
          <w:lang w:val="sr-Latn-ME"/>
        </w:rPr>
      </w:pPr>
      <w:r w:rsidRPr="007403A4">
        <w:rPr>
          <w:bCs/>
          <w:sz w:val="22"/>
          <w:szCs w:val="22"/>
          <w:lang w:val="sr-Latn-ME"/>
        </w:rPr>
        <w:t xml:space="preserve">Zbog </w:t>
      </w:r>
      <w:r w:rsidR="00ED7C77" w:rsidRPr="007403A4">
        <w:rPr>
          <w:bCs/>
          <w:sz w:val="22"/>
          <w:szCs w:val="22"/>
          <w:lang w:val="sr-Latn-ME"/>
        </w:rPr>
        <w:t>imunosupresivnog efekta obinutuzumaba, vakcinacija živim virusnim vakcinama se ne preporučuje tokom trudnoće niti prije normalizacije broja B ćelija (vidjeti dio 4.4).</w:t>
      </w:r>
    </w:p>
    <w:p w14:paraId="60BA43EC" w14:textId="77777777" w:rsidR="00ED7C77" w:rsidRPr="007403A4" w:rsidRDefault="00ED7C77">
      <w:pPr>
        <w:tabs>
          <w:tab w:val="left" w:pos="540"/>
          <w:tab w:val="left" w:pos="569"/>
        </w:tabs>
        <w:jc w:val="both"/>
        <w:rPr>
          <w:bCs/>
          <w:sz w:val="22"/>
          <w:szCs w:val="22"/>
          <w:lang w:val="sr-Latn-ME"/>
        </w:rPr>
      </w:pPr>
    </w:p>
    <w:p w14:paraId="64CC9278" w14:textId="4E9E0E07" w:rsidR="00ED7C77" w:rsidRPr="007403A4" w:rsidRDefault="00ED7C77">
      <w:pPr>
        <w:tabs>
          <w:tab w:val="left" w:pos="540"/>
          <w:tab w:val="left" w:pos="569"/>
        </w:tabs>
        <w:jc w:val="both"/>
        <w:rPr>
          <w:bCs/>
          <w:sz w:val="22"/>
          <w:szCs w:val="22"/>
          <w:lang w:val="sr-Latn-ME"/>
        </w:rPr>
      </w:pPr>
      <w:r w:rsidRPr="007403A4">
        <w:rPr>
          <w:bCs/>
          <w:sz w:val="22"/>
          <w:szCs w:val="22"/>
          <w:lang w:val="sr-Latn-ME"/>
        </w:rPr>
        <w:t>Kombinacija obinutuzumaba i hlorambucila, bendamustina, protokola CHOP ili protokola CVP može povećati rizik od neutropenije (vidjeti dio 4.4).</w:t>
      </w:r>
    </w:p>
    <w:p w14:paraId="171BE85A" w14:textId="77777777" w:rsidR="0072020E" w:rsidRPr="007403A4" w:rsidRDefault="0072020E">
      <w:pPr>
        <w:tabs>
          <w:tab w:val="left" w:pos="540"/>
          <w:tab w:val="left" w:pos="569"/>
        </w:tabs>
        <w:jc w:val="both"/>
        <w:rPr>
          <w:bCs/>
          <w:sz w:val="22"/>
          <w:szCs w:val="22"/>
          <w:lang w:val="sr-Latn-ME"/>
        </w:rPr>
      </w:pPr>
    </w:p>
    <w:p w14:paraId="24AD879C" w14:textId="77777777" w:rsidR="0072020E" w:rsidRPr="007403A4" w:rsidRDefault="0072020E">
      <w:pPr>
        <w:tabs>
          <w:tab w:val="left" w:pos="540"/>
          <w:tab w:val="left" w:pos="569"/>
        </w:tabs>
        <w:jc w:val="both"/>
        <w:rPr>
          <w:b/>
          <w:sz w:val="22"/>
          <w:szCs w:val="22"/>
          <w:lang w:val="sr-Latn-ME"/>
        </w:rPr>
      </w:pPr>
      <w:r w:rsidRPr="007403A4">
        <w:rPr>
          <w:b/>
          <w:bCs/>
          <w:sz w:val="22"/>
          <w:szCs w:val="22"/>
          <w:lang w:val="sr-Latn-ME"/>
        </w:rPr>
        <w:t xml:space="preserve">4.6. </w:t>
      </w:r>
      <w:r w:rsidR="00480FB1" w:rsidRPr="007403A4">
        <w:rPr>
          <w:b/>
          <w:bCs/>
          <w:sz w:val="22"/>
          <w:szCs w:val="22"/>
          <w:lang w:val="sr-Latn-ME"/>
        </w:rPr>
        <w:tab/>
      </w:r>
      <w:r w:rsidR="006D20A5" w:rsidRPr="007403A4">
        <w:rPr>
          <w:b/>
          <w:sz w:val="22"/>
          <w:szCs w:val="22"/>
          <w:lang w:val="sr-Latn-ME"/>
        </w:rPr>
        <w:t>Plodnost, trudnoća i dojenje</w:t>
      </w:r>
    </w:p>
    <w:p w14:paraId="30382704" w14:textId="77777777" w:rsidR="002031B3" w:rsidRPr="007403A4" w:rsidRDefault="002031B3">
      <w:pPr>
        <w:tabs>
          <w:tab w:val="left" w:pos="540"/>
          <w:tab w:val="left" w:pos="569"/>
        </w:tabs>
        <w:jc w:val="both"/>
        <w:rPr>
          <w:sz w:val="22"/>
          <w:szCs w:val="22"/>
          <w:u w:val="single"/>
          <w:lang w:val="sr-Latn-ME"/>
        </w:rPr>
      </w:pPr>
    </w:p>
    <w:p w14:paraId="571F7E3A" w14:textId="2A072C43" w:rsidR="00ED7C77" w:rsidRPr="007403A4" w:rsidRDefault="00ED7C77">
      <w:pPr>
        <w:autoSpaceDE w:val="0"/>
        <w:spacing w:before="1" w:line="254" w:lineRule="exact"/>
        <w:ind w:right="-5"/>
        <w:jc w:val="both"/>
        <w:rPr>
          <w:sz w:val="22"/>
          <w:szCs w:val="22"/>
          <w:u w:val="single"/>
          <w:lang w:val="sr-Latn-ME"/>
        </w:rPr>
      </w:pPr>
      <w:r w:rsidRPr="007403A4">
        <w:rPr>
          <w:sz w:val="22"/>
          <w:szCs w:val="22"/>
          <w:u w:val="single"/>
          <w:lang w:val="sr-Latn-ME"/>
        </w:rPr>
        <w:t xml:space="preserve">Žene u  reproduktivnom periodu  </w:t>
      </w:r>
    </w:p>
    <w:p w14:paraId="6E3A6CC8" w14:textId="36C42258"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Žene u reproduktivnom periodu moraju da koriste efikasnu kontracepciju tokom i 18 mjeseci nakon liječenja lijekom Gazyvaro.</w:t>
      </w:r>
    </w:p>
    <w:p w14:paraId="526C1C35" w14:textId="77777777" w:rsidR="00ED7C77" w:rsidRPr="007403A4" w:rsidRDefault="00ED7C77">
      <w:pPr>
        <w:tabs>
          <w:tab w:val="left" w:pos="540"/>
          <w:tab w:val="left" w:pos="569"/>
        </w:tabs>
        <w:ind w:right="-5"/>
        <w:jc w:val="both"/>
        <w:rPr>
          <w:sz w:val="22"/>
          <w:szCs w:val="22"/>
          <w:u w:val="single"/>
          <w:lang w:val="sr-Latn-ME"/>
        </w:rPr>
      </w:pPr>
    </w:p>
    <w:p w14:paraId="1882F84B" w14:textId="77777777" w:rsidR="002031B3" w:rsidRPr="007403A4" w:rsidRDefault="002031B3">
      <w:pPr>
        <w:tabs>
          <w:tab w:val="left" w:pos="540"/>
          <w:tab w:val="left" w:pos="569"/>
        </w:tabs>
        <w:ind w:right="-5"/>
        <w:jc w:val="both"/>
        <w:rPr>
          <w:sz w:val="22"/>
          <w:szCs w:val="22"/>
          <w:u w:val="single"/>
          <w:lang w:val="sr-Latn-ME"/>
        </w:rPr>
      </w:pPr>
      <w:r w:rsidRPr="007403A4">
        <w:rPr>
          <w:sz w:val="22"/>
          <w:szCs w:val="22"/>
          <w:u w:val="single"/>
          <w:lang w:val="sr-Latn-ME"/>
        </w:rPr>
        <w:t>Plodnost</w:t>
      </w:r>
    </w:p>
    <w:p w14:paraId="737C2352" w14:textId="6899C24B"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Ni</w:t>
      </w:r>
      <w:r w:rsidR="008627DD" w:rsidRPr="007403A4">
        <w:rPr>
          <w:sz w:val="22"/>
          <w:szCs w:val="22"/>
          <w:lang w:val="sr-Latn-ME"/>
        </w:rPr>
        <w:t>je</w:t>
      </w:r>
      <w:r w:rsidRPr="007403A4">
        <w:rPr>
          <w:sz w:val="22"/>
          <w:szCs w:val="22"/>
          <w:lang w:val="sr-Latn-ME"/>
        </w:rPr>
        <w:t>su sprovedene posebne studije na životinjama kojima bi se procijenilo dejstvo obinutuzumaba na plodnost. U studijama toksičnosti ponovljenih doza na makaki majmunima ni</w:t>
      </w:r>
      <w:r w:rsidR="008627DD" w:rsidRPr="007403A4">
        <w:rPr>
          <w:sz w:val="22"/>
          <w:szCs w:val="22"/>
          <w:lang w:val="sr-Latn-ME"/>
        </w:rPr>
        <w:t>je</w:t>
      </w:r>
      <w:r w:rsidRPr="007403A4">
        <w:rPr>
          <w:sz w:val="22"/>
          <w:szCs w:val="22"/>
          <w:lang w:val="sr-Latn-ME"/>
        </w:rPr>
        <w:t>su primijećeni štetni efekti na reproduktivne organe mužjaka ni ženki (vidjeti dio 5.3).</w:t>
      </w:r>
    </w:p>
    <w:p w14:paraId="7C63E4F7" w14:textId="77777777" w:rsidR="002031B3" w:rsidRPr="007403A4" w:rsidRDefault="002031B3">
      <w:pPr>
        <w:tabs>
          <w:tab w:val="left" w:pos="540"/>
          <w:tab w:val="left" w:pos="569"/>
        </w:tabs>
        <w:ind w:right="-5"/>
        <w:jc w:val="both"/>
        <w:rPr>
          <w:sz w:val="22"/>
          <w:szCs w:val="22"/>
          <w:u w:val="single"/>
          <w:lang w:val="sr-Latn-ME"/>
        </w:rPr>
      </w:pPr>
    </w:p>
    <w:p w14:paraId="1F53D264" w14:textId="77777777" w:rsidR="007A3ECB" w:rsidRPr="007403A4" w:rsidRDefault="007A3ECB">
      <w:pPr>
        <w:tabs>
          <w:tab w:val="left" w:pos="540"/>
          <w:tab w:val="left" w:pos="569"/>
        </w:tabs>
        <w:ind w:right="-5"/>
        <w:jc w:val="both"/>
        <w:rPr>
          <w:sz w:val="22"/>
          <w:szCs w:val="22"/>
          <w:u w:val="single"/>
          <w:lang w:val="sr-Latn-ME"/>
        </w:rPr>
      </w:pPr>
      <w:r w:rsidRPr="007403A4">
        <w:rPr>
          <w:sz w:val="22"/>
          <w:szCs w:val="22"/>
          <w:u w:val="single"/>
          <w:lang w:val="sr-Latn-ME"/>
        </w:rPr>
        <w:t>Trudnoća</w:t>
      </w:r>
    </w:p>
    <w:p w14:paraId="6DBB0723" w14:textId="7D0AB297"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Studija dejstva lijeka na reprodukciju makaki majmuna nije ukazala na embriofetalnu toksičnost niti teratogene efekte, ali je dovel</w:t>
      </w:r>
      <w:r w:rsidR="008627DD" w:rsidRPr="007403A4">
        <w:rPr>
          <w:sz w:val="22"/>
          <w:szCs w:val="22"/>
          <w:lang w:val="sr-Latn-ME"/>
        </w:rPr>
        <w:t>a</w:t>
      </w:r>
      <w:r w:rsidRPr="007403A4">
        <w:rPr>
          <w:sz w:val="22"/>
          <w:szCs w:val="22"/>
          <w:lang w:val="sr-Latn-ME"/>
        </w:rPr>
        <w:t xml:space="preserve"> do potpune deplecije B limfocita kod mladunčadi. Kod mladunčadi se broj B ćelija normalizovao, a imunološka funkcija je ponovno uspostavljena u roku od 6 mjeseci nakon okota. Koncentracije obinutuzumaba u serumu mladunčadi bile su slične onim koje su primijećene kod majki 28 dana nakon okota, dok su koncentracije u mlijeku istog dana bile vrlo niske, što pokazuje da obinutuzumab prolazi kroz p</w:t>
      </w:r>
      <w:r w:rsidR="008627DD" w:rsidRPr="007403A4">
        <w:rPr>
          <w:sz w:val="22"/>
          <w:szCs w:val="22"/>
          <w:lang w:val="sr-Latn-ME"/>
        </w:rPr>
        <w:t>lacent</w:t>
      </w:r>
      <w:r w:rsidRPr="007403A4">
        <w:rPr>
          <w:sz w:val="22"/>
          <w:szCs w:val="22"/>
          <w:lang w:val="sr-Latn-ME"/>
        </w:rPr>
        <w:t xml:space="preserve">u (vidjeti dio 5.3). Nema podataka o primjeni obinutuzumaba kod </w:t>
      </w:r>
      <w:r w:rsidRPr="007403A4">
        <w:rPr>
          <w:sz w:val="22"/>
          <w:szCs w:val="22"/>
          <w:lang w:val="sr-Latn-ME"/>
        </w:rPr>
        <w:lastRenderedPageBreak/>
        <w:t xml:space="preserve">trudnica. </w:t>
      </w:r>
      <w:r w:rsidR="008627DD" w:rsidRPr="007403A4">
        <w:rPr>
          <w:sz w:val="22"/>
          <w:szCs w:val="22"/>
          <w:lang w:val="sr-Latn-ME"/>
        </w:rPr>
        <w:t xml:space="preserve">Lijek </w:t>
      </w:r>
      <w:r w:rsidRPr="007403A4">
        <w:rPr>
          <w:sz w:val="22"/>
          <w:szCs w:val="22"/>
          <w:lang w:val="sr-Latn-ME"/>
        </w:rPr>
        <w:t>Gazyvaro se ne smije primjenjivati kod trudnica, osim ako moguća korist ne nadmašuje mogući rizik.</w:t>
      </w:r>
    </w:p>
    <w:p w14:paraId="3B0DCE7D" w14:textId="77777777"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 xml:space="preserve"> </w:t>
      </w:r>
    </w:p>
    <w:p w14:paraId="1BB76628" w14:textId="76FA764C"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 xml:space="preserve">U slučaju izloženosti tokom trudnoće, kod </w:t>
      </w:r>
      <w:r w:rsidR="008627DD" w:rsidRPr="007403A4">
        <w:rPr>
          <w:sz w:val="22"/>
          <w:szCs w:val="22"/>
          <w:lang w:val="sr-Latn-ME"/>
        </w:rPr>
        <w:t>odoj</w:t>
      </w:r>
      <w:r w:rsidRPr="007403A4">
        <w:rPr>
          <w:sz w:val="22"/>
          <w:szCs w:val="22"/>
          <w:lang w:val="sr-Latn-ME"/>
        </w:rPr>
        <w:t>čadi se zbog farmakoloških funkcija lijeka može oček</w:t>
      </w:r>
      <w:r w:rsidR="008627DD" w:rsidRPr="007403A4">
        <w:rPr>
          <w:sz w:val="22"/>
          <w:szCs w:val="22"/>
          <w:lang w:val="sr-Latn-ME"/>
        </w:rPr>
        <w:t>ivati</w:t>
      </w:r>
      <w:r w:rsidRPr="007403A4">
        <w:rPr>
          <w:sz w:val="22"/>
          <w:szCs w:val="22"/>
          <w:lang w:val="sr-Latn-ME"/>
        </w:rPr>
        <w:t xml:space="preserve"> deplecija B ćelija. Potrebno je razmotriti od</w:t>
      </w:r>
      <w:r w:rsidR="008627DD" w:rsidRPr="007403A4">
        <w:rPr>
          <w:sz w:val="22"/>
          <w:szCs w:val="22"/>
          <w:lang w:val="sr-Latn-ME"/>
        </w:rPr>
        <w:t>laganje</w:t>
      </w:r>
      <w:r w:rsidRPr="007403A4">
        <w:rPr>
          <w:sz w:val="22"/>
          <w:szCs w:val="22"/>
          <w:lang w:val="sr-Latn-ME"/>
        </w:rPr>
        <w:t xml:space="preserve"> vakcinacije kod </w:t>
      </w:r>
      <w:r w:rsidR="008627DD" w:rsidRPr="007403A4">
        <w:rPr>
          <w:sz w:val="22"/>
          <w:szCs w:val="22"/>
          <w:lang w:val="sr-Latn-ME"/>
        </w:rPr>
        <w:t>odoj</w:t>
      </w:r>
      <w:r w:rsidRPr="007403A4">
        <w:rPr>
          <w:sz w:val="22"/>
          <w:szCs w:val="22"/>
          <w:lang w:val="sr-Latn-ME"/>
        </w:rPr>
        <w:t>čadi čije su majke bile izložene lijeku Gazyvaro tokom trudnoće dok se broj B ćelija</w:t>
      </w:r>
      <w:r w:rsidRPr="007403A4">
        <w:rPr>
          <w:sz w:val="20"/>
          <w:szCs w:val="20"/>
          <w:lang w:val="sr-Latn-ME"/>
        </w:rPr>
        <w:t xml:space="preserve"> </w:t>
      </w:r>
      <w:r w:rsidRPr="007403A4">
        <w:rPr>
          <w:sz w:val="22"/>
          <w:szCs w:val="22"/>
          <w:lang w:val="sr-Latn-ME"/>
        </w:rPr>
        <w:t xml:space="preserve">kod </w:t>
      </w:r>
      <w:r w:rsidR="008627DD" w:rsidRPr="007403A4">
        <w:rPr>
          <w:sz w:val="22"/>
          <w:szCs w:val="22"/>
          <w:lang w:val="sr-Latn-ME"/>
        </w:rPr>
        <w:t>odoj</w:t>
      </w:r>
      <w:r w:rsidRPr="007403A4">
        <w:rPr>
          <w:sz w:val="22"/>
          <w:szCs w:val="22"/>
          <w:lang w:val="sr-Latn-ME"/>
        </w:rPr>
        <w:t>četa ne vrati unutar raspona normalnih vrijednosti. (vidjeti dio 4.4).</w:t>
      </w:r>
    </w:p>
    <w:p w14:paraId="65D6D0B7" w14:textId="77777777" w:rsidR="002031B3" w:rsidRPr="007403A4" w:rsidRDefault="002031B3">
      <w:pPr>
        <w:tabs>
          <w:tab w:val="left" w:pos="540"/>
          <w:tab w:val="left" w:pos="569"/>
        </w:tabs>
        <w:ind w:right="-5"/>
        <w:jc w:val="both"/>
        <w:rPr>
          <w:sz w:val="22"/>
          <w:szCs w:val="22"/>
          <w:u w:val="single"/>
          <w:lang w:val="sr-Latn-ME"/>
        </w:rPr>
      </w:pPr>
    </w:p>
    <w:p w14:paraId="7D11E18E" w14:textId="77777777" w:rsidR="0072020E" w:rsidRPr="007403A4" w:rsidRDefault="007A3ECB">
      <w:pPr>
        <w:tabs>
          <w:tab w:val="left" w:pos="540"/>
          <w:tab w:val="left" w:pos="569"/>
        </w:tabs>
        <w:ind w:right="-5"/>
        <w:jc w:val="both"/>
        <w:rPr>
          <w:b/>
          <w:bCs/>
          <w:sz w:val="22"/>
          <w:szCs w:val="22"/>
          <w:lang w:val="sr-Latn-ME"/>
        </w:rPr>
      </w:pPr>
      <w:r w:rsidRPr="007403A4">
        <w:rPr>
          <w:sz w:val="22"/>
          <w:szCs w:val="22"/>
          <w:u w:val="single"/>
          <w:lang w:val="sr-Latn-ME"/>
        </w:rPr>
        <w:t xml:space="preserve">Dojenje </w:t>
      </w:r>
    </w:p>
    <w:p w14:paraId="32070610" w14:textId="77777777"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Studije na životinjama su pokazale da se obinutuzumab izlučuje u majčino mlijeko (vidjeti dio 5.3).</w:t>
      </w:r>
    </w:p>
    <w:p w14:paraId="528068DB" w14:textId="77777777" w:rsidR="00ED7C77" w:rsidRPr="007403A4" w:rsidRDefault="00ED7C77">
      <w:pPr>
        <w:autoSpaceDE w:val="0"/>
        <w:spacing w:before="1" w:line="254" w:lineRule="exact"/>
        <w:ind w:right="-5"/>
        <w:jc w:val="both"/>
        <w:rPr>
          <w:sz w:val="22"/>
          <w:szCs w:val="22"/>
          <w:lang w:val="sr-Latn-ME"/>
        </w:rPr>
      </w:pPr>
    </w:p>
    <w:p w14:paraId="2343799E" w14:textId="01993D65" w:rsidR="00ED7C77" w:rsidRPr="007403A4" w:rsidRDefault="00ED7C77">
      <w:pPr>
        <w:autoSpaceDE w:val="0"/>
        <w:spacing w:before="1" w:line="254" w:lineRule="exact"/>
        <w:ind w:right="-5"/>
        <w:jc w:val="both"/>
        <w:rPr>
          <w:sz w:val="22"/>
          <w:szCs w:val="22"/>
          <w:lang w:val="sr-Latn-ME"/>
        </w:rPr>
      </w:pPr>
      <w:r w:rsidRPr="007403A4">
        <w:rPr>
          <w:sz w:val="22"/>
          <w:szCs w:val="22"/>
          <w:lang w:val="sr-Latn-ME"/>
        </w:rPr>
        <w:t>Budući da se humani imunoglobulin G (IgG) izlučuje u majčino mlijeko, a vjerovat</w:t>
      </w:r>
      <w:r w:rsidR="008627DD" w:rsidRPr="007403A4">
        <w:rPr>
          <w:sz w:val="22"/>
          <w:szCs w:val="22"/>
          <w:lang w:val="sr-Latn-ME"/>
        </w:rPr>
        <w:t>noć</w:t>
      </w:r>
      <w:r w:rsidR="00C8080F" w:rsidRPr="007403A4">
        <w:rPr>
          <w:sz w:val="22"/>
          <w:szCs w:val="22"/>
          <w:lang w:val="sr-Latn-ME"/>
        </w:rPr>
        <w:t>a</w:t>
      </w:r>
      <w:r w:rsidRPr="007403A4">
        <w:rPr>
          <w:sz w:val="22"/>
          <w:szCs w:val="22"/>
          <w:lang w:val="sr-Latn-ME"/>
        </w:rPr>
        <w:t xml:space="preserve"> resorpcije i štetnih efekata za odojče nije poznato, žene je potrebno posavjetovati da prekinu dojenje tokom terapije lijekom Gazyvaro i 18 mjeseci nakon posljednje doze lijeka Gazyvaro.</w:t>
      </w:r>
    </w:p>
    <w:p w14:paraId="6E9D76FD" w14:textId="77777777" w:rsidR="00227BDB" w:rsidRPr="007403A4" w:rsidRDefault="00227BDB">
      <w:pPr>
        <w:tabs>
          <w:tab w:val="left" w:pos="540"/>
          <w:tab w:val="left" w:pos="569"/>
        </w:tabs>
        <w:ind w:right="-5" w:hanging="540"/>
        <w:jc w:val="both"/>
        <w:rPr>
          <w:b/>
          <w:bCs/>
          <w:sz w:val="22"/>
          <w:szCs w:val="22"/>
          <w:lang w:val="sr-Latn-ME"/>
        </w:rPr>
      </w:pPr>
    </w:p>
    <w:p w14:paraId="29EACAE3" w14:textId="77777777" w:rsidR="0072020E" w:rsidRPr="007403A4" w:rsidRDefault="0072020E">
      <w:pPr>
        <w:tabs>
          <w:tab w:val="left" w:pos="540"/>
          <w:tab w:val="left" w:pos="569"/>
        </w:tabs>
        <w:ind w:left="540" w:hanging="540"/>
        <w:jc w:val="both"/>
        <w:rPr>
          <w:b/>
          <w:bCs/>
          <w:sz w:val="22"/>
          <w:szCs w:val="22"/>
          <w:lang w:val="sr-Latn-ME"/>
        </w:rPr>
      </w:pPr>
      <w:r w:rsidRPr="007403A4">
        <w:rPr>
          <w:b/>
          <w:bCs/>
          <w:sz w:val="22"/>
          <w:szCs w:val="22"/>
          <w:lang w:val="sr-Latn-ME"/>
        </w:rPr>
        <w:t xml:space="preserve">4.7. </w:t>
      </w:r>
      <w:r w:rsidR="00480FB1" w:rsidRPr="007403A4">
        <w:rPr>
          <w:b/>
          <w:bCs/>
          <w:sz w:val="22"/>
          <w:szCs w:val="22"/>
          <w:lang w:val="sr-Latn-ME"/>
        </w:rPr>
        <w:tab/>
      </w:r>
      <w:r w:rsidRPr="007403A4">
        <w:rPr>
          <w:b/>
          <w:bCs/>
          <w:sz w:val="22"/>
          <w:szCs w:val="22"/>
          <w:lang w:val="sr-Latn-ME"/>
        </w:rPr>
        <w:t xml:space="preserve">Uticaj na </w:t>
      </w:r>
      <w:r w:rsidR="002031B3" w:rsidRPr="007403A4">
        <w:rPr>
          <w:b/>
          <w:bCs/>
          <w:sz w:val="22"/>
          <w:szCs w:val="22"/>
          <w:lang w:val="sr-Latn-ME"/>
        </w:rPr>
        <w:t xml:space="preserve">sposobnost </w:t>
      </w:r>
      <w:r w:rsidR="00F34554" w:rsidRPr="007403A4">
        <w:rPr>
          <w:b/>
          <w:bCs/>
          <w:sz w:val="22"/>
          <w:szCs w:val="22"/>
          <w:lang w:val="sr-Latn-ME"/>
        </w:rPr>
        <w:t>upravljanja vozili</w:t>
      </w:r>
      <w:r w:rsidRPr="007403A4">
        <w:rPr>
          <w:b/>
          <w:bCs/>
          <w:sz w:val="22"/>
          <w:szCs w:val="22"/>
          <w:lang w:val="sr-Latn-ME"/>
        </w:rPr>
        <w:t>m</w:t>
      </w:r>
      <w:r w:rsidR="00F34554" w:rsidRPr="007403A4">
        <w:rPr>
          <w:b/>
          <w:bCs/>
          <w:sz w:val="22"/>
          <w:szCs w:val="22"/>
          <w:lang w:val="sr-Latn-ME"/>
        </w:rPr>
        <w:t>a</w:t>
      </w:r>
      <w:r w:rsidRPr="007403A4">
        <w:rPr>
          <w:b/>
          <w:bCs/>
          <w:sz w:val="22"/>
          <w:szCs w:val="22"/>
          <w:lang w:val="sr-Latn-ME"/>
        </w:rPr>
        <w:t xml:space="preserve"> i </w:t>
      </w:r>
      <w:r w:rsidR="000D3449" w:rsidRPr="007403A4">
        <w:rPr>
          <w:b/>
          <w:bCs/>
          <w:sz w:val="22"/>
          <w:szCs w:val="22"/>
          <w:lang w:val="sr-Latn-ME"/>
        </w:rPr>
        <w:t xml:space="preserve">rukovanje </w:t>
      </w:r>
      <w:r w:rsidRPr="007403A4">
        <w:rPr>
          <w:b/>
          <w:bCs/>
          <w:sz w:val="22"/>
          <w:szCs w:val="22"/>
          <w:lang w:val="sr-Latn-ME"/>
        </w:rPr>
        <w:t>mašinama</w:t>
      </w:r>
    </w:p>
    <w:p w14:paraId="2F762D6C" w14:textId="77777777" w:rsidR="0072020E" w:rsidRPr="007403A4" w:rsidRDefault="0072020E">
      <w:pPr>
        <w:tabs>
          <w:tab w:val="left" w:pos="540"/>
          <w:tab w:val="left" w:pos="569"/>
        </w:tabs>
        <w:jc w:val="both"/>
        <w:rPr>
          <w:b/>
          <w:bCs/>
          <w:sz w:val="22"/>
          <w:szCs w:val="22"/>
          <w:lang w:val="sr-Latn-ME"/>
        </w:rPr>
      </w:pPr>
    </w:p>
    <w:p w14:paraId="63B96299" w14:textId="6ED501DD" w:rsidR="00ED7C77" w:rsidRPr="007403A4" w:rsidRDefault="00ED7C77">
      <w:pPr>
        <w:tabs>
          <w:tab w:val="left" w:pos="8730"/>
        </w:tabs>
        <w:autoSpaceDE w:val="0"/>
        <w:spacing w:before="1" w:line="254" w:lineRule="exact"/>
        <w:ind w:right="28"/>
        <w:jc w:val="both"/>
        <w:rPr>
          <w:sz w:val="22"/>
          <w:szCs w:val="22"/>
          <w:lang w:val="sr-Latn-ME"/>
        </w:rPr>
      </w:pPr>
      <w:r w:rsidRPr="007403A4">
        <w:rPr>
          <w:sz w:val="22"/>
          <w:szCs w:val="22"/>
          <w:lang w:val="sr-Latn-ME"/>
        </w:rPr>
        <w:t xml:space="preserve">Gazyvaro ne utiče ili zanemarljivo utiče na sposobnost upravljanja motornim vozilima i rukovanje mašinama. Tokom prve infuzije lijeka Gazyvaro </w:t>
      </w:r>
      <w:r w:rsidR="00C40CEB" w:rsidRPr="007403A4">
        <w:rPr>
          <w:sz w:val="22"/>
          <w:szCs w:val="22"/>
          <w:lang w:val="sr-Latn-ME"/>
        </w:rPr>
        <w:t>veoma</w:t>
      </w:r>
      <w:r w:rsidRPr="007403A4">
        <w:rPr>
          <w:sz w:val="22"/>
          <w:szCs w:val="22"/>
          <w:lang w:val="sr-Latn-ME"/>
        </w:rPr>
        <w:t xml:space="preserve"> često se javljaju reakcije na infuziju, pa je pacijente koji imaju simptome povezane sa primjenom infuzije potrebno posavjetovati da ne upravljaju motornim vozilima i ne rukuju mašinama dok se simptomi ne povuku.</w:t>
      </w:r>
    </w:p>
    <w:p w14:paraId="5A0863AB" w14:textId="77777777" w:rsidR="00ED7C77" w:rsidRPr="007403A4" w:rsidRDefault="00ED7C77">
      <w:pPr>
        <w:tabs>
          <w:tab w:val="left" w:pos="540"/>
          <w:tab w:val="left" w:pos="569"/>
          <w:tab w:val="left" w:pos="8730"/>
        </w:tabs>
        <w:ind w:right="28"/>
        <w:jc w:val="both"/>
        <w:rPr>
          <w:b/>
          <w:bCs/>
          <w:sz w:val="22"/>
          <w:szCs w:val="22"/>
          <w:lang w:val="sr-Latn-ME"/>
        </w:rPr>
      </w:pPr>
    </w:p>
    <w:p w14:paraId="0EE47A08" w14:textId="77777777" w:rsidR="0072020E" w:rsidRPr="007403A4" w:rsidRDefault="0072020E">
      <w:pPr>
        <w:tabs>
          <w:tab w:val="left" w:pos="540"/>
          <w:tab w:val="left" w:pos="569"/>
          <w:tab w:val="left" w:pos="8730"/>
        </w:tabs>
        <w:ind w:right="28"/>
        <w:jc w:val="both"/>
        <w:rPr>
          <w:b/>
          <w:bCs/>
          <w:sz w:val="22"/>
          <w:szCs w:val="22"/>
          <w:lang w:val="sr-Latn-ME"/>
        </w:rPr>
      </w:pPr>
      <w:r w:rsidRPr="007403A4">
        <w:rPr>
          <w:b/>
          <w:bCs/>
          <w:sz w:val="22"/>
          <w:szCs w:val="22"/>
          <w:lang w:val="sr-Latn-ME"/>
        </w:rPr>
        <w:t xml:space="preserve">4.8. </w:t>
      </w:r>
      <w:r w:rsidR="00480FB1" w:rsidRPr="007403A4">
        <w:rPr>
          <w:b/>
          <w:bCs/>
          <w:sz w:val="22"/>
          <w:szCs w:val="22"/>
          <w:lang w:val="sr-Latn-ME"/>
        </w:rPr>
        <w:tab/>
      </w:r>
      <w:r w:rsidRPr="007403A4">
        <w:rPr>
          <w:b/>
          <w:bCs/>
          <w:sz w:val="22"/>
          <w:szCs w:val="22"/>
          <w:lang w:val="sr-Latn-ME"/>
        </w:rPr>
        <w:t>Neželjena dejstva</w:t>
      </w:r>
    </w:p>
    <w:p w14:paraId="6E2A2F63" w14:textId="77777777" w:rsidR="00ED7C77" w:rsidRPr="007403A4" w:rsidRDefault="00ED7C77">
      <w:pPr>
        <w:tabs>
          <w:tab w:val="left" w:pos="540"/>
          <w:tab w:val="left" w:pos="569"/>
          <w:tab w:val="left" w:pos="8730"/>
        </w:tabs>
        <w:ind w:right="28"/>
        <w:jc w:val="both"/>
        <w:rPr>
          <w:b/>
          <w:bCs/>
          <w:sz w:val="22"/>
          <w:szCs w:val="22"/>
          <w:lang w:val="sr-Latn-ME"/>
        </w:rPr>
      </w:pPr>
    </w:p>
    <w:p w14:paraId="6368E8CA" w14:textId="77777777" w:rsidR="00ED7C77" w:rsidRPr="007403A4" w:rsidRDefault="00ED7C77">
      <w:pPr>
        <w:tabs>
          <w:tab w:val="left" w:pos="8730"/>
        </w:tabs>
        <w:spacing w:before="1" w:line="254" w:lineRule="exact"/>
        <w:ind w:right="28"/>
        <w:jc w:val="both"/>
        <w:rPr>
          <w:sz w:val="22"/>
          <w:szCs w:val="22"/>
          <w:u w:val="single"/>
          <w:lang w:val="sr-Latn-ME" w:eastAsia="ja-JP"/>
        </w:rPr>
      </w:pPr>
      <w:r w:rsidRPr="007403A4">
        <w:rPr>
          <w:sz w:val="22"/>
          <w:szCs w:val="22"/>
          <w:u w:val="single"/>
          <w:lang w:val="sr-Latn-ME" w:eastAsia="ja-JP"/>
        </w:rPr>
        <w:t>Sažetak bezbjednosnog profila</w:t>
      </w:r>
    </w:p>
    <w:p w14:paraId="4AB78917" w14:textId="56B9D590" w:rsidR="007C4C0E"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 xml:space="preserve">Neželjena dejstva </w:t>
      </w:r>
      <w:r w:rsidR="00421A7C" w:rsidRPr="007403A4">
        <w:rPr>
          <w:sz w:val="22"/>
          <w:szCs w:val="22"/>
          <w:lang w:val="sr-Latn-ME"/>
        </w:rPr>
        <w:t xml:space="preserve">iz kliničkih studija </w:t>
      </w:r>
      <w:r w:rsidRPr="007403A4">
        <w:rPr>
          <w:sz w:val="22"/>
          <w:szCs w:val="22"/>
          <w:lang w:val="sr-Latn-ME"/>
        </w:rPr>
        <w:t>zabilježena su tokom uvodnog liječenja, terapije održavanja i praćenja</w:t>
      </w:r>
      <w:r w:rsidRPr="007403A4">
        <w:rPr>
          <w:lang w:val="sr-Latn-ME"/>
        </w:rPr>
        <w:t xml:space="preserve"> </w:t>
      </w:r>
      <w:r w:rsidRPr="007403A4">
        <w:rPr>
          <w:sz w:val="22"/>
          <w:szCs w:val="22"/>
          <w:lang w:val="sr-Latn-ME"/>
        </w:rPr>
        <w:t>kod indolentnog ne</w:t>
      </w:r>
      <w:r w:rsidR="00C8080F" w:rsidRPr="007403A4">
        <w:rPr>
          <w:sz w:val="22"/>
          <w:szCs w:val="22"/>
          <w:lang w:val="sr-Latn-ME"/>
        </w:rPr>
        <w:t>-</w:t>
      </w:r>
      <w:r w:rsidRPr="007403A4">
        <w:rPr>
          <w:sz w:val="22"/>
          <w:szCs w:val="22"/>
          <w:lang w:val="sr-Latn-ME"/>
        </w:rPr>
        <w:t>Ho</w:t>
      </w:r>
      <w:r w:rsidR="00403FFA" w:rsidRPr="007403A4">
        <w:rPr>
          <w:sz w:val="22"/>
          <w:szCs w:val="22"/>
          <w:lang w:val="sr-Latn-ME"/>
        </w:rPr>
        <w:t>d</w:t>
      </w:r>
      <w:r w:rsidRPr="007403A4">
        <w:rPr>
          <w:sz w:val="22"/>
          <w:szCs w:val="22"/>
          <w:lang w:val="sr-Latn-ME"/>
        </w:rPr>
        <w:t>kinov</w:t>
      </w:r>
      <w:r w:rsidR="00C8080F" w:rsidRPr="007403A4">
        <w:rPr>
          <w:sz w:val="22"/>
          <w:szCs w:val="22"/>
          <w:lang w:val="sr-Latn-ME"/>
        </w:rPr>
        <w:t>og</w:t>
      </w:r>
      <w:r w:rsidRPr="007403A4">
        <w:rPr>
          <w:sz w:val="22"/>
          <w:szCs w:val="22"/>
          <w:lang w:val="sr-Latn-ME"/>
        </w:rPr>
        <w:t xml:space="preserve"> limfoma (iNHL), uključujući FL, te tokom liječenja i praćenja kod HLL u sklopu tri ključne kliničke</w:t>
      </w:r>
      <w:r w:rsidR="00C8080F" w:rsidRPr="007403A4">
        <w:rPr>
          <w:sz w:val="22"/>
          <w:szCs w:val="22"/>
          <w:lang w:val="sr-Latn-ME"/>
        </w:rPr>
        <w:t xml:space="preserve"> </w:t>
      </w:r>
      <w:r w:rsidRPr="007403A4">
        <w:rPr>
          <w:sz w:val="22"/>
          <w:szCs w:val="22"/>
          <w:lang w:val="sr-Latn-ME"/>
        </w:rPr>
        <w:t>studije:</w:t>
      </w:r>
    </w:p>
    <w:p w14:paraId="7E130CEC" w14:textId="4700C920" w:rsidR="007C4C0E" w:rsidRPr="007403A4" w:rsidRDefault="00ED7C77" w:rsidP="00C95059">
      <w:pPr>
        <w:pStyle w:val="ListParagraph"/>
        <w:numPr>
          <w:ilvl w:val="0"/>
          <w:numId w:val="7"/>
        </w:numPr>
        <w:tabs>
          <w:tab w:val="left" w:pos="8730"/>
        </w:tabs>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 xml:space="preserve">BO21004/CLL11 (N = 781): pacijenti </w:t>
      </w:r>
      <w:r w:rsidR="0018511B" w:rsidRPr="007403A4">
        <w:rPr>
          <w:rFonts w:ascii="Times New Roman" w:hAnsi="Times New Roman"/>
          <w:sz w:val="22"/>
          <w:szCs w:val="22"/>
          <w:lang w:val="sr-Latn-ME"/>
        </w:rPr>
        <w:t>sa prethodno neliječen</w:t>
      </w:r>
      <w:r w:rsidR="00C8080F" w:rsidRPr="007403A4">
        <w:rPr>
          <w:rFonts w:ascii="Times New Roman" w:hAnsi="Times New Roman"/>
          <w:sz w:val="22"/>
          <w:szCs w:val="22"/>
          <w:lang w:val="sr-Latn-ME"/>
        </w:rPr>
        <w:t>o</w:t>
      </w:r>
      <w:r w:rsidR="0018511B" w:rsidRPr="007403A4">
        <w:rPr>
          <w:rFonts w:ascii="Times New Roman" w:hAnsi="Times New Roman"/>
          <w:sz w:val="22"/>
          <w:szCs w:val="22"/>
          <w:lang w:val="sr-Latn-ME"/>
        </w:rPr>
        <w:t>m HL</w:t>
      </w:r>
      <w:r w:rsidR="00C8080F" w:rsidRPr="007403A4">
        <w:rPr>
          <w:rFonts w:ascii="Times New Roman" w:hAnsi="Times New Roman"/>
          <w:sz w:val="22"/>
          <w:szCs w:val="22"/>
          <w:lang w:val="sr-Latn-ME"/>
        </w:rPr>
        <w:t>L</w:t>
      </w:r>
      <w:r w:rsidR="0018511B" w:rsidRPr="007403A4">
        <w:rPr>
          <w:rFonts w:ascii="Times New Roman" w:hAnsi="Times New Roman"/>
          <w:sz w:val="22"/>
          <w:szCs w:val="22"/>
          <w:lang w:val="sr-Latn-ME"/>
        </w:rPr>
        <w:t>;</w:t>
      </w:r>
      <w:r w:rsidR="007C4C0E" w:rsidRPr="007403A4">
        <w:rPr>
          <w:rFonts w:ascii="Times New Roman" w:hAnsi="Times New Roman"/>
          <w:sz w:val="22"/>
          <w:szCs w:val="22"/>
          <w:lang w:val="sr-Latn-ME"/>
        </w:rPr>
        <w:tab/>
      </w:r>
    </w:p>
    <w:p w14:paraId="3BE3A435" w14:textId="0430B1E3" w:rsidR="007C4C0E" w:rsidRPr="007403A4" w:rsidRDefault="00ED7C77" w:rsidP="00C95059">
      <w:pPr>
        <w:pStyle w:val="ListParagraph"/>
        <w:numPr>
          <w:ilvl w:val="0"/>
          <w:numId w:val="7"/>
        </w:numPr>
        <w:tabs>
          <w:tab w:val="left" w:pos="8730"/>
        </w:tabs>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BO21223/GALLIUM (N=1390): pacijenti sa prethodno neliječenim iNHL- om (86% pacijenata je imalo FL)</w:t>
      </w:r>
      <w:r w:rsidR="0018511B" w:rsidRPr="007403A4">
        <w:rPr>
          <w:rFonts w:ascii="Times New Roman" w:hAnsi="Times New Roman"/>
          <w:sz w:val="22"/>
          <w:szCs w:val="22"/>
          <w:lang w:val="sr-Latn-ME"/>
        </w:rPr>
        <w:t>;</w:t>
      </w:r>
      <w:r w:rsidR="007C4C0E" w:rsidRPr="007403A4">
        <w:rPr>
          <w:rFonts w:ascii="Times New Roman" w:hAnsi="Times New Roman"/>
          <w:sz w:val="22"/>
          <w:szCs w:val="22"/>
          <w:lang w:val="sr-Latn-ME"/>
        </w:rPr>
        <w:tab/>
      </w:r>
    </w:p>
    <w:p w14:paraId="271F6371" w14:textId="5B24FC19" w:rsidR="00ED7C77" w:rsidRPr="007403A4" w:rsidRDefault="00ED7C77" w:rsidP="00C95059">
      <w:pPr>
        <w:pStyle w:val="ListParagraph"/>
        <w:numPr>
          <w:ilvl w:val="0"/>
          <w:numId w:val="7"/>
        </w:numPr>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GAO4753g</w:t>
      </w:r>
      <w:r w:rsidR="0018511B" w:rsidRPr="007403A4">
        <w:rPr>
          <w:rFonts w:ascii="Times New Roman" w:hAnsi="Times New Roman"/>
          <w:sz w:val="22"/>
          <w:szCs w:val="22"/>
          <w:lang w:val="sr-Latn-ME"/>
        </w:rPr>
        <w:t>/</w:t>
      </w:r>
      <w:r w:rsidRPr="007403A4">
        <w:rPr>
          <w:rFonts w:ascii="Times New Roman" w:hAnsi="Times New Roman"/>
          <w:sz w:val="22"/>
          <w:szCs w:val="22"/>
          <w:lang w:val="sr-Latn-ME"/>
        </w:rPr>
        <w:t xml:space="preserve">GADOLIN (N = </w:t>
      </w:r>
      <w:r w:rsidR="0080183D" w:rsidRPr="007403A4">
        <w:rPr>
          <w:rFonts w:ascii="Times New Roman" w:hAnsi="Times New Roman"/>
          <w:sz w:val="22"/>
          <w:szCs w:val="22"/>
          <w:lang w:val="sr-Latn-ME"/>
        </w:rPr>
        <w:t>409</w:t>
      </w:r>
      <w:r w:rsidRPr="007403A4">
        <w:rPr>
          <w:rFonts w:ascii="Times New Roman" w:hAnsi="Times New Roman"/>
          <w:sz w:val="22"/>
          <w:szCs w:val="22"/>
          <w:lang w:val="sr-Latn-ME"/>
        </w:rPr>
        <w:t>)</w:t>
      </w:r>
      <w:r w:rsidR="007A2492" w:rsidRPr="007403A4">
        <w:rPr>
          <w:rFonts w:ascii="Times New Roman" w:hAnsi="Times New Roman"/>
          <w:sz w:val="22"/>
          <w:szCs w:val="22"/>
          <w:lang w:val="sr-Latn-ME"/>
        </w:rPr>
        <w:t>: pacijenti sa</w:t>
      </w:r>
      <w:r w:rsidRPr="007403A4">
        <w:rPr>
          <w:rFonts w:ascii="Times New Roman" w:hAnsi="Times New Roman"/>
          <w:sz w:val="22"/>
          <w:szCs w:val="22"/>
          <w:lang w:val="sr-Latn-ME"/>
        </w:rPr>
        <w:t xml:space="preserve"> iNHL-om (81% pacijenata imalo je FL) koji ni</w:t>
      </w:r>
      <w:r w:rsidR="00C8080F" w:rsidRPr="007403A4">
        <w:rPr>
          <w:rFonts w:ascii="Times New Roman" w:hAnsi="Times New Roman"/>
          <w:sz w:val="22"/>
          <w:szCs w:val="22"/>
          <w:lang w:val="sr-Latn-ME"/>
        </w:rPr>
        <w:t>je</w:t>
      </w:r>
      <w:r w:rsidRPr="007403A4">
        <w:rPr>
          <w:rFonts w:ascii="Times New Roman" w:hAnsi="Times New Roman"/>
          <w:sz w:val="22"/>
          <w:szCs w:val="22"/>
          <w:lang w:val="sr-Latn-ME"/>
        </w:rPr>
        <w:t>su odgovorili na prethodno liječenje rituksimabom  ili protokolom koji je sadrža</w:t>
      </w:r>
      <w:r w:rsidR="00C8080F" w:rsidRPr="007403A4">
        <w:rPr>
          <w:rFonts w:ascii="Times New Roman" w:hAnsi="Times New Roman"/>
          <w:sz w:val="22"/>
          <w:szCs w:val="22"/>
          <w:lang w:val="sr-Latn-ME"/>
        </w:rPr>
        <w:t xml:space="preserve">o </w:t>
      </w:r>
      <w:r w:rsidRPr="007403A4">
        <w:rPr>
          <w:rFonts w:ascii="Times New Roman" w:hAnsi="Times New Roman"/>
          <w:sz w:val="22"/>
          <w:szCs w:val="22"/>
          <w:lang w:val="sr-Latn-ME"/>
        </w:rPr>
        <w:t xml:space="preserve">rituksimab, ili su doživjeli progresiju tokom ili do 6 mjeseci nakon takvog liječenja. </w:t>
      </w:r>
    </w:p>
    <w:p w14:paraId="7A36A5E3" w14:textId="77777777" w:rsidR="00ED7C77" w:rsidRPr="007403A4" w:rsidRDefault="00ED7C77" w:rsidP="004D3AD0">
      <w:pPr>
        <w:tabs>
          <w:tab w:val="left" w:pos="8730"/>
        </w:tabs>
        <w:spacing w:before="1" w:line="254" w:lineRule="exact"/>
        <w:ind w:right="28"/>
        <w:jc w:val="both"/>
        <w:rPr>
          <w:sz w:val="22"/>
          <w:szCs w:val="22"/>
          <w:lang w:val="sr-Latn-ME"/>
        </w:rPr>
      </w:pPr>
    </w:p>
    <w:p w14:paraId="1D86EC61" w14:textId="34E8327C" w:rsidR="00ED7C77" w:rsidRPr="007403A4" w:rsidRDefault="00ED7C77" w:rsidP="004D3AD0">
      <w:pPr>
        <w:tabs>
          <w:tab w:val="left" w:pos="8730"/>
        </w:tabs>
        <w:spacing w:before="1" w:line="254" w:lineRule="exact"/>
        <w:ind w:right="28"/>
        <w:jc w:val="both"/>
        <w:rPr>
          <w:sz w:val="22"/>
          <w:szCs w:val="22"/>
          <w:lang w:val="sr-Latn-ME"/>
        </w:rPr>
      </w:pPr>
      <w:r w:rsidRPr="007403A4">
        <w:rPr>
          <w:sz w:val="22"/>
          <w:szCs w:val="22"/>
          <w:lang w:val="sr-Latn-ME"/>
        </w:rPr>
        <w:t xml:space="preserve">Ta su ispitivanja ocjenjivala </w:t>
      </w:r>
      <w:r w:rsidR="00C8080F" w:rsidRPr="007403A4">
        <w:rPr>
          <w:sz w:val="22"/>
          <w:szCs w:val="22"/>
          <w:lang w:val="sr-Latn-ME"/>
        </w:rPr>
        <w:t xml:space="preserve">lijek </w:t>
      </w:r>
      <w:r w:rsidRPr="007403A4">
        <w:rPr>
          <w:sz w:val="22"/>
          <w:szCs w:val="22"/>
          <w:lang w:val="sr-Latn-ME"/>
        </w:rPr>
        <w:t>Gazyvaro u kombinaciji sa hlorambucilom za HLL, te u kombinaciji sa bendamustinom, protokolom CHOP ili protokolom CVP, nakon čega je slijedila terapija održavanja lijekom Gazyvaro, za iNHL.</w:t>
      </w:r>
      <w:r w:rsidR="007A2492" w:rsidRPr="007403A4">
        <w:rPr>
          <w:sz w:val="22"/>
          <w:szCs w:val="22"/>
          <w:lang w:val="sr-Latn-ME"/>
        </w:rPr>
        <w:t xml:space="preserve"> </w:t>
      </w:r>
      <w:r w:rsidRPr="007403A4">
        <w:rPr>
          <w:sz w:val="22"/>
          <w:szCs w:val="22"/>
          <w:lang w:val="sr-Latn-ME"/>
        </w:rPr>
        <w:t xml:space="preserve">U studiji BO21223/GALLIUM i GAO4753g/GADOLIN uključeni su pacijenti sa iNHL, uključujući FL. Zbog toga je, kako bi se dobile najobuhvatnije informacije o bezbjednosti, analiza neželjenih dejstava na lijek navedenih u nastavku sprovedena je u cjelokupnoj ispitivanoj populaciji (tj. kod pacijenata sa iNHL om). </w:t>
      </w:r>
    </w:p>
    <w:p w14:paraId="5C2702E7" w14:textId="77777777" w:rsidR="00ED7C77"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 xml:space="preserve"> </w:t>
      </w:r>
    </w:p>
    <w:p w14:paraId="5FA74490" w14:textId="6338A461" w:rsidR="00ED7C77"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U Tabeli </w:t>
      </w:r>
      <w:r w:rsidR="004F24AB" w:rsidRPr="007403A4">
        <w:rPr>
          <w:sz w:val="22"/>
          <w:szCs w:val="22"/>
          <w:lang w:val="sr-Latn-ME"/>
        </w:rPr>
        <w:t>7</w:t>
      </w:r>
      <w:r w:rsidRPr="007403A4">
        <w:rPr>
          <w:sz w:val="22"/>
          <w:szCs w:val="22"/>
          <w:lang w:val="sr-Latn-ME"/>
        </w:rPr>
        <w:t xml:space="preserve"> sažeto su prikazana</w:t>
      </w:r>
      <w:r w:rsidR="00421A7C" w:rsidRPr="007403A4">
        <w:rPr>
          <w:sz w:val="22"/>
          <w:szCs w:val="22"/>
          <w:lang w:val="sr-Latn-ME"/>
        </w:rPr>
        <w:t xml:space="preserve"> sva</w:t>
      </w:r>
      <w:r w:rsidRPr="007403A4">
        <w:rPr>
          <w:sz w:val="22"/>
          <w:szCs w:val="22"/>
          <w:lang w:val="sr-Latn-ME"/>
        </w:rPr>
        <w:t xml:space="preserve"> neželjena dejstva</w:t>
      </w:r>
      <w:r w:rsidR="00421A7C" w:rsidRPr="007403A4">
        <w:rPr>
          <w:sz w:val="22"/>
          <w:szCs w:val="22"/>
          <w:lang w:val="sr-Latn-ME"/>
        </w:rPr>
        <w:t xml:space="preserve"> uključujući i on</w:t>
      </w:r>
      <w:r w:rsidR="00C8080F" w:rsidRPr="007403A4">
        <w:rPr>
          <w:sz w:val="22"/>
          <w:szCs w:val="22"/>
          <w:lang w:val="sr-Latn-ME"/>
        </w:rPr>
        <w:t>a</w:t>
      </w:r>
      <w:r w:rsidRPr="007403A4">
        <w:rPr>
          <w:sz w:val="22"/>
          <w:szCs w:val="22"/>
          <w:lang w:val="sr-Latn-ME"/>
        </w:rPr>
        <w:t xml:space="preserve"> iz ključnih ispitivanja (BO21004/CLL11, BO21223/GALLIUM, GAO4753g/GADOLIN) koja su se u poređenju sa relevantnom </w:t>
      </w:r>
      <w:r w:rsidR="00C8080F" w:rsidRPr="007403A4">
        <w:rPr>
          <w:sz w:val="22"/>
          <w:szCs w:val="22"/>
          <w:lang w:val="sr-Latn-ME"/>
        </w:rPr>
        <w:t>poredbenom</w:t>
      </w:r>
      <w:r w:rsidRPr="007403A4">
        <w:rPr>
          <w:sz w:val="22"/>
          <w:szCs w:val="22"/>
          <w:lang w:val="sr-Latn-ME"/>
        </w:rPr>
        <w:t xml:space="preserve"> grupom u barem jednom ključnom ispitivanju javljala sa većom učestalošću (razlika od ≥ 2%) kod</w:t>
      </w:r>
      <w:r w:rsidR="0018511B" w:rsidRPr="007403A4">
        <w:rPr>
          <w:sz w:val="22"/>
          <w:szCs w:val="22"/>
          <w:lang w:val="sr-Latn-ME"/>
        </w:rPr>
        <w:t>:</w:t>
      </w:r>
      <w:r w:rsidRPr="007403A4">
        <w:rPr>
          <w:sz w:val="22"/>
          <w:szCs w:val="22"/>
          <w:lang w:val="sr-Latn-ME"/>
        </w:rPr>
        <w:t xml:space="preserve"> </w:t>
      </w:r>
    </w:p>
    <w:p w14:paraId="2EFE30B0" w14:textId="0F0708EA" w:rsidR="0018511B" w:rsidRPr="007403A4" w:rsidRDefault="00ED7C77">
      <w:pPr>
        <w:pStyle w:val="ListParagraph"/>
        <w:numPr>
          <w:ilvl w:val="0"/>
          <w:numId w:val="8"/>
        </w:numPr>
        <w:tabs>
          <w:tab w:val="left" w:pos="8730"/>
        </w:tabs>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 xml:space="preserve">pacijenata sa HLL koji su primali </w:t>
      </w:r>
      <w:r w:rsidR="00C8080F" w:rsidRPr="007403A4">
        <w:rPr>
          <w:rFonts w:ascii="Times New Roman" w:hAnsi="Times New Roman"/>
          <w:sz w:val="22"/>
          <w:szCs w:val="22"/>
          <w:lang w:val="sr-Latn-ME"/>
        </w:rPr>
        <w:t xml:space="preserve">lijek </w:t>
      </w:r>
      <w:r w:rsidRPr="007403A4">
        <w:rPr>
          <w:rFonts w:ascii="Times New Roman" w:hAnsi="Times New Roman"/>
          <w:sz w:val="22"/>
          <w:szCs w:val="22"/>
          <w:lang w:val="sr-Latn-ME"/>
        </w:rPr>
        <w:t xml:space="preserve">Gazyvaro plus hlorambucil nego kod onih koji su primali samo hlorambucil ili rituksimab plus hlorambucil (studija BO21004/CLL11) </w:t>
      </w:r>
      <w:r w:rsidR="0018511B" w:rsidRPr="007403A4">
        <w:rPr>
          <w:rFonts w:ascii="Times New Roman" w:hAnsi="Times New Roman"/>
          <w:sz w:val="22"/>
          <w:szCs w:val="22"/>
          <w:lang w:val="sr-Latn-ME"/>
        </w:rPr>
        <w:tab/>
      </w:r>
    </w:p>
    <w:p w14:paraId="689EAAC0" w14:textId="0818C18F" w:rsidR="0018511B" w:rsidRPr="007403A4" w:rsidRDefault="00ED7C77">
      <w:pPr>
        <w:pStyle w:val="ListParagraph"/>
        <w:numPr>
          <w:ilvl w:val="0"/>
          <w:numId w:val="8"/>
        </w:numPr>
        <w:tabs>
          <w:tab w:val="left" w:pos="8730"/>
        </w:tabs>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pacijenata</w:t>
      </w:r>
      <w:r w:rsidR="007A2492" w:rsidRPr="007403A4">
        <w:rPr>
          <w:rFonts w:ascii="Times New Roman" w:hAnsi="Times New Roman"/>
          <w:sz w:val="22"/>
          <w:szCs w:val="22"/>
          <w:lang w:val="sr-Latn-ME"/>
        </w:rPr>
        <w:t xml:space="preserve"> sa prethodno neliječenim iNHL</w:t>
      </w:r>
      <w:r w:rsidRPr="007403A4">
        <w:rPr>
          <w:rFonts w:ascii="Times New Roman" w:hAnsi="Times New Roman"/>
          <w:sz w:val="22"/>
          <w:szCs w:val="22"/>
          <w:lang w:val="sr-Latn-ME"/>
        </w:rPr>
        <w:t xml:space="preserve"> koji su primali </w:t>
      </w:r>
      <w:r w:rsidR="008A7A48" w:rsidRPr="007403A4">
        <w:rPr>
          <w:rFonts w:ascii="Times New Roman" w:hAnsi="Times New Roman"/>
          <w:sz w:val="22"/>
          <w:szCs w:val="22"/>
          <w:lang w:val="sr-Latn-ME"/>
        </w:rPr>
        <w:t xml:space="preserve">lijek </w:t>
      </w:r>
      <w:r w:rsidRPr="007403A4">
        <w:rPr>
          <w:rFonts w:ascii="Times New Roman" w:hAnsi="Times New Roman"/>
          <w:sz w:val="22"/>
          <w:szCs w:val="22"/>
          <w:lang w:val="sr-Latn-ME"/>
        </w:rPr>
        <w:t>Gazyvaro plus hemoterapiju (bendamustin, CHOP, CVP), nakon čega je kod pacijenata koji su ostvarili odgovor uslijedila terapija održavanja lijekom Gazyvaro, nego kod pacijenata liječenih rituksimabom plus hemoterapijom, nakon čega je kod pacijenata koji su ostvarili odgovor uslijedila terapija održavanja rituksimabom (ispitivanje BO21223/GALLIUM)</w:t>
      </w:r>
    </w:p>
    <w:p w14:paraId="2A096749" w14:textId="28754BD9" w:rsidR="00ED7C77" w:rsidRPr="007403A4" w:rsidRDefault="00ED7C77">
      <w:pPr>
        <w:pStyle w:val="ListParagraph"/>
        <w:numPr>
          <w:ilvl w:val="0"/>
          <w:numId w:val="8"/>
        </w:numPr>
        <w:tabs>
          <w:tab w:val="left" w:pos="8730"/>
        </w:tabs>
        <w:spacing w:before="1" w:line="254" w:lineRule="exact"/>
        <w:ind w:right="28"/>
        <w:rPr>
          <w:rFonts w:ascii="Times New Roman" w:hAnsi="Times New Roman"/>
          <w:sz w:val="22"/>
          <w:szCs w:val="22"/>
          <w:lang w:val="sr-Latn-ME"/>
        </w:rPr>
      </w:pPr>
      <w:r w:rsidRPr="007403A4">
        <w:rPr>
          <w:rFonts w:ascii="Times New Roman" w:hAnsi="Times New Roman"/>
          <w:sz w:val="22"/>
          <w:szCs w:val="22"/>
          <w:lang w:val="sr-Latn-ME"/>
        </w:rPr>
        <w:t>pacijenata sa iNHL koji ni</w:t>
      </w:r>
      <w:r w:rsidR="008A7A48" w:rsidRPr="007403A4">
        <w:rPr>
          <w:rFonts w:ascii="Times New Roman" w:hAnsi="Times New Roman"/>
          <w:sz w:val="22"/>
          <w:szCs w:val="22"/>
          <w:lang w:val="sr-Latn-ME"/>
        </w:rPr>
        <w:t>je</w:t>
      </w:r>
      <w:r w:rsidRPr="007403A4">
        <w:rPr>
          <w:rFonts w:ascii="Times New Roman" w:hAnsi="Times New Roman"/>
          <w:sz w:val="22"/>
          <w:szCs w:val="22"/>
          <w:lang w:val="sr-Latn-ME"/>
        </w:rPr>
        <w:t xml:space="preserve">su odgovorili na prethodno liječenje rituksimabom ili protokolom koji je sadržao rituksimab, ili su doživjeli progresiju tokom ili do 6 mjeseci nakon takvog liječenja, a  koji su primali Gazyvaro plus bendamustin, nakon čega su neki pacijenti primali </w:t>
      </w:r>
      <w:r w:rsidRPr="007403A4">
        <w:rPr>
          <w:rFonts w:ascii="Times New Roman" w:hAnsi="Times New Roman"/>
          <w:sz w:val="22"/>
          <w:szCs w:val="22"/>
          <w:lang w:val="sr-Latn-ME"/>
        </w:rPr>
        <w:lastRenderedPageBreak/>
        <w:t>terapiju održavanja lijekom Gazyvaro, nego kod onih koji su primali samo bendamustin (studija GAO4753g/GA</w:t>
      </w:r>
      <w:r w:rsidRPr="007403A4">
        <w:rPr>
          <w:rFonts w:ascii="Times New Roman" w:hAnsi="Times New Roman"/>
          <w:caps/>
          <w:sz w:val="22"/>
          <w:szCs w:val="22"/>
          <w:lang w:val="sr-Latn-ME"/>
        </w:rPr>
        <w:t>DOLIN</w:t>
      </w:r>
      <w:r w:rsidRPr="007403A4">
        <w:rPr>
          <w:rFonts w:ascii="Times New Roman" w:hAnsi="Times New Roman"/>
          <w:sz w:val="22"/>
          <w:szCs w:val="22"/>
          <w:lang w:val="sr-Latn-ME"/>
        </w:rPr>
        <w:t>)</w:t>
      </w:r>
    </w:p>
    <w:p w14:paraId="0F1F62BB" w14:textId="77777777" w:rsidR="007A2492" w:rsidRPr="007403A4" w:rsidRDefault="007A2492">
      <w:pPr>
        <w:pStyle w:val="ListParagraph"/>
        <w:tabs>
          <w:tab w:val="left" w:pos="8730"/>
        </w:tabs>
        <w:spacing w:before="1" w:line="254" w:lineRule="exact"/>
        <w:ind w:right="28"/>
        <w:rPr>
          <w:rFonts w:ascii="Times New Roman" w:hAnsi="Times New Roman"/>
          <w:sz w:val="22"/>
          <w:szCs w:val="22"/>
          <w:lang w:val="sr-Latn-ME"/>
        </w:rPr>
      </w:pPr>
    </w:p>
    <w:p w14:paraId="45CC25B3" w14:textId="06F00DF7" w:rsidR="00ED7C77"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 xml:space="preserve">Incidence prikazane u Tabeli </w:t>
      </w:r>
      <w:r w:rsidR="004F24AB" w:rsidRPr="007403A4">
        <w:rPr>
          <w:sz w:val="22"/>
          <w:szCs w:val="22"/>
          <w:lang w:val="sr-Latn-ME"/>
        </w:rPr>
        <w:t>7</w:t>
      </w:r>
      <w:r w:rsidR="008A7A48" w:rsidRPr="007403A4">
        <w:rPr>
          <w:sz w:val="22"/>
          <w:szCs w:val="22"/>
          <w:lang w:val="sr-Latn-ME"/>
        </w:rPr>
        <w:t xml:space="preserve"> </w:t>
      </w:r>
      <w:r w:rsidRPr="007403A4">
        <w:rPr>
          <w:sz w:val="22"/>
          <w:szCs w:val="22"/>
          <w:lang w:val="sr-Latn-ME"/>
        </w:rPr>
        <w:t>(svi stepeni i 3–5. stepen) predstavljaju najviše incidence svakog pojedinog neželjenog dejstva zabilježene u bilo kom od navedena tri ispitivanja.</w:t>
      </w:r>
    </w:p>
    <w:p w14:paraId="43CF171F" w14:textId="77777777" w:rsidR="00ED7C77"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 xml:space="preserve"> </w:t>
      </w:r>
    </w:p>
    <w:p w14:paraId="7AB6EAF5" w14:textId="5A46DEC0" w:rsidR="00ED7C77" w:rsidRPr="007403A4" w:rsidRDefault="00ED7C77">
      <w:pPr>
        <w:tabs>
          <w:tab w:val="left" w:pos="8730"/>
        </w:tabs>
        <w:spacing w:before="1" w:line="254" w:lineRule="exact"/>
        <w:ind w:right="28"/>
        <w:jc w:val="both"/>
        <w:rPr>
          <w:sz w:val="22"/>
          <w:szCs w:val="22"/>
          <w:lang w:val="sr-Latn-ME"/>
        </w:rPr>
      </w:pPr>
      <w:r w:rsidRPr="007403A4">
        <w:rPr>
          <w:sz w:val="22"/>
          <w:szCs w:val="22"/>
          <w:lang w:val="sr-Latn-ME"/>
        </w:rPr>
        <w:t xml:space="preserve">Učestalost je definisana kao: </w:t>
      </w:r>
      <w:r w:rsidR="00C40CEB" w:rsidRPr="007403A4">
        <w:rPr>
          <w:sz w:val="22"/>
          <w:szCs w:val="22"/>
          <w:lang w:val="sr-Latn-ME"/>
        </w:rPr>
        <w:t>veoma</w:t>
      </w:r>
      <w:r w:rsidRPr="007403A4">
        <w:rPr>
          <w:sz w:val="22"/>
          <w:szCs w:val="22"/>
          <w:lang w:val="sr-Latn-ME"/>
        </w:rPr>
        <w:t xml:space="preserve"> često (≥ 1/10), često (≥ 1/100 i &lt; 1/10), povremeno (≥ 1/1000 i &lt; 1/100), rijetko (≥ 1/10 000  i &lt; 1/1000)</w:t>
      </w:r>
      <w:r w:rsidR="00421A7C" w:rsidRPr="007403A4">
        <w:rPr>
          <w:sz w:val="22"/>
          <w:szCs w:val="22"/>
          <w:lang w:val="sr-Latn-ME"/>
        </w:rPr>
        <w:t>,</w:t>
      </w:r>
      <w:r w:rsidR="00C40CEB" w:rsidRPr="007403A4">
        <w:rPr>
          <w:sz w:val="22"/>
          <w:szCs w:val="22"/>
          <w:lang w:val="sr-Latn-ME"/>
        </w:rPr>
        <w:t>veoma</w:t>
      </w:r>
      <w:r w:rsidRPr="007403A4">
        <w:rPr>
          <w:sz w:val="22"/>
          <w:szCs w:val="22"/>
          <w:lang w:val="sr-Latn-ME"/>
        </w:rPr>
        <w:t xml:space="preserve"> rijetko (&lt; 1/10 000)</w:t>
      </w:r>
      <w:r w:rsidR="00421A7C" w:rsidRPr="007403A4">
        <w:rPr>
          <w:sz w:val="22"/>
          <w:szCs w:val="22"/>
          <w:lang w:val="sr-Latn-ME"/>
        </w:rPr>
        <w:t xml:space="preserve"> i nepoznato (</w:t>
      </w:r>
      <w:r w:rsidR="008A7A48" w:rsidRPr="007403A4">
        <w:rPr>
          <w:sz w:val="22"/>
          <w:szCs w:val="22"/>
          <w:lang w:val="sr-Latn-ME"/>
        </w:rPr>
        <w:t xml:space="preserve">učestalost se </w:t>
      </w:r>
      <w:r w:rsidR="00421A7C" w:rsidRPr="007403A4">
        <w:rPr>
          <w:sz w:val="22"/>
          <w:szCs w:val="22"/>
          <w:lang w:val="sr-Latn-ME"/>
        </w:rPr>
        <w:t>ne može procjeniti iz dostupnih podataka)</w:t>
      </w:r>
      <w:r w:rsidRPr="007403A4">
        <w:rPr>
          <w:sz w:val="22"/>
          <w:szCs w:val="22"/>
          <w:lang w:val="sr-Latn-ME"/>
        </w:rPr>
        <w:t>. U</w:t>
      </w:r>
      <w:r w:rsidR="008A7A48" w:rsidRPr="007403A4">
        <w:rPr>
          <w:sz w:val="22"/>
          <w:szCs w:val="22"/>
          <w:lang w:val="sr-Latn-ME"/>
        </w:rPr>
        <w:t xml:space="preserve"> okviru</w:t>
      </w:r>
      <w:r w:rsidRPr="007403A4">
        <w:rPr>
          <w:sz w:val="22"/>
          <w:szCs w:val="22"/>
          <w:lang w:val="sr-Latn-ME"/>
        </w:rPr>
        <w:t xml:space="preserve"> svake grupe učestalosti neželjena dejstva su prikazana prema opadajućoj ozbiljnosti.</w:t>
      </w:r>
    </w:p>
    <w:p w14:paraId="5660AC05" w14:textId="77777777" w:rsidR="00ED7C77" w:rsidRPr="007403A4" w:rsidRDefault="00ED7C77">
      <w:pPr>
        <w:tabs>
          <w:tab w:val="left" w:pos="8730"/>
        </w:tabs>
        <w:spacing w:before="1" w:line="254" w:lineRule="exact"/>
        <w:ind w:right="28"/>
        <w:jc w:val="both"/>
        <w:rPr>
          <w:sz w:val="22"/>
          <w:szCs w:val="22"/>
          <w:lang w:val="sr-Latn-ME"/>
        </w:rPr>
      </w:pPr>
    </w:p>
    <w:p w14:paraId="55B40EC3" w14:textId="77777777" w:rsidR="00ED7C77" w:rsidRPr="007403A4" w:rsidRDefault="00ED7C77">
      <w:pPr>
        <w:tabs>
          <w:tab w:val="left" w:pos="8730"/>
        </w:tabs>
        <w:spacing w:before="1" w:line="254" w:lineRule="exact"/>
        <w:ind w:right="28"/>
        <w:jc w:val="both"/>
        <w:rPr>
          <w:sz w:val="22"/>
          <w:szCs w:val="22"/>
          <w:u w:val="single"/>
          <w:lang w:val="sr-Latn-ME"/>
        </w:rPr>
      </w:pPr>
      <w:r w:rsidRPr="007403A4">
        <w:rPr>
          <w:sz w:val="22"/>
          <w:szCs w:val="22"/>
          <w:u w:val="single"/>
          <w:lang w:val="sr-Latn-ME"/>
        </w:rPr>
        <w:t>Tabelarni prikaz neželjenih dejstava</w:t>
      </w:r>
    </w:p>
    <w:p w14:paraId="77A72B99" w14:textId="77777777" w:rsidR="00ED7C77" w:rsidRPr="007403A4" w:rsidRDefault="00ED7C77">
      <w:pPr>
        <w:tabs>
          <w:tab w:val="left" w:pos="8730"/>
        </w:tabs>
        <w:spacing w:before="1" w:line="254" w:lineRule="exact"/>
        <w:ind w:right="28"/>
        <w:jc w:val="both"/>
        <w:rPr>
          <w:sz w:val="22"/>
          <w:szCs w:val="22"/>
          <w:lang w:val="sr-Latn-ME"/>
        </w:rPr>
      </w:pPr>
    </w:p>
    <w:p w14:paraId="634087D6" w14:textId="53C0EADD" w:rsidR="00ED7C77" w:rsidRPr="007403A4" w:rsidRDefault="0018511B" w:rsidP="00C95059">
      <w:pPr>
        <w:tabs>
          <w:tab w:val="left" w:pos="8730"/>
        </w:tabs>
        <w:spacing w:before="1" w:line="254" w:lineRule="exact"/>
        <w:ind w:right="28"/>
        <w:jc w:val="both"/>
        <w:rPr>
          <w:b/>
          <w:sz w:val="22"/>
          <w:szCs w:val="22"/>
          <w:lang w:val="sr-Latn-ME"/>
        </w:rPr>
      </w:pPr>
      <w:r w:rsidRPr="007403A4">
        <w:rPr>
          <w:b/>
          <w:sz w:val="22"/>
          <w:szCs w:val="22"/>
          <w:lang w:val="sr-Latn-ME"/>
        </w:rPr>
        <w:t xml:space="preserve">Tabela </w:t>
      </w:r>
      <w:r w:rsidR="004F24AB" w:rsidRPr="007403A4">
        <w:rPr>
          <w:b/>
          <w:sz w:val="22"/>
          <w:szCs w:val="22"/>
          <w:lang w:val="sr-Latn-ME"/>
        </w:rPr>
        <w:t xml:space="preserve">7      </w:t>
      </w:r>
      <w:r w:rsidR="00ED7C77" w:rsidRPr="007403A4">
        <w:rPr>
          <w:b/>
          <w:sz w:val="22"/>
          <w:szCs w:val="22"/>
          <w:lang w:val="sr-Latn-ME"/>
        </w:rPr>
        <w:t>Sažetak neželjenih dejstava prijavljenih kod pacijenata</w:t>
      </w:r>
      <w:r w:rsidR="00ED7C77" w:rsidRPr="007403A4">
        <w:rPr>
          <w:b/>
          <w:sz w:val="22"/>
          <w:szCs w:val="22"/>
          <w:vertAlign w:val="superscript"/>
          <w:lang w:val="sr-Latn-ME"/>
        </w:rPr>
        <w:t>#</w:t>
      </w:r>
      <w:r w:rsidR="00ED7C77" w:rsidRPr="007403A4">
        <w:rPr>
          <w:b/>
          <w:sz w:val="22"/>
          <w:szCs w:val="22"/>
          <w:lang w:val="sr-Latn-ME"/>
        </w:rPr>
        <w:t xml:space="preserve"> koji su primali lijek Gazyvaro + hemoterapiju* </w:t>
      </w:r>
    </w:p>
    <w:p w14:paraId="3DA8154D" w14:textId="77777777" w:rsidR="00ED7C77" w:rsidRPr="007403A4" w:rsidRDefault="00ED7C77" w:rsidP="004D3AD0">
      <w:pPr>
        <w:spacing w:before="1" w:line="254" w:lineRule="exact"/>
        <w:ind w:left="-108" w:right="333"/>
        <w:jc w:val="both"/>
        <w:rPr>
          <w:sz w:val="22"/>
          <w:szCs w:val="22"/>
          <w:lang w:val="sr-Latn-ME"/>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6"/>
        <w:gridCol w:w="25"/>
        <w:gridCol w:w="3000"/>
        <w:gridCol w:w="11"/>
        <w:gridCol w:w="3012"/>
      </w:tblGrid>
      <w:tr w:rsidR="00ED7C77" w:rsidRPr="007403A4" w14:paraId="230B2C79" w14:textId="77777777" w:rsidTr="00C95059">
        <w:trPr>
          <w:cantSplit/>
        </w:trPr>
        <w:tc>
          <w:tcPr>
            <w:tcW w:w="1671" w:type="pct"/>
          </w:tcPr>
          <w:p w14:paraId="74460EC6" w14:textId="77777777" w:rsidR="00ED7C77" w:rsidRPr="007403A4" w:rsidRDefault="00ED7C77" w:rsidP="004D3AD0">
            <w:pPr>
              <w:spacing w:before="1" w:line="254" w:lineRule="exact"/>
              <w:ind w:right="333"/>
              <w:jc w:val="both"/>
              <w:rPr>
                <w:b/>
                <w:sz w:val="22"/>
                <w:szCs w:val="22"/>
                <w:lang w:val="sr-Latn-ME"/>
              </w:rPr>
            </w:pPr>
            <w:r w:rsidRPr="007403A4">
              <w:rPr>
                <w:b/>
                <w:sz w:val="22"/>
                <w:szCs w:val="22"/>
                <w:lang w:val="sr-Latn-ME"/>
              </w:rPr>
              <w:t>Klasa sistema organa</w:t>
            </w:r>
          </w:p>
          <w:p w14:paraId="3EB1C009" w14:textId="77777777" w:rsidR="00ED7C77" w:rsidRPr="007403A4" w:rsidRDefault="00ED7C77">
            <w:pPr>
              <w:spacing w:before="1" w:line="254" w:lineRule="exact"/>
              <w:ind w:right="333"/>
              <w:jc w:val="both"/>
              <w:rPr>
                <w:b/>
                <w:sz w:val="22"/>
                <w:szCs w:val="22"/>
                <w:lang w:val="sr-Latn-ME"/>
              </w:rPr>
            </w:pPr>
            <w:r w:rsidRPr="007403A4">
              <w:rPr>
                <w:b/>
                <w:sz w:val="22"/>
                <w:szCs w:val="22"/>
                <w:lang w:val="sr-Latn-ME"/>
              </w:rPr>
              <w:t>Učestalost</w:t>
            </w:r>
          </w:p>
        </w:tc>
        <w:tc>
          <w:tcPr>
            <w:tcW w:w="1671" w:type="pct"/>
            <w:gridSpan w:val="3"/>
          </w:tcPr>
          <w:p w14:paraId="4420E7B8" w14:textId="77777777" w:rsidR="00ED7C77" w:rsidRPr="007403A4" w:rsidRDefault="00ED7C77" w:rsidP="00C95059">
            <w:pPr>
              <w:spacing w:before="1" w:line="254" w:lineRule="exact"/>
              <w:ind w:right="333"/>
              <w:jc w:val="both"/>
              <w:rPr>
                <w:b/>
                <w:sz w:val="22"/>
                <w:szCs w:val="22"/>
                <w:lang w:val="sr-Latn-ME"/>
              </w:rPr>
            </w:pPr>
            <w:r w:rsidRPr="007403A4">
              <w:rPr>
                <w:b/>
                <w:sz w:val="22"/>
                <w:szCs w:val="22"/>
                <w:lang w:val="sr-Latn-ME"/>
              </w:rPr>
              <w:t>Svi stepeni</w:t>
            </w:r>
          </w:p>
          <w:p w14:paraId="3D665E80" w14:textId="2B8E9527" w:rsidR="00ED7C77" w:rsidRPr="007403A4" w:rsidRDefault="008A7A48" w:rsidP="00C95059">
            <w:pPr>
              <w:spacing w:before="1" w:line="254" w:lineRule="exact"/>
              <w:ind w:right="333"/>
              <w:jc w:val="both"/>
              <w:rPr>
                <w:b/>
                <w:sz w:val="22"/>
                <w:szCs w:val="22"/>
                <w:lang w:val="sr-Latn-ME"/>
              </w:rPr>
            </w:pPr>
            <w:r w:rsidRPr="007403A4">
              <w:rPr>
                <w:b/>
                <w:sz w:val="22"/>
                <w:szCs w:val="22"/>
                <w:lang w:val="sr-Latn-ME"/>
              </w:rPr>
              <w:t xml:space="preserve">Lijek </w:t>
            </w:r>
            <w:r w:rsidR="00ED7C77" w:rsidRPr="007403A4">
              <w:rPr>
                <w:b/>
                <w:sz w:val="22"/>
                <w:szCs w:val="22"/>
                <w:lang w:val="sr-Latn-ME"/>
              </w:rPr>
              <w:t>Gazyvaro + hemoterapija* (HLL, iNHL) nakon čega slijedi terapija održavanja lijekom Gazyvaro (iNHL)</w:t>
            </w:r>
          </w:p>
        </w:tc>
        <w:tc>
          <w:tcPr>
            <w:tcW w:w="1658" w:type="pct"/>
          </w:tcPr>
          <w:p w14:paraId="1B443A7B" w14:textId="6BDC5120" w:rsidR="00ED7C77" w:rsidRPr="007403A4" w:rsidRDefault="00ED7C77" w:rsidP="00C95059">
            <w:pPr>
              <w:spacing w:before="1" w:line="254" w:lineRule="exact"/>
              <w:ind w:right="333"/>
              <w:jc w:val="both"/>
              <w:rPr>
                <w:b/>
                <w:sz w:val="22"/>
                <w:szCs w:val="22"/>
                <w:lang w:val="sr-Latn-ME"/>
              </w:rPr>
            </w:pPr>
            <w:r w:rsidRPr="007403A4">
              <w:rPr>
                <w:b/>
                <w:sz w:val="22"/>
                <w:szCs w:val="22"/>
                <w:lang w:val="sr-Latn-ME"/>
              </w:rPr>
              <w:t>3</w:t>
            </w:r>
            <w:r w:rsidRPr="007403A4">
              <w:rPr>
                <w:b/>
                <w:sz w:val="22"/>
                <w:szCs w:val="22"/>
                <w:lang w:val="sr-Latn-ME"/>
              </w:rPr>
              <w:noBreakHyphen/>
              <w:t>5. stepena</w:t>
            </w:r>
            <w:r w:rsidRPr="007403A4">
              <w:rPr>
                <w:b/>
                <w:sz w:val="22"/>
                <w:szCs w:val="22"/>
                <w:vertAlign w:val="superscript"/>
                <w:lang w:val="sr-Latn-ME"/>
              </w:rPr>
              <w:t>†</w:t>
            </w:r>
          </w:p>
          <w:p w14:paraId="23843C54" w14:textId="50A0FDA0" w:rsidR="00ED7C77" w:rsidRPr="007403A4" w:rsidRDefault="008A7A48" w:rsidP="00C95059">
            <w:pPr>
              <w:spacing w:before="1" w:line="254" w:lineRule="exact"/>
              <w:ind w:right="333"/>
              <w:jc w:val="both"/>
              <w:rPr>
                <w:b/>
                <w:sz w:val="22"/>
                <w:szCs w:val="22"/>
                <w:lang w:val="sr-Latn-ME"/>
              </w:rPr>
            </w:pPr>
            <w:r w:rsidRPr="007403A4">
              <w:rPr>
                <w:b/>
                <w:sz w:val="22"/>
                <w:szCs w:val="22"/>
                <w:lang w:val="sr-Latn-ME"/>
              </w:rPr>
              <w:t xml:space="preserve">Lijek </w:t>
            </w:r>
            <w:r w:rsidR="00ED7C77" w:rsidRPr="007403A4">
              <w:rPr>
                <w:b/>
                <w:sz w:val="22"/>
                <w:szCs w:val="22"/>
                <w:lang w:val="sr-Latn-ME"/>
              </w:rPr>
              <w:t>Gazyvaro + hemoterapija* (HLL, iNHL)</w:t>
            </w:r>
            <w:r w:rsidR="0018511B" w:rsidRPr="007403A4">
              <w:rPr>
                <w:b/>
                <w:sz w:val="22"/>
                <w:szCs w:val="22"/>
                <w:lang w:val="sr-Latn-ME"/>
              </w:rPr>
              <w:t xml:space="preserve"> </w:t>
            </w:r>
            <w:r w:rsidR="00ED7C77" w:rsidRPr="007403A4">
              <w:rPr>
                <w:b/>
                <w:sz w:val="22"/>
                <w:szCs w:val="22"/>
                <w:lang w:val="sr-Latn-ME"/>
              </w:rPr>
              <w:t xml:space="preserve">nakon čega slijedi terapija održavanja lijekom Gazyvaro (iNHL) </w:t>
            </w:r>
          </w:p>
        </w:tc>
      </w:tr>
      <w:tr w:rsidR="00ED7C77" w:rsidRPr="007403A4" w14:paraId="21CB6E81" w14:textId="77777777" w:rsidTr="0018511B">
        <w:trPr>
          <w:cantSplit/>
        </w:trPr>
        <w:tc>
          <w:tcPr>
            <w:tcW w:w="5000" w:type="pct"/>
            <w:gridSpan w:val="5"/>
          </w:tcPr>
          <w:p w14:paraId="7EB5DC25" w14:textId="77777777" w:rsidR="00ED7C77" w:rsidRPr="007403A4" w:rsidRDefault="00ED7C77" w:rsidP="004D3AD0">
            <w:pPr>
              <w:spacing w:before="1" w:line="254" w:lineRule="exact"/>
              <w:ind w:right="333"/>
              <w:jc w:val="both"/>
              <w:rPr>
                <w:b/>
                <w:sz w:val="22"/>
                <w:szCs w:val="22"/>
                <w:lang w:val="sr-Latn-ME"/>
              </w:rPr>
            </w:pPr>
            <w:r w:rsidRPr="007403A4">
              <w:rPr>
                <w:b/>
                <w:sz w:val="22"/>
                <w:szCs w:val="22"/>
                <w:lang w:val="sr-Latn-ME"/>
              </w:rPr>
              <w:t>Infekcije i infestacije</w:t>
            </w:r>
          </w:p>
        </w:tc>
      </w:tr>
      <w:tr w:rsidR="00ED7C77" w:rsidRPr="007403A4" w14:paraId="2E5A0C97" w14:textId="77777777" w:rsidTr="0018511B">
        <w:trPr>
          <w:cantSplit/>
        </w:trPr>
        <w:tc>
          <w:tcPr>
            <w:tcW w:w="1685" w:type="pct"/>
            <w:gridSpan w:val="2"/>
          </w:tcPr>
          <w:p w14:paraId="145B1678" w14:textId="7E212F9C" w:rsidR="00ED7C77" w:rsidRPr="007403A4" w:rsidRDefault="00C40CEB" w:rsidP="004D3AD0">
            <w:pPr>
              <w:tabs>
                <w:tab w:val="left" w:pos="3044"/>
              </w:tabs>
              <w:spacing w:before="1" w:line="254" w:lineRule="exact"/>
              <w:ind w:right="225"/>
              <w:jc w:val="both"/>
              <w:rPr>
                <w:sz w:val="22"/>
                <w:szCs w:val="22"/>
                <w:lang w:val="sr-Latn-ME"/>
              </w:rPr>
            </w:pPr>
            <w:r w:rsidRPr="007403A4">
              <w:rPr>
                <w:sz w:val="22"/>
                <w:szCs w:val="22"/>
                <w:lang w:val="sr-Latn-ME"/>
              </w:rPr>
              <w:t>veoma</w:t>
            </w:r>
            <w:r w:rsidR="00ED7C77" w:rsidRPr="007403A4">
              <w:rPr>
                <w:sz w:val="22"/>
                <w:szCs w:val="22"/>
                <w:lang w:val="sr-Latn-ME"/>
              </w:rPr>
              <w:t xml:space="preserve"> često</w:t>
            </w:r>
          </w:p>
        </w:tc>
        <w:tc>
          <w:tcPr>
            <w:tcW w:w="1651" w:type="pct"/>
          </w:tcPr>
          <w:p w14:paraId="0579B7A3" w14:textId="5A2C5E98" w:rsidR="00ED7C77" w:rsidRPr="007403A4" w:rsidRDefault="00ED7C77" w:rsidP="00C95059">
            <w:pPr>
              <w:tabs>
                <w:tab w:val="left" w:pos="3044"/>
              </w:tabs>
              <w:spacing w:before="1" w:line="254" w:lineRule="exact"/>
              <w:ind w:right="225"/>
              <w:jc w:val="both"/>
              <w:rPr>
                <w:sz w:val="22"/>
                <w:szCs w:val="22"/>
                <w:lang w:val="sr-Latn-ME"/>
              </w:rPr>
            </w:pPr>
            <w:r w:rsidRPr="007403A4">
              <w:rPr>
                <w:sz w:val="22"/>
                <w:szCs w:val="22"/>
                <w:lang w:val="sr-Latn-ME"/>
              </w:rPr>
              <w:t>infekcija gornjih disajnih put</w:t>
            </w:r>
            <w:r w:rsidR="008A7A48" w:rsidRPr="007403A4">
              <w:rPr>
                <w:sz w:val="22"/>
                <w:szCs w:val="22"/>
                <w:lang w:val="sr-Latn-ME"/>
              </w:rPr>
              <w:t>e</w:t>
            </w:r>
            <w:r w:rsidRPr="007403A4">
              <w:rPr>
                <w:sz w:val="22"/>
                <w:szCs w:val="22"/>
                <w:lang w:val="sr-Latn-ME"/>
              </w:rPr>
              <w:t>va, sinusitis</w:t>
            </w:r>
            <w:r w:rsidRPr="007403A4">
              <w:rPr>
                <w:sz w:val="22"/>
                <w:szCs w:val="22"/>
                <w:vertAlign w:val="superscript"/>
                <w:lang w:val="sr-Latn-ME"/>
              </w:rPr>
              <w:t>§</w:t>
            </w:r>
            <w:r w:rsidRPr="007403A4">
              <w:rPr>
                <w:sz w:val="22"/>
                <w:szCs w:val="22"/>
                <w:lang w:val="sr-Latn-ME"/>
              </w:rPr>
              <w:t>,</w:t>
            </w:r>
            <w:r w:rsidR="006F0061" w:rsidRPr="007403A4">
              <w:rPr>
                <w:sz w:val="22"/>
                <w:szCs w:val="22"/>
                <w:lang w:val="sr-Latn-ME"/>
              </w:rPr>
              <w:t xml:space="preserve"> </w:t>
            </w:r>
            <w:r w:rsidRPr="007403A4">
              <w:rPr>
                <w:sz w:val="22"/>
                <w:szCs w:val="22"/>
                <w:lang w:val="sr-Latn-ME"/>
              </w:rPr>
              <w:t>infekcija mokraćnih puteva, pneumonija</w:t>
            </w:r>
            <w:r w:rsidRPr="007403A4">
              <w:rPr>
                <w:sz w:val="22"/>
                <w:szCs w:val="22"/>
                <w:vertAlign w:val="superscript"/>
                <w:lang w:val="sr-Latn-ME"/>
              </w:rPr>
              <w:t>§</w:t>
            </w:r>
            <w:r w:rsidRPr="007403A4">
              <w:rPr>
                <w:sz w:val="22"/>
                <w:szCs w:val="22"/>
                <w:lang w:val="sr-Latn-ME"/>
              </w:rPr>
              <w:t>, herpes zoster</w:t>
            </w:r>
            <w:r w:rsidRPr="007403A4">
              <w:rPr>
                <w:sz w:val="22"/>
                <w:szCs w:val="22"/>
                <w:vertAlign w:val="superscript"/>
                <w:lang w:val="sr-Latn-ME"/>
              </w:rPr>
              <w:t>§</w:t>
            </w:r>
            <w:r w:rsidR="0080183D" w:rsidRPr="007403A4">
              <w:rPr>
                <w:sz w:val="22"/>
                <w:szCs w:val="22"/>
                <w:lang w:val="sr-Latn-ME"/>
              </w:rPr>
              <w:t>, nazofaringitis</w:t>
            </w:r>
          </w:p>
        </w:tc>
        <w:tc>
          <w:tcPr>
            <w:tcW w:w="1664" w:type="pct"/>
            <w:gridSpan w:val="2"/>
          </w:tcPr>
          <w:p w14:paraId="2986AAFA" w14:textId="77777777" w:rsidR="00ED7C77" w:rsidRPr="007403A4" w:rsidRDefault="00ED7C77" w:rsidP="004D3AD0">
            <w:pPr>
              <w:spacing w:before="1" w:line="254" w:lineRule="exact"/>
              <w:ind w:right="333"/>
              <w:jc w:val="both"/>
              <w:rPr>
                <w:b/>
                <w:sz w:val="22"/>
                <w:szCs w:val="22"/>
                <w:lang w:val="sr-Latn-ME"/>
              </w:rPr>
            </w:pPr>
          </w:p>
        </w:tc>
      </w:tr>
      <w:tr w:rsidR="00ED7C77" w:rsidRPr="007403A4" w14:paraId="1E1B64C9" w14:textId="77777777" w:rsidTr="002A5835">
        <w:trPr>
          <w:cantSplit/>
        </w:trPr>
        <w:tc>
          <w:tcPr>
            <w:tcW w:w="1671" w:type="pct"/>
          </w:tcPr>
          <w:p w14:paraId="4FA1D98B" w14:textId="77777777" w:rsidR="00ED7C77" w:rsidRPr="007403A4" w:rsidRDefault="00ED7C77" w:rsidP="004D3AD0">
            <w:pPr>
              <w:tabs>
                <w:tab w:val="left" w:pos="3044"/>
              </w:tabs>
              <w:spacing w:before="1" w:line="254" w:lineRule="exact"/>
              <w:ind w:right="225"/>
              <w:jc w:val="both"/>
              <w:rPr>
                <w:sz w:val="22"/>
                <w:szCs w:val="22"/>
                <w:lang w:val="sr-Latn-ME"/>
              </w:rPr>
            </w:pPr>
            <w:r w:rsidRPr="007403A4">
              <w:rPr>
                <w:sz w:val="22"/>
                <w:szCs w:val="22"/>
                <w:lang w:val="sr-Latn-ME"/>
              </w:rPr>
              <w:t>često</w:t>
            </w:r>
          </w:p>
        </w:tc>
        <w:tc>
          <w:tcPr>
            <w:tcW w:w="1671" w:type="pct"/>
            <w:gridSpan w:val="3"/>
          </w:tcPr>
          <w:p w14:paraId="0F23776D" w14:textId="3543339D" w:rsidR="00ED7C77" w:rsidRPr="007403A4" w:rsidRDefault="00ED7C77" w:rsidP="00C95059">
            <w:pPr>
              <w:spacing w:before="1" w:line="254" w:lineRule="exact"/>
              <w:ind w:right="333"/>
              <w:jc w:val="both"/>
              <w:rPr>
                <w:sz w:val="22"/>
                <w:szCs w:val="22"/>
                <w:lang w:val="sr-Latn-ME"/>
              </w:rPr>
            </w:pPr>
            <w:r w:rsidRPr="007403A4">
              <w:rPr>
                <w:sz w:val="22"/>
                <w:szCs w:val="22"/>
                <w:lang w:val="sr-Latn-ME"/>
              </w:rPr>
              <w:t>oralni herpes, rinitis, faringitis, plućna infekcija, grip</w:t>
            </w:r>
          </w:p>
        </w:tc>
        <w:tc>
          <w:tcPr>
            <w:tcW w:w="1658" w:type="pct"/>
          </w:tcPr>
          <w:p w14:paraId="5EA9407A" w14:textId="77777777" w:rsidR="00ED7C77" w:rsidRPr="007403A4" w:rsidRDefault="00ED7C77" w:rsidP="00C95059">
            <w:pPr>
              <w:spacing w:before="1" w:line="254" w:lineRule="exact"/>
              <w:ind w:right="333"/>
              <w:jc w:val="both"/>
              <w:rPr>
                <w:sz w:val="22"/>
                <w:szCs w:val="22"/>
                <w:lang w:val="sr-Latn-ME"/>
              </w:rPr>
            </w:pPr>
            <w:r w:rsidRPr="007403A4">
              <w:rPr>
                <w:sz w:val="22"/>
                <w:szCs w:val="22"/>
                <w:lang w:val="sr-Latn-ME"/>
              </w:rPr>
              <w:t>infekcija mokraćnih puteva, pneumonija, plućna infekcija, infekcija gornjih disajnih puteva, sinusitis, herpes zoster</w:t>
            </w:r>
          </w:p>
        </w:tc>
      </w:tr>
      <w:tr w:rsidR="00421A7C" w:rsidRPr="007403A4" w14:paraId="52CB6316" w14:textId="77777777" w:rsidTr="002A5835">
        <w:trPr>
          <w:cantSplit/>
        </w:trPr>
        <w:tc>
          <w:tcPr>
            <w:tcW w:w="1671" w:type="pct"/>
          </w:tcPr>
          <w:p w14:paraId="1BF62C0B"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4E045E3D" w14:textId="60E40477" w:rsidR="00421A7C" w:rsidRPr="007403A4" w:rsidRDefault="00421A7C" w:rsidP="004D3AD0">
            <w:pPr>
              <w:spacing w:before="1" w:line="254" w:lineRule="exact"/>
              <w:ind w:right="333"/>
              <w:jc w:val="both"/>
              <w:rPr>
                <w:sz w:val="22"/>
                <w:szCs w:val="22"/>
                <w:lang w:val="sr-Latn-ME"/>
              </w:rPr>
            </w:pPr>
            <w:r w:rsidRPr="007403A4">
              <w:rPr>
                <w:sz w:val="22"/>
                <w:lang w:val="sr-Latn-ME"/>
              </w:rPr>
              <w:t>reaktivacija hepatitisa B</w:t>
            </w:r>
          </w:p>
        </w:tc>
        <w:tc>
          <w:tcPr>
            <w:tcW w:w="1658" w:type="pct"/>
          </w:tcPr>
          <w:p w14:paraId="18A02580" w14:textId="7335CED9" w:rsidR="00421A7C" w:rsidRPr="007403A4" w:rsidRDefault="00421A7C" w:rsidP="00C95059">
            <w:pPr>
              <w:spacing w:before="1" w:line="254" w:lineRule="exact"/>
              <w:ind w:right="333"/>
              <w:jc w:val="both"/>
              <w:rPr>
                <w:sz w:val="22"/>
                <w:szCs w:val="22"/>
                <w:lang w:val="sr-Latn-ME"/>
              </w:rPr>
            </w:pPr>
            <w:r w:rsidRPr="007403A4">
              <w:rPr>
                <w:sz w:val="22"/>
                <w:szCs w:val="22"/>
                <w:lang w:val="sr-Latn-ME"/>
              </w:rPr>
              <w:t>nazofaringitis, rinitis, grip, oralni herpes</w:t>
            </w:r>
          </w:p>
        </w:tc>
      </w:tr>
      <w:tr w:rsidR="00421A7C" w:rsidRPr="007403A4" w14:paraId="5B6433A7" w14:textId="77777777" w:rsidTr="0018511B">
        <w:trPr>
          <w:cantSplit/>
        </w:trPr>
        <w:tc>
          <w:tcPr>
            <w:tcW w:w="5000" w:type="pct"/>
            <w:gridSpan w:val="5"/>
          </w:tcPr>
          <w:p w14:paraId="5FA516AF" w14:textId="77777777" w:rsidR="00421A7C" w:rsidRPr="007403A4" w:rsidRDefault="00421A7C" w:rsidP="00C95059">
            <w:pPr>
              <w:spacing w:before="1" w:line="254" w:lineRule="exact"/>
              <w:ind w:right="333"/>
              <w:jc w:val="both"/>
              <w:rPr>
                <w:b/>
                <w:sz w:val="22"/>
                <w:szCs w:val="22"/>
                <w:lang w:val="sr-Latn-ME"/>
              </w:rPr>
            </w:pPr>
            <w:r w:rsidRPr="007403A4">
              <w:rPr>
                <w:b/>
                <w:sz w:val="22"/>
                <w:szCs w:val="22"/>
                <w:lang w:val="sr-Latn-ME"/>
              </w:rPr>
              <w:t>Benigne, maligne i nespecifične neoplazme (uključujući ciste i polipe)</w:t>
            </w:r>
          </w:p>
        </w:tc>
      </w:tr>
      <w:tr w:rsidR="00421A7C" w:rsidRPr="007403A4" w14:paraId="2768A3DF" w14:textId="77777777" w:rsidTr="002A5835">
        <w:trPr>
          <w:cantSplit/>
        </w:trPr>
        <w:tc>
          <w:tcPr>
            <w:tcW w:w="1671" w:type="pct"/>
          </w:tcPr>
          <w:p w14:paraId="2E1E8614"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640A8322" w14:textId="183C0ABC"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karcinom skvamoznih ćelija kože, </w:t>
            </w:r>
            <w:r w:rsidRPr="007403A4">
              <w:rPr>
                <w:sz w:val="22"/>
                <w:szCs w:val="22"/>
                <w:lang w:val="sr-Latn-ME" w:eastAsia="ja-JP"/>
              </w:rPr>
              <w:t>karcinom bazalnih ćelija</w:t>
            </w:r>
          </w:p>
        </w:tc>
        <w:tc>
          <w:tcPr>
            <w:tcW w:w="1658" w:type="pct"/>
          </w:tcPr>
          <w:p w14:paraId="02558F57" w14:textId="1DB3BE3F" w:rsidR="00421A7C" w:rsidRPr="007403A4" w:rsidRDefault="00421A7C" w:rsidP="00C95059">
            <w:pPr>
              <w:spacing w:before="1" w:line="254" w:lineRule="exact"/>
              <w:ind w:right="333"/>
              <w:jc w:val="both"/>
              <w:rPr>
                <w:sz w:val="22"/>
                <w:szCs w:val="22"/>
                <w:lang w:val="sr-Latn-ME"/>
              </w:rPr>
            </w:pPr>
            <w:r w:rsidRPr="007403A4">
              <w:rPr>
                <w:sz w:val="22"/>
                <w:szCs w:val="22"/>
                <w:lang w:val="sr-Latn-ME"/>
              </w:rPr>
              <w:t>karcinom skvamoznih ćelija kože</w:t>
            </w:r>
            <w:r w:rsidRPr="007403A4">
              <w:rPr>
                <w:szCs w:val="22"/>
                <w:lang w:val="sr-Latn-ME" w:eastAsia="ja-JP"/>
              </w:rPr>
              <w:t xml:space="preserve">, </w:t>
            </w:r>
            <w:r w:rsidRPr="007403A4">
              <w:rPr>
                <w:sz w:val="22"/>
                <w:szCs w:val="22"/>
                <w:lang w:val="sr-Latn-ME" w:eastAsia="ja-JP"/>
              </w:rPr>
              <w:t>karcinom bazalnih ćelija</w:t>
            </w:r>
          </w:p>
        </w:tc>
      </w:tr>
      <w:tr w:rsidR="00421A7C" w:rsidRPr="007403A4" w14:paraId="22DBF930" w14:textId="77777777" w:rsidTr="0018511B">
        <w:trPr>
          <w:cantSplit/>
        </w:trPr>
        <w:tc>
          <w:tcPr>
            <w:tcW w:w="5000" w:type="pct"/>
            <w:gridSpan w:val="5"/>
          </w:tcPr>
          <w:p w14:paraId="74635C61"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krvi i limfnog sistema</w:t>
            </w:r>
          </w:p>
        </w:tc>
      </w:tr>
      <w:tr w:rsidR="00421A7C" w:rsidRPr="007403A4" w14:paraId="62FE87AD" w14:textId="77777777" w:rsidTr="002A5835">
        <w:trPr>
          <w:cantSplit/>
        </w:trPr>
        <w:tc>
          <w:tcPr>
            <w:tcW w:w="1671" w:type="pct"/>
          </w:tcPr>
          <w:p w14:paraId="6BF37B54" w14:textId="724D4EAB"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76CF3DFF"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neutropenija</w:t>
            </w:r>
            <w:r w:rsidRPr="007403A4">
              <w:rPr>
                <w:sz w:val="22"/>
                <w:szCs w:val="22"/>
                <w:vertAlign w:val="superscript"/>
                <w:lang w:val="sr-Latn-ME"/>
              </w:rPr>
              <w:t>§</w:t>
            </w:r>
            <w:r w:rsidRPr="007403A4">
              <w:rPr>
                <w:sz w:val="22"/>
                <w:szCs w:val="22"/>
                <w:lang w:val="sr-Latn-ME"/>
              </w:rPr>
              <w:t>,  trombocitopenija, anemija, leukopenija</w:t>
            </w:r>
          </w:p>
        </w:tc>
        <w:tc>
          <w:tcPr>
            <w:tcW w:w="1658" w:type="pct"/>
          </w:tcPr>
          <w:p w14:paraId="078A62D7"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neutropenija, trombocitopenija </w:t>
            </w:r>
          </w:p>
        </w:tc>
      </w:tr>
      <w:tr w:rsidR="00421A7C" w:rsidRPr="007403A4" w14:paraId="0895DEAE" w14:textId="77777777" w:rsidTr="002A5835">
        <w:trPr>
          <w:cantSplit/>
        </w:trPr>
        <w:tc>
          <w:tcPr>
            <w:tcW w:w="1671" w:type="pct"/>
          </w:tcPr>
          <w:p w14:paraId="59A7F32E"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1B2904CE" w14:textId="58855441" w:rsidR="00421A7C" w:rsidRPr="007403A4" w:rsidRDefault="00421A7C" w:rsidP="004D3AD0">
            <w:pPr>
              <w:spacing w:before="1" w:line="254" w:lineRule="exact"/>
              <w:ind w:right="333"/>
              <w:jc w:val="both"/>
              <w:rPr>
                <w:sz w:val="22"/>
                <w:szCs w:val="22"/>
                <w:lang w:val="sr-Latn-ME"/>
              </w:rPr>
            </w:pPr>
            <w:r w:rsidRPr="007403A4">
              <w:rPr>
                <w:sz w:val="22"/>
                <w:szCs w:val="22"/>
                <w:lang w:val="sr-Latn-ME"/>
              </w:rPr>
              <w:t>febrilna neutropenija</w:t>
            </w:r>
          </w:p>
        </w:tc>
        <w:tc>
          <w:tcPr>
            <w:tcW w:w="1658" w:type="pct"/>
          </w:tcPr>
          <w:p w14:paraId="0FAA0531" w14:textId="019DE85A" w:rsidR="00421A7C" w:rsidRPr="007403A4" w:rsidRDefault="00421A7C">
            <w:pPr>
              <w:spacing w:before="1" w:line="254" w:lineRule="exact"/>
              <w:ind w:right="333"/>
              <w:jc w:val="both"/>
              <w:rPr>
                <w:sz w:val="22"/>
                <w:szCs w:val="22"/>
                <w:lang w:val="sr-Latn-ME"/>
              </w:rPr>
            </w:pPr>
            <w:r w:rsidRPr="007403A4">
              <w:rPr>
                <w:sz w:val="22"/>
                <w:szCs w:val="22"/>
                <w:lang w:val="sr-Latn-ME"/>
              </w:rPr>
              <w:t>anemija, leukopenija, febrilna neutropenija</w:t>
            </w:r>
          </w:p>
        </w:tc>
      </w:tr>
      <w:tr w:rsidR="00421A7C" w:rsidRPr="007403A4" w14:paraId="48DA6FB4" w14:textId="77777777" w:rsidTr="002A5835">
        <w:trPr>
          <w:cantSplit/>
        </w:trPr>
        <w:tc>
          <w:tcPr>
            <w:tcW w:w="1671" w:type="pct"/>
          </w:tcPr>
          <w:p w14:paraId="493C3995" w14:textId="49D4663F" w:rsidR="00421A7C" w:rsidRPr="007403A4" w:rsidRDefault="00421A7C" w:rsidP="004D3AD0">
            <w:pPr>
              <w:spacing w:before="1" w:line="254" w:lineRule="exact"/>
              <w:ind w:right="333"/>
              <w:jc w:val="both"/>
              <w:rPr>
                <w:sz w:val="22"/>
                <w:szCs w:val="22"/>
                <w:lang w:val="sr-Latn-ME"/>
              </w:rPr>
            </w:pPr>
            <w:r w:rsidRPr="007403A4">
              <w:rPr>
                <w:sz w:val="22"/>
                <w:szCs w:val="22"/>
                <w:lang w:val="sr-Latn-ME" w:eastAsia="ja-JP"/>
              </w:rPr>
              <w:t>povremeno</w:t>
            </w:r>
          </w:p>
        </w:tc>
        <w:tc>
          <w:tcPr>
            <w:tcW w:w="1671" w:type="pct"/>
            <w:gridSpan w:val="3"/>
          </w:tcPr>
          <w:p w14:paraId="2679E2E5" w14:textId="147E333E" w:rsidR="00421A7C" w:rsidRPr="007403A4" w:rsidRDefault="00421A7C" w:rsidP="004D3AD0">
            <w:pPr>
              <w:spacing w:before="1" w:line="254" w:lineRule="exact"/>
              <w:ind w:right="333"/>
              <w:jc w:val="both"/>
              <w:rPr>
                <w:sz w:val="22"/>
                <w:szCs w:val="22"/>
                <w:lang w:val="sr-Latn-ME"/>
              </w:rPr>
            </w:pPr>
            <w:r w:rsidRPr="007403A4">
              <w:rPr>
                <w:sz w:val="22"/>
                <w:lang w:val="sr-Latn-ME"/>
              </w:rPr>
              <w:t>diseminovana intravaskularna koagulacija</w:t>
            </w:r>
            <w:r w:rsidRPr="007403A4">
              <w:rPr>
                <w:sz w:val="22"/>
                <w:vertAlign w:val="superscript"/>
                <w:lang w:val="sr-Latn-ME"/>
              </w:rPr>
              <w:t>##</w:t>
            </w:r>
          </w:p>
        </w:tc>
        <w:tc>
          <w:tcPr>
            <w:tcW w:w="1658" w:type="pct"/>
          </w:tcPr>
          <w:p w14:paraId="2D0235E5" w14:textId="77777777" w:rsidR="00421A7C" w:rsidRPr="007403A4" w:rsidRDefault="00421A7C">
            <w:pPr>
              <w:spacing w:before="1" w:line="254" w:lineRule="exact"/>
              <w:ind w:right="333"/>
              <w:jc w:val="both"/>
              <w:rPr>
                <w:sz w:val="22"/>
                <w:szCs w:val="22"/>
                <w:lang w:val="sr-Latn-ME"/>
              </w:rPr>
            </w:pPr>
          </w:p>
        </w:tc>
      </w:tr>
      <w:tr w:rsidR="00421A7C" w:rsidRPr="007403A4" w14:paraId="3BE5281F" w14:textId="77777777" w:rsidTr="0018511B">
        <w:trPr>
          <w:cantSplit/>
        </w:trPr>
        <w:tc>
          <w:tcPr>
            <w:tcW w:w="5000" w:type="pct"/>
            <w:gridSpan w:val="5"/>
          </w:tcPr>
          <w:p w14:paraId="788C5D53"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metabolizma i ishrane</w:t>
            </w:r>
          </w:p>
        </w:tc>
      </w:tr>
      <w:tr w:rsidR="00421A7C" w:rsidRPr="007403A4" w14:paraId="30369053" w14:textId="77777777" w:rsidTr="002A5835">
        <w:trPr>
          <w:cantSplit/>
        </w:trPr>
        <w:tc>
          <w:tcPr>
            <w:tcW w:w="1671" w:type="pct"/>
          </w:tcPr>
          <w:p w14:paraId="6141078C"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16CB8158" w14:textId="36212BCC" w:rsidR="00421A7C" w:rsidRPr="007403A4" w:rsidRDefault="00421A7C" w:rsidP="00C95059">
            <w:pPr>
              <w:spacing w:before="1" w:line="254" w:lineRule="exact"/>
              <w:ind w:right="333"/>
              <w:jc w:val="both"/>
              <w:rPr>
                <w:sz w:val="22"/>
                <w:szCs w:val="22"/>
                <w:lang w:val="sr-Latn-ME"/>
              </w:rPr>
            </w:pPr>
            <w:r w:rsidRPr="007403A4">
              <w:rPr>
                <w:sz w:val="22"/>
                <w:szCs w:val="22"/>
                <w:lang w:val="sr-Latn-ME"/>
              </w:rPr>
              <w:t>sindrom lize tumora, hiperuri</w:t>
            </w:r>
            <w:r w:rsidR="00233E04" w:rsidRPr="007403A4">
              <w:rPr>
                <w:sz w:val="22"/>
                <w:szCs w:val="22"/>
                <w:lang w:val="sr-Latn-ME"/>
              </w:rPr>
              <w:t>k</w:t>
            </w:r>
            <w:r w:rsidRPr="007403A4">
              <w:rPr>
                <w:sz w:val="22"/>
                <w:szCs w:val="22"/>
                <w:lang w:val="sr-Latn-ME"/>
              </w:rPr>
              <w:t>emija, hipokalemija</w:t>
            </w:r>
          </w:p>
        </w:tc>
        <w:tc>
          <w:tcPr>
            <w:tcW w:w="1658" w:type="pct"/>
          </w:tcPr>
          <w:p w14:paraId="182DCDA2" w14:textId="319A0CF9"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sindrom lize tumora, hipokalemija </w:t>
            </w:r>
          </w:p>
        </w:tc>
      </w:tr>
      <w:tr w:rsidR="00421A7C" w:rsidRPr="007403A4" w14:paraId="5ED4D613" w14:textId="77777777" w:rsidTr="002A5835">
        <w:trPr>
          <w:cantSplit/>
        </w:trPr>
        <w:tc>
          <w:tcPr>
            <w:tcW w:w="1671" w:type="pct"/>
          </w:tcPr>
          <w:p w14:paraId="384B9D24"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47D83183" w14:textId="77777777" w:rsidR="00421A7C" w:rsidRPr="007403A4" w:rsidRDefault="00421A7C" w:rsidP="004D3AD0">
            <w:pPr>
              <w:spacing w:before="1" w:line="254" w:lineRule="exact"/>
              <w:ind w:right="333"/>
              <w:jc w:val="both"/>
              <w:rPr>
                <w:sz w:val="22"/>
                <w:szCs w:val="22"/>
                <w:lang w:val="sr-Latn-ME"/>
              </w:rPr>
            </w:pPr>
          </w:p>
        </w:tc>
        <w:tc>
          <w:tcPr>
            <w:tcW w:w="1658" w:type="pct"/>
          </w:tcPr>
          <w:p w14:paraId="4BF05AB6" w14:textId="7DF07A74" w:rsidR="00421A7C" w:rsidRPr="007403A4" w:rsidRDefault="00421A7C">
            <w:pPr>
              <w:spacing w:before="1" w:line="254" w:lineRule="exact"/>
              <w:ind w:right="333"/>
              <w:jc w:val="both"/>
              <w:rPr>
                <w:sz w:val="22"/>
                <w:szCs w:val="22"/>
                <w:lang w:val="sr-Latn-ME"/>
              </w:rPr>
            </w:pPr>
            <w:r w:rsidRPr="007403A4">
              <w:rPr>
                <w:sz w:val="22"/>
                <w:szCs w:val="22"/>
                <w:lang w:val="sr-Latn-ME"/>
              </w:rPr>
              <w:t>hiperuri</w:t>
            </w:r>
            <w:r w:rsidR="00233E04" w:rsidRPr="007403A4">
              <w:rPr>
                <w:sz w:val="22"/>
                <w:szCs w:val="22"/>
                <w:lang w:val="sr-Latn-ME"/>
              </w:rPr>
              <w:t>k</w:t>
            </w:r>
            <w:r w:rsidRPr="007403A4">
              <w:rPr>
                <w:sz w:val="22"/>
                <w:szCs w:val="22"/>
                <w:lang w:val="sr-Latn-ME"/>
              </w:rPr>
              <w:t>emija</w:t>
            </w:r>
          </w:p>
        </w:tc>
      </w:tr>
      <w:tr w:rsidR="00421A7C" w:rsidRPr="007403A4" w14:paraId="09DB073A" w14:textId="77777777" w:rsidTr="0018511B">
        <w:trPr>
          <w:cantSplit/>
        </w:trPr>
        <w:tc>
          <w:tcPr>
            <w:tcW w:w="5000" w:type="pct"/>
            <w:gridSpan w:val="5"/>
          </w:tcPr>
          <w:p w14:paraId="26258E91" w14:textId="77777777" w:rsidR="00421A7C" w:rsidRPr="007403A4" w:rsidRDefault="00421A7C" w:rsidP="004D3AD0">
            <w:pPr>
              <w:spacing w:before="1" w:line="254" w:lineRule="exact"/>
              <w:ind w:right="333"/>
              <w:jc w:val="both"/>
              <w:rPr>
                <w:sz w:val="22"/>
                <w:szCs w:val="22"/>
                <w:lang w:val="sr-Latn-ME"/>
              </w:rPr>
            </w:pPr>
            <w:r w:rsidRPr="007403A4">
              <w:rPr>
                <w:b/>
                <w:sz w:val="22"/>
                <w:szCs w:val="22"/>
                <w:lang w:val="sr-Latn-ME"/>
              </w:rPr>
              <w:t xml:space="preserve">Psihijatrijski poremećaji </w:t>
            </w:r>
          </w:p>
        </w:tc>
      </w:tr>
      <w:tr w:rsidR="00421A7C" w:rsidRPr="007403A4" w14:paraId="1AF0E1AB" w14:textId="77777777" w:rsidTr="002A5835">
        <w:trPr>
          <w:cantSplit/>
        </w:trPr>
        <w:tc>
          <w:tcPr>
            <w:tcW w:w="1671" w:type="pct"/>
          </w:tcPr>
          <w:p w14:paraId="32B0F88A" w14:textId="0D96B7B8"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4A3B9003"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nesanica</w:t>
            </w:r>
          </w:p>
        </w:tc>
        <w:tc>
          <w:tcPr>
            <w:tcW w:w="1658" w:type="pct"/>
          </w:tcPr>
          <w:p w14:paraId="6A10A0AC" w14:textId="77777777" w:rsidR="00421A7C" w:rsidRPr="007403A4" w:rsidRDefault="00421A7C">
            <w:pPr>
              <w:spacing w:before="1" w:line="254" w:lineRule="exact"/>
              <w:ind w:right="333"/>
              <w:jc w:val="both"/>
              <w:rPr>
                <w:sz w:val="22"/>
                <w:szCs w:val="22"/>
                <w:lang w:val="sr-Latn-ME"/>
              </w:rPr>
            </w:pPr>
          </w:p>
        </w:tc>
      </w:tr>
      <w:tr w:rsidR="00421A7C" w:rsidRPr="007403A4" w14:paraId="7DB916A9" w14:textId="77777777" w:rsidTr="002A5835">
        <w:trPr>
          <w:cantSplit/>
        </w:trPr>
        <w:tc>
          <w:tcPr>
            <w:tcW w:w="1671" w:type="pct"/>
          </w:tcPr>
          <w:p w14:paraId="260E2847"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082BE664"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depresija, anksioznost</w:t>
            </w:r>
          </w:p>
        </w:tc>
        <w:tc>
          <w:tcPr>
            <w:tcW w:w="1658" w:type="pct"/>
          </w:tcPr>
          <w:p w14:paraId="17323F75" w14:textId="77777777" w:rsidR="00421A7C" w:rsidRPr="007403A4" w:rsidRDefault="00421A7C">
            <w:pPr>
              <w:spacing w:before="1" w:line="254" w:lineRule="exact"/>
              <w:ind w:right="333"/>
              <w:jc w:val="both"/>
              <w:rPr>
                <w:sz w:val="22"/>
                <w:szCs w:val="22"/>
                <w:lang w:val="sr-Latn-ME"/>
              </w:rPr>
            </w:pPr>
          </w:p>
        </w:tc>
      </w:tr>
      <w:tr w:rsidR="00421A7C" w:rsidRPr="007403A4" w14:paraId="33569EB3" w14:textId="77777777" w:rsidTr="002A5835">
        <w:trPr>
          <w:cantSplit/>
        </w:trPr>
        <w:tc>
          <w:tcPr>
            <w:tcW w:w="1671" w:type="pct"/>
          </w:tcPr>
          <w:p w14:paraId="40A74336"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lastRenderedPageBreak/>
              <w:t>povremeno</w:t>
            </w:r>
          </w:p>
        </w:tc>
        <w:tc>
          <w:tcPr>
            <w:tcW w:w="1671" w:type="pct"/>
            <w:gridSpan w:val="3"/>
          </w:tcPr>
          <w:p w14:paraId="6BCA4528" w14:textId="77777777" w:rsidR="00421A7C" w:rsidRPr="007403A4" w:rsidRDefault="00421A7C" w:rsidP="004D3AD0">
            <w:pPr>
              <w:spacing w:before="1" w:line="254" w:lineRule="exact"/>
              <w:ind w:right="333"/>
              <w:jc w:val="both"/>
              <w:rPr>
                <w:sz w:val="22"/>
                <w:szCs w:val="22"/>
                <w:lang w:val="sr-Latn-ME"/>
              </w:rPr>
            </w:pPr>
          </w:p>
        </w:tc>
        <w:tc>
          <w:tcPr>
            <w:tcW w:w="1658" w:type="pct"/>
          </w:tcPr>
          <w:p w14:paraId="49CC07DE"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nesanica, depresija, anksioznost</w:t>
            </w:r>
          </w:p>
        </w:tc>
      </w:tr>
      <w:tr w:rsidR="00421A7C" w:rsidRPr="007403A4" w14:paraId="53ECD39D" w14:textId="77777777" w:rsidTr="002A5835">
        <w:trPr>
          <w:cantSplit/>
        </w:trPr>
        <w:tc>
          <w:tcPr>
            <w:tcW w:w="1671" w:type="pct"/>
          </w:tcPr>
          <w:p w14:paraId="1D1304B5"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nervnog sistema</w:t>
            </w:r>
          </w:p>
        </w:tc>
        <w:tc>
          <w:tcPr>
            <w:tcW w:w="1671" w:type="pct"/>
            <w:gridSpan w:val="3"/>
          </w:tcPr>
          <w:p w14:paraId="7DA858C2" w14:textId="77777777" w:rsidR="00421A7C" w:rsidRPr="007403A4" w:rsidRDefault="00421A7C" w:rsidP="004D3AD0">
            <w:pPr>
              <w:spacing w:before="1" w:line="254" w:lineRule="exact"/>
              <w:ind w:right="333"/>
              <w:jc w:val="both"/>
              <w:rPr>
                <w:sz w:val="22"/>
                <w:szCs w:val="22"/>
                <w:lang w:val="sr-Latn-ME"/>
              </w:rPr>
            </w:pPr>
          </w:p>
        </w:tc>
        <w:tc>
          <w:tcPr>
            <w:tcW w:w="1658" w:type="pct"/>
          </w:tcPr>
          <w:p w14:paraId="3E6215D8" w14:textId="77777777" w:rsidR="00421A7C" w:rsidRPr="007403A4" w:rsidRDefault="00421A7C">
            <w:pPr>
              <w:spacing w:before="1" w:line="254" w:lineRule="exact"/>
              <w:ind w:right="333"/>
              <w:jc w:val="both"/>
              <w:rPr>
                <w:sz w:val="22"/>
                <w:szCs w:val="22"/>
                <w:lang w:val="sr-Latn-ME"/>
              </w:rPr>
            </w:pPr>
          </w:p>
        </w:tc>
      </w:tr>
      <w:tr w:rsidR="00421A7C" w:rsidRPr="007403A4" w14:paraId="31C09127" w14:textId="77777777" w:rsidTr="002A5835">
        <w:trPr>
          <w:cantSplit/>
        </w:trPr>
        <w:tc>
          <w:tcPr>
            <w:tcW w:w="1671" w:type="pct"/>
          </w:tcPr>
          <w:p w14:paraId="3F7F0733" w14:textId="6A12BFD2"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07440F37"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glavobolja</w:t>
            </w:r>
          </w:p>
        </w:tc>
        <w:tc>
          <w:tcPr>
            <w:tcW w:w="1658" w:type="pct"/>
          </w:tcPr>
          <w:p w14:paraId="590862BB" w14:textId="77777777" w:rsidR="00421A7C" w:rsidRPr="007403A4" w:rsidRDefault="00421A7C">
            <w:pPr>
              <w:spacing w:before="1" w:line="254" w:lineRule="exact"/>
              <w:ind w:right="333"/>
              <w:jc w:val="both"/>
              <w:rPr>
                <w:sz w:val="22"/>
                <w:szCs w:val="22"/>
                <w:lang w:val="sr-Latn-ME"/>
              </w:rPr>
            </w:pPr>
          </w:p>
        </w:tc>
      </w:tr>
      <w:tr w:rsidR="00421A7C" w:rsidRPr="007403A4" w14:paraId="6F3CDE78" w14:textId="77777777" w:rsidTr="002A5835">
        <w:trPr>
          <w:cantSplit/>
        </w:trPr>
        <w:tc>
          <w:tcPr>
            <w:tcW w:w="1671" w:type="pct"/>
          </w:tcPr>
          <w:p w14:paraId="438D4A41"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1E666539" w14:textId="77777777" w:rsidR="00421A7C" w:rsidRPr="007403A4" w:rsidRDefault="00421A7C" w:rsidP="004D3AD0">
            <w:pPr>
              <w:spacing w:before="1" w:line="254" w:lineRule="exact"/>
              <w:ind w:right="333"/>
              <w:jc w:val="both"/>
              <w:rPr>
                <w:sz w:val="22"/>
                <w:szCs w:val="22"/>
                <w:lang w:val="sr-Latn-ME"/>
              </w:rPr>
            </w:pPr>
          </w:p>
        </w:tc>
        <w:tc>
          <w:tcPr>
            <w:tcW w:w="1658" w:type="pct"/>
          </w:tcPr>
          <w:p w14:paraId="59460BBB" w14:textId="77777777" w:rsidR="00421A7C" w:rsidRPr="007403A4" w:rsidRDefault="00421A7C">
            <w:pPr>
              <w:spacing w:before="1" w:line="254" w:lineRule="exact"/>
              <w:ind w:right="333"/>
              <w:jc w:val="both"/>
              <w:rPr>
                <w:sz w:val="22"/>
                <w:szCs w:val="22"/>
                <w:lang w:val="sr-Latn-ME"/>
              </w:rPr>
            </w:pPr>
            <w:r w:rsidRPr="007403A4">
              <w:rPr>
                <w:sz w:val="22"/>
                <w:szCs w:val="22"/>
                <w:lang w:val="sr-Latn-ME"/>
              </w:rPr>
              <w:t>glavobolja</w:t>
            </w:r>
          </w:p>
        </w:tc>
      </w:tr>
      <w:tr w:rsidR="00421A7C" w:rsidRPr="007403A4" w14:paraId="33EBE0D3" w14:textId="77777777" w:rsidTr="002A5835">
        <w:trPr>
          <w:cantSplit/>
        </w:trPr>
        <w:tc>
          <w:tcPr>
            <w:tcW w:w="1671" w:type="pct"/>
          </w:tcPr>
          <w:p w14:paraId="5F748F98" w14:textId="0555803B" w:rsidR="00421A7C" w:rsidRPr="007403A4" w:rsidRDefault="00421A7C" w:rsidP="004D3AD0">
            <w:pPr>
              <w:spacing w:before="1" w:line="254" w:lineRule="exact"/>
              <w:ind w:right="333"/>
              <w:jc w:val="both"/>
              <w:rPr>
                <w:sz w:val="22"/>
                <w:szCs w:val="22"/>
                <w:lang w:val="sr-Latn-ME"/>
              </w:rPr>
            </w:pPr>
            <w:r w:rsidRPr="007403A4">
              <w:rPr>
                <w:sz w:val="22"/>
                <w:szCs w:val="22"/>
                <w:lang w:val="sr-Latn-ME"/>
              </w:rPr>
              <w:t>nepoznato</w:t>
            </w:r>
          </w:p>
        </w:tc>
        <w:tc>
          <w:tcPr>
            <w:tcW w:w="1671" w:type="pct"/>
            <w:gridSpan w:val="3"/>
          </w:tcPr>
          <w:p w14:paraId="15B591E3" w14:textId="021B2E76" w:rsidR="00421A7C" w:rsidRPr="007403A4" w:rsidRDefault="00421A7C" w:rsidP="004D3AD0">
            <w:pPr>
              <w:spacing w:before="1" w:line="254" w:lineRule="exact"/>
              <w:ind w:right="333"/>
              <w:jc w:val="both"/>
              <w:rPr>
                <w:sz w:val="22"/>
                <w:szCs w:val="22"/>
                <w:lang w:val="sr-Latn-ME"/>
              </w:rPr>
            </w:pPr>
            <w:r w:rsidRPr="007403A4">
              <w:rPr>
                <w:sz w:val="22"/>
                <w:szCs w:val="22"/>
                <w:lang w:val="sr-Latn-ME"/>
              </w:rPr>
              <w:t>progresivna multifokalna leukoencefalopatija</w:t>
            </w:r>
          </w:p>
        </w:tc>
        <w:tc>
          <w:tcPr>
            <w:tcW w:w="1658" w:type="pct"/>
          </w:tcPr>
          <w:p w14:paraId="71AA78DE" w14:textId="77777777" w:rsidR="00421A7C" w:rsidRPr="007403A4" w:rsidRDefault="00421A7C">
            <w:pPr>
              <w:spacing w:before="1" w:line="254" w:lineRule="exact"/>
              <w:ind w:right="333"/>
              <w:jc w:val="both"/>
              <w:rPr>
                <w:sz w:val="22"/>
                <w:szCs w:val="22"/>
                <w:lang w:val="sr-Latn-ME"/>
              </w:rPr>
            </w:pPr>
          </w:p>
        </w:tc>
      </w:tr>
      <w:tr w:rsidR="00421A7C" w:rsidRPr="007403A4" w14:paraId="2D2019D6" w14:textId="77777777" w:rsidTr="0018511B">
        <w:trPr>
          <w:cantSplit/>
        </w:trPr>
        <w:tc>
          <w:tcPr>
            <w:tcW w:w="5000" w:type="pct"/>
            <w:gridSpan w:val="5"/>
          </w:tcPr>
          <w:p w14:paraId="7E3407E7"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Srčani poremećaji</w:t>
            </w:r>
          </w:p>
        </w:tc>
      </w:tr>
      <w:tr w:rsidR="00421A7C" w:rsidRPr="007403A4" w14:paraId="3EA20B02" w14:textId="77777777" w:rsidTr="002A5835">
        <w:trPr>
          <w:cantSplit/>
        </w:trPr>
        <w:tc>
          <w:tcPr>
            <w:tcW w:w="1671" w:type="pct"/>
          </w:tcPr>
          <w:p w14:paraId="438BF664"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6B783763" w14:textId="0DFE2126" w:rsidR="00421A7C" w:rsidRPr="007403A4" w:rsidRDefault="00421A7C" w:rsidP="00C95059">
            <w:pPr>
              <w:spacing w:before="1" w:line="254" w:lineRule="exact"/>
              <w:ind w:right="333"/>
              <w:jc w:val="both"/>
              <w:rPr>
                <w:sz w:val="22"/>
                <w:szCs w:val="22"/>
                <w:lang w:val="sr-Latn-ME"/>
              </w:rPr>
            </w:pPr>
            <w:r w:rsidRPr="007403A4">
              <w:rPr>
                <w:sz w:val="22"/>
                <w:szCs w:val="22"/>
                <w:lang w:val="sr-Latn-ME"/>
              </w:rPr>
              <w:t>fibrilacija pretkomora</w:t>
            </w:r>
          </w:p>
        </w:tc>
        <w:tc>
          <w:tcPr>
            <w:tcW w:w="1658" w:type="pct"/>
          </w:tcPr>
          <w:p w14:paraId="7DF1C1BA" w14:textId="694A78FB" w:rsidR="00421A7C" w:rsidRPr="007403A4" w:rsidRDefault="00421A7C" w:rsidP="00C95059">
            <w:pPr>
              <w:spacing w:before="1" w:line="254" w:lineRule="exact"/>
              <w:ind w:right="333"/>
              <w:jc w:val="both"/>
              <w:rPr>
                <w:sz w:val="22"/>
                <w:szCs w:val="22"/>
                <w:lang w:val="sr-Latn-ME"/>
              </w:rPr>
            </w:pPr>
            <w:r w:rsidRPr="007403A4">
              <w:rPr>
                <w:sz w:val="22"/>
                <w:szCs w:val="22"/>
                <w:lang w:val="sr-Latn-ME"/>
              </w:rPr>
              <w:t>fibrilacija pretkomora</w:t>
            </w:r>
          </w:p>
        </w:tc>
      </w:tr>
      <w:tr w:rsidR="00421A7C" w:rsidRPr="007403A4" w14:paraId="68A1A96E" w14:textId="77777777" w:rsidTr="0018511B">
        <w:trPr>
          <w:cantSplit/>
        </w:trPr>
        <w:tc>
          <w:tcPr>
            <w:tcW w:w="5000" w:type="pct"/>
            <w:gridSpan w:val="5"/>
          </w:tcPr>
          <w:p w14:paraId="698D311A"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Vaskularni poremećaji</w:t>
            </w:r>
          </w:p>
        </w:tc>
      </w:tr>
      <w:tr w:rsidR="00421A7C" w:rsidRPr="007403A4" w14:paraId="23B077D6" w14:textId="77777777" w:rsidTr="002A5835">
        <w:trPr>
          <w:cantSplit/>
        </w:trPr>
        <w:tc>
          <w:tcPr>
            <w:tcW w:w="1671" w:type="pct"/>
          </w:tcPr>
          <w:p w14:paraId="1CEDCBE3"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69B37EA8"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hipertenzija</w:t>
            </w:r>
          </w:p>
        </w:tc>
        <w:tc>
          <w:tcPr>
            <w:tcW w:w="1658" w:type="pct"/>
          </w:tcPr>
          <w:p w14:paraId="260EDFE7" w14:textId="77777777" w:rsidR="00421A7C" w:rsidRPr="007403A4" w:rsidRDefault="00421A7C">
            <w:pPr>
              <w:spacing w:before="1" w:line="254" w:lineRule="exact"/>
              <w:ind w:right="333"/>
              <w:jc w:val="both"/>
              <w:rPr>
                <w:sz w:val="22"/>
                <w:szCs w:val="22"/>
                <w:lang w:val="sr-Latn-ME"/>
              </w:rPr>
            </w:pPr>
            <w:r w:rsidRPr="007403A4">
              <w:rPr>
                <w:sz w:val="22"/>
                <w:szCs w:val="22"/>
                <w:lang w:val="sr-Latn-ME"/>
              </w:rPr>
              <w:t>hipertenzija</w:t>
            </w:r>
          </w:p>
        </w:tc>
      </w:tr>
      <w:tr w:rsidR="00421A7C" w:rsidRPr="007403A4" w14:paraId="3A0A0775" w14:textId="77777777" w:rsidTr="0018511B">
        <w:trPr>
          <w:cantSplit/>
        </w:trPr>
        <w:tc>
          <w:tcPr>
            <w:tcW w:w="5000" w:type="pct"/>
            <w:gridSpan w:val="5"/>
          </w:tcPr>
          <w:p w14:paraId="43F21B31"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Respiratorni, torakalni i medijastinalni poremećaji</w:t>
            </w:r>
          </w:p>
        </w:tc>
      </w:tr>
      <w:tr w:rsidR="00421A7C" w:rsidRPr="007403A4" w14:paraId="2A6D5F2B" w14:textId="77777777" w:rsidTr="002A5835">
        <w:trPr>
          <w:cantSplit/>
        </w:trPr>
        <w:tc>
          <w:tcPr>
            <w:tcW w:w="1671" w:type="pct"/>
          </w:tcPr>
          <w:p w14:paraId="2DCCF97C" w14:textId="6C55BB0C"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2B8BC5B1"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kašalj</w:t>
            </w:r>
            <w:r w:rsidRPr="007403A4">
              <w:rPr>
                <w:sz w:val="22"/>
                <w:szCs w:val="22"/>
                <w:vertAlign w:val="superscript"/>
                <w:lang w:val="sr-Latn-ME"/>
              </w:rPr>
              <w:t xml:space="preserve">§ </w:t>
            </w:r>
          </w:p>
        </w:tc>
        <w:tc>
          <w:tcPr>
            <w:tcW w:w="1658" w:type="pct"/>
          </w:tcPr>
          <w:p w14:paraId="2C2BE142" w14:textId="77777777" w:rsidR="00421A7C" w:rsidRPr="007403A4" w:rsidRDefault="00421A7C">
            <w:pPr>
              <w:spacing w:before="1" w:line="254" w:lineRule="exact"/>
              <w:ind w:right="333"/>
              <w:jc w:val="both"/>
              <w:rPr>
                <w:sz w:val="22"/>
                <w:szCs w:val="22"/>
                <w:lang w:val="sr-Latn-ME"/>
              </w:rPr>
            </w:pPr>
          </w:p>
        </w:tc>
      </w:tr>
      <w:tr w:rsidR="00421A7C" w:rsidRPr="007403A4" w14:paraId="1CE93B2B" w14:textId="77777777" w:rsidTr="002A5835">
        <w:trPr>
          <w:cantSplit/>
        </w:trPr>
        <w:tc>
          <w:tcPr>
            <w:tcW w:w="1671" w:type="pct"/>
          </w:tcPr>
          <w:p w14:paraId="40E8C552"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3CE6A651"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kongestija nosa, rinoreja, bol u usnoj duplji i ždrijelu</w:t>
            </w:r>
          </w:p>
        </w:tc>
        <w:tc>
          <w:tcPr>
            <w:tcW w:w="1658" w:type="pct"/>
          </w:tcPr>
          <w:p w14:paraId="77874EDC" w14:textId="77777777" w:rsidR="00421A7C" w:rsidRPr="007403A4" w:rsidRDefault="00421A7C">
            <w:pPr>
              <w:spacing w:before="1" w:line="254" w:lineRule="exact"/>
              <w:ind w:right="333"/>
              <w:jc w:val="both"/>
              <w:rPr>
                <w:sz w:val="22"/>
                <w:szCs w:val="22"/>
                <w:lang w:val="sr-Latn-ME"/>
              </w:rPr>
            </w:pPr>
          </w:p>
        </w:tc>
      </w:tr>
      <w:tr w:rsidR="00421A7C" w:rsidRPr="007403A4" w14:paraId="66DFBEDF" w14:textId="77777777" w:rsidTr="002A5835">
        <w:trPr>
          <w:cantSplit/>
        </w:trPr>
        <w:tc>
          <w:tcPr>
            <w:tcW w:w="1671" w:type="pct"/>
          </w:tcPr>
          <w:p w14:paraId="3A8FB42B"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povremeno </w:t>
            </w:r>
          </w:p>
        </w:tc>
        <w:tc>
          <w:tcPr>
            <w:tcW w:w="1671" w:type="pct"/>
            <w:gridSpan w:val="3"/>
          </w:tcPr>
          <w:p w14:paraId="35FF9D67" w14:textId="77777777" w:rsidR="00421A7C" w:rsidRPr="007403A4" w:rsidRDefault="00421A7C" w:rsidP="004D3AD0">
            <w:pPr>
              <w:spacing w:before="1" w:line="254" w:lineRule="exact"/>
              <w:ind w:right="333"/>
              <w:jc w:val="both"/>
              <w:rPr>
                <w:sz w:val="22"/>
                <w:szCs w:val="22"/>
                <w:lang w:val="sr-Latn-ME"/>
              </w:rPr>
            </w:pPr>
          </w:p>
        </w:tc>
        <w:tc>
          <w:tcPr>
            <w:tcW w:w="1658" w:type="pct"/>
          </w:tcPr>
          <w:p w14:paraId="2A4652B5"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kašalj, bol u usnoj dupji i ždrijelu </w:t>
            </w:r>
          </w:p>
        </w:tc>
      </w:tr>
      <w:tr w:rsidR="00421A7C" w:rsidRPr="007403A4" w14:paraId="1200481C" w14:textId="77777777" w:rsidTr="0018511B">
        <w:trPr>
          <w:cantSplit/>
        </w:trPr>
        <w:tc>
          <w:tcPr>
            <w:tcW w:w="5000" w:type="pct"/>
            <w:gridSpan w:val="5"/>
          </w:tcPr>
          <w:p w14:paraId="30AA580A"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Gastrointestinalni poremećaji</w:t>
            </w:r>
          </w:p>
        </w:tc>
      </w:tr>
      <w:tr w:rsidR="00421A7C" w:rsidRPr="007403A4" w14:paraId="7A75585C" w14:textId="77777777" w:rsidTr="002A5835">
        <w:trPr>
          <w:cantSplit/>
        </w:trPr>
        <w:tc>
          <w:tcPr>
            <w:tcW w:w="1671" w:type="pct"/>
          </w:tcPr>
          <w:p w14:paraId="2FDB10CC" w14:textId="2FF59A72"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0220258D"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dijareja, konstipacija</w:t>
            </w:r>
            <w:r w:rsidRPr="007403A4">
              <w:rPr>
                <w:sz w:val="22"/>
                <w:szCs w:val="22"/>
                <w:vertAlign w:val="superscript"/>
                <w:lang w:val="sr-Latn-ME"/>
              </w:rPr>
              <w:t xml:space="preserve">§ </w:t>
            </w:r>
          </w:p>
        </w:tc>
        <w:tc>
          <w:tcPr>
            <w:tcW w:w="1658" w:type="pct"/>
          </w:tcPr>
          <w:p w14:paraId="264D319F" w14:textId="77777777" w:rsidR="00421A7C" w:rsidRPr="007403A4" w:rsidRDefault="00421A7C">
            <w:pPr>
              <w:spacing w:before="1" w:line="254" w:lineRule="exact"/>
              <w:ind w:right="333"/>
              <w:jc w:val="both"/>
              <w:rPr>
                <w:sz w:val="22"/>
                <w:szCs w:val="22"/>
                <w:lang w:val="sr-Latn-ME"/>
              </w:rPr>
            </w:pPr>
          </w:p>
        </w:tc>
      </w:tr>
      <w:tr w:rsidR="00421A7C" w:rsidRPr="007403A4" w14:paraId="0E352A0D" w14:textId="77777777" w:rsidTr="002A5835">
        <w:trPr>
          <w:cantSplit/>
        </w:trPr>
        <w:tc>
          <w:tcPr>
            <w:tcW w:w="1671" w:type="pct"/>
          </w:tcPr>
          <w:p w14:paraId="02CBA9BA"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5A3AF20D" w14:textId="305F59BF"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dispepsija, hemoroidi, gastrointestinalna perforacija </w:t>
            </w:r>
          </w:p>
        </w:tc>
        <w:tc>
          <w:tcPr>
            <w:tcW w:w="1658" w:type="pct"/>
          </w:tcPr>
          <w:p w14:paraId="2264C062" w14:textId="2CDA3447" w:rsidR="00421A7C" w:rsidRPr="007403A4" w:rsidRDefault="00421A7C" w:rsidP="00C95059">
            <w:pPr>
              <w:spacing w:before="1" w:line="254" w:lineRule="exact"/>
              <w:ind w:right="333"/>
              <w:jc w:val="both"/>
              <w:rPr>
                <w:sz w:val="22"/>
                <w:szCs w:val="22"/>
                <w:lang w:val="sr-Latn-ME"/>
              </w:rPr>
            </w:pPr>
            <w:r w:rsidRPr="007403A4">
              <w:rPr>
                <w:sz w:val="22"/>
                <w:szCs w:val="22"/>
                <w:lang w:val="sr-Latn-ME"/>
              </w:rPr>
              <w:t>dijareja</w:t>
            </w:r>
          </w:p>
        </w:tc>
      </w:tr>
      <w:tr w:rsidR="00421A7C" w:rsidRPr="007403A4" w14:paraId="4FC13B58" w14:textId="77777777" w:rsidTr="002A5835">
        <w:trPr>
          <w:cantSplit/>
        </w:trPr>
        <w:tc>
          <w:tcPr>
            <w:tcW w:w="1671" w:type="pct"/>
          </w:tcPr>
          <w:p w14:paraId="289ADBE9"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57F35368" w14:textId="77777777" w:rsidR="00421A7C" w:rsidRPr="007403A4" w:rsidRDefault="00421A7C" w:rsidP="004D3AD0">
            <w:pPr>
              <w:spacing w:before="1" w:line="254" w:lineRule="exact"/>
              <w:ind w:right="333"/>
              <w:jc w:val="both"/>
              <w:rPr>
                <w:sz w:val="22"/>
                <w:szCs w:val="22"/>
                <w:lang w:val="sr-Latn-ME"/>
              </w:rPr>
            </w:pPr>
          </w:p>
        </w:tc>
        <w:tc>
          <w:tcPr>
            <w:tcW w:w="1658" w:type="pct"/>
          </w:tcPr>
          <w:p w14:paraId="2CD3ADD9" w14:textId="77777777" w:rsidR="00421A7C" w:rsidRPr="007403A4" w:rsidRDefault="00421A7C">
            <w:pPr>
              <w:spacing w:before="1" w:line="254" w:lineRule="exact"/>
              <w:ind w:right="333"/>
              <w:jc w:val="both"/>
              <w:rPr>
                <w:sz w:val="22"/>
                <w:szCs w:val="22"/>
                <w:lang w:val="sr-Latn-ME"/>
              </w:rPr>
            </w:pPr>
            <w:r w:rsidRPr="007403A4">
              <w:rPr>
                <w:sz w:val="22"/>
                <w:szCs w:val="22"/>
                <w:lang w:val="sr-Latn-ME"/>
              </w:rPr>
              <w:t xml:space="preserve">konstipacija, hemoroidi </w:t>
            </w:r>
          </w:p>
        </w:tc>
      </w:tr>
      <w:tr w:rsidR="00421A7C" w:rsidRPr="007403A4" w14:paraId="1B718391" w14:textId="77777777" w:rsidTr="0018511B">
        <w:trPr>
          <w:cantSplit/>
        </w:trPr>
        <w:tc>
          <w:tcPr>
            <w:tcW w:w="5000" w:type="pct"/>
            <w:gridSpan w:val="5"/>
          </w:tcPr>
          <w:p w14:paraId="430E6CD2"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kože i potkožnog tkiva</w:t>
            </w:r>
          </w:p>
        </w:tc>
      </w:tr>
      <w:tr w:rsidR="00421A7C" w:rsidRPr="007403A4" w14:paraId="7E41FF9B" w14:textId="77777777" w:rsidTr="002A5835">
        <w:trPr>
          <w:cantSplit/>
        </w:trPr>
        <w:tc>
          <w:tcPr>
            <w:tcW w:w="1671" w:type="pct"/>
          </w:tcPr>
          <w:p w14:paraId="6CD10BE5" w14:textId="7C32CE38"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Vrlo često </w:t>
            </w:r>
          </w:p>
        </w:tc>
        <w:tc>
          <w:tcPr>
            <w:tcW w:w="1671" w:type="pct"/>
            <w:gridSpan w:val="3"/>
          </w:tcPr>
          <w:p w14:paraId="2AC22F34"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alopecija, pruritus </w:t>
            </w:r>
          </w:p>
        </w:tc>
        <w:tc>
          <w:tcPr>
            <w:tcW w:w="1658" w:type="pct"/>
          </w:tcPr>
          <w:p w14:paraId="76999DA7" w14:textId="77777777" w:rsidR="00421A7C" w:rsidRPr="007403A4" w:rsidRDefault="00421A7C">
            <w:pPr>
              <w:spacing w:before="1" w:line="254" w:lineRule="exact"/>
              <w:ind w:right="333"/>
              <w:jc w:val="both"/>
              <w:rPr>
                <w:sz w:val="22"/>
                <w:szCs w:val="22"/>
                <w:lang w:val="sr-Latn-ME"/>
              </w:rPr>
            </w:pPr>
          </w:p>
        </w:tc>
      </w:tr>
      <w:tr w:rsidR="00421A7C" w:rsidRPr="007403A4" w14:paraId="728E7821" w14:textId="77777777" w:rsidTr="002A5835">
        <w:trPr>
          <w:cantSplit/>
        </w:trPr>
        <w:tc>
          <w:tcPr>
            <w:tcW w:w="1671" w:type="pct"/>
          </w:tcPr>
          <w:p w14:paraId="44F7EBE6"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7621A381" w14:textId="4A145472" w:rsidR="00421A7C" w:rsidRPr="007403A4" w:rsidRDefault="00421A7C" w:rsidP="004D3AD0">
            <w:pPr>
              <w:spacing w:before="1" w:line="254" w:lineRule="exact"/>
              <w:ind w:right="333"/>
              <w:jc w:val="both"/>
              <w:rPr>
                <w:sz w:val="22"/>
                <w:szCs w:val="22"/>
                <w:lang w:val="sr-Latn-ME"/>
              </w:rPr>
            </w:pPr>
            <w:r w:rsidRPr="007403A4">
              <w:rPr>
                <w:sz w:val="22"/>
                <w:szCs w:val="22"/>
                <w:lang w:val="sr-Latn-ME"/>
              </w:rPr>
              <w:t>ekcem</w:t>
            </w:r>
          </w:p>
        </w:tc>
        <w:tc>
          <w:tcPr>
            <w:tcW w:w="1658" w:type="pct"/>
          </w:tcPr>
          <w:p w14:paraId="038A7A9C" w14:textId="77777777" w:rsidR="00421A7C" w:rsidRPr="007403A4" w:rsidRDefault="00421A7C">
            <w:pPr>
              <w:spacing w:before="1" w:line="254" w:lineRule="exact"/>
              <w:ind w:right="333"/>
              <w:jc w:val="both"/>
              <w:rPr>
                <w:sz w:val="22"/>
                <w:szCs w:val="22"/>
                <w:lang w:val="sr-Latn-ME"/>
              </w:rPr>
            </w:pPr>
          </w:p>
        </w:tc>
      </w:tr>
      <w:tr w:rsidR="00421A7C" w:rsidRPr="007403A4" w14:paraId="6CC5BA0F" w14:textId="77777777" w:rsidTr="002A5835">
        <w:trPr>
          <w:cantSplit/>
        </w:trPr>
        <w:tc>
          <w:tcPr>
            <w:tcW w:w="1671" w:type="pct"/>
          </w:tcPr>
          <w:p w14:paraId="5EA37270"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povremeno </w:t>
            </w:r>
          </w:p>
        </w:tc>
        <w:tc>
          <w:tcPr>
            <w:tcW w:w="1671" w:type="pct"/>
            <w:gridSpan w:val="3"/>
          </w:tcPr>
          <w:p w14:paraId="3F6A149E" w14:textId="77777777" w:rsidR="00421A7C" w:rsidRPr="007403A4" w:rsidDel="00F85116" w:rsidRDefault="00421A7C" w:rsidP="004D3AD0">
            <w:pPr>
              <w:spacing w:before="1" w:line="254" w:lineRule="exact"/>
              <w:ind w:right="333"/>
              <w:jc w:val="both"/>
              <w:rPr>
                <w:sz w:val="22"/>
                <w:szCs w:val="22"/>
                <w:lang w:val="sr-Latn-ME"/>
              </w:rPr>
            </w:pPr>
          </w:p>
        </w:tc>
        <w:tc>
          <w:tcPr>
            <w:tcW w:w="1658" w:type="pct"/>
          </w:tcPr>
          <w:p w14:paraId="63A5DABF" w14:textId="08F86C4A" w:rsidR="00421A7C" w:rsidRPr="007403A4" w:rsidRDefault="00421A7C" w:rsidP="004D3AD0">
            <w:pPr>
              <w:spacing w:before="1" w:line="254" w:lineRule="exact"/>
              <w:ind w:right="333"/>
              <w:jc w:val="both"/>
              <w:rPr>
                <w:sz w:val="22"/>
                <w:szCs w:val="22"/>
                <w:lang w:val="sr-Latn-ME"/>
              </w:rPr>
            </w:pPr>
            <w:r w:rsidRPr="007403A4">
              <w:rPr>
                <w:sz w:val="22"/>
                <w:szCs w:val="22"/>
                <w:lang w:val="sr-Latn-ME"/>
              </w:rPr>
              <w:t xml:space="preserve">pruritus </w:t>
            </w:r>
          </w:p>
        </w:tc>
      </w:tr>
      <w:tr w:rsidR="00421A7C" w:rsidRPr="007403A4" w14:paraId="592DB5C3" w14:textId="77777777" w:rsidTr="0018511B">
        <w:trPr>
          <w:cantSplit/>
        </w:trPr>
        <w:tc>
          <w:tcPr>
            <w:tcW w:w="5000" w:type="pct"/>
            <w:gridSpan w:val="5"/>
          </w:tcPr>
          <w:p w14:paraId="787FC822"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mišićno-koštanog sistema i vezivnog tkiva</w:t>
            </w:r>
          </w:p>
        </w:tc>
      </w:tr>
      <w:tr w:rsidR="00421A7C" w:rsidRPr="007403A4" w14:paraId="48BACFB2" w14:textId="77777777" w:rsidTr="002A5835">
        <w:trPr>
          <w:cantSplit/>
        </w:trPr>
        <w:tc>
          <w:tcPr>
            <w:tcW w:w="1671" w:type="pct"/>
          </w:tcPr>
          <w:p w14:paraId="49A2EBF5"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0A42E1FC" w14:textId="6CE2C0D4" w:rsidR="00421A7C" w:rsidRPr="007403A4" w:rsidRDefault="00421A7C" w:rsidP="004D3AD0">
            <w:pPr>
              <w:spacing w:before="1" w:line="254" w:lineRule="exact"/>
              <w:ind w:right="333"/>
              <w:jc w:val="both"/>
              <w:rPr>
                <w:sz w:val="22"/>
                <w:szCs w:val="22"/>
                <w:lang w:val="sr-Latn-ME"/>
              </w:rPr>
            </w:pPr>
            <w:r w:rsidRPr="007403A4">
              <w:rPr>
                <w:sz w:val="22"/>
                <w:szCs w:val="22"/>
                <w:lang w:val="sr-Latn-ME"/>
              </w:rPr>
              <w:t>artralgija</w:t>
            </w:r>
            <w:r w:rsidRPr="007403A4">
              <w:rPr>
                <w:sz w:val="22"/>
                <w:szCs w:val="22"/>
                <w:vertAlign w:val="superscript"/>
                <w:lang w:val="sr-Latn-ME"/>
              </w:rPr>
              <w:t xml:space="preserve">§, </w:t>
            </w:r>
            <w:r w:rsidRPr="007403A4">
              <w:rPr>
                <w:sz w:val="22"/>
                <w:szCs w:val="22"/>
                <w:lang w:val="sr-Latn-ME"/>
              </w:rPr>
              <w:t>, bol u leđima</w:t>
            </w:r>
            <w:r w:rsidR="00213B3D" w:rsidRPr="007403A4">
              <w:rPr>
                <w:sz w:val="22"/>
                <w:szCs w:val="22"/>
                <w:lang w:val="sr-Latn-ME"/>
              </w:rPr>
              <w:t>,</w:t>
            </w:r>
            <w:r w:rsidRPr="007403A4">
              <w:rPr>
                <w:sz w:val="22"/>
                <w:szCs w:val="22"/>
                <w:lang w:val="sr-Latn-ME"/>
              </w:rPr>
              <w:t xml:space="preserve"> bol u ekstremitetima</w:t>
            </w:r>
          </w:p>
        </w:tc>
        <w:tc>
          <w:tcPr>
            <w:tcW w:w="1658" w:type="pct"/>
          </w:tcPr>
          <w:p w14:paraId="42E43B11" w14:textId="77777777" w:rsidR="00421A7C" w:rsidRPr="007403A4" w:rsidRDefault="00421A7C">
            <w:pPr>
              <w:spacing w:before="1" w:line="254" w:lineRule="exact"/>
              <w:ind w:right="333"/>
              <w:jc w:val="both"/>
              <w:rPr>
                <w:sz w:val="22"/>
                <w:szCs w:val="22"/>
                <w:lang w:val="sr-Latn-ME"/>
              </w:rPr>
            </w:pPr>
          </w:p>
        </w:tc>
      </w:tr>
      <w:tr w:rsidR="00421A7C" w:rsidRPr="007403A4" w14:paraId="587517C3" w14:textId="77777777" w:rsidTr="002A5835">
        <w:trPr>
          <w:cantSplit/>
        </w:trPr>
        <w:tc>
          <w:tcPr>
            <w:tcW w:w="1671" w:type="pct"/>
          </w:tcPr>
          <w:p w14:paraId="41BEB54F"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4C3E62C7" w14:textId="441E2D22" w:rsidR="00421A7C" w:rsidRPr="007403A4" w:rsidRDefault="00421A7C" w:rsidP="00C95059">
            <w:pPr>
              <w:spacing w:before="1" w:line="254" w:lineRule="exact"/>
              <w:ind w:right="333"/>
              <w:jc w:val="both"/>
              <w:rPr>
                <w:sz w:val="22"/>
                <w:szCs w:val="22"/>
                <w:lang w:val="sr-Latn-ME"/>
              </w:rPr>
            </w:pPr>
            <w:r w:rsidRPr="007403A4">
              <w:rPr>
                <w:sz w:val="22"/>
                <w:szCs w:val="22"/>
                <w:lang w:val="sr-Latn-ME"/>
              </w:rPr>
              <w:t>mišićno</w:t>
            </w:r>
            <w:r w:rsidRPr="007403A4">
              <w:rPr>
                <w:sz w:val="22"/>
                <w:szCs w:val="22"/>
                <w:lang w:val="sr-Latn-ME"/>
              </w:rPr>
              <w:noBreakHyphen/>
              <w:t>koštan</w:t>
            </w:r>
            <w:r w:rsidR="00233E04" w:rsidRPr="007403A4">
              <w:rPr>
                <w:sz w:val="22"/>
                <w:szCs w:val="22"/>
                <w:lang w:val="sr-Latn-ME"/>
              </w:rPr>
              <w:t>i</w:t>
            </w:r>
            <w:r w:rsidRPr="007403A4">
              <w:rPr>
                <w:sz w:val="22"/>
                <w:szCs w:val="22"/>
                <w:lang w:val="sr-Latn-ME"/>
              </w:rPr>
              <w:t xml:space="preserve"> bol u grudima, bol u kostima</w:t>
            </w:r>
          </w:p>
        </w:tc>
        <w:tc>
          <w:tcPr>
            <w:tcW w:w="1658" w:type="pct"/>
          </w:tcPr>
          <w:p w14:paraId="10604649" w14:textId="54B655AE" w:rsidR="00421A7C" w:rsidRPr="007403A4" w:rsidRDefault="00421A7C" w:rsidP="004D3AD0">
            <w:pPr>
              <w:spacing w:before="1" w:line="254" w:lineRule="exact"/>
              <w:ind w:right="333"/>
              <w:jc w:val="both"/>
              <w:rPr>
                <w:sz w:val="22"/>
                <w:szCs w:val="22"/>
                <w:lang w:val="sr-Latn-ME"/>
              </w:rPr>
            </w:pPr>
            <w:r w:rsidRPr="007403A4">
              <w:rPr>
                <w:sz w:val="22"/>
                <w:szCs w:val="22"/>
                <w:lang w:val="sr-Latn-ME"/>
              </w:rPr>
              <w:t>bol u ekstremitet</w:t>
            </w:r>
            <w:r w:rsidR="005F2608" w:rsidRPr="007403A4">
              <w:rPr>
                <w:sz w:val="22"/>
                <w:szCs w:val="22"/>
                <w:lang w:val="sr-Latn-ME"/>
              </w:rPr>
              <w:t>ima</w:t>
            </w:r>
            <w:r w:rsidRPr="007403A4">
              <w:rPr>
                <w:sz w:val="22"/>
                <w:szCs w:val="22"/>
                <w:lang w:val="sr-Latn-ME"/>
              </w:rPr>
              <w:t xml:space="preserve"> </w:t>
            </w:r>
          </w:p>
        </w:tc>
      </w:tr>
      <w:tr w:rsidR="00421A7C" w:rsidRPr="007403A4" w14:paraId="17E6604C" w14:textId="77777777" w:rsidTr="002A5835">
        <w:trPr>
          <w:cantSplit/>
        </w:trPr>
        <w:tc>
          <w:tcPr>
            <w:tcW w:w="1671" w:type="pct"/>
          </w:tcPr>
          <w:p w14:paraId="1F1D8B5A"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4B77CAAB" w14:textId="77777777" w:rsidR="00421A7C" w:rsidRPr="007403A4" w:rsidRDefault="00421A7C" w:rsidP="004D3AD0">
            <w:pPr>
              <w:spacing w:before="1" w:line="254" w:lineRule="exact"/>
              <w:ind w:right="333"/>
              <w:jc w:val="both"/>
              <w:rPr>
                <w:sz w:val="22"/>
                <w:szCs w:val="22"/>
                <w:lang w:val="sr-Latn-ME"/>
              </w:rPr>
            </w:pPr>
          </w:p>
        </w:tc>
        <w:tc>
          <w:tcPr>
            <w:tcW w:w="1658" w:type="pct"/>
          </w:tcPr>
          <w:p w14:paraId="4DA6ED31" w14:textId="7201D65D" w:rsidR="00421A7C" w:rsidRPr="007403A4" w:rsidRDefault="00421A7C" w:rsidP="00C95059">
            <w:pPr>
              <w:spacing w:before="1" w:line="254" w:lineRule="exact"/>
              <w:ind w:right="333"/>
              <w:jc w:val="both"/>
              <w:rPr>
                <w:sz w:val="22"/>
                <w:szCs w:val="22"/>
                <w:lang w:val="sr-Latn-ME"/>
              </w:rPr>
            </w:pPr>
            <w:r w:rsidRPr="007403A4">
              <w:rPr>
                <w:sz w:val="22"/>
                <w:szCs w:val="22"/>
                <w:lang w:val="sr-Latn-ME"/>
              </w:rPr>
              <w:t>artralgija, bol u leđima, mišićno</w:t>
            </w:r>
            <w:r w:rsidRPr="007403A4">
              <w:rPr>
                <w:sz w:val="22"/>
                <w:szCs w:val="22"/>
                <w:lang w:val="sr-Latn-ME"/>
              </w:rPr>
              <w:noBreakHyphen/>
              <w:t>koštan</w:t>
            </w:r>
            <w:r w:rsidR="005F2608" w:rsidRPr="007403A4">
              <w:rPr>
                <w:sz w:val="22"/>
                <w:szCs w:val="22"/>
                <w:lang w:val="sr-Latn-ME"/>
              </w:rPr>
              <w:t>i</w:t>
            </w:r>
            <w:r w:rsidRPr="007403A4">
              <w:rPr>
                <w:sz w:val="22"/>
                <w:szCs w:val="22"/>
                <w:lang w:val="sr-Latn-ME"/>
              </w:rPr>
              <w:t xml:space="preserve"> bol u grudima, bol u kostima </w:t>
            </w:r>
          </w:p>
        </w:tc>
      </w:tr>
      <w:tr w:rsidR="00421A7C" w:rsidRPr="007403A4" w14:paraId="0099C60C" w14:textId="77777777" w:rsidTr="0018511B">
        <w:trPr>
          <w:cantSplit/>
        </w:trPr>
        <w:tc>
          <w:tcPr>
            <w:tcW w:w="5000" w:type="pct"/>
            <w:gridSpan w:val="5"/>
          </w:tcPr>
          <w:p w14:paraId="7C0901DF"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Poremećaji bubrega i mokraćnog sistema</w:t>
            </w:r>
          </w:p>
        </w:tc>
      </w:tr>
      <w:tr w:rsidR="00421A7C" w:rsidRPr="007403A4" w14:paraId="0FE85B7E" w14:textId="77777777" w:rsidTr="002A5835">
        <w:trPr>
          <w:cantSplit/>
        </w:trPr>
        <w:tc>
          <w:tcPr>
            <w:tcW w:w="1671" w:type="pct"/>
          </w:tcPr>
          <w:p w14:paraId="264F5B8E" w14:textId="77777777" w:rsidR="00421A7C" w:rsidRPr="007403A4" w:rsidRDefault="00421A7C" w:rsidP="004D3AD0">
            <w:pPr>
              <w:spacing w:before="1" w:line="254" w:lineRule="exact"/>
              <w:ind w:right="333"/>
              <w:jc w:val="both"/>
              <w:rPr>
                <w:sz w:val="22"/>
                <w:szCs w:val="22"/>
                <w:lang w:val="sr-Latn-ME"/>
              </w:rPr>
            </w:pPr>
            <w:r w:rsidRPr="007403A4">
              <w:rPr>
                <w:sz w:val="22"/>
                <w:lang w:val="sr-Latn-ME"/>
              </w:rPr>
              <w:t>često</w:t>
            </w:r>
          </w:p>
        </w:tc>
        <w:tc>
          <w:tcPr>
            <w:tcW w:w="1671" w:type="pct"/>
            <w:gridSpan w:val="3"/>
          </w:tcPr>
          <w:p w14:paraId="4D781BF8"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dizurija, inkontinencija mokraće</w:t>
            </w:r>
          </w:p>
        </w:tc>
        <w:tc>
          <w:tcPr>
            <w:tcW w:w="1658" w:type="pct"/>
          </w:tcPr>
          <w:p w14:paraId="13D5E614" w14:textId="77777777" w:rsidR="00421A7C" w:rsidRPr="007403A4" w:rsidRDefault="00421A7C" w:rsidP="004D3AD0">
            <w:pPr>
              <w:spacing w:before="1" w:line="254" w:lineRule="exact"/>
              <w:ind w:right="333"/>
              <w:jc w:val="both"/>
              <w:rPr>
                <w:sz w:val="22"/>
                <w:szCs w:val="22"/>
                <w:lang w:val="sr-Latn-ME"/>
              </w:rPr>
            </w:pPr>
          </w:p>
        </w:tc>
      </w:tr>
      <w:tr w:rsidR="00421A7C" w:rsidRPr="007403A4" w14:paraId="1409F28D" w14:textId="77777777" w:rsidTr="002A5835">
        <w:trPr>
          <w:cantSplit/>
        </w:trPr>
        <w:tc>
          <w:tcPr>
            <w:tcW w:w="1671" w:type="pct"/>
          </w:tcPr>
          <w:p w14:paraId="600ABC86" w14:textId="77777777" w:rsidR="00421A7C" w:rsidRPr="007403A4" w:rsidRDefault="00421A7C" w:rsidP="004D3AD0">
            <w:pPr>
              <w:spacing w:before="1" w:line="254" w:lineRule="exact"/>
              <w:ind w:right="333"/>
              <w:jc w:val="both"/>
              <w:rPr>
                <w:lang w:val="sr-Latn-ME"/>
              </w:rPr>
            </w:pPr>
            <w:r w:rsidRPr="007403A4">
              <w:rPr>
                <w:sz w:val="22"/>
                <w:lang w:val="sr-Latn-ME"/>
              </w:rPr>
              <w:t xml:space="preserve">povremeno </w:t>
            </w:r>
          </w:p>
        </w:tc>
        <w:tc>
          <w:tcPr>
            <w:tcW w:w="1671" w:type="pct"/>
            <w:gridSpan w:val="3"/>
          </w:tcPr>
          <w:p w14:paraId="16EF5306" w14:textId="77777777" w:rsidR="00421A7C" w:rsidRPr="007403A4" w:rsidRDefault="00421A7C" w:rsidP="004D3AD0">
            <w:pPr>
              <w:spacing w:before="1" w:line="254" w:lineRule="exact"/>
              <w:ind w:right="333"/>
              <w:jc w:val="both"/>
              <w:rPr>
                <w:lang w:val="sr-Latn-ME"/>
              </w:rPr>
            </w:pPr>
          </w:p>
        </w:tc>
        <w:tc>
          <w:tcPr>
            <w:tcW w:w="1658" w:type="pct"/>
          </w:tcPr>
          <w:p w14:paraId="7650C7B2"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dizurija, inkontinencija mokraće </w:t>
            </w:r>
          </w:p>
        </w:tc>
      </w:tr>
      <w:tr w:rsidR="00421A7C" w:rsidRPr="007403A4" w14:paraId="1CC1B1F2" w14:textId="77777777" w:rsidTr="0018511B">
        <w:trPr>
          <w:cantSplit/>
        </w:trPr>
        <w:tc>
          <w:tcPr>
            <w:tcW w:w="5000" w:type="pct"/>
            <w:gridSpan w:val="5"/>
          </w:tcPr>
          <w:p w14:paraId="5CAABA80"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Opšti poremećaji i reakcije na mjestu primjene</w:t>
            </w:r>
          </w:p>
        </w:tc>
      </w:tr>
      <w:tr w:rsidR="00421A7C" w:rsidRPr="007403A4" w14:paraId="45C551F5" w14:textId="77777777" w:rsidTr="002A5835">
        <w:trPr>
          <w:cantSplit/>
          <w:trHeight w:val="314"/>
        </w:trPr>
        <w:tc>
          <w:tcPr>
            <w:tcW w:w="1671" w:type="pct"/>
          </w:tcPr>
          <w:p w14:paraId="4DD4448A" w14:textId="4B89AC0A"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Pr>
          <w:p w14:paraId="635641BD" w14:textId="1CCBC810" w:rsidR="00421A7C" w:rsidRPr="007403A4" w:rsidRDefault="00421A7C" w:rsidP="004D3AD0">
            <w:pPr>
              <w:spacing w:before="1" w:line="254" w:lineRule="exact"/>
              <w:ind w:right="333"/>
              <w:jc w:val="both"/>
              <w:rPr>
                <w:sz w:val="22"/>
                <w:szCs w:val="22"/>
                <w:lang w:val="sr-Latn-ME"/>
              </w:rPr>
            </w:pPr>
            <w:r w:rsidRPr="007403A4">
              <w:rPr>
                <w:sz w:val="22"/>
                <w:szCs w:val="22"/>
                <w:lang w:val="sr-Latn-ME"/>
              </w:rPr>
              <w:t>pireksija, astenija, zamor</w:t>
            </w:r>
          </w:p>
        </w:tc>
        <w:tc>
          <w:tcPr>
            <w:tcW w:w="1658" w:type="pct"/>
          </w:tcPr>
          <w:p w14:paraId="7F24E72B" w14:textId="77777777" w:rsidR="00421A7C" w:rsidRPr="007403A4" w:rsidRDefault="00421A7C">
            <w:pPr>
              <w:spacing w:before="1" w:line="254" w:lineRule="exact"/>
              <w:ind w:right="333"/>
              <w:jc w:val="both"/>
              <w:rPr>
                <w:sz w:val="22"/>
                <w:szCs w:val="22"/>
                <w:lang w:val="sr-Latn-ME"/>
              </w:rPr>
            </w:pPr>
          </w:p>
        </w:tc>
      </w:tr>
      <w:tr w:rsidR="00421A7C" w:rsidRPr="007403A4" w14:paraId="102C9FDD" w14:textId="77777777" w:rsidTr="002A5835">
        <w:trPr>
          <w:cantSplit/>
        </w:trPr>
        <w:tc>
          <w:tcPr>
            <w:tcW w:w="1671" w:type="pct"/>
          </w:tcPr>
          <w:p w14:paraId="3DE60F3A"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3DE2FB23"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bol u grudima</w:t>
            </w:r>
          </w:p>
        </w:tc>
        <w:tc>
          <w:tcPr>
            <w:tcW w:w="1658" w:type="pct"/>
          </w:tcPr>
          <w:p w14:paraId="47C94A1A" w14:textId="16F69D11" w:rsidR="00421A7C" w:rsidRPr="007403A4" w:rsidRDefault="00421A7C">
            <w:pPr>
              <w:spacing w:before="1" w:line="254" w:lineRule="exact"/>
              <w:ind w:right="333"/>
              <w:jc w:val="both"/>
              <w:rPr>
                <w:sz w:val="22"/>
                <w:szCs w:val="22"/>
                <w:lang w:val="sr-Latn-ME"/>
              </w:rPr>
            </w:pPr>
            <w:r w:rsidRPr="007403A4">
              <w:rPr>
                <w:sz w:val="22"/>
                <w:szCs w:val="22"/>
                <w:lang w:val="sr-Latn-ME"/>
              </w:rPr>
              <w:t>pireksija, astenija, zamor</w:t>
            </w:r>
          </w:p>
        </w:tc>
      </w:tr>
      <w:tr w:rsidR="00421A7C" w:rsidRPr="007403A4" w14:paraId="71585E48" w14:textId="77777777" w:rsidTr="0016580D">
        <w:trPr>
          <w:cantSplit/>
        </w:trPr>
        <w:tc>
          <w:tcPr>
            <w:tcW w:w="1671" w:type="pct"/>
          </w:tcPr>
          <w:p w14:paraId="1AFDA1A7"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Borders>
              <w:bottom w:val="single" w:sz="4" w:space="0" w:color="auto"/>
            </w:tcBorders>
          </w:tcPr>
          <w:p w14:paraId="0F2F3845" w14:textId="77777777" w:rsidR="00421A7C" w:rsidRPr="007403A4" w:rsidDel="00965EFD" w:rsidRDefault="00421A7C" w:rsidP="004D3AD0">
            <w:pPr>
              <w:spacing w:before="1" w:line="254" w:lineRule="exact"/>
              <w:ind w:right="333"/>
              <w:jc w:val="both"/>
              <w:rPr>
                <w:sz w:val="22"/>
                <w:szCs w:val="22"/>
                <w:lang w:val="sr-Latn-ME"/>
              </w:rPr>
            </w:pPr>
          </w:p>
        </w:tc>
        <w:tc>
          <w:tcPr>
            <w:tcW w:w="1658" w:type="pct"/>
          </w:tcPr>
          <w:p w14:paraId="218E762D" w14:textId="77777777" w:rsidR="00421A7C" w:rsidRPr="007403A4" w:rsidRDefault="00421A7C">
            <w:pPr>
              <w:spacing w:before="1" w:line="254" w:lineRule="exact"/>
              <w:ind w:right="333"/>
              <w:jc w:val="both"/>
              <w:rPr>
                <w:sz w:val="22"/>
                <w:szCs w:val="22"/>
                <w:lang w:val="sr-Latn-ME"/>
              </w:rPr>
            </w:pPr>
            <w:r w:rsidRPr="007403A4">
              <w:rPr>
                <w:sz w:val="22"/>
                <w:szCs w:val="22"/>
                <w:lang w:val="sr-Latn-ME"/>
              </w:rPr>
              <w:t>bol u grudima</w:t>
            </w:r>
          </w:p>
        </w:tc>
      </w:tr>
      <w:tr w:rsidR="00E313B8" w:rsidRPr="007403A4" w14:paraId="5778FB24" w14:textId="77777777" w:rsidTr="0016580D">
        <w:trPr>
          <w:cantSplit/>
        </w:trPr>
        <w:tc>
          <w:tcPr>
            <w:tcW w:w="1671" w:type="pct"/>
            <w:tcBorders>
              <w:right w:val="nil"/>
            </w:tcBorders>
          </w:tcPr>
          <w:p w14:paraId="4338A2B5" w14:textId="78503C93" w:rsidR="00E313B8" w:rsidRPr="007403A4" w:rsidRDefault="000259E6" w:rsidP="004D3AD0">
            <w:pPr>
              <w:spacing w:before="1" w:line="254" w:lineRule="exact"/>
              <w:ind w:right="333"/>
              <w:jc w:val="both"/>
              <w:rPr>
                <w:b/>
                <w:sz w:val="22"/>
                <w:szCs w:val="22"/>
                <w:lang w:val="sr-Latn-ME"/>
              </w:rPr>
            </w:pPr>
            <w:r w:rsidRPr="007403A4">
              <w:rPr>
                <w:b/>
                <w:sz w:val="22"/>
                <w:szCs w:val="22"/>
                <w:lang w:val="sr-Latn-ME"/>
              </w:rPr>
              <w:t>Poremećaj imunološkog</w:t>
            </w:r>
            <w:r w:rsidR="00E313B8" w:rsidRPr="007403A4">
              <w:rPr>
                <w:b/>
                <w:sz w:val="22"/>
                <w:szCs w:val="22"/>
                <w:lang w:val="sr-Latn-ME"/>
              </w:rPr>
              <w:t xml:space="preserve"> sistema</w:t>
            </w:r>
          </w:p>
        </w:tc>
        <w:tc>
          <w:tcPr>
            <w:tcW w:w="1671" w:type="pct"/>
            <w:gridSpan w:val="3"/>
            <w:tcBorders>
              <w:left w:val="nil"/>
              <w:bottom w:val="single" w:sz="4" w:space="0" w:color="auto"/>
              <w:right w:val="nil"/>
            </w:tcBorders>
          </w:tcPr>
          <w:p w14:paraId="6EC6BF23" w14:textId="77777777" w:rsidR="00E313B8" w:rsidRPr="007403A4" w:rsidDel="00965EFD" w:rsidRDefault="00E313B8" w:rsidP="004D3AD0">
            <w:pPr>
              <w:spacing w:before="1" w:line="254" w:lineRule="exact"/>
              <w:ind w:right="333"/>
              <w:jc w:val="both"/>
              <w:rPr>
                <w:sz w:val="22"/>
                <w:szCs w:val="22"/>
                <w:lang w:val="sr-Latn-ME"/>
              </w:rPr>
            </w:pPr>
          </w:p>
        </w:tc>
        <w:tc>
          <w:tcPr>
            <w:tcW w:w="1658" w:type="pct"/>
            <w:tcBorders>
              <w:left w:val="nil"/>
            </w:tcBorders>
          </w:tcPr>
          <w:p w14:paraId="599F8332" w14:textId="77777777" w:rsidR="00E313B8" w:rsidRPr="007403A4" w:rsidRDefault="00E313B8">
            <w:pPr>
              <w:spacing w:before="1" w:line="254" w:lineRule="exact"/>
              <w:ind w:right="333"/>
              <w:jc w:val="both"/>
              <w:rPr>
                <w:sz w:val="22"/>
                <w:szCs w:val="22"/>
                <w:lang w:val="sr-Latn-ME"/>
              </w:rPr>
            </w:pPr>
          </w:p>
        </w:tc>
      </w:tr>
      <w:tr w:rsidR="00E313B8" w:rsidRPr="007403A4" w14:paraId="162BA618" w14:textId="77777777" w:rsidTr="0016580D">
        <w:trPr>
          <w:cantSplit/>
        </w:trPr>
        <w:tc>
          <w:tcPr>
            <w:tcW w:w="1671" w:type="pct"/>
          </w:tcPr>
          <w:p w14:paraId="03A72D37" w14:textId="460B8E7E" w:rsidR="00E313B8" w:rsidRPr="007403A4" w:rsidRDefault="006817E1" w:rsidP="004D3AD0">
            <w:pPr>
              <w:spacing w:before="1" w:line="254" w:lineRule="exact"/>
              <w:ind w:right="333"/>
              <w:jc w:val="both"/>
              <w:rPr>
                <w:sz w:val="22"/>
                <w:szCs w:val="22"/>
                <w:lang w:val="sr-Latn-ME"/>
              </w:rPr>
            </w:pPr>
            <w:r w:rsidRPr="007403A4">
              <w:rPr>
                <w:sz w:val="22"/>
                <w:szCs w:val="22"/>
                <w:lang w:val="sr-Latn-ME"/>
              </w:rPr>
              <w:t>r</w:t>
            </w:r>
            <w:r w:rsidR="00E313B8" w:rsidRPr="007403A4">
              <w:rPr>
                <w:sz w:val="22"/>
                <w:szCs w:val="22"/>
                <w:lang w:val="sr-Latn-ME"/>
              </w:rPr>
              <w:t>ijetko</w:t>
            </w:r>
          </w:p>
        </w:tc>
        <w:tc>
          <w:tcPr>
            <w:tcW w:w="1671" w:type="pct"/>
            <w:gridSpan w:val="3"/>
            <w:tcBorders>
              <w:top w:val="single" w:sz="4" w:space="0" w:color="auto"/>
              <w:bottom w:val="nil"/>
            </w:tcBorders>
          </w:tcPr>
          <w:p w14:paraId="3F7E41FD" w14:textId="4E25718F" w:rsidR="00E313B8" w:rsidRPr="007403A4" w:rsidDel="00965EFD" w:rsidRDefault="00DC0C7B" w:rsidP="004D3AD0">
            <w:pPr>
              <w:spacing w:before="1" w:line="254" w:lineRule="exact"/>
              <w:ind w:right="333"/>
              <w:jc w:val="both"/>
              <w:rPr>
                <w:sz w:val="22"/>
                <w:szCs w:val="22"/>
                <w:lang w:val="sr-Latn-ME"/>
              </w:rPr>
            </w:pPr>
            <w:r w:rsidRPr="007403A4">
              <w:rPr>
                <w:sz w:val="22"/>
                <w:szCs w:val="22"/>
                <w:lang w:val="sr-Latn-ME"/>
              </w:rPr>
              <w:t>s</w:t>
            </w:r>
            <w:r w:rsidR="00E313B8" w:rsidRPr="007403A4">
              <w:rPr>
                <w:sz w:val="22"/>
                <w:szCs w:val="22"/>
                <w:lang w:val="sr-Latn-ME"/>
              </w:rPr>
              <w:t>indrom oslobađanja citokina</w:t>
            </w:r>
            <w:r w:rsidR="000259E6" w:rsidRPr="007403A4">
              <w:rPr>
                <w:sz w:val="22"/>
                <w:szCs w:val="22"/>
                <w:lang w:val="sr-Latn-ME"/>
              </w:rPr>
              <w:t>**</w:t>
            </w:r>
          </w:p>
        </w:tc>
        <w:tc>
          <w:tcPr>
            <w:tcW w:w="1658" w:type="pct"/>
          </w:tcPr>
          <w:p w14:paraId="69B66ACA" w14:textId="77777777" w:rsidR="00E313B8" w:rsidRPr="007403A4" w:rsidRDefault="00E313B8">
            <w:pPr>
              <w:spacing w:before="1" w:line="254" w:lineRule="exact"/>
              <w:ind w:right="333"/>
              <w:jc w:val="both"/>
              <w:rPr>
                <w:sz w:val="22"/>
                <w:szCs w:val="22"/>
                <w:lang w:val="sr-Latn-ME"/>
              </w:rPr>
            </w:pPr>
          </w:p>
        </w:tc>
      </w:tr>
      <w:tr w:rsidR="00421A7C" w:rsidRPr="007403A4" w14:paraId="579CD583" w14:textId="77777777" w:rsidTr="0018511B">
        <w:trPr>
          <w:cantSplit/>
        </w:trPr>
        <w:tc>
          <w:tcPr>
            <w:tcW w:w="5000" w:type="pct"/>
            <w:gridSpan w:val="5"/>
          </w:tcPr>
          <w:p w14:paraId="6625EA5D"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t>Ispitivanja</w:t>
            </w:r>
          </w:p>
        </w:tc>
      </w:tr>
      <w:tr w:rsidR="00421A7C" w:rsidRPr="007403A4" w14:paraId="6C32F907" w14:textId="77777777" w:rsidTr="002A5835">
        <w:trPr>
          <w:cantSplit/>
        </w:trPr>
        <w:tc>
          <w:tcPr>
            <w:tcW w:w="1671" w:type="pct"/>
          </w:tcPr>
          <w:p w14:paraId="36B7F9BA"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često</w:t>
            </w:r>
          </w:p>
        </w:tc>
        <w:tc>
          <w:tcPr>
            <w:tcW w:w="1671" w:type="pct"/>
            <w:gridSpan w:val="3"/>
          </w:tcPr>
          <w:p w14:paraId="4AF42711"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 xml:space="preserve">smanjen broj bijelih krvnih ćelija‡, smanjen broj neutrofila, povećanje tjelesne težine </w:t>
            </w:r>
          </w:p>
        </w:tc>
        <w:tc>
          <w:tcPr>
            <w:tcW w:w="1658" w:type="pct"/>
          </w:tcPr>
          <w:p w14:paraId="138B907E" w14:textId="77777777" w:rsidR="00421A7C" w:rsidRPr="007403A4" w:rsidRDefault="00421A7C" w:rsidP="00C95059">
            <w:pPr>
              <w:spacing w:before="1" w:line="254" w:lineRule="exact"/>
              <w:ind w:right="333"/>
              <w:jc w:val="both"/>
              <w:rPr>
                <w:sz w:val="22"/>
                <w:szCs w:val="22"/>
                <w:lang w:val="sr-Latn-ME"/>
              </w:rPr>
            </w:pPr>
            <w:r w:rsidRPr="007403A4">
              <w:rPr>
                <w:sz w:val="22"/>
                <w:szCs w:val="22"/>
                <w:lang w:val="sr-Latn-ME"/>
              </w:rPr>
              <w:t>smanjen broj bijelih krvnih ćelija, smanjen broj neutrofila</w:t>
            </w:r>
          </w:p>
        </w:tc>
      </w:tr>
      <w:tr w:rsidR="00D377E3" w:rsidRPr="007403A4" w14:paraId="7FC6319A" w14:textId="77777777" w:rsidTr="002A5835">
        <w:trPr>
          <w:cantSplit/>
        </w:trPr>
        <w:tc>
          <w:tcPr>
            <w:tcW w:w="1671" w:type="pct"/>
          </w:tcPr>
          <w:p w14:paraId="047664BC" w14:textId="6B250F70" w:rsidR="00D377E3" w:rsidRPr="007403A4" w:rsidRDefault="00D377E3" w:rsidP="004D3AD0">
            <w:pPr>
              <w:spacing w:before="1" w:line="254" w:lineRule="exact"/>
              <w:ind w:right="333"/>
              <w:jc w:val="both"/>
              <w:rPr>
                <w:sz w:val="22"/>
                <w:szCs w:val="22"/>
                <w:lang w:val="sr-Latn-ME"/>
              </w:rPr>
            </w:pPr>
            <w:r w:rsidRPr="007403A4">
              <w:rPr>
                <w:sz w:val="22"/>
                <w:szCs w:val="22"/>
                <w:lang w:val="sr-Latn-ME"/>
              </w:rPr>
              <w:t>povremeno</w:t>
            </w:r>
          </w:p>
        </w:tc>
        <w:tc>
          <w:tcPr>
            <w:tcW w:w="1671" w:type="pct"/>
            <w:gridSpan w:val="3"/>
          </w:tcPr>
          <w:p w14:paraId="4D033A71" w14:textId="1E9424C2" w:rsidR="00D377E3" w:rsidRPr="007403A4" w:rsidRDefault="00D377E3" w:rsidP="00C95059">
            <w:pPr>
              <w:spacing w:before="1" w:line="254" w:lineRule="exact"/>
              <w:ind w:right="333"/>
              <w:jc w:val="both"/>
              <w:rPr>
                <w:sz w:val="22"/>
                <w:szCs w:val="22"/>
                <w:lang w:val="sr-Latn-ME"/>
              </w:rPr>
            </w:pPr>
            <w:r w:rsidRPr="007403A4">
              <w:rPr>
                <w:sz w:val="22"/>
                <w:szCs w:val="22"/>
                <w:lang w:val="sr-Latn-ME"/>
              </w:rPr>
              <w:t>hipogamaglobulinemija</w:t>
            </w:r>
          </w:p>
        </w:tc>
        <w:tc>
          <w:tcPr>
            <w:tcW w:w="1658" w:type="pct"/>
          </w:tcPr>
          <w:p w14:paraId="0FE5D918" w14:textId="77777777" w:rsidR="00D377E3" w:rsidRPr="007403A4" w:rsidRDefault="00D377E3" w:rsidP="00C95059">
            <w:pPr>
              <w:spacing w:before="1" w:line="254" w:lineRule="exact"/>
              <w:ind w:right="333"/>
              <w:jc w:val="both"/>
              <w:rPr>
                <w:sz w:val="22"/>
                <w:szCs w:val="22"/>
                <w:lang w:val="sr-Latn-ME"/>
              </w:rPr>
            </w:pPr>
          </w:p>
        </w:tc>
      </w:tr>
      <w:tr w:rsidR="00421A7C" w:rsidRPr="007403A4" w14:paraId="6067FF68" w14:textId="77777777" w:rsidTr="0018511B">
        <w:trPr>
          <w:cantSplit/>
        </w:trPr>
        <w:tc>
          <w:tcPr>
            <w:tcW w:w="5000" w:type="pct"/>
            <w:gridSpan w:val="5"/>
            <w:tcBorders>
              <w:bottom w:val="single" w:sz="4" w:space="0" w:color="auto"/>
            </w:tcBorders>
          </w:tcPr>
          <w:p w14:paraId="7A8877C7" w14:textId="77777777" w:rsidR="00421A7C" w:rsidRPr="007403A4" w:rsidRDefault="00421A7C" w:rsidP="004D3AD0">
            <w:pPr>
              <w:spacing w:before="1" w:line="254" w:lineRule="exact"/>
              <w:ind w:right="333"/>
              <w:jc w:val="both"/>
              <w:rPr>
                <w:b/>
                <w:sz w:val="22"/>
                <w:szCs w:val="22"/>
                <w:lang w:val="sr-Latn-ME"/>
              </w:rPr>
            </w:pPr>
            <w:r w:rsidRPr="007403A4">
              <w:rPr>
                <w:b/>
                <w:sz w:val="22"/>
                <w:szCs w:val="22"/>
                <w:lang w:val="sr-Latn-ME"/>
              </w:rPr>
              <w:lastRenderedPageBreak/>
              <w:t>Povrede, trovanja i proceduralne komplikacije</w:t>
            </w:r>
          </w:p>
        </w:tc>
      </w:tr>
      <w:tr w:rsidR="00421A7C" w:rsidRPr="007403A4" w14:paraId="2F439337" w14:textId="77777777" w:rsidTr="002A58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671" w:type="pct"/>
            <w:tcBorders>
              <w:top w:val="single" w:sz="4" w:space="0" w:color="auto"/>
              <w:left w:val="single" w:sz="4" w:space="0" w:color="auto"/>
              <w:bottom w:val="single" w:sz="4" w:space="0" w:color="auto"/>
              <w:right w:val="single" w:sz="4" w:space="0" w:color="auto"/>
            </w:tcBorders>
          </w:tcPr>
          <w:p w14:paraId="10BE2B33" w14:textId="7B99D804" w:rsidR="00421A7C" w:rsidRPr="007403A4" w:rsidRDefault="00C40CEB" w:rsidP="004D3AD0">
            <w:pPr>
              <w:spacing w:before="1" w:line="254" w:lineRule="exact"/>
              <w:ind w:right="333"/>
              <w:jc w:val="both"/>
              <w:rPr>
                <w:sz w:val="22"/>
                <w:szCs w:val="22"/>
                <w:lang w:val="sr-Latn-ME"/>
              </w:rPr>
            </w:pPr>
            <w:r w:rsidRPr="007403A4">
              <w:rPr>
                <w:sz w:val="22"/>
                <w:szCs w:val="22"/>
                <w:lang w:val="sr-Latn-ME"/>
              </w:rPr>
              <w:t>veoma</w:t>
            </w:r>
            <w:r w:rsidR="00421A7C" w:rsidRPr="007403A4">
              <w:rPr>
                <w:sz w:val="22"/>
                <w:szCs w:val="22"/>
                <w:lang w:val="sr-Latn-ME"/>
              </w:rPr>
              <w:t xml:space="preserve"> često</w:t>
            </w:r>
          </w:p>
        </w:tc>
        <w:tc>
          <w:tcPr>
            <w:tcW w:w="1671" w:type="pct"/>
            <w:gridSpan w:val="3"/>
            <w:tcBorders>
              <w:top w:val="single" w:sz="4" w:space="0" w:color="auto"/>
              <w:left w:val="single" w:sz="4" w:space="0" w:color="auto"/>
              <w:bottom w:val="single" w:sz="4" w:space="0" w:color="auto"/>
              <w:right w:val="single" w:sz="4" w:space="0" w:color="auto"/>
            </w:tcBorders>
          </w:tcPr>
          <w:p w14:paraId="6A8C0503" w14:textId="77777777" w:rsidR="00421A7C" w:rsidRPr="007403A4" w:rsidRDefault="00421A7C" w:rsidP="004D3AD0">
            <w:pPr>
              <w:spacing w:before="1" w:line="254" w:lineRule="exact"/>
              <w:ind w:right="333"/>
              <w:jc w:val="both"/>
              <w:rPr>
                <w:sz w:val="22"/>
                <w:szCs w:val="22"/>
                <w:lang w:val="sr-Latn-ME"/>
              </w:rPr>
            </w:pPr>
            <w:r w:rsidRPr="007403A4">
              <w:rPr>
                <w:sz w:val="22"/>
                <w:szCs w:val="22"/>
                <w:lang w:val="sr-Latn-ME"/>
              </w:rPr>
              <w:t>reakcije na infuziju</w:t>
            </w:r>
          </w:p>
        </w:tc>
        <w:tc>
          <w:tcPr>
            <w:tcW w:w="1658" w:type="pct"/>
            <w:tcBorders>
              <w:top w:val="single" w:sz="4" w:space="0" w:color="auto"/>
              <w:left w:val="single" w:sz="4" w:space="0" w:color="auto"/>
              <w:bottom w:val="single" w:sz="4" w:space="0" w:color="auto"/>
              <w:right w:val="single" w:sz="4" w:space="0" w:color="auto"/>
            </w:tcBorders>
          </w:tcPr>
          <w:p w14:paraId="18A93ADB" w14:textId="77777777" w:rsidR="00421A7C" w:rsidRPr="007403A4" w:rsidRDefault="00421A7C">
            <w:pPr>
              <w:spacing w:before="1" w:line="254" w:lineRule="exact"/>
              <w:ind w:right="333"/>
              <w:jc w:val="both"/>
              <w:rPr>
                <w:sz w:val="22"/>
                <w:szCs w:val="22"/>
                <w:lang w:val="sr-Latn-ME"/>
              </w:rPr>
            </w:pPr>
            <w:r w:rsidRPr="007403A4">
              <w:rPr>
                <w:sz w:val="22"/>
                <w:szCs w:val="22"/>
                <w:lang w:val="sr-Latn-ME"/>
              </w:rPr>
              <w:t>reakcije na infuziju</w:t>
            </w:r>
          </w:p>
        </w:tc>
      </w:tr>
      <w:tr w:rsidR="00421A7C" w:rsidRPr="007403A4" w14:paraId="52AED03F" w14:textId="77777777" w:rsidTr="00185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5"/>
            <w:tcBorders>
              <w:top w:val="single" w:sz="4" w:space="0" w:color="auto"/>
              <w:left w:val="nil"/>
              <w:bottom w:val="nil"/>
              <w:right w:val="nil"/>
            </w:tcBorders>
          </w:tcPr>
          <w:p w14:paraId="4E736C89" w14:textId="591FE948" w:rsidR="00421A7C" w:rsidRPr="007403A4" w:rsidRDefault="005F2608" w:rsidP="00C95059">
            <w:pPr>
              <w:spacing w:line="254" w:lineRule="exact"/>
              <w:ind w:left="-108" w:right="-195"/>
              <w:jc w:val="both"/>
              <w:rPr>
                <w:i/>
                <w:sz w:val="20"/>
                <w:szCs w:val="20"/>
                <w:lang w:val="sr-Latn-ME"/>
              </w:rPr>
            </w:pPr>
            <w:r w:rsidRPr="007403A4">
              <w:rPr>
                <w:i/>
                <w:sz w:val="20"/>
                <w:szCs w:val="20"/>
                <w:lang w:val="sr-Latn-ME"/>
              </w:rPr>
              <w:t xml:space="preserve"># </w:t>
            </w:r>
            <w:r w:rsidR="00421A7C" w:rsidRPr="007403A4">
              <w:rPr>
                <w:i/>
                <w:sz w:val="20"/>
                <w:szCs w:val="20"/>
                <w:lang w:val="sr-Latn-ME"/>
              </w:rPr>
              <w:t>Prijavljena je samo najveća frekvencija učestalosti primjećena u studijama (na osnovu studije BO21004/prethodno neliječen</w:t>
            </w:r>
            <w:r w:rsidRPr="007403A4">
              <w:rPr>
                <w:i/>
                <w:sz w:val="20"/>
                <w:szCs w:val="20"/>
                <w:lang w:val="sr-Latn-ME"/>
              </w:rPr>
              <w:t>a</w:t>
            </w:r>
            <w:r w:rsidR="00421A7C" w:rsidRPr="007403A4">
              <w:rPr>
                <w:i/>
                <w:sz w:val="20"/>
                <w:szCs w:val="20"/>
                <w:lang w:val="sr-Latn-ME"/>
              </w:rPr>
              <w:t xml:space="preserve"> HLL, BO21223/prethodno neliječen uznapredovao iNHL i GAO4753g/iNHL refraktoran na liječenje rituksimabom </w:t>
            </w:r>
          </w:p>
          <w:p w14:paraId="501BE5B7" w14:textId="012E83BC" w:rsidR="00421A7C" w:rsidRPr="007403A4" w:rsidRDefault="00421A7C" w:rsidP="00C95059">
            <w:pPr>
              <w:spacing w:line="254" w:lineRule="exact"/>
              <w:ind w:left="-108" w:right="-195"/>
              <w:jc w:val="both"/>
              <w:rPr>
                <w:i/>
                <w:sz w:val="20"/>
                <w:szCs w:val="20"/>
                <w:lang w:val="sr-Latn-ME"/>
              </w:rPr>
            </w:pPr>
            <w:r w:rsidRPr="007403A4">
              <w:rPr>
                <w:i/>
                <w:sz w:val="20"/>
                <w:szCs w:val="20"/>
                <w:lang w:val="sr-Latn-ME"/>
              </w:rPr>
              <w:t>## Diseminovana intravaskularna koagulacija (DIK), uključujući događaje sa smrtnim ishodom, prijavljena je kod pacijenata liječenih lijekom Gazyvaro u kliničkim studijama i nakon stavljanja lijeka u promet (vidjeti dio 4.4)</w:t>
            </w:r>
          </w:p>
          <w:p w14:paraId="3D17AF84" w14:textId="52437A5D" w:rsidR="00421A7C" w:rsidRPr="007403A4" w:rsidRDefault="00421A7C" w:rsidP="00C95059">
            <w:pPr>
              <w:spacing w:line="254" w:lineRule="exact"/>
              <w:ind w:left="-108" w:right="-195"/>
              <w:jc w:val="both"/>
              <w:rPr>
                <w:i/>
                <w:sz w:val="20"/>
                <w:szCs w:val="20"/>
                <w:lang w:val="sr-Latn-ME"/>
              </w:rPr>
            </w:pPr>
            <w:r w:rsidRPr="007403A4">
              <w:rPr>
                <w:i/>
                <w:sz w:val="20"/>
                <w:szCs w:val="20"/>
                <w:lang w:val="sr-Latn-ME"/>
              </w:rPr>
              <w:t>†nije primijećeno nijedno neželjeno dejstvo 5. stepena kod kojeg bi razlika između liječenih grupa bila ≥ 2%</w:t>
            </w:r>
          </w:p>
          <w:p w14:paraId="50B53C6F" w14:textId="4A32B18A" w:rsidR="00421A7C" w:rsidRPr="007403A4" w:rsidRDefault="00421A7C" w:rsidP="00C95059">
            <w:pPr>
              <w:spacing w:line="254" w:lineRule="exact"/>
              <w:ind w:left="-108" w:right="-195"/>
              <w:jc w:val="both"/>
              <w:rPr>
                <w:i/>
                <w:sz w:val="20"/>
                <w:szCs w:val="20"/>
                <w:lang w:val="sr-Latn-ME"/>
              </w:rPr>
            </w:pPr>
            <w:r w:rsidRPr="007403A4">
              <w:rPr>
                <w:i/>
                <w:sz w:val="20"/>
                <w:szCs w:val="20"/>
                <w:lang w:val="sr-Latn-ME"/>
              </w:rPr>
              <w:t xml:space="preserve">*Hemoterapija: </w:t>
            </w:r>
            <w:r w:rsidR="00DC0C7B" w:rsidRPr="007403A4">
              <w:rPr>
                <w:i/>
                <w:sz w:val="20"/>
                <w:szCs w:val="20"/>
                <w:lang w:val="sr-Latn-ME"/>
              </w:rPr>
              <w:t>h</w:t>
            </w:r>
            <w:r w:rsidRPr="007403A4">
              <w:rPr>
                <w:i/>
                <w:sz w:val="20"/>
                <w:szCs w:val="20"/>
                <w:lang w:val="sr-Latn-ME"/>
              </w:rPr>
              <w:t>lorambucil kod HLL; bendamustin, CHOP, CVP kod iNHL, uključujući FL</w:t>
            </w:r>
          </w:p>
          <w:p w14:paraId="53DC543A" w14:textId="7F93C597" w:rsidR="00421A7C" w:rsidRPr="007403A4" w:rsidRDefault="00421A7C" w:rsidP="00C95059">
            <w:pPr>
              <w:spacing w:line="254" w:lineRule="exact"/>
              <w:ind w:left="-108" w:right="-195"/>
              <w:jc w:val="both"/>
              <w:rPr>
                <w:i/>
                <w:sz w:val="20"/>
                <w:szCs w:val="20"/>
                <w:lang w:val="sr-Latn-ME"/>
              </w:rPr>
            </w:pPr>
            <w:r w:rsidRPr="007403A4">
              <w:rPr>
                <w:i/>
                <w:sz w:val="20"/>
                <w:szCs w:val="20"/>
                <w:vertAlign w:val="superscript"/>
                <w:lang w:val="sr-Latn-ME"/>
              </w:rPr>
              <w:t>§</w:t>
            </w:r>
            <w:r w:rsidRPr="007403A4">
              <w:rPr>
                <w:i/>
                <w:sz w:val="20"/>
                <w:szCs w:val="20"/>
                <w:lang w:val="sr-Latn-ME"/>
              </w:rPr>
              <w:t>Primijećeno i tokom terapije održavanja uz najmanje 2% višu incidencu u grupi liječenoj lijekom Gazyvaro (BO21223)</w:t>
            </w:r>
          </w:p>
          <w:p w14:paraId="63101E0D" w14:textId="4880A52A" w:rsidR="00DC0C7B" w:rsidRPr="007403A4" w:rsidRDefault="00DC0C7B" w:rsidP="00C95059">
            <w:pPr>
              <w:spacing w:line="254" w:lineRule="exact"/>
              <w:ind w:left="-108" w:right="-195"/>
              <w:jc w:val="both"/>
              <w:rPr>
                <w:i/>
                <w:sz w:val="20"/>
                <w:szCs w:val="20"/>
                <w:lang w:val="sr-Latn-ME"/>
              </w:rPr>
            </w:pPr>
            <w:r w:rsidRPr="007403A4">
              <w:rPr>
                <w:i/>
                <w:sz w:val="20"/>
                <w:szCs w:val="20"/>
                <w:lang w:val="sr-Latn-ME"/>
              </w:rPr>
              <w:t>** Na temelju izloženosti u kliničkim ispitivanjima kod FL-a i HLL-a</w:t>
            </w:r>
          </w:p>
          <w:p w14:paraId="4698101C" w14:textId="77777777" w:rsidR="00421A7C" w:rsidRPr="007403A4" w:rsidRDefault="00421A7C" w:rsidP="004D3AD0">
            <w:pPr>
              <w:spacing w:before="1" w:line="254" w:lineRule="exact"/>
              <w:ind w:right="333"/>
              <w:jc w:val="both"/>
              <w:rPr>
                <w:sz w:val="22"/>
                <w:szCs w:val="22"/>
                <w:lang w:val="sr-Latn-ME"/>
              </w:rPr>
            </w:pPr>
          </w:p>
        </w:tc>
      </w:tr>
    </w:tbl>
    <w:p w14:paraId="0425AFD4" w14:textId="77777777" w:rsidR="00ED7C77" w:rsidRPr="007403A4" w:rsidRDefault="00ED7C77" w:rsidP="004D3AD0">
      <w:pPr>
        <w:spacing w:before="1" w:line="254" w:lineRule="exact"/>
        <w:ind w:right="28"/>
        <w:jc w:val="both"/>
        <w:rPr>
          <w:sz w:val="22"/>
          <w:szCs w:val="22"/>
          <w:lang w:val="sr-Latn-ME"/>
        </w:rPr>
      </w:pPr>
    </w:p>
    <w:p w14:paraId="34D70D4A" w14:textId="12CBE008" w:rsidR="00ED7C77" w:rsidRPr="007403A4" w:rsidRDefault="00ED7C77" w:rsidP="004D3AD0">
      <w:pPr>
        <w:spacing w:before="1" w:line="254" w:lineRule="exact"/>
        <w:ind w:right="28"/>
        <w:jc w:val="both"/>
        <w:rPr>
          <w:sz w:val="22"/>
          <w:szCs w:val="22"/>
          <w:lang w:val="sr-Latn-ME"/>
        </w:rPr>
      </w:pPr>
      <w:r w:rsidRPr="007403A4">
        <w:rPr>
          <w:sz w:val="22"/>
          <w:szCs w:val="22"/>
          <w:lang w:val="sr-Latn-ME"/>
        </w:rPr>
        <w:t>Profil neželjenih dejstava kod pacijenata sa FL bio je u skladu sa profilom u cjelokupnoj populaciji pacijenata sa iNHL kod</w:t>
      </w:r>
      <w:r w:rsidR="004F24AB" w:rsidRPr="007403A4">
        <w:rPr>
          <w:sz w:val="22"/>
          <w:szCs w:val="22"/>
          <w:lang w:val="sr-Latn-ME"/>
        </w:rPr>
        <w:t xml:space="preserve"> obje </w:t>
      </w:r>
      <w:r w:rsidRPr="007403A4">
        <w:rPr>
          <w:sz w:val="22"/>
          <w:szCs w:val="22"/>
          <w:lang w:val="sr-Latn-ME"/>
        </w:rPr>
        <w:t>studije.</w:t>
      </w:r>
    </w:p>
    <w:p w14:paraId="3925AF58" w14:textId="77777777" w:rsidR="00ED7C77" w:rsidRPr="007403A4" w:rsidRDefault="00ED7C77">
      <w:pPr>
        <w:spacing w:before="1" w:line="254" w:lineRule="exact"/>
        <w:ind w:right="28"/>
        <w:jc w:val="both"/>
        <w:rPr>
          <w:sz w:val="22"/>
          <w:szCs w:val="22"/>
          <w:lang w:val="sr-Latn-ME"/>
        </w:rPr>
      </w:pPr>
    </w:p>
    <w:p w14:paraId="75C4862D" w14:textId="77777777" w:rsidR="00ED7C77" w:rsidRPr="007403A4" w:rsidRDefault="00ED7C77">
      <w:pPr>
        <w:widowControl w:val="0"/>
        <w:spacing w:before="1" w:line="254" w:lineRule="exact"/>
        <w:ind w:right="28"/>
        <w:jc w:val="both"/>
        <w:rPr>
          <w:sz w:val="22"/>
          <w:szCs w:val="22"/>
          <w:u w:val="single"/>
          <w:lang w:val="sr-Latn-ME"/>
        </w:rPr>
      </w:pPr>
      <w:r w:rsidRPr="007403A4">
        <w:rPr>
          <w:sz w:val="22"/>
          <w:szCs w:val="22"/>
          <w:u w:val="single"/>
          <w:lang w:val="sr-Latn-ME"/>
        </w:rPr>
        <w:t xml:space="preserve">Opis odabranih neželjenih dejstava </w:t>
      </w:r>
    </w:p>
    <w:p w14:paraId="0F5C69EE" w14:textId="77777777" w:rsidR="00ED7C77" w:rsidRPr="007403A4" w:rsidRDefault="00ED7C77">
      <w:pPr>
        <w:widowControl w:val="0"/>
        <w:spacing w:before="1" w:line="254" w:lineRule="exact"/>
        <w:ind w:right="28"/>
        <w:jc w:val="both"/>
        <w:rPr>
          <w:sz w:val="22"/>
          <w:szCs w:val="22"/>
          <w:lang w:val="sr-Latn-ME"/>
        </w:rPr>
      </w:pPr>
    </w:p>
    <w:p w14:paraId="6758936B" w14:textId="325E54EB"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Incidence navedene u sljedećim djelovima, ako se odnose na iNHL, predstavljaju najviše incidence tih neželjenih dejstava prijavljene u bilo kojoj od dv</w:t>
      </w:r>
      <w:r w:rsidR="005F2608" w:rsidRPr="007403A4">
        <w:rPr>
          <w:sz w:val="22"/>
          <w:szCs w:val="22"/>
          <w:lang w:val="sr-Latn-ME"/>
        </w:rPr>
        <w:t>ij</w:t>
      </w:r>
      <w:r w:rsidRPr="007403A4">
        <w:rPr>
          <w:sz w:val="22"/>
          <w:szCs w:val="22"/>
          <w:lang w:val="sr-Latn-ME"/>
        </w:rPr>
        <w:t xml:space="preserve">e ključne studije (BO21223/GALLIUM; GAO4753g/GADOLIN). </w:t>
      </w:r>
    </w:p>
    <w:p w14:paraId="4C1C6668" w14:textId="04C6A9B0" w:rsidR="00ED7C77" w:rsidRPr="007403A4" w:rsidRDefault="00ED7C77">
      <w:pPr>
        <w:widowControl w:val="0"/>
        <w:spacing w:before="1" w:line="254" w:lineRule="exact"/>
        <w:ind w:right="28"/>
        <w:jc w:val="both"/>
        <w:rPr>
          <w:sz w:val="22"/>
          <w:szCs w:val="22"/>
          <w:lang w:val="sr-Latn-ME"/>
        </w:rPr>
      </w:pPr>
    </w:p>
    <w:p w14:paraId="54687989" w14:textId="17CFC3EB" w:rsidR="004F24AB" w:rsidRPr="007403A4" w:rsidRDefault="004F24AB" w:rsidP="00C95059">
      <w:pPr>
        <w:widowControl w:val="0"/>
        <w:jc w:val="both"/>
        <w:rPr>
          <w:sz w:val="22"/>
          <w:szCs w:val="22"/>
          <w:lang w:val="sr-Latn-ME"/>
        </w:rPr>
      </w:pPr>
      <w:r w:rsidRPr="007403A4">
        <w:rPr>
          <w:sz w:val="22"/>
          <w:lang w:val="sr-Latn-ME"/>
        </w:rPr>
        <w:t>Studija  MO40597 je dizajnirana kako bi se utvrdio bezbjednosni profil kratkotrajnih infuzija (u trajanju od približno 90 minuta) od 2. ciklusa nadalje kod pacijenata sa prethodno nel</w:t>
      </w:r>
      <w:r w:rsidR="006F4017" w:rsidRPr="007403A4">
        <w:rPr>
          <w:sz w:val="22"/>
          <w:lang w:val="sr-Latn-ME"/>
        </w:rPr>
        <w:t>ij</w:t>
      </w:r>
      <w:r w:rsidRPr="007403A4">
        <w:rPr>
          <w:sz w:val="22"/>
          <w:lang w:val="sr-Latn-ME"/>
        </w:rPr>
        <w:t>ečenim FL (vidjeti  dio 5.1 Farmakodinamička svojstva).</w:t>
      </w:r>
    </w:p>
    <w:p w14:paraId="655E225F" w14:textId="77777777" w:rsidR="004F24AB" w:rsidRPr="007403A4" w:rsidRDefault="004F24AB" w:rsidP="004D3AD0">
      <w:pPr>
        <w:widowControl w:val="0"/>
        <w:spacing w:before="1" w:line="254" w:lineRule="exact"/>
        <w:ind w:right="28"/>
        <w:jc w:val="both"/>
        <w:rPr>
          <w:sz w:val="22"/>
          <w:szCs w:val="22"/>
          <w:lang w:val="sr-Latn-ME"/>
        </w:rPr>
      </w:pPr>
    </w:p>
    <w:p w14:paraId="029836E6" w14:textId="168C978D" w:rsidR="00ED7C77" w:rsidRPr="007403A4" w:rsidRDefault="00ED7C77">
      <w:pPr>
        <w:widowControl w:val="0"/>
        <w:spacing w:before="1" w:line="254" w:lineRule="exact"/>
        <w:ind w:right="28"/>
        <w:jc w:val="both"/>
        <w:rPr>
          <w:i/>
          <w:sz w:val="22"/>
          <w:szCs w:val="22"/>
          <w:u w:val="single"/>
          <w:lang w:val="sr-Latn-ME"/>
        </w:rPr>
      </w:pPr>
      <w:r w:rsidRPr="007403A4">
        <w:rPr>
          <w:i/>
          <w:sz w:val="22"/>
          <w:szCs w:val="22"/>
          <w:u w:val="single"/>
          <w:lang w:val="sr-Latn-ME"/>
        </w:rPr>
        <w:t>Reakcije na infuziju</w:t>
      </w:r>
    </w:p>
    <w:p w14:paraId="247ED9D1" w14:textId="50738952"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Najčešće prijavljeni simptomi (≥ 5%) povezani sa reakcijom na infuziju bili su mučnina, povraćanje, dijareja, glavobolja, vrtoglavica, umor, drhtavica, pireksija, hipotenzija, navale crvenila, hipertenzija,  tahikardija, dispneja, nelagodnost u grudima. Takođe su prijavljeni respiratorni i srčani simptomi, poput bronhospazma, nadraženosti grkljana i grla, šištanje pri disanju, edema grkljana, te srčani simptomi poput fibrilacije</w:t>
      </w:r>
      <w:r w:rsidR="00213B3D" w:rsidRPr="007403A4">
        <w:rPr>
          <w:sz w:val="22"/>
          <w:szCs w:val="22"/>
          <w:lang w:val="sr-Latn-ME"/>
        </w:rPr>
        <w:t xml:space="preserve"> pretkomora</w:t>
      </w:r>
      <w:r w:rsidRPr="007403A4">
        <w:rPr>
          <w:sz w:val="22"/>
          <w:szCs w:val="22"/>
          <w:lang w:val="sr-Latn-ME"/>
        </w:rPr>
        <w:t xml:space="preserve"> (vidjeti dio 4.4).</w:t>
      </w:r>
    </w:p>
    <w:p w14:paraId="3176EC9D" w14:textId="77777777" w:rsidR="00ED7C77" w:rsidRPr="007403A4" w:rsidRDefault="00ED7C77">
      <w:pPr>
        <w:widowControl w:val="0"/>
        <w:spacing w:before="1" w:line="254" w:lineRule="exact"/>
        <w:ind w:right="28"/>
        <w:jc w:val="both"/>
        <w:rPr>
          <w:sz w:val="22"/>
          <w:szCs w:val="22"/>
          <w:lang w:val="sr-Latn-ME"/>
        </w:rPr>
      </w:pPr>
    </w:p>
    <w:p w14:paraId="3A600AAB"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Hronična limfocitna leukemija</w:t>
      </w:r>
    </w:p>
    <w:p w14:paraId="11860E7A" w14:textId="5EDDDCEE"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Učestalost reakcija na infuziju bila je veća u grupi liječenoj lijekom Gazyvaro i hlorambucilom nego u grupi liječenoj rituksimabom i hlorambucilom. Učestalost reakcija na infuziju iznosila je 66% tokom infuzije prvih 1000 mg lijeka Gazyvaro (20% pacijenata imalo je reakciju na infuziju 3</w:t>
      </w:r>
      <w:r w:rsidRPr="007403A4">
        <w:rPr>
          <w:sz w:val="22"/>
          <w:szCs w:val="22"/>
          <w:lang w:val="sr-Latn-ME"/>
        </w:rPr>
        <w:noBreakHyphen/>
        <w:t>4. stepena). Ukupno je 7% pacijenata imalo reakciju na infuziju koja je dovela do trajnog prekida liječenja lijekom Gazyvaro. Učestalost reakcija na infuziju pri sljedećim infuzijama iznosila je 3% tokom druge doze od 1000 mg te 1% nakon toga. Nakon infuzije prvih 1000 mg u 1. ciklusu nije prijavljena više nijedna reakcija na infuziju 3</w:t>
      </w:r>
      <w:r w:rsidRPr="007403A4">
        <w:rPr>
          <w:sz w:val="22"/>
          <w:szCs w:val="22"/>
          <w:lang w:val="sr-Latn-ME"/>
        </w:rPr>
        <w:noBreakHyphen/>
        <w:t xml:space="preserve">5. stepena. </w:t>
      </w:r>
    </w:p>
    <w:p w14:paraId="5EE61551" w14:textId="77777777" w:rsidR="00ED7C77" w:rsidRPr="007403A4" w:rsidRDefault="00ED7C77">
      <w:pPr>
        <w:widowControl w:val="0"/>
        <w:spacing w:before="1" w:line="254" w:lineRule="exact"/>
        <w:ind w:right="28"/>
        <w:jc w:val="both"/>
        <w:rPr>
          <w:sz w:val="22"/>
          <w:szCs w:val="22"/>
          <w:lang w:val="sr-Latn-ME"/>
        </w:rPr>
      </w:pPr>
    </w:p>
    <w:p w14:paraId="3BCCAAB4" w14:textId="0560228A"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Kod pacijenata kod kojih su sprovedene preporučene mjere za sprečavanje reakcija na infuziju na način opisan u dijelu 4.2, prim</w:t>
      </w:r>
      <w:r w:rsidR="0038510B" w:rsidRPr="007403A4">
        <w:rPr>
          <w:sz w:val="22"/>
          <w:szCs w:val="22"/>
          <w:lang w:val="sr-Latn-ME"/>
        </w:rPr>
        <w:t>i</w:t>
      </w:r>
      <w:r w:rsidRPr="007403A4">
        <w:rPr>
          <w:sz w:val="22"/>
          <w:szCs w:val="22"/>
          <w:lang w:val="sr-Latn-ME"/>
        </w:rPr>
        <w:t>jećena je smanjena učestalost reakcija na infuziju svih stepena. Stepeni reakcija na infuziju 3. – 4.</w:t>
      </w:r>
      <w:r w:rsidR="004F24AB" w:rsidRPr="007403A4">
        <w:rPr>
          <w:sz w:val="22"/>
          <w:szCs w:val="22"/>
          <w:lang w:val="sr-Latn-ME"/>
        </w:rPr>
        <w:t xml:space="preserve"> stepena </w:t>
      </w:r>
      <w:r w:rsidRPr="007403A4">
        <w:rPr>
          <w:sz w:val="22"/>
          <w:szCs w:val="22"/>
          <w:lang w:val="sr-Latn-ME"/>
        </w:rPr>
        <w:t xml:space="preserve">(koje su nastupile </w:t>
      </w:r>
      <w:r w:rsidR="0038510B" w:rsidRPr="007403A4">
        <w:rPr>
          <w:sz w:val="22"/>
          <w:szCs w:val="22"/>
          <w:lang w:val="sr-Latn-ME"/>
        </w:rPr>
        <w:t>kod</w:t>
      </w:r>
      <w:r w:rsidRPr="007403A4">
        <w:rPr>
          <w:sz w:val="22"/>
          <w:szCs w:val="22"/>
          <w:lang w:val="sr-Latn-ME"/>
        </w:rPr>
        <w:t xml:space="preserve"> </w:t>
      </w:r>
      <w:r w:rsidR="0038510B" w:rsidRPr="007403A4">
        <w:rPr>
          <w:sz w:val="22"/>
          <w:szCs w:val="22"/>
          <w:lang w:val="sr-Latn-ME"/>
        </w:rPr>
        <w:t>s</w:t>
      </w:r>
      <w:r w:rsidR="00E23070" w:rsidRPr="007403A4">
        <w:rPr>
          <w:sz w:val="22"/>
          <w:szCs w:val="22"/>
          <w:lang w:val="sr-Latn-ME"/>
        </w:rPr>
        <w:t>razmjerno malog broja pacijenata</w:t>
      </w:r>
      <w:r w:rsidRPr="007403A4">
        <w:rPr>
          <w:sz w:val="22"/>
          <w:szCs w:val="22"/>
          <w:lang w:val="sr-Latn-ME"/>
        </w:rPr>
        <w:t>) bile su slične i prije i nakon sprovođenja  profilaktičkih mjera.</w:t>
      </w:r>
    </w:p>
    <w:p w14:paraId="35BD92E8" w14:textId="77777777" w:rsidR="00ED7C77" w:rsidRPr="007403A4" w:rsidRDefault="00ED7C77" w:rsidP="00C95059">
      <w:pPr>
        <w:widowControl w:val="0"/>
        <w:spacing w:line="254" w:lineRule="exact"/>
        <w:ind w:right="28"/>
        <w:jc w:val="both"/>
        <w:rPr>
          <w:sz w:val="22"/>
          <w:szCs w:val="22"/>
          <w:lang w:val="sr-Latn-ME"/>
        </w:rPr>
      </w:pPr>
    </w:p>
    <w:p w14:paraId="44B9AE1D" w14:textId="77AB6F05" w:rsidR="00ED7C77" w:rsidRPr="007403A4" w:rsidRDefault="00ED7C77" w:rsidP="004D3AD0">
      <w:pPr>
        <w:widowControl w:val="0"/>
        <w:spacing w:before="1" w:line="254" w:lineRule="exact"/>
        <w:ind w:right="28"/>
        <w:jc w:val="both"/>
        <w:rPr>
          <w:i/>
          <w:sz w:val="22"/>
          <w:szCs w:val="22"/>
          <w:lang w:val="sr-Latn-ME"/>
        </w:rPr>
      </w:pPr>
      <w:r w:rsidRPr="007403A4">
        <w:rPr>
          <w:i/>
          <w:sz w:val="22"/>
          <w:szCs w:val="22"/>
          <w:lang w:val="sr-Latn-ME"/>
        </w:rPr>
        <w:t>Indolentni ne</w:t>
      </w:r>
      <w:r w:rsidR="009325CE" w:rsidRPr="007403A4">
        <w:rPr>
          <w:i/>
          <w:sz w:val="22"/>
          <w:szCs w:val="22"/>
          <w:lang w:val="sr-Latn-ME"/>
        </w:rPr>
        <w:t>-</w:t>
      </w:r>
      <w:r w:rsidRPr="007403A4">
        <w:rPr>
          <w:i/>
          <w:sz w:val="22"/>
          <w:szCs w:val="22"/>
          <w:lang w:val="sr-Latn-ME"/>
        </w:rPr>
        <w:t>Ho</w:t>
      </w:r>
      <w:r w:rsidR="00403FFA" w:rsidRPr="007403A4">
        <w:rPr>
          <w:i/>
          <w:sz w:val="22"/>
          <w:szCs w:val="22"/>
          <w:lang w:val="sr-Latn-ME"/>
        </w:rPr>
        <w:t>d</w:t>
      </w:r>
      <w:r w:rsidRPr="007403A4">
        <w:rPr>
          <w:i/>
          <w:sz w:val="22"/>
          <w:szCs w:val="22"/>
          <w:lang w:val="sr-Latn-ME"/>
        </w:rPr>
        <w:t>kinov limfom, uključujući folikularni limfom</w:t>
      </w:r>
    </w:p>
    <w:p w14:paraId="22597497" w14:textId="77777777" w:rsidR="00ED7C77" w:rsidRPr="007403A4" w:rsidRDefault="00ED7C77" w:rsidP="00C95059">
      <w:pPr>
        <w:widowControl w:val="0"/>
        <w:spacing w:line="254" w:lineRule="exact"/>
        <w:ind w:right="28"/>
        <w:jc w:val="both"/>
        <w:rPr>
          <w:sz w:val="22"/>
          <w:szCs w:val="22"/>
          <w:u w:val="single"/>
          <w:lang w:val="sr-Latn-ME"/>
        </w:rPr>
      </w:pPr>
    </w:p>
    <w:p w14:paraId="00DEC681" w14:textId="149750CF" w:rsidR="004F24AB" w:rsidRPr="007403A4" w:rsidRDefault="00ED7C77" w:rsidP="004D3AD0">
      <w:pPr>
        <w:widowControl w:val="0"/>
        <w:spacing w:before="1" w:line="254" w:lineRule="exact"/>
        <w:ind w:right="28"/>
        <w:jc w:val="both"/>
        <w:rPr>
          <w:sz w:val="22"/>
          <w:szCs w:val="22"/>
          <w:lang w:val="sr-Latn-ME"/>
        </w:rPr>
      </w:pPr>
      <w:r w:rsidRPr="007403A4">
        <w:rPr>
          <w:sz w:val="22"/>
          <w:szCs w:val="22"/>
          <w:lang w:val="sr-Latn-ME"/>
        </w:rPr>
        <w:t>Reakcije na infuziju 3–4.</w:t>
      </w:r>
      <w:r w:rsidR="004F24AB" w:rsidRPr="007403A4">
        <w:rPr>
          <w:sz w:val="22"/>
          <w:szCs w:val="22"/>
          <w:lang w:val="sr-Latn-ME"/>
        </w:rPr>
        <w:t xml:space="preserve"> stepena </w:t>
      </w:r>
      <w:r w:rsidRPr="007403A4">
        <w:rPr>
          <w:sz w:val="22"/>
          <w:szCs w:val="22"/>
          <w:lang w:val="sr-Latn-ME"/>
        </w:rPr>
        <w:t xml:space="preserve">nastupile su kod 12% pacijenata. U 1. ciklusu je ukupna učestalost reakcija na infuziju bila veća kod pacijenata koji su primali </w:t>
      </w:r>
      <w:r w:rsidR="00E720CD" w:rsidRPr="007403A4">
        <w:rPr>
          <w:sz w:val="22"/>
          <w:szCs w:val="22"/>
          <w:lang w:val="sr-Latn-ME"/>
        </w:rPr>
        <w:t xml:space="preserve">lijek </w:t>
      </w:r>
      <w:r w:rsidRPr="007403A4">
        <w:rPr>
          <w:sz w:val="22"/>
          <w:szCs w:val="22"/>
          <w:lang w:val="sr-Latn-ME"/>
        </w:rPr>
        <w:t xml:space="preserve">Gazyvaro plus hemoterapiju nego kod pacijenata u </w:t>
      </w:r>
      <w:r w:rsidR="00E720CD" w:rsidRPr="007403A4">
        <w:rPr>
          <w:sz w:val="22"/>
          <w:szCs w:val="22"/>
          <w:lang w:val="sr-Latn-ME"/>
        </w:rPr>
        <w:t>poredbenoj</w:t>
      </w:r>
      <w:r w:rsidRPr="007403A4">
        <w:rPr>
          <w:sz w:val="22"/>
          <w:szCs w:val="22"/>
          <w:lang w:val="sr-Latn-ME"/>
        </w:rPr>
        <w:t xml:space="preserve"> grupi. Učestalost reakcija na infuziju kod pacijenata koji su primali </w:t>
      </w:r>
      <w:r w:rsidR="00E720CD" w:rsidRPr="007403A4">
        <w:rPr>
          <w:sz w:val="22"/>
          <w:szCs w:val="22"/>
          <w:lang w:val="sr-Latn-ME"/>
        </w:rPr>
        <w:t xml:space="preserve">lijek </w:t>
      </w:r>
      <w:r w:rsidRPr="007403A4">
        <w:rPr>
          <w:sz w:val="22"/>
          <w:szCs w:val="22"/>
          <w:lang w:val="sr-Latn-ME"/>
        </w:rPr>
        <w:t>Gazyvaro plus hemoterapiju bila je najveća 1. dan</w:t>
      </w:r>
      <w:r w:rsidR="00E720CD" w:rsidRPr="007403A4">
        <w:rPr>
          <w:sz w:val="22"/>
          <w:szCs w:val="22"/>
          <w:lang w:val="sr-Latn-ME"/>
        </w:rPr>
        <w:t>a</w:t>
      </w:r>
      <w:r w:rsidRPr="007403A4">
        <w:rPr>
          <w:sz w:val="22"/>
          <w:szCs w:val="22"/>
          <w:lang w:val="sr-Latn-ME"/>
        </w:rPr>
        <w:t xml:space="preserve"> te se postupno smanjivala sa sljedećim infuzijama. Taj trend smanjenja nastavio se i tokom terapije održavanja samo lijekom Gazyvaro.</w:t>
      </w:r>
      <w:r w:rsidR="007A2492" w:rsidRPr="007403A4">
        <w:rPr>
          <w:sz w:val="22"/>
          <w:szCs w:val="22"/>
          <w:lang w:val="sr-Latn-ME"/>
        </w:rPr>
        <w:t xml:space="preserve"> </w:t>
      </w:r>
      <w:r w:rsidRPr="007403A4">
        <w:rPr>
          <w:sz w:val="22"/>
          <w:szCs w:val="22"/>
          <w:lang w:val="sr-Latn-ME"/>
        </w:rPr>
        <w:t xml:space="preserve">Nakon 1. ciklusa, učestalost reakcija na infuziju kod sljedećih infuzija bila je uporediva između grupe koja je primala Gazyvaro i relevantne </w:t>
      </w:r>
      <w:r w:rsidR="00E720CD" w:rsidRPr="007403A4">
        <w:rPr>
          <w:sz w:val="22"/>
          <w:szCs w:val="22"/>
          <w:lang w:val="sr-Latn-ME"/>
        </w:rPr>
        <w:t>poredbene</w:t>
      </w:r>
      <w:r w:rsidRPr="007403A4">
        <w:rPr>
          <w:sz w:val="22"/>
          <w:szCs w:val="22"/>
          <w:lang w:val="sr-Latn-ME"/>
        </w:rPr>
        <w:t xml:space="preserve"> grupe. Sveukupno je </w:t>
      </w:r>
      <w:r w:rsidR="00E720CD" w:rsidRPr="007403A4">
        <w:rPr>
          <w:sz w:val="22"/>
          <w:szCs w:val="22"/>
          <w:lang w:val="sr-Latn-ME"/>
        </w:rPr>
        <w:t>4</w:t>
      </w:r>
      <w:r w:rsidRPr="007403A4">
        <w:rPr>
          <w:sz w:val="22"/>
          <w:szCs w:val="22"/>
          <w:lang w:val="sr-Latn-ME"/>
        </w:rPr>
        <w:t xml:space="preserve">% pacijenata imalo reakciju povezanu sa </w:t>
      </w:r>
      <w:r w:rsidRPr="007403A4">
        <w:rPr>
          <w:sz w:val="22"/>
          <w:szCs w:val="22"/>
          <w:lang w:val="sr-Latn-ME"/>
        </w:rPr>
        <w:lastRenderedPageBreak/>
        <w:t>infuzijom koja je dovela do prekida liječenja lijekom Gazyvaro.</w:t>
      </w:r>
    </w:p>
    <w:p w14:paraId="0032E025" w14:textId="77777777" w:rsidR="004F24AB" w:rsidRPr="007403A4" w:rsidRDefault="004F24AB" w:rsidP="00C95059">
      <w:pPr>
        <w:keepNext/>
        <w:jc w:val="both"/>
        <w:rPr>
          <w:i/>
          <w:iCs/>
          <w:sz w:val="22"/>
          <w:szCs w:val="22"/>
          <w:lang w:val="sr-Latn-ME"/>
        </w:rPr>
      </w:pPr>
      <w:r w:rsidRPr="007403A4">
        <w:rPr>
          <w:i/>
          <w:iCs/>
          <w:sz w:val="22"/>
          <w:szCs w:val="22"/>
          <w:lang w:val="sr-Latn-ME"/>
        </w:rPr>
        <w:t>Kratkotrajna infuzija kod pacijenata sa folikularnim limfomom</w:t>
      </w:r>
    </w:p>
    <w:p w14:paraId="3ACD9A0C" w14:textId="77777777" w:rsidR="004F24AB" w:rsidRPr="007403A4" w:rsidRDefault="004F24AB" w:rsidP="00C95059">
      <w:pPr>
        <w:keepNext/>
        <w:jc w:val="both"/>
        <w:rPr>
          <w:sz w:val="22"/>
          <w:szCs w:val="22"/>
          <w:lang w:val="sr-Latn-ME"/>
        </w:rPr>
      </w:pPr>
    </w:p>
    <w:p w14:paraId="7C9B9772" w14:textId="1F87B2B4" w:rsidR="004F24AB" w:rsidRPr="007403A4" w:rsidRDefault="004F24AB" w:rsidP="00C95059">
      <w:pPr>
        <w:jc w:val="both"/>
        <w:rPr>
          <w:sz w:val="22"/>
          <w:szCs w:val="22"/>
          <w:lang w:val="sr-Latn-ME"/>
        </w:rPr>
      </w:pPr>
      <w:r w:rsidRPr="007403A4">
        <w:rPr>
          <w:sz w:val="22"/>
          <w:szCs w:val="22"/>
          <w:lang w:val="sr-Latn-ME"/>
        </w:rPr>
        <w:t>U studiji MO40597 u kojoj se ocijenjivala bezbjednost primjene kratkotrajnih infuzija, reakcije na infuziju bilo kog stepena u 2. ciklusu imao je veći udio pacijenata u odnosu na udio pacijenata sa reakcijom na infuziju nakon primjene standardne infuzije u 2. ciklusu u studiji BO21223 (10/99 [10,1%] naspram 23/529 [4,3%]; reakcije koje se dovode u vezu sa primjenom infuzije i za koje je istraživač smatrao da su povezane sa bilo kojim sastavnim dijelom ispitivane terapije). U studiji MO40597 ni kod jednog pacijenta nije došlo do reakcije na infuziju ≥ 3. stepena nakon primjene kratkotrajne infuzije u 2. ciklusu; u studiji BO21223 reakcija na infuziju ≥ 3. stepena u 2. ciklusu razvila se kod 3/529 (0,6%) pacijenata. Simptomi i znaci reakcija na infuziju bili su slični u oba ispitivanja.</w:t>
      </w:r>
    </w:p>
    <w:p w14:paraId="780DFDE0" w14:textId="77777777" w:rsidR="004F24AB" w:rsidRPr="007403A4" w:rsidRDefault="004F24AB" w:rsidP="00C95059">
      <w:pPr>
        <w:jc w:val="both"/>
        <w:rPr>
          <w:sz w:val="22"/>
          <w:szCs w:val="22"/>
          <w:lang w:val="sr-Latn-ME"/>
        </w:rPr>
      </w:pPr>
    </w:p>
    <w:p w14:paraId="4BD1782E" w14:textId="0C03BF03" w:rsidR="004F24AB" w:rsidRPr="007403A4" w:rsidRDefault="004F24AB" w:rsidP="00C95059">
      <w:pPr>
        <w:jc w:val="both"/>
        <w:rPr>
          <w:sz w:val="22"/>
          <w:szCs w:val="22"/>
          <w:lang w:val="sr-Latn-ME"/>
        </w:rPr>
      </w:pPr>
      <w:r w:rsidRPr="007403A4">
        <w:rPr>
          <w:sz w:val="22"/>
          <w:szCs w:val="22"/>
          <w:lang w:val="sr-Latn-ME"/>
        </w:rPr>
        <w:t xml:space="preserve">Reakcije na infuziju </w:t>
      </w:r>
      <w:r w:rsidR="004374D1" w:rsidRPr="007403A4">
        <w:rPr>
          <w:sz w:val="22"/>
          <w:szCs w:val="22"/>
          <w:lang w:val="sr-Latn-ME"/>
        </w:rPr>
        <w:t>primijećene</w:t>
      </w:r>
      <w:r w:rsidRPr="007403A4">
        <w:rPr>
          <w:sz w:val="22"/>
          <w:szCs w:val="22"/>
          <w:lang w:val="sr-Latn-ME"/>
        </w:rPr>
        <w:t xml:space="preserve"> u studiji MO40597/GAZELLE sažeto su prikazane u Tabeli 8.</w:t>
      </w:r>
    </w:p>
    <w:p w14:paraId="653277FA" w14:textId="6BE65775" w:rsidR="004F24AB" w:rsidRPr="007403A4" w:rsidRDefault="004F24AB" w:rsidP="004D3AD0">
      <w:pPr>
        <w:widowControl w:val="0"/>
        <w:spacing w:before="1" w:line="254" w:lineRule="exact"/>
        <w:ind w:right="28"/>
        <w:jc w:val="both"/>
        <w:rPr>
          <w:sz w:val="22"/>
          <w:szCs w:val="22"/>
          <w:lang w:val="sr-Latn-ME"/>
        </w:rPr>
      </w:pPr>
    </w:p>
    <w:p w14:paraId="6D0E8EE1" w14:textId="7C766F98" w:rsidR="004F24AB" w:rsidRPr="007403A4" w:rsidRDefault="004F24AB" w:rsidP="00C95059">
      <w:pPr>
        <w:keepNext/>
        <w:jc w:val="both"/>
        <w:rPr>
          <w:b/>
          <w:sz w:val="22"/>
          <w:szCs w:val="22"/>
          <w:lang w:val="sr-Latn-ME"/>
        </w:rPr>
      </w:pPr>
      <w:r w:rsidRPr="007403A4">
        <w:rPr>
          <w:b/>
          <w:sz w:val="22"/>
          <w:szCs w:val="22"/>
          <w:lang w:val="sr-Latn-ME"/>
        </w:rPr>
        <w:t>Tabela 8   Ispitivanje primjene kratkotrajne infuzije MO40597/GAZELLE: Reakcije na infuziju</w:t>
      </w:r>
      <w:r w:rsidRPr="007403A4">
        <w:rPr>
          <w:b/>
          <w:sz w:val="22"/>
          <w:szCs w:val="22"/>
          <w:vertAlign w:val="superscript"/>
          <w:lang w:val="sr-Latn-ME"/>
        </w:rPr>
        <w:t xml:space="preserve">a </w:t>
      </w:r>
      <w:r w:rsidRPr="007403A4">
        <w:rPr>
          <w:b/>
          <w:sz w:val="22"/>
          <w:szCs w:val="22"/>
          <w:lang w:val="sr-Latn-ME"/>
        </w:rPr>
        <w:t>prema ciklusu (populacija dostupna za oc</w:t>
      </w:r>
      <w:r w:rsidR="006F4017" w:rsidRPr="007403A4">
        <w:rPr>
          <w:b/>
          <w:sz w:val="22"/>
          <w:szCs w:val="22"/>
          <w:lang w:val="sr-Latn-ME"/>
        </w:rPr>
        <w:t>j</w:t>
      </w:r>
      <w:r w:rsidRPr="007403A4">
        <w:rPr>
          <w:b/>
          <w:sz w:val="22"/>
          <w:szCs w:val="22"/>
          <w:lang w:val="sr-Latn-ME"/>
        </w:rPr>
        <w:t>enu bezbednosti)</w:t>
      </w:r>
    </w:p>
    <w:p w14:paraId="628C4F96" w14:textId="77777777" w:rsidR="004F24AB" w:rsidRPr="007403A4" w:rsidRDefault="004F24AB" w:rsidP="00C95059">
      <w:pPr>
        <w:keepNext/>
        <w:jc w:val="both"/>
        <w:rPr>
          <w:b/>
          <w:lang w:val="sr-Latn-ME"/>
        </w:rPr>
      </w:pPr>
    </w:p>
    <w:tbl>
      <w:tblPr>
        <w:tblW w:w="5264"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815"/>
        <w:gridCol w:w="1159"/>
        <w:gridCol w:w="764"/>
        <w:gridCol w:w="709"/>
        <w:gridCol w:w="664"/>
        <w:gridCol w:w="737"/>
        <w:gridCol w:w="764"/>
        <w:gridCol w:w="670"/>
        <w:gridCol w:w="670"/>
        <w:gridCol w:w="670"/>
        <w:gridCol w:w="670"/>
        <w:gridCol w:w="670"/>
        <w:gridCol w:w="1059"/>
      </w:tblGrid>
      <w:tr w:rsidR="004F24AB" w:rsidRPr="007403A4" w14:paraId="6D9CD354" w14:textId="77777777" w:rsidTr="00D201BD">
        <w:trPr>
          <w:cantSplit/>
          <w:trHeight w:val="155"/>
        </w:trPr>
        <w:tc>
          <w:tcPr>
            <w:tcW w:w="453" w:type="pct"/>
            <w:vMerge w:val="restart"/>
            <w:shd w:val="clear" w:color="auto" w:fill="auto"/>
          </w:tcPr>
          <w:p w14:paraId="3BD62574"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CTCAE stepen</w:t>
            </w:r>
          </w:p>
        </w:tc>
        <w:tc>
          <w:tcPr>
            <w:tcW w:w="409" w:type="pct"/>
            <w:vMerge w:val="restart"/>
            <w:shd w:val="clear" w:color="auto" w:fill="auto"/>
          </w:tcPr>
          <w:p w14:paraId="2167A590"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1 Ukupno</w:t>
            </w:r>
          </w:p>
          <w:p w14:paraId="204757A9"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(standardna infuzija)</w:t>
            </w:r>
          </w:p>
        </w:tc>
        <w:tc>
          <w:tcPr>
            <w:tcW w:w="1496" w:type="pct"/>
            <w:gridSpan w:val="4"/>
            <w:shd w:val="clear" w:color="auto" w:fill="auto"/>
            <w:vAlign w:val="bottom"/>
          </w:tcPr>
          <w:p w14:paraId="6BFAB9C5"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1</w:t>
            </w:r>
            <w:r w:rsidRPr="007403A4">
              <w:rPr>
                <w:rFonts w:eastAsia="SimSun"/>
                <w:b/>
                <w:sz w:val="20"/>
                <w:vertAlign w:val="superscript"/>
                <w:lang w:val="sr-Latn-ME" w:eastAsia="zh-CN"/>
              </w:rPr>
              <w:t>b</w:t>
            </w:r>
            <w:r w:rsidRPr="007403A4">
              <w:rPr>
                <w:rFonts w:eastAsia="SimSun"/>
                <w:b/>
                <w:sz w:val="20"/>
                <w:lang w:val="sr-Latn-ME" w:eastAsia="zh-CN"/>
              </w:rPr>
              <w:t xml:space="preserve"> po danima</w:t>
            </w:r>
          </w:p>
        </w:tc>
        <w:tc>
          <w:tcPr>
            <w:tcW w:w="409" w:type="pct"/>
            <w:vMerge w:val="restart"/>
            <w:shd w:val="clear" w:color="auto" w:fill="auto"/>
          </w:tcPr>
          <w:p w14:paraId="0CB5B06F"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2</w:t>
            </w:r>
            <w:r w:rsidRPr="007403A4">
              <w:rPr>
                <w:rFonts w:eastAsia="SimSun"/>
                <w:b/>
                <w:sz w:val="18"/>
                <w:szCs w:val="18"/>
                <w:vertAlign w:val="superscript"/>
                <w:lang w:val="sr-Latn-ME" w:eastAsia="zh-CN"/>
              </w:rPr>
              <w:t>C</w:t>
            </w:r>
          </w:p>
        </w:tc>
        <w:tc>
          <w:tcPr>
            <w:tcW w:w="349" w:type="pct"/>
            <w:vMerge w:val="restart"/>
            <w:shd w:val="clear" w:color="auto" w:fill="auto"/>
          </w:tcPr>
          <w:p w14:paraId="313E3B29"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3</w:t>
            </w:r>
          </w:p>
        </w:tc>
        <w:tc>
          <w:tcPr>
            <w:tcW w:w="350" w:type="pct"/>
            <w:vMerge w:val="restart"/>
            <w:shd w:val="clear" w:color="auto" w:fill="auto"/>
          </w:tcPr>
          <w:p w14:paraId="3B706D82"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4</w:t>
            </w:r>
          </w:p>
        </w:tc>
        <w:tc>
          <w:tcPr>
            <w:tcW w:w="350" w:type="pct"/>
            <w:vMerge w:val="restart"/>
            <w:shd w:val="clear" w:color="auto" w:fill="auto"/>
          </w:tcPr>
          <w:p w14:paraId="6325F75B"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5</w:t>
            </w:r>
          </w:p>
        </w:tc>
        <w:tc>
          <w:tcPr>
            <w:tcW w:w="350" w:type="pct"/>
            <w:vMerge w:val="restart"/>
            <w:shd w:val="clear" w:color="auto" w:fill="auto"/>
          </w:tcPr>
          <w:p w14:paraId="428F43D0"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6</w:t>
            </w:r>
          </w:p>
        </w:tc>
        <w:tc>
          <w:tcPr>
            <w:tcW w:w="348" w:type="pct"/>
            <w:vMerge w:val="restart"/>
            <w:shd w:val="clear" w:color="auto" w:fill="auto"/>
          </w:tcPr>
          <w:p w14:paraId="0D294FAB"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Ciklus 7</w:t>
            </w:r>
          </w:p>
        </w:tc>
        <w:tc>
          <w:tcPr>
            <w:tcW w:w="485" w:type="pct"/>
            <w:vMerge w:val="restart"/>
            <w:shd w:val="clear" w:color="auto" w:fill="auto"/>
          </w:tcPr>
          <w:p w14:paraId="04E20314"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U svim ciklusima indukcione terapije</w:t>
            </w:r>
          </w:p>
        </w:tc>
      </w:tr>
      <w:tr w:rsidR="004F24AB" w:rsidRPr="007403A4" w14:paraId="1E5AB244" w14:textId="77777777" w:rsidTr="00D201BD">
        <w:trPr>
          <w:cantSplit/>
          <w:trHeight w:val="155"/>
        </w:trPr>
        <w:tc>
          <w:tcPr>
            <w:tcW w:w="453" w:type="pct"/>
            <w:vMerge/>
            <w:shd w:val="clear" w:color="auto" w:fill="auto"/>
            <w:vAlign w:val="bottom"/>
          </w:tcPr>
          <w:p w14:paraId="34643F25" w14:textId="77777777" w:rsidR="004F24AB" w:rsidRPr="007403A4" w:rsidRDefault="004F24AB" w:rsidP="00C95059">
            <w:pPr>
              <w:keepNext/>
              <w:spacing w:after="250" w:line="300" w:lineRule="atLeast"/>
              <w:jc w:val="both"/>
              <w:rPr>
                <w:rFonts w:eastAsia="SimSun"/>
                <w:sz w:val="20"/>
                <w:lang w:val="sr-Latn-ME" w:eastAsia="zh-CN"/>
              </w:rPr>
            </w:pPr>
          </w:p>
        </w:tc>
        <w:tc>
          <w:tcPr>
            <w:tcW w:w="409" w:type="pct"/>
            <w:vMerge/>
            <w:shd w:val="clear" w:color="auto" w:fill="auto"/>
            <w:vAlign w:val="bottom"/>
          </w:tcPr>
          <w:p w14:paraId="04D72B36" w14:textId="77777777" w:rsidR="004F24AB" w:rsidRPr="007403A4" w:rsidRDefault="004F24AB" w:rsidP="00C95059">
            <w:pPr>
              <w:keepNext/>
              <w:spacing w:after="250" w:line="300" w:lineRule="atLeast"/>
              <w:jc w:val="both"/>
              <w:rPr>
                <w:rFonts w:eastAsia="SimSun"/>
                <w:sz w:val="20"/>
                <w:lang w:val="sr-Latn-ME" w:eastAsia="zh-CN"/>
              </w:rPr>
            </w:pPr>
          </w:p>
        </w:tc>
        <w:tc>
          <w:tcPr>
            <w:tcW w:w="409" w:type="pct"/>
            <w:vAlign w:val="bottom"/>
          </w:tcPr>
          <w:p w14:paraId="4DA17602"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1. dan</w:t>
            </w:r>
          </w:p>
        </w:tc>
        <w:tc>
          <w:tcPr>
            <w:tcW w:w="361" w:type="pct"/>
            <w:vAlign w:val="bottom"/>
          </w:tcPr>
          <w:p w14:paraId="4638F7D4"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2. dan</w:t>
            </w:r>
            <w:r w:rsidRPr="007403A4">
              <w:rPr>
                <w:rFonts w:eastAsia="SimSun"/>
                <w:b/>
                <w:sz w:val="20"/>
                <w:vertAlign w:val="superscript"/>
                <w:lang w:val="sr-Latn-ME" w:eastAsia="zh-CN"/>
              </w:rPr>
              <w:t>d</w:t>
            </w:r>
          </w:p>
        </w:tc>
        <w:tc>
          <w:tcPr>
            <w:tcW w:w="348" w:type="pct"/>
            <w:vAlign w:val="bottom"/>
          </w:tcPr>
          <w:p w14:paraId="12885656"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8. dan</w:t>
            </w:r>
          </w:p>
        </w:tc>
        <w:tc>
          <w:tcPr>
            <w:tcW w:w="378" w:type="pct"/>
            <w:vAlign w:val="bottom"/>
          </w:tcPr>
          <w:p w14:paraId="1364DE50" w14:textId="77777777" w:rsidR="004F24AB" w:rsidRPr="007403A4" w:rsidRDefault="004F24AB" w:rsidP="00C95059">
            <w:pPr>
              <w:keepNext/>
              <w:spacing w:after="250" w:line="300" w:lineRule="atLeast"/>
              <w:jc w:val="both"/>
              <w:rPr>
                <w:rFonts w:eastAsia="SimSun"/>
                <w:b/>
                <w:sz w:val="20"/>
                <w:lang w:val="sr-Latn-ME" w:eastAsia="zh-CN"/>
              </w:rPr>
            </w:pPr>
            <w:r w:rsidRPr="007403A4">
              <w:rPr>
                <w:rFonts w:eastAsia="SimSun"/>
                <w:b/>
                <w:sz w:val="20"/>
                <w:lang w:val="sr-Latn-ME" w:eastAsia="zh-CN"/>
              </w:rPr>
              <w:t>15. dan</w:t>
            </w:r>
          </w:p>
        </w:tc>
        <w:tc>
          <w:tcPr>
            <w:tcW w:w="409" w:type="pct"/>
            <w:vMerge/>
            <w:vAlign w:val="bottom"/>
          </w:tcPr>
          <w:p w14:paraId="1FB157F7" w14:textId="77777777" w:rsidR="004F24AB" w:rsidRPr="007403A4" w:rsidRDefault="004F24AB" w:rsidP="00C95059">
            <w:pPr>
              <w:keepNext/>
              <w:spacing w:after="250" w:line="300" w:lineRule="atLeast"/>
              <w:jc w:val="both"/>
              <w:rPr>
                <w:rFonts w:eastAsia="SimSun"/>
                <w:sz w:val="20"/>
                <w:lang w:val="sr-Latn-ME" w:eastAsia="zh-CN"/>
              </w:rPr>
            </w:pPr>
          </w:p>
        </w:tc>
        <w:tc>
          <w:tcPr>
            <w:tcW w:w="349" w:type="pct"/>
            <w:vMerge/>
            <w:vAlign w:val="bottom"/>
          </w:tcPr>
          <w:p w14:paraId="71885B58" w14:textId="77777777" w:rsidR="004F24AB" w:rsidRPr="007403A4" w:rsidRDefault="004F24AB" w:rsidP="00C95059">
            <w:pPr>
              <w:keepNext/>
              <w:spacing w:after="250" w:line="300" w:lineRule="atLeast"/>
              <w:jc w:val="both"/>
              <w:rPr>
                <w:rFonts w:eastAsia="SimSun"/>
                <w:sz w:val="20"/>
                <w:lang w:val="sr-Latn-ME" w:eastAsia="zh-CN"/>
              </w:rPr>
            </w:pPr>
          </w:p>
        </w:tc>
        <w:tc>
          <w:tcPr>
            <w:tcW w:w="350" w:type="pct"/>
            <w:vMerge/>
            <w:vAlign w:val="bottom"/>
          </w:tcPr>
          <w:p w14:paraId="17253D27" w14:textId="77777777" w:rsidR="004F24AB" w:rsidRPr="007403A4" w:rsidRDefault="004F24AB" w:rsidP="00C95059">
            <w:pPr>
              <w:keepNext/>
              <w:spacing w:after="250" w:line="300" w:lineRule="atLeast"/>
              <w:jc w:val="both"/>
              <w:rPr>
                <w:rFonts w:eastAsia="SimSun"/>
                <w:sz w:val="20"/>
                <w:lang w:val="sr-Latn-ME" w:eastAsia="zh-CN"/>
              </w:rPr>
            </w:pPr>
          </w:p>
        </w:tc>
        <w:tc>
          <w:tcPr>
            <w:tcW w:w="350" w:type="pct"/>
            <w:vMerge/>
            <w:vAlign w:val="bottom"/>
          </w:tcPr>
          <w:p w14:paraId="0AA7B027" w14:textId="77777777" w:rsidR="004F24AB" w:rsidRPr="007403A4" w:rsidRDefault="004F24AB" w:rsidP="00C95059">
            <w:pPr>
              <w:keepNext/>
              <w:spacing w:after="250" w:line="300" w:lineRule="atLeast"/>
              <w:jc w:val="both"/>
              <w:rPr>
                <w:rFonts w:eastAsia="SimSun"/>
                <w:sz w:val="20"/>
                <w:lang w:val="sr-Latn-ME" w:eastAsia="zh-CN"/>
              </w:rPr>
            </w:pPr>
          </w:p>
        </w:tc>
        <w:tc>
          <w:tcPr>
            <w:tcW w:w="350" w:type="pct"/>
            <w:vMerge/>
            <w:vAlign w:val="bottom"/>
          </w:tcPr>
          <w:p w14:paraId="5E1D775F" w14:textId="77777777" w:rsidR="004F24AB" w:rsidRPr="007403A4" w:rsidRDefault="004F24AB" w:rsidP="00C95059">
            <w:pPr>
              <w:keepNext/>
              <w:spacing w:after="250" w:line="300" w:lineRule="atLeast"/>
              <w:jc w:val="both"/>
              <w:rPr>
                <w:rFonts w:eastAsia="SimSun"/>
                <w:sz w:val="20"/>
                <w:lang w:val="sr-Latn-ME" w:eastAsia="zh-CN"/>
              </w:rPr>
            </w:pPr>
          </w:p>
        </w:tc>
        <w:tc>
          <w:tcPr>
            <w:tcW w:w="348" w:type="pct"/>
            <w:vMerge/>
            <w:vAlign w:val="bottom"/>
          </w:tcPr>
          <w:p w14:paraId="2B7961FD" w14:textId="77777777" w:rsidR="004F24AB" w:rsidRPr="007403A4" w:rsidRDefault="004F24AB" w:rsidP="00C95059">
            <w:pPr>
              <w:keepNext/>
              <w:spacing w:after="250" w:line="300" w:lineRule="atLeast"/>
              <w:jc w:val="both"/>
              <w:rPr>
                <w:rFonts w:eastAsia="SimSun"/>
                <w:sz w:val="20"/>
                <w:lang w:val="sr-Latn-ME" w:eastAsia="zh-CN"/>
              </w:rPr>
            </w:pPr>
          </w:p>
        </w:tc>
        <w:tc>
          <w:tcPr>
            <w:tcW w:w="485" w:type="pct"/>
            <w:vMerge/>
          </w:tcPr>
          <w:p w14:paraId="6AB0DEA8" w14:textId="77777777" w:rsidR="004F24AB" w:rsidRPr="007403A4" w:rsidRDefault="004F24AB" w:rsidP="00C95059">
            <w:pPr>
              <w:keepNext/>
              <w:spacing w:after="250" w:line="300" w:lineRule="atLeast"/>
              <w:jc w:val="both"/>
              <w:rPr>
                <w:rFonts w:eastAsia="SimSun"/>
                <w:sz w:val="20"/>
                <w:lang w:val="sr-Latn-ME" w:eastAsia="zh-CN"/>
              </w:rPr>
            </w:pPr>
          </w:p>
        </w:tc>
      </w:tr>
      <w:tr w:rsidR="004F24AB" w:rsidRPr="007403A4" w14:paraId="4C545023" w14:textId="77777777" w:rsidTr="00D201BD">
        <w:trPr>
          <w:cantSplit/>
          <w:trHeight w:val="852"/>
        </w:trPr>
        <w:tc>
          <w:tcPr>
            <w:tcW w:w="453" w:type="pct"/>
          </w:tcPr>
          <w:p w14:paraId="1875AF60"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Svi stepeni</w:t>
            </w:r>
          </w:p>
        </w:tc>
        <w:tc>
          <w:tcPr>
            <w:tcW w:w="409" w:type="pct"/>
          </w:tcPr>
          <w:p w14:paraId="75D5B317"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65/113 (57,5%)</w:t>
            </w:r>
          </w:p>
        </w:tc>
        <w:tc>
          <w:tcPr>
            <w:tcW w:w="409" w:type="pct"/>
          </w:tcPr>
          <w:p w14:paraId="2244628F"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57/113 (50,4%)</w:t>
            </w:r>
          </w:p>
        </w:tc>
        <w:tc>
          <w:tcPr>
            <w:tcW w:w="361" w:type="pct"/>
          </w:tcPr>
          <w:p w14:paraId="3485BC53"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4/51 (7,8%)</w:t>
            </w:r>
          </w:p>
        </w:tc>
        <w:tc>
          <w:tcPr>
            <w:tcW w:w="348" w:type="pct"/>
          </w:tcPr>
          <w:p w14:paraId="099694B9"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6/112 (5,4%)</w:t>
            </w:r>
          </w:p>
        </w:tc>
        <w:tc>
          <w:tcPr>
            <w:tcW w:w="378" w:type="pct"/>
          </w:tcPr>
          <w:p w14:paraId="70D42524"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5/111 (4,5%)</w:t>
            </w:r>
          </w:p>
        </w:tc>
        <w:tc>
          <w:tcPr>
            <w:tcW w:w="409" w:type="pct"/>
          </w:tcPr>
          <w:p w14:paraId="15A1CF2A"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13/110 (11,8%)</w:t>
            </w:r>
          </w:p>
        </w:tc>
        <w:tc>
          <w:tcPr>
            <w:tcW w:w="349" w:type="pct"/>
          </w:tcPr>
          <w:p w14:paraId="7B95461C"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9/108 (8,3%)</w:t>
            </w:r>
          </w:p>
        </w:tc>
        <w:tc>
          <w:tcPr>
            <w:tcW w:w="350" w:type="pct"/>
          </w:tcPr>
          <w:p w14:paraId="28AFA7CB"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7/108 (6,5%)</w:t>
            </w:r>
          </w:p>
        </w:tc>
        <w:tc>
          <w:tcPr>
            <w:tcW w:w="350" w:type="pct"/>
          </w:tcPr>
          <w:p w14:paraId="75C4E7E4"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6/107 (5,6%)</w:t>
            </w:r>
          </w:p>
        </w:tc>
        <w:tc>
          <w:tcPr>
            <w:tcW w:w="350" w:type="pct"/>
          </w:tcPr>
          <w:p w14:paraId="1E010B2B"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5/105 (4,8%)</w:t>
            </w:r>
          </w:p>
        </w:tc>
        <w:tc>
          <w:tcPr>
            <w:tcW w:w="348" w:type="pct"/>
          </w:tcPr>
          <w:p w14:paraId="2916357B"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2/55 (3,6%)</w:t>
            </w:r>
          </w:p>
        </w:tc>
        <w:tc>
          <w:tcPr>
            <w:tcW w:w="485" w:type="pct"/>
          </w:tcPr>
          <w:p w14:paraId="540E86C0"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 xml:space="preserve">71/113 </w:t>
            </w:r>
            <w:r w:rsidRPr="007403A4">
              <w:rPr>
                <w:rFonts w:eastAsia="SimSun"/>
                <w:sz w:val="20"/>
                <w:lang w:val="sr-Latn-ME" w:eastAsia="zh-CN"/>
              </w:rPr>
              <w:br/>
              <w:t>(62,8%)</w:t>
            </w:r>
          </w:p>
        </w:tc>
      </w:tr>
      <w:tr w:rsidR="004F24AB" w:rsidRPr="007403A4" w14:paraId="337ACC2D" w14:textId="77777777" w:rsidTr="00D201BD">
        <w:trPr>
          <w:cantSplit/>
          <w:trHeight w:val="852"/>
        </w:trPr>
        <w:tc>
          <w:tcPr>
            <w:tcW w:w="453" w:type="pct"/>
          </w:tcPr>
          <w:p w14:paraId="59932721"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 3. stepena</w:t>
            </w:r>
          </w:p>
        </w:tc>
        <w:tc>
          <w:tcPr>
            <w:tcW w:w="409" w:type="pct"/>
          </w:tcPr>
          <w:p w14:paraId="7D5103B6"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6/113 (5,3%)</w:t>
            </w:r>
          </w:p>
        </w:tc>
        <w:tc>
          <w:tcPr>
            <w:tcW w:w="409" w:type="pct"/>
          </w:tcPr>
          <w:p w14:paraId="28085E72"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5/113 (4,4%)</w:t>
            </w:r>
          </w:p>
        </w:tc>
        <w:tc>
          <w:tcPr>
            <w:tcW w:w="361" w:type="pct"/>
          </w:tcPr>
          <w:p w14:paraId="641C02AB"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1/51 (2,0%)</w:t>
            </w:r>
          </w:p>
        </w:tc>
        <w:tc>
          <w:tcPr>
            <w:tcW w:w="348" w:type="pct"/>
          </w:tcPr>
          <w:p w14:paraId="219F505C"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378" w:type="pct"/>
          </w:tcPr>
          <w:p w14:paraId="77DAA505"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409" w:type="pct"/>
          </w:tcPr>
          <w:p w14:paraId="19F9BB96"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349" w:type="pct"/>
          </w:tcPr>
          <w:p w14:paraId="1C9E2C41"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350" w:type="pct"/>
          </w:tcPr>
          <w:p w14:paraId="7B148D61"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350" w:type="pct"/>
          </w:tcPr>
          <w:p w14:paraId="5E80C549"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1/107 (0,9%)</w:t>
            </w:r>
          </w:p>
        </w:tc>
        <w:tc>
          <w:tcPr>
            <w:tcW w:w="350" w:type="pct"/>
          </w:tcPr>
          <w:p w14:paraId="0D1D75E3"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348" w:type="pct"/>
          </w:tcPr>
          <w:p w14:paraId="3E403C50"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0</w:t>
            </w:r>
          </w:p>
        </w:tc>
        <w:tc>
          <w:tcPr>
            <w:tcW w:w="485" w:type="pct"/>
          </w:tcPr>
          <w:p w14:paraId="4156A167" w14:textId="77777777" w:rsidR="004F24AB" w:rsidRPr="007403A4" w:rsidRDefault="004F24AB" w:rsidP="00C95059">
            <w:pPr>
              <w:keepNext/>
              <w:spacing w:after="250" w:line="300" w:lineRule="atLeast"/>
              <w:jc w:val="both"/>
              <w:rPr>
                <w:rFonts w:eastAsia="SimSun"/>
                <w:sz w:val="20"/>
                <w:lang w:val="sr-Latn-ME" w:eastAsia="zh-CN"/>
              </w:rPr>
            </w:pPr>
            <w:r w:rsidRPr="007403A4">
              <w:rPr>
                <w:rFonts w:eastAsia="SimSun"/>
                <w:sz w:val="20"/>
                <w:lang w:val="sr-Latn-ME" w:eastAsia="zh-CN"/>
              </w:rPr>
              <w:t xml:space="preserve">7/113 </w:t>
            </w:r>
            <w:r w:rsidRPr="007403A4">
              <w:rPr>
                <w:rFonts w:eastAsia="SimSun"/>
                <w:sz w:val="20"/>
                <w:lang w:val="sr-Latn-ME" w:eastAsia="zh-CN"/>
              </w:rPr>
              <w:br/>
              <w:t>(6,2%)</w:t>
            </w:r>
          </w:p>
        </w:tc>
      </w:tr>
    </w:tbl>
    <w:p w14:paraId="08F7B96F" w14:textId="77777777" w:rsidR="004F24AB" w:rsidRPr="007403A4" w:rsidRDefault="004F24AB" w:rsidP="00C95059">
      <w:pPr>
        <w:pStyle w:val="TabFigNote"/>
        <w:ind w:left="28"/>
        <w:jc w:val="both"/>
        <w:rPr>
          <w:rFonts w:ascii="Times New Roman" w:hAnsi="Times New Roman"/>
          <w:sz w:val="18"/>
          <w:szCs w:val="18"/>
          <w:lang w:val="sr-Latn-ME"/>
        </w:rPr>
      </w:pPr>
      <w:r w:rsidRPr="007403A4">
        <w:rPr>
          <w:rFonts w:ascii="Times New Roman" w:hAnsi="Times New Roman"/>
          <w:sz w:val="18"/>
          <w:szCs w:val="18"/>
          <w:lang w:val="sr-Latn-ME"/>
        </w:rPr>
        <w:t xml:space="preserve">CTCAE (engl. </w:t>
      </w:r>
      <w:r w:rsidRPr="007403A4">
        <w:rPr>
          <w:rFonts w:ascii="Times New Roman" w:hAnsi="Times New Roman"/>
          <w:i/>
          <w:iCs/>
          <w:sz w:val="18"/>
          <w:szCs w:val="18"/>
          <w:lang w:val="sr-Latn-ME"/>
        </w:rPr>
        <w:t>Common Terminology Criteria for Adverse Events</w:t>
      </w:r>
      <w:r w:rsidRPr="007403A4">
        <w:rPr>
          <w:rFonts w:ascii="Times New Roman" w:hAnsi="Times New Roman"/>
          <w:sz w:val="18"/>
          <w:szCs w:val="18"/>
          <w:lang w:val="sr-Latn-ME"/>
        </w:rPr>
        <w:t xml:space="preserve">): Zajednički terminološki kriterijum za nuspojave.  </w:t>
      </w:r>
    </w:p>
    <w:p w14:paraId="22919E0F" w14:textId="06C39735" w:rsidR="004F24AB" w:rsidRPr="007403A4" w:rsidRDefault="004F24AB" w:rsidP="00C95059">
      <w:pPr>
        <w:pStyle w:val="TabFigNote"/>
        <w:ind w:left="28"/>
        <w:jc w:val="both"/>
        <w:rPr>
          <w:rFonts w:ascii="Times New Roman" w:hAnsi="Times New Roman"/>
          <w:sz w:val="18"/>
          <w:szCs w:val="18"/>
          <w:lang w:val="sr-Latn-ME"/>
        </w:rPr>
      </w:pPr>
      <w:r w:rsidRPr="007403A4">
        <w:rPr>
          <w:rFonts w:ascii="Times New Roman" w:hAnsi="Times New Roman"/>
          <w:sz w:val="18"/>
          <w:szCs w:val="18"/>
          <w:vertAlign w:val="superscript"/>
          <w:lang w:val="sr-Latn-ME"/>
        </w:rPr>
        <w:t>a</w:t>
      </w:r>
      <w:r w:rsidRPr="007403A4">
        <w:rPr>
          <w:rFonts w:ascii="Times New Roman" w:hAnsi="Times New Roman"/>
          <w:sz w:val="18"/>
          <w:szCs w:val="18"/>
          <w:lang w:val="sr-Latn-ME"/>
        </w:rPr>
        <w:t xml:space="preserve"> Reakcija na infuziju se definiše kao bilo koji događaj koji je nastupio tokom ili u</w:t>
      </w:r>
      <w:r w:rsidR="004374D1" w:rsidRPr="007403A4">
        <w:rPr>
          <w:rFonts w:ascii="Times New Roman" w:hAnsi="Times New Roman"/>
          <w:sz w:val="18"/>
          <w:szCs w:val="18"/>
          <w:lang w:val="sr-Latn-ME"/>
        </w:rPr>
        <w:t xml:space="preserve"> toku</w:t>
      </w:r>
      <w:r w:rsidRPr="007403A4">
        <w:rPr>
          <w:rFonts w:ascii="Times New Roman" w:hAnsi="Times New Roman"/>
          <w:sz w:val="18"/>
          <w:szCs w:val="18"/>
          <w:lang w:val="sr-Latn-ME"/>
        </w:rPr>
        <w:t xml:space="preserve"> 24 sata od završetka primjene infuzije ispitivanog lijeka za koji je istraživač oc</w:t>
      </w:r>
      <w:r w:rsidR="006F4017" w:rsidRPr="007403A4">
        <w:rPr>
          <w:rFonts w:ascii="Times New Roman" w:hAnsi="Times New Roman"/>
          <w:sz w:val="18"/>
          <w:szCs w:val="18"/>
          <w:lang w:val="sr-Latn-ME"/>
        </w:rPr>
        <w:t>ij</w:t>
      </w:r>
      <w:r w:rsidRPr="007403A4">
        <w:rPr>
          <w:rFonts w:ascii="Times New Roman" w:hAnsi="Times New Roman"/>
          <w:sz w:val="18"/>
          <w:szCs w:val="18"/>
          <w:lang w:val="sr-Latn-ME"/>
        </w:rPr>
        <w:t>enio da je povezan sa bilo kojim sastavnim dijelom terapije.</w:t>
      </w:r>
    </w:p>
    <w:p w14:paraId="47696AE8" w14:textId="57E8A724" w:rsidR="004F24AB" w:rsidRPr="007403A4" w:rsidRDefault="004F24AB" w:rsidP="00C95059">
      <w:pPr>
        <w:pStyle w:val="TabFigNote"/>
        <w:ind w:left="28"/>
        <w:jc w:val="both"/>
        <w:rPr>
          <w:rFonts w:ascii="Times New Roman" w:hAnsi="Times New Roman"/>
          <w:sz w:val="18"/>
          <w:szCs w:val="18"/>
          <w:lang w:val="sr-Latn-ME"/>
        </w:rPr>
      </w:pPr>
      <w:r w:rsidRPr="007403A4">
        <w:rPr>
          <w:rFonts w:ascii="Times New Roman" w:hAnsi="Times New Roman"/>
          <w:sz w:val="18"/>
          <w:szCs w:val="18"/>
          <w:vertAlign w:val="superscript"/>
          <w:lang w:val="sr-Latn-ME"/>
        </w:rPr>
        <w:t>b</w:t>
      </w:r>
      <w:r w:rsidRPr="007403A4">
        <w:rPr>
          <w:rFonts w:ascii="Times New Roman" w:hAnsi="Times New Roman"/>
          <w:sz w:val="18"/>
          <w:szCs w:val="18"/>
          <w:lang w:val="sr-Latn-ME"/>
        </w:rPr>
        <w:t xml:space="preserve"> Ciklus 1 se sastojao od tri infuzije primjenjene standardnom brzinom u sedmičnim intervalima.</w:t>
      </w:r>
    </w:p>
    <w:p w14:paraId="32372EBC" w14:textId="77777777" w:rsidR="004F24AB" w:rsidRPr="007403A4" w:rsidRDefault="004F24AB" w:rsidP="00C95059">
      <w:pPr>
        <w:pStyle w:val="TabFigNote"/>
        <w:ind w:left="28"/>
        <w:jc w:val="both"/>
        <w:rPr>
          <w:rFonts w:ascii="Times New Roman" w:hAnsi="Times New Roman"/>
          <w:sz w:val="18"/>
          <w:szCs w:val="18"/>
          <w:lang w:val="sr-Latn-ME"/>
        </w:rPr>
      </w:pPr>
      <w:r w:rsidRPr="007403A4">
        <w:rPr>
          <w:rFonts w:ascii="Times New Roman" w:hAnsi="Times New Roman"/>
          <w:sz w:val="18"/>
          <w:szCs w:val="18"/>
          <w:vertAlign w:val="superscript"/>
          <w:lang w:val="sr-Latn-ME"/>
        </w:rPr>
        <w:t>c</w:t>
      </w:r>
      <w:r w:rsidRPr="007403A4">
        <w:rPr>
          <w:rFonts w:ascii="Times New Roman" w:hAnsi="Times New Roman"/>
          <w:sz w:val="18"/>
          <w:szCs w:val="18"/>
          <w:lang w:val="sr-Latn-ME"/>
        </w:rPr>
        <w:t xml:space="preserve"> Pacijenti su primali kratkotrajne infuzije od 2. ciklusa nadalje. Imenilac u 2. i daljnjim ciklusima predstavlja broj pacijenata koji su primili kratkotrajnu infuziju u tom ciklusu. </w:t>
      </w:r>
    </w:p>
    <w:p w14:paraId="0A089DB8" w14:textId="38E50F5B" w:rsidR="004F24AB" w:rsidRPr="007403A4" w:rsidRDefault="004F24AB" w:rsidP="00C95059">
      <w:pPr>
        <w:pStyle w:val="TabFigNote"/>
        <w:keepNext w:val="0"/>
        <w:keepLines w:val="0"/>
        <w:spacing w:before="0" w:line="240" w:lineRule="auto"/>
        <w:ind w:left="28"/>
        <w:jc w:val="both"/>
        <w:rPr>
          <w:rFonts w:ascii="Times New Roman" w:hAnsi="Times New Roman"/>
          <w:sz w:val="18"/>
          <w:szCs w:val="18"/>
          <w:lang w:val="sr-Latn-ME"/>
        </w:rPr>
      </w:pPr>
      <w:r w:rsidRPr="007403A4">
        <w:rPr>
          <w:rFonts w:ascii="Times New Roman" w:hAnsi="Times New Roman"/>
          <w:sz w:val="18"/>
          <w:szCs w:val="18"/>
          <w:vertAlign w:val="superscript"/>
          <w:lang w:val="sr-Latn-ME"/>
        </w:rPr>
        <w:t>d</w:t>
      </w:r>
      <w:r w:rsidRPr="007403A4">
        <w:rPr>
          <w:rFonts w:ascii="Times New Roman" w:hAnsi="Times New Roman"/>
          <w:sz w:val="18"/>
          <w:szCs w:val="18"/>
          <w:lang w:val="sr-Latn-ME"/>
        </w:rPr>
        <w:t xml:space="preserve"> Pacijenti l</w:t>
      </w:r>
      <w:r w:rsidR="006F4017" w:rsidRPr="007403A4">
        <w:rPr>
          <w:rFonts w:ascii="Times New Roman" w:hAnsi="Times New Roman"/>
          <w:sz w:val="18"/>
          <w:szCs w:val="18"/>
          <w:lang w:val="sr-Latn-ME"/>
        </w:rPr>
        <w:t>ij</w:t>
      </w:r>
      <w:r w:rsidRPr="007403A4">
        <w:rPr>
          <w:rFonts w:ascii="Times New Roman" w:hAnsi="Times New Roman"/>
          <w:sz w:val="18"/>
          <w:szCs w:val="18"/>
          <w:lang w:val="sr-Latn-ME"/>
        </w:rPr>
        <w:t xml:space="preserve">ečeni bendamustinom 2. dana ciklusa 1. </w:t>
      </w:r>
    </w:p>
    <w:p w14:paraId="468AF704" w14:textId="77777777" w:rsidR="00C95059" w:rsidRPr="007403A4" w:rsidRDefault="00C95059" w:rsidP="00C95059">
      <w:pPr>
        <w:pStyle w:val="TabFigNote"/>
        <w:keepNext w:val="0"/>
        <w:keepLines w:val="0"/>
        <w:spacing w:before="0" w:line="240" w:lineRule="auto"/>
        <w:ind w:left="28"/>
        <w:jc w:val="both"/>
        <w:rPr>
          <w:rFonts w:ascii="Times New Roman" w:hAnsi="Times New Roman"/>
          <w:sz w:val="18"/>
          <w:szCs w:val="18"/>
          <w:lang w:val="sr-Latn-ME"/>
        </w:rPr>
      </w:pPr>
    </w:p>
    <w:p w14:paraId="7C2E5686" w14:textId="7353A544" w:rsidR="00ED7C77" w:rsidRPr="007403A4" w:rsidRDefault="00ED7C77">
      <w:pPr>
        <w:widowControl w:val="0"/>
        <w:spacing w:before="1" w:line="254" w:lineRule="exact"/>
        <w:ind w:right="28"/>
        <w:jc w:val="both"/>
        <w:rPr>
          <w:sz w:val="22"/>
          <w:szCs w:val="22"/>
          <w:lang w:val="sr-Latn-ME"/>
        </w:rPr>
      </w:pPr>
      <w:r w:rsidRPr="007403A4">
        <w:rPr>
          <w:i/>
          <w:sz w:val="22"/>
          <w:szCs w:val="22"/>
          <w:u w:val="single"/>
          <w:lang w:val="sr-Latn-ME"/>
        </w:rPr>
        <w:t>Neutropenija i infekcije</w:t>
      </w:r>
    </w:p>
    <w:p w14:paraId="18BA4639" w14:textId="77777777" w:rsidR="00ED7C77" w:rsidRPr="007403A4" w:rsidRDefault="00ED7C77">
      <w:pPr>
        <w:widowControl w:val="0"/>
        <w:spacing w:before="1" w:line="254" w:lineRule="exact"/>
        <w:ind w:right="28"/>
        <w:jc w:val="both"/>
        <w:rPr>
          <w:i/>
          <w:sz w:val="22"/>
          <w:szCs w:val="22"/>
          <w:lang w:val="sr-Latn-ME"/>
        </w:rPr>
      </w:pPr>
    </w:p>
    <w:p w14:paraId="3D24AFC8"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Hronična limfocitna leukemija</w:t>
      </w:r>
    </w:p>
    <w:p w14:paraId="4378528A" w14:textId="423C3856" w:rsidR="00ED7C77" w:rsidRPr="007403A4" w:rsidRDefault="00ED7C77">
      <w:pPr>
        <w:widowControl w:val="0"/>
        <w:spacing w:before="1" w:line="254" w:lineRule="exact"/>
        <w:ind w:right="28"/>
        <w:jc w:val="both"/>
        <w:rPr>
          <w:sz w:val="22"/>
          <w:szCs w:val="22"/>
          <w:lang w:val="sr-Latn-ME" w:bidi="he-IL"/>
        </w:rPr>
      </w:pPr>
      <w:r w:rsidRPr="007403A4">
        <w:rPr>
          <w:sz w:val="22"/>
          <w:szCs w:val="22"/>
          <w:lang w:val="sr-Latn-ME"/>
        </w:rPr>
        <w:t xml:space="preserve">Učestalost neutropenije bila je veća u grupi liječenoj lijekom Gazyvaro i hlorambucilom (41%) nego u grupi liječenoj rituksimabom i hlorambucilom, a povukla se spontano ili uz primjenu faktora </w:t>
      </w:r>
      <w:r w:rsidR="004374D1" w:rsidRPr="007403A4">
        <w:rPr>
          <w:sz w:val="22"/>
          <w:szCs w:val="22"/>
          <w:lang w:val="sr-Latn-ME"/>
        </w:rPr>
        <w:t>stimulacije</w:t>
      </w:r>
      <w:r w:rsidRPr="007403A4">
        <w:rPr>
          <w:sz w:val="22"/>
          <w:szCs w:val="22"/>
          <w:lang w:val="sr-Latn-ME"/>
        </w:rPr>
        <w:t xml:space="preserve"> rasta kolonija granulocita. Učestalost infekcije iznosila je 38% u grupi liječenoj lijekom Gazyvaro i hlorambucilom te 37% u grupi liječenoj rituksimabom i hlorambucilom (događaji 3</w:t>
      </w:r>
      <w:r w:rsidRPr="007403A4">
        <w:rPr>
          <w:sz w:val="22"/>
          <w:szCs w:val="22"/>
          <w:lang w:val="sr-Latn-ME"/>
        </w:rPr>
        <w:noBreakHyphen/>
        <w:t>5.</w:t>
      </w:r>
      <w:r w:rsidR="004F24AB" w:rsidRPr="007403A4">
        <w:rPr>
          <w:sz w:val="22"/>
          <w:szCs w:val="22"/>
          <w:lang w:val="sr-Latn-ME"/>
        </w:rPr>
        <w:t xml:space="preserve"> stepena </w:t>
      </w:r>
      <w:r w:rsidRPr="007403A4">
        <w:rPr>
          <w:sz w:val="22"/>
          <w:szCs w:val="22"/>
          <w:lang w:val="sr-Latn-ME"/>
        </w:rPr>
        <w:t>prijavljeni su kod 12% pacijenata liječenih lijekom Gazyvaro i hlorambucilom i kod 14% pacijenata koji su primali rituksimab i hlorambucil, a učestalost smrtnih slučajeva u obje liječene grupe je bila manja od 1%). Prijavljeni su i slučajevi dugotrajne neutropenije (2% u grupi liječenoj lijekom Gazyvaro i hlorambucilom te 4% u grupi liječenoj rituksimabom i hlorambucilom) te od</w:t>
      </w:r>
      <w:r w:rsidR="004374D1" w:rsidRPr="007403A4">
        <w:rPr>
          <w:sz w:val="22"/>
          <w:szCs w:val="22"/>
          <w:lang w:val="sr-Latn-ME"/>
        </w:rPr>
        <w:t>ložene</w:t>
      </w:r>
      <w:r w:rsidRPr="007403A4">
        <w:rPr>
          <w:sz w:val="22"/>
          <w:szCs w:val="22"/>
          <w:lang w:val="sr-Latn-ME"/>
        </w:rPr>
        <w:t xml:space="preserve"> neutropenije (16% u grupi liječenoj lijekom Gazyvaro i hlorambucilom te 12% u grupi liječenoj rituksimabom i hlorambucilom) (vidjeti dio 4.4).</w:t>
      </w:r>
    </w:p>
    <w:p w14:paraId="7A034B86" w14:textId="77777777" w:rsidR="00ED7C77" w:rsidRPr="007403A4" w:rsidRDefault="00ED7C77">
      <w:pPr>
        <w:spacing w:before="1" w:line="254" w:lineRule="exact"/>
        <w:ind w:right="28"/>
        <w:jc w:val="both"/>
        <w:rPr>
          <w:szCs w:val="22"/>
          <w:lang w:val="sr-Latn-ME" w:bidi="he-IL"/>
        </w:rPr>
      </w:pPr>
    </w:p>
    <w:p w14:paraId="6B755A40" w14:textId="77777777" w:rsidR="00ED7C77" w:rsidRPr="007403A4" w:rsidRDefault="00ED7C77">
      <w:pPr>
        <w:spacing w:before="1" w:line="254" w:lineRule="exact"/>
        <w:ind w:right="28"/>
        <w:jc w:val="both"/>
        <w:rPr>
          <w:i/>
          <w:sz w:val="22"/>
          <w:szCs w:val="22"/>
          <w:lang w:val="sr-Latn-ME"/>
        </w:rPr>
      </w:pPr>
      <w:r w:rsidRPr="007403A4">
        <w:rPr>
          <w:i/>
          <w:sz w:val="22"/>
          <w:szCs w:val="22"/>
          <w:lang w:val="sr-Latn-ME"/>
        </w:rPr>
        <w:t>Indolentni ne- Hodgkinov limfom, uključujući folikularni limfom</w:t>
      </w:r>
    </w:p>
    <w:p w14:paraId="10142BC9" w14:textId="7204A16D" w:rsidR="00ED7C77" w:rsidRPr="007403A4" w:rsidRDefault="00ED7C77">
      <w:pPr>
        <w:spacing w:before="1" w:line="254" w:lineRule="exact"/>
        <w:ind w:right="28"/>
        <w:jc w:val="both"/>
        <w:rPr>
          <w:sz w:val="22"/>
          <w:szCs w:val="22"/>
          <w:lang w:val="sr-Latn-ME"/>
        </w:rPr>
      </w:pPr>
      <w:r w:rsidRPr="007403A4">
        <w:rPr>
          <w:sz w:val="22"/>
          <w:szCs w:val="22"/>
          <w:lang w:val="sr-Latn-ME"/>
        </w:rPr>
        <w:t>Učestalost neutropenije 1. – 4.</w:t>
      </w:r>
      <w:r w:rsidR="004F24AB" w:rsidRPr="007403A4">
        <w:rPr>
          <w:sz w:val="22"/>
          <w:szCs w:val="22"/>
          <w:lang w:val="sr-Latn-ME"/>
        </w:rPr>
        <w:t xml:space="preserve"> stepena </w:t>
      </w:r>
      <w:r w:rsidRPr="007403A4">
        <w:rPr>
          <w:sz w:val="22"/>
          <w:szCs w:val="22"/>
          <w:lang w:val="sr-Latn-ME"/>
        </w:rPr>
        <w:t xml:space="preserve">bila je veća u grupi liječenoj lijekom Gazyvaro plus hemoterapija </w:t>
      </w:r>
      <w:r w:rsidR="004374D1" w:rsidRPr="007403A4">
        <w:rPr>
          <w:sz w:val="22"/>
          <w:szCs w:val="22"/>
          <w:lang w:val="sr-Latn-ME"/>
        </w:rPr>
        <w:t xml:space="preserve">(50%) </w:t>
      </w:r>
      <w:r w:rsidRPr="007403A4">
        <w:rPr>
          <w:sz w:val="22"/>
          <w:szCs w:val="22"/>
          <w:lang w:val="sr-Latn-ME"/>
        </w:rPr>
        <w:t>nego u</w:t>
      </w:r>
      <w:r w:rsidRPr="007403A4">
        <w:rPr>
          <w:lang w:val="sr-Latn-ME"/>
        </w:rPr>
        <w:t xml:space="preserve"> </w:t>
      </w:r>
      <w:r w:rsidR="004374D1" w:rsidRPr="007403A4">
        <w:rPr>
          <w:sz w:val="22"/>
          <w:szCs w:val="22"/>
          <w:lang w:val="sr-Latn-ME"/>
        </w:rPr>
        <w:t>poredbenoj</w:t>
      </w:r>
      <w:r w:rsidRPr="007403A4">
        <w:rPr>
          <w:sz w:val="22"/>
          <w:szCs w:val="22"/>
          <w:lang w:val="sr-Latn-ME"/>
        </w:rPr>
        <w:t xml:space="preserve"> grupi, uz povećan rizik tokom </w:t>
      </w:r>
      <w:r w:rsidR="004374D1" w:rsidRPr="007403A4">
        <w:rPr>
          <w:sz w:val="22"/>
          <w:szCs w:val="22"/>
          <w:lang w:val="sr-Latn-ME"/>
        </w:rPr>
        <w:t>perioda</w:t>
      </w:r>
      <w:r w:rsidRPr="007403A4">
        <w:rPr>
          <w:sz w:val="22"/>
          <w:szCs w:val="22"/>
          <w:lang w:val="sr-Latn-ME"/>
        </w:rPr>
        <w:t xml:space="preserve"> uvodnog liječenja. Incidenca dugotrajne neutropenije iznosila je 3%, a incidenca od</w:t>
      </w:r>
      <w:r w:rsidR="004374D1" w:rsidRPr="007403A4">
        <w:rPr>
          <w:sz w:val="22"/>
          <w:szCs w:val="22"/>
          <w:lang w:val="sr-Latn-ME"/>
        </w:rPr>
        <w:t>ložene neutropenije</w:t>
      </w:r>
      <w:r w:rsidRPr="007403A4">
        <w:rPr>
          <w:sz w:val="22"/>
          <w:szCs w:val="22"/>
          <w:lang w:val="sr-Latn-ME"/>
        </w:rPr>
        <w:t xml:space="preserve"> </w:t>
      </w:r>
      <w:r w:rsidR="004374D1" w:rsidRPr="007403A4">
        <w:rPr>
          <w:sz w:val="22"/>
          <w:szCs w:val="22"/>
          <w:lang w:val="sr-Latn-ME"/>
        </w:rPr>
        <w:t>8</w:t>
      </w:r>
      <w:r w:rsidRPr="007403A4">
        <w:rPr>
          <w:sz w:val="22"/>
          <w:szCs w:val="22"/>
          <w:lang w:val="sr-Latn-ME"/>
        </w:rPr>
        <w:t xml:space="preserve">%. Učestalost infekcije iznosila je 81% </w:t>
      </w:r>
      <w:r w:rsidRPr="007403A4">
        <w:rPr>
          <w:sz w:val="22"/>
          <w:szCs w:val="22"/>
          <w:lang w:val="sr-Latn-ME"/>
        </w:rPr>
        <w:lastRenderedPageBreak/>
        <w:t>u grupi koja je primala</w:t>
      </w:r>
      <w:r w:rsidR="0000627F" w:rsidRPr="007403A4">
        <w:rPr>
          <w:sz w:val="22"/>
          <w:szCs w:val="22"/>
          <w:lang w:val="sr-Latn-ME"/>
        </w:rPr>
        <w:t xml:space="preserve"> lijek</w:t>
      </w:r>
      <w:r w:rsidRPr="007403A4">
        <w:rPr>
          <w:sz w:val="22"/>
          <w:szCs w:val="22"/>
          <w:lang w:val="sr-Latn-ME"/>
        </w:rPr>
        <w:t xml:space="preserve"> Gazyvaro plus hemoterapiju </w:t>
      </w:r>
      <w:r w:rsidR="0000627F" w:rsidRPr="007403A4">
        <w:rPr>
          <w:sz w:val="22"/>
          <w:szCs w:val="22"/>
          <w:lang w:val="sr-Latn-ME"/>
        </w:rPr>
        <w:t>(</w:t>
      </w:r>
      <w:r w:rsidRPr="007403A4">
        <w:rPr>
          <w:sz w:val="22"/>
          <w:szCs w:val="22"/>
          <w:lang w:val="sr-Latn-ME"/>
        </w:rPr>
        <w:t>događaji 3– 5.</w:t>
      </w:r>
      <w:r w:rsidR="004F24AB" w:rsidRPr="007403A4">
        <w:rPr>
          <w:sz w:val="22"/>
          <w:szCs w:val="22"/>
          <w:lang w:val="sr-Latn-ME"/>
        </w:rPr>
        <w:t xml:space="preserve"> stepena </w:t>
      </w:r>
      <w:r w:rsidRPr="007403A4">
        <w:rPr>
          <w:sz w:val="22"/>
          <w:szCs w:val="22"/>
          <w:lang w:val="sr-Latn-ME"/>
        </w:rPr>
        <w:t>prijavljeni su u 22% pacijenata, a smrtni slučajevi kod 3% pacijenata</w:t>
      </w:r>
      <w:r w:rsidR="0000627F" w:rsidRPr="007403A4">
        <w:rPr>
          <w:sz w:val="22"/>
          <w:szCs w:val="22"/>
          <w:lang w:val="sr-Latn-ME"/>
        </w:rPr>
        <w:t>)</w:t>
      </w:r>
      <w:r w:rsidRPr="007403A4">
        <w:rPr>
          <w:sz w:val="22"/>
          <w:szCs w:val="22"/>
          <w:lang w:val="sr-Latn-ME"/>
        </w:rPr>
        <w:t>. Pacijenti</w:t>
      </w:r>
      <w:r w:rsidR="007A2492" w:rsidRPr="007403A4">
        <w:rPr>
          <w:sz w:val="22"/>
          <w:szCs w:val="22"/>
          <w:lang w:val="sr-Latn-ME"/>
        </w:rPr>
        <w:t xml:space="preserve"> </w:t>
      </w:r>
      <w:r w:rsidRPr="007403A4">
        <w:rPr>
          <w:sz w:val="22"/>
          <w:szCs w:val="22"/>
          <w:lang w:val="sr-Latn-ME"/>
        </w:rPr>
        <w:t>koji su primali G-CSF za profilaksu</w:t>
      </w:r>
      <w:r w:rsidR="007A2492" w:rsidRPr="007403A4">
        <w:rPr>
          <w:sz w:val="22"/>
          <w:szCs w:val="22"/>
          <w:lang w:val="sr-Latn-ME"/>
        </w:rPr>
        <w:t xml:space="preserve"> </w:t>
      </w:r>
      <w:r w:rsidRPr="007403A4">
        <w:rPr>
          <w:sz w:val="22"/>
          <w:szCs w:val="22"/>
          <w:lang w:val="sr-Latn-ME"/>
        </w:rPr>
        <w:t>imali su</w:t>
      </w:r>
      <w:r w:rsidRPr="007403A4">
        <w:rPr>
          <w:lang w:val="sr-Latn-ME"/>
        </w:rPr>
        <w:t xml:space="preserve"> </w:t>
      </w:r>
      <w:r w:rsidRPr="007403A4">
        <w:rPr>
          <w:sz w:val="22"/>
          <w:szCs w:val="22"/>
          <w:lang w:val="sr-Latn-ME"/>
        </w:rPr>
        <w:t>nižu stopu infekcija 3– 5.</w:t>
      </w:r>
      <w:r w:rsidR="004F24AB" w:rsidRPr="007403A4">
        <w:rPr>
          <w:sz w:val="22"/>
          <w:szCs w:val="22"/>
          <w:lang w:val="sr-Latn-ME"/>
        </w:rPr>
        <w:t xml:space="preserve"> stepena </w:t>
      </w:r>
      <w:r w:rsidRPr="007403A4">
        <w:rPr>
          <w:sz w:val="22"/>
          <w:szCs w:val="22"/>
          <w:lang w:val="sr-Latn-ME"/>
        </w:rPr>
        <w:t>(vidjeti dio 4.4) .</w:t>
      </w:r>
    </w:p>
    <w:p w14:paraId="757D9FE2" w14:textId="03ED1577" w:rsidR="004F24AB" w:rsidRPr="007403A4" w:rsidRDefault="004F24AB">
      <w:pPr>
        <w:spacing w:before="1" w:line="254" w:lineRule="exact"/>
        <w:ind w:right="28"/>
        <w:jc w:val="both"/>
        <w:rPr>
          <w:sz w:val="22"/>
          <w:szCs w:val="22"/>
          <w:lang w:val="sr-Latn-ME"/>
        </w:rPr>
      </w:pPr>
    </w:p>
    <w:p w14:paraId="0B66E66A" w14:textId="77777777" w:rsidR="004F24AB" w:rsidRPr="007403A4" w:rsidRDefault="004F24AB" w:rsidP="00C95059">
      <w:pPr>
        <w:keepNext/>
        <w:jc w:val="both"/>
        <w:rPr>
          <w:i/>
          <w:iCs/>
          <w:sz w:val="22"/>
          <w:szCs w:val="22"/>
          <w:lang w:val="sr-Latn-ME"/>
        </w:rPr>
      </w:pPr>
      <w:r w:rsidRPr="007403A4">
        <w:rPr>
          <w:i/>
          <w:iCs/>
          <w:sz w:val="22"/>
          <w:szCs w:val="22"/>
          <w:lang w:val="sr-Latn-ME"/>
        </w:rPr>
        <w:t>Kratkotrajna infuzija kod pacijenata sa folikularnim limfomom</w:t>
      </w:r>
    </w:p>
    <w:p w14:paraId="05A21AB2" w14:textId="77777777" w:rsidR="004F24AB" w:rsidRPr="007403A4" w:rsidRDefault="004F24AB" w:rsidP="00C95059">
      <w:pPr>
        <w:keepNext/>
        <w:jc w:val="both"/>
        <w:rPr>
          <w:sz w:val="22"/>
          <w:szCs w:val="22"/>
          <w:lang w:val="sr-Latn-ME"/>
        </w:rPr>
      </w:pPr>
    </w:p>
    <w:p w14:paraId="36E6DC42" w14:textId="5AF18242" w:rsidR="004F24AB" w:rsidRPr="007403A4" w:rsidRDefault="004F24AB" w:rsidP="00C95059">
      <w:pPr>
        <w:jc w:val="both"/>
        <w:rPr>
          <w:sz w:val="22"/>
          <w:szCs w:val="22"/>
          <w:lang w:val="sr-Latn-ME" w:eastAsia="ko-KR" w:bidi="he-IL"/>
        </w:rPr>
      </w:pPr>
      <w:r w:rsidRPr="007403A4">
        <w:rPr>
          <w:sz w:val="22"/>
          <w:szCs w:val="22"/>
          <w:lang w:val="sr-Latn-ME"/>
        </w:rPr>
        <w:t xml:space="preserve">U studiji MO40597, u kojoj se ocjenjivala </w:t>
      </w:r>
      <w:r w:rsidR="0000627F" w:rsidRPr="007403A4">
        <w:rPr>
          <w:sz w:val="22"/>
          <w:szCs w:val="22"/>
          <w:lang w:val="sr-Latn-ME"/>
        </w:rPr>
        <w:t>bezbjednost</w:t>
      </w:r>
      <w:r w:rsidRPr="007403A4">
        <w:rPr>
          <w:sz w:val="22"/>
          <w:szCs w:val="22"/>
          <w:lang w:val="sr-Latn-ME"/>
        </w:rPr>
        <w:t xml:space="preserve"> primjene kratkotrajnih infuzija, neutropenija je prijavljena kao neželjeni događaj kod većeg udjela pacijenata nego u studiji BO21223, u kojoj su pacijenti primali standardnu infuziju (69/113 [61,1%] naspram 247/595 [41,5%] tokom cijelog </w:t>
      </w:r>
      <w:r w:rsidR="0000627F" w:rsidRPr="007403A4">
        <w:rPr>
          <w:sz w:val="22"/>
          <w:szCs w:val="22"/>
          <w:lang w:val="sr-Latn-ME"/>
        </w:rPr>
        <w:t>uvodnog</w:t>
      </w:r>
      <w:r w:rsidRPr="007403A4">
        <w:rPr>
          <w:sz w:val="22"/>
          <w:szCs w:val="22"/>
          <w:lang w:val="sr-Latn-ME"/>
        </w:rPr>
        <w:t xml:space="preserve"> liječenja). Medijana i raspon vrijednosti broja neutrofila bili su slični u obje studije u svakoj vremenskoj tački. Febrilna neutropenija prijavljena je kod sličnog udjela  pacijenata u studijama MO40597 i BO21223 (6/113 [5,3%] naspram 31/595 [5,2%]). Učestalost prijavljenih infekcija bila je manja u studiji MO40597 nego u studiji BO21223 (45/113 [39,8%] naspram 284/595 [47,7%]).</w:t>
      </w:r>
    </w:p>
    <w:p w14:paraId="70E06C19" w14:textId="77777777" w:rsidR="00ED7C77" w:rsidRPr="007403A4" w:rsidRDefault="00ED7C77" w:rsidP="004D3AD0">
      <w:pPr>
        <w:spacing w:before="1" w:line="254" w:lineRule="exact"/>
        <w:ind w:right="28"/>
        <w:jc w:val="both"/>
        <w:rPr>
          <w:sz w:val="22"/>
          <w:szCs w:val="22"/>
          <w:lang w:val="sr-Latn-ME"/>
        </w:rPr>
      </w:pPr>
      <w:r w:rsidRPr="007403A4">
        <w:rPr>
          <w:sz w:val="22"/>
          <w:szCs w:val="22"/>
          <w:lang w:val="sr-Latn-ME"/>
        </w:rPr>
        <w:t xml:space="preserve"> </w:t>
      </w:r>
    </w:p>
    <w:p w14:paraId="6C9FF01E" w14:textId="77777777" w:rsidR="00ED7C77" w:rsidRPr="007403A4" w:rsidRDefault="00ED7C77">
      <w:pPr>
        <w:widowControl w:val="0"/>
        <w:spacing w:before="1" w:line="254" w:lineRule="exact"/>
        <w:ind w:right="28"/>
        <w:jc w:val="both"/>
        <w:rPr>
          <w:i/>
          <w:sz w:val="22"/>
          <w:szCs w:val="22"/>
          <w:u w:val="single"/>
          <w:lang w:val="sr-Latn-ME"/>
        </w:rPr>
      </w:pPr>
      <w:r w:rsidRPr="007403A4">
        <w:rPr>
          <w:i/>
          <w:sz w:val="22"/>
          <w:szCs w:val="22"/>
          <w:u w:val="single"/>
          <w:lang w:val="sr-Latn-ME"/>
        </w:rPr>
        <w:t>Trombocitopenija i događaji krvarenja</w:t>
      </w:r>
    </w:p>
    <w:p w14:paraId="4ECBA49C" w14:textId="77777777" w:rsidR="00ED7C77" w:rsidRPr="007403A4" w:rsidRDefault="00ED7C77">
      <w:pPr>
        <w:widowControl w:val="0"/>
        <w:spacing w:before="1" w:line="254" w:lineRule="exact"/>
        <w:ind w:right="28"/>
        <w:jc w:val="both"/>
        <w:rPr>
          <w:i/>
          <w:sz w:val="22"/>
          <w:szCs w:val="22"/>
          <w:lang w:val="sr-Latn-ME"/>
        </w:rPr>
      </w:pPr>
    </w:p>
    <w:p w14:paraId="7576DC4B"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Hronična limfocitna leukemija</w:t>
      </w:r>
    </w:p>
    <w:p w14:paraId="6BEE3177" w14:textId="5034590C"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Učestalost trombocitopenije bila je viša u grupi liječenoj lijekom Gazyvaro i hlorambucilom (16%) nego u onoj liječenoj rituksimabom i hlorambucilom (7%), naročito tokom prvog ciklusa. Akutna trombocitopenija (koja se razvila u roku od 24 sata nakon infuzije lijeka Gazyvaro) javila se kod četiri posto pacijenata liječenih lijekom Gazyvaro i hlorambucilom (vidjeti dio 4.4). Ukupna učestalost događaja krvarenja bila je slična u grupi liječenoj lijekom Gazyvaro i u grupi liječenoj rituksimabom. Broj događaja smrtonosnih krvarenja bio je podjednak u obje liječene grupe; međutim, svi događaji zabilježeni kod pacijenata liječenih lijekom Gazyvaro prijavljeni su u 1. ciklusu. Ni</w:t>
      </w:r>
      <w:r w:rsidR="0000627F" w:rsidRPr="007403A4">
        <w:rPr>
          <w:sz w:val="22"/>
          <w:szCs w:val="22"/>
          <w:lang w:val="sr-Latn-ME"/>
        </w:rPr>
        <w:t>je</w:t>
      </w:r>
      <w:r w:rsidRPr="007403A4">
        <w:rPr>
          <w:sz w:val="22"/>
          <w:szCs w:val="22"/>
          <w:lang w:val="sr-Latn-ME"/>
        </w:rPr>
        <w:t xml:space="preserve">su zabelježeni slučajevi trombocitopenije 5. stepena. Nije utvrđena jasna povezanost trombocitopenije i događaja krvarenja. </w:t>
      </w:r>
    </w:p>
    <w:p w14:paraId="2BEC84C3" w14:textId="77777777" w:rsidR="00ED7C77" w:rsidRPr="007403A4" w:rsidRDefault="00ED7C77">
      <w:pPr>
        <w:widowControl w:val="0"/>
        <w:spacing w:before="1" w:line="254" w:lineRule="exact"/>
        <w:ind w:right="28"/>
        <w:jc w:val="both"/>
        <w:rPr>
          <w:sz w:val="22"/>
          <w:szCs w:val="22"/>
          <w:lang w:val="sr-Latn-ME"/>
        </w:rPr>
      </w:pPr>
    </w:p>
    <w:p w14:paraId="2BAE0149"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Indolentni ne-Hodgkinov limfom, uključujući folikularni limfom</w:t>
      </w:r>
    </w:p>
    <w:p w14:paraId="4D741C32" w14:textId="6CC9A413"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Učestalost trombocitopenije inosila je 1</w:t>
      </w:r>
      <w:r w:rsidR="0000627F" w:rsidRPr="007403A4">
        <w:rPr>
          <w:sz w:val="22"/>
          <w:szCs w:val="22"/>
          <w:lang w:val="sr-Latn-ME"/>
        </w:rPr>
        <w:t>5</w:t>
      </w:r>
      <w:r w:rsidRPr="007403A4">
        <w:rPr>
          <w:sz w:val="22"/>
          <w:szCs w:val="22"/>
          <w:lang w:val="sr-Latn-ME"/>
        </w:rPr>
        <w:t>%. Trombocitopenija se češće javljala u 1. ciklusu u grupi liječenoj lijekom Gazyvaro plus hemoterapijom. Trombocitopenija koja je nastupila tokom infuzije ili u roku od 24 sata od nje</w:t>
      </w:r>
      <w:r w:rsidR="0000627F" w:rsidRPr="007403A4">
        <w:rPr>
          <w:sz w:val="22"/>
          <w:szCs w:val="22"/>
          <w:lang w:val="sr-Latn-ME"/>
        </w:rPr>
        <w:t>nog</w:t>
      </w:r>
      <w:r w:rsidRPr="007403A4">
        <w:rPr>
          <w:sz w:val="22"/>
          <w:szCs w:val="22"/>
          <w:lang w:val="sr-Latn-ME"/>
        </w:rPr>
        <w:t xml:space="preserve"> završetka (akutna trombocitopenija) češće je primijećena kod pacijenata u grupi liječenoj lijekom Gazyvaro plus hemoterapijom nego u </w:t>
      </w:r>
      <w:r w:rsidR="0000627F" w:rsidRPr="007403A4">
        <w:rPr>
          <w:sz w:val="22"/>
          <w:szCs w:val="22"/>
          <w:lang w:val="sr-Latn-ME"/>
        </w:rPr>
        <w:t>poredbenoj</w:t>
      </w:r>
      <w:r w:rsidRPr="007403A4">
        <w:rPr>
          <w:sz w:val="22"/>
          <w:szCs w:val="22"/>
          <w:lang w:val="sr-Latn-ME"/>
        </w:rPr>
        <w:t xml:space="preserve"> grupi.</w:t>
      </w:r>
      <w:r w:rsidR="007A2492" w:rsidRPr="007403A4">
        <w:rPr>
          <w:sz w:val="22"/>
          <w:szCs w:val="22"/>
          <w:lang w:val="sr-Latn-ME"/>
        </w:rPr>
        <w:t xml:space="preserve"> </w:t>
      </w:r>
      <w:r w:rsidRPr="007403A4">
        <w:rPr>
          <w:sz w:val="22"/>
          <w:szCs w:val="22"/>
          <w:lang w:val="sr-Latn-ME"/>
        </w:rPr>
        <w:t>Učestalost događaja krvarenja bila je slična u svim liječenim grupama. Događaji krvarenja javili su se kod 12% pacijenata, a događaji krvarenja 3 – 5.</w:t>
      </w:r>
      <w:r w:rsidR="004F24AB" w:rsidRPr="007403A4">
        <w:rPr>
          <w:sz w:val="22"/>
          <w:szCs w:val="22"/>
          <w:lang w:val="sr-Latn-ME"/>
        </w:rPr>
        <w:t xml:space="preserve"> stepena </w:t>
      </w:r>
      <w:r w:rsidRPr="007403A4">
        <w:rPr>
          <w:sz w:val="22"/>
          <w:szCs w:val="22"/>
          <w:lang w:val="sr-Latn-ME"/>
        </w:rPr>
        <w:t xml:space="preserve">kod </w:t>
      </w:r>
      <w:r w:rsidR="0000627F" w:rsidRPr="007403A4">
        <w:rPr>
          <w:sz w:val="22"/>
          <w:szCs w:val="22"/>
          <w:lang w:val="sr-Latn-ME"/>
        </w:rPr>
        <w:t>4</w:t>
      </w:r>
      <w:r w:rsidRPr="007403A4">
        <w:rPr>
          <w:sz w:val="22"/>
          <w:szCs w:val="22"/>
          <w:lang w:val="sr-Latn-ME"/>
        </w:rPr>
        <w:t>% pacijenata. Događaji krvarenja sa smrtnim ishodom nastupili su kod manje od 1% pacijenata, a ni jedan od neželjenih događaja sa smrtnim ishodom</w:t>
      </w:r>
      <w:r w:rsidR="007A2492" w:rsidRPr="007403A4">
        <w:rPr>
          <w:sz w:val="22"/>
          <w:szCs w:val="22"/>
          <w:lang w:val="sr-Latn-ME"/>
        </w:rPr>
        <w:t xml:space="preserve"> nije zabilježen u 1. ciklusu.</w:t>
      </w:r>
    </w:p>
    <w:p w14:paraId="366CE65C" w14:textId="723FE052" w:rsidR="004F24AB" w:rsidRPr="007403A4" w:rsidRDefault="004F24AB">
      <w:pPr>
        <w:widowControl w:val="0"/>
        <w:spacing w:before="1" w:line="254" w:lineRule="exact"/>
        <w:ind w:right="28"/>
        <w:jc w:val="both"/>
        <w:rPr>
          <w:sz w:val="22"/>
          <w:szCs w:val="22"/>
          <w:lang w:val="sr-Latn-ME"/>
        </w:rPr>
      </w:pPr>
    </w:p>
    <w:p w14:paraId="4180F121" w14:textId="77777777" w:rsidR="004F24AB" w:rsidRPr="007403A4" w:rsidRDefault="004F24AB" w:rsidP="00C95059">
      <w:pPr>
        <w:keepNext/>
        <w:jc w:val="both"/>
        <w:rPr>
          <w:i/>
          <w:iCs/>
          <w:sz w:val="22"/>
          <w:szCs w:val="22"/>
          <w:lang w:val="sr-Latn-ME"/>
        </w:rPr>
      </w:pPr>
      <w:r w:rsidRPr="007403A4">
        <w:rPr>
          <w:i/>
          <w:iCs/>
          <w:sz w:val="22"/>
          <w:szCs w:val="22"/>
          <w:lang w:val="sr-Latn-ME"/>
        </w:rPr>
        <w:t>Kratkotrajna infuzija kod pacijenata sa folikularnim limfomom</w:t>
      </w:r>
    </w:p>
    <w:p w14:paraId="0AAF6186" w14:textId="77777777" w:rsidR="004F24AB" w:rsidRPr="007403A4" w:rsidRDefault="004F24AB" w:rsidP="00C95059">
      <w:pPr>
        <w:keepNext/>
        <w:jc w:val="both"/>
        <w:rPr>
          <w:sz w:val="22"/>
          <w:szCs w:val="22"/>
          <w:lang w:val="sr-Latn-ME"/>
        </w:rPr>
      </w:pPr>
    </w:p>
    <w:p w14:paraId="053CFFB1" w14:textId="4378F225" w:rsidR="004F24AB" w:rsidRPr="007403A4" w:rsidRDefault="004F24AB" w:rsidP="00C95059">
      <w:pPr>
        <w:jc w:val="both"/>
        <w:rPr>
          <w:sz w:val="22"/>
          <w:szCs w:val="22"/>
          <w:lang w:val="sr-Latn-ME"/>
        </w:rPr>
      </w:pPr>
      <w:r w:rsidRPr="007403A4">
        <w:rPr>
          <w:sz w:val="22"/>
          <w:szCs w:val="22"/>
          <w:lang w:val="sr-Latn-ME"/>
        </w:rPr>
        <w:t xml:space="preserve">U studiji MO40597, u kojoj se ocjenjivala bezbjednost primjene kratkotrajnih infuzija, trombocitopenija je prijavljena kao neželjeni događaj kod većeg broja </w:t>
      </w:r>
      <w:r w:rsidR="00E23070" w:rsidRPr="007403A4">
        <w:rPr>
          <w:sz w:val="22"/>
          <w:szCs w:val="22"/>
          <w:lang w:val="sr-Latn-ME"/>
        </w:rPr>
        <w:t>pacijenata</w:t>
      </w:r>
      <w:r w:rsidRPr="007403A4">
        <w:rPr>
          <w:sz w:val="22"/>
          <w:szCs w:val="22"/>
          <w:lang w:val="sr-Latn-ME"/>
        </w:rPr>
        <w:t xml:space="preserve"> nego u studiji BO21223, u kojoj su pacijenti primali standardnu infuziju (21/113 [28,6%] naspram 63/595 [10,6%] tokom </w:t>
      </w:r>
      <w:r w:rsidR="0000627F" w:rsidRPr="007403A4">
        <w:rPr>
          <w:sz w:val="22"/>
          <w:szCs w:val="22"/>
          <w:lang w:val="sr-Latn-ME"/>
        </w:rPr>
        <w:t>uvodne</w:t>
      </w:r>
      <w:r w:rsidRPr="007403A4">
        <w:rPr>
          <w:sz w:val="22"/>
          <w:szCs w:val="22"/>
          <w:lang w:val="sr-Latn-ME"/>
        </w:rPr>
        <w:t xml:space="preserve"> terapije). Medijana i raspon vr</w:t>
      </w:r>
      <w:r w:rsidR="006F4017" w:rsidRPr="007403A4">
        <w:rPr>
          <w:sz w:val="22"/>
          <w:szCs w:val="22"/>
          <w:lang w:val="sr-Latn-ME"/>
        </w:rPr>
        <w:t>ij</w:t>
      </w:r>
      <w:r w:rsidRPr="007403A4">
        <w:rPr>
          <w:sz w:val="22"/>
          <w:szCs w:val="22"/>
          <w:lang w:val="sr-Latn-ME"/>
        </w:rPr>
        <w:t>ednosti broja trombocita bili su slični u obje studije u svakoj vremenskoj tački. Nijedan događaj trombocitopenije prijavljen u studiji MO40597 nije bio povezan sa krvarenjem.</w:t>
      </w:r>
    </w:p>
    <w:p w14:paraId="7A6A795C" w14:textId="77777777" w:rsidR="00ED7C77" w:rsidRPr="007403A4" w:rsidRDefault="00ED7C77" w:rsidP="004D3AD0">
      <w:pPr>
        <w:widowControl w:val="0"/>
        <w:spacing w:before="1" w:line="254" w:lineRule="exact"/>
        <w:ind w:right="28"/>
        <w:jc w:val="both"/>
        <w:rPr>
          <w:sz w:val="22"/>
          <w:szCs w:val="22"/>
          <w:lang w:val="sr-Latn-ME"/>
        </w:rPr>
      </w:pPr>
    </w:p>
    <w:p w14:paraId="61BEBE66" w14:textId="77777777" w:rsidR="00ED7C77" w:rsidRPr="007403A4" w:rsidRDefault="00ED7C77" w:rsidP="004D3AD0">
      <w:pPr>
        <w:widowControl w:val="0"/>
        <w:spacing w:before="1" w:line="254" w:lineRule="exact"/>
        <w:ind w:right="28"/>
        <w:jc w:val="both"/>
        <w:rPr>
          <w:sz w:val="22"/>
          <w:szCs w:val="22"/>
          <w:u w:val="single"/>
          <w:lang w:val="sr-Latn-ME"/>
        </w:rPr>
      </w:pPr>
      <w:r w:rsidRPr="007403A4">
        <w:rPr>
          <w:sz w:val="22"/>
          <w:szCs w:val="22"/>
          <w:u w:val="single"/>
          <w:lang w:val="sr-Latn-ME"/>
        </w:rPr>
        <w:t>Posebne populacije</w:t>
      </w:r>
    </w:p>
    <w:p w14:paraId="6D9B322F"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 xml:space="preserve"> </w:t>
      </w:r>
    </w:p>
    <w:p w14:paraId="75E11AD3" w14:textId="77777777" w:rsidR="00ED7C77" w:rsidRPr="007403A4" w:rsidRDefault="00ED7C77">
      <w:pPr>
        <w:widowControl w:val="0"/>
        <w:spacing w:before="1" w:line="254" w:lineRule="exact"/>
        <w:ind w:right="28"/>
        <w:jc w:val="both"/>
        <w:rPr>
          <w:i/>
          <w:sz w:val="22"/>
          <w:szCs w:val="22"/>
          <w:u w:val="single"/>
          <w:lang w:val="sr-Latn-ME"/>
        </w:rPr>
      </w:pPr>
      <w:r w:rsidRPr="007403A4">
        <w:rPr>
          <w:i/>
          <w:sz w:val="22"/>
          <w:szCs w:val="22"/>
          <w:u w:val="single"/>
          <w:lang w:val="sr-Latn-ME"/>
        </w:rPr>
        <w:t>Starije osobe</w:t>
      </w:r>
    </w:p>
    <w:p w14:paraId="57CF0444" w14:textId="77777777" w:rsidR="00ED7C77" w:rsidRPr="007403A4" w:rsidRDefault="00ED7C77">
      <w:pPr>
        <w:widowControl w:val="0"/>
        <w:spacing w:before="1" w:line="254" w:lineRule="exact"/>
        <w:ind w:right="28"/>
        <w:jc w:val="both"/>
        <w:rPr>
          <w:i/>
          <w:sz w:val="22"/>
          <w:szCs w:val="22"/>
          <w:lang w:val="sr-Latn-ME"/>
        </w:rPr>
      </w:pPr>
    </w:p>
    <w:p w14:paraId="3BE38908"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Hronična limfocitna leukemija</w:t>
      </w:r>
    </w:p>
    <w:p w14:paraId="230CDA10" w14:textId="11EE435F"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 xml:space="preserve">U ključnoj studiji je BO21004/CLL11, 46% (156 od 336) pacijenata sa HLL liječenih lijekom Gazyvaro i hlorambucilom bilo starosti od 75 ili više godina (medijana starosti iznosila je 74 godine). Kod tih pacijenata su se ozbiljniji neželjeni događaji i neželjeni događaji sa smrtnim ishodom javljali češće nego kod pacijenata mlađih od 75 godina. </w:t>
      </w:r>
    </w:p>
    <w:p w14:paraId="3F166FB4"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 xml:space="preserve">  </w:t>
      </w:r>
    </w:p>
    <w:p w14:paraId="5AC828B3"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Indolentni ne Hodgkinov limfom, uključujući folikularni limfom</w:t>
      </w:r>
    </w:p>
    <w:p w14:paraId="4BCE52D6"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 xml:space="preserve">U ključnim studijama kod iNHL- a (BO21223/GALLIUM, GAO4753g/GADOLIN), ozbiljna neželjena </w:t>
      </w:r>
      <w:r w:rsidRPr="007403A4">
        <w:rPr>
          <w:sz w:val="22"/>
          <w:szCs w:val="22"/>
          <w:lang w:val="sr-Latn-ME"/>
        </w:rPr>
        <w:lastRenderedPageBreak/>
        <w:t>dejstva i neželjena dejstva koja su dovela do prekida liječenja ili smrti češće su se javljala kod pacijenata starosti od 65 ili više godina nego kod onih mlađih od 65 godina.</w:t>
      </w:r>
    </w:p>
    <w:p w14:paraId="454CC697" w14:textId="77777777" w:rsidR="00ED7C77" w:rsidRPr="007403A4" w:rsidRDefault="00ED7C77">
      <w:pPr>
        <w:widowControl w:val="0"/>
        <w:spacing w:before="1" w:line="254" w:lineRule="exact"/>
        <w:ind w:right="28"/>
        <w:jc w:val="both"/>
        <w:rPr>
          <w:sz w:val="22"/>
          <w:szCs w:val="22"/>
          <w:lang w:val="sr-Latn-ME"/>
        </w:rPr>
      </w:pPr>
    </w:p>
    <w:p w14:paraId="2D6B6972" w14:textId="77777777" w:rsidR="00ED7C77" w:rsidRPr="007403A4" w:rsidRDefault="00ED7C77">
      <w:pPr>
        <w:widowControl w:val="0"/>
        <w:spacing w:before="1" w:line="254" w:lineRule="exact"/>
        <w:ind w:right="28"/>
        <w:jc w:val="both"/>
        <w:rPr>
          <w:i/>
          <w:sz w:val="22"/>
          <w:szCs w:val="22"/>
          <w:u w:val="single"/>
          <w:lang w:val="sr-Latn-ME"/>
        </w:rPr>
      </w:pPr>
      <w:r w:rsidRPr="007403A4">
        <w:rPr>
          <w:i/>
          <w:sz w:val="22"/>
          <w:szCs w:val="22"/>
          <w:u w:val="single"/>
          <w:lang w:val="sr-Latn-ME"/>
        </w:rPr>
        <w:t>Oštećenje funkcije bubrega</w:t>
      </w:r>
    </w:p>
    <w:p w14:paraId="0CB9050C" w14:textId="77777777" w:rsidR="00ED7C77" w:rsidRPr="007403A4" w:rsidRDefault="00ED7C77">
      <w:pPr>
        <w:widowControl w:val="0"/>
        <w:spacing w:before="1" w:line="254" w:lineRule="exact"/>
        <w:ind w:right="28"/>
        <w:jc w:val="both"/>
        <w:rPr>
          <w:i/>
          <w:sz w:val="22"/>
          <w:szCs w:val="22"/>
          <w:lang w:val="sr-Latn-ME"/>
        </w:rPr>
      </w:pPr>
    </w:p>
    <w:p w14:paraId="31034D8A"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 xml:space="preserve">Hronična limfocitna leukemija  </w:t>
      </w:r>
    </w:p>
    <w:p w14:paraId="66C2791A" w14:textId="3A9A96BF"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U ključnoj studiji BO21004/CLL11 je 27% (90 od 336) pacijenata liječenih lijekom Gazyvaro i hlorambucilom imalo je umjereno oštećenje funkcije bubrega (CrCl &lt; 50 ml/min). Kod tih pacijenata su se ozbiljniji neželjeni događaji i neželjeni događaji sa smrtnim ishodom javljali češće nego kod pacijenata koji su imali CrCl ≥ 50 ml/min (vidjeti djelove 4.2, 4.4 i 5.2). Pacijenti koji su imali CrCl &lt; 30 ml/min ni</w:t>
      </w:r>
      <w:r w:rsidR="009648EB" w:rsidRPr="007403A4">
        <w:rPr>
          <w:sz w:val="22"/>
          <w:szCs w:val="22"/>
          <w:lang w:val="sr-Latn-ME"/>
        </w:rPr>
        <w:t>je</w:t>
      </w:r>
      <w:r w:rsidRPr="007403A4">
        <w:rPr>
          <w:sz w:val="22"/>
          <w:szCs w:val="22"/>
          <w:lang w:val="sr-Latn-ME"/>
        </w:rPr>
        <w:t xml:space="preserve">su bili uključeni u studiju (vidjeti dio 5.1). </w:t>
      </w:r>
    </w:p>
    <w:p w14:paraId="4DACCFB5" w14:textId="77777777" w:rsidR="00ED7C77" w:rsidRPr="007403A4" w:rsidRDefault="00ED7C77">
      <w:pPr>
        <w:widowControl w:val="0"/>
        <w:spacing w:before="1" w:line="254" w:lineRule="exact"/>
        <w:ind w:right="28"/>
        <w:jc w:val="both"/>
        <w:rPr>
          <w:i/>
          <w:sz w:val="22"/>
          <w:szCs w:val="22"/>
          <w:lang w:val="sr-Latn-ME"/>
        </w:rPr>
      </w:pPr>
    </w:p>
    <w:p w14:paraId="79A936DB"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 xml:space="preserve">Indolentni ne Hodgkinov limfom, uključujući folikularni limfom </w:t>
      </w:r>
    </w:p>
    <w:p w14:paraId="6BAA632C" w14:textId="54E8FCA0"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U ključnim studijama kod iNHL</w:t>
      </w:r>
      <w:r w:rsidR="009648EB" w:rsidRPr="007403A4">
        <w:rPr>
          <w:sz w:val="22"/>
          <w:szCs w:val="22"/>
          <w:lang w:val="sr-Latn-ME"/>
        </w:rPr>
        <w:t>,</w:t>
      </w:r>
      <w:r w:rsidRPr="007403A4">
        <w:rPr>
          <w:sz w:val="22"/>
          <w:szCs w:val="22"/>
          <w:lang w:val="sr-Latn-ME"/>
        </w:rPr>
        <w:t xml:space="preserve"> (BO21223/GALLIUM, GAO4753g/GADOLIN), 5% (35/698) odnosno  </w:t>
      </w:r>
      <w:r w:rsidR="009E1769" w:rsidRPr="007403A4">
        <w:rPr>
          <w:sz w:val="22"/>
          <w:szCs w:val="22"/>
          <w:lang w:val="sr-Latn-ME"/>
        </w:rPr>
        <w:t>7</w:t>
      </w:r>
      <w:r w:rsidRPr="007403A4">
        <w:rPr>
          <w:sz w:val="22"/>
          <w:szCs w:val="22"/>
          <w:lang w:val="sr-Latn-ME"/>
        </w:rPr>
        <w:t>% (</w:t>
      </w:r>
      <w:r w:rsidR="009E1769" w:rsidRPr="007403A4">
        <w:rPr>
          <w:sz w:val="22"/>
          <w:szCs w:val="22"/>
          <w:lang w:val="sr-Latn-ME"/>
        </w:rPr>
        <w:t>14</w:t>
      </w:r>
      <w:r w:rsidRPr="007403A4">
        <w:rPr>
          <w:sz w:val="22"/>
          <w:szCs w:val="22"/>
          <w:lang w:val="sr-Latn-ME"/>
        </w:rPr>
        <w:t>/</w:t>
      </w:r>
      <w:r w:rsidR="009E1769" w:rsidRPr="007403A4">
        <w:rPr>
          <w:sz w:val="22"/>
          <w:szCs w:val="22"/>
          <w:lang w:val="sr-Latn-ME"/>
        </w:rPr>
        <w:t>204</w:t>
      </w:r>
      <w:r w:rsidRPr="007403A4">
        <w:rPr>
          <w:sz w:val="22"/>
          <w:szCs w:val="22"/>
          <w:lang w:val="sr-Latn-ME"/>
        </w:rPr>
        <w:t>) pacijenata liječenih lijekom Gazyvaro imala je umjereno oštećenje funkcije bubrega (CrCl &lt; 50 ml/min). Kod tih pacijenata javljal</w:t>
      </w:r>
      <w:r w:rsidR="009648EB" w:rsidRPr="007403A4">
        <w:rPr>
          <w:sz w:val="22"/>
          <w:szCs w:val="22"/>
          <w:lang w:val="sr-Latn-ME"/>
        </w:rPr>
        <w:t>a</w:t>
      </w:r>
      <w:r w:rsidRPr="007403A4">
        <w:rPr>
          <w:sz w:val="22"/>
          <w:szCs w:val="22"/>
          <w:lang w:val="sr-Latn-ME"/>
        </w:rPr>
        <w:t xml:space="preserve"> su se ozbiljnija neželjena dejstva, neželjena dejstva </w:t>
      </w:r>
      <w:r w:rsidR="009E1769" w:rsidRPr="007403A4">
        <w:rPr>
          <w:sz w:val="22"/>
          <w:szCs w:val="22"/>
          <w:lang w:val="sr-Latn-ME"/>
        </w:rPr>
        <w:t>(</w:t>
      </w:r>
      <w:r w:rsidR="00F213C5" w:rsidRPr="007403A4">
        <w:rPr>
          <w:sz w:val="22"/>
          <w:szCs w:val="22"/>
          <w:lang w:val="sr-Latn-ME"/>
        </w:rPr>
        <w:t>stepen</w:t>
      </w:r>
      <w:r w:rsidR="009E1769" w:rsidRPr="007403A4">
        <w:rPr>
          <w:sz w:val="22"/>
          <w:szCs w:val="22"/>
          <w:lang w:val="sr-Latn-ME"/>
        </w:rPr>
        <w:t xml:space="preserve"> 3 do 5) </w:t>
      </w:r>
      <w:r w:rsidRPr="007403A4">
        <w:rPr>
          <w:sz w:val="22"/>
          <w:szCs w:val="22"/>
          <w:lang w:val="sr-Latn-ME"/>
        </w:rPr>
        <w:t xml:space="preserve">i neželjena dejstva koja su dovela do prekida liječenja </w:t>
      </w:r>
      <w:r w:rsidR="009E1769" w:rsidRPr="007403A4">
        <w:rPr>
          <w:szCs w:val="22"/>
          <w:lang w:val="sr-Latn-ME" w:eastAsia="ko-KR" w:bidi="he-IL"/>
        </w:rPr>
        <w:t xml:space="preserve">(pacijenti samo u studiji BO21223), </w:t>
      </w:r>
      <w:r w:rsidRPr="007403A4">
        <w:rPr>
          <w:sz w:val="22"/>
          <w:szCs w:val="22"/>
          <w:lang w:val="sr-Latn-ME"/>
        </w:rPr>
        <w:t>češće nego kod pacijenata koji su imali CrCl ≥ 50 ml/min (vidjeti djelove 4.2 i 5.2). Pacijenti koji su imali CrCl &lt; 40 ml/min nijesu bili uključeni u studije (vidjeti dio 5.1).</w:t>
      </w:r>
    </w:p>
    <w:p w14:paraId="02AB7351" w14:textId="77777777" w:rsidR="00ED7C77" w:rsidRPr="007403A4" w:rsidRDefault="00ED7C77">
      <w:pPr>
        <w:widowControl w:val="0"/>
        <w:spacing w:before="1" w:line="254" w:lineRule="exact"/>
        <w:ind w:right="28"/>
        <w:jc w:val="both"/>
        <w:rPr>
          <w:sz w:val="22"/>
          <w:szCs w:val="22"/>
          <w:lang w:val="sr-Latn-ME"/>
        </w:rPr>
      </w:pPr>
    </w:p>
    <w:p w14:paraId="0673A64C" w14:textId="77777777" w:rsidR="00ED7C77" w:rsidRPr="007403A4" w:rsidRDefault="00ED7C77">
      <w:pPr>
        <w:widowControl w:val="0"/>
        <w:spacing w:before="1" w:line="254" w:lineRule="exact"/>
        <w:ind w:right="28"/>
        <w:jc w:val="both"/>
        <w:rPr>
          <w:i/>
          <w:sz w:val="22"/>
          <w:szCs w:val="22"/>
          <w:u w:val="single"/>
          <w:lang w:val="sr-Latn-ME"/>
        </w:rPr>
      </w:pPr>
      <w:r w:rsidRPr="007403A4">
        <w:rPr>
          <w:i/>
          <w:sz w:val="22"/>
          <w:szCs w:val="22"/>
          <w:u w:val="single"/>
          <w:lang w:val="sr-Latn-ME"/>
        </w:rPr>
        <w:t>Dodatne informacije o bezbjednosti iz kliničkih studija</w:t>
      </w:r>
    </w:p>
    <w:p w14:paraId="19C3D105" w14:textId="77777777" w:rsidR="00ED7C77" w:rsidRPr="007403A4" w:rsidRDefault="00ED7C77">
      <w:pPr>
        <w:widowControl w:val="0"/>
        <w:spacing w:before="1" w:line="254" w:lineRule="exact"/>
        <w:ind w:right="28"/>
        <w:jc w:val="both"/>
        <w:rPr>
          <w:sz w:val="22"/>
          <w:szCs w:val="22"/>
          <w:lang w:val="sr-Latn-ME"/>
        </w:rPr>
      </w:pPr>
    </w:p>
    <w:p w14:paraId="08367C6D"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Pogoršanje postojećih bolesti srca</w:t>
      </w:r>
    </w:p>
    <w:p w14:paraId="2D50205F" w14:textId="005272A0"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Tokom liječenja lijekom Gazyvaro zabilježeni su slučajevi aritmija (poput fibrilacije pretkomora i tahiaritmije), angine pektoris, akutnog koronarnog sindroma, infarkta miokarda te insuficijencija srca (vidjeti dio 4.4). Ti događaji se mogu pojaviti kao dio reakcije na infuziju i mogu biti smrtonosni.</w:t>
      </w:r>
    </w:p>
    <w:p w14:paraId="75F6A013" w14:textId="77777777" w:rsidR="00ED7C77" w:rsidRPr="007403A4" w:rsidRDefault="00ED7C77">
      <w:pPr>
        <w:widowControl w:val="0"/>
        <w:spacing w:before="1" w:line="254" w:lineRule="exact"/>
        <w:ind w:right="28"/>
        <w:jc w:val="both"/>
        <w:rPr>
          <w:i/>
          <w:sz w:val="22"/>
          <w:szCs w:val="22"/>
          <w:lang w:val="sr-Latn-ME"/>
        </w:rPr>
      </w:pPr>
    </w:p>
    <w:p w14:paraId="1167FAD5" w14:textId="77777777" w:rsidR="00ED7C77" w:rsidRPr="007403A4" w:rsidRDefault="00ED7C77">
      <w:pPr>
        <w:widowControl w:val="0"/>
        <w:spacing w:before="1" w:line="254" w:lineRule="exact"/>
        <w:ind w:right="28"/>
        <w:jc w:val="both"/>
        <w:rPr>
          <w:i/>
          <w:sz w:val="22"/>
          <w:szCs w:val="22"/>
          <w:lang w:val="sr-Latn-ME"/>
        </w:rPr>
      </w:pPr>
      <w:r w:rsidRPr="007403A4">
        <w:rPr>
          <w:i/>
          <w:sz w:val="22"/>
          <w:szCs w:val="22"/>
          <w:lang w:val="sr-Latn-ME"/>
        </w:rPr>
        <w:t>Odstupanja u laboratorijskim analizama</w:t>
      </w:r>
    </w:p>
    <w:p w14:paraId="5D0E6FA8" w14:textId="76041D24"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 xml:space="preserve">Ubrzo nakon prve infuzije lijeka Gazyvaro primijećeno je prolazno povišenje vrijednosti enzima jetre (aspartat aminotransferaze [AST], alanin aminotransferaze [ALT] i alkalne fosfataze). </w:t>
      </w:r>
    </w:p>
    <w:p w14:paraId="257B3993" w14:textId="77777777" w:rsidR="00ED7C77" w:rsidRPr="007403A4" w:rsidRDefault="00ED7C77">
      <w:pPr>
        <w:tabs>
          <w:tab w:val="left" w:pos="540"/>
          <w:tab w:val="left" w:pos="569"/>
        </w:tabs>
        <w:ind w:right="28"/>
        <w:jc w:val="both"/>
        <w:rPr>
          <w:b/>
          <w:bCs/>
          <w:sz w:val="22"/>
          <w:szCs w:val="22"/>
          <w:lang w:val="sr-Latn-ME"/>
        </w:rPr>
      </w:pPr>
    </w:p>
    <w:p w14:paraId="6AC14023" w14:textId="77777777" w:rsidR="00F92CF1" w:rsidRPr="007403A4" w:rsidRDefault="00F92CF1" w:rsidP="00C95059">
      <w:pPr>
        <w:spacing w:after="200" w:line="276" w:lineRule="auto"/>
        <w:jc w:val="both"/>
        <w:rPr>
          <w:rFonts w:eastAsia="Calibri"/>
          <w:sz w:val="22"/>
          <w:szCs w:val="22"/>
          <w:u w:val="single"/>
          <w:lang w:val="sr-Latn-ME"/>
        </w:rPr>
      </w:pPr>
      <w:r w:rsidRPr="007403A4">
        <w:rPr>
          <w:rFonts w:eastAsia="Calibri"/>
          <w:sz w:val="22"/>
          <w:szCs w:val="22"/>
          <w:u w:val="single"/>
          <w:lang w:val="sr-Latn-ME"/>
        </w:rPr>
        <w:t>Prijavljivanje sumnji na neželjena dejstva</w:t>
      </w:r>
    </w:p>
    <w:p w14:paraId="12C679FA" w14:textId="77777777" w:rsidR="00F92CF1" w:rsidRPr="007403A4" w:rsidRDefault="00F92CF1" w:rsidP="004D3AD0">
      <w:pPr>
        <w:spacing w:after="200"/>
        <w:jc w:val="both"/>
        <w:rPr>
          <w:rFonts w:eastAsia="Calibri"/>
          <w:sz w:val="22"/>
          <w:szCs w:val="22"/>
          <w:lang w:val="sr-Latn-ME"/>
        </w:rPr>
      </w:pPr>
      <w:r w:rsidRPr="007403A4">
        <w:rPr>
          <w:rFonts w:eastAsia="Calibri"/>
          <w:sz w:val="22"/>
          <w:szCs w:val="22"/>
          <w:lang w:val="sr-Latn-ME"/>
        </w:rPr>
        <w:t>Prijavljivanje neželjenih dejstava nakon dobijanja dozvole je od velikog značaja jer obezbjeđuje kontinuirano praćenje odnosa korist/rizik primjene lijeka. Zdravstveni radnici treba da prijave svaku sumnju na neželjeno dejstvo ovog lijeka Institutu za ljekove i medicinska sredstva (CInMED):</w:t>
      </w:r>
    </w:p>
    <w:p w14:paraId="63421794" w14:textId="77777777" w:rsidR="00F92CF1" w:rsidRPr="007403A4" w:rsidRDefault="00F92CF1" w:rsidP="004D3AD0">
      <w:pPr>
        <w:pStyle w:val="NoSpacing"/>
        <w:jc w:val="both"/>
        <w:rPr>
          <w:rFonts w:eastAsia="Calibri"/>
          <w:sz w:val="22"/>
          <w:szCs w:val="22"/>
          <w:lang w:val="sr-Latn-ME"/>
        </w:rPr>
      </w:pPr>
      <w:r w:rsidRPr="007403A4">
        <w:rPr>
          <w:rFonts w:eastAsia="Calibri"/>
          <w:sz w:val="22"/>
          <w:szCs w:val="22"/>
          <w:lang w:val="sr-Latn-ME"/>
        </w:rPr>
        <w:t xml:space="preserve">Institut za ljekove i medicinska sredstva </w:t>
      </w:r>
    </w:p>
    <w:p w14:paraId="798F6599" w14:textId="77777777" w:rsidR="00F92CF1" w:rsidRPr="007403A4" w:rsidRDefault="00F92CF1">
      <w:pPr>
        <w:pStyle w:val="NoSpacing"/>
        <w:jc w:val="both"/>
        <w:rPr>
          <w:rFonts w:eastAsia="Calibri"/>
          <w:sz w:val="22"/>
          <w:szCs w:val="22"/>
          <w:lang w:val="sr-Latn-ME"/>
        </w:rPr>
      </w:pPr>
      <w:r w:rsidRPr="007403A4">
        <w:rPr>
          <w:rFonts w:eastAsia="Calibri"/>
          <w:sz w:val="22"/>
          <w:szCs w:val="22"/>
          <w:lang w:val="sr-Latn-ME"/>
        </w:rPr>
        <w:t>Odjeljenje za farmakovigilancu</w:t>
      </w:r>
    </w:p>
    <w:p w14:paraId="0D39A0D0" w14:textId="77777777" w:rsidR="00F92CF1" w:rsidRPr="007403A4" w:rsidRDefault="00F92CF1">
      <w:pPr>
        <w:pStyle w:val="NoSpacing"/>
        <w:jc w:val="both"/>
        <w:rPr>
          <w:rFonts w:eastAsia="Calibri"/>
          <w:sz w:val="22"/>
          <w:szCs w:val="22"/>
          <w:lang w:val="sr-Latn-ME"/>
        </w:rPr>
      </w:pPr>
      <w:r w:rsidRPr="007403A4">
        <w:rPr>
          <w:rFonts w:eastAsia="Calibri"/>
          <w:sz w:val="22"/>
          <w:szCs w:val="22"/>
          <w:lang w:val="sr-Latn-ME"/>
        </w:rPr>
        <w:t>Bulevar Ivana Crnojevića 64a, 81000 Podgorica</w:t>
      </w:r>
    </w:p>
    <w:p w14:paraId="76DAF359" w14:textId="77777777" w:rsidR="00F92CF1" w:rsidRPr="007403A4" w:rsidRDefault="00F92CF1" w:rsidP="00C95059">
      <w:pPr>
        <w:pStyle w:val="NoSpacing"/>
        <w:jc w:val="both"/>
        <w:rPr>
          <w:rFonts w:eastAsia="Calibri"/>
          <w:sz w:val="22"/>
          <w:szCs w:val="22"/>
          <w:lang w:val="sr-Latn-ME"/>
        </w:rPr>
      </w:pPr>
    </w:p>
    <w:p w14:paraId="48B6887B" w14:textId="77777777" w:rsidR="00F92CF1" w:rsidRPr="007403A4" w:rsidRDefault="00F92CF1" w:rsidP="004D3AD0">
      <w:pPr>
        <w:pStyle w:val="NoSpacing"/>
        <w:jc w:val="both"/>
        <w:rPr>
          <w:rFonts w:eastAsia="Calibri"/>
          <w:sz w:val="22"/>
          <w:szCs w:val="22"/>
          <w:lang w:val="sr-Latn-ME"/>
        </w:rPr>
      </w:pPr>
      <w:r w:rsidRPr="007403A4">
        <w:rPr>
          <w:rFonts w:eastAsia="Calibri"/>
          <w:sz w:val="22"/>
          <w:szCs w:val="22"/>
          <w:lang w:val="sr-Latn-ME"/>
        </w:rPr>
        <w:t>tel: +382 (0) 20 310 280</w:t>
      </w:r>
    </w:p>
    <w:p w14:paraId="1D9EA6EF" w14:textId="77777777" w:rsidR="00F92CF1" w:rsidRPr="007403A4" w:rsidRDefault="00F92CF1" w:rsidP="004D3AD0">
      <w:pPr>
        <w:pStyle w:val="NoSpacing"/>
        <w:jc w:val="both"/>
        <w:rPr>
          <w:rFonts w:eastAsia="Calibri"/>
          <w:sz w:val="22"/>
          <w:szCs w:val="22"/>
          <w:lang w:val="sr-Latn-ME"/>
        </w:rPr>
      </w:pPr>
      <w:r w:rsidRPr="007403A4">
        <w:rPr>
          <w:rFonts w:eastAsia="Calibri"/>
          <w:sz w:val="22"/>
          <w:szCs w:val="22"/>
          <w:lang w:val="sr-Latn-ME"/>
        </w:rPr>
        <w:t>fax: +382 (0) 20 310 581</w:t>
      </w:r>
    </w:p>
    <w:p w14:paraId="6A76E6E7" w14:textId="77777777" w:rsidR="00F92CF1" w:rsidRPr="007403A4" w:rsidRDefault="00F04C8A" w:rsidP="004D3AD0">
      <w:pPr>
        <w:pStyle w:val="NoSpacing"/>
        <w:jc w:val="both"/>
        <w:rPr>
          <w:rFonts w:eastAsia="Calibri"/>
          <w:sz w:val="22"/>
          <w:szCs w:val="22"/>
          <w:lang w:val="sr-Latn-ME"/>
        </w:rPr>
      </w:pPr>
      <w:hyperlink r:id="rId8" w:history="1">
        <w:r w:rsidR="00F92CF1" w:rsidRPr="007403A4">
          <w:rPr>
            <w:rStyle w:val="Hyperlink"/>
            <w:rFonts w:eastAsia="Calibri"/>
            <w:sz w:val="22"/>
            <w:szCs w:val="22"/>
            <w:lang w:val="sr-Latn-ME"/>
          </w:rPr>
          <w:t>www.cinmed.me</w:t>
        </w:r>
      </w:hyperlink>
    </w:p>
    <w:p w14:paraId="6E852214" w14:textId="77777777" w:rsidR="00F92CF1" w:rsidRPr="007403A4" w:rsidRDefault="00F04C8A" w:rsidP="004D3AD0">
      <w:pPr>
        <w:pStyle w:val="NoSpacing"/>
        <w:jc w:val="both"/>
        <w:rPr>
          <w:rFonts w:eastAsia="Calibri"/>
          <w:color w:val="0000FF"/>
          <w:sz w:val="22"/>
          <w:szCs w:val="22"/>
          <w:u w:val="single"/>
          <w:lang w:val="sr-Latn-ME"/>
        </w:rPr>
      </w:pPr>
      <w:hyperlink r:id="rId9" w:history="1">
        <w:r w:rsidR="00F92CF1" w:rsidRPr="007403A4">
          <w:rPr>
            <w:rStyle w:val="Hyperlink"/>
            <w:rFonts w:eastAsia="Calibri"/>
            <w:sz w:val="22"/>
            <w:szCs w:val="22"/>
            <w:lang w:val="sr-Latn-ME"/>
          </w:rPr>
          <w:t>nezeljenadejstva@cinmed.me</w:t>
        </w:r>
      </w:hyperlink>
    </w:p>
    <w:p w14:paraId="04794444" w14:textId="4751ED57" w:rsidR="00F92CF1" w:rsidRPr="007403A4" w:rsidRDefault="00F92CF1">
      <w:pPr>
        <w:pStyle w:val="NoSpacing"/>
        <w:jc w:val="both"/>
        <w:rPr>
          <w:rFonts w:eastAsia="Calibri"/>
          <w:sz w:val="22"/>
          <w:szCs w:val="22"/>
          <w:lang w:val="sr-Latn-ME"/>
        </w:rPr>
      </w:pPr>
      <w:r w:rsidRPr="007403A4">
        <w:rPr>
          <w:rFonts w:eastAsia="Calibri"/>
          <w:sz w:val="22"/>
          <w:szCs w:val="22"/>
          <w:lang w:val="sr-Latn-ME"/>
        </w:rPr>
        <w:t>putem IS zdravstvene zaštite</w:t>
      </w:r>
    </w:p>
    <w:p w14:paraId="45C1A601" w14:textId="77777777" w:rsidR="009F4E32" w:rsidRPr="007403A4" w:rsidRDefault="009F4E32" w:rsidP="009F4E32">
      <w:pPr>
        <w:pStyle w:val="NoSpacing"/>
        <w:jc w:val="both"/>
        <w:rPr>
          <w:rFonts w:eastAsia="Calibri"/>
          <w:sz w:val="22"/>
          <w:szCs w:val="22"/>
          <w:lang w:val="sr-Latn-ME"/>
        </w:rPr>
      </w:pPr>
      <w:r w:rsidRPr="007403A4">
        <w:rPr>
          <w:rFonts w:eastAsia="Calibri"/>
          <w:sz w:val="22"/>
          <w:szCs w:val="22"/>
          <w:lang w:val="sr-Latn-ME"/>
        </w:rPr>
        <w:t>QR kod za online prijavu sumnje na neželjeno dejstvo lijeka:</w:t>
      </w:r>
    </w:p>
    <w:p w14:paraId="2D0AFCF8" w14:textId="64538CA3" w:rsidR="009F4E32" w:rsidRPr="007403A4" w:rsidRDefault="009F4E32">
      <w:pPr>
        <w:pStyle w:val="NoSpacing"/>
        <w:jc w:val="both"/>
        <w:rPr>
          <w:rFonts w:eastAsia="Calibri"/>
          <w:sz w:val="22"/>
          <w:szCs w:val="22"/>
          <w:lang w:val="sr-Latn-ME"/>
        </w:rPr>
      </w:pPr>
    </w:p>
    <w:p w14:paraId="74473376" w14:textId="15D1E6E2" w:rsidR="009F4E32" w:rsidRPr="007403A4" w:rsidRDefault="002B55B5">
      <w:pPr>
        <w:pStyle w:val="NoSpacing"/>
        <w:jc w:val="both"/>
        <w:rPr>
          <w:rFonts w:eastAsia="Calibri"/>
          <w:sz w:val="22"/>
          <w:szCs w:val="22"/>
          <w:lang w:val="sr-Latn-ME"/>
        </w:rPr>
      </w:pPr>
      <w:r w:rsidRPr="007403A4">
        <w:rPr>
          <w:rFonts w:eastAsia="Calibri"/>
          <w:sz w:val="22"/>
          <w:szCs w:val="22"/>
          <w:lang w:val="sr-Latn-ME"/>
        </w:rPr>
        <w:t xml:space="preserve"> </w:t>
      </w:r>
      <w:r w:rsidRPr="007403A4">
        <w:rPr>
          <w:b/>
          <w:bCs/>
          <w:noProof/>
          <w:sz w:val="22"/>
          <w:szCs w:val="22"/>
          <w:lang w:val="sr-Latn-ME"/>
        </w:rPr>
        <w:drawing>
          <wp:inline distT="0" distB="0" distL="0" distR="0" wp14:anchorId="6621CE89" wp14:editId="39FD3F67">
            <wp:extent cx="980796" cy="972000"/>
            <wp:effectExtent l="0" t="0" r="0" b="0"/>
            <wp:docPr id="10" name="Picture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l="10118" t="9757" r="9299" b="10383"/>
                    <a:stretch/>
                  </pic:blipFill>
                  <pic:spPr bwMode="auto">
                    <a:xfrm>
                      <a:off x="0" y="0"/>
                      <a:ext cx="980796" cy="972000"/>
                    </a:xfrm>
                    <a:prstGeom prst="rect">
                      <a:avLst/>
                    </a:prstGeom>
                    <a:ln>
                      <a:noFill/>
                    </a:ln>
                    <a:extLst>
                      <a:ext uri="{53640926-AAD7-44D8-BBD7-CCE9431645EC}">
                        <a14:shadowObscured xmlns:a14="http://schemas.microsoft.com/office/drawing/2010/main"/>
                      </a:ext>
                    </a:extLst>
                  </pic:spPr>
                </pic:pic>
              </a:graphicData>
            </a:graphic>
          </wp:inline>
        </w:drawing>
      </w:r>
    </w:p>
    <w:p w14:paraId="3B3CBF39" w14:textId="742AC77E" w:rsidR="00C95059" w:rsidRPr="007403A4" w:rsidRDefault="00C95059">
      <w:pPr>
        <w:tabs>
          <w:tab w:val="left" w:pos="540"/>
          <w:tab w:val="left" w:pos="569"/>
        </w:tabs>
        <w:ind w:right="28"/>
        <w:jc w:val="both"/>
        <w:rPr>
          <w:b/>
          <w:bCs/>
          <w:sz w:val="22"/>
          <w:szCs w:val="22"/>
          <w:lang w:val="sr-Latn-ME"/>
        </w:rPr>
      </w:pPr>
    </w:p>
    <w:p w14:paraId="28342988" w14:textId="4E5E9767" w:rsidR="007403A4" w:rsidRPr="007403A4" w:rsidRDefault="007403A4">
      <w:pPr>
        <w:tabs>
          <w:tab w:val="left" w:pos="540"/>
          <w:tab w:val="left" w:pos="569"/>
        </w:tabs>
        <w:ind w:right="28"/>
        <w:jc w:val="both"/>
        <w:rPr>
          <w:b/>
          <w:bCs/>
          <w:sz w:val="22"/>
          <w:szCs w:val="22"/>
          <w:lang w:val="sr-Latn-ME"/>
        </w:rPr>
      </w:pPr>
    </w:p>
    <w:p w14:paraId="1DE327E4" w14:textId="77777777" w:rsidR="007403A4" w:rsidRPr="007403A4" w:rsidRDefault="007403A4">
      <w:pPr>
        <w:tabs>
          <w:tab w:val="left" w:pos="540"/>
          <w:tab w:val="left" w:pos="569"/>
        </w:tabs>
        <w:ind w:right="28"/>
        <w:jc w:val="both"/>
        <w:rPr>
          <w:b/>
          <w:bCs/>
          <w:sz w:val="22"/>
          <w:szCs w:val="22"/>
          <w:lang w:val="sr-Latn-ME"/>
        </w:rPr>
      </w:pPr>
    </w:p>
    <w:p w14:paraId="08AC686F" w14:textId="77777777" w:rsidR="00CD6F02" w:rsidRPr="007403A4" w:rsidRDefault="0072020E">
      <w:pPr>
        <w:tabs>
          <w:tab w:val="left" w:pos="540"/>
          <w:tab w:val="left" w:pos="569"/>
        </w:tabs>
        <w:ind w:right="28"/>
        <w:jc w:val="both"/>
        <w:rPr>
          <w:b/>
          <w:bCs/>
          <w:sz w:val="22"/>
          <w:szCs w:val="22"/>
          <w:lang w:val="sr-Latn-ME"/>
        </w:rPr>
      </w:pPr>
      <w:r w:rsidRPr="007403A4">
        <w:rPr>
          <w:b/>
          <w:bCs/>
          <w:sz w:val="22"/>
          <w:szCs w:val="22"/>
          <w:lang w:val="sr-Latn-ME"/>
        </w:rPr>
        <w:lastRenderedPageBreak/>
        <w:t xml:space="preserve">4.9. </w:t>
      </w:r>
      <w:r w:rsidR="00480FB1" w:rsidRPr="007403A4">
        <w:rPr>
          <w:b/>
          <w:bCs/>
          <w:sz w:val="22"/>
          <w:szCs w:val="22"/>
          <w:lang w:val="sr-Latn-ME"/>
        </w:rPr>
        <w:tab/>
      </w:r>
      <w:r w:rsidRPr="007403A4">
        <w:rPr>
          <w:b/>
          <w:bCs/>
          <w:sz w:val="22"/>
          <w:szCs w:val="22"/>
          <w:lang w:val="sr-Latn-ME"/>
        </w:rPr>
        <w:t>Predoziranje</w:t>
      </w:r>
      <w:r w:rsidR="002846DB" w:rsidRPr="007403A4">
        <w:rPr>
          <w:b/>
          <w:bCs/>
          <w:sz w:val="22"/>
          <w:szCs w:val="22"/>
          <w:lang w:val="sr-Latn-ME"/>
        </w:rPr>
        <w:t xml:space="preserve"> </w:t>
      </w:r>
    </w:p>
    <w:p w14:paraId="592F2764" w14:textId="77777777" w:rsidR="00ED7C77" w:rsidRPr="007403A4" w:rsidRDefault="00ED7C77">
      <w:pPr>
        <w:tabs>
          <w:tab w:val="left" w:pos="540"/>
          <w:tab w:val="left" w:pos="569"/>
        </w:tabs>
        <w:ind w:right="28"/>
        <w:jc w:val="both"/>
        <w:rPr>
          <w:b/>
          <w:bCs/>
          <w:sz w:val="22"/>
          <w:szCs w:val="22"/>
          <w:lang w:val="sr-Latn-ME"/>
        </w:rPr>
      </w:pPr>
    </w:p>
    <w:p w14:paraId="01070298" w14:textId="2BF3B68F" w:rsidR="00ED7C77" w:rsidRPr="007403A4" w:rsidRDefault="00ED7C77">
      <w:pPr>
        <w:spacing w:before="1" w:line="254" w:lineRule="exact"/>
        <w:ind w:right="28"/>
        <w:jc w:val="both"/>
        <w:rPr>
          <w:sz w:val="22"/>
          <w:szCs w:val="22"/>
          <w:lang w:val="sr-Latn-ME"/>
        </w:rPr>
      </w:pPr>
      <w:r w:rsidRPr="007403A4">
        <w:rPr>
          <w:sz w:val="22"/>
          <w:szCs w:val="22"/>
          <w:lang w:val="sr-Latn-ME"/>
        </w:rPr>
        <w:t>Nema iskustva sa predoziranjem iz kliničkih studija sa ljudima. U kliničkim studijama lijeka Gazyvaro primjenjivane su doze u rasponu od 50 mg do, i uključujući, 2000 mg po infuziji. Učestalost i intenzitet neželjenih dejstava prijavljenih u tim studijama ni</w:t>
      </w:r>
      <w:r w:rsidR="009648EB" w:rsidRPr="007403A4">
        <w:rPr>
          <w:sz w:val="22"/>
          <w:szCs w:val="22"/>
          <w:lang w:val="sr-Latn-ME"/>
        </w:rPr>
        <w:t>je</w:t>
      </w:r>
      <w:r w:rsidRPr="007403A4">
        <w:rPr>
          <w:sz w:val="22"/>
          <w:szCs w:val="22"/>
          <w:lang w:val="sr-Latn-ME"/>
        </w:rPr>
        <w:t>su bili zavisni od doze.</w:t>
      </w:r>
    </w:p>
    <w:p w14:paraId="04FB3DD7"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 xml:space="preserve"> </w:t>
      </w:r>
    </w:p>
    <w:p w14:paraId="3580128F" w14:textId="6E5CC1B8" w:rsidR="00CD6F02" w:rsidRPr="007403A4" w:rsidRDefault="00ED7C77">
      <w:pPr>
        <w:spacing w:before="1" w:line="254" w:lineRule="exact"/>
        <w:ind w:right="28"/>
        <w:jc w:val="both"/>
        <w:rPr>
          <w:sz w:val="22"/>
          <w:szCs w:val="22"/>
          <w:lang w:val="sr-Latn-ME"/>
        </w:rPr>
      </w:pPr>
      <w:r w:rsidRPr="007403A4">
        <w:rPr>
          <w:sz w:val="22"/>
          <w:szCs w:val="22"/>
          <w:lang w:val="sr-Latn-ME"/>
        </w:rPr>
        <w:t>Kod pacijenata kod kojih dođe do predoziranja potrebno je odmah prekinuti infuziju ili smanjiti njenu brzinu te ih je potrebno pažljivo nad</w:t>
      </w:r>
      <w:r w:rsidR="009648EB" w:rsidRPr="007403A4">
        <w:rPr>
          <w:sz w:val="22"/>
          <w:szCs w:val="22"/>
          <w:lang w:val="sr-Latn-ME"/>
        </w:rPr>
        <w:t>gledati</w:t>
      </w:r>
      <w:r w:rsidRPr="007403A4">
        <w:rPr>
          <w:sz w:val="22"/>
          <w:szCs w:val="22"/>
          <w:lang w:val="sr-Latn-ME"/>
        </w:rPr>
        <w:t xml:space="preserve">. Treba razmotriti potrebu za redovnom kontrolom krvne slike i </w:t>
      </w:r>
      <w:r w:rsidR="009648EB" w:rsidRPr="007403A4">
        <w:rPr>
          <w:sz w:val="22"/>
          <w:szCs w:val="22"/>
          <w:lang w:val="sr-Latn-ME"/>
        </w:rPr>
        <w:t>praćenjem</w:t>
      </w:r>
      <w:r w:rsidRPr="007403A4">
        <w:rPr>
          <w:sz w:val="22"/>
          <w:szCs w:val="22"/>
          <w:lang w:val="sr-Latn-ME"/>
        </w:rPr>
        <w:t xml:space="preserve"> zbog povećanog rizika od infekcije tokom perioda u kom pacijenti imaju depleciju B ćelija.</w:t>
      </w:r>
    </w:p>
    <w:p w14:paraId="0D54D8CB" w14:textId="3B293013" w:rsidR="00227BDB" w:rsidRPr="007403A4" w:rsidRDefault="00227BDB">
      <w:pPr>
        <w:tabs>
          <w:tab w:val="left" w:pos="540"/>
          <w:tab w:val="left" w:pos="569"/>
        </w:tabs>
        <w:ind w:right="28"/>
        <w:jc w:val="both"/>
        <w:rPr>
          <w:b/>
          <w:bCs/>
          <w:sz w:val="22"/>
          <w:szCs w:val="22"/>
          <w:lang w:val="sr-Latn-ME"/>
        </w:rPr>
      </w:pPr>
    </w:p>
    <w:p w14:paraId="362616AE" w14:textId="77777777" w:rsidR="007403A4" w:rsidRPr="007403A4" w:rsidRDefault="007403A4">
      <w:pPr>
        <w:tabs>
          <w:tab w:val="left" w:pos="540"/>
          <w:tab w:val="left" w:pos="569"/>
        </w:tabs>
        <w:ind w:right="28"/>
        <w:jc w:val="both"/>
        <w:rPr>
          <w:b/>
          <w:bCs/>
          <w:sz w:val="22"/>
          <w:szCs w:val="22"/>
          <w:lang w:val="sr-Latn-ME"/>
        </w:rPr>
      </w:pPr>
    </w:p>
    <w:p w14:paraId="0B0D99FF"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5. </w:t>
      </w:r>
      <w:r w:rsidR="00480FB1" w:rsidRPr="007403A4">
        <w:rPr>
          <w:b/>
          <w:bCs/>
          <w:sz w:val="22"/>
          <w:szCs w:val="22"/>
          <w:lang w:val="sr-Latn-ME"/>
        </w:rPr>
        <w:tab/>
      </w:r>
      <w:r w:rsidRPr="007403A4">
        <w:rPr>
          <w:b/>
          <w:bCs/>
          <w:sz w:val="22"/>
          <w:szCs w:val="22"/>
          <w:lang w:val="sr-Latn-ME"/>
        </w:rPr>
        <w:t>FARMAKOLOŠK</w:t>
      </w:r>
      <w:r w:rsidR="000D425A" w:rsidRPr="007403A4">
        <w:rPr>
          <w:b/>
          <w:bCs/>
          <w:sz w:val="22"/>
          <w:szCs w:val="22"/>
          <w:lang w:val="sr-Latn-ME"/>
        </w:rPr>
        <w:t>I</w:t>
      </w:r>
      <w:r w:rsidRPr="007403A4">
        <w:rPr>
          <w:b/>
          <w:bCs/>
          <w:sz w:val="22"/>
          <w:szCs w:val="22"/>
          <w:lang w:val="sr-Latn-ME"/>
        </w:rPr>
        <w:t xml:space="preserve"> PODACI</w:t>
      </w:r>
    </w:p>
    <w:p w14:paraId="23D99299" w14:textId="77777777" w:rsidR="0072020E" w:rsidRPr="007403A4" w:rsidRDefault="0072020E">
      <w:pPr>
        <w:tabs>
          <w:tab w:val="left" w:pos="540"/>
          <w:tab w:val="left" w:pos="569"/>
        </w:tabs>
        <w:ind w:right="28"/>
        <w:jc w:val="both"/>
        <w:rPr>
          <w:b/>
          <w:bCs/>
          <w:sz w:val="22"/>
          <w:szCs w:val="22"/>
          <w:lang w:val="sr-Latn-ME"/>
        </w:rPr>
      </w:pPr>
    </w:p>
    <w:p w14:paraId="6CD9AB94"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5.1. </w:t>
      </w:r>
      <w:r w:rsidR="00480FB1" w:rsidRPr="007403A4">
        <w:rPr>
          <w:b/>
          <w:bCs/>
          <w:sz w:val="22"/>
          <w:szCs w:val="22"/>
          <w:lang w:val="sr-Latn-ME"/>
        </w:rPr>
        <w:tab/>
      </w:r>
      <w:r w:rsidRPr="007403A4">
        <w:rPr>
          <w:b/>
          <w:bCs/>
          <w:sz w:val="22"/>
          <w:szCs w:val="22"/>
          <w:lang w:val="sr-Latn-ME"/>
        </w:rPr>
        <w:t>Farmakodinamski podaci</w:t>
      </w:r>
      <w:r w:rsidR="003A7059" w:rsidRPr="007403A4">
        <w:rPr>
          <w:b/>
          <w:bCs/>
          <w:sz w:val="22"/>
          <w:szCs w:val="22"/>
          <w:lang w:val="sr-Latn-ME"/>
        </w:rPr>
        <w:t xml:space="preserve"> </w:t>
      </w:r>
    </w:p>
    <w:p w14:paraId="75984F36" w14:textId="77777777" w:rsidR="00F45F77" w:rsidRPr="007403A4" w:rsidRDefault="00F45F77">
      <w:pPr>
        <w:tabs>
          <w:tab w:val="left" w:pos="540"/>
          <w:tab w:val="left" w:pos="569"/>
        </w:tabs>
        <w:ind w:right="28"/>
        <w:jc w:val="both"/>
        <w:rPr>
          <w:b/>
          <w:bCs/>
          <w:sz w:val="22"/>
          <w:szCs w:val="22"/>
          <w:lang w:val="sr-Latn-ME"/>
        </w:rPr>
      </w:pPr>
    </w:p>
    <w:p w14:paraId="6F23D3F5" w14:textId="77777777" w:rsidR="0072020E" w:rsidRPr="007403A4" w:rsidRDefault="0072020E">
      <w:pPr>
        <w:tabs>
          <w:tab w:val="left" w:pos="540"/>
          <w:tab w:val="left" w:pos="569"/>
        </w:tabs>
        <w:ind w:right="28"/>
        <w:jc w:val="both"/>
        <w:rPr>
          <w:bCs/>
          <w:sz w:val="22"/>
          <w:szCs w:val="22"/>
          <w:lang w:val="sr-Latn-ME"/>
        </w:rPr>
      </w:pPr>
      <w:r w:rsidRPr="007403A4">
        <w:rPr>
          <w:bCs/>
          <w:sz w:val="22"/>
          <w:szCs w:val="22"/>
          <w:lang w:val="sr-Latn-ME"/>
        </w:rPr>
        <w:t>Farmakoterapijska grupa:</w:t>
      </w:r>
      <w:r w:rsidR="00ED7C77" w:rsidRPr="007403A4">
        <w:rPr>
          <w:sz w:val="22"/>
          <w:szCs w:val="22"/>
          <w:lang w:val="sr-Latn-ME"/>
        </w:rPr>
        <w:t xml:space="preserve"> </w:t>
      </w:r>
      <w:r w:rsidR="00ED7C77" w:rsidRPr="007403A4">
        <w:rPr>
          <w:bCs/>
          <w:sz w:val="22"/>
          <w:szCs w:val="22"/>
          <w:lang w:val="sr-Latn-ME"/>
        </w:rPr>
        <w:t>Antineoplastična sredstva, monoklonska antitijela</w:t>
      </w:r>
    </w:p>
    <w:p w14:paraId="4C875C42" w14:textId="77777777" w:rsidR="0072020E" w:rsidRPr="007403A4" w:rsidRDefault="0072020E">
      <w:pPr>
        <w:tabs>
          <w:tab w:val="left" w:pos="540"/>
          <w:tab w:val="left" w:pos="569"/>
        </w:tabs>
        <w:ind w:right="28"/>
        <w:jc w:val="both"/>
        <w:rPr>
          <w:bCs/>
          <w:sz w:val="22"/>
          <w:szCs w:val="22"/>
          <w:lang w:val="sr-Latn-ME"/>
        </w:rPr>
      </w:pPr>
    </w:p>
    <w:p w14:paraId="7FEB2C5C" w14:textId="2E0507E4" w:rsidR="0072020E" w:rsidRPr="007403A4" w:rsidRDefault="0072020E">
      <w:pPr>
        <w:tabs>
          <w:tab w:val="left" w:pos="540"/>
          <w:tab w:val="left" w:pos="569"/>
        </w:tabs>
        <w:ind w:right="28"/>
        <w:jc w:val="both"/>
        <w:rPr>
          <w:bCs/>
          <w:sz w:val="22"/>
          <w:szCs w:val="22"/>
          <w:lang w:val="sr-Latn-ME"/>
        </w:rPr>
      </w:pPr>
      <w:r w:rsidRPr="007403A4">
        <w:rPr>
          <w:bCs/>
          <w:sz w:val="22"/>
          <w:szCs w:val="22"/>
          <w:lang w:val="sr-Latn-ME"/>
        </w:rPr>
        <w:t>ATC kod:</w:t>
      </w:r>
      <w:r w:rsidR="00ED7C77" w:rsidRPr="007403A4">
        <w:rPr>
          <w:sz w:val="22"/>
          <w:szCs w:val="22"/>
          <w:lang w:val="sr-Latn-ME"/>
        </w:rPr>
        <w:t xml:space="preserve"> </w:t>
      </w:r>
      <w:r w:rsidR="00DC0C7B" w:rsidRPr="007403A4">
        <w:rPr>
          <w:bCs/>
          <w:sz w:val="22"/>
          <w:szCs w:val="22"/>
          <w:lang w:val="sr-Latn-ME"/>
        </w:rPr>
        <w:t>L01FA03</w:t>
      </w:r>
    </w:p>
    <w:p w14:paraId="7C11C432" w14:textId="77777777" w:rsidR="002E37A5" w:rsidRPr="007403A4" w:rsidRDefault="002E37A5">
      <w:pPr>
        <w:tabs>
          <w:tab w:val="left" w:pos="540"/>
          <w:tab w:val="left" w:pos="569"/>
        </w:tabs>
        <w:ind w:right="28"/>
        <w:jc w:val="both"/>
        <w:rPr>
          <w:b/>
          <w:bCs/>
          <w:sz w:val="22"/>
          <w:szCs w:val="22"/>
          <w:lang w:val="sr-Latn-ME"/>
        </w:rPr>
      </w:pPr>
    </w:p>
    <w:p w14:paraId="50A0BF41" w14:textId="77777777" w:rsidR="00ED7C77" w:rsidRPr="007403A4" w:rsidRDefault="00ED7C77">
      <w:pPr>
        <w:spacing w:before="1" w:line="254" w:lineRule="exact"/>
        <w:ind w:right="28"/>
        <w:jc w:val="both"/>
        <w:rPr>
          <w:sz w:val="22"/>
          <w:szCs w:val="22"/>
          <w:u w:val="single"/>
          <w:lang w:val="sr-Latn-ME" w:eastAsia="ja-JP"/>
        </w:rPr>
      </w:pPr>
      <w:r w:rsidRPr="007403A4">
        <w:rPr>
          <w:sz w:val="22"/>
          <w:szCs w:val="22"/>
          <w:u w:val="single"/>
          <w:lang w:val="sr-Latn-ME" w:eastAsia="ja-JP"/>
        </w:rPr>
        <w:t>Mehanizam djelovanja</w:t>
      </w:r>
    </w:p>
    <w:p w14:paraId="41D5FBA7" w14:textId="33856E56" w:rsidR="00ED7C77" w:rsidRPr="007403A4" w:rsidRDefault="00ED7C77">
      <w:pPr>
        <w:spacing w:before="1" w:line="254" w:lineRule="exact"/>
        <w:ind w:right="28"/>
        <w:jc w:val="both"/>
        <w:rPr>
          <w:sz w:val="22"/>
          <w:szCs w:val="22"/>
          <w:lang w:val="sr-Latn-ME"/>
        </w:rPr>
      </w:pPr>
      <w:r w:rsidRPr="007403A4">
        <w:rPr>
          <w:sz w:val="22"/>
          <w:szCs w:val="22"/>
          <w:lang w:val="sr-Latn-ME"/>
        </w:rPr>
        <w:t>Obinutuzumab je humanizovano i glikoinženjeringom modifikovano rekombinantno monoklonsko anti</w:t>
      </w:r>
      <w:r w:rsidRPr="007403A4">
        <w:rPr>
          <w:sz w:val="22"/>
          <w:szCs w:val="22"/>
          <w:lang w:val="sr-Latn-ME"/>
        </w:rPr>
        <w:noBreakHyphen/>
        <w:t>CD20 antitijelo tipa II, koje pripada podgrupi IgG1. Djeluje ciljano na vanćelijsku petlju transmembranskog antigena CD20 na površini nemalignih i malignih pre</w:t>
      </w:r>
      <w:r w:rsidRPr="007403A4">
        <w:rPr>
          <w:sz w:val="22"/>
          <w:szCs w:val="22"/>
          <w:lang w:val="sr-Latn-ME"/>
        </w:rPr>
        <w:noBreakHyphen/>
        <w:t>B i zrelih B limfocita, ali ne i na hematopoetske matične ćelije, pro</w:t>
      </w:r>
      <w:r w:rsidRPr="007403A4">
        <w:rPr>
          <w:sz w:val="22"/>
          <w:szCs w:val="22"/>
          <w:lang w:val="sr-Latn-ME"/>
        </w:rPr>
        <w:noBreakHyphen/>
        <w:t>B ćelije, zdrave plazma ćelije ili druga zdrava tkiva. Rezultat glikoinženjerske modifikacije Fc dijela obinutuzumaba je veći afinitet za FcɣRIII receptore na efektorskim ćelijama imunološkog sistema, poput ćelija “prirodnih ubica” (NK), makrofaga i monocita, u poređenju sa antitijelima koja ni</w:t>
      </w:r>
      <w:r w:rsidR="00336207" w:rsidRPr="007403A4">
        <w:rPr>
          <w:sz w:val="22"/>
          <w:szCs w:val="22"/>
          <w:lang w:val="sr-Latn-ME"/>
        </w:rPr>
        <w:t>je</w:t>
      </w:r>
      <w:r w:rsidRPr="007403A4">
        <w:rPr>
          <w:sz w:val="22"/>
          <w:szCs w:val="22"/>
          <w:lang w:val="sr-Latn-ME"/>
        </w:rPr>
        <w:t>su modifikovana glikoinženjeringom.</w:t>
      </w:r>
    </w:p>
    <w:p w14:paraId="492403BE" w14:textId="77777777" w:rsidR="00ED7C77" w:rsidRPr="007403A4" w:rsidRDefault="00ED7C77">
      <w:pPr>
        <w:spacing w:before="1" w:line="254" w:lineRule="exact"/>
        <w:ind w:right="28"/>
        <w:jc w:val="both"/>
        <w:rPr>
          <w:sz w:val="22"/>
          <w:szCs w:val="22"/>
          <w:lang w:val="sr-Latn-ME"/>
        </w:rPr>
      </w:pPr>
    </w:p>
    <w:p w14:paraId="05B07435" w14:textId="77809CA3" w:rsidR="00ED7C77" w:rsidRPr="007403A4" w:rsidRDefault="00ED7C77">
      <w:pPr>
        <w:spacing w:before="1" w:line="254" w:lineRule="exact"/>
        <w:ind w:right="28"/>
        <w:jc w:val="both"/>
        <w:rPr>
          <w:sz w:val="22"/>
          <w:szCs w:val="22"/>
          <w:lang w:val="sr-Latn-ME"/>
        </w:rPr>
      </w:pPr>
      <w:r w:rsidRPr="007403A4">
        <w:rPr>
          <w:sz w:val="22"/>
          <w:szCs w:val="22"/>
          <w:lang w:val="sr-Latn-ME"/>
        </w:rPr>
        <w:t xml:space="preserve">U pretkliničkim studijama, obinutuzumab podstiče direktnu ćelijsku smrt te posreduje u ćelijskoj citotoksičnosti zavisnoj od antitijela (engl. </w:t>
      </w:r>
      <w:r w:rsidRPr="007403A4">
        <w:rPr>
          <w:i/>
          <w:sz w:val="22"/>
          <w:szCs w:val="22"/>
          <w:lang w:val="sr-Latn-ME"/>
        </w:rPr>
        <w:t>antibody dependent cellular cytotoxicity</w:t>
      </w:r>
      <w:r w:rsidRPr="007403A4">
        <w:rPr>
          <w:sz w:val="22"/>
          <w:szCs w:val="22"/>
          <w:lang w:val="sr-Latn-ME"/>
        </w:rPr>
        <w:t xml:space="preserve">, ADCC) i ćelijskoj fagocitozi zavisnoj od antitijela (engl. </w:t>
      </w:r>
      <w:r w:rsidRPr="007403A4">
        <w:rPr>
          <w:i/>
          <w:sz w:val="22"/>
          <w:szCs w:val="22"/>
          <w:lang w:val="sr-Latn-ME"/>
        </w:rPr>
        <w:t>antibody dependent cellular phagocytosis</w:t>
      </w:r>
      <w:r w:rsidRPr="007403A4">
        <w:rPr>
          <w:sz w:val="22"/>
          <w:szCs w:val="22"/>
          <w:lang w:val="sr-Latn-ME"/>
        </w:rPr>
        <w:t xml:space="preserve">, ADCP) uključivanjem FcɣRIII pozitivnih efektorskih ćelija imunološkog sistema. Osim toga, </w:t>
      </w:r>
      <w:r w:rsidRPr="007403A4">
        <w:rPr>
          <w:i/>
          <w:sz w:val="22"/>
          <w:szCs w:val="22"/>
          <w:lang w:val="sr-Latn-ME"/>
        </w:rPr>
        <w:t>in vivo</w:t>
      </w:r>
      <w:r w:rsidRPr="007403A4">
        <w:rPr>
          <w:sz w:val="22"/>
          <w:szCs w:val="22"/>
          <w:lang w:val="sr-Latn-ME"/>
        </w:rPr>
        <w:t xml:space="preserve"> obinutuzumab manjim dijelom posreduje u citotoksičnosti zavisnoj od komplementa (engl. </w:t>
      </w:r>
      <w:r w:rsidRPr="007403A4">
        <w:rPr>
          <w:i/>
          <w:sz w:val="22"/>
          <w:szCs w:val="22"/>
          <w:lang w:val="sr-Latn-ME"/>
        </w:rPr>
        <w:t>complement dependent cytotoxicity</w:t>
      </w:r>
      <w:r w:rsidRPr="007403A4">
        <w:rPr>
          <w:sz w:val="22"/>
          <w:szCs w:val="22"/>
          <w:lang w:val="sr-Latn-ME"/>
        </w:rPr>
        <w:t>, CDC). U poređenju sa antitijelima tipa I, obinutuzumab, koji je antitijelo tipa II, u ekvivalentnoj dozi jače indukuje direktnu ćelijsku smrt, a istovremeno smanjuje citotoksičnost zavisnu od komplementa. U poređenju sa antitijelima koja ni</w:t>
      </w:r>
      <w:r w:rsidR="00336207" w:rsidRPr="007403A4">
        <w:rPr>
          <w:sz w:val="22"/>
          <w:szCs w:val="22"/>
          <w:lang w:val="sr-Latn-ME"/>
        </w:rPr>
        <w:t>je</w:t>
      </w:r>
      <w:r w:rsidRPr="007403A4">
        <w:rPr>
          <w:sz w:val="22"/>
          <w:szCs w:val="22"/>
          <w:lang w:val="sr-Latn-ME"/>
        </w:rPr>
        <w:t>su modifikovana glikoinženjeringom, obinutuzumab, koji je glikoinženjeringom modifikovano antitijelo, u ekvivalentnoj dozi izraženije posreduje u ćelijskoj</w:t>
      </w:r>
      <w:r w:rsidR="00336207" w:rsidRPr="007403A4">
        <w:rPr>
          <w:sz w:val="22"/>
          <w:szCs w:val="22"/>
          <w:lang w:val="sr-Latn-ME"/>
        </w:rPr>
        <w:t xml:space="preserve"> </w:t>
      </w:r>
      <w:r w:rsidRPr="007403A4">
        <w:rPr>
          <w:sz w:val="22"/>
          <w:szCs w:val="22"/>
          <w:lang w:val="sr-Latn-ME"/>
        </w:rPr>
        <w:t>citotoksičnosti zavisnoj od antitijela i ćelijskoj fagocitozi zavisnoj o</w:t>
      </w:r>
      <w:r w:rsidR="00336207" w:rsidRPr="007403A4">
        <w:rPr>
          <w:sz w:val="22"/>
          <w:szCs w:val="22"/>
          <w:lang w:val="sr-Latn-ME"/>
        </w:rPr>
        <w:t>d</w:t>
      </w:r>
      <w:r w:rsidRPr="007403A4">
        <w:rPr>
          <w:sz w:val="22"/>
          <w:szCs w:val="22"/>
          <w:lang w:val="sr-Latn-ME"/>
        </w:rPr>
        <w:t xml:space="preserve"> antitijel</w:t>
      </w:r>
      <w:r w:rsidR="00336207" w:rsidRPr="007403A4">
        <w:rPr>
          <w:sz w:val="22"/>
          <w:szCs w:val="22"/>
          <w:lang w:val="sr-Latn-ME"/>
        </w:rPr>
        <w:t>a</w:t>
      </w:r>
      <w:r w:rsidRPr="007403A4">
        <w:rPr>
          <w:sz w:val="22"/>
          <w:szCs w:val="22"/>
          <w:lang w:val="sr-Latn-ME"/>
        </w:rPr>
        <w:t>. U životinjskim modelima, obinutuzumab posreduje u snažnoj depleciji B</w:t>
      </w:r>
      <w:r w:rsidRPr="007403A4">
        <w:rPr>
          <w:sz w:val="22"/>
          <w:szCs w:val="22"/>
          <w:lang w:val="sr-Latn-ME"/>
        </w:rPr>
        <w:noBreakHyphen/>
        <w:t>ćelija i antitumorskoj efikasnosti.</w:t>
      </w:r>
    </w:p>
    <w:p w14:paraId="5D66C31C" w14:textId="77777777" w:rsidR="00ED7C77" w:rsidRPr="007403A4" w:rsidRDefault="00ED7C77">
      <w:pPr>
        <w:spacing w:before="1" w:line="254" w:lineRule="exact"/>
        <w:ind w:right="28"/>
        <w:jc w:val="both"/>
        <w:rPr>
          <w:sz w:val="22"/>
          <w:szCs w:val="22"/>
          <w:lang w:val="sr-Latn-ME"/>
        </w:rPr>
      </w:pPr>
    </w:p>
    <w:p w14:paraId="4A57E94E" w14:textId="2F8E80B1" w:rsidR="00ED7C77" w:rsidRPr="007403A4" w:rsidRDefault="00ED7C77">
      <w:pPr>
        <w:spacing w:before="1" w:line="254" w:lineRule="exact"/>
        <w:ind w:right="28"/>
        <w:jc w:val="both"/>
        <w:rPr>
          <w:sz w:val="22"/>
          <w:szCs w:val="22"/>
          <w:lang w:val="sr-Latn-ME"/>
        </w:rPr>
      </w:pPr>
      <w:r w:rsidRPr="007403A4">
        <w:rPr>
          <w:sz w:val="22"/>
          <w:szCs w:val="22"/>
          <w:lang w:val="sr-Latn-ME"/>
        </w:rPr>
        <w:t xml:space="preserve">U pivotalnoj kliničkoj studiji </w:t>
      </w:r>
      <w:r w:rsidR="009E1769" w:rsidRPr="007403A4">
        <w:rPr>
          <w:sz w:val="22"/>
          <w:szCs w:val="22"/>
          <w:lang w:val="sr-Latn-ME"/>
        </w:rPr>
        <w:t>kod pacijenata sa HLL (</w:t>
      </w:r>
      <w:r w:rsidRPr="007403A4">
        <w:rPr>
          <w:sz w:val="22"/>
          <w:szCs w:val="22"/>
          <w:lang w:val="sr-Latn-ME"/>
        </w:rPr>
        <w:t>BO21004/CLL11</w:t>
      </w:r>
      <w:r w:rsidR="009E1769" w:rsidRPr="007403A4">
        <w:rPr>
          <w:sz w:val="22"/>
          <w:szCs w:val="22"/>
          <w:lang w:val="sr-Latn-ME"/>
        </w:rPr>
        <w:t>)</w:t>
      </w:r>
      <w:r w:rsidRPr="007403A4">
        <w:rPr>
          <w:sz w:val="22"/>
          <w:szCs w:val="22"/>
          <w:lang w:val="sr-Latn-ME"/>
        </w:rPr>
        <w:t>, 91% (40 od 44) pacijenata dostupnih za procjenu koji su liječeni lijekom Gazyvaro imalo je depleciju B-ćelija (koja se definisana kao broj CD19+ B</w:t>
      </w:r>
      <w:r w:rsidRPr="007403A4">
        <w:rPr>
          <w:sz w:val="22"/>
          <w:szCs w:val="22"/>
          <w:lang w:val="sr-Latn-ME"/>
        </w:rPr>
        <w:noBreakHyphen/>
        <w:t>ćelija &lt; 0,07 x 10</w:t>
      </w:r>
      <w:r w:rsidRPr="007403A4">
        <w:rPr>
          <w:sz w:val="22"/>
          <w:szCs w:val="22"/>
          <w:vertAlign w:val="superscript"/>
          <w:lang w:val="sr-Latn-ME"/>
        </w:rPr>
        <w:t>9</w:t>
      </w:r>
      <w:r w:rsidRPr="007403A4">
        <w:rPr>
          <w:sz w:val="22"/>
          <w:szCs w:val="22"/>
          <w:lang w:val="sr-Latn-ME"/>
        </w:rPr>
        <w:t>/l) na kraju perioda liječenja, koja je potrajala tokom prvih 6 mjeseci praćenja. Normalizacija broja B-ćelija primijećena je u roku od 12</w:t>
      </w:r>
      <w:r w:rsidR="00336207" w:rsidRPr="007403A4">
        <w:rPr>
          <w:sz w:val="22"/>
          <w:szCs w:val="22"/>
          <w:lang w:val="sr-Latn-ME"/>
        </w:rPr>
        <w:t xml:space="preserve"> do </w:t>
      </w:r>
      <w:r w:rsidRPr="007403A4">
        <w:rPr>
          <w:sz w:val="22"/>
          <w:szCs w:val="22"/>
          <w:lang w:val="sr-Latn-ME"/>
        </w:rPr>
        <w:t xml:space="preserve">18 mjeseci praćenja </w:t>
      </w:r>
      <w:r w:rsidR="00336207" w:rsidRPr="007403A4">
        <w:rPr>
          <w:sz w:val="22"/>
          <w:szCs w:val="22"/>
          <w:lang w:val="sr-Latn-ME"/>
        </w:rPr>
        <w:t>kod</w:t>
      </w:r>
      <w:r w:rsidRPr="007403A4">
        <w:rPr>
          <w:sz w:val="22"/>
          <w:szCs w:val="22"/>
          <w:lang w:val="sr-Latn-ME"/>
        </w:rPr>
        <w:t xml:space="preserve"> 35% (14 od 40) pacijenata čija bolest nije bila progresivna te kod 13% (5 od 40) pacijenata sa progresivnom bolešću. </w:t>
      </w:r>
    </w:p>
    <w:p w14:paraId="299E30E6" w14:textId="2EBD0144" w:rsidR="00ED7C77" w:rsidRPr="007403A4" w:rsidRDefault="00ED7C77">
      <w:pPr>
        <w:spacing w:before="1" w:line="254" w:lineRule="exact"/>
        <w:ind w:right="28"/>
        <w:jc w:val="both"/>
        <w:rPr>
          <w:sz w:val="22"/>
          <w:szCs w:val="22"/>
          <w:u w:val="single"/>
          <w:lang w:val="sr-Latn-ME" w:eastAsia="ja-JP"/>
        </w:rPr>
      </w:pPr>
    </w:p>
    <w:p w14:paraId="7BACF9FF" w14:textId="78C65F8C" w:rsidR="009E1769" w:rsidRPr="007403A4" w:rsidRDefault="009E1769" w:rsidP="00C95059">
      <w:pPr>
        <w:jc w:val="both"/>
        <w:rPr>
          <w:sz w:val="22"/>
          <w:szCs w:val="22"/>
          <w:lang w:val="sr-Latn-ME" w:eastAsia="ja-JP"/>
        </w:rPr>
      </w:pPr>
      <w:r w:rsidRPr="007403A4">
        <w:rPr>
          <w:sz w:val="22"/>
          <w:szCs w:val="22"/>
          <w:lang w:val="sr-Latn-ME" w:eastAsia="ja-JP"/>
        </w:rPr>
        <w:t xml:space="preserve">U pivotalnoj kliničkoj studiji kod pacijenata sa iNHL (GAO4753/GADOLIN), 97% (171 od 176) procenjenih pacijenata koji su bili na terapiji lijekom Gazyvaro su imali depleciju B-ćelija na kraju perioda lječenja </w:t>
      </w:r>
      <w:r w:rsidR="00E27A4C" w:rsidRPr="007403A4">
        <w:rPr>
          <w:sz w:val="22"/>
          <w:szCs w:val="22"/>
          <w:lang w:val="sr-Latn-ME" w:eastAsia="ja-JP"/>
        </w:rPr>
        <w:t xml:space="preserve">a kod </w:t>
      </w:r>
      <w:r w:rsidRPr="007403A4">
        <w:rPr>
          <w:sz w:val="22"/>
          <w:szCs w:val="22"/>
          <w:lang w:val="sr-Latn-ME" w:eastAsia="ja-JP"/>
        </w:rPr>
        <w:t>97% (61 od 63)</w:t>
      </w:r>
      <w:r w:rsidR="00E27A4C" w:rsidRPr="007403A4">
        <w:rPr>
          <w:sz w:val="22"/>
          <w:szCs w:val="22"/>
          <w:lang w:val="sr-Latn-ME" w:eastAsia="ja-JP"/>
        </w:rPr>
        <w:t xml:space="preserve"> deplecija je potrajala duže od 6 mjeseci nakon primjene posljednje doze.</w:t>
      </w:r>
      <w:r w:rsidRPr="007403A4">
        <w:rPr>
          <w:sz w:val="22"/>
          <w:szCs w:val="22"/>
          <w:lang w:val="sr-Latn-ME" w:eastAsia="ja-JP"/>
        </w:rPr>
        <w:t xml:space="preserve"> Oporavak B-ćelija je primjećen tokom perioda praćenja u roku od 12-18 mjeseci kod 11% (5 od 46) pacijenata.</w:t>
      </w:r>
      <w:r w:rsidR="00E27A4C" w:rsidRPr="007403A4">
        <w:rPr>
          <w:sz w:val="22"/>
          <w:szCs w:val="22"/>
          <w:lang w:val="sr-Latn-ME" w:eastAsia="ja-JP"/>
        </w:rPr>
        <w:t>!</w:t>
      </w:r>
    </w:p>
    <w:p w14:paraId="23E65975" w14:textId="77777777" w:rsidR="009E1769" w:rsidRPr="007403A4" w:rsidRDefault="009E1769" w:rsidP="004D3AD0">
      <w:pPr>
        <w:spacing w:before="1" w:line="254" w:lineRule="exact"/>
        <w:ind w:right="28"/>
        <w:jc w:val="both"/>
        <w:rPr>
          <w:sz w:val="22"/>
          <w:szCs w:val="22"/>
          <w:u w:val="single"/>
          <w:lang w:val="sr-Latn-ME" w:eastAsia="ja-JP"/>
        </w:rPr>
      </w:pPr>
    </w:p>
    <w:p w14:paraId="34C6C00C" w14:textId="77777777" w:rsidR="00ED7C77" w:rsidRPr="007403A4" w:rsidRDefault="00ED7C77" w:rsidP="004D3AD0">
      <w:pPr>
        <w:widowControl w:val="0"/>
        <w:spacing w:before="1" w:line="254" w:lineRule="exact"/>
        <w:ind w:right="28"/>
        <w:jc w:val="both"/>
        <w:rPr>
          <w:sz w:val="22"/>
          <w:szCs w:val="22"/>
          <w:u w:val="single" w:color="000000"/>
          <w:lang w:val="sr-Latn-ME"/>
        </w:rPr>
      </w:pPr>
      <w:r w:rsidRPr="007403A4">
        <w:rPr>
          <w:spacing w:val="1"/>
          <w:sz w:val="22"/>
          <w:szCs w:val="22"/>
          <w:u w:val="single" w:color="000000"/>
          <w:lang w:val="sr-Latn-ME"/>
        </w:rPr>
        <w:t>K</w:t>
      </w:r>
      <w:r w:rsidRPr="007403A4">
        <w:rPr>
          <w:spacing w:val="-2"/>
          <w:sz w:val="22"/>
          <w:szCs w:val="22"/>
          <w:u w:val="single" w:color="000000"/>
          <w:lang w:val="sr-Latn-ME"/>
        </w:rPr>
        <w:t>l</w:t>
      </w:r>
      <w:r w:rsidRPr="007403A4">
        <w:rPr>
          <w:spacing w:val="1"/>
          <w:sz w:val="22"/>
          <w:szCs w:val="22"/>
          <w:u w:val="single" w:color="000000"/>
          <w:lang w:val="sr-Latn-ME"/>
        </w:rPr>
        <w:t>i</w:t>
      </w:r>
      <w:r w:rsidRPr="007403A4">
        <w:rPr>
          <w:spacing w:val="-3"/>
          <w:sz w:val="22"/>
          <w:szCs w:val="22"/>
          <w:u w:val="single" w:color="000000"/>
          <w:lang w:val="sr-Latn-ME"/>
        </w:rPr>
        <w:t>n</w:t>
      </w:r>
      <w:r w:rsidRPr="007403A4">
        <w:rPr>
          <w:spacing w:val="1"/>
          <w:sz w:val="22"/>
          <w:szCs w:val="22"/>
          <w:u w:val="single" w:color="000000"/>
          <w:lang w:val="sr-Latn-ME"/>
        </w:rPr>
        <w:t>i</w:t>
      </w:r>
      <w:r w:rsidRPr="007403A4">
        <w:rPr>
          <w:sz w:val="22"/>
          <w:szCs w:val="22"/>
          <w:u w:val="single" w:color="000000"/>
          <w:lang w:val="sr-Latn-ME"/>
        </w:rPr>
        <w:t>č</w:t>
      </w:r>
      <w:r w:rsidRPr="007403A4">
        <w:rPr>
          <w:spacing w:val="-3"/>
          <w:sz w:val="22"/>
          <w:szCs w:val="22"/>
          <w:u w:val="single" w:color="000000"/>
          <w:lang w:val="sr-Latn-ME"/>
        </w:rPr>
        <w:t>k</w:t>
      </w:r>
      <w:r w:rsidRPr="007403A4">
        <w:rPr>
          <w:sz w:val="22"/>
          <w:szCs w:val="22"/>
          <w:u w:val="single" w:color="000000"/>
          <w:lang w:val="sr-Latn-ME"/>
        </w:rPr>
        <w:t xml:space="preserve">a </w:t>
      </w:r>
      <w:r w:rsidRPr="007403A4">
        <w:rPr>
          <w:spacing w:val="-3"/>
          <w:sz w:val="22"/>
          <w:szCs w:val="22"/>
          <w:u w:val="single" w:color="000000"/>
          <w:lang w:val="sr-Latn-ME"/>
        </w:rPr>
        <w:t>efikasnost</w:t>
      </w:r>
      <w:r w:rsidRPr="007403A4">
        <w:rPr>
          <w:sz w:val="22"/>
          <w:szCs w:val="22"/>
          <w:u w:val="single" w:color="000000"/>
          <w:lang w:val="sr-Latn-ME"/>
        </w:rPr>
        <w:t xml:space="preserve"> i bezbjednost</w:t>
      </w:r>
    </w:p>
    <w:p w14:paraId="47C253B1" w14:textId="77777777" w:rsidR="00ED7C77" w:rsidRPr="007403A4" w:rsidRDefault="00ED7C77">
      <w:pPr>
        <w:widowControl w:val="0"/>
        <w:spacing w:before="1" w:line="254" w:lineRule="exact"/>
        <w:ind w:right="28"/>
        <w:jc w:val="both"/>
        <w:rPr>
          <w:sz w:val="22"/>
          <w:szCs w:val="22"/>
          <w:u w:val="single" w:color="000000"/>
          <w:lang w:val="sr-Latn-ME"/>
        </w:rPr>
      </w:pPr>
    </w:p>
    <w:p w14:paraId="05118426" w14:textId="77777777" w:rsidR="00ED7C77" w:rsidRPr="007403A4" w:rsidRDefault="00ED7C77">
      <w:pPr>
        <w:spacing w:before="1" w:line="254" w:lineRule="exact"/>
        <w:ind w:right="28"/>
        <w:jc w:val="both"/>
        <w:rPr>
          <w:i/>
          <w:sz w:val="22"/>
          <w:szCs w:val="22"/>
          <w:u w:val="single"/>
          <w:lang w:val="sr-Latn-ME"/>
        </w:rPr>
      </w:pPr>
      <w:r w:rsidRPr="007403A4">
        <w:rPr>
          <w:i/>
          <w:sz w:val="22"/>
          <w:szCs w:val="22"/>
          <w:u w:val="single"/>
          <w:lang w:val="sr-Latn-ME"/>
        </w:rPr>
        <w:t>Hronična limfocitna leukemija</w:t>
      </w:r>
    </w:p>
    <w:p w14:paraId="0C0746ED" w14:textId="6D4C68C8" w:rsidR="00ED7C77" w:rsidRPr="007403A4" w:rsidRDefault="00ED7C77">
      <w:pPr>
        <w:spacing w:before="1" w:line="254" w:lineRule="exact"/>
        <w:ind w:right="28"/>
        <w:jc w:val="both"/>
        <w:rPr>
          <w:sz w:val="22"/>
          <w:szCs w:val="22"/>
          <w:lang w:val="sr-Latn-ME"/>
        </w:rPr>
      </w:pPr>
      <w:r w:rsidRPr="007403A4">
        <w:rPr>
          <w:sz w:val="22"/>
          <w:szCs w:val="22"/>
          <w:lang w:val="sr-Latn-ME"/>
        </w:rPr>
        <w:lastRenderedPageBreak/>
        <w:t>Sprovedena je međunarodna, multicentrična, otvorena, randomizirana klinička studija faze III, sa dva stadijuma i tri grupe (BO21004/CLL), u kojoj su ispitivan</w:t>
      </w:r>
      <w:r w:rsidR="00E27A4C" w:rsidRPr="007403A4">
        <w:rPr>
          <w:sz w:val="22"/>
          <w:szCs w:val="22"/>
          <w:lang w:val="sr-Latn-ME"/>
        </w:rPr>
        <w:t>e</w:t>
      </w:r>
      <w:r w:rsidRPr="007403A4">
        <w:rPr>
          <w:sz w:val="22"/>
          <w:szCs w:val="22"/>
          <w:lang w:val="sr-Latn-ME"/>
        </w:rPr>
        <w:t xml:space="preserve"> bezbjednost i efikasnost lijeka Gazyvaro</w:t>
      </w:r>
      <w:r w:rsidR="00612405" w:rsidRPr="007403A4">
        <w:rPr>
          <w:vertAlign w:val="superscript"/>
          <w:lang w:val="sr-Latn-ME"/>
        </w:rPr>
        <w:t xml:space="preserve"> </w:t>
      </w:r>
      <w:r w:rsidRPr="007403A4">
        <w:rPr>
          <w:sz w:val="22"/>
          <w:szCs w:val="22"/>
          <w:lang w:val="sr-Latn-ME"/>
        </w:rPr>
        <w:t xml:space="preserve">u kombinaciji sa hlorambucilom (GClb) u poređenju sa rituksimabom i hlorambucilom (RClb) ili samo hlorambucilom (Clb) kod pacijenata sa prethodno neliječenom HLL i komorbiditetima. </w:t>
      </w:r>
    </w:p>
    <w:p w14:paraId="0E38B084" w14:textId="77777777" w:rsidR="00ED7C77" w:rsidRPr="007403A4" w:rsidRDefault="00ED7C77">
      <w:pPr>
        <w:spacing w:before="1" w:line="254" w:lineRule="exact"/>
        <w:ind w:right="28"/>
        <w:jc w:val="both"/>
        <w:rPr>
          <w:sz w:val="22"/>
          <w:szCs w:val="22"/>
          <w:lang w:val="sr-Latn-ME"/>
        </w:rPr>
      </w:pPr>
    </w:p>
    <w:p w14:paraId="2FD87732" w14:textId="27CABE6F" w:rsidR="00ED7C77" w:rsidRPr="007403A4" w:rsidRDefault="00ED7C77">
      <w:pPr>
        <w:spacing w:before="1" w:line="254" w:lineRule="exact"/>
        <w:ind w:right="28"/>
        <w:jc w:val="both"/>
        <w:rPr>
          <w:sz w:val="22"/>
          <w:szCs w:val="22"/>
          <w:lang w:val="sr-Latn-ME"/>
        </w:rPr>
      </w:pPr>
      <w:r w:rsidRPr="007403A4">
        <w:rPr>
          <w:sz w:val="22"/>
          <w:szCs w:val="22"/>
          <w:lang w:val="sr-Latn-ME"/>
        </w:rPr>
        <w:t xml:space="preserve">Prije uključivanja u studiju, pacijenti su morali da imaju </w:t>
      </w:r>
      <w:r w:rsidR="00E27A4C" w:rsidRPr="007403A4">
        <w:rPr>
          <w:sz w:val="22"/>
          <w:szCs w:val="22"/>
          <w:lang w:val="sr-Latn-ME"/>
        </w:rPr>
        <w:t>potvrđenu</w:t>
      </w:r>
      <w:r w:rsidRPr="007403A4">
        <w:rPr>
          <w:sz w:val="22"/>
          <w:szCs w:val="22"/>
          <w:lang w:val="sr-Latn-ME"/>
        </w:rPr>
        <w:t> HLL pozitivnu na CD20 kao i da ispunjavaju jedan ili oba uslova za istovremeno postojeće bolesti: rezultat bodovanja komorbiditeta (CIRS) veći od 6 ili smanjenu funkciju bubrega određenu vrijednošću CrCl &lt; 70 ml/min. Pacijenti sa nedovoljno dobrom funkcijom jetre (odstupanjima u rezultatima testova funkcije jetre 3.</w:t>
      </w:r>
      <w:r w:rsidR="004F24AB" w:rsidRPr="007403A4">
        <w:rPr>
          <w:sz w:val="22"/>
          <w:szCs w:val="22"/>
          <w:lang w:val="sr-Latn-ME"/>
        </w:rPr>
        <w:t xml:space="preserve"> stepena </w:t>
      </w:r>
      <w:r w:rsidRPr="007403A4">
        <w:rPr>
          <w:sz w:val="22"/>
          <w:szCs w:val="22"/>
          <w:lang w:val="sr-Latn-ME"/>
        </w:rPr>
        <w:t>prema Zajedničkim terminološkim kriterijumima za neželjena dejstva Nacionalnog instituta za rak [AST, ALT &gt; 5 x GGN tokom &gt; 2 nedjelje; bilirubin &gt; 3 x GGN] i funkcijom bubrega (CrCl &lt; 30 ml/min) ni</w:t>
      </w:r>
      <w:r w:rsidR="00E27A4C" w:rsidRPr="007403A4">
        <w:rPr>
          <w:sz w:val="22"/>
          <w:szCs w:val="22"/>
          <w:lang w:val="sr-Latn-ME"/>
        </w:rPr>
        <w:t>je</w:t>
      </w:r>
      <w:r w:rsidRPr="007403A4">
        <w:rPr>
          <w:sz w:val="22"/>
          <w:szCs w:val="22"/>
          <w:lang w:val="sr-Latn-ME"/>
        </w:rPr>
        <w:t>su bili uključeni u studiju. U studiju ni</w:t>
      </w:r>
      <w:r w:rsidR="00E27A4C" w:rsidRPr="007403A4">
        <w:rPr>
          <w:sz w:val="22"/>
          <w:szCs w:val="22"/>
          <w:lang w:val="sr-Latn-ME"/>
        </w:rPr>
        <w:t>je</w:t>
      </w:r>
      <w:r w:rsidRPr="007403A4">
        <w:rPr>
          <w:sz w:val="22"/>
          <w:szCs w:val="22"/>
          <w:lang w:val="sr-Latn-ME"/>
        </w:rPr>
        <w:t>su bili uključeni ni pacijenti koji su prema CIRS kriterijumima imali rezultat bodovanja 4 za oštećenje jednog ili više pojedinačnih organa/sistema</w:t>
      </w:r>
      <w:r w:rsidR="00E27A4C" w:rsidRPr="007403A4">
        <w:rPr>
          <w:sz w:val="22"/>
          <w:szCs w:val="22"/>
          <w:lang w:val="sr-Latn-ME"/>
        </w:rPr>
        <w:t xml:space="preserve"> organa</w:t>
      </w:r>
      <w:r w:rsidRPr="007403A4">
        <w:rPr>
          <w:sz w:val="22"/>
          <w:szCs w:val="22"/>
          <w:lang w:val="sr-Latn-ME"/>
        </w:rPr>
        <w:t>, osim za oči, uši, nos, grlo i larinks.</w:t>
      </w:r>
    </w:p>
    <w:p w14:paraId="1E617855" w14:textId="77777777" w:rsidR="00ED7C77" w:rsidRPr="007403A4" w:rsidRDefault="00ED7C77">
      <w:pPr>
        <w:spacing w:before="1" w:line="254" w:lineRule="exact"/>
        <w:ind w:right="28"/>
        <w:jc w:val="both"/>
        <w:rPr>
          <w:sz w:val="22"/>
          <w:szCs w:val="22"/>
          <w:lang w:val="sr-Latn-ME"/>
        </w:rPr>
      </w:pPr>
    </w:p>
    <w:p w14:paraId="1C520D14" w14:textId="003CA9B2" w:rsidR="00ED7C77" w:rsidRPr="007403A4" w:rsidRDefault="00ED7C77">
      <w:pPr>
        <w:spacing w:before="1" w:line="254" w:lineRule="exact"/>
        <w:ind w:right="28"/>
        <w:jc w:val="both"/>
        <w:rPr>
          <w:sz w:val="22"/>
          <w:szCs w:val="22"/>
          <w:lang w:val="sr-Latn-ME"/>
        </w:rPr>
      </w:pPr>
      <w:r w:rsidRPr="007403A4">
        <w:rPr>
          <w:sz w:val="22"/>
          <w:szCs w:val="22"/>
          <w:lang w:val="sr-Latn-ME"/>
        </w:rPr>
        <w:t xml:space="preserve">Ukupno je 781 pacijent randomizovan u odnosu 2:2:1 za primanje lijeka Gazyvaro i hlorambucila, rituksimaba i hlorambucila ili samo hlorambucila. U stadijumu 1a upoređivana je kombinacija lijeka Gazyvaro i hlorambucila sa monoterapijom hlorambucilom kod 356 pacijenata, dok je u 2. stadijumu Gazyvaro u kombinaciji sa hlorambucilom upoređivan sa kombinacijom rituksimaba i hlorambucila kod 663 pacijenta. </w:t>
      </w:r>
    </w:p>
    <w:p w14:paraId="12CC7496" w14:textId="77777777" w:rsidR="00ED7C77" w:rsidRPr="007403A4" w:rsidRDefault="00ED7C77">
      <w:pPr>
        <w:spacing w:before="1" w:line="254" w:lineRule="exact"/>
        <w:ind w:right="28"/>
        <w:jc w:val="both"/>
        <w:rPr>
          <w:sz w:val="22"/>
          <w:szCs w:val="22"/>
          <w:lang w:val="sr-Latn-ME"/>
        </w:rPr>
      </w:pPr>
    </w:p>
    <w:p w14:paraId="48A15A6F" w14:textId="03A37710" w:rsidR="00ED7C77" w:rsidRPr="007403A4" w:rsidRDefault="00ED7C77">
      <w:pPr>
        <w:spacing w:before="1" w:line="254" w:lineRule="exact"/>
        <w:ind w:right="28"/>
        <w:jc w:val="both"/>
        <w:rPr>
          <w:sz w:val="22"/>
          <w:szCs w:val="22"/>
          <w:lang w:val="sr-Latn-ME"/>
        </w:rPr>
      </w:pPr>
      <w:r w:rsidRPr="007403A4">
        <w:rPr>
          <w:sz w:val="22"/>
          <w:szCs w:val="22"/>
          <w:lang w:val="sr-Latn-ME"/>
        </w:rPr>
        <w:t>Većina pacijenta je primala Gazyvaro intravenski u početnoj dozi od 1000 mg primijenjenoj 1. dana, 8. dana i 15. dana prvog ciklusa liječenja. Kako bi se smanjila stopa reakcija povezanih sa infuzijom    kod pacijenata, u plan studije je uvedena izmjena pa je 140 pacijenata prvu dozu lijeka Gazyvaro primila tokom 2 dana (1. dan [100 mg] i 2. dan [900 mg]) (vidjeti djelove 4.2 i 4.4). U svakom sljedećem ciklusu liječenja (2</w:t>
      </w:r>
      <w:r w:rsidRPr="007403A4">
        <w:rPr>
          <w:sz w:val="22"/>
          <w:szCs w:val="22"/>
          <w:lang w:val="sr-Latn-ME"/>
        </w:rPr>
        <w:noBreakHyphen/>
        <w:t>6. ciklus), pacijenti su primili 1000 mg lijeka Gazyvaro samo 1. dana. hlorambucil je primjenjivan peroralno u dozi od 0,5 mg/kg tjelesne težine 1. dana i 15. dana u svakom ciklusu liječenja (1</w:t>
      </w:r>
      <w:r w:rsidRPr="007403A4">
        <w:rPr>
          <w:sz w:val="22"/>
          <w:szCs w:val="22"/>
          <w:lang w:val="sr-Latn-ME"/>
        </w:rPr>
        <w:noBreakHyphen/>
        <w:t>6. ciklusa).</w:t>
      </w:r>
    </w:p>
    <w:p w14:paraId="71173A26" w14:textId="77777777" w:rsidR="00ED7C77" w:rsidRPr="007403A4" w:rsidRDefault="00ED7C77">
      <w:pPr>
        <w:spacing w:before="1" w:line="254" w:lineRule="exact"/>
        <w:ind w:right="28"/>
        <w:jc w:val="both"/>
        <w:rPr>
          <w:sz w:val="22"/>
          <w:szCs w:val="22"/>
          <w:lang w:val="sr-Latn-ME"/>
        </w:rPr>
      </w:pPr>
    </w:p>
    <w:p w14:paraId="231EBE3D"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Demografski podaci i početne karakteristike su bile dobro ujednačene u svim liječenim grupama. Većina pacijenata su bili bijelci (95%) i muškarci (61%). Medijana starosri iznosila je 73 godine, a 44% pacijenata je bila starosti od 75 ili više godina. Na početku liječenja je 22% pacijenata imalo bolest stadijuma A prema Binetovoj klasifikaciji, njih 42% imalo je bolest stadijuma B, a njih 36% bolest stadijuma C.</w:t>
      </w:r>
    </w:p>
    <w:p w14:paraId="6D74FC81" w14:textId="77777777" w:rsidR="00ED7C77" w:rsidRPr="007403A4" w:rsidRDefault="00ED7C77">
      <w:pPr>
        <w:widowControl w:val="0"/>
        <w:spacing w:before="1" w:line="254" w:lineRule="exact"/>
        <w:ind w:right="28"/>
        <w:jc w:val="both"/>
        <w:rPr>
          <w:sz w:val="22"/>
          <w:szCs w:val="22"/>
          <w:lang w:val="sr-Latn-ME"/>
        </w:rPr>
      </w:pPr>
    </w:p>
    <w:p w14:paraId="3C07D29B"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 xml:space="preserve">Medijana rezultata bodovanja komorbiditeta iznosila je </w:t>
      </w:r>
      <w:smartTag w:uri="urn:schemas-microsoft-com:office:smarttags" w:element="metricconverter">
        <w:smartTagPr>
          <w:attr w:name="ProductID" w:val="8, a"/>
        </w:smartTagPr>
        <w:r w:rsidRPr="007403A4">
          <w:rPr>
            <w:sz w:val="22"/>
            <w:szCs w:val="22"/>
            <w:lang w:val="sr-Latn-ME"/>
          </w:rPr>
          <w:t>8, a</w:t>
        </w:r>
      </w:smartTag>
      <w:r w:rsidRPr="007403A4">
        <w:rPr>
          <w:sz w:val="22"/>
          <w:szCs w:val="22"/>
          <w:lang w:val="sr-Latn-ME"/>
        </w:rPr>
        <w:t xml:space="preserve"> 76% pacijenata uključenih u studiju je imalo  rezultat bodovanja komorbiditeta veći od 6. Medijana procijenjenog CrCl iznosila je 62 ml/min, a 66% svih pacijenata imalo je CrCl &lt; 70 ml/min. Četrdeset i dva posto pacijenata uključenih u studiju imalo je i CrCl &lt; 70 ml/min i rezultat bodovanja komorbiditeta &gt; 6. Trideset i četiri posto pacijenata uključeno je u studiju samo na osnovu rezultata bodovanja za komorbiditete, a 23% pacijenata uključeno je samo na osnovu oštećenja funkcije bubrega. </w:t>
      </w:r>
    </w:p>
    <w:p w14:paraId="132753F6" w14:textId="77777777" w:rsidR="00ED7C77" w:rsidRPr="007403A4" w:rsidRDefault="00ED7C77">
      <w:pPr>
        <w:spacing w:before="1" w:line="254" w:lineRule="exact"/>
        <w:ind w:right="28"/>
        <w:jc w:val="both"/>
        <w:rPr>
          <w:sz w:val="22"/>
          <w:szCs w:val="22"/>
          <w:lang w:val="sr-Latn-ME"/>
        </w:rPr>
      </w:pPr>
    </w:p>
    <w:p w14:paraId="66CCBB10" w14:textId="311B57F6" w:rsidR="00ED7C77" w:rsidRPr="007403A4" w:rsidRDefault="00ED7C77">
      <w:pPr>
        <w:spacing w:before="1" w:line="254" w:lineRule="exact"/>
        <w:ind w:right="28"/>
        <w:jc w:val="both"/>
        <w:rPr>
          <w:sz w:val="22"/>
          <w:szCs w:val="22"/>
          <w:lang w:val="sr-Latn-ME"/>
        </w:rPr>
      </w:pPr>
      <w:r w:rsidRPr="007403A4">
        <w:rPr>
          <w:sz w:val="22"/>
          <w:szCs w:val="22"/>
          <w:lang w:val="sr-Latn-ME"/>
        </w:rPr>
        <w:t>Najčešće prijavljene istovremene bolesti (učestalost od 30% ili više) u sistemima</w:t>
      </w:r>
      <w:r w:rsidR="00942B09" w:rsidRPr="007403A4">
        <w:rPr>
          <w:sz w:val="22"/>
          <w:szCs w:val="22"/>
          <w:lang w:val="sr-Latn-ME"/>
        </w:rPr>
        <w:t xml:space="preserve"> organa</w:t>
      </w:r>
      <w:r w:rsidRPr="007403A4">
        <w:rPr>
          <w:sz w:val="22"/>
          <w:szCs w:val="22"/>
          <w:lang w:val="sr-Latn-ME"/>
        </w:rPr>
        <w:t xml:space="preserve"> prema MedDRA klasifikaciji bile su: vaskularni poremećaji (73%), srčani poremećaji (46%), gastrointestinalni poremećaji (38%), poremećaji metabolizma i ishrane (40%), poremećaji bubrega i mokraćnog sistema (38%), poremećaji mišićno</w:t>
      </w:r>
      <w:r w:rsidRPr="007403A4">
        <w:rPr>
          <w:sz w:val="22"/>
          <w:szCs w:val="22"/>
          <w:lang w:val="sr-Latn-ME"/>
        </w:rPr>
        <w:noBreakHyphen/>
        <w:t>koštanog sistema i vezivnog tkiva (33%).</w:t>
      </w:r>
    </w:p>
    <w:p w14:paraId="57314594" w14:textId="77777777" w:rsidR="00ED7C77" w:rsidRPr="007403A4" w:rsidRDefault="00ED7C77">
      <w:pPr>
        <w:spacing w:before="1" w:line="254" w:lineRule="exact"/>
        <w:ind w:right="28"/>
        <w:jc w:val="both"/>
        <w:rPr>
          <w:sz w:val="22"/>
          <w:szCs w:val="22"/>
          <w:lang w:val="sr-Latn-ME"/>
        </w:rPr>
      </w:pPr>
    </w:p>
    <w:p w14:paraId="184726C5" w14:textId="371CD512" w:rsidR="00ED7C77" w:rsidRPr="007403A4" w:rsidRDefault="00ED7C77">
      <w:pPr>
        <w:spacing w:before="1" w:line="254" w:lineRule="exact"/>
        <w:ind w:right="28"/>
        <w:jc w:val="both"/>
        <w:rPr>
          <w:sz w:val="22"/>
          <w:szCs w:val="22"/>
          <w:lang w:val="sr-Latn-ME"/>
        </w:rPr>
      </w:pPr>
      <w:r w:rsidRPr="007403A4">
        <w:rPr>
          <w:sz w:val="22"/>
          <w:szCs w:val="22"/>
          <w:lang w:val="sr-Latn-ME"/>
        </w:rPr>
        <w:t xml:space="preserve">Rezultati efikasnosti kod pacijenata s prethodno neliječenom hroničnom limfocitnom leukemijom sažeto su prikazani u Tabeli </w:t>
      </w:r>
      <w:r w:rsidR="004F24AB" w:rsidRPr="007403A4">
        <w:rPr>
          <w:sz w:val="22"/>
          <w:szCs w:val="22"/>
          <w:lang w:val="sr-Latn-ME"/>
        </w:rPr>
        <w:t>9</w:t>
      </w:r>
      <w:r w:rsidRPr="007403A4">
        <w:rPr>
          <w:sz w:val="22"/>
          <w:szCs w:val="22"/>
          <w:lang w:val="sr-Latn-ME"/>
        </w:rPr>
        <w:t>. Kaplan-Meier</w:t>
      </w:r>
      <w:r w:rsidR="00942B09" w:rsidRPr="007403A4">
        <w:rPr>
          <w:sz w:val="22"/>
          <w:szCs w:val="22"/>
          <w:lang w:val="sr-Latn-ME"/>
        </w:rPr>
        <w:t>-</w:t>
      </w:r>
      <w:r w:rsidRPr="007403A4">
        <w:rPr>
          <w:sz w:val="22"/>
          <w:szCs w:val="22"/>
          <w:lang w:val="sr-Latn-ME"/>
        </w:rPr>
        <w:t xml:space="preserve">ove krive za preživljavanje bez progresije bolesti (engl. </w:t>
      </w:r>
      <w:r w:rsidRPr="007403A4">
        <w:rPr>
          <w:i/>
          <w:sz w:val="22"/>
          <w:szCs w:val="22"/>
          <w:lang w:val="sr-Latn-ME"/>
        </w:rPr>
        <w:t>progression-free survival</w:t>
      </w:r>
      <w:r w:rsidRPr="007403A4">
        <w:rPr>
          <w:sz w:val="22"/>
          <w:szCs w:val="22"/>
          <w:lang w:val="sr-Latn-ME"/>
        </w:rPr>
        <w:t xml:space="preserve">, PFS) i ukupno preživljavanje (engl. </w:t>
      </w:r>
      <w:r w:rsidRPr="007403A4">
        <w:rPr>
          <w:i/>
          <w:sz w:val="22"/>
          <w:szCs w:val="22"/>
          <w:lang w:val="sr-Latn-ME"/>
        </w:rPr>
        <w:t>overall survival</w:t>
      </w:r>
      <w:r w:rsidRPr="007403A4">
        <w:rPr>
          <w:sz w:val="22"/>
          <w:szCs w:val="22"/>
          <w:lang w:val="sr-Latn-ME"/>
        </w:rPr>
        <w:t>, OS) prikazane su na Slikama 1</w:t>
      </w:r>
      <w:r w:rsidRPr="007403A4">
        <w:rPr>
          <w:sz w:val="22"/>
          <w:szCs w:val="22"/>
          <w:lang w:val="sr-Latn-ME"/>
        </w:rPr>
        <w:noBreakHyphen/>
        <w:t>4.</w:t>
      </w:r>
    </w:p>
    <w:p w14:paraId="2F727AE9" w14:textId="1368DE79" w:rsidR="00ED7C77" w:rsidRPr="007403A4" w:rsidRDefault="00ED7C77">
      <w:pPr>
        <w:spacing w:before="1" w:line="254" w:lineRule="exact"/>
        <w:ind w:right="28"/>
        <w:jc w:val="both"/>
        <w:rPr>
          <w:sz w:val="22"/>
          <w:szCs w:val="22"/>
          <w:lang w:val="sr-Latn-ME"/>
        </w:rPr>
      </w:pPr>
    </w:p>
    <w:p w14:paraId="392B8241" w14:textId="56A8512A" w:rsidR="007403A4" w:rsidRPr="007403A4" w:rsidRDefault="007403A4">
      <w:pPr>
        <w:spacing w:before="1" w:line="254" w:lineRule="exact"/>
        <w:ind w:right="28"/>
        <w:jc w:val="both"/>
        <w:rPr>
          <w:sz w:val="22"/>
          <w:szCs w:val="22"/>
          <w:lang w:val="sr-Latn-ME"/>
        </w:rPr>
      </w:pPr>
    </w:p>
    <w:p w14:paraId="123EA6DB" w14:textId="2E1C8F5C" w:rsidR="007403A4" w:rsidRPr="007403A4" w:rsidRDefault="007403A4">
      <w:pPr>
        <w:spacing w:before="1" w:line="254" w:lineRule="exact"/>
        <w:ind w:right="28"/>
        <w:jc w:val="both"/>
        <w:rPr>
          <w:sz w:val="22"/>
          <w:szCs w:val="22"/>
          <w:lang w:val="sr-Latn-ME"/>
        </w:rPr>
      </w:pPr>
    </w:p>
    <w:p w14:paraId="18B475AB" w14:textId="3800730B" w:rsidR="007403A4" w:rsidRPr="007403A4" w:rsidRDefault="007403A4">
      <w:pPr>
        <w:spacing w:before="1" w:line="254" w:lineRule="exact"/>
        <w:ind w:right="28"/>
        <w:jc w:val="both"/>
        <w:rPr>
          <w:sz w:val="22"/>
          <w:szCs w:val="22"/>
          <w:lang w:val="sr-Latn-ME"/>
        </w:rPr>
      </w:pPr>
    </w:p>
    <w:p w14:paraId="044A354E" w14:textId="6AD72671" w:rsidR="007403A4" w:rsidRPr="007403A4" w:rsidRDefault="007403A4">
      <w:pPr>
        <w:spacing w:before="1" w:line="254" w:lineRule="exact"/>
        <w:ind w:right="28"/>
        <w:jc w:val="both"/>
        <w:rPr>
          <w:sz w:val="22"/>
          <w:szCs w:val="22"/>
          <w:lang w:val="sr-Latn-ME"/>
        </w:rPr>
      </w:pPr>
    </w:p>
    <w:p w14:paraId="5AEAB3BC" w14:textId="77777777" w:rsidR="007403A4" w:rsidRPr="007403A4" w:rsidRDefault="007403A4">
      <w:pPr>
        <w:spacing w:before="1" w:line="254" w:lineRule="exact"/>
        <w:ind w:right="28"/>
        <w:jc w:val="both"/>
        <w:rPr>
          <w:sz w:val="22"/>
          <w:szCs w:val="22"/>
          <w:lang w:val="sr-Latn-ME"/>
        </w:rPr>
      </w:pPr>
    </w:p>
    <w:p w14:paraId="55E20519" w14:textId="010A4639" w:rsidR="00ED7C77" w:rsidRPr="007403A4" w:rsidRDefault="00ED7C77">
      <w:pPr>
        <w:spacing w:before="1" w:line="254" w:lineRule="exact"/>
        <w:ind w:right="28"/>
        <w:jc w:val="both"/>
        <w:rPr>
          <w:b/>
          <w:sz w:val="22"/>
          <w:szCs w:val="22"/>
          <w:lang w:val="sr-Latn-ME"/>
        </w:rPr>
      </w:pPr>
      <w:r w:rsidRPr="007403A4">
        <w:rPr>
          <w:b/>
          <w:sz w:val="22"/>
          <w:szCs w:val="22"/>
          <w:lang w:val="sr-Latn-ME"/>
        </w:rPr>
        <w:lastRenderedPageBreak/>
        <w:t>Tabela </w:t>
      </w:r>
      <w:r w:rsidR="004F24AB" w:rsidRPr="007403A4">
        <w:rPr>
          <w:b/>
          <w:sz w:val="22"/>
          <w:szCs w:val="22"/>
          <w:lang w:val="sr-Latn-ME"/>
        </w:rPr>
        <w:t>9</w:t>
      </w:r>
      <w:r w:rsidR="00942B09" w:rsidRPr="007403A4">
        <w:rPr>
          <w:b/>
          <w:sz w:val="22"/>
          <w:szCs w:val="22"/>
          <w:lang w:val="sr-Latn-ME"/>
        </w:rPr>
        <w:t xml:space="preserve"> </w:t>
      </w:r>
      <w:r w:rsidRPr="007403A4">
        <w:rPr>
          <w:b/>
          <w:sz w:val="22"/>
          <w:szCs w:val="22"/>
          <w:lang w:val="sr-Latn-ME"/>
        </w:rPr>
        <w:t>Sažetak rezultata za efikasnost iz Studije BO21004/CLL11</w:t>
      </w:r>
    </w:p>
    <w:p w14:paraId="5AEA82B9" w14:textId="77777777" w:rsidR="00ED7C77" w:rsidRPr="007403A4" w:rsidRDefault="00ED7C77">
      <w:pPr>
        <w:spacing w:before="1" w:line="254" w:lineRule="exact"/>
        <w:ind w:right="28"/>
        <w:jc w:val="both"/>
        <w:rPr>
          <w:b/>
          <w:sz w:val="22"/>
          <w:szCs w:val="22"/>
          <w:lang w:val="sr-Latn-ME"/>
        </w:rPr>
      </w:pPr>
    </w:p>
    <w:tbl>
      <w:tblPr>
        <w:tblW w:w="5000" w:type="pct"/>
        <w:tblLayout w:type="fixed"/>
        <w:tblCellMar>
          <w:left w:w="57" w:type="dxa"/>
          <w:right w:w="57" w:type="dxa"/>
        </w:tblCellMar>
        <w:tblLook w:val="00A0" w:firstRow="1" w:lastRow="0" w:firstColumn="1" w:lastColumn="0" w:noHBand="0" w:noVBand="0"/>
      </w:tblPr>
      <w:tblGrid>
        <w:gridCol w:w="3517"/>
        <w:gridCol w:w="1395"/>
        <w:gridCol w:w="11"/>
        <w:gridCol w:w="1386"/>
        <w:gridCol w:w="13"/>
        <w:gridCol w:w="1383"/>
        <w:gridCol w:w="1403"/>
      </w:tblGrid>
      <w:tr w:rsidR="00ED7C77" w:rsidRPr="007403A4" w14:paraId="0FC93383" w14:textId="77777777" w:rsidTr="00C95059">
        <w:trPr>
          <w:cantSplit/>
        </w:trPr>
        <w:tc>
          <w:tcPr>
            <w:tcW w:w="1931" w:type="pct"/>
            <w:tcBorders>
              <w:top w:val="single" w:sz="4" w:space="0" w:color="auto"/>
              <w:left w:val="single" w:sz="4" w:space="0" w:color="auto"/>
              <w:bottom w:val="single" w:sz="4" w:space="0" w:color="auto"/>
              <w:right w:val="single" w:sz="4" w:space="0" w:color="auto"/>
            </w:tcBorders>
          </w:tcPr>
          <w:p w14:paraId="71A5C999" w14:textId="77777777" w:rsidR="00ED7C77" w:rsidRPr="007403A4" w:rsidRDefault="00ED7C77">
            <w:pPr>
              <w:ind w:right="28"/>
              <w:jc w:val="both"/>
              <w:rPr>
                <w:b/>
                <w:sz w:val="22"/>
                <w:szCs w:val="22"/>
                <w:lang w:val="sr-Latn-ME"/>
              </w:rPr>
            </w:pPr>
          </w:p>
        </w:tc>
        <w:tc>
          <w:tcPr>
            <w:tcW w:w="1533" w:type="pct"/>
            <w:gridSpan w:val="3"/>
            <w:tcBorders>
              <w:top w:val="single" w:sz="4" w:space="0" w:color="auto"/>
              <w:left w:val="single" w:sz="4" w:space="0" w:color="auto"/>
              <w:bottom w:val="single" w:sz="4" w:space="0" w:color="auto"/>
              <w:right w:val="single" w:sz="4" w:space="0" w:color="auto"/>
            </w:tcBorders>
          </w:tcPr>
          <w:p w14:paraId="0033DCFC" w14:textId="77777777" w:rsidR="00ED7C77" w:rsidRPr="007403A4" w:rsidRDefault="00ED7C77">
            <w:pPr>
              <w:ind w:right="28"/>
              <w:jc w:val="both"/>
              <w:rPr>
                <w:b/>
                <w:sz w:val="22"/>
                <w:szCs w:val="22"/>
                <w:lang w:val="sr-Latn-ME"/>
              </w:rPr>
            </w:pPr>
            <w:r w:rsidRPr="007403A4">
              <w:rPr>
                <w:b/>
                <w:sz w:val="22"/>
                <w:szCs w:val="22"/>
                <w:lang w:val="sr-Latn-ME"/>
              </w:rPr>
              <w:t>Stadijum 1a</w:t>
            </w:r>
          </w:p>
        </w:tc>
        <w:tc>
          <w:tcPr>
            <w:tcW w:w="1537" w:type="pct"/>
            <w:gridSpan w:val="3"/>
            <w:tcBorders>
              <w:top w:val="single" w:sz="4" w:space="0" w:color="auto"/>
              <w:left w:val="nil"/>
              <w:bottom w:val="single" w:sz="4" w:space="0" w:color="auto"/>
              <w:right w:val="single" w:sz="4" w:space="0" w:color="auto"/>
            </w:tcBorders>
          </w:tcPr>
          <w:p w14:paraId="60B16053" w14:textId="77777777" w:rsidR="00ED7C77" w:rsidRPr="007403A4" w:rsidRDefault="00ED7C77">
            <w:pPr>
              <w:ind w:right="28"/>
              <w:jc w:val="both"/>
              <w:rPr>
                <w:b/>
                <w:sz w:val="22"/>
                <w:szCs w:val="22"/>
                <w:lang w:val="sr-Latn-ME"/>
              </w:rPr>
            </w:pPr>
            <w:r w:rsidRPr="007403A4">
              <w:rPr>
                <w:b/>
                <w:sz w:val="22"/>
                <w:szCs w:val="22"/>
                <w:lang w:val="sr-Latn-ME"/>
              </w:rPr>
              <w:t>Stadijum 2</w:t>
            </w:r>
          </w:p>
        </w:tc>
      </w:tr>
      <w:tr w:rsidR="00ED7C77" w:rsidRPr="007403A4" w14:paraId="2129E0D2" w14:textId="77777777" w:rsidTr="007A2492">
        <w:trPr>
          <w:cantSplit/>
          <w:tblHeader/>
        </w:trPr>
        <w:tc>
          <w:tcPr>
            <w:tcW w:w="1931" w:type="pct"/>
            <w:tcBorders>
              <w:top w:val="single" w:sz="4" w:space="0" w:color="auto"/>
              <w:left w:val="single" w:sz="4" w:space="0" w:color="auto"/>
              <w:bottom w:val="single" w:sz="4" w:space="0" w:color="auto"/>
              <w:right w:val="single" w:sz="4" w:space="0" w:color="auto"/>
            </w:tcBorders>
          </w:tcPr>
          <w:p w14:paraId="34C9E4E8" w14:textId="77777777" w:rsidR="00ED7C77" w:rsidRPr="007403A4" w:rsidRDefault="00ED7C77" w:rsidP="004D3AD0">
            <w:pPr>
              <w:ind w:right="28"/>
              <w:jc w:val="both"/>
              <w:rPr>
                <w:b/>
                <w:sz w:val="22"/>
                <w:szCs w:val="22"/>
                <w:lang w:val="sr-Latn-ME"/>
              </w:rPr>
            </w:pPr>
          </w:p>
        </w:tc>
        <w:tc>
          <w:tcPr>
            <w:tcW w:w="766" w:type="pct"/>
            <w:tcBorders>
              <w:top w:val="single" w:sz="4" w:space="0" w:color="auto"/>
              <w:left w:val="single" w:sz="4" w:space="0" w:color="auto"/>
              <w:bottom w:val="single" w:sz="4" w:space="0" w:color="auto"/>
              <w:right w:val="single" w:sz="4" w:space="0" w:color="auto"/>
            </w:tcBorders>
          </w:tcPr>
          <w:p w14:paraId="405F7A96" w14:textId="77777777" w:rsidR="00ED7C77" w:rsidRPr="007403A4" w:rsidRDefault="00ED7C77" w:rsidP="004D3AD0">
            <w:pPr>
              <w:ind w:right="28"/>
              <w:jc w:val="both"/>
              <w:rPr>
                <w:b/>
                <w:sz w:val="22"/>
                <w:szCs w:val="22"/>
                <w:lang w:val="sr-Latn-ME"/>
              </w:rPr>
            </w:pPr>
            <w:r w:rsidRPr="007403A4">
              <w:rPr>
                <w:b/>
                <w:sz w:val="22"/>
                <w:szCs w:val="22"/>
                <w:lang w:val="sr-Latn-ME"/>
              </w:rPr>
              <w:t>hlorambucil</w:t>
            </w:r>
          </w:p>
          <w:p w14:paraId="29EEB252" w14:textId="77777777" w:rsidR="00ED7C77" w:rsidRPr="007403A4" w:rsidRDefault="00ED7C77">
            <w:pPr>
              <w:ind w:right="28"/>
              <w:jc w:val="both"/>
              <w:rPr>
                <w:b/>
                <w:sz w:val="22"/>
                <w:szCs w:val="22"/>
                <w:lang w:val="sr-Latn-ME"/>
              </w:rPr>
            </w:pPr>
            <w:r w:rsidRPr="007403A4">
              <w:rPr>
                <w:b/>
                <w:sz w:val="22"/>
                <w:szCs w:val="22"/>
                <w:lang w:val="sr-Latn-ME"/>
              </w:rPr>
              <w:t>N=118</w:t>
            </w:r>
          </w:p>
        </w:tc>
        <w:tc>
          <w:tcPr>
            <w:tcW w:w="767" w:type="pct"/>
            <w:gridSpan w:val="2"/>
            <w:tcBorders>
              <w:top w:val="single" w:sz="4" w:space="0" w:color="auto"/>
              <w:left w:val="single" w:sz="4" w:space="0" w:color="auto"/>
              <w:bottom w:val="single" w:sz="4" w:space="0" w:color="auto"/>
              <w:right w:val="single" w:sz="4" w:space="0" w:color="auto"/>
            </w:tcBorders>
          </w:tcPr>
          <w:p w14:paraId="453BC7DC" w14:textId="40FF9171" w:rsidR="00ED7C77" w:rsidRPr="007403A4" w:rsidRDefault="00942B09">
            <w:pPr>
              <w:ind w:right="28"/>
              <w:jc w:val="both"/>
              <w:rPr>
                <w:b/>
                <w:sz w:val="22"/>
                <w:szCs w:val="22"/>
                <w:lang w:val="sr-Latn-ME"/>
              </w:rPr>
            </w:pPr>
            <w:r w:rsidRPr="007403A4">
              <w:rPr>
                <w:b/>
                <w:sz w:val="22"/>
                <w:szCs w:val="22"/>
                <w:lang w:val="sr-Latn-ME"/>
              </w:rPr>
              <w:t xml:space="preserve">Lijek </w:t>
            </w:r>
            <w:r w:rsidR="00ED7C77" w:rsidRPr="007403A4">
              <w:rPr>
                <w:b/>
                <w:sz w:val="22"/>
                <w:szCs w:val="22"/>
                <w:lang w:val="sr-Latn-ME"/>
              </w:rPr>
              <w:t>Gazyvaro+ hlorambucil</w:t>
            </w:r>
          </w:p>
          <w:p w14:paraId="216F151F" w14:textId="77777777" w:rsidR="00ED7C77" w:rsidRPr="007403A4" w:rsidRDefault="00ED7C77">
            <w:pPr>
              <w:ind w:right="28"/>
              <w:jc w:val="both"/>
              <w:rPr>
                <w:b/>
                <w:sz w:val="22"/>
                <w:szCs w:val="22"/>
                <w:lang w:val="sr-Latn-ME"/>
              </w:rPr>
            </w:pPr>
            <w:r w:rsidRPr="007403A4">
              <w:rPr>
                <w:b/>
                <w:sz w:val="22"/>
                <w:szCs w:val="22"/>
                <w:lang w:val="sr-Latn-ME"/>
              </w:rPr>
              <w:t>N=238</w:t>
            </w:r>
          </w:p>
        </w:tc>
        <w:tc>
          <w:tcPr>
            <w:tcW w:w="766" w:type="pct"/>
            <w:gridSpan w:val="2"/>
            <w:tcBorders>
              <w:top w:val="single" w:sz="4" w:space="0" w:color="auto"/>
              <w:left w:val="nil"/>
              <w:bottom w:val="single" w:sz="4" w:space="0" w:color="auto"/>
              <w:right w:val="single" w:sz="4" w:space="0" w:color="auto"/>
            </w:tcBorders>
          </w:tcPr>
          <w:p w14:paraId="3D8A03B4" w14:textId="77777777" w:rsidR="00ED7C77" w:rsidRPr="007403A4" w:rsidRDefault="00ED7C77">
            <w:pPr>
              <w:ind w:right="28"/>
              <w:jc w:val="both"/>
              <w:rPr>
                <w:b/>
                <w:sz w:val="22"/>
                <w:szCs w:val="22"/>
                <w:lang w:val="sr-Latn-ME"/>
              </w:rPr>
            </w:pPr>
            <w:r w:rsidRPr="007403A4">
              <w:rPr>
                <w:b/>
                <w:sz w:val="22"/>
                <w:szCs w:val="22"/>
                <w:lang w:val="sr-Latn-ME"/>
              </w:rPr>
              <w:t>rituksimab + hlorambucil</w:t>
            </w:r>
          </w:p>
          <w:p w14:paraId="72BCE821" w14:textId="77777777" w:rsidR="00ED7C77" w:rsidRPr="007403A4" w:rsidRDefault="00ED7C77">
            <w:pPr>
              <w:ind w:right="28"/>
              <w:jc w:val="both"/>
              <w:rPr>
                <w:b/>
                <w:sz w:val="22"/>
                <w:szCs w:val="22"/>
                <w:lang w:val="sr-Latn-ME"/>
              </w:rPr>
            </w:pPr>
            <w:r w:rsidRPr="007403A4">
              <w:rPr>
                <w:b/>
                <w:sz w:val="22"/>
                <w:szCs w:val="22"/>
                <w:lang w:val="sr-Latn-ME"/>
              </w:rPr>
              <w:t>N=330</w:t>
            </w:r>
          </w:p>
        </w:tc>
        <w:tc>
          <w:tcPr>
            <w:tcW w:w="770" w:type="pct"/>
            <w:tcBorders>
              <w:top w:val="single" w:sz="4" w:space="0" w:color="auto"/>
              <w:left w:val="nil"/>
              <w:bottom w:val="single" w:sz="4" w:space="0" w:color="auto"/>
              <w:right w:val="single" w:sz="4" w:space="0" w:color="auto"/>
            </w:tcBorders>
          </w:tcPr>
          <w:p w14:paraId="54222EBA" w14:textId="5015F700" w:rsidR="00ED7C77" w:rsidRPr="007403A4" w:rsidRDefault="00942B09">
            <w:pPr>
              <w:ind w:right="28"/>
              <w:jc w:val="both"/>
              <w:rPr>
                <w:b/>
                <w:sz w:val="22"/>
                <w:szCs w:val="22"/>
                <w:lang w:val="sr-Latn-ME"/>
              </w:rPr>
            </w:pPr>
            <w:r w:rsidRPr="007403A4">
              <w:rPr>
                <w:b/>
                <w:sz w:val="22"/>
                <w:szCs w:val="22"/>
                <w:lang w:val="sr-Latn-ME"/>
              </w:rPr>
              <w:t xml:space="preserve">Lijek </w:t>
            </w:r>
            <w:r w:rsidR="00ED7C77" w:rsidRPr="007403A4">
              <w:rPr>
                <w:b/>
                <w:sz w:val="22"/>
                <w:szCs w:val="22"/>
                <w:lang w:val="sr-Latn-ME"/>
              </w:rPr>
              <w:t>Gazyvaro + hlorambucil</w:t>
            </w:r>
          </w:p>
          <w:p w14:paraId="3E676F69" w14:textId="77777777" w:rsidR="00ED7C77" w:rsidRPr="007403A4" w:rsidRDefault="00ED7C77">
            <w:pPr>
              <w:ind w:right="28"/>
              <w:jc w:val="both"/>
              <w:rPr>
                <w:b/>
                <w:sz w:val="22"/>
                <w:szCs w:val="22"/>
                <w:lang w:val="sr-Latn-ME"/>
              </w:rPr>
            </w:pPr>
            <w:r w:rsidRPr="007403A4">
              <w:rPr>
                <w:b/>
                <w:sz w:val="22"/>
                <w:szCs w:val="22"/>
                <w:lang w:val="sr-Latn-ME"/>
              </w:rPr>
              <w:t>N=333</w:t>
            </w:r>
          </w:p>
        </w:tc>
      </w:tr>
      <w:tr w:rsidR="00ED7C77" w:rsidRPr="007403A4" w14:paraId="7B4D3535" w14:textId="77777777" w:rsidTr="00ED7C77">
        <w:trPr>
          <w:cantSplit/>
          <w:tblHeader/>
        </w:trPr>
        <w:tc>
          <w:tcPr>
            <w:tcW w:w="1931" w:type="pct"/>
            <w:tcBorders>
              <w:top w:val="single" w:sz="4" w:space="0" w:color="auto"/>
              <w:left w:val="single" w:sz="4" w:space="0" w:color="auto"/>
              <w:bottom w:val="single" w:sz="4" w:space="0" w:color="auto"/>
              <w:right w:val="single" w:sz="4" w:space="0" w:color="auto"/>
            </w:tcBorders>
          </w:tcPr>
          <w:p w14:paraId="5EA28B50" w14:textId="77777777" w:rsidR="00ED7C77" w:rsidRPr="007403A4" w:rsidRDefault="00ED7C77" w:rsidP="004D3AD0">
            <w:pPr>
              <w:ind w:right="28"/>
              <w:jc w:val="both"/>
              <w:rPr>
                <w:b/>
                <w:sz w:val="22"/>
                <w:szCs w:val="22"/>
                <w:lang w:val="sr-Latn-ME"/>
              </w:rPr>
            </w:pPr>
          </w:p>
        </w:tc>
        <w:tc>
          <w:tcPr>
            <w:tcW w:w="1540" w:type="pct"/>
            <w:gridSpan w:val="4"/>
            <w:tcBorders>
              <w:top w:val="single" w:sz="4" w:space="0" w:color="auto"/>
              <w:left w:val="single" w:sz="4" w:space="0" w:color="auto"/>
              <w:bottom w:val="single" w:sz="4" w:space="0" w:color="auto"/>
              <w:right w:val="single" w:sz="4" w:space="0" w:color="auto"/>
            </w:tcBorders>
          </w:tcPr>
          <w:p w14:paraId="1CC770A7" w14:textId="77777777" w:rsidR="00ED7C77" w:rsidRPr="007403A4" w:rsidRDefault="00ED7C77" w:rsidP="00C95059">
            <w:pPr>
              <w:ind w:right="28"/>
              <w:jc w:val="both"/>
              <w:rPr>
                <w:b/>
                <w:sz w:val="22"/>
                <w:szCs w:val="22"/>
                <w:lang w:val="sr-Latn-ME"/>
              </w:rPr>
            </w:pPr>
            <w:r w:rsidRPr="007403A4">
              <w:rPr>
                <w:b/>
                <w:sz w:val="22"/>
                <w:szCs w:val="22"/>
                <w:lang w:val="sr-Latn-ME"/>
              </w:rPr>
              <w:t>medijana vremena posmatranja: 22,8 mjeseci</w:t>
            </w:r>
            <w:r w:rsidRPr="007403A4">
              <w:rPr>
                <w:b/>
                <w:sz w:val="22"/>
                <w:szCs w:val="22"/>
                <w:vertAlign w:val="superscript"/>
                <w:lang w:val="sr-Latn-ME"/>
              </w:rPr>
              <w:t>g</w:t>
            </w:r>
          </w:p>
        </w:tc>
        <w:tc>
          <w:tcPr>
            <w:tcW w:w="1529" w:type="pct"/>
            <w:gridSpan w:val="2"/>
            <w:tcBorders>
              <w:top w:val="single" w:sz="4" w:space="0" w:color="auto"/>
              <w:left w:val="nil"/>
              <w:bottom w:val="single" w:sz="4" w:space="0" w:color="auto"/>
              <w:right w:val="single" w:sz="4" w:space="0" w:color="auto"/>
            </w:tcBorders>
          </w:tcPr>
          <w:p w14:paraId="2A39826C" w14:textId="77777777" w:rsidR="00ED7C77" w:rsidRPr="007403A4" w:rsidRDefault="00ED7C77" w:rsidP="00C95059">
            <w:pPr>
              <w:ind w:right="28"/>
              <w:jc w:val="both"/>
              <w:rPr>
                <w:b/>
                <w:sz w:val="22"/>
                <w:szCs w:val="22"/>
                <w:lang w:val="sr-Latn-ME"/>
              </w:rPr>
            </w:pPr>
            <w:r w:rsidRPr="007403A4">
              <w:rPr>
                <w:b/>
                <w:sz w:val="22"/>
                <w:szCs w:val="22"/>
                <w:lang w:val="sr-Latn-ME"/>
              </w:rPr>
              <w:t>medijana vremena posmatranja: 18,7 mjeseci</w:t>
            </w:r>
            <w:r w:rsidRPr="007403A4">
              <w:rPr>
                <w:b/>
                <w:sz w:val="22"/>
                <w:szCs w:val="22"/>
                <w:vertAlign w:val="superscript"/>
                <w:lang w:val="sr-Latn-ME"/>
              </w:rPr>
              <w:t>g</w:t>
            </w:r>
          </w:p>
        </w:tc>
      </w:tr>
      <w:tr w:rsidR="00ED7C77" w:rsidRPr="007403A4" w14:paraId="384F7CD6" w14:textId="77777777" w:rsidTr="00ED7C77">
        <w:trPr>
          <w:cantSplit/>
        </w:trPr>
        <w:tc>
          <w:tcPr>
            <w:tcW w:w="1931" w:type="pct"/>
            <w:tcBorders>
              <w:top w:val="single" w:sz="4" w:space="0" w:color="auto"/>
              <w:left w:val="single" w:sz="4" w:space="0" w:color="auto"/>
              <w:bottom w:val="single" w:sz="4" w:space="0" w:color="auto"/>
            </w:tcBorders>
          </w:tcPr>
          <w:p w14:paraId="5BFF3980" w14:textId="38290AFC" w:rsidR="00ED7C77" w:rsidRPr="007403A4" w:rsidRDefault="00ED7C77" w:rsidP="004D3AD0">
            <w:pPr>
              <w:ind w:right="28"/>
              <w:jc w:val="both"/>
              <w:rPr>
                <w:b/>
                <w:sz w:val="22"/>
                <w:szCs w:val="22"/>
                <w:lang w:val="sr-Latn-ME"/>
              </w:rPr>
            </w:pPr>
            <w:r w:rsidRPr="007403A4">
              <w:rPr>
                <w:b/>
                <w:sz w:val="22"/>
                <w:szCs w:val="22"/>
                <w:lang w:val="sr-Latn-ME"/>
              </w:rPr>
              <w:t>Primarn</w:t>
            </w:r>
            <w:r w:rsidR="00942B09" w:rsidRPr="007403A4">
              <w:rPr>
                <w:b/>
                <w:sz w:val="22"/>
                <w:szCs w:val="22"/>
                <w:lang w:val="sr-Latn-ME"/>
              </w:rPr>
              <w:t>i parametar praćenja</w:t>
            </w:r>
            <w:r w:rsidRPr="007403A4">
              <w:rPr>
                <w:b/>
                <w:sz w:val="22"/>
                <w:szCs w:val="22"/>
                <w:lang w:val="sr-Latn-ME"/>
              </w:rPr>
              <w:t xml:space="preserve"> </w:t>
            </w:r>
          </w:p>
        </w:tc>
        <w:tc>
          <w:tcPr>
            <w:tcW w:w="1540" w:type="pct"/>
            <w:gridSpan w:val="4"/>
            <w:tcBorders>
              <w:top w:val="single" w:sz="4" w:space="0" w:color="auto"/>
              <w:bottom w:val="single" w:sz="4" w:space="0" w:color="auto"/>
            </w:tcBorders>
          </w:tcPr>
          <w:p w14:paraId="694DB818" w14:textId="77777777" w:rsidR="00ED7C77" w:rsidRPr="007403A4" w:rsidRDefault="00ED7C77" w:rsidP="004D3AD0">
            <w:pPr>
              <w:ind w:right="28"/>
              <w:jc w:val="both"/>
              <w:rPr>
                <w:sz w:val="22"/>
                <w:szCs w:val="22"/>
                <w:lang w:val="sr-Latn-ME"/>
              </w:rPr>
            </w:pPr>
          </w:p>
        </w:tc>
        <w:tc>
          <w:tcPr>
            <w:tcW w:w="1529" w:type="pct"/>
            <w:gridSpan w:val="2"/>
            <w:tcBorders>
              <w:top w:val="single" w:sz="4" w:space="0" w:color="auto"/>
              <w:bottom w:val="single" w:sz="4" w:space="0" w:color="auto"/>
              <w:right w:val="single" w:sz="4" w:space="0" w:color="auto"/>
            </w:tcBorders>
          </w:tcPr>
          <w:p w14:paraId="659C4D54" w14:textId="77777777" w:rsidR="00ED7C77" w:rsidRPr="007403A4" w:rsidRDefault="00ED7C77">
            <w:pPr>
              <w:ind w:right="28"/>
              <w:jc w:val="both"/>
              <w:rPr>
                <w:sz w:val="22"/>
                <w:szCs w:val="22"/>
                <w:lang w:val="sr-Latn-ME"/>
              </w:rPr>
            </w:pPr>
          </w:p>
        </w:tc>
      </w:tr>
      <w:tr w:rsidR="00ED7C77" w:rsidRPr="007403A4" w14:paraId="728B4A29" w14:textId="77777777" w:rsidTr="00ED7C77">
        <w:trPr>
          <w:cantSplit/>
        </w:trPr>
        <w:tc>
          <w:tcPr>
            <w:tcW w:w="1931" w:type="pct"/>
            <w:tcBorders>
              <w:top w:val="single" w:sz="4" w:space="0" w:color="auto"/>
              <w:left w:val="single" w:sz="4" w:space="0" w:color="auto"/>
              <w:right w:val="single" w:sz="4" w:space="0" w:color="auto"/>
            </w:tcBorders>
          </w:tcPr>
          <w:p w14:paraId="5C74F81B" w14:textId="77777777" w:rsidR="00ED7C77" w:rsidRPr="007403A4" w:rsidRDefault="00ED7C77" w:rsidP="004D3AD0">
            <w:pPr>
              <w:ind w:right="28"/>
              <w:jc w:val="both"/>
              <w:rPr>
                <w:b/>
                <w:i/>
                <w:sz w:val="22"/>
                <w:szCs w:val="22"/>
                <w:vertAlign w:val="superscript"/>
                <w:lang w:val="sr-Latn-ME"/>
              </w:rPr>
            </w:pPr>
            <w:r w:rsidRPr="007403A4">
              <w:rPr>
                <w:b/>
                <w:i/>
                <w:sz w:val="22"/>
                <w:szCs w:val="22"/>
                <w:lang w:val="sr-Latn-ME"/>
              </w:rPr>
              <w:t>PFS prema ocjeni ispitivača</w:t>
            </w:r>
            <w:r w:rsidRPr="007403A4">
              <w:rPr>
                <w:b/>
                <w:i/>
                <w:sz w:val="22"/>
                <w:szCs w:val="22"/>
                <w:vertAlign w:val="superscript"/>
                <w:lang w:val="sr-Latn-ME"/>
              </w:rPr>
              <w:t>a</w:t>
            </w:r>
          </w:p>
        </w:tc>
        <w:tc>
          <w:tcPr>
            <w:tcW w:w="772" w:type="pct"/>
            <w:gridSpan w:val="2"/>
            <w:tcBorders>
              <w:top w:val="single" w:sz="4" w:space="0" w:color="auto"/>
              <w:left w:val="single" w:sz="4" w:space="0" w:color="auto"/>
              <w:right w:val="nil"/>
            </w:tcBorders>
          </w:tcPr>
          <w:p w14:paraId="0E5EFFE6" w14:textId="77777777" w:rsidR="00ED7C77" w:rsidRPr="007403A4" w:rsidRDefault="00ED7C77" w:rsidP="004D3AD0">
            <w:pPr>
              <w:ind w:right="28"/>
              <w:jc w:val="both"/>
              <w:rPr>
                <w:sz w:val="22"/>
                <w:szCs w:val="22"/>
                <w:lang w:val="sr-Latn-ME"/>
              </w:rPr>
            </w:pPr>
          </w:p>
        </w:tc>
        <w:tc>
          <w:tcPr>
            <w:tcW w:w="768" w:type="pct"/>
            <w:gridSpan w:val="2"/>
            <w:tcBorders>
              <w:top w:val="single" w:sz="4" w:space="0" w:color="auto"/>
              <w:left w:val="nil"/>
              <w:right w:val="single" w:sz="4" w:space="0" w:color="auto"/>
            </w:tcBorders>
          </w:tcPr>
          <w:p w14:paraId="6D8BD718" w14:textId="77777777" w:rsidR="00ED7C77" w:rsidRPr="007403A4" w:rsidRDefault="00ED7C77">
            <w:pPr>
              <w:ind w:right="28"/>
              <w:jc w:val="both"/>
              <w:rPr>
                <w:sz w:val="22"/>
                <w:szCs w:val="22"/>
                <w:lang w:val="sr-Latn-ME"/>
              </w:rPr>
            </w:pPr>
          </w:p>
        </w:tc>
        <w:tc>
          <w:tcPr>
            <w:tcW w:w="759" w:type="pct"/>
            <w:tcBorders>
              <w:top w:val="single" w:sz="4" w:space="0" w:color="auto"/>
              <w:left w:val="single" w:sz="4" w:space="0" w:color="auto"/>
            </w:tcBorders>
          </w:tcPr>
          <w:p w14:paraId="28C7AAEE" w14:textId="77777777" w:rsidR="00ED7C77" w:rsidRPr="007403A4" w:rsidRDefault="00ED7C77">
            <w:pPr>
              <w:ind w:right="28"/>
              <w:jc w:val="both"/>
              <w:rPr>
                <w:sz w:val="22"/>
                <w:szCs w:val="22"/>
                <w:lang w:val="sr-Latn-ME"/>
              </w:rPr>
            </w:pPr>
          </w:p>
        </w:tc>
        <w:tc>
          <w:tcPr>
            <w:tcW w:w="770" w:type="pct"/>
            <w:tcBorders>
              <w:top w:val="single" w:sz="4" w:space="0" w:color="auto"/>
              <w:right w:val="single" w:sz="4" w:space="0" w:color="auto"/>
            </w:tcBorders>
          </w:tcPr>
          <w:p w14:paraId="0EF54601" w14:textId="77777777" w:rsidR="00ED7C77" w:rsidRPr="007403A4" w:rsidRDefault="00ED7C77">
            <w:pPr>
              <w:ind w:right="28"/>
              <w:jc w:val="both"/>
              <w:rPr>
                <w:sz w:val="22"/>
                <w:szCs w:val="22"/>
                <w:lang w:val="sr-Latn-ME"/>
              </w:rPr>
            </w:pPr>
          </w:p>
        </w:tc>
      </w:tr>
      <w:tr w:rsidR="00ED7C77" w:rsidRPr="007403A4" w14:paraId="1AA2D88D" w14:textId="77777777" w:rsidTr="00ED7C77">
        <w:trPr>
          <w:cantSplit/>
        </w:trPr>
        <w:tc>
          <w:tcPr>
            <w:tcW w:w="1931" w:type="pct"/>
            <w:tcBorders>
              <w:left w:val="single" w:sz="4" w:space="0" w:color="auto"/>
              <w:right w:val="single" w:sz="4" w:space="0" w:color="auto"/>
            </w:tcBorders>
          </w:tcPr>
          <w:p w14:paraId="64A8F0C4" w14:textId="77777777" w:rsidR="00ED7C77" w:rsidRPr="007403A4" w:rsidRDefault="00ED7C77" w:rsidP="00C95059">
            <w:pPr>
              <w:ind w:right="28"/>
              <w:jc w:val="both"/>
              <w:rPr>
                <w:sz w:val="22"/>
                <w:szCs w:val="22"/>
                <w:lang w:val="sr-Latn-ME"/>
              </w:rPr>
            </w:pPr>
            <w:r w:rsidRPr="007403A4">
              <w:rPr>
                <w:sz w:val="22"/>
                <w:szCs w:val="22"/>
                <w:lang w:val="sr-Latn-ME"/>
              </w:rPr>
              <w:t xml:space="preserve">Broj (%) pacijenata sa događajem </w:t>
            </w:r>
          </w:p>
        </w:tc>
        <w:tc>
          <w:tcPr>
            <w:tcW w:w="772" w:type="pct"/>
            <w:gridSpan w:val="2"/>
            <w:tcBorders>
              <w:left w:val="single" w:sz="4" w:space="0" w:color="auto"/>
              <w:right w:val="nil"/>
            </w:tcBorders>
          </w:tcPr>
          <w:p w14:paraId="4029825E" w14:textId="77777777" w:rsidR="00ED7C77" w:rsidRPr="007403A4" w:rsidRDefault="00ED7C77" w:rsidP="004D3AD0">
            <w:pPr>
              <w:ind w:right="28"/>
              <w:jc w:val="center"/>
              <w:rPr>
                <w:sz w:val="22"/>
                <w:szCs w:val="22"/>
                <w:lang w:val="sr-Latn-ME"/>
              </w:rPr>
            </w:pPr>
            <w:r w:rsidRPr="007403A4">
              <w:rPr>
                <w:sz w:val="22"/>
                <w:szCs w:val="22"/>
                <w:lang w:val="sr-Latn-ME"/>
              </w:rPr>
              <w:t>96 (81,4%)</w:t>
            </w:r>
          </w:p>
        </w:tc>
        <w:tc>
          <w:tcPr>
            <w:tcW w:w="768" w:type="pct"/>
            <w:gridSpan w:val="2"/>
            <w:tcBorders>
              <w:left w:val="nil"/>
              <w:right w:val="single" w:sz="4" w:space="0" w:color="auto"/>
            </w:tcBorders>
          </w:tcPr>
          <w:p w14:paraId="137B30F5" w14:textId="77777777" w:rsidR="00ED7C77" w:rsidRPr="007403A4" w:rsidRDefault="00ED7C77">
            <w:pPr>
              <w:ind w:right="28"/>
              <w:jc w:val="center"/>
              <w:rPr>
                <w:sz w:val="22"/>
                <w:szCs w:val="22"/>
                <w:lang w:val="sr-Latn-ME"/>
              </w:rPr>
            </w:pPr>
            <w:r w:rsidRPr="007403A4">
              <w:rPr>
                <w:sz w:val="22"/>
                <w:szCs w:val="22"/>
                <w:lang w:val="sr-Latn-ME"/>
              </w:rPr>
              <w:t>93 (39,1%)</w:t>
            </w:r>
          </w:p>
        </w:tc>
        <w:tc>
          <w:tcPr>
            <w:tcW w:w="759" w:type="pct"/>
            <w:tcBorders>
              <w:left w:val="single" w:sz="4" w:space="0" w:color="auto"/>
            </w:tcBorders>
          </w:tcPr>
          <w:p w14:paraId="7811F48D" w14:textId="77777777" w:rsidR="00ED7C77" w:rsidRPr="007403A4" w:rsidRDefault="00ED7C77">
            <w:pPr>
              <w:ind w:right="28"/>
              <w:jc w:val="center"/>
              <w:rPr>
                <w:sz w:val="22"/>
                <w:szCs w:val="22"/>
                <w:lang w:val="sr-Latn-ME"/>
              </w:rPr>
            </w:pPr>
            <w:r w:rsidRPr="007403A4">
              <w:rPr>
                <w:sz w:val="22"/>
                <w:szCs w:val="22"/>
                <w:lang w:val="sr-Latn-ME"/>
              </w:rPr>
              <w:t>199 (60,3%)</w:t>
            </w:r>
          </w:p>
        </w:tc>
        <w:tc>
          <w:tcPr>
            <w:tcW w:w="770" w:type="pct"/>
            <w:tcBorders>
              <w:right w:val="single" w:sz="4" w:space="0" w:color="auto"/>
            </w:tcBorders>
          </w:tcPr>
          <w:p w14:paraId="63DFC559" w14:textId="77777777" w:rsidR="00ED7C77" w:rsidRPr="007403A4" w:rsidRDefault="00ED7C77">
            <w:pPr>
              <w:ind w:right="28"/>
              <w:jc w:val="center"/>
              <w:rPr>
                <w:sz w:val="22"/>
                <w:szCs w:val="22"/>
                <w:lang w:val="sr-Latn-ME"/>
              </w:rPr>
            </w:pPr>
            <w:r w:rsidRPr="007403A4">
              <w:rPr>
                <w:sz w:val="22"/>
                <w:szCs w:val="22"/>
                <w:lang w:val="sr-Latn-ME"/>
              </w:rPr>
              <w:t>104 (31,2%)</w:t>
            </w:r>
          </w:p>
        </w:tc>
      </w:tr>
      <w:tr w:rsidR="00ED7C77" w:rsidRPr="007403A4" w14:paraId="731E25EF" w14:textId="77777777" w:rsidTr="00ED7C77">
        <w:trPr>
          <w:cantSplit/>
        </w:trPr>
        <w:tc>
          <w:tcPr>
            <w:tcW w:w="1931" w:type="pct"/>
            <w:tcBorders>
              <w:left w:val="single" w:sz="4" w:space="0" w:color="auto"/>
              <w:right w:val="single" w:sz="4" w:space="0" w:color="auto"/>
            </w:tcBorders>
          </w:tcPr>
          <w:p w14:paraId="745A5E4E" w14:textId="77777777" w:rsidR="00ED7C77" w:rsidRPr="007403A4" w:rsidRDefault="00ED7C77" w:rsidP="00C95059">
            <w:pPr>
              <w:ind w:right="28"/>
              <w:jc w:val="both"/>
              <w:rPr>
                <w:sz w:val="22"/>
                <w:szCs w:val="22"/>
                <w:lang w:val="sr-Latn-ME"/>
              </w:rPr>
            </w:pPr>
            <w:r w:rsidRPr="007403A4">
              <w:rPr>
                <w:sz w:val="22"/>
                <w:szCs w:val="22"/>
                <w:lang w:val="sr-Latn-ME"/>
              </w:rPr>
              <w:t xml:space="preserve">Medijana vremena do događaja (mjeseci) </w:t>
            </w:r>
          </w:p>
        </w:tc>
        <w:tc>
          <w:tcPr>
            <w:tcW w:w="772" w:type="pct"/>
            <w:gridSpan w:val="2"/>
            <w:tcBorders>
              <w:left w:val="single" w:sz="4" w:space="0" w:color="auto"/>
              <w:right w:val="nil"/>
            </w:tcBorders>
          </w:tcPr>
          <w:p w14:paraId="49E0C24F" w14:textId="77777777" w:rsidR="00ED7C77" w:rsidRPr="007403A4" w:rsidRDefault="00ED7C77" w:rsidP="004D3AD0">
            <w:pPr>
              <w:ind w:right="28"/>
              <w:jc w:val="center"/>
              <w:rPr>
                <w:sz w:val="22"/>
                <w:szCs w:val="22"/>
                <w:lang w:val="sr-Latn-ME"/>
              </w:rPr>
            </w:pPr>
            <w:r w:rsidRPr="007403A4">
              <w:rPr>
                <w:sz w:val="22"/>
                <w:szCs w:val="22"/>
                <w:lang w:val="sr-Latn-ME"/>
              </w:rPr>
              <w:t>11,1</w:t>
            </w:r>
          </w:p>
        </w:tc>
        <w:tc>
          <w:tcPr>
            <w:tcW w:w="768" w:type="pct"/>
            <w:gridSpan w:val="2"/>
            <w:tcBorders>
              <w:left w:val="nil"/>
              <w:right w:val="single" w:sz="4" w:space="0" w:color="auto"/>
            </w:tcBorders>
          </w:tcPr>
          <w:p w14:paraId="4E8B20CC" w14:textId="77777777" w:rsidR="00ED7C77" w:rsidRPr="007403A4" w:rsidRDefault="00ED7C77">
            <w:pPr>
              <w:ind w:right="28"/>
              <w:jc w:val="center"/>
              <w:rPr>
                <w:sz w:val="22"/>
                <w:szCs w:val="22"/>
                <w:lang w:val="sr-Latn-ME"/>
              </w:rPr>
            </w:pPr>
            <w:r w:rsidRPr="007403A4">
              <w:rPr>
                <w:sz w:val="22"/>
                <w:szCs w:val="22"/>
                <w:lang w:val="sr-Latn-ME"/>
              </w:rPr>
              <w:t>26,7</w:t>
            </w:r>
          </w:p>
        </w:tc>
        <w:tc>
          <w:tcPr>
            <w:tcW w:w="759" w:type="pct"/>
            <w:tcBorders>
              <w:left w:val="single" w:sz="4" w:space="0" w:color="auto"/>
            </w:tcBorders>
          </w:tcPr>
          <w:p w14:paraId="4A76129E" w14:textId="77777777" w:rsidR="00ED7C77" w:rsidRPr="007403A4" w:rsidRDefault="00ED7C77">
            <w:pPr>
              <w:ind w:right="28"/>
              <w:jc w:val="center"/>
              <w:rPr>
                <w:sz w:val="22"/>
                <w:szCs w:val="22"/>
                <w:lang w:val="sr-Latn-ME"/>
              </w:rPr>
            </w:pPr>
            <w:r w:rsidRPr="007403A4">
              <w:rPr>
                <w:sz w:val="22"/>
                <w:szCs w:val="22"/>
                <w:lang w:val="sr-Latn-ME"/>
              </w:rPr>
              <w:t>15,2</w:t>
            </w:r>
          </w:p>
        </w:tc>
        <w:tc>
          <w:tcPr>
            <w:tcW w:w="770" w:type="pct"/>
            <w:tcBorders>
              <w:right w:val="single" w:sz="4" w:space="0" w:color="auto"/>
            </w:tcBorders>
          </w:tcPr>
          <w:p w14:paraId="2EB50F71" w14:textId="77777777" w:rsidR="00ED7C77" w:rsidRPr="007403A4" w:rsidRDefault="00ED7C77">
            <w:pPr>
              <w:ind w:right="28"/>
              <w:jc w:val="center"/>
              <w:rPr>
                <w:sz w:val="22"/>
                <w:szCs w:val="22"/>
                <w:lang w:val="sr-Latn-ME"/>
              </w:rPr>
            </w:pPr>
            <w:r w:rsidRPr="007403A4">
              <w:rPr>
                <w:sz w:val="22"/>
                <w:szCs w:val="22"/>
                <w:lang w:val="sr-Latn-ME"/>
              </w:rPr>
              <w:t>26,7</w:t>
            </w:r>
          </w:p>
        </w:tc>
      </w:tr>
      <w:tr w:rsidR="00ED7C77" w:rsidRPr="007403A4" w14:paraId="6CCBDA9C"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66A23164" w14:textId="199729B2" w:rsidR="00ED7C77" w:rsidRPr="007403A4" w:rsidRDefault="00ED7C77" w:rsidP="00C95059">
            <w:pPr>
              <w:ind w:right="28"/>
              <w:jc w:val="both"/>
              <w:rPr>
                <w:sz w:val="22"/>
                <w:szCs w:val="22"/>
                <w:lang w:val="sr-Latn-ME"/>
              </w:rPr>
            </w:pPr>
            <w:r w:rsidRPr="007403A4">
              <w:rPr>
                <w:sz w:val="22"/>
                <w:szCs w:val="22"/>
                <w:lang w:val="sr-Latn-ME"/>
              </w:rPr>
              <w:t>O</w:t>
            </w:r>
            <w:r w:rsidR="00942B09" w:rsidRPr="007403A4">
              <w:rPr>
                <w:sz w:val="22"/>
                <w:szCs w:val="22"/>
                <w:lang w:val="sr-Latn-ME"/>
              </w:rPr>
              <w:t>dnos rizika</w:t>
            </w:r>
            <w:r w:rsidRPr="007403A4">
              <w:rPr>
                <w:sz w:val="22"/>
                <w:szCs w:val="22"/>
                <w:lang w:val="sr-Latn-ME"/>
              </w:rPr>
              <w:t xml:space="preserve"> (95% CI)</w:t>
            </w:r>
          </w:p>
        </w:tc>
        <w:tc>
          <w:tcPr>
            <w:tcW w:w="1540" w:type="pct"/>
            <w:gridSpan w:val="4"/>
            <w:tcBorders>
              <w:left w:val="single" w:sz="4" w:space="0" w:color="auto"/>
              <w:right w:val="single" w:sz="4" w:space="0" w:color="auto"/>
            </w:tcBorders>
          </w:tcPr>
          <w:p w14:paraId="774DB4FF" w14:textId="77777777" w:rsidR="00ED7C77" w:rsidRPr="007403A4" w:rsidRDefault="00ED7C77" w:rsidP="004D3AD0">
            <w:pPr>
              <w:ind w:right="28"/>
              <w:jc w:val="center"/>
              <w:rPr>
                <w:sz w:val="22"/>
                <w:szCs w:val="22"/>
                <w:lang w:val="sr-Latn-ME"/>
              </w:rPr>
            </w:pPr>
            <w:r w:rsidRPr="007403A4">
              <w:rPr>
                <w:sz w:val="22"/>
                <w:szCs w:val="22"/>
                <w:lang w:val="sr-Latn-ME"/>
              </w:rPr>
              <w:t>0,18 [0,13; 0,24]</w:t>
            </w:r>
          </w:p>
        </w:tc>
        <w:tc>
          <w:tcPr>
            <w:tcW w:w="1529" w:type="pct"/>
            <w:gridSpan w:val="2"/>
            <w:tcBorders>
              <w:left w:val="single" w:sz="4" w:space="0" w:color="auto"/>
              <w:right w:val="single" w:sz="4" w:space="0" w:color="auto"/>
            </w:tcBorders>
          </w:tcPr>
          <w:p w14:paraId="7B259B83" w14:textId="77777777" w:rsidR="00ED7C77" w:rsidRPr="007403A4" w:rsidRDefault="00ED7C77">
            <w:pPr>
              <w:ind w:right="28"/>
              <w:jc w:val="center"/>
              <w:rPr>
                <w:sz w:val="22"/>
                <w:szCs w:val="22"/>
                <w:lang w:val="sr-Latn-ME"/>
              </w:rPr>
            </w:pPr>
            <w:r w:rsidRPr="007403A4">
              <w:rPr>
                <w:sz w:val="22"/>
                <w:szCs w:val="22"/>
                <w:lang w:val="sr-Latn-ME"/>
              </w:rPr>
              <w:t>0,39 [0,31; 0,49]</w:t>
            </w:r>
          </w:p>
        </w:tc>
      </w:tr>
      <w:tr w:rsidR="00ED7C77" w:rsidRPr="007403A4" w14:paraId="4F2F4673" w14:textId="77777777" w:rsidTr="00ED7C77">
        <w:tblPrEx>
          <w:tblLook w:val="0000" w:firstRow="0" w:lastRow="0" w:firstColumn="0" w:lastColumn="0" w:noHBand="0" w:noVBand="0"/>
        </w:tblPrEx>
        <w:trPr>
          <w:cantSplit/>
        </w:trPr>
        <w:tc>
          <w:tcPr>
            <w:tcW w:w="1931" w:type="pct"/>
            <w:tcBorders>
              <w:left w:val="single" w:sz="4" w:space="0" w:color="auto"/>
              <w:bottom w:val="single" w:sz="4" w:space="0" w:color="auto"/>
              <w:right w:val="single" w:sz="4" w:space="0" w:color="auto"/>
            </w:tcBorders>
          </w:tcPr>
          <w:p w14:paraId="638E93C5" w14:textId="5727491C" w:rsidR="00ED7C77" w:rsidRPr="007403A4" w:rsidRDefault="00ED7C77" w:rsidP="00C95059">
            <w:pPr>
              <w:ind w:right="28"/>
              <w:jc w:val="both"/>
              <w:rPr>
                <w:sz w:val="22"/>
                <w:szCs w:val="22"/>
                <w:lang w:val="sr-Latn-ME"/>
              </w:rPr>
            </w:pPr>
            <w:r w:rsidRPr="007403A4">
              <w:rPr>
                <w:sz w:val="22"/>
                <w:szCs w:val="22"/>
                <w:lang w:val="sr-Latn-ME"/>
              </w:rPr>
              <w:t>p-vrijednost (log-rang test, stratifi</w:t>
            </w:r>
            <w:r w:rsidR="00942B09" w:rsidRPr="007403A4">
              <w:rPr>
                <w:sz w:val="22"/>
                <w:szCs w:val="22"/>
                <w:lang w:val="sr-Latn-ME"/>
              </w:rPr>
              <w:t>kovan</w:t>
            </w:r>
            <w:r w:rsidRPr="007403A4">
              <w:rPr>
                <w:sz w:val="22"/>
                <w:szCs w:val="22"/>
                <w:vertAlign w:val="superscript"/>
                <w:lang w:val="sr-Latn-ME"/>
              </w:rPr>
              <w:t>b</w:t>
            </w:r>
            <w:r w:rsidRPr="007403A4">
              <w:rPr>
                <w:sz w:val="22"/>
                <w:szCs w:val="22"/>
                <w:lang w:val="sr-Latn-ME"/>
              </w:rPr>
              <w:t>)</w:t>
            </w:r>
          </w:p>
        </w:tc>
        <w:tc>
          <w:tcPr>
            <w:tcW w:w="1540" w:type="pct"/>
            <w:gridSpan w:val="4"/>
            <w:tcBorders>
              <w:left w:val="single" w:sz="4" w:space="0" w:color="auto"/>
              <w:bottom w:val="single" w:sz="4" w:space="0" w:color="auto"/>
              <w:right w:val="single" w:sz="4" w:space="0" w:color="auto"/>
            </w:tcBorders>
          </w:tcPr>
          <w:p w14:paraId="6FC7EB91" w14:textId="77777777" w:rsidR="00ED7C77" w:rsidRPr="007403A4" w:rsidRDefault="00ED7C77" w:rsidP="004D3AD0">
            <w:pPr>
              <w:ind w:right="28"/>
              <w:jc w:val="center"/>
              <w:rPr>
                <w:sz w:val="22"/>
                <w:szCs w:val="22"/>
                <w:lang w:val="sr-Latn-ME"/>
              </w:rPr>
            </w:pPr>
            <w:r w:rsidRPr="007403A4">
              <w:rPr>
                <w:sz w:val="22"/>
                <w:szCs w:val="22"/>
                <w:lang w:val="sr-Latn-ME"/>
              </w:rPr>
              <w:t>&lt;0,0001</w:t>
            </w:r>
          </w:p>
        </w:tc>
        <w:tc>
          <w:tcPr>
            <w:tcW w:w="1529" w:type="pct"/>
            <w:gridSpan w:val="2"/>
            <w:tcBorders>
              <w:left w:val="single" w:sz="4" w:space="0" w:color="auto"/>
              <w:bottom w:val="single" w:sz="4" w:space="0" w:color="auto"/>
              <w:right w:val="single" w:sz="4" w:space="0" w:color="auto"/>
            </w:tcBorders>
          </w:tcPr>
          <w:p w14:paraId="63A5154E" w14:textId="77777777" w:rsidR="00ED7C77" w:rsidRPr="007403A4" w:rsidRDefault="00ED7C77">
            <w:pPr>
              <w:ind w:right="28"/>
              <w:jc w:val="center"/>
              <w:rPr>
                <w:sz w:val="22"/>
                <w:szCs w:val="22"/>
                <w:lang w:val="sr-Latn-ME"/>
              </w:rPr>
            </w:pPr>
            <w:r w:rsidRPr="007403A4">
              <w:rPr>
                <w:sz w:val="22"/>
                <w:szCs w:val="22"/>
                <w:lang w:val="sr-Latn-ME"/>
              </w:rPr>
              <w:t>&lt;0,0001</w:t>
            </w:r>
          </w:p>
        </w:tc>
      </w:tr>
      <w:tr w:rsidR="00ED7C77" w:rsidRPr="007403A4" w14:paraId="06B91B9D" w14:textId="77777777" w:rsidTr="00ED7C77">
        <w:tblPrEx>
          <w:tblLook w:val="0000" w:firstRow="0" w:lastRow="0" w:firstColumn="0" w:lastColumn="0" w:noHBand="0" w:noVBand="0"/>
        </w:tblPrEx>
        <w:trPr>
          <w:cantSplit/>
        </w:trPr>
        <w:tc>
          <w:tcPr>
            <w:tcW w:w="2703" w:type="pct"/>
            <w:gridSpan w:val="3"/>
            <w:tcBorders>
              <w:top w:val="single" w:sz="4" w:space="0" w:color="auto"/>
              <w:left w:val="single" w:sz="4" w:space="0" w:color="auto"/>
              <w:bottom w:val="single" w:sz="4" w:space="0" w:color="auto"/>
            </w:tcBorders>
          </w:tcPr>
          <w:p w14:paraId="63AE7FF1" w14:textId="60255658" w:rsidR="00ED7C77" w:rsidRPr="007403A4" w:rsidRDefault="00ED7C77" w:rsidP="00C95059">
            <w:pPr>
              <w:ind w:right="28"/>
              <w:jc w:val="center"/>
              <w:rPr>
                <w:b/>
                <w:sz w:val="22"/>
                <w:szCs w:val="22"/>
                <w:lang w:val="sr-Latn-ME"/>
              </w:rPr>
            </w:pPr>
            <w:r w:rsidRPr="007403A4">
              <w:rPr>
                <w:b/>
                <w:sz w:val="22"/>
                <w:szCs w:val="22"/>
                <w:lang w:val="sr-Latn-ME"/>
              </w:rPr>
              <w:t>Ključn</w:t>
            </w:r>
            <w:r w:rsidR="00942B09" w:rsidRPr="007403A4">
              <w:rPr>
                <w:b/>
                <w:sz w:val="22"/>
                <w:szCs w:val="22"/>
                <w:lang w:val="sr-Latn-ME"/>
              </w:rPr>
              <w:t>i</w:t>
            </w:r>
            <w:r w:rsidRPr="007403A4">
              <w:rPr>
                <w:b/>
                <w:sz w:val="22"/>
                <w:szCs w:val="22"/>
                <w:lang w:val="sr-Latn-ME"/>
              </w:rPr>
              <w:t xml:space="preserve"> sekundarn</w:t>
            </w:r>
            <w:r w:rsidR="00942B09" w:rsidRPr="007403A4">
              <w:rPr>
                <w:b/>
                <w:sz w:val="22"/>
                <w:szCs w:val="22"/>
                <w:lang w:val="sr-Latn-ME"/>
              </w:rPr>
              <w:t>i parametri praćenja</w:t>
            </w:r>
          </w:p>
        </w:tc>
        <w:tc>
          <w:tcPr>
            <w:tcW w:w="768" w:type="pct"/>
            <w:gridSpan w:val="2"/>
            <w:tcBorders>
              <w:top w:val="single" w:sz="4" w:space="0" w:color="auto"/>
              <w:bottom w:val="single" w:sz="4" w:space="0" w:color="auto"/>
            </w:tcBorders>
          </w:tcPr>
          <w:p w14:paraId="386F3C68" w14:textId="77777777" w:rsidR="00ED7C77" w:rsidRPr="007403A4" w:rsidRDefault="00ED7C77" w:rsidP="00C95059">
            <w:pPr>
              <w:ind w:right="28"/>
              <w:jc w:val="center"/>
              <w:rPr>
                <w:sz w:val="22"/>
                <w:szCs w:val="22"/>
                <w:lang w:val="sr-Latn-ME"/>
              </w:rPr>
            </w:pPr>
          </w:p>
        </w:tc>
        <w:tc>
          <w:tcPr>
            <w:tcW w:w="759" w:type="pct"/>
            <w:tcBorders>
              <w:top w:val="single" w:sz="4" w:space="0" w:color="auto"/>
              <w:bottom w:val="single" w:sz="4" w:space="0" w:color="auto"/>
            </w:tcBorders>
          </w:tcPr>
          <w:p w14:paraId="1E6D454A" w14:textId="77777777" w:rsidR="00ED7C77" w:rsidRPr="007403A4" w:rsidRDefault="00ED7C77" w:rsidP="00C95059">
            <w:pPr>
              <w:ind w:right="28"/>
              <w:jc w:val="center"/>
              <w:rPr>
                <w:sz w:val="22"/>
                <w:szCs w:val="22"/>
                <w:lang w:val="sr-Latn-ME"/>
              </w:rPr>
            </w:pPr>
          </w:p>
        </w:tc>
        <w:tc>
          <w:tcPr>
            <w:tcW w:w="770" w:type="pct"/>
            <w:tcBorders>
              <w:top w:val="single" w:sz="4" w:space="0" w:color="auto"/>
              <w:bottom w:val="single" w:sz="4" w:space="0" w:color="auto"/>
              <w:right w:val="single" w:sz="4" w:space="0" w:color="auto"/>
            </w:tcBorders>
          </w:tcPr>
          <w:p w14:paraId="6107E3C0" w14:textId="77777777" w:rsidR="00ED7C77" w:rsidRPr="007403A4" w:rsidRDefault="00ED7C77" w:rsidP="00C95059">
            <w:pPr>
              <w:ind w:right="28"/>
              <w:jc w:val="center"/>
              <w:rPr>
                <w:sz w:val="22"/>
                <w:szCs w:val="22"/>
                <w:lang w:val="sr-Latn-ME"/>
              </w:rPr>
            </w:pPr>
          </w:p>
        </w:tc>
      </w:tr>
      <w:tr w:rsidR="00ED7C77" w:rsidRPr="007403A4" w14:paraId="6B68A13B" w14:textId="77777777" w:rsidTr="00ED7C77">
        <w:tblPrEx>
          <w:tblLook w:val="0000" w:firstRow="0" w:lastRow="0" w:firstColumn="0" w:lastColumn="0" w:noHBand="0" w:noVBand="0"/>
        </w:tblPrEx>
        <w:trPr>
          <w:cantSplit/>
        </w:trPr>
        <w:tc>
          <w:tcPr>
            <w:tcW w:w="1931" w:type="pct"/>
            <w:tcBorders>
              <w:top w:val="single" w:sz="4" w:space="0" w:color="auto"/>
              <w:left w:val="single" w:sz="4" w:space="0" w:color="auto"/>
              <w:right w:val="single" w:sz="4" w:space="0" w:color="auto"/>
            </w:tcBorders>
          </w:tcPr>
          <w:p w14:paraId="066507DE" w14:textId="77777777" w:rsidR="00ED7C77" w:rsidRPr="007403A4" w:rsidRDefault="00ED7C77" w:rsidP="00C95059">
            <w:pPr>
              <w:ind w:right="28"/>
              <w:jc w:val="both"/>
              <w:rPr>
                <w:b/>
                <w:i/>
                <w:sz w:val="22"/>
                <w:szCs w:val="22"/>
                <w:vertAlign w:val="superscript"/>
                <w:lang w:val="sr-Latn-ME"/>
              </w:rPr>
            </w:pPr>
            <w:r w:rsidRPr="007403A4">
              <w:rPr>
                <w:b/>
                <w:i/>
                <w:sz w:val="22"/>
                <w:szCs w:val="22"/>
                <w:lang w:val="sr-Latn-ME"/>
              </w:rPr>
              <w:t>PFS prema ocjeni nezavisne ocjenjivačke komisije</w:t>
            </w:r>
            <w:r w:rsidRPr="007403A4">
              <w:rPr>
                <w:b/>
                <w:i/>
                <w:sz w:val="22"/>
                <w:szCs w:val="22"/>
                <w:vertAlign w:val="superscript"/>
                <w:lang w:val="sr-Latn-ME"/>
              </w:rPr>
              <w:t>a</w:t>
            </w:r>
          </w:p>
        </w:tc>
        <w:tc>
          <w:tcPr>
            <w:tcW w:w="772" w:type="pct"/>
            <w:gridSpan w:val="2"/>
            <w:tcBorders>
              <w:top w:val="single" w:sz="4" w:space="0" w:color="auto"/>
              <w:left w:val="single" w:sz="4" w:space="0" w:color="auto"/>
            </w:tcBorders>
          </w:tcPr>
          <w:p w14:paraId="6CEB7B1B" w14:textId="77777777" w:rsidR="00ED7C77" w:rsidRPr="007403A4" w:rsidRDefault="00ED7C77" w:rsidP="004D3AD0">
            <w:pPr>
              <w:ind w:right="28"/>
              <w:jc w:val="center"/>
              <w:rPr>
                <w:sz w:val="22"/>
                <w:szCs w:val="22"/>
                <w:lang w:val="sr-Latn-ME"/>
              </w:rPr>
            </w:pPr>
          </w:p>
        </w:tc>
        <w:tc>
          <w:tcPr>
            <w:tcW w:w="768" w:type="pct"/>
            <w:gridSpan w:val="2"/>
            <w:tcBorders>
              <w:top w:val="single" w:sz="4" w:space="0" w:color="auto"/>
              <w:right w:val="single" w:sz="4" w:space="0" w:color="auto"/>
            </w:tcBorders>
          </w:tcPr>
          <w:p w14:paraId="20DEA223" w14:textId="77777777" w:rsidR="00ED7C77" w:rsidRPr="007403A4" w:rsidRDefault="00ED7C77">
            <w:pPr>
              <w:ind w:right="28"/>
              <w:jc w:val="center"/>
              <w:rPr>
                <w:sz w:val="22"/>
                <w:szCs w:val="22"/>
                <w:lang w:val="sr-Latn-ME"/>
              </w:rPr>
            </w:pPr>
          </w:p>
        </w:tc>
        <w:tc>
          <w:tcPr>
            <w:tcW w:w="759" w:type="pct"/>
            <w:tcBorders>
              <w:top w:val="single" w:sz="4" w:space="0" w:color="auto"/>
              <w:left w:val="single" w:sz="4" w:space="0" w:color="auto"/>
            </w:tcBorders>
          </w:tcPr>
          <w:p w14:paraId="17FEDEC7" w14:textId="77777777" w:rsidR="00ED7C77" w:rsidRPr="007403A4" w:rsidRDefault="00ED7C77">
            <w:pPr>
              <w:ind w:right="28"/>
              <w:jc w:val="center"/>
              <w:rPr>
                <w:sz w:val="22"/>
                <w:szCs w:val="22"/>
                <w:lang w:val="sr-Latn-ME"/>
              </w:rPr>
            </w:pPr>
          </w:p>
        </w:tc>
        <w:tc>
          <w:tcPr>
            <w:tcW w:w="770" w:type="pct"/>
            <w:tcBorders>
              <w:top w:val="single" w:sz="4" w:space="0" w:color="auto"/>
              <w:right w:val="single" w:sz="4" w:space="0" w:color="auto"/>
            </w:tcBorders>
          </w:tcPr>
          <w:p w14:paraId="27B52567" w14:textId="77777777" w:rsidR="00ED7C77" w:rsidRPr="007403A4" w:rsidRDefault="00ED7C77">
            <w:pPr>
              <w:ind w:right="28"/>
              <w:jc w:val="center"/>
              <w:rPr>
                <w:sz w:val="22"/>
                <w:szCs w:val="22"/>
                <w:lang w:val="sr-Latn-ME"/>
              </w:rPr>
            </w:pPr>
          </w:p>
        </w:tc>
      </w:tr>
      <w:tr w:rsidR="00ED7C77" w:rsidRPr="007403A4" w14:paraId="079A251B"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27FE32D8" w14:textId="77777777" w:rsidR="00ED7C77" w:rsidRPr="007403A4" w:rsidRDefault="00ED7C77" w:rsidP="00C95059">
            <w:pPr>
              <w:ind w:right="28"/>
              <w:jc w:val="both"/>
              <w:rPr>
                <w:sz w:val="22"/>
                <w:szCs w:val="22"/>
                <w:lang w:val="sr-Latn-ME"/>
              </w:rPr>
            </w:pPr>
            <w:r w:rsidRPr="007403A4">
              <w:rPr>
                <w:sz w:val="22"/>
                <w:szCs w:val="22"/>
                <w:lang w:val="sr-Latn-ME"/>
              </w:rPr>
              <w:t xml:space="preserve">Broj (%) pacijenata sa događajem </w:t>
            </w:r>
          </w:p>
        </w:tc>
        <w:tc>
          <w:tcPr>
            <w:tcW w:w="772" w:type="pct"/>
            <w:gridSpan w:val="2"/>
            <w:tcBorders>
              <w:left w:val="single" w:sz="4" w:space="0" w:color="auto"/>
            </w:tcBorders>
          </w:tcPr>
          <w:p w14:paraId="5DF15D36" w14:textId="77777777" w:rsidR="00ED7C77" w:rsidRPr="007403A4" w:rsidRDefault="00ED7C77" w:rsidP="004D3AD0">
            <w:pPr>
              <w:ind w:right="28"/>
              <w:jc w:val="center"/>
              <w:rPr>
                <w:sz w:val="22"/>
                <w:szCs w:val="22"/>
                <w:lang w:val="sr-Latn-ME"/>
              </w:rPr>
            </w:pPr>
            <w:r w:rsidRPr="007403A4">
              <w:rPr>
                <w:sz w:val="22"/>
                <w:szCs w:val="22"/>
                <w:lang w:val="sr-Latn-ME"/>
              </w:rPr>
              <w:t>90 (76,3%)</w:t>
            </w:r>
          </w:p>
        </w:tc>
        <w:tc>
          <w:tcPr>
            <w:tcW w:w="768" w:type="pct"/>
            <w:gridSpan w:val="2"/>
            <w:tcBorders>
              <w:right w:val="single" w:sz="4" w:space="0" w:color="auto"/>
            </w:tcBorders>
          </w:tcPr>
          <w:p w14:paraId="0F91CB2B" w14:textId="77777777" w:rsidR="00ED7C77" w:rsidRPr="007403A4" w:rsidRDefault="00ED7C77">
            <w:pPr>
              <w:ind w:right="28"/>
              <w:jc w:val="center"/>
              <w:rPr>
                <w:sz w:val="22"/>
                <w:szCs w:val="22"/>
                <w:lang w:val="sr-Latn-ME"/>
              </w:rPr>
            </w:pPr>
            <w:r w:rsidRPr="007403A4">
              <w:rPr>
                <w:sz w:val="22"/>
                <w:szCs w:val="22"/>
                <w:lang w:val="sr-Latn-ME"/>
              </w:rPr>
              <w:t>89 (37,4%)</w:t>
            </w:r>
          </w:p>
        </w:tc>
        <w:tc>
          <w:tcPr>
            <w:tcW w:w="759" w:type="pct"/>
            <w:tcBorders>
              <w:left w:val="single" w:sz="4" w:space="0" w:color="auto"/>
            </w:tcBorders>
          </w:tcPr>
          <w:p w14:paraId="672BEF56" w14:textId="77777777" w:rsidR="00ED7C77" w:rsidRPr="007403A4" w:rsidRDefault="00ED7C77">
            <w:pPr>
              <w:ind w:right="28"/>
              <w:jc w:val="center"/>
              <w:rPr>
                <w:sz w:val="22"/>
                <w:szCs w:val="22"/>
                <w:lang w:val="sr-Latn-ME"/>
              </w:rPr>
            </w:pPr>
            <w:r w:rsidRPr="007403A4">
              <w:rPr>
                <w:sz w:val="22"/>
                <w:szCs w:val="22"/>
                <w:lang w:val="sr-Latn-ME"/>
              </w:rPr>
              <w:t>183 (55,5%)</w:t>
            </w:r>
          </w:p>
        </w:tc>
        <w:tc>
          <w:tcPr>
            <w:tcW w:w="770" w:type="pct"/>
            <w:tcBorders>
              <w:right w:val="single" w:sz="4" w:space="0" w:color="auto"/>
            </w:tcBorders>
          </w:tcPr>
          <w:p w14:paraId="1B89915C" w14:textId="77777777" w:rsidR="00ED7C77" w:rsidRPr="007403A4" w:rsidRDefault="00ED7C77">
            <w:pPr>
              <w:ind w:right="28"/>
              <w:jc w:val="center"/>
              <w:rPr>
                <w:sz w:val="22"/>
                <w:szCs w:val="22"/>
                <w:lang w:val="sr-Latn-ME"/>
              </w:rPr>
            </w:pPr>
            <w:r w:rsidRPr="007403A4">
              <w:rPr>
                <w:sz w:val="22"/>
                <w:szCs w:val="22"/>
                <w:lang w:val="sr-Latn-ME"/>
              </w:rPr>
              <w:t>103 (30,9%)</w:t>
            </w:r>
          </w:p>
        </w:tc>
      </w:tr>
      <w:tr w:rsidR="00ED7C77" w:rsidRPr="007403A4" w14:paraId="7339F5F8"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3F8E3681" w14:textId="77777777" w:rsidR="00ED7C77" w:rsidRPr="007403A4" w:rsidRDefault="00ED7C77" w:rsidP="00C95059">
            <w:pPr>
              <w:ind w:right="28"/>
              <w:jc w:val="both"/>
              <w:rPr>
                <w:sz w:val="22"/>
                <w:szCs w:val="22"/>
                <w:lang w:val="sr-Latn-ME"/>
              </w:rPr>
            </w:pPr>
            <w:r w:rsidRPr="007403A4">
              <w:rPr>
                <w:sz w:val="22"/>
                <w:szCs w:val="22"/>
                <w:lang w:val="sr-Latn-ME"/>
              </w:rPr>
              <w:t xml:space="preserve">Medijana vremena do događaja (mjeseci) </w:t>
            </w:r>
          </w:p>
        </w:tc>
        <w:tc>
          <w:tcPr>
            <w:tcW w:w="772" w:type="pct"/>
            <w:gridSpan w:val="2"/>
            <w:tcBorders>
              <w:left w:val="single" w:sz="4" w:space="0" w:color="auto"/>
            </w:tcBorders>
          </w:tcPr>
          <w:p w14:paraId="4DCDC775" w14:textId="77777777" w:rsidR="00ED7C77" w:rsidRPr="007403A4" w:rsidRDefault="00ED7C77" w:rsidP="004D3AD0">
            <w:pPr>
              <w:ind w:right="28"/>
              <w:jc w:val="center"/>
              <w:rPr>
                <w:sz w:val="22"/>
                <w:szCs w:val="22"/>
                <w:lang w:val="sr-Latn-ME"/>
              </w:rPr>
            </w:pPr>
            <w:r w:rsidRPr="007403A4">
              <w:rPr>
                <w:sz w:val="22"/>
                <w:szCs w:val="22"/>
                <w:lang w:val="sr-Latn-ME"/>
              </w:rPr>
              <w:t>11,2</w:t>
            </w:r>
          </w:p>
        </w:tc>
        <w:tc>
          <w:tcPr>
            <w:tcW w:w="768" w:type="pct"/>
            <w:gridSpan w:val="2"/>
            <w:tcBorders>
              <w:right w:val="single" w:sz="4" w:space="0" w:color="auto"/>
            </w:tcBorders>
          </w:tcPr>
          <w:p w14:paraId="6A69B01D" w14:textId="77777777" w:rsidR="00ED7C77" w:rsidRPr="007403A4" w:rsidRDefault="00ED7C77">
            <w:pPr>
              <w:ind w:right="28"/>
              <w:jc w:val="center"/>
              <w:rPr>
                <w:sz w:val="22"/>
                <w:szCs w:val="22"/>
                <w:lang w:val="sr-Latn-ME"/>
              </w:rPr>
            </w:pPr>
            <w:r w:rsidRPr="007403A4">
              <w:rPr>
                <w:sz w:val="22"/>
                <w:szCs w:val="22"/>
                <w:lang w:val="sr-Latn-ME"/>
              </w:rPr>
              <w:t>27,2</w:t>
            </w:r>
          </w:p>
        </w:tc>
        <w:tc>
          <w:tcPr>
            <w:tcW w:w="759" w:type="pct"/>
            <w:tcBorders>
              <w:left w:val="single" w:sz="4" w:space="0" w:color="auto"/>
            </w:tcBorders>
          </w:tcPr>
          <w:p w14:paraId="739635DA" w14:textId="77777777" w:rsidR="00ED7C77" w:rsidRPr="007403A4" w:rsidRDefault="00ED7C77">
            <w:pPr>
              <w:ind w:right="28"/>
              <w:jc w:val="center"/>
              <w:rPr>
                <w:sz w:val="22"/>
                <w:szCs w:val="22"/>
                <w:lang w:val="sr-Latn-ME"/>
              </w:rPr>
            </w:pPr>
            <w:r w:rsidRPr="007403A4">
              <w:rPr>
                <w:sz w:val="22"/>
                <w:szCs w:val="22"/>
                <w:lang w:val="sr-Latn-ME"/>
              </w:rPr>
              <w:t>14,9</w:t>
            </w:r>
          </w:p>
        </w:tc>
        <w:tc>
          <w:tcPr>
            <w:tcW w:w="770" w:type="pct"/>
            <w:tcBorders>
              <w:right w:val="single" w:sz="4" w:space="0" w:color="auto"/>
            </w:tcBorders>
          </w:tcPr>
          <w:p w14:paraId="649CECEC" w14:textId="77777777" w:rsidR="00ED7C77" w:rsidRPr="007403A4" w:rsidRDefault="00ED7C77">
            <w:pPr>
              <w:ind w:right="28"/>
              <w:jc w:val="center"/>
              <w:rPr>
                <w:sz w:val="22"/>
                <w:szCs w:val="22"/>
                <w:lang w:val="sr-Latn-ME"/>
              </w:rPr>
            </w:pPr>
            <w:r w:rsidRPr="007403A4">
              <w:rPr>
                <w:sz w:val="22"/>
                <w:szCs w:val="22"/>
                <w:lang w:val="sr-Latn-ME"/>
              </w:rPr>
              <w:t>26,7</w:t>
            </w:r>
          </w:p>
        </w:tc>
      </w:tr>
      <w:tr w:rsidR="00ED7C77" w:rsidRPr="007403A4" w14:paraId="382C0E73"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19E1BF0" w14:textId="77777777" w:rsidR="00ED7C77" w:rsidRPr="007403A4" w:rsidRDefault="00ED7C77" w:rsidP="00C95059">
            <w:pPr>
              <w:ind w:right="28"/>
              <w:jc w:val="both"/>
              <w:rPr>
                <w:sz w:val="22"/>
                <w:szCs w:val="22"/>
                <w:lang w:val="sr-Latn-ME"/>
              </w:rPr>
            </w:pPr>
            <w:r w:rsidRPr="007403A4">
              <w:rPr>
                <w:sz w:val="22"/>
                <w:szCs w:val="22"/>
                <w:lang w:val="sr-Latn-ME"/>
              </w:rPr>
              <w:t>Odnos rizika (95% CI)</w:t>
            </w:r>
          </w:p>
        </w:tc>
        <w:tc>
          <w:tcPr>
            <w:tcW w:w="1540" w:type="pct"/>
            <w:gridSpan w:val="4"/>
            <w:tcBorders>
              <w:left w:val="single" w:sz="4" w:space="0" w:color="auto"/>
              <w:right w:val="single" w:sz="4" w:space="0" w:color="auto"/>
            </w:tcBorders>
          </w:tcPr>
          <w:p w14:paraId="79A28EF1" w14:textId="77777777" w:rsidR="00ED7C77" w:rsidRPr="007403A4" w:rsidRDefault="00ED7C77" w:rsidP="004D3AD0">
            <w:pPr>
              <w:ind w:right="28"/>
              <w:jc w:val="center"/>
              <w:rPr>
                <w:sz w:val="22"/>
                <w:szCs w:val="22"/>
                <w:lang w:val="sr-Latn-ME"/>
              </w:rPr>
            </w:pPr>
            <w:r w:rsidRPr="007403A4">
              <w:rPr>
                <w:sz w:val="22"/>
                <w:szCs w:val="22"/>
                <w:lang w:val="sr-Latn-ME"/>
              </w:rPr>
              <w:t>0,19 [0,14; 0,27]</w:t>
            </w:r>
          </w:p>
        </w:tc>
        <w:tc>
          <w:tcPr>
            <w:tcW w:w="1529" w:type="pct"/>
            <w:gridSpan w:val="2"/>
            <w:tcBorders>
              <w:left w:val="single" w:sz="4" w:space="0" w:color="auto"/>
              <w:right w:val="single" w:sz="4" w:space="0" w:color="auto"/>
            </w:tcBorders>
          </w:tcPr>
          <w:p w14:paraId="6C529BB3" w14:textId="77777777" w:rsidR="00ED7C77" w:rsidRPr="007403A4" w:rsidRDefault="00ED7C77">
            <w:pPr>
              <w:ind w:right="28"/>
              <w:jc w:val="center"/>
              <w:rPr>
                <w:sz w:val="22"/>
                <w:szCs w:val="22"/>
                <w:lang w:val="sr-Latn-ME"/>
              </w:rPr>
            </w:pPr>
            <w:r w:rsidRPr="007403A4">
              <w:rPr>
                <w:sz w:val="22"/>
                <w:szCs w:val="22"/>
                <w:lang w:val="sr-Latn-ME"/>
              </w:rPr>
              <w:t>0,42 [0,33; 0,54]</w:t>
            </w:r>
          </w:p>
        </w:tc>
      </w:tr>
      <w:tr w:rsidR="00ED7C77" w:rsidRPr="007403A4" w14:paraId="587034BA" w14:textId="77777777" w:rsidTr="00ED7C77">
        <w:tblPrEx>
          <w:tblLook w:val="0000" w:firstRow="0" w:lastRow="0" w:firstColumn="0" w:lastColumn="0" w:noHBand="0" w:noVBand="0"/>
        </w:tblPrEx>
        <w:trPr>
          <w:cantSplit/>
        </w:trPr>
        <w:tc>
          <w:tcPr>
            <w:tcW w:w="1931" w:type="pct"/>
            <w:tcBorders>
              <w:left w:val="single" w:sz="4" w:space="0" w:color="auto"/>
              <w:bottom w:val="single" w:sz="4" w:space="0" w:color="auto"/>
              <w:right w:val="single" w:sz="4" w:space="0" w:color="auto"/>
            </w:tcBorders>
          </w:tcPr>
          <w:p w14:paraId="0D332553" w14:textId="136E500E" w:rsidR="00ED7C77" w:rsidRPr="007403A4" w:rsidRDefault="00ED7C77" w:rsidP="00C95059">
            <w:pPr>
              <w:ind w:right="28"/>
              <w:jc w:val="both"/>
              <w:rPr>
                <w:sz w:val="22"/>
                <w:szCs w:val="22"/>
                <w:lang w:val="sr-Latn-ME"/>
              </w:rPr>
            </w:pPr>
            <w:r w:rsidRPr="007403A4">
              <w:rPr>
                <w:sz w:val="22"/>
                <w:szCs w:val="22"/>
                <w:lang w:val="sr-Latn-ME"/>
              </w:rPr>
              <w:t xml:space="preserve">p-vrijednost (log-rang test, </w:t>
            </w:r>
            <w:r w:rsidR="00942B09" w:rsidRPr="007403A4">
              <w:rPr>
                <w:sz w:val="22"/>
                <w:szCs w:val="22"/>
                <w:lang w:val="sr-Latn-ME"/>
              </w:rPr>
              <w:t>stratifikovan</w:t>
            </w:r>
            <w:r w:rsidRPr="007403A4">
              <w:rPr>
                <w:sz w:val="22"/>
                <w:szCs w:val="22"/>
                <w:vertAlign w:val="superscript"/>
                <w:lang w:val="sr-Latn-ME"/>
              </w:rPr>
              <w:t>b</w:t>
            </w:r>
            <w:r w:rsidRPr="007403A4">
              <w:rPr>
                <w:sz w:val="22"/>
                <w:szCs w:val="22"/>
                <w:lang w:val="sr-Latn-ME"/>
              </w:rPr>
              <w:t>)</w:t>
            </w:r>
          </w:p>
        </w:tc>
        <w:tc>
          <w:tcPr>
            <w:tcW w:w="1540" w:type="pct"/>
            <w:gridSpan w:val="4"/>
            <w:tcBorders>
              <w:left w:val="single" w:sz="4" w:space="0" w:color="auto"/>
              <w:bottom w:val="single" w:sz="4" w:space="0" w:color="auto"/>
              <w:right w:val="single" w:sz="4" w:space="0" w:color="auto"/>
            </w:tcBorders>
          </w:tcPr>
          <w:p w14:paraId="7E2BA8EE" w14:textId="77777777" w:rsidR="00ED7C77" w:rsidRPr="007403A4" w:rsidRDefault="00ED7C77" w:rsidP="004D3AD0">
            <w:pPr>
              <w:ind w:right="28"/>
              <w:jc w:val="center"/>
              <w:rPr>
                <w:sz w:val="22"/>
                <w:szCs w:val="22"/>
                <w:lang w:val="sr-Latn-ME"/>
              </w:rPr>
            </w:pPr>
            <w:r w:rsidRPr="007403A4">
              <w:rPr>
                <w:sz w:val="22"/>
                <w:szCs w:val="22"/>
                <w:lang w:val="sr-Latn-ME"/>
              </w:rPr>
              <w:t>&lt;0,0001</w:t>
            </w:r>
          </w:p>
        </w:tc>
        <w:tc>
          <w:tcPr>
            <w:tcW w:w="1529" w:type="pct"/>
            <w:gridSpan w:val="2"/>
            <w:tcBorders>
              <w:left w:val="single" w:sz="4" w:space="0" w:color="auto"/>
              <w:bottom w:val="single" w:sz="4" w:space="0" w:color="auto"/>
              <w:right w:val="single" w:sz="4" w:space="0" w:color="auto"/>
            </w:tcBorders>
          </w:tcPr>
          <w:p w14:paraId="6BFCB31C" w14:textId="77777777" w:rsidR="00ED7C77" w:rsidRPr="007403A4" w:rsidRDefault="00ED7C77">
            <w:pPr>
              <w:ind w:right="28"/>
              <w:jc w:val="center"/>
              <w:rPr>
                <w:sz w:val="22"/>
                <w:szCs w:val="22"/>
                <w:lang w:val="sr-Latn-ME"/>
              </w:rPr>
            </w:pPr>
            <w:r w:rsidRPr="007403A4">
              <w:rPr>
                <w:sz w:val="22"/>
                <w:szCs w:val="22"/>
                <w:lang w:val="sr-Latn-ME"/>
              </w:rPr>
              <w:t>&lt;0,0001</w:t>
            </w:r>
          </w:p>
        </w:tc>
      </w:tr>
      <w:tr w:rsidR="00ED7C77" w:rsidRPr="007403A4" w14:paraId="45A65BF3" w14:textId="77777777" w:rsidTr="007A2492">
        <w:tblPrEx>
          <w:tblLook w:val="0000" w:firstRow="0" w:lastRow="0" w:firstColumn="0" w:lastColumn="0" w:noHBand="0" w:noVBand="0"/>
        </w:tblPrEx>
        <w:trPr>
          <w:cantSplit/>
        </w:trPr>
        <w:tc>
          <w:tcPr>
            <w:tcW w:w="1931" w:type="pct"/>
            <w:tcBorders>
              <w:top w:val="single" w:sz="4" w:space="0" w:color="auto"/>
              <w:left w:val="single" w:sz="4" w:space="0" w:color="auto"/>
              <w:right w:val="single" w:sz="4" w:space="0" w:color="auto"/>
            </w:tcBorders>
          </w:tcPr>
          <w:p w14:paraId="63A3B1A3" w14:textId="77777777" w:rsidR="00ED7C77" w:rsidRPr="007403A4" w:rsidRDefault="00ED7C77" w:rsidP="00C95059">
            <w:pPr>
              <w:ind w:right="28"/>
              <w:jc w:val="both"/>
              <w:rPr>
                <w:b/>
                <w:i/>
                <w:sz w:val="22"/>
                <w:szCs w:val="22"/>
                <w:lang w:val="sr-Latn-ME"/>
              </w:rPr>
            </w:pPr>
            <w:r w:rsidRPr="007403A4">
              <w:rPr>
                <w:b/>
                <w:i/>
                <w:sz w:val="22"/>
                <w:szCs w:val="22"/>
                <w:lang w:val="sr-Latn-ME"/>
              </w:rPr>
              <w:t>Stepen odgovora na kraju liječenja</w:t>
            </w:r>
          </w:p>
        </w:tc>
        <w:tc>
          <w:tcPr>
            <w:tcW w:w="766" w:type="pct"/>
            <w:tcBorders>
              <w:top w:val="single" w:sz="4" w:space="0" w:color="auto"/>
              <w:left w:val="single" w:sz="4" w:space="0" w:color="auto"/>
            </w:tcBorders>
          </w:tcPr>
          <w:p w14:paraId="19E2B3E7" w14:textId="77777777" w:rsidR="00ED7C77" w:rsidRPr="007403A4" w:rsidRDefault="00ED7C77" w:rsidP="004D3AD0">
            <w:pPr>
              <w:ind w:right="28"/>
              <w:jc w:val="center"/>
              <w:rPr>
                <w:sz w:val="22"/>
                <w:szCs w:val="22"/>
                <w:lang w:val="sr-Latn-ME"/>
              </w:rPr>
            </w:pPr>
          </w:p>
        </w:tc>
        <w:tc>
          <w:tcPr>
            <w:tcW w:w="774" w:type="pct"/>
            <w:gridSpan w:val="3"/>
            <w:tcBorders>
              <w:top w:val="single" w:sz="4" w:space="0" w:color="auto"/>
              <w:right w:val="single" w:sz="4" w:space="0" w:color="auto"/>
            </w:tcBorders>
          </w:tcPr>
          <w:p w14:paraId="291C57CC" w14:textId="77777777" w:rsidR="00ED7C77" w:rsidRPr="007403A4" w:rsidRDefault="00ED7C77">
            <w:pPr>
              <w:ind w:right="28"/>
              <w:jc w:val="center"/>
              <w:rPr>
                <w:sz w:val="22"/>
                <w:szCs w:val="22"/>
                <w:lang w:val="sr-Latn-ME"/>
              </w:rPr>
            </w:pPr>
          </w:p>
        </w:tc>
        <w:tc>
          <w:tcPr>
            <w:tcW w:w="759" w:type="pct"/>
            <w:tcBorders>
              <w:top w:val="single" w:sz="4" w:space="0" w:color="auto"/>
            </w:tcBorders>
          </w:tcPr>
          <w:p w14:paraId="3F60ED66" w14:textId="77777777" w:rsidR="00ED7C77" w:rsidRPr="007403A4" w:rsidRDefault="00ED7C77">
            <w:pPr>
              <w:ind w:right="28"/>
              <w:jc w:val="center"/>
              <w:rPr>
                <w:sz w:val="22"/>
                <w:szCs w:val="22"/>
                <w:lang w:val="sr-Latn-ME"/>
              </w:rPr>
            </w:pPr>
          </w:p>
        </w:tc>
        <w:tc>
          <w:tcPr>
            <w:tcW w:w="770" w:type="pct"/>
            <w:tcBorders>
              <w:top w:val="single" w:sz="4" w:space="0" w:color="auto"/>
              <w:right w:val="single" w:sz="4" w:space="0" w:color="auto"/>
            </w:tcBorders>
          </w:tcPr>
          <w:p w14:paraId="0480360E" w14:textId="77777777" w:rsidR="00ED7C77" w:rsidRPr="007403A4" w:rsidRDefault="00ED7C77">
            <w:pPr>
              <w:ind w:right="28"/>
              <w:jc w:val="center"/>
              <w:rPr>
                <w:sz w:val="22"/>
                <w:szCs w:val="22"/>
                <w:lang w:val="sr-Latn-ME"/>
              </w:rPr>
            </w:pPr>
          </w:p>
        </w:tc>
      </w:tr>
      <w:tr w:rsidR="00ED7C77" w:rsidRPr="007403A4" w14:paraId="0BAA1244"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A226135" w14:textId="77777777" w:rsidR="00ED7C77" w:rsidRPr="007403A4" w:rsidRDefault="00ED7C77" w:rsidP="00C95059">
            <w:pPr>
              <w:ind w:right="28"/>
              <w:jc w:val="both"/>
              <w:rPr>
                <w:sz w:val="22"/>
                <w:szCs w:val="22"/>
                <w:lang w:val="sr-Latn-ME"/>
              </w:rPr>
            </w:pPr>
            <w:r w:rsidRPr="007403A4">
              <w:rPr>
                <w:sz w:val="22"/>
                <w:szCs w:val="22"/>
                <w:lang w:val="sr-Latn-ME"/>
              </w:rPr>
              <w:t>Broj pacijenata uključenih u analizu</w:t>
            </w:r>
          </w:p>
        </w:tc>
        <w:tc>
          <w:tcPr>
            <w:tcW w:w="766" w:type="pct"/>
            <w:tcBorders>
              <w:left w:val="single" w:sz="4" w:space="0" w:color="auto"/>
            </w:tcBorders>
          </w:tcPr>
          <w:p w14:paraId="33F7DF42" w14:textId="61049340" w:rsidR="00ED7C77" w:rsidRPr="007403A4" w:rsidRDefault="00ED7C77" w:rsidP="004D3AD0">
            <w:pPr>
              <w:ind w:right="28"/>
              <w:jc w:val="center"/>
              <w:rPr>
                <w:sz w:val="22"/>
                <w:szCs w:val="22"/>
                <w:lang w:val="sr-Latn-ME"/>
              </w:rPr>
            </w:pPr>
            <w:r w:rsidRPr="007403A4">
              <w:rPr>
                <w:sz w:val="22"/>
                <w:szCs w:val="22"/>
                <w:lang w:val="sr-Latn-ME"/>
              </w:rPr>
              <w:t>118</w:t>
            </w:r>
          </w:p>
        </w:tc>
        <w:tc>
          <w:tcPr>
            <w:tcW w:w="774" w:type="pct"/>
            <w:gridSpan w:val="3"/>
            <w:tcBorders>
              <w:right w:val="single" w:sz="4" w:space="0" w:color="auto"/>
            </w:tcBorders>
          </w:tcPr>
          <w:p w14:paraId="473CB8E0" w14:textId="0791E056" w:rsidR="00ED7C77" w:rsidRPr="007403A4" w:rsidRDefault="00ED7C77">
            <w:pPr>
              <w:ind w:right="28"/>
              <w:jc w:val="center"/>
              <w:rPr>
                <w:sz w:val="22"/>
                <w:szCs w:val="22"/>
                <w:lang w:val="sr-Latn-ME"/>
              </w:rPr>
            </w:pPr>
            <w:r w:rsidRPr="007403A4">
              <w:rPr>
                <w:sz w:val="22"/>
                <w:szCs w:val="22"/>
                <w:lang w:val="sr-Latn-ME"/>
              </w:rPr>
              <w:t>238</w:t>
            </w:r>
          </w:p>
        </w:tc>
        <w:tc>
          <w:tcPr>
            <w:tcW w:w="759" w:type="pct"/>
          </w:tcPr>
          <w:p w14:paraId="7F8D314D" w14:textId="77777777" w:rsidR="00ED7C77" w:rsidRPr="007403A4" w:rsidRDefault="00ED7C77">
            <w:pPr>
              <w:ind w:right="28"/>
              <w:jc w:val="center"/>
              <w:rPr>
                <w:sz w:val="22"/>
                <w:szCs w:val="22"/>
                <w:lang w:val="sr-Latn-ME"/>
              </w:rPr>
            </w:pPr>
            <w:r w:rsidRPr="007403A4">
              <w:rPr>
                <w:sz w:val="22"/>
                <w:szCs w:val="22"/>
                <w:lang w:val="sr-Latn-ME"/>
              </w:rPr>
              <w:t>329</w:t>
            </w:r>
          </w:p>
        </w:tc>
        <w:tc>
          <w:tcPr>
            <w:tcW w:w="770" w:type="pct"/>
            <w:tcBorders>
              <w:right w:val="single" w:sz="4" w:space="0" w:color="auto"/>
            </w:tcBorders>
          </w:tcPr>
          <w:p w14:paraId="66A9658F" w14:textId="77777777" w:rsidR="00ED7C77" w:rsidRPr="007403A4" w:rsidRDefault="00ED7C77">
            <w:pPr>
              <w:ind w:right="28"/>
              <w:jc w:val="center"/>
              <w:rPr>
                <w:sz w:val="22"/>
                <w:szCs w:val="22"/>
                <w:lang w:val="sr-Latn-ME"/>
              </w:rPr>
            </w:pPr>
            <w:r w:rsidRPr="007403A4">
              <w:rPr>
                <w:sz w:val="22"/>
                <w:szCs w:val="22"/>
                <w:lang w:val="sr-Latn-ME"/>
              </w:rPr>
              <w:t>333</w:t>
            </w:r>
          </w:p>
        </w:tc>
      </w:tr>
      <w:tr w:rsidR="00ED7C77" w:rsidRPr="007403A4" w14:paraId="1BC974B4"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68B8316" w14:textId="77777777" w:rsidR="00ED7C77" w:rsidRPr="007403A4" w:rsidRDefault="00ED7C77" w:rsidP="00C95059">
            <w:pPr>
              <w:ind w:right="28"/>
              <w:jc w:val="both"/>
              <w:rPr>
                <w:sz w:val="22"/>
                <w:szCs w:val="22"/>
                <w:lang w:val="sr-Latn-ME"/>
              </w:rPr>
            </w:pPr>
            <w:r w:rsidRPr="007403A4">
              <w:rPr>
                <w:sz w:val="22"/>
                <w:szCs w:val="22"/>
                <w:lang w:val="sr-Latn-ME"/>
              </w:rPr>
              <w:t>Pacijenti sa odgovorom na liječenje (%)</w:t>
            </w:r>
          </w:p>
        </w:tc>
        <w:tc>
          <w:tcPr>
            <w:tcW w:w="766" w:type="pct"/>
            <w:tcBorders>
              <w:left w:val="single" w:sz="4" w:space="0" w:color="auto"/>
            </w:tcBorders>
          </w:tcPr>
          <w:p w14:paraId="0130A84E" w14:textId="77777777" w:rsidR="00ED7C77" w:rsidRPr="007403A4" w:rsidRDefault="00ED7C77" w:rsidP="004D3AD0">
            <w:pPr>
              <w:ind w:right="28"/>
              <w:jc w:val="center"/>
              <w:rPr>
                <w:sz w:val="22"/>
                <w:szCs w:val="22"/>
                <w:lang w:val="sr-Latn-ME"/>
              </w:rPr>
            </w:pPr>
            <w:r w:rsidRPr="007403A4">
              <w:rPr>
                <w:sz w:val="22"/>
                <w:szCs w:val="22"/>
                <w:lang w:val="sr-Latn-ME"/>
              </w:rPr>
              <w:t>37 (31,4%)</w:t>
            </w:r>
          </w:p>
        </w:tc>
        <w:tc>
          <w:tcPr>
            <w:tcW w:w="774" w:type="pct"/>
            <w:gridSpan w:val="3"/>
            <w:tcBorders>
              <w:right w:val="single" w:sz="4" w:space="0" w:color="auto"/>
            </w:tcBorders>
          </w:tcPr>
          <w:p w14:paraId="42B56C7C" w14:textId="77777777" w:rsidR="00ED7C77" w:rsidRPr="007403A4" w:rsidRDefault="00ED7C77">
            <w:pPr>
              <w:ind w:right="28"/>
              <w:jc w:val="center"/>
              <w:rPr>
                <w:sz w:val="22"/>
                <w:szCs w:val="22"/>
                <w:lang w:val="sr-Latn-ME"/>
              </w:rPr>
            </w:pPr>
            <w:r w:rsidRPr="007403A4">
              <w:rPr>
                <w:sz w:val="22"/>
                <w:szCs w:val="22"/>
                <w:lang w:val="sr-Latn-ME"/>
              </w:rPr>
              <w:t>184 (77,3%)</w:t>
            </w:r>
          </w:p>
        </w:tc>
        <w:tc>
          <w:tcPr>
            <w:tcW w:w="759" w:type="pct"/>
          </w:tcPr>
          <w:p w14:paraId="450FBB12" w14:textId="77777777" w:rsidR="00ED7C77" w:rsidRPr="007403A4" w:rsidRDefault="00ED7C77">
            <w:pPr>
              <w:ind w:right="28"/>
              <w:jc w:val="center"/>
              <w:rPr>
                <w:sz w:val="22"/>
                <w:szCs w:val="22"/>
                <w:lang w:val="sr-Latn-ME"/>
              </w:rPr>
            </w:pPr>
            <w:r w:rsidRPr="007403A4">
              <w:rPr>
                <w:sz w:val="22"/>
                <w:szCs w:val="22"/>
                <w:lang w:val="sr-Latn-ME"/>
              </w:rPr>
              <w:t>214 (65,0%)</w:t>
            </w:r>
          </w:p>
        </w:tc>
        <w:tc>
          <w:tcPr>
            <w:tcW w:w="770" w:type="pct"/>
            <w:tcBorders>
              <w:right w:val="single" w:sz="4" w:space="0" w:color="auto"/>
            </w:tcBorders>
          </w:tcPr>
          <w:p w14:paraId="078887AC" w14:textId="77777777" w:rsidR="00ED7C77" w:rsidRPr="007403A4" w:rsidRDefault="00ED7C77">
            <w:pPr>
              <w:ind w:right="28"/>
              <w:jc w:val="center"/>
              <w:rPr>
                <w:sz w:val="22"/>
                <w:szCs w:val="22"/>
                <w:lang w:val="sr-Latn-ME"/>
              </w:rPr>
            </w:pPr>
            <w:r w:rsidRPr="007403A4">
              <w:rPr>
                <w:sz w:val="22"/>
                <w:szCs w:val="22"/>
                <w:lang w:val="sr-Latn-ME"/>
              </w:rPr>
              <w:t>261 (78,4%)</w:t>
            </w:r>
          </w:p>
        </w:tc>
      </w:tr>
      <w:tr w:rsidR="00ED7C77" w:rsidRPr="007403A4" w14:paraId="54066CCB"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A8EDF1B" w14:textId="77777777" w:rsidR="00ED7C77" w:rsidRPr="007403A4" w:rsidRDefault="00ED7C77" w:rsidP="00C95059">
            <w:pPr>
              <w:ind w:right="28"/>
              <w:jc w:val="both"/>
              <w:rPr>
                <w:sz w:val="22"/>
                <w:szCs w:val="22"/>
                <w:lang w:val="sr-Latn-ME"/>
              </w:rPr>
            </w:pPr>
            <w:r w:rsidRPr="007403A4">
              <w:rPr>
                <w:sz w:val="22"/>
                <w:szCs w:val="22"/>
                <w:lang w:val="sr-Latn-ME"/>
              </w:rPr>
              <w:t>Pacijenti bez odgovora na liječenje (%)</w:t>
            </w:r>
          </w:p>
        </w:tc>
        <w:tc>
          <w:tcPr>
            <w:tcW w:w="766" w:type="pct"/>
            <w:tcBorders>
              <w:left w:val="single" w:sz="4" w:space="0" w:color="auto"/>
            </w:tcBorders>
          </w:tcPr>
          <w:p w14:paraId="7611CDBF" w14:textId="77777777" w:rsidR="00ED7C77" w:rsidRPr="007403A4" w:rsidRDefault="00ED7C77" w:rsidP="004D3AD0">
            <w:pPr>
              <w:ind w:right="28"/>
              <w:jc w:val="center"/>
              <w:rPr>
                <w:sz w:val="22"/>
                <w:szCs w:val="22"/>
                <w:lang w:val="sr-Latn-ME"/>
              </w:rPr>
            </w:pPr>
            <w:r w:rsidRPr="007403A4">
              <w:rPr>
                <w:sz w:val="22"/>
                <w:szCs w:val="22"/>
                <w:lang w:val="sr-Latn-ME"/>
              </w:rPr>
              <w:t>81 (68,6%)</w:t>
            </w:r>
          </w:p>
        </w:tc>
        <w:tc>
          <w:tcPr>
            <w:tcW w:w="774" w:type="pct"/>
            <w:gridSpan w:val="3"/>
            <w:tcBorders>
              <w:right w:val="single" w:sz="4" w:space="0" w:color="auto"/>
            </w:tcBorders>
          </w:tcPr>
          <w:p w14:paraId="240F0868" w14:textId="77777777" w:rsidR="00ED7C77" w:rsidRPr="007403A4" w:rsidRDefault="00ED7C77">
            <w:pPr>
              <w:ind w:right="28"/>
              <w:jc w:val="center"/>
              <w:rPr>
                <w:sz w:val="22"/>
                <w:szCs w:val="22"/>
                <w:lang w:val="sr-Latn-ME"/>
              </w:rPr>
            </w:pPr>
            <w:r w:rsidRPr="007403A4">
              <w:rPr>
                <w:sz w:val="22"/>
                <w:szCs w:val="22"/>
                <w:lang w:val="sr-Latn-ME"/>
              </w:rPr>
              <w:t>54 (22,7%)</w:t>
            </w:r>
          </w:p>
        </w:tc>
        <w:tc>
          <w:tcPr>
            <w:tcW w:w="759" w:type="pct"/>
          </w:tcPr>
          <w:p w14:paraId="6FC24689" w14:textId="77777777" w:rsidR="00ED7C77" w:rsidRPr="007403A4" w:rsidRDefault="00ED7C77">
            <w:pPr>
              <w:ind w:right="28"/>
              <w:jc w:val="center"/>
              <w:rPr>
                <w:sz w:val="22"/>
                <w:szCs w:val="22"/>
                <w:lang w:val="sr-Latn-ME"/>
              </w:rPr>
            </w:pPr>
            <w:r w:rsidRPr="007403A4">
              <w:rPr>
                <w:sz w:val="22"/>
                <w:szCs w:val="22"/>
                <w:lang w:val="sr-Latn-ME"/>
              </w:rPr>
              <w:t>115 (35,0%)</w:t>
            </w:r>
          </w:p>
        </w:tc>
        <w:tc>
          <w:tcPr>
            <w:tcW w:w="770" w:type="pct"/>
            <w:tcBorders>
              <w:right w:val="single" w:sz="4" w:space="0" w:color="auto"/>
            </w:tcBorders>
          </w:tcPr>
          <w:p w14:paraId="0B18DDEC" w14:textId="77777777" w:rsidR="00ED7C77" w:rsidRPr="007403A4" w:rsidRDefault="00ED7C77">
            <w:pPr>
              <w:ind w:right="28"/>
              <w:jc w:val="center"/>
              <w:rPr>
                <w:sz w:val="22"/>
                <w:szCs w:val="22"/>
                <w:lang w:val="sr-Latn-ME"/>
              </w:rPr>
            </w:pPr>
            <w:r w:rsidRPr="007403A4">
              <w:rPr>
                <w:sz w:val="22"/>
                <w:szCs w:val="22"/>
                <w:lang w:val="sr-Latn-ME"/>
              </w:rPr>
              <w:t>72 (21,6%)</w:t>
            </w:r>
          </w:p>
        </w:tc>
      </w:tr>
      <w:tr w:rsidR="00ED7C77" w:rsidRPr="007403A4" w14:paraId="2560524C"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5887B38" w14:textId="77777777" w:rsidR="00ED7C77" w:rsidRPr="007403A4" w:rsidRDefault="00ED7C77" w:rsidP="00C95059">
            <w:pPr>
              <w:ind w:right="28"/>
              <w:jc w:val="both"/>
              <w:rPr>
                <w:sz w:val="22"/>
                <w:szCs w:val="22"/>
                <w:lang w:val="sr-Latn-ME"/>
              </w:rPr>
            </w:pPr>
            <w:r w:rsidRPr="007403A4">
              <w:rPr>
                <w:sz w:val="22"/>
                <w:szCs w:val="22"/>
                <w:lang w:val="sr-Latn-ME"/>
              </w:rPr>
              <w:t>Razlika u stepenu odgovora (95% CI)</w:t>
            </w:r>
          </w:p>
        </w:tc>
        <w:tc>
          <w:tcPr>
            <w:tcW w:w="1540" w:type="pct"/>
            <w:gridSpan w:val="4"/>
            <w:tcBorders>
              <w:left w:val="single" w:sz="4" w:space="0" w:color="auto"/>
              <w:right w:val="single" w:sz="4" w:space="0" w:color="auto"/>
            </w:tcBorders>
          </w:tcPr>
          <w:p w14:paraId="2FEBD428" w14:textId="77777777" w:rsidR="00ED7C77" w:rsidRPr="007403A4" w:rsidRDefault="00ED7C77" w:rsidP="004D3AD0">
            <w:pPr>
              <w:ind w:right="28"/>
              <w:jc w:val="center"/>
              <w:rPr>
                <w:sz w:val="22"/>
                <w:szCs w:val="22"/>
                <w:lang w:val="sr-Latn-ME"/>
              </w:rPr>
            </w:pPr>
            <w:r w:rsidRPr="007403A4">
              <w:rPr>
                <w:sz w:val="22"/>
                <w:szCs w:val="22"/>
                <w:lang w:val="sr-Latn-ME"/>
              </w:rPr>
              <w:t>45,95 [35,6; 56,3]</w:t>
            </w:r>
          </w:p>
        </w:tc>
        <w:tc>
          <w:tcPr>
            <w:tcW w:w="1529" w:type="pct"/>
            <w:gridSpan w:val="2"/>
            <w:tcBorders>
              <w:left w:val="single" w:sz="4" w:space="0" w:color="auto"/>
              <w:right w:val="single" w:sz="4" w:space="0" w:color="auto"/>
            </w:tcBorders>
          </w:tcPr>
          <w:p w14:paraId="0536E0F2" w14:textId="77777777" w:rsidR="00ED7C77" w:rsidRPr="007403A4" w:rsidRDefault="00ED7C77">
            <w:pPr>
              <w:ind w:right="28"/>
              <w:jc w:val="center"/>
              <w:rPr>
                <w:sz w:val="22"/>
                <w:szCs w:val="22"/>
                <w:lang w:val="sr-Latn-ME"/>
              </w:rPr>
            </w:pPr>
            <w:r w:rsidRPr="007403A4">
              <w:rPr>
                <w:sz w:val="22"/>
                <w:szCs w:val="22"/>
                <w:lang w:val="sr-Latn-ME"/>
              </w:rPr>
              <w:t>13,33 [6,4; 20,3]</w:t>
            </w:r>
          </w:p>
        </w:tc>
      </w:tr>
      <w:tr w:rsidR="00ED7C77" w:rsidRPr="007403A4" w14:paraId="22EE8E1F"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7B41F1CA" w14:textId="77777777" w:rsidR="00ED7C77" w:rsidRPr="007403A4" w:rsidRDefault="00ED7C77" w:rsidP="00C95059">
            <w:pPr>
              <w:ind w:right="28"/>
              <w:jc w:val="both"/>
              <w:rPr>
                <w:sz w:val="22"/>
                <w:szCs w:val="22"/>
                <w:lang w:val="sr-Latn-ME"/>
              </w:rPr>
            </w:pPr>
            <w:r w:rsidRPr="007403A4">
              <w:rPr>
                <w:sz w:val="22"/>
                <w:szCs w:val="22"/>
                <w:lang w:val="sr-Latn-ME"/>
              </w:rPr>
              <w:t>p-vrijednost (hi-kvadrat test)</w:t>
            </w:r>
          </w:p>
        </w:tc>
        <w:tc>
          <w:tcPr>
            <w:tcW w:w="1540" w:type="pct"/>
            <w:gridSpan w:val="4"/>
            <w:tcBorders>
              <w:left w:val="single" w:sz="4" w:space="0" w:color="auto"/>
              <w:right w:val="single" w:sz="4" w:space="0" w:color="auto"/>
            </w:tcBorders>
          </w:tcPr>
          <w:p w14:paraId="2BE5DDD3" w14:textId="77777777" w:rsidR="00ED7C77" w:rsidRPr="007403A4" w:rsidRDefault="00ED7C77" w:rsidP="004D3AD0">
            <w:pPr>
              <w:ind w:right="28"/>
              <w:jc w:val="center"/>
              <w:rPr>
                <w:sz w:val="22"/>
                <w:szCs w:val="22"/>
                <w:lang w:val="sr-Latn-ME"/>
              </w:rPr>
            </w:pPr>
            <w:r w:rsidRPr="007403A4">
              <w:rPr>
                <w:sz w:val="22"/>
                <w:szCs w:val="22"/>
                <w:lang w:val="sr-Latn-ME"/>
              </w:rPr>
              <w:t>&lt;0,0001</w:t>
            </w:r>
          </w:p>
        </w:tc>
        <w:tc>
          <w:tcPr>
            <w:tcW w:w="1529" w:type="pct"/>
            <w:gridSpan w:val="2"/>
            <w:tcBorders>
              <w:left w:val="single" w:sz="4" w:space="0" w:color="auto"/>
              <w:right w:val="single" w:sz="4" w:space="0" w:color="auto"/>
            </w:tcBorders>
          </w:tcPr>
          <w:p w14:paraId="2C7BC2D7" w14:textId="77777777" w:rsidR="00ED7C77" w:rsidRPr="007403A4" w:rsidRDefault="00ED7C77">
            <w:pPr>
              <w:ind w:right="28"/>
              <w:jc w:val="center"/>
              <w:rPr>
                <w:sz w:val="22"/>
                <w:szCs w:val="22"/>
                <w:lang w:val="sr-Latn-ME"/>
              </w:rPr>
            </w:pPr>
            <w:r w:rsidRPr="007403A4">
              <w:rPr>
                <w:sz w:val="22"/>
                <w:szCs w:val="22"/>
                <w:lang w:val="sr-Latn-ME"/>
              </w:rPr>
              <w:t>0,0001</w:t>
            </w:r>
          </w:p>
        </w:tc>
      </w:tr>
      <w:tr w:rsidR="00ED7C77" w:rsidRPr="007403A4" w14:paraId="685C6F86"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34CEF0D6" w14:textId="77777777" w:rsidR="00ED7C77" w:rsidRPr="007403A4" w:rsidRDefault="00ED7C77" w:rsidP="00C95059">
            <w:pPr>
              <w:ind w:right="28"/>
              <w:jc w:val="both"/>
              <w:rPr>
                <w:sz w:val="22"/>
                <w:szCs w:val="22"/>
                <w:lang w:val="sr-Latn-ME"/>
              </w:rPr>
            </w:pPr>
            <w:r w:rsidRPr="007403A4">
              <w:rPr>
                <w:sz w:val="22"/>
                <w:szCs w:val="22"/>
                <w:lang w:val="sr-Latn-ME"/>
              </w:rPr>
              <w:t>Broj pacijenata sa potpunim odgovorom na liječenje</w:t>
            </w:r>
            <w:r w:rsidRPr="007403A4">
              <w:rPr>
                <w:sz w:val="22"/>
                <w:szCs w:val="22"/>
                <w:vertAlign w:val="superscript"/>
                <w:lang w:val="sr-Latn-ME"/>
              </w:rPr>
              <w:t>c</w:t>
            </w:r>
            <w:r w:rsidRPr="007403A4">
              <w:rPr>
                <w:sz w:val="22"/>
                <w:szCs w:val="22"/>
                <w:lang w:val="sr-Latn-ME"/>
              </w:rPr>
              <w:t xml:space="preserve"> (%)</w:t>
            </w:r>
          </w:p>
        </w:tc>
        <w:tc>
          <w:tcPr>
            <w:tcW w:w="772" w:type="pct"/>
            <w:gridSpan w:val="2"/>
            <w:tcBorders>
              <w:left w:val="single" w:sz="4" w:space="0" w:color="auto"/>
            </w:tcBorders>
          </w:tcPr>
          <w:p w14:paraId="01FA16B7" w14:textId="77777777" w:rsidR="00ED7C77" w:rsidRPr="007403A4" w:rsidRDefault="00ED7C77" w:rsidP="004D3AD0">
            <w:pPr>
              <w:ind w:right="28"/>
              <w:jc w:val="center"/>
              <w:rPr>
                <w:sz w:val="22"/>
                <w:szCs w:val="22"/>
                <w:lang w:val="sr-Latn-ME"/>
              </w:rPr>
            </w:pPr>
            <w:r w:rsidRPr="007403A4">
              <w:rPr>
                <w:sz w:val="22"/>
                <w:szCs w:val="22"/>
                <w:lang w:val="sr-Latn-ME"/>
              </w:rPr>
              <w:t>0 (0,0%)</w:t>
            </w:r>
          </w:p>
        </w:tc>
        <w:tc>
          <w:tcPr>
            <w:tcW w:w="768" w:type="pct"/>
            <w:gridSpan w:val="2"/>
            <w:tcBorders>
              <w:right w:val="single" w:sz="4" w:space="0" w:color="auto"/>
            </w:tcBorders>
          </w:tcPr>
          <w:p w14:paraId="72461D34" w14:textId="77777777" w:rsidR="00ED7C77" w:rsidRPr="007403A4" w:rsidRDefault="00ED7C77">
            <w:pPr>
              <w:ind w:right="28"/>
              <w:jc w:val="center"/>
              <w:rPr>
                <w:sz w:val="22"/>
                <w:szCs w:val="22"/>
                <w:lang w:val="sr-Latn-ME"/>
              </w:rPr>
            </w:pPr>
            <w:r w:rsidRPr="007403A4">
              <w:rPr>
                <w:sz w:val="22"/>
                <w:szCs w:val="22"/>
                <w:lang w:val="sr-Latn-ME"/>
              </w:rPr>
              <w:t>53 (22,3%)</w:t>
            </w:r>
          </w:p>
        </w:tc>
        <w:tc>
          <w:tcPr>
            <w:tcW w:w="759" w:type="pct"/>
            <w:tcBorders>
              <w:bottom w:val="single" w:sz="4" w:space="0" w:color="auto"/>
            </w:tcBorders>
          </w:tcPr>
          <w:p w14:paraId="06DB52FA" w14:textId="77777777" w:rsidR="00ED7C77" w:rsidRPr="007403A4" w:rsidRDefault="00ED7C77">
            <w:pPr>
              <w:ind w:right="28"/>
              <w:jc w:val="center"/>
              <w:rPr>
                <w:sz w:val="22"/>
                <w:szCs w:val="22"/>
                <w:lang w:val="sr-Latn-ME"/>
              </w:rPr>
            </w:pPr>
            <w:r w:rsidRPr="007403A4">
              <w:rPr>
                <w:sz w:val="22"/>
                <w:szCs w:val="22"/>
                <w:lang w:val="sr-Latn-ME"/>
              </w:rPr>
              <w:t>23 (7,0%)</w:t>
            </w:r>
          </w:p>
        </w:tc>
        <w:tc>
          <w:tcPr>
            <w:tcW w:w="770" w:type="pct"/>
            <w:tcBorders>
              <w:bottom w:val="single" w:sz="4" w:space="0" w:color="auto"/>
              <w:right w:val="single" w:sz="4" w:space="0" w:color="auto"/>
            </w:tcBorders>
          </w:tcPr>
          <w:p w14:paraId="270AE769" w14:textId="77777777" w:rsidR="00ED7C77" w:rsidRPr="007403A4" w:rsidRDefault="00ED7C77">
            <w:pPr>
              <w:ind w:right="28"/>
              <w:jc w:val="center"/>
              <w:rPr>
                <w:sz w:val="22"/>
                <w:szCs w:val="22"/>
                <w:lang w:val="sr-Latn-ME"/>
              </w:rPr>
            </w:pPr>
            <w:r w:rsidRPr="007403A4">
              <w:rPr>
                <w:sz w:val="22"/>
                <w:szCs w:val="22"/>
                <w:lang w:val="sr-Latn-ME"/>
              </w:rPr>
              <w:t>69 (20,7%)</w:t>
            </w:r>
          </w:p>
        </w:tc>
      </w:tr>
      <w:tr w:rsidR="00ED7C77" w:rsidRPr="007403A4" w14:paraId="52B17CDE" w14:textId="77777777" w:rsidTr="00ED7C77">
        <w:tblPrEx>
          <w:tblLook w:val="0000" w:firstRow="0" w:lastRow="0" w:firstColumn="0" w:lastColumn="0" w:noHBand="0" w:noVBand="0"/>
        </w:tblPrEx>
        <w:trPr>
          <w:cantSplit/>
        </w:trPr>
        <w:tc>
          <w:tcPr>
            <w:tcW w:w="1931" w:type="pct"/>
            <w:tcBorders>
              <w:top w:val="single" w:sz="4" w:space="0" w:color="auto"/>
              <w:left w:val="single" w:sz="4" w:space="0" w:color="auto"/>
              <w:right w:val="single" w:sz="4" w:space="0" w:color="auto"/>
            </w:tcBorders>
          </w:tcPr>
          <w:p w14:paraId="3D2F535A" w14:textId="77777777" w:rsidR="00ED7C77" w:rsidRPr="007403A4" w:rsidRDefault="00ED7C77" w:rsidP="00C95059">
            <w:pPr>
              <w:ind w:right="28"/>
              <w:jc w:val="both"/>
              <w:rPr>
                <w:b/>
                <w:i/>
                <w:sz w:val="22"/>
                <w:szCs w:val="22"/>
                <w:vertAlign w:val="superscript"/>
                <w:lang w:val="sr-Latn-ME"/>
              </w:rPr>
            </w:pPr>
            <w:r w:rsidRPr="007403A4">
              <w:rPr>
                <w:b/>
                <w:i/>
                <w:sz w:val="22"/>
                <w:szCs w:val="22"/>
                <w:lang w:val="sr-Latn-ME"/>
              </w:rPr>
              <w:t>Molekularna remisija na kraju liječenja</w:t>
            </w:r>
            <w:r w:rsidRPr="007403A4">
              <w:rPr>
                <w:b/>
                <w:i/>
                <w:sz w:val="22"/>
                <w:szCs w:val="22"/>
                <w:vertAlign w:val="superscript"/>
                <w:lang w:val="sr-Latn-ME"/>
              </w:rPr>
              <w:t>d</w:t>
            </w:r>
          </w:p>
        </w:tc>
        <w:tc>
          <w:tcPr>
            <w:tcW w:w="772" w:type="pct"/>
            <w:gridSpan w:val="2"/>
            <w:tcBorders>
              <w:top w:val="single" w:sz="4" w:space="0" w:color="auto"/>
              <w:left w:val="single" w:sz="4" w:space="0" w:color="auto"/>
            </w:tcBorders>
          </w:tcPr>
          <w:p w14:paraId="5B9D7E35" w14:textId="77777777" w:rsidR="00ED7C77" w:rsidRPr="007403A4" w:rsidRDefault="00ED7C77" w:rsidP="004D3AD0">
            <w:pPr>
              <w:ind w:right="28"/>
              <w:jc w:val="center"/>
              <w:rPr>
                <w:sz w:val="22"/>
                <w:szCs w:val="22"/>
                <w:lang w:val="sr-Latn-ME"/>
              </w:rPr>
            </w:pPr>
          </w:p>
        </w:tc>
        <w:tc>
          <w:tcPr>
            <w:tcW w:w="768" w:type="pct"/>
            <w:gridSpan w:val="2"/>
            <w:tcBorders>
              <w:top w:val="single" w:sz="4" w:space="0" w:color="auto"/>
              <w:right w:val="single" w:sz="4" w:space="0" w:color="auto"/>
            </w:tcBorders>
          </w:tcPr>
          <w:p w14:paraId="43FFA147" w14:textId="77777777" w:rsidR="00ED7C77" w:rsidRPr="007403A4" w:rsidRDefault="00ED7C77">
            <w:pPr>
              <w:ind w:right="28"/>
              <w:jc w:val="center"/>
              <w:rPr>
                <w:sz w:val="22"/>
                <w:szCs w:val="22"/>
                <w:lang w:val="sr-Latn-ME"/>
              </w:rPr>
            </w:pPr>
          </w:p>
        </w:tc>
        <w:tc>
          <w:tcPr>
            <w:tcW w:w="759" w:type="pct"/>
            <w:tcBorders>
              <w:top w:val="single" w:sz="4" w:space="0" w:color="auto"/>
            </w:tcBorders>
          </w:tcPr>
          <w:p w14:paraId="40DAFB75" w14:textId="77777777" w:rsidR="00ED7C77" w:rsidRPr="007403A4" w:rsidRDefault="00ED7C77">
            <w:pPr>
              <w:ind w:right="28"/>
              <w:jc w:val="center"/>
              <w:rPr>
                <w:sz w:val="22"/>
                <w:szCs w:val="22"/>
                <w:lang w:val="sr-Latn-ME"/>
              </w:rPr>
            </w:pPr>
          </w:p>
        </w:tc>
        <w:tc>
          <w:tcPr>
            <w:tcW w:w="770" w:type="pct"/>
            <w:tcBorders>
              <w:top w:val="single" w:sz="4" w:space="0" w:color="auto"/>
              <w:right w:val="single" w:sz="4" w:space="0" w:color="auto"/>
            </w:tcBorders>
          </w:tcPr>
          <w:p w14:paraId="2BED891A" w14:textId="77777777" w:rsidR="00ED7C77" w:rsidRPr="007403A4" w:rsidRDefault="00ED7C77">
            <w:pPr>
              <w:ind w:right="28"/>
              <w:jc w:val="center"/>
              <w:rPr>
                <w:sz w:val="22"/>
                <w:szCs w:val="22"/>
                <w:lang w:val="sr-Latn-ME"/>
              </w:rPr>
            </w:pPr>
          </w:p>
        </w:tc>
      </w:tr>
      <w:tr w:rsidR="00ED7C77" w:rsidRPr="007403A4" w14:paraId="4E23947D"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7E1022FE" w14:textId="77777777" w:rsidR="00ED7C77" w:rsidRPr="007403A4" w:rsidRDefault="00ED7C77" w:rsidP="00C95059">
            <w:pPr>
              <w:ind w:right="28"/>
              <w:jc w:val="both"/>
              <w:rPr>
                <w:sz w:val="22"/>
                <w:szCs w:val="22"/>
                <w:lang w:val="sr-Latn-ME"/>
              </w:rPr>
            </w:pPr>
            <w:r w:rsidRPr="007403A4">
              <w:rPr>
                <w:sz w:val="22"/>
                <w:szCs w:val="22"/>
                <w:lang w:val="sr-Latn-ME"/>
              </w:rPr>
              <w:t>Broj pacijenata uključenih u analizu</w:t>
            </w:r>
          </w:p>
        </w:tc>
        <w:tc>
          <w:tcPr>
            <w:tcW w:w="772" w:type="pct"/>
            <w:gridSpan w:val="2"/>
            <w:tcBorders>
              <w:left w:val="single" w:sz="4" w:space="0" w:color="auto"/>
            </w:tcBorders>
          </w:tcPr>
          <w:p w14:paraId="4C1B5C04" w14:textId="0257EDCE" w:rsidR="00ED7C77" w:rsidRPr="007403A4" w:rsidRDefault="00ED7C77" w:rsidP="004D3AD0">
            <w:pPr>
              <w:ind w:right="28"/>
              <w:jc w:val="center"/>
              <w:rPr>
                <w:sz w:val="22"/>
                <w:szCs w:val="22"/>
                <w:lang w:val="sr-Latn-ME"/>
              </w:rPr>
            </w:pPr>
            <w:r w:rsidRPr="007403A4">
              <w:rPr>
                <w:sz w:val="22"/>
                <w:szCs w:val="22"/>
                <w:lang w:val="sr-Latn-ME"/>
              </w:rPr>
              <w:t>90</w:t>
            </w:r>
          </w:p>
        </w:tc>
        <w:tc>
          <w:tcPr>
            <w:tcW w:w="768" w:type="pct"/>
            <w:gridSpan w:val="2"/>
            <w:tcBorders>
              <w:right w:val="single" w:sz="4" w:space="0" w:color="auto"/>
            </w:tcBorders>
          </w:tcPr>
          <w:p w14:paraId="50A5D51A" w14:textId="024AB1E9" w:rsidR="00ED7C77" w:rsidRPr="007403A4" w:rsidRDefault="00ED7C77">
            <w:pPr>
              <w:ind w:right="28"/>
              <w:jc w:val="center"/>
              <w:rPr>
                <w:sz w:val="22"/>
                <w:szCs w:val="22"/>
                <w:lang w:val="sr-Latn-ME"/>
              </w:rPr>
            </w:pPr>
            <w:r w:rsidRPr="007403A4">
              <w:rPr>
                <w:sz w:val="22"/>
                <w:szCs w:val="22"/>
                <w:lang w:val="sr-Latn-ME"/>
              </w:rPr>
              <w:t>168</w:t>
            </w:r>
          </w:p>
        </w:tc>
        <w:tc>
          <w:tcPr>
            <w:tcW w:w="759" w:type="pct"/>
          </w:tcPr>
          <w:p w14:paraId="04ED2383" w14:textId="77777777" w:rsidR="00ED7C77" w:rsidRPr="007403A4" w:rsidRDefault="00ED7C77">
            <w:pPr>
              <w:ind w:right="28"/>
              <w:jc w:val="center"/>
              <w:rPr>
                <w:sz w:val="22"/>
                <w:szCs w:val="22"/>
                <w:lang w:val="sr-Latn-ME"/>
              </w:rPr>
            </w:pPr>
            <w:r w:rsidRPr="007403A4">
              <w:rPr>
                <w:sz w:val="22"/>
                <w:szCs w:val="22"/>
                <w:lang w:val="sr-Latn-ME"/>
              </w:rPr>
              <w:t>244</w:t>
            </w:r>
          </w:p>
        </w:tc>
        <w:tc>
          <w:tcPr>
            <w:tcW w:w="770" w:type="pct"/>
            <w:tcBorders>
              <w:right w:val="single" w:sz="4" w:space="0" w:color="auto"/>
            </w:tcBorders>
          </w:tcPr>
          <w:p w14:paraId="1877FCA2" w14:textId="77777777" w:rsidR="00ED7C77" w:rsidRPr="007403A4" w:rsidRDefault="00ED7C77">
            <w:pPr>
              <w:ind w:right="28"/>
              <w:jc w:val="center"/>
              <w:rPr>
                <w:sz w:val="22"/>
                <w:szCs w:val="22"/>
                <w:lang w:val="sr-Latn-ME"/>
              </w:rPr>
            </w:pPr>
            <w:r w:rsidRPr="007403A4">
              <w:rPr>
                <w:sz w:val="22"/>
                <w:szCs w:val="22"/>
                <w:lang w:val="sr-Latn-ME"/>
              </w:rPr>
              <w:t>239</w:t>
            </w:r>
          </w:p>
        </w:tc>
      </w:tr>
      <w:tr w:rsidR="00ED7C77" w:rsidRPr="007403A4" w14:paraId="426543B7"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46045DBF" w14:textId="77777777" w:rsidR="00ED7C77" w:rsidRPr="007403A4" w:rsidRDefault="00ED7C77" w:rsidP="00C95059">
            <w:pPr>
              <w:ind w:right="28"/>
              <w:jc w:val="both"/>
              <w:rPr>
                <w:sz w:val="22"/>
                <w:szCs w:val="22"/>
                <w:lang w:val="sr-Latn-ME"/>
              </w:rPr>
            </w:pPr>
            <w:r w:rsidRPr="007403A4">
              <w:rPr>
                <w:sz w:val="22"/>
                <w:szCs w:val="22"/>
                <w:lang w:val="sr-Latn-ME"/>
              </w:rPr>
              <w:t>Negativan nalaz na MRD</w:t>
            </w:r>
            <w:r w:rsidRPr="007403A4">
              <w:rPr>
                <w:sz w:val="22"/>
                <w:szCs w:val="22"/>
                <w:vertAlign w:val="superscript"/>
                <w:lang w:val="sr-Latn-ME"/>
              </w:rPr>
              <w:t>e</w:t>
            </w:r>
            <w:r w:rsidRPr="007403A4">
              <w:rPr>
                <w:sz w:val="22"/>
                <w:szCs w:val="22"/>
                <w:lang w:val="sr-Latn-ME"/>
              </w:rPr>
              <w:t xml:space="preserve"> (%)</w:t>
            </w:r>
          </w:p>
        </w:tc>
        <w:tc>
          <w:tcPr>
            <w:tcW w:w="772" w:type="pct"/>
            <w:gridSpan w:val="2"/>
            <w:tcBorders>
              <w:left w:val="single" w:sz="4" w:space="0" w:color="auto"/>
            </w:tcBorders>
          </w:tcPr>
          <w:p w14:paraId="308D362A" w14:textId="77777777" w:rsidR="00ED7C77" w:rsidRPr="007403A4" w:rsidRDefault="00ED7C77" w:rsidP="004D3AD0">
            <w:pPr>
              <w:ind w:right="28"/>
              <w:jc w:val="center"/>
              <w:rPr>
                <w:sz w:val="22"/>
                <w:szCs w:val="22"/>
                <w:lang w:val="sr-Latn-ME"/>
              </w:rPr>
            </w:pPr>
            <w:r w:rsidRPr="007403A4">
              <w:rPr>
                <w:sz w:val="22"/>
                <w:szCs w:val="22"/>
                <w:lang w:val="sr-Latn-ME"/>
              </w:rPr>
              <w:t>0 (0%)</w:t>
            </w:r>
          </w:p>
        </w:tc>
        <w:tc>
          <w:tcPr>
            <w:tcW w:w="768" w:type="pct"/>
            <w:gridSpan w:val="2"/>
            <w:tcBorders>
              <w:right w:val="single" w:sz="4" w:space="0" w:color="auto"/>
            </w:tcBorders>
          </w:tcPr>
          <w:p w14:paraId="3463B191" w14:textId="77777777" w:rsidR="00ED7C77" w:rsidRPr="007403A4" w:rsidRDefault="00ED7C77">
            <w:pPr>
              <w:ind w:right="28"/>
              <w:jc w:val="center"/>
              <w:rPr>
                <w:sz w:val="22"/>
                <w:szCs w:val="22"/>
                <w:lang w:val="sr-Latn-ME"/>
              </w:rPr>
            </w:pPr>
            <w:r w:rsidRPr="007403A4">
              <w:rPr>
                <w:sz w:val="22"/>
                <w:szCs w:val="22"/>
                <w:lang w:val="sr-Latn-ME"/>
              </w:rPr>
              <w:t>45 (26,8%)</w:t>
            </w:r>
          </w:p>
        </w:tc>
        <w:tc>
          <w:tcPr>
            <w:tcW w:w="759" w:type="pct"/>
          </w:tcPr>
          <w:p w14:paraId="6F9FC603" w14:textId="77777777" w:rsidR="00ED7C77" w:rsidRPr="007403A4" w:rsidRDefault="00ED7C77">
            <w:pPr>
              <w:ind w:right="28"/>
              <w:jc w:val="center"/>
              <w:rPr>
                <w:sz w:val="22"/>
                <w:szCs w:val="22"/>
                <w:lang w:val="sr-Latn-ME"/>
              </w:rPr>
            </w:pPr>
            <w:r w:rsidRPr="007403A4">
              <w:rPr>
                <w:sz w:val="22"/>
                <w:szCs w:val="22"/>
                <w:lang w:val="sr-Latn-ME"/>
              </w:rPr>
              <w:t>6 (2,5%)</w:t>
            </w:r>
          </w:p>
        </w:tc>
        <w:tc>
          <w:tcPr>
            <w:tcW w:w="770" w:type="pct"/>
            <w:tcBorders>
              <w:right w:val="single" w:sz="4" w:space="0" w:color="auto"/>
            </w:tcBorders>
          </w:tcPr>
          <w:p w14:paraId="5F7C6616" w14:textId="77777777" w:rsidR="00ED7C77" w:rsidRPr="007403A4" w:rsidRDefault="00ED7C77">
            <w:pPr>
              <w:ind w:right="28"/>
              <w:jc w:val="center"/>
              <w:rPr>
                <w:sz w:val="22"/>
                <w:szCs w:val="22"/>
                <w:lang w:val="sr-Latn-ME"/>
              </w:rPr>
            </w:pPr>
            <w:r w:rsidRPr="007403A4">
              <w:rPr>
                <w:sz w:val="22"/>
                <w:szCs w:val="22"/>
                <w:lang w:val="sr-Latn-ME"/>
              </w:rPr>
              <w:t>61 (25,5%)</w:t>
            </w:r>
          </w:p>
        </w:tc>
      </w:tr>
      <w:tr w:rsidR="00ED7C77" w:rsidRPr="007403A4" w14:paraId="78AA48CA" w14:textId="77777777" w:rsidTr="00ED7C77">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41E3A8A2" w14:textId="77777777" w:rsidR="00ED7C77" w:rsidRPr="007403A4" w:rsidRDefault="00ED7C77" w:rsidP="00C95059">
            <w:pPr>
              <w:ind w:right="28"/>
              <w:jc w:val="both"/>
              <w:rPr>
                <w:sz w:val="22"/>
                <w:szCs w:val="22"/>
                <w:lang w:val="sr-Latn-ME"/>
              </w:rPr>
            </w:pPr>
            <w:r w:rsidRPr="007403A4">
              <w:rPr>
                <w:sz w:val="22"/>
                <w:szCs w:val="22"/>
                <w:lang w:val="sr-Latn-ME"/>
              </w:rPr>
              <w:t>Pozitivan nalaz na MRD</w:t>
            </w:r>
            <w:r w:rsidRPr="007403A4">
              <w:rPr>
                <w:sz w:val="22"/>
                <w:szCs w:val="22"/>
                <w:vertAlign w:val="superscript"/>
                <w:lang w:val="sr-Latn-ME"/>
              </w:rPr>
              <w:t>f</w:t>
            </w:r>
            <w:r w:rsidRPr="007403A4">
              <w:rPr>
                <w:sz w:val="22"/>
                <w:szCs w:val="22"/>
                <w:lang w:val="sr-Latn-ME"/>
              </w:rPr>
              <w:t xml:space="preserve"> (%)</w:t>
            </w:r>
          </w:p>
        </w:tc>
        <w:tc>
          <w:tcPr>
            <w:tcW w:w="772" w:type="pct"/>
            <w:gridSpan w:val="2"/>
            <w:tcBorders>
              <w:left w:val="single" w:sz="4" w:space="0" w:color="auto"/>
            </w:tcBorders>
          </w:tcPr>
          <w:p w14:paraId="55C930EF" w14:textId="77777777" w:rsidR="00ED7C77" w:rsidRPr="007403A4" w:rsidRDefault="00ED7C77" w:rsidP="004D3AD0">
            <w:pPr>
              <w:ind w:right="28"/>
              <w:jc w:val="center"/>
              <w:rPr>
                <w:sz w:val="22"/>
                <w:szCs w:val="22"/>
                <w:lang w:val="sr-Latn-ME"/>
              </w:rPr>
            </w:pPr>
            <w:r w:rsidRPr="007403A4">
              <w:rPr>
                <w:sz w:val="22"/>
                <w:szCs w:val="22"/>
                <w:lang w:val="sr-Latn-ME"/>
              </w:rPr>
              <w:t>90 (100%)</w:t>
            </w:r>
          </w:p>
        </w:tc>
        <w:tc>
          <w:tcPr>
            <w:tcW w:w="768" w:type="pct"/>
            <w:gridSpan w:val="2"/>
            <w:tcBorders>
              <w:right w:val="single" w:sz="4" w:space="0" w:color="auto"/>
            </w:tcBorders>
          </w:tcPr>
          <w:p w14:paraId="226711C0" w14:textId="77777777" w:rsidR="00ED7C77" w:rsidRPr="007403A4" w:rsidRDefault="00ED7C77">
            <w:pPr>
              <w:ind w:right="28"/>
              <w:jc w:val="center"/>
              <w:rPr>
                <w:sz w:val="22"/>
                <w:szCs w:val="22"/>
                <w:lang w:val="sr-Latn-ME"/>
              </w:rPr>
            </w:pPr>
            <w:r w:rsidRPr="007403A4">
              <w:rPr>
                <w:sz w:val="22"/>
                <w:szCs w:val="22"/>
                <w:lang w:val="sr-Latn-ME"/>
              </w:rPr>
              <w:t>123 (73,2%)</w:t>
            </w:r>
          </w:p>
        </w:tc>
        <w:tc>
          <w:tcPr>
            <w:tcW w:w="759" w:type="pct"/>
          </w:tcPr>
          <w:p w14:paraId="6720ACD1" w14:textId="77777777" w:rsidR="00ED7C77" w:rsidRPr="007403A4" w:rsidRDefault="00ED7C77">
            <w:pPr>
              <w:ind w:right="28"/>
              <w:jc w:val="center"/>
              <w:rPr>
                <w:sz w:val="22"/>
                <w:szCs w:val="22"/>
                <w:lang w:val="sr-Latn-ME"/>
              </w:rPr>
            </w:pPr>
            <w:r w:rsidRPr="007403A4">
              <w:rPr>
                <w:sz w:val="22"/>
                <w:szCs w:val="22"/>
                <w:lang w:val="sr-Latn-ME"/>
              </w:rPr>
              <w:t>238 (97,5%)</w:t>
            </w:r>
          </w:p>
        </w:tc>
        <w:tc>
          <w:tcPr>
            <w:tcW w:w="770" w:type="pct"/>
            <w:tcBorders>
              <w:right w:val="single" w:sz="4" w:space="0" w:color="auto"/>
            </w:tcBorders>
          </w:tcPr>
          <w:p w14:paraId="6B92C55C" w14:textId="77777777" w:rsidR="00ED7C77" w:rsidRPr="007403A4" w:rsidRDefault="00ED7C77">
            <w:pPr>
              <w:ind w:right="28"/>
              <w:jc w:val="center"/>
              <w:rPr>
                <w:sz w:val="22"/>
                <w:szCs w:val="22"/>
                <w:lang w:val="sr-Latn-ME"/>
              </w:rPr>
            </w:pPr>
            <w:r w:rsidRPr="007403A4">
              <w:rPr>
                <w:sz w:val="22"/>
                <w:szCs w:val="22"/>
                <w:lang w:val="sr-Latn-ME"/>
              </w:rPr>
              <w:t>178 (74,5%)</w:t>
            </w:r>
          </w:p>
        </w:tc>
      </w:tr>
      <w:tr w:rsidR="00ED7C77" w:rsidRPr="007403A4" w14:paraId="19E92B99" w14:textId="77777777" w:rsidTr="00932A9D">
        <w:tblPrEx>
          <w:tblLook w:val="0000" w:firstRow="0" w:lastRow="0" w:firstColumn="0" w:lastColumn="0" w:noHBand="0" w:noVBand="0"/>
        </w:tblPrEx>
        <w:trPr>
          <w:cantSplit/>
          <w:trHeight w:val="354"/>
        </w:trPr>
        <w:tc>
          <w:tcPr>
            <w:tcW w:w="1931" w:type="pct"/>
            <w:tcBorders>
              <w:left w:val="single" w:sz="4" w:space="0" w:color="auto"/>
              <w:bottom w:val="single" w:sz="4" w:space="0" w:color="auto"/>
              <w:right w:val="single" w:sz="4" w:space="0" w:color="auto"/>
            </w:tcBorders>
          </w:tcPr>
          <w:p w14:paraId="37B75CA7" w14:textId="77777777" w:rsidR="00ED7C77" w:rsidRPr="007403A4" w:rsidRDefault="00ED7C77" w:rsidP="00C95059">
            <w:pPr>
              <w:ind w:right="28"/>
              <w:jc w:val="both"/>
              <w:rPr>
                <w:sz w:val="22"/>
                <w:szCs w:val="22"/>
                <w:lang w:val="sr-Latn-ME"/>
              </w:rPr>
            </w:pPr>
            <w:r w:rsidRPr="007403A4">
              <w:rPr>
                <w:sz w:val="22"/>
                <w:szCs w:val="22"/>
                <w:lang w:val="sr-Latn-ME"/>
              </w:rPr>
              <w:t>Razlika u stepenima MRD-a (95% CI)</w:t>
            </w:r>
          </w:p>
        </w:tc>
        <w:tc>
          <w:tcPr>
            <w:tcW w:w="1540" w:type="pct"/>
            <w:gridSpan w:val="4"/>
            <w:tcBorders>
              <w:left w:val="single" w:sz="4" w:space="0" w:color="auto"/>
              <w:bottom w:val="single" w:sz="4" w:space="0" w:color="auto"/>
              <w:right w:val="single" w:sz="4" w:space="0" w:color="auto"/>
            </w:tcBorders>
          </w:tcPr>
          <w:p w14:paraId="106A4278" w14:textId="77777777" w:rsidR="00ED7C77" w:rsidRPr="007403A4" w:rsidRDefault="00ED7C77" w:rsidP="004D3AD0">
            <w:pPr>
              <w:ind w:right="28"/>
              <w:jc w:val="center"/>
              <w:rPr>
                <w:sz w:val="22"/>
                <w:szCs w:val="22"/>
                <w:lang w:val="sr-Latn-ME"/>
              </w:rPr>
            </w:pPr>
            <w:r w:rsidRPr="007403A4">
              <w:rPr>
                <w:sz w:val="22"/>
                <w:szCs w:val="22"/>
                <w:lang w:val="sr-Latn-ME"/>
              </w:rPr>
              <w:t>26,79 [19,5; 34,1]</w:t>
            </w:r>
          </w:p>
        </w:tc>
        <w:tc>
          <w:tcPr>
            <w:tcW w:w="1529" w:type="pct"/>
            <w:gridSpan w:val="2"/>
            <w:tcBorders>
              <w:left w:val="single" w:sz="4" w:space="0" w:color="auto"/>
              <w:bottom w:val="single" w:sz="4" w:space="0" w:color="auto"/>
              <w:right w:val="single" w:sz="4" w:space="0" w:color="auto"/>
            </w:tcBorders>
          </w:tcPr>
          <w:p w14:paraId="21F021D0" w14:textId="77777777" w:rsidR="00ED7C77" w:rsidRPr="007403A4" w:rsidRDefault="00ED7C77">
            <w:pPr>
              <w:ind w:right="28"/>
              <w:jc w:val="center"/>
              <w:rPr>
                <w:sz w:val="22"/>
                <w:szCs w:val="22"/>
                <w:lang w:val="sr-Latn-ME"/>
              </w:rPr>
            </w:pPr>
            <w:r w:rsidRPr="007403A4">
              <w:rPr>
                <w:sz w:val="22"/>
                <w:szCs w:val="22"/>
                <w:lang w:val="sr-Latn-ME"/>
              </w:rPr>
              <w:t>23,06 [17,0; 29,1]</w:t>
            </w:r>
          </w:p>
          <w:p w14:paraId="5784BA3A" w14:textId="3FA46CD6" w:rsidR="005E5D5E" w:rsidRPr="007403A4" w:rsidRDefault="005E5D5E">
            <w:pPr>
              <w:ind w:right="28"/>
              <w:jc w:val="center"/>
              <w:rPr>
                <w:sz w:val="22"/>
                <w:szCs w:val="22"/>
                <w:lang w:val="sr-Latn-ME"/>
              </w:rPr>
            </w:pPr>
          </w:p>
        </w:tc>
      </w:tr>
      <w:tr w:rsidR="007A2492" w:rsidRPr="007403A4" w14:paraId="793AE3F7" w14:textId="77777777" w:rsidTr="007A2492">
        <w:tblPrEx>
          <w:tblLook w:val="0000" w:firstRow="0" w:lastRow="0" w:firstColumn="0" w:lastColumn="0" w:noHBand="0" w:noVBand="0"/>
        </w:tblPrEx>
        <w:trPr>
          <w:cantSplit/>
          <w:trHeight w:val="155"/>
        </w:trPr>
        <w:tc>
          <w:tcPr>
            <w:tcW w:w="1931" w:type="pct"/>
            <w:tcBorders>
              <w:top w:val="single" w:sz="4" w:space="0" w:color="auto"/>
              <w:left w:val="single" w:sz="4" w:space="0" w:color="auto"/>
              <w:right w:val="single" w:sz="4" w:space="0" w:color="auto"/>
            </w:tcBorders>
          </w:tcPr>
          <w:p w14:paraId="03E50E10" w14:textId="77777777" w:rsidR="007A2492" w:rsidRPr="007403A4" w:rsidRDefault="007A2492" w:rsidP="004D3AD0">
            <w:pPr>
              <w:ind w:right="28"/>
              <w:jc w:val="both"/>
              <w:rPr>
                <w:b/>
                <w:i/>
                <w:sz w:val="22"/>
                <w:szCs w:val="22"/>
                <w:lang w:val="sr-Latn-ME"/>
              </w:rPr>
            </w:pPr>
            <w:r w:rsidRPr="007403A4">
              <w:rPr>
                <w:b/>
                <w:i/>
                <w:sz w:val="22"/>
                <w:szCs w:val="22"/>
                <w:lang w:val="sr-Latn-ME"/>
              </w:rPr>
              <w:t>Preživljavanje bez događaja</w:t>
            </w:r>
          </w:p>
        </w:tc>
        <w:tc>
          <w:tcPr>
            <w:tcW w:w="766" w:type="pct"/>
            <w:tcBorders>
              <w:top w:val="single" w:sz="4" w:space="0" w:color="auto"/>
              <w:left w:val="single" w:sz="4" w:space="0" w:color="auto"/>
            </w:tcBorders>
          </w:tcPr>
          <w:p w14:paraId="05591CC9" w14:textId="77777777" w:rsidR="007A2492" w:rsidRPr="007403A4" w:rsidRDefault="007A2492" w:rsidP="00C95059">
            <w:pPr>
              <w:ind w:right="28"/>
              <w:jc w:val="center"/>
              <w:rPr>
                <w:sz w:val="22"/>
                <w:szCs w:val="22"/>
                <w:lang w:val="sr-Latn-ME"/>
              </w:rPr>
            </w:pPr>
          </w:p>
        </w:tc>
        <w:tc>
          <w:tcPr>
            <w:tcW w:w="774" w:type="pct"/>
            <w:gridSpan w:val="3"/>
            <w:tcBorders>
              <w:top w:val="single" w:sz="4" w:space="0" w:color="auto"/>
              <w:right w:val="single" w:sz="4" w:space="0" w:color="auto"/>
            </w:tcBorders>
          </w:tcPr>
          <w:p w14:paraId="46B1FB80" w14:textId="77777777" w:rsidR="007A2492" w:rsidRPr="007403A4" w:rsidRDefault="007A2492" w:rsidP="00C95059">
            <w:pPr>
              <w:ind w:right="28"/>
              <w:jc w:val="center"/>
              <w:rPr>
                <w:sz w:val="22"/>
                <w:szCs w:val="22"/>
                <w:lang w:val="sr-Latn-ME"/>
              </w:rPr>
            </w:pPr>
          </w:p>
        </w:tc>
        <w:tc>
          <w:tcPr>
            <w:tcW w:w="759" w:type="pct"/>
            <w:tcBorders>
              <w:top w:val="single" w:sz="4" w:space="0" w:color="auto"/>
            </w:tcBorders>
          </w:tcPr>
          <w:p w14:paraId="350A24FC" w14:textId="77777777" w:rsidR="007A2492" w:rsidRPr="007403A4" w:rsidRDefault="007A2492" w:rsidP="00C95059">
            <w:pPr>
              <w:ind w:right="28"/>
              <w:jc w:val="center"/>
              <w:rPr>
                <w:sz w:val="22"/>
                <w:szCs w:val="22"/>
                <w:lang w:val="sr-Latn-ME"/>
              </w:rPr>
            </w:pPr>
          </w:p>
        </w:tc>
        <w:tc>
          <w:tcPr>
            <w:tcW w:w="770" w:type="pct"/>
            <w:tcBorders>
              <w:top w:val="single" w:sz="4" w:space="0" w:color="auto"/>
              <w:right w:val="single" w:sz="4" w:space="0" w:color="auto"/>
            </w:tcBorders>
          </w:tcPr>
          <w:p w14:paraId="613995F6" w14:textId="77777777" w:rsidR="007A2492" w:rsidRPr="007403A4" w:rsidRDefault="007A2492" w:rsidP="00C95059">
            <w:pPr>
              <w:ind w:right="28"/>
              <w:jc w:val="center"/>
              <w:rPr>
                <w:sz w:val="22"/>
                <w:szCs w:val="22"/>
                <w:lang w:val="sr-Latn-ME"/>
              </w:rPr>
            </w:pPr>
          </w:p>
        </w:tc>
      </w:tr>
      <w:tr w:rsidR="007A2492" w:rsidRPr="007403A4" w14:paraId="40ADB8D2"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6348869F" w14:textId="77777777" w:rsidR="007A2492" w:rsidRPr="007403A4" w:rsidRDefault="007A2492" w:rsidP="00C95059">
            <w:pPr>
              <w:ind w:right="28"/>
              <w:jc w:val="both"/>
              <w:rPr>
                <w:sz w:val="22"/>
                <w:szCs w:val="22"/>
                <w:lang w:val="sr-Latn-ME"/>
              </w:rPr>
            </w:pPr>
            <w:r w:rsidRPr="007403A4">
              <w:rPr>
                <w:sz w:val="22"/>
                <w:szCs w:val="22"/>
                <w:lang w:val="sr-Latn-ME"/>
              </w:rPr>
              <w:t xml:space="preserve">Broj (%) pacijenata sa događajem </w:t>
            </w:r>
          </w:p>
        </w:tc>
        <w:tc>
          <w:tcPr>
            <w:tcW w:w="766" w:type="pct"/>
            <w:tcBorders>
              <w:left w:val="single" w:sz="4" w:space="0" w:color="auto"/>
            </w:tcBorders>
          </w:tcPr>
          <w:p w14:paraId="70616065" w14:textId="77777777" w:rsidR="007A2492" w:rsidRPr="007403A4" w:rsidRDefault="007A2492" w:rsidP="004D3AD0">
            <w:pPr>
              <w:ind w:right="28"/>
              <w:jc w:val="center"/>
              <w:rPr>
                <w:sz w:val="22"/>
                <w:szCs w:val="22"/>
                <w:lang w:val="sr-Latn-ME"/>
              </w:rPr>
            </w:pPr>
            <w:r w:rsidRPr="007403A4">
              <w:rPr>
                <w:sz w:val="22"/>
                <w:szCs w:val="22"/>
                <w:lang w:val="sr-Latn-ME"/>
              </w:rPr>
              <w:t>103 (87,3%)</w:t>
            </w:r>
          </w:p>
        </w:tc>
        <w:tc>
          <w:tcPr>
            <w:tcW w:w="774" w:type="pct"/>
            <w:gridSpan w:val="3"/>
            <w:tcBorders>
              <w:right w:val="single" w:sz="4" w:space="0" w:color="auto"/>
            </w:tcBorders>
          </w:tcPr>
          <w:p w14:paraId="62BBEC57" w14:textId="77777777" w:rsidR="007A2492" w:rsidRPr="007403A4" w:rsidRDefault="007A2492">
            <w:pPr>
              <w:ind w:right="28"/>
              <w:jc w:val="center"/>
              <w:rPr>
                <w:sz w:val="22"/>
                <w:szCs w:val="22"/>
                <w:lang w:val="sr-Latn-ME"/>
              </w:rPr>
            </w:pPr>
            <w:r w:rsidRPr="007403A4">
              <w:rPr>
                <w:sz w:val="22"/>
                <w:szCs w:val="22"/>
                <w:lang w:val="sr-Latn-ME"/>
              </w:rPr>
              <w:t>104 (43,7%)</w:t>
            </w:r>
          </w:p>
        </w:tc>
        <w:tc>
          <w:tcPr>
            <w:tcW w:w="759" w:type="pct"/>
          </w:tcPr>
          <w:p w14:paraId="5E66A3F0" w14:textId="77777777" w:rsidR="007A2492" w:rsidRPr="007403A4" w:rsidRDefault="007A2492">
            <w:pPr>
              <w:ind w:right="28"/>
              <w:jc w:val="center"/>
              <w:rPr>
                <w:sz w:val="22"/>
                <w:szCs w:val="22"/>
                <w:lang w:val="sr-Latn-ME"/>
              </w:rPr>
            </w:pPr>
            <w:r w:rsidRPr="007403A4">
              <w:rPr>
                <w:sz w:val="22"/>
                <w:szCs w:val="22"/>
                <w:lang w:val="sr-Latn-ME"/>
              </w:rPr>
              <w:t>208 (63,0 %)</w:t>
            </w:r>
          </w:p>
        </w:tc>
        <w:tc>
          <w:tcPr>
            <w:tcW w:w="770" w:type="pct"/>
            <w:tcBorders>
              <w:right w:val="single" w:sz="4" w:space="0" w:color="auto"/>
            </w:tcBorders>
          </w:tcPr>
          <w:p w14:paraId="22AC2254" w14:textId="77777777" w:rsidR="007A2492" w:rsidRPr="007403A4" w:rsidRDefault="007A2492">
            <w:pPr>
              <w:ind w:right="28"/>
              <w:jc w:val="center"/>
              <w:rPr>
                <w:sz w:val="22"/>
                <w:szCs w:val="22"/>
                <w:lang w:val="sr-Latn-ME"/>
              </w:rPr>
            </w:pPr>
            <w:r w:rsidRPr="007403A4">
              <w:rPr>
                <w:sz w:val="22"/>
                <w:szCs w:val="22"/>
                <w:lang w:val="sr-Latn-ME"/>
              </w:rPr>
              <w:t>118 (35,4 %)</w:t>
            </w:r>
          </w:p>
        </w:tc>
      </w:tr>
      <w:tr w:rsidR="007A2492" w:rsidRPr="007403A4" w14:paraId="558516FD"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639834FE" w14:textId="77777777" w:rsidR="007A2492" w:rsidRPr="007403A4" w:rsidRDefault="007A2492" w:rsidP="00C95059">
            <w:pPr>
              <w:ind w:right="28"/>
              <w:jc w:val="both"/>
              <w:rPr>
                <w:sz w:val="22"/>
                <w:szCs w:val="22"/>
                <w:lang w:val="sr-Latn-ME"/>
              </w:rPr>
            </w:pPr>
            <w:r w:rsidRPr="007403A4">
              <w:rPr>
                <w:sz w:val="22"/>
                <w:szCs w:val="22"/>
                <w:lang w:val="sr-Latn-ME"/>
              </w:rPr>
              <w:t xml:space="preserve">Medijana vremena do događaja (mjeseci) </w:t>
            </w:r>
          </w:p>
        </w:tc>
        <w:tc>
          <w:tcPr>
            <w:tcW w:w="766" w:type="pct"/>
            <w:tcBorders>
              <w:left w:val="single" w:sz="4" w:space="0" w:color="auto"/>
            </w:tcBorders>
          </w:tcPr>
          <w:p w14:paraId="6135D2E8" w14:textId="77777777" w:rsidR="007A2492" w:rsidRPr="007403A4" w:rsidRDefault="007A2492" w:rsidP="004D3AD0">
            <w:pPr>
              <w:ind w:right="28"/>
              <w:jc w:val="center"/>
              <w:rPr>
                <w:sz w:val="22"/>
                <w:szCs w:val="22"/>
                <w:lang w:val="sr-Latn-ME"/>
              </w:rPr>
            </w:pPr>
            <w:r w:rsidRPr="007403A4">
              <w:rPr>
                <w:sz w:val="22"/>
                <w:szCs w:val="22"/>
                <w:lang w:val="sr-Latn-ME"/>
              </w:rPr>
              <w:t>10,8</w:t>
            </w:r>
          </w:p>
        </w:tc>
        <w:tc>
          <w:tcPr>
            <w:tcW w:w="774" w:type="pct"/>
            <w:gridSpan w:val="3"/>
            <w:tcBorders>
              <w:right w:val="single" w:sz="4" w:space="0" w:color="auto"/>
            </w:tcBorders>
          </w:tcPr>
          <w:p w14:paraId="68E8F7EE" w14:textId="77777777" w:rsidR="007A2492" w:rsidRPr="007403A4" w:rsidRDefault="007A2492">
            <w:pPr>
              <w:ind w:right="28"/>
              <w:jc w:val="center"/>
              <w:rPr>
                <w:sz w:val="22"/>
                <w:szCs w:val="22"/>
                <w:lang w:val="sr-Latn-ME"/>
              </w:rPr>
            </w:pPr>
            <w:r w:rsidRPr="007403A4">
              <w:rPr>
                <w:sz w:val="22"/>
                <w:szCs w:val="22"/>
                <w:lang w:val="sr-Latn-ME"/>
              </w:rPr>
              <w:t>26,1</w:t>
            </w:r>
          </w:p>
        </w:tc>
        <w:tc>
          <w:tcPr>
            <w:tcW w:w="759" w:type="pct"/>
          </w:tcPr>
          <w:p w14:paraId="4C7C43A5" w14:textId="77777777" w:rsidR="007A2492" w:rsidRPr="007403A4" w:rsidRDefault="007A2492">
            <w:pPr>
              <w:ind w:right="28"/>
              <w:jc w:val="center"/>
              <w:rPr>
                <w:sz w:val="22"/>
                <w:szCs w:val="22"/>
                <w:lang w:val="sr-Latn-ME"/>
              </w:rPr>
            </w:pPr>
            <w:r w:rsidRPr="007403A4">
              <w:rPr>
                <w:sz w:val="22"/>
                <w:szCs w:val="22"/>
                <w:lang w:val="sr-Latn-ME"/>
              </w:rPr>
              <w:t>14,3</w:t>
            </w:r>
          </w:p>
        </w:tc>
        <w:tc>
          <w:tcPr>
            <w:tcW w:w="770" w:type="pct"/>
            <w:tcBorders>
              <w:right w:val="single" w:sz="4" w:space="0" w:color="auto"/>
            </w:tcBorders>
          </w:tcPr>
          <w:p w14:paraId="563BF724" w14:textId="77777777" w:rsidR="007A2492" w:rsidRPr="007403A4" w:rsidRDefault="007A2492">
            <w:pPr>
              <w:ind w:right="28"/>
              <w:jc w:val="center"/>
              <w:rPr>
                <w:sz w:val="22"/>
                <w:szCs w:val="22"/>
                <w:lang w:val="sr-Latn-ME"/>
              </w:rPr>
            </w:pPr>
            <w:r w:rsidRPr="007403A4">
              <w:rPr>
                <w:sz w:val="22"/>
                <w:szCs w:val="22"/>
                <w:lang w:val="sr-Latn-ME"/>
              </w:rPr>
              <w:t>26,1</w:t>
            </w:r>
          </w:p>
        </w:tc>
      </w:tr>
      <w:tr w:rsidR="007A2492" w:rsidRPr="007403A4" w14:paraId="391B2F98" w14:textId="77777777" w:rsidTr="0080183D">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6DCFCBDD" w14:textId="77777777" w:rsidR="007A2492" w:rsidRPr="007403A4" w:rsidRDefault="007A2492" w:rsidP="00C95059">
            <w:pPr>
              <w:ind w:right="28"/>
              <w:jc w:val="both"/>
              <w:rPr>
                <w:sz w:val="22"/>
                <w:szCs w:val="22"/>
                <w:lang w:val="sr-Latn-ME"/>
              </w:rPr>
            </w:pPr>
            <w:r w:rsidRPr="007403A4">
              <w:rPr>
                <w:sz w:val="22"/>
                <w:szCs w:val="22"/>
                <w:lang w:val="sr-Latn-ME"/>
              </w:rPr>
              <w:t>Odnos rizika (95% CI)</w:t>
            </w:r>
          </w:p>
        </w:tc>
        <w:tc>
          <w:tcPr>
            <w:tcW w:w="1540" w:type="pct"/>
            <w:gridSpan w:val="4"/>
            <w:tcBorders>
              <w:left w:val="single" w:sz="4" w:space="0" w:color="auto"/>
              <w:right w:val="single" w:sz="4" w:space="0" w:color="auto"/>
            </w:tcBorders>
          </w:tcPr>
          <w:p w14:paraId="57CCC2F6" w14:textId="77777777" w:rsidR="007A2492" w:rsidRPr="007403A4" w:rsidRDefault="007A2492" w:rsidP="004D3AD0">
            <w:pPr>
              <w:ind w:right="28"/>
              <w:jc w:val="center"/>
              <w:rPr>
                <w:sz w:val="22"/>
                <w:szCs w:val="22"/>
                <w:lang w:val="sr-Latn-ME"/>
              </w:rPr>
            </w:pPr>
            <w:r w:rsidRPr="007403A4">
              <w:rPr>
                <w:sz w:val="22"/>
                <w:szCs w:val="22"/>
                <w:lang w:val="sr-Latn-ME"/>
              </w:rPr>
              <w:t>0,19 [0,14; 0,25]</w:t>
            </w:r>
          </w:p>
        </w:tc>
        <w:tc>
          <w:tcPr>
            <w:tcW w:w="1529" w:type="pct"/>
            <w:gridSpan w:val="2"/>
            <w:tcBorders>
              <w:left w:val="single" w:sz="4" w:space="0" w:color="auto"/>
              <w:right w:val="single" w:sz="4" w:space="0" w:color="auto"/>
            </w:tcBorders>
          </w:tcPr>
          <w:p w14:paraId="656043F0" w14:textId="77777777" w:rsidR="007A2492" w:rsidRPr="007403A4" w:rsidRDefault="007A2492">
            <w:pPr>
              <w:ind w:right="28"/>
              <w:jc w:val="center"/>
              <w:rPr>
                <w:sz w:val="22"/>
                <w:szCs w:val="22"/>
                <w:lang w:val="sr-Latn-ME"/>
              </w:rPr>
            </w:pPr>
            <w:r w:rsidRPr="007403A4">
              <w:rPr>
                <w:sz w:val="22"/>
                <w:szCs w:val="22"/>
                <w:lang w:val="sr-Latn-ME"/>
              </w:rPr>
              <w:t>0,43 [0,34; 0,54]</w:t>
            </w:r>
          </w:p>
        </w:tc>
      </w:tr>
      <w:tr w:rsidR="007A2492" w:rsidRPr="007403A4" w14:paraId="766FC5AE" w14:textId="77777777" w:rsidTr="0080183D">
        <w:tblPrEx>
          <w:tblLook w:val="0000" w:firstRow="0" w:lastRow="0" w:firstColumn="0" w:lastColumn="0" w:noHBand="0" w:noVBand="0"/>
        </w:tblPrEx>
        <w:trPr>
          <w:cantSplit/>
        </w:trPr>
        <w:tc>
          <w:tcPr>
            <w:tcW w:w="1931" w:type="pct"/>
            <w:tcBorders>
              <w:left w:val="single" w:sz="4" w:space="0" w:color="auto"/>
              <w:bottom w:val="single" w:sz="4" w:space="0" w:color="auto"/>
              <w:right w:val="single" w:sz="4" w:space="0" w:color="auto"/>
            </w:tcBorders>
          </w:tcPr>
          <w:p w14:paraId="62FDB927" w14:textId="0A01D3A6" w:rsidR="007A2492" w:rsidRPr="007403A4" w:rsidRDefault="007A2492" w:rsidP="00C95059">
            <w:pPr>
              <w:ind w:right="28"/>
              <w:jc w:val="both"/>
              <w:rPr>
                <w:sz w:val="22"/>
                <w:szCs w:val="22"/>
                <w:lang w:val="sr-Latn-ME"/>
              </w:rPr>
            </w:pPr>
            <w:r w:rsidRPr="007403A4">
              <w:rPr>
                <w:sz w:val="22"/>
                <w:szCs w:val="22"/>
                <w:lang w:val="sr-Latn-ME"/>
              </w:rPr>
              <w:t xml:space="preserve">p-vrijednost (log-rang test, </w:t>
            </w:r>
            <w:r w:rsidR="00942B09" w:rsidRPr="007403A4">
              <w:rPr>
                <w:sz w:val="22"/>
                <w:szCs w:val="22"/>
                <w:lang w:val="sr-Latn-ME"/>
              </w:rPr>
              <w:t>stratifikovan</w:t>
            </w:r>
            <w:r w:rsidRPr="007403A4">
              <w:rPr>
                <w:sz w:val="22"/>
                <w:szCs w:val="22"/>
                <w:vertAlign w:val="superscript"/>
                <w:lang w:val="sr-Latn-ME"/>
              </w:rPr>
              <w:t>b</w:t>
            </w:r>
            <w:r w:rsidRPr="007403A4">
              <w:rPr>
                <w:sz w:val="22"/>
                <w:szCs w:val="22"/>
                <w:lang w:val="sr-Latn-ME"/>
              </w:rPr>
              <w:t>)</w:t>
            </w:r>
          </w:p>
        </w:tc>
        <w:tc>
          <w:tcPr>
            <w:tcW w:w="1540" w:type="pct"/>
            <w:gridSpan w:val="4"/>
            <w:tcBorders>
              <w:left w:val="single" w:sz="4" w:space="0" w:color="auto"/>
              <w:bottom w:val="single" w:sz="4" w:space="0" w:color="auto"/>
              <w:right w:val="single" w:sz="4" w:space="0" w:color="auto"/>
            </w:tcBorders>
          </w:tcPr>
          <w:p w14:paraId="3AB4EC54" w14:textId="77777777" w:rsidR="007A2492" w:rsidRPr="007403A4" w:rsidRDefault="007A2492" w:rsidP="004D3AD0">
            <w:pPr>
              <w:ind w:right="28"/>
              <w:jc w:val="center"/>
              <w:rPr>
                <w:sz w:val="22"/>
                <w:szCs w:val="22"/>
                <w:lang w:val="sr-Latn-ME"/>
              </w:rPr>
            </w:pPr>
            <w:r w:rsidRPr="007403A4">
              <w:rPr>
                <w:sz w:val="22"/>
                <w:szCs w:val="22"/>
                <w:lang w:val="sr-Latn-ME"/>
              </w:rPr>
              <w:t>&lt;0,0001</w:t>
            </w:r>
          </w:p>
        </w:tc>
        <w:tc>
          <w:tcPr>
            <w:tcW w:w="1529" w:type="pct"/>
            <w:gridSpan w:val="2"/>
            <w:tcBorders>
              <w:left w:val="single" w:sz="4" w:space="0" w:color="auto"/>
              <w:bottom w:val="single" w:sz="4" w:space="0" w:color="auto"/>
              <w:right w:val="single" w:sz="4" w:space="0" w:color="auto"/>
            </w:tcBorders>
          </w:tcPr>
          <w:p w14:paraId="49DB2037" w14:textId="77777777" w:rsidR="007A2492" w:rsidRPr="007403A4" w:rsidRDefault="007A2492">
            <w:pPr>
              <w:ind w:right="28"/>
              <w:jc w:val="center"/>
              <w:rPr>
                <w:sz w:val="22"/>
                <w:szCs w:val="22"/>
                <w:lang w:val="sr-Latn-ME"/>
              </w:rPr>
            </w:pPr>
            <w:r w:rsidRPr="007403A4">
              <w:rPr>
                <w:sz w:val="22"/>
                <w:szCs w:val="22"/>
                <w:lang w:val="sr-Latn-ME"/>
              </w:rPr>
              <w:t>&lt;0,0001</w:t>
            </w:r>
          </w:p>
        </w:tc>
      </w:tr>
      <w:tr w:rsidR="007A2492" w:rsidRPr="007403A4" w14:paraId="52D04FB2" w14:textId="77777777" w:rsidTr="007A2492">
        <w:tblPrEx>
          <w:tblLook w:val="0000" w:firstRow="0" w:lastRow="0" w:firstColumn="0" w:lastColumn="0" w:noHBand="0" w:noVBand="0"/>
        </w:tblPrEx>
        <w:trPr>
          <w:cantSplit/>
        </w:trPr>
        <w:tc>
          <w:tcPr>
            <w:tcW w:w="1931" w:type="pct"/>
            <w:tcBorders>
              <w:top w:val="single" w:sz="4" w:space="0" w:color="auto"/>
              <w:left w:val="single" w:sz="4" w:space="0" w:color="auto"/>
              <w:right w:val="single" w:sz="4" w:space="0" w:color="auto"/>
            </w:tcBorders>
          </w:tcPr>
          <w:p w14:paraId="38FF8D09" w14:textId="77777777" w:rsidR="007A2492" w:rsidRPr="007403A4" w:rsidRDefault="007A2492" w:rsidP="00C95059">
            <w:pPr>
              <w:ind w:right="28"/>
              <w:jc w:val="both"/>
              <w:rPr>
                <w:b/>
                <w:i/>
                <w:sz w:val="22"/>
                <w:szCs w:val="22"/>
                <w:lang w:val="sr-Latn-ME"/>
              </w:rPr>
            </w:pPr>
            <w:r w:rsidRPr="007403A4">
              <w:rPr>
                <w:b/>
                <w:i/>
                <w:sz w:val="22"/>
                <w:szCs w:val="22"/>
                <w:lang w:val="sr-Latn-ME"/>
              </w:rPr>
              <w:t>Vrijeme do nove terapije protiv leukemije</w:t>
            </w:r>
          </w:p>
        </w:tc>
        <w:tc>
          <w:tcPr>
            <w:tcW w:w="766" w:type="pct"/>
            <w:tcBorders>
              <w:top w:val="single" w:sz="4" w:space="0" w:color="auto"/>
              <w:left w:val="single" w:sz="4" w:space="0" w:color="auto"/>
            </w:tcBorders>
          </w:tcPr>
          <w:p w14:paraId="3ED2709B" w14:textId="77777777" w:rsidR="007A2492" w:rsidRPr="007403A4" w:rsidRDefault="007A2492" w:rsidP="004D3AD0">
            <w:pPr>
              <w:ind w:right="28"/>
              <w:jc w:val="center"/>
              <w:rPr>
                <w:sz w:val="22"/>
                <w:szCs w:val="22"/>
                <w:lang w:val="sr-Latn-ME"/>
              </w:rPr>
            </w:pPr>
          </w:p>
        </w:tc>
        <w:tc>
          <w:tcPr>
            <w:tcW w:w="774" w:type="pct"/>
            <w:gridSpan w:val="3"/>
            <w:tcBorders>
              <w:top w:val="single" w:sz="4" w:space="0" w:color="auto"/>
              <w:right w:val="single" w:sz="4" w:space="0" w:color="auto"/>
            </w:tcBorders>
          </w:tcPr>
          <w:p w14:paraId="2A36B816" w14:textId="77777777" w:rsidR="007A2492" w:rsidRPr="007403A4" w:rsidRDefault="007A2492">
            <w:pPr>
              <w:ind w:right="28"/>
              <w:jc w:val="center"/>
              <w:rPr>
                <w:sz w:val="22"/>
                <w:szCs w:val="22"/>
                <w:lang w:val="sr-Latn-ME"/>
              </w:rPr>
            </w:pPr>
          </w:p>
        </w:tc>
        <w:tc>
          <w:tcPr>
            <w:tcW w:w="759" w:type="pct"/>
            <w:tcBorders>
              <w:top w:val="single" w:sz="4" w:space="0" w:color="auto"/>
            </w:tcBorders>
          </w:tcPr>
          <w:p w14:paraId="1040EC4D" w14:textId="77777777" w:rsidR="007A2492" w:rsidRPr="007403A4" w:rsidRDefault="007A2492">
            <w:pPr>
              <w:ind w:right="28"/>
              <w:jc w:val="center"/>
              <w:rPr>
                <w:sz w:val="22"/>
                <w:szCs w:val="22"/>
                <w:lang w:val="sr-Latn-ME"/>
              </w:rPr>
            </w:pPr>
          </w:p>
        </w:tc>
        <w:tc>
          <w:tcPr>
            <w:tcW w:w="770" w:type="pct"/>
            <w:tcBorders>
              <w:top w:val="single" w:sz="4" w:space="0" w:color="auto"/>
              <w:right w:val="single" w:sz="4" w:space="0" w:color="auto"/>
            </w:tcBorders>
          </w:tcPr>
          <w:p w14:paraId="25B60451" w14:textId="77777777" w:rsidR="007A2492" w:rsidRPr="007403A4" w:rsidRDefault="007A2492">
            <w:pPr>
              <w:ind w:right="28"/>
              <w:jc w:val="center"/>
              <w:rPr>
                <w:sz w:val="22"/>
                <w:szCs w:val="22"/>
                <w:lang w:val="sr-Latn-ME"/>
              </w:rPr>
            </w:pPr>
          </w:p>
        </w:tc>
      </w:tr>
      <w:tr w:rsidR="007A2492" w:rsidRPr="007403A4" w14:paraId="423912B1"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C8E4951" w14:textId="77777777" w:rsidR="007A2492" w:rsidRPr="007403A4" w:rsidRDefault="007A2492" w:rsidP="00C95059">
            <w:pPr>
              <w:ind w:right="28"/>
              <w:jc w:val="both"/>
              <w:rPr>
                <w:sz w:val="22"/>
                <w:szCs w:val="22"/>
                <w:lang w:val="sr-Latn-ME"/>
              </w:rPr>
            </w:pPr>
            <w:r w:rsidRPr="007403A4">
              <w:rPr>
                <w:sz w:val="22"/>
                <w:szCs w:val="22"/>
                <w:lang w:val="sr-Latn-ME"/>
              </w:rPr>
              <w:t xml:space="preserve">Broj (%) pacijenata sa događajem </w:t>
            </w:r>
          </w:p>
        </w:tc>
        <w:tc>
          <w:tcPr>
            <w:tcW w:w="766" w:type="pct"/>
            <w:tcBorders>
              <w:left w:val="single" w:sz="4" w:space="0" w:color="auto"/>
            </w:tcBorders>
          </w:tcPr>
          <w:p w14:paraId="199F6040" w14:textId="77777777" w:rsidR="007A2492" w:rsidRPr="007403A4" w:rsidRDefault="007A2492" w:rsidP="004D3AD0">
            <w:pPr>
              <w:ind w:right="28"/>
              <w:jc w:val="center"/>
              <w:rPr>
                <w:sz w:val="22"/>
                <w:szCs w:val="22"/>
                <w:lang w:val="sr-Latn-ME"/>
              </w:rPr>
            </w:pPr>
            <w:r w:rsidRPr="007403A4">
              <w:rPr>
                <w:sz w:val="22"/>
                <w:szCs w:val="22"/>
                <w:lang w:val="sr-Latn-ME"/>
              </w:rPr>
              <w:t>65 (55,1%)</w:t>
            </w:r>
          </w:p>
        </w:tc>
        <w:tc>
          <w:tcPr>
            <w:tcW w:w="774" w:type="pct"/>
            <w:gridSpan w:val="3"/>
            <w:tcBorders>
              <w:right w:val="single" w:sz="4" w:space="0" w:color="auto"/>
            </w:tcBorders>
          </w:tcPr>
          <w:p w14:paraId="123C3718" w14:textId="77777777" w:rsidR="007A2492" w:rsidRPr="007403A4" w:rsidRDefault="007A2492">
            <w:pPr>
              <w:ind w:right="28"/>
              <w:jc w:val="center"/>
              <w:rPr>
                <w:sz w:val="22"/>
                <w:szCs w:val="22"/>
                <w:lang w:val="sr-Latn-ME"/>
              </w:rPr>
            </w:pPr>
            <w:r w:rsidRPr="007403A4">
              <w:rPr>
                <w:sz w:val="22"/>
                <w:szCs w:val="22"/>
                <w:lang w:val="sr-Latn-ME"/>
              </w:rPr>
              <w:t>51 (21,4%)</w:t>
            </w:r>
          </w:p>
        </w:tc>
        <w:tc>
          <w:tcPr>
            <w:tcW w:w="759" w:type="pct"/>
          </w:tcPr>
          <w:p w14:paraId="2B1A3DE8" w14:textId="77777777" w:rsidR="007A2492" w:rsidRPr="007403A4" w:rsidRDefault="007A2492">
            <w:pPr>
              <w:ind w:right="28"/>
              <w:jc w:val="center"/>
              <w:rPr>
                <w:sz w:val="22"/>
                <w:szCs w:val="22"/>
                <w:lang w:val="sr-Latn-ME"/>
              </w:rPr>
            </w:pPr>
            <w:r w:rsidRPr="007403A4">
              <w:rPr>
                <w:sz w:val="22"/>
                <w:szCs w:val="22"/>
                <w:lang w:val="sr-Latn-ME"/>
              </w:rPr>
              <w:t>86 (26,1%)</w:t>
            </w:r>
          </w:p>
        </w:tc>
        <w:tc>
          <w:tcPr>
            <w:tcW w:w="770" w:type="pct"/>
            <w:tcBorders>
              <w:right w:val="single" w:sz="4" w:space="0" w:color="auto"/>
            </w:tcBorders>
          </w:tcPr>
          <w:p w14:paraId="28C5AAE0" w14:textId="77777777" w:rsidR="007A2492" w:rsidRPr="007403A4" w:rsidRDefault="007A2492">
            <w:pPr>
              <w:ind w:right="28"/>
              <w:jc w:val="center"/>
              <w:rPr>
                <w:sz w:val="22"/>
                <w:szCs w:val="22"/>
                <w:lang w:val="sr-Latn-ME"/>
              </w:rPr>
            </w:pPr>
            <w:r w:rsidRPr="007403A4">
              <w:rPr>
                <w:sz w:val="22"/>
                <w:szCs w:val="22"/>
                <w:lang w:val="sr-Latn-ME"/>
              </w:rPr>
              <w:t>55 (16,5%)</w:t>
            </w:r>
          </w:p>
        </w:tc>
      </w:tr>
      <w:tr w:rsidR="007A2492" w:rsidRPr="007403A4" w14:paraId="37066BF1"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228ED670" w14:textId="77777777" w:rsidR="007A2492" w:rsidRPr="007403A4" w:rsidRDefault="007A2492" w:rsidP="00C95059">
            <w:pPr>
              <w:ind w:right="28"/>
              <w:jc w:val="both"/>
              <w:rPr>
                <w:sz w:val="22"/>
                <w:szCs w:val="22"/>
                <w:lang w:val="sr-Latn-ME"/>
              </w:rPr>
            </w:pPr>
            <w:r w:rsidRPr="007403A4">
              <w:rPr>
                <w:sz w:val="22"/>
                <w:szCs w:val="22"/>
                <w:lang w:val="sr-Latn-ME"/>
              </w:rPr>
              <w:t xml:space="preserve">Medijana vremena do događaja (mjeseci) </w:t>
            </w:r>
          </w:p>
        </w:tc>
        <w:tc>
          <w:tcPr>
            <w:tcW w:w="766" w:type="pct"/>
            <w:tcBorders>
              <w:left w:val="single" w:sz="4" w:space="0" w:color="auto"/>
            </w:tcBorders>
          </w:tcPr>
          <w:p w14:paraId="5CC53AC3" w14:textId="77777777" w:rsidR="007A2492" w:rsidRPr="007403A4" w:rsidRDefault="007A2492" w:rsidP="004D3AD0">
            <w:pPr>
              <w:ind w:right="28"/>
              <w:jc w:val="center"/>
              <w:rPr>
                <w:sz w:val="22"/>
                <w:szCs w:val="22"/>
                <w:lang w:val="sr-Latn-ME"/>
              </w:rPr>
            </w:pPr>
            <w:r w:rsidRPr="007403A4">
              <w:rPr>
                <w:sz w:val="22"/>
                <w:szCs w:val="22"/>
                <w:lang w:val="sr-Latn-ME"/>
              </w:rPr>
              <w:t>14,8</w:t>
            </w:r>
          </w:p>
        </w:tc>
        <w:tc>
          <w:tcPr>
            <w:tcW w:w="774" w:type="pct"/>
            <w:gridSpan w:val="3"/>
            <w:tcBorders>
              <w:right w:val="single" w:sz="4" w:space="0" w:color="auto"/>
            </w:tcBorders>
          </w:tcPr>
          <w:p w14:paraId="156C2DE6" w14:textId="77777777" w:rsidR="007A2492" w:rsidRPr="007403A4" w:rsidRDefault="007A2492">
            <w:pPr>
              <w:ind w:right="28"/>
              <w:jc w:val="center"/>
              <w:rPr>
                <w:sz w:val="22"/>
                <w:szCs w:val="22"/>
                <w:lang w:val="sr-Latn-ME"/>
              </w:rPr>
            </w:pPr>
            <w:r w:rsidRPr="007403A4">
              <w:rPr>
                <w:sz w:val="22"/>
                <w:szCs w:val="22"/>
                <w:lang w:val="sr-Latn-ME"/>
              </w:rPr>
              <w:t>-ND</w:t>
            </w:r>
          </w:p>
        </w:tc>
        <w:tc>
          <w:tcPr>
            <w:tcW w:w="759" w:type="pct"/>
          </w:tcPr>
          <w:p w14:paraId="722988F9" w14:textId="77777777" w:rsidR="007A2492" w:rsidRPr="007403A4" w:rsidRDefault="007A2492">
            <w:pPr>
              <w:ind w:right="28"/>
              <w:jc w:val="center"/>
              <w:rPr>
                <w:sz w:val="22"/>
                <w:szCs w:val="22"/>
                <w:lang w:val="sr-Latn-ME"/>
              </w:rPr>
            </w:pPr>
            <w:r w:rsidRPr="007403A4">
              <w:rPr>
                <w:sz w:val="22"/>
                <w:szCs w:val="22"/>
                <w:lang w:val="sr-Latn-ME"/>
              </w:rPr>
              <w:t>30,8</w:t>
            </w:r>
          </w:p>
        </w:tc>
        <w:tc>
          <w:tcPr>
            <w:tcW w:w="770" w:type="pct"/>
            <w:tcBorders>
              <w:right w:val="single" w:sz="4" w:space="0" w:color="auto"/>
            </w:tcBorders>
          </w:tcPr>
          <w:p w14:paraId="3E78B00B" w14:textId="77777777" w:rsidR="007A2492" w:rsidRPr="007403A4" w:rsidRDefault="007A2492">
            <w:pPr>
              <w:ind w:right="28"/>
              <w:jc w:val="center"/>
              <w:rPr>
                <w:sz w:val="22"/>
                <w:szCs w:val="22"/>
                <w:lang w:val="sr-Latn-ME"/>
              </w:rPr>
            </w:pPr>
            <w:r w:rsidRPr="007403A4">
              <w:rPr>
                <w:sz w:val="22"/>
                <w:szCs w:val="22"/>
                <w:lang w:val="sr-Latn-ME"/>
              </w:rPr>
              <w:t>-ND</w:t>
            </w:r>
          </w:p>
        </w:tc>
      </w:tr>
      <w:tr w:rsidR="007A2492" w:rsidRPr="007403A4" w14:paraId="40A8F739" w14:textId="77777777" w:rsidTr="0080183D">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0C67BD24" w14:textId="77777777" w:rsidR="007A2492" w:rsidRPr="007403A4" w:rsidRDefault="007A2492" w:rsidP="00C95059">
            <w:pPr>
              <w:ind w:right="28"/>
              <w:jc w:val="both"/>
              <w:rPr>
                <w:sz w:val="22"/>
                <w:szCs w:val="22"/>
                <w:lang w:val="sr-Latn-ME"/>
              </w:rPr>
            </w:pPr>
            <w:r w:rsidRPr="007403A4">
              <w:rPr>
                <w:sz w:val="22"/>
                <w:szCs w:val="22"/>
                <w:lang w:val="sr-Latn-ME"/>
              </w:rPr>
              <w:t>Odnos rizika (95% CI)</w:t>
            </w:r>
          </w:p>
        </w:tc>
        <w:tc>
          <w:tcPr>
            <w:tcW w:w="1540" w:type="pct"/>
            <w:gridSpan w:val="4"/>
            <w:tcBorders>
              <w:left w:val="single" w:sz="4" w:space="0" w:color="auto"/>
              <w:right w:val="single" w:sz="4" w:space="0" w:color="auto"/>
            </w:tcBorders>
          </w:tcPr>
          <w:p w14:paraId="02CFD796" w14:textId="77777777" w:rsidR="007A2492" w:rsidRPr="007403A4" w:rsidRDefault="007A2492" w:rsidP="004D3AD0">
            <w:pPr>
              <w:ind w:right="28"/>
              <w:jc w:val="center"/>
              <w:rPr>
                <w:sz w:val="22"/>
                <w:szCs w:val="22"/>
                <w:lang w:val="sr-Latn-ME"/>
              </w:rPr>
            </w:pPr>
            <w:r w:rsidRPr="007403A4">
              <w:rPr>
                <w:sz w:val="22"/>
                <w:szCs w:val="22"/>
                <w:lang w:val="sr-Latn-ME"/>
              </w:rPr>
              <w:t>0,24 [0,16; 0,35]</w:t>
            </w:r>
          </w:p>
        </w:tc>
        <w:tc>
          <w:tcPr>
            <w:tcW w:w="1529" w:type="pct"/>
            <w:gridSpan w:val="2"/>
            <w:tcBorders>
              <w:left w:val="single" w:sz="4" w:space="0" w:color="auto"/>
              <w:right w:val="single" w:sz="4" w:space="0" w:color="auto"/>
            </w:tcBorders>
          </w:tcPr>
          <w:p w14:paraId="7A8E503C" w14:textId="77777777" w:rsidR="007A2492" w:rsidRPr="007403A4" w:rsidRDefault="007A2492">
            <w:pPr>
              <w:ind w:right="28"/>
              <w:jc w:val="center"/>
              <w:rPr>
                <w:sz w:val="22"/>
                <w:szCs w:val="22"/>
                <w:lang w:val="sr-Latn-ME"/>
              </w:rPr>
            </w:pPr>
            <w:r w:rsidRPr="007403A4">
              <w:rPr>
                <w:sz w:val="22"/>
                <w:szCs w:val="22"/>
                <w:lang w:val="sr-Latn-ME"/>
              </w:rPr>
              <w:t>0,59 [0,42; 0,82]</w:t>
            </w:r>
          </w:p>
        </w:tc>
      </w:tr>
      <w:tr w:rsidR="007A2492" w:rsidRPr="007403A4" w14:paraId="447F2AD9" w14:textId="77777777" w:rsidTr="0080183D">
        <w:tblPrEx>
          <w:tblLook w:val="0000" w:firstRow="0" w:lastRow="0" w:firstColumn="0" w:lastColumn="0" w:noHBand="0" w:noVBand="0"/>
        </w:tblPrEx>
        <w:trPr>
          <w:cantSplit/>
        </w:trPr>
        <w:tc>
          <w:tcPr>
            <w:tcW w:w="1931" w:type="pct"/>
            <w:tcBorders>
              <w:left w:val="single" w:sz="4" w:space="0" w:color="auto"/>
              <w:bottom w:val="single" w:sz="4" w:space="0" w:color="auto"/>
              <w:right w:val="single" w:sz="4" w:space="0" w:color="auto"/>
            </w:tcBorders>
          </w:tcPr>
          <w:p w14:paraId="2D2125FE" w14:textId="03214161" w:rsidR="007A2492" w:rsidRPr="007403A4" w:rsidRDefault="007A2492" w:rsidP="00C95059">
            <w:pPr>
              <w:ind w:right="28"/>
              <w:jc w:val="both"/>
              <w:rPr>
                <w:sz w:val="22"/>
                <w:szCs w:val="22"/>
                <w:lang w:val="sr-Latn-ME"/>
              </w:rPr>
            </w:pPr>
            <w:r w:rsidRPr="007403A4">
              <w:rPr>
                <w:sz w:val="22"/>
                <w:szCs w:val="22"/>
                <w:lang w:val="sr-Latn-ME"/>
              </w:rPr>
              <w:lastRenderedPageBreak/>
              <w:t xml:space="preserve">p-vrijednost (log-rang test, </w:t>
            </w:r>
            <w:r w:rsidR="00942B09" w:rsidRPr="007403A4">
              <w:rPr>
                <w:sz w:val="22"/>
                <w:szCs w:val="22"/>
                <w:lang w:val="sr-Latn-ME"/>
              </w:rPr>
              <w:t>stratifikovan</w:t>
            </w:r>
            <w:r w:rsidRPr="007403A4">
              <w:rPr>
                <w:sz w:val="22"/>
                <w:szCs w:val="22"/>
                <w:vertAlign w:val="superscript"/>
                <w:lang w:val="sr-Latn-ME"/>
              </w:rPr>
              <w:t>b</w:t>
            </w:r>
            <w:r w:rsidRPr="007403A4">
              <w:rPr>
                <w:sz w:val="22"/>
                <w:szCs w:val="22"/>
                <w:lang w:val="sr-Latn-ME"/>
              </w:rPr>
              <w:t>)</w:t>
            </w:r>
          </w:p>
        </w:tc>
        <w:tc>
          <w:tcPr>
            <w:tcW w:w="1540" w:type="pct"/>
            <w:gridSpan w:val="4"/>
            <w:tcBorders>
              <w:left w:val="single" w:sz="4" w:space="0" w:color="auto"/>
              <w:bottom w:val="single" w:sz="4" w:space="0" w:color="auto"/>
              <w:right w:val="single" w:sz="4" w:space="0" w:color="auto"/>
            </w:tcBorders>
          </w:tcPr>
          <w:p w14:paraId="6BBB4468" w14:textId="77777777" w:rsidR="007A2492" w:rsidRPr="007403A4" w:rsidRDefault="007A2492" w:rsidP="004D3AD0">
            <w:pPr>
              <w:ind w:right="28"/>
              <w:jc w:val="center"/>
              <w:rPr>
                <w:sz w:val="22"/>
                <w:szCs w:val="22"/>
                <w:lang w:val="sr-Latn-ME"/>
              </w:rPr>
            </w:pPr>
            <w:r w:rsidRPr="007403A4">
              <w:rPr>
                <w:sz w:val="22"/>
                <w:szCs w:val="22"/>
                <w:lang w:val="sr-Latn-ME"/>
              </w:rPr>
              <w:t>&lt;0,0001</w:t>
            </w:r>
          </w:p>
        </w:tc>
        <w:tc>
          <w:tcPr>
            <w:tcW w:w="1529" w:type="pct"/>
            <w:gridSpan w:val="2"/>
            <w:tcBorders>
              <w:left w:val="single" w:sz="4" w:space="0" w:color="auto"/>
              <w:bottom w:val="single" w:sz="4" w:space="0" w:color="auto"/>
              <w:right w:val="single" w:sz="4" w:space="0" w:color="auto"/>
            </w:tcBorders>
          </w:tcPr>
          <w:p w14:paraId="0A3C4065" w14:textId="77777777" w:rsidR="007A2492" w:rsidRPr="007403A4" w:rsidRDefault="007A2492">
            <w:pPr>
              <w:ind w:right="28"/>
              <w:jc w:val="center"/>
              <w:rPr>
                <w:sz w:val="22"/>
                <w:szCs w:val="22"/>
                <w:lang w:val="sr-Latn-ME"/>
              </w:rPr>
            </w:pPr>
            <w:r w:rsidRPr="007403A4">
              <w:rPr>
                <w:sz w:val="22"/>
                <w:szCs w:val="22"/>
                <w:lang w:val="sr-Latn-ME"/>
              </w:rPr>
              <w:t>&lt;0,0018</w:t>
            </w:r>
          </w:p>
        </w:tc>
      </w:tr>
      <w:tr w:rsidR="007A2492" w:rsidRPr="007403A4" w14:paraId="18F54D14" w14:textId="77777777" w:rsidTr="007A2492">
        <w:tblPrEx>
          <w:tblLook w:val="0000" w:firstRow="0" w:lastRow="0" w:firstColumn="0" w:lastColumn="0" w:noHBand="0" w:noVBand="0"/>
        </w:tblPrEx>
        <w:trPr>
          <w:cantSplit/>
        </w:trPr>
        <w:tc>
          <w:tcPr>
            <w:tcW w:w="1931" w:type="pct"/>
            <w:tcBorders>
              <w:top w:val="single" w:sz="4" w:space="0" w:color="auto"/>
              <w:left w:val="single" w:sz="4" w:space="0" w:color="auto"/>
              <w:right w:val="single" w:sz="4" w:space="0" w:color="auto"/>
            </w:tcBorders>
          </w:tcPr>
          <w:p w14:paraId="5D9B9D99" w14:textId="77777777" w:rsidR="007A2492" w:rsidRPr="007403A4" w:rsidRDefault="007A2492" w:rsidP="00C95059">
            <w:pPr>
              <w:ind w:right="28"/>
              <w:jc w:val="both"/>
              <w:rPr>
                <w:b/>
                <w:i/>
                <w:sz w:val="22"/>
                <w:szCs w:val="22"/>
                <w:lang w:val="sr-Latn-ME"/>
              </w:rPr>
            </w:pPr>
            <w:r w:rsidRPr="007403A4">
              <w:rPr>
                <w:b/>
                <w:i/>
                <w:sz w:val="22"/>
                <w:szCs w:val="22"/>
                <w:lang w:val="sr-Latn-ME"/>
              </w:rPr>
              <w:t>Ukupno preživljavanje</w:t>
            </w:r>
          </w:p>
        </w:tc>
        <w:tc>
          <w:tcPr>
            <w:tcW w:w="766" w:type="pct"/>
            <w:tcBorders>
              <w:top w:val="single" w:sz="4" w:space="0" w:color="auto"/>
              <w:left w:val="single" w:sz="4" w:space="0" w:color="auto"/>
            </w:tcBorders>
          </w:tcPr>
          <w:p w14:paraId="35F9DD76" w14:textId="77777777" w:rsidR="007A2492" w:rsidRPr="007403A4" w:rsidRDefault="007A2492" w:rsidP="004D3AD0">
            <w:pPr>
              <w:ind w:right="28"/>
              <w:jc w:val="center"/>
              <w:rPr>
                <w:sz w:val="22"/>
                <w:szCs w:val="22"/>
                <w:lang w:val="sr-Latn-ME"/>
              </w:rPr>
            </w:pPr>
          </w:p>
        </w:tc>
        <w:tc>
          <w:tcPr>
            <w:tcW w:w="774" w:type="pct"/>
            <w:gridSpan w:val="3"/>
            <w:tcBorders>
              <w:top w:val="single" w:sz="4" w:space="0" w:color="auto"/>
              <w:right w:val="single" w:sz="4" w:space="0" w:color="auto"/>
            </w:tcBorders>
          </w:tcPr>
          <w:p w14:paraId="4DB1BA67" w14:textId="77777777" w:rsidR="007A2492" w:rsidRPr="007403A4" w:rsidRDefault="007A2492">
            <w:pPr>
              <w:ind w:right="28"/>
              <w:jc w:val="center"/>
              <w:rPr>
                <w:sz w:val="22"/>
                <w:szCs w:val="22"/>
                <w:lang w:val="sr-Latn-ME"/>
              </w:rPr>
            </w:pPr>
          </w:p>
        </w:tc>
        <w:tc>
          <w:tcPr>
            <w:tcW w:w="759" w:type="pct"/>
            <w:tcBorders>
              <w:top w:val="single" w:sz="4" w:space="0" w:color="auto"/>
              <w:left w:val="single" w:sz="4" w:space="0" w:color="auto"/>
            </w:tcBorders>
          </w:tcPr>
          <w:p w14:paraId="3648E6A6" w14:textId="77777777" w:rsidR="007A2492" w:rsidRPr="007403A4" w:rsidRDefault="007A2492">
            <w:pPr>
              <w:ind w:right="28"/>
              <w:jc w:val="center"/>
              <w:rPr>
                <w:sz w:val="22"/>
                <w:szCs w:val="22"/>
                <w:lang w:val="sr-Latn-ME"/>
              </w:rPr>
            </w:pPr>
          </w:p>
        </w:tc>
        <w:tc>
          <w:tcPr>
            <w:tcW w:w="770" w:type="pct"/>
            <w:tcBorders>
              <w:top w:val="single" w:sz="4" w:space="0" w:color="auto"/>
              <w:right w:val="single" w:sz="4" w:space="0" w:color="auto"/>
            </w:tcBorders>
          </w:tcPr>
          <w:p w14:paraId="25C530FE" w14:textId="77777777" w:rsidR="007A2492" w:rsidRPr="007403A4" w:rsidRDefault="007A2492">
            <w:pPr>
              <w:ind w:right="28"/>
              <w:jc w:val="center"/>
              <w:rPr>
                <w:sz w:val="22"/>
                <w:szCs w:val="22"/>
                <w:lang w:val="sr-Latn-ME"/>
              </w:rPr>
            </w:pPr>
          </w:p>
        </w:tc>
      </w:tr>
      <w:tr w:rsidR="007A2492" w:rsidRPr="007403A4" w14:paraId="16839DFC"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59AB2B6" w14:textId="77777777" w:rsidR="007A2492" w:rsidRPr="007403A4" w:rsidRDefault="007A2492" w:rsidP="00C95059">
            <w:pPr>
              <w:ind w:right="28"/>
              <w:jc w:val="both"/>
              <w:rPr>
                <w:sz w:val="22"/>
                <w:szCs w:val="22"/>
                <w:lang w:val="sr-Latn-ME"/>
              </w:rPr>
            </w:pPr>
            <w:r w:rsidRPr="007403A4">
              <w:rPr>
                <w:sz w:val="22"/>
                <w:szCs w:val="22"/>
                <w:lang w:val="sr-Latn-ME"/>
              </w:rPr>
              <w:t>Broj (%) pacijenata sa događajem</w:t>
            </w:r>
          </w:p>
        </w:tc>
        <w:tc>
          <w:tcPr>
            <w:tcW w:w="766" w:type="pct"/>
            <w:tcBorders>
              <w:left w:val="single" w:sz="4" w:space="0" w:color="auto"/>
            </w:tcBorders>
          </w:tcPr>
          <w:p w14:paraId="6AC6BDAA" w14:textId="77777777" w:rsidR="007A2492" w:rsidRPr="007403A4" w:rsidRDefault="007A2492" w:rsidP="004D3AD0">
            <w:pPr>
              <w:ind w:right="28"/>
              <w:jc w:val="center"/>
              <w:rPr>
                <w:sz w:val="22"/>
                <w:szCs w:val="22"/>
                <w:lang w:val="sr-Latn-ME"/>
              </w:rPr>
            </w:pPr>
            <w:r w:rsidRPr="007403A4">
              <w:rPr>
                <w:sz w:val="22"/>
                <w:szCs w:val="22"/>
                <w:lang w:val="sr-Latn-ME"/>
              </w:rPr>
              <w:t>57 (48,3%)</w:t>
            </w:r>
          </w:p>
        </w:tc>
        <w:tc>
          <w:tcPr>
            <w:tcW w:w="774" w:type="pct"/>
            <w:gridSpan w:val="3"/>
            <w:tcBorders>
              <w:right w:val="single" w:sz="4" w:space="0" w:color="auto"/>
            </w:tcBorders>
          </w:tcPr>
          <w:p w14:paraId="656722E2" w14:textId="77777777" w:rsidR="007A2492" w:rsidRPr="007403A4" w:rsidRDefault="007A2492">
            <w:pPr>
              <w:ind w:right="28"/>
              <w:jc w:val="center"/>
              <w:rPr>
                <w:sz w:val="22"/>
                <w:szCs w:val="22"/>
                <w:lang w:val="sr-Latn-ME"/>
              </w:rPr>
            </w:pPr>
            <w:r w:rsidRPr="007403A4">
              <w:rPr>
                <w:sz w:val="22"/>
                <w:szCs w:val="22"/>
                <w:lang w:val="sr-Latn-ME"/>
              </w:rPr>
              <w:t>93 (39,1%)</w:t>
            </w:r>
          </w:p>
        </w:tc>
        <w:tc>
          <w:tcPr>
            <w:tcW w:w="759" w:type="pct"/>
            <w:tcBorders>
              <w:left w:val="single" w:sz="4" w:space="0" w:color="auto"/>
            </w:tcBorders>
          </w:tcPr>
          <w:p w14:paraId="40B22952" w14:textId="2DD5D0F3" w:rsidR="007A2492" w:rsidRPr="007403A4" w:rsidRDefault="007A2492">
            <w:pPr>
              <w:ind w:right="28"/>
              <w:jc w:val="center"/>
              <w:rPr>
                <w:sz w:val="22"/>
                <w:szCs w:val="22"/>
                <w:lang w:val="sr-Latn-ME"/>
              </w:rPr>
            </w:pPr>
            <w:r w:rsidRPr="007403A4">
              <w:rPr>
                <w:sz w:val="22"/>
                <w:szCs w:val="22"/>
                <w:lang w:val="sr-Latn-ME"/>
              </w:rPr>
              <w:t>147 (44,5%)</w:t>
            </w:r>
          </w:p>
        </w:tc>
        <w:tc>
          <w:tcPr>
            <w:tcW w:w="770" w:type="pct"/>
            <w:tcBorders>
              <w:right w:val="single" w:sz="4" w:space="0" w:color="auto"/>
            </w:tcBorders>
          </w:tcPr>
          <w:p w14:paraId="0DE7F3E0" w14:textId="7EBDC248" w:rsidR="007A2492" w:rsidRPr="007403A4" w:rsidRDefault="007A2492">
            <w:pPr>
              <w:ind w:right="28"/>
              <w:jc w:val="center"/>
              <w:rPr>
                <w:sz w:val="22"/>
                <w:szCs w:val="22"/>
                <w:lang w:val="sr-Latn-ME"/>
              </w:rPr>
            </w:pPr>
            <w:r w:rsidRPr="007403A4">
              <w:rPr>
                <w:sz w:val="22"/>
                <w:szCs w:val="22"/>
                <w:lang w:val="sr-Latn-ME"/>
              </w:rPr>
              <w:t>121 (36,3%)</w:t>
            </w:r>
          </w:p>
        </w:tc>
      </w:tr>
      <w:tr w:rsidR="007A2492" w:rsidRPr="007403A4" w14:paraId="56B949B2" w14:textId="77777777" w:rsidTr="007A2492">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52509C92" w14:textId="77777777" w:rsidR="007A2492" w:rsidRPr="007403A4" w:rsidRDefault="007A2492" w:rsidP="00C95059">
            <w:pPr>
              <w:ind w:right="28"/>
              <w:jc w:val="both"/>
              <w:rPr>
                <w:sz w:val="22"/>
                <w:szCs w:val="22"/>
                <w:lang w:val="sr-Latn-ME"/>
              </w:rPr>
            </w:pPr>
            <w:r w:rsidRPr="007403A4">
              <w:rPr>
                <w:sz w:val="22"/>
                <w:szCs w:val="22"/>
                <w:lang w:val="sr-Latn-ME"/>
              </w:rPr>
              <w:t>Medijana vremena do događaja (mjeseci)</w:t>
            </w:r>
          </w:p>
        </w:tc>
        <w:tc>
          <w:tcPr>
            <w:tcW w:w="766" w:type="pct"/>
            <w:tcBorders>
              <w:left w:val="single" w:sz="4" w:space="0" w:color="auto"/>
            </w:tcBorders>
          </w:tcPr>
          <w:p w14:paraId="79936693" w14:textId="77777777" w:rsidR="007A2492" w:rsidRPr="007403A4" w:rsidRDefault="007A2492" w:rsidP="004D3AD0">
            <w:pPr>
              <w:ind w:right="28"/>
              <w:jc w:val="center"/>
              <w:rPr>
                <w:sz w:val="22"/>
                <w:szCs w:val="22"/>
                <w:lang w:val="sr-Latn-ME"/>
              </w:rPr>
            </w:pPr>
            <w:r w:rsidRPr="007403A4">
              <w:rPr>
                <w:sz w:val="22"/>
                <w:szCs w:val="22"/>
                <w:lang w:val="sr-Latn-ME"/>
              </w:rPr>
              <w:t>66,7</w:t>
            </w:r>
          </w:p>
        </w:tc>
        <w:tc>
          <w:tcPr>
            <w:tcW w:w="774" w:type="pct"/>
            <w:gridSpan w:val="3"/>
            <w:tcBorders>
              <w:right w:val="single" w:sz="4" w:space="0" w:color="auto"/>
            </w:tcBorders>
          </w:tcPr>
          <w:p w14:paraId="26D317EE" w14:textId="77777777" w:rsidR="007A2492" w:rsidRPr="007403A4" w:rsidRDefault="007A2492">
            <w:pPr>
              <w:ind w:right="28"/>
              <w:jc w:val="center"/>
              <w:rPr>
                <w:sz w:val="22"/>
                <w:szCs w:val="22"/>
                <w:lang w:val="sr-Latn-ME"/>
              </w:rPr>
            </w:pPr>
            <w:r w:rsidRPr="007403A4">
              <w:rPr>
                <w:sz w:val="22"/>
                <w:szCs w:val="22"/>
                <w:lang w:val="sr-Latn-ME"/>
              </w:rPr>
              <w:t>ND</w:t>
            </w:r>
          </w:p>
        </w:tc>
        <w:tc>
          <w:tcPr>
            <w:tcW w:w="759" w:type="pct"/>
            <w:tcBorders>
              <w:left w:val="single" w:sz="4" w:space="0" w:color="auto"/>
            </w:tcBorders>
          </w:tcPr>
          <w:p w14:paraId="0B49C920" w14:textId="77777777" w:rsidR="007A2492" w:rsidRPr="007403A4" w:rsidRDefault="007A2492">
            <w:pPr>
              <w:ind w:right="28"/>
              <w:jc w:val="center"/>
              <w:rPr>
                <w:sz w:val="22"/>
                <w:szCs w:val="22"/>
                <w:lang w:val="sr-Latn-ME"/>
              </w:rPr>
            </w:pPr>
            <w:r w:rsidRPr="007403A4">
              <w:rPr>
                <w:sz w:val="22"/>
                <w:szCs w:val="22"/>
                <w:lang w:val="sr-Latn-ME"/>
              </w:rPr>
              <w:t>73,1</w:t>
            </w:r>
          </w:p>
        </w:tc>
        <w:tc>
          <w:tcPr>
            <w:tcW w:w="770" w:type="pct"/>
            <w:tcBorders>
              <w:right w:val="single" w:sz="4" w:space="0" w:color="auto"/>
            </w:tcBorders>
          </w:tcPr>
          <w:p w14:paraId="28B584ED" w14:textId="77777777" w:rsidR="007A2492" w:rsidRPr="007403A4" w:rsidRDefault="007A2492">
            <w:pPr>
              <w:ind w:right="28"/>
              <w:jc w:val="center"/>
              <w:rPr>
                <w:sz w:val="22"/>
                <w:szCs w:val="22"/>
                <w:lang w:val="sr-Latn-ME"/>
              </w:rPr>
            </w:pPr>
            <w:r w:rsidRPr="007403A4">
              <w:rPr>
                <w:sz w:val="22"/>
                <w:szCs w:val="22"/>
                <w:lang w:val="sr-Latn-ME"/>
              </w:rPr>
              <w:t>ND</w:t>
            </w:r>
          </w:p>
        </w:tc>
      </w:tr>
      <w:tr w:rsidR="007A2492" w:rsidRPr="007403A4" w14:paraId="5A7B390B" w14:textId="77777777" w:rsidTr="0080183D">
        <w:tblPrEx>
          <w:tblLook w:val="0000" w:firstRow="0" w:lastRow="0" w:firstColumn="0" w:lastColumn="0" w:noHBand="0" w:noVBand="0"/>
        </w:tblPrEx>
        <w:trPr>
          <w:cantSplit/>
        </w:trPr>
        <w:tc>
          <w:tcPr>
            <w:tcW w:w="1931" w:type="pct"/>
            <w:tcBorders>
              <w:left w:val="single" w:sz="4" w:space="0" w:color="auto"/>
              <w:right w:val="single" w:sz="4" w:space="0" w:color="auto"/>
            </w:tcBorders>
          </w:tcPr>
          <w:p w14:paraId="1D4D0416" w14:textId="77777777" w:rsidR="007A2492" w:rsidRPr="007403A4" w:rsidRDefault="007A2492" w:rsidP="00C95059">
            <w:pPr>
              <w:ind w:right="28"/>
              <w:jc w:val="both"/>
              <w:rPr>
                <w:sz w:val="22"/>
                <w:szCs w:val="22"/>
                <w:lang w:val="sr-Latn-ME"/>
              </w:rPr>
            </w:pPr>
            <w:r w:rsidRPr="007403A4">
              <w:rPr>
                <w:sz w:val="22"/>
                <w:szCs w:val="22"/>
                <w:lang w:val="sr-Latn-ME"/>
              </w:rPr>
              <w:t>Odnos rizika (95% CI)</w:t>
            </w:r>
          </w:p>
        </w:tc>
        <w:tc>
          <w:tcPr>
            <w:tcW w:w="1540" w:type="pct"/>
            <w:gridSpan w:val="4"/>
            <w:tcBorders>
              <w:left w:val="single" w:sz="4" w:space="0" w:color="auto"/>
              <w:right w:val="single" w:sz="4" w:space="0" w:color="auto"/>
            </w:tcBorders>
          </w:tcPr>
          <w:p w14:paraId="2EA29257" w14:textId="77777777" w:rsidR="007A2492" w:rsidRPr="007403A4" w:rsidRDefault="007A2492" w:rsidP="004D3AD0">
            <w:pPr>
              <w:ind w:right="28"/>
              <w:jc w:val="center"/>
              <w:rPr>
                <w:sz w:val="22"/>
                <w:szCs w:val="22"/>
                <w:lang w:val="sr-Latn-ME"/>
              </w:rPr>
            </w:pPr>
            <w:r w:rsidRPr="007403A4">
              <w:rPr>
                <w:sz w:val="22"/>
                <w:szCs w:val="22"/>
                <w:lang w:val="sr-Latn-ME"/>
              </w:rPr>
              <w:t>0,68 [0,49; 0,94]</w:t>
            </w:r>
          </w:p>
        </w:tc>
        <w:tc>
          <w:tcPr>
            <w:tcW w:w="1529" w:type="pct"/>
            <w:gridSpan w:val="2"/>
            <w:tcBorders>
              <w:left w:val="single" w:sz="4" w:space="0" w:color="auto"/>
              <w:right w:val="single" w:sz="4" w:space="0" w:color="auto"/>
            </w:tcBorders>
          </w:tcPr>
          <w:p w14:paraId="2DD4DEFC" w14:textId="0B89CE15" w:rsidR="007A2492" w:rsidRPr="007403A4" w:rsidRDefault="007A2492">
            <w:pPr>
              <w:ind w:right="28"/>
              <w:jc w:val="center"/>
              <w:rPr>
                <w:sz w:val="22"/>
                <w:szCs w:val="22"/>
                <w:lang w:val="sr-Latn-ME"/>
              </w:rPr>
            </w:pPr>
            <w:r w:rsidRPr="007403A4">
              <w:rPr>
                <w:sz w:val="22"/>
                <w:szCs w:val="22"/>
                <w:lang w:val="sr-Latn-ME"/>
              </w:rPr>
              <w:t>0,76 [0,60; 0,97]</w:t>
            </w:r>
          </w:p>
        </w:tc>
      </w:tr>
      <w:tr w:rsidR="007A2492" w:rsidRPr="007403A4" w14:paraId="6A3F0E99" w14:textId="77777777" w:rsidTr="0080183D">
        <w:tblPrEx>
          <w:tblLook w:val="0000" w:firstRow="0" w:lastRow="0" w:firstColumn="0" w:lastColumn="0" w:noHBand="0" w:noVBand="0"/>
        </w:tblPrEx>
        <w:trPr>
          <w:cantSplit/>
        </w:trPr>
        <w:tc>
          <w:tcPr>
            <w:tcW w:w="1931" w:type="pct"/>
            <w:tcBorders>
              <w:left w:val="single" w:sz="4" w:space="0" w:color="auto"/>
              <w:bottom w:val="single" w:sz="4" w:space="0" w:color="auto"/>
              <w:right w:val="single" w:sz="4" w:space="0" w:color="auto"/>
            </w:tcBorders>
          </w:tcPr>
          <w:p w14:paraId="4448507C" w14:textId="50D34A5A" w:rsidR="007A2492" w:rsidRPr="007403A4" w:rsidRDefault="007A2492" w:rsidP="00C95059">
            <w:pPr>
              <w:ind w:right="28"/>
              <w:jc w:val="both"/>
              <w:rPr>
                <w:sz w:val="22"/>
                <w:szCs w:val="22"/>
                <w:lang w:val="sr-Latn-ME"/>
              </w:rPr>
            </w:pPr>
            <w:r w:rsidRPr="007403A4">
              <w:rPr>
                <w:sz w:val="22"/>
                <w:szCs w:val="22"/>
                <w:lang w:val="sr-Latn-ME"/>
              </w:rPr>
              <w:t xml:space="preserve">p-vrijednost (log-rang test, </w:t>
            </w:r>
            <w:r w:rsidR="00942B09" w:rsidRPr="007403A4">
              <w:rPr>
                <w:sz w:val="22"/>
                <w:szCs w:val="22"/>
                <w:lang w:val="sr-Latn-ME"/>
              </w:rPr>
              <w:t>stratifikovan</w:t>
            </w:r>
            <w:r w:rsidRPr="007403A4">
              <w:rPr>
                <w:sz w:val="22"/>
                <w:szCs w:val="22"/>
                <w:vertAlign w:val="superscript"/>
                <w:lang w:val="sr-Latn-ME"/>
              </w:rPr>
              <w:t>b</w:t>
            </w:r>
            <w:r w:rsidRPr="007403A4">
              <w:rPr>
                <w:sz w:val="22"/>
                <w:szCs w:val="22"/>
                <w:lang w:val="sr-Latn-ME"/>
              </w:rPr>
              <w:t>)</w:t>
            </w:r>
          </w:p>
        </w:tc>
        <w:tc>
          <w:tcPr>
            <w:tcW w:w="1540" w:type="pct"/>
            <w:gridSpan w:val="4"/>
            <w:tcBorders>
              <w:left w:val="single" w:sz="4" w:space="0" w:color="auto"/>
              <w:bottom w:val="single" w:sz="4" w:space="0" w:color="auto"/>
              <w:right w:val="single" w:sz="4" w:space="0" w:color="auto"/>
            </w:tcBorders>
          </w:tcPr>
          <w:p w14:paraId="254477B2" w14:textId="77777777" w:rsidR="007A2492" w:rsidRPr="007403A4" w:rsidRDefault="007A2492" w:rsidP="004D3AD0">
            <w:pPr>
              <w:ind w:right="28"/>
              <w:jc w:val="center"/>
              <w:rPr>
                <w:sz w:val="22"/>
                <w:szCs w:val="22"/>
                <w:lang w:val="sr-Latn-ME"/>
              </w:rPr>
            </w:pPr>
            <w:r w:rsidRPr="007403A4">
              <w:rPr>
                <w:sz w:val="22"/>
                <w:szCs w:val="22"/>
                <w:lang w:val="sr-Latn-ME"/>
              </w:rPr>
              <w:t>0,0196</w:t>
            </w:r>
          </w:p>
        </w:tc>
        <w:tc>
          <w:tcPr>
            <w:tcW w:w="1529" w:type="pct"/>
            <w:gridSpan w:val="2"/>
            <w:tcBorders>
              <w:left w:val="single" w:sz="4" w:space="0" w:color="auto"/>
              <w:bottom w:val="single" w:sz="4" w:space="0" w:color="auto"/>
              <w:right w:val="single" w:sz="4" w:space="0" w:color="auto"/>
            </w:tcBorders>
          </w:tcPr>
          <w:p w14:paraId="4EB0A88D" w14:textId="77777777" w:rsidR="007A2492" w:rsidRPr="007403A4" w:rsidRDefault="007A2492">
            <w:pPr>
              <w:ind w:right="28"/>
              <w:jc w:val="center"/>
              <w:rPr>
                <w:sz w:val="22"/>
                <w:szCs w:val="22"/>
                <w:lang w:val="sr-Latn-ME"/>
              </w:rPr>
            </w:pPr>
            <w:r w:rsidRPr="007403A4">
              <w:rPr>
                <w:sz w:val="22"/>
                <w:szCs w:val="22"/>
                <w:lang w:val="sr-Latn-ME"/>
              </w:rPr>
              <w:t>0,0245</w:t>
            </w:r>
          </w:p>
        </w:tc>
      </w:tr>
    </w:tbl>
    <w:p w14:paraId="17C5013E" w14:textId="77777777" w:rsidR="005E5D5E" w:rsidRPr="007403A4" w:rsidRDefault="005E5D5E" w:rsidP="004D3AD0">
      <w:pPr>
        <w:spacing w:before="1"/>
        <w:ind w:right="28"/>
        <w:jc w:val="both"/>
        <w:rPr>
          <w:i/>
          <w:sz w:val="20"/>
          <w:szCs w:val="20"/>
          <w:lang w:val="sr-Latn-ME"/>
        </w:rPr>
      </w:pPr>
    </w:p>
    <w:p w14:paraId="58F57DA9" w14:textId="721E8443" w:rsidR="00ED7C77" w:rsidRPr="007403A4" w:rsidRDefault="00ED7C77" w:rsidP="004D3AD0">
      <w:pPr>
        <w:spacing w:before="1"/>
        <w:ind w:right="28"/>
        <w:jc w:val="both"/>
        <w:rPr>
          <w:i/>
          <w:sz w:val="20"/>
          <w:szCs w:val="20"/>
          <w:lang w:val="sr-Latn-ME"/>
        </w:rPr>
      </w:pPr>
      <w:r w:rsidRPr="007403A4">
        <w:rPr>
          <w:i/>
          <w:sz w:val="20"/>
          <w:szCs w:val="20"/>
          <w:lang w:val="sr-Latn-ME"/>
        </w:rPr>
        <w:t>PFS (engl. progression-free survival): preživljavanje bez progresije bolesti; HR (engl. hazard ratio): odnos rizika; CI (engl. confidence intervals): intervali pouzdanosti; MRD (engl. minimal residual disease): minimalna rezidualna bolest ND = nije dostignuto</w:t>
      </w:r>
    </w:p>
    <w:p w14:paraId="5CE297A8" w14:textId="77777777" w:rsidR="00ED7C77" w:rsidRPr="007403A4" w:rsidRDefault="00ED7C77" w:rsidP="004D3AD0">
      <w:pPr>
        <w:spacing w:before="1"/>
        <w:ind w:right="28"/>
        <w:jc w:val="both"/>
        <w:rPr>
          <w:i/>
          <w:sz w:val="20"/>
          <w:szCs w:val="20"/>
          <w:lang w:val="sr-Latn-ME"/>
        </w:rPr>
      </w:pPr>
      <w:r w:rsidRPr="007403A4">
        <w:rPr>
          <w:i/>
          <w:sz w:val="20"/>
          <w:szCs w:val="20"/>
          <w:vertAlign w:val="superscript"/>
          <w:lang w:val="sr-Latn-ME"/>
        </w:rPr>
        <w:t>a</w:t>
      </w:r>
      <w:r w:rsidRPr="007403A4">
        <w:rPr>
          <w:i/>
          <w:sz w:val="20"/>
          <w:szCs w:val="20"/>
          <w:lang w:val="sr-Latn-ME"/>
        </w:rPr>
        <w:t>Definisana kao vrijeme od randomizacije do prvog nastupa progresije, relapsa ili smrti zbog bilo kojeg uzroka prema ocjeni ispitivača</w:t>
      </w:r>
    </w:p>
    <w:p w14:paraId="7BE0EB02" w14:textId="54D844D2" w:rsidR="00ED7C77" w:rsidRPr="007403A4" w:rsidRDefault="00ED7C77">
      <w:pPr>
        <w:spacing w:before="1"/>
        <w:ind w:right="28"/>
        <w:jc w:val="both"/>
        <w:rPr>
          <w:i/>
          <w:sz w:val="20"/>
          <w:szCs w:val="20"/>
          <w:lang w:val="sr-Latn-ME"/>
        </w:rPr>
      </w:pPr>
      <w:r w:rsidRPr="007403A4">
        <w:rPr>
          <w:i/>
          <w:sz w:val="20"/>
          <w:szCs w:val="20"/>
          <w:vertAlign w:val="superscript"/>
          <w:lang w:val="sr-Latn-ME"/>
        </w:rPr>
        <w:t>b</w:t>
      </w:r>
      <w:r w:rsidR="00942B09" w:rsidRPr="007403A4">
        <w:rPr>
          <w:i/>
          <w:sz w:val="20"/>
          <w:szCs w:val="20"/>
          <w:lang w:val="sr-Latn-ME"/>
        </w:rPr>
        <w:t>Stratifikovan</w:t>
      </w:r>
      <w:r w:rsidRPr="007403A4">
        <w:rPr>
          <w:i/>
          <w:sz w:val="20"/>
          <w:szCs w:val="20"/>
          <w:lang w:val="sr-Latn-ME"/>
        </w:rPr>
        <w:t>o prema stadijumu bolesti po Binetovoj klasifikaciji na početku studije</w:t>
      </w:r>
    </w:p>
    <w:p w14:paraId="7EA4A9E7" w14:textId="77777777" w:rsidR="00ED7C77" w:rsidRPr="007403A4" w:rsidRDefault="00ED7C77">
      <w:pPr>
        <w:spacing w:before="1"/>
        <w:ind w:right="28"/>
        <w:jc w:val="both"/>
        <w:rPr>
          <w:i/>
          <w:sz w:val="20"/>
          <w:szCs w:val="20"/>
          <w:lang w:val="sr-Latn-ME"/>
        </w:rPr>
      </w:pPr>
      <w:r w:rsidRPr="007403A4">
        <w:rPr>
          <w:i/>
          <w:sz w:val="20"/>
          <w:szCs w:val="20"/>
          <w:vertAlign w:val="superscript"/>
          <w:lang w:val="sr-Latn-ME"/>
        </w:rPr>
        <w:t>c</w:t>
      </w:r>
      <w:r w:rsidRPr="007403A4">
        <w:rPr>
          <w:i/>
          <w:sz w:val="20"/>
          <w:szCs w:val="20"/>
          <w:lang w:val="sr-Latn-ME"/>
        </w:rPr>
        <w:t>Uključuje 11 pacijenata u grupi koja je primala GClb koji su postigli potpuni odgovor, ali uz nepotpun oporavak koštane srži</w:t>
      </w:r>
    </w:p>
    <w:p w14:paraId="0E16FEA1" w14:textId="77777777" w:rsidR="00ED7C77" w:rsidRPr="007403A4" w:rsidRDefault="00ED7C77">
      <w:pPr>
        <w:spacing w:before="1"/>
        <w:ind w:right="28"/>
        <w:jc w:val="both"/>
        <w:rPr>
          <w:i/>
          <w:sz w:val="20"/>
          <w:szCs w:val="20"/>
          <w:lang w:val="sr-Latn-ME"/>
        </w:rPr>
      </w:pPr>
      <w:r w:rsidRPr="007403A4">
        <w:rPr>
          <w:i/>
          <w:sz w:val="20"/>
          <w:szCs w:val="20"/>
          <w:vertAlign w:val="superscript"/>
          <w:lang w:val="sr-Latn-ME"/>
        </w:rPr>
        <w:t>d</w:t>
      </w:r>
      <w:r w:rsidRPr="007403A4">
        <w:rPr>
          <w:i/>
          <w:sz w:val="20"/>
          <w:szCs w:val="20"/>
          <w:lang w:val="sr-Latn-ME"/>
        </w:rPr>
        <w:t>Krv i koštana srž zajedno</w:t>
      </w:r>
    </w:p>
    <w:p w14:paraId="233315C5" w14:textId="77777777" w:rsidR="00ED7C77" w:rsidRPr="007403A4" w:rsidRDefault="00ED7C77">
      <w:pPr>
        <w:spacing w:before="1"/>
        <w:ind w:right="28"/>
        <w:jc w:val="both"/>
        <w:rPr>
          <w:i/>
          <w:sz w:val="20"/>
          <w:szCs w:val="20"/>
          <w:lang w:val="sr-Latn-ME"/>
        </w:rPr>
      </w:pPr>
      <w:r w:rsidRPr="007403A4">
        <w:rPr>
          <w:i/>
          <w:sz w:val="20"/>
          <w:szCs w:val="20"/>
          <w:vertAlign w:val="superscript"/>
          <w:lang w:val="sr-Latn-ME"/>
        </w:rPr>
        <w:t>e</w:t>
      </w:r>
      <w:r w:rsidRPr="007403A4">
        <w:rPr>
          <w:i/>
          <w:sz w:val="20"/>
          <w:szCs w:val="20"/>
          <w:lang w:val="sr-Latn-ME"/>
        </w:rPr>
        <w:t>Negativan nalaz na MRD definisan kao rezultat manji od 0,0001</w:t>
      </w:r>
    </w:p>
    <w:p w14:paraId="79D6F1A4" w14:textId="77777777" w:rsidR="00ED7C77" w:rsidRPr="007403A4" w:rsidRDefault="00ED7C77">
      <w:pPr>
        <w:spacing w:before="1"/>
        <w:ind w:right="28"/>
        <w:jc w:val="both"/>
        <w:rPr>
          <w:i/>
          <w:sz w:val="20"/>
          <w:szCs w:val="20"/>
          <w:lang w:val="sr-Latn-ME"/>
        </w:rPr>
      </w:pPr>
      <w:r w:rsidRPr="007403A4">
        <w:rPr>
          <w:i/>
          <w:sz w:val="20"/>
          <w:szCs w:val="20"/>
          <w:vertAlign w:val="superscript"/>
          <w:lang w:val="sr-Latn-ME"/>
        </w:rPr>
        <w:t>f</w:t>
      </w:r>
      <w:r w:rsidRPr="007403A4">
        <w:rPr>
          <w:i/>
          <w:sz w:val="20"/>
          <w:szCs w:val="20"/>
          <w:lang w:val="sr-Latn-ME"/>
        </w:rPr>
        <w:t>Uključuje pacijente sa pozitivnim nalazom na MRD i pacijente čija je bolest progredirala ili koji su umrli prije završetka liječenja</w:t>
      </w:r>
    </w:p>
    <w:p w14:paraId="460120EE" w14:textId="0757F6F6" w:rsidR="00ED7C77" w:rsidRPr="007403A4" w:rsidRDefault="00ED7C77">
      <w:pPr>
        <w:spacing w:before="1"/>
        <w:ind w:right="28"/>
        <w:jc w:val="both"/>
        <w:rPr>
          <w:i/>
          <w:sz w:val="20"/>
          <w:szCs w:val="20"/>
          <w:lang w:val="sr-Latn-ME"/>
        </w:rPr>
      </w:pPr>
      <w:r w:rsidRPr="007403A4">
        <w:rPr>
          <w:i/>
          <w:sz w:val="20"/>
          <w:szCs w:val="20"/>
          <w:vertAlign w:val="superscript"/>
          <w:lang w:val="sr-Latn-ME"/>
        </w:rPr>
        <w:t>g</w:t>
      </w:r>
      <w:r w:rsidR="00501A7E" w:rsidRPr="007403A4">
        <w:rPr>
          <w:i/>
          <w:sz w:val="20"/>
          <w:szCs w:val="20"/>
          <w:lang w:val="sr-Latn-ME"/>
        </w:rPr>
        <w:t xml:space="preserve">Medijana </w:t>
      </w:r>
      <w:r w:rsidRPr="007403A4">
        <w:rPr>
          <w:i/>
          <w:sz w:val="20"/>
          <w:szCs w:val="20"/>
          <w:lang w:val="sr-Latn-ME"/>
        </w:rPr>
        <w:t>vr</w:t>
      </w:r>
      <w:r w:rsidR="00501A7E" w:rsidRPr="007403A4">
        <w:rPr>
          <w:i/>
          <w:sz w:val="20"/>
          <w:szCs w:val="20"/>
          <w:lang w:val="sr-Latn-ME"/>
        </w:rPr>
        <w:t>emena</w:t>
      </w:r>
      <w:r w:rsidRPr="007403A4">
        <w:rPr>
          <w:i/>
          <w:sz w:val="20"/>
          <w:szCs w:val="20"/>
          <w:lang w:val="sr-Latn-ME"/>
        </w:rPr>
        <w:t xml:space="preserve"> posmatranja za ukupno preživljavanja (OS) odgovara </w:t>
      </w:r>
      <w:r w:rsidR="00501A7E" w:rsidRPr="007403A4">
        <w:rPr>
          <w:i/>
          <w:sz w:val="20"/>
          <w:szCs w:val="20"/>
          <w:lang w:val="sr-Latn-ME"/>
        </w:rPr>
        <w:t>medijani vremena</w:t>
      </w:r>
      <w:r w:rsidRPr="007403A4">
        <w:rPr>
          <w:i/>
          <w:sz w:val="20"/>
          <w:szCs w:val="20"/>
          <w:lang w:val="sr-Latn-ME"/>
        </w:rPr>
        <w:t xml:space="preserve"> posmatranja od 62,5 mjesec</w:t>
      </w:r>
      <w:r w:rsidR="00501A7E" w:rsidRPr="007403A4">
        <w:rPr>
          <w:i/>
          <w:sz w:val="20"/>
          <w:szCs w:val="20"/>
          <w:lang w:val="sr-Latn-ME"/>
        </w:rPr>
        <w:t>i</w:t>
      </w:r>
      <w:r w:rsidRPr="007403A4">
        <w:rPr>
          <w:i/>
          <w:sz w:val="20"/>
          <w:szCs w:val="20"/>
          <w:lang w:val="sr-Latn-ME"/>
        </w:rPr>
        <w:t xml:space="preserve"> za stadijum 1a, odnosno 59,4 mjeseca za stadijum 2.</w:t>
      </w:r>
    </w:p>
    <w:p w14:paraId="34592A25" w14:textId="77777777" w:rsidR="00ED7C77" w:rsidRPr="007403A4" w:rsidRDefault="00ED7C77">
      <w:pPr>
        <w:spacing w:before="1" w:line="254" w:lineRule="exact"/>
        <w:ind w:right="28"/>
        <w:jc w:val="both"/>
        <w:rPr>
          <w:sz w:val="18"/>
          <w:szCs w:val="18"/>
          <w:lang w:val="sr-Latn-ME"/>
        </w:rPr>
      </w:pPr>
    </w:p>
    <w:p w14:paraId="5BB2A58E" w14:textId="77777777" w:rsidR="00ED7C77" w:rsidRPr="007403A4" w:rsidRDefault="00ED7C77">
      <w:pPr>
        <w:spacing w:before="1" w:line="254" w:lineRule="exact"/>
        <w:ind w:right="28"/>
        <w:jc w:val="both"/>
        <w:rPr>
          <w:i/>
          <w:sz w:val="22"/>
          <w:lang w:val="sr-Latn-ME"/>
        </w:rPr>
      </w:pPr>
      <w:r w:rsidRPr="007403A4">
        <w:rPr>
          <w:i/>
          <w:sz w:val="22"/>
          <w:lang w:val="sr-Latn-ME"/>
        </w:rPr>
        <w:t>Rezultati analiza podgrupa</w:t>
      </w:r>
    </w:p>
    <w:p w14:paraId="09E2B4ED" w14:textId="400DE36A" w:rsidR="00932A9D" w:rsidRPr="007403A4" w:rsidRDefault="00ED7C77">
      <w:pPr>
        <w:spacing w:before="1" w:line="254" w:lineRule="exact"/>
        <w:ind w:right="28"/>
        <w:jc w:val="both"/>
        <w:rPr>
          <w:sz w:val="22"/>
          <w:szCs w:val="22"/>
          <w:lang w:val="sr-Latn-ME"/>
        </w:rPr>
      </w:pPr>
      <w:r w:rsidRPr="007403A4">
        <w:rPr>
          <w:sz w:val="22"/>
          <w:szCs w:val="22"/>
          <w:lang w:val="sr-Latn-ME"/>
        </w:rPr>
        <w:t>Rezultati analize preživljavanja bez progresije bolesti (PFS) po podgrupama (tj. pol, starost, stadijum bolesti prema Binetu, CrCl, CIRS rezultat, beta2</w:t>
      </w:r>
      <w:r w:rsidRPr="007403A4">
        <w:rPr>
          <w:sz w:val="22"/>
          <w:szCs w:val="22"/>
          <w:lang w:val="sr-Latn-ME"/>
        </w:rPr>
        <w:noBreakHyphen/>
        <w:t xml:space="preserve">mikroglobulin, IGVH status, hromozomske abnormalnosti, početni broj limfocita) bili su u skladu sa rezultatima zabilježenim u ukupnoj populaciji koja je predviđena za liječenje (engl. </w:t>
      </w:r>
      <w:r w:rsidRPr="007403A4">
        <w:rPr>
          <w:i/>
          <w:sz w:val="22"/>
          <w:szCs w:val="22"/>
          <w:lang w:val="sr-Latn-ME"/>
        </w:rPr>
        <w:t>Intent-to-Treat</w:t>
      </w:r>
      <w:r w:rsidRPr="007403A4">
        <w:rPr>
          <w:sz w:val="22"/>
          <w:szCs w:val="22"/>
          <w:lang w:val="sr-Latn-ME"/>
        </w:rPr>
        <w:t>). U svim podgrupama je rizik od progresije bolesti ili smrti bio smanjen u grupi koja je primala GClb u odnosu na onu koja je primala RClb i onu koja je primala Clb, osim u podgrupi pacijenata sa delecijom 17p. U maloj podgrupi pacijenata koji su imali deleciju 17p primijećen je samo pozitivan trend u odnosu na Clb (HR=0,42, p=0,0892); nije primijećena korist u poređenju sa RClb. U podgrupama se smanjenje rizika od progresije bolesti ili smrti kretalo u rasponu od 92% do 58% za GClb naspram Clb te od 72% do 29% za GClb naspram RClb.</w:t>
      </w:r>
    </w:p>
    <w:p w14:paraId="1B8C9769" w14:textId="77777777" w:rsidR="00932A9D" w:rsidRPr="007403A4" w:rsidRDefault="00932A9D">
      <w:pPr>
        <w:spacing w:before="1" w:line="254" w:lineRule="exact"/>
        <w:ind w:right="28"/>
        <w:jc w:val="both"/>
        <w:rPr>
          <w:sz w:val="22"/>
          <w:szCs w:val="22"/>
          <w:lang w:val="sr-Latn-ME"/>
        </w:rPr>
      </w:pPr>
    </w:p>
    <w:p w14:paraId="4F21746A" w14:textId="77777777" w:rsidR="007403A4" w:rsidRPr="007403A4" w:rsidRDefault="007403A4">
      <w:pPr>
        <w:rPr>
          <w:b/>
          <w:color w:val="000000"/>
          <w:sz w:val="22"/>
          <w:szCs w:val="22"/>
          <w:lang w:val="sr-Latn-ME"/>
        </w:rPr>
      </w:pPr>
      <w:r w:rsidRPr="007403A4">
        <w:rPr>
          <w:b/>
          <w:color w:val="000000"/>
          <w:sz w:val="22"/>
          <w:szCs w:val="22"/>
          <w:lang w:val="sr-Latn-ME"/>
        </w:rPr>
        <w:br w:type="page"/>
      </w:r>
    </w:p>
    <w:p w14:paraId="23BA02DF" w14:textId="36895F80" w:rsidR="00850A07" w:rsidRPr="007403A4" w:rsidRDefault="00ED7C77">
      <w:pPr>
        <w:keepNext/>
        <w:widowControl w:val="0"/>
        <w:tabs>
          <w:tab w:val="left" w:pos="1080"/>
        </w:tabs>
        <w:spacing w:before="1" w:line="254" w:lineRule="exact"/>
        <w:ind w:right="28"/>
        <w:jc w:val="both"/>
        <w:rPr>
          <w:b/>
          <w:i/>
          <w:color w:val="000000"/>
          <w:sz w:val="22"/>
          <w:szCs w:val="22"/>
          <w:lang w:val="sr-Latn-ME"/>
        </w:rPr>
      </w:pPr>
      <w:r w:rsidRPr="007403A4">
        <w:rPr>
          <w:b/>
          <w:color w:val="000000"/>
          <w:sz w:val="22"/>
          <w:szCs w:val="22"/>
          <w:lang w:val="sr-Latn-ME"/>
        </w:rPr>
        <w:lastRenderedPageBreak/>
        <w:t xml:space="preserve">Slika 1 </w:t>
      </w:r>
      <w:r w:rsidRPr="007403A4">
        <w:rPr>
          <w:b/>
          <w:color w:val="000000"/>
          <w:sz w:val="22"/>
          <w:szCs w:val="22"/>
          <w:lang w:val="sr-Latn-ME"/>
        </w:rPr>
        <w:tab/>
      </w:r>
      <w:r w:rsidRPr="007403A4">
        <w:rPr>
          <w:b/>
          <w:i/>
          <w:color w:val="000000"/>
          <w:sz w:val="22"/>
          <w:szCs w:val="22"/>
          <w:lang w:val="sr-Latn-ME"/>
        </w:rPr>
        <w:t>Kaplan-Meier</w:t>
      </w:r>
      <w:r w:rsidR="00501A7E" w:rsidRPr="007403A4">
        <w:rPr>
          <w:b/>
          <w:i/>
          <w:color w:val="000000"/>
          <w:sz w:val="22"/>
          <w:szCs w:val="22"/>
          <w:lang w:val="sr-Latn-ME"/>
        </w:rPr>
        <w:t>-</w:t>
      </w:r>
      <w:r w:rsidRPr="007403A4">
        <w:rPr>
          <w:b/>
          <w:i/>
          <w:color w:val="000000"/>
          <w:sz w:val="22"/>
          <w:szCs w:val="22"/>
          <w:lang w:val="sr-Latn-ME"/>
        </w:rPr>
        <w:t>ova kriva PFS-a u stadijumu 1a prema ocjeni ispitivača kod pacijenata sa</w:t>
      </w:r>
      <w:r w:rsidR="00C95059" w:rsidRPr="007403A4">
        <w:rPr>
          <w:b/>
          <w:i/>
          <w:color w:val="000000"/>
          <w:sz w:val="22"/>
          <w:szCs w:val="22"/>
          <w:lang w:val="sr-Latn-ME"/>
        </w:rPr>
        <w:t xml:space="preserve"> </w:t>
      </w:r>
      <w:r w:rsidRPr="007403A4">
        <w:rPr>
          <w:b/>
          <w:i/>
          <w:color w:val="000000"/>
          <w:sz w:val="22"/>
          <w:szCs w:val="22"/>
          <w:lang w:val="sr-Latn-ME"/>
        </w:rPr>
        <w:t>HLL  (studija BO21004/CLL11)</w:t>
      </w:r>
    </w:p>
    <w:p w14:paraId="39EC6F46" w14:textId="42CC1151" w:rsidR="00C95059" w:rsidRPr="007403A4" w:rsidRDefault="00C95059">
      <w:pPr>
        <w:keepNext/>
        <w:widowControl w:val="0"/>
        <w:tabs>
          <w:tab w:val="left" w:pos="1080"/>
        </w:tabs>
        <w:spacing w:before="1" w:line="254" w:lineRule="exact"/>
        <w:ind w:right="28"/>
        <w:jc w:val="both"/>
        <w:rPr>
          <w:b/>
          <w:i/>
          <w:color w:val="000000"/>
          <w:sz w:val="22"/>
          <w:szCs w:val="22"/>
          <w:lang w:val="sr-Latn-ME"/>
        </w:rPr>
      </w:pPr>
      <w:r w:rsidRPr="007403A4">
        <w:rPr>
          <w:noProof/>
          <w:sz w:val="22"/>
          <w:szCs w:val="22"/>
          <w:lang w:val="sr-Latn-ME"/>
        </w:rPr>
        <w:drawing>
          <wp:anchor distT="0" distB="0" distL="114300" distR="114300" simplePos="0" relativeHeight="251674624" behindDoc="1" locked="0" layoutInCell="1" allowOverlap="1" wp14:anchorId="29C12971" wp14:editId="1E6D8544">
            <wp:simplePos x="0" y="0"/>
            <wp:positionH relativeFrom="margin">
              <wp:posOffset>-1905</wp:posOffset>
            </wp:positionH>
            <wp:positionV relativeFrom="paragraph">
              <wp:posOffset>165100</wp:posOffset>
            </wp:positionV>
            <wp:extent cx="5271770" cy="4023995"/>
            <wp:effectExtent l="0" t="0" r="508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1.1.PNG"/>
                    <pic:cNvPicPr/>
                  </pic:nvPicPr>
                  <pic:blipFill>
                    <a:blip r:embed="rId12">
                      <a:extLst>
                        <a:ext uri="{28A0092B-C50C-407E-A947-70E740481C1C}">
                          <a14:useLocalDpi xmlns:a14="http://schemas.microsoft.com/office/drawing/2010/main" val="0"/>
                        </a:ext>
                      </a:extLst>
                    </a:blip>
                    <a:stretch>
                      <a:fillRect/>
                    </a:stretch>
                  </pic:blipFill>
                  <pic:spPr>
                    <a:xfrm>
                      <a:off x="0" y="0"/>
                      <a:ext cx="5271770" cy="4023995"/>
                    </a:xfrm>
                    <a:prstGeom prst="rect">
                      <a:avLst/>
                    </a:prstGeom>
                  </pic:spPr>
                </pic:pic>
              </a:graphicData>
            </a:graphic>
            <wp14:sizeRelH relativeFrom="margin">
              <wp14:pctWidth>0</wp14:pctWidth>
            </wp14:sizeRelH>
            <wp14:sizeRelV relativeFrom="margin">
              <wp14:pctHeight>0</wp14:pctHeight>
            </wp14:sizeRelV>
          </wp:anchor>
        </w:drawing>
      </w:r>
    </w:p>
    <w:p w14:paraId="4E57AA3D" w14:textId="2296A88B" w:rsidR="00C95059" w:rsidRPr="007403A4" w:rsidRDefault="00C95059">
      <w:pPr>
        <w:keepNext/>
        <w:widowControl w:val="0"/>
        <w:tabs>
          <w:tab w:val="left" w:pos="1080"/>
        </w:tabs>
        <w:spacing w:before="1" w:line="254" w:lineRule="exact"/>
        <w:ind w:right="28"/>
        <w:jc w:val="both"/>
        <w:rPr>
          <w:b/>
          <w:i/>
          <w:color w:val="000000"/>
          <w:sz w:val="22"/>
          <w:szCs w:val="22"/>
          <w:lang w:val="sr-Latn-ME"/>
        </w:rPr>
      </w:pPr>
    </w:p>
    <w:p w14:paraId="6D2FF7B4" w14:textId="1CE083EB" w:rsidR="00C95059" w:rsidRPr="007403A4" w:rsidRDefault="00C95059">
      <w:pPr>
        <w:keepNext/>
        <w:widowControl w:val="0"/>
        <w:tabs>
          <w:tab w:val="left" w:pos="1080"/>
        </w:tabs>
        <w:spacing w:before="1" w:line="254" w:lineRule="exact"/>
        <w:ind w:right="28"/>
        <w:jc w:val="both"/>
        <w:rPr>
          <w:b/>
          <w:i/>
          <w:color w:val="000000"/>
          <w:sz w:val="22"/>
          <w:szCs w:val="22"/>
          <w:lang w:val="sr-Latn-ME"/>
        </w:rPr>
      </w:pPr>
    </w:p>
    <w:p w14:paraId="335C33E5" w14:textId="77777777" w:rsidR="00C95059" w:rsidRPr="007403A4" w:rsidRDefault="00C95059">
      <w:pPr>
        <w:keepNext/>
        <w:widowControl w:val="0"/>
        <w:tabs>
          <w:tab w:val="left" w:pos="1080"/>
        </w:tabs>
        <w:spacing w:before="1" w:line="254" w:lineRule="exact"/>
        <w:ind w:right="28"/>
        <w:jc w:val="both"/>
        <w:rPr>
          <w:b/>
          <w:i/>
          <w:color w:val="000000"/>
          <w:sz w:val="22"/>
          <w:szCs w:val="22"/>
          <w:lang w:val="sr-Latn-ME"/>
        </w:rPr>
      </w:pPr>
    </w:p>
    <w:p w14:paraId="5DE13E12" w14:textId="13DE216E" w:rsidR="00ED7C77" w:rsidRPr="007403A4" w:rsidRDefault="00850A07">
      <w:pPr>
        <w:keepNext/>
        <w:widowControl w:val="0"/>
        <w:tabs>
          <w:tab w:val="left" w:pos="1080"/>
        </w:tabs>
        <w:spacing w:before="1" w:line="254" w:lineRule="exact"/>
        <w:ind w:right="28"/>
        <w:jc w:val="both"/>
        <w:rPr>
          <w:b/>
          <w:color w:val="000000"/>
          <w:sz w:val="22"/>
          <w:szCs w:val="22"/>
          <w:lang w:val="sr-Latn-ME"/>
        </w:rPr>
      </w:pPr>
      <w:r w:rsidRPr="007403A4">
        <w:rPr>
          <w:b/>
          <w:noProof/>
          <w:color w:val="000000"/>
          <w:sz w:val="22"/>
          <w:szCs w:val="22"/>
          <w:lang w:val="sr-Latn-ME"/>
        </w:rPr>
        <w:drawing>
          <wp:inline distT="0" distB="0" distL="0" distR="0" wp14:anchorId="4D1A4560" wp14:editId="6BB0B2FB">
            <wp:extent cx="5789930" cy="4420612"/>
            <wp:effectExtent l="0" t="0" r="1270" b="0"/>
            <wp:docPr id="5" name="Picture 5" descr="C:\Users\stankon4\Desktop\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ankon4\Desktop\Captur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930" cy="4420612"/>
                    </a:xfrm>
                    <a:prstGeom prst="rect">
                      <a:avLst/>
                    </a:prstGeom>
                    <a:noFill/>
                    <a:ln>
                      <a:noFill/>
                    </a:ln>
                  </pic:spPr>
                </pic:pic>
              </a:graphicData>
            </a:graphic>
          </wp:inline>
        </w:drawing>
      </w:r>
      <w:r w:rsidR="00932A9D" w:rsidRPr="007403A4">
        <w:rPr>
          <w:b/>
          <w:sz w:val="22"/>
          <w:szCs w:val="22"/>
          <w:lang w:val="sr-Latn-ME"/>
        </w:rPr>
        <w:t>S</w:t>
      </w:r>
      <w:r w:rsidR="00ED7C77" w:rsidRPr="007403A4">
        <w:rPr>
          <w:b/>
          <w:sz w:val="22"/>
          <w:szCs w:val="22"/>
          <w:lang w:val="sr-Latn-ME"/>
        </w:rPr>
        <w:t xml:space="preserve">lika 2 </w:t>
      </w:r>
      <w:r w:rsidR="00ED7C77" w:rsidRPr="007403A4">
        <w:rPr>
          <w:b/>
          <w:sz w:val="22"/>
          <w:szCs w:val="22"/>
          <w:lang w:val="sr-Latn-ME"/>
        </w:rPr>
        <w:tab/>
      </w:r>
      <w:r w:rsidR="00ED7C77" w:rsidRPr="007403A4">
        <w:rPr>
          <w:b/>
          <w:i/>
          <w:sz w:val="22"/>
          <w:szCs w:val="22"/>
          <w:lang w:val="sr-Latn-ME"/>
        </w:rPr>
        <w:t>Kaplan-Meier</w:t>
      </w:r>
      <w:r w:rsidR="00501A7E" w:rsidRPr="007403A4">
        <w:rPr>
          <w:b/>
          <w:i/>
          <w:sz w:val="22"/>
          <w:szCs w:val="22"/>
          <w:lang w:val="sr-Latn-ME"/>
        </w:rPr>
        <w:t>-</w:t>
      </w:r>
      <w:r w:rsidR="00ED7C77" w:rsidRPr="007403A4">
        <w:rPr>
          <w:b/>
          <w:i/>
          <w:sz w:val="22"/>
          <w:szCs w:val="22"/>
          <w:lang w:val="sr-Latn-ME"/>
        </w:rPr>
        <w:t>ova kriva OS-a u stadijumu 1a kod pacijenata sa HLL (studija BO21004/CLL11)</w:t>
      </w:r>
    </w:p>
    <w:p w14:paraId="6E688FB8" w14:textId="7EF07339" w:rsidR="00D235DD" w:rsidRPr="007403A4" w:rsidRDefault="00E14626" w:rsidP="00E14626">
      <w:pPr>
        <w:pStyle w:val="Title"/>
        <w:rPr>
          <w:lang w:val="sr-Latn-ME"/>
        </w:rPr>
      </w:pPr>
      <w:r w:rsidRPr="007403A4">
        <w:rPr>
          <w:noProof/>
          <w:lang w:val="sr-Latn-ME"/>
        </w:rPr>
        <w:drawing>
          <wp:inline distT="0" distB="0" distL="0" distR="0" wp14:anchorId="6D601130" wp14:editId="61E3DC7B">
            <wp:extent cx="5342965" cy="41169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548" cy="4149724"/>
                    </a:xfrm>
                    <a:prstGeom prst="rect">
                      <a:avLst/>
                    </a:prstGeom>
                    <a:noFill/>
                  </pic:spPr>
                </pic:pic>
              </a:graphicData>
            </a:graphic>
          </wp:inline>
        </w:drawing>
      </w:r>
    </w:p>
    <w:p w14:paraId="232B642B" w14:textId="77777777" w:rsidR="00C95059" w:rsidRPr="007403A4" w:rsidRDefault="00C95059" w:rsidP="005B0F00">
      <w:pPr>
        <w:keepNext/>
        <w:keepLines/>
        <w:spacing w:before="1" w:line="254" w:lineRule="exact"/>
        <w:ind w:right="28"/>
        <w:jc w:val="both"/>
        <w:rPr>
          <w:b/>
          <w:color w:val="000000"/>
          <w:sz w:val="22"/>
          <w:szCs w:val="22"/>
          <w:lang w:val="sr-Latn-ME"/>
        </w:rPr>
      </w:pPr>
    </w:p>
    <w:p w14:paraId="1A1A406B" w14:textId="14768DD2" w:rsidR="00ED7C77" w:rsidRPr="007403A4" w:rsidRDefault="00ED7C77" w:rsidP="005B0F00">
      <w:pPr>
        <w:keepNext/>
        <w:keepLines/>
        <w:spacing w:before="1" w:line="254" w:lineRule="exact"/>
        <w:ind w:right="28"/>
        <w:jc w:val="both"/>
        <w:rPr>
          <w:sz w:val="22"/>
          <w:szCs w:val="22"/>
          <w:lang w:val="sr-Latn-ME"/>
        </w:rPr>
      </w:pPr>
      <w:r w:rsidRPr="007403A4">
        <w:rPr>
          <w:b/>
          <w:color w:val="000000"/>
          <w:sz w:val="22"/>
          <w:szCs w:val="22"/>
          <w:lang w:val="sr-Latn-ME"/>
        </w:rPr>
        <w:t xml:space="preserve">Slika 3 </w:t>
      </w:r>
      <w:r w:rsidRPr="007403A4">
        <w:rPr>
          <w:b/>
          <w:color w:val="000000"/>
          <w:sz w:val="22"/>
          <w:szCs w:val="22"/>
          <w:lang w:val="sr-Latn-ME"/>
        </w:rPr>
        <w:tab/>
      </w:r>
      <w:r w:rsidRPr="007403A4">
        <w:rPr>
          <w:b/>
          <w:i/>
          <w:color w:val="000000"/>
          <w:sz w:val="22"/>
          <w:szCs w:val="22"/>
          <w:lang w:val="sr-Latn-ME"/>
        </w:rPr>
        <w:t>Kaplan-Meier</w:t>
      </w:r>
      <w:r w:rsidR="00501A7E" w:rsidRPr="007403A4">
        <w:rPr>
          <w:b/>
          <w:i/>
          <w:color w:val="000000"/>
          <w:sz w:val="22"/>
          <w:szCs w:val="22"/>
          <w:lang w:val="sr-Latn-ME"/>
        </w:rPr>
        <w:t>-</w:t>
      </w:r>
      <w:r w:rsidRPr="007403A4">
        <w:rPr>
          <w:b/>
          <w:i/>
          <w:color w:val="000000"/>
          <w:sz w:val="22"/>
          <w:szCs w:val="22"/>
          <w:lang w:val="sr-Latn-ME"/>
        </w:rPr>
        <w:t>ova kriva PFS u Stadijumu 2. prema ocjeni ispitivača kod pacijenata sa HLL (studija BO21004/CLL11)</w:t>
      </w:r>
    </w:p>
    <w:p w14:paraId="7C26015D" w14:textId="2641FB38" w:rsidR="00ED7C77" w:rsidRPr="007403A4" w:rsidRDefault="00E14626">
      <w:pPr>
        <w:spacing w:before="1" w:line="254" w:lineRule="exact"/>
        <w:ind w:right="28"/>
        <w:jc w:val="both"/>
        <w:rPr>
          <w:sz w:val="22"/>
          <w:szCs w:val="22"/>
          <w:lang w:val="sr-Latn-ME"/>
        </w:rPr>
      </w:pPr>
      <w:r w:rsidRPr="007403A4">
        <w:rPr>
          <w:noProof/>
          <w:sz w:val="22"/>
          <w:szCs w:val="22"/>
          <w:lang w:val="sr-Latn-ME"/>
        </w:rPr>
        <w:drawing>
          <wp:anchor distT="0" distB="0" distL="114300" distR="114300" simplePos="0" relativeHeight="251667456" behindDoc="1" locked="0" layoutInCell="1" allowOverlap="1" wp14:anchorId="65576866" wp14:editId="429782D6">
            <wp:simplePos x="0" y="0"/>
            <wp:positionH relativeFrom="margin">
              <wp:align>left</wp:align>
            </wp:positionH>
            <wp:positionV relativeFrom="paragraph">
              <wp:posOffset>46355</wp:posOffset>
            </wp:positionV>
            <wp:extent cx="5398770" cy="3465830"/>
            <wp:effectExtent l="0" t="0" r="0" b="1270"/>
            <wp:wrapTight wrapText="bothSides">
              <wp:wrapPolygon edited="0">
                <wp:start x="0" y="0"/>
                <wp:lineTo x="0" y="21489"/>
                <wp:lineTo x="21493" y="21489"/>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3.PNG"/>
                    <pic:cNvPicPr/>
                  </pic:nvPicPr>
                  <pic:blipFill>
                    <a:blip r:embed="rId15">
                      <a:extLst>
                        <a:ext uri="{28A0092B-C50C-407E-A947-70E740481C1C}">
                          <a14:useLocalDpi xmlns:a14="http://schemas.microsoft.com/office/drawing/2010/main" val="0"/>
                        </a:ext>
                      </a:extLst>
                    </a:blip>
                    <a:stretch>
                      <a:fillRect/>
                    </a:stretch>
                  </pic:blipFill>
                  <pic:spPr>
                    <a:xfrm>
                      <a:off x="0" y="0"/>
                      <a:ext cx="5398770" cy="3465830"/>
                    </a:xfrm>
                    <a:prstGeom prst="rect">
                      <a:avLst/>
                    </a:prstGeom>
                  </pic:spPr>
                </pic:pic>
              </a:graphicData>
            </a:graphic>
            <wp14:sizeRelH relativeFrom="margin">
              <wp14:pctWidth>0</wp14:pctWidth>
            </wp14:sizeRelH>
            <wp14:sizeRelV relativeFrom="margin">
              <wp14:pctHeight>0</wp14:pctHeight>
            </wp14:sizeRelV>
          </wp:anchor>
        </w:drawing>
      </w:r>
    </w:p>
    <w:p w14:paraId="590F4B56" w14:textId="608C6A04" w:rsidR="00ED7C77" w:rsidRPr="007403A4" w:rsidRDefault="00ED7C77">
      <w:pPr>
        <w:spacing w:before="1" w:line="254" w:lineRule="exact"/>
        <w:ind w:right="28"/>
        <w:jc w:val="both"/>
        <w:rPr>
          <w:sz w:val="22"/>
          <w:szCs w:val="22"/>
          <w:lang w:val="sr-Latn-ME"/>
        </w:rPr>
      </w:pPr>
    </w:p>
    <w:p w14:paraId="3ACA1A81" w14:textId="47FC2DAD" w:rsidR="00ED7C77" w:rsidRPr="007403A4" w:rsidRDefault="00ED7C77">
      <w:pPr>
        <w:spacing w:before="1" w:line="254" w:lineRule="exact"/>
        <w:ind w:right="28"/>
        <w:jc w:val="both"/>
        <w:rPr>
          <w:sz w:val="22"/>
          <w:szCs w:val="22"/>
          <w:lang w:val="sr-Latn-ME"/>
        </w:rPr>
      </w:pPr>
    </w:p>
    <w:p w14:paraId="76678ECB" w14:textId="0D9D8533" w:rsidR="00ED7C77" w:rsidRPr="007403A4" w:rsidRDefault="00ED7C77">
      <w:pPr>
        <w:spacing w:before="1" w:line="254" w:lineRule="exact"/>
        <w:ind w:right="28"/>
        <w:jc w:val="both"/>
        <w:rPr>
          <w:sz w:val="22"/>
          <w:szCs w:val="22"/>
          <w:lang w:val="sr-Latn-ME"/>
        </w:rPr>
      </w:pPr>
    </w:p>
    <w:p w14:paraId="7DDDE9F8" w14:textId="7C85AD16" w:rsidR="00ED7C77" w:rsidRPr="007403A4" w:rsidRDefault="00ED7C77">
      <w:pPr>
        <w:spacing w:before="1" w:line="254" w:lineRule="exact"/>
        <w:ind w:right="28"/>
        <w:jc w:val="both"/>
        <w:rPr>
          <w:sz w:val="22"/>
          <w:szCs w:val="22"/>
          <w:lang w:val="sr-Latn-ME"/>
        </w:rPr>
      </w:pPr>
    </w:p>
    <w:p w14:paraId="4565C269" w14:textId="1D79FA9B" w:rsidR="00ED7C77" w:rsidRPr="007403A4" w:rsidRDefault="00ED7C77">
      <w:pPr>
        <w:spacing w:before="1" w:line="254" w:lineRule="exact"/>
        <w:ind w:right="28"/>
        <w:jc w:val="both"/>
        <w:rPr>
          <w:sz w:val="22"/>
          <w:szCs w:val="22"/>
          <w:lang w:val="sr-Latn-ME"/>
        </w:rPr>
      </w:pPr>
    </w:p>
    <w:p w14:paraId="6BDFFE99" w14:textId="4CFA86A5" w:rsidR="00ED7C77" w:rsidRPr="007403A4" w:rsidRDefault="00ED7C77">
      <w:pPr>
        <w:spacing w:before="1" w:line="254" w:lineRule="exact"/>
        <w:ind w:right="28"/>
        <w:jc w:val="both"/>
        <w:rPr>
          <w:sz w:val="22"/>
          <w:szCs w:val="22"/>
          <w:lang w:val="sr-Latn-ME"/>
        </w:rPr>
      </w:pPr>
    </w:p>
    <w:p w14:paraId="0B37263A" w14:textId="7CB31503" w:rsidR="00ED7C77" w:rsidRPr="007403A4" w:rsidRDefault="00ED7C77">
      <w:pPr>
        <w:spacing w:before="1" w:line="254" w:lineRule="exact"/>
        <w:ind w:right="28"/>
        <w:jc w:val="both"/>
        <w:rPr>
          <w:sz w:val="22"/>
          <w:szCs w:val="22"/>
          <w:lang w:val="sr-Latn-ME"/>
        </w:rPr>
      </w:pPr>
    </w:p>
    <w:p w14:paraId="5DC22F3F" w14:textId="62EF1326" w:rsidR="00ED7C77" w:rsidRPr="007403A4" w:rsidRDefault="00ED7C77">
      <w:pPr>
        <w:spacing w:before="1" w:line="254" w:lineRule="exact"/>
        <w:ind w:right="28"/>
        <w:jc w:val="both"/>
        <w:rPr>
          <w:sz w:val="22"/>
          <w:szCs w:val="22"/>
          <w:lang w:val="sr-Latn-ME"/>
        </w:rPr>
      </w:pPr>
    </w:p>
    <w:p w14:paraId="7D9B7C38" w14:textId="77777777" w:rsidR="00ED7C77" w:rsidRPr="007403A4" w:rsidRDefault="00ED7C77">
      <w:pPr>
        <w:spacing w:before="1" w:line="254" w:lineRule="exact"/>
        <w:ind w:right="28"/>
        <w:jc w:val="both"/>
        <w:rPr>
          <w:sz w:val="22"/>
          <w:szCs w:val="22"/>
          <w:lang w:val="sr-Latn-ME"/>
        </w:rPr>
      </w:pPr>
    </w:p>
    <w:p w14:paraId="50F9659B" w14:textId="77777777" w:rsidR="00ED7C77" w:rsidRPr="007403A4" w:rsidRDefault="00ED7C77">
      <w:pPr>
        <w:spacing w:before="1" w:line="254" w:lineRule="exact"/>
        <w:ind w:right="28"/>
        <w:jc w:val="both"/>
        <w:rPr>
          <w:sz w:val="22"/>
          <w:szCs w:val="22"/>
          <w:lang w:val="sr-Latn-ME"/>
        </w:rPr>
      </w:pPr>
    </w:p>
    <w:p w14:paraId="0ABBCF7E" w14:textId="77777777" w:rsidR="00ED7C77" w:rsidRPr="007403A4" w:rsidRDefault="00ED7C77">
      <w:pPr>
        <w:spacing w:before="1" w:line="254" w:lineRule="exact"/>
        <w:ind w:right="28"/>
        <w:jc w:val="both"/>
        <w:rPr>
          <w:sz w:val="22"/>
          <w:szCs w:val="22"/>
          <w:lang w:val="sr-Latn-ME"/>
        </w:rPr>
      </w:pPr>
    </w:p>
    <w:p w14:paraId="6213C2A1" w14:textId="77777777" w:rsidR="00ED7C77" w:rsidRPr="007403A4" w:rsidRDefault="00ED7C77">
      <w:pPr>
        <w:spacing w:before="1" w:line="254" w:lineRule="exact"/>
        <w:ind w:right="28"/>
        <w:jc w:val="both"/>
        <w:rPr>
          <w:sz w:val="22"/>
          <w:szCs w:val="22"/>
          <w:lang w:val="sr-Latn-ME"/>
        </w:rPr>
      </w:pPr>
    </w:p>
    <w:p w14:paraId="2B1E7A9F" w14:textId="77777777" w:rsidR="00ED7C77" w:rsidRPr="007403A4" w:rsidRDefault="00ED7C77">
      <w:pPr>
        <w:spacing w:before="1" w:line="254" w:lineRule="exact"/>
        <w:ind w:right="28"/>
        <w:jc w:val="both"/>
        <w:rPr>
          <w:sz w:val="22"/>
          <w:szCs w:val="22"/>
          <w:lang w:val="sr-Latn-ME"/>
        </w:rPr>
      </w:pPr>
    </w:p>
    <w:p w14:paraId="4B530153" w14:textId="77777777" w:rsidR="00ED7C77" w:rsidRPr="007403A4" w:rsidRDefault="00ED7C77">
      <w:pPr>
        <w:spacing w:before="1" w:line="254" w:lineRule="exact"/>
        <w:ind w:right="28"/>
        <w:jc w:val="both"/>
        <w:rPr>
          <w:sz w:val="22"/>
          <w:szCs w:val="22"/>
          <w:lang w:val="sr-Latn-ME"/>
        </w:rPr>
      </w:pPr>
    </w:p>
    <w:p w14:paraId="4A66A5A4" w14:textId="77777777" w:rsidR="00ED7C77" w:rsidRPr="007403A4" w:rsidRDefault="00ED7C77">
      <w:pPr>
        <w:spacing w:before="1" w:line="254" w:lineRule="exact"/>
        <w:ind w:right="28"/>
        <w:jc w:val="both"/>
        <w:rPr>
          <w:b/>
          <w:sz w:val="22"/>
          <w:szCs w:val="22"/>
          <w:lang w:val="sr-Latn-ME"/>
        </w:rPr>
      </w:pPr>
    </w:p>
    <w:p w14:paraId="5EED7246" w14:textId="77777777" w:rsidR="00ED7C77" w:rsidRPr="007403A4" w:rsidRDefault="00ED7C77">
      <w:pPr>
        <w:spacing w:before="1" w:line="254" w:lineRule="exact"/>
        <w:ind w:right="28"/>
        <w:jc w:val="both"/>
        <w:rPr>
          <w:b/>
          <w:sz w:val="22"/>
          <w:szCs w:val="22"/>
          <w:lang w:val="sr-Latn-ME"/>
        </w:rPr>
      </w:pPr>
    </w:p>
    <w:p w14:paraId="5645BE45" w14:textId="77777777" w:rsidR="00ED7C77" w:rsidRPr="007403A4" w:rsidRDefault="00ED7C77">
      <w:pPr>
        <w:spacing w:before="1" w:line="254" w:lineRule="exact"/>
        <w:ind w:right="28"/>
        <w:jc w:val="both"/>
        <w:rPr>
          <w:b/>
          <w:sz w:val="22"/>
          <w:szCs w:val="22"/>
          <w:lang w:val="sr-Latn-ME"/>
        </w:rPr>
      </w:pPr>
    </w:p>
    <w:p w14:paraId="4CA14AE9" w14:textId="77777777" w:rsidR="00ED7C77" w:rsidRPr="007403A4" w:rsidRDefault="00ED7C77">
      <w:pPr>
        <w:spacing w:before="1" w:line="254" w:lineRule="exact"/>
        <w:ind w:right="28"/>
        <w:jc w:val="both"/>
        <w:rPr>
          <w:b/>
          <w:sz w:val="22"/>
          <w:szCs w:val="22"/>
          <w:lang w:val="sr-Latn-ME"/>
        </w:rPr>
      </w:pPr>
    </w:p>
    <w:p w14:paraId="606F8C43" w14:textId="77777777" w:rsidR="00D66547" w:rsidRPr="007403A4" w:rsidRDefault="00D66547">
      <w:pPr>
        <w:spacing w:before="1" w:line="254" w:lineRule="exact"/>
        <w:ind w:right="28"/>
        <w:jc w:val="both"/>
        <w:rPr>
          <w:b/>
          <w:sz w:val="22"/>
          <w:szCs w:val="22"/>
          <w:lang w:val="sr-Latn-ME"/>
        </w:rPr>
      </w:pPr>
    </w:p>
    <w:p w14:paraId="4D721282" w14:textId="77777777" w:rsidR="00D66547" w:rsidRPr="007403A4" w:rsidRDefault="00D66547">
      <w:pPr>
        <w:spacing w:before="1" w:line="254" w:lineRule="exact"/>
        <w:ind w:right="28"/>
        <w:jc w:val="both"/>
        <w:rPr>
          <w:b/>
          <w:sz w:val="22"/>
          <w:szCs w:val="22"/>
          <w:lang w:val="sr-Latn-ME"/>
        </w:rPr>
      </w:pPr>
    </w:p>
    <w:p w14:paraId="12CF8F2B" w14:textId="77777777" w:rsidR="00D66547" w:rsidRPr="007403A4" w:rsidRDefault="00D66547">
      <w:pPr>
        <w:spacing w:before="1" w:line="254" w:lineRule="exact"/>
        <w:ind w:right="28"/>
        <w:jc w:val="both"/>
        <w:rPr>
          <w:b/>
          <w:sz w:val="22"/>
          <w:szCs w:val="22"/>
          <w:lang w:val="sr-Latn-ME"/>
        </w:rPr>
      </w:pPr>
    </w:p>
    <w:p w14:paraId="1AE215BF" w14:textId="6C1A892E" w:rsidR="00D66547" w:rsidRPr="007403A4" w:rsidRDefault="00D66547">
      <w:pPr>
        <w:spacing w:before="1" w:line="254" w:lineRule="exact"/>
        <w:ind w:right="28"/>
        <w:jc w:val="both"/>
        <w:rPr>
          <w:b/>
          <w:sz w:val="22"/>
          <w:szCs w:val="22"/>
          <w:lang w:val="sr-Latn-ME"/>
        </w:rPr>
      </w:pPr>
    </w:p>
    <w:p w14:paraId="510D91C9" w14:textId="446E6ED7" w:rsidR="005B0F00" w:rsidRPr="007403A4" w:rsidRDefault="005B0F00">
      <w:pPr>
        <w:spacing w:before="1" w:line="254" w:lineRule="exact"/>
        <w:ind w:right="28"/>
        <w:jc w:val="both"/>
        <w:rPr>
          <w:b/>
          <w:sz w:val="22"/>
          <w:szCs w:val="22"/>
          <w:lang w:val="sr-Latn-ME"/>
        </w:rPr>
      </w:pPr>
    </w:p>
    <w:p w14:paraId="5B9F186D" w14:textId="77777777" w:rsidR="005B0F00" w:rsidRPr="007403A4" w:rsidRDefault="005B0F00">
      <w:pPr>
        <w:spacing w:before="1" w:line="254" w:lineRule="exact"/>
        <w:ind w:right="28"/>
        <w:jc w:val="both"/>
        <w:rPr>
          <w:b/>
          <w:sz w:val="22"/>
          <w:szCs w:val="22"/>
          <w:lang w:val="sr-Latn-ME"/>
        </w:rPr>
      </w:pPr>
    </w:p>
    <w:p w14:paraId="724F7B5E" w14:textId="77777777" w:rsidR="005B0F00" w:rsidRPr="007403A4" w:rsidRDefault="005B0F00">
      <w:pPr>
        <w:spacing w:before="1" w:line="254" w:lineRule="exact"/>
        <w:ind w:right="28"/>
        <w:jc w:val="both"/>
        <w:rPr>
          <w:b/>
          <w:sz w:val="22"/>
          <w:szCs w:val="22"/>
          <w:lang w:val="sr-Latn-ME"/>
        </w:rPr>
      </w:pPr>
    </w:p>
    <w:p w14:paraId="3E00AF49" w14:textId="0C9B8DB8" w:rsidR="005B0F00" w:rsidRPr="007403A4" w:rsidRDefault="00ED7C77" w:rsidP="005B0F00">
      <w:pPr>
        <w:spacing w:before="1" w:line="254" w:lineRule="exact"/>
        <w:ind w:right="28"/>
        <w:jc w:val="both"/>
        <w:rPr>
          <w:i/>
          <w:sz w:val="22"/>
          <w:szCs w:val="22"/>
          <w:lang w:val="sr-Latn-ME"/>
        </w:rPr>
      </w:pPr>
      <w:r w:rsidRPr="007403A4">
        <w:rPr>
          <w:b/>
          <w:sz w:val="22"/>
          <w:szCs w:val="22"/>
          <w:lang w:val="sr-Latn-ME"/>
        </w:rPr>
        <w:t>Slika 4</w:t>
      </w:r>
      <w:r w:rsidRPr="007403A4">
        <w:rPr>
          <w:b/>
          <w:i/>
          <w:sz w:val="22"/>
          <w:szCs w:val="22"/>
          <w:lang w:val="sr-Latn-ME"/>
        </w:rPr>
        <w:t xml:space="preserve"> </w:t>
      </w:r>
      <w:r w:rsidRPr="007403A4">
        <w:rPr>
          <w:b/>
          <w:i/>
          <w:sz w:val="22"/>
          <w:szCs w:val="22"/>
          <w:lang w:val="sr-Latn-ME"/>
        </w:rPr>
        <w:tab/>
        <w:t>Kaplan-Meier</w:t>
      </w:r>
      <w:r w:rsidR="00501A7E" w:rsidRPr="007403A4">
        <w:rPr>
          <w:b/>
          <w:i/>
          <w:sz w:val="22"/>
          <w:szCs w:val="22"/>
          <w:lang w:val="sr-Latn-ME"/>
        </w:rPr>
        <w:t>-</w:t>
      </w:r>
      <w:r w:rsidRPr="007403A4">
        <w:rPr>
          <w:b/>
          <w:i/>
          <w:sz w:val="22"/>
          <w:szCs w:val="22"/>
          <w:lang w:val="sr-Latn-ME"/>
        </w:rPr>
        <w:t>ova kriva OS</w:t>
      </w:r>
      <w:r w:rsidRPr="007403A4">
        <w:rPr>
          <w:b/>
          <w:i/>
          <w:sz w:val="22"/>
          <w:szCs w:val="22"/>
          <w:lang w:val="sr-Latn-ME"/>
        </w:rPr>
        <w:noBreakHyphen/>
        <w:t xml:space="preserve">a u stadijumu 2 kod </w:t>
      </w:r>
      <w:r w:rsidR="00501A7E" w:rsidRPr="007403A4">
        <w:rPr>
          <w:b/>
          <w:i/>
          <w:sz w:val="22"/>
          <w:szCs w:val="22"/>
          <w:lang w:val="sr-Latn-ME"/>
        </w:rPr>
        <w:t>pacijenata</w:t>
      </w:r>
      <w:r w:rsidRPr="007403A4">
        <w:rPr>
          <w:b/>
          <w:i/>
          <w:sz w:val="22"/>
          <w:szCs w:val="22"/>
          <w:lang w:val="sr-Latn-ME"/>
        </w:rPr>
        <w:t xml:space="preserve"> s</w:t>
      </w:r>
      <w:r w:rsidR="00501A7E" w:rsidRPr="007403A4">
        <w:rPr>
          <w:b/>
          <w:i/>
          <w:sz w:val="22"/>
          <w:szCs w:val="22"/>
          <w:lang w:val="sr-Latn-ME"/>
        </w:rPr>
        <w:t>a</w:t>
      </w:r>
      <w:r w:rsidRPr="007403A4">
        <w:rPr>
          <w:b/>
          <w:i/>
          <w:sz w:val="22"/>
          <w:szCs w:val="22"/>
          <w:lang w:val="sr-Latn-ME"/>
        </w:rPr>
        <w:t xml:space="preserve"> HLL (ispitivanje        BO21004/CLL11)</w:t>
      </w:r>
      <w:r w:rsidR="005B0F00" w:rsidRPr="007403A4">
        <w:rPr>
          <w:rFonts w:ascii="Calibri" w:eastAsia="Calibri" w:hAnsi="Calibri"/>
          <w:i/>
          <w:noProof/>
          <w:sz w:val="22"/>
          <w:szCs w:val="22"/>
          <w:lang w:val="sr-Latn-ME"/>
        </w:rPr>
        <w:drawing>
          <wp:anchor distT="0" distB="0" distL="114300" distR="114300" simplePos="0" relativeHeight="251669504" behindDoc="1" locked="0" layoutInCell="1" allowOverlap="1" wp14:anchorId="6313E9A6" wp14:editId="19890FCB">
            <wp:simplePos x="0" y="0"/>
            <wp:positionH relativeFrom="margin">
              <wp:posOffset>-1675</wp:posOffset>
            </wp:positionH>
            <wp:positionV relativeFrom="paragraph">
              <wp:posOffset>327930</wp:posOffset>
            </wp:positionV>
            <wp:extent cx="5486400" cy="417258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5.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4172585"/>
                    </a:xfrm>
                    <a:prstGeom prst="rect">
                      <a:avLst/>
                    </a:prstGeom>
                  </pic:spPr>
                </pic:pic>
              </a:graphicData>
            </a:graphic>
            <wp14:sizeRelH relativeFrom="margin">
              <wp14:pctWidth>0</wp14:pctWidth>
            </wp14:sizeRelH>
            <wp14:sizeRelV relativeFrom="margin">
              <wp14:pctHeight>0</wp14:pctHeight>
            </wp14:sizeRelV>
          </wp:anchor>
        </w:drawing>
      </w:r>
    </w:p>
    <w:p w14:paraId="1571F969" w14:textId="77777777" w:rsidR="005B0F00" w:rsidRPr="007403A4" w:rsidRDefault="005B0F00">
      <w:pPr>
        <w:keepNext/>
        <w:spacing w:before="1" w:line="254" w:lineRule="exact"/>
        <w:ind w:right="28"/>
        <w:jc w:val="both"/>
        <w:rPr>
          <w:i/>
          <w:sz w:val="22"/>
          <w:szCs w:val="22"/>
          <w:lang w:val="sr-Latn-ME"/>
        </w:rPr>
      </w:pPr>
    </w:p>
    <w:p w14:paraId="4FECD23B" w14:textId="6BA6BBCE" w:rsidR="00ED7C77" w:rsidRPr="007403A4" w:rsidRDefault="00ED7C77">
      <w:pPr>
        <w:keepNext/>
        <w:spacing w:before="1" w:line="254" w:lineRule="exact"/>
        <w:ind w:right="28"/>
        <w:jc w:val="both"/>
        <w:rPr>
          <w:i/>
          <w:sz w:val="22"/>
          <w:szCs w:val="22"/>
          <w:lang w:val="sr-Latn-ME"/>
        </w:rPr>
      </w:pPr>
      <w:r w:rsidRPr="007403A4">
        <w:rPr>
          <w:i/>
          <w:sz w:val="22"/>
          <w:szCs w:val="22"/>
          <w:lang w:val="sr-Latn-ME"/>
        </w:rPr>
        <w:t>Kvalitet života</w:t>
      </w:r>
    </w:p>
    <w:p w14:paraId="4B49F175" w14:textId="46987AC0" w:rsidR="00ED7C77" w:rsidRPr="007403A4" w:rsidRDefault="00ED7C77">
      <w:pPr>
        <w:spacing w:before="1" w:line="254" w:lineRule="exact"/>
        <w:ind w:right="28"/>
        <w:jc w:val="both"/>
        <w:rPr>
          <w:sz w:val="22"/>
          <w:szCs w:val="22"/>
          <w:lang w:val="sr-Latn-ME"/>
        </w:rPr>
      </w:pPr>
      <w:r w:rsidRPr="007403A4">
        <w:rPr>
          <w:sz w:val="22"/>
          <w:szCs w:val="22"/>
          <w:lang w:val="sr-Latn-ME"/>
        </w:rPr>
        <w:t>U upitnicima QLQC30 i QLQ</w:t>
      </w:r>
      <w:r w:rsidRPr="007403A4">
        <w:rPr>
          <w:sz w:val="22"/>
          <w:szCs w:val="22"/>
          <w:lang w:val="sr-Latn-ME"/>
        </w:rPr>
        <w:noBreakHyphen/>
        <w:t>CLL</w:t>
      </w:r>
      <w:r w:rsidRPr="007403A4">
        <w:rPr>
          <w:sz w:val="22"/>
          <w:szCs w:val="22"/>
          <w:lang w:val="sr-Latn-ME"/>
        </w:rPr>
        <w:noBreakHyphen/>
        <w:t xml:space="preserve">16, na koje su pacijenti odgovarali tokom </w:t>
      </w:r>
      <w:r w:rsidR="00501A7E" w:rsidRPr="007403A4">
        <w:rPr>
          <w:sz w:val="22"/>
          <w:szCs w:val="22"/>
          <w:lang w:val="sr-Latn-ME"/>
        </w:rPr>
        <w:t>perioda</w:t>
      </w:r>
      <w:r w:rsidRPr="007403A4">
        <w:rPr>
          <w:sz w:val="22"/>
          <w:szCs w:val="22"/>
          <w:lang w:val="sr-Latn-ME"/>
        </w:rPr>
        <w:t xml:space="preserve"> liječenja, ni</w:t>
      </w:r>
      <w:r w:rsidR="00501A7E" w:rsidRPr="007403A4">
        <w:rPr>
          <w:sz w:val="22"/>
          <w:szCs w:val="22"/>
          <w:lang w:val="sr-Latn-ME"/>
        </w:rPr>
        <w:t>je</w:t>
      </w:r>
      <w:r w:rsidRPr="007403A4">
        <w:rPr>
          <w:sz w:val="22"/>
          <w:szCs w:val="22"/>
          <w:lang w:val="sr-Latn-ME"/>
        </w:rPr>
        <w:t>su primijećene značajne razlike ni na jednoj podljestvici. Podaci tokom praćenja su ograničeni, naročito za grupu liječenu samo hlorambucilom. Međutim, do sada ni</w:t>
      </w:r>
      <w:r w:rsidR="00501A7E" w:rsidRPr="007403A4">
        <w:rPr>
          <w:sz w:val="22"/>
          <w:szCs w:val="22"/>
          <w:lang w:val="sr-Latn-ME"/>
        </w:rPr>
        <w:t>je</w:t>
      </w:r>
      <w:r w:rsidRPr="007403A4">
        <w:rPr>
          <w:sz w:val="22"/>
          <w:szCs w:val="22"/>
          <w:lang w:val="sr-Latn-ME"/>
        </w:rPr>
        <w:t>su identifikovane primjetne razlike u kvalitetu života tokom praćenja.</w:t>
      </w:r>
    </w:p>
    <w:p w14:paraId="6EC0EF0A" w14:textId="77777777" w:rsidR="00ED7C77" w:rsidRPr="007403A4" w:rsidRDefault="00ED7C77">
      <w:pPr>
        <w:spacing w:before="1" w:line="254" w:lineRule="exact"/>
        <w:ind w:right="28"/>
        <w:jc w:val="both"/>
        <w:rPr>
          <w:sz w:val="22"/>
          <w:szCs w:val="22"/>
          <w:lang w:val="sr-Latn-ME"/>
        </w:rPr>
      </w:pPr>
    </w:p>
    <w:p w14:paraId="7A9F5528" w14:textId="62A9E659" w:rsidR="00ED7C77" w:rsidRPr="007403A4" w:rsidRDefault="00ED7C77">
      <w:pPr>
        <w:spacing w:before="1" w:line="254" w:lineRule="exact"/>
        <w:ind w:right="28"/>
        <w:jc w:val="both"/>
        <w:rPr>
          <w:sz w:val="22"/>
          <w:szCs w:val="22"/>
          <w:lang w:val="sr-Latn-ME"/>
        </w:rPr>
      </w:pPr>
      <w:r w:rsidRPr="007403A4">
        <w:rPr>
          <w:sz w:val="22"/>
          <w:szCs w:val="22"/>
          <w:lang w:val="sr-Latn-ME"/>
        </w:rPr>
        <w:t xml:space="preserve">Ocjene kvaliteta života </w:t>
      </w:r>
      <w:r w:rsidR="00501A7E" w:rsidRPr="007403A4">
        <w:rPr>
          <w:sz w:val="22"/>
          <w:szCs w:val="22"/>
          <w:lang w:val="sr-Latn-ME"/>
        </w:rPr>
        <w:t>po</w:t>
      </w:r>
      <w:r w:rsidRPr="007403A4">
        <w:rPr>
          <w:sz w:val="22"/>
          <w:szCs w:val="22"/>
          <w:lang w:val="sr-Latn-ME"/>
        </w:rPr>
        <w:t xml:space="preserve">vezane </w:t>
      </w:r>
      <w:r w:rsidR="00501A7E" w:rsidRPr="007403A4">
        <w:rPr>
          <w:sz w:val="22"/>
          <w:szCs w:val="22"/>
          <w:lang w:val="sr-Latn-ME"/>
        </w:rPr>
        <w:t xml:space="preserve">sa </w:t>
      </w:r>
      <w:r w:rsidRPr="007403A4">
        <w:rPr>
          <w:sz w:val="22"/>
          <w:szCs w:val="22"/>
          <w:lang w:val="sr-Latn-ME"/>
        </w:rPr>
        <w:t>zdravlje</w:t>
      </w:r>
      <w:r w:rsidR="00501A7E" w:rsidRPr="007403A4">
        <w:rPr>
          <w:sz w:val="22"/>
          <w:szCs w:val="22"/>
          <w:lang w:val="sr-Latn-ME"/>
        </w:rPr>
        <w:t>m</w:t>
      </w:r>
      <w:r w:rsidRPr="007403A4">
        <w:rPr>
          <w:sz w:val="22"/>
          <w:szCs w:val="22"/>
          <w:lang w:val="sr-Latn-ME"/>
        </w:rPr>
        <w:t>, koje se posebno odnose na umor tokom perioda liječenja, ne pokazuju statistički značajne razlike, što ukazuje na to da dodatak lijeka Gazyvaro liječenju hlorambucilom ne povećava umor kod pacijenata.</w:t>
      </w:r>
    </w:p>
    <w:p w14:paraId="4D92C98E" w14:textId="77777777" w:rsidR="00ED7C77" w:rsidRPr="007403A4" w:rsidRDefault="00ED7C77">
      <w:pPr>
        <w:spacing w:before="1" w:line="254" w:lineRule="exact"/>
        <w:ind w:right="28"/>
        <w:jc w:val="both"/>
        <w:rPr>
          <w:sz w:val="22"/>
          <w:szCs w:val="22"/>
          <w:lang w:val="sr-Latn-ME"/>
        </w:rPr>
      </w:pPr>
    </w:p>
    <w:p w14:paraId="134B2754" w14:textId="77777777" w:rsidR="00ED7C77" w:rsidRPr="007403A4" w:rsidRDefault="00ED7C77">
      <w:pPr>
        <w:spacing w:before="1" w:line="254" w:lineRule="exact"/>
        <w:ind w:right="28"/>
        <w:jc w:val="both"/>
        <w:rPr>
          <w:i/>
          <w:sz w:val="22"/>
          <w:szCs w:val="22"/>
          <w:u w:val="single"/>
          <w:lang w:val="sr-Latn-ME"/>
        </w:rPr>
      </w:pPr>
      <w:r w:rsidRPr="007403A4">
        <w:rPr>
          <w:i/>
          <w:sz w:val="22"/>
          <w:szCs w:val="22"/>
          <w:u w:val="single"/>
          <w:lang w:val="sr-Latn-ME"/>
        </w:rPr>
        <w:t>Folikularni limfom</w:t>
      </w:r>
    </w:p>
    <w:p w14:paraId="453073B8" w14:textId="77777777" w:rsidR="00ED7C77" w:rsidRPr="007403A4" w:rsidRDefault="00ED7C77">
      <w:pPr>
        <w:spacing w:before="1" w:line="254" w:lineRule="exact"/>
        <w:ind w:right="28"/>
        <w:jc w:val="both"/>
        <w:rPr>
          <w:i/>
          <w:sz w:val="22"/>
          <w:szCs w:val="22"/>
          <w:u w:val="single"/>
          <w:lang w:val="sr-Latn-ME"/>
        </w:rPr>
      </w:pPr>
      <w:r w:rsidRPr="007403A4">
        <w:rPr>
          <w:i/>
          <w:sz w:val="22"/>
          <w:szCs w:val="22"/>
          <w:u w:val="single"/>
          <w:lang w:val="sr-Latn-ME"/>
        </w:rPr>
        <w:t>Prethodno neliječen folikularni limfom (studija BO21223/GALLIUM)</w:t>
      </w:r>
    </w:p>
    <w:p w14:paraId="6ED42824" w14:textId="51681AA0" w:rsidR="00ED7C77" w:rsidRPr="007403A4" w:rsidRDefault="00ED7C77">
      <w:pPr>
        <w:spacing w:before="1" w:line="254" w:lineRule="exact"/>
        <w:ind w:right="28"/>
        <w:jc w:val="both"/>
        <w:rPr>
          <w:sz w:val="22"/>
          <w:szCs w:val="22"/>
          <w:lang w:val="sr-Latn-ME"/>
        </w:rPr>
      </w:pPr>
      <w:r w:rsidRPr="007403A4">
        <w:rPr>
          <w:sz w:val="22"/>
          <w:szCs w:val="22"/>
          <w:lang w:val="sr-Latn-ME"/>
        </w:rPr>
        <w:t>U otvorenoj, multicentričnoj, randomizovanoj kliničkoj studiji faze III (BO21223/GALLIUM) ispitano je 1202 pacijenta sa prethodno neliječenim uznapredovalim F</w:t>
      </w:r>
      <w:r w:rsidR="00501A7E" w:rsidRPr="007403A4">
        <w:rPr>
          <w:sz w:val="22"/>
          <w:szCs w:val="22"/>
          <w:lang w:val="sr-Latn-ME"/>
        </w:rPr>
        <w:t>L</w:t>
      </w:r>
      <w:r w:rsidRPr="007403A4">
        <w:rPr>
          <w:sz w:val="22"/>
          <w:szCs w:val="22"/>
          <w:lang w:val="sr-Latn-ME"/>
        </w:rPr>
        <w:t xml:space="preserve"> </w:t>
      </w:r>
      <w:r w:rsidR="00501A7E" w:rsidRPr="007403A4">
        <w:rPr>
          <w:sz w:val="22"/>
          <w:szCs w:val="22"/>
          <w:lang w:val="sr-Latn-ME"/>
        </w:rPr>
        <w:t>stepena</w:t>
      </w:r>
      <w:r w:rsidRPr="007403A4">
        <w:rPr>
          <w:sz w:val="22"/>
          <w:szCs w:val="22"/>
          <w:lang w:val="sr-Latn-ME"/>
        </w:rPr>
        <w:t xml:space="preserve"> 1 – 3a (bolest stadijuma II sa velikom tumorskom masom [engl. </w:t>
      </w:r>
      <w:r w:rsidRPr="007403A4">
        <w:rPr>
          <w:i/>
          <w:sz w:val="22"/>
          <w:szCs w:val="22"/>
          <w:lang w:val="sr-Latn-ME"/>
        </w:rPr>
        <w:t>bulky disease</w:t>
      </w:r>
      <w:r w:rsidRPr="007403A4">
        <w:rPr>
          <w:sz w:val="22"/>
          <w:szCs w:val="22"/>
          <w:lang w:val="sr-Latn-ME"/>
        </w:rPr>
        <w:t>], bolest stadijuma III/IV). Pacijenti</w:t>
      </w:r>
      <w:r w:rsidR="00B01598" w:rsidRPr="007403A4">
        <w:rPr>
          <w:sz w:val="22"/>
          <w:szCs w:val="22"/>
          <w:lang w:val="sr-Latn-ME"/>
        </w:rPr>
        <w:t xml:space="preserve"> </w:t>
      </w:r>
      <w:r w:rsidRPr="007403A4">
        <w:rPr>
          <w:sz w:val="22"/>
          <w:szCs w:val="22"/>
          <w:lang w:val="sr-Latn-ME"/>
        </w:rPr>
        <w:t xml:space="preserve">sa FL </w:t>
      </w:r>
      <w:r w:rsidR="00501A7E" w:rsidRPr="007403A4">
        <w:rPr>
          <w:sz w:val="22"/>
          <w:szCs w:val="22"/>
          <w:lang w:val="sr-Latn-ME"/>
        </w:rPr>
        <w:t>stepena</w:t>
      </w:r>
      <w:r w:rsidRPr="007403A4">
        <w:rPr>
          <w:sz w:val="22"/>
          <w:szCs w:val="22"/>
          <w:lang w:val="sr-Latn-ME"/>
        </w:rPr>
        <w:t xml:space="preserve"> 3b nijesu bili uključeni u studiju. Pacijenti su bili randomizovani u odnosu 1:1 za primanje lijeka Gazyvaro (n = 601 pacijent) ili rituksimaba (n = 601 pacijent) u kombinaciji sa hemoterapijom (bendamustin, CHOP ili CVP), nakon čega je kod pacijenata koji su ostvarili potpun ili djelimičan odgovor uslijedila terapija održavanja lijekom Gazyvaro ili rituksimabom.  </w:t>
      </w:r>
    </w:p>
    <w:p w14:paraId="5C14E629" w14:textId="77777777" w:rsidR="00ED7C77" w:rsidRPr="007403A4" w:rsidRDefault="00ED7C77">
      <w:pPr>
        <w:spacing w:before="1" w:line="254" w:lineRule="exact"/>
        <w:ind w:right="28"/>
        <w:jc w:val="both"/>
        <w:rPr>
          <w:sz w:val="22"/>
          <w:szCs w:val="22"/>
          <w:lang w:val="sr-Latn-ME"/>
        </w:rPr>
      </w:pPr>
    </w:p>
    <w:p w14:paraId="28CEA11E" w14:textId="717E2418" w:rsidR="00ED7C77" w:rsidRPr="007403A4" w:rsidRDefault="00ED7C77">
      <w:pPr>
        <w:spacing w:before="1" w:line="254" w:lineRule="exact"/>
        <w:ind w:right="28"/>
        <w:jc w:val="both"/>
        <w:rPr>
          <w:sz w:val="22"/>
          <w:szCs w:val="22"/>
          <w:lang w:val="sr-Latn-ME"/>
        </w:rPr>
      </w:pPr>
      <w:r w:rsidRPr="007403A4">
        <w:rPr>
          <w:sz w:val="22"/>
          <w:szCs w:val="22"/>
          <w:lang w:val="sr-Latn-ME"/>
        </w:rPr>
        <w:t xml:space="preserve">Gazyvaro se primjenjivao intravenskom infuzijom u dozi od 1000 mg 1, 8. i 15. dan 1. ciklusa te 1. dan ostalih ciklusa. Ukupno je primijenjeno šest ciklusa lijeka Gazyvaro (svakih 28 dana) u kombinaciji sa šest ciklusa bendamustina, odnosno ukupno osam ciklusa lijeka Gazyvaro (svakih 21 dan) u kombinaciji sa šest ciklusa protokola CHOP ili osam ciklusa protokola CVP. </w:t>
      </w:r>
      <w:r w:rsidR="00DC3789" w:rsidRPr="007403A4">
        <w:rPr>
          <w:sz w:val="22"/>
          <w:szCs w:val="22"/>
          <w:lang w:val="sr-Latn-ME"/>
        </w:rPr>
        <w:t xml:space="preserve">Lijek </w:t>
      </w:r>
      <w:r w:rsidRPr="007403A4">
        <w:rPr>
          <w:sz w:val="22"/>
          <w:szCs w:val="22"/>
          <w:lang w:val="sr-Latn-ME"/>
        </w:rPr>
        <w:t>Gazyvaro se primjenjivao prije hemoterapije. Bendamustin se primjenjivao intravenski 1. i 2. dan</w:t>
      </w:r>
      <w:r w:rsidR="00DC3789" w:rsidRPr="007403A4">
        <w:rPr>
          <w:sz w:val="22"/>
          <w:szCs w:val="22"/>
          <w:lang w:val="sr-Latn-ME"/>
        </w:rPr>
        <w:t>a</w:t>
      </w:r>
      <w:r w:rsidRPr="007403A4">
        <w:rPr>
          <w:sz w:val="22"/>
          <w:szCs w:val="22"/>
          <w:lang w:val="sr-Latn-ME"/>
        </w:rPr>
        <w:t xml:space="preserve"> u svim ciklusima liječenja (1–6. ciklus) u dozi od 90 mg/m</w:t>
      </w:r>
      <w:r w:rsidRPr="007403A4">
        <w:rPr>
          <w:sz w:val="22"/>
          <w:szCs w:val="22"/>
          <w:vertAlign w:val="superscript"/>
          <w:lang w:val="sr-Latn-ME"/>
        </w:rPr>
        <w:t>2</w:t>
      </w:r>
      <w:r w:rsidRPr="007403A4">
        <w:rPr>
          <w:sz w:val="22"/>
          <w:szCs w:val="22"/>
          <w:lang w:val="sr-Latn-ME"/>
        </w:rPr>
        <w:t xml:space="preserve">/dan kada se primjenjivao u kombinaciji sa lijekom Gazyvaro. Primjenjivalo se standardno doziranje za protokole CHOP i CVP. Nakon 6–8. ciklusa u kombinaciji sa hemoterapijom, pacijenti koji su odgovorili na liječenje primali su terapiju održavanja lijekom Gazyvaro svaka 2 mjeseca do progresije bolesti ili tokom najviše 2 godine. </w:t>
      </w:r>
    </w:p>
    <w:p w14:paraId="1A07B6CB"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 xml:space="preserve">    </w:t>
      </w:r>
    </w:p>
    <w:p w14:paraId="34FC5ABF" w14:textId="0F3B8FDA" w:rsidR="00ED7C77" w:rsidRPr="007403A4" w:rsidRDefault="00ED7C77">
      <w:pPr>
        <w:spacing w:before="1" w:line="254" w:lineRule="exact"/>
        <w:ind w:right="28"/>
        <w:jc w:val="both"/>
        <w:rPr>
          <w:sz w:val="22"/>
          <w:szCs w:val="22"/>
          <w:lang w:val="sr-Latn-ME"/>
        </w:rPr>
      </w:pPr>
      <w:r w:rsidRPr="007403A4">
        <w:rPr>
          <w:sz w:val="22"/>
          <w:szCs w:val="22"/>
          <w:lang w:val="sr-Latn-ME"/>
        </w:rPr>
        <w:t xml:space="preserve">Demografski podaci i početne karakteristike populacije pacijenata bili su dobro ujednačeni u svim liječenim grupama; medijana starosti iznosila je 59 godina; 81% pacijenata su bili bijelci, a 53% žene; 79% pacijenata imalo je rezultat ≥ 2 prema Međunarodnom prognostičkom indeksu za folikularni limfom (engl. </w:t>
      </w:r>
      <w:r w:rsidRPr="007403A4">
        <w:rPr>
          <w:i/>
          <w:sz w:val="22"/>
          <w:szCs w:val="22"/>
          <w:lang w:val="sr-Latn-ME"/>
        </w:rPr>
        <w:t>Follicular Lymphoma International Prognostic Index</w:t>
      </w:r>
      <w:r w:rsidRPr="007403A4">
        <w:rPr>
          <w:sz w:val="22"/>
          <w:szCs w:val="22"/>
          <w:lang w:val="sr-Latn-ME"/>
        </w:rPr>
        <w:t>, FLIPI); 7% pacijenata imalo je bolest stadijuma II (sa velikom tumorskom masom), 35% bolest stadijuma III, 57% bolest stadijuma IV; 44% imalo je veliku tumorsku masu (&gt;7 cm), 34% pacijenata imalo je najmanje jedan B</w:t>
      </w:r>
      <w:r w:rsidR="00DC3789" w:rsidRPr="007403A4">
        <w:rPr>
          <w:sz w:val="22"/>
          <w:szCs w:val="22"/>
          <w:lang w:val="sr-Latn-ME"/>
        </w:rPr>
        <w:t>-</w:t>
      </w:r>
      <w:r w:rsidRPr="007403A4">
        <w:rPr>
          <w:sz w:val="22"/>
          <w:szCs w:val="22"/>
          <w:lang w:val="sr-Latn-ME"/>
        </w:rPr>
        <w:t xml:space="preserve">simptom na početku studije, a njih 97% imalo je početni funkcionalni ECOG status 0 – 1. Pedeset i sedam posto (57%) pacijenata je primalo bendamustin, 33% protokol CHOP, a 10% protokol CVP. </w:t>
      </w:r>
    </w:p>
    <w:p w14:paraId="5032126C" w14:textId="77777777" w:rsidR="00ED7C77" w:rsidRPr="007403A4" w:rsidRDefault="00ED7C77">
      <w:pPr>
        <w:spacing w:before="1" w:line="254" w:lineRule="exact"/>
        <w:ind w:right="28"/>
        <w:jc w:val="both"/>
        <w:rPr>
          <w:sz w:val="22"/>
          <w:szCs w:val="22"/>
          <w:lang w:val="sr-Latn-ME"/>
        </w:rPr>
      </w:pPr>
    </w:p>
    <w:p w14:paraId="2BF9AC8D" w14:textId="4690D794" w:rsidR="00ED7C77" w:rsidRPr="007403A4" w:rsidRDefault="00ED7C77">
      <w:pPr>
        <w:spacing w:before="1" w:line="254" w:lineRule="exact"/>
        <w:ind w:right="28"/>
        <w:jc w:val="both"/>
        <w:rPr>
          <w:sz w:val="22"/>
          <w:szCs w:val="22"/>
          <w:lang w:val="sr-Latn-ME"/>
        </w:rPr>
      </w:pPr>
      <w:r w:rsidRPr="007403A4">
        <w:rPr>
          <w:sz w:val="22"/>
          <w:szCs w:val="22"/>
          <w:lang w:val="sr-Latn-ME"/>
        </w:rPr>
        <w:t xml:space="preserve">Rezultati za efikasnost kod pacijenata sa prethodno neliječenim FL sažeto su prikazani u Tabeli </w:t>
      </w:r>
      <w:r w:rsidR="004F24AB" w:rsidRPr="007403A4">
        <w:rPr>
          <w:sz w:val="22"/>
          <w:szCs w:val="22"/>
          <w:lang w:val="sr-Latn-ME"/>
        </w:rPr>
        <w:t>10</w:t>
      </w:r>
      <w:r w:rsidRPr="007403A4">
        <w:rPr>
          <w:sz w:val="22"/>
          <w:szCs w:val="22"/>
          <w:lang w:val="sr-Latn-ME"/>
        </w:rPr>
        <w:t>. Kaplan</w:t>
      </w:r>
      <w:r w:rsidR="00DC3789" w:rsidRPr="007403A4">
        <w:rPr>
          <w:sz w:val="22"/>
          <w:szCs w:val="22"/>
          <w:lang w:val="sr-Latn-ME"/>
        </w:rPr>
        <w:t>-</w:t>
      </w:r>
      <w:r w:rsidRPr="007403A4">
        <w:rPr>
          <w:sz w:val="22"/>
          <w:szCs w:val="22"/>
          <w:lang w:val="sr-Latn-ME"/>
        </w:rPr>
        <w:t>Meie</w:t>
      </w:r>
      <w:r w:rsidR="00DC3789" w:rsidRPr="007403A4">
        <w:rPr>
          <w:sz w:val="22"/>
          <w:szCs w:val="22"/>
          <w:lang w:val="sr-Latn-ME"/>
        </w:rPr>
        <w:t>r-</w:t>
      </w:r>
      <w:r w:rsidRPr="007403A4">
        <w:rPr>
          <w:sz w:val="22"/>
          <w:szCs w:val="22"/>
          <w:lang w:val="sr-Latn-ME"/>
        </w:rPr>
        <w:t>ove krive preživljavanja bez progresije bolesti (PFS) prikazane su na Slici 5</w:t>
      </w:r>
      <w:r w:rsidR="003064F9" w:rsidRPr="007403A4">
        <w:rPr>
          <w:sz w:val="22"/>
          <w:szCs w:val="22"/>
          <w:lang w:val="sr-Latn-ME"/>
        </w:rPr>
        <w:t>.</w:t>
      </w:r>
    </w:p>
    <w:p w14:paraId="4EDD4B59" w14:textId="37B09611" w:rsidR="00ED433E" w:rsidRPr="007403A4" w:rsidRDefault="00ED433E">
      <w:pPr>
        <w:spacing w:before="1" w:line="254" w:lineRule="exact"/>
        <w:ind w:right="28"/>
        <w:jc w:val="both"/>
        <w:rPr>
          <w:sz w:val="22"/>
          <w:szCs w:val="22"/>
          <w:lang w:val="sr-Latn-ME"/>
        </w:rPr>
      </w:pPr>
    </w:p>
    <w:p w14:paraId="0C114E5A" w14:textId="67309EF0" w:rsidR="00ED433E" w:rsidRPr="007403A4" w:rsidRDefault="00ED7C77">
      <w:pPr>
        <w:spacing w:before="1" w:line="254" w:lineRule="exact"/>
        <w:ind w:right="28"/>
        <w:jc w:val="both"/>
        <w:rPr>
          <w:b/>
          <w:color w:val="000000"/>
          <w:sz w:val="22"/>
          <w:szCs w:val="22"/>
          <w:lang w:val="sr-Latn-ME"/>
        </w:rPr>
      </w:pPr>
      <w:r w:rsidRPr="007403A4">
        <w:rPr>
          <w:b/>
          <w:color w:val="000000"/>
          <w:sz w:val="22"/>
          <w:szCs w:val="22"/>
          <w:lang w:val="sr-Latn-ME"/>
        </w:rPr>
        <w:t xml:space="preserve">Tabela </w:t>
      </w:r>
      <w:r w:rsidR="004F24AB" w:rsidRPr="007403A4">
        <w:rPr>
          <w:b/>
          <w:color w:val="000000"/>
          <w:sz w:val="22"/>
          <w:szCs w:val="22"/>
          <w:lang w:val="sr-Latn-ME"/>
        </w:rPr>
        <w:t>10</w:t>
      </w:r>
      <w:r w:rsidR="00DC3789" w:rsidRPr="007403A4">
        <w:rPr>
          <w:b/>
          <w:color w:val="000000"/>
          <w:sz w:val="22"/>
          <w:szCs w:val="22"/>
          <w:lang w:val="sr-Latn-ME"/>
        </w:rPr>
        <w:t xml:space="preserve"> </w:t>
      </w:r>
      <w:r w:rsidRPr="007403A4">
        <w:rPr>
          <w:b/>
          <w:color w:val="000000"/>
          <w:sz w:val="22"/>
          <w:szCs w:val="22"/>
          <w:lang w:val="sr-Latn-ME"/>
        </w:rPr>
        <w:t>Sažetak rezultata za efikasnost kod pacijenata sa prethodno neliječenim FL iz studije BO21223/GALLIUM</w:t>
      </w:r>
    </w:p>
    <w:p w14:paraId="2AF777EA" w14:textId="77777777" w:rsidR="00ED7C77" w:rsidRPr="007403A4" w:rsidRDefault="00ED7C77">
      <w:pPr>
        <w:spacing w:before="1" w:line="254" w:lineRule="exact"/>
        <w:ind w:right="28"/>
        <w:jc w:val="both"/>
        <w:rPr>
          <w:sz w:val="22"/>
          <w:szCs w:val="22"/>
          <w:lang w:val="sr-Latn-ME"/>
        </w:rPr>
      </w:pPr>
    </w:p>
    <w:tbl>
      <w:tblPr>
        <w:tblW w:w="8584" w:type="dxa"/>
        <w:tblInd w:w="51" w:type="dxa"/>
        <w:tblLayout w:type="fixed"/>
        <w:tblCellMar>
          <w:left w:w="57" w:type="dxa"/>
          <w:right w:w="57" w:type="dxa"/>
        </w:tblCellMar>
        <w:tblLook w:val="00A0" w:firstRow="1" w:lastRow="0" w:firstColumn="1" w:lastColumn="0" w:noHBand="0" w:noVBand="0"/>
      </w:tblPr>
      <w:tblGrid>
        <w:gridCol w:w="3557"/>
        <w:gridCol w:w="2544"/>
        <w:gridCol w:w="2483"/>
      </w:tblGrid>
      <w:tr w:rsidR="00ED7C77" w:rsidRPr="007403A4" w14:paraId="57E39EFF" w14:textId="77777777" w:rsidTr="00C95059">
        <w:trPr>
          <w:cantSplit/>
        </w:trPr>
        <w:tc>
          <w:tcPr>
            <w:tcW w:w="3557" w:type="dxa"/>
            <w:tcBorders>
              <w:top w:val="single" w:sz="4" w:space="0" w:color="auto"/>
              <w:left w:val="single" w:sz="4" w:space="0" w:color="auto"/>
              <w:bottom w:val="single" w:sz="4" w:space="0" w:color="auto"/>
              <w:right w:val="single" w:sz="4" w:space="0" w:color="auto"/>
            </w:tcBorders>
            <w:vAlign w:val="bottom"/>
          </w:tcPr>
          <w:p w14:paraId="72C00FAA" w14:textId="77777777" w:rsidR="00ED7C77" w:rsidRPr="007403A4" w:rsidRDefault="00ED7C77">
            <w:pPr>
              <w:keepNext/>
              <w:keepLines/>
              <w:spacing w:before="50" w:after="50" w:line="240" w:lineRule="exact"/>
              <w:ind w:right="28"/>
              <w:jc w:val="both"/>
              <w:rPr>
                <w:lang w:val="sr-Latn-ME"/>
              </w:rPr>
            </w:pPr>
          </w:p>
        </w:tc>
        <w:tc>
          <w:tcPr>
            <w:tcW w:w="2544" w:type="dxa"/>
            <w:tcBorders>
              <w:top w:val="single" w:sz="4" w:space="0" w:color="auto"/>
              <w:left w:val="single" w:sz="4" w:space="0" w:color="auto"/>
              <w:bottom w:val="single" w:sz="4" w:space="0" w:color="auto"/>
              <w:right w:val="dashSmallGap" w:sz="4" w:space="0" w:color="auto"/>
            </w:tcBorders>
            <w:vAlign w:val="bottom"/>
          </w:tcPr>
          <w:p w14:paraId="4D25EDC9" w14:textId="77777777" w:rsidR="00ED7C77" w:rsidRPr="007403A4" w:rsidRDefault="00ED7C77" w:rsidP="00C95059">
            <w:pPr>
              <w:keepNext/>
              <w:keepLines/>
              <w:spacing w:before="50" w:after="50" w:line="240" w:lineRule="exact"/>
              <w:ind w:right="28"/>
              <w:jc w:val="both"/>
              <w:rPr>
                <w:b/>
                <w:lang w:val="sr-Latn-ME"/>
              </w:rPr>
            </w:pPr>
            <w:r w:rsidRPr="007403A4">
              <w:rPr>
                <w:b/>
                <w:lang w:val="sr-Latn-ME"/>
              </w:rPr>
              <w:t xml:space="preserve">Rituksimab + hemoterapija, nakon čega slijedi terapija održavanja rituksimabom </w:t>
            </w:r>
          </w:p>
          <w:p w14:paraId="432009C4" w14:textId="77777777" w:rsidR="00ED7C77" w:rsidRPr="007403A4" w:rsidRDefault="00ED7C77" w:rsidP="00C95059">
            <w:pPr>
              <w:keepNext/>
              <w:keepLines/>
              <w:spacing w:before="50" w:after="50" w:line="240" w:lineRule="exact"/>
              <w:ind w:right="28"/>
              <w:jc w:val="both"/>
              <w:rPr>
                <w:b/>
                <w:lang w:val="sr-Latn-ME"/>
              </w:rPr>
            </w:pPr>
            <w:r w:rsidRPr="007403A4">
              <w:rPr>
                <w:b/>
                <w:lang w:val="sr-Latn-ME"/>
              </w:rPr>
              <w:t>N=601</w:t>
            </w:r>
          </w:p>
        </w:tc>
        <w:tc>
          <w:tcPr>
            <w:tcW w:w="2483" w:type="dxa"/>
            <w:tcBorders>
              <w:top w:val="single" w:sz="4" w:space="0" w:color="auto"/>
              <w:left w:val="dashSmallGap" w:sz="4" w:space="0" w:color="auto"/>
              <w:bottom w:val="single" w:sz="4" w:space="0" w:color="auto"/>
              <w:right w:val="single" w:sz="4" w:space="0" w:color="auto"/>
            </w:tcBorders>
            <w:vAlign w:val="bottom"/>
          </w:tcPr>
          <w:p w14:paraId="3F238490" w14:textId="5C12A72B" w:rsidR="00ED7C77" w:rsidRPr="007403A4" w:rsidRDefault="00C93538" w:rsidP="00C95059">
            <w:pPr>
              <w:keepNext/>
              <w:keepLines/>
              <w:spacing w:before="50" w:after="50" w:line="240" w:lineRule="exact"/>
              <w:ind w:right="28"/>
              <w:jc w:val="both"/>
              <w:rPr>
                <w:b/>
                <w:lang w:val="sr-Latn-ME"/>
              </w:rPr>
            </w:pPr>
            <w:r w:rsidRPr="007403A4">
              <w:rPr>
                <w:b/>
                <w:lang w:val="sr-Latn-ME"/>
              </w:rPr>
              <w:t xml:space="preserve">Lijek </w:t>
            </w:r>
            <w:r w:rsidR="00ED7C77" w:rsidRPr="007403A4">
              <w:rPr>
                <w:b/>
                <w:lang w:val="sr-Latn-ME"/>
              </w:rPr>
              <w:t>Gazyvaro + hemoterapija, nakon čega slijedi terapija održavanja lijekom Gazyvaro</w:t>
            </w:r>
          </w:p>
          <w:p w14:paraId="50A1526A" w14:textId="77777777" w:rsidR="00ED7C77" w:rsidRPr="007403A4" w:rsidRDefault="00ED7C77" w:rsidP="00C95059">
            <w:pPr>
              <w:keepNext/>
              <w:keepLines/>
              <w:spacing w:before="50" w:after="50" w:line="240" w:lineRule="exact"/>
              <w:ind w:right="28"/>
              <w:jc w:val="both"/>
              <w:rPr>
                <w:b/>
                <w:lang w:val="sr-Latn-ME"/>
              </w:rPr>
            </w:pPr>
            <w:r w:rsidRPr="007403A4">
              <w:rPr>
                <w:b/>
                <w:lang w:val="sr-Latn-ME"/>
              </w:rPr>
              <w:t xml:space="preserve">N=601 </w:t>
            </w:r>
          </w:p>
        </w:tc>
      </w:tr>
      <w:tr w:rsidR="00ED7C77" w:rsidRPr="007403A4" w14:paraId="407794C2" w14:textId="77777777" w:rsidTr="006D2C75">
        <w:trPr>
          <w:cantSplit/>
        </w:trPr>
        <w:tc>
          <w:tcPr>
            <w:tcW w:w="3557" w:type="dxa"/>
            <w:tcBorders>
              <w:top w:val="single" w:sz="4" w:space="0" w:color="auto"/>
              <w:left w:val="single" w:sz="4" w:space="0" w:color="auto"/>
              <w:bottom w:val="single" w:sz="4" w:space="0" w:color="auto"/>
              <w:right w:val="single" w:sz="4" w:space="0" w:color="auto"/>
            </w:tcBorders>
            <w:vAlign w:val="bottom"/>
          </w:tcPr>
          <w:p w14:paraId="52578B74" w14:textId="77777777" w:rsidR="00ED7C77" w:rsidRPr="007403A4" w:rsidRDefault="00ED7C77" w:rsidP="004D3AD0">
            <w:pPr>
              <w:keepLines/>
              <w:spacing w:before="50" w:after="50" w:line="240" w:lineRule="exact"/>
              <w:ind w:right="28"/>
              <w:jc w:val="both"/>
              <w:rPr>
                <w:b/>
                <w:i/>
                <w:lang w:val="sr-Latn-ME"/>
              </w:rPr>
            </w:pPr>
          </w:p>
        </w:tc>
        <w:tc>
          <w:tcPr>
            <w:tcW w:w="2544" w:type="dxa"/>
            <w:tcBorders>
              <w:top w:val="single" w:sz="4" w:space="0" w:color="auto"/>
              <w:left w:val="single" w:sz="4" w:space="0" w:color="auto"/>
              <w:bottom w:val="single" w:sz="4" w:space="0" w:color="auto"/>
              <w:right w:val="single" w:sz="4" w:space="0" w:color="auto"/>
            </w:tcBorders>
          </w:tcPr>
          <w:p w14:paraId="038DD3C9" w14:textId="4D63A64A" w:rsidR="00ED7C77" w:rsidRPr="007403A4" w:rsidRDefault="00ED7C77" w:rsidP="00C95059">
            <w:pPr>
              <w:keepNext/>
              <w:keepLines/>
              <w:spacing w:before="50" w:after="50" w:line="240" w:lineRule="exact"/>
              <w:ind w:right="28"/>
              <w:jc w:val="both"/>
              <w:rPr>
                <w:b/>
                <w:i/>
                <w:lang w:val="sr-Latn-ME"/>
              </w:rPr>
            </w:pPr>
          </w:p>
        </w:tc>
        <w:tc>
          <w:tcPr>
            <w:tcW w:w="2483" w:type="dxa"/>
            <w:tcBorders>
              <w:top w:val="single" w:sz="4" w:space="0" w:color="auto"/>
              <w:left w:val="single" w:sz="4" w:space="0" w:color="auto"/>
              <w:bottom w:val="single" w:sz="4" w:space="0" w:color="auto"/>
              <w:right w:val="single" w:sz="4" w:space="0" w:color="auto"/>
            </w:tcBorders>
            <w:vAlign w:val="bottom"/>
          </w:tcPr>
          <w:p w14:paraId="7302760C" w14:textId="2FECC961" w:rsidR="00ED7C77" w:rsidRPr="007403A4" w:rsidRDefault="00ED7C77" w:rsidP="00C95059">
            <w:pPr>
              <w:keepNext/>
              <w:keepLines/>
              <w:spacing w:before="50" w:after="50" w:line="240" w:lineRule="exact"/>
              <w:ind w:right="28"/>
              <w:jc w:val="both"/>
              <w:rPr>
                <w:b/>
                <w:i/>
                <w:lang w:val="sr-Latn-ME"/>
              </w:rPr>
            </w:pPr>
          </w:p>
        </w:tc>
      </w:tr>
      <w:tr w:rsidR="00ED7C77" w:rsidRPr="007403A4" w14:paraId="2AB4E569" w14:textId="77777777" w:rsidTr="006D2C75">
        <w:trPr>
          <w:cantSplit/>
        </w:trPr>
        <w:tc>
          <w:tcPr>
            <w:tcW w:w="3557" w:type="dxa"/>
            <w:tcBorders>
              <w:top w:val="single" w:sz="4" w:space="0" w:color="auto"/>
              <w:left w:val="single" w:sz="4" w:space="0" w:color="auto"/>
              <w:bottom w:val="single" w:sz="4" w:space="0" w:color="auto"/>
              <w:right w:val="single" w:sz="4" w:space="0" w:color="auto"/>
            </w:tcBorders>
            <w:vAlign w:val="bottom"/>
          </w:tcPr>
          <w:p w14:paraId="4692AD9E" w14:textId="77777777" w:rsidR="00ED7C77" w:rsidRPr="007403A4" w:rsidRDefault="00ED7C77" w:rsidP="004D3AD0">
            <w:pPr>
              <w:keepLines/>
              <w:spacing w:before="50" w:after="50" w:line="240" w:lineRule="exact"/>
              <w:ind w:right="28"/>
              <w:jc w:val="both"/>
              <w:rPr>
                <w:b/>
                <w:i/>
                <w:lang w:val="sr-Latn-ME"/>
              </w:rPr>
            </w:pPr>
            <w:r w:rsidRPr="007403A4">
              <w:rPr>
                <w:b/>
                <w:i/>
                <w:lang w:val="sr-Latn-ME"/>
              </w:rPr>
              <w:t>Primarna mjera ishoda</w:t>
            </w:r>
          </w:p>
        </w:tc>
        <w:tc>
          <w:tcPr>
            <w:tcW w:w="5027" w:type="dxa"/>
            <w:gridSpan w:val="2"/>
            <w:tcBorders>
              <w:top w:val="single" w:sz="4" w:space="0" w:color="auto"/>
              <w:left w:val="single" w:sz="4" w:space="0" w:color="auto"/>
              <w:bottom w:val="single" w:sz="4" w:space="0" w:color="auto"/>
              <w:right w:val="single" w:sz="4" w:space="0" w:color="auto"/>
            </w:tcBorders>
            <w:vAlign w:val="bottom"/>
          </w:tcPr>
          <w:p w14:paraId="041B69C2" w14:textId="77777777" w:rsidR="00ED7C77" w:rsidRPr="007403A4" w:rsidRDefault="00ED7C77" w:rsidP="004D3AD0">
            <w:pPr>
              <w:keepNext/>
              <w:keepLines/>
              <w:spacing w:before="50" w:after="50" w:line="240" w:lineRule="exact"/>
              <w:ind w:right="28"/>
              <w:jc w:val="both"/>
              <w:rPr>
                <w:b/>
                <w:i/>
                <w:lang w:val="sr-Latn-ME"/>
              </w:rPr>
            </w:pPr>
          </w:p>
        </w:tc>
      </w:tr>
      <w:tr w:rsidR="00ED7C77" w:rsidRPr="007403A4" w14:paraId="26514370" w14:textId="77777777" w:rsidTr="006D2C75">
        <w:trPr>
          <w:cantSplit/>
        </w:trPr>
        <w:tc>
          <w:tcPr>
            <w:tcW w:w="3557" w:type="dxa"/>
            <w:tcBorders>
              <w:top w:val="single" w:sz="4" w:space="0" w:color="auto"/>
              <w:left w:val="single" w:sz="4" w:space="0" w:color="auto"/>
              <w:bottom w:val="nil"/>
              <w:right w:val="single" w:sz="4" w:space="0" w:color="auto"/>
            </w:tcBorders>
            <w:vAlign w:val="bottom"/>
          </w:tcPr>
          <w:p w14:paraId="78D1ADE1" w14:textId="77777777" w:rsidR="00ED7C77" w:rsidRPr="007403A4" w:rsidRDefault="00ED7C77" w:rsidP="00C95059">
            <w:pPr>
              <w:keepLines/>
              <w:spacing w:before="50" w:after="50" w:line="240" w:lineRule="exact"/>
              <w:ind w:right="28"/>
              <w:jc w:val="both"/>
              <w:rPr>
                <w:b/>
                <w:vertAlign w:val="superscript"/>
                <w:lang w:val="sr-Latn-ME"/>
              </w:rPr>
            </w:pPr>
            <w:r w:rsidRPr="007403A4">
              <w:rPr>
                <w:b/>
                <w:lang w:val="sr-Latn-ME"/>
              </w:rPr>
              <w:t>PFS prema ocjeni ispitivača</w:t>
            </w:r>
            <w:r w:rsidRPr="007403A4">
              <w:rPr>
                <w:vertAlign w:val="superscript"/>
                <w:lang w:val="sr-Latn-ME"/>
              </w:rPr>
              <w:t>§</w:t>
            </w:r>
            <w:r w:rsidRPr="007403A4" w:rsidDel="007D3FF6">
              <w:rPr>
                <w:b/>
                <w:vertAlign w:val="superscript"/>
                <w:lang w:val="sr-Latn-ME"/>
              </w:rPr>
              <w:t xml:space="preserve"> </w:t>
            </w:r>
          </w:p>
        </w:tc>
        <w:tc>
          <w:tcPr>
            <w:tcW w:w="5027" w:type="dxa"/>
            <w:gridSpan w:val="2"/>
            <w:tcBorders>
              <w:top w:val="single" w:sz="4" w:space="0" w:color="auto"/>
              <w:left w:val="single" w:sz="4" w:space="0" w:color="auto"/>
              <w:right w:val="single" w:sz="4" w:space="0" w:color="auto"/>
            </w:tcBorders>
            <w:vAlign w:val="bottom"/>
          </w:tcPr>
          <w:p w14:paraId="1F088E8C" w14:textId="77777777" w:rsidR="00ED7C77" w:rsidRPr="007403A4" w:rsidRDefault="00ED7C77" w:rsidP="004D3AD0">
            <w:pPr>
              <w:keepNext/>
              <w:keepLines/>
              <w:spacing w:before="50" w:after="50" w:line="240" w:lineRule="exact"/>
              <w:ind w:right="28"/>
              <w:jc w:val="center"/>
              <w:rPr>
                <w:rFonts w:eastAsia="MS Mincho"/>
                <w:lang w:val="sr-Latn-ME"/>
              </w:rPr>
            </w:pPr>
          </w:p>
        </w:tc>
      </w:tr>
      <w:tr w:rsidR="00ED7C77" w:rsidRPr="007403A4" w14:paraId="11619A7C" w14:textId="77777777" w:rsidTr="006D2C75">
        <w:trPr>
          <w:cantSplit/>
        </w:trPr>
        <w:tc>
          <w:tcPr>
            <w:tcW w:w="3557" w:type="dxa"/>
            <w:tcBorders>
              <w:top w:val="nil"/>
              <w:left w:val="single" w:sz="4" w:space="0" w:color="auto"/>
              <w:bottom w:val="nil"/>
              <w:right w:val="single" w:sz="4" w:space="0" w:color="auto"/>
            </w:tcBorders>
            <w:vAlign w:val="bottom"/>
          </w:tcPr>
          <w:p w14:paraId="1032B7D2" w14:textId="15699C23" w:rsidR="00371411" w:rsidRPr="007403A4" w:rsidRDefault="00371411" w:rsidP="00C95059">
            <w:pPr>
              <w:keepLines/>
              <w:spacing w:before="50" w:after="50" w:line="240" w:lineRule="exact"/>
              <w:ind w:right="28"/>
              <w:jc w:val="both"/>
              <w:rPr>
                <w:b/>
                <w:lang w:val="sr-Latn-ME"/>
              </w:rPr>
            </w:pPr>
            <w:r w:rsidRPr="007403A4">
              <w:rPr>
                <w:b/>
                <w:lang w:val="sr-Latn-ME"/>
              </w:rPr>
              <w:lastRenderedPageBreak/>
              <w:t>primarna analiza</w:t>
            </w:r>
          </w:p>
          <w:p w14:paraId="1694EA78" w14:textId="381EC9DB" w:rsidR="00ED7C77" w:rsidRPr="007403A4" w:rsidRDefault="00ED7C77" w:rsidP="00C95059">
            <w:pPr>
              <w:keepLines/>
              <w:spacing w:before="50" w:after="50" w:line="240" w:lineRule="exact"/>
              <w:ind w:right="28"/>
              <w:jc w:val="both"/>
              <w:rPr>
                <w:lang w:val="sr-Latn-ME"/>
              </w:rPr>
            </w:pPr>
            <w:r w:rsidRPr="007403A4">
              <w:rPr>
                <w:lang w:val="sr-Latn-ME"/>
              </w:rPr>
              <w:t xml:space="preserve">Broj (%) pacijenata sa događajem </w:t>
            </w:r>
          </w:p>
        </w:tc>
        <w:tc>
          <w:tcPr>
            <w:tcW w:w="2544" w:type="dxa"/>
            <w:tcBorders>
              <w:left w:val="single" w:sz="4" w:space="0" w:color="auto"/>
            </w:tcBorders>
            <w:vAlign w:val="bottom"/>
          </w:tcPr>
          <w:p w14:paraId="69F3BBB5" w14:textId="77777777" w:rsidR="00ED7C77" w:rsidRPr="007403A4" w:rsidRDefault="00ED7C77" w:rsidP="004D3AD0">
            <w:pPr>
              <w:keepNext/>
              <w:keepLines/>
              <w:tabs>
                <w:tab w:val="left" w:pos="1840"/>
              </w:tabs>
              <w:spacing w:before="50" w:after="50" w:line="240" w:lineRule="exact"/>
              <w:ind w:right="28"/>
              <w:jc w:val="center"/>
              <w:rPr>
                <w:lang w:val="sr-Latn-ME"/>
              </w:rPr>
            </w:pPr>
            <w:r w:rsidRPr="007403A4">
              <w:rPr>
                <w:lang w:val="sr-Latn-ME"/>
              </w:rPr>
              <w:t>144 (24,0%)</w:t>
            </w:r>
          </w:p>
        </w:tc>
        <w:tc>
          <w:tcPr>
            <w:tcW w:w="2483" w:type="dxa"/>
            <w:tcBorders>
              <w:left w:val="nil"/>
              <w:right w:val="single" w:sz="4" w:space="0" w:color="auto"/>
            </w:tcBorders>
            <w:vAlign w:val="bottom"/>
          </w:tcPr>
          <w:p w14:paraId="4674FED9" w14:textId="77777777" w:rsidR="00ED7C77" w:rsidRPr="007403A4" w:rsidRDefault="00ED7C77">
            <w:pPr>
              <w:keepNext/>
              <w:keepLines/>
              <w:spacing w:before="50" w:after="50" w:line="240" w:lineRule="exact"/>
              <w:ind w:right="28"/>
              <w:jc w:val="center"/>
              <w:rPr>
                <w:lang w:val="sr-Latn-ME"/>
              </w:rPr>
            </w:pPr>
            <w:r w:rsidRPr="007403A4">
              <w:rPr>
                <w:lang w:val="sr-Latn-ME"/>
              </w:rPr>
              <w:t>101 (16,8%)</w:t>
            </w:r>
          </w:p>
        </w:tc>
      </w:tr>
      <w:tr w:rsidR="00ED7C77" w:rsidRPr="007403A4" w14:paraId="7EF53761" w14:textId="77777777" w:rsidTr="006D2C75">
        <w:trPr>
          <w:cantSplit/>
        </w:trPr>
        <w:tc>
          <w:tcPr>
            <w:tcW w:w="3557" w:type="dxa"/>
            <w:tcBorders>
              <w:top w:val="nil"/>
              <w:left w:val="single" w:sz="4" w:space="0" w:color="auto"/>
              <w:bottom w:val="nil"/>
              <w:right w:val="single" w:sz="4" w:space="0" w:color="auto"/>
            </w:tcBorders>
            <w:vAlign w:val="bottom"/>
          </w:tcPr>
          <w:p w14:paraId="68703DBE" w14:textId="77777777" w:rsidR="00ED7C77" w:rsidRPr="007403A4" w:rsidRDefault="00ED7C77" w:rsidP="00C95059">
            <w:pPr>
              <w:keepLines/>
              <w:spacing w:before="50" w:after="50" w:line="240" w:lineRule="exact"/>
              <w:ind w:right="28"/>
              <w:jc w:val="both"/>
              <w:rPr>
                <w:lang w:val="sr-Latn-ME"/>
              </w:rPr>
            </w:pPr>
            <w:r w:rsidRPr="007403A4">
              <w:rPr>
                <w:lang w:val="sr-Latn-ME"/>
              </w:rPr>
              <w:t>HR [95% CI]</w:t>
            </w:r>
          </w:p>
        </w:tc>
        <w:tc>
          <w:tcPr>
            <w:tcW w:w="5027" w:type="dxa"/>
            <w:gridSpan w:val="2"/>
            <w:tcBorders>
              <w:left w:val="single" w:sz="4" w:space="0" w:color="auto"/>
              <w:right w:val="single" w:sz="4" w:space="0" w:color="auto"/>
            </w:tcBorders>
            <w:vAlign w:val="bottom"/>
          </w:tcPr>
          <w:p w14:paraId="34FD92CB"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0,66 [0,51; 0,85]</w:t>
            </w:r>
          </w:p>
        </w:tc>
      </w:tr>
      <w:tr w:rsidR="00ED7C77" w:rsidRPr="007403A4" w14:paraId="6E80A7E8" w14:textId="77777777" w:rsidTr="006D2C75">
        <w:trPr>
          <w:cantSplit/>
        </w:trPr>
        <w:tc>
          <w:tcPr>
            <w:tcW w:w="3557" w:type="dxa"/>
            <w:tcBorders>
              <w:top w:val="nil"/>
              <w:left w:val="single" w:sz="4" w:space="0" w:color="auto"/>
              <w:bottom w:val="nil"/>
              <w:right w:val="single" w:sz="4" w:space="0" w:color="auto"/>
            </w:tcBorders>
            <w:vAlign w:val="bottom"/>
          </w:tcPr>
          <w:p w14:paraId="205A88F0" w14:textId="4F4E52AD" w:rsidR="00ED7C77" w:rsidRPr="007403A4" w:rsidRDefault="00ED7C77" w:rsidP="00C95059">
            <w:pPr>
              <w:keepLines/>
              <w:spacing w:before="50" w:after="50" w:line="240" w:lineRule="exact"/>
              <w:ind w:right="28"/>
              <w:jc w:val="both"/>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5027" w:type="dxa"/>
            <w:gridSpan w:val="2"/>
            <w:tcBorders>
              <w:left w:val="single" w:sz="4" w:space="0" w:color="auto"/>
              <w:right w:val="single" w:sz="4" w:space="0" w:color="auto"/>
            </w:tcBorders>
            <w:vAlign w:val="bottom"/>
          </w:tcPr>
          <w:p w14:paraId="4C442D0A"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0,0012</w:t>
            </w:r>
          </w:p>
        </w:tc>
      </w:tr>
      <w:tr w:rsidR="00ED7C77" w:rsidRPr="007403A4" w14:paraId="4A847D58" w14:textId="77777777" w:rsidTr="006D2C75">
        <w:trPr>
          <w:cantSplit/>
        </w:trPr>
        <w:tc>
          <w:tcPr>
            <w:tcW w:w="3557" w:type="dxa"/>
            <w:tcBorders>
              <w:top w:val="nil"/>
              <w:left w:val="single" w:sz="4" w:space="0" w:color="auto"/>
              <w:bottom w:val="nil"/>
              <w:right w:val="single" w:sz="4" w:space="0" w:color="auto"/>
            </w:tcBorders>
            <w:vAlign w:val="bottom"/>
          </w:tcPr>
          <w:p w14:paraId="58B64FDD" w14:textId="77777777" w:rsidR="00ED7C77" w:rsidRPr="007403A4" w:rsidRDefault="00ED7C77" w:rsidP="00C95059">
            <w:pPr>
              <w:keepLines/>
              <w:spacing w:before="50" w:after="50" w:line="240" w:lineRule="exact"/>
              <w:ind w:right="28"/>
              <w:jc w:val="both"/>
              <w:rPr>
                <w:lang w:val="sr-Latn-ME"/>
              </w:rPr>
            </w:pPr>
            <w:r w:rsidRPr="007403A4">
              <w:rPr>
                <w:lang w:val="sr-Latn-ME"/>
              </w:rPr>
              <w:t>Procijenjeni 3</w:t>
            </w:r>
            <w:r w:rsidRPr="007403A4">
              <w:rPr>
                <w:lang w:val="sr-Latn-ME"/>
              </w:rPr>
              <w:noBreakHyphen/>
              <w:t>godišnji PFS</w:t>
            </w:r>
            <w:r w:rsidRPr="007403A4">
              <w:rPr>
                <w:lang w:val="sr-Latn-ME"/>
              </w:rPr>
              <w:br/>
              <w:t>[95% CI]</w:t>
            </w:r>
          </w:p>
        </w:tc>
        <w:tc>
          <w:tcPr>
            <w:tcW w:w="2544" w:type="dxa"/>
            <w:tcBorders>
              <w:left w:val="single" w:sz="4" w:space="0" w:color="auto"/>
            </w:tcBorders>
            <w:vAlign w:val="bottom"/>
          </w:tcPr>
          <w:p w14:paraId="6522B05E"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 xml:space="preserve">73,3 </w:t>
            </w:r>
            <w:r w:rsidRPr="007403A4">
              <w:rPr>
                <w:lang w:val="sr-Latn-ME"/>
              </w:rPr>
              <w:br/>
              <w:t>[68,8; 77,2]</w:t>
            </w:r>
          </w:p>
        </w:tc>
        <w:tc>
          <w:tcPr>
            <w:tcW w:w="2483" w:type="dxa"/>
            <w:tcBorders>
              <w:left w:val="nil"/>
              <w:right w:val="single" w:sz="4" w:space="0" w:color="auto"/>
            </w:tcBorders>
            <w:vAlign w:val="bottom"/>
          </w:tcPr>
          <w:p w14:paraId="7ED4F33E" w14:textId="77777777" w:rsidR="00ED7C77" w:rsidRPr="007403A4" w:rsidRDefault="00ED7C77">
            <w:pPr>
              <w:keepNext/>
              <w:keepLines/>
              <w:spacing w:before="50" w:after="50" w:line="240" w:lineRule="exact"/>
              <w:ind w:right="28"/>
              <w:jc w:val="center"/>
              <w:rPr>
                <w:lang w:val="sr-Latn-ME"/>
              </w:rPr>
            </w:pPr>
            <w:r w:rsidRPr="007403A4">
              <w:rPr>
                <w:lang w:val="sr-Latn-ME"/>
              </w:rPr>
              <w:t>80,0</w:t>
            </w:r>
            <w:r w:rsidRPr="007403A4">
              <w:rPr>
                <w:lang w:val="sr-Latn-ME"/>
              </w:rPr>
              <w:br/>
              <w:t>[75,9; 83,6]</w:t>
            </w:r>
          </w:p>
        </w:tc>
      </w:tr>
      <w:tr w:rsidR="00371411" w:rsidRPr="007403A4" w14:paraId="690D22C8" w14:textId="77777777" w:rsidTr="006D2C75">
        <w:trPr>
          <w:cantSplit/>
        </w:trPr>
        <w:tc>
          <w:tcPr>
            <w:tcW w:w="3557" w:type="dxa"/>
            <w:tcBorders>
              <w:left w:val="single" w:sz="4" w:space="0" w:color="auto"/>
              <w:right w:val="single" w:sz="4" w:space="0" w:color="auto"/>
            </w:tcBorders>
            <w:vAlign w:val="bottom"/>
          </w:tcPr>
          <w:p w14:paraId="7382A5B6" w14:textId="67D7157D" w:rsidR="00371411" w:rsidRPr="007403A4" w:rsidRDefault="00371411" w:rsidP="00C95059">
            <w:pPr>
              <w:keepNext/>
              <w:keepLines/>
              <w:spacing w:before="50" w:after="50" w:line="240" w:lineRule="exact"/>
              <w:ind w:right="294"/>
              <w:jc w:val="both"/>
              <w:rPr>
                <w:sz w:val="22"/>
                <w:szCs w:val="22"/>
                <w:lang w:val="sr-Latn-ME"/>
              </w:rPr>
            </w:pPr>
            <w:r w:rsidRPr="007403A4">
              <w:rPr>
                <w:b/>
                <w:sz w:val="22"/>
                <w:szCs w:val="22"/>
                <w:lang w:val="sr-Latn-ME"/>
              </w:rPr>
              <w:t xml:space="preserve">PFS prema oceni </w:t>
            </w:r>
            <w:r w:rsidRPr="007403A4">
              <w:rPr>
                <w:b/>
                <w:szCs w:val="22"/>
                <w:lang w:val="sr-Latn-ME" w:eastAsia="ja-JP"/>
              </w:rPr>
              <w:t>ispitivača</w:t>
            </w:r>
            <w:r w:rsidRPr="007403A4">
              <w:rPr>
                <w:b/>
                <w:szCs w:val="22"/>
                <w:lang w:val="sr-Latn-ME"/>
              </w:rPr>
              <w:t xml:space="preserve"> </w:t>
            </w:r>
            <w:r w:rsidRPr="007403A4">
              <w:rPr>
                <w:b/>
                <w:sz w:val="22"/>
                <w:szCs w:val="22"/>
                <w:lang w:val="sr-Latn-ME"/>
              </w:rPr>
              <w:t>- završna analiza</w:t>
            </w:r>
            <w:r w:rsidRPr="007403A4">
              <w:rPr>
                <w:b/>
                <w:sz w:val="22"/>
                <w:szCs w:val="22"/>
                <w:vertAlign w:val="superscript"/>
                <w:lang w:val="sr-Latn-ME"/>
              </w:rPr>
              <w:t>§§</w:t>
            </w:r>
          </w:p>
        </w:tc>
        <w:tc>
          <w:tcPr>
            <w:tcW w:w="2544" w:type="dxa"/>
            <w:tcBorders>
              <w:left w:val="single" w:sz="4" w:space="0" w:color="auto"/>
            </w:tcBorders>
            <w:vAlign w:val="bottom"/>
          </w:tcPr>
          <w:p w14:paraId="761C20FD" w14:textId="77777777" w:rsidR="00371411" w:rsidRPr="007403A4" w:rsidRDefault="00371411" w:rsidP="004D3AD0">
            <w:pPr>
              <w:keepNext/>
              <w:keepLines/>
              <w:spacing w:before="50" w:after="50" w:line="240" w:lineRule="exact"/>
              <w:jc w:val="center"/>
              <w:rPr>
                <w:sz w:val="22"/>
                <w:szCs w:val="22"/>
                <w:lang w:val="sr-Latn-ME"/>
              </w:rPr>
            </w:pPr>
          </w:p>
        </w:tc>
        <w:tc>
          <w:tcPr>
            <w:tcW w:w="2483" w:type="dxa"/>
            <w:tcBorders>
              <w:right w:val="single" w:sz="4" w:space="0" w:color="auto"/>
            </w:tcBorders>
            <w:vAlign w:val="bottom"/>
          </w:tcPr>
          <w:p w14:paraId="302A7D14" w14:textId="77777777" w:rsidR="00371411" w:rsidRPr="007403A4" w:rsidRDefault="00371411">
            <w:pPr>
              <w:keepNext/>
              <w:keepLines/>
              <w:spacing w:before="50" w:after="50" w:line="240" w:lineRule="exact"/>
              <w:jc w:val="center"/>
              <w:rPr>
                <w:sz w:val="22"/>
                <w:szCs w:val="22"/>
                <w:lang w:val="sr-Latn-ME"/>
              </w:rPr>
            </w:pPr>
          </w:p>
        </w:tc>
      </w:tr>
      <w:tr w:rsidR="00371411" w:rsidRPr="007403A4" w14:paraId="40007B80" w14:textId="77777777" w:rsidTr="006D2C75">
        <w:trPr>
          <w:cantSplit/>
        </w:trPr>
        <w:tc>
          <w:tcPr>
            <w:tcW w:w="3557" w:type="dxa"/>
            <w:tcBorders>
              <w:left w:val="single" w:sz="4" w:space="0" w:color="auto"/>
              <w:right w:val="single" w:sz="4" w:space="0" w:color="auto"/>
            </w:tcBorders>
            <w:vAlign w:val="bottom"/>
          </w:tcPr>
          <w:p w14:paraId="37FC4D8A" w14:textId="77777777" w:rsidR="00371411" w:rsidRPr="007403A4" w:rsidRDefault="00371411" w:rsidP="00C95059">
            <w:pPr>
              <w:keepLines/>
              <w:spacing w:before="50" w:after="50" w:line="240" w:lineRule="exact"/>
              <w:ind w:left="226"/>
              <w:jc w:val="both"/>
              <w:rPr>
                <w:b/>
                <w:sz w:val="22"/>
                <w:szCs w:val="22"/>
                <w:lang w:val="sr-Latn-ME"/>
              </w:rPr>
            </w:pPr>
            <w:r w:rsidRPr="007403A4">
              <w:rPr>
                <w:sz w:val="22"/>
                <w:szCs w:val="22"/>
                <w:lang w:val="sr-Latn-ME"/>
              </w:rPr>
              <w:t xml:space="preserve">Broj (%) pacijenata  sa događajem </w:t>
            </w:r>
          </w:p>
        </w:tc>
        <w:tc>
          <w:tcPr>
            <w:tcW w:w="2544" w:type="dxa"/>
            <w:tcBorders>
              <w:left w:val="single" w:sz="4" w:space="0" w:color="auto"/>
            </w:tcBorders>
            <w:vAlign w:val="bottom"/>
          </w:tcPr>
          <w:p w14:paraId="65377CC6"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244 (40,6%)</w:t>
            </w:r>
          </w:p>
        </w:tc>
        <w:tc>
          <w:tcPr>
            <w:tcW w:w="2483" w:type="dxa"/>
            <w:tcBorders>
              <w:right w:val="single" w:sz="4" w:space="0" w:color="auto"/>
            </w:tcBorders>
            <w:vAlign w:val="bottom"/>
          </w:tcPr>
          <w:p w14:paraId="1CBAA960"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206 (34,3%)</w:t>
            </w:r>
          </w:p>
        </w:tc>
      </w:tr>
      <w:tr w:rsidR="00371411" w:rsidRPr="007403A4" w14:paraId="605494D6" w14:textId="77777777" w:rsidTr="006D2C75">
        <w:trPr>
          <w:cantSplit/>
        </w:trPr>
        <w:tc>
          <w:tcPr>
            <w:tcW w:w="3557" w:type="dxa"/>
            <w:tcBorders>
              <w:top w:val="nil"/>
              <w:left w:val="single" w:sz="4" w:space="0" w:color="auto"/>
              <w:right w:val="single" w:sz="4" w:space="0" w:color="auto"/>
            </w:tcBorders>
            <w:vAlign w:val="bottom"/>
          </w:tcPr>
          <w:p w14:paraId="6D8EBD1B" w14:textId="6829E9FC" w:rsidR="00371411" w:rsidRPr="007403A4" w:rsidRDefault="00371411" w:rsidP="00C95059">
            <w:pPr>
              <w:keepLines/>
              <w:spacing w:before="50" w:after="50" w:line="240" w:lineRule="exact"/>
              <w:ind w:left="226"/>
              <w:jc w:val="both"/>
              <w:rPr>
                <w:b/>
                <w:sz w:val="22"/>
                <w:szCs w:val="22"/>
                <w:lang w:val="sr-Latn-ME"/>
              </w:rPr>
            </w:pPr>
            <w:r w:rsidRPr="007403A4">
              <w:rPr>
                <w:sz w:val="22"/>
                <w:szCs w:val="22"/>
                <w:lang w:val="sr-Latn-ME"/>
              </w:rPr>
              <w:t xml:space="preserve">HR [95% </w:t>
            </w:r>
            <w:r w:rsidRPr="007403A4">
              <w:rPr>
                <w:szCs w:val="22"/>
                <w:lang w:val="sr-Latn-ME"/>
              </w:rPr>
              <w:t>CI</w:t>
            </w:r>
            <w:r w:rsidRPr="007403A4">
              <w:rPr>
                <w:sz w:val="22"/>
                <w:szCs w:val="22"/>
                <w:lang w:val="sr-Latn-ME"/>
              </w:rPr>
              <w:t>]</w:t>
            </w:r>
          </w:p>
        </w:tc>
        <w:tc>
          <w:tcPr>
            <w:tcW w:w="5027" w:type="dxa"/>
            <w:gridSpan w:val="2"/>
            <w:tcBorders>
              <w:left w:val="single" w:sz="4" w:space="0" w:color="auto"/>
              <w:right w:val="single" w:sz="4" w:space="0" w:color="auto"/>
            </w:tcBorders>
            <w:vAlign w:val="bottom"/>
          </w:tcPr>
          <w:p w14:paraId="17F9AC52"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0,77 [0,64; 0,93]</w:t>
            </w:r>
          </w:p>
        </w:tc>
      </w:tr>
      <w:tr w:rsidR="00371411" w:rsidRPr="007403A4" w14:paraId="1750048D" w14:textId="77777777" w:rsidTr="006D2C75">
        <w:trPr>
          <w:cantSplit/>
        </w:trPr>
        <w:tc>
          <w:tcPr>
            <w:tcW w:w="3557" w:type="dxa"/>
            <w:tcBorders>
              <w:left w:val="single" w:sz="4" w:space="0" w:color="auto"/>
              <w:right w:val="single" w:sz="4" w:space="0" w:color="auto"/>
            </w:tcBorders>
            <w:vAlign w:val="bottom"/>
          </w:tcPr>
          <w:p w14:paraId="27DEC7C9" w14:textId="0AC6897F" w:rsidR="00371411" w:rsidRPr="007403A4" w:rsidRDefault="00371411" w:rsidP="00C95059">
            <w:pPr>
              <w:keepLines/>
              <w:spacing w:before="50" w:after="50" w:line="240" w:lineRule="exact"/>
              <w:ind w:left="226"/>
              <w:jc w:val="both"/>
              <w:rPr>
                <w:b/>
                <w:sz w:val="22"/>
                <w:szCs w:val="22"/>
                <w:lang w:val="sr-Latn-ME"/>
              </w:rPr>
            </w:pPr>
            <w:r w:rsidRPr="007403A4">
              <w:rPr>
                <w:sz w:val="22"/>
                <w:szCs w:val="22"/>
                <w:lang w:val="sr-Latn-ME"/>
              </w:rPr>
              <w:t>p</w:t>
            </w:r>
            <w:r w:rsidRPr="007403A4">
              <w:rPr>
                <w:sz w:val="22"/>
                <w:szCs w:val="22"/>
                <w:lang w:val="sr-Latn-ME"/>
              </w:rPr>
              <w:noBreakHyphen/>
              <w:t>vrijednost (log</w:t>
            </w:r>
            <w:r w:rsidRPr="007403A4">
              <w:rPr>
                <w:sz w:val="22"/>
                <w:szCs w:val="22"/>
                <w:lang w:val="sr-Latn-ME"/>
              </w:rPr>
              <w:noBreakHyphen/>
              <w:t xml:space="preserve">rang test, </w:t>
            </w:r>
            <w:r w:rsidR="00942B09" w:rsidRPr="007403A4">
              <w:rPr>
                <w:sz w:val="22"/>
                <w:szCs w:val="22"/>
                <w:lang w:val="sr-Latn-ME"/>
              </w:rPr>
              <w:t>stratifikovan</w:t>
            </w:r>
            <w:r w:rsidRPr="007403A4">
              <w:rPr>
                <w:sz w:val="22"/>
                <w:szCs w:val="22"/>
                <w:lang w:val="sr-Latn-ME"/>
              </w:rPr>
              <w:t>*)</w:t>
            </w:r>
          </w:p>
        </w:tc>
        <w:tc>
          <w:tcPr>
            <w:tcW w:w="5027" w:type="dxa"/>
            <w:gridSpan w:val="2"/>
            <w:tcBorders>
              <w:left w:val="single" w:sz="4" w:space="0" w:color="auto"/>
              <w:right w:val="single" w:sz="4" w:space="0" w:color="auto"/>
            </w:tcBorders>
            <w:vAlign w:val="bottom"/>
          </w:tcPr>
          <w:p w14:paraId="28A32F08"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0,0055</w:t>
            </w:r>
          </w:p>
        </w:tc>
      </w:tr>
      <w:tr w:rsidR="00371411" w:rsidRPr="007403A4" w14:paraId="3ED87A3C" w14:textId="77777777" w:rsidTr="006D2C75">
        <w:trPr>
          <w:cantSplit/>
        </w:trPr>
        <w:tc>
          <w:tcPr>
            <w:tcW w:w="3557" w:type="dxa"/>
            <w:tcBorders>
              <w:top w:val="nil"/>
              <w:left w:val="single" w:sz="4" w:space="0" w:color="auto"/>
              <w:right w:val="single" w:sz="4" w:space="0" w:color="auto"/>
            </w:tcBorders>
            <w:vAlign w:val="bottom"/>
          </w:tcPr>
          <w:p w14:paraId="73CB4300" w14:textId="3B86D1DF" w:rsidR="00371411" w:rsidRPr="007403A4" w:rsidRDefault="00371411" w:rsidP="00C95059">
            <w:pPr>
              <w:keepLines/>
              <w:spacing w:before="50" w:after="50" w:line="240" w:lineRule="exact"/>
              <w:ind w:left="226"/>
              <w:jc w:val="both"/>
              <w:rPr>
                <w:b/>
                <w:sz w:val="22"/>
                <w:szCs w:val="22"/>
                <w:lang w:val="sr-Latn-ME"/>
              </w:rPr>
            </w:pPr>
            <w:r w:rsidRPr="007403A4">
              <w:rPr>
                <w:sz w:val="22"/>
                <w:szCs w:val="22"/>
                <w:lang w:val="sr-Latn-ME"/>
              </w:rPr>
              <w:t>Procijenjeni trogodišnji PFS [%]</w:t>
            </w:r>
            <w:r w:rsidRPr="007403A4">
              <w:rPr>
                <w:sz w:val="22"/>
                <w:szCs w:val="22"/>
                <w:lang w:val="sr-Latn-ME"/>
              </w:rPr>
              <w:br/>
              <w:t>[95% PI]</w:t>
            </w:r>
          </w:p>
        </w:tc>
        <w:tc>
          <w:tcPr>
            <w:tcW w:w="2544" w:type="dxa"/>
            <w:tcBorders>
              <w:left w:val="single" w:sz="4" w:space="0" w:color="auto"/>
            </w:tcBorders>
            <w:vAlign w:val="bottom"/>
          </w:tcPr>
          <w:p w14:paraId="57D65687" w14:textId="77777777" w:rsidR="00371411" w:rsidRPr="007403A4" w:rsidRDefault="00371411" w:rsidP="004D3AD0">
            <w:pPr>
              <w:widowControl w:val="0"/>
              <w:jc w:val="center"/>
              <w:rPr>
                <w:sz w:val="22"/>
                <w:szCs w:val="22"/>
                <w:lang w:val="sr-Latn-ME"/>
              </w:rPr>
            </w:pPr>
            <w:r w:rsidRPr="007403A4">
              <w:rPr>
                <w:sz w:val="22"/>
                <w:szCs w:val="22"/>
                <w:lang w:val="sr-Latn-ME"/>
              </w:rPr>
              <w:t>75,5</w:t>
            </w:r>
          </w:p>
          <w:p w14:paraId="54C258E0"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[71,8; 78,9]</w:t>
            </w:r>
          </w:p>
        </w:tc>
        <w:tc>
          <w:tcPr>
            <w:tcW w:w="2483" w:type="dxa"/>
            <w:tcBorders>
              <w:right w:val="single" w:sz="4" w:space="0" w:color="auto"/>
            </w:tcBorders>
            <w:vAlign w:val="bottom"/>
          </w:tcPr>
          <w:p w14:paraId="3ED86F6D" w14:textId="77777777" w:rsidR="00371411" w:rsidRPr="007403A4" w:rsidRDefault="00371411">
            <w:pPr>
              <w:widowControl w:val="0"/>
              <w:jc w:val="center"/>
              <w:rPr>
                <w:sz w:val="22"/>
                <w:szCs w:val="22"/>
                <w:lang w:val="sr-Latn-ME"/>
              </w:rPr>
            </w:pPr>
            <w:r w:rsidRPr="007403A4">
              <w:rPr>
                <w:sz w:val="22"/>
                <w:szCs w:val="22"/>
                <w:lang w:val="sr-Latn-ME"/>
              </w:rPr>
              <w:t>82,4</w:t>
            </w:r>
          </w:p>
          <w:p w14:paraId="10379193"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[79,0; 85,3]</w:t>
            </w:r>
          </w:p>
        </w:tc>
      </w:tr>
      <w:tr w:rsidR="00371411" w:rsidRPr="007403A4" w14:paraId="321CE310" w14:textId="77777777" w:rsidTr="006D2C75">
        <w:trPr>
          <w:cantSplit/>
        </w:trPr>
        <w:tc>
          <w:tcPr>
            <w:tcW w:w="3557" w:type="dxa"/>
            <w:tcBorders>
              <w:top w:val="nil"/>
              <w:left w:val="single" w:sz="4" w:space="0" w:color="auto"/>
              <w:bottom w:val="single" w:sz="4" w:space="0" w:color="auto"/>
              <w:right w:val="single" w:sz="4" w:space="0" w:color="auto"/>
            </w:tcBorders>
            <w:vAlign w:val="bottom"/>
          </w:tcPr>
          <w:p w14:paraId="11D634BA" w14:textId="77777777" w:rsidR="00371411" w:rsidRPr="007403A4" w:rsidRDefault="00371411" w:rsidP="00C95059">
            <w:pPr>
              <w:keepLines/>
              <w:spacing w:before="50" w:after="50" w:line="240" w:lineRule="exact"/>
              <w:ind w:left="226"/>
              <w:jc w:val="both"/>
              <w:rPr>
                <w:sz w:val="22"/>
                <w:szCs w:val="22"/>
                <w:lang w:val="sr-Latn-ME"/>
              </w:rPr>
            </w:pPr>
            <w:r w:rsidRPr="007403A4">
              <w:rPr>
                <w:sz w:val="22"/>
                <w:szCs w:val="22"/>
                <w:lang w:val="sr-Latn-ME"/>
              </w:rPr>
              <w:t>Procijenjeni sedmogodišnji PFS [%]</w:t>
            </w:r>
            <w:r w:rsidRPr="007403A4">
              <w:rPr>
                <w:sz w:val="22"/>
                <w:szCs w:val="22"/>
                <w:lang w:val="sr-Latn-ME"/>
              </w:rPr>
              <w:br/>
              <w:t>[95% PI]</w:t>
            </w:r>
          </w:p>
        </w:tc>
        <w:tc>
          <w:tcPr>
            <w:tcW w:w="2544" w:type="dxa"/>
            <w:tcBorders>
              <w:left w:val="single" w:sz="4" w:space="0" w:color="auto"/>
              <w:bottom w:val="single" w:sz="4" w:space="0" w:color="auto"/>
            </w:tcBorders>
            <w:vAlign w:val="bottom"/>
          </w:tcPr>
          <w:p w14:paraId="61B190BF" w14:textId="77777777" w:rsidR="00371411" w:rsidRPr="007403A4" w:rsidRDefault="00371411" w:rsidP="004D3AD0">
            <w:pPr>
              <w:widowControl w:val="0"/>
              <w:jc w:val="center"/>
              <w:rPr>
                <w:sz w:val="22"/>
                <w:szCs w:val="22"/>
                <w:lang w:val="sr-Latn-ME"/>
              </w:rPr>
            </w:pPr>
            <w:r w:rsidRPr="007403A4">
              <w:rPr>
                <w:sz w:val="22"/>
                <w:szCs w:val="22"/>
                <w:lang w:val="sr-Latn-ME"/>
              </w:rPr>
              <w:t>55,7</w:t>
            </w:r>
          </w:p>
          <w:p w14:paraId="740ACCAB"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[51,3; 59,9]</w:t>
            </w:r>
          </w:p>
        </w:tc>
        <w:tc>
          <w:tcPr>
            <w:tcW w:w="2483" w:type="dxa"/>
            <w:tcBorders>
              <w:bottom w:val="single" w:sz="4" w:space="0" w:color="auto"/>
              <w:right w:val="single" w:sz="4" w:space="0" w:color="auto"/>
            </w:tcBorders>
            <w:vAlign w:val="bottom"/>
          </w:tcPr>
          <w:p w14:paraId="5D5AC1CB" w14:textId="77777777" w:rsidR="00371411" w:rsidRPr="007403A4" w:rsidRDefault="00371411">
            <w:pPr>
              <w:widowControl w:val="0"/>
              <w:jc w:val="center"/>
              <w:rPr>
                <w:sz w:val="22"/>
                <w:szCs w:val="22"/>
                <w:lang w:val="sr-Latn-ME"/>
              </w:rPr>
            </w:pPr>
            <w:r w:rsidRPr="007403A4">
              <w:rPr>
                <w:sz w:val="22"/>
                <w:szCs w:val="22"/>
                <w:lang w:val="sr-Latn-ME"/>
              </w:rPr>
              <w:t>63,4</w:t>
            </w:r>
          </w:p>
          <w:p w14:paraId="7DC96461"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[59,0; 67,4]</w:t>
            </w:r>
          </w:p>
        </w:tc>
      </w:tr>
      <w:tr w:rsidR="00ED7C77" w:rsidRPr="007403A4" w14:paraId="1E1C96F9" w14:textId="77777777" w:rsidTr="006D2C75">
        <w:trPr>
          <w:cantSplit/>
        </w:trPr>
        <w:tc>
          <w:tcPr>
            <w:tcW w:w="3557" w:type="dxa"/>
            <w:tcBorders>
              <w:top w:val="single" w:sz="4" w:space="0" w:color="auto"/>
              <w:left w:val="single" w:sz="4" w:space="0" w:color="auto"/>
              <w:bottom w:val="single" w:sz="4" w:space="0" w:color="auto"/>
              <w:right w:val="single" w:sz="4" w:space="0" w:color="auto"/>
            </w:tcBorders>
            <w:vAlign w:val="bottom"/>
          </w:tcPr>
          <w:p w14:paraId="57C9817E" w14:textId="77777777" w:rsidR="00ED7C77" w:rsidRPr="007403A4" w:rsidRDefault="00ED7C77" w:rsidP="00C95059">
            <w:pPr>
              <w:keepLines/>
              <w:spacing w:before="50" w:after="50" w:line="240" w:lineRule="exact"/>
              <w:ind w:right="28"/>
              <w:jc w:val="both"/>
              <w:rPr>
                <w:b/>
                <w:i/>
                <w:lang w:val="sr-Latn-ME"/>
              </w:rPr>
            </w:pPr>
            <w:r w:rsidRPr="007403A4">
              <w:rPr>
                <w:b/>
                <w:i/>
                <w:lang w:val="sr-Latn-ME"/>
              </w:rPr>
              <w:t>Ključne mjere ishoda</w:t>
            </w:r>
          </w:p>
        </w:tc>
        <w:tc>
          <w:tcPr>
            <w:tcW w:w="5027" w:type="dxa"/>
            <w:gridSpan w:val="2"/>
            <w:tcBorders>
              <w:top w:val="single" w:sz="4" w:space="0" w:color="auto"/>
              <w:left w:val="single" w:sz="4" w:space="0" w:color="auto"/>
              <w:bottom w:val="single" w:sz="4" w:space="0" w:color="auto"/>
              <w:right w:val="single" w:sz="4" w:space="0" w:color="auto"/>
            </w:tcBorders>
            <w:vAlign w:val="bottom"/>
          </w:tcPr>
          <w:p w14:paraId="6879A785" w14:textId="77777777" w:rsidR="00ED7C77" w:rsidRPr="007403A4" w:rsidRDefault="00ED7C77" w:rsidP="00C95059">
            <w:pPr>
              <w:keepNext/>
              <w:keepLines/>
              <w:spacing w:before="50" w:after="50" w:line="240" w:lineRule="exact"/>
              <w:ind w:right="28"/>
              <w:jc w:val="both"/>
              <w:rPr>
                <w:b/>
                <w:i/>
                <w:lang w:val="sr-Latn-ME"/>
              </w:rPr>
            </w:pPr>
          </w:p>
        </w:tc>
      </w:tr>
      <w:tr w:rsidR="00ED7C77" w:rsidRPr="007403A4" w14:paraId="19287C4E" w14:textId="77777777" w:rsidTr="006D2C75">
        <w:trPr>
          <w:cantSplit/>
        </w:trPr>
        <w:tc>
          <w:tcPr>
            <w:tcW w:w="3557" w:type="dxa"/>
            <w:tcBorders>
              <w:top w:val="single" w:sz="4" w:space="0" w:color="auto"/>
              <w:left w:val="single" w:sz="4" w:space="0" w:color="auto"/>
              <w:bottom w:val="nil"/>
              <w:right w:val="single" w:sz="4" w:space="0" w:color="auto"/>
            </w:tcBorders>
            <w:vAlign w:val="bottom"/>
          </w:tcPr>
          <w:p w14:paraId="49D89963" w14:textId="77777777" w:rsidR="00ED7C77" w:rsidRPr="007403A4" w:rsidRDefault="00ED7C77" w:rsidP="00C95059">
            <w:pPr>
              <w:keepLines/>
              <w:spacing w:before="50" w:after="50" w:line="240" w:lineRule="exact"/>
              <w:ind w:right="28"/>
              <w:jc w:val="both"/>
              <w:rPr>
                <w:b/>
                <w:vertAlign w:val="superscript"/>
                <w:lang w:val="sr-Latn-ME"/>
              </w:rPr>
            </w:pPr>
            <w:r w:rsidRPr="007403A4">
              <w:rPr>
                <w:b/>
                <w:lang w:val="sr-Latn-ME"/>
              </w:rPr>
              <w:t>PFS prema ocjeni nezavisnog ocjenjivačkog  tijela</w:t>
            </w:r>
            <w:r w:rsidRPr="007403A4" w:rsidDel="007D3FF6">
              <w:rPr>
                <w:b/>
                <w:vertAlign w:val="superscript"/>
                <w:lang w:val="sr-Latn-ME"/>
              </w:rPr>
              <w:t xml:space="preserve"> </w:t>
            </w:r>
          </w:p>
        </w:tc>
        <w:tc>
          <w:tcPr>
            <w:tcW w:w="5027" w:type="dxa"/>
            <w:gridSpan w:val="2"/>
            <w:tcBorders>
              <w:top w:val="single" w:sz="4" w:space="0" w:color="auto"/>
              <w:left w:val="single" w:sz="4" w:space="0" w:color="auto"/>
              <w:right w:val="single" w:sz="4" w:space="0" w:color="auto"/>
            </w:tcBorders>
            <w:vAlign w:val="bottom"/>
          </w:tcPr>
          <w:p w14:paraId="15813705" w14:textId="77777777" w:rsidR="00ED7C77" w:rsidRPr="007403A4" w:rsidRDefault="00ED7C77" w:rsidP="004D3AD0">
            <w:pPr>
              <w:keepNext/>
              <w:keepLines/>
              <w:spacing w:before="50" w:after="50" w:line="240" w:lineRule="exact"/>
              <w:ind w:right="28"/>
              <w:jc w:val="center"/>
              <w:rPr>
                <w:rFonts w:eastAsia="MS Mincho"/>
                <w:lang w:val="sr-Latn-ME"/>
              </w:rPr>
            </w:pPr>
          </w:p>
        </w:tc>
      </w:tr>
      <w:tr w:rsidR="00ED7C77" w:rsidRPr="007403A4" w14:paraId="3D13D8EE" w14:textId="77777777" w:rsidTr="006D2C75">
        <w:trPr>
          <w:cantSplit/>
        </w:trPr>
        <w:tc>
          <w:tcPr>
            <w:tcW w:w="3557" w:type="dxa"/>
            <w:tcBorders>
              <w:top w:val="nil"/>
              <w:left w:val="single" w:sz="4" w:space="0" w:color="auto"/>
              <w:bottom w:val="nil"/>
              <w:right w:val="single" w:sz="4" w:space="0" w:color="auto"/>
            </w:tcBorders>
            <w:vAlign w:val="bottom"/>
          </w:tcPr>
          <w:p w14:paraId="394C2407" w14:textId="0EBC9196" w:rsidR="00371411" w:rsidRPr="007403A4" w:rsidRDefault="00371411" w:rsidP="00C95059">
            <w:pPr>
              <w:keepLines/>
              <w:spacing w:before="50" w:after="50" w:line="240" w:lineRule="exact"/>
              <w:ind w:right="28"/>
              <w:jc w:val="both"/>
              <w:rPr>
                <w:b/>
                <w:lang w:val="sr-Latn-ME"/>
              </w:rPr>
            </w:pPr>
            <w:r w:rsidRPr="007403A4">
              <w:rPr>
                <w:b/>
                <w:lang w:val="sr-Latn-ME"/>
              </w:rPr>
              <w:t>primarna analiza</w:t>
            </w:r>
          </w:p>
          <w:p w14:paraId="41358CBC" w14:textId="5404054C" w:rsidR="00ED7C77" w:rsidRPr="007403A4" w:rsidRDefault="00ED7C77" w:rsidP="00C95059">
            <w:pPr>
              <w:keepLines/>
              <w:spacing w:before="50" w:after="50" w:line="240" w:lineRule="exact"/>
              <w:ind w:right="28"/>
              <w:jc w:val="both"/>
              <w:rPr>
                <w:lang w:val="sr-Latn-ME"/>
              </w:rPr>
            </w:pPr>
            <w:r w:rsidRPr="007403A4">
              <w:rPr>
                <w:lang w:val="sr-Latn-ME"/>
              </w:rPr>
              <w:t xml:space="preserve">Broj (%) pacijenata sa događajem </w:t>
            </w:r>
          </w:p>
        </w:tc>
        <w:tc>
          <w:tcPr>
            <w:tcW w:w="2544" w:type="dxa"/>
            <w:tcBorders>
              <w:left w:val="single" w:sz="4" w:space="0" w:color="auto"/>
            </w:tcBorders>
            <w:vAlign w:val="bottom"/>
          </w:tcPr>
          <w:p w14:paraId="3E64DE51" w14:textId="77777777" w:rsidR="00ED7C77" w:rsidRPr="007403A4" w:rsidRDefault="00ED7C77" w:rsidP="004D3AD0">
            <w:pPr>
              <w:keepNext/>
              <w:keepLines/>
              <w:tabs>
                <w:tab w:val="left" w:pos="1840"/>
              </w:tabs>
              <w:spacing w:before="50" w:after="50" w:line="240" w:lineRule="exact"/>
              <w:ind w:right="28"/>
              <w:jc w:val="center"/>
              <w:rPr>
                <w:lang w:val="sr-Latn-ME"/>
              </w:rPr>
            </w:pPr>
            <w:r w:rsidRPr="007403A4">
              <w:rPr>
                <w:lang w:val="sr-Latn-ME"/>
              </w:rPr>
              <w:t>125 (20,8%)</w:t>
            </w:r>
          </w:p>
        </w:tc>
        <w:tc>
          <w:tcPr>
            <w:tcW w:w="2483" w:type="dxa"/>
            <w:tcBorders>
              <w:left w:val="nil"/>
              <w:right w:val="single" w:sz="4" w:space="0" w:color="auto"/>
            </w:tcBorders>
            <w:vAlign w:val="bottom"/>
          </w:tcPr>
          <w:p w14:paraId="3EB190FC" w14:textId="77777777" w:rsidR="00ED7C77" w:rsidRPr="007403A4" w:rsidRDefault="00ED7C77">
            <w:pPr>
              <w:keepNext/>
              <w:keepLines/>
              <w:spacing w:before="50" w:after="50" w:line="240" w:lineRule="exact"/>
              <w:ind w:right="28"/>
              <w:jc w:val="center"/>
              <w:rPr>
                <w:lang w:val="sr-Latn-ME"/>
              </w:rPr>
            </w:pPr>
            <w:r w:rsidRPr="007403A4">
              <w:rPr>
                <w:lang w:val="sr-Latn-ME"/>
              </w:rPr>
              <w:t>93 (15,5%)</w:t>
            </w:r>
          </w:p>
        </w:tc>
      </w:tr>
      <w:tr w:rsidR="00ED7C77" w:rsidRPr="007403A4" w14:paraId="613DAF2D" w14:textId="77777777" w:rsidTr="006D2C75">
        <w:trPr>
          <w:cantSplit/>
        </w:trPr>
        <w:tc>
          <w:tcPr>
            <w:tcW w:w="3557" w:type="dxa"/>
            <w:tcBorders>
              <w:top w:val="nil"/>
              <w:left w:val="single" w:sz="4" w:space="0" w:color="auto"/>
              <w:bottom w:val="nil"/>
              <w:right w:val="single" w:sz="4" w:space="0" w:color="auto"/>
            </w:tcBorders>
            <w:vAlign w:val="bottom"/>
          </w:tcPr>
          <w:p w14:paraId="3D7603F1" w14:textId="77777777" w:rsidR="00ED7C77" w:rsidRPr="007403A4" w:rsidRDefault="00ED7C77" w:rsidP="00C95059">
            <w:pPr>
              <w:keepLines/>
              <w:spacing w:before="50" w:after="50" w:line="240" w:lineRule="exact"/>
              <w:ind w:right="28"/>
              <w:jc w:val="both"/>
              <w:rPr>
                <w:lang w:val="sr-Latn-ME"/>
              </w:rPr>
            </w:pPr>
            <w:r w:rsidRPr="007403A4">
              <w:rPr>
                <w:lang w:val="sr-Latn-ME"/>
              </w:rPr>
              <w:t>HR [95% CI]</w:t>
            </w:r>
          </w:p>
        </w:tc>
        <w:tc>
          <w:tcPr>
            <w:tcW w:w="5027" w:type="dxa"/>
            <w:gridSpan w:val="2"/>
            <w:tcBorders>
              <w:left w:val="single" w:sz="4" w:space="0" w:color="auto"/>
              <w:right w:val="single" w:sz="4" w:space="0" w:color="auto"/>
            </w:tcBorders>
            <w:vAlign w:val="bottom"/>
          </w:tcPr>
          <w:p w14:paraId="73821A73"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0,71 [0,54; 0,93]</w:t>
            </w:r>
          </w:p>
        </w:tc>
      </w:tr>
      <w:tr w:rsidR="00ED7C77" w:rsidRPr="007403A4" w14:paraId="393A26A3" w14:textId="77777777" w:rsidTr="006D2C75">
        <w:trPr>
          <w:cantSplit/>
        </w:trPr>
        <w:tc>
          <w:tcPr>
            <w:tcW w:w="3557" w:type="dxa"/>
            <w:tcBorders>
              <w:top w:val="nil"/>
              <w:left w:val="single" w:sz="4" w:space="0" w:color="auto"/>
              <w:bottom w:val="nil"/>
              <w:right w:val="single" w:sz="4" w:space="0" w:color="auto"/>
            </w:tcBorders>
            <w:vAlign w:val="bottom"/>
          </w:tcPr>
          <w:p w14:paraId="167645DD" w14:textId="7D958E05" w:rsidR="00ED7C77" w:rsidRPr="007403A4" w:rsidRDefault="00ED7C77" w:rsidP="00C95059">
            <w:pPr>
              <w:keepLines/>
              <w:spacing w:before="50" w:after="50" w:line="240" w:lineRule="exact"/>
              <w:ind w:right="28"/>
              <w:jc w:val="both"/>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5027" w:type="dxa"/>
            <w:gridSpan w:val="2"/>
            <w:tcBorders>
              <w:left w:val="single" w:sz="4" w:space="0" w:color="auto"/>
              <w:right w:val="single" w:sz="4" w:space="0" w:color="auto"/>
            </w:tcBorders>
            <w:vAlign w:val="bottom"/>
          </w:tcPr>
          <w:p w14:paraId="5262F412"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0,0138</w:t>
            </w:r>
          </w:p>
        </w:tc>
      </w:tr>
      <w:tr w:rsidR="00ED7C77" w:rsidRPr="007403A4" w14:paraId="294E3B23" w14:textId="77777777" w:rsidTr="006D2C75">
        <w:trPr>
          <w:cantSplit/>
        </w:trPr>
        <w:tc>
          <w:tcPr>
            <w:tcW w:w="3557" w:type="dxa"/>
            <w:tcBorders>
              <w:top w:val="single" w:sz="4" w:space="0" w:color="auto"/>
              <w:left w:val="single" w:sz="4" w:space="0" w:color="auto"/>
              <w:bottom w:val="nil"/>
              <w:right w:val="single" w:sz="4" w:space="0" w:color="auto"/>
            </w:tcBorders>
            <w:vAlign w:val="bottom"/>
          </w:tcPr>
          <w:p w14:paraId="06E91BBA" w14:textId="77777777" w:rsidR="00ED7C77" w:rsidRPr="007403A4" w:rsidRDefault="00ED7C77" w:rsidP="00C95059">
            <w:pPr>
              <w:keepLines/>
              <w:spacing w:before="50" w:after="50" w:line="240" w:lineRule="exact"/>
              <w:ind w:right="28"/>
              <w:jc w:val="both"/>
              <w:rPr>
                <w:b/>
                <w:vertAlign w:val="superscript"/>
                <w:lang w:val="sr-Latn-ME"/>
              </w:rPr>
            </w:pPr>
            <w:r w:rsidRPr="007403A4">
              <w:rPr>
                <w:b/>
                <w:lang w:val="sr-Latn-ME"/>
              </w:rPr>
              <w:t>Vrijeme do sljedeće terapije za liječenje limfoma</w:t>
            </w:r>
            <w:r w:rsidRPr="007403A4" w:rsidDel="007D3FF6">
              <w:rPr>
                <w:b/>
                <w:vertAlign w:val="superscript"/>
                <w:lang w:val="sr-Latn-ME"/>
              </w:rPr>
              <w:t xml:space="preserve"> </w:t>
            </w:r>
            <w:r w:rsidRPr="007403A4">
              <w:rPr>
                <w:b/>
                <w:vertAlign w:val="superscript"/>
                <w:lang w:val="sr-Latn-ME"/>
              </w:rPr>
              <w:t>#</w:t>
            </w:r>
          </w:p>
        </w:tc>
        <w:tc>
          <w:tcPr>
            <w:tcW w:w="5027" w:type="dxa"/>
            <w:gridSpan w:val="2"/>
            <w:tcBorders>
              <w:top w:val="single" w:sz="4" w:space="0" w:color="auto"/>
              <w:left w:val="single" w:sz="4" w:space="0" w:color="auto"/>
              <w:right w:val="single" w:sz="4" w:space="0" w:color="auto"/>
            </w:tcBorders>
            <w:vAlign w:val="bottom"/>
          </w:tcPr>
          <w:p w14:paraId="37D96040" w14:textId="77777777" w:rsidR="00ED7C77" w:rsidRPr="007403A4" w:rsidRDefault="00ED7C77" w:rsidP="004D3AD0">
            <w:pPr>
              <w:keepNext/>
              <w:keepLines/>
              <w:spacing w:before="50" w:after="50" w:line="240" w:lineRule="exact"/>
              <w:ind w:right="28"/>
              <w:jc w:val="center"/>
              <w:rPr>
                <w:rFonts w:eastAsia="MS Mincho"/>
                <w:lang w:val="sr-Latn-ME"/>
              </w:rPr>
            </w:pPr>
          </w:p>
        </w:tc>
      </w:tr>
      <w:tr w:rsidR="00ED7C77" w:rsidRPr="007403A4" w14:paraId="1C2E445D" w14:textId="77777777" w:rsidTr="006D2C75">
        <w:trPr>
          <w:cantSplit/>
        </w:trPr>
        <w:tc>
          <w:tcPr>
            <w:tcW w:w="3557" w:type="dxa"/>
            <w:tcBorders>
              <w:top w:val="nil"/>
              <w:left w:val="single" w:sz="4" w:space="0" w:color="auto"/>
              <w:bottom w:val="nil"/>
              <w:right w:val="single" w:sz="4" w:space="0" w:color="auto"/>
            </w:tcBorders>
            <w:vAlign w:val="bottom"/>
          </w:tcPr>
          <w:p w14:paraId="0233399F" w14:textId="5267F72D" w:rsidR="00371411" w:rsidRPr="007403A4" w:rsidRDefault="00371411" w:rsidP="00C95059">
            <w:pPr>
              <w:keepLines/>
              <w:spacing w:before="50" w:after="50" w:line="240" w:lineRule="exact"/>
              <w:ind w:right="28"/>
              <w:jc w:val="both"/>
              <w:rPr>
                <w:b/>
                <w:lang w:val="sr-Latn-ME"/>
              </w:rPr>
            </w:pPr>
            <w:r w:rsidRPr="007403A4">
              <w:rPr>
                <w:b/>
                <w:lang w:val="sr-Latn-ME"/>
              </w:rPr>
              <w:t>primarna analiza</w:t>
            </w:r>
          </w:p>
          <w:p w14:paraId="393F76EC" w14:textId="2B7D5504" w:rsidR="00ED7C77" w:rsidRPr="007403A4" w:rsidRDefault="00ED7C77" w:rsidP="00C95059">
            <w:pPr>
              <w:keepLines/>
              <w:spacing w:before="50" w:after="50" w:line="240" w:lineRule="exact"/>
              <w:ind w:right="28"/>
              <w:jc w:val="both"/>
              <w:rPr>
                <w:lang w:val="sr-Latn-ME"/>
              </w:rPr>
            </w:pPr>
            <w:r w:rsidRPr="007403A4">
              <w:rPr>
                <w:lang w:val="sr-Latn-ME"/>
              </w:rPr>
              <w:t>Broj (%) pacijenata sa događajem</w:t>
            </w:r>
          </w:p>
        </w:tc>
        <w:tc>
          <w:tcPr>
            <w:tcW w:w="2544" w:type="dxa"/>
            <w:tcBorders>
              <w:left w:val="single" w:sz="4" w:space="0" w:color="auto"/>
            </w:tcBorders>
          </w:tcPr>
          <w:p w14:paraId="718B860F" w14:textId="77777777" w:rsidR="004D3AD0" w:rsidRPr="007403A4" w:rsidRDefault="004D3AD0" w:rsidP="004D3AD0">
            <w:pPr>
              <w:keepNext/>
              <w:keepLines/>
              <w:tabs>
                <w:tab w:val="left" w:pos="1840"/>
              </w:tabs>
              <w:spacing w:before="50" w:after="50" w:line="240" w:lineRule="exact"/>
              <w:ind w:right="28"/>
              <w:jc w:val="center"/>
              <w:rPr>
                <w:lang w:val="sr-Latn-ME"/>
              </w:rPr>
            </w:pPr>
          </w:p>
          <w:p w14:paraId="52C200F8" w14:textId="539761B0" w:rsidR="00ED7C77" w:rsidRPr="007403A4" w:rsidRDefault="00ED7C77">
            <w:pPr>
              <w:keepNext/>
              <w:keepLines/>
              <w:tabs>
                <w:tab w:val="left" w:pos="1840"/>
              </w:tabs>
              <w:spacing w:before="50" w:after="50" w:line="240" w:lineRule="exact"/>
              <w:ind w:right="28"/>
              <w:jc w:val="center"/>
              <w:rPr>
                <w:lang w:val="sr-Latn-ME"/>
              </w:rPr>
            </w:pPr>
            <w:r w:rsidRPr="007403A4">
              <w:rPr>
                <w:lang w:val="sr-Latn-ME"/>
              </w:rPr>
              <w:t>111 (18,5%)</w:t>
            </w:r>
          </w:p>
        </w:tc>
        <w:tc>
          <w:tcPr>
            <w:tcW w:w="2483" w:type="dxa"/>
            <w:tcBorders>
              <w:left w:val="nil"/>
              <w:right w:val="single" w:sz="4" w:space="0" w:color="auto"/>
            </w:tcBorders>
          </w:tcPr>
          <w:p w14:paraId="14982199" w14:textId="77777777" w:rsidR="004D3AD0" w:rsidRPr="007403A4" w:rsidRDefault="004D3AD0">
            <w:pPr>
              <w:keepNext/>
              <w:keepLines/>
              <w:spacing w:before="50" w:after="50" w:line="240" w:lineRule="exact"/>
              <w:ind w:right="28"/>
              <w:jc w:val="center"/>
              <w:rPr>
                <w:lang w:val="sr-Latn-ME"/>
              </w:rPr>
            </w:pPr>
          </w:p>
          <w:p w14:paraId="77ABFDA3" w14:textId="1919F9FD" w:rsidR="00ED7C77" w:rsidRPr="007403A4" w:rsidRDefault="00ED7C77">
            <w:pPr>
              <w:keepNext/>
              <w:keepLines/>
              <w:spacing w:before="50" w:after="50" w:line="240" w:lineRule="exact"/>
              <w:ind w:right="28"/>
              <w:jc w:val="center"/>
              <w:rPr>
                <w:lang w:val="sr-Latn-ME"/>
              </w:rPr>
            </w:pPr>
            <w:r w:rsidRPr="007403A4">
              <w:rPr>
                <w:lang w:val="sr-Latn-ME"/>
              </w:rPr>
              <w:t>80 (13,3%)</w:t>
            </w:r>
          </w:p>
        </w:tc>
      </w:tr>
      <w:tr w:rsidR="00ED7C77" w:rsidRPr="007403A4" w14:paraId="167ED69C" w14:textId="77777777" w:rsidTr="006D2C75">
        <w:trPr>
          <w:cantSplit/>
        </w:trPr>
        <w:tc>
          <w:tcPr>
            <w:tcW w:w="3557" w:type="dxa"/>
            <w:tcBorders>
              <w:top w:val="nil"/>
              <w:left w:val="single" w:sz="4" w:space="0" w:color="auto"/>
              <w:bottom w:val="nil"/>
              <w:right w:val="single" w:sz="4" w:space="0" w:color="auto"/>
            </w:tcBorders>
            <w:vAlign w:val="bottom"/>
          </w:tcPr>
          <w:p w14:paraId="360157DC" w14:textId="77777777" w:rsidR="00ED7C77" w:rsidRPr="007403A4" w:rsidRDefault="00ED7C77" w:rsidP="00C95059">
            <w:pPr>
              <w:keepLines/>
              <w:spacing w:before="50" w:after="50" w:line="240" w:lineRule="exact"/>
              <w:ind w:right="28"/>
              <w:jc w:val="both"/>
              <w:rPr>
                <w:lang w:val="sr-Latn-ME"/>
              </w:rPr>
            </w:pPr>
            <w:r w:rsidRPr="007403A4">
              <w:rPr>
                <w:lang w:val="sr-Latn-ME"/>
              </w:rPr>
              <w:t>HR [95% CI]</w:t>
            </w:r>
          </w:p>
        </w:tc>
        <w:tc>
          <w:tcPr>
            <w:tcW w:w="5027" w:type="dxa"/>
            <w:gridSpan w:val="2"/>
            <w:tcBorders>
              <w:left w:val="single" w:sz="4" w:space="0" w:color="auto"/>
              <w:right w:val="single" w:sz="4" w:space="0" w:color="auto"/>
            </w:tcBorders>
          </w:tcPr>
          <w:p w14:paraId="6C9475FA"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0,68 [0,51; 0,91]</w:t>
            </w:r>
          </w:p>
        </w:tc>
      </w:tr>
      <w:tr w:rsidR="00ED7C77" w:rsidRPr="007403A4" w14:paraId="5CB1732C" w14:textId="77777777" w:rsidTr="006D2C75">
        <w:trPr>
          <w:cantSplit/>
        </w:trPr>
        <w:tc>
          <w:tcPr>
            <w:tcW w:w="3557" w:type="dxa"/>
            <w:tcBorders>
              <w:top w:val="nil"/>
              <w:left w:val="single" w:sz="4" w:space="0" w:color="auto"/>
              <w:bottom w:val="nil"/>
              <w:right w:val="single" w:sz="4" w:space="0" w:color="auto"/>
            </w:tcBorders>
            <w:vAlign w:val="bottom"/>
          </w:tcPr>
          <w:p w14:paraId="1AFBC99C" w14:textId="6D76618E" w:rsidR="00ED7C77" w:rsidRPr="007403A4" w:rsidRDefault="00ED7C77" w:rsidP="00C95059">
            <w:pPr>
              <w:keepLines/>
              <w:spacing w:before="50" w:after="50" w:line="240" w:lineRule="exact"/>
              <w:ind w:right="28"/>
              <w:jc w:val="both"/>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5027" w:type="dxa"/>
            <w:gridSpan w:val="2"/>
            <w:tcBorders>
              <w:left w:val="single" w:sz="4" w:space="0" w:color="auto"/>
              <w:right w:val="single" w:sz="4" w:space="0" w:color="auto"/>
            </w:tcBorders>
          </w:tcPr>
          <w:p w14:paraId="48721C38"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0,0094</w:t>
            </w:r>
          </w:p>
        </w:tc>
      </w:tr>
      <w:tr w:rsidR="00ED7C77" w:rsidRPr="007403A4" w14:paraId="051B9EDB" w14:textId="77777777" w:rsidTr="006D2C75">
        <w:trPr>
          <w:cantSplit/>
        </w:trPr>
        <w:tc>
          <w:tcPr>
            <w:tcW w:w="3557" w:type="dxa"/>
            <w:tcBorders>
              <w:top w:val="single" w:sz="4" w:space="0" w:color="auto"/>
              <w:left w:val="single" w:sz="4" w:space="0" w:color="auto"/>
              <w:bottom w:val="nil"/>
              <w:right w:val="single" w:sz="4" w:space="0" w:color="auto"/>
            </w:tcBorders>
            <w:vAlign w:val="bottom"/>
          </w:tcPr>
          <w:p w14:paraId="1E9C4F3B" w14:textId="77777777" w:rsidR="00ED7C77" w:rsidRPr="007403A4" w:rsidRDefault="00ED7C77" w:rsidP="00C95059">
            <w:pPr>
              <w:keepLines/>
              <w:spacing w:before="50" w:after="50" w:line="240" w:lineRule="exact"/>
              <w:ind w:right="28"/>
              <w:jc w:val="both"/>
              <w:rPr>
                <w:b/>
                <w:lang w:val="sr-Latn-ME"/>
              </w:rPr>
            </w:pPr>
            <w:r w:rsidRPr="007403A4">
              <w:rPr>
                <w:b/>
                <w:lang w:val="sr-Latn-ME"/>
              </w:rPr>
              <w:t>Ukupno preživljavanje</w:t>
            </w:r>
            <w:r w:rsidRPr="007403A4" w:rsidDel="007D3FF6">
              <w:rPr>
                <w:b/>
                <w:vertAlign w:val="superscript"/>
                <w:lang w:val="sr-Latn-ME"/>
              </w:rPr>
              <w:t xml:space="preserve"> </w:t>
            </w:r>
            <w:r w:rsidRPr="007403A4">
              <w:rPr>
                <w:b/>
                <w:vertAlign w:val="superscript"/>
                <w:lang w:val="sr-Latn-ME"/>
              </w:rPr>
              <w:t>#</w:t>
            </w:r>
          </w:p>
        </w:tc>
        <w:tc>
          <w:tcPr>
            <w:tcW w:w="5027" w:type="dxa"/>
            <w:gridSpan w:val="2"/>
            <w:tcBorders>
              <w:top w:val="single" w:sz="4" w:space="0" w:color="auto"/>
              <w:left w:val="single" w:sz="4" w:space="0" w:color="auto"/>
              <w:bottom w:val="nil"/>
              <w:right w:val="single" w:sz="4" w:space="0" w:color="auto"/>
            </w:tcBorders>
            <w:vAlign w:val="bottom"/>
          </w:tcPr>
          <w:p w14:paraId="6D9841A7" w14:textId="77777777" w:rsidR="00ED7C77" w:rsidRPr="007403A4" w:rsidRDefault="00ED7C77" w:rsidP="004D3AD0">
            <w:pPr>
              <w:keepNext/>
              <w:keepLines/>
              <w:spacing w:before="50" w:after="50" w:line="240" w:lineRule="exact"/>
              <w:ind w:right="28"/>
              <w:jc w:val="center"/>
              <w:rPr>
                <w:rFonts w:eastAsia="MS Mincho"/>
                <w:lang w:val="sr-Latn-ME"/>
              </w:rPr>
            </w:pPr>
          </w:p>
        </w:tc>
      </w:tr>
      <w:tr w:rsidR="00ED7C77" w:rsidRPr="007403A4" w14:paraId="021B730A" w14:textId="77777777" w:rsidTr="006D2C75">
        <w:trPr>
          <w:cantSplit/>
        </w:trPr>
        <w:tc>
          <w:tcPr>
            <w:tcW w:w="3557" w:type="dxa"/>
            <w:tcBorders>
              <w:top w:val="nil"/>
              <w:left w:val="single" w:sz="4" w:space="0" w:color="auto"/>
              <w:bottom w:val="nil"/>
              <w:right w:val="single" w:sz="4" w:space="0" w:color="auto"/>
            </w:tcBorders>
            <w:vAlign w:val="bottom"/>
          </w:tcPr>
          <w:p w14:paraId="2EB850F9" w14:textId="1991AF34" w:rsidR="00371411" w:rsidRPr="007403A4" w:rsidRDefault="00371411" w:rsidP="00C95059">
            <w:pPr>
              <w:keepLines/>
              <w:spacing w:before="50" w:after="50" w:line="240" w:lineRule="exact"/>
              <w:ind w:right="28"/>
              <w:jc w:val="both"/>
              <w:rPr>
                <w:b/>
                <w:lang w:val="sr-Latn-ME"/>
              </w:rPr>
            </w:pPr>
            <w:r w:rsidRPr="007403A4">
              <w:rPr>
                <w:b/>
                <w:lang w:val="sr-Latn-ME"/>
              </w:rPr>
              <w:t>primarna analiza</w:t>
            </w:r>
          </w:p>
          <w:p w14:paraId="0FA9DC5A" w14:textId="14196EB2" w:rsidR="00ED7C77" w:rsidRPr="007403A4" w:rsidRDefault="00ED7C77" w:rsidP="00C95059">
            <w:pPr>
              <w:keepLines/>
              <w:spacing w:before="50" w:after="50" w:line="240" w:lineRule="exact"/>
              <w:ind w:right="28"/>
              <w:jc w:val="both"/>
              <w:rPr>
                <w:lang w:val="sr-Latn-ME"/>
              </w:rPr>
            </w:pPr>
            <w:r w:rsidRPr="007403A4">
              <w:rPr>
                <w:lang w:val="sr-Latn-ME"/>
              </w:rPr>
              <w:t xml:space="preserve">Broj (%) pacijenata sa događajem </w:t>
            </w:r>
          </w:p>
        </w:tc>
        <w:tc>
          <w:tcPr>
            <w:tcW w:w="2544" w:type="dxa"/>
            <w:tcBorders>
              <w:top w:val="nil"/>
              <w:left w:val="single" w:sz="4" w:space="0" w:color="auto"/>
              <w:bottom w:val="nil"/>
              <w:right w:val="nil"/>
            </w:tcBorders>
            <w:vAlign w:val="bottom"/>
          </w:tcPr>
          <w:p w14:paraId="0277234B"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46 (7,7%)</w:t>
            </w:r>
          </w:p>
        </w:tc>
        <w:tc>
          <w:tcPr>
            <w:tcW w:w="2483" w:type="dxa"/>
            <w:tcBorders>
              <w:top w:val="nil"/>
              <w:left w:val="nil"/>
              <w:bottom w:val="nil"/>
              <w:right w:val="single" w:sz="4" w:space="0" w:color="auto"/>
            </w:tcBorders>
            <w:vAlign w:val="bottom"/>
          </w:tcPr>
          <w:p w14:paraId="2F91A95F" w14:textId="77777777" w:rsidR="00ED7C77" w:rsidRPr="007403A4" w:rsidRDefault="00ED7C77">
            <w:pPr>
              <w:keepNext/>
              <w:keepLines/>
              <w:spacing w:before="50" w:after="50" w:line="240" w:lineRule="exact"/>
              <w:ind w:right="28"/>
              <w:jc w:val="center"/>
              <w:rPr>
                <w:lang w:val="sr-Latn-ME"/>
              </w:rPr>
            </w:pPr>
            <w:r w:rsidRPr="007403A4">
              <w:rPr>
                <w:lang w:val="sr-Latn-ME"/>
              </w:rPr>
              <w:t>35 (5,8%)</w:t>
            </w:r>
          </w:p>
        </w:tc>
      </w:tr>
      <w:tr w:rsidR="00ED7C77" w:rsidRPr="007403A4" w14:paraId="0C9D414A" w14:textId="77777777" w:rsidTr="006D2C75">
        <w:trPr>
          <w:cantSplit/>
        </w:trPr>
        <w:tc>
          <w:tcPr>
            <w:tcW w:w="3557" w:type="dxa"/>
            <w:tcBorders>
              <w:top w:val="nil"/>
              <w:left w:val="single" w:sz="4" w:space="0" w:color="auto"/>
              <w:right w:val="single" w:sz="4" w:space="0" w:color="auto"/>
            </w:tcBorders>
            <w:vAlign w:val="bottom"/>
          </w:tcPr>
          <w:p w14:paraId="721902B9" w14:textId="77777777" w:rsidR="00ED7C77" w:rsidRPr="007403A4" w:rsidRDefault="00ED7C77" w:rsidP="00C95059">
            <w:pPr>
              <w:keepLines/>
              <w:spacing w:before="50" w:after="50" w:line="240" w:lineRule="exact"/>
              <w:ind w:right="28"/>
              <w:jc w:val="both"/>
              <w:rPr>
                <w:lang w:val="sr-Latn-ME"/>
              </w:rPr>
            </w:pPr>
            <w:r w:rsidRPr="007403A4">
              <w:rPr>
                <w:lang w:val="sr-Latn-ME"/>
              </w:rPr>
              <w:t>HR [95% CI]</w:t>
            </w:r>
          </w:p>
        </w:tc>
        <w:tc>
          <w:tcPr>
            <w:tcW w:w="5027" w:type="dxa"/>
            <w:gridSpan w:val="2"/>
            <w:tcBorders>
              <w:top w:val="nil"/>
              <w:left w:val="single" w:sz="4" w:space="0" w:color="auto"/>
              <w:right w:val="single" w:sz="4" w:space="0" w:color="auto"/>
            </w:tcBorders>
            <w:vAlign w:val="bottom"/>
          </w:tcPr>
          <w:p w14:paraId="448A66F9"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0,75 [0,49; 1,17]</w:t>
            </w:r>
            <w:r w:rsidRPr="007403A4">
              <w:rPr>
                <w:vertAlign w:val="superscript"/>
                <w:lang w:val="sr-Latn-ME"/>
              </w:rPr>
              <w:t xml:space="preserve"> ¶</w:t>
            </w:r>
          </w:p>
        </w:tc>
      </w:tr>
      <w:tr w:rsidR="00ED7C77" w:rsidRPr="007403A4" w14:paraId="6BA44D6A" w14:textId="77777777" w:rsidTr="006D2C75">
        <w:trPr>
          <w:cantSplit/>
        </w:trPr>
        <w:tc>
          <w:tcPr>
            <w:tcW w:w="3557" w:type="dxa"/>
            <w:tcBorders>
              <w:left w:val="single" w:sz="4" w:space="0" w:color="auto"/>
              <w:bottom w:val="single" w:sz="4" w:space="0" w:color="auto"/>
              <w:right w:val="single" w:sz="4" w:space="0" w:color="auto"/>
            </w:tcBorders>
            <w:vAlign w:val="bottom"/>
          </w:tcPr>
          <w:p w14:paraId="07DE7DC4" w14:textId="71897BA5" w:rsidR="00ED7C77" w:rsidRPr="007403A4" w:rsidRDefault="00ED7C77" w:rsidP="00C95059">
            <w:pPr>
              <w:keepLines/>
              <w:spacing w:before="50" w:after="50" w:line="240" w:lineRule="exact"/>
              <w:ind w:right="28"/>
              <w:jc w:val="both"/>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5027" w:type="dxa"/>
            <w:gridSpan w:val="2"/>
            <w:tcBorders>
              <w:left w:val="single" w:sz="4" w:space="0" w:color="auto"/>
              <w:bottom w:val="single" w:sz="4" w:space="0" w:color="auto"/>
              <w:right w:val="single" w:sz="4" w:space="0" w:color="auto"/>
            </w:tcBorders>
            <w:vAlign w:val="bottom"/>
          </w:tcPr>
          <w:p w14:paraId="7D8B7F6C"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0,21</w:t>
            </w:r>
            <w:r w:rsidRPr="007403A4">
              <w:rPr>
                <w:vertAlign w:val="superscript"/>
                <w:lang w:val="sr-Latn-ME"/>
              </w:rPr>
              <w:t>¶</w:t>
            </w:r>
          </w:p>
        </w:tc>
      </w:tr>
      <w:tr w:rsidR="00371411" w:rsidRPr="007403A4" w14:paraId="456DE1F8" w14:textId="77777777" w:rsidTr="006D2C75">
        <w:trPr>
          <w:cantSplit/>
        </w:trPr>
        <w:tc>
          <w:tcPr>
            <w:tcW w:w="3557" w:type="dxa"/>
            <w:tcBorders>
              <w:left w:val="single" w:sz="4" w:space="0" w:color="auto"/>
              <w:right w:val="single" w:sz="4" w:space="0" w:color="auto"/>
            </w:tcBorders>
            <w:vAlign w:val="bottom"/>
          </w:tcPr>
          <w:p w14:paraId="3C224A35" w14:textId="77777777" w:rsidR="00371411" w:rsidRPr="007403A4" w:rsidRDefault="00371411" w:rsidP="00C95059">
            <w:pPr>
              <w:keepLines/>
              <w:spacing w:before="50" w:after="50" w:line="240" w:lineRule="exact"/>
              <w:ind w:right="294"/>
              <w:jc w:val="both"/>
              <w:rPr>
                <w:sz w:val="22"/>
                <w:szCs w:val="22"/>
                <w:lang w:val="sr-Latn-ME"/>
              </w:rPr>
            </w:pPr>
            <w:r w:rsidRPr="007403A4">
              <w:rPr>
                <w:b/>
                <w:sz w:val="22"/>
                <w:szCs w:val="22"/>
                <w:lang w:val="sr-Latn-ME"/>
              </w:rPr>
              <w:t>Ukupno preživlj</w:t>
            </w:r>
            <w:r w:rsidRPr="007403A4">
              <w:rPr>
                <w:b/>
                <w:szCs w:val="22"/>
                <w:lang w:val="sr-Latn-ME"/>
              </w:rPr>
              <w:t>ava</w:t>
            </w:r>
            <w:r w:rsidRPr="007403A4">
              <w:rPr>
                <w:b/>
                <w:sz w:val="22"/>
                <w:szCs w:val="22"/>
                <w:lang w:val="sr-Latn-ME"/>
              </w:rPr>
              <w:t>nje</w:t>
            </w:r>
            <w:r w:rsidRPr="007403A4" w:rsidDel="007D3FF6">
              <w:rPr>
                <w:b/>
                <w:sz w:val="22"/>
                <w:szCs w:val="22"/>
                <w:vertAlign w:val="superscript"/>
                <w:lang w:val="sr-Latn-ME"/>
              </w:rPr>
              <w:t xml:space="preserve"> </w:t>
            </w:r>
            <w:r w:rsidRPr="007403A4">
              <w:rPr>
                <w:b/>
                <w:sz w:val="22"/>
                <w:szCs w:val="22"/>
                <w:vertAlign w:val="superscript"/>
                <w:lang w:val="sr-Latn-ME"/>
              </w:rPr>
              <w:t>§§</w:t>
            </w:r>
            <w:r w:rsidRPr="007403A4">
              <w:rPr>
                <w:b/>
                <w:sz w:val="22"/>
                <w:szCs w:val="22"/>
                <w:lang w:val="sr-Latn-ME"/>
              </w:rPr>
              <w:t xml:space="preserve"> - završna analiza</w:t>
            </w:r>
          </w:p>
        </w:tc>
        <w:tc>
          <w:tcPr>
            <w:tcW w:w="5027" w:type="dxa"/>
            <w:gridSpan w:val="2"/>
            <w:tcBorders>
              <w:left w:val="single" w:sz="4" w:space="0" w:color="auto"/>
              <w:right w:val="single" w:sz="4" w:space="0" w:color="auto"/>
            </w:tcBorders>
            <w:vAlign w:val="bottom"/>
          </w:tcPr>
          <w:p w14:paraId="0A85ADEC" w14:textId="77777777" w:rsidR="00371411" w:rsidRPr="007403A4" w:rsidRDefault="00371411" w:rsidP="004D3AD0">
            <w:pPr>
              <w:keepNext/>
              <w:keepLines/>
              <w:spacing w:before="50" w:after="50" w:line="240" w:lineRule="exact"/>
              <w:jc w:val="center"/>
              <w:rPr>
                <w:sz w:val="22"/>
                <w:szCs w:val="22"/>
                <w:lang w:val="sr-Latn-ME"/>
              </w:rPr>
            </w:pPr>
          </w:p>
        </w:tc>
      </w:tr>
      <w:tr w:rsidR="00371411" w:rsidRPr="007403A4" w14:paraId="20EFB432" w14:textId="77777777" w:rsidTr="006D2C75">
        <w:trPr>
          <w:cantSplit/>
        </w:trPr>
        <w:tc>
          <w:tcPr>
            <w:tcW w:w="3557" w:type="dxa"/>
            <w:tcBorders>
              <w:left w:val="single" w:sz="4" w:space="0" w:color="auto"/>
              <w:right w:val="single" w:sz="4" w:space="0" w:color="auto"/>
            </w:tcBorders>
            <w:vAlign w:val="bottom"/>
          </w:tcPr>
          <w:p w14:paraId="2382B984" w14:textId="77777777" w:rsidR="00371411" w:rsidRPr="007403A4" w:rsidRDefault="00371411" w:rsidP="00C95059">
            <w:pPr>
              <w:keepLines/>
              <w:spacing w:before="50" w:after="50" w:line="240" w:lineRule="exact"/>
              <w:ind w:left="226"/>
              <w:jc w:val="both"/>
              <w:rPr>
                <w:sz w:val="22"/>
                <w:szCs w:val="22"/>
                <w:lang w:val="sr-Latn-ME"/>
              </w:rPr>
            </w:pPr>
            <w:r w:rsidRPr="007403A4">
              <w:rPr>
                <w:sz w:val="22"/>
                <w:szCs w:val="22"/>
                <w:lang w:val="sr-Latn-ME"/>
              </w:rPr>
              <w:t xml:space="preserve">Broj (%) </w:t>
            </w:r>
            <w:r w:rsidRPr="007403A4">
              <w:rPr>
                <w:szCs w:val="22"/>
                <w:lang w:val="sr-Latn-ME"/>
              </w:rPr>
              <w:t>pacijenata</w:t>
            </w:r>
            <w:r w:rsidRPr="007403A4">
              <w:rPr>
                <w:sz w:val="22"/>
                <w:szCs w:val="22"/>
                <w:lang w:val="sr-Latn-ME"/>
              </w:rPr>
              <w:t xml:space="preserve"> s</w:t>
            </w:r>
            <w:r w:rsidRPr="007403A4">
              <w:rPr>
                <w:szCs w:val="22"/>
                <w:lang w:val="sr-Latn-ME"/>
              </w:rPr>
              <w:t>a</w:t>
            </w:r>
            <w:r w:rsidRPr="007403A4">
              <w:rPr>
                <w:sz w:val="22"/>
                <w:szCs w:val="22"/>
                <w:lang w:val="sr-Latn-ME"/>
              </w:rPr>
              <w:t xml:space="preserve"> događajem </w:t>
            </w:r>
          </w:p>
        </w:tc>
        <w:tc>
          <w:tcPr>
            <w:tcW w:w="2544" w:type="dxa"/>
            <w:tcBorders>
              <w:left w:val="single" w:sz="4" w:space="0" w:color="auto"/>
            </w:tcBorders>
            <w:vAlign w:val="bottom"/>
          </w:tcPr>
          <w:p w14:paraId="6913CF4C"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86 (14,3%)</w:t>
            </w:r>
          </w:p>
        </w:tc>
        <w:tc>
          <w:tcPr>
            <w:tcW w:w="2483" w:type="dxa"/>
            <w:tcBorders>
              <w:right w:val="single" w:sz="4" w:space="0" w:color="auto"/>
            </w:tcBorders>
            <w:vAlign w:val="bottom"/>
          </w:tcPr>
          <w:p w14:paraId="3804885A" w14:textId="77777777" w:rsidR="00371411" w:rsidRPr="007403A4" w:rsidRDefault="00371411">
            <w:pPr>
              <w:keepNext/>
              <w:keepLines/>
              <w:spacing w:before="50" w:after="50" w:line="240" w:lineRule="exact"/>
              <w:jc w:val="center"/>
              <w:rPr>
                <w:sz w:val="22"/>
                <w:szCs w:val="22"/>
                <w:lang w:val="sr-Latn-ME"/>
              </w:rPr>
            </w:pPr>
            <w:r w:rsidRPr="007403A4">
              <w:rPr>
                <w:sz w:val="22"/>
                <w:szCs w:val="22"/>
                <w:lang w:val="sr-Latn-ME"/>
              </w:rPr>
              <w:t>76 (12,6%)</w:t>
            </w:r>
          </w:p>
        </w:tc>
      </w:tr>
      <w:tr w:rsidR="00371411" w:rsidRPr="007403A4" w14:paraId="777EC04B" w14:textId="77777777" w:rsidTr="006D2C75">
        <w:trPr>
          <w:cantSplit/>
        </w:trPr>
        <w:tc>
          <w:tcPr>
            <w:tcW w:w="3557" w:type="dxa"/>
            <w:tcBorders>
              <w:left w:val="single" w:sz="4" w:space="0" w:color="auto"/>
              <w:right w:val="single" w:sz="4" w:space="0" w:color="auto"/>
            </w:tcBorders>
            <w:vAlign w:val="bottom"/>
          </w:tcPr>
          <w:p w14:paraId="26E0B14A" w14:textId="0185298D" w:rsidR="00371411" w:rsidRPr="007403A4" w:rsidRDefault="00371411" w:rsidP="00C95059">
            <w:pPr>
              <w:keepLines/>
              <w:spacing w:before="50" w:after="50" w:line="240" w:lineRule="exact"/>
              <w:ind w:left="226"/>
              <w:jc w:val="both"/>
              <w:rPr>
                <w:sz w:val="22"/>
                <w:szCs w:val="22"/>
                <w:lang w:val="sr-Latn-ME"/>
              </w:rPr>
            </w:pPr>
            <w:r w:rsidRPr="007403A4">
              <w:rPr>
                <w:szCs w:val="22"/>
                <w:lang w:val="sr-Latn-ME"/>
              </w:rPr>
              <w:t>HR [95% CL</w:t>
            </w:r>
            <w:r w:rsidRPr="007403A4">
              <w:rPr>
                <w:sz w:val="22"/>
                <w:szCs w:val="22"/>
                <w:lang w:val="sr-Latn-ME"/>
              </w:rPr>
              <w:t>]</w:t>
            </w:r>
          </w:p>
        </w:tc>
        <w:tc>
          <w:tcPr>
            <w:tcW w:w="5027" w:type="dxa"/>
            <w:gridSpan w:val="2"/>
            <w:tcBorders>
              <w:left w:val="single" w:sz="4" w:space="0" w:color="auto"/>
              <w:right w:val="single" w:sz="4" w:space="0" w:color="auto"/>
            </w:tcBorders>
            <w:vAlign w:val="bottom"/>
          </w:tcPr>
          <w:p w14:paraId="14FE3688"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0,86 [0,63; 1,18]</w:t>
            </w:r>
          </w:p>
        </w:tc>
      </w:tr>
      <w:tr w:rsidR="00371411" w:rsidRPr="007403A4" w14:paraId="7E0C3E2D" w14:textId="77777777" w:rsidTr="006D2C75">
        <w:trPr>
          <w:cantSplit/>
        </w:trPr>
        <w:tc>
          <w:tcPr>
            <w:tcW w:w="3557" w:type="dxa"/>
            <w:tcBorders>
              <w:left w:val="single" w:sz="4" w:space="0" w:color="auto"/>
              <w:bottom w:val="single" w:sz="4" w:space="0" w:color="auto"/>
              <w:right w:val="single" w:sz="4" w:space="0" w:color="auto"/>
            </w:tcBorders>
            <w:vAlign w:val="bottom"/>
          </w:tcPr>
          <w:p w14:paraId="54A3E2A0" w14:textId="08C48691" w:rsidR="00371411" w:rsidRPr="007403A4" w:rsidRDefault="00371411" w:rsidP="00C95059">
            <w:pPr>
              <w:keepLines/>
              <w:spacing w:before="50" w:after="50" w:line="240" w:lineRule="exact"/>
              <w:ind w:left="226"/>
              <w:jc w:val="both"/>
              <w:rPr>
                <w:sz w:val="22"/>
                <w:szCs w:val="22"/>
                <w:lang w:val="sr-Latn-ME"/>
              </w:rPr>
            </w:pPr>
            <w:r w:rsidRPr="007403A4">
              <w:rPr>
                <w:sz w:val="22"/>
                <w:szCs w:val="22"/>
                <w:lang w:val="sr-Latn-ME"/>
              </w:rPr>
              <w:t>p</w:t>
            </w:r>
            <w:r w:rsidRPr="007403A4">
              <w:rPr>
                <w:sz w:val="22"/>
                <w:szCs w:val="22"/>
                <w:lang w:val="sr-Latn-ME"/>
              </w:rPr>
              <w:noBreakHyphen/>
            </w:r>
            <w:r w:rsidRPr="007403A4">
              <w:rPr>
                <w:szCs w:val="22"/>
                <w:lang w:val="sr-Latn-ME"/>
              </w:rPr>
              <w:t>vrij</w:t>
            </w:r>
            <w:r w:rsidRPr="007403A4">
              <w:rPr>
                <w:sz w:val="22"/>
                <w:szCs w:val="22"/>
                <w:lang w:val="sr-Latn-ME"/>
              </w:rPr>
              <w:t>ednost (log</w:t>
            </w:r>
            <w:r w:rsidRPr="007403A4">
              <w:rPr>
                <w:sz w:val="22"/>
                <w:szCs w:val="22"/>
                <w:lang w:val="sr-Latn-ME"/>
              </w:rPr>
              <w:noBreakHyphen/>
              <w:t xml:space="preserve">rang test, </w:t>
            </w:r>
            <w:r w:rsidRPr="007403A4">
              <w:rPr>
                <w:szCs w:val="22"/>
                <w:lang w:val="sr-Latn-ME"/>
              </w:rPr>
              <w:t>stratifikovan</w:t>
            </w:r>
            <w:r w:rsidRPr="007403A4">
              <w:rPr>
                <w:sz w:val="22"/>
                <w:szCs w:val="22"/>
                <w:lang w:val="sr-Latn-ME"/>
              </w:rPr>
              <w:t>*)</w:t>
            </w:r>
          </w:p>
        </w:tc>
        <w:tc>
          <w:tcPr>
            <w:tcW w:w="5027" w:type="dxa"/>
            <w:gridSpan w:val="2"/>
            <w:tcBorders>
              <w:left w:val="single" w:sz="4" w:space="0" w:color="auto"/>
              <w:bottom w:val="single" w:sz="4" w:space="0" w:color="auto"/>
              <w:right w:val="single" w:sz="4" w:space="0" w:color="auto"/>
            </w:tcBorders>
            <w:vAlign w:val="bottom"/>
          </w:tcPr>
          <w:p w14:paraId="2E39E4D3" w14:textId="77777777" w:rsidR="00371411" w:rsidRPr="007403A4" w:rsidRDefault="00371411" w:rsidP="004D3AD0">
            <w:pPr>
              <w:keepNext/>
              <w:keepLines/>
              <w:spacing w:before="50" w:after="50" w:line="240" w:lineRule="exact"/>
              <w:jc w:val="center"/>
              <w:rPr>
                <w:sz w:val="22"/>
                <w:szCs w:val="22"/>
                <w:lang w:val="sr-Latn-ME"/>
              </w:rPr>
            </w:pPr>
            <w:r w:rsidRPr="007403A4">
              <w:rPr>
                <w:sz w:val="22"/>
                <w:szCs w:val="22"/>
                <w:lang w:val="sr-Latn-ME"/>
              </w:rPr>
              <w:t>0,36</w:t>
            </w:r>
          </w:p>
        </w:tc>
      </w:tr>
      <w:tr w:rsidR="00ED7C77" w:rsidRPr="007403A4" w14:paraId="56D4B874" w14:textId="77777777" w:rsidTr="006D2C75">
        <w:trPr>
          <w:cantSplit/>
        </w:trPr>
        <w:tc>
          <w:tcPr>
            <w:tcW w:w="3557" w:type="dxa"/>
            <w:tcBorders>
              <w:top w:val="single" w:sz="4" w:space="0" w:color="auto"/>
              <w:left w:val="single" w:sz="4" w:space="0" w:color="auto"/>
              <w:bottom w:val="nil"/>
              <w:right w:val="single" w:sz="4" w:space="0" w:color="auto"/>
            </w:tcBorders>
            <w:vAlign w:val="bottom"/>
          </w:tcPr>
          <w:p w14:paraId="193ACD07" w14:textId="77777777" w:rsidR="00ED7C77" w:rsidRPr="007403A4" w:rsidRDefault="00ED7C77" w:rsidP="00C95059">
            <w:pPr>
              <w:keepNext/>
              <w:keepLines/>
              <w:spacing w:before="50" w:after="50" w:line="240" w:lineRule="exact"/>
              <w:ind w:right="28"/>
              <w:jc w:val="both"/>
              <w:rPr>
                <w:b/>
                <w:highlight w:val="yellow"/>
                <w:vertAlign w:val="superscript"/>
                <w:lang w:val="sr-Latn-ME"/>
              </w:rPr>
            </w:pPr>
            <w:r w:rsidRPr="007403A4">
              <w:rPr>
                <w:b/>
                <w:lang w:val="sr-Latn-ME"/>
              </w:rPr>
              <w:lastRenderedPageBreak/>
              <w:t>Stopa ukupnog odgovora** na kraju uvodnog liječenja</w:t>
            </w:r>
            <w:r w:rsidRPr="007403A4">
              <w:rPr>
                <w:vertAlign w:val="superscript"/>
                <w:lang w:val="sr-Latn-ME"/>
              </w:rPr>
              <w:t>‡</w:t>
            </w:r>
            <w:r w:rsidRPr="007403A4">
              <w:rPr>
                <w:b/>
                <w:lang w:val="sr-Latn-ME"/>
              </w:rPr>
              <w:t xml:space="preserve"> (prema ocjeni ispitivača, CT)</w:t>
            </w:r>
            <w:r w:rsidRPr="007403A4" w:rsidDel="007D3FF6">
              <w:rPr>
                <w:b/>
                <w:vertAlign w:val="superscript"/>
                <w:lang w:val="sr-Latn-ME"/>
              </w:rPr>
              <w:t xml:space="preserve"> </w:t>
            </w:r>
            <w:r w:rsidRPr="007403A4">
              <w:rPr>
                <w:b/>
                <w:vertAlign w:val="superscript"/>
                <w:lang w:val="sr-Latn-ME"/>
              </w:rPr>
              <w:t>#</w:t>
            </w:r>
          </w:p>
        </w:tc>
        <w:tc>
          <w:tcPr>
            <w:tcW w:w="5027" w:type="dxa"/>
            <w:gridSpan w:val="2"/>
            <w:tcBorders>
              <w:top w:val="single" w:sz="4" w:space="0" w:color="auto"/>
              <w:left w:val="single" w:sz="4" w:space="0" w:color="auto"/>
              <w:bottom w:val="nil"/>
              <w:right w:val="single" w:sz="4" w:space="0" w:color="auto"/>
            </w:tcBorders>
            <w:vAlign w:val="bottom"/>
          </w:tcPr>
          <w:p w14:paraId="7FD84035" w14:textId="77777777" w:rsidR="00ED7C77" w:rsidRPr="007403A4" w:rsidRDefault="00ED7C77" w:rsidP="004D3AD0">
            <w:pPr>
              <w:keepNext/>
              <w:keepLines/>
              <w:spacing w:before="50" w:after="50" w:line="240" w:lineRule="exact"/>
              <w:ind w:right="28"/>
              <w:jc w:val="center"/>
              <w:rPr>
                <w:rFonts w:eastAsia="MS Mincho"/>
                <w:lang w:val="sr-Latn-ME"/>
              </w:rPr>
            </w:pPr>
          </w:p>
          <w:p w14:paraId="26243A13" w14:textId="77777777" w:rsidR="00ED7C77" w:rsidRPr="007403A4" w:rsidRDefault="00ED7C77">
            <w:pPr>
              <w:keepNext/>
              <w:keepLines/>
              <w:spacing w:before="50" w:after="50" w:line="240" w:lineRule="exact"/>
              <w:ind w:right="28"/>
              <w:jc w:val="center"/>
              <w:rPr>
                <w:rFonts w:eastAsia="MS Mincho"/>
                <w:lang w:val="sr-Latn-ME"/>
              </w:rPr>
            </w:pPr>
          </w:p>
        </w:tc>
      </w:tr>
      <w:tr w:rsidR="00ED7C77" w:rsidRPr="007403A4" w14:paraId="1672C440" w14:textId="77777777" w:rsidTr="006D2C75">
        <w:trPr>
          <w:cantSplit/>
        </w:trPr>
        <w:tc>
          <w:tcPr>
            <w:tcW w:w="3557" w:type="dxa"/>
            <w:tcBorders>
              <w:top w:val="nil"/>
              <w:left w:val="single" w:sz="4" w:space="0" w:color="auto"/>
              <w:bottom w:val="nil"/>
              <w:right w:val="single" w:sz="4" w:space="0" w:color="auto"/>
            </w:tcBorders>
          </w:tcPr>
          <w:p w14:paraId="17CD16AB" w14:textId="68F69A80" w:rsidR="00371411" w:rsidRPr="007403A4" w:rsidRDefault="00371411" w:rsidP="00C95059">
            <w:pPr>
              <w:pStyle w:val="TableCell10Left"/>
              <w:ind w:right="28"/>
              <w:jc w:val="both"/>
              <w:rPr>
                <w:rFonts w:ascii="Times New Roman" w:hAnsi="Times New Roman"/>
                <w:b/>
                <w:sz w:val="24"/>
                <w:lang w:val="sr-Latn-ME"/>
              </w:rPr>
            </w:pPr>
            <w:r w:rsidRPr="007403A4">
              <w:rPr>
                <w:rFonts w:ascii="Times New Roman" w:hAnsi="Times New Roman"/>
                <w:b/>
                <w:sz w:val="24"/>
                <w:lang w:val="sr-Latn-ME"/>
              </w:rPr>
              <w:t>primarna analiza</w:t>
            </w:r>
          </w:p>
          <w:p w14:paraId="39B513E8" w14:textId="0F6E5C06" w:rsidR="003064F9" w:rsidRPr="007403A4" w:rsidRDefault="00ED7C77" w:rsidP="00C95059">
            <w:pPr>
              <w:pStyle w:val="TableCell10Left"/>
              <w:ind w:right="28"/>
              <w:jc w:val="both"/>
              <w:rPr>
                <w:rFonts w:ascii="Times New Roman" w:hAnsi="Times New Roman"/>
                <w:sz w:val="24"/>
                <w:lang w:val="sr-Latn-ME"/>
              </w:rPr>
            </w:pPr>
            <w:r w:rsidRPr="007403A4">
              <w:rPr>
                <w:rFonts w:ascii="Times New Roman" w:hAnsi="Times New Roman"/>
                <w:sz w:val="24"/>
                <w:lang w:val="sr-Latn-ME"/>
              </w:rPr>
              <w:t xml:space="preserve">Pacijenti sa odgovorom (%) </w:t>
            </w:r>
          </w:p>
          <w:p w14:paraId="72C975FB" w14:textId="77777777" w:rsidR="00ED7C77" w:rsidRPr="007403A4" w:rsidRDefault="00ED7C77" w:rsidP="00C95059">
            <w:pPr>
              <w:pStyle w:val="TableCell10Left"/>
              <w:ind w:right="28"/>
              <w:jc w:val="both"/>
              <w:rPr>
                <w:rFonts w:ascii="Times New Roman" w:hAnsi="Times New Roman"/>
                <w:sz w:val="24"/>
                <w:lang w:val="sr-Latn-ME"/>
              </w:rPr>
            </w:pPr>
            <w:r w:rsidRPr="007403A4">
              <w:rPr>
                <w:rFonts w:ascii="Times New Roman" w:hAnsi="Times New Roman"/>
                <w:sz w:val="24"/>
                <w:lang w:val="sr-Latn-ME"/>
              </w:rPr>
              <w:t>(CR, PR)</w:t>
            </w:r>
          </w:p>
        </w:tc>
        <w:tc>
          <w:tcPr>
            <w:tcW w:w="2544" w:type="dxa"/>
            <w:tcBorders>
              <w:top w:val="nil"/>
              <w:left w:val="single" w:sz="4" w:space="0" w:color="auto"/>
              <w:bottom w:val="nil"/>
              <w:right w:val="nil"/>
            </w:tcBorders>
            <w:vAlign w:val="bottom"/>
          </w:tcPr>
          <w:p w14:paraId="35C0220F"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522 (86,9%)</w:t>
            </w:r>
          </w:p>
        </w:tc>
        <w:tc>
          <w:tcPr>
            <w:tcW w:w="2483" w:type="dxa"/>
            <w:tcBorders>
              <w:top w:val="nil"/>
              <w:left w:val="nil"/>
              <w:bottom w:val="nil"/>
              <w:right w:val="single" w:sz="4" w:space="0" w:color="auto"/>
            </w:tcBorders>
            <w:shd w:val="clear" w:color="auto" w:fill="auto"/>
            <w:vAlign w:val="bottom"/>
          </w:tcPr>
          <w:p w14:paraId="26E7674D" w14:textId="77777777" w:rsidR="00ED7C77" w:rsidRPr="007403A4" w:rsidRDefault="00ED7C77">
            <w:pPr>
              <w:keepNext/>
              <w:keepLines/>
              <w:spacing w:before="50" w:after="50" w:line="240" w:lineRule="exact"/>
              <w:ind w:right="28"/>
              <w:jc w:val="center"/>
              <w:rPr>
                <w:lang w:val="sr-Latn-ME"/>
              </w:rPr>
            </w:pPr>
            <w:r w:rsidRPr="007403A4">
              <w:rPr>
                <w:lang w:val="sr-Latn-ME"/>
              </w:rPr>
              <w:t>532 (88,5%)</w:t>
            </w:r>
          </w:p>
        </w:tc>
      </w:tr>
      <w:tr w:rsidR="00ED7C77" w:rsidRPr="007403A4" w14:paraId="40AE377B" w14:textId="77777777" w:rsidTr="006D2C75">
        <w:trPr>
          <w:cantSplit/>
        </w:trPr>
        <w:tc>
          <w:tcPr>
            <w:tcW w:w="3557" w:type="dxa"/>
            <w:tcBorders>
              <w:top w:val="nil"/>
              <w:left w:val="single" w:sz="4" w:space="0" w:color="auto"/>
              <w:bottom w:val="nil"/>
              <w:right w:val="single" w:sz="4" w:space="0" w:color="auto"/>
            </w:tcBorders>
            <w:vAlign w:val="bottom"/>
          </w:tcPr>
          <w:p w14:paraId="4BDF8578" w14:textId="77777777" w:rsidR="003064F9" w:rsidRPr="007403A4" w:rsidRDefault="00ED7C77" w:rsidP="00C95059">
            <w:pPr>
              <w:keepNext/>
              <w:keepLines/>
              <w:spacing w:before="50" w:after="50" w:line="240" w:lineRule="exact"/>
              <w:ind w:right="28"/>
              <w:jc w:val="both"/>
              <w:rPr>
                <w:lang w:val="sr-Latn-ME"/>
              </w:rPr>
            </w:pPr>
            <w:r w:rsidRPr="007403A4">
              <w:rPr>
                <w:lang w:val="sr-Latn-ME"/>
              </w:rPr>
              <w:t xml:space="preserve">Razlika u stopi odgovora (%) </w:t>
            </w:r>
          </w:p>
          <w:p w14:paraId="59102B9A" w14:textId="77777777" w:rsidR="00ED7C77" w:rsidRPr="007403A4" w:rsidRDefault="00ED7C77" w:rsidP="00C95059">
            <w:pPr>
              <w:keepNext/>
              <w:keepLines/>
              <w:spacing w:before="50" w:after="50" w:line="240" w:lineRule="exact"/>
              <w:ind w:right="28"/>
              <w:jc w:val="both"/>
              <w:rPr>
                <w:lang w:val="sr-Latn-ME"/>
              </w:rPr>
            </w:pPr>
            <w:r w:rsidRPr="007403A4">
              <w:rPr>
                <w:lang w:val="sr-Latn-ME"/>
              </w:rPr>
              <w:t>[95% CI]</w:t>
            </w:r>
          </w:p>
        </w:tc>
        <w:tc>
          <w:tcPr>
            <w:tcW w:w="5027" w:type="dxa"/>
            <w:gridSpan w:val="2"/>
            <w:tcBorders>
              <w:top w:val="nil"/>
              <w:left w:val="single" w:sz="4" w:space="0" w:color="auto"/>
              <w:bottom w:val="nil"/>
              <w:right w:val="single" w:sz="4" w:space="0" w:color="auto"/>
            </w:tcBorders>
            <w:shd w:val="clear" w:color="auto" w:fill="auto"/>
            <w:vAlign w:val="bottom"/>
          </w:tcPr>
          <w:p w14:paraId="5C659912"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1,7% [-2,1%; 5,5%]</w:t>
            </w:r>
          </w:p>
        </w:tc>
      </w:tr>
      <w:tr w:rsidR="00ED7C77" w:rsidRPr="007403A4" w14:paraId="7F8B164F" w14:textId="77777777" w:rsidTr="006D2C75">
        <w:trPr>
          <w:cantSplit/>
        </w:trPr>
        <w:tc>
          <w:tcPr>
            <w:tcW w:w="3557" w:type="dxa"/>
            <w:tcBorders>
              <w:top w:val="nil"/>
              <w:left w:val="single" w:sz="4" w:space="0" w:color="auto"/>
              <w:right w:val="single" w:sz="4" w:space="0" w:color="auto"/>
            </w:tcBorders>
            <w:vAlign w:val="bottom"/>
          </w:tcPr>
          <w:p w14:paraId="769351C2" w14:textId="77777777" w:rsidR="00ED7C77" w:rsidRPr="007403A4" w:rsidRDefault="00ED7C77" w:rsidP="00C95059">
            <w:pPr>
              <w:keepLines/>
              <w:spacing w:before="50" w:after="50" w:line="240" w:lineRule="exact"/>
              <w:ind w:right="28"/>
              <w:jc w:val="both"/>
              <w:rPr>
                <w:lang w:val="sr-Latn-ME"/>
              </w:rPr>
            </w:pPr>
            <w:r w:rsidRPr="007403A4">
              <w:rPr>
                <w:lang w:val="sr-Latn-ME"/>
              </w:rPr>
              <w:t>p-vrijednost (Cochran</w:t>
            </w:r>
            <w:r w:rsidRPr="007403A4">
              <w:rPr>
                <w:lang w:val="sr-Latn-ME"/>
              </w:rPr>
              <w:noBreakHyphen/>
              <w:t>Mantel</w:t>
            </w:r>
            <w:r w:rsidRPr="007403A4">
              <w:rPr>
                <w:lang w:val="sr-Latn-ME"/>
              </w:rPr>
              <w:noBreakHyphen/>
              <w:t>Haenszelov test)</w:t>
            </w:r>
          </w:p>
        </w:tc>
        <w:tc>
          <w:tcPr>
            <w:tcW w:w="5027" w:type="dxa"/>
            <w:gridSpan w:val="2"/>
            <w:tcBorders>
              <w:top w:val="nil"/>
              <w:left w:val="single" w:sz="4" w:space="0" w:color="auto"/>
              <w:right w:val="single" w:sz="4" w:space="0" w:color="auto"/>
            </w:tcBorders>
            <w:vAlign w:val="bottom"/>
          </w:tcPr>
          <w:p w14:paraId="0CB464C8"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0,33</w:t>
            </w:r>
          </w:p>
        </w:tc>
      </w:tr>
      <w:tr w:rsidR="00ED7C77" w:rsidRPr="007403A4" w14:paraId="79A2F175" w14:textId="77777777" w:rsidTr="006D2C75">
        <w:trPr>
          <w:cantSplit/>
        </w:trPr>
        <w:tc>
          <w:tcPr>
            <w:tcW w:w="3557" w:type="dxa"/>
            <w:tcBorders>
              <w:left w:val="single" w:sz="4" w:space="0" w:color="auto"/>
              <w:bottom w:val="nil"/>
              <w:right w:val="single" w:sz="4" w:space="0" w:color="auto"/>
            </w:tcBorders>
            <w:vAlign w:val="bottom"/>
          </w:tcPr>
          <w:p w14:paraId="15E3C3BF" w14:textId="77777777" w:rsidR="00ED7C77" w:rsidRPr="007403A4" w:rsidRDefault="00ED7C77" w:rsidP="00C95059">
            <w:pPr>
              <w:keepNext/>
              <w:keepLines/>
              <w:spacing w:before="50" w:after="50" w:line="240" w:lineRule="exact"/>
              <w:ind w:right="28"/>
              <w:jc w:val="both"/>
              <w:rPr>
                <w:lang w:val="sr-Latn-ME"/>
              </w:rPr>
            </w:pPr>
            <w:r w:rsidRPr="007403A4">
              <w:rPr>
                <w:lang w:val="sr-Latn-ME"/>
              </w:rPr>
              <w:t>Potpun odgovor (CR)</w:t>
            </w:r>
          </w:p>
        </w:tc>
        <w:tc>
          <w:tcPr>
            <w:tcW w:w="2544" w:type="dxa"/>
            <w:tcBorders>
              <w:left w:val="single" w:sz="4" w:space="0" w:color="auto"/>
              <w:bottom w:val="nil"/>
            </w:tcBorders>
          </w:tcPr>
          <w:p w14:paraId="5DD9315B" w14:textId="77777777" w:rsidR="00ED7C77" w:rsidRPr="007403A4" w:rsidRDefault="00ED7C77" w:rsidP="004D3AD0">
            <w:pPr>
              <w:keepNext/>
              <w:keepLines/>
              <w:spacing w:before="50" w:after="50" w:line="240" w:lineRule="exact"/>
              <w:ind w:right="28"/>
              <w:jc w:val="center"/>
              <w:rPr>
                <w:rFonts w:eastAsia="MS Mincho"/>
                <w:lang w:val="sr-Latn-ME"/>
              </w:rPr>
            </w:pPr>
            <w:r w:rsidRPr="007403A4">
              <w:rPr>
                <w:lang w:val="sr-Latn-ME"/>
              </w:rPr>
              <w:t>143 (23,8%)</w:t>
            </w:r>
          </w:p>
        </w:tc>
        <w:tc>
          <w:tcPr>
            <w:tcW w:w="2483" w:type="dxa"/>
            <w:tcBorders>
              <w:bottom w:val="nil"/>
              <w:right w:val="single" w:sz="4" w:space="0" w:color="auto"/>
            </w:tcBorders>
          </w:tcPr>
          <w:p w14:paraId="70474806" w14:textId="77777777" w:rsidR="00ED7C77" w:rsidRPr="007403A4" w:rsidRDefault="00ED7C77">
            <w:pPr>
              <w:keepNext/>
              <w:keepLines/>
              <w:spacing w:before="50" w:after="50" w:line="240" w:lineRule="exact"/>
              <w:ind w:right="28"/>
              <w:jc w:val="center"/>
              <w:rPr>
                <w:rFonts w:eastAsia="MS Mincho"/>
                <w:lang w:val="sr-Latn-ME"/>
              </w:rPr>
            </w:pPr>
            <w:r w:rsidRPr="007403A4">
              <w:rPr>
                <w:lang w:val="sr-Latn-ME"/>
              </w:rPr>
              <w:t>117 (19,5%)</w:t>
            </w:r>
          </w:p>
        </w:tc>
      </w:tr>
      <w:tr w:rsidR="00ED7C77" w:rsidRPr="007403A4" w14:paraId="298D583D" w14:textId="77777777" w:rsidTr="006D2C75">
        <w:trPr>
          <w:cantSplit/>
        </w:trPr>
        <w:tc>
          <w:tcPr>
            <w:tcW w:w="3557" w:type="dxa"/>
            <w:tcBorders>
              <w:left w:val="single" w:sz="4" w:space="0" w:color="auto"/>
              <w:bottom w:val="nil"/>
              <w:right w:val="single" w:sz="4" w:space="0" w:color="auto"/>
            </w:tcBorders>
            <w:vAlign w:val="bottom"/>
          </w:tcPr>
          <w:p w14:paraId="7B160944" w14:textId="77777777" w:rsidR="00ED7C77" w:rsidRPr="007403A4" w:rsidRDefault="00ED7C77" w:rsidP="00C95059">
            <w:pPr>
              <w:keepNext/>
              <w:keepLines/>
              <w:spacing w:before="50" w:after="50" w:line="240" w:lineRule="exact"/>
              <w:ind w:right="28"/>
              <w:jc w:val="both"/>
              <w:rPr>
                <w:lang w:val="sr-Latn-ME"/>
              </w:rPr>
            </w:pPr>
            <w:r w:rsidRPr="007403A4">
              <w:rPr>
                <w:lang w:val="sr-Latn-ME"/>
              </w:rPr>
              <w:t>Djelimičan odgovor (PR)</w:t>
            </w:r>
          </w:p>
        </w:tc>
        <w:tc>
          <w:tcPr>
            <w:tcW w:w="2544" w:type="dxa"/>
            <w:tcBorders>
              <w:left w:val="single" w:sz="4" w:space="0" w:color="auto"/>
              <w:bottom w:val="nil"/>
            </w:tcBorders>
            <w:vAlign w:val="bottom"/>
          </w:tcPr>
          <w:p w14:paraId="176E67F9" w14:textId="77777777" w:rsidR="00ED7C77" w:rsidRPr="007403A4" w:rsidRDefault="00ED7C77" w:rsidP="004D3AD0">
            <w:pPr>
              <w:keepNext/>
              <w:keepLines/>
              <w:spacing w:before="50" w:after="50" w:line="240" w:lineRule="exact"/>
              <w:ind w:right="28"/>
              <w:jc w:val="center"/>
              <w:rPr>
                <w:lang w:val="sr-Latn-ME"/>
              </w:rPr>
            </w:pPr>
            <w:r w:rsidRPr="007403A4">
              <w:rPr>
                <w:lang w:val="sr-Latn-ME"/>
              </w:rPr>
              <w:t>379 (63,1%)</w:t>
            </w:r>
          </w:p>
        </w:tc>
        <w:tc>
          <w:tcPr>
            <w:tcW w:w="2483" w:type="dxa"/>
            <w:tcBorders>
              <w:bottom w:val="nil"/>
              <w:right w:val="single" w:sz="4" w:space="0" w:color="auto"/>
            </w:tcBorders>
            <w:vAlign w:val="bottom"/>
          </w:tcPr>
          <w:p w14:paraId="01976F16" w14:textId="77777777" w:rsidR="00ED7C77" w:rsidRPr="007403A4" w:rsidRDefault="00ED7C77">
            <w:pPr>
              <w:keepNext/>
              <w:keepLines/>
              <w:spacing w:before="50" w:after="50" w:line="240" w:lineRule="exact"/>
              <w:ind w:right="28"/>
              <w:jc w:val="center"/>
              <w:rPr>
                <w:lang w:val="sr-Latn-ME"/>
              </w:rPr>
            </w:pPr>
            <w:r w:rsidRPr="007403A4">
              <w:rPr>
                <w:lang w:val="sr-Latn-ME"/>
              </w:rPr>
              <w:t>415 (69,1%)</w:t>
            </w:r>
          </w:p>
        </w:tc>
      </w:tr>
      <w:tr w:rsidR="00ED7C77" w:rsidRPr="007403A4" w14:paraId="256BA3B9" w14:textId="77777777" w:rsidTr="006D2C75">
        <w:trPr>
          <w:cantSplit/>
        </w:trPr>
        <w:tc>
          <w:tcPr>
            <w:tcW w:w="8584" w:type="dxa"/>
            <w:gridSpan w:val="3"/>
            <w:tcBorders>
              <w:top w:val="single" w:sz="4" w:space="0" w:color="auto"/>
            </w:tcBorders>
            <w:tcMar>
              <w:top w:w="58" w:type="dxa"/>
            </w:tcMar>
          </w:tcPr>
          <w:p w14:paraId="2E7EED4F" w14:textId="42595AE8" w:rsidR="00ED7C77" w:rsidRPr="007403A4" w:rsidRDefault="00ED7C77" w:rsidP="00C95059">
            <w:pPr>
              <w:keepLines/>
              <w:ind w:right="28"/>
              <w:jc w:val="both"/>
              <w:rPr>
                <w:i/>
                <w:sz w:val="20"/>
                <w:szCs w:val="20"/>
                <w:lang w:val="sr-Latn-ME"/>
              </w:rPr>
            </w:pPr>
            <w:r w:rsidRPr="007403A4">
              <w:rPr>
                <w:i/>
                <w:sz w:val="20"/>
                <w:szCs w:val="20"/>
                <w:lang w:val="sr-Latn-ME"/>
              </w:rPr>
              <w:t>PFS: preživljavanja bez progresije bolesti (engl. progression-free survival); HR: o</w:t>
            </w:r>
            <w:r w:rsidR="004D3AD0" w:rsidRPr="007403A4">
              <w:rPr>
                <w:i/>
                <w:sz w:val="20"/>
                <w:szCs w:val="20"/>
                <w:lang w:val="sr-Latn-ME"/>
              </w:rPr>
              <w:t>dnos rizik</w:t>
            </w:r>
            <w:r w:rsidRPr="007403A4">
              <w:rPr>
                <w:i/>
                <w:sz w:val="20"/>
                <w:szCs w:val="20"/>
                <w:lang w:val="sr-Latn-ME"/>
              </w:rPr>
              <w:t>a (engl. hazard ratio); CI: interval pouzdanosti (engl. confidence interval); CR: potpun odgovor (engl. complete response); PR: djelimičan odgovor (engl. partial response)</w:t>
            </w:r>
          </w:p>
          <w:p w14:paraId="5662CA2D" w14:textId="79015AC2" w:rsidR="00ED7C77" w:rsidRPr="007403A4" w:rsidRDefault="00ED7C77" w:rsidP="00C95059">
            <w:pPr>
              <w:pStyle w:val="TabFigFooter"/>
              <w:ind w:left="0" w:right="28" w:firstLine="0"/>
              <w:jc w:val="both"/>
              <w:rPr>
                <w:rFonts w:ascii="Times New Roman" w:hAnsi="Times New Roman"/>
                <w:i/>
                <w:szCs w:val="20"/>
                <w:lang w:val="sr-Latn-ME"/>
              </w:rPr>
            </w:pPr>
            <w:r w:rsidRPr="007403A4">
              <w:rPr>
                <w:rFonts w:ascii="Times New Roman" w:hAnsi="Times New Roman"/>
                <w:bCs/>
                <w:i/>
                <w:szCs w:val="20"/>
                <w:lang w:val="sr-Latn-ME"/>
              </w:rPr>
              <w:t>*</w:t>
            </w:r>
            <w:r w:rsidRPr="007403A4">
              <w:rPr>
                <w:rFonts w:ascii="Times New Roman" w:hAnsi="Times New Roman"/>
                <w:i/>
                <w:szCs w:val="20"/>
                <w:lang w:val="sr-Latn-ME"/>
              </w:rPr>
              <w:t xml:space="preserve"> Stratifikaci</w:t>
            </w:r>
            <w:r w:rsidR="004D3AD0" w:rsidRPr="007403A4">
              <w:rPr>
                <w:rFonts w:ascii="Times New Roman" w:hAnsi="Times New Roman"/>
                <w:i/>
                <w:szCs w:val="20"/>
                <w:lang w:val="sr-Latn-ME"/>
              </w:rPr>
              <w:t>oni</w:t>
            </w:r>
            <w:r w:rsidRPr="007403A4">
              <w:rPr>
                <w:rFonts w:ascii="Times New Roman" w:hAnsi="Times New Roman"/>
                <w:i/>
                <w:szCs w:val="20"/>
                <w:lang w:val="sr-Latn-ME"/>
              </w:rPr>
              <w:t xml:space="preserve"> faktori bili su hemoterapijski protokol, grupa rizika kod folikularnog limfoma prema FLIPI indeksu, geografska regija </w:t>
            </w:r>
          </w:p>
          <w:p w14:paraId="3F7014C1" w14:textId="4403B492" w:rsidR="00371411" w:rsidRPr="007403A4" w:rsidRDefault="00ED7C77" w:rsidP="00C95059">
            <w:pPr>
              <w:pStyle w:val="TabFigFooter"/>
              <w:ind w:right="28"/>
              <w:jc w:val="both"/>
              <w:rPr>
                <w:rFonts w:ascii="Times New Roman" w:hAnsi="Times New Roman"/>
                <w:bCs/>
                <w:i/>
                <w:szCs w:val="20"/>
                <w:lang w:val="sr-Latn-ME"/>
              </w:rPr>
            </w:pPr>
            <w:r w:rsidRPr="007403A4">
              <w:rPr>
                <w:rFonts w:ascii="Times New Roman" w:hAnsi="Times New Roman"/>
                <w:i/>
                <w:szCs w:val="20"/>
                <w:vertAlign w:val="superscript"/>
                <w:lang w:val="sr-Latn-ME"/>
              </w:rPr>
              <w:t xml:space="preserve">§ </w:t>
            </w:r>
            <w:r w:rsidRPr="007403A4">
              <w:rPr>
                <w:rFonts w:ascii="Times New Roman" w:hAnsi="Times New Roman"/>
                <w:bCs/>
                <w:i/>
                <w:szCs w:val="20"/>
                <w:lang w:val="sr-Latn-ME"/>
              </w:rPr>
              <w:t>Nivo značajnosti pri ovoj interim</w:t>
            </w:r>
            <w:r w:rsidR="00371411" w:rsidRPr="007403A4">
              <w:rPr>
                <w:rFonts w:ascii="Times New Roman" w:hAnsi="Times New Roman"/>
                <w:bCs/>
                <w:i/>
                <w:szCs w:val="20"/>
                <w:lang w:val="sr-Latn-ME"/>
              </w:rPr>
              <w:t>/primarnoj</w:t>
            </w:r>
            <w:r w:rsidRPr="007403A4">
              <w:rPr>
                <w:rFonts w:ascii="Times New Roman" w:hAnsi="Times New Roman"/>
                <w:bCs/>
                <w:i/>
                <w:szCs w:val="20"/>
                <w:lang w:val="sr-Latn-ME"/>
              </w:rPr>
              <w:t xml:space="preserve"> analizi efikasnosti: 0,012</w:t>
            </w:r>
            <w:r w:rsidR="00371411" w:rsidRPr="007403A4">
              <w:rPr>
                <w:rFonts w:ascii="Times New Roman" w:hAnsi="Times New Roman"/>
                <w:bCs/>
                <w:i/>
                <w:szCs w:val="20"/>
                <w:lang w:val="sr-Latn-ME"/>
              </w:rPr>
              <w:t>; završni datum prikupljanja podataka 31.</w:t>
            </w:r>
            <w:r w:rsidR="00317553" w:rsidRPr="007403A4">
              <w:rPr>
                <w:rFonts w:ascii="Times New Roman" w:hAnsi="Times New Roman"/>
                <w:bCs/>
                <w:i/>
                <w:szCs w:val="20"/>
                <w:lang w:val="sr-Latn-ME"/>
              </w:rPr>
              <w:t xml:space="preserve"> </w:t>
            </w:r>
            <w:r w:rsidR="00371411" w:rsidRPr="007403A4">
              <w:rPr>
                <w:rFonts w:ascii="Times New Roman" w:hAnsi="Times New Roman"/>
                <w:bCs/>
                <w:i/>
                <w:szCs w:val="20"/>
                <w:lang w:val="sr-Latn-ME"/>
              </w:rPr>
              <w:t>januar 2016; medijan</w:t>
            </w:r>
            <w:r w:rsidR="00E506D6" w:rsidRPr="007403A4">
              <w:rPr>
                <w:rFonts w:ascii="Times New Roman" w:hAnsi="Times New Roman"/>
                <w:bCs/>
                <w:i/>
                <w:szCs w:val="20"/>
                <w:lang w:val="sr-Latn-ME"/>
              </w:rPr>
              <w:t>a</w:t>
            </w:r>
            <w:r w:rsidR="00371411" w:rsidRPr="007403A4">
              <w:rPr>
                <w:rFonts w:ascii="Times New Roman" w:hAnsi="Times New Roman"/>
                <w:bCs/>
                <w:i/>
                <w:szCs w:val="20"/>
                <w:lang w:val="sr-Latn-ME"/>
              </w:rPr>
              <w:t xml:space="preserve"> vremena posmatranja 34/35 m</w:t>
            </w:r>
            <w:r w:rsidR="00317553" w:rsidRPr="007403A4">
              <w:rPr>
                <w:rFonts w:ascii="Times New Roman" w:hAnsi="Times New Roman"/>
                <w:bCs/>
                <w:i/>
                <w:szCs w:val="20"/>
                <w:lang w:val="sr-Latn-ME"/>
              </w:rPr>
              <w:t>j</w:t>
            </w:r>
            <w:r w:rsidR="00371411" w:rsidRPr="007403A4">
              <w:rPr>
                <w:rFonts w:ascii="Times New Roman" w:hAnsi="Times New Roman"/>
                <w:bCs/>
                <w:i/>
                <w:szCs w:val="20"/>
                <w:lang w:val="sr-Latn-ME"/>
              </w:rPr>
              <w:t>eseci</w:t>
            </w:r>
          </w:p>
          <w:p w14:paraId="26F2F3B5" w14:textId="5D3314B0" w:rsidR="00ED7C77" w:rsidRPr="007403A4" w:rsidRDefault="00371411" w:rsidP="00C95059">
            <w:pPr>
              <w:pStyle w:val="TabFigFooter"/>
              <w:ind w:left="0" w:right="28" w:firstLine="0"/>
              <w:jc w:val="both"/>
              <w:rPr>
                <w:rFonts w:ascii="Times New Roman" w:hAnsi="Times New Roman"/>
                <w:bCs/>
                <w:i/>
                <w:szCs w:val="20"/>
                <w:lang w:val="sr-Latn-ME"/>
              </w:rPr>
            </w:pPr>
            <w:r w:rsidRPr="007403A4">
              <w:rPr>
                <w:rFonts w:ascii="Times New Roman" w:hAnsi="Times New Roman"/>
                <w:bCs/>
                <w:i/>
                <w:szCs w:val="20"/>
                <w:lang w:val="sr-Latn-ME"/>
              </w:rPr>
              <w:t>§§ Završna analiza: završni datu</w:t>
            </w:r>
            <w:r w:rsidR="00E506D6" w:rsidRPr="007403A4">
              <w:rPr>
                <w:rFonts w:ascii="Times New Roman" w:hAnsi="Times New Roman"/>
                <w:bCs/>
                <w:i/>
                <w:szCs w:val="20"/>
                <w:lang w:val="sr-Latn-ME"/>
              </w:rPr>
              <w:t>m prikupljanja podataka 30. jul</w:t>
            </w:r>
            <w:r w:rsidRPr="007403A4">
              <w:rPr>
                <w:rFonts w:ascii="Times New Roman" w:hAnsi="Times New Roman"/>
                <w:bCs/>
                <w:i/>
                <w:szCs w:val="20"/>
                <w:lang w:val="sr-Latn-ME"/>
              </w:rPr>
              <w:t xml:space="preserve"> 2021; medijan</w:t>
            </w:r>
            <w:r w:rsidR="00E506D6" w:rsidRPr="007403A4">
              <w:rPr>
                <w:rFonts w:ascii="Times New Roman" w:hAnsi="Times New Roman"/>
                <w:bCs/>
                <w:i/>
                <w:szCs w:val="20"/>
                <w:lang w:val="sr-Latn-ME"/>
              </w:rPr>
              <w:t>a</w:t>
            </w:r>
            <w:r w:rsidRPr="007403A4">
              <w:rPr>
                <w:rFonts w:ascii="Times New Roman" w:hAnsi="Times New Roman"/>
                <w:bCs/>
                <w:i/>
                <w:szCs w:val="20"/>
                <w:lang w:val="sr-Latn-ME"/>
              </w:rPr>
              <w:t xml:space="preserve"> vremena posmatranja 94 mjeseca</w:t>
            </w:r>
          </w:p>
          <w:p w14:paraId="517C3055" w14:textId="0BAD8101" w:rsidR="00ED7C77" w:rsidRPr="007403A4" w:rsidRDefault="00ED7C77" w:rsidP="00C95059">
            <w:pPr>
              <w:pStyle w:val="TabFigFooter"/>
              <w:ind w:left="0" w:right="28" w:firstLine="0"/>
              <w:jc w:val="both"/>
              <w:rPr>
                <w:rFonts w:ascii="Times New Roman" w:hAnsi="Times New Roman"/>
                <w:i/>
                <w:szCs w:val="20"/>
                <w:lang w:val="sr-Latn-ME"/>
              </w:rPr>
            </w:pPr>
            <w:r w:rsidRPr="007403A4">
              <w:rPr>
                <w:rFonts w:ascii="Times New Roman" w:hAnsi="Times New Roman"/>
                <w:i/>
                <w:szCs w:val="20"/>
                <w:vertAlign w:val="superscript"/>
                <w:lang w:val="sr-Latn-ME"/>
              </w:rPr>
              <w:t>¶</w:t>
            </w:r>
            <w:r w:rsidRPr="007403A4">
              <w:rPr>
                <w:rFonts w:ascii="Times New Roman" w:hAnsi="Times New Roman"/>
                <w:i/>
                <w:szCs w:val="20"/>
                <w:lang w:val="sr-Latn-ME"/>
              </w:rPr>
              <w:t xml:space="preserve"> Podaci još ni</w:t>
            </w:r>
            <w:r w:rsidR="004D3AD0" w:rsidRPr="007403A4">
              <w:rPr>
                <w:rFonts w:ascii="Times New Roman" w:hAnsi="Times New Roman"/>
                <w:i/>
                <w:szCs w:val="20"/>
                <w:lang w:val="sr-Latn-ME"/>
              </w:rPr>
              <w:t>je</w:t>
            </w:r>
            <w:r w:rsidRPr="007403A4">
              <w:rPr>
                <w:rFonts w:ascii="Times New Roman" w:hAnsi="Times New Roman"/>
                <w:i/>
                <w:szCs w:val="20"/>
                <w:lang w:val="sr-Latn-ME"/>
              </w:rPr>
              <w:t>su zreli. Medijana nije bi</w:t>
            </w:r>
            <w:r w:rsidR="004D3AD0" w:rsidRPr="007403A4">
              <w:rPr>
                <w:rFonts w:ascii="Times New Roman" w:hAnsi="Times New Roman"/>
                <w:i/>
                <w:szCs w:val="20"/>
                <w:lang w:val="sr-Latn-ME"/>
              </w:rPr>
              <w:t>la</w:t>
            </w:r>
            <w:r w:rsidRPr="007403A4">
              <w:rPr>
                <w:rFonts w:ascii="Times New Roman" w:hAnsi="Times New Roman"/>
                <w:i/>
                <w:szCs w:val="20"/>
                <w:lang w:val="sr-Latn-ME"/>
              </w:rPr>
              <w:t xml:space="preserve"> dostignuta u trenutku analize </w:t>
            </w:r>
          </w:p>
          <w:p w14:paraId="245714F5" w14:textId="77777777" w:rsidR="00ED7C77" w:rsidRPr="007403A4" w:rsidRDefault="00ED7C77" w:rsidP="00C95059">
            <w:pPr>
              <w:pStyle w:val="TabFigFooter"/>
              <w:ind w:left="0" w:right="28" w:firstLine="0"/>
              <w:jc w:val="both"/>
              <w:rPr>
                <w:rFonts w:ascii="Times New Roman" w:hAnsi="Times New Roman"/>
                <w:i/>
                <w:szCs w:val="20"/>
                <w:lang w:val="sr-Latn-ME"/>
              </w:rPr>
            </w:pPr>
            <w:r w:rsidRPr="007403A4">
              <w:rPr>
                <w:rFonts w:ascii="Times New Roman" w:hAnsi="Times New Roman"/>
                <w:b/>
                <w:i/>
                <w:vertAlign w:val="superscript"/>
                <w:lang w:val="sr-Latn-ME"/>
              </w:rPr>
              <w:t xml:space="preserve"># </w:t>
            </w:r>
            <w:r w:rsidRPr="007403A4">
              <w:rPr>
                <w:rFonts w:ascii="Times New Roman" w:hAnsi="Times New Roman"/>
                <w:i/>
                <w:szCs w:val="20"/>
                <w:lang w:val="sr-Latn-ME"/>
              </w:rPr>
              <w:t>nije prilagođeno za multiplicitet</w:t>
            </w:r>
          </w:p>
          <w:p w14:paraId="3BCBB9F2" w14:textId="77777777" w:rsidR="00ED7C77" w:rsidRPr="007403A4" w:rsidRDefault="00ED7C77" w:rsidP="00C95059">
            <w:pPr>
              <w:pStyle w:val="TabFigFooter"/>
              <w:ind w:left="0" w:right="28" w:firstLine="0"/>
              <w:jc w:val="both"/>
              <w:rPr>
                <w:rFonts w:ascii="Times New Roman" w:hAnsi="Times New Roman"/>
                <w:i/>
                <w:szCs w:val="20"/>
                <w:lang w:val="sr-Latn-ME"/>
              </w:rPr>
            </w:pPr>
            <w:r w:rsidRPr="007403A4">
              <w:rPr>
                <w:rFonts w:ascii="Times New Roman" w:hAnsi="Times New Roman"/>
                <w:i/>
                <w:szCs w:val="20"/>
                <w:lang w:val="sr-Latn-ME"/>
              </w:rPr>
              <w:t>**Ocijenjeno prema modifikovanim Chesonovim kriterijumima iz 2007.</w:t>
            </w:r>
          </w:p>
          <w:p w14:paraId="11A94292" w14:textId="77777777" w:rsidR="00ED7C77" w:rsidRPr="007403A4" w:rsidRDefault="00ED7C77" w:rsidP="00C95059">
            <w:pPr>
              <w:ind w:right="28"/>
              <w:jc w:val="both"/>
              <w:rPr>
                <w:bCs/>
                <w:sz w:val="20"/>
                <w:szCs w:val="20"/>
                <w:lang w:val="sr-Latn-ME"/>
              </w:rPr>
            </w:pPr>
            <w:r w:rsidRPr="007403A4">
              <w:rPr>
                <w:i/>
                <w:sz w:val="20"/>
                <w:szCs w:val="20"/>
                <w:vertAlign w:val="superscript"/>
                <w:lang w:val="sr-Latn-ME"/>
              </w:rPr>
              <w:t>‡</w:t>
            </w:r>
            <w:r w:rsidRPr="007403A4">
              <w:rPr>
                <w:i/>
                <w:sz w:val="20"/>
                <w:szCs w:val="20"/>
                <w:lang w:val="sr-Latn-ME"/>
              </w:rPr>
              <w:t xml:space="preserve"> </w:t>
            </w:r>
            <w:r w:rsidRPr="007403A4">
              <w:rPr>
                <w:bCs/>
                <w:i/>
                <w:sz w:val="20"/>
                <w:szCs w:val="20"/>
                <w:lang w:val="sr-Latn-ME"/>
              </w:rPr>
              <w:t>Kraj uvodnog liječenja = kraj perioda uvodnog liječenja, ne uključuje monoterapiju održavanja</w:t>
            </w:r>
          </w:p>
        </w:tc>
      </w:tr>
    </w:tbl>
    <w:p w14:paraId="2D74AB07" w14:textId="77777777" w:rsidR="00ED7C77" w:rsidRPr="007403A4" w:rsidRDefault="00ED7C77" w:rsidP="004D3AD0">
      <w:pPr>
        <w:spacing w:before="1" w:line="254" w:lineRule="exact"/>
        <w:ind w:right="28"/>
        <w:jc w:val="both"/>
        <w:rPr>
          <w:sz w:val="22"/>
          <w:szCs w:val="22"/>
          <w:lang w:val="sr-Latn-ME"/>
        </w:rPr>
      </w:pPr>
    </w:p>
    <w:p w14:paraId="5699F831" w14:textId="77777777" w:rsidR="00ED433E" w:rsidRPr="007403A4" w:rsidRDefault="00ED433E" w:rsidP="004D3AD0">
      <w:pPr>
        <w:keepNext/>
        <w:keepLines/>
        <w:ind w:right="28"/>
        <w:jc w:val="both"/>
        <w:rPr>
          <w:b/>
          <w:color w:val="000000"/>
          <w:sz w:val="22"/>
          <w:szCs w:val="22"/>
          <w:lang w:val="sr-Latn-ME"/>
        </w:rPr>
      </w:pPr>
    </w:p>
    <w:p w14:paraId="6FD1F592" w14:textId="5735026B" w:rsidR="00ED7C77" w:rsidRPr="007403A4" w:rsidRDefault="00ED7C77" w:rsidP="004D3AD0">
      <w:pPr>
        <w:keepNext/>
        <w:keepLines/>
        <w:ind w:right="28"/>
        <w:jc w:val="both"/>
        <w:rPr>
          <w:b/>
          <w:color w:val="000000"/>
          <w:sz w:val="22"/>
          <w:szCs w:val="22"/>
          <w:lang w:val="sr-Latn-ME"/>
        </w:rPr>
      </w:pPr>
      <w:r w:rsidRPr="007403A4">
        <w:rPr>
          <w:b/>
          <w:color w:val="000000"/>
          <w:sz w:val="22"/>
          <w:szCs w:val="22"/>
          <w:lang w:val="sr-Latn-ME"/>
        </w:rPr>
        <w:t>Slika 5 Kaplan-Meier</w:t>
      </w:r>
      <w:r w:rsidR="004D3AD0" w:rsidRPr="007403A4">
        <w:rPr>
          <w:b/>
          <w:color w:val="000000"/>
          <w:sz w:val="22"/>
          <w:szCs w:val="22"/>
          <w:lang w:val="sr-Latn-ME"/>
        </w:rPr>
        <w:t>-</w:t>
      </w:r>
      <w:r w:rsidRPr="007403A4">
        <w:rPr>
          <w:b/>
          <w:color w:val="000000"/>
          <w:sz w:val="22"/>
          <w:szCs w:val="22"/>
          <w:lang w:val="sr-Latn-ME"/>
        </w:rPr>
        <w:t>ova kriva preživljavanja bez progresije bolesti prema ocjeni ispitivača kod pacijenata sa prethodno neliječenim FL (studija BO21223/GALLIUM)</w:t>
      </w:r>
      <w:r w:rsidR="00371411" w:rsidRPr="007403A4">
        <w:rPr>
          <w:b/>
          <w:color w:val="000000"/>
          <w:sz w:val="22"/>
          <w:szCs w:val="22"/>
          <w:lang w:val="sr-Latn-ME"/>
        </w:rPr>
        <w:t>; završna analiza</w:t>
      </w:r>
      <w:r w:rsidR="004D3AD0" w:rsidRPr="007403A4">
        <w:rPr>
          <w:b/>
          <w:color w:val="000000"/>
          <w:sz w:val="22"/>
          <w:szCs w:val="22"/>
          <w:lang w:val="sr-Latn-ME"/>
        </w:rPr>
        <w:t>*</w:t>
      </w:r>
    </w:p>
    <w:p w14:paraId="0144C90E" w14:textId="282CD5B8" w:rsidR="00371411" w:rsidRPr="007403A4" w:rsidRDefault="00371411" w:rsidP="00C95059">
      <w:pPr>
        <w:spacing w:after="170"/>
        <w:ind w:right="28"/>
        <w:jc w:val="both"/>
        <w:rPr>
          <w:i/>
          <w:sz w:val="18"/>
          <w:szCs w:val="16"/>
          <w:lang w:val="sr-Latn-ME"/>
        </w:rPr>
      </w:pPr>
    </w:p>
    <w:p w14:paraId="09B93AA4" w14:textId="06A4725B" w:rsidR="00371411" w:rsidRPr="007403A4" w:rsidRDefault="007403A4" w:rsidP="00C95059">
      <w:pPr>
        <w:spacing w:after="170"/>
        <w:ind w:right="28"/>
        <w:jc w:val="both"/>
        <w:rPr>
          <w:i/>
          <w:sz w:val="18"/>
          <w:szCs w:val="16"/>
          <w:lang w:val="sr-Latn-ME"/>
        </w:rPr>
      </w:pPr>
      <w:r w:rsidRPr="007403A4">
        <w:rPr>
          <w:i/>
          <w:sz w:val="18"/>
          <w:szCs w:val="16"/>
          <w:lang w:val="sr-Latn-ME"/>
        </w:rPr>
        <w:pict w14:anchorId="735CA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05pt;height:237.3pt">
            <v:imagedata r:id="rId17" o:title="Capture MNE"/>
          </v:shape>
        </w:pict>
      </w:r>
    </w:p>
    <w:p w14:paraId="6634E3D5" w14:textId="77777777" w:rsidR="00371411" w:rsidRPr="007403A4" w:rsidRDefault="00371411" w:rsidP="00C95059">
      <w:pPr>
        <w:spacing w:after="170"/>
        <w:ind w:right="28"/>
        <w:jc w:val="both"/>
        <w:rPr>
          <w:i/>
          <w:sz w:val="18"/>
          <w:szCs w:val="16"/>
          <w:lang w:val="sr-Latn-ME"/>
        </w:rPr>
      </w:pPr>
    </w:p>
    <w:p w14:paraId="666EED21" w14:textId="27AAA135" w:rsidR="004D3AD0" w:rsidRPr="007403A4" w:rsidRDefault="00371411" w:rsidP="004D3AD0">
      <w:pPr>
        <w:spacing w:before="1" w:line="254" w:lineRule="exact"/>
        <w:ind w:right="28"/>
        <w:jc w:val="both"/>
        <w:rPr>
          <w:sz w:val="18"/>
          <w:szCs w:val="16"/>
          <w:lang w:val="sr-Latn-ME"/>
        </w:rPr>
      </w:pPr>
      <w:r w:rsidRPr="007403A4">
        <w:rPr>
          <w:sz w:val="18"/>
          <w:szCs w:val="16"/>
          <w:lang w:val="sr-Latn-ME"/>
        </w:rPr>
        <w:t>R-hemo: rituksimab plus hem</w:t>
      </w:r>
      <w:r w:rsidR="00E506D6" w:rsidRPr="007403A4">
        <w:rPr>
          <w:sz w:val="18"/>
          <w:szCs w:val="16"/>
          <w:lang w:val="sr-Latn-ME"/>
        </w:rPr>
        <w:t>i</w:t>
      </w:r>
      <w:r w:rsidRPr="007403A4">
        <w:rPr>
          <w:sz w:val="18"/>
          <w:szCs w:val="16"/>
          <w:lang w:val="sr-Latn-ME"/>
        </w:rPr>
        <w:t>oterapija, G-hemo: Gazyva</w:t>
      </w:r>
      <w:r w:rsidR="00317553" w:rsidRPr="007403A4">
        <w:rPr>
          <w:sz w:val="18"/>
          <w:szCs w:val="16"/>
          <w:lang w:val="sr-Latn-ME"/>
        </w:rPr>
        <w:t>ro</w:t>
      </w:r>
      <w:r w:rsidRPr="007403A4">
        <w:rPr>
          <w:sz w:val="18"/>
          <w:szCs w:val="16"/>
          <w:lang w:val="sr-Latn-ME"/>
        </w:rPr>
        <w:t xml:space="preserve"> plus hem</w:t>
      </w:r>
      <w:r w:rsidR="00E506D6" w:rsidRPr="007403A4">
        <w:rPr>
          <w:sz w:val="18"/>
          <w:szCs w:val="16"/>
          <w:lang w:val="sr-Latn-ME"/>
        </w:rPr>
        <w:t>i</w:t>
      </w:r>
      <w:r w:rsidRPr="007403A4">
        <w:rPr>
          <w:sz w:val="18"/>
          <w:szCs w:val="16"/>
          <w:lang w:val="sr-Latn-ME"/>
        </w:rPr>
        <w:t xml:space="preserve">oterapija, HR: odnos </w:t>
      </w:r>
      <w:r w:rsidR="004D3AD0" w:rsidRPr="007403A4">
        <w:rPr>
          <w:sz w:val="18"/>
          <w:szCs w:val="16"/>
          <w:lang w:val="sr-Latn-ME"/>
        </w:rPr>
        <w:t>rizika</w:t>
      </w:r>
      <w:r w:rsidRPr="007403A4">
        <w:rPr>
          <w:sz w:val="18"/>
          <w:szCs w:val="16"/>
          <w:lang w:val="sr-Latn-ME"/>
        </w:rPr>
        <w:t>, CI: interval pouzdanosti</w:t>
      </w:r>
    </w:p>
    <w:p w14:paraId="695EAB99" w14:textId="079B288A" w:rsidR="00ED7C77" w:rsidRPr="007403A4" w:rsidRDefault="004D3AD0" w:rsidP="004D3AD0">
      <w:pPr>
        <w:spacing w:before="1" w:line="254" w:lineRule="exact"/>
        <w:ind w:right="28"/>
        <w:jc w:val="both"/>
        <w:rPr>
          <w:sz w:val="18"/>
          <w:szCs w:val="16"/>
          <w:lang w:val="sr-Latn-ME"/>
        </w:rPr>
      </w:pPr>
      <w:r w:rsidRPr="007403A4">
        <w:rPr>
          <w:i/>
          <w:sz w:val="18"/>
          <w:szCs w:val="16"/>
          <w:lang w:val="sr-Latn-ME"/>
        </w:rPr>
        <w:t>*</w:t>
      </w:r>
      <w:r w:rsidR="00371411" w:rsidRPr="007403A4" w:rsidDel="00371411">
        <w:rPr>
          <w:i/>
          <w:sz w:val="18"/>
          <w:szCs w:val="16"/>
          <w:lang w:val="sr-Latn-ME"/>
        </w:rPr>
        <w:t xml:space="preserve"> </w:t>
      </w:r>
      <w:r w:rsidRPr="007403A4">
        <w:rPr>
          <w:i/>
          <w:sz w:val="18"/>
          <w:szCs w:val="16"/>
          <w:lang w:val="sr-Latn-ME"/>
        </w:rPr>
        <w:t>Završna analiza: završni datum prikupljanja podataka 30. jul 2021; medijana vremena posmatranja 94 mjeseca</w:t>
      </w:r>
    </w:p>
    <w:p w14:paraId="2107AFEB" w14:textId="77777777" w:rsidR="00421A7C" w:rsidRPr="007403A4" w:rsidRDefault="00421A7C">
      <w:pPr>
        <w:spacing w:before="1" w:line="254" w:lineRule="exact"/>
        <w:ind w:right="28"/>
        <w:jc w:val="both"/>
        <w:rPr>
          <w:sz w:val="22"/>
          <w:szCs w:val="22"/>
          <w:lang w:val="sr-Latn-ME"/>
        </w:rPr>
      </w:pPr>
    </w:p>
    <w:p w14:paraId="6FEA08BC" w14:textId="77777777" w:rsidR="00ED7C77" w:rsidRPr="007403A4" w:rsidRDefault="00ED7C77">
      <w:pPr>
        <w:spacing w:before="1" w:line="254" w:lineRule="exact"/>
        <w:ind w:right="28"/>
        <w:jc w:val="both"/>
        <w:rPr>
          <w:i/>
          <w:sz w:val="22"/>
          <w:szCs w:val="22"/>
          <w:lang w:val="sr-Latn-ME"/>
        </w:rPr>
      </w:pPr>
      <w:r w:rsidRPr="007403A4">
        <w:rPr>
          <w:i/>
          <w:sz w:val="22"/>
          <w:szCs w:val="22"/>
          <w:lang w:val="sr-Latn-ME"/>
        </w:rPr>
        <w:lastRenderedPageBreak/>
        <w:t>Rezultati analiza podgrupa</w:t>
      </w:r>
    </w:p>
    <w:p w14:paraId="005E13AE" w14:textId="13105FE3" w:rsidR="00ED7C77" w:rsidRPr="007403A4" w:rsidRDefault="00ED7C77">
      <w:pPr>
        <w:spacing w:before="1" w:line="254" w:lineRule="exact"/>
        <w:ind w:right="28"/>
        <w:jc w:val="both"/>
        <w:rPr>
          <w:sz w:val="22"/>
          <w:szCs w:val="22"/>
          <w:lang w:val="sr-Latn-ME"/>
        </w:rPr>
      </w:pPr>
      <w:r w:rsidRPr="007403A4">
        <w:rPr>
          <w:sz w:val="22"/>
          <w:szCs w:val="22"/>
          <w:lang w:val="sr-Latn-ME"/>
        </w:rPr>
        <w:t>Rezultati analiza podgrupa (koji ni</w:t>
      </w:r>
      <w:r w:rsidR="004D3AD0" w:rsidRPr="007403A4">
        <w:rPr>
          <w:sz w:val="22"/>
          <w:szCs w:val="22"/>
          <w:lang w:val="sr-Latn-ME"/>
        </w:rPr>
        <w:t>je</w:t>
      </w:r>
      <w:r w:rsidRPr="007403A4">
        <w:rPr>
          <w:sz w:val="22"/>
          <w:szCs w:val="22"/>
          <w:lang w:val="sr-Latn-ME"/>
        </w:rPr>
        <w:t>su prilagođeni za multiplicitet) u principu su bili u skladu sa rezultatima zabilježenim u populaciji sa FL, što govori u prilog robusnosti cjelokupnog rezultata</w:t>
      </w:r>
      <w:r w:rsidR="00371411" w:rsidRPr="007403A4">
        <w:rPr>
          <w:lang w:val="sr-Latn-ME"/>
        </w:rPr>
        <w:t xml:space="preserve"> </w:t>
      </w:r>
      <w:r w:rsidR="004D3AD0" w:rsidRPr="007403A4">
        <w:rPr>
          <w:lang w:val="sr-Latn-ME"/>
        </w:rPr>
        <w:t>(</w:t>
      </w:r>
      <w:r w:rsidR="00371411" w:rsidRPr="007403A4">
        <w:rPr>
          <w:sz w:val="22"/>
          <w:szCs w:val="22"/>
          <w:lang w:val="sr-Latn-ME"/>
        </w:rPr>
        <w:t>primarna analiza, završni datum prikupljanja podataka 31. januar 2016.)</w:t>
      </w:r>
      <w:r w:rsidRPr="007403A4">
        <w:rPr>
          <w:sz w:val="22"/>
          <w:szCs w:val="22"/>
          <w:lang w:val="sr-Latn-ME"/>
        </w:rPr>
        <w:t xml:space="preserve">. Ocjenjivale su se podgrupe prema međunarodnom prognostičkom indeksu (engl. </w:t>
      </w:r>
      <w:r w:rsidRPr="007403A4">
        <w:rPr>
          <w:i/>
          <w:sz w:val="22"/>
          <w:szCs w:val="22"/>
          <w:lang w:val="sr-Latn-ME"/>
        </w:rPr>
        <w:t>International Prognostic Index</w:t>
      </w:r>
      <w:r w:rsidRPr="007403A4">
        <w:rPr>
          <w:sz w:val="22"/>
          <w:szCs w:val="22"/>
          <w:lang w:val="sr-Latn-ME"/>
        </w:rPr>
        <w:t>, IPI), indeksu FLIPI, velikoj tumorskoj masi, B</w:t>
      </w:r>
      <w:r w:rsidR="004D3AD0" w:rsidRPr="007403A4">
        <w:rPr>
          <w:sz w:val="22"/>
          <w:szCs w:val="22"/>
          <w:lang w:val="sr-Latn-ME"/>
        </w:rPr>
        <w:t>-</w:t>
      </w:r>
      <w:r w:rsidRPr="007403A4">
        <w:rPr>
          <w:sz w:val="22"/>
          <w:szCs w:val="22"/>
          <w:lang w:val="sr-Latn-ME"/>
        </w:rPr>
        <w:t xml:space="preserve">simptomima na početku studije, stadijumu prema Ann Arbor klasifikaciji i početnom ECOG statusu. Među pacijentima kojima je FLIPI indeks iznosio 0 – 1 (nizak rizik) nije zapažena razlika između primjene lijeka Gazyvaro plus hemoterapije i rituksimaba plus hemoterapije (HR za PFS prema ocjeni ispitivača: 1,17 [95% CI: 0,63; 2,19, 40 događaja PFS-a]). </w:t>
      </w:r>
      <w:r w:rsidR="004D3AD0" w:rsidRPr="007403A4">
        <w:rPr>
          <w:sz w:val="22"/>
          <w:szCs w:val="22"/>
          <w:lang w:val="sr-Latn-ME"/>
        </w:rPr>
        <w:t>T</w:t>
      </w:r>
      <w:r w:rsidRPr="007403A4">
        <w:rPr>
          <w:sz w:val="22"/>
          <w:szCs w:val="22"/>
          <w:lang w:val="sr-Latn-ME"/>
        </w:rPr>
        <w:t xml:space="preserve">u je podgrupu činilo 21% (253/1202) populacije s FL predviđene za liječenje (engl. </w:t>
      </w:r>
      <w:r w:rsidRPr="007403A4">
        <w:rPr>
          <w:i/>
          <w:sz w:val="22"/>
          <w:szCs w:val="22"/>
          <w:lang w:val="sr-Latn-ME"/>
        </w:rPr>
        <w:t>intent-to-treat</w:t>
      </w:r>
      <w:r w:rsidRPr="007403A4">
        <w:rPr>
          <w:sz w:val="22"/>
          <w:szCs w:val="22"/>
          <w:lang w:val="sr-Latn-ME"/>
        </w:rPr>
        <w:t xml:space="preserve">, ITT) i u njoj je zabilježeno 16,3% (40/245) događaja PFS-a. </w:t>
      </w:r>
    </w:p>
    <w:p w14:paraId="3425A598" w14:textId="59F7B9B8" w:rsidR="00ED7C77" w:rsidRPr="007403A4" w:rsidRDefault="00ED7C77">
      <w:pPr>
        <w:spacing w:before="1" w:line="254" w:lineRule="exact"/>
        <w:ind w:right="28"/>
        <w:jc w:val="both"/>
        <w:rPr>
          <w:sz w:val="22"/>
          <w:szCs w:val="22"/>
          <w:lang w:val="sr-Latn-ME"/>
        </w:rPr>
      </w:pPr>
      <w:r w:rsidRPr="007403A4">
        <w:rPr>
          <w:sz w:val="22"/>
          <w:szCs w:val="22"/>
          <w:lang w:val="sr-Latn-ME"/>
        </w:rPr>
        <w:t>Uz to, rezultati eksplora</w:t>
      </w:r>
      <w:r w:rsidR="00741222" w:rsidRPr="007403A4">
        <w:rPr>
          <w:sz w:val="22"/>
          <w:szCs w:val="22"/>
          <w:lang w:val="sr-Latn-ME"/>
        </w:rPr>
        <w:t>tornih</w:t>
      </w:r>
      <w:r w:rsidRPr="007403A4">
        <w:rPr>
          <w:sz w:val="22"/>
          <w:szCs w:val="22"/>
          <w:lang w:val="sr-Latn-ME"/>
        </w:rPr>
        <w:t xml:space="preserve"> analiza PFS-a prema podgrupama kod svih hemoterapijskih protokola (bendamustin, CHOP i CVP) bili su u skladu sa rezultatima zabilježenim u populaciji liječenoj lijekom Gazyvaro plus hemoterapijom. Zapaženi odnosi </w:t>
      </w:r>
      <w:r w:rsidR="00741222" w:rsidRPr="007403A4">
        <w:rPr>
          <w:sz w:val="22"/>
          <w:szCs w:val="22"/>
          <w:lang w:val="sr-Latn-ME"/>
        </w:rPr>
        <w:t>rizik</w:t>
      </w:r>
      <w:r w:rsidRPr="007403A4">
        <w:rPr>
          <w:sz w:val="22"/>
          <w:szCs w:val="22"/>
          <w:lang w:val="sr-Latn-ME"/>
        </w:rPr>
        <w:t xml:space="preserve">a prema hemoterapijskoj podgrupi bili su sljedeći: CHOP (n = 398): HR 0,77 (95% CI: 0,50 – 1,20); CVP (n = 118): HR 0,63 (95% CI: 0,32 – 1,21); bendamustin (n = 686): HR 0,61 (95% CI: 0,43 – 0,86). </w:t>
      </w:r>
    </w:p>
    <w:p w14:paraId="234E9894" w14:textId="77777777" w:rsidR="00ED7C77" w:rsidRPr="007403A4" w:rsidRDefault="00ED7C77">
      <w:pPr>
        <w:spacing w:before="1" w:line="254" w:lineRule="exact"/>
        <w:ind w:right="28"/>
        <w:jc w:val="both"/>
        <w:rPr>
          <w:sz w:val="22"/>
          <w:szCs w:val="22"/>
          <w:lang w:val="sr-Latn-ME"/>
        </w:rPr>
      </w:pPr>
    </w:p>
    <w:p w14:paraId="19403E42" w14:textId="77777777" w:rsidR="00ED7C77" w:rsidRPr="007403A4" w:rsidRDefault="00ED7C77">
      <w:pPr>
        <w:spacing w:before="1" w:line="254" w:lineRule="exact"/>
        <w:ind w:right="28"/>
        <w:jc w:val="both"/>
        <w:rPr>
          <w:i/>
          <w:sz w:val="22"/>
          <w:szCs w:val="22"/>
          <w:lang w:val="sr-Latn-ME"/>
        </w:rPr>
      </w:pPr>
      <w:r w:rsidRPr="007403A4">
        <w:rPr>
          <w:i/>
          <w:sz w:val="22"/>
          <w:szCs w:val="22"/>
          <w:lang w:val="sr-Latn-ME"/>
        </w:rPr>
        <w:t>Ishodi koje su prijavili pacijenti</w:t>
      </w:r>
    </w:p>
    <w:p w14:paraId="50A1314F" w14:textId="6EECC5D9" w:rsidR="00ED7C77" w:rsidRPr="007403A4" w:rsidRDefault="00ED7C77">
      <w:pPr>
        <w:spacing w:before="1" w:line="254" w:lineRule="exact"/>
        <w:ind w:right="28"/>
        <w:jc w:val="both"/>
        <w:rPr>
          <w:sz w:val="22"/>
          <w:szCs w:val="22"/>
          <w:lang w:val="sr-Latn-ME"/>
        </w:rPr>
      </w:pPr>
      <w:r w:rsidRPr="007403A4">
        <w:rPr>
          <w:sz w:val="22"/>
          <w:szCs w:val="22"/>
          <w:lang w:val="sr-Latn-ME"/>
        </w:rPr>
        <w:t xml:space="preserve">Na osnovu upitnika za funkcionalnu procjenu terapije za limfom (engl. </w:t>
      </w:r>
      <w:r w:rsidRPr="007403A4">
        <w:rPr>
          <w:i/>
          <w:sz w:val="22"/>
          <w:szCs w:val="22"/>
          <w:lang w:val="sr-Latn-ME"/>
        </w:rPr>
        <w:t>Functional Assessment of Cancer Therapy-Lymphoma</w:t>
      </w:r>
      <w:r w:rsidRPr="007403A4">
        <w:rPr>
          <w:sz w:val="22"/>
          <w:szCs w:val="22"/>
          <w:lang w:val="sr-Latn-ME"/>
        </w:rPr>
        <w:t>, FACT–Lym), koji se ispunjavao tokom perioda liječenja i praćenja, utvrđeno je da su pacijenti u</w:t>
      </w:r>
      <w:r w:rsidR="004F24AB" w:rsidRPr="007403A4">
        <w:rPr>
          <w:sz w:val="22"/>
          <w:szCs w:val="22"/>
          <w:lang w:val="sr-Latn-ME"/>
        </w:rPr>
        <w:t xml:space="preserve"> obje </w:t>
      </w:r>
      <w:r w:rsidRPr="007403A4">
        <w:rPr>
          <w:sz w:val="22"/>
          <w:szCs w:val="22"/>
          <w:lang w:val="sr-Latn-ME"/>
        </w:rPr>
        <w:t xml:space="preserve">liječene grupe doživjeli klinički značajno poboljšanje simptoma povezanih sa limfomom, koje se definisalo kao povećanje početnog rezultata na podljestvici za ocjenu limfoma za ≥ 3 boda, povećanje početnog rezultata indeksa ishoda ispitivanja (engl. </w:t>
      </w:r>
      <w:r w:rsidRPr="007403A4">
        <w:rPr>
          <w:i/>
          <w:sz w:val="22"/>
          <w:szCs w:val="22"/>
          <w:lang w:val="sr-Latn-ME"/>
        </w:rPr>
        <w:t>Trial Outcome Index</w:t>
      </w:r>
      <w:r w:rsidRPr="007403A4">
        <w:rPr>
          <w:sz w:val="22"/>
          <w:szCs w:val="22"/>
          <w:lang w:val="sr-Latn-ME"/>
        </w:rPr>
        <w:t>, TOI) iz upitnika FACT-Lym za ≥ 6 bodova i povećanje početnog ukupnog rezultata upitnika FACT-Lym za ≥ 7 bodova. Rezultati za korisnost prema upitniku EQ-5D bili su slični na početku studije, tokom liječenja i tokom praćenja. Nijesu primijećene značajne razlike između grupa s obzirom na kvalitet života vezan uz zdravlje i mjerila zdravstvenog statusa.</w:t>
      </w:r>
    </w:p>
    <w:p w14:paraId="52ED7A8A"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Zbog otvorenog dizajna ispitivanja ishode koje su prijavili pacijenti potrebno je tumačiti uz oprez.</w:t>
      </w:r>
    </w:p>
    <w:p w14:paraId="7B82EDF9" w14:textId="77777777" w:rsidR="00ED7C77" w:rsidRPr="007403A4" w:rsidRDefault="00ED7C77">
      <w:pPr>
        <w:spacing w:before="1" w:line="254" w:lineRule="exact"/>
        <w:ind w:right="28"/>
        <w:jc w:val="both"/>
        <w:rPr>
          <w:sz w:val="22"/>
          <w:szCs w:val="22"/>
          <w:lang w:val="sr-Latn-ME"/>
        </w:rPr>
      </w:pPr>
    </w:p>
    <w:p w14:paraId="68F07499" w14:textId="0B4ED612" w:rsidR="00ED7C77" w:rsidRPr="007403A4" w:rsidRDefault="00741222">
      <w:pPr>
        <w:spacing w:before="1" w:line="254" w:lineRule="exact"/>
        <w:ind w:right="28"/>
        <w:jc w:val="both"/>
        <w:rPr>
          <w:i/>
          <w:sz w:val="22"/>
          <w:szCs w:val="22"/>
          <w:u w:val="single"/>
          <w:lang w:val="sr-Latn-ME"/>
        </w:rPr>
      </w:pPr>
      <w:r w:rsidRPr="007403A4">
        <w:rPr>
          <w:i/>
          <w:sz w:val="22"/>
          <w:szCs w:val="22"/>
          <w:u w:val="single"/>
          <w:lang w:val="sr-Latn-ME"/>
        </w:rPr>
        <w:t>Pacijenti</w:t>
      </w:r>
      <w:r w:rsidR="00ED7C77" w:rsidRPr="007403A4">
        <w:rPr>
          <w:i/>
          <w:sz w:val="22"/>
          <w:szCs w:val="22"/>
          <w:u w:val="single"/>
          <w:lang w:val="sr-Latn-ME"/>
        </w:rPr>
        <w:t xml:space="preserve"> s</w:t>
      </w:r>
      <w:r w:rsidRPr="007403A4">
        <w:rPr>
          <w:i/>
          <w:sz w:val="22"/>
          <w:szCs w:val="22"/>
          <w:u w:val="single"/>
          <w:lang w:val="sr-Latn-ME"/>
        </w:rPr>
        <w:t>a</w:t>
      </w:r>
      <w:r w:rsidR="00ED7C77" w:rsidRPr="007403A4">
        <w:rPr>
          <w:i/>
          <w:sz w:val="22"/>
          <w:szCs w:val="22"/>
          <w:u w:val="single"/>
          <w:lang w:val="sr-Latn-ME"/>
        </w:rPr>
        <w:t xml:space="preserve"> folikularnim limfomom koji nijesu odgovorili na liječenje rituksimabom ili protokolom koji sadrži rituksimab, ili su doživjeli progresiju tokom ili do 6 mjeseci nakon takvog liječenja (studija GAO4753g/GADOLIN).</w:t>
      </w:r>
    </w:p>
    <w:p w14:paraId="6BB5F742" w14:textId="77777777" w:rsidR="00ED7C77" w:rsidRPr="007403A4" w:rsidRDefault="00ED7C77">
      <w:pPr>
        <w:spacing w:before="1" w:line="254" w:lineRule="exact"/>
        <w:ind w:right="28"/>
        <w:jc w:val="both"/>
        <w:rPr>
          <w:sz w:val="22"/>
          <w:szCs w:val="22"/>
          <w:lang w:val="sr-Latn-ME"/>
        </w:rPr>
      </w:pPr>
    </w:p>
    <w:p w14:paraId="3EDB8B79" w14:textId="67098FCA" w:rsidR="00ED7C77" w:rsidRPr="007403A4" w:rsidRDefault="00ED7C77">
      <w:pPr>
        <w:spacing w:before="1" w:line="254" w:lineRule="exact"/>
        <w:ind w:right="28"/>
        <w:jc w:val="both"/>
        <w:rPr>
          <w:sz w:val="22"/>
          <w:szCs w:val="22"/>
          <w:lang w:val="sr-Latn-ME"/>
        </w:rPr>
      </w:pPr>
      <w:r w:rsidRPr="007403A4">
        <w:rPr>
          <w:sz w:val="22"/>
          <w:szCs w:val="22"/>
          <w:lang w:val="sr-Latn-ME"/>
        </w:rPr>
        <w:t xml:space="preserve"> U otvorenoj, multicentričnoj, randomizovanoj kliničkoj studiji faze III (GAO4753g/GADOLIN) ispitivano  je 396 pacijenata sa iNHL om koji ni</w:t>
      </w:r>
      <w:r w:rsidR="00741222" w:rsidRPr="007403A4">
        <w:rPr>
          <w:sz w:val="22"/>
          <w:szCs w:val="22"/>
          <w:lang w:val="sr-Latn-ME"/>
        </w:rPr>
        <w:t>je</w:t>
      </w:r>
      <w:r w:rsidRPr="007403A4">
        <w:rPr>
          <w:sz w:val="22"/>
          <w:szCs w:val="22"/>
          <w:lang w:val="sr-Latn-ME"/>
        </w:rPr>
        <w:t>su odgovorili na liječenje ili su doživjeli progresiju u</w:t>
      </w:r>
      <w:r w:rsidR="00741222" w:rsidRPr="007403A4">
        <w:rPr>
          <w:sz w:val="22"/>
          <w:szCs w:val="22"/>
          <w:lang w:val="sr-Latn-ME"/>
        </w:rPr>
        <w:t xml:space="preserve"> toku</w:t>
      </w:r>
      <w:r w:rsidRPr="007403A4">
        <w:rPr>
          <w:sz w:val="22"/>
          <w:szCs w:val="22"/>
          <w:lang w:val="sr-Latn-ME"/>
        </w:rPr>
        <w:t xml:space="preserve"> 6 mjeseci nakon posljednje doze rituksimaba ili protokola koji je sadržao rituksimab (uključujući monoterapiju rituksimabom u sklopu uvodnog liječenja ili terapije održavanja). Pacijenti su bili randomizovani u odnosu 1:1 za primanje samo bendamustina (B) (n = 202) ili lijeka Gazyvaro u kombinaciji sa bendamustinom (G+B) (n = 194) tokom 6 ciklusa, od kojih je svaki trajao 28 dana. Pacijenti u grupi liječenoj kombinacijom G+B koji nijesu doživjeli progresiju bolesti (tj. pacijenti sa potpunim odgovorom [CR], djelomičnim odgovorom [ PR] ili stabilnom bolešću [engl</w:t>
      </w:r>
      <w:r w:rsidRPr="007403A4">
        <w:rPr>
          <w:i/>
          <w:sz w:val="22"/>
          <w:szCs w:val="22"/>
          <w:lang w:val="sr-Latn-ME"/>
        </w:rPr>
        <w:t>. stable disease</w:t>
      </w:r>
      <w:r w:rsidRPr="007403A4">
        <w:rPr>
          <w:sz w:val="22"/>
          <w:szCs w:val="22"/>
          <w:lang w:val="sr-Latn-ME"/>
        </w:rPr>
        <w:t xml:space="preserve">, SD]) na kraju </w:t>
      </w:r>
      <w:r w:rsidR="0030430A" w:rsidRPr="007403A4">
        <w:rPr>
          <w:sz w:val="22"/>
          <w:szCs w:val="22"/>
          <w:lang w:val="sr-Latn-ME"/>
        </w:rPr>
        <w:t>perioda</w:t>
      </w:r>
      <w:r w:rsidRPr="007403A4">
        <w:rPr>
          <w:sz w:val="22"/>
          <w:szCs w:val="22"/>
          <w:lang w:val="sr-Latn-ME"/>
        </w:rPr>
        <w:t xml:space="preserve"> uvodnog liječenja, nastavili su da primaju </w:t>
      </w:r>
      <w:r w:rsidR="0030430A" w:rsidRPr="007403A4">
        <w:rPr>
          <w:sz w:val="22"/>
          <w:szCs w:val="22"/>
          <w:lang w:val="sr-Latn-ME"/>
        </w:rPr>
        <w:t>lijek</w:t>
      </w:r>
      <w:r w:rsidRPr="007403A4">
        <w:rPr>
          <w:sz w:val="22"/>
          <w:szCs w:val="22"/>
          <w:lang w:val="sr-Latn-ME"/>
        </w:rPr>
        <w:t xml:space="preserve"> Gazyvaro kao terapiju održavanja jedanput svaka na svaka dva mjeseca tokom dvije godine ili do progresije bolesti (št</w:t>
      </w:r>
      <w:r w:rsidR="0030430A" w:rsidRPr="007403A4">
        <w:rPr>
          <w:sz w:val="22"/>
          <w:szCs w:val="22"/>
          <w:lang w:val="sr-Latn-ME"/>
        </w:rPr>
        <w:t>a</w:t>
      </w:r>
      <w:r w:rsidRPr="007403A4">
        <w:rPr>
          <w:sz w:val="22"/>
          <w:szCs w:val="22"/>
          <w:lang w:val="sr-Latn-ME"/>
        </w:rPr>
        <w:t xml:space="preserve"> god je nastupilo ranije). Pacijenti su bili stratifikovani  prema regiji, podtipu iNHL a (folikularni ili nefolikularni), tipu refraktornosti na rituksimab (je li bolest bila refraktorna na prethodno liječenje rituksimabom u monoterapiji ili u kombinaciji s hemoterapijom) te broju prethodnih terapija (≤ 2 naspram &gt; 2). </w:t>
      </w:r>
    </w:p>
    <w:p w14:paraId="07827B66"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 xml:space="preserve"> </w:t>
      </w:r>
    </w:p>
    <w:p w14:paraId="33C4B4BF" w14:textId="0836F1D2" w:rsidR="00ED7C77" w:rsidRPr="007403A4" w:rsidRDefault="00ED7C77">
      <w:pPr>
        <w:spacing w:before="1" w:line="254" w:lineRule="exact"/>
        <w:ind w:right="28"/>
        <w:jc w:val="both"/>
        <w:rPr>
          <w:sz w:val="22"/>
          <w:szCs w:val="22"/>
          <w:lang w:val="sr-Latn-ME"/>
        </w:rPr>
      </w:pPr>
      <w:r w:rsidRPr="007403A4">
        <w:rPr>
          <w:sz w:val="22"/>
          <w:szCs w:val="22"/>
          <w:lang w:val="sr-Latn-ME"/>
        </w:rPr>
        <w:t>Demografski podaci i početne karakteristike bili su dobro ujednačeni u svim liječenim grupama (medijana starosti iznosila je 63 godine, većina pacijenata bili su bijelci [88%] i muškarci [58%]). Većina pacijenata imala je folikularni limfom (81%). Medijana vremena od početne dijagnoze bila je 3 godine, a medijana broja prethodnih terapija iznosila je 2 (raspon: 1 – 10); 44% pacijenata prethodno je primil</w:t>
      </w:r>
      <w:r w:rsidR="0030430A" w:rsidRPr="007403A4">
        <w:rPr>
          <w:sz w:val="22"/>
          <w:szCs w:val="22"/>
          <w:lang w:val="sr-Latn-ME"/>
        </w:rPr>
        <w:t>o</w:t>
      </w:r>
      <w:r w:rsidRPr="007403A4">
        <w:rPr>
          <w:sz w:val="22"/>
          <w:szCs w:val="22"/>
          <w:lang w:val="sr-Latn-ME"/>
        </w:rPr>
        <w:t xml:space="preserve"> 1 terapiju, a njih 34% prethodno je primil</w:t>
      </w:r>
      <w:r w:rsidR="0030430A" w:rsidRPr="007403A4">
        <w:rPr>
          <w:sz w:val="22"/>
          <w:szCs w:val="22"/>
          <w:lang w:val="sr-Latn-ME"/>
        </w:rPr>
        <w:t>o</w:t>
      </w:r>
      <w:r w:rsidRPr="007403A4">
        <w:rPr>
          <w:sz w:val="22"/>
          <w:szCs w:val="22"/>
          <w:lang w:val="sr-Latn-ME"/>
        </w:rPr>
        <w:t xml:space="preserve"> 2 terapije.</w:t>
      </w:r>
    </w:p>
    <w:p w14:paraId="1C56E22C" w14:textId="77777777" w:rsidR="00ED7C77" w:rsidRPr="007403A4" w:rsidRDefault="00ED7C77">
      <w:pPr>
        <w:spacing w:before="1" w:line="254" w:lineRule="exact"/>
        <w:ind w:right="28"/>
        <w:jc w:val="both"/>
        <w:rPr>
          <w:sz w:val="22"/>
          <w:szCs w:val="22"/>
          <w:lang w:val="sr-Latn-ME"/>
        </w:rPr>
      </w:pPr>
    </w:p>
    <w:p w14:paraId="4C2F8335" w14:textId="7AE28E19" w:rsidR="00ED7C77" w:rsidRPr="007403A4" w:rsidRDefault="0030430A">
      <w:pPr>
        <w:spacing w:before="1" w:line="254" w:lineRule="exact"/>
        <w:ind w:right="28"/>
        <w:jc w:val="both"/>
        <w:rPr>
          <w:sz w:val="22"/>
          <w:szCs w:val="22"/>
          <w:lang w:val="sr-Latn-ME"/>
        </w:rPr>
      </w:pPr>
      <w:r w:rsidRPr="007403A4">
        <w:rPr>
          <w:sz w:val="22"/>
          <w:szCs w:val="22"/>
          <w:lang w:val="sr-Latn-ME"/>
        </w:rPr>
        <w:t xml:space="preserve">Lijek </w:t>
      </w:r>
      <w:r w:rsidR="00ED7C77" w:rsidRPr="007403A4">
        <w:rPr>
          <w:sz w:val="22"/>
          <w:szCs w:val="22"/>
          <w:lang w:val="sr-Latn-ME"/>
        </w:rPr>
        <w:t>Gazyvaro se primjenjivao intravenskom infuzijom u dozi od 1000 mg 1, 8. i 15. dan</w:t>
      </w:r>
      <w:r w:rsidRPr="007403A4">
        <w:rPr>
          <w:sz w:val="22"/>
          <w:szCs w:val="22"/>
          <w:lang w:val="sr-Latn-ME"/>
        </w:rPr>
        <w:t>a</w:t>
      </w:r>
      <w:r w:rsidR="00ED7C77" w:rsidRPr="007403A4">
        <w:rPr>
          <w:sz w:val="22"/>
          <w:szCs w:val="22"/>
          <w:lang w:val="sr-Latn-ME"/>
        </w:rPr>
        <w:t xml:space="preserve"> 1. ciklusa, te 1. dan</w:t>
      </w:r>
      <w:r w:rsidRPr="007403A4">
        <w:rPr>
          <w:sz w:val="22"/>
          <w:szCs w:val="22"/>
          <w:lang w:val="sr-Latn-ME"/>
        </w:rPr>
        <w:t>a</w:t>
      </w:r>
      <w:r w:rsidR="00ED7C77" w:rsidRPr="007403A4">
        <w:rPr>
          <w:sz w:val="22"/>
          <w:szCs w:val="22"/>
          <w:lang w:val="sr-Latn-ME"/>
        </w:rPr>
        <w:t xml:space="preserve"> 2– 6. ciklusa, te kod pacijenata bez progresije bolesti jedanput na svaka dva mjeseca tokom dvije godine ili do progresije bolesti (št</w:t>
      </w:r>
      <w:r w:rsidRPr="007403A4">
        <w:rPr>
          <w:sz w:val="22"/>
          <w:szCs w:val="22"/>
          <w:lang w:val="sr-Latn-ME"/>
        </w:rPr>
        <w:t>a</w:t>
      </w:r>
      <w:r w:rsidR="00ED7C77" w:rsidRPr="007403A4">
        <w:rPr>
          <w:sz w:val="22"/>
          <w:szCs w:val="22"/>
          <w:lang w:val="sr-Latn-ME"/>
        </w:rPr>
        <w:t xml:space="preserve"> god je nastupilo ranije). Bendamustin se primjenjivao intravenski 1. i 2. dan</w:t>
      </w:r>
      <w:r w:rsidRPr="007403A4">
        <w:rPr>
          <w:sz w:val="22"/>
          <w:szCs w:val="22"/>
          <w:lang w:val="sr-Latn-ME"/>
        </w:rPr>
        <w:t>a</w:t>
      </w:r>
      <w:r w:rsidR="00ED7C77" w:rsidRPr="007403A4">
        <w:rPr>
          <w:sz w:val="22"/>
          <w:szCs w:val="22"/>
          <w:lang w:val="sr-Latn-ME"/>
        </w:rPr>
        <w:t xml:space="preserve"> u svim ciklusima liječenja (1 – 6. ciklus), u dozi od 90 mg/m2/dan kada se </w:t>
      </w:r>
      <w:r w:rsidR="00ED7C77" w:rsidRPr="007403A4">
        <w:rPr>
          <w:sz w:val="22"/>
          <w:szCs w:val="22"/>
          <w:lang w:val="sr-Latn-ME"/>
        </w:rPr>
        <w:lastRenderedPageBreak/>
        <w:t>primjenjivao u kombinaciji sa lijekom Gazyvaro ili u dozi od 120 mg/m</w:t>
      </w:r>
      <w:r w:rsidR="00ED7C77" w:rsidRPr="007403A4">
        <w:rPr>
          <w:sz w:val="22"/>
          <w:szCs w:val="22"/>
          <w:vertAlign w:val="superscript"/>
          <w:lang w:val="sr-Latn-ME"/>
        </w:rPr>
        <w:t>2</w:t>
      </w:r>
      <w:r w:rsidR="00ED7C77" w:rsidRPr="007403A4">
        <w:rPr>
          <w:sz w:val="22"/>
          <w:szCs w:val="22"/>
          <w:lang w:val="sr-Latn-ME"/>
        </w:rPr>
        <w:t>/dan kada se primjenjivao samostalno. Svih šest ciklusa liječenja primilo je 79,4% pacijenata liječenih kombinacijom G+B, u poređenju sa 66,7% pacijenata u grupi koja je primala samo B.</w:t>
      </w:r>
    </w:p>
    <w:p w14:paraId="55C95E32" w14:textId="77777777" w:rsidR="00ED7C77" w:rsidRPr="007403A4" w:rsidRDefault="00ED7C77">
      <w:pPr>
        <w:spacing w:before="1" w:line="254" w:lineRule="exact"/>
        <w:ind w:right="28"/>
        <w:jc w:val="both"/>
        <w:rPr>
          <w:sz w:val="22"/>
          <w:szCs w:val="22"/>
          <w:lang w:val="sr-Latn-ME"/>
        </w:rPr>
      </w:pPr>
    </w:p>
    <w:p w14:paraId="292F8B1E" w14:textId="3C6C28EA" w:rsidR="00ED7C77" w:rsidRPr="007403A4" w:rsidRDefault="00ED7C77">
      <w:pPr>
        <w:spacing w:before="1" w:line="254" w:lineRule="exact"/>
        <w:ind w:right="28"/>
        <w:jc w:val="both"/>
        <w:rPr>
          <w:sz w:val="22"/>
          <w:szCs w:val="22"/>
          <w:lang w:val="sr-Latn-ME"/>
        </w:rPr>
      </w:pPr>
      <w:r w:rsidRPr="007403A4">
        <w:rPr>
          <w:sz w:val="22"/>
          <w:szCs w:val="22"/>
          <w:lang w:val="sr-Latn-ME"/>
        </w:rPr>
        <w:t>Primarna analiza zasnovana na ocjenama nezavisne ocjenjivačke komisije pokazala je statistički značajno smanjenje rizika od progresije bolesti ili smrti za 45% kod pacijenata sa iNHL liječenih kombinacijom G+B, nakon koje je uslijedila terapija održavanja lijekom Gazyvaro, u odnosu na pacijente koji su primali samo bendamustin. Smanjenje rizika od progresije bolesti ili smrti primijećeno u populaciji pacijenata s iNHL zasniva se na podgrupi pacijenata sa FL.</w:t>
      </w:r>
    </w:p>
    <w:p w14:paraId="1FF8C768" w14:textId="77777777" w:rsidR="00ED7C77" w:rsidRPr="007403A4" w:rsidRDefault="00ED7C77">
      <w:pPr>
        <w:spacing w:before="1" w:line="254" w:lineRule="exact"/>
        <w:ind w:right="28"/>
        <w:jc w:val="both"/>
        <w:rPr>
          <w:sz w:val="22"/>
          <w:szCs w:val="22"/>
          <w:lang w:val="sr-Latn-ME"/>
        </w:rPr>
      </w:pPr>
      <w:r w:rsidRPr="007403A4">
        <w:rPr>
          <w:sz w:val="22"/>
          <w:szCs w:val="22"/>
          <w:lang w:val="sr-Latn-ME"/>
        </w:rPr>
        <w:t xml:space="preserve"> </w:t>
      </w:r>
    </w:p>
    <w:p w14:paraId="5272B828" w14:textId="08ECFB15" w:rsidR="009E1769" w:rsidRPr="007403A4" w:rsidRDefault="00ED7C77" w:rsidP="00C95059">
      <w:pPr>
        <w:jc w:val="both"/>
        <w:rPr>
          <w:sz w:val="22"/>
          <w:szCs w:val="22"/>
          <w:lang w:val="sr-Latn-ME"/>
        </w:rPr>
      </w:pPr>
      <w:r w:rsidRPr="007403A4">
        <w:rPr>
          <w:sz w:val="22"/>
          <w:szCs w:val="22"/>
          <w:lang w:val="sr-Latn-ME"/>
        </w:rPr>
        <w:t xml:space="preserve">Većina pacijenata u studiji GAO4753g imala je FL (81,1%). Rezultati za efikasnost </w:t>
      </w:r>
      <w:r w:rsidR="009E1769" w:rsidRPr="007403A4">
        <w:rPr>
          <w:sz w:val="22"/>
          <w:szCs w:val="22"/>
          <w:lang w:val="sr-Latn-ME"/>
        </w:rPr>
        <w:t xml:space="preserve">iz primarne analize </w:t>
      </w:r>
      <w:r w:rsidRPr="007403A4">
        <w:rPr>
          <w:sz w:val="22"/>
          <w:szCs w:val="22"/>
          <w:lang w:val="sr-Latn-ME"/>
        </w:rPr>
        <w:t xml:space="preserve">u populaciji sa FL prikazani su u Tabeli </w:t>
      </w:r>
      <w:r w:rsidR="004F24AB" w:rsidRPr="007403A4">
        <w:rPr>
          <w:sz w:val="22"/>
          <w:szCs w:val="22"/>
          <w:lang w:val="sr-Latn-ME"/>
        </w:rPr>
        <w:t xml:space="preserve">11 </w:t>
      </w:r>
      <w:r w:rsidR="009E1769" w:rsidRPr="007403A4">
        <w:rPr>
          <w:sz w:val="22"/>
          <w:szCs w:val="22"/>
          <w:lang w:val="sr-Latn-ME"/>
        </w:rPr>
        <w:t>i slikama 6 i 8</w:t>
      </w:r>
      <w:r w:rsidRPr="007403A4">
        <w:rPr>
          <w:sz w:val="22"/>
          <w:szCs w:val="22"/>
          <w:lang w:val="sr-Latn-ME"/>
        </w:rPr>
        <w:t>. Limfom marginalne zone (</w:t>
      </w:r>
      <w:r w:rsidR="0030430A" w:rsidRPr="007403A4">
        <w:rPr>
          <w:sz w:val="22"/>
          <w:szCs w:val="22"/>
          <w:lang w:val="sr-Latn-ME"/>
        </w:rPr>
        <w:t>LMZ)</w:t>
      </w:r>
      <w:r w:rsidRPr="007403A4">
        <w:rPr>
          <w:sz w:val="22"/>
          <w:szCs w:val="22"/>
          <w:lang w:val="sr-Latn-ME"/>
        </w:rPr>
        <w:t xml:space="preserve"> imalo je 11,6% pacijenata, dok je njih 7,1% imalo limfom malih limfocita (</w:t>
      </w:r>
      <w:r w:rsidR="009E1769" w:rsidRPr="007403A4">
        <w:rPr>
          <w:sz w:val="22"/>
          <w:szCs w:val="22"/>
          <w:lang w:val="sr-Latn-ME"/>
        </w:rPr>
        <w:t>LML</w:t>
      </w:r>
      <w:r w:rsidRPr="007403A4">
        <w:rPr>
          <w:sz w:val="22"/>
          <w:szCs w:val="22"/>
          <w:lang w:val="sr-Latn-ME"/>
        </w:rPr>
        <w:t>).</w:t>
      </w:r>
      <w:r w:rsidR="009E1769" w:rsidRPr="007403A4">
        <w:rPr>
          <w:sz w:val="22"/>
          <w:szCs w:val="22"/>
          <w:lang w:val="sr-Latn-ME"/>
        </w:rPr>
        <w:t xml:space="preserve"> U populaciji pacijenata sa </w:t>
      </w:r>
      <w:r w:rsidR="0030430A" w:rsidRPr="007403A4">
        <w:rPr>
          <w:sz w:val="22"/>
          <w:szCs w:val="22"/>
          <w:lang w:val="sr-Latn-ME"/>
        </w:rPr>
        <w:t>nefolikularnim limfomom</w:t>
      </w:r>
      <w:r w:rsidR="00965F6E" w:rsidRPr="007403A4">
        <w:rPr>
          <w:sz w:val="22"/>
          <w:szCs w:val="22"/>
          <w:lang w:val="sr-Latn-ME"/>
        </w:rPr>
        <w:t xml:space="preserve">, odnos rizika </w:t>
      </w:r>
      <w:r w:rsidR="009E1769" w:rsidRPr="007403A4">
        <w:rPr>
          <w:sz w:val="22"/>
          <w:szCs w:val="22"/>
          <w:lang w:val="sr-Latn-ME"/>
        </w:rPr>
        <w:t>za preživljavanje bez progresije bolesti (PFS) procenjivano od strane Nezavisnog procenjivačkog komiteta (IRC), je iznosio 0.94 [95% CI: 0.49, 1.90]. Ne mogu se don</w:t>
      </w:r>
      <w:r w:rsidR="000B27F7" w:rsidRPr="007403A4">
        <w:rPr>
          <w:sz w:val="22"/>
          <w:szCs w:val="22"/>
          <w:lang w:val="sr-Latn-ME"/>
        </w:rPr>
        <w:t>j</w:t>
      </w:r>
      <w:r w:rsidR="009E1769" w:rsidRPr="007403A4">
        <w:rPr>
          <w:sz w:val="22"/>
          <w:szCs w:val="22"/>
          <w:lang w:val="sr-Latn-ME"/>
        </w:rPr>
        <w:t>eti konačni zaključci o efikasnosti kod subpopulacije pacijenata sa LMZ i  LML.</w:t>
      </w:r>
    </w:p>
    <w:p w14:paraId="160FA908" w14:textId="77777777" w:rsidR="009E1769" w:rsidRPr="007403A4" w:rsidRDefault="009E1769" w:rsidP="00C95059">
      <w:pPr>
        <w:jc w:val="both"/>
        <w:rPr>
          <w:lang w:val="sr-Latn-ME"/>
        </w:rPr>
      </w:pPr>
    </w:p>
    <w:p w14:paraId="71D44ADB" w14:textId="1E36A5CF" w:rsidR="009E1769" w:rsidRPr="007403A4" w:rsidRDefault="009E1769" w:rsidP="00C95059">
      <w:pPr>
        <w:jc w:val="both"/>
        <w:rPr>
          <w:sz w:val="22"/>
          <w:lang w:val="sr-Latn-ME"/>
        </w:rPr>
      </w:pPr>
      <w:r w:rsidRPr="007403A4">
        <w:rPr>
          <w:sz w:val="22"/>
          <w:lang w:val="sr-Latn-ME"/>
        </w:rPr>
        <w:t xml:space="preserve">U finalnoj analizi za FL, medijana vremena opservacije je bila 45.9 meseci (opseg: 0 – 100.9 mjeseci), za pacijente </w:t>
      </w:r>
      <w:r w:rsidR="0030430A" w:rsidRPr="007403A4">
        <w:rPr>
          <w:sz w:val="22"/>
          <w:lang w:val="sr-Latn-ME"/>
        </w:rPr>
        <w:t>sa FL u</w:t>
      </w:r>
      <w:r w:rsidRPr="007403A4">
        <w:rPr>
          <w:sz w:val="22"/>
          <w:lang w:val="sr-Latn-ME"/>
        </w:rPr>
        <w:t xml:space="preserve"> grupi</w:t>
      </w:r>
      <w:r w:rsidR="0030430A" w:rsidRPr="007403A4">
        <w:rPr>
          <w:sz w:val="22"/>
          <w:lang w:val="sr-Latn-ME"/>
        </w:rPr>
        <w:t xml:space="preserve"> koja je primala samo bendamustin</w:t>
      </w:r>
      <w:r w:rsidR="00D232C8" w:rsidRPr="007403A4">
        <w:rPr>
          <w:sz w:val="22"/>
          <w:lang w:val="sr-Latn-ME"/>
        </w:rPr>
        <w:t xml:space="preserve"> (B)</w:t>
      </w:r>
      <w:r w:rsidRPr="007403A4">
        <w:rPr>
          <w:sz w:val="22"/>
          <w:lang w:val="sr-Latn-ME"/>
        </w:rPr>
        <w:t xml:space="preserve"> i 57.3 mjeseca (opseg: 0.4-97.6 mjeseca) za pacijente u grupi G+B, predstavljajući dodatnih 25.6 mjeseci i 35.2 mjeseca medijane praćenja u B i G+B grupi, respektivno, u odnosu na primarnu analizu. U finalnoj analizi su predstavljeni samo rezultati primarnih parametara praćenja efikasnosti prijavljeni od strane istraživača (INV) jer se procjena od strane IRC nije nastavila. Konačno, parametri praćenja efikasnosti prijavljeni od strane istraživača su bili konzistentni sa onim što je uočeno u primarnoj analizi. Ukupno preživljavanje (OS) kod pacijenata sa FL je bilo stabilno sa dužim periodom praćenja (</w:t>
      </w:r>
      <w:r w:rsidR="004F24AB" w:rsidRPr="007403A4">
        <w:rPr>
          <w:sz w:val="22"/>
          <w:lang w:val="sr-Latn-ME"/>
        </w:rPr>
        <w:t xml:space="preserve">vidjeti </w:t>
      </w:r>
      <w:r w:rsidRPr="007403A4">
        <w:rPr>
          <w:sz w:val="22"/>
          <w:lang w:val="sr-Latn-ME"/>
        </w:rPr>
        <w:t xml:space="preserve"> Sliku 7); Odnos rizika (HR) za smrt je bio 0.71 (95%</w:t>
      </w:r>
      <w:r w:rsidR="00D232C8" w:rsidRPr="007403A4">
        <w:rPr>
          <w:sz w:val="22"/>
          <w:lang w:val="sr-Latn-ME"/>
        </w:rPr>
        <w:t xml:space="preserve"> </w:t>
      </w:r>
      <w:r w:rsidRPr="007403A4">
        <w:rPr>
          <w:sz w:val="22"/>
          <w:lang w:val="sr-Latn-ME"/>
        </w:rPr>
        <w:t>CI: 0.51, 0.98).</w:t>
      </w:r>
    </w:p>
    <w:p w14:paraId="3C5FCE17" w14:textId="3D054840" w:rsidR="00ED7C77" w:rsidRPr="007403A4" w:rsidRDefault="00ED7C77">
      <w:pPr>
        <w:spacing w:before="1" w:line="254" w:lineRule="exact"/>
        <w:ind w:right="28"/>
        <w:jc w:val="both"/>
        <w:rPr>
          <w:sz w:val="22"/>
          <w:szCs w:val="22"/>
          <w:lang w:val="sr-Latn-ME"/>
        </w:rPr>
      </w:pPr>
    </w:p>
    <w:p w14:paraId="0EB199B1" w14:textId="77777777" w:rsidR="00932A9D" w:rsidRPr="007403A4" w:rsidRDefault="00932A9D">
      <w:pPr>
        <w:spacing w:before="1" w:line="254" w:lineRule="exact"/>
        <w:ind w:right="28"/>
        <w:jc w:val="both"/>
        <w:rPr>
          <w:sz w:val="22"/>
          <w:szCs w:val="22"/>
          <w:lang w:val="sr-Latn-ME"/>
        </w:rPr>
      </w:pPr>
    </w:p>
    <w:p w14:paraId="3740DEB2" w14:textId="77777777" w:rsidR="007403A4" w:rsidRDefault="007403A4">
      <w:pPr>
        <w:rPr>
          <w:b/>
          <w:color w:val="000000"/>
          <w:sz w:val="22"/>
          <w:szCs w:val="22"/>
          <w:lang w:val="sr-Latn-ME"/>
        </w:rPr>
      </w:pPr>
      <w:r>
        <w:rPr>
          <w:b/>
          <w:color w:val="000000"/>
          <w:sz w:val="22"/>
          <w:szCs w:val="22"/>
          <w:lang w:val="sr-Latn-ME"/>
        </w:rPr>
        <w:br w:type="page"/>
      </w:r>
    </w:p>
    <w:p w14:paraId="4272148F" w14:textId="4A764BA5" w:rsidR="00ED7C77" w:rsidRPr="007403A4" w:rsidRDefault="00ED7C77">
      <w:pPr>
        <w:keepNext/>
        <w:widowControl w:val="0"/>
        <w:tabs>
          <w:tab w:val="left" w:pos="0"/>
        </w:tabs>
        <w:spacing w:before="1" w:line="254" w:lineRule="exact"/>
        <w:ind w:right="28"/>
        <w:jc w:val="both"/>
        <w:rPr>
          <w:b/>
          <w:color w:val="000000"/>
          <w:sz w:val="22"/>
          <w:szCs w:val="22"/>
          <w:lang w:val="sr-Latn-ME"/>
        </w:rPr>
      </w:pPr>
      <w:r w:rsidRPr="007403A4">
        <w:rPr>
          <w:b/>
          <w:color w:val="000000"/>
          <w:sz w:val="22"/>
          <w:szCs w:val="22"/>
          <w:lang w:val="sr-Latn-ME"/>
        </w:rPr>
        <w:lastRenderedPageBreak/>
        <w:t xml:space="preserve">Tabela </w:t>
      </w:r>
      <w:r w:rsidR="004F24AB" w:rsidRPr="007403A4">
        <w:rPr>
          <w:b/>
          <w:color w:val="000000"/>
          <w:sz w:val="22"/>
          <w:szCs w:val="22"/>
          <w:lang w:val="sr-Latn-ME"/>
        </w:rPr>
        <w:t>11</w:t>
      </w:r>
      <w:r w:rsidRPr="007403A4">
        <w:rPr>
          <w:b/>
          <w:color w:val="000000"/>
          <w:sz w:val="22"/>
          <w:szCs w:val="22"/>
          <w:lang w:val="sr-Latn-ME"/>
        </w:rPr>
        <w:t xml:space="preserve"> Sažetak rezultata</w:t>
      </w:r>
      <w:r w:rsidR="009E1769" w:rsidRPr="007403A4">
        <w:rPr>
          <w:b/>
          <w:color w:val="000000"/>
          <w:sz w:val="22"/>
          <w:szCs w:val="22"/>
          <w:lang w:val="sr-Latn-ME"/>
        </w:rPr>
        <w:t xml:space="preserve"> primarne analize</w:t>
      </w:r>
      <w:r w:rsidRPr="007403A4">
        <w:rPr>
          <w:b/>
          <w:color w:val="000000"/>
          <w:sz w:val="22"/>
          <w:szCs w:val="22"/>
          <w:lang w:val="sr-Latn-ME"/>
        </w:rPr>
        <w:t xml:space="preserve"> efikasnost</w:t>
      </w:r>
      <w:r w:rsidR="009E1769" w:rsidRPr="007403A4">
        <w:rPr>
          <w:b/>
          <w:color w:val="000000"/>
          <w:sz w:val="22"/>
          <w:szCs w:val="22"/>
          <w:lang w:val="sr-Latn-ME"/>
        </w:rPr>
        <w:t>i</w:t>
      </w:r>
      <w:r w:rsidRPr="007403A4">
        <w:rPr>
          <w:b/>
          <w:color w:val="000000"/>
          <w:sz w:val="22"/>
          <w:szCs w:val="22"/>
          <w:lang w:val="sr-Latn-ME"/>
        </w:rPr>
        <w:t xml:space="preserve"> kod pacijenata sa FL</w:t>
      </w:r>
      <w:r w:rsidR="00D232C8" w:rsidRPr="007403A4">
        <w:rPr>
          <w:b/>
          <w:color w:val="000000"/>
          <w:sz w:val="22"/>
          <w:szCs w:val="22"/>
          <w:vertAlign w:val="superscript"/>
          <w:lang w:val="sr-Latn-ME"/>
        </w:rPr>
        <w:t>#</w:t>
      </w:r>
      <w:r w:rsidRPr="007403A4">
        <w:rPr>
          <w:b/>
          <w:color w:val="000000"/>
          <w:sz w:val="22"/>
          <w:szCs w:val="22"/>
          <w:lang w:val="sr-Latn-ME"/>
        </w:rPr>
        <w:t xml:space="preserve"> iz studije GAO4753g/GADOLIN</w:t>
      </w:r>
    </w:p>
    <w:p w14:paraId="2D8B8160" w14:textId="77777777" w:rsidR="00ED7C77" w:rsidRPr="007403A4" w:rsidRDefault="00ED7C77">
      <w:pPr>
        <w:spacing w:before="1" w:line="254" w:lineRule="exact"/>
        <w:ind w:right="28"/>
        <w:jc w:val="both"/>
        <w:rPr>
          <w:sz w:val="22"/>
          <w:szCs w:val="22"/>
          <w:lang w:val="sr-Latn-ME"/>
        </w:rPr>
      </w:pPr>
    </w:p>
    <w:tbl>
      <w:tblPr>
        <w:tblW w:w="5000" w:type="pct"/>
        <w:jc w:val="center"/>
        <w:tblLayout w:type="fixed"/>
        <w:tblCellMar>
          <w:left w:w="57" w:type="dxa"/>
          <w:right w:w="57" w:type="dxa"/>
        </w:tblCellMar>
        <w:tblLook w:val="00A0" w:firstRow="1" w:lastRow="0" w:firstColumn="1" w:lastColumn="0" w:noHBand="0" w:noVBand="0"/>
      </w:tblPr>
      <w:tblGrid>
        <w:gridCol w:w="4696"/>
        <w:gridCol w:w="2109"/>
        <w:gridCol w:w="2303"/>
      </w:tblGrid>
      <w:tr w:rsidR="00ED7C77" w:rsidRPr="007403A4" w14:paraId="31FBE365" w14:textId="77777777" w:rsidTr="00C95059">
        <w:trPr>
          <w:cantSplit/>
          <w:jc w:val="center"/>
        </w:trPr>
        <w:tc>
          <w:tcPr>
            <w:tcW w:w="2578" w:type="pct"/>
            <w:tcBorders>
              <w:top w:val="single" w:sz="4" w:space="0" w:color="auto"/>
              <w:left w:val="single" w:sz="4" w:space="0" w:color="auto"/>
              <w:bottom w:val="single" w:sz="4" w:space="0" w:color="auto"/>
              <w:right w:val="single" w:sz="4" w:space="0" w:color="auto"/>
            </w:tcBorders>
            <w:vAlign w:val="bottom"/>
          </w:tcPr>
          <w:p w14:paraId="5BEF0808" w14:textId="77777777" w:rsidR="00ED7C77" w:rsidRPr="007403A4" w:rsidRDefault="00ED7C77">
            <w:pPr>
              <w:keepNext/>
              <w:spacing w:before="50" w:after="50" w:line="240" w:lineRule="exact"/>
              <w:ind w:right="28"/>
              <w:jc w:val="both"/>
              <w:rPr>
                <w:lang w:val="sr-Latn-ME"/>
              </w:rPr>
            </w:pPr>
          </w:p>
        </w:tc>
        <w:tc>
          <w:tcPr>
            <w:tcW w:w="1158" w:type="pct"/>
            <w:tcBorders>
              <w:top w:val="single" w:sz="4" w:space="0" w:color="auto"/>
              <w:left w:val="single" w:sz="4" w:space="0" w:color="auto"/>
              <w:bottom w:val="single" w:sz="4" w:space="0" w:color="auto"/>
              <w:right w:val="dashSmallGap" w:sz="4" w:space="0" w:color="auto"/>
            </w:tcBorders>
            <w:vAlign w:val="center"/>
          </w:tcPr>
          <w:p w14:paraId="7C13F1AB" w14:textId="77777777" w:rsidR="00ED7C77" w:rsidRPr="007403A4" w:rsidRDefault="00ED7C77" w:rsidP="00C95059">
            <w:pPr>
              <w:keepNext/>
              <w:spacing w:before="50" w:after="50" w:line="240" w:lineRule="exact"/>
              <w:ind w:right="28"/>
              <w:jc w:val="both"/>
              <w:rPr>
                <w:b/>
                <w:lang w:val="sr-Latn-ME"/>
              </w:rPr>
            </w:pPr>
            <w:r w:rsidRPr="007403A4">
              <w:rPr>
                <w:b/>
                <w:lang w:val="sr-Latn-ME"/>
              </w:rPr>
              <w:t>Bendamustin</w:t>
            </w:r>
          </w:p>
          <w:p w14:paraId="242B3A5D" w14:textId="77777777" w:rsidR="00ED7C77" w:rsidRPr="007403A4" w:rsidRDefault="00ED7C77" w:rsidP="00C95059">
            <w:pPr>
              <w:keepNext/>
              <w:spacing w:before="50" w:after="50" w:line="240" w:lineRule="exact"/>
              <w:ind w:right="28"/>
              <w:jc w:val="both"/>
              <w:rPr>
                <w:b/>
                <w:lang w:val="sr-Latn-ME"/>
              </w:rPr>
            </w:pPr>
            <w:r w:rsidRPr="007403A4">
              <w:rPr>
                <w:b/>
                <w:lang w:val="sr-Latn-ME"/>
              </w:rPr>
              <w:t>N=166</w:t>
            </w:r>
          </w:p>
        </w:tc>
        <w:tc>
          <w:tcPr>
            <w:tcW w:w="1265" w:type="pct"/>
            <w:tcBorders>
              <w:top w:val="single" w:sz="4" w:space="0" w:color="auto"/>
              <w:left w:val="dashSmallGap" w:sz="4" w:space="0" w:color="auto"/>
              <w:bottom w:val="single" w:sz="4" w:space="0" w:color="auto"/>
              <w:right w:val="single" w:sz="4" w:space="0" w:color="auto"/>
            </w:tcBorders>
            <w:vAlign w:val="center"/>
          </w:tcPr>
          <w:p w14:paraId="296AC466" w14:textId="1F46DD40" w:rsidR="00ED7C77" w:rsidRPr="007403A4" w:rsidRDefault="00ED7C77" w:rsidP="00C95059">
            <w:pPr>
              <w:keepNext/>
              <w:spacing w:before="50" w:after="50" w:line="240" w:lineRule="exact"/>
              <w:ind w:right="28"/>
              <w:jc w:val="both"/>
              <w:rPr>
                <w:b/>
                <w:lang w:val="sr-Latn-ME"/>
              </w:rPr>
            </w:pPr>
            <w:r w:rsidRPr="007403A4">
              <w:rPr>
                <w:b/>
                <w:lang w:val="sr-Latn-ME"/>
              </w:rPr>
              <w:t>Gazyvaro + bendamustin nakon čega slijedi terapija održavanja lijekom Gazyvaro</w:t>
            </w:r>
            <w:r w:rsidRPr="007403A4">
              <w:rPr>
                <w:lang w:val="sr-Latn-ME"/>
              </w:rPr>
              <w:t xml:space="preserve"> </w:t>
            </w:r>
          </w:p>
          <w:p w14:paraId="7FFD42E2" w14:textId="77777777" w:rsidR="00ED7C77" w:rsidRPr="007403A4" w:rsidRDefault="00ED7C77" w:rsidP="00C95059">
            <w:pPr>
              <w:keepNext/>
              <w:spacing w:before="50" w:after="50" w:line="240" w:lineRule="exact"/>
              <w:ind w:right="28"/>
              <w:jc w:val="both"/>
              <w:rPr>
                <w:b/>
                <w:lang w:val="sr-Latn-ME"/>
              </w:rPr>
            </w:pPr>
            <w:r w:rsidRPr="007403A4">
              <w:rPr>
                <w:b/>
                <w:lang w:val="sr-Latn-ME"/>
              </w:rPr>
              <w:t>N= 155</w:t>
            </w:r>
          </w:p>
        </w:tc>
      </w:tr>
      <w:tr w:rsidR="00ED7C77" w:rsidRPr="007403A4" w14:paraId="1C001B32" w14:textId="77777777" w:rsidTr="00D66547">
        <w:trPr>
          <w:cantSplit/>
          <w:tblHeader/>
          <w:jc w:val="center"/>
        </w:trPr>
        <w:tc>
          <w:tcPr>
            <w:tcW w:w="2578" w:type="pct"/>
            <w:tcBorders>
              <w:top w:val="single" w:sz="4" w:space="0" w:color="auto"/>
              <w:left w:val="single" w:sz="4" w:space="0" w:color="auto"/>
              <w:bottom w:val="single" w:sz="4" w:space="0" w:color="auto"/>
              <w:right w:val="single" w:sz="4" w:space="0" w:color="auto"/>
            </w:tcBorders>
            <w:vAlign w:val="bottom"/>
          </w:tcPr>
          <w:p w14:paraId="274F66F2" w14:textId="77777777" w:rsidR="00ED7C77" w:rsidRPr="007403A4" w:rsidRDefault="00ED7C77" w:rsidP="00C95059">
            <w:pPr>
              <w:keepNext/>
              <w:spacing w:before="50" w:after="50" w:line="240" w:lineRule="exact"/>
              <w:ind w:right="28"/>
              <w:rPr>
                <w:lang w:val="sr-Latn-ME"/>
              </w:rPr>
            </w:pPr>
          </w:p>
        </w:tc>
        <w:tc>
          <w:tcPr>
            <w:tcW w:w="1158" w:type="pct"/>
            <w:tcBorders>
              <w:top w:val="single" w:sz="4" w:space="0" w:color="auto"/>
              <w:left w:val="single" w:sz="4" w:space="0" w:color="auto"/>
              <w:bottom w:val="single" w:sz="4" w:space="0" w:color="auto"/>
              <w:right w:val="dashSmallGap" w:sz="4" w:space="0" w:color="auto"/>
            </w:tcBorders>
            <w:vAlign w:val="center"/>
          </w:tcPr>
          <w:p w14:paraId="2C2D0FCE" w14:textId="1763ADFF" w:rsidR="00ED7C77" w:rsidRPr="007403A4" w:rsidRDefault="00D232C8" w:rsidP="00C95059">
            <w:pPr>
              <w:keepNext/>
              <w:spacing w:before="50" w:after="50" w:line="240" w:lineRule="exact"/>
              <w:ind w:right="28"/>
              <w:jc w:val="both"/>
              <w:rPr>
                <w:b/>
                <w:lang w:val="sr-Latn-ME"/>
              </w:rPr>
            </w:pPr>
            <w:r w:rsidRPr="007403A4">
              <w:rPr>
                <w:b/>
                <w:lang w:val="sr-Latn-ME"/>
              </w:rPr>
              <w:t xml:space="preserve">Medijana </w:t>
            </w:r>
            <w:r w:rsidR="00ED7C77" w:rsidRPr="007403A4">
              <w:rPr>
                <w:b/>
                <w:lang w:val="sr-Latn-ME"/>
              </w:rPr>
              <w:t>vremena p</w:t>
            </w:r>
            <w:r w:rsidRPr="007403A4">
              <w:rPr>
                <w:b/>
                <w:lang w:val="sr-Latn-ME"/>
              </w:rPr>
              <w:t>osmatranja</w:t>
            </w:r>
            <w:r w:rsidR="00ED7C77" w:rsidRPr="007403A4">
              <w:rPr>
                <w:b/>
                <w:lang w:val="sr-Latn-ME"/>
              </w:rPr>
              <w:t>: 20 mjeseci</w:t>
            </w:r>
          </w:p>
        </w:tc>
        <w:tc>
          <w:tcPr>
            <w:tcW w:w="1265" w:type="pct"/>
            <w:tcBorders>
              <w:top w:val="single" w:sz="4" w:space="0" w:color="auto"/>
              <w:left w:val="dashSmallGap" w:sz="4" w:space="0" w:color="auto"/>
              <w:bottom w:val="single" w:sz="4" w:space="0" w:color="auto"/>
              <w:right w:val="single" w:sz="4" w:space="0" w:color="auto"/>
            </w:tcBorders>
            <w:vAlign w:val="center"/>
          </w:tcPr>
          <w:p w14:paraId="57C42D06" w14:textId="6616C9C7" w:rsidR="00ED7C77" w:rsidRPr="007403A4" w:rsidRDefault="00ED7C77" w:rsidP="00C95059">
            <w:pPr>
              <w:keepNext/>
              <w:spacing w:before="50" w:after="50" w:line="240" w:lineRule="exact"/>
              <w:ind w:right="28"/>
              <w:jc w:val="both"/>
              <w:rPr>
                <w:lang w:val="sr-Latn-ME"/>
              </w:rPr>
            </w:pPr>
            <w:r w:rsidRPr="007403A4">
              <w:rPr>
                <w:b/>
                <w:lang w:val="sr-Latn-ME"/>
              </w:rPr>
              <w:t>Medijana vremena p</w:t>
            </w:r>
            <w:r w:rsidR="00D232C8" w:rsidRPr="007403A4">
              <w:rPr>
                <w:b/>
                <w:lang w:val="sr-Latn-ME"/>
              </w:rPr>
              <w:t>osmatranja</w:t>
            </w:r>
            <w:r w:rsidRPr="007403A4">
              <w:rPr>
                <w:b/>
                <w:lang w:val="sr-Latn-ME"/>
              </w:rPr>
              <w:t>: 22 mjeseca</w:t>
            </w:r>
          </w:p>
        </w:tc>
      </w:tr>
      <w:tr w:rsidR="00ED7C77" w:rsidRPr="007403A4" w14:paraId="61D2247B" w14:textId="77777777" w:rsidTr="00ED7C77">
        <w:trPr>
          <w:cantSplit/>
          <w:jc w:val="center"/>
        </w:trPr>
        <w:tc>
          <w:tcPr>
            <w:tcW w:w="2578" w:type="pct"/>
            <w:tcBorders>
              <w:top w:val="single" w:sz="4" w:space="0" w:color="auto"/>
              <w:left w:val="single" w:sz="4" w:space="0" w:color="auto"/>
              <w:bottom w:val="nil"/>
              <w:right w:val="single" w:sz="4" w:space="0" w:color="auto"/>
            </w:tcBorders>
            <w:vAlign w:val="bottom"/>
          </w:tcPr>
          <w:p w14:paraId="4B2002BD" w14:textId="45DDF7EA" w:rsidR="00ED7C77" w:rsidRPr="007403A4" w:rsidRDefault="00ED7C77">
            <w:pPr>
              <w:keepNext/>
              <w:spacing w:before="50" w:after="50" w:line="240" w:lineRule="exact"/>
              <w:ind w:right="28"/>
              <w:rPr>
                <w:b/>
                <w:i/>
                <w:lang w:val="sr-Latn-ME"/>
              </w:rPr>
            </w:pPr>
            <w:r w:rsidRPr="007403A4">
              <w:rPr>
                <w:b/>
                <w:i/>
                <w:lang w:val="sr-Latn-ME"/>
              </w:rPr>
              <w:t xml:space="preserve">Primarni </w:t>
            </w:r>
            <w:r w:rsidR="00D232C8" w:rsidRPr="007403A4">
              <w:rPr>
                <w:b/>
                <w:i/>
                <w:lang w:val="sr-Latn-ME"/>
              </w:rPr>
              <w:t>parametar praćenja</w:t>
            </w:r>
            <w:r w:rsidRPr="007403A4">
              <w:rPr>
                <w:b/>
                <w:i/>
                <w:lang w:val="sr-Latn-ME"/>
              </w:rPr>
              <w:t xml:space="preserve"> u populaciji s FL</w:t>
            </w:r>
          </w:p>
        </w:tc>
        <w:tc>
          <w:tcPr>
            <w:tcW w:w="1158" w:type="pct"/>
            <w:tcBorders>
              <w:top w:val="single" w:sz="4" w:space="0" w:color="auto"/>
              <w:left w:val="single" w:sz="4" w:space="0" w:color="auto"/>
              <w:bottom w:val="nil"/>
              <w:right w:val="nil"/>
            </w:tcBorders>
            <w:vAlign w:val="bottom"/>
          </w:tcPr>
          <w:p w14:paraId="2615E1A1" w14:textId="77777777" w:rsidR="00ED7C77" w:rsidRPr="007403A4" w:rsidRDefault="00ED7C77">
            <w:pPr>
              <w:keepNext/>
              <w:spacing w:before="50" w:after="50" w:line="240" w:lineRule="exact"/>
              <w:ind w:right="28"/>
              <w:jc w:val="center"/>
              <w:rPr>
                <w:b/>
                <w:i/>
                <w:lang w:val="sr-Latn-ME"/>
              </w:rPr>
            </w:pPr>
          </w:p>
        </w:tc>
        <w:tc>
          <w:tcPr>
            <w:tcW w:w="1265" w:type="pct"/>
            <w:tcBorders>
              <w:top w:val="single" w:sz="4" w:space="0" w:color="auto"/>
              <w:left w:val="nil"/>
              <w:bottom w:val="nil"/>
              <w:right w:val="single" w:sz="4" w:space="0" w:color="auto"/>
            </w:tcBorders>
            <w:vAlign w:val="bottom"/>
          </w:tcPr>
          <w:p w14:paraId="307DB694" w14:textId="77777777" w:rsidR="00ED7C77" w:rsidRPr="007403A4" w:rsidRDefault="00ED7C77">
            <w:pPr>
              <w:keepNext/>
              <w:spacing w:before="50" w:after="50" w:line="240" w:lineRule="exact"/>
              <w:ind w:right="28"/>
              <w:jc w:val="center"/>
              <w:rPr>
                <w:b/>
                <w:i/>
                <w:lang w:val="sr-Latn-ME"/>
              </w:rPr>
            </w:pPr>
          </w:p>
        </w:tc>
      </w:tr>
      <w:tr w:rsidR="00ED7C77" w:rsidRPr="007403A4" w14:paraId="2F79C0B5" w14:textId="77777777" w:rsidTr="00ED7C77">
        <w:trPr>
          <w:cantSplit/>
          <w:jc w:val="center"/>
        </w:trPr>
        <w:tc>
          <w:tcPr>
            <w:tcW w:w="2578" w:type="pct"/>
            <w:tcBorders>
              <w:top w:val="nil"/>
              <w:left w:val="single" w:sz="4" w:space="0" w:color="auto"/>
              <w:bottom w:val="nil"/>
              <w:right w:val="single" w:sz="4" w:space="0" w:color="auto"/>
            </w:tcBorders>
            <w:vAlign w:val="bottom"/>
          </w:tcPr>
          <w:p w14:paraId="55CE5EEB" w14:textId="51F1F854" w:rsidR="00ED7C77" w:rsidRPr="007403A4" w:rsidRDefault="00ED7C77">
            <w:pPr>
              <w:keepNext/>
              <w:spacing w:before="50" w:after="50" w:line="240" w:lineRule="exact"/>
              <w:ind w:right="28"/>
              <w:rPr>
                <w:b/>
                <w:vertAlign w:val="superscript"/>
                <w:lang w:val="sr-Latn-ME"/>
              </w:rPr>
            </w:pPr>
            <w:r w:rsidRPr="007403A4">
              <w:rPr>
                <w:b/>
                <w:lang w:val="sr-Latn-ME"/>
              </w:rPr>
              <w:t>PFS prema ocjeni nezavisne ocjenjivačke komisije</w:t>
            </w:r>
          </w:p>
        </w:tc>
        <w:tc>
          <w:tcPr>
            <w:tcW w:w="1158" w:type="pct"/>
            <w:tcBorders>
              <w:top w:val="nil"/>
              <w:left w:val="single" w:sz="4" w:space="0" w:color="auto"/>
              <w:bottom w:val="nil"/>
              <w:right w:val="nil"/>
            </w:tcBorders>
            <w:vAlign w:val="bottom"/>
          </w:tcPr>
          <w:p w14:paraId="691C4E36" w14:textId="77777777" w:rsidR="00ED7C77" w:rsidRPr="007403A4" w:rsidRDefault="00ED7C77">
            <w:pPr>
              <w:keepNext/>
              <w:spacing w:before="50" w:after="50" w:line="240" w:lineRule="exact"/>
              <w:ind w:right="28"/>
              <w:jc w:val="center"/>
              <w:rPr>
                <w:b/>
                <w:lang w:val="sr-Latn-ME"/>
              </w:rPr>
            </w:pPr>
          </w:p>
        </w:tc>
        <w:tc>
          <w:tcPr>
            <w:tcW w:w="1265" w:type="pct"/>
            <w:tcBorders>
              <w:top w:val="nil"/>
              <w:left w:val="nil"/>
              <w:bottom w:val="nil"/>
              <w:right w:val="single" w:sz="4" w:space="0" w:color="auto"/>
            </w:tcBorders>
            <w:vAlign w:val="bottom"/>
          </w:tcPr>
          <w:p w14:paraId="7DF15C95" w14:textId="77777777" w:rsidR="00ED7C77" w:rsidRPr="007403A4" w:rsidRDefault="00ED7C77">
            <w:pPr>
              <w:keepNext/>
              <w:spacing w:before="50" w:after="50" w:line="240" w:lineRule="exact"/>
              <w:ind w:right="28"/>
              <w:jc w:val="center"/>
              <w:rPr>
                <w:b/>
                <w:lang w:val="sr-Latn-ME"/>
              </w:rPr>
            </w:pPr>
          </w:p>
        </w:tc>
      </w:tr>
      <w:tr w:rsidR="00ED7C77" w:rsidRPr="007403A4" w14:paraId="2D667BAE" w14:textId="77777777" w:rsidTr="00ED7C77">
        <w:trPr>
          <w:cantSplit/>
          <w:jc w:val="center"/>
        </w:trPr>
        <w:tc>
          <w:tcPr>
            <w:tcW w:w="2578" w:type="pct"/>
            <w:tcBorders>
              <w:top w:val="nil"/>
              <w:left w:val="single" w:sz="4" w:space="0" w:color="auto"/>
              <w:bottom w:val="nil"/>
              <w:right w:val="single" w:sz="4" w:space="0" w:color="auto"/>
            </w:tcBorders>
            <w:vAlign w:val="bottom"/>
          </w:tcPr>
          <w:p w14:paraId="6CE2ADE7" w14:textId="4AD098B0" w:rsidR="00ED7C77" w:rsidRPr="007403A4" w:rsidRDefault="00ED7C77">
            <w:pPr>
              <w:keepNext/>
              <w:spacing w:before="50" w:after="50" w:line="240" w:lineRule="exact"/>
              <w:ind w:right="28"/>
              <w:rPr>
                <w:lang w:val="sr-Latn-ME"/>
              </w:rPr>
            </w:pPr>
            <w:r w:rsidRPr="007403A4">
              <w:rPr>
                <w:lang w:val="sr-Latn-ME"/>
              </w:rPr>
              <w:t>Broj (%) pacijenata sa događajem</w:t>
            </w:r>
          </w:p>
        </w:tc>
        <w:tc>
          <w:tcPr>
            <w:tcW w:w="1158" w:type="pct"/>
            <w:tcBorders>
              <w:top w:val="nil"/>
              <w:left w:val="single" w:sz="4" w:space="0" w:color="auto"/>
              <w:bottom w:val="nil"/>
              <w:right w:val="nil"/>
            </w:tcBorders>
            <w:vAlign w:val="bottom"/>
          </w:tcPr>
          <w:p w14:paraId="4F366211" w14:textId="77777777" w:rsidR="00ED7C77" w:rsidRPr="007403A4" w:rsidRDefault="00ED7C77">
            <w:pPr>
              <w:keepNext/>
              <w:tabs>
                <w:tab w:val="left" w:pos="1840"/>
              </w:tabs>
              <w:spacing w:before="50" w:after="50" w:line="240" w:lineRule="exact"/>
              <w:ind w:right="28"/>
              <w:jc w:val="center"/>
              <w:rPr>
                <w:lang w:val="sr-Latn-ME"/>
              </w:rPr>
            </w:pPr>
            <w:r w:rsidRPr="007403A4">
              <w:rPr>
                <w:lang w:val="sr-Latn-ME"/>
              </w:rPr>
              <w:t>90 (</w:t>
            </w:r>
            <w:r w:rsidRPr="007403A4">
              <w:rPr>
                <w:rFonts w:eastAsia="PMingLiU"/>
                <w:lang w:val="sr-Latn-ME" w:eastAsia="zh-TW"/>
              </w:rPr>
              <w:t>54,2%)</w:t>
            </w:r>
          </w:p>
        </w:tc>
        <w:tc>
          <w:tcPr>
            <w:tcW w:w="1265" w:type="pct"/>
            <w:tcBorders>
              <w:top w:val="nil"/>
              <w:left w:val="nil"/>
              <w:bottom w:val="nil"/>
              <w:right w:val="single" w:sz="4" w:space="0" w:color="auto"/>
            </w:tcBorders>
            <w:vAlign w:val="bottom"/>
          </w:tcPr>
          <w:p w14:paraId="745CF66C" w14:textId="77777777" w:rsidR="00ED7C77" w:rsidRPr="007403A4" w:rsidRDefault="00ED7C77">
            <w:pPr>
              <w:keepNext/>
              <w:spacing w:before="50" w:after="50" w:line="240" w:lineRule="exact"/>
              <w:ind w:right="28"/>
              <w:jc w:val="center"/>
              <w:rPr>
                <w:lang w:val="sr-Latn-ME"/>
              </w:rPr>
            </w:pPr>
            <w:r w:rsidRPr="007403A4">
              <w:rPr>
                <w:lang w:val="sr-Latn-ME"/>
              </w:rPr>
              <w:t>54 (</w:t>
            </w:r>
            <w:r w:rsidRPr="007403A4">
              <w:rPr>
                <w:rFonts w:eastAsia="PMingLiU"/>
                <w:lang w:val="sr-Latn-ME" w:eastAsia="zh-TW"/>
              </w:rPr>
              <w:t>34,8%)</w:t>
            </w:r>
          </w:p>
        </w:tc>
      </w:tr>
      <w:tr w:rsidR="00ED7C77" w:rsidRPr="007403A4" w14:paraId="3DA71517" w14:textId="77777777" w:rsidTr="00ED7C77">
        <w:trPr>
          <w:cantSplit/>
          <w:jc w:val="center"/>
        </w:trPr>
        <w:tc>
          <w:tcPr>
            <w:tcW w:w="2578" w:type="pct"/>
            <w:tcBorders>
              <w:top w:val="nil"/>
              <w:left w:val="single" w:sz="4" w:space="0" w:color="auto"/>
              <w:bottom w:val="nil"/>
              <w:right w:val="single" w:sz="4" w:space="0" w:color="auto"/>
            </w:tcBorders>
            <w:vAlign w:val="bottom"/>
          </w:tcPr>
          <w:p w14:paraId="4FA39229" w14:textId="77777777" w:rsidR="00ED7C77" w:rsidRPr="007403A4" w:rsidRDefault="00ED7C77">
            <w:pPr>
              <w:keepNext/>
              <w:spacing w:before="50" w:after="50" w:line="240" w:lineRule="exact"/>
              <w:ind w:right="28"/>
              <w:rPr>
                <w:lang w:val="sr-Latn-ME"/>
              </w:rPr>
            </w:pPr>
            <w:r w:rsidRPr="007403A4">
              <w:rPr>
                <w:lang w:val="sr-Latn-ME"/>
              </w:rPr>
              <w:t>Medijana vremena do događaja (mjeseci) (95% CI)</w:t>
            </w:r>
          </w:p>
        </w:tc>
        <w:tc>
          <w:tcPr>
            <w:tcW w:w="1158" w:type="pct"/>
            <w:tcBorders>
              <w:top w:val="nil"/>
              <w:left w:val="single" w:sz="4" w:space="0" w:color="auto"/>
              <w:bottom w:val="nil"/>
              <w:right w:val="nil"/>
            </w:tcBorders>
            <w:vAlign w:val="bottom"/>
          </w:tcPr>
          <w:p w14:paraId="512B0177" w14:textId="77777777" w:rsidR="00ED7C77" w:rsidRPr="007403A4" w:rsidRDefault="00ED7C77">
            <w:pPr>
              <w:keepNext/>
              <w:spacing w:before="50" w:after="50" w:line="240" w:lineRule="exact"/>
              <w:ind w:right="28"/>
              <w:jc w:val="center"/>
              <w:rPr>
                <w:lang w:val="sr-Latn-ME"/>
              </w:rPr>
            </w:pPr>
            <w:r w:rsidRPr="007403A4">
              <w:rPr>
                <w:lang w:val="sr-Latn-ME"/>
              </w:rPr>
              <w:t>13,8 (</w:t>
            </w:r>
            <w:r w:rsidRPr="007403A4">
              <w:rPr>
                <w:rFonts w:eastAsia="PMingLiU"/>
                <w:lang w:val="sr-Latn-ME" w:eastAsia="zh-TW"/>
              </w:rPr>
              <w:t>11,4; 16,2)</w:t>
            </w:r>
          </w:p>
        </w:tc>
        <w:tc>
          <w:tcPr>
            <w:tcW w:w="1265" w:type="pct"/>
            <w:tcBorders>
              <w:top w:val="nil"/>
              <w:left w:val="nil"/>
              <w:bottom w:val="nil"/>
              <w:right w:val="single" w:sz="4" w:space="0" w:color="auto"/>
            </w:tcBorders>
            <w:vAlign w:val="bottom"/>
          </w:tcPr>
          <w:p w14:paraId="79E41283" w14:textId="77777777" w:rsidR="00ED7C77" w:rsidRPr="007403A4" w:rsidRDefault="00ED7C77">
            <w:pPr>
              <w:keepNext/>
              <w:spacing w:before="50" w:after="50" w:line="240" w:lineRule="exact"/>
              <w:ind w:right="28"/>
              <w:jc w:val="center"/>
              <w:rPr>
                <w:lang w:val="sr-Latn-ME"/>
              </w:rPr>
            </w:pPr>
            <w:r w:rsidRPr="007403A4">
              <w:rPr>
                <w:lang w:val="sr-Latn-ME"/>
              </w:rPr>
              <w:t>ND (</w:t>
            </w:r>
            <w:r w:rsidRPr="007403A4">
              <w:rPr>
                <w:rFonts w:eastAsia="PMingLiU"/>
                <w:lang w:val="sr-Latn-ME" w:eastAsia="zh-TW"/>
              </w:rPr>
              <w:t>22,5;-)</w:t>
            </w:r>
          </w:p>
        </w:tc>
      </w:tr>
      <w:tr w:rsidR="00ED7C77" w:rsidRPr="007403A4" w14:paraId="59A5C120" w14:textId="77777777" w:rsidTr="00ED7C77">
        <w:trPr>
          <w:cantSplit/>
          <w:jc w:val="center"/>
        </w:trPr>
        <w:tc>
          <w:tcPr>
            <w:tcW w:w="2578" w:type="pct"/>
            <w:tcBorders>
              <w:top w:val="nil"/>
              <w:left w:val="single" w:sz="4" w:space="0" w:color="auto"/>
              <w:bottom w:val="nil"/>
              <w:right w:val="single" w:sz="4" w:space="0" w:color="auto"/>
            </w:tcBorders>
            <w:vAlign w:val="bottom"/>
          </w:tcPr>
          <w:p w14:paraId="4DE0E39A" w14:textId="3F7E808A" w:rsidR="00ED7C77" w:rsidRPr="007403A4" w:rsidRDefault="00ED7C77">
            <w:pPr>
              <w:keepNext/>
              <w:spacing w:before="50" w:after="50" w:line="240" w:lineRule="exact"/>
              <w:ind w:right="28"/>
              <w:rPr>
                <w:lang w:val="sr-Latn-ME"/>
              </w:rPr>
            </w:pPr>
            <w:r w:rsidRPr="007403A4">
              <w:rPr>
                <w:lang w:val="sr-Latn-ME"/>
              </w:rPr>
              <w:t>HR (95% CI)</w:t>
            </w:r>
          </w:p>
        </w:tc>
        <w:tc>
          <w:tcPr>
            <w:tcW w:w="2422" w:type="pct"/>
            <w:gridSpan w:val="2"/>
            <w:tcBorders>
              <w:top w:val="nil"/>
              <w:left w:val="single" w:sz="4" w:space="0" w:color="auto"/>
              <w:bottom w:val="nil"/>
              <w:right w:val="single" w:sz="4" w:space="0" w:color="auto"/>
            </w:tcBorders>
            <w:vAlign w:val="bottom"/>
          </w:tcPr>
          <w:p w14:paraId="47887964" w14:textId="77777777" w:rsidR="00ED7C77" w:rsidRPr="007403A4" w:rsidRDefault="00ED7C77">
            <w:pPr>
              <w:keepNext/>
              <w:autoSpaceDE w:val="0"/>
              <w:autoSpaceDN w:val="0"/>
              <w:adjustRightInd w:val="0"/>
              <w:ind w:right="28"/>
              <w:jc w:val="center"/>
              <w:rPr>
                <w:rFonts w:eastAsia="PMingLiU"/>
                <w:lang w:val="sr-Latn-ME" w:eastAsia="zh-TW"/>
              </w:rPr>
            </w:pPr>
            <w:r w:rsidRPr="007403A4">
              <w:rPr>
                <w:rFonts w:eastAsia="PMingLiU"/>
                <w:lang w:val="sr-Latn-ME" w:eastAsia="zh-TW"/>
              </w:rPr>
              <w:t>0,48 (0,34; 0,68)</w:t>
            </w:r>
          </w:p>
        </w:tc>
      </w:tr>
      <w:tr w:rsidR="00ED7C77" w:rsidRPr="007403A4" w14:paraId="5BA2D045" w14:textId="77777777" w:rsidTr="00ED7C77">
        <w:trPr>
          <w:cantSplit/>
          <w:jc w:val="center"/>
        </w:trPr>
        <w:tc>
          <w:tcPr>
            <w:tcW w:w="2578" w:type="pct"/>
            <w:tcBorders>
              <w:top w:val="nil"/>
              <w:left w:val="single" w:sz="4" w:space="0" w:color="auto"/>
              <w:bottom w:val="single" w:sz="4" w:space="0" w:color="auto"/>
              <w:right w:val="single" w:sz="4" w:space="0" w:color="auto"/>
            </w:tcBorders>
            <w:vAlign w:val="bottom"/>
          </w:tcPr>
          <w:p w14:paraId="46EED39F" w14:textId="6F7C9536" w:rsidR="00ED7C77" w:rsidRPr="007403A4" w:rsidRDefault="00ED7C77">
            <w:pPr>
              <w:keepNext/>
              <w:spacing w:before="50" w:after="50" w:line="240" w:lineRule="exact"/>
              <w:ind w:right="28"/>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2422" w:type="pct"/>
            <w:gridSpan w:val="2"/>
            <w:tcBorders>
              <w:top w:val="nil"/>
              <w:left w:val="single" w:sz="4" w:space="0" w:color="auto"/>
              <w:bottom w:val="single" w:sz="4" w:space="0" w:color="auto"/>
              <w:right w:val="single" w:sz="4" w:space="0" w:color="auto"/>
            </w:tcBorders>
            <w:vAlign w:val="bottom"/>
          </w:tcPr>
          <w:p w14:paraId="53396349"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&lt; 0,0001</w:t>
            </w:r>
          </w:p>
        </w:tc>
      </w:tr>
      <w:tr w:rsidR="00ED7C77" w:rsidRPr="007403A4" w14:paraId="0C87993E" w14:textId="77777777" w:rsidTr="00ED7C77">
        <w:trPr>
          <w:cantSplit/>
          <w:jc w:val="center"/>
        </w:trPr>
        <w:tc>
          <w:tcPr>
            <w:tcW w:w="2578" w:type="pct"/>
            <w:tcBorders>
              <w:top w:val="single" w:sz="4" w:space="0" w:color="auto"/>
              <w:left w:val="single" w:sz="4" w:space="0" w:color="auto"/>
              <w:bottom w:val="nil"/>
              <w:right w:val="single" w:sz="4" w:space="0" w:color="auto"/>
            </w:tcBorders>
            <w:vAlign w:val="bottom"/>
          </w:tcPr>
          <w:p w14:paraId="101CBE5C" w14:textId="19752438" w:rsidR="00ED7C77" w:rsidRPr="007403A4" w:rsidRDefault="00ED7C77">
            <w:pPr>
              <w:keepNext/>
              <w:spacing w:before="50" w:after="50" w:line="240" w:lineRule="exact"/>
              <w:ind w:right="28"/>
              <w:rPr>
                <w:b/>
                <w:i/>
                <w:lang w:val="sr-Latn-ME"/>
              </w:rPr>
            </w:pPr>
            <w:r w:rsidRPr="007403A4">
              <w:rPr>
                <w:b/>
                <w:i/>
                <w:lang w:val="sr-Latn-ME"/>
              </w:rPr>
              <w:t xml:space="preserve">Sekundarni </w:t>
            </w:r>
            <w:r w:rsidR="00D232C8" w:rsidRPr="007403A4">
              <w:rPr>
                <w:b/>
                <w:i/>
                <w:lang w:val="sr-Latn-ME"/>
              </w:rPr>
              <w:t>parametar praćenja</w:t>
            </w:r>
          </w:p>
        </w:tc>
        <w:tc>
          <w:tcPr>
            <w:tcW w:w="1158" w:type="pct"/>
            <w:tcBorders>
              <w:top w:val="single" w:sz="4" w:space="0" w:color="auto"/>
              <w:left w:val="single" w:sz="4" w:space="0" w:color="auto"/>
              <w:bottom w:val="nil"/>
              <w:right w:val="nil"/>
            </w:tcBorders>
            <w:vAlign w:val="bottom"/>
          </w:tcPr>
          <w:p w14:paraId="39BF9A5A" w14:textId="77777777" w:rsidR="00ED7C77" w:rsidRPr="007403A4" w:rsidRDefault="00ED7C77">
            <w:pPr>
              <w:keepNext/>
              <w:spacing w:before="50" w:after="50" w:line="240" w:lineRule="exact"/>
              <w:ind w:right="28"/>
              <w:jc w:val="center"/>
              <w:rPr>
                <w:b/>
                <w:i/>
                <w:lang w:val="sr-Latn-ME"/>
              </w:rPr>
            </w:pPr>
          </w:p>
        </w:tc>
        <w:tc>
          <w:tcPr>
            <w:tcW w:w="1265" w:type="pct"/>
            <w:tcBorders>
              <w:top w:val="single" w:sz="4" w:space="0" w:color="auto"/>
              <w:left w:val="nil"/>
              <w:bottom w:val="nil"/>
              <w:right w:val="single" w:sz="4" w:space="0" w:color="auto"/>
            </w:tcBorders>
            <w:vAlign w:val="bottom"/>
          </w:tcPr>
          <w:p w14:paraId="06913AC0" w14:textId="77777777" w:rsidR="00ED7C77" w:rsidRPr="007403A4" w:rsidRDefault="00ED7C77">
            <w:pPr>
              <w:keepNext/>
              <w:spacing w:before="50" w:after="50" w:line="240" w:lineRule="exact"/>
              <w:ind w:right="28"/>
              <w:jc w:val="center"/>
              <w:rPr>
                <w:b/>
                <w:i/>
                <w:lang w:val="sr-Latn-ME"/>
              </w:rPr>
            </w:pPr>
          </w:p>
        </w:tc>
      </w:tr>
      <w:tr w:rsidR="00ED7C77" w:rsidRPr="007403A4" w14:paraId="2FBEA10E" w14:textId="77777777" w:rsidTr="00ED7C77">
        <w:trPr>
          <w:cantSplit/>
          <w:jc w:val="center"/>
        </w:trPr>
        <w:tc>
          <w:tcPr>
            <w:tcW w:w="2578" w:type="pct"/>
            <w:tcBorders>
              <w:top w:val="nil"/>
              <w:left w:val="single" w:sz="4" w:space="0" w:color="auto"/>
              <w:bottom w:val="nil"/>
              <w:right w:val="single" w:sz="4" w:space="0" w:color="auto"/>
            </w:tcBorders>
            <w:vAlign w:val="bottom"/>
          </w:tcPr>
          <w:p w14:paraId="490E898F" w14:textId="77777777" w:rsidR="00ED7C77" w:rsidRPr="007403A4" w:rsidRDefault="00ED7C77">
            <w:pPr>
              <w:keepNext/>
              <w:spacing w:before="50" w:after="50" w:line="240" w:lineRule="exact"/>
              <w:ind w:right="28"/>
              <w:rPr>
                <w:b/>
                <w:vertAlign w:val="superscript"/>
                <w:lang w:val="sr-Latn-ME"/>
              </w:rPr>
            </w:pPr>
            <w:r w:rsidRPr="007403A4">
              <w:rPr>
                <w:b/>
                <w:lang w:val="sr-Latn-ME"/>
              </w:rPr>
              <w:t>PFS prema ocjeni ispitivača</w:t>
            </w:r>
          </w:p>
        </w:tc>
        <w:tc>
          <w:tcPr>
            <w:tcW w:w="1158" w:type="pct"/>
            <w:tcBorders>
              <w:top w:val="nil"/>
              <w:left w:val="single" w:sz="4" w:space="0" w:color="auto"/>
              <w:bottom w:val="nil"/>
              <w:right w:val="nil"/>
            </w:tcBorders>
            <w:vAlign w:val="bottom"/>
          </w:tcPr>
          <w:p w14:paraId="4DC008F7" w14:textId="77777777" w:rsidR="00ED7C77" w:rsidRPr="007403A4" w:rsidRDefault="00ED7C77">
            <w:pPr>
              <w:keepNext/>
              <w:spacing w:before="50" w:after="50" w:line="240" w:lineRule="exact"/>
              <w:ind w:right="28"/>
              <w:jc w:val="center"/>
              <w:rPr>
                <w:b/>
                <w:lang w:val="sr-Latn-ME"/>
              </w:rPr>
            </w:pPr>
          </w:p>
        </w:tc>
        <w:tc>
          <w:tcPr>
            <w:tcW w:w="1265" w:type="pct"/>
            <w:tcBorders>
              <w:top w:val="nil"/>
              <w:left w:val="nil"/>
              <w:bottom w:val="nil"/>
              <w:right w:val="single" w:sz="4" w:space="0" w:color="auto"/>
            </w:tcBorders>
            <w:vAlign w:val="bottom"/>
          </w:tcPr>
          <w:p w14:paraId="5B24D9A6" w14:textId="77777777" w:rsidR="00ED7C77" w:rsidRPr="007403A4" w:rsidRDefault="00ED7C77">
            <w:pPr>
              <w:keepNext/>
              <w:spacing w:before="50" w:after="50" w:line="240" w:lineRule="exact"/>
              <w:ind w:right="28"/>
              <w:jc w:val="center"/>
              <w:rPr>
                <w:b/>
                <w:lang w:val="sr-Latn-ME"/>
              </w:rPr>
            </w:pPr>
          </w:p>
        </w:tc>
      </w:tr>
      <w:tr w:rsidR="00ED7C77" w:rsidRPr="007403A4" w14:paraId="65C8202B" w14:textId="77777777" w:rsidTr="00ED7C77">
        <w:trPr>
          <w:cantSplit/>
          <w:jc w:val="center"/>
        </w:trPr>
        <w:tc>
          <w:tcPr>
            <w:tcW w:w="2578" w:type="pct"/>
            <w:tcBorders>
              <w:top w:val="nil"/>
              <w:left w:val="single" w:sz="4" w:space="0" w:color="auto"/>
              <w:bottom w:val="nil"/>
              <w:right w:val="single" w:sz="4" w:space="0" w:color="auto"/>
            </w:tcBorders>
            <w:vAlign w:val="bottom"/>
          </w:tcPr>
          <w:p w14:paraId="3F355134" w14:textId="77777777" w:rsidR="00ED7C77" w:rsidRPr="007403A4" w:rsidRDefault="00ED7C77">
            <w:pPr>
              <w:keepNext/>
              <w:spacing w:before="50" w:after="50" w:line="240" w:lineRule="exact"/>
              <w:ind w:right="28"/>
              <w:rPr>
                <w:lang w:val="sr-Latn-ME"/>
              </w:rPr>
            </w:pPr>
            <w:r w:rsidRPr="007403A4">
              <w:rPr>
                <w:lang w:val="sr-Latn-ME"/>
              </w:rPr>
              <w:t>Broj (%) pacijenata s događajem</w:t>
            </w:r>
          </w:p>
        </w:tc>
        <w:tc>
          <w:tcPr>
            <w:tcW w:w="1158" w:type="pct"/>
            <w:tcBorders>
              <w:top w:val="nil"/>
              <w:left w:val="single" w:sz="4" w:space="0" w:color="auto"/>
              <w:bottom w:val="nil"/>
              <w:right w:val="nil"/>
            </w:tcBorders>
            <w:vAlign w:val="bottom"/>
          </w:tcPr>
          <w:p w14:paraId="7B791DCA" w14:textId="77777777" w:rsidR="00ED7C77" w:rsidRPr="007403A4" w:rsidRDefault="00ED7C77">
            <w:pPr>
              <w:keepNext/>
              <w:tabs>
                <w:tab w:val="left" w:pos="1840"/>
              </w:tabs>
              <w:spacing w:before="50" w:after="50" w:line="240" w:lineRule="exact"/>
              <w:ind w:right="28"/>
              <w:jc w:val="center"/>
              <w:rPr>
                <w:lang w:val="sr-Latn-ME"/>
              </w:rPr>
            </w:pPr>
            <w:r w:rsidRPr="007403A4">
              <w:rPr>
                <w:rFonts w:eastAsia="PMingLiU"/>
                <w:lang w:val="sr-Latn-ME" w:eastAsia="zh-TW"/>
              </w:rPr>
              <w:t>102 (61,4%)</w:t>
            </w:r>
          </w:p>
        </w:tc>
        <w:tc>
          <w:tcPr>
            <w:tcW w:w="1265" w:type="pct"/>
            <w:tcBorders>
              <w:top w:val="nil"/>
              <w:left w:val="nil"/>
              <w:bottom w:val="nil"/>
              <w:right w:val="single" w:sz="4" w:space="0" w:color="auto"/>
            </w:tcBorders>
            <w:vAlign w:val="bottom"/>
          </w:tcPr>
          <w:p w14:paraId="7078CFC8"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62 (40,0%)</w:t>
            </w:r>
          </w:p>
        </w:tc>
      </w:tr>
      <w:tr w:rsidR="00ED7C77" w:rsidRPr="007403A4" w14:paraId="452EB3F2" w14:textId="77777777" w:rsidTr="00ED7C77">
        <w:trPr>
          <w:cantSplit/>
          <w:jc w:val="center"/>
        </w:trPr>
        <w:tc>
          <w:tcPr>
            <w:tcW w:w="2578" w:type="pct"/>
            <w:tcBorders>
              <w:top w:val="nil"/>
              <w:left w:val="single" w:sz="4" w:space="0" w:color="auto"/>
              <w:bottom w:val="nil"/>
              <w:right w:val="single" w:sz="4" w:space="0" w:color="auto"/>
            </w:tcBorders>
            <w:vAlign w:val="bottom"/>
          </w:tcPr>
          <w:p w14:paraId="4986FCD8" w14:textId="1792CEF0" w:rsidR="00ED7C77" w:rsidRPr="007403A4" w:rsidRDefault="00ED7C77">
            <w:pPr>
              <w:keepNext/>
              <w:spacing w:before="50" w:after="50" w:line="240" w:lineRule="exact"/>
              <w:ind w:right="28"/>
              <w:rPr>
                <w:lang w:val="sr-Latn-ME"/>
              </w:rPr>
            </w:pPr>
            <w:r w:rsidRPr="007403A4">
              <w:rPr>
                <w:lang w:val="sr-Latn-ME"/>
              </w:rPr>
              <w:t>Medijan</w:t>
            </w:r>
            <w:r w:rsidR="00D232C8" w:rsidRPr="007403A4">
              <w:rPr>
                <w:lang w:val="sr-Latn-ME"/>
              </w:rPr>
              <w:t>a</w:t>
            </w:r>
            <w:r w:rsidRPr="007403A4">
              <w:rPr>
                <w:lang w:val="sr-Latn-ME"/>
              </w:rPr>
              <w:t xml:space="preserve"> vremena do događaja (mjeseci) (95% CI)</w:t>
            </w:r>
          </w:p>
        </w:tc>
        <w:tc>
          <w:tcPr>
            <w:tcW w:w="1158" w:type="pct"/>
            <w:tcBorders>
              <w:top w:val="nil"/>
              <w:left w:val="single" w:sz="4" w:space="0" w:color="auto"/>
              <w:bottom w:val="nil"/>
              <w:right w:val="nil"/>
            </w:tcBorders>
            <w:vAlign w:val="bottom"/>
          </w:tcPr>
          <w:p w14:paraId="5A9EC189"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13,7 (11,0; 15,5)</w:t>
            </w:r>
          </w:p>
        </w:tc>
        <w:tc>
          <w:tcPr>
            <w:tcW w:w="1265" w:type="pct"/>
            <w:tcBorders>
              <w:top w:val="nil"/>
              <w:left w:val="nil"/>
              <w:bottom w:val="nil"/>
              <w:right w:val="single" w:sz="4" w:space="0" w:color="auto"/>
            </w:tcBorders>
            <w:vAlign w:val="bottom"/>
          </w:tcPr>
          <w:p w14:paraId="17738129"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29,2 (17,5;-)</w:t>
            </w:r>
          </w:p>
        </w:tc>
      </w:tr>
      <w:tr w:rsidR="00ED7C77" w:rsidRPr="007403A4" w14:paraId="606C0A9A" w14:textId="77777777" w:rsidTr="00ED7C77">
        <w:trPr>
          <w:cantSplit/>
          <w:jc w:val="center"/>
        </w:trPr>
        <w:tc>
          <w:tcPr>
            <w:tcW w:w="2578" w:type="pct"/>
            <w:tcBorders>
              <w:top w:val="nil"/>
              <w:left w:val="single" w:sz="4" w:space="0" w:color="auto"/>
              <w:bottom w:val="nil"/>
              <w:right w:val="single" w:sz="4" w:space="0" w:color="auto"/>
            </w:tcBorders>
            <w:vAlign w:val="bottom"/>
          </w:tcPr>
          <w:p w14:paraId="2BBA31A4" w14:textId="77777777" w:rsidR="00ED7C77" w:rsidRPr="007403A4" w:rsidRDefault="00ED7C77">
            <w:pPr>
              <w:keepNext/>
              <w:spacing w:before="50" w:after="50" w:line="240" w:lineRule="exact"/>
              <w:ind w:right="28"/>
              <w:rPr>
                <w:lang w:val="sr-Latn-ME"/>
              </w:rPr>
            </w:pPr>
            <w:r w:rsidRPr="007403A4">
              <w:rPr>
                <w:lang w:val="sr-Latn-ME"/>
              </w:rPr>
              <w:t>HR (95% CI)</w:t>
            </w:r>
          </w:p>
        </w:tc>
        <w:tc>
          <w:tcPr>
            <w:tcW w:w="2422" w:type="pct"/>
            <w:gridSpan w:val="2"/>
            <w:tcBorders>
              <w:top w:val="nil"/>
              <w:left w:val="single" w:sz="4" w:space="0" w:color="auto"/>
              <w:bottom w:val="nil"/>
              <w:right w:val="single" w:sz="4" w:space="0" w:color="auto"/>
            </w:tcBorders>
            <w:vAlign w:val="bottom"/>
          </w:tcPr>
          <w:p w14:paraId="210F3B8B"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0,48 (0,35; 0,67)</w:t>
            </w:r>
          </w:p>
        </w:tc>
      </w:tr>
      <w:tr w:rsidR="00ED7C77" w:rsidRPr="007403A4" w14:paraId="2C90AB97" w14:textId="77777777" w:rsidTr="00ED7C77">
        <w:trPr>
          <w:cantSplit/>
          <w:jc w:val="center"/>
        </w:trPr>
        <w:tc>
          <w:tcPr>
            <w:tcW w:w="2578" w:type="pct"/>
            <w:tcBorders>
              <w:top w:val="nil"/>
              <w:left w:val="single" w:sz="4" w:space="0" w:color="auto"/>
              <w:bottom w:val="single" w:sz="4" w:space="0" w:color="auto"/>
              <w:right w:val="single" w:sz="4" w:space="0" w:color="auto"/>
            </w:tcBorders>
            <w:vAlign w:val="bottom"/>
          </w:tcPr>
          <w:p w14:paraId="2BDF9E3F" w14:textId="3DFB2587" w:rsidR="00ED7C77" w:rsidRPr="007403A4" w:rsidRDefault="00ED7C77">
            <w:pPr>
              <w:keepNext/>
              <w:spacing w:before="50" w:after="50" w:line="240" w:lineRule="exact"/>
              <w:ind w:right="28"/>
              <w:rPr>
                <w:lang w:val="sr-Latn-ME"/>
              </w:rPr>
            </w:pPr>
            <w:r w:rsidRPr="007403A4">
              <w:rPr>
                <w:lang w:val="sr-Latn-ME"/>
              </w:rPr>
              <w:t xml:space="preserve">p-vrijednost (log-rang test, </w:t>
            </w:r>
            <w:r w:rsidR="00942B09" w:rsidRPr="007403A4">
              <w:rPr>
                <w:lang w:val="sr-Latn-ME"/>
              </w:rPr>
              <w:t>stratifikovan</w:t>
            </w:r>
            <w:r w:rsidRPr="007403A4">
              <w:rPr>
                <w:lang w:val="sr-Latn-ME"/>
              </w:rPr>
              <w:t>*)</w:t>
            </w:r>
          </w:p>
        </w:tc>
        <w:tc>
          <w:tcPr>
            <w:tcW w:w="2422" w:type="pct"/>
            <w:gridSpan w:val="2"/>
            <w:tcBorders>
              <w:top w:val="nil"/>
              <w:left w:val="single" w:sz="4" w:space="0" w:color="auto"/>
              <w:bottom w:val="single" w:sz="4" w:space="0" w:color="auto"/>
              <w:right w:val="single" w:sz="4" w:space="0" w:color="auto"/>
            </w:tcBorders>
            <w:vAlign w:val="bottom"/>
          </w:tcPr>
          <w:p w14:paraId="3CC6AABB"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&lt; 0,0001</w:t>
            </w:r>
          </w:p>
        </w:tc>
      </w:tr>
      <w:tr w:rsidR="00ED7C77" w:rsidRPr="007403A4" w14:paraId="438D40AF" w14:textId="77777777" w:rsidTr="00ED7C77">
        <w:trPr>
          <w:cantSplit/>
          <w:jc w:val="center"/>
        </w:trPr>
        <w:tc>
          <w:tcPr>
            <w:tcW w:w="2578" w:type="pct"/>
            <w:tcBorders>
              <w:top w:val="single" w:sz="4" w:space="0" w:color="auto"/>
              <w:left w:val="single" w:sz="4" w:space="0" w:color="auto"/>
              <w:right w:val="single" w:sz="4" w:space="0" w:color="auto"/>
            </w:tcBorders>
            <w:vAlign w:val="bottom"/>
          </w:tcPr>
          <w:p w14:paraId="451389A9" w14:textId="77777777" w:rsidR="00ED7C77" w:rsidRPr="007403A4" w:rsidRDefault="00ED7C77">
            <w:pPr>
              <w:keepNext/>
              <w:spacing w:before="50" w:after="50" w:line="240" w:lineRule="exact"/>
              <w:ind w:right="28"/>
              <w:rPr>
                <w:b/>
                <w:lang w:val="sr-Latn-ME"/>
              </w:rPr>
            </w:pPr>
            <w:r w:rsidRPr="007403A4">
              <w:rPr>
                <w:b/>
                <w:lang w:val="sr-Latn-ME"/>
              </w:rPr>
              <w:t>Najbolji ukupan odgovor  (prema ocjeni nezavisne ocjenjivačke komisije)</w:t>
            </w:r>
            <w:r w:rsidRPr="007403A4">
              <w:rPr>
                <w:b/>
                <w:vertAlign w:val="superscript"/>
                <w:lang w:val="sr-Latn-ME"/>
              </w:rPr>
              <w:t>§</w:t>
            </w:r>
          </w:p>
        </w:tc>
        <w:tc>
          <w:tcPr>
            <w:tcW w:w="1158" w:type="pct"/>
            <w:tcBorders>
              <w:top w:val="single" w:sz="4" w:space="0" w:color="auto"/>
              <w:left w:val="single" w:sz="4" w:space="0" w:color="auto"/>
              <w:right w:val="nil"/>
            </w:tcBorders>
            <w:vAlign w:val="bottom"/>
          </w:tcPr>
          <w:p w14:paraId="1994EF04" w14:textId="77777777" w:rsidR="00ED7C77" w:rsidRPr="007403A4" w:rsidRDefault="00ED7C77">
            <w:pPr>
              <w:keepNext/>
              <w:spacing w:before="50" w:after="50" w:line="240" w:lineRule="exact"/>
              <w:ind w:right="28"/>
              <w:jc w:val="center"/>
              <w:rPr>
                <w:b/>
                <w:lang w:val="sr-Latn-ME"/>
              </w:rPr>
            </w:pPr>
          </w:p>
        </w:tc>
        <w:tc>
          <w:tcPr>
            <w:tcW w:w="1265" w:type="pct"/>
            <w:tcBorders>
              <w:top w:val="single" w:sz="4" w:space="0" w:color="auto"/>
              <w:left w:val="nil"/>
              <w:right w:val="single" w:sz="4" w:space="0" w:color="auto"/>
            </w:tcBorders>
            <w:vAlign w:val="bottom"/>
          </w:tcPr>
          <w:p w14:paraId="01A21F09" w14:textId="77777777" w:rsidR="00ED7C77" w:rsidRPr="007403A4" w:rsidRDefault="00ED7C77">
            <w:pPr>
              <w:keepNext/>
              <w:spacing w:before="50" w:after="50" w:line="240" w:lineRule="exact"/>
              <w:ind w:right="28"/>
              <w:jc w:val="center"/>
              <w:rPr>
                <w:b/>
                <w:lang w:val="sr-Latn-ME"/>
              </w:rPr>
            </w:pPr>
          </w:p>
        </w:tc>
      </w:tr>
      <w:tr w:rsidR="00ED7C77" w:rsidRPr="007403A4" w14:paraId="14F472BD" w14:textId="77777777" w:rsidTr="00ED7C77">
        <w:trPr>
          <w:cantSplit/>
          <w:jc w:val="center"/>
        </w:trPr>
        <w:tc>
          <w:tcPr>
            <w:tcW w:w="2578" w:type="pct"/>
            <w:tcBorders>
              <w:left w:val="single" w:sz="4" w:space="0" w:color="auto"/>
              <w:right w:val="single" w:sz="4" w:space="0" w:color="auto"/>
            </w:tcBorders>
            <w:vAlign w:val="bottom"/>
          </w:tcPr>
          <w:p w14:paraId="1CF75E0F" w14:textId="77777777" w:rsidR="00ED7C77" w:rsidRPr="007403A4" w:rsidRDefault="00ED7C77">
            <w:pPr>
              <w:keepNext/>
              <w:spacing w:before="50" w:after="50" w:line="240" w:lineRule="exact"/>
              <w:ind w:right="28"/>
              <w:rPr>
                <w:lang w:val="sr-Latn-ME"/>
              </w:rPr>
            </w:pPr>
            <w:r w:rsidRPr="007403A4">
              <w:rPr>
                <w:lang w:val="sr-Latn-ME"/>
              </w:rPr>
              <w:t>Broj pacijenata uključenih u analizu</w:t>
            </w:r>
          </w:p>
        </w:tc>
        <w:tc>
          <w:tcPr>
            <w:tcW w:w="1158" w:type="pct"/>
            <w:tcBorders>
              <w:left w:val="single" w:sz="4" w:space="0" w:color="auto"/>
            </w:tcBorders>
            <w:vAlign w:val="bottom"/>
          </w:tcPr>
          <w:p w14:paraId="58E01447"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161</w:t>
            </w:r>
          </w:p>
        </w:tc>
        <w:tc>
          <w:tcPr>
            <w:tcW w:w="1265" w:type="pct"/>
            <w:tcBorders>
              <w:right w:val="single" w:sz="4" w:space="0" w:color="auto"/>
            </w:tcBorders>
            <w:vAlign w:val="bottom"/>
          </w:tcPr>
          <w:p w14:paraId="2776D5CA"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153</w:t>
            </w:r>
          </w:p>
        </w:tc>
      </w:tr>
      <w:tr w:rsidR="00ED7C77" w:rsidRPr="007403A4" w14:paraId="6E108950" w14:textId="77777777" w:rsidTr="00ED7C77">
        <w:trPr>
          <w:cantSplit/>
          <w:jc w:val="center"/>
        </w:trPr>
        <w:tc>
          <w:tcPr>
            <w:tcW w:w="2578" w:type="pct"/>
            <w:tcBorders>
              <w:left w:val="single" w:sz="4" w:space="0" w:color="auto"/>
              <w:right w:val="single" w:sz="4" w:space="0" w:color="auto"/>
            </w:tcBorders>
            <w:vAlign w:val="bottom"/>
          </w:tcPr>
          <w:p w14:paraId="00E273A9" w14:textId="77777777" w:rsidR="00ED7C77" w:rsidRPr="007403A4" w:rsidRDefault="00ED7C77">
            <w:pPr>
              <w:keepNext/>
              <w:spacing w:before="50" w:after="50" w:line="240" w:lineRule="exact"/>
              <w:ind w:right="28"/>
              <w:rPr>
                <w:lang w:val="sr-Latn-ME"/>
              </w:rPr>
            </w:pPr>
            <w:r w:rsidRPr="007403A4">
              <w:rPr>
                <w:lang w:val="sr-Latn-ME"/>
              </w:rPr>
              <w:t>Pacijenti sa odgovorom na liječenje (%) (CR/PR)</w:t>
            </w:r>
          </w:p>
        </w:tc>
        <w:tc>
          <w:tcPr>
            <w:tcW w:w="1158" w:type="pct"/>
            <w:tcBorders>
              <w:left w:val="single" w:sz="4" w:space="0" w:color="auto"/>
            </w:tcBorders>
            <w:vAlign w:val="bottom"/>
          </w:tcPr>
          <w:p w14:paraId="0A7BDA50"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124 (77,0%)</w:t>
            </w:r>
          </w:p>
        </w:tc>
        <w:tc>
          <w:tcPr>
            <w:tcW w:w="1265" w:type="pct"/>
            <w:tcBorders>
              <w:right w:val="single" w:sz="4" w:space="0" w:color="auto"/>
            </w:tcBorders>
            <w:vAlign w:val="bottom"/>
          </w:tcPr>
          <w:p w14:paraId="4C72E037"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122 (79,7%)</w:t>
            </w:r>
          </w:p>
        </w:tc>
      </w:tr>
      <w:tr w:rsidR="00ED7C77" w:rsidRPr="007403A4" w14:paraId="6D75BEBB" w14:textId="77777777" w:rsidTr="00ED7C77">
        <w:trPr>
          <w:cantSplit/>
          <w:jc w:val="center"/>
        </w:trPr>
        <w:tc>
          <w:tcPr>
            <w:tcW w:w="2578" w:type="pct"/>
            <w:tcBorders>
              <w:left w:val="single" w:sz="4" w:space="0" w:color="auto"/>
              <w:right w:val="single" w:sz="4" w:space="0" w:color="auto"/>
            </w:tcBorders>
            <w:vAlign w:val="bottom"/>
          </w:tcPr>
          <w:p w14:paraId="0B70B6CE" w14:textId="77777777" w:rsidR="00ED7C77" w:rsidRPr="007403A4" w:rsidRDefault="00ED7C77">
            <w:pPr>
              <w:keepNext/>
              <w:spacing w:before="50" w:after="50" w:line="240" w:lineRule="exact"/>
              <w:ind w:right="28"/>
              <w:rPr>
                <w:lang w:val="sr-Latn-ME"/>
              </w:rPr>
            </w:pPr>
            <w:r w:rsidRPr="007403A4">
              <w:rPr>
                <w:lang w:val="sr-Latn-ME"/>
              </w:rPr>
              <w:t>Razlika u stepenu odgovora (95% CI)</w:t>
            </w:r>
          </w:p>
        </w:tc>
        <w:tc>
          <w:tcPr>
            <w:tcW w:w="2422" w:type="pct"/>
            <w:gridSpan w:val="2"/>
            <w:tcBorders>
              <w:left w:val="single" w:sz="4" w:space="0" w:color="auto"/>
              <w:right w:val="single" w:sz="4" w:space="0" w:color="auto"/>
            </w:tcBorders>
            <w:vAlign w:val="bottom"/>
          </w:tcPr>
          <w:p w14:paraId="7E21B04F"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2,72 (-6,74; 12,18)</w:t>
            </w:r>
          </w:p>
        </w:tc>
      </w:tr>
      <w:tr w:rsidR="00ED7C77" w:rsidRPr="007403A4" w14:paraId="365523AA" w14:textId="77777777" w:rsidTr="00ED7C77">
        <w:trPr>
          <w:cantSplit/>
          <w:jc w:val="center"/>
        </w:trPr>
        <w:tc>
          <w:tcPr>
            <w:tcW w:w="2578" w:type="pct"/>
            <w:tcBorders>
              <w:left w:val="single" w:sz="4" w:space="0" w:color="auto"/>
              <w:right w:val="single" w:sz="4" w:space="0" w:color="auto"/>
            </w:tcBorders>
            <w:vAlign w:val="bottom"/>
          </w:tcPr>
          <w:p w14:paraId="59230BD6" w14:textId="77777777" w:rsidR="00ED7C77" w:rsidRPr="007403A4" w:rsidRDefault="00ED7C77">
            <w:pPr>
              <w:keepNext/>
              <w:spacing w:before="50" w:after="50" w:line="240" w:lineRule="exact"/>
              <w:ind w:right="28"/>
              <w:rPr>
                <w:lang w:val="sr-Latn-ME"/>
              </w:rPr>
            </w:pPr>
            <w:r w:rsidRPr="007403A4">
              <w:rPr>
                <w:lang w:val="sr-Latn-ME"/>
              </w:rPr>
              <w:t>p-vrijednost (Cochran-Mantel-Haenszelov test)</w:t>
            </w:r>
          </w:p>
        </w:tc>
        <w:tc>
          <w:tcPr>
            <w:tcW w:w="2422" w:type="pct"/>
            <w:gridSpan w:val="2"/>
            <w:tcBorders>
              <w:left w:val="single" w:sz="4" w:space="0" w:color="auto"/>
              <w:right w:val="single" w:sz="4" w:space="0" w:color="auto"/>
            </w:tcBorders>
            <w:vAlign w:val="bottom"/>
          </w:tcPr>
          <w:p w14:paraId="3089ECFB" w14:textId="77777777" w:rsidR="00ED7C77" w:rsidRPr="007403A4" w:rsidRDefault="00ED7C77">
            <w:pPr>
              <w:keepNext/>
              <w:spacing w:before="50" w:after="50" w:line="240" w:lineRule="exact"/>
              <w:ind w:right="28"/>
              <w:jc w:val="center"/>
              <w:rPr>
                <w:rFonts w:eastAsia="PMingLiU"/>
                <w:lang w:val="sr-Latn-ME" w:eastAsia="zh-TW"/>
              </w:rPr>
            </w:pPr>
            <w:r w:rsidRPr="007403A4">
              <w:rPr>
                <w:rFonts w:eastAsia="PMingLiU"/>
                <w:lang w:val="sr-Latn-ME" w:eastAsia="zh-TW"/>
              </w:rPr>
              <w:t>0,6142</w:t>
            </w:r>
          </w:p>
        </w:tc>
      </w:tr>
      <w:tr w:rsidR="00ED7C77" w:rsidRPr="007403A4" w14:paraId="685DE9F3" w14:textId="77777777" w:rsidTr="00ED7C77">
        <w:trPr>
          <w:cantSplit/>
          <w:jc w:val="center"/>
        </w:trPr>
        <w:tc>
          <w:tcPr>
            <w:tcW w:w="2578" w:type="pct"/>
            <w:tcBorders>
              <w:left w:val="single" w:sz="4" w:space="0" w:color="auto"/>
              <w:right w:val="single" w:sz="4" w:space="0" w:color="auto"/>
            </w:tcBorders>
            <w:vAlign w:val="bottom"/>
          </w:tcPr>
          <w:p w14:paraId="7B45F95C" w14:textId="77777777" w:rsidR="00ED7C77" w:rsidRPr="007403A4" w:rsidRDefault="00ED7C77">
            <w:pPr>
              <w:keepNext/>
              <w:spacing w:before="50" w:after="50" w:line="240" w:lineRule="exact"/>
              <w:ind w:right="28"/>
              <w:rPr>
                <w:lang w:val="sr-Latn-ME"/>
              </w:rPr>
            </w:pPr>
            <w:r w:rsidRPr="007403A4">
              <w:rPr>
                <w:lang w:val="sr-Latn-ME"/>
              </w:rPr>
              <w:t>Pacijenti sa potpunim odgovorom na liječenje (%)</w:t>
            </w:r>
          </w:p>
        </w:tc>
        <w:tc>
          <w:tcPr>
            <w:tcW w:w="1158" w:type="pct"/>
            <w:tcBorders>
              <w:left w:val="single" w:sz="4" w:space="0" w:color="auto"/>
            </w:tcBorders>
            <w:vAlign w:val="bottom"/>
          </w:tcPr>
          <w:p w14:paraId="467C3F00"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31 (19,3%)</w:t>
            </w:r>
          </w:p>
        </w:tc>
        <w:tc>
          <w:tcPr>
            <w:tcW w:w="1265" w:type="pct"/>
            <w:tcBorders>
              <w:right w:val="single" w:sz="4" w:space="0" w:color="auto"/>
            </w:tcBorders>
            <w:vAlign w:val="bottom"/>
          </w:tcPr>
          <w:p w14:paraId="2789B127"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24 (15,7%)</w:t>
            </w:r>
          </w:p>
        </w:tc>
      </w:tr>
      <w:tr w:rsidR="00ED7C77" w:rsidRPr="007403A4" w14:paraId="715EE6B7" w14:textId="77777777" w:rsidTr="00ED7C77">
        <w:trPr>
          <w:cantSplit/>
          <w:jc w:val="center"/>
        </w:trPr>
        <w:tc>
          <w:tcPr>
            <w:tcW w:w="2578" w:type="pct"/>
            <w:tcBorders>
              <w:left w:val="single" w:sz="4" w:space="0" w:color="auto"/>
              <w:right w:val="single" w:sz="4" w:space="0" w:color="auto"/>
            </w:tcBorders>
            <w:vAlign w:val="bottom"/>
          </w:tcPr>
          <w:p w14:paraId="75E505BC" w14:textId="66DB73D2" w:rsidR="00ED7C77" w:rsidRPr="007403A4" w:rsidRDefault="00ED7C77">
            <w:pPr>
              <w:keepNext/>
              <w:spacing w:before="50" w:after="50" w:line="240" w:lineRule="exact"/>
              <w:ind w:right="28"/>
              <w:rPr>
                <w:lang w:val="sr-Latn-ME"/>
              </w:rPr>
            </w:pPr>
            <w:r w:rsidRPr="007403A4">
              <w:rPr>
                <w:lang w:val="sr-Latn-ME"/>
              </w:rPr>
              <w:t>Pacijenti sa djel</w:t>
            </w:r>
            <w:r w:rsidR="00D232C8" w:rsidRPr="007403A4">
              <w:rPr>
                <w:lang w:val="sr-Latn-ME"/>
              </w:rPr>
              <w:t>i</w:t>
            </w:r>
            <w:r w:rsidRPr="007403A4">
              <w:rPr>
                <w:lang w:val="sr-Latn-ME"/>
              </w:rPr>
              <w:t>mičnim odgovorom na liječenje (%)</w:t>
            </w:r>
          </w:p>
        </w:tc>
        <w:tc>
          <w:tcPr>
            <w:tcW w:w="1158" w:type="pct"/>
            <w:tcBorders>
              <w:left w:val="single" w:sz="4" w:space="0" w:color="auto"/>
            </w:tcBorders>
            <w:vAlign w:val="bottom"/>
          </w:tcPr>
          <w:p w14:paraId="6E1A042A"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93 (57,8%)</w:t>
            </w:r>
          </w:p>
        </w:tc>
        <w:tc>
          <w:tcPr>
            <w:tcW w:w="1265" w:type="pct"/>
            <w:tcBorders>
              <w:right w:val="single" w:sz="4" w:space="0" w:color="auto"/>
            </w:tcBorders>
            <w:vAlign w:val="bottom"/>
          </w:tcPr>
          <w:p w14:paraId="771EBDA9"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98 (64,1%)</w:t>
            </w:r>
          </w:p>
        </w:tc>
      </w:tr>
      <w:tr w:rsidR="00ED7C77" w:rsidRPr="007403A4" w14:paraId="003F28F5" w14:textId="77777777" w:rsidTr="00ED7C77">
        <w:trPr>
          <w:cantSplit/>
          <w:jc w:val="center"/>
        </w:trPr>
        <w:tc>
          <w:tcPr>
            <w:tcW w:w="2578" w:type="pct"/>
            <w:tcBorders>
              <w:left w:val="single" w:sz="4" w:space="0" w:color="auto"/>
              <w:bottom w:val="single" w:sz="4" w:space="0" w:color="auto"/>
              <w:right w:val="single" w:sz="4" w:space="0" w:color="auto"/>
            </w:tcBorders>
            <w:vAlign w:val="bottom"/>
          </w:tcPr>
          <w:p w14:paraId="60C5F117" w14:textId="77777777" w:rsidR="00ED7C77" w:rsidRPr="007403A4" w:rsidRDefault="00ED7C77">
            <w:pPr>
              <w:keepNext/>
              <w:spacing w:before="50" w:after="50" w:line="240" w:lineRule="exact"/>
              <w:ind w:right="28"/>
              <w:rPr>
                <w:lang w:val="sr-Latn-ME"/>
              </w:rPr>
            </w:pPr>
            <w:r w:rsidRPr="007403A4">
              <w:rPr>
                <w:lang w:val="sr-Latn-ME"/>
              </w:rPr>
              <w:t>Stabilna bolest (%)</w:t>
            </w:r>
          </w:p>
        </w:tc>
        <w:tc>
          <w:tcPr>
            <w:tcW w:w="1158" w:type="pct"/>
            <w:tcBorders>
              <w:left w:val="single" w:sz="4" w:space="0" w:color="auto"/>
              <w:bottom w:val="single" w:sz="4" w:space="0" w:color="auto"/>
            </w:tcBorders>
            <w:vAlign w:val="bottom"/>
          </w:tcPr>
          <w:p w14:paraId="24BEEDE0"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18 (11,2%)</w:t>
            </w:r>
          </w:p>
        </w:tc>
        <w:tc>
          <w:tcPr>
            <w:tcW w:w="1265" w:type="pct"/>
            <w:tcBorders>
              <w:bottom w:val="single" w:sz="4" w:space="0" w:color="auto"/>
              <w:right w:val="single" w:sz="4" w:space="0" w:color="auto"/>
            </w:tcBorders>
            <w:vAlign w:val="bottom"/>
          </w:tcPr>
          <w:p w14:paraId="4BB88124" w14:textId="77777777" w:rsidR="00ED7C77" w:rsidRPr="007403A4" w:rsidRDefault="00ED7C77">
            <w:pPr>
              <w:keepNext/>
              <w:spacing w:before="50" w:after="50" w:line="240" w:lineRule="exact"/>
              <w:ind w:right="28"/>
              <w:jc w:val="center"/>
              <w:rPr>
                <w:rFonts w:eastAsia="PMingLiU"/>
                <w:lang w:val="sr-Latn-ME" w:eastAsia="zh-TW"/>
              </w:rPr>
            </w:pPr>
            <w:r w:rsidRPr="007403A4">
              <w:rPr>
                <w:lang w:val="sr-Latn-ME"/>
              </w:rPr>
              <w:t>13 (8,5%)</w:t>
            </w:r>
          </w:p>
        </w:tc>
      </w:tr>
      <w:tr w:rsidR="00ED7C77" w:rsidRPr="007403A4" w14:paraId="366F380E" w14:textId="77777777" w:rsidTr="00ED7C77">
        <w:trPr>
          <w:cantSplit/>
          <w:trHeight w:val="122"/>
          <w:jc w:val="center"/>
        </w:trPr>
        <w:tc>
          <w:tcPr>
            <w:tcW w:w="2578" w:type="pct"/>
            <w:tcBorders>
              <w:top w:val="single" w:sz="4" w:space="0" w:color="auto"/>
              <w:left w:val="single" w:sz="4" w:space="0" w:color="auto"/>
              <w:bottom w:val="nil"/>
              <w:right w:val="single" w:sz="4" w:space="0" w:color="auto"/>
            </w:tcBorders>
            <w:vAlign w:val="bottom"/>
          </w:tcPr>
          <w:p w14:paraId="1213018B" w14:textId="77777777" w:rsidR="00ED7C77" w:rsidRPr="007403A4" w:rsidRDefault="00ED7C77">
            <w:pPr>
              <w:ind w:right="28"/>
              <w:rPr>
                <w:b/>
                <w:lang w:val="sr-Latn-ME"/>
              </w:rPr>
            </w:pPr>
            <w:r w:rsidRPr="007403A4">
              <w:rPr>
                <w:b/>
                <w:lang w:val="sr-Latn-ME"/>
              </w:rPr>
              <w:t>Trajanje odgovora (prema ocjeni nezavisne ocjenjivačke komisije)</w:t>
            </w:r>
          </w:p>
        </w:tc>
        <w:tc>
          <w:tcPr>
            <w:tcW w:w="1158" w:type="pct"/>
            <w:tcBorders>
              <w:top w:val="single" w:sz="4" w:space="0" w:color="auto"/>
              <w:left w:val="single" w:sz="4" w:space="0" w:color="auto"/>
              <w:bottom w:val="nil"/>
              <w:right w:val="nil"/>
            </w:tcBorders>
            <w:vAlign w:val="bottom"/>
          </w:tcPr>
          <w:p w14:paraId="7E2EF05C" w14:textId="77777777" w:rsidR="00ED7C77" w:rsidRPr="007403A4" w:rsidRDefault="00ED7C77">
            <w:pPr>
              <w:keepNext/>
              <w:spacing w:before="50" w:after="50" w:line="240" w:lineRule="exact"/>
              <w:ind w:right="28"/>
              <w:jc w:val="center"/>
              <w:rPr>
                <w:lang w:val="sr-Latn-ME"/>
              </w:rPr>
            </w:pPr>
          </w:p>
        </w:tc>
        <w:tc>
          <w:tcPr>
            <w:tcW w:w="1265" w:type="pct"/>
            <w:tcBorders>
              <w:top w:val="single" w:sz="4" w:space="0" w:color="auto"/>
              <w:left w:val="nil"/>
              <w:bottom w:val="nil"/>
              <w:right w:val="single" w:sz="4" w:space="0" w:color="auto"/>
            </w:tcBorders>
            <w:vAlign w:val="bottom"/>
          </w:tcPr>
          <w:p w14:paraId="69C7F0D6" w14:textId="77777777" w:rsidR="00ED7C77" w:rsidRPr="007403A4" w:rsidRDefault="00ED7C77">
            <w:pPr>
              <w:keepNext/>
              <w:spacing w:before="50" w:after="50" w:line="240" w:lineRule="exact"/>
              <w:ind w:right="28"/>
              <w:jc w:val="center"/>
              <w:rPr>
                <w:lang w:val="sr-Latn-ME"/>
              </w:rPr>
            </w:pPr>
          </w:p>
        </w:tc>
      </w:tr>
      <w:tr w:rsidR="00ED7C77" w:rsidRPr="007403A4" w14:paraId="5102768F" w14:textId="77777777" w:rsidTr="00ED7C77">
        <w:trPr>
          <w:cantSplit/>
          <w:trHeight w:val="218"/>
          <w:jc w:val="center"/>
        </w:trPr>
        <w:tc>
          <w:tcPr>
            <w:tcW w:w="2578" w:type="pct"/>
            <w:tcBorders>
              <w:top w:val="nil"/>
              <w:left w:val="single" w:sz="4" w:space="0" w:color="auto"/>
              <w:bottom w:val="nil"/>
              <w:right w:val="single" w:sz="4" w:space="0" w:color="auto"/>
            </w:tcBorders>
            <w:vAlign w:val="bottom"/>
          </w:tcPr>
          <w:p w14:paraId="63C643A8" w14:textId="77777777" w:rsidR="00ED7C77" w:rsidRPr="007403A4" w:rsidRDefault="00ED7C77">
            <w:pPr>
              <w:keepNext/>
              <w:spacing w:before="50" w:after="50" w:line="240" w:lineRule="exact"/>
              <w:ind w:right="28"/>
              <w:rPr>
                <w:lang w:val="sr-Latn-ME"/>
              </w:rPr>
            </w:pPr>
            <w:r w:rsidRPr="007403A4">
              <w:rPr>
                <w:lang w:val="sr-Latn-ME"/>
              </w:rPr>
              <w:lastRenderedPageBreak/>
              <w:t>Broj pacijenata uključenih u analizu</w:t>
            </w:r>
          </w:p>
        </w:tc>
        <w:tc>
          <w:tcPr>
            <w:tcW w:w="1158" w:type="pct"/>
            <w:tcBorders>
              <w:top w:val="nil"/>
              <w:left w:val="single" w:sz="4" w:space="0" w:color="auto"/>
              <w:bottom w:val="nil"/>
              <w:right w:val="nil"/>
            </w:tcBorders>
            <w:vAlign w:val="bottom"/>
          </w:tcPr>
          <w:p w14:paraId="481E6450" w14:textId="77777777" w:rsidR="00ED7C77" w:rsidRPr="007403A4" w:rsidRDefault="00ED7C77">
            <w:pPr>
              <w:keepNext/>
              <w:spacing w:before="50" w:after="50" w:line="240" w:lineRule="exact"/>
              <w:ind w:right="28"/>
              <w:jc w:val="center"/>
              <w:rPr>
                <w:rFonts w:eastAsia="PMingLiU"/>
                <w:lang w:val="sr-Latn-ME" w:eastAsia="zh-TW"/>
              </w:rPr>
            </w:pPr>
            <w:r w:rsidRPr="007403A4">
              <w:rPr>
                <w:rFonts w:eastAsia="PMingLiU"/>
                <w:lang w:val="sr-Latn-ME" w:eastAsia="zh-TW"/>
              </w:rPr>
              <w:t>127</w:t>
            </w:r>
          </w:p>
        </w:tc>
        <w:tc>
          <w:tcPr>
            <w:tcW w:w="1265" w:type="pct"/>
            <w:tcBorders>
              <w:top w:val="nil"/>
              <w:left w:val="nil"/>
              <w:bottom w:val="nil"/>
              <w:right w:val="single" w:sz="4" w:space="0" w:color="auto"/>
            </w:tcBorders>
            <w:vAlign w:val="bottom"/>
          </w:tcPr>
          <w:p w14:paraId="50FB3A90" w14:textId="62E3B4A6" w:rsidR="00ED7C77" w:rsidRPr="007403A4" w:rsidRDefault="00ED7C77">
            <w:pPr>
              <w:keepNext/>
              <w:spacing w:before="50" w:after="50" w:line="240" w:lineRule="exact"/>
              <w:ind w:right="28"/>
              <w:jc w:val="center"/>
              <w:rPr>
                <w:rFonts w:eastAsia="PMingLiU"/>
                <w:lang w:val="sr-Latn-ME" w:eastAsia="zh-TW"/>
              </w:rPr>
            </w:pPr>
            <w:r w:rsidRPr="007403A4">
              <w:rPr>
                <w:rFonts w:eastAsia="PMingLiU"/>
                <w:lang w:val="sr-Latn-ME" w:eastAsia="zh-TW"/>
              </w:rPr>
              <w:t>122</w:t>
            </w:r>
          </w:p>
        </w:tc>
      </w:tr>
      <w:tr w:rsidR="00ED7C77" w:rsidRPr="007403A4" w14:paraId="34E2F04F" w14:textId="77777777" w:rsidTr="00ED7C77">
        <w:trPr>
          <w:cantSplit/>
          <w:trHeight w:val="218"/>
          <w:jc w:val="center"/>
        </w:trPr>
        <w:tc>
          <w:tcPr>
            <w:tcW w:w="2578" w:type="pct"/>
            <w:tcBorders>
              <w:top w:val="nil"/>
              <w:left w:val="single" w:sz="4" w:space="0" w:color="auto"/>
              <w:bottom w:val="nil"/>
              <w:right w:val="single" w:sz="4" w:space="0" w:color="auto"/>
            </w:tcBorders>
            <w:vAlign w:val="bottom"/>
          </w:tcPr>
          <w:p w14:paraId="668B3A64" w14:textId="77777777" w:rsidR="00ED7C77" w:rsidRPr="007403A4" w:rsidRDefault="00ED7C77">
            <w:pPr>
              <w:keepNext/>
              <w:spacing w:before="50" w:after="50" w:line="240" w:lineRule="exact"/>
              <w:ind w:right="28"/>
              <w:rPr>
                <w:lang w:val="sr-Latn-ME"/>
              </w:rPr>
            </w:pPr>
            <w:r w:rsidRPr="007403A4">
              <w:rPr>
                <w:lang w:val="sr-Latn-ME"/>
              </w:rPr>
              <w:t>Broj (%) pacijenata sa događajem</w:t>
            </w:r>
          </w:p>
        </w:tc>
        <w:tc>
          <w:tcPr>
            <w:tcW w:w="1158" w:type="pct"/>
            <w:tcBorders>
              <w:top w:val="nil"/>
              <w:left w:val="single" w:sz="4" w:space="0" w:color="auto"/>
              <w:bottom w:val="nil"/>
              <w:right w:val="nil"/>
            </w:tcBorders>
            <w:vAlign w:val="bottom"/>
          </w:tcPr>
          <w:p w14:paraId="064C047E"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74 (58,3%)</w:t>
            </w:r>
          </w:p>
        </w:tc>
        <w:tc>
          <w:tcPr>
            <w:tcW w:w="1265" w:type="pct"/>
            <w:tcBorders>
              <w:top w:val="nil"/>
              <w:left w:val="nil"/>
              <w:bottom w:val="nil"/>
              <w:right w:val="single" w:sz="4" w:space="0" w:color="auto"/>
            </w:tcBorders>
            <w:vAlign w:val="bottom"/>
          </w:tcPr>
          <w:p w14:paraId="2D551A69"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36 (29,5%)</w:t>
            </w:r>
          </w:p>
        </w:tc>
      </w:tr>
      <w:tr w:rsidR="00ED7C77" w:rsidRPr="007403A4" w14:paraId="14DA6A4C" w14:textId="77777777" w:rsidTr="00ED7C77">
        <w:trPr>
          <w:cantSplit/>
          <w:trHeight w:val="218"/>
          <w:jc w:val="center"/>
        </w:trPr>
        <w:tc>
          <w:tcPr>
            <w:tcW w:w="2578" w:type="pct"/>
            <w:tcBorders>
              <w:top w:val="nil"/>
              <w:left w:val="single" w:sz="4" w:space="0" w:color="auto"/>
              <w:bottom w:val="nil"/>
              <w:right w:val="single" w:sz="4" w:space="0" w:color="auto"/>
            </w:tcBorders>
            <w:vAlign w:val="bottom"/>
          </w:tcPr>
          <w:p w14:paraId="0129C917" w14:textId="23939BFC" w:rsidR="00ED7C77" w:rsidRPr="007403A4" w:rsidRDefault="00ED7C77">
            <w:pPr>
              <w:keepNext/>
              <w:spacing w:before="50" w:after="50" w:line="240" w:lineRule="exact"/>
              <w:ind w:right="28"/>
              <w:rPr>
                <w:lang w:val="sr-Latn-ME"/>
              </w:rPr>
            </w:pPr>
            <w:r w:rsidRPr="007403A4">
              <w:rPr>
                <w:lang w:val="sr-Latn-ME"/>
              </w:rPr>
              <w:t>Medijan</w:t>
            </w:r>
            <w:r w:rsidR="00D232C8" w:rsidRPr="007403A4">
              <w:rPr>
                <w:lang w:val="sr-Latn-ME"/>
              </w:rPr>
              <w:t>a</w:t>
            </w:r>
            <w:r w:rsidRPr="007403A4">
              <w:rPr>
                <w:lang w:val="sr-Latn-ME"/>
              </w:rPr>
              <w:t xml:space="preserve"> trajanja odgovora (mjeseci) (95% CI)</w:t>
            </w:r>
          </w:p>
        </w:tc>
        <w:tc>
          <w:tcPr>
            <w:tcW w:w="1158" w:type="pct"/>
            <w:tcBorders>
              <w:top w:val="nil"/>
              <w:left w:val="single" w:sz="4" w:space="0" w:color="auto"/>
              <w:bottom w:val="nil"/>
              <w:right w:val="nil"/>
            </w:tcBorders>
            <w:vAlign w:val="bottom"/>
          </w:tcPr>
          <w:p w14:paraId="3B142849"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11,9 (8,8; 13,6)</w:t>
            </w:r>
          </w:p>
        </w:tc>
        <w:tc>
          <w:tcPr>
            <w:tcW w:w="1265" w:type="pct"/>
            <w:tcBorders>
              <w:top w:val="nil"/>
              <w:left w:val="nil"/>
              <w:bottom w:val="nil"/>
              <w:right w:val="single" w:sz="4" w:space="0" w:color="auto"/>
            </w:tcBorders>
            <w:vAlign w:val="bottom"/>
          </w:tcPr>
          <w:p w14:paraId="0F5A4374" w14:textId="77777777" w:rsidR="00ED7C77" w:rsidRPr="007403A4" w:rsidRDefault="00ED7C77">
            <w:pPr>
              <w:keepNext/>
              <w:spacing w:before="50" w:after="50" w:line="240" w:lineRule="exact"/>
              <w:ind w:right="28"/>
              <w:jc w:val="center"/>
              <w:rPr>
                <w:lang w:val="sr-Latn-ME"/>
              </w:rPr>
            </w:pPr>
            <w:r w:rsidRPr="007403A4">
              <w:rPr>
                <w:rFonts w:eastAsia="PMingLiU"/>
                <w:lang w:val="sr-Latn-ME" w:eastAsia="zh-TW"/>
              </w:rPr>
              <w:t>ND (25,4;-)</w:t>
            </w:r>
          </w:p>
        </w:tc>
      </w:tr>
      <w:tr w:rsidR="00ED7C77" w:rsidRPr="007403A4" w14:paraId="6B491466" w14:textId="77777777" w:rsidTr="00ED7C77">
        <w:trPr>
          <w:cantSplit/>
          <w:trHeight w:val="218"/>
          <w:jc w:val="center"/>
        </w:trPr>
        <w:tc>
          <w:tcPr>
            <w:tcW w:w="2578" w:type="pct"/>
            <w:tcBorders>
              <w:top w:val="nil"/>
              <w:left w:val="single" w:sz="4" w:space="0" w:color="auto"/>
              <w:bottom w:val="single" w:sz="4" w:space="0" w:color="auto"/>
              <w:right w:val="single" w:sz="4" w:space="0" w:color="auto"/>
            </w:tcBorders>
            <w:vAlign w:val="bottom"/>
          </w:tcPr>
          <w:p w14:paraId="1A2C9F15" w14:textId="0147A496" w:rsidR="00ED7C77" w:rsidRPr="007403A4" w:rsidRDefault="00ED7C77">
            <w:pPr>
              <w:keepNext/>
              <w:spacing w:before="50" w:after="50" w:line="240" w:lineRule="exact"/>
              <w:ind w:right="28"/>
              <w:rPr>
                <w:lang w:val="sr-Latn-ME"/>
              </w:rPr>
            </w:pPr>
            <w:r w:rsidRPr="007403A4">
              <w:rPr>
                <w:lang w:val="sr-Latn-ME"/>
              </w:rPr>
              <w:t>HR (95% CI)</w:t>
            </w:r>
          </w:p>
        </w:tc>
        <w:tc>
          <w:tcPr>
            <w:tcW w:w="2422" w:type="pct"/>
            <w:gridSpan w:val="2"/>
            <w:tcBorders>
              <w:top w:val="nil"/>
              <w:left w:val="single" w:sz="4" w:space="0" w:color="auto"/>
              <w:bottom w:val="single" w:sz="4" w:space="0" w:color="auto"/>
              <w:right w:val="single" w:sz="4" w:space="0" w:color="auto"/>
            </w:tcBorders>
            <w:vAlign w:val="bottom"/>
          </w:tcPr>
          <w:p w14:paraId="3CDFA852" w14:textId="20565B59" w:rsidR="00ED7C77" w:rsidRPr="007403A4" w:rsidRDefault="00ED7C77">
            <w:pPr>
              <w:keepNext/>
              <w:spacing w:before="50" w:after="50" w:line="240" w:lineRule="exact"/>
              <w:ind w:right="28"/>
              <w:jc w:val="center"/>
              <w:rPr>
                <w:lang w:val="sr-Latn-ME"/>
              </w:rPr>
            </w:pPr>
            <w:r w:rsidRPr="007403A4">
              <w:rPr>
                <w:rFonts w:eastAsia="PMingLiU"/>
                <w:lang w:val="sr-Latn-ME" w:eastAsia="zh-TW"/>
              </w:rPr>
              <w:t>0,36 (0,24; 0,54)</w:t>
            </w:r>
          </w:p>
        </w:tc>
      </w:tr>
      <w:tr w:rsidR="00ED7C77" w:rsidRPr="007403A4" w14:paraId="7D7CC79E" w14:textId="77777777" w:rsidTr="00ED7C77">
        <w:trPr>
          <w:cantSplit/>
          <w:jc w:val="center"/>
        </w:trPr>
        <w:tc>
          <w:tcPr>
            <w:tcW w:w="2578" w:type="pct"/>
            <w:tcBorders>
              <w:top w:val="single" w:sz="4" w:space="0" w:color="auto"/>
              <w:left w:val="single" w:sz="4" w:space="0" w:color="auto"/>
              <w:bottom w:val="nil"/>
              <w:right w:val="single" w:sz="4" w:space="0" w:color="auto"/>
            </w:tcBorders>
            <w:vAlign w:val="bottom"/>
          </w:tcPr>
          <w:p w14:paraId="6DA07940" w14:textId="0BF73FF2" w:rsidR="00ED7C77" w:rsidRPr="007403A4" w:rsidRDefault="00ED7C77">
            <w:pPr>
              <w:spacing w:before="50" w:after="50" w:line="240" w:lineRule="exact"/>
              <w:ind w:right="28"/>
              <w:rPr>
                <w:b/>
                <w:lang w:val="sr-Latn-ME"/>
              </w:rPr>
            </w:pPr>
            <w:r w:rsidRPr="007403A4">
              <w:rPr>
                <w:b/>
                <w:lang w:val="sr-Latn-ME"/>
              </w:rPr>
              <w:t xml:space="preserve">Ukupno preživljavanje (podaci još </w:t>
            </w:r>
            <w:r w:rsidR="00741222" w:rsidRPr="007403A4">
              <w:rPr>
                <w:b/>
                <w:lang w:val="sr-Latn-ME"/>
              </w:rPr>
              <w:t>nijesu</w:t>
            </w:r>
            <w:r w:rsidRPr="007403A4">
              <w:rPr>
                <w:b/>
                <w:lang w:val="sr-Latn-ME"/>
              </w:rPr>
              <w:t xml:space="preserve"> obrađeni )</w:t>
            </w:r>
          </w:p>
        </w:tc>
        <w:tc>
          <w:tcPr>
            <w:tcW w:w="1158" w:type="pct"/>
            <w:tcBorders>
              <w:top w:val="single" w:sz="4" w:space="0" w:color="auto"/>
              <w:left w:val="single" w:sz="4" w:space="0" w:color="auto"/>
              <w:bottom w:val="nil"/>
              <w:right w:val="nil"/>
            </w:tcBorders>
            <w:vAlign w:val="bottom"/>
          </w:tcPr>
          <w:p w14:paraId="4058712E" w14:textId="77777777" w:rsidR="00ED7C77" w:rsidRPr="007403A4" w:rsidRDefault="00ED7C77">
            <w:pPr>
              <w:spacing w:before="50" w:after="50" w:line="240" w:lineRule="exact"/>
              <w:ind w:right="28"/>
              <w:jc w:val="center"/>
              <w:rPr>
                <w:b/>
                <w:lang w:val="sr-Latn-ME"/>
              </w:rPr>
            </w:pPr>
          </w:p>
        </w:tc>
        <w:tc>
          <w:tcPr>
            <w:tcW w:w="1265" w:type="pct"/>
            <w:tcBorders>
              <w:top w:val="single" w:sz="4" w:space="0" w:color="auto"/>
              <w:left w:val="nil"/>
              <w:bottom w:val="nil"/>
              <w:right w:val="single" w:sz="4" w:space="0" w:color="auto"/>
            </w:tcBorders>
            <w:vAlign w:val="bottom"/>
          </w:tcPr>
          <w:p w14:paraId="1BFABEF7" w14:textId="7B268003" w:rsidR="00ED7C77" w:rsidRPr="007403A4" w:rsidRDefault="00ED7C77">
            <w:pPr>
              <w:spacing w:before="50" w:after="50" w:line="240" w:lineRule="exact"/>
              <w:ind w:right="28"/>
              <w:jc w:val="center"/>
              <w:rPr>
                <w:b/>
                <w:lang w:val="sr-Latn-ME"/>
              </w:rPr>
            </w:pPr>
          </w:p>
        </w:tc>
      </w:tr>
      <w:tr w:rsidR="00ED7C77" w:rsidRPr="007403A4" w14:paraId="04067427" w14:textId="77777777" w:rsidTr="00ED7C77">
        <w:trPr>
          <w:cantSplit/>
          <w:jc w:val="center"/>
        </w:trPr>
        <w:tc>
          <w:tcPr>
            <w:tcW w:w="2578" w:type="pct"/>
            <w:tcBorders>
              <w:top w:val="nil"/>
              <w:left w:val="single" w:sz="4" w:space="0" w:color="auto"/>
              <w:bottom w:val="nil"/>
              <w:right w:val="single" w:sz="4" w:space="0" w:color="auto"/>
            </w:tcBorders>
            <w:vAlign w:val="bottom"/>
          </w:tcPr>
          <w:p w14:paraId="3702F9F3" w14:textId="77777777" w:rsidR="00ED7C77" w:rsidRPr="007403A4" w:rsidRDefault="00ED7C77">
            <w:pPr>
              <w:spacing w:before="50" w:after="50" w:line="240" w:lineRule="exact"/>
              <w:ind w:right="28"/>
              <w:rPr>
                <w:lang w:val="sr-Latn-ME"/>
              </w:rPr>
            </w:pPr>
            <w:r w:rsidRPr="007403A4">
              <w:rPr>
                <w:lang w:val="sr-Latn-ME"/>
              </w:rPr>
              <w:t>Broj (%) pacijenata s događajem</w:t>
            </w:r>
          </w:p>
        </w:tc>
        <w:tc>
          <w:tcPr>
            <w:tcW w:w="1158" w:type="pct"/>
            <w:tcBorders>
              <w:top w:val="nil"/>
              <w:left w:val="single" w:sz="4" w:space="0" w:color="auto"/>
              <w:bottom w:val="nil"/>
              <w:right w:val="nil"/>
            </w:tcBorders>
            <w:vAlign w:val="bottom"/>
          </w:tcPr>
          <w:p w14:paraId="083BBB5E" w14:textId="77777777" w:rsidR="00ED7C77" w:rsidRPr="007403A4" w:rsidRDefault="00ED7C77">
            <w:pPr>
              <w:spacing w:before="50" w:after="50" w:line="240" w:lineRule="exact"/>
              <w:ind w:right="28"/>
              <w:jc w:val="center"/>
              <w:rPr>
                <w:lang w:val="sr-Latn-ME"/>
              </w:rPr>
            </w:pPr>
            <w:r w:rsidRPr="007403A4">
              <w:rPr>
                <w:rFonts w:eastAsia="PMingLiU"/>
                <w:lang w:val="sr-Latn-ME" w:eastAsia="zh-TW"/>
              </w:rPr>
              <w:t>36 (21,7%)</w:t>
            </w:r>
          </w:p>
        </w:tc>
        <w:tc>
          <w:tcPr>
            <w:tcW w:w="1265" w:type="pct"/>
            <w:tcBorders>
              <w:top w:val="nil"/>
              <w:left w:val="nil"/>
              <w:bottom w:val="nil"/>
              <w:right w:val="single" w:sz="4" w:space="0" w:color="auto"/>
            </w:tcBorders>
            <w:vAlign w:val="bottom"/>
          </w:tcPr>
          <w:p w14:paraId="768FC1B0" w14:textId="77777777" w:rsidR="00ED7C77" w:rsidRPr="007403A4" w:rsidRDefault="00ED7C77">
            <w:pPr>
              <w:spacing w:before="50" w:after="50" w:line="240" w:lineRule="exact"/>
              <w:ind w:right="28"/>
              <w:jc w:val="center"/>
              <w:rPr>
                <w:lang w:val="sr-Latn-ME"/>
              </w:rPr>
            </w:pPr>
            <w:r w:rsidRPr="007403A4">
              <w:rPr>
                <w:rFonts w:eastAsia="PMingLiU"/>
                <w:lang w:val="sr-Latn-ME" w:eastAsia="zh-TW"/>
              </w:rPr>
              <w:t>25 (16,1%)</w:t>
            </w:r>
          </w:p>
        </w:tc>
      </w:tr>
      <w:tr w:rsidR="00ED7C77" w:rsidRPr="007403A4" w14:paraId="04615104" w14:textId="77777777" w:rsidTr="00ED7C77">
        <w:trPr>
          <w:cantSplit/>
          <w:jc w:val="center"/>
        </w:trPr>
        <w:tc>
          <w:tcPr>
            <w:tcW w:w="2578" w:type="pct"/>
            <w:tcBorders>
              <w:top w:val="nil"/>
              <w:left w:val="single" w:sz="4" w:space="0" w:color="auto"/>
              <w:right w:val="single" w:sz="4" w:space="0" w:color="auto"/>
            </w:tcBorders>
            <w:vAlign w:val="bottom"/>
          </w:tcPr>
          <w:p w14:paraId="06A2AF59" w14:textId="20B7C761" w:rsidR="00ED7C77" w:rsidRPr="007403A4" w:rsidRDefault="00ED7C77">
            <w:pPr>
              <w:spacing w:before="50" w:after="50" w:line="240" w:lineRule="exact"/>
              <w:ind w:right="28"/>
              <w:rPr>
                <w:lang w:val="sr-Latn-ME"/>
              </w:rPr>
            </w:pPr>
            <w:r w:rsidRPr="007403A4">
              <w:rPr>
                <w:lang w:val="sr-Latn-ME"/>
              </w:rPr>
              <w:t>Medijan</w:t>
            </w:r>
            <w:r w:rsidR="00D232C8" w:rsidRPr="007403A4">
              <w:rPr>
                <w:lang w:val="sr-Latn-ME"/>
              </w:rPr>
              <w:t>a</w:t>
            </w:r>
            <w:r w:rsidRPr="007403A4">
              <w:rPr>
                <w:lang w:val="sr-Latn-ME"/>
              </w:rPr>
              <w:t xml:space="preserve"> vremena do događaja (mjeseci)</w:t>
            </w:r>
          </w:p>
        </w:tc>
        <w:tc>
          <w:tcPr>
            <w:tcW w:w="1158" w:type="pct"/>
            <w:tcBorders>
              <w:top w:val="nil"/>
              <w:left w:val="single" w:sz="4" w:space="0" w:color="auto"/>
              <w:right w:val="nil"/>
            </w:tcBorders>
            <w:vAlign w:val="bottom"/>
          </w:tcPr>
          <w:p w14:paraId="2A2D9F22" w14:textId="77777777" w:rsidR="00ED7C77" w:rsidRPr="007403A4" w:rsidRDefault="00ED7C77">
            <w:pPr>
              <w:spacing w:before="50" w:after="50" w:line="240" w:lineRule="exact"/>
              <w:ind w:right="28"/>
              <w:jc w:val="center"/>
              <w:rPr>
                <w:lang w:val="sr-Latn-ME"/>
              </w:rPr>
            </w:pPr>
            <w:r w:rsidRPr="007403A4">
              <w:rPr>
                <w:lang w:val="sr-Latn-ME"/>
              </w:rPr>
              <w:t>ND</w:t>
            </w:r>
          </w:p>
        </w:tc>
        <w:tc>
          <w:tcPr>
            <w:tcW w:w="1265" w:type="pct"/>
            <w:tcBorders>
              <w:top w:val="nil"/>
              <w:left w:val="nil"/>
              <w:right w:val="single" w:sz="4" w:space="0" w:color="auto"/>
            </w:tcBorders>
            <w:vAlign w:val="bottom"/>
          </w:tcPr>
          <w:p w14:paraId="333E9EDD" w14:textId="77777777" w:rsidR="00ED7C77" w:rsidRPr="007403A4" w:rsidRDefault="00ED7C77">
            <w:pPr>
              <w:spacing w:before="50" w:after="50" w:line="240" w:lineRule="exact"/>
              <w:ind w:right="28"/>
              <w:jc w:val="center"/>
              <w:rPr>
                <w:lang w:val="sr-Latn-ME"/>
              </w:rPr>
            </w:pPr>
            <w:r w:rsidRPr="007403A4">
              <w:rPr>
                <w:lang w:val="sr-Latn-ME"/>
              </w:rPr>
              <w:t>ND</w:t>
            </w:r>
          </w:p>
        </w:tc>
      </w:tr>
      <w:tr w:rsidR="00ED7C77" w:rsidRPr="007403A4" w14:paraId="50D23EBE" w14:textId="77777777" w:rsidTr="00ED7C77">
        <w:trPr>
          <w:cantSplit/>
          <w:jc w:val="center"/>
        </w:trPr>
        <w:tc>
          <w:tcPr>
            <w:tcW w:w="2578" w:type="pct"/>
            <w:tcBorders>
              <w:top w:val="nil"/>
              <w:left w:val="single" w:sz="4" w:space="0" w:color="auto"/>
              <w:bottom w:val="single" w:sz="4" w:space="0" w:color="auto"/>
              <w:right w:val="single" w:sz="4" w:space="0" w:color="auto"/>
            </w:tcBorders>
            <w:vAlign w:val="bottom"/>
          </w:tcPr>
          <w:p w14:paraId="246DB9EE" w14:textId="77777777" w:rsidR="00ED7C77" w:rsidRPr="007403A4" w:rsidRDefault="00ED7C77">
            <w:pPr>
              <w:spacing w:before="50" w:after="50" w:line="240" w:lineRule="exact"/>
              <w:ind w:right="28"/>
              <w:rPr>
                <w:lang w:val="sr-Latn-ME"/>
              </w:rPr>
            </w:pPr>
            <w:r w:rsidRPr="007403A4">
              <w:rPr>
                <w:lang w:val="sr-Latn-ME"/>
              </w:rPr>
              <w:t>HR (95% CI)</w:t>
            </w:r>
          </w:p>
        </w:tc>
        <w:tc>
          <w:tcPr>
            <w:tcW w:w="2422" w:type="pct"/>
            <w:gridSpan w:val="2"/>
            <w:tcBorders>
              <w:top w:val="nil"/>
              <w:left w:val="single" w:sz="4" w:space="0" w:color="auto"/>
              <w:bottom w:val="single" w:sz="4" w:space="0" w:color="auto"/>
              <w:right w:val="single" w:sz="4" w:space="0" w:color="auto"/>
            </w:tcBorders>
            <w:vAlign w:val="bottom"/>
          </w:tcPr>
          <w:p w14:paraId="2082B123" w14:textId="5B279EE3" w:rsidR="00ED7C77" w:rsidRPr="007403A4" w:rsidRDefault="00ED7C77">
            <w:pPr>
              <w:spacing w:before="50" w:after="50" w:line="240" w:lineRule="exact"/>
              <w:ind w:right="28"/>
              <w:jc w:val="center"/>
              <w:rPr>
                <w:lang w:val="sr-Latn-ME"/>
              </w:rPr>
            </w:pPr>
            <w:r w:rsidRPr="007403A4">
              <w:rPr>
                <w:lang w:val="sr-Latn-ME"/>
              </w:rPr>
              <w:t>0,71 (</w:t>
            </w:r>
            <w:r w:rsidRPr="007403A4">
              <w:rPr>
                <w:rFonts w:eastAsia="PMingLiU"/>
                <w:lang w:val="sr-Latn-ME" w:eastAsia="zh-TW"/>
              </w:rPr>
              <w:t>0,43; 1,19)</w:t>
            </w:r>
          </w:p>
        </w:tc>
      </w:tr>
      <w:tr w:rsidR="00ED7C77" w:rsidRPr="007403A4" w14:paraId="793FDE56" w14:textId="77777777" w:rsidTr="00ED7C77">
        <w:trPr>
          <w:cantSplit/>
          <w:jc w:val="center"/>
        </w:trPr>
        <w:tc>
          <w:tcPr>
            <w:tcW w:w="2578" w:type="pct"/>
            <w:tcBorders>
              <w:top w:val="single" w:sz="4" w:space="0" w:color="auto"/>
              <w:left w:val="single" w:sz="4" w:space="0" w:color="auto"/>
              <w:bottom w:val="single" w:sz="4" w:space="0" w:color="auto"/>
              <w:right w:val="single" w:sz="4" w:space="0" w:color="auto"/>
            </w:tcBorders>
            <w:vAlign w:val="bottom"/>
          </w:tcPr>
          <w:p w14:paraId="2CBDCD40" w14:textId="275CD5AC" w:rsidR="00ED7C77" w:rsidRPr="007403A4" w:rsidRDefault="00ED7C77">
            <w:pPr>
              <w:keepNext/>
              <w:keepLines/>
              <w:spacing w:before="50" w:after="50" w:line="240" w:lineRule="exact"/>
              <w:ind w:right="28"/>
              <w:rPr>
                <w:lang w:val="sr-Latn-ME"/>
              </w:rPr>
            </w:pPr>
            <w:r w:rsidRPr="007403A4">
              <w:rPr>
                <w:lang w:val="sr-Latn-ME"/>
              </w:rPr>
              <w:t>p-vrijednost (log-rang test, stratifikovan*)</w:t>
            </w:r>
          </w:p>
        </w:tc>
        <w:tc>
          <w:tcPr>
            <w:tcW w:w="2422" w:type="pct"/>
            <w:gridSpan w:val="2"/>
            <w:tcBorders>
              <w:top w:val="single" w:sz="4" w:space="0" w:color="auto"/>
              <w:left w:val="single" w:sz="4" w:space="0" w:color="auto"/>
              <w:bottom w:val="single" w:sz="4" w:space="0" w:color="auto"/>
              <w:right w:val="single" w:sz="4" w:space="0" w:color="auto"/>
            </w:tcBorders>
            <w:vAlign w:val="bottom"/>
          </w:tcPr>
          <w:p w14:paraId="0877DC02" w14:textId="77777777" w:rsidR="00ED7C77" w:rsidRPr="007403A4" w:rsidRDefault="00ED7C77">
            <w:pPr>
              <w:keepNext/>
              <w:keepLines/>
              <w:spacing w:before="50" w:after="50" w:line="240" w:lineRule="exact"/>
              <w:ind w:right="28"/>
              <w:jc w:val="center"/>
              <w:rPr>
                <w:lang w:val="sr-Latn-ME"/>
              </w:rPr>
            </w:pPr>
            <w:r w:rsidRPr="007403A4">
              <w:rPr>
                <w:rFonts w:eastAsia="PMingLiU"/>
                <w:lang w:val="sr-Latn-ME" w:eastAsia="zh-TW"/>
              </w:rPr>
              <w:t>0,1976</w:t>
            </w:r>
          </w:p>
        </w:tc>
      </w:tr>
    </w:tbl>
    <w:p w14:paraId="2241907D" w14:textId="0C3FCA48" w:rsidR="00ED7C77" w:rsidRPr="007403A4" w:rsidRDefault="00ED7C77" w:rsidP="00C95059">
      <w:pPr>
        <w:keepNext/>
        <w:keepLines/>
        <w:ind w:right="28"/>
        <w:jc w:val="both"/>
        <w:rPr>
          <w:i/>
          <w:sz w:val="20"/>
          <w:szCs w:val="20"/>
          <w:lang w:val="sr-Latn-ME"/>
        </w:rPr>
      </w:pPr>
      <w:r w:rsidRPr="007403A4">
        <w:rPr>
          <w:i/>
          <w:sz w:val="20"/>
          <w:szCs w:val="20"/>
          <w:lang w:val="sr-Latn-ME"/>
        </w:rPr>
        <w:t>PFS: preživljavanje bez progresije bolesti; HR: o</w:t>
      </w:r>
      <w:r w:rsidR="00D232C8" w:rsidRPr="007403A4">
        <w:rPr>
          <w:i/>
          <w:sz w:val="20"/>
          <w:szCs w:val="20"/>
          <w:lang w:val="sr-Latn-ME"/>
        </w:rPr>
        <w:t>dnos</w:t>
      </w:r>
      <w:r w:rsidRPr="007403A4">
        <w:rPr>
          <w:i/>
          <w:sz w:val="20"/>
          <w:szCs w:val="20"/>
          <w:lang w:val="sr-Latn-ME"/>
        </w:rPr>
        <w:t xml:space="preserve"> </w:t>
      </w:r>
      <w:r w:rsidR="00D232C8" w:rsidRPr="007403A4">
        <w:rPr>
          <w:i/>
          <w:sz w:val="20"/>
          <w:szCs w:val="20"/>
          <w:lang w:val="sr-Latn-ME"/>
        </w:rPr>
        <w:t>rizika</w:t>
      </w:r>
      <w:r w:rsidRPr="007403A4">
        <w:rPr>
          <w:i/>
          <w:sz w:val="20"/>
          <w:szCs w:val="20"/>
          <w:lang w:val="sr-Latn-ME"/>
        </w:rPr>
        <w:t>; CI: interval pouzdanosti; ND = nije dostignuto</w:t>
      </w:r>
    </w:p>
    <w:p w14:paraId="4850E001" w14:textId="5BEBD617" w:rsidR="00ED7C77" w:rsidRPr="007403A4" w:rsidRDefault="00ED7C77" w:rsidP="00C95059">
      <w:pPr>
        <w:keepNext/>
        <w:keepLines/>
        <w:ind w:right="28"/>
        <w:jc w:val="both"/>
        <w:rPr>
          <w:i/>
          <w:sz w:val="20"/>
          <w:szCs w:val="20"/>
          <w:lang w:val="sr-Latn-ME"/>
        </w:rPr>
      </w:pPr>
      <w:r w:rsidRPr="007403A4">
        <w:rPr>
          <w:i/>
          <w:sz w:val="20"/>
          <w:szCs w:val="20"/>
          <w:vertAlign w:val="superscript"/>
          <w:lang w:val="sr-Latn-ME"/>
        </w:rPr>
        <w:t>#</w:t>
      </w:r>
      <w:r w:rsidR="00D232C8" w:rsidRPr="007403A4">
        <w:rPr>
          <w:i/>
          <w:sz w:val="20"/>
          <w:szCs w:val="20"/>
          <w:lang w:val="sr-Latn-ME"/>
        </w:rPr>
        <w:t>Pacijenti</w:t>
      </w:r>
      <w:r w:rsidRPr="007403A4">
        <w:rPr>
          <w:i/>
          <w:sz w:val="20"/>
          <w:szCs w:val="20"/>
          <w:lang w:val="sr-Latn-ME"/>
        </w:rPr>
        <w:t xml:space="preserve"> s FL koji nijesu odgovorili na liječenje rituksimabom ili protokolom koji sadrži rituksimab, ili su doživjeli progresiju tokom ili do 6 mjeseci nakon takvog liječenja</w:t>
      </w:r>
    </w:p>
    <w:p w14:paraId="61AE62F9" w14:textId="119BFB85" w:rsidR="00ED7C77" w:rsidRPr="007403A4" w:rsidRDefault="00ED7C77" w:rsidP="00C95059">
      <w:pPr>
        <w:keepNext/>
        <w:keepLines/>
        <w:ind w:right="28"/>
        <w:jc w:val="both"/>
        <w:rPr>
          <w:i/>
          <w:sz w:val="20"/>
          <w:szCs w:val="20"/>
          <w:lang w:val="sr-Latn-ME"/>
        </w:rPr>
      </w:pPr>
      <w:r w:rsidRPr="007403A4">
        <w:rPr>
          <w:i/>
          <w:sz w:val="20"/>
          <w:szCs w:val="20"/>
          <w:lang w:val="sr-Latn-ME"/>
        </w:rPr>
        <w:t>*Stratifikaci</w:t>
      </w:r>
      <w:r w:rsidR="0012244F" w:rsidRPr="007403A4">
        <w:rPr>
          <w:i/>
          <w:sz w:val="20"/>
          <w:szCs w:val="20"/>
          <w:lang w:val="sr-Latn-ME"/>
        </w:rPr>
        <w:t>oni</w:t>
      </w:r>
      <w:r w:rsidRPr="007403A4">
        <w:rPr>
          <w:i/>
          <w:sz w:val="20"/>
          <w:szCs w:val="20"/>
          <w:lang w:val="sr-Latn-ME"/>
        </w:rPr>
        <w:t xml:space="preserve"> činioci za analizu bili su refraktornost (refraktorni na monoterapiju rituksimabom naspram refraktornih na rituksimab + hemoterapiju) i prethodne terapije (≤ 2 naspram </w:t>
      </w:r>
      <w:r w:rsidR="0012244F" w:rsidRPr="007403A4">
        <w:rPr>
          <w:i/>
          <w:sz w:val="20"/>
          <w:szCs w:val="20"/>
          <w:lang w:val="sr-Latn-ME"/>
        </w:rPr>
        <w:t>&gt;</w:t>
      </w:r>
      <w:r w:rsidRPr="007403A4">
        <w:rPr>
          <w:i/>
          <w:sz w:val="20"/>
          <w:szCs w:val="20"/>
          <w:lang w:val="sr-Latn-ME"/>
        </w:rPr>
        <w:t> 2). Folikularni naspram  nefolikularni limfom također je bio stratifikaci</w:t>
      </w:r>
      <w:r w:rsidR="0012244F" w:rsidRPr="007403A4">
        <w:rPr>
          <w:i/>
          <w:sz w:val="20"/>
          <w:szCs w:val="20"/>
          <w:lang w:val="sr-Latn-ME"/>
        </w:rPr>
        <w:t>kacion</w:t>
      </w:r>
      <w:r w:rsidRPr="007403A4">
        <w:rPr>
          <w:i/>
          <w:sz w:val="20"/>
          <w:szCs w:val="20"/>
          <w:lang w:val="sr-Latn-ME"/>
        </w:rPr>
        <w:t xml:space="preserve">i činilac  u studiji, ali taj činioc nije primjenjiv na analizu grupe pacijenata s FL. </w:t>
      </w:r>
    </w:p>
    <w:p w14:paraId="7A17D7C6" w14:textId="0EDB0B9C" w:rsidR="00ED7C77" w:rsidRPr="007403A4" w:rsidRDefault="00ED7C77" w:rsidP="00C95059">
      <w:pPr>
        <w:widowControl w:val="0"/>
        <w:ind w:right="28"/>
        <w:jc w:val="both"/>
        <w:rPr>
          <w:i/>
          <w:sz w:val="20"/>
          <w:szCs w:val="20"/>
          <w:lang w:val="sr-Latn-ME"/>
        </w:rPr>
      </w:pPr>
      <w:r w:rsidRPr="007403A4">
        <w:rPr>
          <w:i/>
          <w:sz w:val="20"/>
          <w:szCs w:val="20"/>
          <w:vertAlign w:val="superscript"/>
          <w:lang w:val="sr-Latn-ME"/>
        </w:rPr>
        <w:t>§</w:t>
      </w:r>
      <w:r w:rsidRPr="007403A4">
        <w:rPr>
          <w:i/>
          <w:sz w:val="20"/>
          <w:szCs w:val="20"/>
          <w:lang w:val="sr-Latn-ME"/>
        </w:rPr>
        <w:t>Najbolji odgovor u</w:t>
      </w:r>
      <w:r w:rsidR="0012244F" w:rsidRPr="007403A4">
        <w:rPr>
          <w:i/>
          <w:sz w:val="20"/>
          <w:szCs w:val="20"/>
          <w:lang w:val="sr-Latn-ME"/>
        </w:rPr>
        <w:t xml:space="preserve"> toku</w:t>
      </w:r>
      <w:r w:rsidRPr="007403A4">
        <w:rPr>
          <w:i/>
          <w:sz w:val="20"/>
          <w:szCs w:val="20"/>
          <w:lang w:val="sr-Latn-ME"/>
        </w:rPr>
        <w:t xml:space="preserve"> 12 mjeseci od početka liječenja </w:t>
      </w:r>
    </w:p>
    <w:p w14:paraId="7FBDC7A7" w14:textId="77777777" w:rsidR="00ED7C77" w:rsidRPr="007403A4" w:rsidRDefault="00ED7C77" w:rsidP="004D3AD0">
      <w:pPr>
        <w:widowControl w:val="0"/>
        <w:ind w:right="28"/>
        <w:jc w:val="both"/>
        <w:rPr>
          <w:sz w:val="18"/>
          <w:szCs w:val="18"/>
          <w:lang w:val="sr-Latn-ME"/>
        </w:rPr>
      </w:pPr>
    </w:p>
    <w:p w14:paraId="0DE77D7D" w14:textId="282E99B0" w:rsidR="00ED7C77" w:rsidRPr="007403A4" w:rsidRDefault="00ED7C77">
      <w:pPr>
        <w:spacing w:before="1" w:line="254" w:lineRule="exact"/>
        <w:ind w:right="28"/>
        <w:jc w:val="both"/>
        <w:rPr>
          <w:sz w:val="22"/>
          <w:szCs w:val="22"/>
          <w:lang w:val="sr-Latn-ME"/>
        </w:rPr>
      </w:pPr>
    </w:p>
    <w:p w14:paraId="04C5DA83" w14:textId="6B094A67" w:rsidR="00ED7C77" w:rsidRPr="007403A4" w:rsidRDefault="00ED7C77">
      <w:pPr>
        <w:spacing w:before="1" w:line="254" w:lineRule="exact"/>
        <w:ind w:right="28"/>
        <w:jc w:val="both"/>
        <w:rPr>
          <w:b/>
          <w:sz w:val="22"/>
          <w:szCs w:val="22"/>
          <w:lang w:val="sr-Latn-ME"/>
        </w:rPr>
      </w:pPr>
      <w:r w:rsidRPr="007403A4">
        <w:rPr>
          <w:b/>
          <w:sz w:val="22"/>
          <w:szCs w:val="22"/>
          <w:lang w:val="sr-Latn-ME"/>
        </w:rPr>
        <w:t>Slika 6</w:t>
      </w:r>
      <w:r w:rsidRPr="007403A4">
        <w:rPr>
          <w:b/>
          <w:sz w:val="22"/>
          <w:szCs w:val="22"/>
          <w:lang w:val="sr-Latn-ME"/>
        </w:rPr>
        <w:tab/>
        <w:t>Kaplan-Meier</w:t>
      </w:r>
      <w:r w:rsidR="0012244F" w:rsidRPr="007403A4">
        <w:rPr>
          <w:b/>
          <w:sz w:val="22"/>
          <w:szCs w:val="22"/>
          <w:lang w:val="sr-Latn-ME"/>
        </w:rPr>
        <w:t>-</w:t>
      </w:r>
      <w:r w:rsidRPr="007403A4">
        <w:rPr>
          <w:b/>
          <w:sz w:val="22"/>
          <w:szCs w:val="22"/>
          <w:lang w:val="sr-Latn-ME"/>
        </w:rPr>
        <w:t>ova kriva PFS kod pacijenata sa FL</w:t>
      </w:r>
      <w:r w:rsidR="0012244F" w:rsidRPr="007403A4">
        <w:rPr>
          <w:b/>
          <w:sz w:val="22"/>
          <w:szCs w:val="22"/>
          <w:vertAlign w:val="superscript"/>
          <w:lang w:val="sr-Latn-ME"/>
        </w:rPr>
        <w:t>#</w:t>
      </w:r>
      <w:r w:rsidRPr="007403A4">
        <w:rPr>
          <w:b/>
          <w:sz w:val="22"/>
          <w:szCs w:val="22"/>
          <w:lang w:val="sr-Latn-ME"/>
        </w:rPr>
        <w:t xml:space="preserve"> prema ocjeni nezavisnog  ocjenjivačkog tijela (studija GAO4753g/GADOLIN</w:t>
      </w:r>
      <w:r w:rsidR="0030757A" w:rsidRPr="007403A4">
        <w:rPr>
          <w:b/>
          <w:sz w:val="22"/>
          <w:szCs w:val="22"/>
          <w:lang w:val="sr-Latn-ME"/>
        </w:rPr>
        <w:t>)</w:t>
      </w:r>
    </w:p>
    <w:p w14:paraId="5854ABE2" w14:textId="31368756" w:rsidR="00ED7C77" w:rsidRPr="007403A4" w:rsidRDefault="00ED7C77">
      <w:pPr>
        <w:spacing w:before="1" w:line="254" w:lineRule="exact"/>
        <w:ind w:right="28"/>
        <w:jc w:val="both"/>
        <w:rPr>
          <w:sz w:val="22"/>
          <w:szCs w:val="22"/>
          <w:lang w:val="sr-Latn-ME"/>
        </w:rPr>
      </w:pPr>
    </w:p>
    <w:p w14:paraId="4352D2D2" w14:textId="13F2AD8F" w:rsidR="00ED7C77" w:rsidRPr="007403A4" w:rsidRDefault="00BB6DBC">
      <w:pPr>
        <w:spacing w:before="1" w:line="254" w:lineRule="exact"/>
        <w:ind w:right="28"/>
        <w:jc w:val="both"/>
        <w:rPr>
          <w:sz w:val="22"/>
          <w:szCs w:val="22"/>
          <w:lang w:val="sr-Latn-ME"/>
        </w:rPr>
      </w:pPr>
      <w:r w:rsidRPr="007403A4">
        <w:rPr>
          <w:noProof/>
          <w:sz w:val="22"/>
          <w:szCs w:val="22"/>
          <w:lang w:val="sr-Latn-ME"/>
        </w:rPr>
        <w:drawing>
          <wp:anchor distT="0" distB="0" distL="114300" distR="114300" simplePos="0" relativeHeight="251671552" behindDoc="1" locked="0" layoutInCell="1" allowOverlap="1" wp14:anchorId="5A20472B" wp14:editId="3F6721C5">
            <wp:simplePos x="0" y="0"/>
            <wp:positionH relativeFrom="column">
              <wp:posOffset>-99060</wp:posOffset>
            </wp:positionH>
            <wp:positionV relativeFrom="paragraph">
              <wp:posOffset>90805</wp:posOffset>
            </wp:positionV>
            <wp:extent cx="5408295" cy="4007485"/>
            <wp:effectExtent l="0" t="0" r="1905" b="0"/>
            <wp:wrapTight wrapText="bothSides">
              <wp:wrapPolygon edited="0">
                <wp:start x="0" y="0"/>
                <wp:lineTo x="0" y="21460"/>
                <wp:lineTo x="21532" y="21460"/>
                <wp:lineTo x="2153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6.PNG"/>
                    <pic:cNvPicPr/>
                  </pic:nvPicPr>
                  <pic:blipFill>
                    <a:blip r:embed="rId18">
                      <a:extLst>
                        <a:ext uri="{28A0092B-C50C-407E-A947-70E740481C1C}">
                          <a14:useLocalDpi xmlns:a14="http://schemas.microsoft.com/office/drawing/2010/main" val="0"/>
                        </a:ext>
                      </a:extLst>
                    </a:blip>
                    <a:stretch>
                      <a:fillRect/>
                    </a:stretch>
                  </pic:blipFill>
                  <pic:spPr>
                    <a:xfrm>
                      <a:off x="0" y="0"/>
                      <a:ext cx="5408295" cy="4007485"/>
                    </a:xfrm>
                    <a:prstGeom prst="rect">
                      <a:avLst/>
                    </a:prstGeom>
                  </pic:spPr>
                </pic:pic>
              </a:graphicData>
            </a:graphic>
            <wp14:sizeRelH relativeFrom="margin">
              <wp14:pctWidth>0</wp14:pctWidth>
            </wp14:sizeRelH>
            <wp14:sizeRelV relativeFrom="margin">
              <wp14:pctHeight>0</wp14:pctHeight>
            </wp14:sizeRelV>
          </wp:anchor>
        </w:drawing>
      </w:r>
    </w:p>
    <w:p w14:paraId="5B6E9456" w14:textId="77777777" w:rsidR="00ED7C77" w:rsidRPr="007403A4" w:rsidRDefault="00ED7C77">
      <w:pPr>
        <w:spacing w:before="1" w:line="254" w:lineRule="exact"/>
        <w:ind w:right="28"/>
        <w:jc w:val="both"/>
        <w:rPr>
          <w:sz w:val="22"/>
          <w:szCs w:val="22"/>
          <w:lang w:val="sr-Latn-ME"/>
        </w:rPr>
      </w:pPr>
    </w:p>
    <w:p w14:paraId="3C3D7D1C" w14:textId="77777777" w:rsidR="00ED7C77" w:rsidRPr="007403A4" w:rsidRDefault="00ED7C77">
      <w:pPr>
        <w:spacing w:before="1" w:line="254" w:lineRule="exact"/>
        <w:ind w:right="28"/>
        <w:jc w:val="both"/>
        <w:rPr>
          <w:sz w:val="22"/>
          <w:szCs w:val="22"/>
          <w:lang w:val="sr-Latn-ME"/>
        </w:rPr>
      </w:pPr>
    </w:p>
    <w:p w14:paraId="1DF57B28" w14:textId="77777777" w:rsidR="00ED7C77" w:rsidRPr="007403A4" w:rsidRDefault="00ED7C77">
      <w:pPr>
        <w:spacing w:before="1" w:line="254" w:lineRule="exact"/>
        <w:ind w:right="28"/>
        <w:jc w:val="both"/>
        <w:rPr>
          <w:sz w:val="22"/>
          <w:szCs w:val="22"/>
          <w:lang w:val="sr-Latn-ME"/>
        </w:rPr>
      </w:pPr>
    </w:p>
    <w:p w14:paraId="6D827B28" w14:textId="77777777" w:rsidR="00ED7C77" w:rsidRPr="007403A4" w:rsidRDefault="00ED7C77">
      <w:pPr>
        <w:spacing w:before="1" w:line="254" w:lineRule="exact"/>
        <w:ind w:right="28"/>
        <w:jc w:val="both"/>
        <w:rPr>
          <w:sz w:val="22"/>
          <w:szCs w:val="22"/>
          <w:lang w:val="sr-Latn-ME"/>
        </w:rPr>
      </w:pPr>
    </w:p>
    <w:p w14:paraId="41BB8E44" w14:textId="77777777" w:rsidR="00ED7C77" w:rsidRPr="007403A4" w:rsidRDefault="00ED7C77">
      <w:pPr>
        <w:spacing w:before="1" w:line="254" w:lineRule="exact"/>
        <w:ind w:right="28"/>
        <w:jc w:val="both"/>
        <w:rPr>
          <w:sz w:val="22"/>
          <w:szCs w:val="22"/>
          <w:lang w:val="sr-Latn-ME"/>
        </w:rPr>
      </w:pPr>
    </w:p>
    <w:p w14:paraId="534D8D5C" w14:textId="77777777" w:rsidR="00ED7C77" w:rsidRPr="007403A4" w:rsidRDefault="00ED7C77">
      <w:pPr>
        <w:spacing w:before="1" w:line="254" w:lineRule="exact"/>
        <w:ind w:right="28"/>
        <w:jc w:val="both"/>
        <w:rPr>
          <w:sz w:val="22"/>
          <w:szCs w:val="22"/>
          <w:lang w:val="sr-Latn-ME"/>
        </w:rPr>
      </w:pPr>
    </w:p>
    <w:p w14:paraId="6134E746" w14:textId="77777777" w:rsidR="00ED7C77" w:rsidRPr="007403A4" w:rsidRDefault="00ED7C77">
      <w:pPr>
        <w:spacing w:before="1" w:line="254" w:lineRule="exact"/>
        <w:ind w:right="28"/>
        <w:jc w:val="both"/>
        <w:rPr>
          <w:sz w:val="22"/>
          <w:szCs w:val="22"/>
          <w:lang w:val="sr-Latn-ME"/>
        </w:rPr>
      </w:pPr>
    </w:p>
    <w:p w14:paraId="45995500" w14:textId="77777777" w:rsidR="00ED7C77" w:rsidRPr="007403A4" w:rsidRDefault="00ED7C77">
      <w:pPr>
        <w:spacing w:before="1" w:line="254" w:lineRule="exact"/>
        <w:ind w:right="28"/>
        <w:jc w:val="both"/>
        <w:rPr>
          <w:sz w:val="22"/>
          <w:szCs w:val="22"/>
          <w:lang w:val="sr-Latn-ME"/>
        </w:rPr>
      </w:pPr>
    </w:p>
    <w:p w14:paraId="265EC269" w14:textId="09694787" w:rsidR="00ED7C77" w:rsidRPr="007403A4" w:rsidRDefault="00ED7C77">
      <w:pPr>
        <w:spacing w:before="1" w:line="254" w:lineRule="exact"/>
        <w:ind w:right="28"/>
        <w:jc w:val="both"/>
        <w:rPr>
          <w:sz w:val="22"/>
          <w:szCs w:val="22"/>
          <w:lang w:val="sr-Latn-ME"/>
        </w:rPr>
      </w:pPr>
    </w:p>
    <w:p w14:paraId="1C54EEB8" w14:textId="77777777" w:rsidR="00ED7C77" w:rsidRPr="007403A4" w:rsidRDefault="00ED7C77">
      <w:pPr>
        <w:spacing w:before="1" w:line="254" w:lineRule="exact"/>
        <w:ind w:right="28"/>
        <w:jc w:val="both"/>
        <w:rPr>
          <w:sz w:val="22"/>
          <w:szCs w:val="22"/>
          <w:lang w:val="sr-Latn-ME"/>
        </w:rPr>
      </w:pPr>
    </w:p>
    <w:p w14:paraId="0156C1A5" w14:textId="2BE47C3A" w:rsidR="00ED7C77" w:rsidRPr="007403A4" w:rsidRDefault="00ED7C77">
      <w:pPr>
        <w:spacing w:before="1" w:line="254" w:lineRule="exact"/>
        <w:ind w:right="28"/>
        <w:jc w:val="both"/>
        <w:rPr>
          <w:sz w:val="18"/>
          <w:szCs w:val="18"/>
          <w:lang w:val="sr-Latn-ME"/>
        </w:rPr>
      </w:pPr>
    </w:p>
    <w:p w14:paraId="777E83CD" w14:textId="77777777" w:rsidR="00ED433E" w:rsidRPr="007403A4" w:rsidRDefault="00ED433E">
      <w:pPr>
        <w:spacing w:before="1" w:line="254" w:lineRule="exact"/>
        <w:ind w:right="28"/>
        <w:jc w:val="both"/>
        <w:rPr>
          <w:sz w:val="18"/>
          <w:szCs w:val="18"/>
          <w:lang w:val="sr-Latn-ME"/>
        </w:rPr>
      </w:pPr>
    </w:p>
    <w:p w14:paraId="784F7E47" w14:textId="5E783898" w:rsidR="00ED7C77" w:rsidRPr="007403A4" w:rsidRDefault="00ED7C77">
      <w:pPr>
        <w:spacing w:before="1" w:line="254" w:lineRule="exact"/>
        <w:ind w:right="28"/>
        <w:jc w:val="both"/>
        <w:rPr>
          <w:i/>
          <w:sz w:val="18"/>
          <w:szCs w:val="18"/>
          <w:lang w:val="sr-Latn-ME"/>
        </w:rPr>
      </w:pPr>
      <w:r w:rsidRPr="007403A4">
        <w:rPr>
          <w:i/>
          <w:sz w:val="18"/>
          <w:szCs w:val="18"/>
          <w:vertAlign w:val="superscript"/>
          <w:lang w:val="sr-Latn-ME"/>
        </w:rPr>
        <w:t>#</w:t>
      </w:r>
      <w:r w:rsidRPr="007403A4">
        <w:rPr>
          <w:i/>
          <w:sz w:val="18"/>
          <w:szCs w:val="18"/>
          <w:lang w:val="sr-Latn-ME"/>
        </w:rPr>
        <w:t>Pacijenti s FL</w:t>
      </w:r>
      <w:r w:rsidR="0012244F" w:rsidRPr="007403A4">
        <w:rPr>
          <w:i/>
          <w:sz w:val="18"/>
          <w:szCs w:val="18"/>
          <w:lang w:val="sr-Latn-ME"/>
        </w:rPr>
        <w:t xml:space="preserve"> </w:t>
      </w:r>
      <w:r w:rsidRPr="007403A4">
        <w:rPr>
          <w:i/>
          <w:sz w:val="18"/>
          <w:szCs w:val="18"/>
          <w:lang w:val="sr-Latn-ME"/>
        </w:rPr>
        <w:t>koji nijesu odgovorili na liječenje rituksimabom ili protokolom koji sadrži rituksimab, ili su doživjeli progresiju tokom ili do 6 mjeseci nakon takvog liječenja</w:t>
      </w:r>
    </w:p>
    <w:p w14:paraId="1CAC517F" w14:textId="37203CED" w:rsidR="00ED7C77" w:rsidRPr="007403A4" w:rsidRDefault="00ED7C77">
      <w:pPr>
        <w:spacing w:before="1" w:line="254" w:lineRule="exact"/>
        <w:ind w:right="28"/>
        <w:jc w:val="both"/>
        <w:rPr>
          <w:sz w:val="22"/>
          <w:szCs w:val="22"/>
          <w:lang w:val="sr-Latn-ME"/>
        </w:rPr>
      </w:pPr>
    </w:p>
    <w:p w14:paraId="15FEBA20" w14:textId="77777777" w:rsidR="00ED7C77" w:rsidRPr="007403A4" w:rsidRDefault="00ED7C77">
      <w:pPr>
        <w:spacing w:before="1" w:line="254" w:lineRule="exact"/>
        <w:ind w:right="28"/>
        <w:jc w:val="both"/>
        <w:rPr>
          <w:sz w:val="22"/>
          <w:szCs w:val="22"/>
          <w:lang w:val="sr-Latn-ME"/>
        </w:rPr>
      </w:pPr>
    </w:p>
    <w:p w14:paraId="0233ACB7" w14:textId="04F19274" w:rsidR="00BB6DBC" w:rsidRPr="007403A4" w:rsidRDefault="001B2395" w:rsidP="00BB6DBC">
      <w:pPr>
        <w:keepNext/>
        <w:keepLines/>
        <w:jc w:val="both"/>
        <w:rPr>
          <w:b/>
          <w:szCs w:val="20"/>
          <w:lang w:val="sr-Latn-ME" w:eastAsia="ja-JP"/>
        </w:rPr>
      </w:pPr>
      <w:r w:rsidRPr="007403A4">
        <w:rPr>
          <w:b/>
          <w:szCs w:val="20"/>
          <w:lang w:val="sr-Latn-ME" w:eastAsia="ja-JP"/>
        </w:rPr>
        <w:lastRenderedPageBreak/>
        <w:t>Slika 7 Kaplan-Meier</w:t>
      </w:r>
      <w:r w:rsidR="0012244F" w:rsidRPr="007403A4">
        <w:rPr>
          <w:b/>
          <w:szCs w:val="20"/>
          <w:lang w:val="sr-Latn-ME" w:eastAsia="ja-JP"/>
        </w:rPr>
        <w:t>-ova</w:t>
      </w:r>
      <w:r w:rsidRPr="007403A4">
        <w:rPr>
          <w:b/>
          <w:szCs w:val="20"/>
          <w:lang w:val="sr-Latn-ME" w:eastAsia="ja-JP"/>
        </w:rPr>
        <w:t xml:space="preserve"> kriva ukupnog preživljavanja kod pacijenata sa FL u finalnoj analizi (studija GAO4753g/GADOLIN)</w:t>
      </w:r>
    </w:p>
    <w:p w14:paraId="428C2B28" w14:textId="77777777" w:rsidR="00F54DFB" w:rsidRPr="007403A4" w:rsidRDefault="00F54DFB" w:rsidP="00BB6DBC">
      <w:pPr>
        <w:keepNext/>
        <w:keepLines/>
        <w:jc w:val="both"/>
        <w:rPr>
          <w:b/>
          <w:szCs w:val="20"/>
          <w:lang w:val="sr-Latn-ME" w:eastAsia="ja-JP"/>
        </w:rPr>
      </w:pPr>
    </w:p>
    <w:p w14:paraId="744D7B73" w14:textId="0DC89E54" w:rsidR="00F54DFB" w:rsidRPr="007403A4" w:rsidRDefault="00F54DFB" w:rsidP="00BB6DBC">
      <w:pPr>
        <w:keepNext/>
        <w:keepLines/>
        <w:jc w:val="both"/>
        <w:rPr>
          <w:b/>
          <w:szCs w:val="20"/>
          <w:lang w:val="sr-Latn-ME" w:eastAsia="ja-JP"/>
        </w:rPr>
      </w:pPr>
      <w:r w:rsidRPr="007403A4">
        <w:rPr>
          <w:b/>
          <w:noProof/>
          <w:szCs w:val="20"/>
          <w:lang w:val="sr-Latn-ME"/>
        </w:rPr>
        <w:drawing>
          <wp:inline distT="0" distB="0" distL="0" distR="0" wp14:anchorId="646EB72F" wp14:editId="6DF8C6FD">
            <wp:extent cx="5239278" cy="329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pture8.PNG"/>
                    <pic:cNvPicPr/>
                  </pic:nvPicPr>
                  <pic:blipFill>
                    <a:blip r:embed="rId19">
                      <a:extLst>
                        <a:ext uri="{28A0092B-C50C-407E-A947-70E740481C1C}">
                          <a14:useLocalDpi xmlns:a14="http://schemas.microsoft.com/office/drawing/2010/main" val="0"/>
                        </a:ext>
                      </a:extLst>
                    </a:blip>
                    <a:stretch>
                      <a:fillRect/>
                    </a:stretch>
                  </pic:blipFill>
                  <pic:spPr>
                    <a:xfrm>
                      <a:off x="0" y="0"/>
                      <a:ext cx="5269945" cy="3316979"/>
                    </a:xfrm>
                    <a:prstGeom prst="rect">
                      <a:avLst/>
                    </a:prstGeom>
                  </pic:spPr>
                </pic:pic>
              </a:graphicData>
            </a:graphic>
          </wp:inline>
        </w:drawing>
      </w:r>
    </w:p>
    <w:p w14:paraId="7C0CAFF4" w14:textId="7000C7D7" w:rsidR="00F54DFB" w:rsidRPr="007403A4" w:rsidRDefault="00F54DFB" w:rsidP="00BB6DBC">
      <w:pPr>
        <w:keepNext/>
        <w:keepLines/>
        <w:jc w:val="both"/>
        <w:rPr>
          <w:b/>
          <w:szCs w:val="20"/>
          <w:lang w:val="sr-Latn-ME" w:eastAsia="ja-JP"/>
        </w:rPr>
      </w:pPr>
    </w:p>
    <w:p w14:paraId="61D14E06" w14:textId="5EDD0F3A" w:rsidR="00ED7C77" w:rsidRPr="007403A4" w:rsidRDefault="00ED7C77">
      <w:pPr>
        <w:spacing w:before="1" w:line="254" w:lineRule="exact"/>
        <w:ind w:right="28"/>
        <w:jc w:val="both"/>
        <w:rPr>
          <w:i/>
          <w:sz w:val="22"/>
          <w:szCs w:val="22"/>
          <w:lang w:val="sr-Latn-ME"/>
        </w:rPr>
      </w:pPr>
      <w:r w:rsidRPr="007403A4">
        <w:rPr>
          <w:i/>
          <w:sz w:val="22"/>
          <w:szCs w:val="22"/>
          <w:lang w:val="sr-Latn-ME"/>
        </w:rPr>
        <w:t>Rezultati analiza podgrupa</w:t>
      </w:r>
    </w:p>
    <w:p w14:paraId="20C2EF09" w14:textId="451FFDB4" w:rsidR="00D66547" w:rsidRPr="007403A4" w:rsidRDefault="00ED7C77">
      <w:pPr>
        <w:spacing w:before="1" w:line="254" w:lineRule="exact"/>
        <w:ind w:right="28"/>
        <w:jc w:val="both"/>
        <w:rPr>
          <w:sz w:val="22"/>
          <w:szCs w:val="22"/>
          <w:lang w:val="sr-Latn-ME"/>
        </w:rPr>
      </w:pPr>
      <w:r w:rsidRPr="007403A4">
        <w:rPr>
          <w:sz w:val="22"/>
          <w:szCs w:val="22"/>
          <w:lang w:val="sr-Latn-ME"/>
        </w:rPr>
        <w:t xml:space="preserve">Rezultati analiza podgrupa u načelu su bili u skladu sa rezultatima zabilježenima u populaciji s FL, što govori u prilog robusnosti cjelokupnog rezultata. </w:t>
      </w:r>
    </w:p>
    <w:p w14:paraId="5D00C29C" w14:textId="77777777" w:rsidR="00D66547" w:rsidRPr="007403A4" w:rsidRDefault="00D66547">
      <w:pPr>
        <w:spacing w:before="1" w:line="254" w:lineRule="exact"/>
        <w:ind w:right="28"/>
        <w:jc w:val="both"/>
        <w:rPr>
          <w:sz w:val="22"/>
          <w:szCs w:val="22"/>
          <w:lang w:val="sr-Latn-ME"/>
        </w:rPr>
      </w:pPr>
    </w:p>
    <w:p w14:paraId="71C419E1" w14:textId="7754BE1A" w:rsidR="00ED7C77" w:rsidRPr="007403A4" w:rsidRDefault="00ED7C77">
      <w:pPr>
        <w:spacing w:before="1" w:line="254" w:lineRule="exact"/>
        <w:ind w:right="28"/>
        <w:jc w:val="both"/>
        <w:rPr>
          <w:b/>
          <w:sz w:val="22"/>
          <w:szCs w:val="22"/>
          <w:lang w:val="sr-Latn-ME"/>
        </w:rPr>
      </w:pPr>
      <w:r w:rsidRPr="007403A4">
        <w:rPr>
          <w:b/>
          <w:sz w:val="22"/>
          <w:szCs w:val="22"/>
          <w:lang w:val="sr-Latn-ME"/>
        </w:rPr>
        <w:t xml:space="preserve">Slika </w:t>
      </w:r>
      <w:r w:rsidR="00EF3E65" w:rsidRPr="007403A4">
        <w:rPr>
          <w:b/>
          <w:sz w:val="22"/>
          <w:szCs w:val="22"/>
          <w:lang w:val="sr-Latn-ME"/>
        </w:rPr>
        <w:t>8</w:t>
      </w:r>
      <w:r w:rsidRPr="007403A4">
        <w:rPr>
          <w:b/>
          <w:sz w:val="22"/>
          <w:szCs w:val="22"/>
          <w:lang w:val="sr-Latn-ME"/>
        </w:rPr>
        <w:tab/>
        <w:t>PFS po podgrupama pacijenata sa FL prema ocjeni nezavisne ocjenjivačke komisije*</w:t>
      </w:r>
      <w:r w:rsidRPr="007403A4">
        <w:rPr>
          <w:b/>
          <w:sz w:val="22"/>
          <w:szCs w:val="22"/>
          <w:vertAlign w:val="superscript"/>
          <w:lang w:val="sr-Latn-ME"/>
        </w:rPr>
        <w:t>#</w:t>
      </w:r>
      <w:r w:rsidRPr="007403A4">
        <w:rPr>
          <w:b/>
          <w:sz w:val="22"/>
          <w:szCs w:val="22"/>
          <w:lang w:val="sr-Latn-ME"/>
        </w:rPr>
        <w:t xml:space="preserve"> (studija GAO4753g/GADOLIN)</w:t>
      </w:r>
    </w:p>
    <w:p w14:paraId="18C3A7BB" w14:textId="4D8C0C36" w:rsidR="0040713E" w:rsidRPr="007403A4" w:rsidRDefault="0040713E">
      <w:pPr>
        <w:spacing w:before="1" w:line="254" w:lineRule="exact"/>
        <w:ind w:right="28"/>
        <w:jc w:val="both"/>
        <w:rPr>
          <w:b/>
          <w:sz w:val="22"/>
          <w:szCs w:val="22"/>
          <w:lang w:val="sr-Latn-ME"/>
        </w:rPr>
      </w:pPr>
      <w:r w:rsidRPr="007403A4">
        <w:rPr>
          <w:b/>
          <w:noProof/>
          <w:sz w:val="22"/>
          <w:szCs w:val="22"/>
          <w:lang w:val="sr-Latn-ME"/>
        </w:rPr>
        <w:drawing>
          <wp:anchor distT="0" distB="0" distL="114300" distR="114300" simplePos="0" relativeHeight="251672576" behindDoc="1" locked="0" layoutInCell="1" allowOverlap="1" wp14:anchorId="079B243E" wp14:editId="16338253">
            <wp:simplePos x="0" y="0"/>
            <wp:positionH relativeFrom="column">
              <wp:posOffset>-1675</wp:posOffset>
            </wp:positionH>
            <wp:positionV relativeFrom="paragraph">
              <wp:posOffset>1318909</wp:posOffset>
            </wp:positionV>
            <wp:extent cx="5789930" cy="4039235"/>
            <wp:effectExtent l="0" t="0" r="1270" b="0"/>
            <wp:wrapTight wrapText="bothSides">
              <wp:wrapPolygon edited="0">
                <wp:start x="0" y="0"/>
                <wp:lineTo x="0" y="21495"/>
                <wp:lineTo x="21534" y="21495"/>
                <wp:lineTo x="2153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7.PNG"/>
                    <pic:cNvPicPr/>
                  </pic:nvPicPr>
                  <pic:blipFill>
                    <a:blip r:embed="rId20">
                      <a:extLst>
                        <a:ext uri="{28A0092B-C50C-407E-A947-70E740481C1C}">
                          <a14:useLocalDpi xmlns:a14="http://schemas.microsoft.com/office/drawing/2010/main" val="0"/>
                        </a:ext>
                      </a:extLst>
                    </a:blip>
                    <a:stretch>
                      <a:fillRect/>
                    </a:stretch>
                  </pic:blipFill>
                  <pic:spPr>
                    <a:xfrm>
                      <a:off x="0" y="0"/>
                      <a:ext cx="5789930" cy="4039235"/>
                    </a:xfrm>
                    <a:prstGeom prst="rect">
                      <a:avLst/>
                    </a:prstGeom>
                  </pic:spPr>
                </pic:pic>
              </a:graphicData>
            </a:graphic>
          </wp:anchor>
        </w:drawing>
      </w:r>
    </w:p>
    <w:p w14:paraId="0B21D26A" w14:textId="65192A21" w:rsidR="00ED7C77" w:rsidRPr="007403A4" w:rsidRDefault="00ED7C77">
      <w:pPr>
        <w:keepNext/>
        <w:keepLines/>
        <w:ind w:right="28"/>
        <w:jc w:val="both"/>
        <w:rPr>
          <w:i/>
          <w:sz w:val="18"/>
          <w:szCs w:val="18"/>
          <w:lang w:val="sr-Latn-ME"/>
        </w:rPr>
      </w:pPr>
      <w:r w:rsidRPr="007403A4">
        <w:rPr>
          <w:i/>
          <w:sz w:val="18"/>
          <w:szCs w:val="18"/>
          <w:lang w:val="sr-Latn-ME"/>
        </w:rPr>
        <w:lastRenderedPageBreak/>
        <w:t>*Unaprijed specificirane analize sprovedene u ITT populaciji ponovljene su i u populaciji oboljelih od FL; analiza dvostruko refraktornog statusa (tj. izostanak odgovora na liječenje ili progresija bolesti tokom liječenja ili u</w:t>
      </w:r>
      <w:r w:rsidR="0012244F" w:rsidRPr="007403A4">
        <w:rPr>
          <w:i/>
          <w:sz w:val="18"/>
          <w:szCs w:val="18"/>
          <w:lang w:val="sr-Latn-ME"/>
        </w:rPr>
        <w:t xml:space="preserve"> toku</w:t>
      </w:r>
      <w:r w:rsidRPr="007403A4">
        <w:rPr>
          <w:i/>
          <w:sz w:val="18"/>
          <w:szCs w:val="18"/>
          <w:lang w:val="sr-Latn-ME"/>
        </w:rPr>
        <w:t xml:space="preserve"> 6 mjeseci nakon primjene posljednje doze protokola </w:t>
      </w:r>
      <w:r w:rsidR="0012244F" w:rsidRPr="007403A4">
        <w:rPr>
          <w:i/>
          <w:sz w:val="18"/>
          <w:szCs w:val="18"/>
          <w:lang w:val="sr-Latn-ME"/>
        </w:rPr>
        <w:t>baziranog</w:t>
      </w:r>
      <w:r w:rsidRPr="007403A4">
        <w:rPr>
          <w:i/>
          <w:sz w:val="18"/>
          <w:szCs w:val="18"/>
          <w:lang w:val="sr-Latn-ME"/>
        </w:rPr>
        <w:t xml:space="preserve"> na alkilirajućem lijeku) bila je eksplora</w:t>
      </w:r>
      <w:r w:rsidR="0012244F" w:rsidRPr="007403A4">
        <w:rPr>
          <w:i/>
          <w:sz w:val="18"/>
          <w:szCs w:val="18"/>
          <w:lang w:val="sr-Latn-ME"/>
        </w:rPr>
        <w:t>torna</w:t>
      </w:r>
      <w:r w:rsidRPr="007403A4">
        <w:rPr>
          <w:i/>
          <w:sz w:val="18"/>
          <w:szCs w:val="18"/>
          <w:lang w:val="sr-Latn-ME"/>
        </w:rPr>
        <w:t xml:space="preserve">. </w:t>
      </w:r>
    </w:p>
    <w:p w14:paraId="2B91E1C9" w14:textId="1172243C" w:rsidR="00ED7C77" w:rsidRPr="007403A4" w:rsidRDefault="00ED7C77">
      <w:pPr>
        <w:keepNext/>
        <w:keepLines/>
        <w:ind w:right="28"/>
        <w:jc w:val="both"/>
        <w:rPr>
          <w:i/>
          <w:sz w:val="18"/>
          <w:szCs w:val="18"/>
          <w:lang w:val="sr-Latn-ME"/>
        </w:rPr>
      </w:pPr>
      <w:r w:rsidRPr="007403A4">
        <w:rPr>
          <w:i/>
          <w:sz w:val="18"/>
          <w:szCs w:val="18"/>
          <w:vertAlign w:val="superscript"/>
          <w:lang w:val="sr-Latn-ME"/>
        </w:rPr>
        <w:t>#</w:t>
      </w:r>
      <w:r w:rsidRPr="007403A4">
        <w:rPr>
          <w:i/>
          <w:sz w:val="18"/>
          <w:szCs w:val="18"/>
          <w:lang w:val="sr-Latn-ME"/>
        </w:rPr>
        <w:t>Pacijenti sa FL koji nijesu odgovorili na liječenje rituksimabom ili protokolom koji sadrži rituksimab, ili su doživjeli progresiju tokom ili do 6 mjeseci nakon takvog liječenja.</w:t>
      </w:r>
    </w:p>
    <w:p w14:paraId="61AB955E" w14:textId="40D54C34" w:rsidR="004F24AB" w:rsidRPr="007403A4" w:rsidRDefault="004F24AB">
      <w:pPr>
        <w:keepNext/>
        <w:keepLines/>
        <w:ind w:right="28"/>
        <w:jc w:val="both"/>
        <w:rPr>
          <w:i/>
          <w:sz w:val="18"/>
          <w:szCs w:val="18"/>
          <w:lang w:val="sr-Latn-ME"/>
        </w:rPr>
      </w:pPr>
    </w:p>
    <w:p w14:paraId="61055F3D" w14:textId="41D12401" w:rsidR="004F24AB" w:rsidRPr="007403A4" w:rsidRDefault="004F24AB" w:rsidP="00C95059">
      <w:pPr>
        <w:keepNext/>
        <w:jc w:val="both"/>
        <w:rPr>
          <w:i/>
          <w:iCs/>
          <w:sz w:val="22"/>
          <w:szCs w:val="22"/>
          <w:lang w:val="sr-Latn-ME"/>
        </w:rPr>
      </w:pPr>
      <w:r w:rsidRPr="007403A4">
        <w:rPr>
          <w:i/>
          <w:iCs/>
          <w:sz w:val="22"/>
          <w:szCs w:val="22"/>
          <w:lang w:val="sr-Latn-ME"/>
        </w:rPr>
        <w:t>Ispitivanje primjene kratkotrajne infuzije MO40597 (GAZELLE)</w:t>
      </w:r>
    </w:p>
    <w:p w14:paraId="26238652" w14:textId="77777777" w:rsidR="004F24AB" w:rsidRPr="007403A4" w:rsidRDefault="004F24AB" w:rsidP="00C95059">
      <w:pPr>
        <w:keepNext/>
        <w:jc w:val="both"/>
        <w:rPr>
          <w:sz w:val="22"/>
          <w:szCs w:val="22"/>
          <w:lang w:val="sr-Latn-ME"/>
        </w:rPr>
      </w:pPr>
    </w:p>
    <w:p w14:paraId="3BE4C57E" w14:textId="7E0099A2" w:rsidR="004F24AB" w:rsidRPr="007403A4" w:rsidRDefault="004F24AB" w:rsidP="00C95059">
      <w:pPr>
        <w:jc w:val="both"/>
        <w:rPr>
          <w:sz w:val="22"/>
          <w:szCs w:val="22"/>
          <w:lang w:val="sr-Latn-ME"/>
        </w:rPr>
      </w:pPr>
      <w:r w:rsidRPr="007403A4">
        <w:rPr>
          <w:sz w:val="22"/>
          <w:szCs w:val="22"/>
          <w:lang w:val="sr-Latn-ME"/>
        </w:rPr>
        <w:t>Bezbjednost kratkotrajne (približno 90-minutne) infuzije obinutuzumaba primjenjene u kombinaciji sa CHOP, CVP ili bendamustinom određivala se u multicentričnom, otvorenom, kliničkom ispitivanju sa jednom g</w:t>
      </w:r>
      <w:r w:rsidR="00F34FC4" w:rsidRPr="007403A4">
        <w:rPr>
          <w:sz w:val="22"/>
          <w:szCs w:val="22"/>
          <w:lang w:val="sr-Latn-ME"/>
        </w:rPr>
        <w:t>rupm</w:t>
      </w:r>
      <w:r w:rsidRPr="007403A4">
        <w:rPr>
          <w:sz w:val="22"/>
          <w:szCs w:val="22"/>
          <w:lang w:val="sr-Latn-ME"/>
        </w:rPr>
        <w:t xml:space="preserve"> koje je uključivalo 113 pacijenata sa prethodno nel</w:t>
      </w:r>
      <w:r w:rsidR="006F4017" w:rsidRPr="007403A4">
        <w:rPr>
          <w:sz w:val="22"/>
          <w:szCs w:val="22"/>
          <w:lang w:val="sr-Latn-ME"/>
        </w:rPr>
        <w:t>ij</w:t>
      </w:r>
      <w:r w:rsidRPr="007403A4">
        <w:rPr>
          <w:sz w:val="22"/>
          <w:szCs w:val="22"/>
          <w:lang w:val="sr-Latn-ME"/>
        </w:rPr>
        <w:t>ečenim uznapredovalim folikularnim limfomom (studija MO40597/GAZELLE).</w:t>
      </w:r>
    </w:p>
    <w:p w14:paraId="5279341C" w14:textId="7812CD5D" w:rsidR="004F24AB" w:rsidRPr="007403A4" w:rsidRDefault="004F24AB" w:rsidP="00C95059">
      <w:pPr>
        <w:jc w:val="both"/>
        <w:rPr>
          <w:sz w:val="22"/>
          <w:szCs w:val="22"/>
          <w:lang w:val="sr-Latn-ME"/>
        </w:rPr>
      </w:pPr>
      <w:r w:rsidRPr="007403A4">
        <w:rPr>
          <w:sz w:val="22"/>
          <w:szCs w:val="22"/>
          <w:lang w:val="sr-Latn-ME"/>
        </w:rPr>
        <w:t>Pacijenti su u prvom ciklusu primili obinutuzumab standardnom brzinom infuzije 1, 8. i 15. dana ciklusa 1. Pacijenti kod kojih tokom ciklusa 1 nije došlo do reakcija na infuziju ≥ 3. stepena primali su kratkotrajnu infuziju od ciklusa 2 pa nadalje.</w:t>
      </w:r>
    </w:p>
    <w:p w14:paraId="0ED0FF00" w14:textId="0FA5773F" w:rsidR="004F24AB" w:rsidRPr="007403A4" w:rsidRDefault="00F34FC4" w:rsidP="00C95059">
      <w:pPr>
        <w:jc w:val="both"/>
        <w:rPr>
          <w:sz w:val="22"/>
          <w:szCs w:val="22"/>
          <w:lang w:val="sr-Latn-ME"/>
        </w:rPr>
      </w:pPr>
      <w:r w:rsidRPr="007403A4">
        <w:rPr>
          <w:sz w:val="22"/>
          <w:szCs w:val="22"/>
          <w:lang w:val="sr-Latn-ME"/>
        </w:rPr>
        <w:t>Primarni parametar praćenja</w:t>
      </w:r>
      <w:r w:rsidR="004F24AB" w:rsidRPr="007403A4">
        <w:rPr>
          <w:sz w:val="22"/>
          <w:szCs w:val="22"/>
          <w:lang w:val="sr-Latn-ME"/>
        </w:rPr>
        <w:t xml:space="preserve"> ispitivanja bio je</w:t>
      </w:r>
      <w:r w:rsidR="006F4017" w:rsidRPr="007403A4">
        <w:rPr>
          <w:sz w:val="22"/>
          <w:szCs w:val="22"/>
          <w:lang w:val="sr-Latn-ME"/>
        </w:rPr>
        <w:t xml:space="preserve"> udi</w:t>
      </w:r>
      <w:r w:rsidR="004F24AB" w:rsidRPr="007403A4">
        <w:rPr>
          <w:sz w:val="22"/>
          <w:szCs w:val="22"/>
          <w:lang w:val="sr-Latn-ME"/>
        </w:rPr>
        <w:t xml:space="preserve">o pacijenata kod kojih se razvila reakcija na infuziju ≥ 3. stepena povezana sa primjenom kratkotrajne infuzije tokom ciklusa 2, a koji su prethodno, u ciklusu 1, primili 3 infuzije obinutuzumaba standardnom brzinom bez reakcija na infuziju ≥ 3. stepena. U ciklusu 2 kod pacijenata koji su primili kratkotrajnu infuziju nije zapažena nijedna reakcija na infuziju ≥ 3. stepena. Nakon ciklusa 2 samo je kod jednog pacijenta došlo do reakcije na infuziju 3. stepena (hipertenzija u  ciklusu 5). Vidjeti  dio 4.8 Neželjena dejstva. </w:t>
      </w:r>
    </w:p>
    <w:p w14:paraId="1D58631D" w14:textId="77777777" w:rsidR="00ED7C77" w:rsidRPr="007403A4" w:rsidRDefault="00ED7C77">
      <w:pPr>
        <w:keepNext/>
        <w:spacing w:before="1" w:line="254" w:lineRule="exact"/>
        <w:ind w:right="28"/>
        <w:jc w:val="both"/>
        <w:rPr>
          <w:i/>
          <w:sz w:val="22"/>
          <w:szCs w:val="22"/>
          <w:lang w:val="sr-Latn-ME"/>
        </w:rPr>
      </w:pPr>
      <w:r w:rsidRPr="007403A4">
        <w:rPr>
          <w:i/>
          <w:sz w:val="22"/>
          <w:szCs w:val="22"/>
          <w:lang w:val="sr-Latn-ME"/>
        </w:rPr>
        <w:t>Ishodi koje su prijavili pacijenti</w:t>
      </w:r>
    </w:p>
    <w:p w14:paraId="62DF0063" w14:textId="2D7575EF" w:rsidR="00ED7C77" w:rsidRPr="007403A4" w:rsidRDefault="00ED7C77">
      <w:pPr>
        <w:keepNext/>
        <w:spacing w:before="1" w:line="254" w:lineRule="exact"/>
        <w:ind w:right="28"/>
        <w:jc w:val="both"/>
        <w:rPr>
          <w:sz w:val="22"/>
          <w:szCs w:val="22"/>
          <w:lang w:val="sr-Latn-ME"/>
        </w:rPr>
      </w:pPr>
      <w:r w:rsidRPr="007403A4">
        <w:rPr>
          <w:sz w:val="22"/>
          <w:szCs w:val="22"/>
          <w:lang w:val="sr-Latn-ME"/>
        </w:rPr>
        <w:t>Zbog otvorenog dizajna studije ishode koje su prijavili pacijenti potrebno je tumačiti uz oprez. Na osnovu upitnika FACT–Lym i rezultata na skali ocjenjivanja iz upitnika EQ</w:t>
      </w:r>
      <w:r w:rsidR="00C81238" w:rsidRPr="007403A4">
        <w:rPr>
          <w:sz w:val="22"/>
          <w:szCs w:val="22"/>
          <w:lang w:val="sr-Latn-ME"/>
        </w:rPr>
        <w:t>-</w:t>
      </w:r>
      <w:r w:rsidRPr="007403A4">
        <w:rPr>
          <w:sz w:val="22"/>
          <w:szCs w:val="22"/>
          <w:lang w:val="sr-Latn-ME"/>
        </w:rPr>
        <w:t>5D tokom razdoblja liječenja i praćenja, utvrđeno je da se kvalitet života vezan za  zdravlje načelno održa</w:t>
      </w:r>
      <w:r w:rsidR="00C81238" w:rsidRPr="007403A4">
        <w:rPr>
          <w:sz w:val="22"/>
          <w:szCs w:val="22"/>
          <w:lang w:val="sr-Latn-ME"/>
        </w:rPr>
        <w:t>o</w:t>
      </w:r>
      <w:r w:rsidRPr="007403A4">
        <w:rPr>
          <w:sz w:val="22"/>
          <w:szCs w:val="22"/>
          <w:lang w:val="sr-Latn-ME"/>
        </w:rPr>
        <w:t xml:space="preserve"> u ključnoj studiji, bez značajne razlike između grupa. Međutim, kod pacijenata sa FL je dodavanje lijeka Gazyvaro bendamustinu produžilo vrijeme do pogoršanja kvaliteta života vezanog za zdravlje, mjeren</w:t>
      </w:r>
      <w:r w:rsidR="00C81238" w:rsidRPr="007403A4">
        <w:rPr>
          <w:sz w:val="22"/>
          <w:szCs w:val="22"/>
          <w:lang w:val="sr-Latn-ME"/>
        </w:rPr>
        <w:t>og</w:t>
      </w:r>
      <w:r w:rsidRPr="007403A4">
        <w:rPr>
          <w:sz w:val="22"/>
          <w:szCs w:val="22"/>
          <w:lang w:val="sr-Latn-ME"/>
        </w:rPr>
        <w:t xml:space="preserve"> indeksom ishoda ispitivanja TOI iz upitnika FACT</w:t>
      </w:r>
      <w:r w:rsidR="00C81238" w:rsidRPr="007403A4">
        <w:rPr>
          <w:sz w:val="22"/>
          <w:szCs w:val="22"/>
          <w:lang w:val="sr-Latn-ME"/>
        </w:rPr>
        <w:t>-</w:t>
      </w:r>
      <w:r w:rsidRPr="007403A4">
        <w:rPr>
          <w:sz w:val="22"/>
          <w:szCs w:val="22"/>
          <w:lang w:val="sr-Latn-ME"/>
        </w:rPr>
        <w:t>Lym, za 2,2 mjeseca (medijan</w:t>
      </w:r>
      <w:r w:rsidR="00C81238" w:rsidRPr="007403A4">
        <w:rPr>
          <w:sz w:val="22"/>
          <w:szCs w:val="22"/>
          <w:lang w:val="sr-Latn-ME"/>
        </w:rPr>
        <w:t>a</w:t>
      </w:r>
      <w:r w:rsidRPr="007403A4">
        <w:rPr>
          <w:sz w:val="22"/>
          <w:szCs w:val="22"/>
          <w:lang w:val="sr-Latn-ME"/>
        </w:rPr>
        <w:t>: 5,6 mjeseci uz bendamustin naspram 7,8 mjeseci uz G+B; HR = 0,83; 95% CI: 0,60; 1,13).</w:t>
      </w:r>
    </w:p>
    <w:p w14:paraId="201EC04A" w14:textId="77777777" w:rsidR="00ED7C77" w:rsidRPr="007403A4" w:rsidRDefault="00ED7C77">
      <w:pPr>
        <w:keepNext/>
        <w:spacing w:before="1" w:line="254" w:lineRule="exact"/>
        <w:ind w:right="28"/>
        <w:jc w:val="both"/>
        <w:rPr>
          <w:sz w:val="22"/>
          <w:szCs w:val="22"/>
          <w:lang w:val="sr-Latn-ME"/>
        </w:rPr>
      </w:pPr>
    </w:p>
    <w:p w14:paraId="56C3A70E" w14:textId="77777777" w:rsidR="00ED7C77" w:rsidRPr="007403A4" w:rsidRDefault="00ED7C77">
      <w:pPr>
        <w:keepNext/>
        <w:spacing w:before="1" w:line="254" w:lineRule="exact"/>
        <w:ind w:right="28"/>
        <w:jc w:val="both"/>
        <w:rPr>
          <w:i/>
          <w:sz w:val="22"/>
          <w:szCs w:val="22"/>
          <w:lang w:val="sr-Latn-ME"/>
        </w:rPr>
      </w:pPr>
      <w:r w:rsidRPr="007403A4">
        <w:rPr>
          <w:i/>
          <w:sz w:val="22"/>
          <w:szCs w:val="22"/>
          <w:lang w:val="sr-Latn-ME"/>
        </w:rPr>
        <w:t>Imunogenost</w:t>
      </w:r>
    </w:p>
    <w:p w14:paraId="2AECAB90" w14:textId="2EF11BB1" w:rsidR="00ED7C77" w:rsidRPr="007403A4" w:rsidRDefault="00ED7C77">
      <w:pPr>
        <w:spacing w:before="1" w:line="254" w:lineRule="exact"/>
        <w:ind w:right="28"/>
        <w:jc w:val="both"/>
        <w:rPr>
          <w:sz w:val="22"/>
          <w:szCs w:val="22"/>
          <w:lang w:val="sr-Latn-ME"/>
        </w:rPr>
      </w:pPr>
      <w:r w:rsidRPr="007403A4">
        <w:rPr>
          <w:sz w:val="22"/>
          <w:szCs w:val="22"/>
          <w:lang w:val="sr-Latn-ME"/>
        </w:rPr>
        <w:t>Rezultati testova imunogenosti uveliko zavise od nekoliko faktora, uključujući osjetljivost i specifičnost testa, metodologiju testiranja, robusnost testa s obzirom na količinu lijeka Gazyvaro u cirkulaciji, rukovanje uzorcima, vrijeme prikupljanja uzoraka, istovremenu primjenu drugih ljekova i osnovnu bolest. Zbog toga poređenje učestalosti antitijela na Gazyvaro sa učestalošću antitijela na druge ljekove može dovesti do pogrešnih zaključaka.</w:t>
      </w:r>
    </w:p>
    <w:p w14:paraId="547E873B" w14:textId="77777777" w:rsidR="00782148" w:rsidRPr="007403A4" w:rsidRDefault="00782148">
      <w:pPr>
        <w:spacing w:before="1" w:line="254" w:lineRule="exact"/>
        <w:ind w:right="28"/>
        <w:jc w:val="both"/>
        <w:rPr>
          <w:sz w:val="22"/>
          <w:szCs w:val="22"/>
          <w:lang w:val="sr-Latn-ME"/>
        </w:rPr>
      </w:pPr>
    </w:p>
    <w:p w14:paraId="1516CD0F" w14:textId="667963A5" w:rsidR="00ED7C77" w:rsidRPr="007403A4" w:rsidRDefault="00ED7C77">
      <w:pPr>
        <w:spacing w:before="1" w:line="254" w:lineRule="exact"/>
        <w:ind w:right="28"/>
        <w:jc w:val="both"/>
        <w:rPr>
          <w:sz w:val="22"/>
          <w:szCs w:val="22"/>
          <w:lang w:val="sr-Latn-ME"/>
        </w:rPr>
      </w:pPr>
      <w:r w:rsidRPr="007403A4">
        <w:rPr>
          <w:sz w:val="22"/>
          <w:szCs w:val="22"/>
          <w:lang w:val="sr-Latn-ME"/>
        </w:rPr>
        <w:t>U ključnoj studiji BO21004/CLL11 pacijenti sa HLL su testirani u više navrata kako bi se utvrdil</w:t>
      </w:r>
      <w:r w:rsidR="00C81238" w:rsidRPr="007403A4">
        <w:rPr>
          <w:sz w:val="22"/>
          <w:szCs w:val="22"/>
          <w:lang w:val="sr-Latn-ME"/>
        </w:rPr>
        <w:t>o prisustvo</w:t>
      </w:r>
      <w:r w:rsidRPr="007403A4">
        <w:rPr>
          <w:sz w:val="22"/>
          <w:szCs w:val="22"/>
          <w:lang w:val="sr-Latn-ME"/>
        </w:rPr>
        <w:t xml:space="preserve"> antitijela na lijek Gazyvaro. Među pacijentima liječenima lijekom Gazyvaro, 8 od 140 pacijenata u randomizovanoj fazi i 2 od 6 pacijenata u uvodnoj fazi imalo je pozitivan nalaz testa na antitijela na lijek nakon 12 mjeseci praćenja. Ni jedan od tih pacijenata nije imao anafilaktičku reakciju ni reakciju preosjetljivosti koja bi se smatrala povezanom s antitijelima na lijek, niti su antitijela na lijek uticala na klinički odgovor. </w:t>
      </w:r>
    </w:p>
    <w:p w14:paraId="26C57E22" w14:textId="77777777" w:rsidR="00ED7C77" w:rsidRPr="007403A4" w:rsidRDefault="00ED7C77">
      <w:pPr>
        <w:spacing w:before="1" w:line="254" w:lineRule="exact"/>
        <w:ind w:right="28"/>
        <w:jc w:val="both"/>
        <w:rPr>
          <w:sz w:val="22"/>
          <w:szCs w:val="22"/>
          <w:lang w:val="sr-Latn-ME"/>
        </w:rPr>
      </w:pPr>
    </w:p>
    <w:p w14:paraId="0184B559" w14:textId="59F0AEAB" w:rsidR="00ED7C77" w:rsidRPr="007403A4" w:rsidRDefault="00ED7C77">
      <w:pPr>
        <w:spacing w:before="1" w:line="254" w:lineRule="exact"/>
        <w:ind w:right="28"/>
        <w:jc w:val="both"/>
        <w:rPr>
          <w:sz w:val="22"/>
          <w:szCs w:val="22"/>
          <w:lang w:val="sr-Latn-ME"/>
        </w:rPr>
      </w:pPr>
      <w:r w:rsidRPr="007403A4">
        <w:rPr>
          <w:sz w:val="22"/>
          <w:szCs w:val="22"/>
          <w:lang w:val="sr-Latn-ME"/>
        </w:rPr>
        <w:t xml:space="preserve">Kod pacijenata sa iNHL liječenih u studiji GAO4753g/GADOLIN nijesu pronađena humana antihumana antitijela (engl. </w:t>
      </w:r>
      <w:r w:rsidRPr="007403A4">
        <w:rPr>
          <w:i/>
          <w:sz w:val="22"/>
          <w:szCs w:val="22"/>
          <w:lang w:val="sr-Latn-ME"/>
        </w:rPr>
        <w:t>human anti-human antibodies</w:t>
      </w:r>
      <w:r w:rsidRPr="007403A4">
        <w:rPr>
          <w:sz w:val="22"/>
          <w:szCs w:val="22"/>
          <w:lang w:val="sr-Latn-ME"/>
        </w:rPr>
        <w:t xml:space="preserve">, HAHA) nakon početka liječenja. U studiji BO21223/GALLIUM, 1/565 pacijenata (0,2% pacijenata kod kojih je sprovedena ocjena nakon početka liječenja) razvilo je HAHA nakon završetka uvodnog liječenja. Iako klinički značaj HAHA nije poznat, ne može se isključiti moguća korelacija između HAHA i kliničkog toka bolesti. </w:t>
      </w:r>
    </w:p>
    <w:p w14:paraId="5B2DC663" w14:textId="77777777" w:rsidR="00ED7C77" w:rsidRPr="007403A4" w:rsidRDefault="00ED7C77">
      <w:pPr>
        <w:spacing w:before="1" w:line="254" w:lineRule="exact"/>
        <w:ind w:right="28"/>
        <w:jc w:val="both"/>
        <w:rPr>
          <w:sz w:val="22"/>
          <w:szCs w:val="22"/>
          <w:lang w:val="sr-Latn-ME"/>
        </w:rPr>
      </w:pPr>
    </w:p>
    <w:p w14:paraId="0620A082" w14:textId="77777777" w:rsidR="00ED7C77" w:rsidRPr="007403A4" w:rsidRDefault="00ED7C77">
      <w:pPr>
        <w:spacing w:before="1" w:line="254" w:lineRule="exact"/>
        <w:ind w:right="28"/>
        <w:jc w:val="both"/>
        <w:rPr>
          <w:sz w:val="22"/>
          <w:szCs w:val="22"/>
          <w:u w:val="single"/>
          <w:lang w:val="sr-Latn-ME"/>
        </w:rPr>
      </w:pPr>
      <w:r w:rsidRPr="007403A4">
        <w:rPr>
          <w:sz w:val="22"/>
          <w:szCs w:val="22"/>
          <w:u w:val="single"/>
          <w:lang w:val="sr-Latn-ME"/>
        </w:rPr>
        <w:t xml:space="preserve">Pedijatrijska populacija </w:t>
      </w:r>
    </w:p>
    <w:p w14:paraId="2CBA4051" w14:textId="77777777" w:rsidR="00ED7C77" w:rsidRPr="007403A4" w:rsidRDefault="00ED7C77">
      <w:pPr>
        <w:spacing w:before="1" w:line="254" w:lineRule="exact"/>
        <w:ind w:right="28"/>
        <w:jc w:val="both"/>
        <w:rPr>
          <w:sz w:val="22"/>
          <w:szCs w:val="22"/>
          <w:lang w:val="sr-Latn-ME"/>
        </w:rPr>
      </w:pPr>
    </w:p>
    <w:p w14:paraId="004239E6" w14:textId="531F4D88" w:rsidR="00ED7C77" w:rsidRPr="007403A4" w:rsidRDefault="00ED7C77">
      <w:pPr>
        <w:spacing w:before="1" w:line="254" w:lineRule="exact"/>
        <w:ind w:right="28"/>
        <w:jc w:val="both"/>
        <w:rPr>
          <w:sz w:val="22"/>
          <w:szCs w:val="22"/>
          <w:lang w:val="sr-Latn-ME"/>
        </w:rPr>
      </w:pPr>
      <w:r w:rsidRPr="007403A4">
        <w:rPr>
          <w:sz w:val="22"/>
          <w:szCs w:val="22"/>
          <w:lang w:val="sr-Latn-ME"/>
        </w:rPr>
        <w:t xml:space="preserve">Evropska agencija za ljekove je izuzela obavezu podnošenja rezultata ispitivanja lijeka Gazyvaro u svim podgrupama pedijatrijske populacije u liječenju HLL i FL (vidjeti dio 4.2 za informacije o </w:t>
      </w:r>
      <w:r w:rsidR="00C81238" w:rsidRPr="007403A4">
        <w:rPr>
          <w:sz w:val="22"/>
          <w:szCs w:val="22"/>
          <w:lang w:val="sr-Latn-ME"/>
        </w:rPr>
        <w:t xml:space="preserve">primjeni u </w:t>
      </w:r>
      <w:r w:rsidRPr="007403A4">
        <w:rPr>
          <w:sz w:val="22"/>
          <w:szCs w:val="22"/>
          <w:lang w:val="sr-Latn-ME"/>
        </w:rPr>
        <w:t>pedijatrijskoj p</w:t>
      </w:r>
      <w:r w:rsidR="00C81238" w:rsidRPr="007403A4">
        <w:rPr>
          <w:sz w:val="22"/>
          <w:szCs w:val="22"/>
          <w:lang w:val="sr-Latn-ME"/>
        </w:rPr>
        <w:t>opulaciji</w:t>
      </w:r>
      <w:r w:rsidRPr="007403A4">
        <w:rPr>
          <w:sz w:val="22"/>
          <w:szCs w:val="22"/>
          <w:lang w:val="sr-Latn-ME"/>
        </w:rPr>
        <w:t>).</w:t>
      </w:r>
    </w:p>
    <w:p w14:paraId="07B3D133" w14:textId="669B9109" w:rsidR="007403A4" w:rsidRDefault="007403A4">
      <w:pPr>
        <w:rPr>
          <w:b/>
          <w:bCs/>
          <w:sz w:val="22"/>
          <w:szCs w:val="22"/>
          <w:lang w:val="sr-Latn-ME"/>
        </w:rPr>
      </w:pPr>
      <w:r>
        <w:rPr>
          <w:b/>
          <w:bCs/>
          <w:sz w:val="22"/>
          <w:szCs w:val="22"/>
          <w:lang w:val="sr-Latn-ME"/>
        </w:rPr>
        <w:br w:type="page"/>
      </w:r>
    </w:p>
    <w:p w14:paraId="186D3E30"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lastRenderedPageBreak/>
        <w:t xml:space="preserve">5.2. </w:t>
      </w:r>
      <w:r w:rsidR="00480FB1" w:rsidRPr="007403A4">
        <w:rPr>
          <w:b/>
          <w:bCs/>
          <w:sz w:val="22"/>
          <w:szCs w:val="22"/>
          <w:lang w:val="sr-Latn-ME"/>
        </w:rPr>
        <w:tab/>
      </w:r>
      <w:r w:rsidRPr="007403A4">
        <w:rPr>
          <w:b/>
          <w:bCs/>
          <w:sz w:val="22"/>
          <w:szCs w:val="22"/>
          <w:lang w:val="sr-Latn-ME"/>
        </w:rPr>
        <w:t>Farmakokinetički podaci</w:t>
      </w:r>
      <w:r w:rsidR="003A7059" w:rsidRPr="007403A4">
        <w:rPr>
          <w:b/>
          <w:bCs/>
          <w:sz w:val="22"/>
          <w:szCs w:val="22"/>
          <w:lang w:val="sr-Latn-ME"/>
        </w:rPr>
        <w:t xml:space="preserve"> </w:t>
      </w:r>
    </w:p>
    <w:p w14:paraId="31F7832F" w14:textId="77777777" w:rsidR="0072020E" w:rsidRPr="007403A4" w:rsidRDefault="0072020E">
      <w:pPr>
        <w:tabs>
          <w:tab w:val="left" w:pos="540"/>
          <w:tab w:val="left" w:pos="569"/>
        </w:tabs>
        <w:ind w:right="28"/>
        <w:jc w:val="both"/>
        <w:rPr>
          <w:bCs/>
          <w:sz w:val="22"/>
          <w:szCs w:val="22"/>
          <w:lang w:val="sr-Latn-ME"/>
        </w:rPr>
      </w:pPr>
    </w:p>
    <w:p w14:paraId="7F705ECD" w14:textId="3AB62EE5" w:rsidR="00ED7C77" w:rsidRPr="007403A4" w:rsidRDefault="00ED7C77">
      <w:pPr>
        <w:spacing w:before="1" w:line="254" w:lineRule="exact"/>
        <w:ind w:right="28"/>
        <w:jc w:val="both"/>
        <w:rPr>
          <w:bCs/>
          <w:sz w:val="22"/>
          <w:szCs w:val="22"/>
          <w:lang w:val="sr-Latn-ME"/>
        </w:rPr>
      </w:pPr>
      <w:r w:rsidRPr="007403A4">
        <w:rPr>
          <w:sz w:val="22"/>
          <w:szCs w:val="22"/>
          <w:lang w:val="sr-Latn-ME"/>
        </w:rPr>
        <w:t>Razvijen je populaci</w:t>
      </w:r>
      <w:r w:rsidR="00C81238" w:rsidRPr="007403A4">
        <w:rPr>
          <w:sz w:val="22"/>
          <w:szCs w:val="22"/>
          <w:lang w:val="sr-Latn-ME"/>
        </w:rPr>
        <w:t>oni</w:t>
      </w:r>
      <w:r w:rsidRPr="007403A4">
        <w:rPr>
          <w:sz w:val="22"/>
          <w:szCs w:val="22"/>
          <w:lang w:val="sr-Latn-ME"/>
        </w:rPr>
        <w:t xml:space="preserve"> farmakokinetički model za analizu farmakokinetičkih podataka prikupljenih kod 469 pacijenata sa iNHL, 342 pacijenta sa HLL i 130 pacijenta s difuznim B</w:t>
      </w:r>
      <w:r w:rsidR="00067C3F" w:rsidRPr="007403A4">
        <w:rPr>
          <w:sz w:val="22"/>
          <w:szCs w:val="22"/>
          <w:lang w:val="sr-Latn-ME"/>
        </w:rPr>
        <w:t>-</w:t>
      </w:r>
      <w:r w:rsidRPr="007403A4">
        <w:rPr>
          <w:sz w:val="22"/>
          <w:szCs w:val="22"/>
          <w:lang w:val="sr-Latn-ME"/>
        </w:rPr>
        <w:t xml:space="preserve">velikoćelijskim  limfomom (engl. </w:t>
      </w:r>
      <w:r w:rsidRPr="007403A4">
        <w:rPr>
          <w:i/>
          <w:sz w:val="22"/>
          <w:szCs w:val="22"/>
          <w:lang w:val="sr-Latn-ME"/>
        </w:rPr>
        <w:t>diffuse large B cell lymphoma</w:t>
      </w:r>
      <w:r w:rsidRPr="007403A4">
        <w:rPr>
          <w:sz w:val="22"/>
          <w:szCs w:val="22"/>
          <w:lang w:val="sr-Latn-ME"/>
        </w:rPr>
        <w:t xml:space="preserve">, DLBCL) koji su u </w:t>
      </w:r>
      <w:r w:rsidRPr="007403A4">
        <w:rPr>
          <w:bCs/>
          <w:sz w:val="22"/>
          <w:szCs w:val="22"/>
          <w:lang w:val="sr-Latn-ME"/>
        </w:rPr>
        <w:t xml:space="preserve">ispitivanjima faze I, faze II i faze III primali obinutuzumab samostalno ili u kombinaciji s hemoterapijom. </w:t>
      </w:r>
    </w:p>
    <w:p w14:paraId="14F1D3ED" w14:textId="77777777" w:rsidR="00782148" w:rsidRPr="007403A4" w:rsidRDefault="00782148">
      <w:pPr>
        <w:spacing w:before="1" w:line="254" w:lineRule="exact"/>
        <w:ind w:right="28"/>
        <w:jc w:val="both"/>
        <w:rPr>
          <w:bCs/>
          <w:sz w:val="22"/>
          <w:szCs w:val="22"/>
          <w:lang w:val="sr-Latn-ME"/>
        </w:rPr>
      </w:pPr>
    </w:p>
    <w:p w14:paraId="1C5BE71E" w14:textId="77777777" w:rsidR="00ED7C77" w:rsidRPr="007403A4" w:rsidRDefault="00ED7C77">
      <w:pPr>
        <w:tabs>
          <w:tab w:val="left" w:pos="284"/>
        </w:tabs>
        <w:spacing w:before="80" w:after="80"/>
        <w:ind w:right="28"/>
        <w:jc w:val="both"/>
        <w:rPr>
          <w:bCs/>
          <w:sz w:val="22"/>
          <w:szCs w:val="22"/>
          <w:u w:val="single"/>
          <w:lang w:val="sr-Latn-ME"/>
        </w:rPr>
      </w:pPr>
      <w:r w:rsidRPr="007403A4">
        <w:rPr>
          <w:bCs/>
          <w:sz w:val="22"/>
          <w:szCs w:val="22"/>
          <w:u w:val="single"/>
          <w:lang w:val="sr-Latn-ME"/>
        </w:rPr>
        <w:t>Resorpcija</w:t>
      </w:r>
    </w:p>
    <w:p w14:paraId="7750FCD3" w14:textId="1ADFB199" w:rsidR="00782148" w:rsidRPr="007403A4" w:rsidRDefault="00ED7C77">
      <w:pPr>
        <w:tabs>
          <w:tab w:val="left" w:pos="284"/>
        </w:tabs>
        <w:spacing w:after="80"/>
        <w:ind w:right="28"/>
        <w:jc w:val="both"/>
        <w:rPr>
          <w:bCs/>
          <w:sz w:val="22"/>
          <w:szCs w:val="22"/>
          <w:lang w:val="sr-Latn-ME"/>
        </w:rPr>
      </w:pPr>
      <w:r w:rsidRPr="007403A4">
        <w:rPr>
          <w:bCs/>
          <w:sz w:val="22"/>
          <w:szCs w:val="22"/>
          <w:lang w:val="sr-Latn-ME"/>
        </w:rPr>
        <w:t xml:space="preserve">Obinutuzumab se primjenjuje intravenski pa resorpcija nije primjenjiva. </w:t>
      </w:r>
      <w:r w:rsidR="00741222" w:rsidRPr="007403A4">
        <w:rPr>
          <w:bCs/>
          <w:sz w:val="22"/>
          <w:szCs w:val="22"/>
          <w:lang w:val="sr-Latn-ME"/>
        </w:rPr>
        <w:t>Nijesu</w:t>
      </w:r>
      <w:r w:rsidRPr="007403A4">
        <w:rPr>
          <w:bCs/>
          <w:sz w:val="22"/>
          <w:szCs w:val="22"/>
          <w:lang w:val="sr-Latn-ME"/>
        </w:rPr>
        <w:t xml:space="preserve"> sprovedene studije drugih puteva primjene. Populaci</w:t>
      </w:r>
      <w:r w:rsidR="00067C3F" w:rsidRPr="007403A4">
        <w:rPr>
          <w:bCs/>
          <w:sz w:val="22"/>
          <w:szCs w:val="22"/>
          <w:lang w:val="sr-Latn-ME"/>
        </w:rPr>
        <w:t>oni</w:t>
      </w:r>
      <w:r w:rsidRPr="007403A4">
        <w:rPr>
          <w:bCs/>
          <w:sz w:val="22"/>
          <w:szCs w:val="22"/>
          <w:lang w:val="sr-Latn-ME"/>
        </w:rPr>
        <w:t xml:space="preserve"> farmakokinetički model pokazao je da je nakon infuzije koju su pacijenti sa HLL primili 1. dana 6. ciklusa procijenjena medijana vrijednosti C</w:t>
      </w:r>
      <w:r w:rsidRPr="007403A4">
        <w:rPr>
          <w:bCs/>
          <w:sz w:val="22"/>
          <w:szCs w:val="22"/>
          <w:vertAlign w:val="subscript"/>
          <w:lang w:val="sr-Latn-ME"/>
        </w:rPr>
        <w:t>max</w:t>
      </w:r>
      <w:r w:rsidRPr="007403A4">
        <w:rPr>
          <w:bCs/>
          <w:sz w:val="22"/>
          <w:szCs w:val="22"/>
          <w:lang w:val="sr-Latn-ME"/>
        </w:rPr>
        <w:t xml:space="preserve"> iznosila 465,7 μg/ml, a AUC(τ) 8961 μg•d/ml, dok je kod pacijenata sa iNHL procijenjena medijana vrijednosti C</w:t>
      </w:r>
      <w:r w:rsidRPr="007403A4">
        <w:rPr>
          <w:bCs/>
          <w:sz w:val="22"/>
          <w:szCs w:val="22"/>
          <w:vertAlign w:val="subscript"/>
          <w:lang w:val="sr-Latn-ME"/>
        </w:rPr>
        <w:t>max</w:t>
      </w:r>
      <w:r w:rsidRPr="007403A4">
        <w:rPr>
          <w:bCs/>
          <w:sz w:val="22"/>
          <w:szCs w:val="22"/>
          <w:lang w:val="sr-Latn-ME"/>
        </w:rPr>
        <w:t xml:space="preserve"> iznosi</w:t>
      </w:r>
      <w:r w:rsidR="00067C3F" w:rsidRPr="007403A4">
        <w:rPr>
          <w:bCs/>
          <w:sz w:val="22"/>
          <w:szCs w:val="22"/>
          <w:lang w:val="sr-Latn-ME"/>
        </w:rPr>
        <w:t>la</w:t>
      </w:r>
      <w:r w:rsidRPr="007403A4">
        <w:rPr>
          <w:bCs/>
          <w:sz w:val="22"/>
          <w:szCs w:val="22"/>
          <w:lang w:val="sr-Latn-ME"/>
        </w:rPr>
        <w:t xml:space="preserve"> 539,3 μg/ml, a AUC(τ) 10 956 μg•d/ml.</w:t>
      </w:r>
    </w:p>
    <w:p w14:paraId="62ED2DF6" w14:textId="77777777" w:rsidR="00067C3F" w:rsidRPr="007403A4" w:rsidRDefault="00067C3F">
      <w:pPr>
        <w:tabs>
          <w:tab w:val="left" w:pos="284"/>
        </w:tabs>
        <w:spacing w:after="80"/>
        <w:ind w:right="28"/>
        <w:jc w:val="both"/>
        <w:rPr>
          <w:bCs/>
          <w:sz w:val="22"/>
          <w:szCs w:val="22"/>
          <w:u w:val="single"/>
          <w:lang w:val="sr-Latn-ME"/>
        </w:rPr>
      </w:pPr>
    </w:p>
    <w:p w14:paraId="79002395" w14:textId="79664189" w:rsidR="00ED7C77" w:rsidRPr="007403A4" w:rsidRDefault="00ED7C77">
      <w:pPr>
        <w:tabs>
          <w:tab w:val="left" w:pos="284"/>
        </w:tabs>
        <w:spacing w:after="80"/>
        <w:ind w:right="28"/>
        <w:jc w:val="both"/>
        <w:rPr>
          <w:bCs/>
          <w:sz w:val="22"/>
          <w:szCs w:val="22"/>
          <w:u w:val="single"/>
          <w:lang w:val="sr-Latn-ME"/>
        </w:rPr>
      </w:pPr>
      <w:r w:rsidRPr="007403A4">
        <w:rPr>
          <w:bCs/>
          <w:sz w:val="22"/>
          <w:szCs w:val="22"/>
          <w:u w:val="single"/>
          <w:lang w:val="sr-Latn-ME"/>
        </w:rPr>
        <w:t>Distribucija</w:t>
      </w:r>
    </w:p>
    <w:p w14:paraId="6E56823E" w14:textId="0F860381" w:rsidR="00782148" w:rsidRPr="007403A4" w:rsidRDefault="00ED7C77">
      <w:pPr>
        <w:tabs>
          <w:tab w:val="left" w:pos="284"/>
        </w:tabs>
        <w:spacing w:before="80" w:after="80"/>
        <w:ind w:right="28"/>
        <w:jc w:val="both"/>
        <w:rPr>
          <w:bCs/>
          <w:sz w:val="22"/>
          <w:szCs w:val="22"/>
          <w:lang w:val="sr-Latn-ME"/>
        </w:rPr>
      </w:pPr>
      <w:r w:rsidRPr="007403A4">
        <w:rPr>
          <w:bCs/>
          <w:sz w:val="22"/>
          <w:szCs w:val="22"/>
          <w:lang w:val="sr-Latn-ME"/>
        </w:rPr>
        <w:t>Nakon intravenske primjene, zapremina distribucije središnjeg dijela (2,98 l kod pacijenata sa HLL- om i 2,97 l kod pacijenata sa iNHL) bila je približno jednaka zapremini seruma, što pokazuje da je distribucija uveliko ograničena na plazmu i intersticijalnu tečnost.</w:t>
      </w:r>
    </w:p>
    <w:p w14:paraId="552B75D3" w14:textId="77777777" w:rsidR="00067C3F" w:rsidRPr="007403A4" w:rsidRDefault="00067C3F">
      <w:pPr>
        <w:tabs>
          <w:tab w:val="left" w:pos="540"/>
          <w:tab w:val="left" w:pos="569"/>
        </w:tabs>
        <w:ind w:right="28"/>
        <w:jc w:val="both"/>
        <w:rPr>
          <w:bCs/>
          <w:sz w:val="22"/>
          <w:szCs w:val="22"/>
          <w:u w:val="single"/>
          <w:lang w:val="sr-Latn-ME"/>
        </w:rPr>
      </w:pPr>
    </w:p>
    <w:p w14:paraId="07CF79DD" w14:textId="5D95C174"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Biotransformacija</w:t>
      </w:r>
    </w:p>
    <w:p w14:paraId="3D82D825" w14:textId="23411E98" w:rsidR="00ED7C77" w:rsidRPr="007403A4" w:rsidRDefault="00741222">
      <w:pPr>
        <w:tabs>
          <w:tab w:val="left" w:pos="540"/>
          <w:tab w:val="left" w:pos="569"/>
        </w:tabs>
        <w:ind w:right="28"/>
        <w:jc w:val="both"/>
        <w:rPr>
          <w:bCs/>
          <w:sz w:val="22"/>
          <w:szCs w:val="22"/>
          <w:lang w:val="sr-Latn-ME"/>
        </w:rPr>
      </w:pPr>
      <w:r w:rsidRPr="007403A4">
        <w:rPr>
          <w:bCs/>
          <w:sz w:val="22"/>
          <w:szCs w:val="22"/>
          <w:lang w:val="sr-Latn-ME"/>
        </w:rPr>
        <w:t>Nijesu</w:t>
      </w:r>
      <w:r w:rsidR="00ED7C77" w:rsidRPr="007403A4">
        <w:rPr>
          <w:bCs/>
          <w:sz w:val="22"/>
          <w:szCs w:val="22"/>
          <w:lang w:val="sr-Latn-ME"/>
        </w:rPr>
        <w:t xml:space="preserve"> sprovedene direktne studije metabolizma obinutuzumaba. Antitijela se uglavnom uklanjaju katabolizmom. </w:t>
      </w:r>
    </w:p>
    <w:p w14:paraId="7D2908FE" w14:textId="77777777" w:rsidR="00067C3F" w:rsidRPr="007403A4" w:rsidRDefault="00067C3F">
      <w:pPr>
        <w:tabs>
          <w:tab w:val="left" w:pos="540"/>
          <w:tab w:val="left" w:pos="569"/>
        </w:tabs>
        <w:ind w:right="28"/>
        <w:jc w:val="both"/>
        <w:rPr>
          <w:bCs/>
          <w:sz w:val="22"/>
          <w:szCs w:val="22"/>
          <w:lang w:val="sr-Latn-ME"/>
        </w:rPr>
      </w:pPr>
    </w:p>
    <w:p w14:paraId="388D899D"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Eliminacija</w:t>
      </w:r>
    </w:p>
    <w:p w14:paraId="79B43680" w14:textId="18327C0A"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Klirens obinutuzumaba iznosio je približno 0,11 l/dan kod pacijenata sa HLL te 0,08 l/dan kod pacijenata sa iNHL</w:t>
      </w:r>
      <w:r w:rsidR="00067C3F" w:rsidRPr="007403A4">
        <w:rPr>
          <w:bCs/>
          <w:sz w:val="22"/>
          <w:szCs w:val="22"/>
          <w:lang w:val="sr-Latn-ME"/>
        </w:rPr>
        <w:t xml:space="preserve"> </w:t>
      </w:r>
      <w:r w:rsidRPr="007403A4">
        <w:rPr>
          <w:bCs/>
          <w:sz w:val="22"/>
          <w:szCs w:val="22"/>
          <w:lang w:val="sr-Latn-ME"/>
        </w:rPr>
        <w:t xml:space="preserve">uz medijanu poluvremena eliminacije </w:t>
      </w:r>
      <w:r w:rsidR="00067C3F" w:rsidRPr="007403A4">
        <w:rPr>
          <w:bCs/>
          <w:sz w:val="22"/>
          <w:szCs w:val="22"/>
          <w:lang w:val="sr-Latn-ME"/>
        </w:rPr>
        <w:t xml:space="preserve">od </w:t>
      </w:r>
      <w:r w:rsidRPr="007403A4">
        <w:rPr>
          <w:bCs/>
          <w:sz w:val="22"/>
          <w:szCs w:val="22"/>
          <w:lang w:val="sr-Latn-ME"/>
        </w:rPr>
        <w:t xml:space="preserve">26,4 dana kod pacijenata sa HLL i 36,8 dana kod pacijenata sa iNHL. Eliminacija obinutuzumaba odvija se sa dva paralelna puta koji opisuju klirens, linearni klirens i nelinearni klirens koji se mijenja kao funkcija vremena. Tokom početnog liječenja dominantan je nelinearni klirens koji se mijenja sa vremenom i zbog toga on predstavlja glavni put klirensa. Sa nastavkom liječenja, uticaj tog puta sve je manji i dominantan postaje put linearnog klirensa. To ukazuje na raspoloživost lijeka zavisnu od vezivanja za ciljno mjesto (engl. </w:t>
      </w:r>
      <w:r w:rsidRPr="007403A4">
        <w:rPr>
          <w:bCs/>
          <w:i/>
          <w:sz w:val="22"/>
          <w:szCs w:val="22"/>
          <w:lang w:val="sr-Latn-ME"/>
        </w:rPr>
        <w:t>target mediated drug disposition</w:t>
      </w:r>
      <w:r w:rsidRPr="007403A4">
        <w:rPr>
          <w:bCs/>
          <w:sz w:val="22"/>
          <w:szCs w:val="22"/>
          <w:lang w:val="sr-Latn-ME"/>
        </w:rPr>
        <w:t>, TMDD), kod koje početna velika količina CD20 ćelija prouzrokuje brzo uklanjanje obinutuzumaba iz cirkulacije. Međutim, nakon što se većina CD20 ćelija veže za obinutuzumab, dejstvo TMDD</w:t>
      </w:r>
      <w:r w:rsidRPr="007403A4">
        <w:rPr>
          <w:bCs/>
          <w:sz w:val="22"/>
          <w:szCs w:val="22"/>
          <w:lang w:val="sr-Latn-ME"/>
        </w:rPr>
        <w:noBreakHyphen/>
        <w:t>a na farmakokinetiku je minimalizovan .</w:t>
      </w:r>
    </w:p>
    <w:p w14:paraId="119BCDD4" w14:textId="77777777" w:rsidR="00ED7C77" w:rsidRPr="007403A4" w:rsidRDefault="00ED7C77">
      <w:pPr>
        <w:tabs>
          <w:tab w:val="left" w:pos="540"/>
          <w:tab w:val="left" w:pos="569"/>
        </w:tabs>
        <w:ind w:right="28"/>
        <w:jc w:val="both"/>
        <w:rPr>
          <w:bCs/>
          <w:sz w:val="22"/>
          <w:szCs w:val="22"/>
          <w:lang w:val="sr-Latn-ME"/>
        </w:rPr>
      </w:pPr>
    </w:p>
    <w:p w14:paraId="21340546"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Farmakokinetički/farmakodinamički odnos(i)</w:t>
      </w:r>
    </w:p>
    <w:p w14:paraId="63BB1E4D" w14:textId="7D079B4A" w:rsidR="00ED7C77" w:rsidRPr="007403A4" w:rsidRDefault="00067C3F">
      <w:pPr>
        <w:tabs>
          <w:tab w:val="left" w:pos="540"/>
          <w:tab w:val="left" w:pos="569"/>
        </w:tabs>
        <w:ind w:right="28"/>
        <w:jc w:val="both"/>
        <w:rPr>
          <w:bCs/>
          <w:sz w:val="22"/>
          <w:szCs w:val="22"/>
          <w:lang w:val="sr-Latn-ME"/>
        </w:rPr>
      </w:pPr>
      <w:r w:rsidRPr="007403A4">
        <w:rPr>
          <w:bCs/>
          <w:sz w:val="22"/>
          <w:szCs w:val="22"/>
          <w:lang w:val="sr-Latn-ME"/>
        </w:rPr>
        <w:t>Populaciona</w:t>
      </w:r>
      <w:r w:rsidR="00ED7C77" w:rsidRPr="007403A4">
        <w:rPr>
          <w:bCs/>
          <w:sz w:val="22"/>
          <w:szCs w:val="22"/>
          <w:lang w:val="sr-Latn-ME"/>
        </w:rPr>
        <w:t xml:space="preserve"> farmakokinetička analiza pokazala je da je pol kovarijanta zaslužna za jedan dio varijabilnosti među pacijentima. Naime, kod muškaraca je klirens u stanju dinamičke ravnoteže (CLss) bio 22% veći, a </w:t>
      </w:r>
      <w:r w:rsidR="00A13B2C" w:rsidRPr="007403A4">
        <w:rPr>
          <w:bCs/>
          <w:sz w:val="22"/>
          <w:szCs w:val="22"/>
          <w:lang w:val="sr-Latn-ME"/>
        </w:rPr>
        <w:t>volumen</w:t>
      </w:r>
      <w:r w:rsidR="00ED7C77" w:rsidRPr="007403A4">
        <w:rPr>
          <w:bCs/>
          <w:sz w:val="22"/>
          <w:szCs w:val="22"/>
          <w:lang w:val="sr-Latn-ME"/>
        </w:rPr>
        <w:t xml:space="preserve"> distribucije 19% već</w:t>
      </w:r>
      <w:r w:rsidR="00A13B2C" w:rsidRPr="007403A4">
        <w:rPr>
          <w:bCs/>
          <w:sz w:val="22"/>
          <w:szCs w:val="22"/>
          <w:lang w:val="sr-Latn-ME"/>
        </w:rPr>
        <w:t>i</w:t>
      </w:r>
      <w:r w:rsidR="00ED7C77" w:rsidRPr="007403A4">
        <w:rPr>
          <w:bCs/>
          <w:sz w:val="22"/>
          <w:szCs w:val="22"/>
          <w:lang w:val="sr-Latn-ME"/>
        </w:rPr>
        <w:t xml:space="preserve"> nego kod žena. Međutim, rezultati populaci</w:t>
      </w:r>
      <w:r w:rsidRPr="007403A4">
        <w:rPr>
          <w:bCs/>
          <w:sz w:val="22"/>
          <w:szCs w:val="22"/>
          <w:lang w:val="sr-Latn-ME"/>
        </w:rPr>
        <w:t>on</w:t>
      </w:r>
      <w:r w:rsidR="00ED7C77" w:rsidRPr="007403A4">
        <w:rPr>
          <w:bCs/>
          <w:sz w:val="22"/>
          <w:szCs w:val="22"/>
          <w:lang w:val="sr-Latn-ME"/>
        </w:rPr>
        <w:t xml:space="preserve">e analize pokazali su da razlike u izloženosti </w:t>
      </w:r>
      <w:r w:rsidR="00741222" w:rsidRPr="007403A4">
        <w:rPr>
          <w:bCs/>
          <w:sz w:val="22"/>
          <w:szCs w:val="22"/>
          <w:lang w:val="sr-Latn-ME"/>
        </w:rPr>
        <w:t>nijesu</w:t>
      </w:r>
      <w:r w:rsidR="00ED7C77" w:rsidRPr="007403A4">
        <w:rPr>
          <w:bCs/>
          <w:sz w:val="22"/>
          <w:szCs w:val="22"/>
          <w:lang w:val="sr-Latn-ME"/>
        </w:rPr>
        <w:t xml:space="preserve"> značajne (procijenjena medijana AUC odnosno C</w:t>
      </w:r>
      <w:r w:rsidR="00ED7C77" w:rsidRPr="007403A4">
        <w:rPr>
          <w:bCs/>
          <w:sz w:val="22"/>
          <w:szCs w:val="22"/>
          <w:vertAlign w:val="subscript"/>
          <w:lang w:val="sr-Latn-ME"/>
        </w:rPr>
        <w:t>max</w:t>
      </w:r>
      <w:r w:rsidR="00ED7C77" w:rsidRPr="007403A4">
        <w:rPr>
          <w:bCs/>
          <w:sz w:val="22"/>
          <w:szCs w:val="22"/>
          <w:lang w:val="sr-Latn-ME"/>
        </w:rPr>
        <w:t xml:space="preserve"> u 6. ciklusu liječenja pacijenata sa HLL iznosila je 11 282 µg•d/ml odnosno 578,9 µg/ml kod žena te 8451 µg•d/ml odnosno 432,5 µg/ml kod muškaraca, dok su AUC odnosno C</w:t>
      </w:r>
      <w:r w:rsidR="00ED7C77" w:rsidRPr="007403A4">
        <w:rPr>
          <w:bCs/>
          <w:sz w:val="22"/>
          <w:szCs w:val="22"/>
          <w:vertAlign w:val="subscript"/>
          <w:lang w:val="sr-Latn-ME"/>
        </w:rPr>
        <w:t>max</w:t>
      </w:r>
      <w:r w:rsidR="00ED7C77" w:rsidRPr="007403A4">
        <w:rPr>
          <w:bCs/>
          <w:sz w:val="22"/>
          <w:szCs w:val="22"/>
          <w:lang w:val="sr-Latn-ME"/>
        </w:rPr>
        <w:t xml:space="preserve"> kod pacijenata sa iNHL iznosili 13 172 µg•d/ml odnosno 635,7 µg/ml </w:t>
      </w:r>
      <w:r w:rsidR="00A13B2C" w:rsidRPr="007403A4">
        <w:rPr>
          <w:bCs/>
          <w:sz w:val="22"/>
          <w:szCs w:val="22"/>
          <w:lang w:val="sr-Latn-ME"/>
        </w:rPr>
        <w:t>kod</w:t>
      </w:r>
      <w:r w:rsidR="00ED7C77" w:rsidRPr="007403A4">
        <w:rPr>
          <w:bCs/>
          <w:sz w:val="22"/>
          <w:szCs w:val="22"/>
          <w:lang w:val="sr-Latn-ME"/>
        </w:rPr>
        <w:t xml:space="preserve"> žena te 9769 µg•d/ml odnosno 481,3 µg/ml </w:t>
      </w:r>
      <w:r w:rsidR="00A13B2C" w:rsidRPr="007403A4">
        <w:rPr>
          <w:bCs/>
          <w:sz w:val="22"/>
          <w:szCs w:val="22"/>
          <w:lang w:val="sr-Latn-ME"/>
        </w:rPr>
        <w:t>kod</w:t>
      </w:r>
      <w:r w:rsidR="00ED7C77" w:rsidRPr="007403A4">
        <w:rPr>
          <w:bCs/>
          <w:sz w:val="22"/>
          <w:szCs w:val="22"/>
          <w:lang w:val="sr-Latn-ME"/>
        </w:rPr>
        <w:t xml:space="preserve"> muškaraca), što znači da nema potrebe za prilagođavanjem doze na </w:t>
      </w:r>
      <w:r w:rsidR="00A13B2C" w:rsidRPr="007403A4">
        <w:rPr>
          <w:bCs/>
          <w:sz w:val="22"/>
          <w:szCs w:val="22"/>
          <w:lang w:val="sr-Latn-ME"/>
        </w:rPr>
        <w:t>osnovu</w:t>
      </w:r>
      <w:r w:rsidR="00ED7C77" w:rsidRPr="007403A4">
        <w:rPr>
          <w:bCs/>
          <w:sz w:val="22"/>
          <w:szCs w:val="22"/>
          <w:lang w:val="sr-Latn-ME"/>
        </w:rPr>
        <w:t xml:space="preserve"> pola.</w:t>
      </w:r>
    </w:p>
    <w:p w14:paraId="1C8661F1"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 </w:t>
      </w:r>
    </w:p>
    <w:p w14:paraId="6A681897"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Starije osobe</w:t>
      </w:r>
    </w:p>
    <w:p w14:paraId="368441FB" w14:textId="27DD6663" w:rsidR="00ED7C77" w:rsidRPr="007403A4" w:rsidRDefault="00067C3F">
      <w:pPr>
        <w:tabs>
          <w:tab w:val="left" w:pos="540"/>
          <w:tab w:val="left" w:pos="569"/>
        </w:tabs>
        <w:ind w:right="28"/>
        <w:jc w:val="both"/>
        <w:rPr>
          <w:bCs/>
          <w:sz w:val="22"/>
          <w:szCs w:val="22"/>
          <w:lang w:val="sr-Latn-ME"/>
        </w:rPr>
      </w:pPr>
      <w:r w:rsidRPr="007403A4">
        <w:rPr>
          <w:bCs/>
          <w:sz w:val="22"/>
          <w:szCs w:val="22"/>
          <w:lang w:val="sr-Latn-ME"/>
        </w:rPr>
        <w:t>Populaciona</w:t>
      </w:r>
      <w:r w:rsidR="00ED7C77" w:rsidRPr="007403A4">
        <w:rPr>
          <w:bCs/>
          <w:sz w:val="22"/>
          <w:szCs w:val="22"/>
          <w:lang w:val="sr-Latn-ME"/>
        </w:rPr>
        <w:t xml:space="preserve"> farmakokinetička analiza obinutuzumaba pokazala je da starost ne utiče na farmakokinetiku obinutuzumaba. Nije primijećena značajna razlika u farmakokinetici obinutuzumaba između pacijenata &lt; 65 godina (n = 375), pacijenata starosti između 65 i 75 godina (n = 265) i pacijenata &gt; 75 godina (n = 171).</w:t>
      </w:r>
    </w:p>
    <w:p w14:paraId="0AE40DF5" w14:textId="77777777" w:rsidR="00ED7C77" w:rsidRPr="007403A4" w:rsidRDefault="00ED7C77">
      <w:pPr>
        <w:tabs>
          <w:tab w:val="left" w:pos="540"/>
          <w:tab w:val="left" w:pos="569"/>
        </w:tabs>
        <w:ind w:right="28"/>
        <w:jc w:val="both"/>
        <w:rPr>
          <w:bCs/>
          <w:sz w:val="22"/>
          <w:szCs w:val="22"/>
          <w:lang w:val="sr-Latn-ME"/>
        </w:rPr>
      </w:pPr>
    </w:p>
    <w:p w14:paraId="69F82653"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Pedijatrijska populacija</w:t>
      </w:r>
    </w:p>
    <w:p w14:paraId="6FE33270" w14:textId="73ADAB38" w:rsidR="00ED7C77" w:rsidRPr="007403A4" w:rsidRDefault="00741222">
      <w:pPr>
        <w:tabs>
          <w:tab w:val="left" w:pos="540"/>
          <w:tab w:val="left" w:pos="569"/>
        </w:tabs>
        <w:ind w:right="28"/>
        <w:jc w:val="both"/>
        <w:rPr>
          <w:bCs/>
          <w:sz w:val="22"/>
          <w:szCs w:val="22"/>
          <w:lang w:val="sr-Latn-ME"/>
        </w:rPr>
      </w:pPr>
      <w:r w:rsidRPr="007403A4">
        <w:rPr>
          <w:bCs/>
          <w:sz w:val="22"/>
          <w:szCs w:val="22"/>
          <w:lang w:val="sr-Latn-ME"/>
        </w:rPr>
        <w:t>Nijesu</w:t>
      </w:r>
      <w:r w:rsidR="00ED7C77" w:rsidRPr="007403A4">
        <w:rPr>
          <w:bCs/>
          <w:sz w:val="22"/>
          <w:szCs w:val="22"/>
          <w:lang w:val="sr-Latn-ME"/>
        </w:rPr>
        <w:t xml:space="preserve"> sprovedene studije sa kojim bi se ocijenila farmakokinetika obinutuzumaba kod pedijatrijskih pacijenata.</w:t>
      </w:r>
    </w:p>
    <w:p w14:paraId="7A12EF4A" w14:textId="77777777" w:rsidR="00ED7C77" w:rsidRPr="007403A4" w:rsidRDefault="00ED7C77">
      <w:pPr>
        <w:tabs>
          <w:tab w:val="left" w:pos="540"/>
          <w:tab w:val="left" w:pos="569"/>
        </w:tabs>
        <w:ind w:right="28"/>
        <w:jc w:val="both"/>
        <w:rPr>
          <w:bCs/>
          <w:sz w:val="22"/>
          <w:szCs w:val="22"/>
          <w:u w:val="single"/>
          <w:lang w:val="sr-Latn-ME"/>
        </w:rPr>
      </w:pPr>
    </w:p>
    <w:p w14:paraId="4372ECC8"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lastRenderedPageBreak/>
        <w:t>Oštećenje funkcije bubrega</w:t>
      </w:r>
    </w:p>
    <w:p w14:paraId="2AF29B16" w14:textId="3CDB14E2" w:rsidR="00ED7C77" w:rsidRPr="007403A4" w:rsidRDefault="00067C3F">
      <w:pPr>
        <w:tabs>
          <w:tab w:val="left" w:pos="540"/>
          <w:tab w:val="left" w:pos="569"/>
        </w:tabs>
        <w:ind w:right="28"/>
        <w:jc w:val="both"/>
        <w:rPr>
          <w:bCs/>
          <w:sz w:val="22"/>
          <w:szCs w:val="22"/>
          <w:lang w:val="sr-Latn-ME"/>
        </w:rPr>
      </w:pPr>
      <w:r w:rsidRPr="007403A4">
        <w:rPr>
          <w:bCs/>
          <w:sz w:val="22"/>
          <w:szCs w:val="22"/>
          <w:lang w:val="sr-Latn-ME"/>
        </w:rPr>
        <w:t>Populaciona</w:t>
      </w:r>
      <w:r w:rsidR="00ED7C77" w:rsidRPr="007403A4">
        <w:rPr>
          <w:bCs/>
          <w:sz w:val="22"/>
          <w:szCs w:val="22"/>
          <w:lang w:val="sr-Latn-ME"/>
        </w:rPr>
        <w:t xml:space="preserve"> farmakokinetička analiza obinutuzumaba pokazala je da klirens kreatinina ne utiče na farmakokinetiku obinutuzumaba. Farmakokinetika obinutuzumaba kod pacijenata sa blagim klirensom kreatinina [CrCl] 50</w:t>
      </w:r>
      <w:r w:rsidR="00ED7C77" w:rsidRPr="007403A4">
        <w:rPr>
          <w:bCs/>
          <w:sz w:val="22"/>
          <w:szCs w:val="22"/>
          <w:lang w:val="sr-Latn-ME"/>
        </w:rPr>
        <w:noBreakHyphen/>
        <w:t>89 ml/min, n=464) ili umjerenim (CrCl 30</w:t>
      </w:r>
      <w:r w:rsidR="00ED7C77" w:rsidRPr="007403A4">
        <w:rPr>
          <w:bCs/>
          <w:sz w:val="22"/>
          <w:szCs w:val="22"/>
          <w:lang w:val="sr-Latn-ME"/>
        </w:rPr>
        <w:noBreakHyphen/>
        <w:t>49 ml/min, n=106) oštećenjem funkcije bubrega bila je slična onoj kod pacijenata sa normalnom funkcijom bubrega (CrCl </w:t>
      </w:r>
      <w:r w:rsidR="00ED7C77" w:rsidRPr="007403A4">
        <w:rPr>
          <w:bCs/>
          <w:sz w:val="22"/>
          <w:szCs w:val="22"/>
          <w:lang w:val="sr-Latn-ME"/>
        </w:rPr>
        <w:sym w:font="Symbol" w:char="F0B3"/>
      </w:r>
      <w:r w:rsidR="00ED7C77" w:rsidRPr="007403A4">
        <w:rPr>
          <w:bCs/>
          <w:sz w:val="22"/>
          <w:szCs w:val="22"/>
          <w:lang w:val="sr-Latn-ME"/>
        </w:rPr>
        <w:t> 90 ml/min, n=383). Farmakokinetički podaci kod pacijenata sa teškim oštećenjem funkcije bubrega (CrCl 15</w:t>
      </w:r>
      <w:r w:rsidR="00ED7C77" w:rsidRPr="007403A4">
        <w:rPr>
          <w:bCs/>
          <w:sz w:val="22"/>
          <w:szCs w:val="22"/>
          <w:lang w:val="sr-Latn-ME"/>
        </w:rPr>
        <w:noBreakHyphen/>
        <w:t xml:space="preserve">29 ml/min) su ograničeni (n=8), pa </w:t>
      </w:r>
      <w:r w:rsidR="00741222" w:rsidRPr="007403A4">
        <w:rPr>
          <w:bCs/>
          <w:sz w:val="22"/>
          <w:szCs w:val="22"/>
          <w:lang w:val="sr-Latn-ME"/>
        </w:rPr>
        <w:t>nijesu</w:t>
      </w:r>
      <w:r w:rsidR="00ED7C77" w:rsidRPr="007403A4">
        <w:rPr>
          <w:bCs/>
          <w:sz w:val="22"/>
          <w:szCs w:val="22"/>
          <w:lang w:val="sr-Latn-ME"/>
        </w:rPr>
        <w:t xml:space="preserve"> moguće preporuke o doziranju</w:t>
      </w:r>
    </w:p>
    <w:p w14:paraId="38345A15" w14:textId="77777777" w:rsidR="00ED7C77" w:rsidRPr="007403A4" w:rsidRDefault="00ED7C77">
      <w:pPr>
        <w:tabs>
          <w:tab w:val="left" w:pos="540"/>
          <w:tab w:val="left" w:pos="569"/>
        </w:tabs>
        <w:ind w:right="28"/>
        <w:jc w:val="both"/>
        <w:rPr>
          <w:bCs/>
          <w:sz w:val="22"/>
          <w:szCs w:val="22"/>
          <w:lang w:val="sr-Latn-ME"/>
        </w:rPr>
      </w:pPr>
    </w:p>
    <w:p w14:paraId="4B70AF38"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Oštećenje funkcije jetre</w:t>
      </w:r>
    </w:p>
    <w:p w14:paraId="3CFEDE25" w14:textId="3BBCEE14"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Kod pacijenata sa oštećenjem funkcije jetre </w:t>
      </w:r>
      <w:r w:rsidR="00741222" w:rsidRPr="007403A4">
        <w:rPr>
          <w:bCs/>
          <w:sz w:val="22"/>
          <w:szCs w:val="22"/>
          <w:lang w:val="sr-Latn-ME"/>
        </w:rPr>
        <w:t>nijesu</w:t>
      </w:r>
      <w:r w:rsidRPr="007403A4">
        <w:rPr>
          <w:bCs/>
          <w:sz w:val="22"/>
          <w:szCs w:val="22"/>
          <w:lang w:val="sr-Latn-ME"/>
        </w:rPr>
        <w:t xml:space="preserve"> sprovedena formalna farmakokinetička ispitivanja.</w:t>
      </w:r>
    </w:p>
    <w:p w14:paraId="189D1360" w14:textId="77777777" w:rsidR="00ED7C77" w:rsidRPr="007403A4" w:rsidRDefault="00ED7C77">
      <w:pPr>
        <w:tabs>
          <w:tab w:val="left" w:pos="540"/>
          <w:tab w:val="left" w:pos="569"/>
        </w:tabs>
        <w:ind w:right="28"/>
        <w:jc w:val="both"/>
        <w:rPr>
          <w:bCs/>
          <w:sz w:val="22"/>
          <w:szCs w:val="22"/>
          <w:lang w:val="sr-Latn-ME"/>
        </w:rPr>
      </w:pPr>
    </w:p>
    <w:p w14:paraId="5CFD0CDC"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5.3. </w:t>
      </w:r>
      <w:r w:rsidR="00480FB1" w:rsidRPr="007403A4">
        <w:rPr>
          <w:b/>
          <w:bCs/>
          <w:sz w:val="22"/>
          <w:szCs w:val="22"/>
          <w:lang w:val="sr-Latn-ME"/>
        </w:rPr>
        <w:tab/>
      </w:r>
      <w:r w:rsidRPr="007403A4">
        <w:rPr>
          <w:b/>
          <w:bCs/>
          <w:sz w:val="22"/>
          <w:szCs w:val="22"/>
          <w:lang w:val="sr-Latn-ME"/>
        </w:rPr>
        <w:t xml:space="preserve">Pretklinički podaci o bezbjednosti </w:t>
      </w:r>
    </w:p>
    <w:p w14:paraId="72E33C98" w14:textId="77777777" w:rsidR="00836B35" w:rsidRPr="007403A4" w:rsidRDefault="00836B35">
      <w:pPr>
        <w:tabs>
          <w:tab w:val="left" w:pos="540"/>
          <w:tab w:val="left" w:pos="569"/>
        </w:tabs>
        <w:ind w:right="28"/>
        <w:jc w:val="both"/>
        <w:rPr>
          <w:bCs/>
          <w:sz w:val="22"/>
          <w:szCs w:val="22"/>
          <w:lang w:val="sr-Latn-ME"/>
        </w:rPr>
      </w:pPr>
    </w:p>
    <w:p w14:paraId="129889E9" w14:textId="5A065626" w:rsidR="00ED7C77" w:rsidRPr="007403A4" w:rsidRDefault="00741222">
      <w:pPr>
        <w:spacing w:before="1" w:line="254" w:lineRule="exact"/>
        <w:ind w:right="28"/>
        <w:jc w:val="both"/>
        <w:rPr>
          <w:sz w:val="22"/>
          <w:szCs w:val="22"/>
          <w:lang w:val="sr-Latn-ME"/>
        </w:rPr>
      </w:pPr>
      <w:r w:rsidRPr="007403A4">
        <w:rPr>
          <w:sz w:val="22"/>
          <w:szCs w:val="22"/>
          <w:lang w:val="sr-Latn-ME"/>
        </w:rPr>
        <w:t>Nijesu</w:t>
      </w:r>
      <w:r w:rsidR="00ED7C77" w:rsidRPr="007403A4">
        <w:rPr>
          <w:sz w:val="22"/>
          <w:szCs w:val="22"/>
          <w:lang w:val="sr-Latn-ME"/>
        </w:rPr>
        <w:t xml:space="preserve"> sprovedene studije pomoću kojih bi se utvrdio kancerogeni potencijal obinutuzumaba.</w:t>
      </w:r>
    </w:p>
    <w:p w14:paraId="00EF5856" w14:textId="77777777" w:rsidR="00ED7C77" w:rsidRPr="007403A4" w:rsidRDefault="00ED7C77">
      <w:pPr>
        <w:spacing w:before="1" w:line="254" w:lineRule="exact"/>
        <w:ind w:right="28"/>
        <w:jc w:val="both"/>
        <w:rPr>
          <w:sz w:val="22"/>
          <w:szCs w:val="22"/>
          <w:lang w:val="sr-Latn-ME"/>
        </w:rPr>
      </w:pPr>
    </w:p>
    <w:p w14:paraId="791C808E" w14:textId="4023C453" w:rsidR="00ED7C77" w:rsidRPr="007403A4" w:rsidRDefault="00741222">
      <w:pPr>
        <w:spacing w:before="1" w:line="254" w:lineRule="exact"/>
        <w:ind w:right="28"/>
        <w:jc w:val="both"/>
        <w:rPr>
          <w:sz w:val="22"/>
          <w:szCs w:val="22"/>
          <w:lang w:val="sr-Latn-ME"/>
        </w:rPr>
      </w:pPr>
      <w:r w:rsidRPr="007403A4">
        <w:rPr>
          <w:sz w:val="22"/>
          <w:szCs w:val="22"/>
          <w:lang w:val="sr-Latn-ME"/>
        </w:rPr>
        <w:t>Nijesu</w:t>
      </w:r>
      <w:r w:rsidR="00ED7C77" w:rsidRPr="007403A4">
        <w:rPr>
          <w:sz w:val="22"/>
          <w:szCs w:val="22"/>
          <w:lang w:val="sr-Latn-ME"/>
        </w:rPr>
        <w:t xml:space="preserve"> sprovedene posebne studije na životinjama pomoću kojih bi se ocijenio uticaj obinutuzumaba na plodnost. U studijama toksičnosti ponovljenih doza na makaki majmunima obinutuzumab nije štetno uticao na reproduktivne organe mužjaka ni ženki.</w:t>
      </w:r>
    </w:p>
    <w:p w14:paraId="557CB2F5" w14:textId="77777777" w:rsidR="00ED7C77" w:rsidRPr="007403A4" w:rsidRDefault="00ED7C77">
      <w:pPr>
        <w:spacing w:before="1" w:line="254" w:lineRule="exact"/>
        <w:ind w:right="28"/>
        <w:jc w:val="both"/>
        <w:rPr>
          <w:sz w:val="22"/>
          <w:szCs w:val="22"/>
          <w:lang w:val="sr-Latn-ME"/>
        </w:rPr>
      </w:pPr>
    </w:p>
    <w:p w14:paraId="2BEA519F" w14:textId="33605230" w:rsidR="00ED7C77" w:rsidRPr="007403A4" w:rsidRDefault="00ED7C77">
      <w:pPr>
        <w:spacing w:before="1" w:line="254" w:lineRule="exact"/>
        <w:ind w:right="28"/>
        <w:jc w:val="both"/>
        <w:rPr>
          <w:sz w:val="22"/>
          <w:szCs w:val="22"/>
          <w:lang w:val="sr-Latn-ME"/>
        </w:rPr>
      </w:pPr>
      <w:r w:rsidRPr="007403A4">
        <w:rPr>
          <w:sz w:val="22"/>
          <w:szCs w:val="22"/>
          <w:lang w:val="sr-Latn-ME"/>
        </w:rPr>
        <w:t>Proširena studija toksičnih dejstava na prenatalni i postnatalni razvoj kod skotnih ženki makaki majmuna nije ukazala na teratogene efekte. Međutim, primjena obinutuzumaba jedanput nedjeljno od 20. dana nakon parenja do okota dovela je do potpune deplecije B ćelija kod mladunčadi majmuna kada je obinutuzumab primjenjivan u nedjeljnim intravenskim dozama od 25 i 50 mg/kg (izloženost 2-5 puta veća od kliničke izloženosti na osnovu C</w:t>
      </w:r>
      <w:r w:rsidRPr="007403A4">
        <w:rPr>
          <w:sz w:val="22"/>
          <w:szCs w:val="22"/>
          <w:vertAlign w:val="subscript"/>
          <w:lang w:val="sr-Latn-ME"/>
        </w:rPr>
        <w:t>max</w:t>
      </w:r>
      <w:r w:rsidRPr="007403A4">
        <w:rPr>
          <w:sz w:val="22"/>
          <w:szCs w:val="22"/>
          <w:lang w:val="sr-Latn-ME"/>
        </w:rPr>
        <w:t xml:space="preserve"> i AUC). Izloženost mladunčadi 28 dana nakon okota pokazuje da obinutuzumab može proći kroz krvno</w:t>
      </w:r>
      <w:r w:rsidRPr="007403A4">
        <w:rPr>
          <w:sz w:val="22"/>
          <w:szCs w:val="22"/>
          <w:lang w:val="sr-Latn-ME"/>
        </w:rPr>
        <w:noBreakHyphen/>
        <w:t xml:space="preserve">placentarnu barijeru. Koncentracije u serumu mladunčadi 28 dana nakon okota bile su u okviru raspona koncentracija </w:t>
      </w:r>
      <w:r w:rsidR="00A13B2C" w:rsidRPr="007403A4">
        <w:rPr>
          <w:sz w:val="22"/>
          <w:szCs w:val="22"/>
          <w:lang w:val="sr-Latn-ME"/>
        </w:rPr>
        <w:t>izmjerenih</w:t>
      </w:r>
      <w:r w:rsidRPr="007403A4">
        <w:rPr>
          <w:sz w:val="22"/>
          <w:szCs w:val="22"/>
          <w:lang w:val="sr-Latn-ME"/>
        </w:rPr>
        <w:t xml:space="preserve"> u serumu majke, dok su istog dana koncentracije u mlijeku bile jako niske (manje od 0,5% odgovarajućih nivoa u serumu majke), što ukazuje na to da je do izloženosti mladunčadi moralo doći </w:t>
      </w:r>
      <w:r w:rsidRPr="007403A4">
        <w:rPr>
          <w:i/>
          <w:sz w:val="22"/>
          <w:szCs w:val="22"/>
          <w:lang w:val="sr-Latn-ME"/>
        </w:rPr>
        <w:t>in utero</w:t>
      </w:r>
      <w:r w:rsidRPr="007403A4">
        <w:rPr>
          <w:sz w:val="22"/>
          <w:szCs w:val="22"/>
          <w:lang w:val="sr-Latn-ME"/>
        </w:rPr>
        <w:t xml:space="preserve">. Kod mladunčadi se broj B ćelija normalizovao, a imunološka funkcija ponovno uspostavila u roku od 6 mjeseci nakon okota. </w:t>
      </w:r>
    </w:p>
    <w:p w14:paraId="574A1AD3" w14:textId="77777777" w:rsidR="00ED7C77" w:rsidRPr="007403A4" w:rsidRDefault="00ED7C77">
      <w:pPr>
        <w:spacing w:before="1" w:line="254" w:lineRule="exact"/>
        <w:ind w:right="28"/>
        <w:jc w:val="both"/>
        <w:rPr>
          <w:sz w:val="22"/>
          <w:szCs w:val="22"/>
          <w:lang w:val="sr-Latn-ME"/>
        </w:rPr>
      </w:pPr>
    </w:p>
    <w:p w14:paraId="50F3F73A" w14:textId="0C319636" w:rsidR="00ED7C77" w:rsidRPr="007403A4" w:rsidRDefault="00ED7C77">
      <w:pPr>
        <w:tabs>
          <w:tab w:val="left" w:pos="540"/>
          <w:tab w:val="left" w:pos="569"/>
        </w:tabs>
        <w:ind w:right="28"/>
        <w:jc w:val="both"/>
        <w:rPr>
          <w:bCs/>
          <w:sz w:val="22"/>
          <w:szCs w:val="22"/>
          <w:lang w:val="sr-Latn-ME"/>
        </w:rPr>
      </w:pPr>
      <w:r w:rsidRPr="007403A4">
        <w:rPr>
          <w:sz w:val="22"/>
          <w:szCs w:val="22"/>
          <w:lang w:val="sr-Latn-ME"/>
        </w:rPr>
        <w:t>U 26</w:t>
      </w:r>
      <w:r w:rsidRPr="007403A4">
        <w:rPr>
          <w:sz w:val="22"/>
          <w:szCs w:val="22"/>
          <w:lang w:val="sr-Latn-ME"/>
        </w:rPr>
        <w:noBreakHyphen/>
        <w:t>nedjeljnoj studiji na makaki majmunima primijećene su reakcije preosjetljivosti, koje su pripisane prepoznavanju humaniz</w:t>
      </w:r>
      <w:r w:rsidR="00A13B2C" w:rsidRPr="007403A4">
        <w:rPr>
          <w:sz w:val="22"/>
          <w:szCs w:val="22"/>
          <w:lang w:val="sr-Latn-ME"/>
        </w:rPr>
        <w:t>ov</w:t>
      </w:r>
      <w:r w:rsidRPr="007403A4">
        <w:rPr>
          <w:sz w:val="22"/>
          <w:szCs w:val="22"/>
          <w:lang w:val="sr-Latn-ME"/>
        </w:rPr>
        <w:t>anog antitijela kao stranog tijela u organizmu makaki majmuna (izloženost 0,7-6 puta veća od kliničke izloženosti na osnovu C</w:t>
      </w:r>
      <w:r w:rsidRPr="007403A4">
        <w:rPr>
          <w:sz w:val="22"/>
          <w:szCs w:val="22"/>
          <w:vertAlign w:val="subscript"/>
          <w:lang w:val="sr-Latn-ME"/>
        </w:rPr>
        <w:t>max</w:t>
      </w:r>
      <w:r w:rsidRPr="007403A4">
        <w:rPr>
          <w:sz w:val="22"/>
          <w:szCs w:val="22"/>
          <w:lang w:val="sr-Latn-ME"/>
        </w:rPr>
        <w:t xml:space="preserve"> i AUC u stanju dinamičke ravnoteže nakon primjene nedjeljnih doza od 5, 25 i 50 mg/kg). Nalazi su uključivali akutne anafilaktičke ili anafilaktoidne reakcije kao i povećanu prevalencu sistemske upale i infiltrata, što odgovara reakcijama preosjetljivosti posredovanima imunološkim kompleksima, poput arteritisa/periarteritisa, glomerulonefritisa te upale seroznih ovojnica/adventicije. Te su reakcije tokom perioda doziranja i oporavka dovele do neplaniranog usmrćivanja 6/36 životinja kojima je primjenjivan obinutuzumab; pomenute promjene bile su djelomično reverzibilne. Kod ljudi nije primijećena toksičnost za bubrege koja bi bila posljedica primjene obinutuzumaba.</w:t>
      </w:r>
    </w:p>
    <w:p w14:paraId="3A605F76" w14:textId="52B7BF49" w:rsidR="00396DFD" w:rsidRDefault="00396DFD">
      <w:pPr>
        <w:tabs>
          <w:tab w:val="left" w:pos="540"/>
          <w:tab w:val="left" w:pos="569"/>
        </w:tabs>
        <w:ind w:right="28"/>
        <w:jc w:val="both"/>
        <w:rPr>
          <w:b/>
          <w:bCs/>
          <w:sz w:val="22"/>
          <w:szCs w:val="22"/>
          <w:lang w:val="sr-Latn-ME"/>
        </w:rPr>
      </w:pPr>
    </w:p>
    <w:p w14:paraId="6E323047" w14:textId="77777777" w:rsidR="007403A4" w:rsidRPr="007403A4" w:rsidRDefault="007403A4">
      <w:pPr>
        <w:tabs>
          <w:tab w:val="left" w:pos="540"/>
          <w:tab w:val="left" w:pos="569"/>
        </w:tabs>
        <w:ind w:right="28"/>
        <w:jc w:val="both"/>
        <w:rPr>
          <w:b/>
          <w:bCs/>
          <w:sz w:val="22"/>
          <w:szCs w:val="22"/>
          <w:lang w:val="sr-Latn-ME"/>
        </w:rPr>
      </w:pPr>
    </w:p>
    <w:p w14:paraId="1E3B0138"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 </w:t>
      </w:r>
      <w:r w:rsidR="00480FB1" w:rsidRPr="007403A4">
        <w:rPr>
          <w:b/>
          <w:bCs/>
          <w:sz w:val="22"/>
          <w:szCs w:val="22"/>
          <w:lang w:val="sr-Latn-ME"/>
        </w:rPr>
        <w:tab/>
      </w:r>
      <w:r w:rsidRPr="007403A4">
        <w:rPr>
          <w:b/>
          <w:bCs/>
          <w:sz w:val="22"/>
          <w:szCs w:val="22"/>
          <w:lang w:val="sr-Latn-ME"/>
        </w:rPr>
        <w:t>FARMACEUTSKI PODACI</w:t>
      </w:r>
    </w:p>
    <w:p w14:paraId="58AA8288" w14:textId="77777777" w:rsidR="00836B35" w:rsidRPr="007403A4" w:rsidRDefault="00836B35">
      <w:pPr>
        <w:tabs>
          <w:tab w:val="left" w:pos="540"/>
          <w:tab w:val="left" w:pos="569"/>
        </w:tabs>
        <w:ind w:right="28"/>
        <w:jc w:val="both"/>
        <w:rPr>
          <w:bCs/>
          <w:sz w:val="22"/>
          <w:szCs w:val="22"/>
          <w:lang w:val="sr-Latn-ME"/>
        </w:rPr>
      </w:pPr>
    </w:p>
    <w:p w14:paraId="205E764C"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6.1. </w:t>
      </w:r>
      <w:r w:rsidR="00480FB1" w:rsidRPr="007403A4">
        <w:rPr>
          <w:b/>
          <w:bCs/>
          <w:sz w:val="22"/>
          <w:szCs w:val="22"/>
          <w:lang w:val="sr-Latn-ME"/>
        </w:rPr>
        <w:tab/>
      </w:r>
      <w:r w:rsidRPr="007403A4">
        <w:rPr>
          <w:b/>
          <w:bCs/>
          <w:sz w:val="22"/>
          <w:szCs w:val="22"/>
          <w:lang w:val="sr-Latn-ME"/>
        </w:rPr>
        <w:t>Lista pomoćnih supstanci</w:t>
      </w:r>
      <w:r w:rsidR="002E0135" w:rsidRPr="007403A4">
        <w:rPr>
          <w:b/>
          <w:bCs/>
          <w:sz w:val="22"/>
          <w:szCs w:val="22"/>
          <w:lang w:val="sr-Latn-ME"/>
        </w:rPr>
        <w:t xml:space="preserve"> (ekscipijenasa)</w:t>
      </w:r>
    </w:p>
    <w:p w14:paraId="62ED01BF" w14:textId="77777777" w:rsidR="00ED7C77" w:rsidRPr="007403A4" w:rsidRDefault="00ED7C77">
      <w:pPr>
        <w:tabs>
          <w:tab w:val="left" w:pos="540"/>
          <w:tab w:val="left" w:pos="569"/>
        </w:tabs>
        <w:ind w:right="28"/>
        <w:jc w:val="both"/>
        <w:rPr>
          <w:b/>
          <w:bCs/>
          <w:sz w:val="22"/>
          <w:szCs w:val="22"/>
          <w:lang w:val="sr-Latn-ME"/>
        </w:rPr>
      </w:pPr>
    </w:p>
    <w:p w14:paraId="3968E8CF" w14:textId="655C4066" w:rsidR="00ED7C77" w:rsidRPr="007403A4" w:rsidRDefault="000C5E7B">
      <w:pPr>
        <w:widowControl w:val="0"/>
        <w:spacing w:before="1" w:line="254" w:lineRule="exact"/>
        <w:ind w:right="28"/>
        <w:jc w:val="both"/>
        <w:rPr>
          <w:sz w:val="22"/>
          <w:szCs w:val="22"/>
          <w:lang w:val="sr-Latn-ME"/>
        </w:rPr>
      </w:pPr>
      <w:r w:rsidRPr="007403A4">
        <w:rPr>
          <w:sz w:val="22"/>
          <w:szCs w:val="22"/>
          <w:lang w:val="sr-Latn-ME"/>
        </w:rPr>
        <w:t>histidin</w:t>
      </w:r>
    </w:p>
    <w:p w14:paraId="08B820AC" w14:textId="1F1F7E65" w:rsidR="00ED7C77" w:rsidRPr="007403A4" w:rsidRDefault="000C5E7B">
      <w:pPr>
        <w:widowControl w:val="0"/>
        <w:spacing w:before="1" w:line="254" w:lineRule="exact"/>
        <w:ind w:right="28"/>
        <w:jc w:val="both"/>
        <w:rPr>
          <w:sz w:val="22"/>
          <w:szCs w:val="22"/>
          <w:lang w:val="sr-Latn-ME"/>
        </w:rPr>
      </w:pPr>
      <w:r w:rsidRPr="007403A4">
        <w:rPr>
          <w:sz w:val="22"/>
          <w:szCs w:val="22"/>
          <w:lang w:val="sr-Latn-ME"/>
        </w:rPr>
        <w:t xml:space="preserve">histidin </w:t>
      </w:r>
      <w:r w:rsidR="00ED7C77" w:rsidRPr="007403A4">
        <w:rPr>
          <w:sz w:val="22"/>
          <w:szCs w:val="22"/>
          <w:lang w:val="sr-Latn-ME"/>
        </w:rPr>
        <w:t>hidrohlorid monohidrat</w:t>
      </w:r>
    </w:p>
    <w:p w14:paraId="1ACA274D"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trehaloza dihidrat</w:t>
      </w:r>
    </w:p>
    <w:p w14:paraId="58526D05"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poloksamer 188</w:t>
      </w:r>
    </w:p>
    <w:p w14:paraId="6D2D2D8F" w14:textId="77777777" w:rsidR="00ED7C77" w:rsidRPr="007403A4" w:rsidRDefault="00ED7C77">
      <w:pPr>
        <w:widowControl w:val="0"/>
        <w:spacing w:before="1" w:line="254" w:lineRule="exact"/>
        <w:ind w:right="28"/>
        <w:jc w:val="both"/>
        <w:rPr>
          <w:sz w:val="22"/>
          <w:szCs w:val="22"/>
          <w:lang w:val="sr-Latn-ME"/>
        </w:rPr>
      </w:pPr>
      <w:r w:rsidRPr="007403A4">
        <w:rPr>
          <w:sz w:val="22"/>
          <w:szCs w:val="22"/>
          <w:lang w:val="sr-Latn-ME"/>
        </w:rPr>
        <w:t>voda za injekcije</w:t>
      </w:r>
    </w:p>
    <w:p w14:paraId="7939B17E" w14:textId="77777777" w:rsidR="0072020E" w:rsidRPr="007403A4" w:rsidRDefault="0072020E">
      <w:pPr>
        <w:tabs>
          <w:tab w:val="left" w:pos="540"/>
          <w:tab w:val="left" w:pos="569"/>
        </w:tabs>
        <w:ind w:right="28"/>
        <w:jc w:val="both"/>
        <w:rPr>
          <w:bCs/>
          <w:sz w:val="22"/>
          <w:szCs w:val="22"/>
          <w:lang w:val="sr-Latn-ME"/>
        </w:rPr>
      </w:pPr>
    </w:p>
    <w:p w14:paraId="355B3A5E"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6.2. </w:t>
      </w:r>
      <w:r w:rsidR="00480FB1" w:rsidRPr="007403A4">
        <w:rPr>
          <w:b/>
          <w:bCs/>
          <w:sz w:val="22"/>
          <w:szCs w:val="22"/>
          <w:lang w:val="sr-Latn-ME"/>
        </w:rPr>
        <w:tab/>
      </w:r>
      <w:r w:rsidRPr="007403A4">
        <w:rPr>
          <w:b/>
          <w:bCs/>
          <w:sz w:val="22"/>
          <w:szCs w:val="22"/>
          <w:lang w:val="sr-Latn-ME"/>
        </w:rPr>
        <w:t>Inkompatibilnost</w:t>
      </w:r>
      <w:r w:rsidR="002846DB" w:rsidRPr="007403A4">
        <w:rPr>
          <w:b/>
          <w:bCs/>
          <w:sz w:val="22"/>
          <w:szCs w:val="22"/>
          <w:lang w:val="sr-Latn-ME"/>
        </w:rPr>
        <w:t>i</w:t>
      </w:r>
    </w:p>
    <w:p w14:paraId="07DAEAEA" w14:textId="77777777" w:rsidR="0072020E" w:rsidRPr="007403A4" w:rsidRDefault="0072020E">
      <w:pPr>
        <w:tabs>
          <w:tab w:val="left" w:pos="540"/>
          <w:tab w:val="left" w:pos="569"/>
        </w:tabs>
        <w:ind w:right="28"/>
        <w:jc w:val="both"/>
        <w:rPr>
          <w:bCs/>
          <w:sz w:val="22"/>
          <w:szCs w:val="22"/>
          <w:lang w:val="sr-Latn-ME"/>
        </w:rPr>
      </w:pPr>
    </w:p>
    <w:p w14:paraId="7472C069" w14:textId="38F8CA4E"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Lijek se ne smije miješati sa drugim ljekovima</w:t>
      </w:r>
      <w:r w:rsidR="000C5E7B" w:rsidRPr="007403A4">
        <w:rPr>
          <w:bCs/>
          <w:sz w:val="22"/>
          <w:szCs w:val="22"/>
          <w:lang w:val="sr-Latn-ME"/>
        </w:rPr>
        <w:t>,</w:t>
      </w:r>
      <w:r w:rsidRPr="007403A4">
        <w:rPr>
          <w:bCs/>
          <w:sz w:val="22"/>
          <w:szCs w:val="22"/>
          <w:lang w:val="sr-Latn-ME"/>
        </w:rPr>
        <w:t xml:space="preserve"> osim onih navedenih u dijelu 6.6.</w:t>
      </w:r>
    </w:p>
    <w:p w14:paraId="714C7F31" w14:textId="77777777" w:rsidR="00ED7C77" w:rsidRPr="007403A4" w:rsidRDefault="00ED7C77">
      <w:pPr>
        <w:tabs>
          <w:tab w:val="left" w:pos="540"/>
          <w:tab w:val="left" w:pos="569"/>
        </w:tabs>
        <w:ind w:right="28"/>
        <w:jc w:val="both"/>
        <w:rPr>
          <w:bCs/>
          <w:sz w:val="22"/>
          <w:szCs w:val="22"/>
          <w:lang w:val="sr-Latn-ME"/>
        </w:rPr>
      </w:pPr>
    </w:p>
    <w:p w14:paraId="1EB86F2B"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6.3.</w:t>
      </w:r>
      <w:r w:rsidR="00C05DF8" w:rsidRPr="007403A4">
        <w:rPr>
          <w:b/>
          <w:bCs/>
          <w:sz w:val="22"/>
          <w:szCs w:val="22"/>
          <w:lang w:val="sr-Latn-ME"/>
        </w:rPr>
        <w:t xml:space="preserve"> </w:t>
      </w:r>
      <w:r w:rsidR="00480FB1" w:rsidRPr="007403A4">
        <w:rPr>
          <w:b/>
          <w:bCs/>
          <w:sz w:val="22"/>
          <w:szCs w:val="22"/>
          <w:lang w:val="sr-Latn-ME"/>
        </w:rPr>
        <w:tab/>
      </w:r>
      <w:r w:rsidRPr="007403A4">
        <w:rPr>
          <w:b/>
          <w:bCs/>
          <w:sz w:val="22"/>
          <w:szCs w:val="22"/>
          <w:lang w:val="sr-Latn-ME"/>
        </w:rPr>
        <w:t>Rok upotrebe</w:t>
      </w:r>
    </w:p>
    <w:p w14:paraId="248D7B8C" w14:textId="77777777" w:rsidR="0072020E" w:rsidRPr="007403A4" w:rsidRDefault="0072020E">
      <w:pPr>
        <w:tabs>
          <w:tab w:val="left" w:pos="540"/>
          <w:tab w:val="left" w:pos="569"/>
        </w:tabs>
        <w:ind w:right="28"/>
        <w:jc w:val="both"/>
        <w:rPr>
          <w:bCs/>
          <w:sz w:val="22"/>
          <w:szCs w:val="22"/>
          <w:lang w:val="sr-Latn-ME"/>
        </w:rPr>
      </w:pPr>
    </w:p>
    <w:p w14:paraId="62C962CE" w14:textId="7777777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Neotvorena bočica</w:t>
      </w:r>
    </w:p>
    <w:p w14:paraId="62E05479"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3 godine. </w:t>
      </w:r>
    </w:p>
    <w:p w14:paraId="5315856A" w14:textId="77777777" w:rsidR="00ED7C77" w:rsidRPr="007403A4" w:rsidRDefault="00ED7C77">
      <w:pPr>
        <w:tabs>
          <w:tab w:val="left" w:pos="540"/>
          <w:tab w:val="left" w:pos="569"/>
        </w:tabs>
        <w:ind w:right="28"/>
        <w:jc w:val="both"/>
        <w:rPr>
          <w:bCs/>
          <w:sz w:val="22"/>
          <w:szCs w:val="22"/>
          <w:lang w:val="sr-Latn-ME"/>
        </w:rPr>
      </w:pPr>
    </w:p>
    <w:p w14:paraId="7BAC1D14" w14:textId="1640AD67" w:rsidR="00ED7C77" w:rsidRPr="007403A4" w:rsidRDefault="00ED7C77">
      <w:pPr>
        <w:tabs>
          <w:tab w:val="left" w:pos="540"/>
          <w:tab w:val="left" w:pos="569"/>
        </w:tabs>
        <w:ind w:right="28"/>
        <w:jc w:val="both"/>
        <w:rPr>
          <w:bCs/>
          <w:sz w:val="22"/>
          <w:szCs w:val="22"/>
          <w:u w:val="single"/>
          <w:lang w:val="sr-Latn-ME"/>
        </w:rPr>
      </w:pPr>
      <w:r w:rsidRPr="007403A4">
        <w:rPr>
          <w:bCs/>
          <w:sz w:val="22"/>
          <w:szCs w:val="22"/>
          <w:u w:val="single"/>
          <w:lang w:val="sr-Latn-ME"/>
        </w:rPr>
        <w:t xml:space="preserve">Nakon </w:t>
      </w:r>
      <w:r w:rsidR="000C5E7B" w:rsidRPr="007403A4">
        <w:rPr>
          <w:bCs/>
          <w:sz w:val="22"/>
          <w:szCs w:val="22"/>
          <w:u w:val="single"/>
          <w:lang w:val="sr-Latn-ME"/>
        </w:rPr>
        <w:t>razblaživanja</w:t>
      </w:r>
    </w:p>
    <w:p w14:paraId="14E485D9" w14:textId="4A49118C"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Nakon </w:t>
      </w:r>
      <w:r w:rsidR="000C5E7B" w:rsidRPr="007403A4">
        <w:rPr>
          <w:bCs/>
          <w:sz w:val="22"/>
          <w:szCs w:val="22"/>
          <w:lang w:val="sr-Latn-ME"/>
        </w:rPr>
        <w:t>razblaživanja</w:t>
      </w:r>
      <w:r w:rsidRPr="007403A4">
        <w:rPr>
          <w:bCs/>
          <w:sz w:val="22"/>
          <w:szCs w:val="22"/>
          <w:lang w:val="sr-Latn-ME"/>
        </w:rPr>
        <w:t xml:space="preserve">, dokazane su hemijska i fizička stabilnost u rastvoru za injekcije 9 mg/ml (0,9%) natrijum hlorida pri koncentracijama od 0,4 mg/ml do 20 mg/ml tokom 24 sata na temperaturi od </w:t>
      </w:r>
      <w:smartTag w:uri="urn:schemas-microsoft-com:office:smarttags" w:element="metricconverter">
        <w:smartTagPr>
          <w:attr w:name="ProductID" w:val="2ﾰC"/>
        </w:smartTagPr>
        <w:r w:rsidRPr="007403A4">
          <w:rPr>
            <w:bCs/>
            <w:sz w:val="22"/>
            <w:szCs w:val="22"/>
            <w:lang w:val="sr-Latn-ME"/>
          </w:rPr>
          <w:t>2°C</w:t>
        </w:r>
      </w:smartTag>
      <w:r w:rsidRPr="007403A4">
        <w:rPr>
          <w:bCs/>
          <w:sz w:val="22"/>
          <w:szCs w:val="22"/>
          <w:lang w:val="sr-Latn-ME"/>
        </w:rPr>
        <w:t xml:space="preserve"> do </w:t>
      </w:r>
      <w:smartTag w:uri="urn:schemas-microsoft-com:office:smarttags" w:element="metricconverter">
        <w:smartTagPr>
          <w:attr w:name="ProductID" w:val="8ﾰC"/>
        </w:smartTagPr>
        <w:r w:rsidRPr="007403A4">
          <w:rPr>
            <w:bCs/>
            <w:sz w:val="22"/>
            <w:szCs w:val="22"/>
            <w:lang w:val="sr-Latn-ME"/>
          </w:rPr>
          <w:t>8°C</w:t>
        </w:r>
      </w:smartTag>
      <w:r w:rsidRPr="007403A4">
        <w:rPr>
          <w:bCs/>
          <w:sz w:val="22"/>
          <w:szCs w:val="22"/>
          <w:lang w:val="sr-Latn-ME"/>
        </w:rPr>
        <w:t xml:space="preserve">, a nakon toga još 48 sati (uključujući vrijeme infuzije) na temperaturi ≤ 30°C.    </w:t>
      </w:r>
    </w:p>
    <w:p w14:paraId="1DEF99CB" w14:textId="77777777" w:rsidR="00ED7C77" w:rsidRPr="007403A4" w:rsidRDefault="00ED7C77">
      <w:pPr>
        <w:tabs>
          <w:tab w:val="left" w:pos="540"/>
          <w:tab w:val="left" w:pos="569"/>
        </w:tabs>
        <w:ind w:right="28"/>
        <w:jc w:val="both"/>
        <w:rPr>
          <w:bCs/>
          <w:sz w:val="22"/>
          <w:szCs w:val="22"/>
          <w:lang w:val="sr-Latn-ME"/>
        </w:rPr>
      </w:pPr>
    </w:p>
    <w:p w14:paraId="0BEBD0EC" w14:textId="614A99D2"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S</w:t>
      </w:r>
      <w:r w:rsidR="00824B13" w:rsidRPr="007403A4">
        <w:rPr>
          <w:bCs/>
          <w:sz w:val="22"/>
          <w:szCs w:val="22"/>
          <w:lang w:val="sr-Latn-ME"/>
        </w:rPr>
        <w:t>a</w:t>
      </w:r>
      <w:r w:rsidRPr="007403A4">
        <w:rPr>
          <w:bCs/>
          <w:sz w:val="22"/>
          <w:szCs w:val="22"/>
          <w:lang w:val="sr-Latn-ME"/>
        </w:rPr>
        <w:t xml:space="preserve"> mikrobiološkog stanovišta, pripremljen</w:t>
      </w:r>
      <w:r w:rsidR="00824B13" w:rsidRPr="007403A4">
        <w:rPr>
          <w:bCs/>
          <w:sz w:val="22"/>
          <w:szCs w:val="22"/>
          <w:lang w:val="sr-Latn-ME"/>
        </w:rPr>
        <w:t>i</w:t>
      </w:r>
      <w:r w:rsidRPr="007403A4">
        <w:rPr>
          <w:bCs/>
          <w:sz w:val="22"/>
          <w:szCs w:val="22"/>
          <w:lang w:val="sr-Latn-ME"/>
        </w:rPr>
        <w:t xml:space="preserve"> rastvor za infuziju mora </w:t>
      </w:r>
      <w:r w:rsidR="00824B13" w:rsidRPr="007403A4">
        <w:rPr>
          <w:bCs/>
          <w:sz w:val="22"/>
          <w:szCs w:val="22"/>
          <w:lang w:val="sr-Latn-ME"/>
        </w:rPr>
        <w:t xml:space="preserve">biti primijenjen </w:t>
      </w:r>
      <w:r w:rsidRPr="007403A4">
        <w:rPr>
          <w:bCs/>
          <w:sz w:val="22"/>
          <w:szCs w:val="22"/>
          <w:lang w:val="sr-Latn-ME"/>
        </w:rPr>
        <w:t>odmah. Ako se ne primijeni odmah, trajanje i uslovi čuvanja do primjene lijeka odgovornost su korisnika. Pripremljeni lijek se ne bi smio čuvati duže od 24 sata na temperaturi od 2°C</w:t>
      </w:r>
      <w:r w:rsidR="00824B13" w:rsidRPr="007403A4">
        <w:rPr>
          <w:bCs/>
          <w:sz w:val="22"/>
          <w:szCs w:val="22"/>
          <w:lang w:val="sr-Latn-ME"/>
        </w:rPr>
        <w:t xml:space="preserve"> </w:t>
      </w:r>
      <w:r w:rsidRPr="007403A4">
        <w:rPr>
          <w:bCs/>
          <w:sz w:val="22"/>
          <w:szCs w:val="22"/>
          <w:lang w:val="sr-Latn-ME"/>
        </w:rPr>
        <w:noBreakHyphen/>
      </w:r>
      <w:r w:rsidR="00824B13" w:rsidRPr="007403A4">
        <w:rPr>
          <w:bCs/>
          <w:sz w:val="22"/>
          <w:szCs w:val="22"/>
          <w:lang w:val="sr-Latn-ME"/>
        </w:rPr>
        <w:t xml:space="preserve"> </w:t>
      </w:r>
      <w:r w:rsidRPr="007403A4">
        <w:rPr>
          <w:bCs/>
          <w:sz w:val="22"/>
          <w:szCs w:val="22"/>
          <w:lang w:val="sr-Latn-ME"/>
        </w:rPr>
        <w:t xml:space="preserve">8°C, osim ako je </w:t>
      </w:r>
      <w:r w:rsidR="00824B13" w:rsidRPr="007403A4">
        <w:rPr>
          <w:bCs/>
          <w:sz w:val="22"/>
          <w:szCs w:val="22"/>
          <w:lang w:val="sr-Latn-ME"/>
        </w:rPr>
        <w:t xml:space="preserve">razblaživanje </w:t>
      </w:r>
      <w:r w:rsidRPr="007403A4">
        <w:rPr>
          <w:bCs/>
          <w:sz w:val="22"/>
          <w:szCs w:val="22"/>
          <w:lang w:val="sr-Latn-ME"/>
        </w:rPr>
        <w:t>sprovedeno u kontrolisanim i validiranim aseptičnim uslovima.</w:t>
      </w:r>
    </w:p>
    <w:p w14:paraId="70BAAED8" w14:textId="77777777" w:rsidR="00ED7C77" w:rsidRPr="007403A4" w:rsidRDefault="00ED7C77">
      <w:pPr>
        <w:tabs>
          <w:tab w:val="left" w:pos="540"/>
          <w:tab w:val="left" w:pos="569"/>
        </w:tabs>
        <w:ind w:right="28"/>
        <w:jc w:val="both"/>
        <w:rPr>
          <w:bCs/>
          <w:sz w:val="22"/>
          <w:szCs w:val="22"/>
          <w:lang w:val="sr-Latn-ME"/>
        </w:rPr>
      </w:pPr>
    </w:p>
    <w:p w14:paraId="44D28EC0"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6.4. </w:t>
      </w:r>
      <w:r w:rsidR="00480FB1" w:rsidRPr="007403A4">
        <w:rPr>
          <w:b/>
          <w:bCs/>
          <w:sz w:val="22"/>
          <w:szCs w:val="22"/>
          <w:lang w:val="sr-Latn-ME"/>
        </w:rPr>
        <w:tab/>
      </w:r>
      <w:r w:rsidRPr="007403A4">
        <w:rPr>
          <w:b/>
          <w:bCs/>
          <w:sz w:val="22"/>
          <w:szCs w:val="22"/>
          <w:lang w:val="sr-Latn-ME"/>
        </w:rPr>
        <w:t>Posebne mjere upozorenja pri čuvanju</w:t>
      </w:r>
      <w:r w:rsidR="00F8570A" w:rsidRPr="007403A4">
        <w:rPr>
          <w:b/>
          <w:bCs/>
          <w:sz w:val="22"/>
          <w:szCs w:val="22"/>
          <w:lang w:val="sr-Latn-ME"/>
        </w:rPr>
        <w:t xml:space="preserve"> lijeka</w:t>
      </w:r>
    </w:p>
    <w:p w14:paraId="5CBB465F" w14:textId="77777777" w:rsidR="00EC2532" w:rsidRPr="007403A4" w:rsidRDefault="00EC2532">
      <w:pPr>
        <w:tabs>
          <w:tab w:val="left" w:pos="540"/>
          <w:tab w:val="left" w:pos="569"/>
        </w:tabs>
        <w:ind w:right="28"/>
        <w:jc w:val="both"/>
        <w:rPr>
          <w:bCs/>
          <w:sz w:val="22"/>
          <w:szCs w:val="22"/>
          <w:lang w:val="sr-Latn-ME"/>
        </w:rPr>
      </w:pPr>
    </w:p>
    <w:p w14:paraId="17879690"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Čuvati u frižideru (2ºC – 8ºC).</w:t>
      </w:r>
    </w:p>
    <w:p w14:paraId="47A7C2F1"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Ne zamrzavati.</w:t>
      </w:r>
    </w:p>
    <w:p w14:paraId="09EE6CF9"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Bočicu čuvati u spoljašnjem pakovanju radi zaštite od svjetlosti.</w:t>
      </w:r>
    </w:p>
    <w:p w14:paraId="1AD742A2" w14:textId="05FBF91D"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Uslove čuvanja nakon </w:t>
      </w:r>
      <w:r w:rsidR="00A30407" w:rsidRPr="007403A4">
        <w:rPr>
          <w:bCs/>
          <w:sz w:val="22"/>
          <w:szCs w:val="22"/>
          <w:lang w:val="sr-Latn-ME"/>
        </w:rPr>
        <w:t xml:space="preserve">razblaživnja </w:t>
      </w:r>
      <w:r w:rsidRPr="007403A4">
        <w:rPr>
          <w:bCs/>
          <w:sz w:val="22"/>
          <w:szCs w:val="22"/>
          <w:lang w:val="sr-Latn-ME"/>
        </w:rPr>
        <w:t>lijeka vidjeti u dijelu 6.3.</w:t>
      </w:r>
    </w:p>
    <w:p w14:paraId="4F2400D7" w14:textId="77777777" w:rsidR="00ED7C77" w:rsidRPr="007403A4" w:rsidRDefault="00ED7C77">
      <w:pPr>
        <w:tabs>
          <w:tab w:val="left" w:pos="540"/>
          <w:tab w:val="left" w:pos="569"/>
        </w:tabs>
        <w:ind w:right="28"/>
        <w:jc w:val="both"/>
        <w:rPr>
          <w:bCs/>
          <w:sz w:val="22"/>
          <w:szCs w:val="22"/>
          <w:lang w:val="sr-Latn-ME"/>
        </w:rPr>
      </w:pPr>
    </w:p>
    <w:p w14:paraId="33411697" w14:textId="77777777" w:rsidR="0072020E"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6.5. </w:t>
      </w:r>
      <w:r w:rsidR="00480FB1" w:rsidRPr="007403A4">
        <w:rPr>
          <w:b/>
          <w:bCs/>
          <w:sz w:val="22"/>
          <w:szCs w:val="22"/>
          <w:lang w:val="sr-Latn-ME"/>
        </w:rPr>
        <w:tab/>
      </w:r>
      <w:r w:rsidR="002846DB" w:rsidRPr="007403A4">
        <w:rPr>
          <w:b/>
          <w:bCs/>
          <w:sz w:val="22"/>
          <w:szCs w:val="22"/>
          <w:lang w:val="sr-Latn-ME"/>
        </w:rPr>
        <w:t xml:space="preserve">Vrsta i sadržaj </w:t>
      </w:r>
      <w:r w:rsidR="00F8570A" w:rsidRPr="007403A4">
        <w:rPr>
          <w:b/>
          <w:bCs/>
          <w:sz w:val="22"/>
          <w:szCs w:val="22"/>
          <w:lang w:val="sr-Latn-ME"/>
        </w:rPr>
        <w:t>pakovanja</w:t>
      </w:r>
      <w:r w:rsidR="00C06864" w:rsidRPr="007403A4">
        <w:rPr>
          <w:b/>
          <w:bCs/>
          <w:sz w:val="22"/>
          <w:szCs w:val="22"/>
          <w:lang w:val="sr-Latn-ME"/>
        </w:rPr>
        <w:t xml:space="preserve"> </w:t>
      </w:r>
    </w:p>
    <w:p w14:paraId="630C7A91" w14:textId="77777777" w:rsidR="00ED7C77" w:rsidRPr="007403A4" w:rsidRDefault="00ED7C77">
      <w:pPr>
        <w:tabs>
          <w:tab w:val="left" w:pos="540"/>
          <w:tab w:val="left" w:pos="569"/>
        </w:tabs>
        <w:ind w:right="28"/>
        <w:jc w:val="both"/>
        <w:rPr>
          <w:b/>
          <w:bCs/>
          <w:sz w:val="22"/>
          <w:szCs w:val="22"/>
          <w:lang w:val="sr-Latn-ME"/>
        </w:rPr>
      </w:pPr>
    </w:p>
    <w:p w14:paraId="70C6F31A"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 xml:space="preserve">40 ml koncentrata u bočici od 50 ml (bezbojno staklo tipa I) sa čepom (butilna guma). </w:t>
      </w:r>
    </w:p>
    <w:p w14:paraId="1B6911E7" w14:textId="77777777" w:rsidR="00ED7C77" w:rsidRPr="007403A4" w:rsidRDefault="00ED7C77">
      <w:pPr>
        <w:tabs>
          <w:tab w:val="left" w:pos="540"/>
          <w:tab w:val="left" w:pos="569"/>
        </w:tabs>
        <w:ind w:right="28"/>
        <w:jc w:val="both"/>
        <w:rPr>
          <w:bCs/>
          <w:sz w:val="22"/>
          <w:szCs w:val="22"/>
          <w:lang w:val="sr-Latn-ME"/>
        </w:rPr>
      </w:pPr>
      <w:r w:rsidRPr="007403A4">
        <w:rPr>
          <w:bCs/>
          <w:sz w:val="22"/>
          <w:szCs w:val="22"/>
          <w:lang w:val="sr-Latn-ME"/>
        </w:rPr>
        <w:t>Veličina pakovanja: 1 bočica.</w:t>
      </w:r>
    </w:p>
    <w:p w14:paraId="28E07C4C" w14:textId="77777777" w:rsidR="0072020E" w:rsidRPr="007403A4" w:rsidRDefault="0072020E">
      <w:pPr>
        <w:tabs>
          <w:tab w:val="left" w:pos="540"/>
          <w:tab w:val="left" w:pos="569"/>
        </w:tabs>
        <w:ind w:right="28"/>
        <w:jc w:val="both"/>
        <w:rPr>
          <w:bCs/>
          <w:sz w:val="22"/>
          <w:szCs w:val="22"/>
          <w:lang w:val="sr-Latn-ME"/>
        </w:rPr>
      </w:pPr>
    </w:p>
    <w:p w14:paraId="470D3DFC" w14:textId="77777777" w:rsidR="002846DB" w:rsidRPr="007403A4" w:rsidRDefault="0072020E">
      <w:pPr>
        <w:tabs>
          <w:tab w:val="left" w:pos="540"/>
          <w:tab w:val="left" w:pos="569"/>
        </w:tabs>
        <w:ind w:right="28"/>
        <w:jc w:val="both"/>
        <w:rPr>
          <w:b/>
          <w:bCs/>
          <w:sz w:val="22"/>
          <w:szCs w:val="22"/>
          <w:lang w:val="sr-Latn-ME"/>
        </w:rPr>
      </w:pPr>
      <w:r w:rsidRPr="007403A4">
        <w:rPr>
          <w:b/>
          <w:bCs/>
          <w:sz w:val="22"/>
          <w:szCs w:val="22"/>
          <w:lang w:val="sr-Latn-ME"/>
        </w:rPr>
        <w:t xml:space="preserve">6.6. </w:t>
      </w:r>
      <w:r w:rsidR="00480FB1" w:rsidRPr="007403A4">
        <w:rPr>
          <w:b/>
          <w:bCs/>
          <w:sz w:val="22"/>
          <w:szCs w:val="22"/>
          <w:lang w:val="sr-Latn-ME"/>
        </w:rPr>
        <w:tab/>
      </w:r>
      <w:r w:rsidRPr="007403A4">
        <w:rPr>
          <w:b/>
          <w:bCs/>
          <w:color w:val="000000"/>
          <w:sz w:val="22"/>
          <w:szCs w:val="22"/>
          <w:lang w:val="sr-Latn-ME"/>
        </w:rPr>
        <w:t>Posebne mjere opreza pri odlaganju materijala koji treba odbaciti nakon primjene lijeka</w:t>
      </w:r>
      <w:r w:rsidRPr="007403A4">
        <w:rPr>
          <w:b/>
          <w:bCs/>
          <w:sz w:val="22"/>
          <w:szCs w:val="22"/>
          <w:lang w:val="sr-Latn-ME"/>
        </w:rPr>
        <w:t xml:space="preserve"> </w:t>
      </w:r>
      <w:r w:rsidR="00310F03" w:rsidRPr="007403A4">
        <w:rPr>
          <w:b/>
          <w:bCs/>
          <w:sz w:val="22"/>
          <w:szCs w:val="22"/>
          <w:lang w:val="sr-Latn-ME"/>
        </w:rPr>
        <w:t xml:space="preserve">(i druga uputsva za rukovanje lijekom) </w:t>
      </w:r>
    </w:p>
    <w:p w14:paraId="620FC63C" w14:textId="77777777" w:rsidR="00B66A70" w:rsidRPr="007403A4" w:rsidRDefault="00B66A70">
      <w:pPr>
        <w:tabs>
          <w:tab w:val="left" w:pos="540"/>
          <w:tab w:val="left" w:pos="569"/>
        </w:tabs>
        <w:ind w:right="28"/>
        <w:jc w:val="both"/>
        <w:rPr>
          <w:b/>
          <w:bCs/>
          <w:sz w:val="22"/>
          <w:szCs w:val="22"/>
          <w:lang w:val="sr-Latn-ME"/>
        </w:rPr>
      </w:pPr>
    </w:p>
    <w:p w14:paraId="1234D5E6" w14:textId="2E908FA0" w:rsidR="00ED7C77" w:rsidRPr="007403A4" w:rsidRDefault="00ED7C77">
      <w:pPr>
        <w:spacing w:before="1" w:line="254" w:lineRule="exact"/>
        <w:ind w:right="28"/>
        <w:jc w:val="both"/>
        <w:rPr>
          <w:sz w:val="22"/>
          <w:szCs w:val="22"/>
          <w:u w:val="single"/>
          <w:lang w:val="sr-Latn-ME"/>
        </w:rPr>
      </w:pPr>
      <w:r w:rsidRPr="007403A4">
        <w:rPr>
          <w:sz w:val="22"/>
          <w:szCs w:val="22"/>
          <w:u w:val="single"/>
          <w:lang w:val="sr-Latn-ME"/>
        </w:rPr>
        <w:t>Uputstvo za raz</w:t>
      </w:r>
      <w:r w:rsidR="00A13B2C" w:rsidRPr="007403A4">
        <w:rPr>
          <w:sz w:val="22"/>
          <w:szCs w:val="22"/>
          <w:u w:val="single"/>
          <w:lang w:val="sr-Latn-ME"/>
        </w:rPr>
        <w:t>blaživanje</w:t>
      </w:r>
    </w:p>
    <w:p w14:paraId="0FFE93D4" w14:textId="77777777" w:rsidR="00ED7C77" w:rsidRPr="007403A4" w:rsidRDefault="00ED7C77">
      <w:pPr>
        <w:spacing w:before="1" w:line="254" w:lineRule="exact"/>
        <w:ind w:right="28"/>
        <w:jc w:val="both"/>
        <w:rPr>
          <w:sz w:val="22"/>
          <w:szCs w:val="22"/>
          <w:u w:val="single"/>
          <w:lang w:val="sr-Latn-ME"/>
        </w:rPr>
      </w:pPr>
    </w:p>
    <w:p w14:paraId="3479D321" w14:textId="3937832C" w:rsidR="00ED7C77" w:rsidRPr="007403A4" w:rsidRDefault="007913A0">
      <w:pPr>
        <w:spacing w:before="1" w:line="254" w:lineRule="exact"/>
        <w:ind w:right="28"/>
        <w:jc w:val="both"/>
        <w:rPr>
          <w:sz w:val="22"/>
          <w:szCs w:val="22"/>
          <w:lang w:val="sr-Latn-ME"/>
        </w:rPr>
      </w:pPr>
      <w:r w:rsidRPr="007403A4">
        <w:rPr>
          <w:sz w:val="22"/>
          <w:szCs w:val="22"/>
          <w:lang w:val="sr-Latn-ME"/>
        </w:rPr>
        <w:t xml:space="preserve">Lijek </w:t>
      </w:r>
      <w:r w:rsidR="00ED7C77" w:rsidRPr="007403A4">
        <w:rPr>
          <w:sz w:val="22"/>
          <w:szCs w:val="22"/>
          <w:lang w:val="sr-Latn-ME"/>
        </w:rPr>
        <w:t>Gazyvaro mora da pripremi zdravstveni radnik primjenom aseptične tehnike. Nemojte tresti bočicu.</w:t>
      </w:r>
      <w:r w:rsidRPr="007403A4">
        <w:rPr>
          <w:sz w:val="22"/>
          <w:szCs w:val="22"/>
          <w:lang w:val="sr-Latn-ME" w:eastAsia="ja-JP"/>
        </w:rPr>
        <w:t xml:space="preserve"> </w:t>
      </w:r>
      <w:r w:rsidRPr="007403A4">
        <w:rPr>
          <w:sz w:val="22"/>
          <w:szCs w:val="22"/>
          <w:lang w:val="sr-Latn-ME"/>
        </w:rPr>
        <w:t>Koristite sterilnu iglu i špric prilikom pripreme lijeka Gazyvaro.</w:t>
      </w:r>
    </w:p>
    <w:p w14:paraId="40A56BC9" w14:textId="77777777" w:rsidR="00ED7C77" w:rsidRPr="007403A4" w:rsidRDefault="00ED7C77">
      <w:pPr>
        <w:spacing w:before="1" w:line="254" w:lineRule="exact"/>
        <w:ind w:right="28"/>
        <w:jc w:val="both"/>
        <w:rPr>
          <w:sz w:val="22"/>
          <w:szCs w:val="22"/>
          <w:lang w:val="sr-Latn-ME"/>
        </w:rPr>
      </w:pPr>
    </w:p>
    <w:p w14:paraId="2524CCD9" w14:textId="3E99E41A" w:rsidR="00782148" w:rsidRPr="007403A4" w:rsidRDefault="00ED7C77">
      <w:pPr>
        <w:spacing w:before="1" w:line="254" w:lineRule="exact"/>
        <w:ind w:right="28"/>
        <w:jc w:val="both"/>
        <w:rPr>
          <w:i/>
          <w:sz w:val="22"/>
          <w:szCs w:val="22"/>
          <w:lang w:val="sr-Latn-ME"/>
        </w:rPr>
      </w:pPr>
      <w:r w:rsidRPr="007403A4">
        <w:rPr>
          <w:i/>
          <w:sz w:val="22"/>
          <w:szCs w:val="22"/>
          <w:lang w:val="sr-Latn-ME"/>
        </w:rPr>
        <w:t>2 – 6. ciklus kod HLL</w:t>
      </w:r>
      <w:r w:rsidR="00A317FF" w:rsidRPr="007403A4">
        <w:rPr>
          <w:i/>
          <w:sz w:val="22"/>
          <w:szCs w:val="22"/>
          <w:lang w:val="sr-Latn-ME"/>
        </w:rPr>
        <w:t>, te svi</w:t>
      </w:r>
      <w:r w:rsidRPr="007403A4">
        <w:rPr>
          <w:i/>
          <w:sz w:val="22"/>
          <w:szCs w:val="22"/>
          <w:lang w:val="sr-Latn-ME"/>
        </w:rPr>
        <w:t xml:space="preserve"> ciklusi kod FL</w:t>
      </w:r>
    </w:p>
    <w:p w14:paraId="0FD3579C" w14:textId="4C1F6FA8" w:rsidR="00ED7C77" w:rsidRPr="007403A4" w:rsidRDefault="00ED7C77">
      <w:pPr>
        <w:spacing w:before="1" w:line="254" w:lineRule="exact"/>
        <w:ind w:right="28"/>
        <w:jc w:val="both"/>
        <w:rPr>
          <w:sz w:val="22"/>
          <w:szCs w:val="22"/>
          <w:lang w:val="sr-Latn-ME"/>
        </w:rPr>
      </w:pPr>
      <w:r w:rsidRPr="007403A4">
        <w:rPr>
          <w:sz w:val="22"/>
          <w:szCs w:val="22"/>
          <w:lang w:val="sr-Latn-ME"/>
        </w:rPr>
        <w:t>Izvucite 40 ml koncentrata iz bočice i raz</w:t>
      </w:r>
      <w:r w:rsidR="009B1B53" w:rsidRPr="007403A4">
        <w:rPr>
          <w:sz w:val="22"/>
          <w:szCs w:val="22"/>
          <w:lang w:val="sr-Latn-ME"/>
        </w:rPr>
        <w:t xml:space="preserve">blažite </w:t>
      </w:r>
      <w:r w:rsidRPr="007403A4">
        <w:rPr>
          <w:sz w:val="22"/>
          <w:szCs w:val="22"/>
          <w:lang w:val="sr-Latn-ME"/>
        </w:rPr>
        <w:t>ga u infuzi</w:t>
      </w:r>
      <w:r w:rsidR="009B1B53" w:rsidRPr="007403A4">
        <w:rPr>
          <w:sz w:val="22"/>
          <w:szCs w:val="22"/>
          <w:lang w:val="sr-Latn-ME"/>
        </w:rPr>
        <w:t>onim</w:t>
      </w:r>
      <w:r w:rsidRPr="007403A4">
        <w:rPr>
          <w:sz w:val="22"/>
          <w:szCs w:val="22"/>
          <w:lang w:val="sr-Latn-ME"/>
        </w:rPr>
        <w:t xml:space="preserve"> vrećicama od polivinilhlorida (PVC) ili od poliolefina koje ne sadrže PVC, u kojima se nalazi rastvor za injekcije 9 mg/ml (0,9%) natrijum hlorida.</w:t>
      </w:r>
    </w:p>
    <w:p w14:paraId="39D4A6AE" w14:textId="77777777" w:rsidR="00ED7C77" w:rsidRPr="007403A4" w:rsidRDefault="00ED7C77">
      <w:pPr>
        <w:spacing w:before="1" w:line="254" w:lineRule="exact"/>
        <w:ind w:right="28"/>
        <w:jc w:val="both"/>
        <w:rPr>
          <w:sz w:val="22"/>
          <w:szCs w:val="22"/>
          <w:lang w:val="sr-Latn-ME"/>
        </w:rPr>
      </w:pPr>
    </w:p>
    <w:p w14:paraId="2E0B4517" w14:textId="77777777" w:rsidR="00ED7C77" w:rsidRPr="007403A4" w:rsidRDefault="00ED7C77">
      <w:pPr>
        <w:keepNext/>
        <w:shd w:val="clear" w:color="auto" w:fill="FFFFFF"/>
        <w:ind w:right="28"/>
        <w:jc w:val="both"/>
        <w:outlineLvl w:val="1"/>
        <w:rPr>
          <w:i/>
          <w:sz w:val="22"/>
          <w:szCs w:val="22"/>
          <w:lang w:val="sr-Latn-ME"/>
        </w:rPr>
      </w:pPr>
      <w:r w:rsidRPr="007403A4">
        <w:rPr>
          <w:i/>
          <w:sz w:val="22"/>
          <w:szCs w:val="22"/>
          <w:lang w:val="sr-Latn-ME"/>
        </w:rPr>
        <w:t>Samo HLL – 1. ciklus</w:t>
      </w:r>
    </w:p>
    <w:p w14:paraId="01666212" w14:textId="5D403547" w:rsidR="00B77615" w:rsidRPr="007403A4" w:rsidRDefault="00ED7C77">
      <w:pPr>
        <w:tabs>
          <w:tab w:val="left" w:pos="540"/>
          <w:tab w:val="left" w:pos="569"/>
        </w:tabs>
        <w:ind w:right="28"/>
        <w:jc w:val="both"/>
        <w:rPr>
          <w:sz w:val="22"/>
          <w:szCs w:val="22"/>
          <w:lang w:val="sr-Latn-ME"/>
        </w:rPr>
      </w:pPr>
      <w:r w:rsidRPr="007403A4">
        <w:rPr>
          <w:sz w:val="22"/>
          <w:szCs w:val="22"/>
          <w:lang w:val="sr-Latn-ME"/>
        </w:rPr>
        <w:t>Kako bi se mogle razlikovati dvije infuzi</w:t>
      </w:r>
      <w:r w:rsidR="009B1B53" w:rsidRPr="007403A4">
        <w:rPr>
          <w:sz w:val="22"/>
          <w:szCs w:val="22"/>
          <w:lang w:val="sr-Latn-ME"/>
        </w:rPr>
        <w:t>one</w:t>
      </w:r>
      <w:r w:rsidRPr="007403A4">
        <w:rPr>
          <w:sz w:val="22"/>
          <w:szCs w:val="22"/>
          <w:lang w:val="sr-Latn-ME"/>
        </w:rPr>
        <w:t xml:space="preserve"> vrećice kojima se primijenjuje prva doza od 1000 mg, preporučuje se da se upotrijebe vrećice različitih veličina kako bi doza od 100 mg namijenjena za primjenu 1. dana 1. ciklusa mogla da</w:t>
      </w:r>
      <w:r w:rsidR="009B1B53" w:rsidRPr="007403A4">
        <w:rPr>
          <w:sz w:val="22"/>
          <w:szCs w:val="22"/>
          <w:lang w:val="sr-Latn-ME"/>
        </w:rPr>
        <w:t xml:space="preserve"> se</w:t>
      </w:r>
      <w:r w:rsidRPr="007403A4">
        <w:rPr>
          <w:sz w:val="22"/>
          <w:szCs w:val="22"/>
          <w:lang w:val="sr-Latn-ME"/>
        </w:rPr>
        <w:t xml:space="preserve"> razlikuje od doze od 900 mg namijenjene za primjenu 1. dana 1. ciklusa (nastavak) ili 2. dana 1. ciklusa. Da biste pripremili 2 infuzi</w:t>
      </w:r>
      <w:r w:rsidR="009B1B53" w:rsidRPr="007403A4">
        <w:rPr>
          <w:sz w:val="22"/>
          <w:szCs w:val="22"/>
          <w:lang w:val="sr-Latn-ME"/>
        </w:rPr>
        <w:t>one</w:t>
      </w:r>
      <w:r w:rsidRPr="007403A4">
        <w:rPr>
          <w:sz w:val="22"/>
          <w:szCs w:val="22"/>
          <w:lang w:val="sr-Latn-ME"/>
        </w:rPr>
        <w:t xml:space="preserve"> vrećice, izvucite 40 ml koncentrata iz bočice</w:t>
      </w:r>
      <w:r w:rsidR="00B77615" w:rsidRPr="007403A4">
        <w:rPr>
          <w:sz w:val="22"/>
          <w:szCs w:val="22"/>
          <w:lang w:val="sr-Latn-ME"/>
        </w:rPr>
        <w:t xml:space="preserve"> i raz</w:t>
      </w:r>
      <w:r w:rsidR="009B1B53" w:rsidRPr="007403A4">
        <w:rPr>
          <w:sz w:val="22"/>
          <w:szCs w:val="22"/>
          <w:lang w:val="sr-Latn-ME"/>
        </w:rPr>
        <w:t>blažite</w:t>
      </w:r>
      <w:r w:rsidR="00B77615" w:rsidRPr="007403A4">
        <w:rPr>
          <w:sz w:val="22"/>
          <w:szCs w:val="22"/>
          <w:lang w:val="sr-Latn-ME"/>
        </w:rPr>
        <w:t xml:space="preserve"> 4 ml u 100-mililitarskoj infuz</w:t>
      </w:r>
      <w:r w:rsidR="009B1B53" w:rsidRPr="007403A4">
        <w:rPr>
          <w:sz w:val="22"/>
          <w:szCs w:val="22"/>
          <w:lang w:val="sr-Latn-ME"/>
        </w:rPr>
        <w:t>iono</w:t>
      </w:r>
      <w:r w:rsidR="00B77615" w:rsidRPr="007403A4">
        <w:rPr>
          <w:sz w:val="22"/>
          <w:szCs w:val="22"/>
          <w:lang w:val="sr-Latn-ME"/>
        </w:rPr>
        <w:t>j vrećici od PVC</w:t>
      </w:r>
      <w:r w:rsidR="00B77615" w:rsidRPr="007403A4">
        <w:rPr>
          <w:sz w:val="22"/>
          <w:szCs w:val="22"/>
          <w:lang w:val="sr-Latn-ME"/>
        </w:rPr>
        <w:noBreakHyphen/>
        <w:t>a ili poliolefina koja ne sadrži PVC, a preostalih 36 ml dodajte u 250-mililitarsku infuz</w:t>
      </w:r>
      <w:r w:rsidR="009B1B53" w:rsidRPr="007403A4">
        <w:rPr>
          <w:sz w:val="22"/>
          <w:szCs w:val="22"/>
          <w:lang w:val="sr-Latn-ME"/>
        </w:rPr>
        <w:t>ion</w:t>
      </w:r>
      <w:r w:rsidR="00B77615" w:rsidRPr="007403A4">
        <w:rPr>
          <w:sz w:val="22"/>
          <w:szCs w:val="22"/>
          <w:lang w:val="sr-Latn-ME"/>
        </w:rPr>
        <w:t>u vrećicu od PVC</w:t>
      </w:r>
      <w:r w:rsidR="00B77615" w:rsidRPr="007403A4">
        <w:rPr>
          <w:sz w:val="22"/>
          <w:szCs w:val="22"/>
          <w:lang w:val="sr-Latn-ME"/>
        </w:rPr>
        <w:noBreakHyphen/>
        <w:t>a ili poliolefina koja ne sadrži PVC, u kojima se nalazi rastvor za injekciju 9 mg/ml (0,9%) natrijum hlorida. Jasno označite svaku infuzi</w:t>
      </w:r>
      <w:r w:rsidR="009B1B53" w:rsidRPr="007403A4">
        <w:rPr>
          <w:sz w:val="22"/>
          <w:szCs w:val="22"/>
          <w:lang w:val="sr-Latn-ME"/>
        </w:rPr>
        <w:t>on</w:t>
      </w:r>
      <w:r w:rsidR="00B77615" w:rsidRPr="007403A4">
        <w:rPr>
          <w:sz w:val="22"/>
          <w:szCs w:val="22"/>
          <w:lang w:val="sr-Latn-ME"/>
        </w:rPr>
        <w:t>u vrećicu. Uslove čuvanja infuzi</w:t>
      </w:r>
      <w:r w:rsidR="009B1B53" w:rsidRPr="007403A4">
        <w:rPr>
          <w:sz w:val="22"/>
          <w:szCs w:val="22"/>
          <w:lang w:val="sr-Latn-ME"/>
        </w:rPr>
        <w:t>onih</w:t>
      </w:r>
      <w:r w:rsidR="00B77615" w:rsidRPr="007403A4">
        <w:rPr>
          <w:sz w:val="22"/>
          <w:szCs w:val="22"/>
          <w:lang w:val="sr-Latn-ME"/>
        </w:rPr>
        <w:t xml:space="preserve"> vrećica vidjeti u dijelu 6.3.</w:t>
      </w:r>
    </w:p>
    <w:p w14:paraId="4FCCF06E" w14:textId="77777777" w:rsidR="00B77615" w:rsidRPr="007403A4" w:rsidRDefault="00B77615">
      <w:pPr>
        <w:tabs>
          <w:tab w:val="left" w:pos="540"/>
          <w:tab w:val="left" w:pos="569"/>
        </w:tabs>
        <w:ind w:right="28"/>
        <w:jc w:val="both"/>
        <w:rPr>
          <w:sz w:val="22"/>
          <w:szCs w:val="22"/>
          <w:lang w:val="sr-Latn-ME"/>
        </w:rPr>
      </w:pPr>
    </w:p>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5"/>
        <w:gridCol w:w="3150"/>
        <w:gridCol w:w="3528"/>
      </w:tblGrid>
      <w:tr w:rsidR="00B77615" w:rsidRPr="007403A4" w14:paraId="29993A7C" w14:textId="77777777" w:rsidTr="00782148">
        <w:trPr>
          <w:jc w:val="center"/>
        </w:trPr>
        <w:tc>
          <w:tcPr>
            <w:tcW w:w="2515" w:type="dxa"/>
          </w:tcPr>
          <w:p w14:paraId="04308608" w14:textId="21B0041B" w:rsidR="00B77615" w:rsidRPr="007403A4" w:rsidRDefault="00B77615" w:rsidP="00C95059">
            <w:pPr>
              <w:tabs>
                <w:tab w:val="left" w:pos="540"/>
                <w:tab w:val="left" w:pos="569"/>
              </w:tabs>
              <w:ind w:right="28"/>
              <w:jc w:val="both"/>
              <w:rPr>
                <w:b/>
                <w:sz w:val="22"/>
                <w:szCs w:val="22"/>
                <w:lang w:val="sr-Latn-ME"/>
              </w:rPr>
            </w:pPr>
            <w:r w:rsidRPr="007403A4">
              <w:rPr>
                <w:b/>
                <w:sz w:val="22"/>
                <w:szCs w:val="22"/>
                <w:lang w:val="sr-Latn-ME"/>
              </w:rPr>
              <w:t>Doza lijeka Gazyvaro za primjenu</w:t>
            </w:r>
          </w:p>
        </w:tc>
        <w:tc>
          <w:tcPr>
            <w:tcW w:w="3150" w:type="dxa"/>
          </w:tcPr>
          <w:p w14:paraId="54928638" w14:textId="789A4078" w:rsidR="00B77615" w:rsidRPr="007403A4" w:rsidRDefault="00B77615" w:rsidP="00C95059">
            <w:pPr>
              <w:tabs>
                <w:tab w:val="left" w:pos="540"/>
                <w:tab w:val="left" w:pos="569"/>
              </w:tabs>
              <w:ind w:right="28"/>
              <w:jc w:val="both"/>
              <w:rPr>
                <w:b/>
                <w:sz w:val="22"/>
                <w:szCs w:val="22"/>
                <w:lang w:val="sr-Latn-ME"/>
              </w:rPr>
            </w:pPr>
            <w:r w:rsidRPr="007403A4">
              <w:rPr>
                <w:b/>
                <w:sz w:val="22"/>
                <w:szCs w:val="22"/>
                <w:lang w:val="sr-Latn-ME"/>
              </w:rPr>
              <w:t>Potrebna količina koncentrata lijeka Gazyvaro</w:t>
            </w:r>
          </w:p>
        </w:tc>
        <w:tc>
          <w:tcPr>
            <w:tcW w:w="3528" w:type="dxa"/>
          </w:tcPr>
          <w:p w14:paraId="1433FDB8" w14:textId="1C2FF736" w:rsidR="00B77615" w:rsidRPr="007403A4" w:rsidRDefault="00B77615" w:rsidP="00C95059">
            <w:pPr>
              <w:tabs>
                <w:tab w:val="left" w:pos="540"/>
                <w:tab w:val="left" w:pos="569"/>
              </w:tabs>
              <w:ind w:right="28"/>
              <w:jc w:val="both"/>
              <w:rPr>
                <w:b/>
                <w:sz w:val="22"/>
                <w:szCs w:val="22"/>
                <w:lang w:val="sr-Latn-ME"/>
              </w:rPr>
            </w:pPr>
            <w:r w:rsidRPr="007403A4">
              <w:rPr>
                <w:b/>
                <w:sz w:val="22"/>
                <w:szCs w:val="22"/>
                <w:lang w:val="sr-Latn-ME"/>
              </w:rPr>
              <w:t>Veličina infuz</w:t>
            </w:r>
            <w:r w:rsidR="009B1B53" w:rsidRPr="007403A4">
              <w:rPr>
                <w:b/>
                <w:sz w:val="22"/>
                <w:szCs w:val="22"/>
                <w:lang w:val="sr-Latn-ME"/>
              </w:rPr>
              <w:t>ion</w:t>
            </w:r>
            <w:r w:rsidRPr="007403A4">
              <w:rPr>
                <w:b/>
                <w:sz w:val="22"/>
                <w:szCs w:val="22"/>
                <w:lang w:val="sr-Latn-ME"/>
              </w:rPr>
              <w:t>e vrećice od PVC ili vrećice od poliolefina koja ne sadrži PVC</w:t>
            </w:r>
          </w:p>
        </w:tc>
      </w:tr>
      <w:tr w:rsidR="00B77615" w:rsidRPr="007403A4" w14:paraId="5751085D" w14:textId="77777777" w:rsidTr="00782148">
        <w:trPr>
          <w:jc w:val="center"/>
        </w:trPr>
        <w:tc>
          <w:tcPr>
            <w:tcW w:w="2515" w:type="dxa"/>
          </w:tcPr>
          <w:p w14:paraId="76657B30" w14:textId="77777777" w:rsidR="00B77615" w:rsidRPr="007403A4" w:rsidRDefault="00B77615" w:rsidP="004D3AD0">
            <w:pPr>
              <w:tabs>
                <w:tab w:val="left" w:pos="540"/>
                <w:tab w:val="left" w:pos="569"/>
              </w:tabs>
              <w:ind w:right="28"/>
              <w:jc w:val="both"/>
              <w:rPr>
                <w:sz w:val="22"/>
                <w:szCs w:val="22"/>
                <w:lang w:val="sr-Latn-ME"/>
              </w:rPr>
            </w:pPr>
            <w:r w:rsidRPr="007403A4">
              <w:rPr>
                <w:sz w:val="22"/>
                <w:szCs w:val="22"/>
                <w:lang w:val="sr-Latn-ME"/>
              </w:rPr>
              <w:t>100 mg</w:t>
            </w:r>
          </w:p>
        </w:tc>
        <w:tc>
          <w:tcPr>
            <w:tcW w:w="3150" w:type="dxa"/>
          </w:tcPr>
          <w:p w14:paraId="2E33DFF8"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4 ml</w:t>
            </w:r>
          </w:p>
        </w:tc>
        <w:tc>
          <w:tcPr>
            <w:tcW w:w="3528" w:type="dxa"/>
          </w:tcPr>
          <w:p w14:paraId="1723E691"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100 ml</w:t>
            </w:r>
          </w:p>
        </w:tc>
      </w:tr>
      <w:tr w:rsidR="00B77615" w:rsidRPr="007403A4" w14:paraId="77AEFCAE" w14:textId="77777777" w:rsidTr="00782148">
        <w:trPr>
          <w:jc w:val="center"/>
        </w:trPr>
        <w:tc>
          <w:tcPr>
            <w:tcW w:w="2515" w:type="dxa"/>
          </w:tcPr>
          <w:p w14:paraId="5ABAC0C2" w14:textId="77777777" w:rsidR="00B77615" w:rsidRPr="007403A4" w:rsidRDefault="00B77615" w:rsidP="004D3AD0">
            <w:pPr>
              <w:tabs>
                <w:tab w:val="left" w:pos="540"/>
                <w:tab w:val="left" w:pos="569"/>
              </w:tabs>
              <w:ind w:right="28"/>
              <w:jc w:val="both"/>
              <w:rPr>
                <w:sz w:val="22"/>
                <w:szCs w:val="22"/>
                <w:lang w:val="sr-Latn-ME"/>
              </w:rPr>
            </w:pPr>
            <w:r w:rsidRPr="007403A4">
              <w:rPr>
                <w:sz w:val="22"/>
                <w:szCs w:val="22"/>
                <w:lang w:val="sr-Latn-ME"/>
              </w:rPr>
              <w:t>900 mg</w:t>
            </w:r>
          </w:p>
        </w:tc>
        <w:tc>
          <w:tcPr>
            <w:tcW w:w="3150" w:type="dxa"/>
          </w:tcPr>
          <w:p w14:paraId="4981BEAC"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36 ml</w:t>
            </w:r>
          </w:p>
        </w:tc>
        <w:tc>
          <w:tcPr>
            <w:tcW w:w="3528" w:type="dxa"/>
          </w:tcPr>
          <w:p w14:paraId="117CB16A"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250 ml</w:t>
            </w:r>
          </w:p>
        </w:tc>
      </w:tr>
      <w:tr w:rsidR="00B77615" w:rsidRPr="007403A4" w14:paraId="00B5FBE4" w14:textId="77777777" w:rsidTr="00782148">
        <w:trPr>
          <w:jc w:val="center"/>
        </w:trPr>
        <w:tc>
          <w:tcPr>
            <w:tcW w:w="2515" w:type="dxa"/>
          </w:tcPr>
          <w:p w14:paraId="0F20A2DD" w14:textId="77777777" w:rsidR="00B77615" w:rsidRPr="007403A4" w:rsidRDefault="00B77615" w:rsidP="004D3AD0">
            <w:pPr>
              <w:tabs>
                <w:tab w:val="left" w:pos="540"/>
                <w:tab w:val="left" w:pos="569"/>
              </w:tabs>
              <w:ind w:right="28"/>
              <w:jc w:val="both"/>
              <w:rPr>
                <w:sz w:val="22"/>
                <w:szCs w:val="22"/>
                <w:lang w:val="sr-Latn-ME"/>
              </w:rPr>
            </w:pPr>
            <w:r w:rsidRPr="007403A4">
              <w:rPr>
                <w:sz w:val="22"/>
                <w:szCs w:val="22"/>
                <w:lang w:val="sr-Latn-ME"/>
              </w:rPr>
              <w:t>1000 mg</w:t>
            </w:r>
          </w:p>
        </w:tc>
        <w:tc>
          <w:tcPr>
            <w:tcW w:w="3150" w:type="dxa"/>
          </w:tcPr>
          <w:p w14:paraId="7214B14E"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40 ml</w:t>
            </w:r>
          </w:p>
        </w:tc>
        <w:tc>
          <w:tcPr>
            <w:tcW w:w="3528" w:type="dxa"/>
          </w:tcPr>
          <w:p w14:paraId="1EE2DFF2" w14:textId="77777777" w:rsidR="00B77615" w:rsidRPr="007403A4" w:rsidRDefault="00B77615">
            <w:pPr>
              <w:tabs>
                <w:tab w:val="left" w:pos="540"/>
                <w:tab w:val="left" w:pos="569"/>
              </w:tabs>
              <w:ind w:right="28"/>
              <w:jc w:val="both"/>
              <w:rPr>
                <w:sz w:val="22"/>
                <w:szCs w:val="22"/>
                <w:lang w:val="sr-Latn-ME"/>
              </w:rPr>
            </w:pPr>
            <w:r w:rsidRPr="007403A4">
              <w:rPr>
                <w:sz w:val="22"/>
                <w:szCs w:val="22"/>
                <w:lang w:val="sr-Latn-ME"/>
              </w:rPr>
              <w:t>250 ml</w:t>
            </w:r>
          </w:p>
        </w:tc>
      </w:tr>
    </w:tbl>
    <w:p w14:paraId="608D1D69" w14:textId="77777777" w:rsidR="00B77615" w:rsidRPr="007403A4" w:rsidRDefault="00B77615" w:rsidP="004D3AD0">
      <w:pPr>
        <w:tabs>
          <w:tab w:val="left" w:pos="540"/>
          <w:tab w:val="left" w:pos="569"/>
        </w:tabs>
        <w:ind w:right="28"/>
        <w:jc w:val="both"/>
        <w:rPr>
          <w:sz w:val="22"/>
          <w:szCs w:val="22"/>
          <w:lang w:val="sr-Latn-ME"/>
        </w:rPr>
      </w:pPr>
    </w:p>
    <w:p w14:paraId="28E6D34C" w14:textId="5DACD968" w:rsidR="00C74B41" w:rsidRPr="007403A4" w:rsidRDefault="00741222" w:rsidP="004D3AD0">
      <w:pPr>
        <w:tabs>
          <w:tab w:val="left" w:pos="540"/>
          <w:tab w:val="left" w:pos="569"/>
        </w:tabs>
        <w:ind w:right="28"/>
        <w:jc w:val="both"/>
        <w:rPr>
          <w:sz w:val="22"/>
          <w:szCs w:val="22"/>
          <w:lang w:val="sr-Latn-ME"/>
        </w:rPr>
      </w:pPr>
      <w:r w:rsidRPr="007403A4">
        <w:rPr>
          <w:sz w:val="22"/>
          <w:szCs w:val="22"/>
          <w:lang w:val="sr-Latn-ME"/>
        </w:rPr>
        <w:lastRenderedPageBreak/>
        <w:t>Nijesu</w:t>
      </w:r>
      <w:r w:rsidR="00C74B41" w:rsidRPr="007403A4">
        <w:rPr>
          <w:sz w:val="22"/>
          <w:szCs w:val="22"/>
          <w:lang w:val="sr-Latn-ME"/>
        </w:rPr>
        <w:t xml:space="preserve"> primijećene inkompatibilnosti između lijeka Gazyvaro u koncentracijama u rasponu od 0,4 mg/ml do 20,0 mg/ml nakon raz</w:t>
      </w:r>
      <w:r w:rsidR="009B1B53" w:rsidRPr="007403A4">
        <w:rPr>
          <w:sz w:val="22"/>
          <w:szCs w:val="22"/>
          <w:lang w:val="sr-Latn-ME"/>
        </w:rPr>
        <w:t>blaživanja</w:t>
      </w:r>
      <w:r w:rsidR="00C74B41" w:rsidRPr="007403A4">
        <w:rPr>
          <w:sz w:val="22"/>
          <w:szCs w:val="22"/>
          <w:lang w:val="sr-Latn-ME"/>
        </w:rPr>
        <w:t xml:space="preserve"> rastvorom za injekciju 9 mg/ml (0,9%) natrijum hlorida i:</w:t>
      </w:r>
    </w:p>
    <w:p w14:paraId="3A44D58A" w14:textId="4B1D5780" w:rsidR="00C74B41" w:rsidRPr="007403A4" w:rsidRDefault="00C74B41">
      <w:pPr>
        <w:pStyle w:val="ListParagraph"/>
        <w:numPr>
          <w:ilvl w:val="0"/>
          <w:numId w:val="9"/>
        </w:numPr>
        <w:tabs>
          <w:tab w:val="left" w:pos="720"/>
        </w:tabs>
        <w:ind w:right="28"/>
        <w:rPr>
          <w:rFonts w:ascii="Times New Roman" w:hAnsi="Times New Roman"/>
          <w:sz w:val="22"/>
          <w:szCs w:val="22"/>
          <w:lang w:val="sr-Latn-ME"/>
        </w:rPr>
      </w:pPr>
      <w:r w:rsidRPr="007403A4">
        <w:rPr>
          <w:rFonts w:ascii="Times New Roman" w:hAnsi="Times New Roman"/>
          <w:sz w:val="22"/>
          <w:szCs w:val="22"/>
          <w:lang w:val="sr-Latn-ME"/>
        </w:rPr>
        <w:t>vrećica nap</w:t>
      </w:r>
      <w:r w:rsidR="00A317FF" w:rsidRPr="007403A4">
        <w:rPr>
          <w:rFonts w:ascii="Times New Roman" w:hAnsi="Times New Roman"/>
          <w:sz w:val="22"/>
          <w:szCs w:val="22"/>
          <w:lang w:val="sr-Latn-ME"/>
        </w:rPr>
        <w:t>r</w:t>
      </w:r>
      <w:r w:rsidRPr="007403A4">
        <w:rPr>
          <w:rFonts w:ascii="Times New Roman" w:hAnsi="Times New Roman"/>
          <w:sz w:val="22"/>
          <w:szCs w:val="22"/>
          <w:lang w:val="sr-Latn-ME"/>
        </w:rPr>
        <w:t>avljenih od PVC, polietilena (PE), polipropilena ili poliolefina</w:t>
      </w:r>
    </w:p>
    <w:p w14:paraId="7DC0DB2E" w14:textId="6D87BDCD" w:rsidR="00C74B41" w:rsidRPr="007403A4" w:rsidRDefault="00C74B41">
      <w:pPr>
        <w:pStyle w:val="ListParagraph"/>
        <w:numPr>
          <w:ilvl w:val="0"/>
          <w:numId w:val="9"/>
        </w:numPr>
        <w:tabs>
          <w:tab w:val="left" w:pos="720"/>
        </w:tabs>
        <w:ind w:right="28"/>
        <w:rPr>
          <w:rFonts w:ascii="Times New Roman" w:hAnsi="Times New Roman"/>
          <w:sz w:val="22"/>
          <w:szCs w:val="22"/>
          <w:lang w:val="sr-Latn-ME"/>
        </w:rPr>
      </w:pPr>
      <w:r w:rsidRPr="007403A4">
        <w:rPr>
          <w:rFonts w:ascii="Times New Roman" w:hAnsi="Times New Roman"/>
          <w:sz w:val="22"/>
          <w:szCs w:val="22"/>
          <w:lang w:val="sr-Latn-ME"/>
        </w:rPr>
        <w:t>infuzi</w:t>
      </w:r>
      <w:r w:rsidR="009B1B53" w:rsidRPr="007403A4">
        <w:rPr>
          <w:rFonts w:ascii="Times New Roman" w:hAnsi="Times New Roman"/>
          <w:sz w:val="22"/>
          <w:szCs w:val="22"/>
          <w:lang w:val="sr-Latn-ME"/>
        </w:rPr>
        <w:t>on</w:t>
      </w:r>
      <w:r w:rsidR="00A317FF" w:rsidRPr="007403A4">
        <w:rPr>
          <w:rFonts w:ascii="Times New Roman" w:hAnsi="Times New Roman"/>
          <w:sz w:val="22"/>
          <w:szCs w:val="22"/>
          <w:lang w:val="sr-Latn-ME"/>
        </w:rPr>
        <w:t>i</w:t>
      </w:r>
      <w:r w:rsidRPr="007403A4">
        <w:rPr>
          <w:rFonts w:ascii="Times New Roman" w:hAnsi="Times New Roman"/>
          <w:sz w:val="22"/>
          <w:szCs w:val="22"/>
          <w:lang w:val="sr-Latn-ME"/>
        </w:rPr>
        <w:t>h setova napravljenih od PVC, poliuretana (PUR) ili polietilena (PE)</w:t>
      </w:r>
    </w:p>
    <w:p w14:paraId="6AA581EC" w14:textId="0B894E7F" w:rsidR="00C74B41" w:rsidRPr="007403A4" w:rsidRDefault="00C74B41">
      <w:pPr>
        <w:pStyle w:val="ListParagraph"/>
        <w:numPr>
          <w:ilvl w:val="0"/>
          <w:numId w:val="9"/>
        </w:numPr>
        <w:tabs>
          <w:tab w:val="left" w:pos="720"/>
        </w:tabs>
        <w:ind w:right="28"/>
        <w:rPr>
          <w:rFonts w:ascii="Times New Roman" w:hAnsi="Times New Roman"/>
          <w:sz w:val="22"/>
          <w:szCs w:val="22"/>
          <w:lang w:val="sr-Latn-ME"/>
        </w:rPr>
      </w:pPr>
      <w:r w:rsidRPr="007403A4">
        <w:rPr>
          <w:rFonts w:ascii="Times New Roman" w:hAnsi="Times New Roman"/>
          <w:sz w:val="22"/>
          <w:szCs w:val="22"/>
          <w:lang w:val="sr-Latn-ME"/>
        </w:rPr>
        <w:t xml:space="preserve">dodatnih </w:t>
      </w:r>
      <w:r w:rsidRPr="007403A4">
        <w:rPr>
          <w:rFonts w:ascii="Times New Roman" w:hAnsi="Times New Roman"/>
          <w:i/>
          <w:sz w:val="22"/>
          <w:szCs w:val="22"/>
          <w:lang w:val="sr-Latn-ME"/>
        </w:rPr>
        <w:t>'in</w:t>
      </w:r>
      <w:r w:rsidRPr="007403A4">
        <w:rPr>
          <w:rFonts w:ascii="Times New Roman" w:hAnsi="Times New Roman"/>
          <w:i/>
          <w:sz w:val="22"/>
          <w:szCs w:val="22"/>
          <w:lang w:val="sr-Latn-ME"/>
        </w:rPr>
        <w:noBreakHyphen/>
        <w:t>line'</w:t>
      </w:r>
      <w:r w:rsidRPr="007403A4">
        <w:rPr>
          <w:rFonts w:ascii="Times New Roman" w:hAnsi="Times New Roman"/>
          <w:sz w:val="22"/>
          <w:szCs w:val="22"/>
          <w:lang w:val="sr-Latn-ME"/>
        </w:rPr>
        <w:t xml:space="preserve"> filtera kod kojih je površina koja dolazi u dodir sa lijekom napravljena od polietersulfona (PES), trosmjerne infuzi</w:t>
      </w:r>
      <w:r w:rsidR="009B1B53" w:rsidRPr="007403A4">
        <w:rPr>
          <w:rFonts w:ascii="Times New Roman" w:hAnsi="Times New Roman"/>
          <w:sz w:val="22"/>
          <w:szCs w:val="22"/>
          <w:lang w:val="sr-Latn-ME"/>
        </w:rPr>
        <w:t>on</w:t>
      </w:r>
      <w:r w:rsidRPr="007403A4">
        <w:rPr>
          <w:rFonts w:ascii="Times New Roman" w:hAnsi="Times New Roman"/>
          <w:sz w:val="22"/>
          <w:szCs w:val="22"/>
          <w:lang w:val="sr-Latn-ME"/>
        </w:rPr>
        <w:t>e skretnice od polikarbonata (PC) i katetera od polieteruretana (PEU).</w:t>
      </w:r>
    </w:p>
    <w:p w14:paraId="6A7631A5" w14:textId="77777777" w:rsidR="00C74B41" w:rsidRPr="007403A4" w:rsidRDefault="00C74B41">
      <w:pPr>
        <w:tabs>
          <w:tab w:val="left" w:pos="540"/>
          <w:tab w:val="left" w:pos="569"/>
        </w:tabs>
        <w:ind w:right="28"/>
        <w:jc w:val="both"/>
        <w:rPr>
          <w:sz w:val="22"/>
          <w:szCs w:val="22"/>
          <w:lang w:val="sr-Latn-ME"/>
        </w:rPr>
      </w:pPr>
    </w:p>
    <w:p w14:paraId="535B6AE5" w14:textId="2D951CB4" w:rsidR="00C74B41" w:rsidRPr="007403A4" w:rsidRDefault="00C74B41">
      <w:pPr>
        <w:tabs>
          <w:tab w:val="left" w:pos="540"/>
          <w:tab w:val="left" w:pos="569"/>
        </w:tabs>
        <w:ind w:right="28"/>
        <w:jc w:val="both"/>
        <w:rPr>
          <w:sz w:val="22"/>
          <w:szCs w:val="22"/>
          <w:lang w:val="sr-Latn-ME"/>
        </w:rPr>
      </w:pPr>
      <w:r w:rsidRPr="007403A4">
        <w:rPr>
          <w:sz w:val="22"/>
          <w:szCs w:val="22"/>
          <w:lang w:val="sr-Latn-ME"/>
        </w:rPr>
        <w:t>Ne smijete da koristite druge rastvore za raz</w:t>
      </w:r>
      <w:r w:rsidR="009B1B53" w:rsidRPr="007403A4">
        <w:rPr>
          <w:sz w:val="22"/>
          <w:szCs w:val="22"/>
          <w:lang w:val="sr-Latn-ME"/>
        </w:rPr>
        <w:t>blaživanje</w:t>
      </w:r>
      <w:r w:rsidRPr="007403A4">
        <w:rPr>
          <w:sz w:val="22"/>
          <w:szCs w:val="22"/>
          <w:lang w:val="sr-Latn-ME"/>
        </w:rPr>
        <w:t xml:space="preserve"> poput rastvora glukoze (5%).</w:t>
      </w:r>
    </w:p>
    <w:p w14:paraId="7520B8DE" w14:textId="77777777" w:rsidR="00C74B41" w:rsidRPr="007403A4" w:rsidRDefault="00C74B41">
      <w:pPr>
        <w:tabs>
          <w:tab w:val="left" w:pos="540"/>
          <w:tab w:val="left" w:pos="569"/>
        </w:tabs>
        <w:ind w:right="28"/>
        <w:jc w:val="both"/>
        <w:rPr>
          <w:sz w:val="22"/>
          <w:szCs w:val="22"/>
          <w:lang w:val="sr-Latn-ME"/>
        </w:rPr>
      </w:pPr>
    </w:p>
    <w:p w14:paraId="03610926" w14:textId="603A5D7C" w:rsidR="00C74B41" w:rsidRPr="007403A4" w:rsidRDefault="00C74B41">
      <w:pPr>
        <w:tabs>
          <w:tab w:val="left" w:pos="540"/>
          <w:tab w:val="left" w:pos="569"/>
        </w:tabs>
        <w:ind w:right="28"/>
        <w:jc w:val="both"/>
        <w:rPr>
          <w:sz w:val="22"/>
          <w:szCs w:val="22"/>
          <w:lang w:val="sr-Latn-ME"/>
        </w:rPr>
      </w:pPr>
      <w:r w:rsidRPr="007403A4">
        <w:rPr>
          <w:sz w:val="22"/>
          <w:szCs w:val="22"/>
          <w:lang w:val="sr-Latn-ME"/>
        </w:rPr>
        <w:t xml:space="preserve">Da biste pomiješali rastvor, vrećicu treba nježno okrenuti kako bi se izbjeglo prekomjerno </w:t>
      </w:r>
      <w:r w:rsidR="009B1B53" w:rsidRPr="007403A4">
        <w:rPr>
          <w:sz w:val="22"/>
          <w:szCs w:val="22"/>
          <w:lang w:val="sr-Latn-ME"/>
        </w:rPr>
        <w:t>stvaranje pjene</w:t>
      </w:r>
      <w:r w:rsidRPr="007403A4">
        <w:rPr>
          <w:sz w:val="22"/>
          <w:szCs w:val="22"/>
          <w:lang w:val="sr-Latn-ME"/>
        </w:rPr>
        <w:t>. Raz</w:t>
      </w:r>
      <w:r w:rsidR="009B1B53" w:rsidRPr="007403A4">
        <w:rPr>
          <w:sz w:val="22"/>
          <w:szCs w:val="22"/>
          <w:lang w:val="sr-Latn-ME"/>
        </w:rPr>
        <w:t>blaženi</w:t>
      </w:r>
      <w:r w:rsidRPr="007403A4">
        <w:rPr>
          <w:sz w:val="22"/>
          <w:szCs w:val="22"/>
          <w:lang w:val="sr-Latn-ME"/>
        </w:rPr>
        <w:t xml:space="preserve"> rastvor se ne smije </w:t>
      </w:r>
      <w:r w:rsidR="009B1B53" w:rsidRPr="007403A4">
        <w:rPr>
          <w:sz w:val="22"/>
          <w:szCs w:val="22"/>
          <w:lang w:val="sr-Latn-ME"/>
        </w:rPr>
        <w:t>mućkati</w:t>
      </w:r>
      <w:r w:rsidRPr="007403A4">
        <w:rPr>
          <w:sz w:val="22"/>
          <w:szCs w:val="22"/>
          <w:lang w:val="sr-Latn-ME"/>
        </w:rPr>
        <w:t xml:space="preserve"> niti zamrzavati.</w:t>
      </w:r>
    </w:p>
    <w:p w14:paraId="3CA8AAE1" w14:textId="77777777" w:rsidR="00C74B41" w:rsidRPr="007403A4" w:rsidRDefault="00C74B41">
      <w:pPr>
        <w:tabs>
          <w:tab w:val="left" w:pos="540"/>
          <w:tab w:val="left" w:pos="569"/>
        </w:tabs>
        <w:ind w:right="28"/>
        <w:jc w:val="both"/>
        <w:rPr>
          <w:sz w:val="22"/>
          <w:szCs w:val="22"/>
          <w:lang w:val="sr-Latn-ME"/>
        </w:rPr>
      </w:pPr>
    </w:p>
    <w:p w14:paraId="2DB05CCC" w14:textId="5E7074CB" w:rsidR="00C74B41" w:rsidRPr="007403A4" w:rsidRDefault="00C74B41">
      <w:pPr>
        <w:tabs>
          <w:tab w:val="left" w:pos="540"/>
          <w:tab w:val="left" w:pos="569"/>
        </w:tabs>
        <w:ind w:right="28"/>
        <w:jc w:val="both"/>
        <w:rPr>
          <w:sz w:val="22"/>
          <w:szCs w:val="22"/>
          <w:lang w:val="sr-Latn-ME"/>
        </w:rPr>
      </w:pPr>
      <w:r w:rsidRPr="007403A4">
        <w:rPr>
          <w:sz w:val="22"/>
          <w:szCs w:val="22"/>
          <w:lang w:val="sr-Latn-ME"/>
        </w:rPr>
        <w:t>Ljekove za parenteralnu primjenu potrebno je prije primjene vizuelno pregledati kako bi se utvrdil</w:t>
      </w:r>
      <w:r w:rsidR="009B1B53" w:rsidRPr="007403A4">
        <w:rPr>
          <w:sz w:val="22"/>
          <w:szCs w:val="22"/>
          <w:lang w:val="sr-Latn-ME"/>
        </w:rPr>
        <w:t>o</w:t>
      </w:r>
      <w:r w:rsidRPr="007403A4">
        <w:rPr>
          <w:sz w:val="22"/>
          <w:szCs w:val="22"/>
          <w:lang w:val="sr-Latn-ME"/>
        </w:rPr>
        <w:t xml:space="preserve"> moguć</w:t>
      </w:r>
      <w:r w:rsidR="009B1B53" w:rsidRPr="007403A4">
        <w:rPr>
          <w:sz w:val="22"/>
          <w:szCs w:val="22"/>
          <w:lang w:val="sr-Latn-ME"/>
        </w:rPr>
        <w:t>e prisustvo</w:t>
      </w:r>
      <w:r w:rsidRPr="007403A4">
        <w:rPr>
          <w:sz w:val="22"/>
          <w:szCs w:val="22"/>
          <w:lang w:val="sr-Latn-ME"/>
        </w:rPr>
        <w:t xml:space="preserve"> čestica ili promjena boje.</w:t>
      </w:r>
    </w:p>
    <w:p w14:paraId="0160316D" w14:textId="77777777" w:rsidR="00B77615" w:rsidRPr="007403A4" w:rsidRDefault="00B77615" w:rsidP="00C95059">
      <w:pPr>
        <w:tabs>
          <w:tab w:val="left" w:pos="540"/>
          <w:tab w:val="left" w:pos="569"/>
        </w:tabs>
        <w:ind w:right="28"/>
        <w:jc w:val="both"/>
        <w:rPr>
          <w:sz w:val="22"/>
          <w:szCs w:val="22"/>
          <w:lang w:val="sr-Latn-ME"/>
        </w:rPr>
      </w:pPr>
    </w:p>
    <w:p w14:paraId="6254C0F1" w14:textId="77777777" w:rsidR="00B77615" w:rsidRPr="007403A4" w:rsidRDefault="00B77615" w:rsidP="00C95059">
      <w:pPr>
        <w:tabs>
          <w:tab w:val="left" w:pos="540"/>
          <w:tab w:val="left" w:pos="569"/>
        </w:tabs>
        <w:ind w:right="28"/>
        <w:jc w:val="both"/>
        <w:rPr>
          <w:sz w:val="22"/>
          <w:szCs w:val="22"/>
          <w:u w:val="single"/>
          <w:lang w:val="sr-Latn-ME"/>
        </w:rPr>
      </w:pPr>
      <w:r w:rsidRPr="007403A4">
        <w:rPr>
          <w:sz w:val="22"/>
          <w:szCs w:val="22"/>
          <w:u w:val="single"/>
          <w:lang w:val="sr-Latn-ME"/>
        </w:rPr>
        <w:t>Odlaganje</w:t>
      </w:r>
    </w:p>
    <w:p w14:paraId="687ACD0B" w14:textId="77777777" w:rsidR="00B77615" w:rsidRPr="007403A4" w:rsidRDefault="00B77615" w:rsidP="00C95059">
      <w:pPr>
        <w:tabs>
          <w:tab w:val="left" w:pos="540"/>
          <w:tab w:val="left" w:pos="569"/>
        </w:tabs>
        <w:ind w:right="28"/>
        <w:jc w:val="both"/>
        <w:rPr>
          <w:sz w:val="22"/>
          <w:szCs w:val="22"/>
          <w:lang w:val="sr-Latn-ME"/>
        </w:rPr>
      </w:pPr>
    </w:p>
    <w:p w14:paraId="4A190F17" w14:textId="77777777" w:rsidR="00ED7C77" w:rsidRPr="007403A4" w:rsidRDefault="00B77615" w:rsidP="00C95059">
      <w:pPr>
        <w:tabs>
          <w:tab w:val="left" w:pos="540"/>
          <w:tab w:val="left" w:pos="569"/>
        </w:tabs>
        <w:ind w:right="28"/>
        <w:jc w:val="both"/>
        <w:rPr>
          <w:b/>
          <w:bCs/>
          <w:sz w:val="22"/>
          <w:szCs w:val="22"/>
          <w:lang w:val="sr-Latn-ME"/>
        </w:rPr>
      </w:pPr>
      <w:r w:rsidRPr="007403A4">
        <w:rPr>
          <w:sz w:val="22"/>
          <w:szCs w:val="22"/>
          <w:lang w:val="sr-Latn-ME"/>
        </w:rPr>
        <w:t>Neiskorišteni lijek ili otpadni materijal treba odložiti u skladu sa važećim propisima.</w:t>
      </w:r>
    </w:p>
    <w:p w14:paraId="3E64B501" w14:textId="741A6063" w:rsidR="0072020E" w:rsidRDefault="0072020E" w:rsidP="00C95059">
      <w:pPr>
        <w:tabs>
          <w:tab w:val="left" w:pos="540"/>
          <w:tab w:val="left" w:pos="569"/>
        </w:tabs>
        <w:ind w:right="28"/>
        <w:jc w:val="both"/>
        <w:rPr>
          <w:bCs/>
          <w:sz w:val="22"/>
          <w:szCs w:val="22"/>
          <w:lang w:val="sr-Latn-ME"/>
        </w:rPr>
      </w:pPr>
    </w:p>
    <w:p w14:paraId="32F0992C" w14:textId="77777777" w:rsidR="007403A4" w:rsidRPr="007403A4" w:rsidRDefault="007403A4" w:rsidP="00C95059">
      <w:pPr>
        <w:tabs>
          <w:tab w:val="left" w:pos="540"/>
          <w:tab w:val="left" w:pos="569"/>
        </w:tabs>
        <w:ind w:right="28"/>
        <w:jc w:val="both"/>
        <w:rPr>
          <w:bCs/>
          <w:sz w:val="22"/>
          <w:szCs w:val="22"/>
          <w:lang w:val="sr-Latn-ME"/>
        </w:rPr>
      </w:pPr>
    </w:p>
    <w:p w14:paraId="3880C46D" w14:textId="77777777" w:rsidR="00F8570A" w:rsidRPr="007403A4" w:rsidRDefault="0072020E" w:rsidP="00C95059">
      <w:pPr>
        <w:tabs>
          <w:tab w:val="left" w:pos="540"/>
          <w:tab w:val="left" w:pos="569"/>
        </w:tabs>
        <w:ind w:right="28"/>
        <w:jc w:val="both"/>
        <w:rPr>
          <w:b/>
          <w:bCs/>
          <w:sz w:val="22"/>
          <w:szCs w:val="22"/>
          <w:lang w:val="sr-Latn-ME"/>
        </w:rPr>
      </w:pPr>
      <w:r w:rsidRPr="007403A4">
        <w:rPr>
          <w:b/>
          <w:bCs/>
          <w:sz w:val="22"/>
          <w:szCs w:val="22"/>
          <w:lang w:val="sr-Latn-ME"/>
        </w:rPr>
        <w:t xml:space="preserve">7. </w:t>
      </w:r>
      <w:r w:rsidR="00480FB1" w:rsidRPr="007403A4">
        <w:rPr>
          <w:b/>
          <w:bCs/>
          <w:sz w:val="22"/>
          <w:szCs w:val="22"/>
          <w:lang w:val="sr-Latn-ME"/>
        </w:rPr>
        <w:tab/>
      </w:r>
      <w:r w:rsidRPr="007403A4">
        <w:rPr>
          <w:b/>
          <w:bCs/>
          <w:sz w:val="22"/>
          <w:szCs w:val="22"/>
          <w:lang w:val="sr-Latn-ME"/>
        </w:rPr>
        <w:t>NOSILAC DOZVOLE</w:t>
      </w:r>
      <w:r w:rsidR="00483928" w:rsidRPr="007403A4">
        <w:rPr>
          <w:b/>
          <w:bCs/>
          <w:sz w:val="22"/>
          <w:szCs w:val="22"/>
          <w:lang w:val="sr-Latn-ME"/>
        </w:rPr>
        <w:t xml:space="preserve"> </w:t>
      </w:r>
    </w:p>
    <w:p w14:paraId="3EFC5400" w14:textId="77777777" w:rsidR="00B77615" w:rsidRPr="007403A4" w:rsidRDefault="00B77615" w:rsidP="00C95059">
      <w:pPr>
        <w:tabs>
          <w:tab w:val="left" w:pos="540"/>
          <w:tab w:val="left" w:pos="569"/>
        </w:tabs>
        <w:ind w:right="28"/>
        <w:jc w:val="both"/>
        <w:rPr>
          <w:b/>
          <w:bCs/>
          <w:sz w:val="22"/>
          <w:szCs w:val="22"/>
          <w:lang w:val="sr-Latn-ME"/>
        </w:rPr>
      </w:pPr>
    </w:p>
    <w:p w14:paraId="1AF60CF6" w14:textId="72FF206A" w:rsidR="006E4344" w:rsidRPr="007403A4" w:rsidRDefault="006E4344" w:rsidP="004D3AD0">
      <w:pPr>
        <w:widowControl w:val="0"/>
        <w:spacing w:before="1" w:line="254" w:lineRule="exact"/>
        <w:ind w:right="28"/>
        <w:jc w:val="both"/>
        <w:rPr>
          <w:sz w:val="22"/>
          <w:szCs w:val="22"/>
          <w:lang w:val="sr-Latn-ME"/>
        </w:rPr>
      </w:pPr>
      <w:r w:rsidRPr="007403A4">
        <w:rPr>
          <w:sz w:val="22"/>
          <w:szCs w:val="22"/>
          <w:lang w:val="sr-Latn-ME"/>
        </w:rPr>
        <w:t>''Hoffmann - La Roche LTD'' D.S.D. Podgorica</w:t>
      </w:r>
    </w:p>
    <w:p w14:paraId="6C5BF95B" w14:textId="3D06D353" w:rsidR="006E4344" w:rsidRPr="007403A4" w:rsidRDefault="00784C7D">
      <w:pPr>
        <w:widowControl w:val="0"/>
        <w:spacing w:before="1" w:line="254" w:lineRule="exact"/>
        <w:ind w:right="28"/>
        <w:jc w:val="both"/>
        <w:rPr>
          <w:sz w:val="22"/>
          <w:szCs w:val="22"/>
          <w:lang w:val="sr-Latn-ME"/>
        </w:rPr>
      </w:pPr>
      <w:r w:rsidRPr="007403A4">
        <w:rPr>
          <w:sz w:val="22"/>
          <w:szCs w:val="22"/>
          <w:lang w:val="sr-Latn-ME"/>
        </w:rPr>
        <w:t xml:space="preserve">ul. </w:t>
      </w:r>
      <w:r w:rsidR="006E4344" w:rsidRPr="007403A4">
        <w:rPr>
          <w:sz w:val="22"/>
          <w:szCs w:val="22"/>
          <w:lang w:val="sr-Latn-ME"/>
        </w:rPr>
        <w:t>Cetinjska 11, 81000 Podgorica, Crna Gora</w:t>
      </w:r>
    </w:p>
    <w:p w14:paraId="68F91EFE" w14:textId="38B3F7B5" w:rsidR="00C37FD7" w:rsidRDefault="00C37FD7" w:rsidP="00C95059">
      <w:pPr>
        <w:tabs>
          <w:tab w:val="left" w:pos="540"/>
          <w:tab w:val="left" w:pos="569"/>
        </w:tabs>
        <w:ind w:right="28"/>
        <w:jc w:val="both"/>
        <w:rPr>
          <w:bCs/>
          <w:sz w:val="22"/>
          <w:szCs w:val="22"/>
          <w:lang w:val="sr-Latn-ME"/>
        </w:rPr>
      </w:pPr>
    </w:p>
    <w:p w14:paraId="6B32A66E" w14:textId="77777777" w:rsidR="007403A4" w:rsidRPr="007403A4" w:rsidRDefault="007403A4" w:rsidP="00C95059">
      <w:pPr>
        <w:tabs>
          <w:tab w:val="left" w:pos="540"/>
          <w:tab w:val="left" w:pos="569"/>
        </w:tabs>
        <w:ind w:right="28"/>
        <w:jc w:val="both"/>
        <w:rPr>
          <w:bCs/>
          <w:sz w:val="22"/>
          <w:szCs w:val="22"/>
          <w:lang w:val="sr-Latn-ME"/>
        </w:rPr>
      </w:pPr>
    </w:p>
    <w:p w14:paraId="3826D6DB" w14:textId="78AF4EDB" w:rsidR="0072020E" w:rsidRPr="007403A4" w:rsidRDefault="0072020E" w:rsidP="00C95059">
      <w:pPr>
        <w:tabs>
          <w:tab w:val="left" w:pos="540"/>
          <w:tab w:val="left" w:pos="569"/>
        </w:tabs>
        <w:ind w:right="28"/>
        <w:jc w:val="both"/>
        <w:rPr>
          <w:b/>
          <w:bCs/>
          <w:sz w:val="22"/>
          <w:szCs w:val="22"/>
          <w:lang w:val="sr-Latn-ME"/>
        </w:rPr>
      </w:pPr>
      <w:r w:rsidRPr="007403A4">
        <w:rPr>
          <w:b/>
          <w:bCs/>
          <w:sz w:val="22"/>
          <w:szCs w:val="22"/>
          <w:lang w:val="sr-Latn-ME"/>
        </w:rPr>
        <w:t xml:space="preserve">8. </w:t>
      </w:r>
      <w:r w:rsidR="00480FB1" w:rsidRPr="007403A4">
        <w:rPr>
          <w:b/>
          <w:bCs/>
          <w:sz w:val="22"/>
          <w:szCs w:val="22"/>
          <w:lang w:val="sr-Latn-ME"/>
        </w:rPr>
        <w:tab/>
      </w:r>
      <w:r w:rsidRPr="007403A4">
        <w:rPr>
          <w:b/>
          <w:bCs/>
          <w:sz w:val="22"/>
          <w:szCs w:val="22"/>
          <w:lang w:val="sr-Latn-ME"/>
        </w:rPr>
        <w:t>BROJ DOZVOLE</w:t>
      </w:r>
      <w:r w:rsidR="008A6D43" w:rsidRPr="007403A4">
        <w:rPr>
          <w:b/>
          <w:bCs/>
          <w:sz w:val="22"/>
          <w:szCs w:val="22"/>
          <w:lang w:val="sr-Latn-ME"/>
        </w:rPr>
        <w:t xml:space="preserve"> ZA STAVLJANJE LIJEKA U PROMET</w:t>
      </w:r>
    </w:p>
    <w:p w14:paraId="78711B9F" w14:textId="77777777" w:rsidR="00965F6E" w:rsidRPr="007403A4" w:rsidRDefault="00965F6E" w:rsidP="00C95059">
      <w:pPr>
        <w:tabs>
          <w:tab w:val="left" w:pos="540"/>
          <w:tab w:val="left" w:pos="569"/>
        </w:tabs>
        <w:ind w:right="28"/>
        <w:jc w:val="both"/>
        <w:rPr>
          <w:b/>
          <w:bCs/>
          <w:sz w:val="22"/>
          <w:szCs w:val="22"/>
          <w:lang w:val="sr-Latn-ME"/>
        </w:rPr>
      </w:pPr>
    </w:p>
    <w:p w14:paraId="450D6E91" w14:textId="1EC27D06" w:rsidR="0072020E" w:rsidRPr="007403A4" w:rsidRDefault="00965F6E" w:rsidP="00C95059">
      <w:pPr>
        <w:tabs>
          <w:tab w:val="left" w:pos="540"/>
          <w:tab w:val="left" w:pos="569"/>
        </w:tabs>
        <w:ind w:right="28"/>
        <w:jc w:val="both"/>
        <w:rPr>
          <w:bCs/>
          <w:sz w:val="22"/>
          <w:szCs w:val="22"/>
          <w:lang w:val="sr-Latn-ME"/>
        </w:rPr>
      </w:pPr>
      <w:r w:rsidRPr="007403A4">
        <w:rPr>
          <w:bCs/>
          <w:sz w:val="22"/>
          <w:szCs w:val="22"/>
          <w:lang w:val="sr-Latn-ME"/>
        </w:rPr>
        <w:t>2030/23/1926 - 630</w:t>
      </w:r>
    </w:p>
    <w:p w14:paraId="4E41266A" w14:textId="311A1AFB" w:rsidR="00F45F77" w:rsidRDefault="00F45F77" w:rsidP="00C95059">
      <w:pPr>
        <w:tabs>
          <w:tab w:val="left" w:pos="540"/>
          <w:tab w:val="left" w:pos="569"/>
        </w:tabs>
        <w:ind w:right="28"/>
        <w:jc w:val="both"/>
        <w:rPr>
          <w:bCs/>
          <w:sz w:val="22"/>
          <w:szCs w:val="22"/>
          <w:lang w:val="sr-Latn-ME"/>
        </w:rPr>
      </w:pPr>
    </w:p>
    <w:p w14:paraId="5189ED11" w14:textId="77777777" w:rsidR="007403A4" w:rsidRPr="007403A4" w:rsidRDefault="007403A4" w:rsidP="00C95059">
      <w:pPr>
        <w:tabs>
          <w:tab w:val="left" w:pos="540"/>
          <w:tab w:val="left" w:pos="569"/>
        </w:tabs>
        <w:ind w:right="28"/>
        <w:jc w:val="both"/>
        <w:rPr>
          <w:bCs/>
          <w:sz w:val="22"/>
          <w:szCs w:val="22"/>
          <w:lang w:val="sr-Latn-ME"/>
        </w:rPr>
      </w:pPr>
    </w:p>
    <w:p w14:paraId="346B9896" w14:textId="77777777" w:rsidR="0072020E" w:rsidRPr="007403A4" w:rsidRDefault="0072020E" w:rsidP="00C95059">
      <w:pPr>
        <w:tabs>
          <w:tab w:val="left" w:pos="540"/>
          <w:tab w:val="left" w:pos="569"/>
        </w:tabs>
        <w:ind w:right="28"/>
        <w:jc w:val="both"/>
        <w:rPr>
          <w:b/>
          <w:bCs/>
          <w:sz w:val="22"/>
          <w:szCs w:val="22"/>
          <w:lang w:val="sr-Latn-ME"/>
        </w:rPr>
      </w:pPr>
      <w:r w:rsidRPr="007403A4">
        <w:rPr>
          <w:b/>
          <w:bCs/>
          <w:sz w:val="22"/>
          <w:szCs w:val="22"/>
          <w:lang w:val="sr-Latn-ME"/>
        </w:rPr>
        <w:t xml:space="preserve">9. </w:t>
      </w:r>
      <w:r w:rsidR="00480FB1" w:rsidRPr="007403A4">
        <w:rPr>
          <w:b/>
          <w:bCs/>
          <w:sz w:val="22"/>
          <w:szCs w:val="22"/>
          <w:lang w:val="sr-Latn-ME"/>
        </w:rPr>
        <w:tab/>
      </w:r>
      <w:r w:rsidRPr="007403A4">
        <w:rPr>
          <w:b/>
          <w:bCs/>
          <w:sz w:val="22"/>
          <w:szCs w:val="22"/>
          <w:lang w:val="sr-Latn-ME"/>
        </w:rPr>
        <w:t xml:space="preserve">DATUM </w:t>
      </w:r>
      <w:r w:rsidR="00C05DF8" w:rsidRPr="007403A4">
        <w:rPr>
          <w:b/>
          <w:bCs/>
          <w:sz w:val="22"/>
          <w:szCs w:val="22"/>
          <w:lang w:val="sr-Latn-ME"/>
        </w:rPr>
        <w:t xml:space="preserve">PRVE </w:t>
      </w:r>
      <w:r w:rsidR="008A6D43" w:rsidRPr="007403A4">
        <w:rPr>
          <w:b/>
          <w:bCs/>
          <w:sz w:val="22"/>
          <w:szCs w:val="22"/>
          <w:lang w:val="sr-Latn-ME"/>
        </w:rPr>
        <w:t>DOZVOLE</w:t>
      </w:r>
      <w:r w:rsidR="00C05DF8" w:rsidRPr="007403A4">
        <w:rPr>
          <w:b/>
          <w:bCs/>
          <w:sz w:val="22"/>
          <w:szCs w:val="22"/>
          <w:lang w:val="sr-Latn-ME"/>
        </w:rPr>
        <w:t>/OBNOVE DOZVOLE</w:t>
      </w:r>
      <w:r w:rsidR="008A6D43" w:rsidRPr="007403A4">
        <w:rPr>
          <w:b/>
          <w:bCs/>
          <w:sz w:val="22"/>
          <w:szCs w:val="22"/>
          <w:lang w:val="sr-Latn-ME"/>
        </w:rPr>
        <w:t xml:space="preserve"> ZA STAVLJANJE LIJEKA U PROMET</w:t>
      </w:r>
    </w:p>
    <w:p w14:paraId="1EC9716F" w14:textId="77777777" w:rsidR="0072020E" w:rsidRPr="007403A4" w:rsidRDefault="0072020E" w:rsidP="00C95059">
      <w:pPr>
        <w:tabs>
          <w:tab w:val="left" w:pos="540"/>
          <w:tab w:val="left" w:pos="569"/>
        </w:tabs>
        <w:ind w:right="28"/>
        <w:jc w:val="both"/>
        <w:rPr>
          <w:bCs/>
          <w:sz w:val="22"/>
          <w:szCs w:val="22"/>
          <w:lang w:val="sr-Latn-ME"/>
        </w:rPr>
      </w:pPr>
    </w:p>
    <w:p w14:paraId="311178FB" w14:textId="125E7459" w:rsidR="00B77615" w:rsidRPr="007403A4" w:rsidRDefault="00A317FF" w:rsidP="00C95059">
      <w:pPr>
        <w:tabs>
          <w:tab w:val="left" w:pos="540"/>
          <w:tab w:val="left" w:pos="569"/>
        </w:tabs>
        <w:ind w:right="28"/>
        <w:jc w:val="both"/>
        <w:rPr>
          <w:bCs/>
          <w:sz w:val="22"/>
          <w:szCs w:val="22"/>
          <w:lang w:val="sr-Latn-ME"/>
        </w:rPr>
      </w:pPr>
      <w:r w:rsidRPr="007403A4">
        <w:rPr>
          <w:bCs/>
          <w:sz w:val="22"/>
          <w:szCs w:val="22"/>
          <w:lang w:val="sr-Latn-ME"/>
        </w:rPr>
        <w:t>Datum prve dozvole</w:t>
      </w:r>
      <w:r w:rsidR="00B77615" w:rsidRPr="007403A4">
        <w:rPr>
          <w:bCs/>
          <w:sz w:val="22"/>
          <w:szCs w:val="22"/>
          <w:lang w:val="sr-Latn-ME"/>
        </w:rPr>
        <w:t>: 09.07.2015. godine</w:t>
      </w:r>
    </w:p>
    <w:p w14:paraId="7EBBD51D" w14:textId="0D12AE1F" w:rsidR="00A317FF" w:rsidRPr="007403A4" w:rsidRDefault="00A317FF" w:rsidP="00C95059">
      <w:pPr>
        <w:tabs>
          <w:tab w:val="left" w:pos="540"/>
          <w:tab w:val="left" w:pos="569"/>
        </w:tabs>
        <w:ind w:right="28"/>
        <w:jc w:val="both"/>
        <w:rPr>
          <w:bCs/>
          <w:sz w:val="22"/>
          <w:szCs w:val="22"/>
          <w:lang w:val="sr-Latn-ME"/>
        </w:rPr>
      </w:pPr>
      <w:r w:rsidRPr="007403A4">
        <w:rPr>
          <w:bCs/>
          <w:sz w:val="22"/>
          <w:szCs w:val="22"/>
          <w:lang w:val="sr-Latn-ME"/>
        </w:rPr>
        <w:t>Datum posl</w:t>
      </w:r>
      <w:r w:rsidR="007403A4">
        <w:rPr>
          <w:bCs/>
          <w:sz w:val="22"/>
          <w:szCs w:val="22"/>
          <w:lang w:val="sr-Latn-ME"/>
        </w:rPr>
        <w:t>j</w:t>
      </w:r>
      <w:r w:rsidRPr="007403A4">
        <w:rPr>
          <w:bCs/>
          <w:sz w:val="22"/>
          <w:szCs w:val="22"/>
          <w:lang w:val="sr-Latn-ME"/>
        </w:rPr>
        <w:t xml:space="preserve">ednje obnove dozvole: </w:t>
      </w:r>
      <w:r w:rsidR="00965F6E" w:rsidRPr="007403A4">
        <w:rPr>
          <w:bCs/>
          <w:sz w:val="22"/>
          <w:szCs w:val="22"/>
          <w:lang w:val="sr-Latn-ME"/>
        </w:rPr>
        <w:t>17.05.2023. godine</w:t>
      </w:r>
    </w:p>
    <w:p w14:paraId="065AFDDE" w14:textId="309C63AA" w:rsidR="00836B35" w:rsidRDefault="00836B35" w:rsidP="00C95059">
      <w:pPr>
        <w:tabs>
          <w:tab w:val="left" w:pos="540"/>
          <w:tab w:val="left" w:pos="569"/>
        </w:tabs>
        <w:ind w:right="28"/>
        <w:jc w:val="both"/>
        <w:rPr>
          <w:bCs/>
          <w:sz w:val="22"/>
          <w:szCs w:val="22"/>
          <w:lang w:val="sr-Latn-ME"/>
        </w:rPr>
      </w:pPr>
    </w:p>
    <w:p w14:paraId="7AA830F8" w14:textId="77777777" w:rsidR="007403A4" w:rsidRPr="007403A4" w:rsidRDefault="007403A4" w:rsidP="00C95059">
      <w:pPr>
        <w:tabs>
          <w:tab w:val="left" w:pos="540"/>
          <w:tab w:val="left" w:pos="569"/>
        </w:tabs>
        <w:ind w:right="28"/>
        <w:jc w:val="both"/>
        <w:rPr>
          <w:bCs/>
          <w:sz w:val="22"/>
          <w:szCs w:val="22"/>
          <w:lang w:val="sr-Latn-ME"/>
        </w:rPr>
      </w:pPr>
    </w:p>
    <w:p w14:paraId="6BC9E877" w14:textId="77777777" w:rsidR="003F6A59" w:rsidRPr="007403A4" w:rsidRDefault="0072020E" w:rsidP="00C95059">
      <w:pPr>
        <w:tabs>
          <w:tab w:val="left" w:pos="540"/>
          <w:tab w:val="left" w:pos="569"/>
        </w:tabs>
        <w:ind w:right="28"/>
        <w:jc w:val="both"/>
        <w:rPr>
          <w:bCs/>
          <w:sz w:val="22"/>
          <w:szCs w:val="22"/>
          <w:lang w:val="sr-Latn-ME"/>
        </w:rPr>
      </w:pPr>
      <w:r w:rsidRPr="007403A4">
        <w:rPr>
          <w:b/>
          <w:bCs/>
          <w:sz w:val="22"/>
          <w:szCs w:val="22"/>
          <w:lang w:val="sr-Latn-ME"/>
        </w:rPr>
        <w:t xml:space="preserve">10. </w:t>
      </w:r>
      <w:r w:rsidR="00480FB1" w:rsidRPr="007403A4">
        <w:rPr>
          <w:b/>
          <w:bCs/>
          <w:sz w:val="22"/>
          <w:szCs w:val="22"/>
          <w:lang w:val="sr-Latn-ME"/>
        </w:rPr>
        <w:tab/>
      </w:r>
      <w:r w:rsidR="002846DB" w:rsidRPr="007403A4">
        <w:rPr>
          <w:b/>
          <w:bCs/>
          <w:sz w:val="22"/>
          <w:szCs w:val="22"/>
          <w:lang w:val="sr-Latn-ME"/>
        </w:rPr>
        <w:t>D</w:t>
      </w:r>
      <w:r w:rsidR="00EC2532" w:rsidRPr="007403A4">
        <w:rPr>
          <w:b/>
          <w:bCs/>
          <w:sz w:val="22"/>
          <w:szCs w:val="22"/>
          <w:lang w:val="sr-Latn-ME"/>
        </w:rPr>
        <w:t xml:space="preserve">ATUM REVIZIJE TEKSTA </w:t>
      </w:r>
    </w:p>
    <w:p w14:paraId="3BE80DA0" w14:textId="77777777" w:rsidR="003F6A59" w:rsidRPr="007403A4" w:rsidRDefault="003F6A59" w:rsidP="00C95059">
      <w:pPr>
        <w:ind w:right="28"/>
        <w:jc w:val="both"/>
        <w:rPr>
          <w:sz w:val="22"/>
          <w:szCs w:val="22"/>
          <w:lang w:val="sr-Latn-ME"/>
        </w:rPr>
      </w:pPr>
    </w:p>
    <w:p w14:paraId="505F7848" w14:textId="172BAAE0" w:rsidR="00B77615" w:rsidRPr="007403A4" w:rsidRDefault="007403A4" w:rsidP="00C95059">
      <w:pPr>
        <w:ind w:right="28"/>
        <w:jc w:val="both"/>
        <w:rPr>
          <w:sz w:val="22"/>
          <w:szCs w:val="22"/>
          <w:lang w:val="sr-Latn-ME"/>
        </w:rPr>
      </w:pPr>
      <w:r>
        <w:rPr>
          <w:sz w:val="22"/>
          <w:szCs w:val="22"/>
          <w:lang w:val="sr-Latn-ME"/>
        </w:rPr>
        <w:t>Decembar</w:t>
      </w:r>
      <w:bookmarkStart w:id="0" w:name="_GoBack"/>
      <w:bookmarkEnd w:id="0"/>
      <w:r w:rsidR="00965F6E" w:rsidRPr="007403A4">
        <w:rPr>
          <w:sz w:val="22"/>
          <w:szCs w:val="22"/>
          <w:lang w:val="sr-Latn-ME"/>
        </w:rPr>
        <w:t>, 202</w:t>
      </w:r>
      <w:r w:rsidR="00D377E3" w:rsidRPr="007403A4">
        <w:rPr>
          <w:sz w:val="22"/>
          <w:szCs w:val="22"/>
          <w:lang w:val="sr-Latn-ME"/>
        </w:rPr>
        <w:t>4</w:t>
      </w:r>
      <w:r w:rsidR="00965F6E" w:rsidRPr="007403A4">
        <w:rPr>
          <w:sz w:val="22"/>
          <w:szCs w:val="22"/>
          <w:lang w:val="sr-Latn-ME"/>
        </w:rPr>
        <w:t>. godine</w:t>
      </w:r>
    </w:p>
    <w:sectPr w:rsidR="00B77615" w:rsidRPr="007403A4" w:rsidSect="007C4C0E">
      <w:footerReference w:type="default" r:id="rId21"/>
      <w:pgSz w:w="11909" w:h="16834" w:code="9"/>
      <w:pgMar w:top="1140" w:right="1379" w:bottom="1140" w:left="1412"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236CB" w14:textId="77777777" w:rsidR="00F04C8A" w:rsidRDefault="00F04C8A">
      <w:r>
        <w:separator/>
      </w:r>
    </w:p>
  </w:endnote>
  <w:endnote w:type="continuationSeparator" w:id="0">
    <w:p w14:paraId="5581F702" w14:textId="77777777" w:rsidR="00F04C8A" w:rsidRDefault="00F0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Rmn 12pt">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Univers Condensed">
    <w:panose1 w:val="00000000000000000000"/>
    <w:charset w:val="00"/>
    <w:family w:val="swiss"/>
    <w:notTrueType/>
    <w:pitch w:val="variable"/>
    <w:sig w:usb0="00000003" w:usb1="00000000" w:usb2="00000000" w:usb3="00000000" w:csb0="00000001" w:csb1="00000000"/>
  </w:font>
  <w:font w:name="Humanist777">
    <w:altName w:val="Lucida Sans Unicode"/>
    <w:charset w:val="00"/>
    <w:family w:val="swiss"/>
    <w:pitch w:val="variable"/>
    <w:sig w:usb0="00000087" w:usb1="00000000" w:usb2="00000000" w:usb3="00000000" w:csb0="0000001B"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Dutch">
    <w:altName w:val="Courier New"/>
    <w:charset w:val="00"/>
    <w:family w:val="roman"/>
    <w:pitch w:val="variable"/>
    <w:sig w:usb0="00000083" w:usb1="00000000" w:usb2="00000000" w:usb3="00000000" w:csb0="00000009"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63718" w14:textId="1A64D822" w:rsidR="00E313B8" w:rsidRPr="00B23F69" w:rsidRDefault="00E313B8" w:rsidP="00B23F69">
    <w:pPr>
      <w:pStyle w:val="Footer"/>
      <w:jc w:val="center"/>
      <w:rPr>
        <w:sz w:val="22"/>
        <w:szCs w:val="22"/>
      </w:rPr>
    </w:pPr>
    <w:r w:rsidRPr="00B23F69">
      <w:rPr>
        <w:sz w:val="22"/>
        <w:szCs w:val="22"/>
      </w:rPr>
      <w:fldChar w:fldCharType="begin"/>
    </w:r>
    <w:r w:rsidRPr="00B23F69">
      <w:rPr>
        <w:sz w:val="22"/>
        <w:szCs w:val="22"/>
      </w:rPr>
      <w:instrText xml:space="preserve"> PAGE </w:instrText>
    </w:r>
    <w:r w:rsidRPr="00B23F69">
      <w:rPr>
        <w:sz w:val="22"/>
        <w:szCs w:val="22"/>
      </w:rPr>
      <w:fldChar w:fldCharType="separate"/>
    </w:r>
    <w:r w:rsidR="007403A4">
      <w:rPr>
        <w:noProof/>
        <w:sz w:val="22"/>
        <w:szCs w:val="22"/>
      </w:rPr>
      <w:t>36</w:t>
    </w:r>
    <w:r w:rsidRPr="00B23F69">
      <w:rPr>
        <w:sz w:val="22"/>
        <w:szCs w:val="22"/>
      </w:rPr>
      <w:fldChar w:fldCharType="end"/>
    </w:r>
    <w:r w:rsidRPr="00B23F69">
      <w:rPr>
        <w:sz w:val="22"/>
        <w:szCs w:val="22"/>
      </w:rPr>
      <w:t xml:space="preserve"> / </w:t>
    </w:r>
    <w:r w:rsidRPr="00B23F69">
      <w:rPr>
        <w:sz w:val="22"/>
        <w:szCs w:val="22"/>
      </w:rPr>
      <w:fldChar w:fldCharType="begin"/>
    </w:r>
    <w:r w:rsidRPr="00B23F69">
      <w:rPr>
        <w:sz w:val="22"/>
        <w:szCs w:val="22"/>
      </w:rPr>
      <w:instrText xml:space="preserve"> NUMPAGES </w:instrText>
    </w:r>
    <w:r w:rsidRPr="00B23F69">
      <w:rPr>
        <w:sz w:val="22"/>
        <w:szCs w:val="22"/>
      </w:rPr>
      <w:fldChar w:fldCharType="separate"/>
    </w:r>
    <w:r w:rsidR="007403A4">
      <w:rPr>
        <w:noProof/>
        <w:sz w:val="22"/>
        <w:szCs w:val="22"/>
      </w:rPr>
      <w:t>37</w:t>
    </w:r>
    <w:r w:rsidRPr="00B23F69">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E5357" w14:textId="77777777" w:rsidR="00F04C8A" w:rsidRDefault="00F04C8A">
      <w:r>
        <w:separator/>
      </w:r>
    </w:p>
  </w:footnote>
  <w:footnote w:type="continuationSeparator" w:id="0">
    <w:p w14:paraId="14AC8C14" w14:textId="77777777" w:rsidR="00F04C8A" w:rsidRDefault="00F04C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0687C"/>
    <w:multiLevelType w:val="multilevel"/>
    <w:tmpl w:val="0409001F"/>
    <w:styleLink w:val="111111"/>
    <w:lvl w:ilvl="0">
      <w:start w:val="1"/>
      <w:numFmt w:val="decimal"/>
      <w:lvlText w:val="%1."/>
      <w:lvlJc w:val="left"/>
      <w:pPr>
        <w:tabs>
          <w:tab w:val="num" w:pos="360"/>
        </w:tabs>
        <w:ind w:left="108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11DA13DA"/>
    <w:multiLevelType w:val="hybridMultilevel"/>
    <w:tmpl w:val="AB1E23E0"/>
    <w:lvl w:ilvl="0" w:tplc="141A0001">
      <w:start w:val="1"/>
      <w:numFmt w:val="bullet"/>
      <w:pStyle w:val="Bullet0dK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15:restartNumberingAfterBreak="0">
    <w:nsid w:val="137070FD"/>
    <w:multiLevelType w:val="hybridMultilevel"/>
    <w:tmpl w:val="D12C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943647"/>
    <w:multiLevelType w:val="hybridMultilevel"/>
    <w:tmpl w:val="DDCA2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D0C73"/>
    <w:multiLevelType w:val="hybridMultilevel"/>
    <w:tmpl w:val="83E4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B1C1E"/>
    <w:multiLevelType w:val="hybridMultilevel"/>
    <w:tmpl w:val="B1F2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4E370B"/>
    <w:multiLevelType w:val="hybridMultilevel"/>
    <w:tmpl w:val="DFFEB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C95C2B"/>
    <w:multiLevelType w:val="hybridMultilevel"/>
    <w:tmpl w:val="4B64A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E89238D"/>
    <w:multiLevelType w:val="hybridMultilevel"/>
    <w:tmpl w:val="F72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7"/>
  </w:num>
  <w:num w:numId="5">
    <w:abstractNumId w:val="8"/>
  </w:num>
  <w:num w:numId="6">
    <w:abstractNumId w:val="2"/>
  </w:num>
  <w:num w:numId="7">
    <w:abstractNumId w:val="6"/>
  </w:num>
  <w:num w:numId="8">
    <w:abstractNumId w:val="5"/>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D6"/>
    <w:rsid w:val="00000528"/>
    <w:rsid w:val="0000627F"/>
    <w:rsid w:val="000176CA"/>
    <w:rsid w:val="000259E6"/>
    <w:rsid w:val="00030776"/>
    <w:rsid w:val="00036FA0"/>
    <w:rsid w:val="0003793F"/>
    <w:rsid w:val="00057E35"/>
    <w:rsid w:val="00067C3F"/>
    <w:rsid w:val="00076726"/>
    <w:rsid w:val="00080303"/>
    <w:rsid w:val="000A3F58"/>
    <w:rsid w:val="000B27F7"/>
    <w:rsid w:val="000B3C1B"/>
    <w:rsid w:val="000C0C5A"/>
    <w:rsid w:val="000C5E7B"/>
    <w:rsid w:val="000D2343"/>
    <w:rsid w:val="000D3449"/>
    <w:rsid w:val="000D425A"/>
    <w:rsid w:val="000D60CC"/>
    <w:rsid w:val="000E2084"/>
    <w:rsid w:val="000E4784"/>
    <w:rsid w:val="000E6F55"/>
    <w:rsid w:val="000F77FA"/>
    <w:rsid w:val="00103B17"/>
    <w:rsid w:val="00107BF7"/>
    <w:rsid w:val="0012244F"/>
    <w:rsid w:val="00122FA7"/>
    <w:rsid w:val="00126F53"/>
    <w:rsid w:val="0014766D"/>
    <w:rsid w:val="001536CC"/>
    <w:rsid w:val="00155499"/>
    <w:rsid w:val="00162A57"/>
    <w:rsid w:val="0016580D"/>
    <w:rsid w:val="00165AC0"/>
    <w:rsid w:val="0018511B"/>
    <w:rsid w:val="001A3060"/>
    <w:rsid w:val="001A3FBA"/>
    <w:rsid w:val="001A5518"/>
    <w:rsid w:val="001B1C6A"/>
    <w:rsid w:val="001B2395"/>
    <w:rsid w:val="001B302C"/>
    <w:rsid w:val="001C1263"/>
    <w:rsid w:val="001C1417"/>
    <w:rsid w:val="001C2545"/>
    <w:rsid w:val="001E390B"/>
    <w:rsid w:val="001F42FB"/>
    <w:rsid w:val="001F719A"/>
    <w:rsid w:val="002031B3"/>
    <w:rsid w:val="00213B3D"/>
    <w:rsid w:val="00215931"/>
    <w:rsid w:val="00224CDD"/>
    <w:rsid w:val="00227BDB"/>
    <w:rsid w:val="00233E04"/>
    <w:rsid w:val="00234C0F"/>
    <w:rsid w:val="00234CB1"/>
    <w:rsid w:val="002352F8"/>
    <w:rsid w:val="002510A5"/>
    <w:rsid w:val="00251D33"/>
    <w:rsid w:val="00254A0A"/>
    <w:rsid w:val="00266046"/>
    <w:rsid w:val="00267C75"/>
    <w:rsid w:val="002846DB"/>
    <w:rsid w:val="00284CCD"/>
    <w:rsid w:val="002960D2"/>
    <w:rsid w:val="002A5835"/>
    <w:rsid w:val="002B55B5"/>
    <w:rsid w:val="002C6637"/>
    <w:rsid w:val="002E0135"/>
    <w:rsid w:val="002E37A5"/>
    <w:rsid w:val="0030430A"/>
    <w:rsid w:val="003064F9"/>
    <w:rsid w:val="0030757A"/>
    <w:rsid w:val="00310F03"/>
    <w:rsid w:val="0031359E"/>
    <w:rsid w:val="00317553"/>
    <w:rsid w:val="003247D2"/>
    <w:rsid w:val="00332329"/>
    <w:rsid w:val="00336207"/>
    <w:rsid w:val="003445C1"/>
    <w:rsid w:val="00355B61"/>
    <w:rsid w:val="00360417"/>
    <w:rsid w:val="00362686"/>
    <w:rsid w:val="00371411"/>
    <w:rsid w:val="00371510"/>
    <w:rsid w:val="0038510B"/>
    <w:rsid w:val="00386317"/>
    <w:rsid w:val="00396DFD"/>
    <w:rsid w:val="003A40EB"/>
    <w:rsid w:val="003A7059"/>
    <w:rsid w:val="003B7A36"/>
    <w:rsid w:val="003C17AB"/>
    <w:rsid w:val="003C6749"/>
    <w:rsid w:val="003C7823"/>
    <w:rsid w:val="003E1AA0"/>
    <w:rsid w:val="003E1DCC"/>
    <w:rsid w:val="003E5F40"/>
    <w:rsid w:val="003F6A59"/>
    <w:rsid w:val="00402A5A"/>
    <w:rsid w:val="00403FFA"/>
    <w:rsid w:val="004065C8"/>
    <w:rsid w:val="0040713E"/>
    <w:rsid w:val="00410997"/>
    <w:rsid w:val="00411B4B"/>
    <w:rsid w:val="00415BEE"/>
    <w:rsid w:val="00420E0E"/>
    <w:rsid w:val="00421A7C"/>
    <w:rsid w:val="00427F85"/>
    <w:rsid w:val="004316E9"/>
    <w:rsid w:val="004328FD"/>
    <w:rsid w:val="00436F42"/>
    <w:rsid w:val="004374D1"/>
    <w:rsid w:val="004378B4"/>
    <w:rsid w:val="00443D92"/>
    <w:rsid w:val="00451314"/>
    <w:rsid w:val="00452E9D"/>
    <w:rsid w:val="004534C7"/>
    <w:rsid w:val="00456138"/>
    <w:rsid w:val="004671AA"/>
    <w:rsid w:val="00480FB1"/>
    <w:rsid w:val="00483928"/>
    <w:rsid w:val="004A6595"/>
    <w:rsid w:val="004D3AD0"/>
    <w:rsid w:val="004D59E1"/>
    <w:rsid w:val="004D6103"/>
    <w:rsid w:val="004E3BCE"/>
    <w:rsid w:val="004E6D63"/>
    <w:rsid w:val="004F0E97"/>
    <w:rsid w:val="004F24AB"/>
    <w:rsid w:val="004F2FB3"/>
    <w:rsid w:val="00501A7E"/>
    <w:rsid w:val="00503B25"/>
    <w:rsid w:val="00513079"/>
    <w:rsid w:val="00515C21"/>
    <w:rsid w:val="00524085"/>
    <w:rsid w:val="00530BD7"/>
    <w:rsid w:val="00545CD2"/>
    <w:rsid w:val="005476F3"/>
    <w:rsid w:val="00565CD9"/>
    <w:rsid w:val="00572527"/>
    <w:rsid w:val="00573E40"/>
    <w:rsid w:val="00576348"/>
    <w:rsid w:val="0058265C"/>
    <w:rsid w:val="00584842"/>
    <w:rsid w:val="005946FC"/>
    <w:rsid w:val="005A0B2E"/>
    <w:rsid w:val="005A136F"/>
    <w:rsid w:val="005A23D2"/>
    <w:rsid w:val="005A36CB"/>
    <w:rsid w:val="005B0F00"/>
    <w:rsid w:val="005B49B8"/>
    <w:rsid w:val="005C0741"/>
    <w:rsid w:val="005C5EF4"/>
    <w:rsid w:val="005E2E0B"/>
    <w:rsid w:val="005E5D5E"/>
    <w:rsid w:val="005E7A7D"/>
    <w:rsid w:val="005F2608"/>
    <w:rsid w:val="005F3932"/>
    <w:rsid w:val="005F3C52"/>
    <w:rsid w:val="00612405"/>
    <w:rsid w:val="006207A5"/>
    <w:rsid w:val="00635766"/>
    <w:rsid w:val="00646BD1"/>
    <w:rsid w:val="00654A41"/>
    <w:rsid w:val="006561C2"/>
    <w:rsid w:val="00671CB3"/>
    <w:rsid w:val="00674BAF"/>
    <w:rsid w:val="006817E1"/>
    <w:rsid w:val="00682200"/>
    <w:rsid w:val="006A1497"/>
    <w:rsid w:val="006B0BD1"/>
    <w:rsid w:val="006D20A5"/>
    <w:rsid w:val="006D2C75"/>
    <w:rsid w:val="006D37BF"/>
    <w:rsid w:val="006E4344"/>
    <w:rsid w:val="006F0061"/>
    <w:rsid w:val="006F4017"/>
    <w:rsid w:val="00700E90"/>
    <w:rsid w:val="00702E22"/>
    <w:rsid w:val="007032A1"/>
    <w:rsid w:val="0072020E"/>
    <w:rsid w:val="00723E1A"/>
    <w:rsid w:val="007310EC"/>
    <w:rsid w:val="007403A4"/>
    <w:rsid w:val="00741222"/>
    <w:rsid w:val="00782148"/>
    <w:rsid w:val="00784C7D"/>
    <w:rsid w:val="00786071"/>
    <w:rsid w:val="007913A0"/>
    <w:rsid w:val="007A2492"/>
    <w:rsid w:val="007A3ECB"/>
    <w:rsid w:val="007C4C0E"/>
    <w:rsid w:val="0080183D"/>
    <w:rsid w:val="008018FC"/>
    <w:rsid w:val="00824AB9"/>
    <w:rsid w:val="00824B13"/>
    <w:rsid w:val="00836B35"/>
    <w:rsid w:val="00843BDE"/>
    <w:rsid w:val="00850A07"/>
    <w:rsid w:val="008627DD"/>
    <w:rsid w:val="00871B39"/>
    <w:rsid w:val="00887627"/>
    <w:rsid w:val="0089599F"/>
    <w:rsid w:val="0089705C"/>
    <w:rsid w:val="008A6D43"/>
    <w:rsid w:val="008A7A48"/>
    <w:rsid w:val="008B491E"/>
    <w:rsid w:val="008C1A28"/>
    <w:rsid w:val="008C2E98"/>
    <w:rsid w:val="008E49BD"/>
    <w:rsid w:val="008E53E9"/>
    <w:rsid w:val="008E5771"/>
    <w:rsid w:val="00911BC4"/>
    <w:rsid w:val="00915D61"/>
    <w:rsid w:val="009325CE"/>
    <w:rsid w:val="00932A9D"/>
    <w:rsid w:val="00940B9B"/>
    <w:rsid w:val="00942B09"/>
    <w:rsid w:val="0095676E"/>
    <w:rsid w:val="00956983"/>
    <w:rsid w:val="00963CF0"/>
    <w:rsid w:val="009648EB"/>
    <w:rsid w:val="00964BB1"/>
    <w:rsid w:val="00965F6E"/>
    <w:rsid w:val="009775D9"/>
    <w:rsid w:val="00980D58"/>
    <w:rsid w:val="00993F6C"/>
    <w:rsid w:val="00997175"/>
    <w:rsid w:val="009A1847"/>
    <w:rsid w:val="009B062A"/>
    <w:rsid w:val="009B1B53"/>
    <w:rsid w:val="009D14CF"/>
    <w:rsid w:val="009D4DD4"/>
    <w:rsid w:val="009D7E6E"/>
    <w:rsid w:val="009E1769"/>
    <w:rsid w:val="009E7C6F"/>
    <w:rsid w:val="009F1793"/>
    <w:rsid w:val="009F2D23"/>
    <w:rsid w:val="009F4E32"/>
    <w:rsid w:val="00A01D69"/>
    <w:rsid w:val="00A02335"/>
    <w:rsid w:val="00A13B2C"/>
    <w:rsid w:val="00A21B70"/>
    <w:rsid w:val="00A264A4"/>
    <w:rsid w:val="00A2698C"/>
    <w:rsid w:val="00A30407"/>
    <w:rsid w:val="00A317FF"/>
    <w:rsid w:val="00A46C9A"/>
    <w:rsid w:val="00A619F3"/>
    <w:rsid w:val="00A62A73"/>
    <w:rsid w:val="00A839C3"/>
    <w:rsid w:val="00A87FF6"/>
    <w:rsid w:val="00AA0A3B"/>
    <w:rsid w:val="00AA7DE2"/>
    <w:rsid w:val="00AB1E38"/>
    <w:rsid w:val="00AB27F7"/>
    <w:rsid w:val="00AB50CA"/>
    <w:rsid w:val="00AC53CE"/>
    <w:rsid w:val="00AD2193"/>
    <w:rsid w:val="00AE12AC"/>
    <w:rsid w:val="00AF2AC7"/>
    <w:rsid w:val="00AF74CE"/>
    <w:rsid w:val="00B01598"/>
    <w:rsid w:val="00B13134"/>
    <w:rsid w:val="00B208DB"/>
    <w:rsid w:val="00B23F69"/>
    <w:rsid w:val="00B60619"/>
    <w:rsid w:val="00B66A70"/>
    <w:rsid w:val="00B67366"/>
    <w:rsid w:val="00B77615"/>
    <w:rsid w:val="00B80EE1"/>
    <w:rsid w:val="00B84135"/>
    <w:rsid w:val="00B85712"/>
    <w:rsid w:val="00B85AC6"/>
    <w:rsid w:val="00BB6DBC"/>
    <w:rsid w:val="00C04D34"/>
    <w:rsid w:val="00C05DF8"/>
    <w:rsid w:val="00C06864"/>
    <w:rsid w:val="00C10F54"/>
    <w:rsid w:val="00C23D8D"/>
    <w:rsid w:val="00C37AA3"/>
    <w:rsid w:val="00C37FD7"/>
    <w:rsid w:val="00C40CEB"/>
    <w:rsid w:val="00C43419"/>
    <w:rsid w:val="00C44CF3"/>
    <w:rsid w:val="00C61BE0"/>
    <w:rsid w:val="00C70B0E"/>
    <w:rsid w:val="00C7469C"/>
    <w:rsid w:val="00C74B41"/>
    <w:rsid w:val="00C773CA"/>
    <w:rsid w:val="00C8080F"/>
    <w:rsid w:val="00C81238"/>
    <w:rsid w:val="00C83785"/>
    <w:rsid w:val="00C93538"/>
    <w:rsid w:val="00C94BFB"/>
    <w:rsid w:val="00C94C0D"/>
    <w:rsid w:val="00C95059"/>
    <w:rsid w:val="00CA1FEB"/>
    <w:rsid w:val="00CC0891"/>
    <w:rsid w:val="00CD4F85"/>
    <w:rsid w:val="00CD6F02"/>
    <w:rsid w:val="00CE246D"/>
    <w:rsid w:val="00CE44AB"/>
    <w:rsid w:val="00CF07A0"/>
    <w:rsid w:val="00CF3E03"/>
    <w:rsid w:val="00D0082A"/>
    <w:rsid w:val="00D073D7"/>
    <w:rsid w:val="00D201BD"/>
    <w:rsid w:val="00D21455"/>
    <w:rsid w:val="00D232C8"/>
    <w:rsid w:val="00D235DD"/>
    <w:rsid w:val="00D377E3"/>
    <w:rsid w:val="00D47634"/>
    <w:rsid w:val="00D57572"/>
    <w:rsid w:val="00D66547"/>
    <w:rsid w:val="00D709B3"/>
    <w:rsid w:val="00D82003"/>
    <w:rsid w:val="00D83B1D"/>
    <w:rsid w:val="00D869D4"/>
    <w:rsid w:val="00D97787"/>
    <w:rsid w:val="00DA2ED6"/>
    <w:rsid w:val="00DB76B8"/>
    <w:rsid w:val="00DC0C7B"/>
    <w:rsid w:val="00DC2EA1"/>
    <w:rsid w:val="00DC3789"/>
    <w:rsid w:val="00DD0C84"/>
    <w:rsid w:val="00DD6AAF"/>
    <w:rsid w:val="00DD72FA"/>
    <w:rsid w:val="00DE3F5C"/>
    <w:rsid w:val="00DE7B61"/>
    <w:rsid w:val="00DF1D20"/>
    <w:rsid w:val="00E14626"/>
    <w:rsid w:val="00E21324"/>
    <w:rsid w:val="00E23070"/>
    <w:rsid w:val="00E246B9"/>
    <w:rsid w:val="00E27A4C"/>
    <w:rsid w:val="00E313B8"/>
    <w:rsid w:val="00E31FEA"/>
    <w:rsid w:val="00E45169"/>
    <w:rsid w:val="00E47787"/>
    <w:rsid w:val="00E506D6"/>
    <w:rsid w:val="00E51C30"/>
    <w:rsid w:val="00E64180"/>
    <w:rsid w:val="00E720CD"/>
    <w:rsid w:val="00E74AEE"/>
    <w:rsid w:val="00E80057"/>
    <w:rsid w:val="00E868E5"/>
    <w:rsid w:val="00E9237A"/>
    <w:rsid w:val="00E939FA"/>
    <w:rsid w:val="00EA5765"/>
    <w:rsid w:val="00EC2532"/>
    <w:rsid w:val="00ED433E"/>
    <w:rsid w:val="00ED7812"/>
    <w:rsid w:val="00ED7C77"/>
    <w:rsid w:val="00ED7CC4"/>
    <w:rsid w:val="00EE5F36"/>
    <w:rsid w:val="00EF3B86"/>
    <w:rsid w:val="00EF3E65"/>
    <w:rsid w:val="00F04C8A"/>
    <w:rsid w:val="00F12892"/>
    <w:rsid w:val="00F213C5"/>
    <w:rsid w:val="00F3025A"/>
    <w:rsid w:val="00F317E9"/>
    <w:rsid w:val="00F34554"/>
    <w:rsid w:val="00F34FC4"/>
    <w:rsid w:val="00F37A63"/>
    <w:rsid w:val="00F41173"/>
    <w:rsid w:val="00F45F77"/>
    <w:rsid w:val="00F5167F"/>
    <w:rsid w:val="00F52258"/>
    <w:rsid w:val="00F54DFB"/>
    <w:rsid w:val="00F75966"/>
    <w:rsid w:val="00F8570A"/>
    <w:rsid w:val="00F91C7B"/>
    <w:rsid w:val="00F92CF1"/>
    <w:rsid w:val="00FC26E3"/>
    <w:rsid w:val="00FF5F82"/>
  </w:rsids>
  <m:mathPr>
    <m:mathFont m:val="Cambria Math"/>
    <m:brkBin m:val="before"/>
    <m:brkBinSub m:val="--"/>
    <m:smallFrac m:val="0"/>
    <m:dispDef/>
    <m:lMargin m:val="0"/>
    <m:rMargin m:val="0"/>
    <m:defJc m:val="centerGroup"/>
    <m:wrapIndent m:val="1440"/>
    <m:intLim m:val="subSup"/>
    <m:naryLim m:val="undOvr"/>
  </m:mathPr>
  <w:themeFontLang w:val="sr-Latn-M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EA89AF9"/>
  <w15:chartTrackingRefBased/>
  <w15:docId w15:val="{72686179-00AE-4FF5-9B6D-A3DA2EF3E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r-Latn-ME" w:eastAsia="sr-Latn-ME" w:bidi="ar-SA"/>
      </w:rPr>
    </w:rPrDefault>
    <w:pPrDefault/>
  </w:docDefaults>
  <w:latentStyles w:defLockedState="0" w:defUIPriority="0" w:defSemiHidden="0" w:defUnhideWhenUsed="0" w:defQFormat="0" w:count="371">
    <w:lsdException w:name="Normal" w:qFormat="1"/>
    <w:lsdException w:name="heading 1" w:uiPriority="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uiPriority="1" w:qFormat="1"/>
    <w:lsdException w:name="Subtitle" w:qFormat="1"/>
    <w:lsdException w:name="Body Text Indent 3"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1"/>
    <w:qFormat/>
    <w:rsid w:val="00ED7C77"/>
    <w:pPr>
      <w:keepNext/>
      <w:tabs>
        <w:tab w:val="num" w:pos="567"/>
      </w:tabs>
      <w:spacing w:before="240" w:after="240"/>
      <w:jc w:val="both"/>
      <w:outlineLvl w:val="0"/>
    </w:pPr>
    <w:rPr>
      <w:b/>
      <w:caps/>
      <w:szCs w:val="20"/>
      <w:lang w:val="en-GB"/>
    </w:rPr>
  </w:style>
  <w:style w:type="paragraph" w:styleId="Heading2">
    <w:name w:val="heading 2"/>
    <w:basedOn w:val="Normal"/>
    <w:next w:val="Normal"/>
    <w:link w:val="Heading2Char"/>
    <w:qFormat/>
    <w:rsid w:val="005A0B2E"/>
    <w:pPr>
      <w:keepNext/>
      <w:tabs>
        <w:tab w:val="left" w:pos="284"/>
      </w:tabs>
      <w:jc w:val="center"/>
      <w:outlineLvl w:val="1"/>
    </w:pPr>
    <w:rPr>
      <w:rFonts w:ascii="Arial" w:hAnsi="Arial" w:cs="Arial"/>
      <w:i/>
      <w:iCs/>
      <w:color w:val="999999"/>
      <w:sz w:val="18"/>
    </w:rPr>
  </w:style>
  <w:style w:type="paragraph" w:styleId="Heading3">
    <w:name w:val="heading 3"/>
    <w:basedOn w:val="Normal"/>
    <w:next w:val="Normal"/>
    <w:link w:val="Heading3Char"/>
    <w:qFormat/>
    <w:rsid w:val="00ED7C77"/>
    <w:pPr>
      <w:keepNext/>
      <w:tabs>
        <w:tab w:val="num" w:pos="1985"/>
      </w:tabs>
      <w:ind w:left="1985" w:hanging="1985"/>
      <w:jc w:val="both"/>
      <w:outlineLvl w:val="2"/>
    </w:pPr>
    <w:rPr>
      <w:b/>
      <w:szCs w:val="20"/>
      <w:lang w:val="en-GB"/>
    </w:rPr>
  </w:style>
  <w:style w:type="paragraph" w:styleId="Heading4">
    <w:name w:val="heading 4"/>
    <w:basedOn w:val="Normal"/>
    <w:next w:val="Normal"/>
    <w:link w:val="Heading4Char"/>
    <w:qFormat/>
    <w:rsid w:val="00ED7C77"/>
    <w:pPr>
      <w:keepNext/>
      <w:tabs>
        <w:tab w:val="num" w:pos="864"/>
      </w:tabs>
      <w:ind w:left="864" w:hanging="864"/>
      <w:jc w:val="both"/>
      <w:outlineLvl w:val="3"/>
    </w:pPr>
    <w:rPr>
      <w:b/>
      <w:szCs w:val="20"/>
      <w:lang w:val="ru-RU"/>
    </w:rPr>
  </w:style>
  <w:style w:type="paragraph" w:styleId="Heading5">
    <w:name w:val="heading 5"/>
    <w:basedOn w:val="Normal"/>
    <w:next w:val="Normal"/>
    <w:link w:val="Heading5Char"/>
    <w:qFormat/>
    <w:rsid w:val="00ED7C77"/>
    <w:pPr>
      <w:keepNext/>
      <w:tabs>
        <w:tab w:val="num" w:pos="1008"/>
      </w:tabs>
      <w:ind w:left="1008" w:hanging="1008"/>
      <w:outlineLvl w:val="4"/>
    </w:pPr>
    <w:rPr>
      <w:b/>
      <w:szCs w:val="20"/>
      <w:lang w:val="en-GB"/>
    </w:rPr>
  </w:style>
  <w:style w:type="paragraph" w:styleId="Heading6">
    <w:name w:val="heading 6"/>
    <w:basedOn w:val="Normal"/>
    <w:next w:val="Normal"/>
    <w:link w:val="Heading6Char"/>
    <w:qFormat/>
    <w:rsid w:val="00ED7C77"/>
    <w:pPr>
      <w:tabs>
        <w:tab w:val="num" w:pos="1152"/>
      </w:tabs>
      <w:spacing w:before="240" w:after="60"/>
      <w:ind w:left="1152" w:hanging="1152"/>
      <w:outlineLvl w:val="5"/>
    </w:pPr>
    <w:rPr>
      <w:b/>
      <w:bCs/>
      <w:sz w:val="22"/>
      <w:szCs w:val="22"/>
      <w:lang w:val="en-AU"/>
    </w:rPr>
  </w:style>
  <w:style w:type="paragraph" w:styleId="Heading7">
    <w:name w:val="heading 7"/>
    <w:basedOn w:val="Normal"/>
    <w:next w:val="Normal"/>
    <w:link w:val="Heading7Char"/>
    <w:qFormat/>
    <w:rsid w:val="00ED7C77"/>
    <w:pPr>
      <w:tabs>
        <w:tab w:val="num" w:pos="1296"/>
      </w:tabs>
      <w:spacing w:before="240" w:after="60"/>
      <w:ind w:left="1296" w:hanging="1296"/>
      <w:outlineLvl w:val="6"/>
    </w:pPr>
    <w:rPr>
      <w:lang w:val="en-AU"/>
    </w:rPr>
  </w:style>
  <w:style w:type="paragraph" w:styleId="Heading8">
    <w:name w:val="heading 8"/>
    <w:basedOn w:val="Normal"/>
    <w:next w:val="Normal"/>
    <w:link w:val="Heading8Char"/>
    <w:qFormat/>
    <w:rsid w:val="00ED7C77"/>
    <w:pPr>
      <w:spacing w:before="240" w:after="60"/>
      <w:outlineLvl w:val="7"/>
    </w:pPr>
    <w:rPr>
      <w:i/>
      <w:iCs/>
      <w:lang w:val="sr-Latn-RS"/>
    </w:rPr>
  </w:style>
  <w:style w:type="paragraph" w:styleId="Heading9">
    <w:name w:val="heading 9"/>
    <w:basedOn w:val="Normal"/>
    <w:next w:val="Normal"/>
    <w:link w:val="Heading9Char"/>
    <w:qFormat/>
    <w:rsid w:val="00ED7C77"/>
    <w:pPr>
      <w:tabs>
        <w:tab w:val="num" w:pos="1584"/>
      </w:tabs>
      <w:spacing w:before="240" w:after="60"/>
      <w:ind w:left="1584" w:hanging="1584"/>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1,Header Char Char,Header Char1 Char Char,Header Char Char Char Char,Char Char Char Char Char,Char Char1 Char Char,Char Char Char,Char Char1,Header Char1 Char Char Char Char,Header Char Char Char Char Char Char, Char,Header Char,Char"/>
    <w:basedOn w:val="Normal"/>
    <w:link w:val="HeaderChar2"/>
    <w:uiPriority w:val="99"/>
    <w:rsid w:val="00E246B9"/>
    <w:pPr>
      <w:tabs>
        <w:tab w:val="center" w:pos="4320"/>
        <w:tab w:val="right" w:pos="8640"/>
      </w:tabs>
    </w:pPr>
  </w:style>
  <w:style w:type="paragraph" w:styleId="Footer">
    <w:name w:val="footer"/>
    <w:basedOn w:val="Normal"/>
    <w:link w:val="FooterChar"/>
    <w:rsid w:val="00E246B9"/>
    <w:pPr>
      <w:tabs>
        <w:tab w:val="center" w:pos="4320"/>
        <w:tab w:val="right" w:pos="8640"/>
      </w:tabs>
    </w:pPr>
  </w:style>
  <w:style w:type="character" w:styleId="PageNumber">
    <w:name w:val="page number"/>
    <w:basedOn w:val="DefaultParagraphFont"/>
    <w:rsid w:val="00E246B9"/>
  </w:style>
  <w:style w:type="numbering" w:styleId="111111">
    <w:name w:val="Outline List 2"/>
    <w:basedOn w:val="NoList"/>
    <w:rsid w:val="00E246B9"/>
    <w:pPr>
      <w:numPr>
        <w:numId w:val="1"/>
      </w:numPr>
    </w:pPr>
  </w:style>
  <w:style w:type="character" w:styleId="CommentReference">
    <w:name w:val="annotation reference"/>
    <w:rsid w:val="005A0B2E"/>
    <w:rPr>
      <w:sz w:val="16"/>
      <w:szCs w:val="16"/>
    </w:rPr>
  </w:style>
  <w:style w:type="paragraph" w:styleId="CommentText">
    <w:name w:val="annotation text"/>
    <w:basedOn w:val="Normal"/>
    <w:link w:val="CommentTextChar"/>
    <w:rsid w:val="005A0B2E"/>
    <w:rPr>
      <w:sz w:val="20"/>
      <w:szCs w:val="20"/>
    </w:rPr>
  </w:style>
  <w:style w:type="paragraph" w:styleId="CommentSubject">
    <w:name w:val="annotation subject"/>
    <w:basedOn w:val="CommentText"/>
    <w:next w:val="CommentText"/>
    <w:link w:val="CommentSubjectChar"/>
    <w:rsid w:val="005A0B2E"/>
    <w:rPr>
      <w:b/>
      <w:bCs/>
    </w:rPr>
  </w:style>
  <w:style w:type="paragraph" w:styleId="BalloonText">
    <w:name w:val="Balloon Text"/>
    <w:basedOn w:val="Normal"/>
    <w:link w:val="BalloonTextChar"/>
    <w:rsid w:val="005A0B2E"/>
    <w:rPr>
      <w:rFonts w:ascii="Tahoma" w:hAnsi="Tahoma" w:cs="Tahoma"/>
      <w:sz w:val="16"/>
      <w:szCs w:val="16"/>
    </w:rPr>
  </w:style>
  <w:style w:type="paragraph" w:styleId="NoSpacing">
    <w:name w:val="No Spacing"/>
    <w:link w:val="NoSpacingChar"/>
    <w:uiPriority w:val="1"/>
    <w:qFormat/>
    <w:rsid w:val="00EA5765"/>
    <w:rPr>
      <w:sz w:val="24"/>
      <w:szCs w:val="24"/>
      <w:lang w:val="en-US" w:eastAsia="en-US"/>
    </w:rPr>
  </w:style>
  <w:style w:type="character" w:customStyle="1" w:styleId="CommentTextChar">
    <w:name w:val="Comment Text Char"/>
    <w:link w:val="CommentText"/>
    <w:rsid w:val="008A6D43"/>
    <w:rPr>
      <w:lang w:val="en-US" w:eastAsia="en-US"/>
    </w:rPr>
  </w:style>
  <w:style w:type="character" w:customStyle="1" w:styleId="Heading1Char">
    <w:name w:val="Heading 1 Char"/>
    <w:basedOn w:val="DefaultParagraphFont"/>
    <w:link w:val="Heading1"/>
    <w:uiPriority w:val="1"/>
    <w:rsid w:val="00ED7C77"/>
    <w:rPr>
      <w:b/>
      <w:caps/>
      <w:sz w:val="24"/>
      <w:lang w:val="en-GB" w:eastAsia="en-US"/>
    </w:rPr>
  </w:style>
  <w:style w:type="character" w:customStyle="1" w:styleId="Heading3Char">
    <w:name w:val="Heading 3 Char"/>
    <w:basedOn w:val="DefaultParagraphFont"/>
    <w:link w:val="Heading3"/>
    <w:rsid w:val="00ED7C77"/>
    <w:rPr>
      <w:b/>
      <w:sz w:val="24"/>
      <w:lang w:val="en-GB" w:eastAsia="en-US"/>
    </w:rPr>
  </w:style>
  <w:style w:type="character" w:customStyle="1" w:styleId="Heading4Char">
    <w:name w:val="Heading 4 Char"/>
    <w:basedOn w:val="DefaultParagraphFont"/>
    <w:link w:val="Heading4"/>
    <w:rsid w:val="00ED7C77"/>
    <w:rPr>
      <w:b/>
      <w:sz w:val="24"/>
      <w:lang w:val="ru-RU" w:eastAsia="en-US"/>
    </w:rPr>
  </w:style>
  <w:style w:type="character" w:customStyle="1" w:styleId="Heading5Char">
    <w:name w:val="Heading 5 Char"/>
    <w:basedOn w:val="DefaultParagraphFont"/>
    <w:link w:val="Heading5"/>
    <w:rsid w:val="00ED7C77"/>
    <w:rPr>
      <w:b/>
      <w:sz w:val="24"/>
      <w:lang w:val="en-GB" w:eastAsia="en-US"/>
    </w:rPr>
  </w:style>
  <w:style w:type="character" w:customStyle="1" w:styleId="Heading6Char">
    <w:name w:val="Heading 6 Char"/>
    <w:basedOn w:val="DefaultParagraphFont"/>
    <w:link w:val="Heading6"/>
    <w:rsid w:val="00ED7C77"/>
    <w:rPr>
      <w:b/>
      <w:bCs/>
      <w:sz w:val="22"/>
      <w:szCs w:val="22"/>
      <w:lang w:val="en-AU" w:eastAsia="en-US"/>
    </w:rPr>
  </w:style>
  <w:style w:type="character" w:customStyle="1" w:styleId="Heading7Char">
    <w:name w:val="Heading 7 Char"/>
    <w:basedOn w:val="DefaultParagraphFont"/>
    <w:link w:val="Heading7"/>
    <w:rsid w:val="00ED7C77"/>
    <w:rPr>
      <w:sz w:val="24"/>
      <w:szCs w:val="24"/>
      <w:lang w:val="en-AU" w:eastAsia="en-US"/>
    </w:rPr>
  </w:style>
  <w:style w:type="character" w:customStyle="1" w:styleId="Heading8Char">
    <w:name w:val="Heading 8 Char"/>
    <w:basedOn w:val="DefaultParagraphFont"/>
    <w:link w:val="Heading8"/>
    <w:rsid w:val="00ED7C77"/>
    <w:rPr>
      <w:i/>
      <w:iCs/>
      <w:sz w:val="24"/>
      <w:szCs w:val="24"/>
      <w:lang w:val="sr-Latn-RS" w:eastAsia="en-US"/>
    </w:rPr>
  </w:style>
  <w:style w:type="character" w:customStyle="1" w:styleId="Heading9Char">
    <w:name w:val="Heading 9 Char"/>
    <w:basedOn w:val="DefaultParagraphFont"/>
    <w:link w:val="Heading9"/>
    <w:rsid w:val="00ED7C77"/>
    <w:rPr>
      <w:rFonts w:ascii="Arial" w:hAnsi="Arial" w:cs="Arial"/>
      <w:sz w:val="22"/>
      <w:szCs w:val="22"/>
      <w:lang w:val="en-AU" w:eastAsia="en-US"/>
    </w:rPr>
  </w:style>
  <w:style w:type="character" w:customStyle="1" w:styleId="Heading2Char">
    <w:name w:val="Heading 2 Char"/>
    <w:link w:val="Heading2"/>
    <w:locked/>
    <w:rsid w:val="00ED7C77"/>
    <w:rPr>
      <w:rFonts w:ascii="Arial" w:hAnsi="Arial" w:cs="Arial"/>
      <w:i/>
      <w:iCs/>
      <w:color w:val="999999"/>
      <w:sz w:val="18"/>
      <w:szCs w:val="24"/>
      <w:lang w:val="en-US" w:eastAsia="en-US"/>
    </w:rPr>
  </w:style>
  <w:style w:type="paragraph" w:styleId="Title">
    <w:name w:val="Title"/>
    <w:basedOn w:val="Normal"/>
    <w:link w:val="TitleChar"/>
    <w:qFormat/>
    <w:rsid w:val="00ED7C77"/>
    <w:pPr>
      <w:jc w:val="center"/>
    </w:pPr>
    <w:rPr>
      <w:b/>
      <w:lang w:val="sr-Latn-RS"/>
    </w:rPr>
  </w:style>
  <w:style w:type="character" w:customStyle="1" w:styleId="TitleChar">
    <w:name w:val="Title Char"/>
    <w:basedOn w:val="DefaultParagraphFont"/>
    <w:link w:val="Title"/>
    <w:rsid w:val="00ED7C77"/>
    <w:rPr>
      <w:b/>
      <w:sz w:val="24"/>
      <w:szCs w:val="24"/>
      <w:lang w:val="sr-Latn-RS" w:eastAsia="en-US"/>
    </w:rPr>
  </w:style>
  <w:style w:type="paragraph" w:styleId="EndnoteText">
    <w:name w:val="endnote text"/>
    <w:basedOn w:val="Normal"/>
    <w:link w:val="EndnoteTextChar"/>
    <w:rsid w:val="00ED7C77"/>
    <w:rPr>
      <w:rFonts w:ascii="TmsRmn 12pt" w:hAnsi="TmsRmn 12pt"/>
      <w:lang w:val="sr-Latn-RS"/>
    </w:rPr>
  </w:style>
  <w:style w:type="character" w:customStyle="1" w:styleId="EndnoteTextChar">
    <w:name w:val="Endnote Text Char"/>
    <w:basedOn w:val="DefaultParagraphFont"/>
    <w:link w:val="EndnoteText"/>
    <w:rsid w:val="00ED7C77"/>
    <w:rPr>
      <w:rFonts w:ascii="TmsRmn 12pt" w:hAnsi="TmsRmn 12pt"/>
      <w:sz w:val="24"/>
      <w:szCs w:val="24"/>
      <w:lang w:val="sr-Latn-RS" w:eastAsia="en-US"/>
    </w:rPr>
  </w:style>
  <w:style w:type="paragraph" w:styleId="BodyTextIndent2">
    <w:name w:val="Body Text Indent 2"/>
    <w:basedOn w:val="Normal"/>
    <w:link w:val="BodyTextIndent2Char"/>
    <w:rsid w:val="00ED7C77"/>
    <w:pPr>
      <w:ind w:left="1440"/>
    </w:pPr>
    <w:rPr>
      <w:i/>
      <w:lang w:val="sr-Latn-RS"/>
    </w:rPr>
  </w:style>
  <w:style w:type="character" w:customStyle="1" w:styleId="BodyTextIndent2Char">
    <w:name w:val="Body Text Indent 2 Char"/>
    <w:basedOn w:val="DefaultParagraphFont"/>
    <w:link w:val="BodyTextIndent2"/>
    <w:rsid w:val="00ED7C77"/>
    <w:rPr>
      <w:i/>
      <w:sz w:val="24"/>
      <w:szCs w:val="24"/>
      <w:lang w:val="sr-Latn-RS" w:eastAsia="en-US"/>
    </w:rPr>
  </w:style>
  <w:style w:type="table" w:styleId="TableGrid">
    <w:name w:val="Table Grid"/>
    <w:basedOn w:val="TableNormal"/>
    <w:rsid w:val="00ED7C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
    <w:name w:val="Times New Roman"/>
    <w:basedOn w:val="Normal"/>
    <w:rsid w:val="00ED7C77"/>
    <w:pPr>
      <w:jc w:val="both"/>
    </w:pPr>
    <w:rPr>
      <w:b/>
      <w:lang w:val="sr-Latn-RS"/>
    </w:rPr>
  </w:style>
  <w:style w:type="character" w:customStyle="1" w:styleId="HeaderChar2">
    <w:name w:val="Header Char2"/>
    <w:aliases w:val="Header Char1 Char,Header Char Char Char,Header Char1 Char Char Char,Header Char Char Char Char Char,Char Char Char Char Char Char,Char Char1 Char Char Char,Char Char Char Char,Char Char1 Char,Header Char1 Char Char Char Char Char, Char Char"/>
    <w:link w:val="Header"/>
    <w:uiPriority w:val="99"/>
    <w:locked/>
    <w:rsid w:val="00ED7C77"/>
    <w:rPr>
      <w:sz w:val="24"/>
      <w:szCs w:val="24"/>
      <w:lang w:val="en-US" w:eastAsia="en-US"/>
    </w:rPr>
  </w:style>
  <w:style w:type="paragraph" w:styleId="BodyText">
    <w:name w:val="Body Text"/>
    <w:basedOn w:val="Normal"/>
    <w:link w:val="BodyTextChar"/>
    <w:uiPriority w:val="1"/>
    <w:qFormat/>
    <w:rsid w:val="00ED7C77"/>
    <w:pPr>
      <w:spacing w:after="120"/>
    </w:pPr>
    <w:rPr>
      <w:sz w:val="20"/>
      <w:szCs w:val="20"/>
      <w:lang w:val="sr-Latn-RS"/>
    </w:rPr>
  </w:style>
  <w:style w:type="character" w:customStyle="1" w:styleId="BodyTextChar">
    <w:name w:val="Body Text Char"/>
    <w:basedOn w:val="DefaultParagraphFont"/>
    <w:link w:val="BodyText"/>
    <w:uiPriority w:val="1"/>
    <w:rsid w:val="00ED7C77"/>
    <w:rPr>
      <w:lang w:val="sr-Latn-RS" w:eastAsia="en-US"/>
    </w:rPr>
  </w:style>
  <w:style w:type="paragraph" w:styleId="BodyTextIndent3">
    <w:name w:val="Body Text Indent 3"/>
    <w:basedOn w:val="Normal"/>
    <w:link w:val="BodyTextIndent3Char"/>
    <w:uiPriority w:val="99"/>
    <w:rsid w:val="00ED7C77"/>
    <w:pPr>
      <w:spacing w:after="120"/>
      <w:ind w:left="360"/>
    </w:pPr>
    <w:rPr>
      <w:sz w:val="16"/>
      <w:szCs w:val="16"/>
      <w:lang w:val="sr-Latn-RS"/>
    </w:rPr>
  </w:style>
  <w:style w:type="character" w:customStyle="1" w:styleId="BodyTextIndent3Char">
    <w:name w:val="Body Text Indent 3 Char"/>
    <w:basedOn w:val="DefaultParagraphFont"/>
    <w:link w:val="BodyTextIndent3"/>
    <w:uiPriority w:val="99"/>
    <w:rsid w:val="00ED7C77"/>
    <w:rPr>
      <w:sz w:val="16"/>
      <w:szCs w:val="16"/>
      <w:lang w:val="sr-Latn-RS" w:eastAsia="en-US"/>
    </w:rPr>
  </w:style>
  <w:style w:type="paragraph" w:styleId="BodyTextIndent">
    <w:name w:val="Body Text Indent"/>
    <w:basedOn w:val="Normal"/>
    <w:link w:val="BodyTextIndentChar"/>
    <w:rsid w:val="00ED7C77"/>
    <w:pPr>
      <w:spacing w:after="120"/>
      <w:ind w:left="360"/>
    </w:pPr>
    <w:rPr>
      <w:sz w:val="20"/>
      <w:szCs w:val="20"/>
      <w:lang w:val="sr-Latn-RS"/>
    </w:rPr>
  </w:style>
  <w:style w:type="character" w:customStyle="1" w:styleId="BodyTextIndentChar">
    <w:name w:val="Body Text Indent Char"/>
    <w:basedOn w:val="DefaultParagraphFont"/>
    <w:link w:val="BodyTextIndent"/>
    <w:rsid w:val="00ED7C77"/>
    <w:rPr>
      <w:lang w:val="sr-Latn-RS" w:eastAsia="en-US"/>
    </w:rPr>
  </w:style>
  <w:style w:type="character" w:styleId="Strong">
    <w:name w:val="Strong"/>
    <w:qFormat/>
    <w:rsid w:val="00ED7C77"/>
    <w:rPr>
      <w:b/>
      <w:bCs w:val="0"/>
    </w:rPr>
  </w:style>
  <w:style w:type="paragraph" w:styleId="BodyText2">
    <w:name w:val="Body Text 2"/>
    <w:basedOn w:val="Normal"/>
    <w:link w:val="BodyText2Char"/>
    <w:rsid w:val="00ED7C77"/>
    <w:pPr>
      <w:spacing w:after="120" w:line="480" w:lineRule="auto"/>
    </w:pPr>
    <w:rPr>
      <w:sz w:val="20"/>
      <w:szCs w:val="20"/>
      <w:lang w:val="sr-Latn-RS"/>
    </w:rPr>
  </w:style>
  <w:style w:type="character" w:customStyle="1" w:styleId="BodyText2Char">
    <w:name w:val="Body Text 2 Char"/>
    <w:basedOn w:val="DefaultParagraphFont"/>
    <w:link w:val="BodyText2"/>
    <w:rsid w:val="00ED7C77"/>
    <w:rPr>
      <w:lang w:val="sr-Latn-RS" w:eastAsia="en-US"/>
    </w:rPr>
  </w:style>
  <w:style w:type="paragraph" w:styleId="NormalWeb">
    <w:name w:val="Normal (Web)"/>
    <w:basedOn w:val="Normal"/>
    <w:rsid w:val="00ED7C77"/>
    <w:pPr>
      <w:spacing w:before="100" w:beforeAutospacing="1" w:after="100" w:afterAutospacing="1"/>
    </w:pPr>
    <w:rPr>
      <w:sz w:val="22"/>
      <w:szCs w:val="22"/>
      <w:lang w:val="sr-Latn-RS"/>
    </w:rPr>
  </w:style>
  <w:style w:type="character" w:styleId="Emphasis">
    <w:name w:val="Emphasis"/>
    <w:qFormat/>
    <w:rsid w:val="00ED7C77"/>
    <w:rPr>
      <w:b/>
      <w:bCs/>
      <w:i w:val="0"/>
      <w:iCs w:val="0"/>
    </w:rPr>
  </w:style>
  <w:style w:type="paragraph" w:customStyle="1" w:styleId="Default">
    <w:name w:val="Default"/>
    <w:rsid w:val="00ED7C77"/>
    <w:pPr>
      <w:autoSpaceDE w:val="0"/>
      <w:autoSpaceDN w:val="0"/>
      <w:adjustRightInd w:val="0"/>
    </w:pPr>
    <w:rPr>
      <w:rFonts w:eastAsia="MS Mincho"/>
      <w:color w:val="000000"/>
      <w:sz w:val="24"/>
      <w:szCs w:val="24"/>
      <w:lang w:val="sr-Latn-CS" w:eastAsia="ja-JP"/>
    </w:rPr>
  </w:style>
  <w:style w:type="paragraph" w:customStyle="1" w:styleId="IntoksikacijesaovimpreparatomsuupreporueenomdoziranjunemogueeSobzromda">
    <w:name w:val="Intoksikacije sa ovim preparatom su u preporueenom doziranju nemoguee. S obzromda"/>
    <w:basedOn w:val="Normal"/>
    <w:rsid w:val="00ED7C77"/>
    <w:rPr>
      <w:rFonts w:ascii="Arial" w:eastAsia="Univers Condensed" w:hAnsi="Arial"/>
      <w:szCs w:val="20"/>
      <w:lang w:val="en-GB"/>
    </w:rPr>
  </w:style>
  <w:style w:type="paragraph" w:styleId="ListNumber">
    <w:name w:val="List Number"/>
    <w:basedOn w:val="Normal"/>
    <w:rsid w:val="00ED7C77"/>
    <w:pPr>
      <w:tabs>
        <w:tab w:val="num" w:pos="360"/>
      </w:tabs>
      <w:ind w:left="360" w:hanging="360"/>
    </w:pPr>
    <w:rPr>
      <w:rFonts w:ascii="Arial" w:hAnsi="Arial"/>
      <w:szCs w:val="20"/>
      <w:lang w:val="en-AU"/>
    </w:rPr>
  </w:style>
  <w:style w:type="paragraph" w:styleId="Subtitle">
    <w:name w:val="Subtitle"/>
    <w:basedOn w:val="Normal"/>
    <w:link w:val="SubtitleChar"/>
    <w:qFormat/>
    <w:rsid w:val="00ED7C77"/>
    <w:pPr>
      <w:jc w:val="center"/>
    </w:pPr>
    <w:rPr>
      <w:b/>
      <w:bCs/>
      <w:lang w:val="hr-HR"/>
    </w:rPr>
  </w:style>
  <w:style w:type="character" w:customStyle="1" w:styleId="SubtitleChar">
    <w:name w:val="Subtitle Char"/>
    <w:basedOn w:val="DefaultParagraphFont"/>
    <w:link w:val="Subtitle"/>
    <w:rsid w:val="00ED7C77"/>
    <w:rPr>
      <w:b/>
      <w:bCs/>
      <w:sz w:val="24"/>
      <w:szCs w:val="24"/>
      <w:lang w:val="hr-HR" w:eastAsia="en-US"/>
    </w:rPr>
  </w:style>
  <w:style w:type="paragraph" w:styleId="ListParagraph">
    <w:name w:val="List Paragraph"/>
    <w:basedOn w:val="Normal"/>
    <w:uiPriority w:val="1"/>
    <w:qFormat/>
    <w:rsid w:val="00ED7C77"/>
    <w:pPr>
      <w:tabs>
        <w:tab w:val="left" w:pos="284"/>
      </w:tabs>
      <w:ind w:left="720"/>
      <w:jc w:val="both"/>
    </w:pPr>
    <w:rPr>
      <w:rFonts w:ascii="Humanist777" w:hAnsi="Humanist777"/>
      <w:lang w:val="sr-Latn-RS"/>
    </w:rPr>
  </w:style>
  <w:style w:type="character" w:customStyle="1" w:styleId="BalloonTextChar">
    <w:name w:val="Balloon Text Char"/>
    <w:link w:val="BalloonText"/>
    <w:rsid w:val="00ED7C77"/>
    <w:rPr>
      <w:rFonts w:ascii="Tahoma" w:hAnsi="Tahoma" w:cs="Tahoma"/>
      <w:sz w:val="16"/>
      <w:szCs w:val="16"/>
      <w:lang w:val="en-US" w:eastAsia="en-US"/>
    </w:rPr>
  </w:style>
  <w:style w:type="character" w:customStyle="1" w:styleId="CharChar4">
    <w:name w:val="Char Char4"/>
    <w:rsid w:val="00ED7C77"/>
    <w:rPr>
      <w:rFonts w:ascii="Humanist777" w:hAnsi="Humanist777"/>
      <w:sz w:val="24"/>
      <w:szCs w:val="24"/>
    </w:rPr>
  </w:style>
  <w:style w:type="paragraph" w:customStyle="1" w:styleId="lstpara1">
    <w:name w:val="lst_para1"/>
    <w:basedOn w:val="Normal"/>
    <w:rsid w:val="00ED7C77"/>
    <w:pPr>
      <w:spacing w:after="240" w:line="312" w:lineRule="atLeast"/>
      <w:ind w:left="360"/>
    </w:pPr>
    <w:rPr>
      <w:rFonts w:ascii="Times" w:hAnsi="Times"/>
      <w:szCs w:val="20"/>
      <w:lang w:val="en-GB" w:eastAsia="en-GB"/>
    </w:rPr>
  </w:style>
  <w:style w:type="paragraph" w:styleId="PlainText">
    <w:name w:val="Plain Text"/>
    <w:basedOn w:val="Normal"/>
    <w:link w:val="PlainTextChar"/>
    <w:unhideWhenUsed/>
    <w:rsid w:val="00ED7C77"/>
    <w:rPr>
      <w:rFonts w:ascii="Consolas" w:eastAsia="Calibri" w:hAnsi="Consolas"/>
      <w:sz w:val="21"/>
      <w:szCs w:val="21"/>
      <w:lang w:val="sr-Latn-RS"/>
    </w:rPr>
  </w:style>
  <w:style w:type="character" w:customStyle="1" w:styleId="PlainTextChar">
    <w:name w:val="Plain Text Char"/>
    <w:basedOn w:val="DefaultParagraphFont"/>
    <w:link w:val="PlainText"/>
    <w:rsid w:val="00ED7C77"/>
    <w:rPr>
      <w:rFonts w:ascii="Consolas" w:eastAsia="Calibri" w:hAnsi="Consolas"/>
      <w:sz w:val="21"/>
      <w:szCs w:val="21"/>
      <w:lang w:val="sr-Latn-RS" w:eastAsia="en-US"/>
    </w:rPr>
  </w:style>
  <w:style w:type="paragraph" w:customStyle="1" w:styleId="Para0s">
    <w:name w:val="Para:0:s"/>
    <w:basedOn w:val="Normal"/>
    <w:rsid w:val="00ED7C77"/>
    <w:pPr>
      <w:spacing w:after="220"/>
    </w:pPr>
    <w:rPr>
      <w:szCs w:val="20"/>
      <w:lang w:val="sr-Latn-RS" w:eastAsia="de-DE"/>
    </w:rPr>
  </w:style>
  <w:style w:type="paragraph" w:customStyle="1" w:styleId="ParaKT0sb">
    <w:name w:val="ParaKT:0:sb"/>
    <w:basedOn w:val="Normal"/>
    <w:next w:val="Para0s"/>
    <w:rsid w:val="00ED7C77"/>
    <w:pPr>
      <w:keepNext/>
      <w:keepLines/>
      <w:spacing w:after="220"/>
    </w:pPr>
    <w:rPr>
      <w:b/>
      <w:szCs w:val="20"/>
      <w:lang w:val="sr-Latn-RS" w:eastAsia="de-DE"/>
    </w:rPr>
  </w:style>
  <w:style w:type="paragraph" w:styleId="BodyText3">
    <w:name w:val="Body Text 3"/>
    <w:basedOn w:val="Normal"/>
    <w:link w:val="BodyText3Char"/>
    <w:rsid w:val="00ED7C77"/>
    <w:pPr>
      <w:tabs>
        <w:tab w:val="left" w:pos="284"/>
      </w:tabs>
      <w:spacing w:after="120"/>
      <w:jc w:val="both"/>
    </w:pPr>
    <w:rPr>
      <w:rFonts w:ascii="Humanist777" w:hAnsi="Humanist777"/>
      <w:sz w:val="16"/>
      <w:szCs w:val="16"/>
      <w:lang w:val="sr-Latn-RS"/>
    </w:rPr>
  </w:style>
  <w:style w:type="character" w:customStyle="1" w:styleId="BodyText3Char">
    <w:name w:val="Body Text 3 Char"/>
    <w:basedOn w:val="DefaultParagraphFont"/>
    <w:link w:val="BodyText3"/>
    <w:rsid w:val="00ED7C77"/>
    <w:rPr>
      <w:rFonts w:ascii="Humanist777" w:hAnsi="Humanist777"/>
      <w:sz w:val="16"/>
      <w:szCs w:val="16"/>
      <w:lang w:val="sr-Latn-RS" w:eastAsia="en-US"/>
    </w:rPr>
  </w:style>
  <w:style w:type="paragraph" w:customStyle="1" w:styleId="FR1">
    <w:name w:val="FR1"/>
    <w:rsid w:val="00ED7C77"/>
    <w:pPr>
      <w:widowControl w:val="0"/>
      <w:autoSpaceDE w:val="0"/>
      <w:autoSpaceDN w:val="0"/>
      <w:adjustRightInd w:val="0"/>
      <w:spacing w:line="320" w:lineRule="auto"/>
      <w:jc w:val="both"/>
    </w:pPr>
    <w:rPr>
      <w:sz w:val="24"/>
      <w:szCs w:val="24"/>
      <w:lang w:val="en-US" w:eastAsia="en-US"/>
    </w:rPr>
  </w:style>
  <w:style w:type="character" w:customStyle="1" w:styleId="st1">
    <w:name w:val="st1"/>
    <w:basedOn w:val="DefaultParagraphFont"/>
    <w:rsid w:val="00ED7C77"/>
  </w:style>
  <w:style w:type="character" w:customStyle="1" w:styleId="CharCharChar2">
    <w:name w:val="Char Char Char2"/>
    <w:rsid w:val="00ED7C77"/>
    <w:rPr>
      <w:rFonts w:ascii="Humanist777" w:hAnsi="Humanist777"/>
      <w:sz w:val="24"/>
      <w:szCs w:val="24"/>
      <w:lang w:val="en-US" w:eastAsia="en-US" w:bidi="ar-SA"/>
    </w:rPr>
  </w:style>
  <w:style w:type="character" w:customStyle="1" w:styleId="CharCharCharCharCharCharChar">
    <w:name w:val="Char Char Char Char Char Char Char"/>
    <w:aliases w:val=" Char Char1 Char Char Char Char, Char Char Char Char Char, Char Char1 Char Char"/>
    <w:rsid w:val="00ED7C77"/>
    <w:rPr>
      <w:rFonts w:ascii="Humanist777" w:hAnsi="Humanist777"/>
      <w:sz w:val="24"/>
      <w:szCs w:val="24"/>
      <w:lang w:val="en-US" w:eastAsia="en-US" w:bidi="ar-SA"/>
    </w:rPr>
  </w:style>
  <w:style w:type="character" w:customStyle="1" w:styleId="CharCharChar1">
    <w:name w:val="Char Char Char1"/>
    <w:rsid w:val="00ED7C77"/>
    <w:rPr>
      <w:rFonts w:ascii="Humanist777" w:hAnsi="Humanist777"/>
      <w:sz w:val="24"/>
      <w:szCs w:val="24"/>
      <w:lang w:val="en-US" w:eastAsia="en-US" w:bidi="ar-SA"/>
    </w:rPr>
  </w:style>
  <w:style w:type="paragraph" w:customStyle="1" w:styleId="Style">
    <w:name w:val="Style"/>
    <w:rsid w:val="00ED7C77"/>
    <w:pPr>
      <w:widowControl w:val="0"/>
      <w:autoSpaceDE w:val="0"/>
      <w:autoSpaceDN w:val="0"/>
      <w:adjustRightInd w:val="0"/>
    </w:pPr>
    <w:rPr>
      <w:sz w:val="24"/>
      <w:szCs w:val="24"/>
      <w:lang w:val="en-US" w:eastAsia="en-US"/>
    </w:rPr>
  </w:style>
  <w:style w:type="paragraph" w:customStyle="1" w:styleId="Bullet0dKT">
    <w:name w:val="Bullet:0:d:KT"/>
    <w:basedOn w:val="Normal"/>
    <w:rsid w:val="00ED7C77"/>
    <w:pPr>
      <w:keepNext/>
      <w:keepLines/>
      <w:numPr>
        <w:numId w:val="2"/>
      </w:numPr>
      <w:spacing w:before="40" w:after="220"/>
      <w:ind w:left="357" w:hanging="357"/>
    </w:pPr>
    <w:rPr>
      <w:rFonts w:ascii="Helvetica" w:hAnsi="Helvetica"/>
      <w:sz w:val="22"/>
      <w:szCs w:val="20"/>
      <w:lang w:val="sr-Latn-RS" w:eastAsia="de-DE"/>
    </w:rPr>
  </w:style>
  <w:style w:type="paragraph" w:customStyle="1" w:styleId="Text">
    <w:name w:val="Text"/>
    <w:basedOn w:val="Normal"/>
    <w:rsid w:val="00ED7C77"/>
    <w:pPr>
      <w:spacing w:before="14" w:after="144" w:line="300" w:lineRule="atLeast"/>
      <w:ind w:left="720" w:right="360" w:hanging="720"/>
    </w:pPr>
    <w:rPr>
      <w:color w:val="000000"/>
      <w:szCs w:val="20"/>
      <w:lang w:val="en-GB"/>
    </w:rPr>
  </w:style>
  <w:style w:type="character" w:customStyle="1" w:styleId="apple-converted-space">
    <w:name w:val="apple-converted-space"/>
    <w:basedOn w:val="DefaultParagraphFont"/>
    <w:rsid w:val="00ED7C77"/>
  </w:style>
  <w:style w:type="character" w:customStyle="1" w:styleId="CommentSubjectChar">
    <w:name w:val="Comment Subject Char"/>
    <w:link w:val="CommentSubject"/>
    <w:rsid w:val="00ED7C77"/>
    <w:rPr>
      <w:b/>
      <w:bCs/>
      <w:lang w:val="en-US" w:eastAsia="en-US"/>
    </w:rPr>
  </w:style>
  <w:style w:type="paragraph" w:customStyle="1" w:styleId="ammcorpstexte">
    <w:name w:val="ammcorpstexte"/>
    <w:basedOn w:val="Normal"/>
    <w:rsid w:val="00ED7C77"/>
    <w:rPr>
      <w:rFonts w:ascii="Arial" w:hAnsi="Arial" w:cs="Arial"/>
      <w:color w:val="000000"/>
      <w:lang w:val="hr-HR" w:eastAsia="fr-FR"/>
    </w:rPr>
  </w:style>
  <w:style w:type="paragraph" w:styleId="DocumentMap">
    <w:name w:val="Document Map"/>
    <w:basedOn w:val="Normal"/>
    <w:link w:val="DocumentMapChar"/>
    <w:rsid w:val="00ED7C77"/>
    <w:pPr>
      <w:shd w:val="clear" w:color="auto" w:fill="000080"/>
    </w:pPr>
    <w:rPr>
      <w:rFonts w:ascii="Tahoma" w:hAnsi="Tahoma" w:cs="Tahoma"/>
      <w:sz w:val="20"/>
      <w:szCs w:val="20"/>
      <w:lang w:val="sr-Latn-RS"/>
    </w:rPr>
  </w:style>
  <w:style w:type="character" w:customStyle="1" w:styleId="DocumentMapChar">
    <w:name w:val="Document Map Char"/>
    <w:basedOn w:val="DefaultParagraphFont"/>
    <w:link w:val="DocumentMap"/>
    <w:rsid w:val="00ED7C77"/>
    <w:rPr>
      <w:rFonts w:ascii="Tahoma" w:hAnsi="Tahoma" w:cs="Tahoma"/>
      <w:shd w:val="clear" w:color="auto" w:fill="000080"/>
      <w:lang w:val="sr-Latn-RS" w:eastAsia="en-US"/>
    </w:rPr>
  </w:style>
  <w:style w:type="paragraph" w:customStyle="1" w:styleId="Blok">
    <w:name w:val="Blok"/>
    <w:basedOn w:val="Normal"/>
    <w:rsid w:val="00ED7C77"/>
    <w:pPr>
      <w:keepNext/>
      <w:tabs>
        <w:tab w:val="left" w:pos="1276"/>
      </w:tabs>
      <w:spacing w:after="240" w:line="360" w:lineRule="atLeast"/>
      <w:jc w:val="both"/>
    </w:pPr>
    <w:rPr>
      <w:rFonts w:ascii="Dutch" w:hAnsi="Dutch"/>
      <w:szCs w:val="20"/>
      <w:lang w:val="sr-Latn-RS"/>
    </w:rPr>
  </w:style>
  <w:style w:type="paragraph" w:customStyle="1" w:styleId="Regular">
    <w:name w:val="Regular"/>
    <w:basedOn w:val="Normal"/>
    <w:link w:val="RegularChar"/>
    <w:rsid w:val="00ED7C77"/>
    <w:pPr>
      <w:jc w:val="both"/>
    </w:pPr>
    <w:rPr>
      <w:b/>
      <w:lang w:val="sr-Latn-CS"/>
    </w:rPr>
  </w:style>
  <w:style w:type="character" w:customStyle="1" w:styleId="RegularChar">
    <w:name w:val="Regular Char"/>
    <w:link w:val="Regular"/>
    <w:rsid w:val="00ED7C77"/>
    <w:rPr>
      <w:b/>
      <w:sz w:val="24"/>
      <w:szCs w:val="24"/>
      <w:lang w:val="sr-Latn-CS" w:eastAsia="en-US"/>
    </w:rPr>
  </w:style>
  <w:style w:type="character" w:customStyle="1" w:styleId="a">
    <w:name w:val="_"/>
    <w:rsid w:val="00ED7C77"/>
    <w:rPr>
      <w:noProof w:val="0"/>
      <w:lang w:val="x-none"/>
    </w:rPr>
  </w:style>
  <w:style w:type="character" w:customStyle="1" w:styleId="FooterChar">
    <w:name w:val="Footer Char"/>
    <w:link w:val="Footer"/>
    <w:rsid w:val="00ED7C77"/>
    <w:rPr>
      <w:sz w:val="24"/>
      <w:szCs w:val="24"/>
      <w:lang w:val="en-US" w:eastAsia="en-US"/>
    </w:rPr>
  </w:style>
  <w:style w:type="character" w:styleId="Hyperlink">
    <w:name w:val="Hyperlink"/>
    <w:rsid w:val="00ED7C77"/>
    <w:rPr>
      <w:color w:val="0000FF"/>
      <w:u w:val="single"/>
    </w:rPr>
  </w:style>
  <w:style w:type="paragraph" w:styleId="List">
    <w:name w:val="List"/>
    <w:basedOn w:val="Normal"/>
    <w:rsid w:val="00ED7C77"/>
    <w:pPr>
      <w:ind w:left="283" w:hanging="283"/>
      <w:contextualSpacing/>
    </w:pPr>
    <w:rPr>
      <w:sz w:val="20"/>
      <w:szCs w:val="20"/>
      <w:lang w:val="sr-Latn-RS"/>
    </w:rPr>
  </w:style>
  <w:style w:type="paragraph" w:customStyle="1" w:styleId="Listepuces2">
    <w:name w:val="Liste à puces2"/>
    <w:basedOn w:val="Normal"/>
    <w:rsid w:val="00ED7C77"/>
    <w:pPr>
      <w:keepLines/>
      <w:tabs>
        <w:tab w:val="num" w:pos="360"/>
      </w:tabs>
      <w:spacing w:before="240" w:line="280" w:lineRule="exact"/>
      <w:ind w:left="360" w:hanging="360"/>
      <w:jc w:val="both"/>
    </w:pPr>
    <w:rPr>
      <w:rFonts w:ascii="Arial" w:hAnsi="Arial"/>
      <w:sz w:val="22"/>
      <w:szCs w:val="20"/>
      <w:lang w:val="fr-FR"/>
    </w:rPr>
  </w:style>
  <w:style w:type="paragraph" w:customStyle="1" w:styleId="ABold">
    <w:name w:val="A_Bold"/>
    <w:basedOn w:val="BodyText"/>
    <w:next w:val="BodyText"/>
    <w:rsid w:val="00ED7C77"/>
    <w:pPr>
      <w:spacing w:before="240" w:after="0"/>
      <w:jc w:val="both"/>
    </w:pPr>
    <w:rPr>
      <w:b/>
      <w:sz w:val="24"/>
      <w:lang w:val="en-US" w:eastAsia="x-none"/>
    </w:rPr>
  </w:style>
  <w:style w:type="paragraph" w:customStyle="1" w:styleId="StandardohneAbstand">
    <w:name w:val="Standard ohne Abstand"/>
    <w:basedOn w:val="Normal"/>
    <w:rsid w:val="00ED7C77"/>
    <w:pPr>
      <w:spacing w:line="300" w:lineRule="exact"/>
    </w:pPr>
    <w:rPr>
      <w:rFonts w:ascii="Arial" w:hAnsi="Arial"/>
      <w:sz w:val="22"/>
      <w:szCs w:val="20"/>
      <w:lang w:val="de-DE" w:eastAsia="de-DE"/>
    </w:rPr>
  </w:style>
  <w:style w:type="paragraph" w:customStyle="1" w:styleId="C-TableText">
    <w:name w:val="C-Table Text"/>
    <w:link w:val="C-TableTextChar"/>
    <w:rsid w:val="00ED7C77"/>
    <w:pPr>
      <w:spacing w:before="60" w:after="60"/>
    </w:pPr>
    <w:rPr>
      <w:sz w:val="22"/>
      <w:lang w:val="en-US" w:eastAsia="en-US"/>
    </w:rPr>
  </w:style>
  <w:style w:type="character" w:customStyle="1" w:styleId="C-TableTextChar">
    <w:name w:val="C-Table Text Char"/>
    <w:link w:val="C-TableText"/>
    <w:rsid w:val="00ED7C77"/>
    <w:rPr>
      <w:sz w:val="22"/>
      <w:lang w:val="en-US" w:eastAsia="en-US"/>
    </w:rPr>
  </w:style>
  <w:style w:type="paragraph" w:styleId="Date">
    <w:name w:val="Date"/>
    <w:basedOn w:val="Normal"/>
    <w:next w:val="Normal"/>
    <w:link w:val="DateChar1"/>
    <w:rsid w:val="00ED7C77"/>
    <w:rPr>
      <w:sz w:val="22"/>
      <w:szCs w:val="20"/>
      <w:lang w:val="en-GB" w:eastAsia="x-none"/>
    </w:rPr>
  </w:style>
  <w:style w:type="character" w:customStyle="1" w:styleId="DateChar">
    <w:name w:val="Date Char"/>
    <w:basedOn w:val="DefaultParagraphFont"/>
    <w:rsid w:val="00ED7C77"/>
    <w:rPr>
      <w:sz w:val="24"/>
      <w:szCs w:val="24"/>
      <w:lang w:val="en-US" w:eastAsia="en-US"/>
    </w:rPr>
  </w:style>
  <w:style w:type="character" w:customStyle="1" w:styleId="DateChar1">
    <w:name w:val="Date Char1"/>
    <w:link w:val="Date"/>
    <w:locked/>
    <w:rsid w:val="00ED7C77"/>
    <w:rPr>
      <w:sz w:val="22"/>
      <w:lang w:val="en-GB" w:eastAsia="x-none"/>
    </w:rPr>
  </w:style>
  <w:style w:type="paragraph" w:styleId="Caption">
    <w:name w:val="caption"/>
    <w:basedOn w:val="Normal"/>
    <w:next w:val="Normal"/>
    <w:qFormat/>
    <w:rsid w:val="00ED7C77"/>
    <w:pPr>
      <w:suppressAutoHyphens/>
      <w:spacing w:before="120" w:after="120"/>
    </w:pPr>
    <w:rPr>
      <w:rFonts w:ascii="Arial" w:hAnsi="Arial"/>
      <w:b/>
      <w:bCs/>
      <w:sz w:val="20"/>
      <w:szCs w:val="20"/>
    </w:rPr>
  </w:style>
  <w:style w:type="character" w:customStyle="1" w:styleId="C-BodyTextChar">
    <w:name w:val="C-Body Text Char"/>
    <w:link w:val="C-BodyText"/>
    <w:rsid w:val="00ED7C77"/>
    <w:rPr>
      <w:sz w:val="24"/>
      <w:lang w:val="en-US" w:eastAsia="en-US"/>
    </w:rPr>
  </w:style>
  <w:style w:type="paragraph" w:customStyle="1" w:styleId="C-BodyText">
    <w:name w:val="C-Body Text"/>
    <w:link w:val="C-BodyTextChar"/>
    <w:rsid w:val="00ED7C77"/>
    <w:pPr>
      <w:spacing w:before="120" w:after="120" w:line="280" w:lineRule="atLeast"/>
    </w:pPr>
    <w:rPr>
      <w:sz w:val="24"/>
      <w:lang w:val="en-US" w:eastAsia="en-US"/>
    </w:rPr>
  </w:style>
  <w:style w:type="paragraph" w:customStyle="1" w:styleId="C-TableHeader">
    <w:name w:val="C-Table Header"/>
    <w:next w:val="C-TableText"/>
    <w:link w:val="C-TableHeaderChar"/>
    <w:rsid w:val="00ED7C77"/>
    <w:pPr>
      <w:keepNext/>
      <w:spacing w:before="60" w:after="60"/>
    </w:pPr>
    <w:rPr>
      <w:b/>
      <w:sz w:val="22"/>
      <w:lang w:val="en-US" w:eastAsia="en-US"/>
    </w:rPr>
  </w:style>
  <w:style w:type="character" w:customStyle="1" w:styleId="C-TableHeaderChar">
    <w:name w:val="C-Table Header Char"/>
    <w:link w:val="C-TableHeader"/>
    <w:rsid w:val="00ED7C77"/>
    <w:rPr>
      <w:b/>
      <w:sz w:val="22"/>
      <w:lang w:val="en-US" w:eastAsia="en-US"/>
    </w:rPr>
  </w:style>
  <w:style w:type="character" w:customStyle="1" w:styleId="DateChar2">
    <w:name w:val="Date Char2"/>
    <w:locked/>
    <w:rsid w:val="00ED7C77"/>
    <w:rPr>
      <w:sz w:val="22"/>
      <w:lang w:val="en-GB"/>
    </w:rPr>
  </w:style>
  <w:style w:type="numbering" w:customStyle="1" w:styleId="NoList1">
    <w:name w:val="No List1"/>
    <w:next w:val="NoList"/>
    <w:uiPriority w:val="99"/>
    <w:semiHidden/>
    <w:unhideWhenUsed/>
    <w:rsid w:val="00ED7C77"/>
  </w:style>
  <w:style w:type="paragraph" w:customStyle="1" w:styleId="TextTi12">
    <w:name w:val="Text:Ti12"/>
    <w:basedOn w:val="Normal"/>
    <w:link w:val="TextTi12Char"/>
    <w:rsid w:val="00ED7C77"/>
    <w:pPr>
      <w:spacing w:after="170"/>
      <w:jc w:val="both"/>
    </w:pPr>
    <w:rPr>
      <w:rFonts w:ascii="Arial" w:eastAsia="SimSun" w:hAnsi="Arial"/>
      <w:szCs w:val="20"/>
      <w:lang w:val="hr-HR" w:eastAsia="hr-HR"/>
    </w:rPr>
  </w:style>
  <w:style w:type="character" w:customStyle="1" w:styleId="TextTi12Char">
    <w:name w:val="Text:Ti12 Char"/>
    <w:link w:val="TextTi12"/>
    <w:locked/>
    <w:rsid w:val="00ED7C77"/>
    <w:rPr>
      <w:rFonts w:ascii="Arial" w:eastAsia="SimSun" w:hAnsi="Arial"/>
      <w:sz w:val="24"/>
      <w:lang w:val="hr-HR" w:eastAsia="hr-HR"/>
    </w:rPr>
  </w:style>
  <w:style w:type="numbering" w:customStyle="1" w:styleId="NoList2">
    <w:name w:val="No List2"/>
    <w:next w:val="NoList"/>
    <w:uiPriority w:val="99"/>
    <w:semiHidden/>
    <w:unhideWhenUsed/>
    <w:rsid w:val="00ED7C77"/>
  </w:style>
  <w:style w:type="table" w:customStyle="1" w:styleId="TableGrid1">
    <w:name w:val="Table Grid1"/>
    <w:basedOn w:val="TableNormal"/>
    <w:next w:val="TableGrid"/>
    <w:rsid w:val="00ED7C77"/>
    <w:pPr>
      <w:spacing w:before="1"/>
      <w:ind w:right="40"/>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D7C77"/>
    <w:pPr>
      <w:widowControl w:val="0"/>
      <w:spacing w:before="1" w:line="254" w:lineRule="exact"/>
      <w:ind w:right="40"/>
    </w:pPr>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ED7C77"/>
    <w:rPr>
      <w:sz w:val="24"/>
      <w:szCs w:val="24"/>
      <w:lang w:val="en-US" w:eastAsia="en-US"/>
    </w:rPr>
  </w:style>
  <w:style w:type="paragraph" w:customStyle="1" w:styleId="NormalArial">
    <w:name w:val="Normal + Arial"/>
    <w:aliases w:val="9 pt"/>
    <w:basedOn w:val="Normal"/>
    <w:link w:val="NormalArialChar"/>
    <w:rsid w:val="00ED7C77"/>
    <w:rPr>
      <w:rFonts w:ascii="Arial" w:eastAsia="MS Mincho" w:hAnsi="Arial"/>
      <w:sz w:val="20"/>
      <w:szCs w:val="20"/>
      <w:lang w:val="hr-HR" w:eastAsia="hr-HR"/>
    </w:rPr>
  </w:style>
  <w:style w:type="character" w:customStyle="1" w:styleId="NormalArialChar">
    <w:name w:val="Normal + Arial Char"/>
    <w:aliases w:val="9 pt Char Char"/>
    <w:link w:val="NormalArial"/>
    <w:locked/>
    <w:rsid w:val="00ED7C77"/>
    <w:rPr>
      <w:rFonts w:ascii="Arial" w:eastAsia="MS Mincho" w:hAnsi="Arial"/>
      <w:lang w:val="hr-HR" w:eastAsia="hr-HR"/>
    </w:rPr>
  </w:style>
  <w:style w:type="character" w:customStyle="1" w:styleId="TableText10Char">
    <w:name w:val="TableText:10 Char"/>
    <w:link w:val="TableText10"/>
    <w:locked/>
    <w:rsid w:val="00ED7C77"/>
    <w:rPr>
      <w:rFonts w:ascii="Arial" w:hAnsi="Arial"/>
      <w:lang w:val="hr-HR" w:eastAsia="hr-HR"/>
    </w:rPr>
  </w:style>
  <w:style w:type="paragraph" w:customStyle="1" w:styleId="TableText10">
    <w:name w:val="TableText:10"/>
    <w:basedOn w:val="Normal"/>
    <w:link w:val="TableText10Char"/>
    <w:rsid w:val="00ED7C77"/>
    <w:rPr>
      <w:rFonts w:ascii="Arial" w:hAnsi="Arial"/>
      <w:sz w:val="20"/>
      <w:szCs w:val="20"/>
      <w:lang w:val="hr-HR" w:eastAsia="hr-HR"/>
    </w:rPr>
  </w:style>
  <w:style w:type="character" w:customStyle="1" w:styleId="TextTi12Char1">
    <w:name w:val="Text:Ti12 Char1"/>
    <w:locked/>
    <w:rsid w:val="00ED7C77"/>
    <w:rPr>
      <w:sz w:val="24"/>
      <w:lang w:eastAsia="ja-JP"/>
    </w:rPr>
  </w:style>
  <w:style w:type="paragraph" w:styleId="Revision">
    <w:name w:val="Revision"/>
    <w:hidden/>
    <w:uiPriority w:val="99"/>
    <w:semiHidden/>
    <w:rsid w:val="00ED7C77"/>
    <w:rPr>
      <w:rFonts w:ascii="Humanist777" w:hAnsi="Humanist777"/>
      <w:sz w:val="24"/>
      <w:szCs w:val="24"/>
      <w:lang w:val="en-US" w:eastAsia="en-US"/>
    </w:rPr>
  </w:style>
  <w:style w:type="paragraph" w:customStyle="1" w:styleId="TabFigFooter">
    <w:name w:val="TabFig Footer"/>
    <w:basedOn w:val="Normal"/>
    <w:link w:val="TabFigFooterChar"/>
    <w:rsid w:val="00ED7C77"/>
    <w:pPr>
      <w:keepNext/>
      <w:keepLines/>
      <w:spacing w:before="40" w:line="240" w:lineRule="exact"/>
      <w:ind w:left="245" w:hanging="216"/>
    </w:pPr>
    <w:rPr>
      <w:rFonts w:ascii="Arial" w:eastAsia="SimSun" w:hAnsi="Arial"/>
      <w:sz w:val="20"/>
      <w:lang w:val="hr-HR" w:eastAsia="hr-HR"/>
    </w:rPr>
  </w:style>
  <w:style w:type="paragraph" w:customStyle="1" w:styleId="TableCell10Left">
    <w:name w:val="Table Cell 10 Left"/>
    <w:basedOn w:val="Normal"/>
    <w:rsid w:val="00ED7C77"/>
    <w:pPr>
      <w:keepNext/>
      <w:keepLines/>
      <w:spacing w:before="50" w:after="50" w:line="240" w:lineRule="exact"/>
    </w:pPr>
    <w:rPr>
      <w:rFonts w:ascii="Arial" w:eastAsia="SimSun" w:hAnsi="Arial"/>
      <w:sz w:val="20"/>
      <w:lang w:eastAsia="zh-CN"/>
    </w:rPr>
  </w:style>
  <w:style w:type="character" w:customStyle="1" w:styleId="TabFigFooterChar">
    <w:name w:val="TabFig Footer Char"/>
    <w:link w:val="TabFigFooter"/>
    <w:locked/>
    <w:rsid w:val="00ED7C77"/>
    <w:rPr>
      <w:rFonts w:ascii="Arial" w:eastAsia="SimSun" w:hAnsi="Arial"/>
      <w:szCs w:val="24"/>
      <w:lang w:val="hr-HR" w:eastAsia="hr-HR"/>
    </w:rPr>
  </w:style>
  <w:style w:type="paragraph" w:customStyle="1" w:styleId="TabFigNote">
    <w:name w:val="TabFig Note"/>
    <w:basedOn w:val="Normal"/>
    <w:rsid w:val="004F24AB"/>
    <w:pPr>
      <w:keepNext/>
      <w:keepLines/>
      <w:spacing w:before="40" w:line="240" w:lineRule="exact"/>
      <w:ind w:left="29"/>
    </w:pPr>
    <w:rPr>
      <w:rFonts w:ascii="Arial" w:eastAsia="SimSun" w:hAnsi="Arial"/>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5688665">
      <w:bodyDiv w:val="1"/>
      <w:marLeft w:val="0"/>
      <w:marRight w:val="0"/>
      <w:marTop w:val="0"/>
      <w:marBottom w:val="0"/>
      <w:divBdr>
        <w:top w:val="none" w:sz="0" w:space="0" w:color="auto"/>
        <w:left w:val="none" w:sz="0" w:space="0" w:color="auto"/>
        <w:bottom w:val="none" w:sz="0" w:space="0" w:color="auto"/>
        <w:right w:val="none" w:sz="0" w:space="0" w:color="auto"/>
      </w:divBdr>
    </w:div>
    <w:div w:id="1532648387">
      <w:bodyDiv w:val="1"/>
      <w:marLeft w:val="0"/>
      <w:marRight w:val="0"/>
      <w:marTop w:val="0"/>
      <w:marBottom w:val="0"/>
      <w:divBdr>
        <w:top w:val="none" w:sz="0" w:space="0" w:color="auto"/>
        <w:left w:val="none" w:sz="0" w:space="0" w:color="auto"/>
        <w:bottom w:val="none" w:sz="0" w:space="0" w:color="auto"/>
        <w:right w:val="none" w:sz="0" w:space="0" w:color="auto"/>
      </w:divBdr>
      <w:divsChild>
        <w:div w:id="1696882574">
          <w:marLeft w:val="0"/>
          <w:marRight w:val="0"/>
          <w:marTop w:val="0"/>
          <w:marBottom w:val="0"/>
          <w:divBdr>
            <w:top w:val="none" w:sz="0" w:space="0" w:color="auto"/>
            <w:left w:val="none" w:sz="0" w:space="0" w:color="auto"/>
            <w:bottom w:val="none" w:sz="0" w:space="0" w:color="auto"/>
            <w:right w:val="none" w:sz="0" w:space="0" w:color="auto"/>
          </w:divBdr>
        </w:div>
        <w:div w:id="1896810962">
          <w:marLeft w:val="0"/>
          <w:marRight w:val="0"/>
          <w:marTop w:val="0"/>
          <w:marBottom w:val="0"/>
          <w:divBdr>
            <w:top w:val="none" w:sz="0" w:space="0" w:color="auto"/>
            <w:left w:val="none" w:sz="0" w:space="0" w:color="auto"/>
            <w:bottom w:val="none" w:sz="0" w:space="0" w:color="auto"/>
            <w:right w:val="none" w:sz="0" w:space="0" w:color="auto"/>
          </w:divBdr>
        </w:div>
        <w:div w:id="924454708">
          <w:marLeft w:val="0"/>
          <w:marRight w:val="0"/>
          <w:marTop w:val="0"/>
          <w:marBottom w:val="0"/>
          <w:divBdr>
            <w:top w:val="none" w:sz="0" w:space="0" w:color="auto"/>
            <w:left w:val="none" w:sz="0" w:space="0" w:color="auto"/>
            <w:bottom w:val="none" w:sz="0" w:space="0" w:color="auto"/>
            <w:right w:val="none" w:sz="0" w:space="0" w:color="auto"/>
          </w:divBdr>
        </w:div>
        <w:div w:id="1312179469">
          <w:marLeft w:val="0"/>
          <w:marRight w:val="0"/>
          <w:marTop w:val="0"/>
          <w:marBottom w:val="0"/>
          <w:divBdr>
            <w:top w:val="none" w:sz="0" w:space="0" w:color="auto"/>
            <w:left w:val="none" w:sz="0" w:space="0" w:color="auto"/>
            <w:bottom w:val="none" w:sz="0" w:space="0" w:color="auto"/>
            <w:right w:val="none" w:sz="0" w:space="0" w:color="auto"/>
          </w:divBdr>
        </w:div>
        <w:div w:id="809253231">
          <w:marLeft w:val="0"/>
          <w:marRight w:val="0"/>
          <w:marTop w:val="0"/>
          <w:marBottom w:val="0"/>
          <w:divBdr>
            <w:top w:val="none" w:sz="0" w:space="0" w:color="auto"/>
            <w:left w:val="none" w:sz="0" w:space="0" w:color="auto"/>
            <w:bottom w:val="none" w:sz="0" w:space="0" w:color="auto"/>
            <w:right w:val="none" w:sz="0" w:space="0" w:color="auto"/>
          </w:divBdr>
        </w:div>
        <w:div w:id="2065450415">
          <w:marLeft w:val="0"/>
          <w:marRight w:val="0"/>
          <w:marTop w:val="0"/>
          <w:marBottom w:val="0"/>
          <w:divBdr>
            <w:top w:val="none" w:sz="0" w:space="0" w:color="auto"/>
            <w:left w:val="none" w:sz="0" w:space="0" w:color="auto"/>
            <w:bottom w:val="none" w:sz="0" w:space="0" w:color="auto"/>
            <w:right w:val="none" w:sz="0" w:space="0" w:color="auto"/>
          </w:divBdr>
        </w:div>
      </w:divsChild>
    </w:div>
    <w:div w:id="1963883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inmed.me"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vigiflow-eforms.who-umc.org/me/mead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ezeljenadejstva@cinmed.m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E3A34-CAE4-416D-98C4-E3389EAA7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37</Pages>
  <Words>15073</Words>
  <Characters>85918</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SAŽETAK KARAKTERISTIKA LIJEKA</vt:lpstr>
    </vt:vector>
  </TitlesOfParts>
  <Company>CALIMS</Company>
  <LinksUpToDate>false</LinksUpToDate>
  <CharactersWithSpaces>100790</CharactersWithSpaces>
  <SharedDoc>false</SharedDoc>
  <HLinks>
    <vt:vector size="12" baseType="variant">
      <vt:variant>
        <vt:i4>2621465</vt:i4>
      </vt:variant>
      <vt:variant>
        <vt:i4>3</vt:i4>
      </vt:variant>
      <vt:variant>
        <vt:i4>0</vt:i4>
      </vt:variant>
      <vt:variant>
        <vt:i4>5</vt:i4>
      </vt:variant>
      <vt:variant>
        <vt:lpwstr>mailto:nezeljenadejstva@calims.me</vt:lpwstr>
      </vt:variant>
      <vt:variant>
        <vt:lpwstr/>
      </vt:variant>
      <vt:variant>
        <vt:i4>131142</vt:i4>
      </vt:variant>
      <vt:variant>
        <vt:i4>0</vt:i4>
      </vt:variant>
      <vt:variant>
        <vt:i4>0</vt:i4>
      </vt:variant>
      <vt:variant>
        <vt:i4>5</vt:i4>
      </vt:variant>
      <vt:variant>
        <vt:lpwstr>http://www.calims.me/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SAŽETAK KARAKTERISTIKA LIJEKA</dc:title>
  <dc:subject/>
  <dc:creator>tatjana.bankovic</dc:creator>
  <cp:keywords/>
  <cp:lastModifiedBy>Berina Ljuca</cp:lastModifiedBy>
  <cp:revision>8</cp:revision>
  <cp:lastPrinted>2023-06-08T06:36:00Z</cp:lastPrinted>
  <dcterms:created xsi:type="dcterms:W3CDTF">2024-12-13T12:28:00Z</dcterms:created>
  <dcterms:modified xsi:type="dcterms:W3CDTF">2024-12-24T13:18:00Z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