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32B7" w14:textId="5005CC14" w:rsidR="000D01B4" w:rsidRPr="008F1125" w:rsidRDefault="00DD502A" w:rsidP="000D43CB">
      <w:pPr>
        <w:jc w:val="center"/>
        <w:rPr>
          <w:lang w:val="sr-Latn-RS"/>
        </w:rPr>
      </w:pPr>
      <w:r w:rsidRPr="00B34362">
        <w:rPr>
          <w:b/>
          <w:bCs/>
          <w:iCs/>
          <w:szCs w:val="22"/>
          <w:u w:val="single"/>
          <w:lang w:val="sr-Latn-RS"/>
        </w:rPr>
        <w:t>SAŽETAK KARAKTERISTIKA LIJEKA</w:t>
      </w:r>
    </w:p>
    <w:p w14:paraId="1FB632B8" w14:textId="77777777" w:rsidR="000D01B4" w:rsidRPr="008F1125" w:rsidRDefault="000D01B4" w:rsidP="00577413">
      <w:pPr>
        <w:rPr>
          <w:lang w:val="sr-Latn-RS"/>
        </w:rPr>
      </w:pPr>
    </w:p>
    <w:p w14:paraId="1FB632C1" w14:textId="77777777" w:rsidR="000D01B4" w:rsidRPr="008F1125" w:rsidRDefault="000D01B4" w:rsidP="00577413">
      <w:pPr>
        <w:rPr>
          <w:szCs w:val="22"/>
          <w:lang w:val="sr-Latn-RS"/>
        </w:rPr>
      </w:pPr>
    </w:p>
    <w:p w14:paraId="1FB632C2" w14:textId="72979FCC" w:rsidR="000D01B4" w:rsidRPr="008F1125" w:rsidRDefault="00926926" w:rsidP="00577413">
      <w:pPr>
        <w:keepNext/>
        <w:keepLines/>
        <w:suppressAutoHyphens/>
        <w:rPr>
          <w:szCs w:val="22"/>
          <w:lang w:val="sr-Latn-RS"/>
        </w:rPr>
      </w:pPr>
      <w:r w:rsidRPr="008F1125">
        <w:rPr>
          <w:b/>
          <w:lang w:val="sr-Latn-RS" w:bidi="sr-Latn-RS"/>
        </w:rPr>
        <w:t>1.</w:t>
      </w:r>
      <w:r w:rsidRPr="008F1125">
        <w:rPr>
          <w:b/>
          <w:lang w:val="sr-Latn-RS" w:bidi="sr-Latn-RS"/>
        </w:rPr>
        <w:tab/>
      </w:r>
      <w:r w:rsidR="00DD502A" w:rsidRPr="008F1125">
        <w:rPr>
          <w:b/>
          <w:lang w:val="sr-Latn-RS" w:bidi="sr-Latn-RS"/>
        </w:rPr>
        <w:t>NAZIV</w:t>
      </w:r>
      <w:r w:rsidRPr="008F1125">
        <w:rPr>
          <w:b/>
          <w:lang w:val="sr-Latn-RS" w:bidi="sr-Latn-RS"/>
        </w:rPr>
        <w:t xml:space="preserve"> L</w:t>
      </w:r>
      <w:r w:rsidR="00DD502A" w:rsidRPr="008F1125">
        <w:rPr>
          <w:b/>
          <w:lang w:val="sr-Latn-RS" w:bidi="sr-Latn-RS"/>
        </w:rPr>
        <w:t>IJ</w:t>
      </w:r>
      <w:r w:rsidRPr="008F1125">
        <w:rPr>
          <w:b/>
          <w:lang w:val="sr-Latn-RS" w:bidi="sr-Latn-RS"/>
        </w:rPr>
        <w:t>EKA</w:t>
      </w:r>
    </w:p>
    <w:p w14:paraId="1FB632C3" w14:textId="77777777" w:rsidR="000D01B4" w:rsidRPr="008F1125" w:rsidRDefault="000D01B4" w:rsidP="00577413">
      <w:pPr>
        <w:keepNext/>
        <w:keepLines/>
        <w:rPr>
          <w:iCs/>
          <w:szCs w:val="22"/>
          <w:lang w:val="sr-Latn-RS"/>
        </w:rPr>
      </w:pPr>
    </w:p>
    <w:p w14:paraId="1FB632C4" w14:textId="4E720243" w:rsidR="000D01B4" w:rsidRPr="008F1125" w:rsidRDefault="00926926" w:rsidP="00577413">
      <w:pPr>
        <w:keepNext/>
        <w:keepLines/>
        <w:rPr>
          <w:szCs w:val="22"/>
          <w:lang w:val="sr-Latn-RS"/>
        </w:rPr>
      </w:pPr>
      <w:r w:rsidRPr="008F1125">
        <w:rPr>
          <w:lang w:val="sr-Latn-RS" w:bidi="sr-Latn-RS"/>
        </w:rPr>
        <w:t>Bavencio, 20 mg/</w:t>
      </w:r>
      <w:r w:rsidR="00E74CD9" w:rsidRPr="008F1125">
        <w:rPr>
          <w:lang w:val="sr-Latn-RS" w:bidi="sr-Latn-RS"/>
        </w:rPr>
        <w:t>ml</w:t>
      </w:r>
      <w:r w:rsidRPr="008F1125">
        <w:rPr>
          <w:lang w:val="sr-Latn-RS" w:bidi="sr-Latn-RS"/>
        </w:rPr>
        <w:t>, koncentrat za rastvor za infuziju</w:t>
      </w:r>
    </w:p>
    <w:p w14:paraId="1FB632C5" w14:textId="70599C8E" w:rsidR="000D01B4" w:rsidRPr="008F1125" w:rsidRDefault="00D30197" w:rsidP="00577413">
      <w:pPr>
        <w:rPr>
          <w:iCs/>
          <w:szCs w:val="22"/>
          <w:lang w:val="sr-Latn-RS"/>
        </w:rPr>
      </w:pPr>
      <w:r w:rsidRPr="008F1125">
        <w:rPr>
          <w:iCs/>
          <w:szCs w:val="22"/>
          <w:lang w:val="sr-Latn-RS"/>
        </w:rPr>
        <w:t>INN: avelumab</w:t>
      </w:r>
    </w:p>
    <w:p w14:paraId="1FB632C6" w14:textId="3AEF050F" w:rsidR="000D01B4" w:rsidRDefault="000D01B4" w:rsidP="00577413">
      <w:pPr>
        <w:rPr>
          <w:iCs/>
          <w:szCs w:val="22"/>
          <w:lang w:val="sr-Latn-RS"/>
        </w:rPr>
      </w:pPr>
    </w:p>
    <w:p w14:paraId="7EA1EA36" w14:textId="77777777" w:rsidR="003D55E0" w:rsidRPr="008F1125" w:rsidRDefault="003D55E0" w:rsidP="00577413">
      <w:pPr>
        <w:rPr>
          <w:iCs/>
          <w:szCs w:val="22"/>
          <w:lang w:val="sr-Latn-RS"/>
        </w:rPr>
      </w:pPr>
    </w:p>
    <w:p w14:paraId="1FB632C7" w14:textId="77777777" w:rsidR="000D01B4" w:rsidRPr="008F1125" w:rsidRDefault="00926926" w:rsidP="00577413">
      <w:pPr>
        <w:keepNext/>
        <w:keepLines/>
        <w:suppressAutoHyphens/>
        <w:rPr>
          <w:szCs w:val="22"/>
          <w:lang w:val="sr-Latn-RS"/>
        </w:rPr>
      </w:pPr>
      <w:r w:rsidRPr="008F1125">
        <w:rPr>
          <w:b/>
          <w:lang w:val="sr-Latn-RS" w:bidi="sr-Latn-RS"/>
        </w:rPr>
        <w:t>2.</w:t>
      </w:r>
      <w:r w:rsidRPr="008F1125">
        <w:rPr>
          <w:b/>
          <w:lang w:val="sr-Latn-RS" w:bidi="sr-Latn-RS"/>
        </w:rPr>
        <w:tab/>
        <w:t>KVALITATIVNI I KVANTITATIVNI SASTAV</w:t>
      </w:r>
    </w:p>
    <w:p w14:paraId="1FB632C8" w14:textId="77777777" w:rsidR="000D01B4" w:rsidRPr="008F1125" w:rsidRDefault="000D01B4" w:rsidP="00577413">
      <w:pPr>
        <w:keepNext/>
        <w:keepLines/>
        <w:rPr>
          <w:iCs/>
          <w:szCs w:val="22"/>
          <w:lang w:val="sr-Latn-RS"/>
        </w:rPr>
      </w:pPr>
    </w:p>
    <w:p w14:paraId="1FB632C9" w14:textId="06CD9C76" w:rsidR="000D01B4" w:rsidRPr="008F1125" w:rsidRDefault="00926926" w:rsidP="00577413">
      <w:pPr>
        <w:keepNext/>
        <w:keepLines/>
        <w:rPr>
          <w:szCs w:val="22"/>
          <w:lang w:val="sr-Latn-RS"/>
        </w:rPr>
      </w:pPr>
      <w:r w:rsidRPr="008F1125">
        <w:rPr>
          <w:lang w:val="sr-Latn-RS" w:bidi="sr-Latn-RS"/>
        </w:rPr>
        <w:t xml:space="preserve">Jedan </w:t>
      </w:r>
      <w:r w:rsidR="00E74CD9" w:rsidRPr="008F1125">
        <w:rPr>
          <w:lang w:val="sr-Latn-RS" w:bidi="sr-Latn-RS"/>
        </w:rPr>
        <w:t>ml</w:t>
      </w:r>
      <w:r w:rsidRPr="008F1125">
        <w:rPr>
          <w:lang w:val="sr-Latn-RS" w:bidi="sr-Latn-RS"/>
        </w:rPr>
        <w:t xml:space="preserve"> koncentrata sadrži 20 mg avelumaba.</w:t>
      </w:r>
    </w:p>
    <w:p w14:paraId="1FB632CA" w14:textId="18F7FF5C" w:rsidR="000D01B4" w:rsidRPr="008F1125" w:rsidRDefault="00926926" w:rsidP="00577413">
      <w:pPr>
        <w:rPr>
          <w:szCs w:val="22"/>
          <w:lang w:val="sr-Latn-RS"/>
        </w:rPr>
      </w:pPr>
      <w:r w:rsidRPr="008F1125">
        <w:rPr>
          <w:lang w:val="sr-Latn-RS" w:bidi="sr-Latn-RS"/>
        </w:rPr>
        <w:t xml:space="preserve">Jedna bočica od 10 </w:t>
      </w:r>
      <w:r w:rsidR="00E74CD9" w:rsidRPr="008F1125">
        <w:rPr>
          <w:lang w:val="sr-Latn-RS" w:bidi="sr-Latn-RS"/>
        </w:rPr>
        <w:t>ml</w:t>
      </w:r>
      <w:r w:rsidRPr="008F1125">
        <w:rPr>
          <w:lang w:val="sr-Latn-RS" w:bidi="sr-Latn-RS"/>
        </w:rPr>
        <w:t xml:space="preserve"> sadrži 200 mg avelumaba.</w:t>
      </w:r>
    </w:p>
    <w:p w14:paraId="1FB632CB" w14:textId="77777777" w:rsidR="000D01B4" w:rsidRPr="008F1125" w:rsidRDefault="000D01B4" w:rsidP="00577413">
      <w:pPr>
        <w:rPr>
          <w:szCs w:val="22"/>
          <w:lang w:val="sr-Latn-RS"/>
        </w:rPr>
      </w:pPr>
    </w:p>
    <w:p w14:paraId="1FB632CC" w14:textId="592ED018" w:rsidR="000D01B4" w:rsidRPr="008F1125" w:rsidRDefault="00926926" w:rsidP="00AE57A4">
      <w:pPr>
        <w:jc w:val="both"/>
        <w:rPr>
          <w:szCs w:val="22"/>
          <w:lang w:val="sr-Latn-RS"/>
        </w:rPr>
      </w:pPr>
      <w:r w:rsidRPr="008F1125">
        <w:rPr>
          <w:lang w:val="sr-Latn-RS" w:bidi="sr-Latn-RS"/>
        </w:rPr>
        <w:t>Avelumab je humanizovano monoklonsko antit</w:t>
      </w:r>
      <w:r w:rsidR="009C3A4F">
        <w:rPr>
          <w:lang w:val="sr-Latn-RS" w:bidi="sr-Latn-RS"/>
        </w:rPr>
        <w:t>ij</w:t>
      </w:r>
      <w:r w:rsidRPr="008F1125">
        <w:rPr>
          <w:lang w:val="sr-Latn-RS" w:bidi="sr-Latn-RS"/>
        </w:rPr>
        <w:t>elo usm</w:t>
      </w:r>
      <w:r w:rsidR="00B80A64" w:rsidRPr="008F1125">
        <w:rPr>
          <w:lang w:val="sr-Latn-RS" w:bidi="sr-Latn-RS"/>
        </w:rPr>
        <w:t>j</w:t>
      </w:r>
      <w:r w:rsidRPr="008F1125">
        <w:rPr>
          <w:lang w:val="sr-Latn-RS" w:bidi="sr-Latn-RS"/>
        </w:rPr>
        <w:t>ereno na PD-L1, imunomodulatorni proteinski ligand na površini ćelije, proizvedeno u ćelijama jajnika kineskog hrčka tehnologijom rekombinantne DNK.</w:t>
      </w:r>
    </w:p>
    <w:p w14:paraId="1FB632CD" w14:textId="77777777" w:rsidR="000D01B4" w:rsidRPr="008F1125" w:rsidRDefault="000D01B4" w:rsidP="00577413">
      <w:pPr>
        <w:tabs>
          <w:tab w:val="clear" w:pos="567"/>
        </w:tabs>
        <w:autoSpaceDE w:val="0"/>
        <w:autoSpaceDN w:val="0"/>
        <w:adjustRightInd w:val="0"/>
        <w:rPr>
          <w:szCs w:val="22"/>
          <w:lang w:val="sr-Latn-RS"/>
        </w:rPr>
      </w:pPr>
    </w:p>
    <w:p w14:paraId="5E67A626" w14:textId="77777777" w:rsidR="00D30197" w:rsidRPr="008F1125" w:rsidRDefault="00D30197" w:rsidP="00D30197">
      <w:pPr>
        <w:rPr>
          <w:szCs w:val="22"/>
          <w:lang w:val="sr-Latn-CS"/>
        </w:rPr>
      </w:pPr>
      <w:r w:rsidRPr="008F1125">
        <w:rPr>
          <w:szCs w:val="22"/>
          <w:lang w:val="sr-Latn-CS"/>
        </w:rPr>
        <w:t>Za spisak svih ekscipijenasa, pogledati dio 6.1.</w:t>
      </w:r>
    </w:p>
    <w:p w14:paraId="1FB632CF" w14:textId="77777777" w:rsidR="000D01B4" w:rsidRPr="008F1125" w:rsidRDefault="000D01B4" w:rsidP="00577413">
      <w:pPr>
        <w:rPr>
          <w:szCs w:val="22"/>
          <w:lang w:val="sr-Latn-RS"/>
        </w:rPr>
      </w:pPr>
    </w:p>
    <w:p w14:paraId="1FB632D0" w14:textId="77777777" w:rsidR="000D01B4" w:rsidRPr="008F1125" w:rsidRDefault="000D01B4" w:rsidP="00577413">
      <w:pPr>
        <w:rPr>
          <w:szCs w:val="22"/>
          <w:lang w:val="sr-Latn-RS"/>
        </w:rPr>
      </w:pPr>
    </w:p>
    <w:p w14:paraId="1FB632D1" w14:textId="77777777" w:rsidR="000D01B4" w:rsidRPr="008F1125" w:rsidRDefault="00926926" w:rsidP="00577413">
      <w:pPr>
        <w:keepNext/>
        <w:keepLines/>
        <w:suppressAutoHyphens/>
        <w:rPr>
          <w:caps/>
          <w:szCs w:val="22"/>
          <w:lang w:val="sr-Latn-RS"/>
        </w:rPr>
      </w:pPr>
      <w:r w:rsidRPr="008F1125">
        <w:rPr>
          <w:b/>
          <w:lang w:val="sr-Latn-RS" w:bidi="sr-Latn-RS"/>
        </w:rPr>
        <w:t>3.</w:t>
      </w:r>
      <w:r w:rsidRPr="008F1125">
        <w:rPr>
          <w:b/>
          <w:lang w:val="sr-Latn-RS" w:bidi="sr-Latn-RS"/>
        </w:rPr>
        <w:tab/>
        <w:t>FARMACEUTSKI OBLIK</w:t>
      </w:r>
    </w:p>
    <w:p w14:paraId="1FB632D2" w14:textId="77777777" w:rsidR="000D01B4" w:rsidRPr="008F1125" w:rsidRDefault="000D01B4" w:rsidP="00577413">
      <w:pPr>
        <w:keepNext/>
        <w:keepLines/>
        <w:rPr>
          <w:szCs w:val="22"/>
          <w:lang w:val="sr-Latn-RS"/>
        </w:rPr>
      </w:pPr>
    </w:p>
    <w:p w14:paraId="1FB632D3" w14:textId="77777777" w:rsidR="000D01B4" w:rsidRPr="008F1125" w:rsidRDefault="00926926" w:rsidP="00AE57A4">
      <w:pPr>
        <w:keepNext/>
        <w:keepLines/>
        <w:jc w:val="both"/>
        <w:rPr>
          <w:rFonts w:eastAsia="SimSun"/>
          <w:szCs w:val="22"/>
          <w:lang w:val="sr-Latn-RS" w:eastAsia="en-GB"/>
        </w:rPr>
      </w:pPr>
      <w:r w:rsidRPr="008F1125">
        <w:rPr>
          <w:lang w:val="sr-Latn-RS" w:bidi="sr-Latn-RS"/>
        </w:rPr>
        <w:t>Koncentrat za rastvor za infuziju (sterilni koncentrat).</w:t>
      </w:r>
    </w:p>
    <w:p w14:paraId="1FB632D4" w14:textId="77777777" w:rsidR="000D01B4" w:rsidRPr="008F1125" w:rsidRDefault="000D01B4" w:rsidP="00AE57A4">
      <w:pPr>
        <w:jc w:val="both"/>
        <w:rPr>
          <w:rFonts w:eastAsia="SimSun"/>
          <w:szCs w:val="22"/>
          <w:lang w:val="sr-Latn-RS" w:eastAsia="en-GB"/>
        </w:rPr>
      </w:pPr>
    </w:p>
    <w:p w14:paraId="1FB632D5" w14:textId="053343FD" w:rsidR="000D01B4" w:rsidRPr="008F1125" w:rsidRDefault="00926926" w:rsidP="00AE57A4">
      <w:pPr>
        <w:jc w:val="both"/>
        <w:rPr>
          <w:szCs w:val="22"/>
          <w:lang w:val="sr-Latn-RS"/>
        </w:rPr>
      </w:pPr>
      <w:r w:rsidRPr="008F1125">
        <w:rPr>
          <w:lang w:val="sr-Latn-RS" w:bidi="sr-Latn-RS"/>
        </w:rPr>
        <w:t>Bistar, bezbojan do blago žut rastvor. Raspon pH vr</w:t>
      </w:r>
      <w:r w:rsidR="00DD502A" w:rsidRPr="008F1125">
        <w:rPr>
          <w:lang w:val="sr-Latn-RS" w:bidi="sr-Latn-RS"/>
        </w:rPr>
        <w:t>ij</w:t>
      </w:r>
      <w:r w:rsidRPr="008F1125">
        <w:rPr>
          <w:lang w:val="sr-Latn-RS" w:bidi="sr-Latn-RS"/>
        </w:rPr>
        <w:t>ednosti rastvora je 5,0 - 5,6, a osmolalnost između 2</w:t>
      </w:r>
      <w:r w:rsidR="009C3A4F">
        <w:rPr>
          <w:lang w:val="sr-Latn-RS" w:bidi="sr-Latn-RS"/>
        </w:rPr>
        <w:t>85</w:t>
      </w:r>
      <w:r w:rsidRPr="008F1125">
        <w:rPr>
          <w:lang w:val="sr-Latn-RS" w:bidi="sr-Latn-RS"/>
        </w:rPr>
        <w:t xml:space="preserve"> i 3</w:t>
      </w:r>
      <w:r w:rsidR="009C3A4F">
        <w:rPr>
          <w:lang w:val="sr-Latn-RS" w:bidi="sr-Latn-RS"/>
        </w:rPr>
        <w:t>50</w:t>
      </w:r>
      <w:r w:rsidRPr="008F1125">
        <w:rPr>
          <w:lang w:val="sr-Latn-RS" w:bidi="sr-Latn-RS"/>
        </w:rPr>
        <w:t xml:space="preserve"> mOsm/kg.</w:t>
      </w:r>
    </w:p>
    <w:p w14:paraId="1FB632D6" w14:textId="77777777" w:rsidR="000D01B4" w:rsidRPr="008F1125" w:rsidRDefault="000D01B4" w:rsidP="00577413">
      <w:pPr>
        <w:rPr>
          <w:szCs w:val="22"/>
          <w:lang w:val="sr-Latn-RS"/>
        </w:rPr>
      </w:pPr>
    </w:p>
    <w:p w14:paraId="1FB632D7" w14:textId="77777777" w:rsidR="000D01B4" w:rsidRPr="008F1125" w:rsidRDefault="000D01B4" w:rsidP="00577413">
      <w:pPr>
        <w:rPr>
          <w:szCs w:val="22"/>
          <w:lang w:val="sr-Latn-RS"/>
        </w:rPr>
      </w:pPr>
    </w:p>
    <w:p w14:paraId="1FB632D8" w14:textId="77777777" w:rsidR="000D01B4" w:rsidRPr="008F1125" w:rsidRDefault="00926926" w:rsidP="00E9438A">
      <w:pPr>
        <w:keepNext/>
        <w:keepLines/>
        <w:suppressAutoHyphens/>
        <w:jc w:val="both"/>
        <w:rPr>
          <w:caps/>
          <w:szCs w:val="22"/>
          <w:lang w:val="sr-Latn-RS"/>
        </w:rPr>
      </w:pPr>
      <w:r w:rsidRPr="008F1125">
        <w:rPr>
          <w:b/>
          <w:lang w:val="sr-Latn-RS" w:bidi="sr-Latn-RS"/>
        </w:rPr>
        <w:t>4.</w:t>
      </w:r>
      <w:r w:rsidRPr="008F1125">
        <w:rPr>
          <w:b/>
          <w:lang w:val="sr-Latn-RS" w:bidi="sr-Latn-RS"/>
        </w:rPr>
        <w:tab/>
        <w:t>KLINIČKI PODACI</w:t>
      </w:r>
    </w:p>
    <w:p w14:paraId="1FB632D9" w14:textId="77777777" w:rsidR="000D01B4" w:rsidRPr="008F1125" w:rsidRDefault="000D01B4" w:rsidP="00577413">
      <w:pPr>
        <w:keepNext/>
        <w:keepLines/>
        <w:rPr>
          <w:szCs w:val="22"/>
          <w:lang w:val="sr-Latn-RS"/>
        </w:rPr>
      </w:pPr>
    </w:p>
    <w:p w14:paraId="1FB632DA" w14:textId="77777777" w:rsidR="000D01B4" w:rsidRPr="008F1125" w:rsidRDefault="00926926" w:rsidP="00E9438A">
      <w:pPr>
        <w:keepNext/>
        <w:keepLines/>
        <w:jc w:val="both"/>
        <w:rPr>
          <w:b/>
          <w:szCs w:val="22"/>
          <w:lang w:val="sr-Latn-RS"/>
        </w:rPr>
      </w:pPr>
      <w:r w:rsidRPr="008F1125">
        <w:rPr>
          <w:b/>
          <w:lang w:val="sr-Latn-RS" w:bidi="sr-Latn-RS"/>
        </w:rPr>
        <w:t>4.1.</w:t>
      </w:r>
      <w:r w:rsidRPr="008F1125">
        <w:rPr>
          <w:b/>
          <w:lang w:val="sr-Latn-RS" w:bidi="sr-Latn-RS"/>
        </w:rPr>
        <w:tab/>
        <w:t>Terapijske indikacije</w:t>
      </w:r>
    </w:p>
    <w:p w14:paraId="1FB632DB" w14:textId="77777777" w:rsidR="000D01B4" w:rsidRPr="008F1125" w:rsidRDefault="000D01B4" w:rsidP="00E9438A">
      <w:pPr>
        <w:keepNext/>
        <w:keepLines/>
        <w:jc w:val="both"/>
        <w:rPr>
          <w:szCs w:val="22"/>
          <w:lang w:val="sr-Latn-RS"/>
        </w:rPr>
      </w:pPr>
    </w:p>
    <w:p w14:paraId="1FB632DC" w14:textId="1AC3F4FD" w:rsidR="000D01B4" w:rsidRPr="008F1125" w:rsidRDefault="00DD502A" w:rsidP="00E9438A">
      <w:pPr>
        <w:keepNext/>
        <w:keepLines/>
        <w:jc w:val="both"/>
        <w:rPr>
          <w:szCs w:val="22"/>
          <w:lang w:val="sr-Latn-RS"/>
        </w:rPr>
      </w:pPr>
      <w:r w:rsidRPr="008F1125">
        <w:rPr>
          <w:lang w:val="sr-Latn-RS" w:bidi="sr-Latn-RS"/>
        </w:rPr>
        <w:t xml:space="preserve">Lijek Bavencio </w:t>
      </w:r>
      <w:r w:rsidR="00926926" w:rsidRPr="008F1125">
        <w:rPr>
          <w:lang w:val="sr-Latn-RS" w:bidi="sr-Latn-RS"/>
        </w:rPr>
        <w:t>je indikovan kao monoterapija za l</w:t>
      </w:r>
      <w:r w:rsidR="00E9438A" w:rsidRPr="008F1125">
        <w:rPr>
          <w:lang w:val="sr-Latn-RS" w:bidi="sr-Latn-RS"/>
        </w:rPr>
        <w:t>ij</w:t>
      </w:r>
      <w:r w:rsidR="00926926" w:rsidRPr="008F1125">
        <w:rPr>
          <w:lang w:val="sr-Latn-RS" w:bidi="sr-Latn-RS"/>
        </w:rPr>
        <w:t>ečenje odraslih pacijenata sa metastatskim karcinomom Merkelovih ćelija.</w:t>
      </w:r>
    </w:p>
    <w:p w14:paraId="1FB632DD" w14:textId="77777777" w:rsidR="000D01B4" w:rsidRPr="008F1125" w:rsidRDefault="000D01B4" w:rsidP="00E9438A">
      <w:pPr>
        <w:jc w:val="both"/>
        <w:rPr>
          <w:szCs w:val="22"/>
          <w:lang w:val="sr-Latn-RS"/>
        </w:rPr>
      </w:pPr>
    </w:p>
    <w:p w14:paraId="0FE8EAA4" w14:textId="6A9A4A9A" w:rsidR="002808A4" w:rsidRPr="008F1125" w:rsidRDefault="00DD502A" w:rsidP="00E9438A">
      <w:pPr>
        <w:keepNext/>
        <w:keepLines/>
        <w:jc w:val="both"/>
        <w:rPr>
          <w:szCs w:val="22"/>
          <w:lang w:val="sr-Latn-RS"/>
        </w:rPr>
      </w:pPr>
      <w:r w:rsidRPr="008F1125">
        <w:rPr>
          <w:szCs w:val="22"/>
          <w:lang w:val="sr-Latn-RS"/>
        </w:rPr>
        <w:t xml:space="preserve">Lijek Bavencio </w:t>
      </w:r>
      <w:r w:rsidR="002808A4" w:rsidRPr="008F1125">
        <w:rPr>
          <w:szCs w:val="22"/>
          <w:lang w:val="sr-Latn-RS"/>
        </w:rPr>
        <w:t>je indikovan kao monoterapija u prvoj liniji terapije održavanja kod odraslih pacijenata sa lokalno uznapredovalim ili metastatskim urotelijalnim karcinomom kod kojih nije došlo do progresije nakon hem</w:t>
      </w:r>
      <w:r w:rsidR="00324A9C" w:rsidRPr="008F1125">
        <w:rPr>
          <w:szCs w:val="22"/>
          <w:lang w:val="sr-Latn-RS"/>
        </w:rPr>
        <w:t>i</w:t>
      </w:r>
      <w:r w:rsidR="002808A4" w:rsidRPr="008F1125">
        <w:rPr>
          <w:szCs w:val="22"/>
          <w:lang w:val="sr-Latn-RS"/>
        </w:rPr>
        <w:t>oterapije na bazi platine.</w:t>
      </w:r>
    </w:p>
    <w:p w14:paraId="03714713" w14:textId="77777777" w:rsidR="002808A4" w:rsidRPr="008F1125" w:rsidRDefault="002808A4" w:rsidP="00E9438A">
      <w:pPr>
        <w:jc w:val="both"/>
        <w:rPr>
          <w:szCs w:val="22"/>
          <w:lang w:val="sr-Latn-RS"/>
        </w:rPr>
      </w:pPr>
    </w:p>
    <w:p w14:paraId="1FB632DE" w14:textId="3C2CD4BB" w:rsidR="003860A7" w:rsidRPr="008F1125" w:rsidRDefault="00DD502A" w:rsidP="00E9438A">
      <w:pPr>
        <w:jc w:val="both"/>
        <w:rPr>
          <w:szCs w:val="22"/>
          <w:lang w:val="sr-Latn-RS"/>
        </w:rPr>
      </w:pPr>
      <w:r w:rsidRPr="008F1125">
        <w:rPr>
          <w:lang w:val="sr-Latn-RS" w:bidi="sr-Latn-RS"/>
        </w:rPr>
        <w:t xml:space="preserve">Lijek Bavencio </w:t>
      </w:r>
      <w:r w:rsidR="00926926" w:rsidRPr="008F1125">
        <w:rPr>
          <w:lang w:val="sr-Latn-RS" w:bidi="sr-Latn-RS"/>
        </w:rPr>
        <w:t xml:space="preserve">u kombinaciji sa aksitinibom indikovan je kao prva linija terapije kod odraslih pacijenata sa uznapredovalim karcinomom bubrežnih ćelija (eng. </w:t>
      </w:r>
      <w:r w:rsidR="00926926" w:rsidRPr="008F1125">
        <w:rPr>
          <w:i/>
          <w:lang w:val="sr-Latn-RS" w:bidi="sr-Latn-RS"/>
        </w:rPr>
        <w:t>renal cell carcinoma</w:t>
      </w:r>
      <w:r w:rsidR="00926926" w:rsidRPr="008F1125">
        <w:rPr>
          <w:lang w:val="sr-Latn-RS" w:bidi="sr-Latn-RS"/>
        </w:rPr>
        <w:t>, RCC) (</w:t>
      </w:r>
      <w:r w:rsidRPr="008F1125">
        <w:rPr>
          <w:lang w:val="sr-Latn-RS" w:bidi="sr-Latn-RS"/>
        </w:rPr>
        <w:t>vidjeti dio</w:t>
      </w:r>
      <w:r w:rsidR="00926926" w:rsidRPr="008F1125">
        <w:rPr>
          <w:lang w:val="sr-Latn-RS" w:bidi="sr-Latn-RS"/>
        </w:rPr>
        <w:t xml:space="preserve"> 5.1).</w:t>
      </w:r>
    </w:p>
    <w:p w14:paraId="1FB632DF" w14:textId="77777777" w:rsidR="00B3177D" w:rsidRPr="008F1125" w:rsidRDefault="00B3177D" w:rsidP="00577413">
      <w:pPr>
        <w:rPr>
          <w:szCs w:val="22"/>
          <w:lang w:val="sr-Latn-RS"/>
        </w:rPr>
      </w:pPr>
    </w:p>
    <w:p w14:paraId="1FB632E0" w14:textId="7CEE2160" w:rsidR="000D01B4" w:rsidRPr="008F1125" w:rsidRDefault="00926926" w:rsidP="00E9438A">
      <w:pPr>
        <w:keepNext/>
        <w:keepLines/>
        <w:jc w:val="both"/>
        <w:rPr>
          <w:b/>
          <w:szCs w:val="22"/>
          <w:lang w:val="sr-Latn-RS"/>
        </w:rPr>
      </w:pPr>
      <w:r w:rsidRPr="008F1125">
        <w:rPr>
          <w:b/>
          <w:lang w:val="sr-Latn-RS" w:bidi="sr-Latn-RS"/>
        </w:rPr>
        <w:t>4.2.</w:t>
      </w:r>
      <w:r w:rsidRPr="008F1125">
        <w:rPr>
          <w:b/>
          <w:lang w:val="sr-Latn-RS" w:bidi="sr-Latn-RS"/>
        </w:rPr>
        <w:tab/>
        <w:t>Doziranje i način prim</w:t>
      </w:r>
      <w:r w:rsidR="00DD502A" w:rsidRPr="008F1125">
        <w:rPr>
          <w:b/>
          <w:lang w:val="sr-Latn-RS" w:bidi="sr-Latn-RS"/>
        </w:rPr>
        <w:t>j</w:t>
      </w:r>
      <w:r w:rsidRPr="008F1125">
        <w:rPr>
          <w:b/>
          <w:lang w:val="sr-Latn-RS" w:bidi="sr-Latn-RS"/>
        </w:rPr>
        <w:t>ene</w:t>
      </w:r>
    </w:p>
    <w:p w14:paraId="1FB632E1" w14:textId="77777777" w:rsidR="000D01B4" w:rsidRPr="008F1125" w:rsidRDefault="000D01B4" w:rsidP="00E9438A">
      <w:pPr>
        <w:keepNext/>
        <w:keepLines/>
        <w:jc w:val="both"/>
        <w:rPr>
          <w:szCs w:val="22"/>
          <w:lang w:val="sr-Latn-RS"/>
        </w:rPr>
      </w:pPr>
    </w:p>
    <w:p w14:paraId="1FB632E2" w14:textId="56835630" w:rsidR="000D01B4" w:rsidRPr="008F1125" w:rsidRDefault="00926926" w:rsidP="00E9438A">
      <w:pPr>
        <w:keepNext/>
        <w:keepLines/>
        <w:tabs>
          <w:tab w:val="clear" w:pos="567"/>
        </w:tabs>
        <w:autoSpaceDE w:val="0"/>
        <w:autoSpaceDN w:val="0"/>
        <w:adjustRightInd w:val="0"/>
        <w:jc w:val="both"/>
        <w:rPr>
          <w:szCs w:val="22"/>
          <w:lang w:val="sr-Latn-RS"/>
        </w:rPr>
      </w:pPr>
      <w:r w:rsidRPr="008F1125">
        <w:rPr>
          <w:lang w:val="sr-Latn-RS" w:bidi="sr-Latn-RS"/>
        </w:rPr>
        <w:t>Terapiju treba da započne i nadzire l</w:t>
      </w:r>
      <w:r w:rsidR="00DD502A" w:rsidRPr="008F1125">
        <w:rPr>
          <w:lang w:val="sr-Latn-RS" w:bidi="sr-Latn-RS"/>
        </w:rPr>
        <w:t>j</w:t>
      </w:r>
      <w:r w:rsidRPr="008F1125">
        <w:rPr>
          <w:lang w:val="sr-Latn-RS" w:bidi="sr-Latn-RS"/>
        </w:rPr>
        <w:t>ekar sa iskustvom u terapiji karcinoma.</w:t>
      </w:r>
    </w:p>
    <w:p w14:paraId="1FB632E3" w14:textId="77777777" w:rsidR="000D01B4" w:rsidRPr="008F1125" w:rsidRDefault="000D01B4" w:rsidP="00E9438A">
      <w:pPr>
        <w:jc w:val="both"/>
        <w:rPr>
          <w:szCs w:val="22"/>
          <w:lang w:val="sr-Latn-RS"/>
        </w:rPr>
      </w:pPr>
    </w:p>
    <w:p w14:paraId="1FB632E4" w14:textId="77777777" w:rsidR="000D01B4" w:rsidRPr="008F1125" w:rsidRDefault="00926926" w:rsidP="00E9438A">
      <w:pPr>
        <w:keepNext/>
        <w:jc w:val="both"/>
        <w:rPr>
          <w:szCs w:val="22"/>
          <w:u w:val="single"/>
          <w:lang w:val="sr-Latn-RS"/>
        </w:rPr>
      </w:pPr>
      <w:r w:rsidRPr="008F1125">
        <w:rPr>
          <w:u w:val="single"/>
          <w:lang w:val="sr-Latn-RS" w:bidi="sr-Latn-RS"/>
        </w:rPr>
        <w:t>Doziranje</w:t>
      </w:r>
    </w:p>
    <w:p w14:paraId="1FB632E5" w14:textId="23A185AE" w:rsidR="000D01B4" w:rsidRPr="008F1125" w:rsidRDefault="00926926" w:rsidP="00E9438A">
      <w:pPr>
        <w:keepNext/>
        <w:keepLines/>
        <w:jc w:val="both"/>
        <w:rPr>
          <w:szCs w:val="22"/>
          <w:lang w:val="sr-Latn-RS"/>
        </w:rPr>
      </w:pPr>
      <w:r w:rsidRPr="008F1125">
        <w:rPr>
          <w:lang w:val="sr-Latn-RS" w:bidi="sr-Latn-RS"/>
        </w:rPr>
        <w:t xml:space="preserve">Preporučena doza </w:t>
      </w:r>
      <w:r w:rsidR="00DD502A" w:rsidRPr="008F1125">
        <w:rPr>
          <w:lang w:val="sr-Latn-RS" w:bidi="sr-Latn-RS"/>
        </w:rPr>
        <w:t xml:space="preserve">lijeka Bavencio </w:t>
      </w:r>
      <w:r w:rsidRPr="008F1125">
        <w:rPr>
          <w:lang w:val="sr-Latn-RS" w:bidi="sr-Latn-RS"/>
        </w:rPr>
        <w:t>u monoterapiji je 800 mg prim</w:t>
      </w:r>
      <w:r w:rsidR="007B62D5" w:rsidRPr="008F1125">
        <w:rPr>
          <w:lang w:val="sr-Latn-RS" w:bidi="sr-Latn-RS"/>
        </w:rPr>
        <w:t>ij</w:t>
      </w:r>
      <w:r w:rsidRPr="008F1125">
        <w:rPr>
          <w:lang w:val="sr-Latn-RS" w:bidi="sr-Latn-RS"/>
        </w:rPr>
        <w:t>enjeno intravenski u trajanju od 60 minuta na svake 2 ned</w:t>
      </w:r>
      <w:r w:rsidR="007B62D5" w:rsidRPr="008F1125">
        <w:rPr>
          <w:lang w:val="sr-Latn-RS" w:bidi="sr-Latn-RS"/>
        </w:rPr>
        <w:t>j</w:t>
      </w:r>
      <w:r w:rsidRPr="008F1125">
        <w:rPr>
          <w:lang w:val="sr-Latn-RS" w:bidi="sr-Latn-RS"/>
        </w:rPr>
        <w:t>elje.</w:t>
      </w:r>
    </w:p>
    <w:p w14:paraId="1FB632E6" w14:textId="77777777" w:rsidR="000D01B4" w:rsidRPr="008F1125" w:rsidRDefault="000D01B4" w:rsidP="00E9438A">
      <w:pPr>
        <w:jc w:val="both"/>
        <w:rPr>
          <w:szCs w:val="22"/>
          <w:lang w:val="sr-Latn-RS"/>
        </w:rPr>
      </w:pPr>
    </w:p>
    <w:p w14:paraId="1FB632E7" w14:textId="1EE9DB29" w:rsidR="000D01B4" w:rsidRPr="008F1125" w:rsidRDefault="00DD502A" w:rsidP="00E9438A">
      <w:pPr>
        <w:jc w:val="both"/>
        <w:rPr>
          <w:rFonts w:eastAsia="SimSun"/>
          <w:szCs w:val="22"/>
          <w:lang w:val="sr-Latn-RS" w:eastAsia="en-GB"/>
        </w:rPr>
      </w:pPr>
      <w:r w:rsidRPr="008F1125">
        <w:rPr>
          <w:lang w:val="sr-Latn-RS" w:bidi="sr-Latn-RS"/>
        </w:rPr>
        <w:t xml:space="preserve">Lijek Bavencio </w:t>
      </w:r>
      <w:r w:rsidR="00926926" w:rsidRPr="008F1125">
        <w:rPr>
          <w:lang w:val="sr-Latn-RS" w:bidi="sr-Latn-RS"/>
        </w:rPr>
        <w:t xml:space="preserve">treba nastaviti da se </w:t>
      </w:r>
      <w:r w:rsidRPr="008F1125">
        <w:rPr>
          <w:lang w:val="sr-Latn-RS" w:bidi="sr-Latn-RS"/>
        </w:rPr>
        <w:t>primjenjuje</w:t>
      </w:r>
      <w:r w:rsidR="00926926" w:rsidRPr="008F1125">
        <w:rPr>
          <w:lang w:val="sr-Latn-RS" w:bidi="sr-Latn-RS"/>
        </w:rPr>
        <w:t xml:space="preserve"> prema preporučenom rasporedu sve do progresije bolesti ili neprihvatljive toksičnosti.</w:t>
      </w:r>
    </w:p>
    <w:p w14:paraId="1FB632E8" w14:textId="77777777" w:rsidR="00751D7A" w:rsidRPr="008F1125" w:rsidRDefault="00751D7A" w:rsidP="00E9438A">
      <w:pPr>
        <w:autoSpaceDE w:val="0"/>
        <w:autoSpaceDN w:val="0"/>
        <w:adjustRightInd w:val="0"/>
        <w:jc w:val="both"/>
        <w:rPr>
          <w:szCs w:val="22"/>
          <w:lang w:val="sr-Latn-RS"/>
        </w:rPr>
      </w:pPr>
    </w:p>
    <w:p w14:paraId="1FB632E9" w14:textId="04B58000" w:rsidR="00751D7A" w:rsidRPr="008F1125" w:rsidRDefault="00926926" w:rsidP="00E9438A">
      <w:pPr>
        <w:autoSpaceDE w:val="0"/>
        <w:autoSpaceDN w:val="0"/>
        <w:adjustRightInd w:val="0"/>
        <w:jc w:val="both"/>
        <w:rPr>
          <w:szCs w:val="22"/>
          <w:lang w:val="sr-Latn-RS"/>
        </w:rPr>
      </w:pPr>
      <w:r w:rsidRPr="008F1125">
        <w:rPr>
          <w:lang w:val="sr-Latn-RS" w:bidi="sr-Latn-RS"/>
        </w:rPr>
        <w:t xml:space="preserve">Preporučena doza </w:t>
      </w:r>
      <w:r w:rsidR="00DD502A" w:rsidRPr="008F1125">
        <w:rPr>
          <w:lang w:val="sr-Latn-RS" w:bidi="sr-Latn-RS"/>
        </w:rPr>
        <w:t xml:space="preserve">lijeka Bavencio </w:t>
      </w:r>
      <w:r w:rsidRPr="008F1125">
        <w:rPr>
          <w:lang w:val="sr-Latn-RS" w:bidi="sr-Latn-RS"/>
        </w:rPr>
        <w:t>u kombinaciji sa aksitinibom je 800 mg prim</w:t>
      </w:r>
      <w:r w:rsidR="00E9438A" w:rsidRPr="008F1125">
        <w:rPr>
          <w:lang w:val="sr-Latn-RS" w:bidi="sr-Latn-RS"/>
        </w:rPr>
        <w:t>ij</w:t>
      </w:r>
      <w:r w:rsidRPr="008F1125">
        <w:rPr>
          <w:lang w:val="sr-Latn-RS" w:bidi="sr-Latn-RS"/>
        </w:rPr>
        <w:t>enjeno intravenski u trajanju od 60 minuta na svake 2 ned</w:t>
      </w:r>
      <w:r w:rsidR="00E9438A" w:rsidRPr="008F1125">
        <w:rPr>
          <w:lang w:val="sr-Latn-RS" w:bidi="sr-Latn-RS"/>
        </w:rPr>
        <w:t>j</w:t>
      </w:r>
      <w:r w:rsidRPr="008F1125">
        <w:rPr>
          <w:lang w:val="sr-Latn-RS" w:bidi="sr-Latn-RS"/>
        </w:rPr>
        <w:t>elje uz aksitinib 5 mg dvaput na dan peroralno (u razmaku od 12 sati) sa hranom ili bez nje sve do progresije bolesti ili neprihvatljive toksičnosti.</w:t>
      </w:r>
    </w:p>
    <w:p w14:paraId="1FB632EA" w14:textId="77777777" w:rsidR="00751D7A" w:rsidRPr="008F1125" w:rsidRDefault="00751D7A" w:rsidP="00E9438A">
      <w:pPr>
        <w:autoSpaceDE w:val="0"/>
        <w:autoSpaceDN w:val="0"/>
        <w:adjustRightInd w:val="0"/>
        <w:jc w:val="both"/>
        <w:rPr>
          <w:szCs w:val="22"/>
          <w:lang w:val="sr-Latn-RS"/>
        </w:rPr>
      </w:pPr>
    </w:p>
    <w:p w14:paraId="1FB632EB" w14:textId="61E8B7FC" w:rsidR="007E0360" w:rsidRPr="008F1125" w:rsidRDefault="00926926" w:rsidP="00E9438A">
      <w:pPr>
        <w:autoSpaceDE w:val="0"/>
        <w:autoSpaceDN w:val="0"/>
        <w:adjustRightInd w:val="0"/>
        <w:jc w:val="both"/>
        <w:rPr>
          <w:rFonts w:eastAsia="TimesNewRoman"/>
          <w:i/>
          <w:szCs w:val="22"/>
          <w:lang w:val="sr-Latn-RS" w:eastAsia="en-GB"/>
        </w:rPr>
      </w:pPr>
      <w:r w:rsidRPr="008F1125">
        <w:rPr>
          <w:lang w:val="sr-Latn-RS" w:bidi="sr-Latn-RS"/>
        </w:rPr>
        <w:t xml:space="preserve">Za informacije o doziranju aksitiniba, </w:t>
      </w:r>
      <w:r w:rsidR="00DD502A" w:rsidRPr="008F1125">
        <w:rPr>
          <w:lang w:val="sr-Latn-RS" w:bidi="sr-Latn-RS"/>
        </w:rPr>
        <w:t>vidjeti</w:t>
      </w:r>
      <w:r w:rsidRPr="008F1125">
        <w:rPr>
          <w:lang w:val="sr-Latn-RS" w:bidi="sr-Latn-RS"/>
        </w:rPr>
        <w:t xml:space="preserve"> informacije o l</w:t>
      </w:r>
      <w:r w:rsidR="00DD502A" w:rsidRPr="008F1125">
        <w:rPr>
          <w:lang w:val="sr-Latn-RS" w:bidi="sr-Latn-RS"/>
        </w:rPr>
        <w:t>ij</w:t>
      </w:r>
      <w:r w:rsidRPr="008F1125">
        <w:rPr>
          <w:lang w:val="sr-Latn-RS" w:bidi="sr-Latn-RS"/>
        </w:rPr>
        <w:t>eku za aksitinib.</w:t>
      </w:r>
    </w:p>
    <w:p w14:paraId="1FB632EC" w14:textId="77777777" w:rsidR="000D01B4" w:rsidRPr="008F1125" w:rsidRDefault="000D01B4" w:rsidP="00E9438A">
      <w:pPr>
        <w:jc w:val="both"/>
        <w:rPr>
          <w:rFonts w:eastAsia="SimSun"/>
          <w:iCs/>
          <w:szCs w:val="22"/>
          <w:lang w:val="sr-Latn-RS" w:eastAsia="en-GB"/>
        </w:rPr>
      </w:pPr>
    </w:p>
    <w:p w14:paraId="1FB632ED" w14:textId="77777777" w:rsidR="000D01B4" w:rsidRPr="008F1125" w:rsidRDefault="00926926" w:rsidP="00E9438A">
      <w:pPr>
        <w:keepNext/>
        <w:keepLines/>
        <w:jc w:val="both"/>
        <w:rPr>
          <w:rFonts w:eastAsia="SimSun"/>
          <w:i/>
          <w:iCs/>
          <w:szCs w:val="22"/>
          <w:u w:val="single"/>
          <w:lang w:val="sr-Latn-RS" w:eastAsia="en-GB"/>
        </w:rPr>
      </w:pPr>
      <w:r w:rsidRPr="008F1125">
        <w:rPr>
          <w:i/>
          <w:u w:val="single"/>
          <w:lang w:val="sr-Latn-RS" w:bidi="sr-Latn-RS"/>
        </w:rPr>
        <w:t>Premedikacija</w:t>
      </w:r>
    </w:p>
    <w:p w14:paraId="1FB632EE" w14:textId="43B49CC8" w:rsidR="000D01B4" w:rsidRPr="008F1125" w:rsidRDefault="00926926" w:rsidP="00E9438A">
      <w:pPr>
        <w:keepNext/>
        <w:keepLines/>
        <w:jc w:val="both"/>
        <w:rPr>
          <w:szCs w:val="22"/>
          <w:lang w:val="sr-Latn-RS"/>
        </w:rPr>
      </w:pPr>
      <w:r w:rsidRPr="008F1125">
        <w:rPr>
          <w:lang w:val="sr-Latn-RS" w:bidi="sr-Latn-RS"/>
        </w:rPr>
        <w:t>Pacijenti moraju da prime premedikaciju antihistaminikom i paracetamolom pr</w:t>
      </w:r>
      <w:r w:rsidR="00DD502A" w:rsidRPr="008F1125">
        <w:rPr>
          <w:lang w:val="sr-Latn-RS" w:bidi="sr-Latn-RS"/>
        </w:rPr>
        <w:t>ij</w:t>
      </w:r>
      <w:r w:rsidRPr="008F1125">
        <w:rPr>
          <w:lang w:val="sr-Latn-RS" w:bidi="sr-Latn-RS"/>
        </w:rPr>
        <w:t>e prve 4 infuzije l</w:t>
      </w:r>
      <w:r w:rsidR="00DD502A" w:rsidRPr="008F1125">
        <w:rPr>
          <w:lang w:val="sr-Latn-RS" w:bidi="sr-Latn-RS"/>
        </w:rPr>
        <w:t>ij</w:t>
      </w:r>
      <w:r w:rsidRPr="008F1125">
        <w:rPr>
          <w:lang w:val="sr-Latn-RS" w:bidi="sr-Latn-RS"/>
        </w:rPr>
        <w:t>eka Bavencio. Ako se četvrta infuzija završi bez reakcija povezanih sa infuzijom, premedikaciju pr</w:t>
      </w:r>
      <w:r w:rsidR="00DD502A" w:rsidRPr="008F1125">
        <w:rPr>
          <w:lang w:val="sr-Latn-RS" w:bidi="sr-Latn-RS"/>
        </w:rPr>
        <w:t>ij</w:t>
      </w:r>
      <w:r w:rsidRPr="008F1125">
        <w:rPr>
          <w:lang w:val="sr-Latn-RS" w:bidi="sr-Latn-RS"/>
        </w:rPr>
        <w:t>e sl</w:t>
      </w:r>
      <w:r w:rsidR="00E9438A" w:rsidRPr="008F1125">
        <w:rPr>
          <w:lang w:val="sr-Latn-RS" w:bidi="sr-Latn-RS"/>
        </w:rPr>
        <w:t>j</w:t>
      </w:r>
      <w:r w:rsidRPr="008F1125">
        <w:rPr>
          <w:lang w:val="sr-Latn-RS" w:bidi="sr-Latn-RS"/>
        </w:rPr>
        <w:t>edećih doza treba prim</w:t>
      </w:r>
      <w:r w:rsidR="0038574B" w:rsidRPr="008F1125">
        <w:rPr>
          <w:lang w:val="sr-Latn-RS" w:bidi="sr-Latn-RS"/>
        </w:rPr>
        <w:t>j</w:t>
      </w:r>
      <w:r w:rsidRPr="008F1125">
        <w:rPr>
          <w:lang w:val="sr-Latn-RS" w:bidi="sr-Latn-RS"/>
        </w:rPr>
        <w:t xml:space="preserve">enjivati prema </w:t>
      </w:r>
      <w:r w:rsidR="00E74CD9" w:rsidRPr="008F1125">
        <w:rPr>
          <w:lang w:val="sr-Latn-RS" w:bidi="sr-Latn-RS"/>
        </w:rPr>
        <w:t>procjeni</w:t>
      </w:r>
      <w:r w:rsidRPr="008F1125">
        <w:rPr>
          <w:lang w:val="sr-Latn-RS" w:bidi="sr-Latn-RS"/>
        </w:rPr>
        <w:t xml:space="preserve"> </w:t>
      </w:r>
      <w:r w:rsidR="0038574B" w:rsidRPr="008F1125">
        <w:rPr>
          <w:lang w:val="sr-Latn-RS" w:bidi="sr-Latn-RS"/>
        </w:rPr>
        <w:t>ljekara</w:t>
      </w:r>
      <w:r w:rsidRPr="008F1125">
        <w:rPr>
          <w:lang w:val="sr-Latn-RS" w:bidi="sr-Latn-RS"/>
        </w:rPr>
        <w:t>.</w:t>
      </w:r>
    </w:p>
    <w:p w14:paraId="1FB632EF" w14:textId="77777777" w:rsidR="000D01B4" w:rsidRPr="008F1125" w:rsidRDefault="000D01B4" w:rsidP="00E9438A">
      <w:pPr>
        <w:jc w:val="both"/>
        <w:rPr>
          <w:rFonts w:eastAsia="SimSun"/>
          <w:iCs/>
          <w:szCs w:val="22"/>
          <w:lang w:val="sr-Latn-RS" w:eastAsia="en-GB"/>
        </w:rPr>
      </w:pPr>
    </w:p>
    <w:p w14:paraId="1FB632F0" w14:textId="77777777" w:rsidR="000D01B4" w:rsidRPr="008F1125" w:rsidRDefault="00926926" w:rsidP="00E9438A">
      <w:pPr>
        <w:keepNext/>
        <w:keepLines/>
        <w:jc w:val="both"/>
        <w:rPr>
          <w:rFonts w:eastAsia="SimSun"/>
          <w:i/>
          <w:iCs/>
          <w:szCs w:val="22"/>
          <w:u w:val="single"/>
          <w:lang w:val="sr-Latn-RS" w:eastAsia="en-GB"/>
        </w:rPr>
      </w:pPr>
      <w:r w:rsidRPr="008F1125">
        <w:rPr>
          <w:i/>
          <w:u w:val="single"/>
          <w:lang w:val="sr-Latn-RS" w:bidi="sr-Latn-RS"/>
        </w:rPr>
        <w:t>Prilagođavanje terapije</w:t>
      </w:r>
    </w:p>
    <w:p w14:paraId="1FB632F1" w14:textId="429AC088" w:rsidR="000D01B4" w:rsidRPr="008F1125" w:rsidRDefault="00926926" w:rsidP="00E9438A">
      <w:pPr>
        <w:keepNext/>
        <w:keepLines/>
        <w:jc w:val="both"/>
        <w:rPr>
          <w:szCs w:val="22"/>
          <w:lang w:val="sr-Latn-RS"/>
        </w:rPr>
      </w:pPr>
      <w:r w:rsidRPr="008F1125">
        <w:rPr>
          <w:lang w:val="sr-Latn-RS" w:bidi="sr-Latn-RS"/>
        </w:rPr>
        <w:t>Ne preporučuje se povećavanje ili snižavanje doze. U zavisnosti od bezb</w:t>
      </w:r>
      <w:r w:rsidR="00DD502A" w:rsidRPr="008F1125">
        <w:rPr>
          <w:lang w:val="sr-Latn-RS" w:bidi="sr-Latn-RS"/>
        </w:rPr>
        <w:t>j</w:t>
      </w:r>
      <w:r w:rsidRPr="008F1125">
        <w:rPr>
          <w:lang w:val="sr-Latn-RS" w:bidi="sr-Latn-RS"/>
        </w:rPr>
        <w:t>ednosti prim</w:t>
      </w:r>
      <w:r w:rsidR="00DD502A" w:rsidRPr="008F1125">
        <w:rPr>
          <w:lang w:val="sr-Latn-RS" w:bidi="sr-Latn-RS"/>
        </w:rPr>
        <w:t>j</w:t>
      </w:r>
      <w:r w:rsidRPr="008F1125">
        <w:rPr>
          <w:lang w:val="sr-Latn-RS" w:bidi="sr-Latn-RS"/>
        </w:rPr>
        <w:t>ene i podnošljivosti kod pojedinačnih pacijenata, može biti potrebno odlaganje prim</w:t>
      </w:r>
      <w:r w:rsidR="0038574B" w:rsidRPr="008F1125">
        <w:rPr>
          <w:lang w:val="sr-Latn-RS" w:bidi="sr-Latn-RS"/>
        </w:rPr>
        <w:t>j</w:t>
      </w:r>
      <w:r w:rsidRPr="008F1125">
        <w:rPr>
          <w:lang w:val="sr-Latn-RS" w:bidi="sr-Latn-RS"/>
        </w:rPr>
        <w:t xml:space="preserve">ene doze ili prekidanje terapije; </w:t>
      </w:r>
      <w:r w:rsidR="00DD502A" w:rsidRPr="008F1125">
        <w:rPr>
          <w:lang w:val="sr-Latn-RS" w:bidi="sr-Latn-RS"/>
        </w:rPr>
        <w:t>vidjeti</w:t>
      </w:r>
      <w:r w:rsidRPr="008F1125">
        <w:rPr>
          <w:lang w:val="sr-Latn-RS" w:bidi="sr-Latn-RS"/>
        </w:rPr>
        <w:t xml:space="preserve"> Tabelu 1.</w:t>
      </w:r>
    </w:p>
    <w:p w14:paraId="1FB632F2" w14:textId="77777777" w:rsidR="000D01B4" w:rsidRPr="008F1125" w:rsidRDefault="000D01B4" w:rsidP="00E9438A">
      <w:pPr>
        <w:jc w:val="both"/>
        <w:rPr>
          <w:szCs w:val="22"/>
          <w:lang w:val="sr-Latn-RS"/>
        </w:rPr>
      </w:pPr>
    </w:p>
    <w:p w14:paraId="1FB632F3" w14:textId="046D4B53" w:rsidR="000D01B4" w:rsidRPr="008F1125" w:rsidRDefault="00926926" w:rsidP="00E9438A">
      <w:pPr>
        <w:pStyle w:val="BodyText"/>
        <w:jc w:val="both"/>
        <w:rPr>
          <w:i w:val="0"/>
          <w:color w:val="auto"/>
          <w:szCs w:val="22"/>
          <w:lang w:val="sr-Latn-RS"/>
        </w:rPr>
      </w:pPr>
      <w:r w:rsidRPr="008F1125">
        <w:rPr>
          <w:i w:val="0"/>
          <w:color w:val="auto"/>
          <w:lang w:val="sr-Latn-RS" w:bidi="sr-Latn-RS"/>
        </w:rPr>
        <w:t>Detaljne sm</w:t>
      </w:r>
      <w:r w:rsidR="00DD502A" w:rsidRPr="008F1125">
        <w:rPr>
          <w:i w:val="0"/>
          <w:color w:val="auto"/>
          <w:lang w:val="sr-Latn-RS" w:bidi="sr-Latn-RS"/>
        </w:rPr>
        <w:t>j</w:t>
      </w:r>
      <w:r w:rsidRPr="008F1125">
        <w:rPr>
          <w:i w:val="0"/>
          <w:color w:val="auto"/>
          <w:lang w:val="sr-Latn-RS" w:bidi="sr-Latn-RS"/>
        </w:rPr>
        <w:t xml:space="preserve">ernice za zbrinjavanje imunološki </w:t>
      </w:r>
      <w:r w:rsidR="00851ABB">
        <w:rPr>
          <w:i w:val="0"/>
          <w:color w:val="auto"/>
          <w:lang w:val="sr-Latn-RS" w:bidi="sr-Latn-RS"/>
        </w:rPr>
        <w:t>posredovanih</w:t>
      </w:r>
      <w:r w:rsidR="00851ABB" w:rsidRPr="008F1125">
        <w:rPr>
          <w:i w:val="0"/>
          <w:color w:val="auto"/>
          <w:lang w:val="sr-Latn-RS" w:bidi="sr-Latn-RS"/>
        </w:rPr>
        <w:t xml:space="preserve"> </w:t>
      </w:r>
      <w:r w:rsidRPr="008F1125">
        <w:rPr>
          <w:i w:val="0"/>
          <w:color w:val="auto"/>
          <w:lang w:val="sr-Latn-RS" w:bidi="sr-Latn-RS"/>
        </w:rPr>
        <w:t xml:space="preserve">neželjenih reakcija opisane su u </w:t>
      </w:r>
      <w:r w:rsidR="00DD502A" w:rsidRPr="008F1125">
        <w:rPr>
          <w:i w:val="0"/>
          <w:color w:val="auto"/>
          <w:lang w:val="sr-Latn-RS" w:bidi="sr-Latn-RS"/>
        </w:rPr>
        <w:t xml:space="preserve">dijelu </w:t>
      </w:r>
      <w:r w:rsidRPr="008F1125">
        <w:rPr>
          <w:i w:val="0"/>
          <w:color w:val="auto"/>
          <w:lang w:val="sr-Latn-RS" w:bidi="sr-Latn-RS"/>
        </w:rPr>
        <w:t>4.4.</w:t>
      </w:r>
    </w:p>
    <w:p w14:paraId="1FB632F4" w14:textId="77777777" w:rsidR="00F11960" w:rsidRPr="008F1125" w:rsidRDefault="00F11960" w:rsidP="00577413">
      <w:pPr>
        <w:pStyle w:val="BodyText"/>
        <w:rPr>
          <w:i w:val="0"/>
          <w:color w:val="auto"/>
          <w:szCs w:val="22"/>
          <w:lang w:val="sr-Latn-RS"/>
        </w:rPr>
      </w:pPr>
    </w:p>
    <w:p w14:paraId="1FB632F5" w14:textId="5419D98A" w:rsidR="000D01B4" w:rsidRPr="008F1125" w:rsidRDefault="00926926" w:rsidP="00577413">
      <w:pPr>
        <w:pStyle w:val="Default"/>
        <w:keepNext/>
        <w:rPr>
          <w:rFonts w:eastAsia="TimesNewRoman"/>
          <w:b/>
          <w:color w:val="auto"/>
          <w:sz w:val="22"/>
          <w:szCs w:val="22"/>
          <w:lang w:val="sr-Latn-RS"/>
        </w:rPr>
      </w:pPr>
      <w:bookmarkStart w:id="0" w:name="_Ref531178134"/>
      <w:r w:rsidRPr="008F1125">
        <w:rPr>
          <w:b/>
          <w:color w:val="auto"/>
          <w:sz w:val="22"/>
          <w:lang w:val="sr-Latn-RS" w:bidi="sr-Latn-RS"/>
        </w:rPr>
        <w:t xml:space="preserve">Tabela </w:t>
      </w:r>
      <w:bookmarkEnd w:id="0"/>
      <w:r w:rsidRPr="008F1125">
        <w:rPr>
          <w:b/>
          <w:color w:val="auto"/>
          <w:sz w:val="22"/>
          <w:lang w:val="sr-Latn-RS" w:bidi="sr-Latn-RS"/>
        </w:rPr>
        <w:t>1: Sm</w:t>
      </w:r>
      <w:r w:rsidR="00DD502A" w:rsidRPr="008F1125">
        <w:rPr>
          <w:b/>
          <w:color w:val="auto"/>
          <w:sz w:val="22"/>
          <w:lang w:val="sr-Latn-RS" w:bidi="sr-Latn-RS"/>
        </w:rPr>
        <w:t>j</w:t>
      </w:r>
      <w:r w:rsidRPr="008F1125">
        <w:rPr>
          <w:b/>
          <w:color w:val="auto"/>
          <w:sz w:val="22"/>
          <w:lang w:val="sr-Latn-RS" w:bidi="sr-Latn-RS"/>
        </w:rPr>
        <w:t>ernice za odlaganje ili prekid prim</w:t>
      </w:r>
      <w:r w:rsidR="00DD502A" w:rsidRPr="008F1125">
        <w:rPr>
          <w:b/>
          <w:color w:val="auto"/>
          <w:sz w:val="22"/>
          <w:lang w:val="sr-Latn-RS" w:bidi="sr-Latn-RS"/>
        </w:rPr>
        <w:t>j</w:t>
      </w:r>
      <w:r w:rsidRPr="008F1125">
        <w:rPr>
          <w:b/>
          <w:color w:val="auto"/>
          <w:sz w:val="22"/>
          <w:lang w:val="sr-Latn-RS" w:bidi="sr-Latn-RS"/>
        </w:rPr>
        <w:t>ene l</w:t>
      </w:r>
      <w:r w:rsidR="00DD502A" w:rsidRPr="008F1125">
        <w:rPr>
          <w:b/>
          <w:color w:val="auto"/>
          <w:sz w:val="22"/>
          <w:lang w:val="sr-Latn-RS" w:bidi="sr-Latn-RS"/>
        </w:rPr>
        <w:t>ij</w:t>
      </w:r>
      <w:r w:rsidRPr="008F1125">
        <w:rPr>
          <w:b/>
          <w:color w:val="auto"/>
          <w:sz w:val="22"/>
          <w:lang w:val="sr-Latn-RS" w:bidi="sr-Latn-RS"/>
        </w:rPr>
        <w:t>eka Bavencio</w:t>
      </w:r>
    </w:p>
    <w:p w14:paraId="1FB632F6" w14:textId="77777777" w:rsidR="000D01B4" w:rsidRPr="008F1125" w:rsidRDefault="000D01B4" w:rsidP="00577413">
      <w:pPr>
        <w:keepNext/>
        <w:rPr>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540"/>
        <w:gridCol w:w="3864"/>
        <w:gridCol w:w="2657"/>
      </w:tblGrid>
      <w:tr w:rsidR="00F51581" w:rsidRPr="008F1125" w14:paraId="1FB632FA" w14:textId="77777777" w:rsidTr="001859BD">
        <w:trPr>
          <w:trHeight w:hRule="exact" w:val="639"/>
          <w:tblHeader/>
        </w:trPr>
        <w:tc>
          <w:tcPr>
            <w:tcW w:w="1402" w:type="pct"/>
            <w:shd w:val="clear" w:color="auto" w:fill="auto"/>
          </w:tcPr>
          <w:p w14:paraId="1FB632F7" w14:textId="77777777" w:rsidR="000D01B4" w:rsidRPr="008F1125" w:rsidRDefault="00926926" w:rsidP="00577413">
            <w:pPr>
              <w:pStyle w:val="TableParagraph"/>
              <w:keepNext/>
              <w:keepLines/>
              <w:kinsoku w:val="0"/>
              <w:overflowPunct w:val="0"/>
              <w:rPr>
                <w:sz w:val="22"/>
                <w:szCs w:val="22"/>
                <w:lang w:val="sr-Latn-RS"/>
              </w:rPr>
            </w:pPr>
            <w:r w:rsidRPr="008F1125">
              <w:rPr>
                <w:b/>
                <w:sz w:val="22"/>
                <w:lang w:val="sr-Latn-RS" w:bidi="sr-Latn-RS"/>
              </w:rPr>
              <w:t>Neželjena reakcija povezana sa terapijom</w:t>
            </w:r>
          </w:p>
        </w:tc>
        <w:tc>
          <w:tcPr>
            <w:tcW w:w="2132" w:type="pct"/>
            <w:shd w:val="clear" w:color="auto" w:fill="auto"/>
          </w:tcPr>
          <w:p w14:paraId="1FB632F8" w14:textId="77777777" w:rsidR="000D01B4" w:rsidRPr="008F1125" w:rsidRDefault="00926926" w:rsidP="00577413">
            <w:pPr>
              <w:pStyle w:val="TableParagraph"/>
              <w:keepNext/>
              <w:keepLines/>
              <w:kinsoku w:val="0"/>
              <w:overflowPunct w:val="0"/>
              <w:rPr>
                <w:sz w:val="22"/>
                <w:szCs w:val="22"/>
                <w:lang w:val="sr-Latn-RS"/>
              </w:rPr>
            </w:pPr>
            <w:r w:rsidRPr="008F1125">
              <w:rPr>
                <w:b/>
                <w:spacing w:val="-1"/>
                <w:sz w:val="22"/>
                <w:lang w:val="sr-Latn-RS" w:bidi="sr-Latn-RS"/>
              </w:rPr>
              <w:t>Težina*</w:t>
            </w:r>
          </w:p>
        </w:tc>
        <w:tc>
          <w:tcPr>
            <w:tcW w:w="1466" w:type="pct"/>
            <w:shd w:val="clear" w:color="auto" w:fill="auto"/>
          </w:tcPr>
          <w:p w14:paraId="1FB632F9" w14:textId="77777777" w:rsidR="000D01B4" w:rsidRPr="008F1125" w:rsidRDefault="00926926" w:rsidP="00577413">
            <w:pPr>
              <w:pStyle w:val="TableParagraph"/>
              <w:keepNext/>
              <w:keepLines/>
              <w:kinsoku w:val="0"/>
              <w:overflowPunct w:val="0"/>
              <w:rPr>
                <w:sz w:val="22"/>
                <w:szCs w:val="22"/>
                <w:lang w:val="sr-Latn-RS"/>
              </w:rPr>
            </w:pPr>
            <w:r w:rsidRPr="008F1125">
              <w:rPr>
                <w:b/>
                <w:sz w:val="22"/>
                <w:lang w:val="sr-Latn-RS" w:bidi="sr-Latn-RS"/>
              </w:rPr>
              <w:t>Prilagođavanje terapije</w:t>
            </w:r>
          </w:p>
        </w:tc>
      </w:tr>
      <w:tr w:rsidR="00F51581" w:rsidRPr="008F1125" w14:paraId="1FB632FE" w14:textId="77777777" w:rsidTr="001859BD">
        <w:trPr>
          <w:trHeight w:val="483"/>
        </w:trPr>
        <w:tc>
          <w:tcPr>
            <w:tcW w:w="1402" w:type="pct"/>
            <w:vMerge w:val="restart"/>
          </w:tcPr>
          <w:p w14:paraId="1FB632FB" w14:textId="77777777" w:rsidR="000D01B4" w:rsidRPr="008F1125" w:rsidRDefault="00926926" w:rsidP="00577413">
            <w:pPr>
              <w:pStyle w:val="TableParagraph"/>
              <w:kinsoku w:val="0"/>
              <w:overflowPunct w:val="0"/>
              <w:rPr>
                <w:sz w:val="22"/>
                <w:szCs w:val="22"/>
                <w:lang w:val="sr-Latn-RS"/>
              </w:rPr>
            </w:pPr>
            <w:r w:rsidRPr="008F1125">
              <w:rPr>
                <w:sz w:val="22"/>
                <w:lang w:val="sr-Latn-RS" w:bidi="sr-Latn-RS"/>
              </w:rPr>
              <w:t>Reakcije povezane sa infuzijom</w:t>
            </w:r>
          </w:p>
        </w:tc>
        <w:tc>
          <w:tcPr>
            <w:tcW w:w="2132" w:type="pct"/>
          </w:tcPr>
          <w:p w14:paraId="1FB632FC" w14:textId="77777777" w:rsidR="000D01B4"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Reakcija 1. stepena povezana sa infuzijom</w:t>
            </w:r>
          </w:p>
        </w:tc>
        <w:tc>
          <w:tcPr>
            <w:tcW w:w="1466" w:type="pct"/>
          </w:tcPr>
          <w:p w14:paraId="1FB632FD" w14:textId="77777777" w:rsidR="000D01B4" w:rsidRPr="008F1125" w:rsidRDefault="00926926" w:rsidP="00577413">
            <w:pPr>
              <w:autoSpaceDE w:val="0"/>
              <w:autoSpaceDN w:val="0"/>
              <w:adjustRightInd w:val="0"/>
              <w:rPr>
                <w:szCs w:val="22"/>
                <w:lang w:val="sr-Latn-RS"/>
              </w:rPr>
            </w:pPr>
            <w:r w:rsidRPr="008F1125">
              <w:rPr>
                <w:lang w:val="sr-Latn-RS" w:bidi="sr-Latn-RS"/>
              </w:rPr>
              <w:t>Smanjiti brzinu infuzije za 50%</w:t>
            </w:r>
          </w:p>
        </w:tc>
      </w:tr>
      <w:tr w:rsidR="00F51581" w:rsidRPr="000B529C" w14:paraId="1FB63302" w14:textId="77777777" w:rsidTr="001859BD">
        <w:trPr>
          <w:trHeight w:val="856"/>
        </w:trPr>
        <w:tc>
          <w:tcPr>
            <w:tcW w:w="1402" w:type="pct"/>
            <w:vMerge/>
          </w:tcPr>
          <w:p w14:paraId="1FB632FF" w14:textId="77777777" w:rsidR="00670043" w:rsidRPr="008F1125" w:rsidRDefault="00670043" w:rsidP="00577413">
            <w:pPr>
              <w:pStyle w:val="TableParagraph"/>
              <w:kinsoku w:val="0"/>
              <w:overflowPunct w:val="0"/>
              <w:rPr>
                <w:sz w:val="22"/>
                <w:szCs w:val="22"/>
                <w:lang w:val="sr-Latn-RS"/>
              </w:rPr>
            </w:pPr>
          </w:p>
        </w:tc>
        <w:tc>
          <w:tcPr>
            <w:tcW w:w="2132" w:type="pct"/>
          </w:tcPr>
          <w:p w14:paraId="1FB63300" w14:textId="77777777" w:rsidR="00670043"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Reakcija 2. stepena povezana sa infuzijom</w:t>
            </w:r>
          </w:p>
        </w:tc>
        <w:tc>
          <w:tcPr>
            <w:tcW w:w="1466" w:type="pct"/>
          </w:tcPr>
          <w:p w14:paraId="1FB63301" w14:textId="339B5726" w:rsidR="00670043" w:rsidRPr="008F1125" w:rsidRDefault="00926926" w:rsidP="00577413">
            <w:pPr>
              <w:autoSpaceDE w:val="0"/>
              <w:autoSpaceDN w:val="0"/>
              <w:adjustRightInd w:val="0"/>
              <w:rPr>
                <w:szCs w:val="22"/>
                <w:lang w:val="sr-Latn-RS"/>
              </w:rPr>
            </w:pPr>
            <w:r w:rsidRPr="008F1125">
              <w:rPr>
                <w:spacing w:val="-1"/>
                <w:lang w:val="sr-Latn-RS" w:bidi="sr-Latn-RS"/>
              </w:rPr>
              <w:t>Odložiti prim</w:t>
            </w:r>
            <w:r w:rsidR="00DD502A" w:rsidRPr="008F1125">
              <w:rPr>
                <w:spacing w:val="-1"/>
                <w:lang w:val="sr-Latn-RS" w:bidi="sr-Latn-RS"/>
              </w:rPr>
              <w:t>j</w:t>
            </w:r>
            <w:r w:rsidRPr="008F1125">
              <w:rPr>
                <w:spacing w:val="-1"/>
                <w:lang w:val="sr-Latn-RS" w:bidi="sr-Latn-RS"/>
              </w:rPr>
              <w:t>enu do poboljšanja neželjenih reakcija na 0-1. stepen; ponovno početi sa infuzijom uz 50% manju brzinu</w:t>
            </w:r>
          </w:p>
        </w:tc>
      </w:tr>
      <w:tr w:rsidR="00F51581" w:rsidRPr="008F1125" w14:paraId="1FB63306" w14:textId="77777777" w:rsidTr="001859BD">
        <w:trPr>
          <w:trHeight w:hRule="exact" w:val="540"/>
        </w:trPr>
        <w:tc>
          <w:tcPr>
            <w:tcW w:w="1402" w:type="pct"/>
            <w:vMerge/>
          </w:tcPr>
          <w:p w14:paraId="1FB63303" w14:textId="77777777" w:rsidR="000D01B4" w:rsidRPr="008F1125" w:rsidRDefault="000D01B4" w:rsidP="00577413">
            <w:pPr>
              <w:pStyle w:val="TableParagraph"/>
              <w:kinsoku w:val="0"/>
              <w:overflowPunct w:val="0"/>
              <w:rPr>
                <w:i/>
                <w:sz w:val="22"/>
                <w:szCs w:val="22"/>
                <w:lang w:val="sr-Latn-RS"/>
              </w:rPr>
            </w:pPr>
          </w:p>
        </w:tc>
        <w:tc>
          <w:tcPr>
            <w:tcW w:w="2132" w:type="pct"/>
          </w:tcPr>
          <w:p w14:paraId="1FB63304" w14:textId="77777777" w:rsidR="000D01B4"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Reakcija 3. ili 4. stepena povezana sa infuzijom</w:t>
            </w:r>
          </w:p>
        </w:tc>
        <w:tc>
          <w:tcPr>
            <w:tcW w:w="1466" w:type="pct"/>
          </w:tcPr>
          <w:p w14:paraId="1FB63305" w14:textId="737A9EAE" w:rsidR="000D01B4"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Trajno prekinuti prim</w:t>
            </w:r>
            <w:r w:rsidR="00DD502A" w:rsidRPr="008F1125">
              <w:rPr>
                <w:spacing w:val="-1"/>
                <w:sz w:val="22"/>
                <w:lang w:val="sr-Latn-RS" w:bidi="sr-Latn-RS"/>
              </w:rPr>
              <w:t>j</w:t>
            </w:r>
            <w:r w:rsidRPr="008F1125">
              <w:rPr>
                <w:spacing w:val="-1"/>
                <w:sz w:val="22"/>
                <w:lang w:val="sr-Latn-RS" w:bidi="sr-Latn-RS"/>
              </w:rPr>
              <w:t>enu</w:t>
            </w:r>
          </w:p>
        </w:tc>
      </w:tr>
      <w:tr w:rsidR="00F51581" w:rsidRPr="000B529C" w14:paraId="1FB6330A" w14:textId="77777777" w:rsidTr="001859BD">
        <w:trPr>
          <w:trHeight w:val="284"/>
        </w:trPr>
        <w:tc>
          <w:tcPr>
            <w:tcW w:w="1402" w:type="pct"/>
            <w:vMerge w:val="restart"/>
          </w:tcPr>
          <w:p w14:paraId="1FB63307"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Pneumonitis</w:t>
            </w:r>
          </w:p>
        </w:tc>
        <w:tc>
          <w:tcPr>
            <w:tcW w:w="2132" w:type="pct"/>
          </w:tcPr>
          <w:p w14:paraId="1FB63308"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Pneumonitis 2. stepena</w:t>
            </w:r>
          </w:p>
        </w:tc>
        <w:tc>
          <w:tcPr>
            <w:tcW w:w="1466" w:type="pct"/>
          </w:tcPr>
          <w:p w14:paraId="1FB63309" w14:textId="0D46D4D3"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r w:rsidRPr="008F1125">
              <w:rPr>
                <w:spacing w:val="-1"/>
                <w:sz w:val="22"/>
                <w:lang w:val="sr-Latn-RS" w:bidi="sr-Latn-RS"/>
              </w:rPr>
              <w:t xml:space="preserve"> do poboljšanja neželjenih reakcija na 0-1. stepen</w:t>
            </w:r>
          </w:p>
        </w:tc>
      </w:tr>
      <w:tr w:rsidR="00F51581" w:rsidRPr="008F1125" w14:paraId="1FB6330E" w14:textId="77777777" w:rsidTr="001859BD">
        <w:trPr>
          <w:trHeight w:val="287"/>
        </w:trPr>
        <w:tc>
          <w:tcPr>
            <w:tcW w:w="1402" w:type="pct"/>
            <w:vMerge/>
          </w:tcPr>
          <w:p w14:paraId="1FB6330B" w14:textId="77777777" w:rsidR="000D01B4" w:rsidRPr="008F1125" w:rsidRDefault="000D01B4" w:rsidP="00577413">
            <w:pPr>
              <w:pStyle w:val="TableParagraph"/>
              <w:kinsoku w:val="0"/>
              <w:overflowPunct w:val="0"/>
              <w:rPr>
                <w:sz w:val="22"/>
                <w:szCs w:val="22"/>
                <w:lang w:val="sr-Latn-RS"/>
              </w:rPr>
            </w:pPr>
          </w:p>
        </w:tc>
        <w:tc>
          <w:tcPr>
            <w:tcW w:w="2132" w:type="pct"/>
          </w:tcPr>
          <w:p w14:paraId="1FB6330C"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Pneumonitis 3. ili 4. stepena ili rekurentni pneumonitis 2. stepena</w:t>
            </w:r>
          </w:p>
        </w:tc>
        <w:tc>
          <w:tcPr>
            <w:tcW w:w="1466" w:type="pct"/>
          </w:tcPr>
          <w:p w14:paraId="1FB6330D" w14:textId="751379CB"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Trajno prekinuti </w:t>
            </w:r>
            <w:r w:rsidR="00DD502A" w:rsidRPr="008F1125">
              <w:rPr>
                <w:spacing w:val="-1"/>
                <w:sz w:val="22"/>
                <w:lang w:val="sr-Latn-RS" w:bidi="sr-Latn-RS"/>
              </w:rPr>
              <w:t>primjenu</w:t>
            </w:r>
          </w:p>
        </w:tc>
      </w:tr>
      <w:tr w:rsidR="00F51581" w:rsidRPr="000B529C" w14:paraId="1FB63314" w14:textId="77777777" w:rsidTr="001859BD">
        <w:trPr>
          <w:trHeight w:val="319"/>
        </w:trPr>
        <w:tc>
          <w:tcPr>
            <w:tcW w:w="1402" w:type="pct"/>
            <w:vMerge w:val="restart"/>
          </w:tcPr>
          <w:p w14:paraId="1FB6330F" w14:textId="77777777" w:rsidR="00B17841"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Hepatitis</w:t>
            </w:r>
          </w:p>
          <w:p w14:paraId="1FB63310" w14:textId="77777777" w:rsidR="00B17841" w:rsidRPr="008F1125" w:rsidRDefault="00B17841" w:rsidP="00577413">
            <w:pPr>
              <w:pStyle w:val="TableParagraph"/>
              <w:kinsoku w:val="0"/>
              <w:overflowPunct w:val="0"/>
              <w:rPr>
                <w:spacing w:val="-1"/>
                <w:sz w:val="22"/>
                <w:szCs w:val="22"/>
                <w:lang w:val="sr-Latn-RS"/>
              </w:rPr>
            </w:pPr>
          </w:p>
          <w:p w14:paraId="1FB63311" w14:textId="6F6CD932" w:rsidR="000D01B4" w:rsidRPr="008F1125" w:rsidRDefault="00926926" w:rsidP="00E9438A">
            <w:pPr>
              <w:pStyle w:val="TableParagraph"/>
              <w:kinsoku w:val="0"/>
              <w:overflowPunct w:val="0"/>
              <w:rPr>
                <w:sz w:val="22"/>
                <w:szCs w:val="22"/>
                <w:lang w:val="sr-Latn-RS"/>
              </w:rPr>
            </w:pPr>
            <w:r w:rsidRPr="008F1125">
              <w:rPr>
                <w:sz w:val="22"/>
                <w:lang w:val="sr-Latn-RS" w:bidi="sr-Latn-RS"/>
              </w:rPr>
              <w:t xml:space="preserve">Za Bavencio u kombinaciji sa aksitinibom </w:t>
            </w:r>
            <w:r w:rsidR="00DD502A" w:rsidRPr="008F1125">
              <w:rPr>
                <w:sz w:val="22"/>
                <w:lang w:val="sr-Latn-RS" w:bidi="sr-Latn-RS"/>
              </w:rPr>
              <w:t>vidjeti</w:t>
            </w:r>
            <w:r w:rsidRPr="008F1125">
              <w:rPr>
                <w:sz w:val="22"/>
                <w:lang w:val="sr-Latn-RS" w:bidi="sr-Latn-RS"/>
              </w:rPr>
              <w:t xml:space="preserve"> </w:t>
            </w:r>
            <w:r w:rsidR="00E9438A" w:rsidRPr="008F1125">
              <w:rPr>
                <w:sz w:val="22"/>
                <w:lang w:val="sr-Latn-RS" w:bidi="sr-Latn-RS"/>
              </w:rPr>
              <w:t xml:space="preserve">niže </w:t>
            </w:r>
            <w:r w:rsidRPr="008F1125">
              <w:rPr>
                <w:sz w:val="22"/>
                <w:lang w:val="sr-Latn-RS" w:bidi="sr-Latn-RS"/>
              </w:rPr>
              <w:t>u tekstu</w:t>
            </w:r>
          </w:p>
        </w:tc>
        <w:tc>
          <w:tcPr>
            <w:tcW w:w="2132" w:type="pct"/>
          </w:tcPr>
          <w:p w14:paraId="1FB63312" w14:textId="3DD541AF" w:rsidR="000D01B4" w:rsidRPr="008F1125" w:rsidRDefault="00926926" w:rsidP="00577413">
            <w:pPr>
              <w:pStyle w:val="TableParagraph"/>
              <w:kinsoku w:val="0"/>
              <w:overflowPunct w:val="0"/>
              <w:rPr>
                <w:sz w:val="22"/>
                <w:szCs w:val="22"/>
                <w:lang w:val="sr-Latn-RS"/>
              </w:rPr>
            </w:pPr>
            <w:r w:rsidRPr="008F1125">
              <w:rPr>
                <w:sz w:val="22"/>
                <w:lang w:val="sr-Latn-RS" w:bidi="sr-Latn-RS"/>
              </w:rPr>
              <w:t>Aspartat aminotransferaza (AST) ili alanin aminotransferaza (ALT) više od 3 i do 5 puta iznad gornje granice normale (GGN) ili ukupni bilirubin više od 1,5 i do 3 puta iznad GGN</w:t>
            </w:r>
          </w:p>
        </w:tc>
        <w:tc>
          <w:tcPr>
            <w:tcW w:w="1466" w:type="pct"/>
          </w:tcPr>
          <w:p w14:paraId="1FB63313" w14:textId="411AA95A"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r w:rsidRPr="008F1125">
              <w:rPr>
                <w:spacing w:val="-1"/>
                <w:sz w:val="22"/>
                <w:lang w:val="sr-Latn-RS" w:bidi="sr-Latn-RS"/>
              </w:rPr>
              <w:t xml:space="preserve"> do poboljšanja neželjenih reakcija na 0-1. stepen</w:t>
            </w:r>
          </w:p>
        </w:tc>
      </w:tr>
      <w:tr w:rsidR="00F51581" w:rsidRPr="008F1125" w14:paraId="1FB63318" w14:textId="77777777" w:rsidTr="001859BD">
        <w:trPr>
          <w:trHeight w:val="272"/>
        </w:trPr>
        <w:tc>
          <w:tcPr>
            <w:tcW w:w="1402" w:type="pct"/>
            <w:vMerge/>
          </w:tcPr>
          <w:p w14:paraId="1FB63315" w14:textId="77777777" w:rsidR="000D01B4" w:rsidRPr="008F1125" w:rsidRDefault="000D01B4" w:rsidP="00577413">
            <w:pPr>
              <w:pStyle w:val="TableParagraph"/>
              <w:kinsoku w:val="0"/>
              <w:overflowPunct w:val="0"/>
              <w:rPr>
                <w:sz w:val="22"/>
                <w:szCs w:val="22"/>
                <w:lang w:val="sr-Latn-RS"/>
              </w:rPr>
            </w:pPr>
          </w:p>
        </w:tc>
        <w:tc>
          <w:tcPr>
            <w:tcW w:w="2132" w:type="pct"/>
          </w:tcPr>
          <w:p w14:paraId="1FB63316" w14:textId="41CDF58F" w:rsidR="000D01B4" w:rsidRPr="008F1125" w:rsidRDefault="00926926" w:rsidP="00577413">
            <w:pPr>
              <w:pStyle w:val="TableParagraph"/>
              <w:kinsoku w:val="0"/>
              <w:overflowPunct w:val="0"/>
              <w:rPr>
                <w:sz w:val="22"/>
                <w:szCs w:val="22"/>
                <w:lang w:val="sr-Latn-RS"/>
              </w:rPr>
            </w:pPr>
            <w:r w:rsidRPr="008F1125">
              <w:rPr>
                <w:sz w:val="22"/>
                <w:lang w:val="sr-Latn-RS" w:bidi="sr-Latn-RS"/>
              </w:rPr>
              <w:t>AST ili ALT više od 5 puta iznad GGN ili ukupni bilirubin više od 3 puta iznad GGN</w:t>
            </w:r>
          </w:p>
        </w:tc>
        <w:tc>
          <w:tcPr>
            <w:tcW w:w="1466" w:type="pct"/>
          </w:tcPr>
          <w:p w14:paraId="1FB63317" w14:textId="0E222981"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Trajno prekinuti </w:t>
            </w:r>
            <w:r w:rsidR="00DD502A" w:rsidRPr="008F1125">
              <w:rPr>
                <w:spacing w:val="-1"/>
                <w:sz w:val="22"/>
                <w:lang w:val="sr-Latn-RS" w:bidi="sr-Latn-RS"/>
              </w:rPr>
              <w:t>primjenu</w:t>
            </w:r>
          </w:p>
        </w:tc>
      </w:tr>
      <w:tr w:rsidR="00F51581" w:rsidRPr="000B529C" w14:paraId="1FB6331C" w14:textId="77777777" w:rsidTr="001859BD">
        <w:trPr>
          <w:trHeight w:val="276"/>
        </w:trPr>
        <w:tc>
          <w:tcPr>
            <w:tcW w:w="1402" w:type="pct"/>
            <w:vMerge w:val="restart"/>
          </w:tcPr>
          <w:p w14:paraId="1FB63319"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Kolitis</w:t>
            </w:r>
          </w:p>
        </w:tc>
        <w:tc>
          <w:tcPr>
            <w:tcW w:w="2132" w:type="pct"/>
          </w:tcPr>
          <w:p w14:paraId="1FB6331A"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Kolitis ili dijareja 2. ili 3. stepena</w:t>
            </w:r>
          </w:p>
        </w:tc>
        <w:tc>
          <w:tcPr>
            <w:tcW w:w="1466" w:type="pct"/>
          </w:tcPr>
          <w:p w14:paraId="1FB6331B" w14:textId="127FAAE2"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r w:rsidRPr="008F1125">
              <w:rPr>
                <w:spacing w:val="-1"/>
                <w:sz w:val="22"/>
                <w:lang w:val="sr-Latn-RS" w:bidi="sr-Latn-RS"/>
              </w:rPr>
              <w:t xml:space="preserve"> do poboljšanja neželjenih reakcija na 0-1. stepen</w:t>
            </w:r>
          </w:p>
        </w:tc>
      </w:tr>
      <w:tr w:rsidR="00F51581" w:rsidRPr="008F1125" w14:paraId="1FB63320" w14:textId="77777777" w:rsidTr="001859BD">
        <w:trPr>
          <w:trHeight w:val="279"/>
        </w:trPr>
        <w:tc>
          <w:tcPr>
            <w:tcW w:w="1402" w:type="pct"/>
            <w:vMerge/>
          </w:tcPr>
          <w:p w14:paraId="1FB6331D" w14:textId="77777777" w:rsidR="000D01B4" w:rsidRPr="008F1125" w:rsidRDefault="000D01B4" w:rsidP="00577413">
            <w:pPr>
              <w:pStyle w:val="TableParagraph"/>
              <w:kinsoku w:val="0"/>
              <w:overflowPunct w:val="0"/>
              <w:rPr>
                <w:sz w:val="22"/>
                <w:szCs w:val="22"/>
                <w:lang w:val="sr-Latn-RS"/>
              </w:rPr>
            </w:pPr>
          </w:p>
        </w:tc>
        <w:tc>
          <w:tcPr>
            <w:tcW w:w="2132" w:type="pct"/>
          </w:tcPr>
          <w:p w14:paraId="1FB6331E" w14:textId="77777777"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Kolitis ili dijareja 4. stepena ili rekurentni kolitis 3. stepena</w:t>
            </w:r>
          </w:p>
        </w:tc>
        <w:tc>
          <w:tcPr>
            <w:tcW w:w="1466" w:type="pct"/>
          </w:tcPr>
          <w:p w14:paraId="1FB6331F" w14:textId="354375E0" w:rsidR="000D01B4"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Trajno prekinuti </w:t>
            </w:r>
            <w:r w:rsidR="00DD502A" w:rsidRPr="008F1125">
              <w:rPr>
                <w:spacing w:val="-1"/>
                <w:sz w:val="22"/>
                <w:lang w:val="sr-Latn-RS" w:bidi="sr-Latn-RS"/>
              </w:rPr>
              <w:t>primjenu</w:t>
            </w:r>
          </w:p>
        </w:tc>
      </w:tr>
      <w:tr w:rsidR="00F51581" w:rsidRPr="008F1125" w14:paraId="1FB63324" w14:textId="77777777" w:rsidTr="001859BD">
        <w:trPr>
          <w:trHeight w:val="70"/>
        </w:trPr>
        <w:tc>
          <w:tcPr>
            <w:tcW w:w="1402" w:type="pct"/>
            <w:vMerge w:val="restart"/>
          </w:tcPr>
          <w:p w14:paraId="1FB63321" w14:textId="77777777" w:rsidR="00EA1733" w:rsidRPr="008F1125" w:rsidRDefault="00926926" w:rsidP="00577413">
            <w:pPr>
              <w:pStyle w:val="TableParagraph"/>
              <w:keepNext/>
              <w:kinsoku w:val="0"/>
              <w:overflowPunct w:val="0"/>
              <w:rPr>
                <w:spacing w:val="-1"/>
                <w:sz w:val="22"/>
                <w:szCs w:val="22"/>
                <w:lang w:val="sr-Latn-RS"/>
              </w:rPr>
            </w:pPr>
            <w:r w:rsidRPr="008F1125">
              <w:rPr>
                <w:spacing w:val="-1"/>
                <w:sz w:val="22"/>
                <w:lang w:val="sr-Latn-RS" w:bidi="sr-Latn-RS"/>
              </w:rPr>
              <w:t>Pankreatitis</w:t>
            </w:r>
          </w:p>
        </w:tc>
        <w:tc>
          <w:tcPr>
            <w:tcW w:w="2132" w:type="pct"/>
          </w:tcPr>
          <w:p w14:paraId="1FB63322" w14:textId="77777777"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Sumnja na pankreatitis</w:t>
            </w:r>
          </w:p>
        </w:tc>
        <w:tc>
          <w:tcPr>
            <w:tcW w:w="1466" w:type="pct"/>
          </w:tcPr>
          <w:p w14:paraId="1FB63323" w14:textId="49906720"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p>
        </w:tc>
      </w:tr>
      <w:tr w:rsidR="00F51581" w:rsidRPr="008F1125" w14:paraId="1FB63328" w14:textId="77777777" w:rsidTr="001859BD">
        <w:trPr>
          <w:trHeight w:val="70"/>
        </w:trPr>
        <w:tc>
          <w:tcPr>
            <w:tcW w:w="1402" w:type="pct"/>
            <w:vMerge/>
          </w:tcPr>
          <w:p w14:paraId="1FB63325" w14:textId="77777777" w:rsidR="00EA1733" w:rsidRPr="008F1125" w:rsidRDefault="00EA1733" w:rsidP="00577413">
            <w:pPr>
              <w:pStyle w:val="TableParagraph"/>
              <w:kinsoku w:val="0"/>
              <w:overflowPunct w:val="0"/>
              <w:rPr>
                <w:sz w:val="22"/>
                <w:szCs w:val="22"/>
                <w:lang w:val="sr-Latn-RS"/>
              </w:rPr>
            </w:pPr>
          </w:p>
        </w:tc>
        <w:tc>
          <w:tcPr>
            <w:tcW w:w="2132" w:type="pct"/>
          </w:tcPr>
          <w:p w14:paraId="1FB63326" w14:textId="77777777"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Potvrđeni pankreatitis</w:t>
            </w:r>
          </w:p>
        </w:tc>
        <w:tc>
          <w:tcPr>
            <w:tcW w:w="1466" w:type="pct"/>
          </w:tcPr>
          <w:p w14:paraId="1FB63327" w14:textId="47C4A7A4"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Trajno prekinuti </w:t>
            </w:r>
            <w:r w:rsidR="00DD502A" w:rsidRPr="008F1125">
              <w:rPr>
                <w:spacing w:val="-1"/>
                <w:sz w:val="22"/>
                <w:lang w:val="sr-Latn-RS" w:bidi="sr-Latn-RS"/>
              </w:rPr>
              <w:t>primjenu</w:t>
            </w:r>
          </w:p>
        </w:tc>
      </w:tr>
      <w:tr w:rsidR="00F51581" w:rsidRPr="008F1125" w14:paraId="1FB6332C" w14:textId="77777777" w:rsidTr="001859BD">
        <w:trPr>
          <w:trHeight w:val="70"/>
        </w:trPr>
        <w:tc>
          <w:tcPr>
            <w:tcW w:w="1402" w:type="pct"/>
            <w:vMerge w:val="restart"/>
          </w:tcPr>
          <w:p w14:paraId="1FB63329" w14:textId="77777777" w:rsidR="00EA1733" w:rsidRPr="008F1125" w:rsidRDefault="00926926" w:rsidP="00577413">
            <w:pPr>
              <w:pStyle w:val="TableParagraph"/>
              <w:keepNext/>
              <w:kinsoku w:val="0"/>
              <w:overflowPunct w:val="0"/>
              <w:rPr>
                <w:spacing w:val="-1"/>
                <w:sz w:val="22"/>
                <w:szCs w:val="22"/>
                <w:lang w:val="sr-Latn-RS"/>
              </w:rPr>
            </w:pPr>
            <w:r w:rsidRPr="008F1125">
              <w:rPr>
                <w:spacing w:val="-1"/>
                <w:sz w:val="22"/>
                <w:lang w:val="sr-Latn-RS" w:bidi="sr-Latn-RS"/>
              </w:rPr>
              <w:t>Miokarditis</w:t>
            </w:r>
          </w:p>
        </w:tc>
        <w:tc>
          <w:tcPr>
            <w:tcW w:w="2132" w:type="pct"/>
          </w:tcPr>
          <w:p w14:paraId="1FB6332A" w14:textId="77777777"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Sumnja na miokarditis</w:t>
            </w:r>
          </w:p>
        </w:tc>
        <w:tc>
          <w:tcPr>
            <w:tcW w:w="1466" w:type="pct"/>
          </w:tcPr>
          <w:p w14:paraId="1FB6332B" w14:textId="29617DDA"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p>
        </w:tc>
      </w:tr>
      <w:tr w:rsidR="00F51581" w:rsidRPr="008F1125" w14:paraId="1FB63330" w14:textId="77777777" w:rsidTr="001859BD">
        <w:trPr>
          <w:trHeight w:val="70"/>
        </w:trPr>
        <w:tc>
          <w:tcPr>
            <w:tcW w:w="1402" w:type="pct"/>
            <w:vMerge/>
          </w:tcPr>
          <w:p w14:paraId="1FB6332D" w14:textId="77777777" w:rsidR="00EA1733" w:rsidRPr="008F1125" w:rsidRDefault="00EA1733" w:rsidP="00577413">
            <w:pPr>
              <w:pStyle w:val="TableParagraph"/>
              <w:kinsoku w:val="0"/>
              <w:overflowPunct w:val="0"/>
              <w:rPr>
                <w:sz w:val="22"/>
                <w:szCs w:val="22"/>
                <w:lang w:val="sr-Latn-RS"/>
              </w:rPr>
            </w:pPr>
          </w:p>
        </w:tc>
        <w:tc>
          <w:tcPr>
            <w:tcW w:w="2132" w:type="pct"/>
          </w:tcPr>
          <w:p w14:paraId="1FB6332E" w14:textId="77777777"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Potvrđeni miokarditis</w:t>
            </w:r>
          </w:p>
        </w:tc>
        <w:tc>
          <w:tcPr>
            <w:tcW w:w="1466" w:type="pct"/>
          </w:tcPr>
          <w:p w14:paraId="1FB6332F" w14:textId="75046E21" w:rsidR="00EA1733" w:rsidRPr="008F1125" w:rsidRDefault="00926926" w:rsidP="00577413">
            <w:pPr>
              <w:pStyle w:val="TableParagraph"/>
              <w:kinsoku w:val="0"/>
              <w:overflowPunct w:val="0"/>
              <w:rPr>
                <w:sz w:val="22"/>
                <w:szCs w:val="22"/>
                <w:lang w:val="sr-Latn-RS"/>
              </w:rPr>
            </w:pPr>
            <w:r w:rsidRPr="008F1125">
              <w:rPr>
                <w:spacing w:val="-1"/>
                <w:sz w:val="22"/>
                <w:lang w:val="sr-Latn-RS" w:bidi="sr-Latn-RS"/>
              </w:rPr>
              <w:t xml:space="preserve">Trajno prekinuti </w:t>
            </w:r>
            <w:r w:rsidR="00DD502A" w:rsidRPr="008F1125">
              <w:rPr>
                <w:spacing w:val="-1"/>
                <w:sz w:val="22"/>
                <w:lang w:val="sr-Latn-RS" w:bidi="sr-Latn-RS"/>
              </w:rPr>
              <w:t>primjenu</w:t>
            </w:r>
          </w:p>
        </w:tc>
      </w:tr>
      <w:tr w:rsidR="00F51581" w:rsidRPr="000B529C" w14:paraId="1FB63334" w14:textId="77777777" w:rsidTr="001859BD">
        <w:trPr>
          <w:trHeight w:val="1126"/>
        </w:trPr>
        <w:tc>
          <w:tcPr>
            <w:tcW w:w="1402" w:type="pct"/>
          </w:tcPr>
          <w:p w14:paraId="1FB63331" w14:textId="77777777" w:rsidR="000D01B4" w:rsidRPr="008F1125" w:rsidRDefault="00926926" w:rsidP="00577413">
            <w:pPr>
              <w:pStyle w:val="TableParagraph"/>
              <w:kinsoku w:val="0"/>
              <w:overflowPunct w:val="0"/>
              <w:rPr>
                <w:spacing w:val="-1"/>
                <w:sz w:val="22"/>
                <w:szCs w:val="22"/>
                <w:lang w:val="sr-Latn-RS"/>
              </w:rPr>
            </w:pPr>
            <w:r w:rsidRPr="008F1125">
              <w:rPr>
                <w:sz w:val="22"/>
                <w:lang w:val="sr-Latn-RS" w:bidi="sr-Latn-RS"/>
              </w:rPr>
              <w:t>Endokrinopatije (hipotireoza, hipertireoza, adrenalna insuficijencija, hiperglikemija)</w:t>
            </w:r>
          </w:p>
        </w:tc>
        <w:tc>
          <w:tcPr>
            <w:tcW w:w="2132" w:type="pct"/>
          </w:tcPr>
          <w:p w14:paraId="1FB63332" w14:textId="77777777" w:rsidR="000D01B4"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Endokrinopatije 3. ili 4. stepena</w:t>
            </w:r>
          </w:p>
        </w:tc>
        <w:tc>
          <w:tcPr>
            <w:tcW w:w="1466" w:type="pct"/>
          </w:tcPr>
          <w:p w14:paraId="1FB63333" w14:textId="02A5572E" w:rsidR="000D01B4" w:rsidRPr="008F1125" w:rsidRDefault="00926926" w:rsidP="00577413">
            <w:pPr>
              <w:pStyle w:val="TableParagraph"/>
              <w:kinsoku w:val="0"/>
              <w:overflowPunct w:val="0"/>
              <w:rPr>
                <w:spacing w:val="-1"/>
                <w:sz w:val="22"/>
                <w:szCs w:val="22"/>
                <w:lang w:val="sr-Latn-RS"/>
              </w:rPr>
            </w:pPr>
            <w:r w:rsidRPr="008F1125">
              <w:rPr>
                <w:spacing w:val="-1"/>
                <w:sz w:val="22"/>
                <w:lang w:val="sr-Latn-RS" w:bidi="sr-Latn-RS"/>
              </w:rPr>
              <w:t xml:space="preserve">Odložiti </w:t>
            </w:r>
            <w:r w:rsidR="00DD502A" w:rsidRPr="008F1125">
              <w:rPr>
                <w:spacing w:val="-1"/>
                <w:sz w:val="22"/>
                <w:lang w:val="sr-Latn-RS" w:bidi="sr-Latn-RS"/>
              </w:rPr>
              <w:t>primjenu</w:t>
            </w:r>
            <w:r w:rsidRPr="008F1125">
              <w:rPr>
                <w:spacing w:val="-1"/>
                <w:sz w:val="22"/>
                <w:lang w:val="sr-Latn-RS" w:bidi="sr-Latn-RS"/>
              </w:rPr>
              <w:t xml:space="preserve"> do poboljšanja neželjenih reakcija na 0-1. stepen</w:t>
            </w:r>
          </w:p>
        </w:tc>
      </w:tr>
      <w:tr w:rsidR="00F51581" w:rsidRPr="000B529C" w14:paraId="1FB63338" w14:textId="77777777" w:rsidTr="001859BD">
        <w:trPr>
          <w:trHeight w:val="841"/>
        </w:trPr>
        <w:tc>
          <w:tcPr>
            <w:tcW w:w="1402" w:type="pct"/>
            <w:vMerge w:val="restart"/>
          </w:tcPr>
          <w:p w14:paraId="1FB63335" w14:textId="77777777" w:rsidR="000D01B4" w:rsidRPr="008F1125" w:rsidRDefault="00926926" w:rsidP="00577413">
            <w:pPr>
              <w:pStyle w:val="TableParagraph"/>
              <w:kinsoku w:val="0"/>
              <w:overflowPunct w:val="0"/>
              <w:rPr>
                <w:sz w:val="22"/>
                <w:szCs w:val="22"/>
                <w:lang w:val="sr-Latn-RS"/>
              </w:rPr>
            </w:pPr>
            <w:r w:rsidRPr="008F1125">
              <w:rPr>
                <w:sz w:val="22"/>
                <w:lang w:val="sr-Latn-RS" w:bidi="sr-Latn-RS"/>
              </w:rPr>
              <w:lastRenderedPageBreak/>
              <w:t>Nefritis i poremećaj funkcije bubrega</w:t>
            </w:r>
          </w:p>
        </w:tc>
        <w:tc>
          <w:tcPr>
            <w:tcW w:w="2132" w:type="pct"/>
          </w:tcPr>
          <w:p w14:paraId="1FB63336" w14:textId="1C0E3F2D" w:rsidR="000D01B4" w:rsidRPr="008F1125" w:rsidRDefault="00926926" w:rsidP="00577413">
            <w:pPr>
              <w:pStyle w:val="TableParagraph"/>
              <w:kinsoku w:val="0"/>
              <w:overflowPunct w:val="0"/>
              <w:rPr>
                <w:spacing w:val="-1"/>
                <w:sz w:val="22"/>
                <w:szCs w:val="22"/>
                <w:lang w:val="sr-Latn-RS"/>
              </w:rPr>
            </w:pPr>
            <w:r w:rsidRPr="008F1125">
              <w:rPr>
                <w:sz w:val="22"/>
                <w:lang w:val="sr-Latn-RS" w:bidi="sr-Latn-RS"/>
              </w:rPr>
              <w:t>Kreatinin u serumu više od 1,5 i do 6 puta iznad GGN</w:t>
            </w:r>
          </w:p>
        </w:tc>
        <w:tc>
          <w:tcPr>
            <w:tcW w:w="1466" w:type="pct"/>
          </w:tcPr>
          <w:p w14:paraId="1FB63337" w14:textId="65977312" w:rsidR="000D01B4" w:rsidRPr="008F1125" w:rsidRDefault="00926926" w:rsidP="00577413">
            <w:pPr>
              <w:rPr>
                <w:spacing w:val="-1"/>
                <w:szCs w:val="22"/>
                <w:lang w:val="sr-Latn-RS"/>
              </w:rPr>
            </w:pPr>
            <w:r w:rsidRPr="008F1125">
              <w:rPr>
                <w:lang w:val="sr-Latn-RS" w:bidi="sr-Latn-RS"/>
              </w:rPr>
              <w:t xml:space="preserve">Odložiti </w:t>
            </w:r>
            <w:r w:rsidR="00DD502A" w:rsidRPr="008F1125">
              <w:rPr>
                <w:lang w:val="sr-Latn-RS" w:bidi="sr-Latn-RS"/>
              </w:rPr>
              <w:t>primjenu</w:t>
            </w:r>
            <w:r w:rsidRPr="008F1125">
              <w:rPr>
                <w:lang w:val="sr-Latn-RS" w:bidi="sr-Latn-RS"/>
              </w:rPr>
              <w:t xml:space="preserve"> do poboljšanja neželjenih reakcija na 0-1. stepen</w:t>
            </w:r>
          </w:p>
        </w:tc>
      </w:tr>
      <w:tr w:rsidR="00F51581" w:rsidRPr="008F1125" w14:paraId="1FB6333C" w14:textId="77777777" w:rsidTr="001859BD">
        <w:trPr>
          <w:trHeight w:val="70"/>
        </w:trPr>
        <w:tc>
          <w:tcPr>
            <w:tcW w:w="1402" w:type="pct"/>
            <w:vMerge/>
          </w:tcPr>
          <w:p w14:paraId="1FB63339" w14:textId="77777777" w:rsidR="000D01B4" w:rsidRPr="008F1125" w:rsidRDefault="000D01B4" w:rsidP="00577413">
            <w:pPr>
              <w:pStyle w:val="TableParagraph"/>
              <w:kinsoku w:val="0"/>
              <w:overflowPunct w:val="0"/>
              <w:rPr>
                <w:sz w:val="22"/>
                <w:szCs w:val="22"/>
                <w:lang w:val="sr-Latn-RS"/>
              </w:rPr>
            </w:pPr>
          </w:p>
        </w:tc>
        <w:tc>
          <w:tcPr>
            <w:tcW w:w="2132" w:type="pct"/>
          </w:tcPr>
          <w:p w14:paraId="1FB6333A" w14:textId="7E265446" w:rsidR="000D01B4" w:rsidRPr="008F1125" w:rsidRDefault="00926926" w:rsidP="00577413">
            <w:pPr>
              <w:pStyle w:val="TableParagraph"/>
              <w:kinsoku w:val="0"/>
              <w:overflowPunct w:val="0"/>
              <w:rPr>
                <w:spacing w:val="-1"/>
                <w:sz w:val="22"/>
                <w:szCs w:val="22"/>
                <w:lang w:val="sr-Latn-RS"/>
              </w:rPr>
            </w:pPr>
            <w:r w:rsidRPr="008F1125">
              <w:rPr>
                <w:sz w:val="22"/>
                <w:lang w:val="sr-Latn-RS" w:bidi="sr-Latn-RS"/>
              </w:rPr>
              <w:t>Kreatinin u serumu više od 6 puta iznad GGN</w:t>
            </w:r>
          </w:p>
        </w:tc>
        <w:tc>
          <w:tcPr>
            <w:tcW w:w="1466" w:type="pct"/>
          </w:tcPr>
          <w:p w14:paraId="1FB6333B" w14:textId="71636C5B" w:rsidR="000D01B4" w:rsidRPr="008F1125" w:rsidRDefault="00926926" w:rsidP="00577413">
            <w:pPr>
              <w:pStyle w:val="TableParagraph"/>
              <w:kinsoku w:val="0"/>
              <w:overflowPunct w:val="0"/>
              <w:rPr>
                <w:spacing w:val="-1"/>
                <w:sz w:val="22"/>
                <w:szCs w:val="22"/>
                <w:lang w:val="sr-Latn-RS"/>
              </w:rPr>
            </w:pPr>
            <w:r w:rsidRPr="008F1125">
              <w:rPr>
                <w:sz w:val="22"/>
                <w:lang w:val="sr-Latn-RS" w:bidi="sr-Latn-RS"/>
              </w:rPr>
              <w:t xml:space="preserve">Trajno prekinuti </w:t>
            </w:r>
            <w:r w:rsidR="00DD502A" w:rsidRPr="008F1125">
              <w:rPr>
                <w:sz w:val="22"/>
                <w:lang w:val="sr-Latn-RS" w:bidi="sr-Latn-RS"/>
              </w:rPr>
              <w:t>primjenu</w:t>
            </w:r>
          </w:p>
        </w:tc>
      </w:tr>
      <w:tr w:rsidR="00F51581" w:rsidRPr="000B529C" w14:paraId="4A4C31E4" w14:textId="77777777" w:rsidTr="00941D41">
        <w:trPr>
          <w:trHeight w:val="161"/>
        </w:trPr>
        <w:tc>
          <w:tcPr>
            <w:tcW w:w="1402" w:type="pct"/>
            <w:vMerge w:val="restart"/>
          </w:tcPr>
          <w:p w14:paraId="11FBDCAD" w14:textId="77777777" w:rsidR="002808A4" w:rsidRPr="008F1125" w:rsidRDefault="002808A4" w:rsidP="00941D41">
            <w:pPr>
              <w:pStyle w:val="TableParagraph"/>
              <w:keepNext/>
              <w:kinsoku w:val="0"/>
              <w:overflowPunct w:val="0"/>
              <w:rPr>
                <w:spacing w:val="-1"/>
                <w:sz w:val="22"/>
                <w:lang w:val="sr-Latn-RS" w:bidi="sr-Latn-RS"/>
              </w:rPr>
            </w:pPr>
            <w:r w:rsidRPr="008F1125">
              <w:rPr>
                <w:spacing w:val="-1"/>
                <w:sz w:val="22"/>
                <w:lang w:val="sr-Latn-RS" w:bidi="sr-Latn-RS"/>
              </w:rPr>
              <w:t>Reakcije na koži</w:t>
            </w:r>
          </w:p>
        </w:tc>
        <w:tc>
          <w:tcPr>
            <w:tcW w:w="2132" w:type="pct"/>
          </w:tcPr>
          <w:p w14:paraId="064D93F8" w14:textId="77777777" w:rsidR="002808A4" w:rsidRPr="008F1125" w:rsidRDefault="002808A4" w:rsidP="00941D41">
            <w:pPr>
              <w:pStyle w:val="TableParagraph"/>
              <w:keepNext/>
              <w:kinsoku w:val="0"/>
              <w:overflowPunct w:val="0"/>
              <w:rPr>
                <w:spacing w:val="-1"/>
                <w:sz w:val="22"/>
                <w:lang w:val="sr-Latn-RS" w:bidi="sr-Latn-RS"/>
              </w:rPr>
            </w:pPr>
            <w:r w:rsidRPr="008F1125">
              <w:rPr>
                <w:spacing w:val="-1"/>
                <w:sz w:val="22"/>
                <w:lang w:val="sr-Latn-RS" w:bidi="sr-Latn-RS"/>
              </w:rPr>
              <w:t>Osip 3. stepena</w:t>
            </w:r>
          </w:p>
        </w:tc>
        <w:tc>
          <w:tcPr>
            <w:tcW w:w="1466" w:type="pct"/>
          </w:tcPr>
          <w:p w14:paraId="693250A1" w14:textId="732697DE" w:rsidR="002808A4" w:rsidRPr="008F1125" w:rsidRDefault="002808A4" w:rsidP="00941D41">
            <w:pPr>
              <w:keepNext/>
              <w:rPr>
                <w:spacing w:val="-1"/>
                <w:lang w:val="sr-Latn-RS" w:bidi="sr-Latn-RS"/>
              </w:rPr>
            </w:pPr>
            <w:r w:rsidRPr="008F1125">
              <w:rPr>
                <w:spacing w:val="-1"/>
                <w:lang w:val="sr-Latn-RS" w:bidi="sr-Latn-RS"/>
              </w:rPr>
              <w:t xml:space="preserve">Odložiti </w:t>
            </w:r>
            <w:r w:rsidR="00DD502A" w:rsidRPr="008F1125">
              <w:rPr>
                <w:spacing w:val="-1"/>
                <w:lang w:val="sr-Latn-RS" w:bidi="sr-Latn-RS"/>
              </w:rPr>
              <w:t>primjenu</w:t>
            </w:r>
            <w:r w:rsidRPr="008F1125">
              <w:rPr>
                <w:spacing w:val="-1"/>
                <w:lang w:val="sr-Latn-RS" w:bidi="sr-Latn-RS"/>
              </w:rPr>
              <w:t xml:space="preserve"> do poboljšanja neželjenih reakcija na 0-1. stepen</w:t>
            </w:r>
          </w:p>
        </w:tc>
      </w:tr>
      <w:tr w:rsidR="00F51581" w:rsidRPr="008F1125" w14:paraId="29593373" w14:textId="77777777" w:rsidTr="00941D41">
        <w:trPr>
          <w:trHeight w:val="161"/>
        </w:trPr>
        <w:tc>
          <w:tcPr>
            <w:tcW w:w="1402" w:type="pct"/>
            <w:vMerge/>
          </w:tcPr>
          <w:p w14:paraId="6822C5E7" w14:textId="77777777" w:rsidR="002808A4" w:rsidRPr="008F1125" w:rsidRDefault="002808A4" w:rsidP="00941D41">
            <w:pPr>
              <w:pStyle w:val="TableParagraph"/>
              <w:keepNext/>
              <w:kinsoku w:val="0"/>
              <w:overflowPunct w:val="0"/>
              <w:rPr>
                <w:spacing w:val="-1"/>
                <w:sz w:val="22"/>
                <w:lang w:val="sr-Latn-RS" w:bidi="sr-Latn-RS"/>
              </w:rPr>
            </w:pPr>
          </w:p>
        </w:tc>
        <w:tc>
          <w:tcPr>
            <w:tcW w:w="2132" w:type="pct"/>
          </w:tcPr>
          <w:p w14:paraId="190F131A" w14:textId="6CA790BB" w:rsidR="002808A4" w:rsidRPr="008F1125" w:rsidRDefault="002808A4" w:rsidP="00941D41">
            <w:pPr>
              <w:pStyle w:val="TableParagraph"/>
              <w:keepNext/>
              <w:kinsoku w:val="0"/>
              <w:overflowPunct w:val="0"/>
              <w:rPr>
                <w:spacing w:val="-1"/>
                <w:sz w:val="22"/>
                <w:lang w:val="sr-Latn-RS" w:bidi="sr-Latn-RS"/>
              </w:rPr>
            </w:pPr>
            <w:r w:rsidRPr="008F1125">
              <w:rPr>
                <w:spacing w:val="-1"/>
                <w:sz w:val="22"/>
                <w:lang w:val="sr-Latn-RS" w:bidi="sr-Latn-RS"/>
              </w:rPr>
              <w:t>Osip 4. stepena ili rekurentni osip 3. stepena ili potvrđen</w:t>
            </w:r>
            <w:r w:rsidR="00F96F2D" w:rsidRPr="008F1125">
              <w:rPr>
                <w:spacing w:val="-1"/>
                <w:sz w:val="22"/>
                <w:lang w:val="sr-Latn-RS" w:bidi="sr-Latn-RS"/>
              </w:rPr>
              <w:t>i</w:t>
            </w:r>
            <w:r w:rsidRPr="008F1125">
              <w:rPr>
                <w:spacing w:val="-1"/>
                <w:sz w:val="22"/>
                <w:lang w:val="sr-Latn-RS" w:bidi="sr-Latn-RS"/>
              </w:rPr>
              <w:t xml:space="preserve"> </w:t>
            </w:r>
            <w:r w:rsidRPr="008F1125">
              <w:rPr>
                <w:i/>
                <w:spacing w:val="-1"/>
                <w:sz w:val="22"/>
                <w:lang w:val="sr-Latn-RS" w:bidi="sr-Latn-RS"/>
              </w:rPr>
              <w:t>Stevens-Johnson</w:t>
            </w:r>
            <w:r w:rsidRPr="008F1125">
              <w:rPr>
                <w:spacing w:val="-1"/>
                <w:sz w:val="22"/>
                <w:lang w:val="sr-Latn-RS" w:bidi="sr-Latn-RS"/>
              </w:rPr>
              <w:t>-ov</w:t>
            </w:r>
          </w:p>
          <w:p w14:paraId="725C7A4C" w14:textId="77777777" w:rsidR="002808A4" w:rsidRPr="008F1125" w:rsidRDefault="002808A4" w:rsidP="00941D41">
            <w:pPr>
              <w:pStyle w:val="TableParagraph"/>
              <w:keepNext/>
              <w:kinsoku w:val="0"/>
              <w:overflowPunct w:val="0"/>
              <w:rPr>
                <w:spacing w:val="-1"/>
                <w:sz w:val="22"/>
                <w:lang w:val="sr-Latn-RS" w:bidi="sr-Latn-RS"/>
              </w:rPr>
            </w:pPr>
            <w:r w:rsidRPr="008F1125">
              <w:rPr>
                <w:spacing w:val="-1"/>
                <w:sz w:val="22"/>
                <w:lang w:val="sr-Latn-RS" w:bidi="sr-Latn-RS"/>
              </w:rPr>
              <w:t>sindrom (SJS) ili toksična epidermalna nekroliza (TEN)</w:t>
            </w:r>
          </w:p>
        </w:tc>
        <w:tc>
          <w:tcPr>
            <w:tcW w:w="1466" w:type="pct"/>
          </w:tcPr>
          <w:p w14:paraId="60CCBC1B" w14:textId="0FA428DF" w:rsidR="002808A4" w:rsidRPr="008F1125" w:rsidRDefault="002808A4" w:rsidP="00941D41">
            <w:pPr>
              <w:keepNext/>
              <w:rPr>
                <w:spacing w:val="-1"/>
                <w:lang w:val="sr-Latn-RS" w:bidi="sr-Latn-RS"/>
              </w:rPr>
            </w:pPr>
            <w:r w:rsidRPr="008F1125">
              <w:rPr>
                <w:spacing w:val="-1"/>
                <w:lang w:val="sr-Latn-RS" w:bidi="sr-Latn-RS"/>
              </w:rPr>
              <w:t xml:space="preserve">Trajno prekinuti </w:t>
            </w:r>
            <w:r w:rsidR="00DD502A" w:rsidRPr="008F1125">
              <w:rPr>
                <w:spacing w:val="-1"/>
                <w:lang w:val="sr-Latn-RS" w:bidi="sr-Latn-RS"/>
              </w:rPr>
              <w:t>primjenu</w:t>
            </w:r>
          </w:p>
        </w:tc>
      </w:tr>
      <w:tr w:rsidR="00F51581" w:rsidRPr="000B529C" w14:paraId="1FB63341" w14:textId="77777777" w:rsidTr="001859BD">
        <w:trPr>
          <w:trHeight w:val="454"/>
        </w:trPr>
        <w:tc>
          <w:tcPr>
            <w:tcW w:w="1402" w:type="pct"/>
            <w:vMerge w:val="restart"/>
          </w:tcPr>
          <w:p w14:paraId="1FB6333D" w14:textId="3ECF7907" w:rsidR="000D01B4" w:rsidRPr="008F1125" w:rsidRDefault="00926926" w:rsidP="00577413">
            <w:pPr>
              <w:pStyle w:val="TableParagraph"/>
              <w:keepNext/>
              <w:kinsoku w:val="0"/>
              <w:overflowPunct w:val="0"/>
              <w:rPr>
                <w:spacing w:val="-1"/>
                <w:sz w:val="22"/>
                <w:szCs w:val="22"/>
                <w:lang w:val="sr-Latn-RS"/>
              </w:rPr>
            </w:pPr>
            <w:r w:rsidRPr="008F1125">
              <w:rPr>
                <w:spacing w:val="-1"/>
                <w:sz w:val="22"/>
                <w:lang w:val="sr-Latn-RS" w:bidi="sr-Latn-RS"/>
              </w:rPr>
              <w:t xml:space="preserve">Druge imunološki posredovane neželjene reakcije (uključujući miozitis, hipopituitarizam, uveitis, mijasteniju gravis, mijastenični sindrom, </w:t>
            </w:r>
            <w:r w:rsidRPr="008F1125">
              <w:rPr>
                <w:i/>
                <w:spacing w:val="-1"/>
                <w:sz w:val="22"/>
                <w:lang w:val="sr-Latn-RS" w:bidi="sr-Latn-RS"/>
              </w:rPr>
              <w:t>Guillain-Barré-</w:t>
            </w:r>
            <w:r w:rsidRPr="008F1125">
              <w:rPr>
                <w:spacing w:val="-1"/>
                <w:sz w:val="22"/>
                <w:lang w:val="sr-Latn-RS" w:bidi="sr-Latn-RS"/>
              </w:rPr>
              <w:t>ov sindrom)</w:t>
            </w:r>
          </w:p>
        </w:tc>
        <w:tc>
          <w:tcPr>
            <w:tcW w:w="2132" w:type="pct"/>
          </w:tcPr>
          <w:p w14:paraId="1FB6333E" w14:textId="00F9B016" w:rsidR="000D01B4" w:rsidRPr="008F1125" w:rsidRDefault="00926926" w:rsidP="00577413">
            <w:pPr>
              <w:pStyle w:val="TableParagraph"/>
              <w:keepNext/>
              <w:kinsoku w:val="0"/>
              <w:overflowPunct w:val="0"/>
              <w:rPr>
                <w:spacing w:val="-1"/>
                <w:sz w:val="22"/>
                <w:szCs w:val="22"/>
                <w:lang w:val="sr-Latn-RS"/>
              </w:rPr>
            </w:pPr>
            <w:r w:rsidRPr="008F1125">
              <w:rPr>
                <w:spacing w:val="-1"/>
                <w:sz w:val="22"/>
                <w:lang w:val="sr-Latn-RS" w:bidi="sr-Latn-RS"/>
              </w:rPr>
              <w:t>Za bilo šta od sl</w:t>
            </w:r>
            <w:r w:rsidR="00EB3E94" w:rsidRPr="008F1125">
              <w:rPr>
                <w:spacing w:val="-1"/>
                <w:sz w:val="22"/>
                <w:lang w:val="sr-Latn-RS" w:bidi="sr-Latn-RS"/>
              </w:rPr>
              <w:t>j</w:t>
            </w:r>
            <w:r w:rsidRPr="008F1125">
              <w:rPr>
                <w:spacing w:val="-1"/>
                <w:sz w:val="22"/>
                <w:lang w:val="sr-Latn-RS" w:bidi="sr-Latn-RS"/>
              </w:rPr>
              <w:t>edećeg:</w:t>
            </w:r>
          </w:p>
          <w:p w14:paraId="1FB6333F" w14:textId="2A9D26AC" w:rsidR="000D01B4" w:rsidRPr="008F1125" w:rsidRDefault="00926926" w:rsidP="00577413">
            <w:pPr>
              <w:pStyle w:val="TableParagraph"/>
              <w:keepNext/>
              <w:numPr>
                <w:ilvl w:val="0"/>
                <w:numId w:val="8"/>
              </w:numPr>
              <w:kinsoku w:val="0"/>
              <w:overflowPunct w:val="0"/>
              <w:ind w:left="567" w:hanging="567"/>
              <w:rPr>
                <w:spacing w:val="-1"/>
                <w:sz w:val="22"/>
                <w:szCs w:val="22"/>
                <w:lang w:val="sr-Latn-RS"/>
              </w:rPr>
            </w:pPr>
            <w:r w:rsidRPr="008F1125">
              <w:rPr>
                <w:sz w:val="22"/>
                <w:lang w:val="sr-Latn-RS" w:bidi="sr-Latn-RS"/>
              </w:rPr>
              <w:t>Klinički znakovi ili simptomi 2. ili 3. stepena imunološki posredovane neželjene reakcije koja nije opisana gore</w:t>
            </w:r>
          </w:p>
        </w:tc>
        <w:tc>
          <w:tcPr>
            <w:tcW w:w="1466" w:type="pct"/>
          </w:tcPr>
          <w:p w14:paraId="1FB63340" w14:textId="0469E4D5" w:rsidR="000D01B4" w:rsidRPr="008F1125" w:rsidRDefault="00926926" w:rsidP="00577413">
            <w:pPr>
              <w:keepNext/>
              <w:rPr>
                <w:spacing w:val="-1"/>
                <w:szCs w:val="22"/>
                <w:lang w:val="sr-Latn-RS"/>
              </w:rPr>
            </w:pPr>
            <w:r w:rsidRPr="008F1125">
              <w:rPr>
                <w:spacing w:val="-1"/>
                <w:lang w:val="sr-Latn-RS" w:bidi="sr-Latn-RS"/>
              </w:rPr>
              <w:t xml:space="preserve">Odložiti </w:t>
            </w:r>
            <w:r w:rsidR="00DD502A" w:rsidRPr="008F1125">
              <w:rPr>
                <w:spacing w:val="-1"/>
                <w:lang w:val="sr-Latn-RS" w:bidi="sr-Latn-RS"/>
              </w:rPr>
              <w:t>primjenu</w:t>
            </w:r>
            <w:r w:rsidRPr="008F1125">
              <w:rPr>
                <w:spacing w:val="-1"/>
                <w:lang w:val="sr-Latn-RS" w:bidi="sr-Latn-RS"/>
              </w:rPr>
              <w:t xml:space="preserve"> do poboljšanja neželjenih reakcija na 0-1. stepen</w:t>
            </w:r>
          </w:p>
        </w:tc>
      </w:tr>
      <w:tr w:rsidR="00F51581" w:rsidRPr="008F1125" w14:paraId="1FB63349" w14:textId="77777777" w:rsidTr="001859BD">
        <w:trPr>
          <w:trHeight w:val="454"/>
        </w:trPr>
        <w:tc>
          <w:tcPr>
            <w:tcW w:w="1402" w:type="pct"/>
            <w:vMerge/>
          </w:tcPr>
          <w:p w14:paraId="1FB63342" w14:textId="77777777" w:rsidR="000D01B4" w:rsidRPr="008F1125" w:rsidRDefault="000D01B4" w:rsidP="00577413">
            <w:pPr>
              <w:pStyle w:val="TableParagraph"/>
              <w:keepNext/>
              <w:kinsoku w:val="0"/>
              <w:overflowPunct w:val="0"/>
              <w:rPr>
                <w:spacing w:val="-1"/>
                <w:sz w:val="22"/>
                <w:szCs w:val="22"/>
                <w:lang w:val="sr-Latn-RS"/>
              </w:rPr>
            </w:pPr>
          </w:p>
        </w:tc>
        <w:tc>
          <w:tcPr>
            <w:tcW w:w="2132" w:type="pct"/>
          </w:tcPr>
          <w:p w14:paraId="1FB63343" w14:textId="43169ECC" w:rsidR="000D01B4" w:rsidRPr="008F1125" w:rsidRDefault="00926926" w:rsidP="00577413">
            <w:pPr>
              <w:pStyle w:val="TableParagraph"/>
              <w:keepNext/>
              <w:kinsoku w:val="0"/>
              <w:overflowPunct w:val="0"/>
              <w:rPr>
                <w:spacing w:val="-1"/>
                <w:sz w:val="22"/>
                <w:szCs w:val="22"/>
                <w:lang w:val="sr-Latn-RS"/>
              </w:rPr>
            </w:pPr>
            <w:r w:rsidRPr="008F1125">
              <w:rPr>
                <w:spacing w:val="-1"/>
                <w:sz w:val="22"/>
                <w:lang w:val="sr-Latn-RS" w:bidi="sr-Latn-RS"/>
              </w:rPr>
              <w:t>Za bilo šta od sl</w:t>
            </w:r>
            <w:r w:rsidR="00EB3E94" w:rsidRPr="008F1125">
              <w:rPr>
                <w:spacing w:val="-1"/>
                <w:sz w:val="22"/>
                <w:lang w:val="sr-Latn-RS" w:bidi="sr-Latn-RS"/>
              </w:rPr>
              <w:t>j</w:t>
            </w:r>
            <w:r w:rsidRPr="008F1125">
              <w:rPr>
                <w:spacing w:val="-1"/>
                <w:sz w:val="22"/>
                <w:lang w:val="sr-Latn-RS" w:bidi="sr-Latn-RS"/>
              </w:rPr>
              <w:t>edećeg:</w:t>
            </w:r>
          </w:p>
          <w:p w14:paraId="1FB63344" w14:textId="6D7C8117" w:rsidR="000D01B4" w:rsidRPr="008F1125" w:rsidRDefault="00926926" w:rsidP="00577413">
            <w:pPr>
              <w:pStyle w:val="Default"/>
              <w:keepNext/>
              <w:numPr>
                <w:ilvl w:val="0"/>
                <w:numId w:val="7"/>
              </w:numPr>
              <w:ind w:left="567" w:hanging="567"/>
              <w:rPr>
                <w:color w:val="auto"/>
                <w:spacing w:val="-1"/>
                <w:sz w:val="22"/>
                <w:szCs w:val="22"/>
                <w:lang w:val="sr-Latn-RS"/>
              </w:rPr>
            </w:pPr>
            <w:r w:rsidRPr="008F1125">
              <w:rPr>
                <w:color w:val="auto"/>
                <w:spacing w:val="-1"/>
                <w:sz w:val="22"/>
                <w:lang w:val="sr-Latn-RS" w:bidi="sr-Latn-RS"/>
              </w:rPr>
              <w:t>Životno ugrožavajuća neželjena reakcija 4. stepena (</w:t>
            </w:r>
            <w:r w:rsidR="00EB3E94" w:rsidRPr="008F1125">
              <w:rPr>
                <w:color w:val="auto"/>
                <w:spacing w:val="-1"/>
                <w:sz w:val="22"/>
                <w:lang w:val="sr-Latn-RS" w:bidi="sr-Latn-RS"/>
              </w:rPr>
              <w:t>is</w:t>
            </w:r>
            <w:r w:rsidRPr="008F1125">
              <w:rPr>
                <w:color w:val="auto"/>
                <w:spacing w:val="-1"/>
                <w:sz w:val="22"/>
                <w:lang w:val="sr-Latn-RS" w:bidi="sr-Latn-RS"/>
              </w:rPr>
              <w:t>ključujući endokrinopatije kontrolisane hormonskom supstitucionom terapijom)</w:t>
            </w:r>
          </w:p>
          <w:p w14:paraId="1FB63345" w14:textId="5C7134A8" w:rsidR="000D01B4" w:rsidRPr="008F1125" w:rsidRDefault="00926926" w:rsidP="00577413">
            <w:pPr>
              <w:pStyle w:val="Default"/>
              <w:keepNext/>
              <w:numPr>
                <w:ilvl w:val="0"/>
                <w:numId w:val="7"/>
              </w:numPr>
              <w:ind w:left="567" w:hanging="567"/>
              <w:rPr>
                <w:color w:val="auto"/>
                <w:spacing w:val="-1"/>
                <w:sz w:val="22"/>
                <w:szCs w:val="22"/>
                <w:lang w:val="sr-Latn-RS"/>
              </w:rPr>
            </w:pPr>
            <w:r w:rsidRPr="008F1125">
              <w:rPr>
                <w:color w:val="auto"/>
                <w:spacing w:val="-1"/>
                <w:sz w:val="22"/>
                <w:lang w:val="sr-Latn-RS" w:bidi="sr-Latn-RS"/>
              </w:rPr>
              <w:t xml:space="preserve">Rekurentna imunološki </w:t>
            </w:r>
            <w:r w:rsidR="00EB3E94" w:rsidRPr="008F1125">
              <w:rPr>
                <w:color w:val="auto"/>
                <w:spacing w:val="-1"/>
                <w:sz w:val="22"/>
                <w:lang w:val="sr-Latn-RS" w:bidi="sr-Latn-RS"/>
              </w:rPr>
              <w:t xml:space="preserve">posredovana </w:t>
            </w:r>
            <w:r w:rsidRPr="008F1125">
              <w:rPr>
                <w:color w:val="auto"/>
                <w:spacing w:val="-1"/>
                <w:sz w:val="22"/>
                <w:lang w:val="sr-Latn-RS" w:bidi="sr-Latn-RS"/>
              </w:rPr>
              <w:t>neželjena reakcija 3. stepena</w:t>
            </w:r>
          </w:p>
          <w:p w14:paraId="1FB63346" w14:textId="3953D257" w:rsidR="000D01B4" w:rsidRPr="008F1125" w:rsidRDefault="00926926" w:rsidP="00577413">
            <w:pPr>
              <w:pStyle w:val="Default"/>
              <w:keepNext/>
              <w:numPr>
                <w:ilvl w:val="0"/>
                <w:numId w:val="7"/>
              </w:numPr>
              <w:ind w:left="567" w:hanging="567"/>
              <w:rPr>
                <w:color w:val="auto"/>
                <w:spacing w:val="-1"/>
                <w:sz w:val="22"/>
                <w:szCs w:val="22"/>
                <w:lang w:val="sr-Latn-RS"/>
              </w:rPr>
            </w:pPr>
            <w:r w:rsidRPr="008F1125">
              <w:rPr>
                <w:color w:val="auto"/>
                <w:spacing w:val="-1"/>
                <w:sz w:val="22"/>
                <w:lang w:val="sr-Latn-RS" w:bidi="sr-Latn-RS"/>
              </w:rPr>
              <w:t xml:space="preserve">Potreba za prednizonom u dozi od 10 mg na dan ili većoj dozi ili ekvivalentnim </w:t>
            </w:r>
            <w:r w:rsidR="0038574B" w:rsidRPr="008F1125">
              <w:rPr>
                <w:color w:val="auto"/>
                <w:spacing w:val="-1"/>
                <w:sz w:val="22"/>
                <w:lang w:val="sr-Latn-RS" w:bidi="sr-Latn-RS"/>
              </w:rPr>
              <w:t>lijekom</w:t>
            </w:r>
            <w:r w:rsidRPr="008F1125">
              <w:rPr>
                <w:color w:val="auto"/>
                <w:spacing w:val="-1"/>
                <w:sz w:val="22"/>
                <w:lang w:val="sr-Latn-RS" w:bidi="sr-Latn-RS"/>
              </w:rPr>
              <w:t xml:space="preserve"> u trajanju od više od 12 ned</w:t>
            </w:r>
            <w:r w:rsidR="00EB3E94" w:rsidRPr="008F1125">
              <w:rPr>
                <w:color w:val="auto"/>
                <w:spacing w:val="-1"/>
                <w:sz w:val="22"/>
                <w:lang w:val="sr-Latn-RS" w:bidi="sr-Latn-RS"/>
              </w:rPr>
              <w:t>j</w:t>
            </w:r>
            <w:r w:rsidRPr="008F1125">
              <w:rPr>
                <w:color w:val="auto"/>
                <w:spacing w:val="-1"/>
                <w:sz w:val="22"/>
                <w:lang w:val="sr-Latn-RS" w:bidi="sr-Latn-RS"/>
              </w:rPr>
              <w:t>elja</w:t>
            </w:r>
          </w:p>
          <w:p w14:paraId="1FB63347" w14:textId="71811143" w:rsidR="000D01B4" w:rsidRPr="008F1125" w:rsidRDefault="00926926" w:rsidP="00577413">
            <w:pPr>
              <w:pStyle w:val="Default"/>
              <w:keepNext/>
              <w:numPr>
                <w:ilvl w:val="0"/>
                <w:numId w:val="7"/>
              </w:numPr>
              <w:ind w:left="567" w:hanging="567"/>
              <w:rPr>
                <w:color w:val="auto"/>
                <w:spacing w:val="-1"/>
                <w:sz w:val="22"/>
                <w:szCs w:val="22"/>
                <w:lang w:val="sr-Latn-RS"/>
              </w:rPr>
            </w:pPr>
            <w:r w:rsidRPr="008F1125">
              <w:rPr>
                <w:color w:val="auto"/>
                <w:spacing w:val="-1"/>
                <w:sz w:val="22"/>
                <w:lang w:val="sr-Latn-RS" w:bidi="sr-Latn-RS"/>
              </w:rPr>
              <w:t>Perzistentne imunološki posredovane neželjene reakcije 2. ili 3. stepena u trajanju od 12 ned</w:t>
            </w:r>
            <w:r w:rsidR="00EB3E94" w:rsidRPr="008F1125">
              <w:rPr>
                <w:color w:val="auto"/>
                <w:spacing w:val="-1"/>
                <w:sz w:val="22"/>
                <w:lang w:val="sr-Latn-RS" w:bidi="sr-Latn-RS"/>
              </w:rPr>
              <w:t>j</w:t>
            </w:r>
            <w:r w:rsidRPr="008F1125">
              <w:rPr>
                <w:color w:val="auto"/>
                <w:spacing w:val="-1"/>
                <w:sz w:val="22"/>
                <w:lang w:val="sr-Latn-RS" w:bidi="sr-Latn-RS"/>
              </w:rPr>
              <w:t>elja ili duže</w:t>
            </w:r>
          </w:p>
        </w:tc>
        <w:tc>
          <w:tcPr>
            <w:tcW w:w="1466" w:type="pct"/>
          </w:tcPr>
          <w:p w14:paraId="1FB63348" w14:textId="2B396A96" w:rsidR="000D01B4" w:rsidRPr="008F1125" w:rsidRDefault="00926926" w:rsidP="00577413">
            <w:pPr>
              <w:keepNext/>
              <w:rPr>
                <w:spacing w:val="-1"/>
                <w:szCs w:val="22"/>
                <w:lang w:val="sr-Latn-RS"/>
              </w:rPr>
            </w:pPr>
            <w:r w:rsidRPr="008F1125">
              <w:rPr>
                <w:spacing w:val="-1"/>
                <w:lang w:val="sr-Latn-RS" w:bidi="sr-Latn-RS"/>
              </w:rPr>
              <w:t xml:space="preserve">Trajno prekinuti </w:t>
            </w:r>
            <w:r w:rsidR="00DD502A" w:rsidRPr="008F1125">
              <w:rPr>
                <w:spacing w:val="-1"/>
                <w:lang w:val="sr-Latn-RS" w:bidi="sr-Latn-RS"/>
              </w:rPr>
              <w:t>primjenu</w:t>
            </w:r>
          </w:p>
        </w:tc>
      </w:tr>
    </w:tbl>
    <w:p w14:paraId="1FB6334A" w14:textId="7DFE010C" w:rsidR="000D01B4" w:rsidRPr="008F1125" w:rsidRDefault="00926926" w:rsidP="00EB3E94">
      <w:pPr>
        <w:autoSpaceDE w:val="0"/>
        <w:autoSpaceDN w:val="0"/>
        <w:adjustRightInd w:val="0"/>
        <w:jc w:val="both"/>
        <w:rPr>
          <w:rFonts w:eastAsia="TimesNewRoman"/>
          <w:sz w:val="20"/>
          <w:lang w:val="sr-Latn-RS" w:eastAsia="en-GB"/>
        </w:rPr>
      </w:pPr>
      <w:r w:rsidRPr="008F1125">
        <w:rPr>
          <w:sz w:val="20"/>
          <w:lang w:val="sr-Latn-RS" w:bidi="sr-Latn-RS"/>
        </w:rPr>
        <w:t xml:space="preserve">* Stepeni toksičnosti određeni su u skladu sa Zajedničkim terminološkim kriterijumima za neželjena dejstva Nacionalnog instituta za </w:t>
      </w:r>
      <w:r w:rsidR="00EB3E94" w:rsidRPr="008F1125">
        <w:rPr>
          <w:sz w:val="20"/>
          <w:lang w:val="sr-Latn-RS" w:bidi="sr-Latn-RS"/>
        </w:rPr>
        <w:t>karcinom</w:t>
      </w:r>
      <w:r w:rsidRPr="008F1125">
        <w:rPr>
          <w:sz w:val="20"/>
          <w:lang w:val="sr-Latn-RS" w:bidi="sr-Latn-RS"/>
        </w:rPr>
        <w:t xml:space="preserve">, verzija 4.0 (eng. </w:t>
      </w:r>
      <w:r w:rsidRPr="008F1125">
        <w:rPr>
          <w:i/>
          <w:sz w:val="20"/>
          <w:lang w:val="sr-Latn-RS" w:bidi="sr-Latn-RS"/>
        </w:rPr>
        <w:t>National Cancer Institute Common Terminology Criteria for Adverse Events Version 4.0</w:t>
      </w:r>
      <w:r w:rsidRPr="008F1125">
        <w:rPr>
          <w:sz w:val="20"/>
          <w:lang w:val="sr-Latn-RS" w:bidi="sr-Latn-RS"/>
        </w:rPr>
        <w:t>, NCI-CTCAE v4.03)</w:t>
      </w:r>
    </w:p>
    <w:p w14:paraId="1FB6334B" w14:textId="77777777" w:rsidR="00B17841" w:rsidRPr="008F1125" w:rsidRDefault="00B17841" w:rsidP="00577413">
      <w:pPr>
        <w:autoSpaceDE w:val="0"/>
        <w:autoSpaceDN w:val="0"/>
        <w:adjustRightInd w:val="0"/>
        <w:rPr>
          <w:rFonts w:eastAsia="TimesNewRoman"/>
          <w:iCs/>
          <w:szCs w:val="22"/>
          <w:lang w:val="sr-Latn-RS" w:eastAsia="en-GB"/>
        </w:rPr>
      </w:pPr>
    </w:p>
    <w:p w14:paraId="1FB6334C" w14:textId="147B1868" w:rsidR="00B17841" w:rsidRPr="008F1125" w:rsidRDefault="00926926" w:rsidP="00EB3E94">
      <w:pPr>
        <w:keepNext/>
        <w:autoSpaceDE w:val="0"/>
        <w:autoSpaceDN w:val="0"/>
        <w:adjustRightInd w:val="0"/>
        <w:jc w:val="both"/>
        <w:rPr>
          <w:rFonts w:eastAsia="TimesNewRoman"/>
          <w:i/>
          <w:szCs w:val="22"/>
          <w:lang w:val="sr-Latn-RS" w:eastAsia="en-GB"/>
        </w:rPr>
      </w:pPr>
      <w:r w:rsidRPr="008F1125">
        <w:rPr>
          <w:i/>
          <w:lang w:val="sr-Latn-RS" w:bidi="sr-Latn-RS"/>
        </w:rPr>
        <w:t xml:space="preserve">Prilagođavanje terapije kada se </w:t>
      </w:r>
      <w:r w:rsidR="00DD502A" w:rsidRPr="008F1125">
        <w:rPr>
          <w:i/>
          <w:lang w:val="sr-Latn-RS" w:bidi="sr-Latn-RS"/>
        </w:rPr>
        <w:t>Lijek Bavencio primjenjuje</w:t>
      </w:r>
      <w:r w:rsidRPr="008F1125">
        <w:rPr>
          <w:i/>
          <w:lang w:val="sr-Latn-RS" w:bidi="sr-Latn-RS"/>
        </w:rPr>
        <w:t xml:space="preserve"> u kombinaciji sa aksitinibom</w:t>
      </w:r>
    </w:p>
    <w:p w14:paraId="1FB6334D" w14:textId="0CABB9D4" w:rsidR="00B17841" w:rsidRPr="008F1125" w:rsidRDefault="00926926" w:rsidP="00EB3E94">
      <w:pPr>
        <w:autoSpaceDE w:val="0"/>
        <w:autoSpaceDN w:val="0"/>
        <w:adjustRightInd w:val="0"/>
        <w:jc w:val="both"/>
        <w:rPr>
          <w:rFonts w:eastAsia="TimesNewRoman"/>
          <w:szCs w:val="22"/>
          <w:lang w:val="sr-Latn-RS"/>
        </w:rPr>
      </w:pPr>
      <w:r w:rsidRPr="008F1125">
        <w:rPr>
          <w:lang w:val="sr-Latn-RS" w:bidi="sr-Latn-RS"/>
        </w:rPr>
        <w:t xml:space="preserve">Ako su ALT ili AST ≥ 3 puta iznad GGN, ali &lt; 5 puta iznad GGN ili je ukupni bilirubin ≥ 1,5 puta iznad GGN, ali &lt; 3 puta iznad GGN, potrebno je obustaviti </w:t>
      </w:r>
      <w:r w:rsidR="00DD502A" w:rsidRPr="008F1125">
        <w:rPr>
          <w:lang w:val="sr-Latn-RS" w:bidi="sr-Latn-RS"/>
        </w:rPr>
        <w:t>primjenu</w:t>
      </w:r>
      <w:r w:rsidRPr="008F1125">
        <w:rPr>
          <w:lang w:val="sr-Latn-RS" w:bidi="sr-Latn-RS"/>
        </w:rPr>
        <w:t xml:space="preserve"> i </w:t>
      </w:r>
      <w:r w:rsidR="00DD502A" w:rsidRPr="008F1125">
        <w:rPr>
          <w:lang w:val="sr-Latn-RS" w:bidi="sr-Latn-RS"/>
        </w:rPr>
        <w:t xml:space="preserve">lijeka Bavencio </w:t>
      </w:r>
      <w:r w:rsidRPr="008F1125">
        <w:rPr>
          <w:lang w:val="sr-Latn-RS" w:bidi="sr-Latn-RS"/>
        </w:rPr>
        <w:t xml:space="preserve">i aksitiniba dok se ove neželjene reakcije ne povuku na 0-1. stepen. Ako se ne povlače (traju duže od 5 dana), potrebno je razmotriti </w:t>
      </w:r>
      <w:r w:rsidR="00DD502A" w:rsidRPr="008F1125">
        <w:rPr>
          <w:lang w:val="sr-Latn-RS" w:bidi="sr-Latn-RS"/>
        </w:rPr>
        <w:t>primjenu</w:t>
      </w:r>
      <w:r w:rsidRPr="008F1125">
        <w:rPr>
          <w:lang w:val="sr-Latn-RS" w:bidi="sr-Latn-RS"/>
        </w:rPr>
        <w:t xml:space="preserve"> terapije kortikosteroidima prednizonom ili ekvivalentnim </w:t>
      </w:r>
      <w:r w:rsidR="0038574B" w:rsidRPr="008F1125">
        <w:rPr>
          <w:lang w:val="sr-Latn-RS" w:bidi="sr-Latn-RS"/>
        </w:rPr>
        <w:t>lijekom</w:t>
      </w:r>
      <w:r w:rsidRPr="008F1125">
        <w:rPr>
          <w:lang w:val="sr-Latn-RS" w:bidi="sr-Latn-RS"/>
        </w:rPr>
        <w:t xml:space="preserve"> sa postepenim snižavanjem doze. Nakon oporavka treba razmotriti ponovno uvođenje (</w:t>
      </w:r>
      <w:r w:rsidRPr="008F1125">
        <w:rPr>
          <w:i/>
          <w:lang w:val="sr-Latn-RS" w:bidi="sr-Latn-RS"/>
        </w:rPr>
        <w:t>rechallenge</w:t>
      </w:r>
      <w:r w:rsidRPr="008F1125">
        <w:rPr>
          <w:lang w:val="sr-Latn-RS" w:bidi="sr-Latn-RS"/>
        </w:rPr>
        <w:t xml:space="preserve">) </w:t>
      </w:r>
      <w:r w:rsidR="00DD502A" w:rsidRPr="008F1125">
        <w:rPr>
          <w:lang w:val="sr-Latn-RS" w:bidi="sr-Latn-RS"/>
        </w:rPr>
        <w:t xml:space="preserve">lijeka Bavencio </w:t>
      </w:r>
      <w:r w:rsidRPr="008F1125">
        <w:rPr>
          <w:lang w:val="sr-Latn-RS" w:bidi="sr-Latn-RS"/>
        </w:rPr>
        <w:t xml:space="preserve">ili aksitiniba, ili ponovno uvođenje i </w:t>
      </w:r>
      <w:r w:rsidR="00DD502A" w:rsidRPr="008F1125">
        <w:rPr>
          <w:lang w:val="sr-Latn-RS" w:bidi="sr-Latn-RS"/>
        </w:rPr>
        <w:t xml:space="preserve">lijeka Bavencio </w:t>
      </w:r>
      <w:r w:rsidRPr="008F1125">
        <w:rPr>
          <w:lang w:val="sr-Latn-RS" w:bidi="sr-Latn-RS"/>
        </w:rPr>
        <w:t>i aksitiniba sekvencijalno. U slučaju ponovnog uvođenja aksitiniba, treba razmotriti sniženje doze u skladu sa informacijama o l</w:t>
      </w:r>
      <w:r w:rsidR="00DD502A" w:rsidRPr="008F1125">
        <w:rPr>
          <w:lang w:val="sr-Latn-RS" w:bidi="sr-Latn-RS"/>
        </w:rPr>
        <w:t>ij</w:t>
      </w:r>
      <w:r w:rsidRPr="008F1125">
        <w:rPr>
          <w:lang w:val="sr-Latn-RS" w:bidi="sr-Latn-RS"/>
        </w:rPr>
        <w:t>eku za aksitinib.</w:t>
      </w:r>
    </w:p>
    <w:p w14:paraId="1FB6334E" w14:textId="77777777" w:rsidR="00B17841" w:rsidRPr="008F1125" w:rsidRDefault="00B17841" w:rsidP="00EB3E94">
      <w:pPr>
        <w:autoSpaceDE w:val="0"/>
        <w:autoSpaceDN w:val="0"/>
        <w:adjustRightInd w:val="0"/>
        <w:jc w:val="both"/>
        <w:rPr>
          <w:rFonts w:eastAsia="TimesNewRoman"/>
          <w:iCs/>
          <w:szCs w:val="22"/>
          <w:lang w:val="sr-Latn-RS" w:eastAsia="en-GB"/>
        </w:rPr>
      </w:pPr>
    </w:p>
    <w:p w14:paraId="1FB6334F" w14:textId="0684D8D1" w:rsidR="00B17841" w:rsidRPr="008F1125" w:rsidRDefault="00926926" w:rsidP="00EB3E94">
      <w:pPr>
        <w:autoSpaceDE w:val="0"/>
        <w:autoSpaceDN w:val="0"/>
        <w:adjustRightInd w:val="0"/>
        <w:jc w:val="both"/>
        <w:rPr>
          <w:szCs w:val="22"/>
          <w:lang w:val="sr-Latn-RS"/>
        </w:rPr>
      </w:pPr>
      <w:r w:rsidRPr="008F1125">
        <w:rPr>
          <w:lang w:val="sr-Latn-RS" w:bidi="sr-Latn-RS"/>
        </w:rPr>
        <w:t xml:space="preserve">Ako su ALT ili AST ≥ 5 puta iznad GGN ili &gt; 3 puta iznad GGN sa ukupnim bilirubinom koji je istovremeno ≥ 2 puta iznad GGN ili ako je ukupni bilirubin ≥ 3 puta iznad GGN, </w:t>
      </w:r>
      <w:r w:rsidR="00DD502A" w:rsidRPr="008F1125">
        <w:rPr>
          <w:lang w:val="sr-Latn-RS" w:bidi="sr-Latn-RS"/>
        </w:rPr>
        <w:t>primjenu</w:t>
      </w:r>
      <w:r w:rsidRPr="008F1125">
        <w:rPr>
          <w:lang w:val="sr-Latn-RS" w:bidi="sr-Latn-RS"/>
        </w:rPr>
        <w:t xml:space="preserve"> oba l</w:t>
      </w:r>
      <w:r w:rsidR="0038574B" w:rsidRPr="008F1125">
        <w:rPr>
          <w:lang w:val="sr-Latn-RS" w:bidi="sr-Latn-RS"/>
        </w:rPr>
        <w:t>ij</w:t>
      </w:r>
      <w:r w:rsidRPr="008F1125">
        <w:rPr>
          <w:lang w:val="sr-Latn-RS" w:bidi="sr-Latn-RS"/>
        </w:rPr>
        <w:t xml:space="preserve">eka, i Bavencio i aksitiniba, treba trajno prekinuti i razmotriti </w:t>
      </w:r>
      <w:r w:rsidR="00DD502A" w:rsidRPr="008F1125">
        <w:rPr>
          <w:lang w:val="sr-Latn-RS" w:bidi="sr-Latn-RS"/>
        </w:rPr>
        <w:t>primjenu</w:t>
      </w:r>
      <w:r w:rsidRPr="008F1125">
        <w:rPr>
          <w:lang w:val="sr-Latn-RS" w:bidi="sr-Latn-RS"/>
        </w:rPr>
        <w:t xml:space="preserve"> terapije kortikosteroidima.</w:t>
      </w:r>
    </w:p>
    <w:p w14:paraId="1FB63350" w14:textId="77777777" w:rsidR="000D01B4" w:rsidRPr="008F1125" w:rsidRDefault="000D01B4" w:rsidP="00EB3E94">
      <w:pPr>
        <w:autoSpaceDE w:val="0"/>
        <w:autoSpaceDN w:val="0"/>
        <w:adjustRightInd w:val="0"/>
        <w:jc w:val="both"/>
        <w:rPr>
          <w:rFonts w:eastAsia="TimesNewRoman"/>
          <w:iCs/>
          <w:szCs w:val="22"/>
          <w:lang w:val="sr-Latn-RS" w:eastAsia="en-GB"/>
        </w:rPr>
      </w:pPr>
    </w:p>
    <w:p w14:paraId="1FB63351" w14:textId="4711C239" w:rsidR="00751D7A" w:rsidRPr="008F1125" w:rsidRDefault="00926926" w:rsidP="00EB3E94">
      <w:pPr>
        <w:keepNext/>
        <w:autoSpaceDE w:val="0"/>
        <w:autoSpaceDN w:val="0"/>
        <w:adjustRightInd w:val="0"/>
        <w:jc w:val="both"/>
        <w:rPr>
          <w:rFonts w:eastAsia="TimesNewRoman"/>
          <w:i/>
          <w:szCs w:val="22"/>
          <w:lang w:val="sr-Latn-RS" w:eastAsia="en-GB"/>
        </w:rPr>
      </w:pPr>
      <w:r w:rsidRPr="008F1125">
        <w:rPr>
          <w:i/>
          <w:lang w:val="sr-Latn-RS" w:bidi="sr-Latn-RS"/>
        </w:rPr>
        <w:t>Sav</w:t>
      </w:r>
      <w:r w:rsidR="00DD502A" w:rsidRPr="008F1125">
        <w:rPr>
          <w:i/>
          <w:lang w:val="sr-Latn-RS" w:bidi="sr-Latn-RS"/>
        </w:rPr>
        <w:t>j</w:t>
      </w:r>
      <w:r w:rsidRPr="008F1125">
        <w:rPr>
          <w:i/>
          <w:lang w:val="sr-Latn-RS" w:bidi="sr-Latn-RS"/>
        </w:rPr>
        <w:t>eti o prilagođavanju doze aksitiniba kod prim</w:t>
      </w:r>
      <w:r w:rsidR="00DD502A" w:rsidRPr="008F1125">
        <w:rPr>
          <w:i/>
          <w:lang w:val="sr-Latn-RS" w:bidi="sr-Latn-RS"/>
        </w:rPr>
        <w:t>j</w:t>
      </w:r>
      <w:r w:rsidRPr="008F1125">
        <w:rPr>
          <w:i/>
          <w:lang w:val="sr-Latn-RS" w:bidi="sr-Latn-RS"/>
        </w:rPr>
        <w:t>ene sa l</w:t>
      </w:r>
      <w:r w:rsidR="00DD502A" w:rsidRPr="008F1125">
        <w:rPr>
          <w:i/>
          <w:lang w:val="sr-Latn-RS" w:bidi="sr-Latn-RS"/>
        </w:rPr>
        <w:t>ij</w:t>
      </w:r>
      <w:r w:rsidRPr="008F1125">
        <w:rPr>
          <w:i/>
          <w:lang w:val="sr-Latn-RS" w:bidi="sr-Latn-RS"/>
        </w:rPr>
        <w:t>ekom Bavencio</w:t>
      </w:r>
    </w:p>
    <w:p w14:paraId="1FB63352" w14:textId="317E7C81" w:rsidR="0008138A" w:rsidRPr="008F1125" w:rsidRDefault="00926926" w:rsidP="00EB3E94">
      <w:pPr>
        <w:pStyle w:val="BodyText"/>
        <w:tabs>
          <w:tab w:val="left" w:pos="999"/>
          <w:tab w:val="left" w:pos="1000"/>
        </w:tabs>
        <w:jc w:val="both"/>
        <w:rPr>
          <w:bCs/>
          <w:i w:val="0"/>
          <w:color w:val="auto"/>
          <w:szCs w:val="22"/>
          <w:lang w:val="sr-Latn-RS" w:eastAsia="en-GB"/>
        </w:rPr>
      </w:pPr>
      <w:r w:rsidRPr="008F1125">
        <w:rPr>
          <w:i w:val="0"/>
          <w:color w:val="auto"/>
          <w:lang w:val="sr-Latn-RS" w:bidi="sr-Latn-RS"/>
        </w:rPr>
        <w:t>Kad</w:t>
      </w:r>
      <w:r w:rsidR="00B71A52" w:rsidRPr="008F1125">
        <w:rPr>
          <w:i w:val="0"/>
          <w:color w:val="auto"/>
          <w:lang w:val="sr-Latn-RS" w:bidi="sr-Latn-RS"/>
        </w:rPr>
        <w:t>a</w:t>
      </w:r>
      <w:r w:rsidRPr="008F1125">
        <w:rPr>
          <w:i w:val="0"/>
          <w:color w:val="auto"/>
          <w:lang w:val="sr-Latn-RS" w:bidi="sr-Latn-RS"/>
        </w:rPr>
        <w:t xml:space="preserve"> se </w:t>
      </w:r>
      <w:r w:rsidR="00DD502A" w:rsidRPr="008F1125">
        <w:rPr>
          <w:i w:val="0"/>
          <w:color w:val="auto"/>
          <w:lang w:val="sr-Latn-RS" w:bidi="sr-Latn-RS"/>
        </w:rPr>
        <w:t>lijek Bavencio primjenjuje</w:t>
      </w:r>
      <w:r w:rsidRPr="008F1125">
        <w:rPr>
          <w:i w:val="0"/>
          <w:color w:val="auto"/>
          <w:lang w:val="sr-Latn-RS" w:bidi="sr-Latn-RS"/>
        </w:rPr>
        <w:t xml:space="preserve"> u kombinaciji sa aksitinibom, o preporukama u vezi sa prilagođavanjem doze za aksitinib pročitati u informacijama o l</w:t>
      </w:r>
      <w:r w:rsidR="00DD502A" w:rsidRPr="008F1125">
        <w:rPr>
          <w:i w:val="0"/>
          <w:color w:val="auto"/>
          <w:lang w:val="sr-Latn-RS" w:bidi="sr-Latn-RS"/>
        </w:rPr>
        <w:t>ij</w:t>
      </w:r>
      <w:r w:rsidRPr="008F1125">
        <w:rPr>
          <w:i w:val="0"/>
          <w:color w:val="auto"/>
          <w:lang w:val="sr-Latn-RS" w:bidi="sr-Latn-RS"/>
        </w:rPr>
        <w:t>eku za aksitinib.</w:t>
      </w:r>
    </w:p>
    <w:p w14:paraId="1FB63353" w14:textId="77777777" w:rsidR="00AF4728" w:rsidRPr="008F1125" w:rsidRDefault="00AF4728" w:rsidP="00577413">
      <w:pPr>
        <w:autoSpaceDE w:val="0"/>
        <w:autoSpaceDN w:val="0"/>
        <w:adjustRightInd w:val="0"/>
        <w:rPr>
          <w:bCs/>
          <w:iCs/>
          <w:szCs w:val="22"/>
          <w:lang w:val="sr-Latn-RS" w:eastAsia="en-GB"/>
        </w:rPr>
      </w:pPr>
    </w:p>
    <w:p w14:paraId="1FB63354" w14:textId="77777777" w:rsidR="000D01B4" w:rsidRPr="008F1125" w:rsidRDefault="00926926" w:rsidP="00B71A52">
      <w:pPr>
        <w:keepNext/>
        <w:keepLines/>
        <w:jc w:val="both"/>
        <w:rPr>
          <w:rFonts w:eastAsia="SimSun"/>
          <w:i/>
          <w:iCs/>
          <w:szCs w:val="22"/>
          <w:u w:val="single"/>
          <w:lang w:val="sr-Latn-RS" w:eastAsia="en-GB"/>
        </w:rPr>
      </w:pPr>
      <w:r w:rsidRPr="008F1125">
        <w:rPr>
          <w:i/>
          <w:u w:val="single"/>
          <w:lang w:val="sr-Latn-RS" w:bidi="sr-Latn-RS"/>
        </w:rPr>
        <w:lastRenderedPageBreak/>
        <w:t>Posebne populacije</w:t>
      </w:r>
    </w:p>
    <w:p w14:paraId="1FB63355" w14:textId="77777777" w:rsidR="000D01B4" w:rsidRPr="008F1125" w:rsidRDefault="000D01B4" w:rsidP="00B71A52">
      <w:pPr>
        <w:keepNext/>
        <w:keepLines/>
        <w:jc w:val="both"/>
        <w:rPr>
          <w:rFonts w:eastAsia="SimSun"/>
          <w:i/>
          <w:iCs/>
          <w:szCs w:val="22"/>
          <w:u w:val="single"/>
          <w:lang w:val="sr-Latn-RS" w:eastAsia="en-GB"/>
        </w:rPr>
      </w:pPr>
    </w:p>
    <w:p w14:paraId="1FB63356" w14:textId="77777777" w:rsidR="000D01B4" w:rsidRPr="008F1125" w:rsidRDefault="00926926" w:rsidP="00B71A52">
      <w:pPr>
        <w:keepNext/>
        <w:keepLines/>
        <w:jc w:val="both"/>
        <w:rPr>
          <w:rFonts w:eastAsia="SimSun"/>
          <w:i/>
          <w:iCs/>
          <w:szCs w:val="22"/>
          <w:lang w:val="sr-Latn-RS" w:eastAsia="en-GB"/>
        </w:rPr>
      </w:pPr>
      <w:r w:rsidRPr="008F1125">
        <w:rPr>
          <w:i/>
          <w:lang w:val="sr-Latn-RS" w:bidi="sr-Latn-RS"/>
        </w:rPr>
        <w:t>Starije osobe</w:t>
      </w:r>
    </w:p>
    <w:p w14:paraId="1FB63357" w14:textId="7C3FDE94" w:rsidR="000D01B4" w:rsidRPr="008F1125" w:rsidRDefault="00926926" w:rsidP="00B71A52">
      <w:pPr>
        <w:keepNext/>
        <w:keepLines/>
        <w:jc w:val="both"/>
        <w:rPr>
          <w:szCs w:val="22"/>
          <w:lang w:val="sr-Latn-RS"/>
        </w:rPr>
      </w:pPr>
      <w:r w:rsidRPr="008F1125">
        <w:rPr>
          <w:lang w:val="sr-Latn-RS" w:bidi="sr-Latn-RS"/>
        </w:rPr>
        <w:t>Kod starijih pacijenata (≥ 65 godina) nije potrebno prilagođavanje doze (</w:t>
      </w:r>
      <w:r w:rsidR="00DD502A" w:rsidRPr="008F1125">
        <w:rPr>
          <w:lang w:val="sr-Latn-RS" w:bidi="sr-Latn-RS"/>
        </w:rPr>
        <w:t>vidjeti</w:t>
      </w:r>
      <w:r w:rsidRPr="008F1125">
        <w:rPr>
          <w:lang w:val="sr-Latn-RS" w:bidi="sr-Latn-RS"/>
        </w:rPr>
        <w:t xml:space="preserve"> </w:t>
      </w:r>
      <w:r w:rsidR="00DD502A" w:rsidRPr="008F1125">
        <w:rPr>
          <w:lang w:val="sr-Latn-RS" w:bidi="sr-Latn-RS"/>
        </w:rPr>
        <w:t>djelove</w:t>
      </w:r>
      <w:r w:rsidRPr="008F1125">
        <w:rPr>
          <w:lang w:val="sr-Latn-RS" w:bidi="sr-Latn-RS"/>
        </w:rPr>
        <w:t xml:space="preserve"> 5.1. i 5.2).</w:t>
      </w:r>
    </w:p>
    <w:p w14:paraId="1FB63358" w14:textId="77777777" w:rsidR="000D01B4" w:rsidRPr="008F1125" w:rsidRDefault="000D01B4" w:rsidP="00B71A52">
      <w:pPr>
        <w:jc w:val="both"/>
        <w:rPr>
          <w:rFonts w:eastAsia="SimSun"/>
          <w:iCs/>
          <w:szCs w:val="22"/>
          <w:lang w:val="sr-Latn-RS" w:eastAsia="en-GB"/>
        </w:rPr>
      </w:pPr>
    </w:p>
    <w:p w14:paraId="1FB63359" w14:textId="77777777" w:rsidR="000D01B4" w:rsidRPr="008F1125" w:rsidRDefault="00926926" w:rsidP="00B71A52">
      <w:pPr>
        <w:keepNext/>
        <w:keepLines/>
        <w:jc w:val="both"/>
        <w:rPr>
          <w:rFonts w:eastAsia="SimSun"/>
          <w:iCs/>
          <w:szCs w:val="22"/>
          <w:lang w:val="sr-Latn-RS" w:eastAsia="en-GB"/>
        </w:rPr>
      </w:pPr>
      <w:r w:rsidRPr="008F1125">
        <w:rPr>
          <w:i/>
          <w:lang w:val="sr-Latn-RS" w:bidi="sr-Latn-RS"/>
        </w:rPr>
        <w:t>Pedijatrijska populacija</w:t>
      </w:r>
    </w:p>
    <w:p w14:paraId="1FB6335A" w14:textId="08112852" w:rsidR="000D01B4" w:rsidRPr="008F1125" w:rsidRDefault="00926926" w:rsidP="00B71A52">
      <w:pPr>
        <w:keepNext/>
        <w:keepLines/>
        <w:tabs>
          <w:tab w:val="clear" w:pos="567"/>
        </w:tabs>
        <w:autoSpaceDE w:val="0"/>
        <w:autoSpaceDN w:val="0"/>
        <w:adjustRightInd w:val="0"/>
        <w:jc w:val="both"/>
        <w:rPr>
          <w:rFonts w:eastAsia="SimSun"/>
          <w:iCs/>
          <w:szCs w:val="22"/>
          <w:lang w:val="sr-Latn-RS" w:eastAsia="en-GB"/>
        </w:rPr>
      </w:pPr>
      <w:r w:rsidRPr="008F1125">
        <w:rPr>
          <w:lang w:val="sr-Latn-RS" w:bidi="sr-Latn-RS"/>
        </w:rPr>
        <w:t xml:space="preserve">Nije ustanovljena </w:t>
      </w:r>
      <w:r w:rsidR="00DD502A" w:rsidRPr="008F1125">
        <w:rPr>
          <w:lang w:val="sr-Latn-RS" w:bidi="sr-Latn-RS"/>
        </w:rPr>
        <w:t>bezbjednost</w:t>
      </w:r>
      <w:r w:rsidRPr="008F1125">
        <w:rPr>
          <w:lang w:val="sr-Latn-RS" w:bidi="sr-Latn-RS"/>
        </w:rPr>
        <w:t xml:space="preserve"> i efikasnost </w:t>
      </w:r>
      <w:r w:rsidR="00DD502A" w:rsidRPr="008F1125">
        <w:rPr>
          <w:lang w:val="sr-Latn-RS" w:bidi="sr-Latn-RS"/>
        </w:rPr>
        <w:t xml:space="preserve">lijeka Bavencio </w:t>
      </w:r>
      <w:r w:rsidRPr="008F1125">
        <w:rPr>
          <w:lang w:val="sr-Latn-RS" w:bidi="sr-Latn-RS"/>
        </w:rPr>
        <w:t>kod d</w:t>
      </w:r>
      <w:r w:rsidR="00B71A52" w:rsidRPr="008F1125">
        <w:rPr>
          <w:lang w:val="sr-Latn-RS" w:bidi="sr-Latn-RS"/>
        </w:rPr>
        <w:t>j</w:t>
      </w:r>
      <w:r w:rsidRPr="008F1125">
        <w:rPr>
          <w:lang w:val="sr-Latn-RS" w:bidi="sr-Latn-RS"/>
        </w:rPr>
        <w:t xml:space="preserve">ece i adolescenata </w:t>
      </w:r>
      <w:r w:rsidR="00E74CD9" w:rsidRPr="008F1125">
        <w:rPr>
          <w:lang w:val="sr-Latn-RS" w:bidi="sr-Latn-RS"/>
        </w:rPr>
        <w:t>ml</w:t>
      </w:r>
      <w:r w:rsidRPr="008F1125">
        <w:rPr>
          <w:lang w:val="sr-Latn-RS" w:bidi="sr-Latn-RS"/>
        </w:rPr>
        <w:t>ađih od 18 godina.</w:t>
      </w:r>
      <w:r w:rsidR="00085473" w:rsidRPr="00085473">
        <w:rPr>
          <w:lang w:val="pl-PL"/>
        </w:rPr>
        <w:t xml:space="preserve"> </w:t>
      </w:r>
      <w:r w:rsidR="00085473" w:rsidRPr="00085473">
        <w:rPr>
          <w:lang w:val="sr-Latn-RS" w:bidi="sr-Latn-RS"/>
        </w:rPr>
        <w:t>Trenutno dostupni podaci o l</w:t>
      </w:r>
      <w:r w:rsidR="00085473">
        <w:rPr>
          <w:lang w:val="sr-Latn-RS" w:bidi="sr-Latn-RS"/>
        </w:rPr>
        <w:t>ij</w:t>
      </w:r>
      <w:r w:rsidR="00085473" w:rsidRPr="00085473">
        <w:rPr>
          <w:lang w:val="sr-Latn-RS" w:bidi="sr-Latn-RS"/>
        </w:rPr>
        <w:t xml:space="preserve">eku Bavencio opisani su u </w:t>
      </w:r>
      <w:r w:rsidR="00CC655B">
        <w:rPr>
          <w:lang w:val="sr-Latn-RS" w:bidi="sr-Latn-RS"/>
        </w:rPr>
        <w:t>dijelu</w:t>
      </w:r>
      <w:r w:rsidR="00CC655B" w:rsidRPr="00085473">
        <w:rPr>
          <w:lang w:val="sr-Latn-RS" w:bidi="sr-Latn-RS"/>
        </w:rPr>
        <w:t xml:space="preserve"> </w:t>
      </w:r>
      <w:r w:rsidR="00085473" w:rsidRPr="00085473">
        <w:rPr>
          <w:lang w:val="sr-Latn-RS" w:bidi="sr-Latn-RS"/>
        </w:rPr>
        <w:t>5.1</w:t>
      </w:r>
      <w:r w:rsidR="00085473">
        <w:rPr>
          <w:lang w:val="sr-Latn-RS" w:bidi="sr-Latn-RS"/>
        </w:rPr>
        <w:t>,</w:t>
      </w:r>
      <w:r w:rsidR="00085473" w:rsidRPr="00085473">
        <w:rPr>
          <w:lang w:val="sr-Latn-RS" w:bidi="sr-Latn-RS"/>
        </w:rPr>
        <w:t xml:space="preserve"> ali se ne može dati preporuka o dozi</w:t>
      </w:r>
      <w:r w:rsidR="00CC655B">
        <w:rPr>
          <w:lang w:val="sr-Latn-RS" w:bidi="sr-Latn-RS"/>
        </w:rPr>
        <w:t>ranju.</w:t>
      </w:r>
    </w:p>
    <w:p w14:paraId="1FB6335B" w14:textId="77777777" w:rsidR="000D01B4" w:rsidRPr="008F1125" w:rsidRDefault="000D01B4" w:rsidP="00B71A52">
      <w:pPr>
        <w:jc w:val="both"/>
        <w:rPr>
          <w:rFonts w:eastAsia="SimSun"/>
          <w:iCs/>
          <w:szCs w:val="22"/>
          <w:lang w:val="sr-Latn-RS" w:eastAsia="en-GB"/>
        </w:rPr>
      </w:pPr>
    </w:p>
    <w:p w14:paraId="1FB6335C" w14:textId="77777777" w:rsidR="000D01B4" w:rsidRPr="008F1125" w:rsidRDefault="00926926" w:rsidP="00B71A52">
      <w:pPr>
        <w:keepNext/>
        <w:keepLines/>
        <w:jc w:val="both"/>
        <w:rPr>
          <w:rFonts w:eastAsia="SimSun"/>
          <w:i/>
          <w:iCs/>
          <w:szCs w:val="22"/>
          <w:lang w:val="sr-Latn-RS" w:eastAsia="en-GB"/>
        </w:rPr>
      </w:pPr>
      <w:r w:rsidRPr="008F1125">
        <w:rPr>
          <w:i/>
          <w:lang w:val="sr-Latn-RS" w:bidi="sr-Latn-RS"/>
        </w:rPr>
        <w:t>Oštećenje funkcije bubrega</w:t>
      </w:r>
    </w:p>
    <w:p w14:paraId="1FB6335D" w14:textId="376930F9" w:rsidR="000D01B4" w:rsidRPr="008F1125" w:rsidRDefault="00926926" w:rsidP="00B71A52">
      <w:pPr>
        <w:keepNext/>
        <w:keepLines/>
        <w:tabs>
          <w:tab w:val="clear" w:pos="567"/>
        </w:tabs>
        <w:autoSpaceDE w:val="0"/>
        <w:autoSpaceDN w:val="0"/>
        <w:adjustRightInd w:val="0"/>
        <w:jc w:val="both"/>
        <w:rPr>
          <w:rFonts w:eastAsia="SimSun"/>
          <w:iCs/>
          <w:szCs w:val="22"/>
          <w:lang w:val="sr-Latn-RS" w:eastAsia="en-GB"/>
        </w:rPr>
      </w:pPr>
      <w:r w:rsidRPr="008F1125">
        <w:rPr>
          <w:lang w:val="sr-Latn-RS" w:bidi="sr-Latn-RS"/>
        </w:rPr>
        <w:t xml:space="preserve">Kod pacijenata sa blagim ili </w:t>
      </w:r>
      <w:r w:rsidR="00DD502A" w:rsidRPr="008F1125">
        <w:rPr>
          <w:lang w:val="sr-Latn-RS" w:bidi="sr-Latn-RS"/>
        </w:rPr>
        <w:t>umjerenim</w:t>
      </w:r>
      <w:r w:rsidRPr="008F1125">
        <w:rPr>
          <w:lang w:val="sr-Latn-RS" w:bidi="sr-Latn-RS"/>
        </w:rPr>
        <w:t xml:space="preserve"> oštećenjem funkcije bubrega nije potrebno prilagođavanje doze (</w:t>
      </w:r>
      <w:r w:rsidR="00DD502A" w:rsidRPr="008F1125">
        <w:rPr>
          <w:lang w:val="sr-Latn-RS" w:bidi="sr-Latn-RS"/>
        </w:rPr>
        <w:t>vidjeti dio</w:t>
      </w:r>
      <w:r w:rsidRPr="008F1125">
        <w:rPr>
          <w:lang w:val="sr-Latn-RS" w:bidi="sr-Latn-RS"/>
        </w:rPr>
        <w:t xml:space="preserve"> 5.2). Nema dovoljno podataka o pacijentima sa teškim oštećenjem funkcije bubrega da bi se dale preporuke za doziranje.</w:t>
      </w:r>
    </w:p>
    <w:p w14:paraId="1FB6335E" w14:textId="77777777" w:rsidR="000D01B4" w:rsidRPr="008F1125" w:rsidRDefault="000D01B4" w:rsidP="00B71A52">
      <w:pPr>
        <w:jc w:val="both"/>
        <w:rPr>
          <w:rFonts w:eastAsia="SimSun"/>
          <w:iCs/>
          <w:szCs w:val="22"/>
          <w:lang w:val="sr-Latn-RS" w:eastAsia="en-GB"/>
        </w:rPr>
      </w:pPr>
    </w:p>
    <w:p w14:paraId="1FB6335F" w14:textId="77777777" w:rsidR="000D01B4" w:rsidRPr="008F1125" w:rsidRDefault="00926926" w:rsidP="00B71A52">
      <w:pPr>
        <w:keepNext/>
        <w:keepLines/>
        <w:jc w:val="both"/>
        <w:rPr>
          <w:rFonts w:eastAsia="SimSun"/>
          <w:i/>
          <w:iCs/>
          <w:szCs w:val="22"/>
          <w:lang w:val="sr-Latn-RS" w:eastAsia="en-GB"/>
        </w:rPr>
      </w:pPr>
      <w:r w:rsidRPr="008F1125">
        <w:rPr>
          <w:i/>
          <w:lang w:val="sr-Latn-RS" w:bidi="sr-Latn-RS"/>
        </w:rPr>
        <w:t>Oštećenje funkcije jetre</w:t>
      </w:r>
    </w:p>
    <w:p w14:paraId="1FB63360" w14:textId="40B438DB" w:rsidR="000D01B4" w:rsidRPr="008F1125" w:rsidRDefault="00926926" w:rsidP="00B71A52">
      <w:pPr>
        <w:keepNext/>
        <w:keepLines/>
        <w:tabs>
          <w:tab w:val="clear" w:pos="567"/>
        </w:tabs>
        <w:autoSpaceDE w:val="0"/>
        <w:autoSpaceDN w:val="0"/>
        <w:adjustRightInd w:val="0"/>
        <w:jc w:val="both"/>
        <w:rPr>
          <w:rFonts w:eastAsia="SimSun"/>
          <w:iCs/>
          <w:szCs w:val="22"/>
          <w:lang w:val="sr-Latn-RS" w:eastAsia="en-GB"/>
        </w:rPr>
      </w:pPr>
      <w:r w:rsidRPr="008F1125">
        <w:rPr>
          <w:lang w:val="sr-Latn-RS" w:bidi="sr-Latn-RS"/>
        </w:rPr>
        <w:t>Kod pacijenata sa blagim oštećenjem funkcije jetre nije potrebno prilagođavanje doze (</w:t>
      </w:r>
      <w:r w:rsidR="00DD502A" w:rsidRPr="008F1125">
        <w:rPr>
          <w:lang w:val="sr-Latn-RS" w:bidi="sr-Latn-RS"/>
        </w:rPr>
        <w:t>vidjeti dio</w:t>
      </w:r>
      <w:r w:rsidRPr="008F1125">
        <w:rPr>
          <w:lang w:val="sr-Latn-RS" w:bidi="sr-Latn-RS"/>
        </w:rPr>
        <w:t xml:space="preserve"> 5.2). Nema dovoljno podataka o pacijentima sa </w:t>
      </w:r>
      <w:r w:rsidR="00DD502A" w:rsidRPr="008F1125">
        <w:rPr>
          <w:lang w:val="sr-Latn-RS" w:bidi="sr-Latn-RS"/>
        </w:rPr>
        <w:t>umjerenim</w:t>
      </w:r>
      <w:r w:rsidRPr="008F1125">
        <w:rPr>
          <w:lang w:val="sr-Latn-RS" w:bidi="sr-Latn-RS"/>
        </w:rPr>
        <w:t xml:space="preserve"> ili teškim oštećenjem funkcije jetre da bi se dale preporuke za doziranje.</w:t>
      </w:r>
    </w:p>
    <w:p w14:paraId="1FB63361" w14:textId="77777777" w:rsidR="000D01B4" w:rsidRPr="008F1125" w:rsidRDefault="000D01B4" w:rsidP="00B71A52">
      <w:pPr>
        <w:jc w:val="both"/>
        <w:rPr>
          <w:rFonts w:eastAsia="SimSun"/>
          <w:iCs/>
          <w:szCs w:val="22"/>
          <w:lang w:val="sr-Latn-RS" w:eastAsia="en-GB"/>
        </w:rPr>
      </w:pPr>
    </w:p>
    <w:p w14:paraId="1FB63362" w14:textId="3F7F6CB2" w:rsidR="000D01B4" w:rsidRPr="008F1125" w:rsidRDefault="00926926" w:rsidP="00B71A52">
      <w:pPr>
        <w:keepNext/>
        <w:keepLines/>
        <w:jc w:val="both"/>
        <w:rPr>
          <w:szCs w:val="22"/>
          <w:u w:val="single"/>
          <w:lang w:val="sr-Latn-RS"/>
        </w:rPr>
      </w:pPr>
      <w:r w:rsidRPr="008F1125">
        <w:rPr>
          <w:u w:val="single"/>
          <w:lang w:val="sr-Latn-RS" w:bidi="sr-Latn-RS"/>
        </w:rPr>
        <w:t>Način prim</w:t>
      </w:r>
      <w:r w:rsidR="00DD502A" w:rsidRPr="008F1125">
        <w:rPr>
          <w:u w:val="single"/>
          <w:lang w:val="sr-Latn-RS" w:bidi="sr-Latn-RS"/>
        </w:rPr>
        <w:t>j</w:t>
      </w:r>
      <w:r w:rsidRPr="008F1125">
        <w:rPr>
          <w:u w:val="single"/>
          <w:lang w:val="sr-Latn-RS" w:bidi="sr-Latn-RS"/>
        </w:rPr>
        <w:t>ene</w:t>
      </w:r>
    </w:p>
    <w:p w14:paraId="1FB63363" w14:textId="5C7B2BA4" w:rsidR="000D01B4" w:rsidRPr="008F1125" w:rsidRDefault="00DD502A" w:rsidP="00B71A52">
      <w:pPr>
        <w:keepNext/>
        <w:keepLines/>
        <w:jc w:val="both"/>
        <w:rPr>
          <w:szCs w:val="22"/>
          <w:lang w:val="sr-Latn-RS"/>
        </w:rPr>
      </w:pPr>
      <w:r w:rsidRPr="008F1125">
        <w:rPr>
          <w:lang w:val="sr-Latn-RS" w:bidi="sr-Latn-RS"/>
        </w:rPr>
        <w:t xml:space="preserve">Lijek Bavencio </w:t>
      </w:r>
      <w:r w:rsidR="00926926" w:rsidRPr="008F1125">
        <w:rPr>
          <w:lang w:val="sr-Latn-RS" w:bidi="sr-Latn-RS"/>
        </w:rPr>
        <w:t>se koristi samo za intravensku infuziju. Ne sm</w:t>
      </w:r>
      <w:r w:rsidRPr="008F1125">
        <w:rPr>
          <w:lang w:val="sr-Latn-RS" w:bidi="sr-Latn-RS"/>
        </w:rPr>
        <w:t>ij</w:t>
      </w:r>
      <w:r w:rsidR="00926926" w:rsidRPr="008F1125">
        <w:rPr>
          <w:lang w:val="sr-Latn-RS" w:bidi="sr-Latn-RS"/>
        </w:rPr>
        <w:t>e se prim</w:t>
      </w:r>
      <w:r w:rsidRPr="008F1125">
        <w:rPr>
          <w:lang w:val="sr-Latn-RS" w:bidi="sr-Latn-RS"/>
        </w:rPr>
        <w:t>ij</w:t>
      </w:r>
      <w:r w:rsidR="00926926" w:rsidRPr="008F1125">
        <w:rPr>
          <w:lang w:val="sr-Latn-RS" w:bidi="sr-Latn-RS"/>
        </w:rPr>
        <w:t>eniti kao brza intravenska ili bolus injekcija.</w:t>
      </w:r>
    </w:p>
    <w:p w14:paraId="1FB63364" w14:textId="77777777" w:rsidR="000D01B4" w:rsidRPr="008F1125" w:rsidRDefault="000D01B4" w:rsidP="00B71A52">
      <w:pPr>
        <w:jc w:val="both"/>
        <w:rPr>
          <w:szCs w:val="22"/>
          <w:lang w:val="sr-Latn-RS"/>
        </w:rPr>
      </w:pPr>
    </w:p>
    <w:p w14:paraId="1FB63365" w14:textId="01BD2E63" w:rsidR="000D01B4" w:rsidRPr="008F1125" w:rsidRDefault="00DD502A" w:rsidP="00B71A52">
      <w:pPr>
        <w:jc w:val="both"/>
        <w:rPr>
          <w:szCs w:val="22"/>
          <w:lang w:val="sr-Latn-RS"/>
        </w:rPr>
      </w:pPr>
      <w:r w:rsidRPr="008F1125">
        <w:rPr>
          <w:lang w:val="sr-Latn-RS" w:bidi="sr-Latn-RS"/>
        </w:rPr>
        <w:t xml:space="preserve">Lijek Bavencio </w:t>
      </w:r>
      <w:r w:rsidR="00926926" w:rsidRPr="008F1125">
        <w:rPr>
          <w:lang w:val="sr-Latn-RS" w:bidi="sr-Latn-RS"/>
        </w:rPr>
        <w:t xml:space="preserve">mora da se rastvori natrijum </w:t>
      </w:r>
      <w:r w:rsidR="00851ABB" w:rsidRPr="008F1125">
        <w:rPr>
          <w:lang w:val="sr-Latn-RS" w:bidi="sr-Latn-RS"/>
        </w:rPr>
        <w:t>hlorid</w:t>
      </w:r>
      <w:r w:rsidR="00851ABB">
        <w:rPr>
          <w:lang w:val="sr-Latn-RS" w:bidi="sr-Latn-RS"/>
        </w:rPr>
        <w:t>om</w:t>
      </w:r>
      <w:r w:rsidR="00851ABB" w:rsidRPr="008F1125">
        <w:rPr>
          <w:lang w:val="sr-Latn-RS" w:bidi="sr-Latn-RS"/>
        </w:rPr>
        <w:t xml:space="preserve"> </w:t>
      </w:r>
      <w:r w:rsidR="00926926" w:rsidRPr="008F1125">
        <w:rPr>
          <w:lang w:val="sr-Latn-RS" w:bidi="sr-Latn-RS"/>
        </w:rPr>
        <w:t>od 9 mg/</w:t>
      </w:r>
      <w:r w:rsidR="00E74CD9" w:rsidRPr="008F1125">
        <w:rPr>
          <w:lang w:val="sr-Latn-RS" w:bidi="sr-Latn-RS"/>
        </w:rPr>
        <w:t>ml</w:t>
      </w:r>
      <w:r w:rsidR="00926926" w:rsidRPr="008F1125">
        <w:rPr>
          <w:lang w:val="sr-Latn-RS" w:bidi="sr-Latn-RS"/>
        </w:rPr>
        <w:t xml:space="preserve"> (0,9%) ili natrijum </w:t>
      </w:r>
      <w:r w:rsidR="00851ABB" w:rsidRPr="008F1125">
        <w:rPr>
          <w:lang w:val="sr-Latn-RS" w:bidi="sr-Latn-RS"/>
        </w:rPr>
        <w:t>hlorid</w:t>
      </w:r>
      <w:r w:rsidR="00851ABB">
        <w:rPr>
          <w:lang w:val="sr-Latn-RS" w:bidi="sr-Latn-RS"/>
        </w:rPr>
        <w:t>om</w:t>
      </w:r>
      <w:r w:rsidR="00851ABB" w:rsidRPr="008F1125">
        <w:rPr>
          <w:lang w:val="sr-Latn-RS" w:bidi="sr-Latn-RS"/>
        </w:rPr>
        <w:t xml:space="preserve"> </w:t>
      </w:r>
      <w:r w:rsidR="00926926" w:rsidRPr="008F1125">
        <w:rPr>
          <w:lang w:val="sr-Latn-RS" w:bidi="sr-Latn-RS"/>
        </w:rPr>
        <w:t>od 4,5 mg/</w:t>
      </w:r>
      <w:r w:rsidR="00E74CD9" w:rsidRPr="008F1125">
        <w:rPr>
          <w:lang w:val="sr-Latn-RS" w:bidi="sr-Latn-RS"/>
        </w:rPr>
        <w:t>ml</w:t>
      </w:r>
      <w:r w:rsidR="00926926" w:rsidRPr="008F1125">
        <w:rPr>
          <w:lang w:val="sr-Latn-RS" w:bidi="sr-Latn-RS"/>
        </w:rPr>
        <w:t xml:space="preserve"> (0,45%). </w:t>
      </w:r>
      <w:r w:rsidRPr="008F1125">
        <w:rPr>
          <w:lang w:val="sr-Latn-RS" w:bidi="sr-Latn-RS"/>
        </w:rPr>
        <w:t>Primjenjuje</w:t>
      </w:r>
      <w:r w:rsidR="00926926" w:rsidRPr="008F1125">
        <w:rPr>
          <w:lang w:val="sr-Latn-RS" w:bidi="sr-Latn-RS"/>
        </w:rPr>
        <w:t xml:space="preserve"> se u trajanju od 60 minuta kao intravenska infuzija kroz sterilni, nepirogeni filter sa niskim stepenom vez</w:t>
      </w:r>
      <w:r w:rsidR="00B71A52" w:rsidRPr="008F1125">
        <w:rPr>
          <w:lang w:val="sr-Latn-RS" w:bidi="sr-Latn-RS"/>
        </w:rPr>
        <w:t>iv</w:t>
      </w:r>
      <w:r w:rsidR="00926926" w:rsidRPr="008F1125">
        <w:rPr>
          <w:lang w:val="sr-Latn-RS" w:bidi="sr-Latn-RS"/>
        </w:rPr>
        <w:t>anja proteina, veličine pora 0,2 mikrometra, koji je ugrađen ili pričvršćen na liniju.</w:t>
      </w:r>
    </w:p>
    <w:p w14:paraId="1FB63366" w14:textId="77777777" w:rsidR="000D01B4" w:rsidRPr="008F1125" w:rsidRDefault="000D01B4" w:rsidP="00B71A52">
      <w:pPr>
        <w:jc w:val="both"/>
        <w:rPr>
          <w:szCs w:val="22"/>
          <w:lang w:val="sr-Latn-RS"/>
        </w:rPr>
      </w:pPr>
    </w:p>
    <w:p w14:paraId="1FB63367" w14:textId="1B3C4551" w:rsidR="000D01B4" w:rsidRPr="008F1125" w:rsidRDefault="00926926" w:rsidP="00B71A52">
      <w:pPr>
        <w:autoSpaceDE w:val="0"/>
        <w:autoSpaceDN w:val="0"/>
        <w:adjustRightInd w:val="0"/>
        <w:jc w:val="both"/>
        <w:rPr>
          <w:szCs w:val="22"/>
          <w:lang w:val="sr-Latn-RS"/>
        </w:rPr>
      </w:pPr>
      <w:r w:rsidRPr="008F1125">
        <w:rPr>
          <w:lang w:val="sr-Latn-RS" w:bidi="sr-Latn-RS"/>
        </w:rPr>
        <w:t>Za uputstva o pripremi i prim</w:t>
      </w:r>
      <w:r w:rsidR="00DD502A" w:rsidRPr="008F1125">
        <w:rPr>
          <w:lang w:val="sr-Latn-RS" w:bidi="sr-Latn-RS"/>
        </w:rPr>
        <w:t>j</w:t>
      </w:r>
      <w:r w:rsidRPr="008F1125">
        <w:rPr>
          <w:lang w:val="sr-Latn-RS" w:bidi="sr-Latn-RS"/>
        </w:rPr>
        <w:t>eni l</w:t>
      </w:r>
      <w:r w:rsidR="00DD502A" w:rsidRPr="008F1125">
        <w:rPr>
          <w:lang w:val="sr-Latn-RS" w:bidi="sr-Latn-RS"/>
        </w:rPr>
        <w:t>ij</w:t>
      </w:r>
      <w:r w:rsidRPr="008F1125">
        <w:rPr>
          <w:lang w:val="sr-Latn-RS" w:bidi="sr-Latn-RS"/>
        </w:rPr>
        <w:t xml:space="preserve">eka, </w:t>
      </w:r>
      <w:r w:rsidR="00DD502A" w:rsidRPr="008F1125">
        <w:rPr>
          <w:lang w:val="sr-Latn-RS" w:bidi="sr-Latn-RS"/>
        </w:rPr>
        <w:t>vidjeti dio</w:t>
      </w:r>
      <w:r w:rsidRPr="008F1125">
        <w:rPr>
          <w:lang w:val="sr-Latn-RS" w:bidi="sr-Latn-RS"/>
        </w:rPr>
        <w:t xml:space="preserve"> 6.6.</w:t>
      </w:r>
    </w:p>
    <w:p w14:paraId="1FB63368" w14:textId="77777777" w:rsidR="000D01B4" w:rsidRPr="008F1125" w:rsidRDefault="000D01B4" w:rsidP="00577413">
      <w:pPr>
        <w:rPr>
          <w:szCs w:val="22"/>
          <w:lang w:val="sr-Latn-RS"/>
        </w:rPr>
      </w:pPr>
    </w:p>
    <w:p w14:paraId="1FB63369" w14:textId="77777777" w:rsidR="000D01B4" w:rsidRPr="008F1125" w:rsidRDefault="00926926" w:rsidP="00B71A52">
      <w:pPr>
        <w:keepNext/>
        <w:keepLines/>
        <w:jc w:val="both"/>
        <w:rPr>
          <w:szCs w:val="22"/>
          <w:lang w:val="sr-Latn-RS"/>
        </w:rPr>
      </w:pPr>
      <w:r w:rsidRPr="008F1125">
        <w:rPr>
          <w:b/>
          <w:lang w:val="sr-Latn-RS" w:bidi="sr-Latn-RS"/>
        </w:rPr>
        <w:t>4.3.</w:t>
      </w:r>
      <w:r w:rsidRPr="008F1125">
        <w:rPr>
          <w:b/>
          <w:lang w:val="sr-Latn-RS" w:bidi="sr-Latn-RS"/>
        </w:rPr>
        <w:tab/>
        <w:t>Kontraindikacije</w:t>
      </w:r>
    </w:p>
    <w:p w14:paraId="1FB6336A" w14:textId="77777777" w:rsidR="000D01B4" w:rsidRPr="008F1125" w:rsidRDefault="000D01B4" w:rsidP="00B71A52">
      <w:pPr>
        <w:keepNext/>
        <w:keepLines/>
        <w:jc w:val="both"/>
        <w:rPr>
          <w:szCs w:val="22"/>
          <w:lang w:val="sr-Latn-RS"/>
        </w:rPr>
      </w:pPr>
    </w:p>
    <w:p w14:paraId="1FB6336B" w14:textId="3C629936" w:rsidR="000D01B4" w:rsidRPr="008F1125" w:rsidRDefault="00926926" w:rsidP="00B71A52">
      <w:pPr>
        <w:keepNext/>
        <w:keepLines/>
        <w:jc w:val="both"/>
        <w:rPr>
          <w:i/>
          <w:szCs w:val="22"/>
          <w:lang w:val="sr-Latn-RS"/>
        </w:rPr>
      </w:pPr>
      <w:r w:rsidRPr="008F1125">
        <w:rPr>
          <w:lang w:val="sr-Latn-RS" w:bidi="sr-Latn-RS"/>
        </w:rPr>
        <w:t>Preos</w:t>
      </w:r>
      <w:r w:rsidR="00DD502A" w:rsidRPr="008F1125">
        <w:rPr>
          <w:lang w:val="sr-Latn-RS" w:bidi="sr-Latn-RS"/>
        </w:rPr>
        <w:t>j</w:t>
      </w:r>
      <w:r w:rsidRPr="008F1125">
        <w:rPr>
          <w:lang w:val="sr-Latn-RS" w:bidi="sr-Latn-RS"/>
        </w:rPr>
        <w:t xml:space="preserve">etljivost na aktivnu supstancu ili na bilo koju od pomoćnih supstanci navedenih u </w:t>
      </w:r>
      <w:r w:rsidR="00DD502A" w:rsidRPr="008F1125">
        <w:rPr>
          <w:lang w:val="sr-Latn-RS" w:bidi="sr-Latn-RS"/>
        </w:rPr>
        <w:t>dijelu</w:t>
      </w:r>
      <w:r w:rsidRPr="008F1125">
        <w:rPr>
          <w:lang w:val="sr-Latn-RS" w:bidi="sr-Latn-RS"/>
        </w:rPr>
        <w:t xml:space="preserve"> 6.1.</w:t>
      </w:r>
    </w:p>
    <w:p w14:paraId="1FB6336C" w14:textId="77777777" w:rsidR="000D01B4" w:rsidRPr="008F1125" w:rsidRDefault="000D01B4" w:rsidP="00577413">
      <w:pPr>
        <w:rPr>
          <w:szCs w:val="22"/>
          <w:lang w:val="sr-Latn-RS"/>
        </w:rPr>
      </w:pPr>
    </w:p>
    <w:p w14:paraId="1FB6336D" w14:textId="01F5D3F6" w:rsidR="000D01B4" w:rsidRPr="008F1125" w:rsidRDefault="00926926" w:rsidP="00B71A52">
      <w:pPr>
        <w:keepNext/>
        <w:keepLines/>
        <w:jc w:val="both"/>
        <w:rPr>
          <w:b/>
          <w:szCs w:val="22"/>
          <w:lang w:val="sr-Latn-RS"/>
        </w:rPr>
      </w:pPr>
      <w:r w:rsidRPr="008F1125">
        <w:rPr>
          <w:b/>
          <w:lang w:val="sr-Latn-RS" w:bidi="sr-Latn-RS"/>
        </w:rPr>
        <w:t>4.4.</w:t>
      </w:r>
      <w:r w:rsidRPr="008F1125">
        <w:rPr>
          <w:b/>
          <w:lang w:val="sr-Latn-RS" w:bidi="sr-Latn-RS"/>
        </w:rPr>
        <w:tab/>
        <w:t>Posebna upozorenja i m</w:t>
      </w:r>
      <w:r w:rsidR="00DD502A" w:rsidRPr="008F1125">
        <w:rPr>
          <w:b/>
          <w:lang w:val="sr-Latn-RS" w:bidi="sr-Latn-RS"/>
        </w:rPr>
        <w:t>j</w:t>
      </w:r>
      <w:r w:rsidRPr="008F1125">
        <w:rPr>
          <w:b/>
          <w:lang w:val="sr-Latn-RS" w:bidi="sr-Latn-RS"/>
        </w:rPr>
        <w:t>ere opreza pri upotrebi l</w:t>
      </w:r>
      <w:r w:rsidR="00DD502A" w:rsidRPr="008F1125">
        <w:rPr>
          <w:b/>
          <w:lang w:val="sr-Latn-RS" w:bidi="sr-Latn-RS"/>
        </w:rPr>
        <w:t>ij</w:t>
      </w:r>
      <w:r w:rsidRPr="008F1125">
        <w:rPr>
          <w:b/>
          <w:lang w:val="sr-Latn-RS" w:bidi="sr-Latn-RS"/>
        </w:rPr>
        <w:t>eka</w:t>
      </w:r>
    </w:p>
    <w:p w14:paraId="1FB6336E" w14:textId="77777777" w:rsidR="000D01B4" w:rsidRPr="008F1125" w:rsidRDefault="000D01B4" w:rsidP="00B71A52">
      <w:pPr>
        <w:keepNext/>
        <w:keepLines/>
        <w:jc w:val="both"/>
        <w:rPr>
          <w:szCs w:val="22"/>
          <w:lang w:val="sr-Latn-RS"/>
        </w:rPr>
      </w:pPr>
    </w:p>
    <w:p w14:paraId="1FB6336F" w14:textId="471549C5" w:rsidR="00606D7E" w:rsidRPr="008F1125" w:rsidRDefault="00926926" w:rsidP="00B71A52">
      <w:pPr>
        <w:keepNext/>
        <w:tabs>
          <w:tab w:val="clear" w:pos="567"/>
        </w:tabs>
        <w:jc w:val="both"/>
        <w:rPr>
          <w:u w:val="single"/>
          <w:lang w:val="sr-Latn-RS"/>
        </w:rPr>
      </w:pPr>
      <w:r w:rsidRPr="008F1125">
        <w:rPr>
          <w:u w:val="single"/>
          <w:lang w:val="sr-Latn-RS" w:bidi="sr-Latn-RS"/>
        </w:rPr>
        <w:t>Sl</w:t>
      </w:r>
      <w:r w:rsidR="00B71A52" w:rsidRPr="008F1125">
        <w:rPr>
          <w:u w:val="single"/>
          <w:lang w:val="sr-Latn-RS" w:bidi="sr-Latn-RS"/>
        </w:rPr>
        <w:t>j</w:t>
      </w:r>
      <w:r w:rsidRPr="008F1125">
        <w:rPr>
          <w:u w:val="single"/>
          <w:lang w:val="sr-Latn-RS" w:bidi="sr-Latn-RS"/>
        </w:rPr>
        <w:t>edljivost</w:t>
      </w:r>
    </w:p>
    <w:p w14:paraId="1FB63370" w14:textId="62A570FC" w:rsidR="00606D7E" w:rsidRPr="008F1125" w:rsidRDefault="00926926" w:rsidP="00B71A52">
      <w:pPr>
        <w:tabs>
          <w:tab w:val="clear" w:pos="567"/>
        </w:tabs>
        <w:jc w:val="both"/>
        <w:rPr>
          <w:lang w:val="sr-Latn-RS"/>
        </w:rPr>
      </w:pPr>
      <w:r w:rsidRPr="008F1125">
        <w:rPr>
          <w:lang w:val="sr-Latn-RS" w:bidi="sr-Latn-RS"/>
        </w:rPr>
        <w:t>Kako bi se poboljšala sl</w:t>
      </w:r>
      <w:r w:rsidR="00B71A52" w:rsidRPr="008F1125">
        <w:rPr>
          <w:lang w:val="sr-Latn-RS" w:bidi="sr-Latn-RS"/>
        </w:rPr>
        <w:t>j</w:t>
      </w:r>
      <w:r w:rsidRPr="008F1125">
        <w:rPr>
          <w:lang w:val="sr-Latn-RS" w:bidi="sr-Latn-RS"/>
        </w:rPr>
        <w:t>edivost bioloških l</w:t>
      </w:r>
      <w:r w:rsidR="00DD502A" w:rsidRPr="008F1125">
        <w:rPr>
          <w:lang w:val="sr-Latn-RS" w:bidi="sr-Latn-RS"/>
        </w:rPr>
        <w:t>j</w:t>
      </w:r>
      <w:r w:rsidRPr="008F1125">
        <w:rPr>
          <w:lang w:val="sr-Latn-RS" w:bidi="sr-Latn-RS"/>
        </w:rPr>
        <w:t>ekova, naziv i broj serije prim</w:t>
      </w:r>
      <w:r w:rsidR="00DD502A" w:rsidRPr="008F1125">
        <w:rPr>
          <w:lang w:val="sr-Latn-RS" w:bidi="sr-Latn-RS"/>
        </w:rPr>
        <w:t>ij</w:t>
      </w:r>
      <w:r w:rsidRPr="008F1125">
        <w:rPr>
          <w:lang w:val="sr-Latn-RS" w:bidi="sr-Latn-RS"/>
        </w:rPr>
        <w:t>enjenog l</w:t>
      </w:r>
      <w:r w:rsidR="00DD502A" w:rsidRPr="008F1125">
        <w:rPr>
          <w:lang w:val="sr-Latn-RS" w:bidi="sr-Latn-RS"/>
        </w:rPr>
        <w:t>ij</w:t>
      </w:r>
      <w:r w:rsidRPr="008F1125">
        <w:rPr>
          <w:lang w:val="sr-Latn-RS" w:bidi="sr-Latn-RS"/>
        </w:rPr>
        <w:t>eka treba jasno evidentirati.</w:t>
      </w:r>
    </w:p>
    <w:p w14:paraId="1FB63371" w14:textId="77777777" w:rsidR="00606D7E" w:rsidRPr="008F1125" w:rsidRDefault="00606D7E" w:rsidP="00B71A52">
      <w:pPr>
        <w:jc w:val="both"/>
        <w:rPr>
          <w:iCs/>
          <w:szCs w:val="22"/>
          <w:lang w:val="sr-Latn-RS"/>
        </w:rPr>
      </w:pPr>
    </w:p>
    <w:p w14:paraId="1FB63372" w14:textId="77777777" w:rsidR="000D01B4" w:rsidRPr="008F1125" w:rsidRDefault="00926926" w:rsidP="00B71A52">
      <w:pPr>
        <w:keepNext/>
        <w:keepLines/>
        <w:jc w:val="both"/>
        <w:rPr>
          <w:szCs w:val="22"/>
          <w:u w:val="single"/>
          <w:lang w:val="sr-Latn-RS"/>
        </w:rPr>
      </w:pPr>
      <w:r w:rsidRPr="008F1125">
        <w:rPr>
          <w:u w:val="single"/>
          <w:lang w:val="sr-Latn-RS" w:bidi="sr-Latn-RS"/>
        </w:rPr>
        <w:t>Reakcije povezane sa infuzijom</w:t>
      </w:r>
    </w:p>
    <w:p w14:paraId="1FB63373" w14:textId="16314555" w:rsidR="000D01B4" w:rsidRPr="008F1125" w:rsidRDefault="00926926" w:rsidP="00B71A52">
      <w:pPr>
        <w:keepNext/>
        <w:keepLines/>
        <w:tabs>
          <w:tab w:val="clear" w:pos="567"/>
        </w:tabs>
        <w:autoSpaceDE w:val="0"/>
        <w:autoSpaceDN w:val="0"/>
        <w:adjustRightInd w:val="0"/>
        <w:jc w:val="both"/>
        <w:rPr>
          <w:rFonts w:eastAsia="TimesNewRoman"/>
          <w:szCs w:val="22"/>
          <w:lang w:val="sr-Latn-RS" w:eastAsia="en-GB"/>
        </w:rPr>
      </w:pPr>
      <w:r w:rsidRPr="008F1125">
        <w:rPr>
          <w:lang w:val="sr-Latn-RS" w:bidi="sr-Latn-RS"/>
        </w:rPr>
        <w:t xml:space="preserve">Kod pacijenata koji primaju avelumab </w:t>
      </w:r>
      <w:r w:rsidR="00DD502A" w:rsidRPr="008F1125">
        <w:rPr>
          <w:lang w:val="sr-Latn-RS" w:bidi="sr-Latn-RS"/>
        </w:rPr>
        <w:t>zabilježene</w:t>
      </w:r>
      <w:r w:rsidRPr="008F1125">
        <w:rPr>
          <w:lang w:val="sr-Latn-RS" w:bidi="sr-Latn-RS"/>
        </w:rPr>
        <w:t xml:space="preserve"> su reakcije povezane sa infuzijom koje mogu biti teške (</w:t>
      </w:r>
      <w:r w:rsidR="00DD502A" w:rsidRPr="008F1125">
        <w:rPr>
          <w:lang w:val="sr-Latn-RS" w:bidi="sr-Latn-RS"/>
        </w:rPr>
        <w:t>vidjeti dio</w:t>
      </w:r>
      <w:r w:rsidRPr="008F1125">
        <w:rPr>
          <w:lang w:val="sr-Latn-RS" w:bidi="sr-Latn-RS"/>
        </w:rPr>
        <w:t xml:space="preserve"> 4.8).</w:t>
      </w:r>
    </w:p>
    <w:p w14:paraId="1FB63374"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75" w14:textId="77777777" w:rsidR="000D01B4" w:rsidRPr="008F1125" w:rsidRDefault="00926926" w:rsidP="00B71A52">
      <w:pPr>
        <w:jc w:val="both"/>
        <w:rPr>
          <w:szCs w:val="22"/>
          <w:lang w:val="sr-Latn-RS" w:eastAsia="en-GB"/>
        </w:rPr>
      </w:pPr>
      <w:r w:rsidRPr="008F1125">
        <w:rPr>
          <w:lang w:val="sr-Latn-RS" w:bidi="sr-Latn-RS"/>
        </w:rPr>
        <w:t>Pacijente treba pratiti zbog mogućih znakova i simptoma reakcija povezanih sa infuzijom, uključujući pireksiju, drhtavicu, crvenilo, hipotenziju, dispneju, zviždanje u grudima, bol u leđima, bol u abdomenu i urtikariju.</w:t>
      </w:r>
    </w:p>
    <w:p w14:paraId="1FB63376" w14:textId="77777777" w:rsidR="000D01B4" w:rsidRPr="008F1125" w:rsidRDefault="000D01B4" w:rsidP="00B71A52">
      <w:pPr>
        <w:jc w:val="both"/>
        <w:rPr>
          <w:szCs w:val="22"/>
          <w:lang w:val="sr-Latn-RS" w:eastAsia="en-GB"/>
        </w:rPr>
      </w:pPr>
    </w:p>
    <w:p w14:paraId="1FB63377" w14:textId="0AD729BE" w:rsidR="000D01B4" w:rsidRPr="008F1125" w:rsidRDefault="00926926" w:rsidP="00B71A52">
      <w:pPr>
        <w:tabs>
          <w:tab w:val="clear" w:pos="567"/>
        </w:tabs>
        <w:autoSpaceDE w:val="0"/>
        <w:autoSpaceDN w:val="0"/>
        <w:adjustRightInd w:val="0"/>
        <w:jc w:val="both"/>
        <w:rPr>
          <w:szCs w:val="22"/>
          <w:lang w:val="sr-Latn-RS" w:eastAsia="en-GB"/>
        </w:rPr>
      </w:pPr>
      <w:r w:rsidRPr="008F1125">
        <w:rPr>
          <w:lang w:val="sr-Latn-RS" w:bidi="sr-Latn-RS"/>
        </w:rPr>
        <w:t xml:space="preserve">U slučaju reakcija 3. ili 4. stepena povezanih sa infuzijom, potrebno je zaustaviti infuziju i trajno prekinuti </w:t>
      </w:r>
      <w:r w:rsidR="00DD502A" w:rsidRPr="008F1125">
        <w:rPr>
          <w:lang w:val="sr-Latn-RS" w:bidi="sr-Latn-RS"/>
        </w:rPr>
        <w:t>primjenu</w:t>
      </w:r>
      <w:r w:rsidRPr="008F1125">
        <w:rPr>
          <w:lang w:val="sr-Latn-RS" w:bidi="sr-Latn-RS"/>
        </w:rPr>
        <w:t xml:space="preserve"> avelumaba (</w:t>
      </w:r>
      <w:r w:rsidR="00DD502A" w:rsidRPr="008F1125">
        <w:rPr>
          <w:lang w:val="sr-Latn-RS" w:bidi="sr-Latn-RS"/>
        </w:rPr>
        <w:t>vidjeti dio</w:t>
      </w:r>
      <w:r w:rsidRPr="008F1125">
        <w:rPr>
          <w:lang w:val="sr-Latn-RS" w:bidi="sr-Latn-RS"/>
        </w:rPr>
        <w:t xml:space="preserve"> 4.2).</w:t>
      </w:r>
    </w:p>
    <w:p w14:paraId="1FB63378" w14:textId="77777777" w:rsidR="000D01B4" w:rsidRPr="008F1125" w:rsidRDefault="000D01B4" w:rsidP="00B71A52">
      <w:pPr>
        <w:tabs>
          <w:tab w:val="clear" w:pos="567"/>
        </w:tabs>
        <w:autoSpaceDE w:val="0"/>
        <w:autoSpaceDN w:val="0"/>
        <w:adjustRightInd w:val="0"/>
        <w:jc w:val="both"/>
        <w:rPr>
          <w:szCs w:val="22"/>
          <w:lang w:val="sr-Latn-RS" w:eastAsia="en-GB"/>
        </w:rPr>
      </w:pPr>
    </w:p>
    <w:p w14:paraId="1FB63379" w14:textId="3E9DB0F7" w:rsidR="000D01B4" w:rsidRPr="008F1125" w:rsidRDefault="00926926" w:rsidP="00B71A52">
      <w:pPr>
        <w:tabs>
          <w:tab w:val="clear" w:pos="567"/>
        </w:tabs>
        <w:autoSpaceDE w:val="0"/>
        <w:autoSpaceDN w:val="0"/>
        <w:adjustRightInd w:val="0"/>
        <w:jc w:val="both"/>
        <w:rPr>
          <w:i/>
          <w:szCs w:val="22"/>
          <w:lang w:val="sr-Latn-RS"/>
        </w:rPr>
      </w:pPr>
      <w:r w:rsidRPr="008F1125">
        <w:rPr>
          <w:lang w:val="sr-Latn-RS" w:bidi="sr-Latn-RS"/>
        </w:rPr>
        <w:t>Kod reakcija 1. stepena povezanih sa infuzijom, brzinu trenutno prim</w:t>
      </w:r>
      <w:r w:rsidR="0038574B" w:rsidRPr="008F1125">
        <w:rPr>
          <w:lang w:val="sr-Latn-RS" w:bidi="sr-Latn-RS"/>
        </w:rPr>
        <w:t>j</w:t>
      </w:r>
      <w:r w:rsidRPr="008F1125">
        <w:rPr>
          <w:lang w:val="sr-Latn-RS" w:bidi="sr-Latn-RS"/>
        </w:rPr>
        <w:t>enjivane infuzije treba smanjiti za 50%. Kod pacijenata sa reakcijama 2. stepena povezanih sa infuzijom, infuziju treba privremeno prekinuti do poboljšanja reakcije na 1. stepen ili povlačenja reakcije, a zatim ponovo početi sa infuzijom uz 50% manju brzinu infuzije (</w:t>
      </w:r>
      <w:r w:rsidR="00DD502A" w:rsidRPr="008F1125">
        <w:rPr>
          <w:lang w:val="sr-Latn-RS" w:bidi="sr-Latn-RS"/>
        </w:rPr>
        <w:t>vidjeti dio</w:t>
      </w:r>
      <w:r w:rsidRPr="008F1125">
        <w:rPr>
          <w:lang w:val="sr-Latn-RS" w:bidi="sr-Latn-RS"/>
        </w:rPr>
        <w:t xml:space="preserve"> 4.2).</w:t>
      </w:r>
    </w:p>
    <w:p w14:paraId="1FB6337A" w14:textId="77777777" w:rsidR="000D01B4" w:rsidRPr="008F1125" w:rsidRDefault="000D01B4" w:rsidP="00B71A52">
      <w:pPr>
        <w:jc w:val="both"/>
        <w:rPr>
          <w:szCs w:val="22"/>
          <w:lang w:val="sr-Latn-RS"/>
        </w:rPr>
      </w:pPr>
    </w:p>
    <w:p w14:paraId="1FB6337B" w14:textId="53C66ED9" w:rsidR="00D71176" w:rsidRPr="008F1125" w:rsidRDefault="00926926" w:rsidP="00B71A52">
      <w:pPr>
        <w:jc w:val="both"/>
        <w:rPr>
          <w:szCs w:val="22"/>
          <w:lang w:val="sr-Latn-RS"/>
        </w:rPr>
      </w:pPr>
      <w:r w:rsidRPr="008F1125">
        <w:rPr>
          <w:lang w:val="sr-Latn-RS" w:bidi="sr-Latn-RS"/>
        </w:rPr>
        <w:lastRenderedPageBreak/>
        <w:t>U slučaju ponovne pojave reakcije 1. ili 2. stepena povezane sa infuzijom, pacijent može nastaviti da prima avelumab uz strogo praćenje, nakon odgovarajućeg prilagođavanja brzine infuzije i premedikacije paracetamolom i antihistaminikom (</w:t>
      </w:r>
      <w:r w:rsidR="00DD502A" w:rsidRPr="008F1125">
        <w:rPr>
          <w:lang w:val="sr-Latn-RS" w:bidi="sr-Latn-RS"/>
        </w:rPr>
        <w:t>vidjeti dio</w:t>
      </w:r>
      <w:r w:rsidRPr="008F1125">
        <w:rPr>
          <w:lang w:val="sr-Latn-RS" w:bidi="sr-Latn-RS"/>
        </w:rPr>
        <w:t xml:space="preserve"> 4.2).</w:t>
      </w:r>
    </w:p>
    <w:p w14:paraId="1FB6337C" w14:textId="77777777" w:rsidR="00F54B93" w:rsidRPr="008F1125" w:rsidRDefault="00F54B93" w:rsidP="00B71A52">
      <w:pPr>
        <w:jc w:val="both"/>
        <w:rPr>
          <w:szCs w:val="22"/>
          <w:lang w:val="sr-Latn-RS"/>
        </w:rPr>
      </w:pPr>
    </w:p>
    <w:p w14:paraId="1FB6337D" w14:textId="2AE0C1DF" w:rsidR="00CC6F5D" w:rsidRPr="008F1125" w:rsidRDefault="00851ABB" w:rsidP="00B71A52">
      <w:pPr>
        <w:jc w:val="both"/>
        <w:rPr>
          <w:szCs w:val="22"/>
          <w:lang w:val="sr-Latn-RS" w:eastAsia="en-GB"/>
        </w:rPr>
      </w:pPr>
      <w:r w:rsidRPr="00851ABB">
        <w:rPr>
          <w:lang w:val="sr-Latn-RS" w:bidi="sr-Latn-RS"/>
        </w:rPr>
        <w:t>Kod pacijenata l</w:t>
      </w:r>
      <w:r>
        <w:rPr>
          <w:lang w:val="sr-Latn-RS" w:bidi="sr-Latn-RS"/>
        </w:rPr>
        <w:t>ij</w:t>
      </w:r>
      <w:r w:rsidRPr="00851ABB">
        <w:rPr>
          <w:lang w:val="sr-Latn-RS" w:bidi="sr-Latn-RS"/>
        </w:rPr>
        <w:t>ečenih avelumabom kao monoterapijom, 24,6% (513/2082) pacijenata je imalo reakcije povezane sa infuzijom.</w:t>
      </w:r>
      <w:r>
        <w:rPr>
          <w:lang w:val="sr-Latn-RS" w:bidi="sr-Latn-RS"/>
        </w:rPr>
        <w:t>97,7</w:t>
      </w:r>
      <w:r w:rsidR="00926926" w:rsidRPr="008F1125">
        <w:rPr>
          <w:lang w:val="sr-Latn-RS" w:bidi="sr-Latn-RS"/>
        </w:rPr>
        <w:t>% (</w:t>
      </w:r>
      <w:r>
        <w:rPr>
          <w:lang w:val="sr-Latn-RS" w:bidi="sr-Latn-RS"/>
        </w:rPr>
        <w:t>501</w:t>
      </w:r>
      <w:r w:rsidR="00926926" w:rsidRPr="008F1125">
        <w:rPr>
          <w:lang w:val="sr-Latn-RS" w:bidi="sr-Latn-RS"/>
        </w:rPr>
        <w:t>/</w:t>
      </w:r>
      <w:r>
        <w:rPr>
          <w:lang w:val="sr-Latn-RS" w:bidi="sr-Latn-RS"/>
        </w:rPr>
        <w:t>513</w:t>
      </w:r>
      <w:r w:rsidR="00926926" w:rsidRPr="008F1125">
        <w:rPr>
          <w:lang w:val="sr-Latn-RS" w:bidi="sr-Latn-RS"/>
        </w:rPr>
        <w:t xml:space="preserve">) </w:t>
      </w:r>
      <w:r>
        <w:rPr>
          <w:lang w:val="sr-Latn-RS" w:bidi="sr-Latn-RS"/>
        </w:rPr>
        <w:t xml:space="preserve">ovih </w:t>
      </w:r>
      <w:r w:rsidR="00926926" w:rsidRPr="008F1125">
        <w:rPr>
          <w:lang w:val="sr-Latn-RS" w:bidi="sr-Latn-RS"/>
        </w:rPr>
        <w:t xml:space="preserve">pacijenata imalo </w:t>
      </w:r>
      <w:r w:rsidR="002F251A" w:rsidRPr="008F1125">
        <w:rPr>
          <w:lang w:val="sr-Latn-RS" w:bidi="sr-Latn-RS"/>
        </w:rPr>
        <w:t xml:space="preserve">je </w:t>
      </w:r>
      <w:r w:rsidR="00926926" w:rsidRPr="008F1125">
        <w:rPr>
          <w:lang w:val="sr-Latn-RS" w:bidi="sr-Latn-RS"/>
        </w:rPr>
        <w:t>prvu reakciju povezanu sa infuzijom tokom prve 4 infuzije, od čega je njih 2,7% (</w:t>
      </w:r>
      <w:r>
        <w:rPr>
          <w:lang w:val="sr-Latn-RS" w:bidi="sr-Latn-RS"/>
        </w:rPr>
        <w:t>14/513</w:t>
      </w:r>
      <w:r w:rsidR="00926926" w:rsidRPr="008F1125">
        <w:rPr>
          <w:lang w:val="sr-Latn-RS" w:bidi="sr-Latn-RS"/>
        </w:rPr>
        <w:t>) bilo ≥ 3. stepena. Kod preostal</w:t>
      </w:r>
      <w:r w:rsidR="008258AD" w:rsidRPr="008F1125">
        <w:rPr>
          <w:lang w:val="sr-Latn-RS" w:bidi="sr-Latn-RS"/>
        </w:rPr>
        <w:t>ih</w:t>
      </w:r>
      <w:r w:rsidR="00926926" w:rsidRPr="008F1125">
        <w:rPr>
          <w:lang w:val="sr-Latn-RS" w:bidi="sr-Latn-RS"/>
        </w:rPr>
        <w:t xml:space="preserve"> </w:t>
      </w:r>
      <w:r>
        <w:rPr>
          <w:lang w:val="sr-Latn-RS" w:bidi="sr-Latn-RS"/>
        </w:rPr>
        <w:t>2,3</w:t>
      </w:r>
      <w:r w:rsidR="00926926" w:rsidRPr="008F1125">
        <w:rPr>
          <w:lang w:val="sr-Latn-RS" w:bidi="sr-Latn-RS"/>
        </w:rPr>
        <w:t>% (</w:t>
      </w:r>
      <w:r>
        <w:rPr>
          <w:lang w:val="sr-Latn-RS" w:bidi="sr-Latn-RS"/>
        </w:rPr>
        <w:t>12/513</w:t>
      </w:r>
      <w:r w:rsidR="00926926" w:rsidRPr="008F1125">
        <w:rPr>
          <w:lang w:val="sr-Latn-RS" w:bidi="sr-Latn-RS"/>
        </w:rPr>
        <w:t>) pacijenata reakcije povezane sa infuzijom su nastupile posl</w:t>
      </w:r>
      <w:r w:rsidR="008258AD" w:rsidRPr="008F1125">
        <w:rPr>
          <w:lang w:val="sr-Latn-RS" w:bidi="sr-Latn-RS"/>
        </w:rPr>
        <w:t>ij</w:t>
      </w:r>
      <w:r w:rsidR="00926926" w:rsidRPr="008F1125">
        <w:rPr>
          <w:lang w:val="sr-Latn-RS" w:bidi="sr-Latn-RS"/>
        </w:rPr>
        <w:t xml:space="preserve">e prve 4 infuzije i </w:t>
      </w:r>
      <w:r w:rsidRPr="00851ABB">
        <w:rPr>
          <w:lang w:val="sr-Latn-RS" w:bidi="sr-Latn-RS"/>
        </w:rPr>
        <w:t xml:space="preserve">91,7% (11/12) </w:t>
      </w:r>
      <w:r w:rsidR="00926926" w:rsidRPr="008F1125">
        <w:rPr>
          <w:lang w:val="sr-Latn-RS" w:bidi="sr-Latn-RS"/>
        </w:rPr>
        <w:t>su bile 1. ili 2. stepena.</w:t>
      </w:r>
    </w:p>
    <w:p w14:paraId="1FB6337E" w14:textId="77777777" w:rsidR="009521A8" w:rsidRPr="008F1125" w:rsidRDefault="009521A8" w:rsidP="00B71A52">
      <w:pPr>
        <w:jc w:val="both"/>
        <w:rPr>
          <w:szCs w:val="22"/>
          <w:lang w:val="sr-Latn-RS"/>
        </w:rPr>
      </w:pPr>
    </w:p>
    <w:p w14:paraId="1FB6337F" w14:textId="77777777" w:rsidR="000D01B4" w:rsidRPr="008F1125" w:rsidRDefault="00926926" w:rsidP="00B71A52">
      <w:pPr>
        <w:keepNext/>
        <w:keepLines/>
        <w:jc w:val="both"/>
        <w:rPr>
          <w:szCs w:val="22"/>
          <w:u w:val="single"/>
          <w:lang w:val="sr-Latn-RS"/>
        </w:rPr>
      </w:pPr>
      <w:r w:rsidRPr="008F1125">
        <w:rPr>
          <w:u w:val="single"/>
          <w:lang w:val="sr-Latn-RS" w:bidi="sr-Latn-RS"/>
        </w:rPr>
        <w:t>Imunološki posredovane neželjene reakcije</w:t>
      </w:r>
    </w:p>
    <w:p w14:paraId="1FB63380" w14:textId="6813ED0D" w:rsidR="000D01B4" w:rsidRPr="008F1125" w:rsidRDefault="00926926" w:rsidP="00B71A52">
      <w:pPr>
        <w:keepNext/>
        <w:keepLines/>
        <w:jc w:val="both"/>
        <w:rPr>
          <w:szCs w:val="22"/>
          <w:lang w:val="sr-Latn-RS"/>
        </w:rPr>
      </w:pPr>
      <w:r w:rsidRPr="008F1125">
        <w:rPr>
          <w:lang w:val="sr-Latn-RS" w:bidi="sr-Latn-RS"/>
        </w:rPr>
        <w:t>Većina imunološki posredovanih neželjenih reakcija avelumaba bila je reverzibilna i zbrinuta privremenim ili trajnim prekidom prim</w:t>
      </w:r>
      <w:r w:rsidR="0038574B" w:rsidRPr="008F1125">
        <w:rPr>
          <w:lang w:val="sr-Latn-RS" w:bidi="sr-Latn-RS"/>
        </w:rPr>
        <w:t>j</w:t>
      </w:r>
      <w:r w:rsidRPr="008F1125">
        <w:rPr>
          <w:lang w:val="sr-Latn-RS" w:bidi="sr-Latn-RS"/>
        </w:rPr>
        <w:t>ene avelumaba, prim</w:t>
      </w:r>
      <w:r w:rsidR="0038574B" w:rsidRPr="008F1125">
        <w:rPr>
          <w:lang w:val="sr-Latn-RS" w:bidi="sr-Latn-RS"/>
        </w:rPr>
        <w:t>j</w:t>
      </w:r>
      <w:r w:rsidRPr="008F1125">
        <w:rPr>
          <w:lang w:val="sr-Latn-RS" w:bidi="sr-Latn-RS"/>
        </w:rPr>
        <w:t>enom kortikosteroida i/ili suportivnih m</w:t>
      </w:r>
      <w:r w:rsidR="00B80A64" w:rsidRPr="008F1125">
        <w:rPr>
          <w:lang w:val="sr-Latn-RS" w:bidi="sr-Latn-RS"/>
        </w:rPr>
        <w:t>j</w:t>
      </w:r>
      <w:r w:rsidRPr="008F1125">
        <w:rPr>
          <w:lang w:val="sr-Latn-RS" w:bidi="sr-Latn-RS"/>
        </w:rPr>
        <w:t>era.</w:t>
      </w:r>
    </w:p>
    <w:p w14:paraId="1FB63381" w14:textId="77777777" w:rsidR="000D01B4" w:rsidRPr="008F1125" w:rsidRDefault="000D01B4" w:rsidP="00B71A52">
      <w:pPr>
        <w:jc w:val="both"/>
        <w:rPr>
          <w:szCs w:val="22"/>
          <w:lang w:val="sr-Latn-RS"/>
        </w:rPr>
      </w:pPr>
    </w:p>
    <w:p w14:paraId="1FB63382" w14:textId="6990AC94" w:rsidR="000D01B4" w:rsidRPr="008F1125" w:rsidRDefault="00926926" w:rsidP="00B71A52">
      <w:pPr>
        <w:jc w:val="both"/>
        <w:rPr>
          <w:szCs w:val="22"/>
          <w:lang w:val="sr-Latn-RS"/>
        </w:rPr>
      </w:pPr>
      <w:r w:rsidRPr="008F1125">
        <w:rPr>
          <w:lang w:val="sr-Latn-RS" w:bidi="sr-Latn-RS"/>
        </w:rPr>
        <w:t xml:space="preserve">Kod sumnje na imunološki posredovane neželjene reakcije treba sprovesti odgovarajuću </w:t>
      </w:r>
      <w:r w:rsidR="0063413D" w:rsidRPr="008F1125">
        <w:rPr>
          <w:lang w:val="sr-Latn-RS" w:bidi="sr-Latn-RS"/>
        </w:rPr>
        <w:t>procjenu</w:t>
      </w:r>
      <w:r w:rsidRPr="008F1125">
        <w:rPr>
          <w:lang w:val="sr-Latn-RS" w:bidi="sr-Latn-RS"/>
        </w:rPr>
        <w:t xml:space="preserve"> kako bi se potvrdila etiologija ili isključili drugi uzroci. Na tosnovu težine neželjene reakcije, </w:t>
      </w:r>
      <w:r w:rsidR="00DD502A" w:rsidRPr="008F1125">
        <w:rPr>
          <w:lang w:val="sr-Latn-RS" w:bidi="sr-Latn-RS"/>
        </w:rPr>
        <w:t>primjenu</w:t>
      </w:r>
      <w:r w:rsidRPr="008F1125">
        <w:rPr>
          <w:lang w:val="sr-Latn-RS" w:bidi="sr-Latn-RS"/>
        </w:rPr>
        <w:t xml:space="preserve"> avelumaba treba privremeno obustaviti i prim</w:t>
      </w:r>
      <w:r w:rsidR="00DD502A" w:rsidRPr="008F1125">
        <w:rPr>
          <w:lang w:val="sr-Latn-RS" w:bidi="sr-Latn-RS"/>
        </w:rPr>
        <w:t>ij</w:t>
      </w:r>
      <w:r w:rsidRPr="008F1125">
        <w:rPr>
          <w:lang w:val="sr-Latn-RS" w:bidi="sr-Latn-RS"/>
        </w:rPr>
        <w:t>eniti kortikosteroide. Ako se za l</w:t>
      </w:r>
      <w:r w:rsidR="008258AD" w:rsidRPr="008F1125">
        <w:rPr>
          <w:lang w:val="sr-Latn-RS" w:bidi="sr-Latn-RS"/>
        </w:rPr>
        <w:t>ij</w:t>
      </w:r>
      <w:r w:rsidRPr="008F1125">
        <w:rPr>
          <w:lang w:val="sr-Latn-RS" w:bidi="sr-Latn-RS"/>
        </w:rPr>
        <w:t>ečenje neželjene reakcije prim</w:t>
      </w:r>
      <w:r w:rsidR="0038574B" w:rsidRPr="008F1125">
        <w:rPr>
          <w:lang w:val="sr-Latn-RS" w:bidi="sr-Latn-RS"/>
        </w:rPr>
        <w:t>j</w:t>
      </w:r>
      <w:r w:rsidRPr="008F1125">
        <w:rPr>
          <w:lang w:val="sr-Latn-RS" w:bidi="sr-Latn-RS"/>
        </w:rPr>
        <w:t>enjuju kortikosteroidi, nakon poboljšanja treba započeti sa postepenim snižavanjem doze tokom najmanje 1 m</w:t>
      </w:r>
      <w:r w:rsidR="00DD502A" w:rsidRPr="008F1125">
        <w:rPr>
          <w:lang w:val="sr-Latn-RS" w:bidi="sr-Latn-RS"/>
        </w:rPr>
        <w:t>j</w:t>
      </w:r>
      <w:r w:rsidRPr="008F1125">
        <w:rPr>
          <w:lang w:val="sr-Latn-RS" w:bidi="sr-Latn-RS"/>
        </w:rPr>
        <w:t>eseca.</w:t>
      </w:r>
    </w:p>
    <w:p w14:paraId="1FB63383" w14:textId="77777777" w:rsidR="000D01B4" w:rsidRPr="008F1125" w:rsidRDefault="000D01B4" w:rsidP="00B71A52">
      <w:pPr>
        <w:jc w:val="both"/>
        <w:rPr>
          <w:szCs w:val="22"/>
          <w:lang w:val="sr-Latn-RS"/>
        </w:rPr>
      </w:pPr>
    </w:p>
    <w:p w14:paraId="1FB63384" w14:textId="2BF4639A" w:rsidR="000D01B4" w:rsidRDefault="00926926" w:rsidP="00B71A52">
      <w:pPr>
        <w:jc w:val="both"/>
        <w:rPr>
          <w:lang w:val="sr-Latn-RS" w:bidi="sr-Latn-RS"/>
        </w:rPr>
      </w:pPr>
      <w:r w:rsidRPr="008F1125">
        <w:rPr>
          <w:lang w:val="sr-Latn-RS" w:bidi="sr-Latn-RS"/>
        </w:rPr>
        <w:t>Kod pacijenata kod kojih se imunološki posredovane neželjene reakcije ne mogu kontrolisati prim</w:t>
      </w:r>
      <w:r w:rsidR="0038574B" w:rsidRPr="008F1125">
        <w:rPr>
          <w:lang w:val="sr-Latn-RS" w:bidi="sr-Latn-RS"/>
        </w:rPr>
        <w:t>j</w:t>
      </w:r>
      <w:r w:rsidRPr="008F1125">
        <w:rPr>
          <w:lang w:val="sr-Latn-RS" w:bidi="sr-Latn-RS"/>
        </w:rPr>
        <w:t>enom kortikosteroida može se razmotriti prim</w:t>
      </w:r>
      <w:r w:rsidR="00DD502A" w:rsidRPr="008F1125">
        <w:rPr>
          <w:lang w:val="sr-Latn-RS" w:bidi="sr-Latn-RS"/>
        </w:rPr>
        <w:t>j</w:t>
      </w:r>
      <w:r w:rsidRPr="008F1125">
        <w:rPr>
          <w:lang w:val="sr-Latn-RS" w:bidi="sr-Latn-RS"/>
        </w:rPr>
        <w:t>ena drugih sistemskih imunosupresiva.</w:t>
      </w:r>
    </w:p>
    <w:p w14:paraId="7969E2DF" w14:textId="77777777" w:rsidR="00320491" w:rsidRDefault="00320491" w:rsidP="00B71A52">
      <w:pPr>
        <w:jc w:val="both"/>
        <w:rPr>
          <w:szCs w:val="22"/>
          <w:lang w:val="sr-Latn-RS"/>
        </w:rPr>
      </w:pPr>
    </w:p>
    <w:p w14:paraId="7AB3F90A" w14:textId="05379573" w:rsidR="00320491" w:rsidRPr="008F1125" w:rsidRDefault="00320491" w:rsidP="00B71A52">
      <w:pPr>
        <w:jc w:val="both"/>
        <w:rPr>
          <w:szCs w:val="22"/>
          <w:lang w:val="sr-Latn-RS"/>
        </w:rPr>
      </w:pPr>
      <w:r w:rsidRPr="00320491">
        <w:rPr>
          <w:szCs w:val="22"/>
          <w:lang w:val="sr-Latn-RS"/>
        </w:rPr>
        <w:t xml:space="preserve">Kod pacijenata sa postojećom autoimunom bolešću (AID), podaci iz opservacionih studija sugerišu da rizik od </w:t>
      </w:r>
      <w:r w:rsidR="00851ABB">
        <w:rPr>
          <w:szCs w:val="22"/>
          <w:lang w:val="sr-Latn-RS"/>
        </w:rPr>
        <w:t xml:space="preserve">imunološki posredovanih </w:t>
      </w:r>
      <w:r w:rsidRPr="00320491">
        <w:rPr>
          <w:szCs w:val="22"/>
          <w:lang w:val="sr-Latn-RS"/>
        </w:rPr>
        <w:t xml:space="preserve">neželjenih reakcija nakon terapije inhibitorima </w:t>
      </w:r>
      <w:r w:rsidR="00851ABB" w:rsidRPr="00FD3737">
        <w:rPr>
          <w:lang w:val="sr-Latn-RS"/>
        </w:rPr>
        <w:t>kontrolnih tačaka imunskog odgovora</w:t>
      </w:r>
      <w:r w:rsidRPr="00320491">
        <w:rPr>
          <w:szCs w:val="22"/>
          <w:lang w:val="sr-Latn-RS"/>
        </w:rPr>
        <w:t xml:space="preserve"> može biti povećan u poređenju sa rizikom kod pacijenata bez prethodnog AID-a. Pored toga, epizode osnovne AID-a su bile česte, ali je većina bila blaga i podnošljiva.</w:t>
      </w:r>
      <w:r w:rsidR="00A0153F">
        <w:rPr>
          <w:szCs w:val="22"/>
          <w:lang w:val="sr-Latn-RS"/>
        </w:rPr>
        <w:t xml:space="preserve"> </w:t>
      </w:r>
    </w:p>
    <w:p w14:paraId="1FB63385" w14:textId="77777777" w:rsidR="000D01B4" w:rsidRPr="008F1125" w:rsidRDefault="000D01B4" w:rsidP="00B71A52">
      <w:pPr>
        <w:jc w:val="both"/>
        <w:rPr>
          <w:iCs/>
          <w:szCs w:val="22"/>
          <w:lang w:val="sr-Latn-RS"/>
        </w:rPr>
      </w:pPr>
    </w:p>
    <w:p w14:paraId="1FB63386" w14:textId="77777777" w:rsidR="000D01B4" w:rsidRPr="008F1125" w:rsidRDefault="00926926" w:rsidP="00B71A52">
      <w:pPr>
        <w:keepNext/>
        <w:keepLines/>
        <w:jc w:val="both"/>
        <w:rPr>
          <w:i/>
          <w:szCs w:val="22"/>
          <w:u w:val="single"/>
          <w:lang w:val="sr-Latn-RS"/>
        </w:rPr>
      </w:pPr>
      <w:r w:rsidRPr="008F1125">
        <w:rPr>
          <w:i/>
          <w:u w:val="single"/>
          <w:lang w:val="sr-Latn-RS" w:bidi="sr-Latn-RS"/>
        </w:rPr>
        <w:t>Imunološki posredovan pneumonitis</w:t>
      </w:r>
    </w:p>
    <w:p w14:paraId="1FB63387" w14:textId="1FC724C8" w:rsidR="000D01B4" w:rsidRPr="008F1125" w:rsidRDefault="00926926" w:rsidP="00B71A52">
      <w:pPr>
        <w:keepNext/>
        <w:keepLines/>
        <w:tabs>
          <w:tab w:val="clear" w:pos="567"/>
        </w:tabs>
        <w:autoSpaceDE w:val="0"/>
        <w:autoSpaceDN w:val="0"/>
        <w:adjustRightInd w:val="0"/>
        <w:jc w:val="both"/>
        <w:rPr>
          <w:szCs w:val="22"/>
          <w:lang w:val="sr-Latn-RS"/>
        </w:rPr>
      </w:pPr>
      <w:r w:rsidRPr="008F1125">
        <w:rPr>
          <w:lang w:val="sr-Latn-RS" w:bidi="sr-Latn-RS"/>
        </w:rPr>
        <w:t>Kod pacijenata na terapiji avelumabom javljao se imunološki posredovan pneumonitis. Kod pacijenata koji su primali avelumab zab</w:t>
      </w:r>
      <w:r w:rsidR="008258AD" w:rsidRPr="008F1125">
        <w:rPr>
          <w:lang w:val="sr-Latn-RS" w:bidi="sr-Latn-RS"/>
        </w:rPr>
        <w:t>i</w:t>
      </w:r>
      <w:r w:rsidRPr="008F1125">
        <w:rPr>
          <w:lang w:val="sr-Latn-RS" w:bidi="sr-Latn-RS"/>
        </w:rPr>
        <w:t>l</w:t>
      </w:r>
      <w:r w:rsidR="008258AD" w:rsidRPr="008F1125">
        <w:rPr>
          <w:lang w:val="sr-Latn-RS" w:bidi="sr-Latn-RS"/>
        </w:rPr>
        <w:t>j</w:t>
      </w:r>
      <w:r w:rsidRPr="008F1125">
        <w:rPr>
          <w:lang w:val="sr-Latn-RS" w:bidi="sr-Latn-RS"/>
        </w:rPr>
        <w:t>ežen je jedan smrtni slučaj (</w:t>
      </w:r>
      <w:r w:rsidR="00DD502A" w:rsidRPr="008F1125">
        <w:rPr>
          <w:lang w:val="sr-Latn-RS" w:bidi="sr-Latn-RS"/>
        </w:rPr>
        <w:t>vidjeti dio</w:t>
      </w:r>
      <w:r w:rsidRPr="008F1125">
        <w:rPr>
          <w:lang w:val="sr-Latn-RS" w:bidi="sr-Latn-RS"/>
        </w:rPr>
        <w:t xml:space="preserve"> 4.8).</w:t>
      </w:r>
    </w:p>
    <w:p w14:paraId="1FB63388"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89" w14:textId="35DAC4A1" w:rsidR="000D01B4" w:rsidRPr="008F1125" w:rsidRDefault="00926926" w:rsidP="00B71A52">
      <w:pPr>
        <w:jc w:val="both"/>
        <w:rPr>
          <w:szCs w:val="22"/>
          <w:lang w:val="sr-Latn-RS"/>
        </w:rPr>
      </w:pPr>
      <w:r w:rsidRPr="008F1125">
        <w:rPr>
          <w:lang w:val="sr-Latn-RS" w:bidi="sr-Latn-RS"/>
        </w:rPr>
        <w:t>Pacijente treba pratiti zbog mogućih znakova i simptoma imunološki posredovanog pneumonitisa i isključiti druge uzroke osim imunološki posredovanog pneumonitisa. Sumnju na pneumonitis treba potvrditi ren</w:t>
      </w:r>
      <w:r w:rsidR="00C11CA5" w:rsidRPr="008F1125">
        <w:rPr>
          <w:lang w:val="sr-Latn-RS" w:bidi="sr-Latn-RS"/>
        </w:rPr>
        <w:t>t</w:t>
      </w:r>
      <w:r w:rsidRPr="008F1125">
        <w:rPr>
          <w:lang w:val="sr-Latn-RS" w:bidi="sr-Latn-RS"/>
        </w:rPr>
        <w:t>genskim snimkom.</w:t>
      </w:r>
    </w:p>
    <w:p w14:paraId="1FB6338A" w14:textId="77777777" w:rsidR="000D01B4" w:rsidRPr="008F1125" w:rsidRDefault="000D01B4" w:rsidP="00B71A52">
      <w:pPr>
        <w:jc w:val="both"/>
        <w:rPr>
          <w:szCs w:val="22"/>
          <w:lang w:val="sr-Latn-RS"/>
        </w:rPr>
      </w:pPr>
    </w:p>
    <w:p w14:paraId="1FB6338B" w14:textId="51CCF754" w:rsidR="000D01B4" w:rsidRPr="008F1125" w:rsidRDefault="00926926" w:rsidP="00B71A52">
      <w:pPr>
        <w:jc w:val="both"/>
        <w:rPr>
          <w:szCs w:val="22"/>
          <w:lang w:val="sr-Latn-RS"/>
        </w:rPr>
      </w:pPr>
      <w:r w:rsidRPr="008F1125">
        <w:rPr>
          <w:lang w:val="sr-Latn-RS" w:bidi="sr-Latn-RS"/>
        </w:rPr>
        <w:t xml:space="preserve">Kod događaja ≥ 2. stepena treba </w:t>
      </w:r>
      <w:r w:rsidR="00B27CC7" w:rsidRPr="008F1125">
        <w:rPr>
          <w:lang w:val="sr-Latn-RS" w:bidi="sr-Latn-RS"/>
        </w:rPr>
        <w:t>primijeniti</w:t>
      </w:r>
      <w:r w:rsidRPr="008F1125">
        <w:rPr>
          <w:lang w:val="sr-Latn-RS" w:bidi="sr-Latn-RS"/>
        </w:rPr>
        <w:t xml:space="preserve"> kortikosteroide (početnu dozu prednizona od 1 do 2 mg/kg na dan ili </w:t>
      </w:r>
      <w:r w:rsidR="00B27CC7" w:rsidRPr="008F1125">
        <w:rPr>
          <w:lang w:val="sr-Latn-RS" w:bidi="sr-Latn-RS"/>
        </w:rPr>
        <w:t>ekvivalentni lijek</w:t>
      </w:r>
      <w:r w:rsidRPr="008F1125">
        <w:rPr>
          <w:lang w:val="sr-Latn-RS" w:bidi="sr-Latn-RS"/>
        </w:rPr>
        <w:t>, a nakon toga postepeno snižavanje doze kortikosteroida).</w:t>
      </w:r>
    </w:p>
    <w:p w14:paraId="1FB6338C" w14:textId="77777777" w:rsidR="000D01B4" w:rsidRPr="008F1125" w:rsidRDefault="000D01B4" w:rsidP="00B71A52">
      <w:pPr>
        <w:jc w:val="both"/>
        <w:rPr>
          <w:szCs w:val="22"/>
          <w:lang w:val="sr-Latn-RS"/>
        </w:rPr>
      </w:pPr>
    </w:p>
    <w:p w14:paraId="1FB6338D" w14:textId="5D098489" w:rsidR="000D01B4" w:rsidRPr="008F1125" w:rsidRDefault="00926926" w:rsidP="00B71A52">
      <w:pPr>
        <w:tabs>
          <w:tab w:val="clear" w:pos="567"/>
        </w:tabs>
        <w:autoSpaceDE w:val="0"/>
        <w:autoSpaceDN w:val="0"/>
        <w:adjustRightInd w:val="0"/>
        <w:jc w:val="both"/>
        <w:rPr>
          <w:rFonts w:eastAsia="TimesNewRoman"/>
          <w:szCs w:val="22"/>
          <w:lang w:val="sr-Latn-RS" w:eastAsia="en-GB"/>
        </w:rPr>
      </w:pPr>
      <w:r w:rsidRPr="008F1125">
        <w:rPr>
          <w:lang w:val="sr-Latn-RS" w:bidi="sr-Latn-RS"/>
        </w:rPr>
        <w:t xml:space="preserve">Kod imunološki posredovanog pneumonitisa 2. stepena treba privremeno obustaviti </w:t>
      </w:r>
      <w:r w:rsidR="00DD502A" w:rsidRPr="008F1125">
        <w:rPr>
          <w:lang w:val="sr-Latn-RS" w:bidi="sr-Latn-RS"/>
        </w:rPr>
        <w:t>primjenu</w:t>
      </w:r>
      <w:r w:rsidRPr="008F1125">
        <w:rPr>
          <w:lang w:val="sr-Latn-RS" w:bidi="sr-Latn-RS"/>
        </w:rPr>
        <w:t xml:space="preserve"> avelumaba do njegovog povlačenja, a trajno prekinuti kod imunološki posredovanog pneumonitisa 3. ili 4. stepena ili rekurentnog imunološki posredovanog pneumonitisa 2. stepena (</w:t>
      </w:r>
      <w:r w:rsidR="00DD502A" w:rsidRPr="008F1125">
        <w:rPr>
          <w:lang w:val="sr-Latn-RS" w:bidi="sr-Latn-RS"/>
        </w:rPr>
        <w:t>vidjeti dio</w:t>
      </w:r>
      <w:r w:rsidRPr="008F1125">
        <w:rPr>
          <w:lang w:val="sr-Latn-RS" w:bidi="sr-Latn-RS"/>
        </w:rPr>
        <w:t xml:space="preserve"> 4.2).</w:t>
      </w:r>
    </w:p>
    <w:p w14:paraId="1FB6338E"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8F" w14:textId="77777777" w:rsidR="000D01B4" w:rsidRPr="008F1125" w:rsidRDefault="00926926" w:rsidP="00B71A52">
      <w:pPr>
        <w:keepNext/>
        <w:keepLines/>
        <w:jc w:val="both"/>
        <w:rPr>
          <w:i/>
          <w:szCs w:val="22"/>
          <w:u w:val="single"/>
          <w:lang w:val="sr-Latn-RS"/>
        </w:rPr>
      </w:pPr>
      <w:r w:rsidRPr="008F1125">
        <w:rPr>
          <w:i/>
          <w:u w:val="single"/>
          <w:lang w:val="sr-Latn-RS" w:bidi="sr-Latn-RS"/>
        </w:rPr>
        <w:t>Imunološki posredovan hepatitis</w:t>
      </w:r>
    </w:p>
    <w:p w14:paraId="1FB63390" w14:textId="24B62244" w:rsidR="000D01B4" w:rsidRPr="008F1125" w:rsidRDefault="00926926" w:rsidP="00B71A52">
      <w:pPr>
        <w:keepNext/>
        <w:keepLines/>
        <w:tabs>
          <w:tab w:val="clear" w:pos="567"/>
        </w:tabs>
        <w:autoSpaceDE w:val="0"/>
        <w:autoSpaceDN w:val="0"/>
        <w:adjustRightInd w:val="0"/>
        <w:jc w:val="both"/>
        <w:rPr>
          <w:rFonts w:eastAsia="TimesNewRoman"/>
          <w:szCs w:val="22"/>
          <w:lang w:val="sr-Latn-RS" w:eastAsia="en-GB"/>
        </w:rPr>
      </w:pPr>
      <w:r w:rsidRPr="008F1125">
        <w:rPr>
          <w:lang w:val="sr-Latn-RS" w:bidi="sr-Latn-RS"/>
        </w:rPr>
        <w:t>Kod pacijenata na terapiji avelumabom javljao se imunološki posredovan hepatitis. Kod pacijenata koji su primali avelumab zab</w:t>
      </w:r>
      <w:r w:rsidR="00A60BF8" w:rsidRPr="008F1125">
        <w:rPr>
          <w:lang w:val="sr-Latn-RS" w:bidi="sr-Latn-RS"/>
        </w:rPr>
        <w:t>i</w:t>
      </w:r>
      <w:r w:rsidRPr="008F1125">
        <w:rPr>
          <w:lang w:val="sr-Latn-RS" w:bidi="sr-Latn-RS"/>
        </w:rPr>
        <w:t>l</w:t>
      </w:r>
      <w:r w:rsidR="00A60BF8" w:rsidRPr="008F1125">
        <w:rPr>
          <w:lang w:val="sr-Latn-RS" w:bidi="sr-Latn-RS"/>
        </w:rPr>
        <w:t>j</w:t>
      </w:r>
      <w:r w:rsidRPr="008F1125">
        <w:rPr>
          <w:lang w:val="sr-Latn-RS" w:bidi="sr-Latn-RS"/>
        </w:rPr>
        <w:t>ežena su dva smrtna slučaja (</w:t>
      </w:r>
      <w:r w:rsidR="00DD502A" w:rsidRPr="008F1125">
        <w:rPr>
          <w:lang w:val="sr-Latn-RS" w:bidi="sr-Latn-RS"/>
        </w:rPr>
        <w:t>vidjeti dio</w:t>
      </w:r>
      <w:r w:rsidRPr="008F1125">
        <w:rPr>
          <w:lang w:val="sr-Latn-RS" w:bidi="sr-Latn-RS"/>
        </w:rPr>
        <w:t xml:space="preserve"> 4.8).</w:t>
      </w:r>
    </w:p>
    <w:p w14:paraId="1FB63391"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92" w14:textId="59F29AF2" w:rsidR="009C14FE" w:rsidRPr="008F1125" w:rsidRDefault="00926926" w:rsidP="00B71A52">
      <w:pPr>
        <w:jc w:val="both"/>
        <w:rPr>
          <w:szCs w:val="22"/>
          <w:lang w:val="sr-Latn-RS"/>
        </w:rPr>
      </w:pPr>
      <w:r w:rsidRPr="008F1125">
        <w:rPr>
          <w:lang w:val="sr-Latn-RS" w:bidi="sr-Latn-RS"/>
        </w:rPr>
        <w:t>Pacijente treba pratiti zbog mogućih prom</w:t>
      </w:r>
      <w:r w:rsidR="00CB0FF3" w:rsidRPr="008F1125">
        <w:rPr>
          <w:lang w:val="sr-Latn-RS" w:bidi="sr-Latn-RS"/>
        </w:rPr>
        <w:t>j</w:t>
      </w:r>
      <w:r w:rsidRPr="008F1125">
        <w:rPr>
          <w:lang w:val="sr-Latn-RS" w:bidi="sr-Latn-RS"/>
        </w:rPr>
        <w:t>ena u funkciji jetre i simptoma imunološki posredovanog hepatitisa i isključiti druge uzroke osim imunološki posredovanog hepatitisa.</w:t>
      </w:r>
    </w:p>
    <w:p w14:paraId="1FB63393" w14:textId="77777777" w:rsidR="009C14FE" w:rsidRPr="008F1125" w:rsidRDefault="009C14FE" w:rsidP="00B71A52">
      <w:pPr>
        <w:jc w:val="both"/>
        <w:rPr>
          <w:szCs w:val="22"/>
          <w:lang w:val="sr-Latn-RS"/>
        </w:rPr>
      </w:pPr>
    </w:p>
    <w:p w14:paraId="1FB63394" w14:textId="12437113" w:rsidR="000D01B4" w:rsidRPr="008F1125" w:rsidRDefault="00926926" w:rsidP="00B71A52">
      <w:pPr>
        <w:jc w:val="both"/>
        <w:rPr>
          <w:szCs w:val="22"/>
          <w:lang w:val="sr-Latn-RS"/>
        </w:rPr>
      </w:pPr>
      <w:r w:rsidRPr="008F1125">
        <w:rPr>
          <w:lang w:val="sr-Latn-RS" w:bidi="sr-Latn-RS"/>
        </w:rPr>
        <w:t xml:space="preserve">Kod događaja ≥ 2. stepena treba </w:t>
      </w:r>
      <w:r w:rsidR="00B27CC7" w:rsidRPr="008F1125">
        <w:rPr>
          <w:lang w:val="sr-Latn-RS" w:bidi="sr-Latn-RS"/>
        </w:rPr>
        <w:t>primijeniti</w:t>
      </w:r>
      <w:r w:rsidRPr="008F1125">
        <w:rPr>
          <w:lang w:val="sr-Latn-RS" w:bidi="sr-Latn-RS"/>
        </w:rPr>
        <w:t xml:space="preserve"> kortikosteroide (početnu dozu prednizona od 1 do 2 mg/kg na dan ili </w:t>
      </w:r>
      <w:r w:rsidR="00B27CC7" w:rsidRPr="008F1125">
        <w:rPr>
          <w:lang w:val="sr-Latn-RS" w:bidi="sr-Latn-RS"/>
        </w:rPr>
        <w:t>ekvivalentni lijek</w:t>
      </w:r>
      <w:r w:rsidRPr="008F1125">
        <w:rPr>
          <w:lang w:val="sr-Latn-RS" w:bidi="sr-Latn-RS"/>
        </w:rPr>
        <w:t>, a nakon toga postepeno snižavanje doze kortikosteroida).</w:t>
      </w:r>
    </w:p>
    <w:p w14:paraId="1FB63395" w14:textId="77777777" w:rsidR="000D01B4" w:rsidRPr="008F1125" w:rsidRDefault="000D01B4" w:rsidP="00B71A52">
      <w:pPr>
        <w:jc w:val="both"/>
        <w:rPr>
          <w:szCs w:val="22"/>
          <w:lang w:val="sr-Latn-RS"/>
        </w:rPr>
      </w:pPr>
    </w:p>
    <w:p w14:paraId="1FB63396" w14:textId="7DD5A275" w:rsidR="000D01B4" w:rsidRPr="008F1125" w:rsidRDefault="00926926" w:rsidP="00B71A52">
      <w:pPr>
        <w:tabs>
          <w:tab w:val="clear" w:pos="567"/>
        </w:tabs>
        <w:autoSpaceDE w:val="0"/>
        <w:autoSpaceDN w:val="0"/>
        <w:adjustRightInd w:val="0"/>
        <w:jc w:val="both"/>
        <w:rPr>
          <w:rFonts w:eastAsia="TimesNewRoman"/>
          <w:szCs w:val="22"/>
          <w:lang w:val="sr-Latn-RS" w:eastAsia="en-GB"/>
        </w:rPr>
      </w:pPr>
      <w:r w:rsidRPr="008F1125">
        <w:rPr>
          <w:lang w:val="sr-Latn-RS" w:bidi="sr-Latn-RS"/>
        </w:rPr>
        <w:t xml:space="preserve">Kod imunološki posredovanog hepatitisa 2. stepena treba privremeno obustaviti </w:t>
      </w:r>
      <w:r w:rsidR="00DD502A" w:rsidRPr="008F1125">
        <w:rPr>
          <w:lang w:val="sr-Latn-RS" w:bidi="sr-Latn-RS"/>
        </w:rPr>
        <w:t>primjenu</w:t>
      </w:r>
      <w:r w:rsidRPr="008F1125">
        <w:rPr>
          <w:lang w:val="sr-Latn-RS" w:bidi="sr-Latn-RS"/>
        </w:rPr>
        <w:t xml:space="preserve"> avelumaba do njegovog povlačenja, a trajno prekinuti kod imunološki posredovanog hepatitisa 3. ili 4. stepena (</w:t>
      </w:r>
      <w:r w:rsidR="00DD502A" w:rsidRPr="008F1125">
        <w:rPr>
          <w:lang w:val="sr-Latn-RS" w:bidi="sr-Latn-RS"/>
        </w:rPr>
        <w:t>vidjeti dio</w:t>
      </w:r>
      <w:r w:rsidRPr="008F1125">
        <w:rPr>
          <w:lang w:val="sr-Latn-RS" w:bidi="sr-Latn-RS"/>
        </w:rPr>
        <w:t xml:space="preserve"> 4.2).</w:t>
      </w:r>
    </w:p>
    <w:p w14:paraId="1FB63397"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98" w14:textId="77777777" w:rsidR="000D01B4" w:rsidRPr="008F1125" w:rsidRDefault="00926926" w:rsidP="00B71A52">
      <w:pPr>
        <w:keepNext/>
        <w:keepLines/>
        <w:jc w:val="both"/>
        <w:rPr>
          <w:i/>
          <w:szCs w:val="22"/>
          <w:u w:val="single"/>
          <w:lang w:val="sr-Latn-RS"/>
        </w:rPr>
      </w:pPr>
      <w:r w:rsidRPr="008F1125">
        <w:rPr>
          <w:i/>
          <w:u w:val="single"/>
          <w:lang w:val="sr-Latn-RS" w:bidi="sr-Latn-RS"/>
        </w:rPr>
        <w:t>Imunološki posredovan kolitis</w:t>
      </w:r>
    </w:p>
    <w:p w14:paraId="1FB63399" w14:textId="5D32366A" w:rsidR="000D01B4" w:rsidRPr="008F1125" w:rsidRDefault="00926926" w:rsidP="00B71A52">
      <w:pPr>
        <w:keepNext/>
        <w:keepLines/>
        <w:tabs>
          <w:tab w:val="clear" w:pos="567"/>
        </w:tabs>
        <w:autoSpaceDE w:val="0"/>
        <w:autoSpaceDN w:val="0"/>
        <w:adjustRightInd w:val="0"/>
        <w:jc w:val="both"/>
        <w:rPr>
          <w:rFonts w:eastAsia="TimesNewRoman"/>
          <w:szCs w:val="22"/>
          <w:lang w:val="sr-Latn-RS" w:eastAsia="en-GB"/>
        </w:rPr>
      </w:pPr>
      <w:r w:rsidRPr="008F1125">
        <w:rPr>
          <w:lang w:val="sr-Latn-RS" w:bidi="sr-Latn-RS"/>
        </w:rPr>
        <w:t>Kod pacijenata koji primaju avelumab zab</w:t>
      </w:r>
      <w:r w:rsidR="001E61FA" w:rsidRPr="008F1125">
        <w:rPr>
          <w:lang w:val="sr-Latn-RS" w:bidi="sr-Latn-RS"/>
        </w:rPr>
        <w:t>i</w:t>
      </w:r>
      <w:r w:rsidRPr="008F1125">
        <w:rPr>
          <w:lang w:val="sr-Latn-RS" w:bidi="sr-Latn-RS"/>
        </w:rPr>
        <w:t>l</w:t>
      </w:r>
      <w:r w:rsidR="001E61FA" w:rsidRPr="008F1125">
        <w:rPr>
          <w:lang w:val="sr-Latn-RS" w:bidi="sr-Latn-RS"/>
        </w:rPr>
        <w:t>j</w:t>
      </w:r>
      <w:r w:rsidRPr="008F1125">
        <w:rPr>
          <w:lang w:val="sr-Latn-RS" w:bidi="sr-Latn-RS"/>
        </w:rPr>
        <w:t>ežen je imunološki posredovan kolitis (</w:t>
      </w:r>
      <w:r w:rsidR="00DD502A" w:rsidRPr="008F1125">
        <w:rPr>
          <w:lang w:val="sr-Latn-RS" w:bidi="sr-Latn-RS"/>
        </w:rPr>
        <w:t>vidjeti dio</w:t>
      </w:r>
      <w:r w:rsidRPr="008F1125">
        <w:rPr>
          <w:lang w:val="sr-Latn-RS" w:bidi="sr-Latn-RS"/>
        </w:rPr>
        <w:t xml:space="preserve"> 4.8).</w:t>
      </w:r>
    </w:p>
    <w:p w14:paraId="1FB6339A"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9B" w14:textId="300F22B8" w:rsidR="000D01B4" w:rsidRPr="008F1125" w:rsidRDefault="00926926" w:rsidP="00B71A52">
      <w:pPr>
        <w:jc w:val="both"/>
        <w:rPr>
          <w:szCs w:val="22"/>
          <w:lang w:val="sr-Latn-RS"/>
        </w:rPr>
      </w:pPr>
      <w:r w:rsidRPr="008F1125">
        <w:rPr>
          <w:lang w:val="sr-Latn-RS" w:bidi="sr-Latn-RS"/>
        </w:rPr>
        <w:t xml:space="preserve">Pacijente treba pratiti zbog mogućih znakova i simptoma imunološki posredovanog kolitisa i isključiti druge uzroke osim imunološki posredovanog kolitisa. Kod događaja ≥ 2. stepena treba </w:t>
      </w:r>
      <w:r w:rsidR="00B27CC7" w:rsidRPr="008F1125">
        <w:rPr>
          <w:lang w:val="sr-Latn-RS" w:bidi="sr-Latn-RS"/>
        </w:rPr>
        <w:t>primijeniti</w:t>
      </w:r>
      <w:r w:rsidRPr="008F1125">
        <w:rPr>
          <w:lang w:val="sr-Latn-RS" w:bidi="sr-Latn-RS"/>
        </w:rPr>
        <w:t xml:space="preserve"> kortikosteroide (početnu dozu prednizona od 1 do 2 mg/kg na dan ili ekvivalentni l</w:t>
      </w:r>
      <w:r w:rsidR="001E61FA" w:rsidRPr="008F1125">
        <w:rPr>
          <w:lang w:val="sr-Latn-RS" w:bidi="sr-Latn-RS"/>
        </w:rPr>
        <w:t>ij</w:t>
      </w:r>
      <w:r w:rsidRPr="008F1125">
        <w:rPr>
          <w:lang w:val="sr-Latn-RS" w:bidi="sr-Latn-RS"/>
        </w:rPr>
        <w:t>ek, a nakon toga postepeno snižavanje doze kortikosteroida).</w:t>
      </w:r>
    </w:p>
    <w:p w14:paraId="1FB6339C" w14:textId="77777777" w:rsidR="000D01B4" w:rsidRPr="008F1125" w:rsidRDefault="000D01B4" w:rsidP="00B71A52">
      <w:pPr>
        <w:jc w:val="both"/>
        <w:rPr>
          <w:szCs w:val="22"/>
          <w:lang w:val="sr-Latn-RS"/>
        </w:rPr>
      </w:pPr>
    </w:p>
    <w:p w14:paraId="1FB6339D" w14:textId="5D39345E" w:rsidR="000D01B4" w:rsidRPr="008F1125" w:rsidRDefault="00926926" w:rsidP="00B71A52">
      <w:pPr>
        <w:tabs>
          <w:tab w:val="clear" w:pos="567"/>
        </w:tabs>
        <w:autoSpaceDE w:val="0"/>
        <w:autoSpaceDN w:val="0"/>
        <w:adjustRightInd w:val="0"/>
        <w:jc w:val="both"/>
        <w:rPr>
          <w:rFonts w:eastAsia="TimesNewRoman"/>
          <w:i/>
          <w:szCs w:val="22"/>
          <w:lang w:val="sr-Latn-RS" w:eastAsia="en-GB"/>
        </w:rPr>
      </w:pPr>
      <w:r w:rsidRPr="008F1125">
        <w:rPr>
          <w:lang w:val="sr-Latn-RS" w:bidi="sr-Latn-RS"/>
        </w:rPr>
        <w:t xml:space="preserve">Kod imunološki posredovanog kolitisa 2. ili 3. stepena treba privremeno obustaviti </w:t>
      </w:r>
      <w:r w:rsidR="00DD502A" w:rsidRPr="008F1125">
        <w:rPr>
          <w:lang w:val="sr-Latn-RS" w:bidi="sr-Latn-RS"/>
        </w:rPr>
        <w:t>primjenu</w:t>
      </w:r>
      <w:r w:rsidRPr="008F1125">
        <w:rPr>
          <w:lang w:val="sr-Latn-RS" w:bidi="sr-Latn-RS"/>
        </w:rPr>
        <w:t xml:space="preserve"> avelumaba do njegovog povlačenja, a trajno prekinuti kod imunološki posredovanog kolitisa 4. stepena ili rekurentnog imunološki posredovanog kolitisa 3. stepena (</w:t>
      </w:r>
      <w:r w:rsidR="00DD502A" w:rsidRPr="008F1125">
        <w:rPr>
          <w:lang w:val="sr-Latn-RS" w:bidi="sr-Latn-RS"/>
        </w:rPr>
        <w:t>vidjeti dio</w:t>
      </w:r>
      <w:r w:rsidRPr="008F1125">
        <w:rPr>
          <w:lang w:val="sr-Latn-RS" w:bidi="sr-Latn-RS"/>
        </w:rPr>
        <w:t xml:space="preserve"> 4.2).</w:t>
      </w:r>
    </w:p>
    <w:p w14:paraId="1FB6339E" w14:textId="77777777" w:rsidR="00AC40F3" w:rsidRPr="008F1125" w:rsidRDefault="00AC40F3" w:rsidP="00B71A52">
      <w:pPr>
        <w:tabs>
          <w:tab w:val="clear" w:pos="567"/>
        </w:tabs>
        <w:autoSpaceDE w:val="0"/>
        <w:autoSpaceDN w:val="0"/>
        <w:adjustRightInd w:val="0"/>
        <w:jc w:val="both"/>
        <w:rPr>
          <w:rFonts w:eastAsia="TimesNewRoman"/>
          <w:iCs/>
          <w:szCs w:val="22"/>
          <w:lang w:val="sr-Latn-RS" w:eastAsia="en-GB"/>
        </w:rPr>
      </w:pPr>
    </w:p>
    <w:p w14:paraId="1FB6339F" w14:textId="77777777" w:rsidR="00AC40F3" w:rsidRPr="008F1125" w:rsidRDefault="00926926" w:rsidP="00B71A52">
      <w:pPr>
        <w:keepNext/>
        <w:keepLines/>
        <w:jc w:val="both"/>
        <w:rPr>
          <w:i/>
          <w:szCs w:val="22"/>
          <w:u w:val="single"/>
          <w:lang w:val="sr-Latn-RS"/>
        </w:rPr>
      </w:pPr>
      <w:r w:rsidRPr="008F1125">
        <w:rPr>
          <w:i/>
          <w:u w:val="single"/>
          <w:lang w:val="sr-Latn-RS" w:bidi="sr-Latn-RS"/>
        </w:rPr>
        <w:t>Imunološki posredovan pankreatitis</w:t>
      </w:r>
    </w:p>
    <w:p w14:paraId="1FB633A0" w14:textId="6CD274FB" w:rsidR="00AC40F3" w:rsidRPr="008F1125" w:rsidRDefault="00926926" w:rsidP="00B71A52">
      <w:pPr>
        <w:pStyle w:val="Paragraph"/>
        <w:keepNext/>
        <w:keepLines/>
        <w:spacing w:after="0"/>
        <w:jc w:val="both"/>
        <w:rPr>
          <w:sz w:val="22"/>
          <w:szCs w:val="22"/>
        </w:rPr>
      </w:pPr>
      <w:r w:rsidRPr="008F1125">
        <w:rPr>
          <w:sz w:val="22"/>
          <w:lang w:bidi="sr-Latn-RS"/>
        </w:rPr>
        <w:t>Kod pacijenata koji primaju avelumab zab</w:t>
      </w:r>
      <w:r w:rsidR="00A60BF8" w:rsidRPr="008F1125">
        <w:rPr>
          <w:sz w:val="22"/>
          <w:lang w:bidi="sr-Latn-RS"/>
        </w:rPr>
        <w:t>i</w:t>
      </w:r>
      <w:r w:rsidRPr="008F1125">
        <w:rPr>
          <w:sz w:val="22"/>
          <w:lang w:bidi="sr-Latn-RS"/>
        </w:rPr>
        <w:t>l</w:t>
      </w:r>
      <w:r w:rsidR="00A60BF8" w:rsidRPr="008F1125">
        <w:rPr>
          <w:sz w:val="22"/>
          <w:lang w:bidi="sr-Latn-RS"/>
        </w:rPr>
        <w:t>j</w:t>
      </w:r>
      <w:r w:rsidRPr="008F1125">
        <w:rPr>
          <w:sz w:val="22"/>
          <w:lang w:bidi="sr-Latn-RS"/>
        </w:rPr>
        <w:t xml:space="preserve">ežen je imunološki posredovan pankreatitis. Kod pacijenata koji su primali avelumab </w:t>
      </w:r>
      <w:r w:rsidR="00A60BF8" w:rsidRPr="008F1125">
        <w:rPr>
          <w:sz w:val="22"/>
          <w:lang w:bidi="sr-Latn-RS"/>
        </w:rPr>
        <w:t xml:space="preserve">u </w:t>
      </w:r>
      <w:r w:rsidRPr="008F1125">
        <w:rPr>
          <w:sz w:val="22"/>
          <w:lang w:bidi="sr-Latn-RS"/>
        </w:rPr>
        <w:t>kombinaciji sa aksitinibom zab</w:t>
      </w:r>
      <w:r w:rsidR="00A60BF8" w:rsidRPr="008F1125">
        <w:rPr>
          <w:sz w:val="22"/>
          <w:lang w:bidi="sr-Latn-RS"/>
        </w:rPr>
        <w:t>i</w:t>
      </w:r>
      <w:r w:rsidRPr="008F1125">
        <w:rPr>
          <w:sz w:val="22"/>
          <w:lang w:bidi="sr-Latn-RS"/>
        </w:rPr>
        <w:t>l</w:t>
      </w:r>
      <w:r w:rsidR="00A60BF8" w:rsidRPr="008F1125">
        <w:rPr>
          <w:sz w:val="22"/>
          <w:lang w:bidi="sr-Latn-RS"/>
        </w:rPr>
        <w:t>j</w:t>
      </w:r>
      <w:r w:rsidRPr="008F1125">
        <w:rPr>
          <w:sz w:val="22"/>
          <w:lang w:bidi="sr-Latn-RS"/>
        </w:rPr>
        <w:t>ežena su dva smrtna slučaja (</w:t>
      </w:r>
      <w:r w:rsidR="00DD502A" w:rsidRPr="008F1125">
        <w:rPr>
          <w:sz w:val="22"/>
          <w:lang w:bidi="sr-Latn-RS"/>
        </w:rPr>
        <w:t>vidjeti dio</w:t>
      </w:r>
      <w:r w:rsidRPr="008F1125">
        <w:rPr>
          <w:sz w:val="22"/>
          <w:lang w:bidi="sr-Latn-RS"/>
        </w:rPr>
        <w:t xml:space="preserve"> 4.8).</w:t>
      </w:r>
    </w:p>
    <w:p w14:paraId="1FB633A1" w14:textId="77777777" w:rsidR="00AC40F3" w:rsidRPr="008F1125" w:rsidRDefault="00AC40F3" w:rsidP="00B71A52">
      <w:pPr>
        <w:pStyle w:val="Paragraph"/>
        <w:spacing w:after="0"/>
        <w:jc w:val="both"/>
        <w:rPr>
          <w:sz w:val="22"/>
          <w:szCs w:val="22"/>
        </w:rPr>
      </w:pPr>
    </w:p>
    <w:p w14:paraId="1FB633A2" w14:textId="50E2BDC4" w:rsidR="00AC40F3" w:rsidRPr="008F1125" w:rsidRDefault="00926926" w:rsidP="00B71A52">
      <w:pPr>
        <w:pStyle w:val="Paragraph"/>
        <w:spacing w:after="0"/>
        <w:jc w:val="both"/>
        <w:rPr>
          <w:sz w:val="22"/>
          <w:szCs w:val="22"/>
        </w:rPr>
      </w:pPr>
      <w:r w:rsidRPr="008F1125">
        <w:rPr>
          <w:sz w:val="22"/>
          <w:lang w:bidi="sr-Latn-RS"/>
        </w:rPr>
        <w:t>Pacijente treba pratiti zbog mogućih znakova i simptoma imunološki posredovanog pankreatitisa. Kod simptomatskih pacijenata treba zatražiti savet gastroenterologa i sprovesti laboratorijske analize (uključujući i snimanja) kako bi se sprovođenje odgovarajućih m</w:t>
      </w:r>
      <w:r w:rsidR="001E61FA" w:rsidRPr="008F1125">
        <w:rPr>
          <w:sz w:val="22"/>
          <w:lang w:bidi="sr-Latn-RS"/>
        </w:rPr>
        <w:t>j</w:t>
      </w:r>
      <w:r w:rsidRPr="008F1125">
        <w:rPr>
          <w:sz w:val="22"/>
          <w:lang w:bidi="sr-Latn-RS"/>
        </w:rPr>
        <w:t>era započelo u ranoj fazi. Kod imunološki posredovanog pankreatitisa treba prim</w:t>
      </w:r>
      <w:r w:rsidR="001E61FA" w:rsidRPr="008F1125">
        <w:rPr>
          <w:sz w:val="22"/>
          <w:lang w:bidi="sr-Latn-RS"/>
        </w:rPr>
        <w:t>ij</w:t>
      </w:r>
      <w:r w:rsidRPr="008F1125">
        <w:rPr>
          <w:sz w:val="22"/>
          <w:lang w:bidi="sr-Latn-RS"/>
        </w:rPr>
        <w:t xml:space="preserve">eniti kortikosteroide (početnu dozu prednizona od 1 do 2 mg/kg na dan ili </w:t>
      </w:r>
      <w:r w:rsidR="00B27CC7" w:rsidRPr="008F1125">
        <w:rPr>
          <w:sz w:val="22"/>
          <w:lang w:bidi="sr-Latn-RS"/>
        </w:rPr>
        <w:t>ekvivalentni lijek</w:t>
      </w:r>
      <w:r w:rsidRPr="008F1125">
        <w:rPr>
          <w:sz w:val="22"/>
          <w:lang w:bidi="sr-Latn-RS"/>
        </w:rPr>
        <w:t>, a nakon toga postepeno snižavanje doze kortikosteroida).</w:t>
      </w:r>
    </w:p>
    <w:p w14:paraId="1FB633A3" w14:textId="77777777" w:rsidR="00AC40F3" w:rsidRPr="008F1125" w:rsidRDefault="00AC40F3" w:rsidP="00B71A52">
      <w:pPr>
        <w:pStyle w:val="Paragraph"/>
        <w:spacing w:after="0"/>
        <w:jc w:val="both"/>
        <w:rPr>
          <w:sz w:val="22"/>
          <w:szCs w:val="22"/>
        </w:rPr>
      </w:pPr>
    </w:p>
    <w:p w14:paraId="1FB633A4" w14:textId="74F1635F" w:rsidR="00AC40F3" w:rsidRPr="008F1125" w:rsidRDefault="00926926" w:rsidP="00B71A52">
      <w:pPr>
        <w:pStyle w:val="Paragraph"/>
        <w:spacing w:after="0"/>
        <w:jc w:val="both"/>
        <w:rPr>
          <w:sz w:val="22"/>
          <w:szCs w:val="22"/>
        </w:rPr>
      </w:pPr>
      <w:r w:rsidRPr="008F1125">
        <w:rPr>
          <w:sz w:val="22"/>
          <w:lang w:bidi="sr-Latn-RS"/>
        </w:rPr>
        <w:t xml:space="preserve">Kod sumnje na imunološki posredovan pankreatitis treba privremeno obustaviti </w:t>
      </w:r>
      <w:r w:rsidR="00DD502A" w:rsidRPr="008F1125">
        <w:rPr>
          <w:sz w:val="22"/>
          <w:lang w:bidi="sr-Latn-RS"/>
        </w:rPr>
        <w:t>primjenu</w:t>
      </w:r>
      <w:r w:rsidRPr="008F1125">
        <w:rPr>
          <w:sz w:val="22"/>
          <w:lang w:bidi="sr-Latn-RS"/>
        </w:rPr>
        <w:t xml:space="preserve"> avelumaba. Ako se imunološki posredovan pankreatitis potvrdi, treba trajno prekinuti </w:t>
      </w:r>
      <w:r w:rsidR="00DD502A" w:rsidRPr="008F1125">
        <w:rPr>
          <w:sz w:val="22"/>
          <w:lang w:bidi="sr-Latn-RS"/>
        </w:rPr>
        <w:t>primjenu</w:t>
      </w:r>
      <w:r w:rsidRPr="008F1125">
        <w:rPr>
          <w:sz w:val="22"/>
          <w:lang w:bidi="sr-Latn-RS"/>
        </w:rPr>
        <w:t xml:space="preserve"> avelumaba (</w:t>
      </w:r>
      <w:r w:rsidR="00DD502A" w:rsidRPr="008F1125">
        <w:rPr>
          <w:sz w:val="22"/>
          <w:lang w:bidi="sr-Latn-RS"/>
        </w:rPr>
        <w:t>vidjeti dio</w:t>
      </w:r>
      <w:r w:rsidRPr="008F1125">
        <w:rPr>
          <w:sz w:val="22"/>
          <w:lang w:bidi="sr-Latn-RS"/>
        </w:rPr>
        <w:t xml:space="preserve"> 4.2).</w:t>
      </w:r>
    </w:p>
    <w:p w14:paraId="1FB633A5" w14:textId="77777777" w:rsidR="00AC40F3" w:rsidRPr="008F1125" w:rsidRDefault="00AC40F3" w:rsidP="00B71A52">
      <w:pPr>
        <w:tabs>
          <w:tab w:val="clear" w:pos="567"/>
        </w:tabs>
        <w:autoSpaceDE w:val="0"/>
        <w:autoSpaceDN w:val="0"/>
        <w:adjustRightInd w:val="0"/>
        <w:jc w:val="both"/>
        <w:rPr>
          <w:rFonts w:eastAsia="TimesNewRoman"/>
          <w:iCs/>
          <w:szCs w:val="22"/>
          <w:lang w:val="sr-Latn-RS" w:eastAsia="en-GB"/>
        </w:rPr>
      </w:pPr>
    </w:p>
    <w:p w14:paraId="1FB633A6" w14:textId="77777777" w:rsidR="00AC40F3" w:rsidRPr="008F1125" w:rsidRDefault="00926926" w:rsidP="00B71A52">
      <w:pPr>
        <w:keepNext/>
        <w:keepLines/>
        <w:jc w:val="both"/>
        <w:rPr>
          <w:i/>
          <w:szCs w:val="22"/>
          <w:u w:val="single"/>
          <w:lang w:val="sr-Latn-RS"/>
        </w:rPr>
      </w:pPr>
      <w:r w:rsidRPr="008F1125">
        <w:rPr>
          <w:i/>
          <w:u w:val="single"/>
          <w:lang w:val="sr-Latn-RS" w:bidi="sr-Latn-RS"/>
        </w:rPr>
        <w:t>Imunološki posredovan miokarditis</w:t>
      </w:r>
    </w:p>
    <w:p w14:paraId="1FB633A7" w14:textId="5ADEF99B" w:rsidR="00AC40F3" w:rsidRPr="008F1125" w:rsidRDefault="00926926" w:rsidP="00B71A52">
      <w:pPr>
        <w:pStyle w:val="Paragraph"/>
        <w:keepNext/>
        <w:keepLines/>
        <w:spacing w:after="0"/>
        <w:jc w:val="both"/>
        <w:rPr>
          <w:sz w:val="22"/>
          <w:szCs w:val="22"/>
        </w:rPr>
      </w:pPr>
      <w:r w:rsidRPr="008F1125">
        <w:rPr>
          <w:sz w:val="22"/>
          <w:lang w:bidi="sr-Latn-RS"/>
        </w:rPr>
        <w:t>Kod pacijenata koji primaju avelumab zab</w:t>
      </w:r>
      <w:r w:rsidR="00A60BF8" w:rsidRPr="008F1125">
        <w:rPr>
          <w:sz w:val="22"/>
          <w:lang w:bidi="sr-Latn-RS"/>
        </w:rPr>
        <w:t>i</w:t>
      </w:r>
      <w:r w:rsidRPr="008F1125">
        <w:rPr>
          <w:sz w:val="22"/>
          <w:lang w:bidi="sr-Latn-RS"/>
        </w:rPr>
        <w:t>l</w:t>
      </w:r>
      <w:r w:rsidR="00A60BF8" w:rsidRPr="008F1125">
        <w:rPr>
          <w:sz w:val="22"/>
          <w:lang w:bidi="sr-Latn-RS"/>
        </w:rPr>
        <w:t>j</w:t>
      </w:r>
      <w:r w:rsidRPr="008F1125">
        <w:rPr>
          <w:sz w:val="22"/>
          <w:lang w:bidi="sr-Latn-RS"/>
        </w:rPr>
        <w:t xml:space="preserve">ežen je imunološki posredovan miokarditis. Kod pacijenata koji su primali avelumab </w:t>
      </w:r>
      <w:r w:rsidR="00A60BF8" w:rsidRPr="008F1125">
        <w:rPr>
          <w:sz w:val="22"/>
          <w:lang w:bidi="sr-Latn-RS"/>
        </w:rPr>
        <w:t xml:space="preserve">u </w:t>
      </w:r>
      <w:r w:rsidRPr="008F1125">
        <w:rPr>
          <w:sz w:val="22"/>
          <w:lang w:bidi="sr-Latn-RS"/>
        </w:rPr>
        <w:t>kombinaciji sa aksitinibom zab</w:t>
      </w:r>
      <w:r w:rsidR="00A60BF8" w:rsidRPr="008F1125">
        <w:rPr>
          <w:sz w:val="22"/>
          <w:lang w:bidi="sr-Latn-RS"/>
        </w:rPr>
        <w:t>i</w:t>
      </w:r>
      <w:r w:rsidRPr="008F1125">
        <w:rPr>
          <w:sz w:val="22"/>
          <w:lang w:bidi="sr-Latn-RS"/>
        </w:rPr>
        <w:t>l</w:t>
      </w:r>
      <w:r w:rsidR="00A60BF8" w:rsidRPr="008F1125">
        <w:rPr>
          <w:sz w:val="22"/>
          <w:lang w:bidi="sr-Latn-RS"/>
        </w:rPr>
        <w:t>j</w:t>
      </w:r>
      <w:r w:rsidRPr="008F1125">
        <w:rPr>
          <w:sz w:val="22"/>
          <w:lang w:bidi="sr-Latn-RS"/>
        </w:rPr>
        <w:t>ežena su dva smrtna slučaja (</w:t>
      </w:r>
      <w:r w:rsidR="00DD502A" w:rsidRPr="008F1125">
        <w:rPr>
          <w:sz w:val="22"/>
          <w:lang w:bidi="sr-Latn-RS"/>
        </w:rPr>
        <w:t>vidjeti dio</w:t>
      </w:r>
      <w:r w:rsidRPr="008F1125">
        <w:rPr>
          <w:sz w:val="22"/>
          <w:lang w:bidi="sr-Latn-RS"/>
        </w:rPr>
        <w:t xml:space="preserve"> 4.8).</w:t>
      </w:r>
    </w:p>
    <w:p w14:paraId="1FB633A8" w14:textId="77777777" w:rsidR="00AC40F3" w:rsidRPr="008F1125" w:rsidRDefault="00AC40F3" w:rsidP="00B71A52">
      <w:pPr>
        <w:pStyle w:val="Paragraph"/>
        <w:spacing w:after="0"/>
        <w:jc w:val="both"/>
        <w:rPr>
          <w:sz w:val="22"/>
          <w:szCs w:val="22"/>
        </w:rPr>
      </w:pPr>
    </w:p>
    <w:p w14:paraId="1FB633A9" w14:textId="371AA1F3" w:rsidR="00AC40F3" w:rsidRPr="008F1125" w:rsidRDefault="00926926" w:rsidP="00B71A52">
      <w:pPr>
        <w:pStyle w:val="Paragraph"/>
        <w:keepLines/>
        <w:spacing w:after="0"/>
        <w:jc w:val="both"/>
        <w:rPr>
          <w:sz w:val="22"/>
          <w:szCs w:val="22"/>
        </w:rPr>
      </w:pPr>
      <w:r w:rsidRPr="008F1125">
        <w:rPr>
          <w:sz w:val="22"/>
          <w:lang w:bidi="sr-Latn-RS"/>
        </w:rPr>
        <w:t>Pacijente treba pratiti zbog mogućih znakova i simptoma imunološki posredovanog miokarditisa. Kod simptomatskih pacijenata treba zatražiti sav</w:t>
      </w:r>
      <w:r w:rsidR="001E61FA" w:rsidRPr="008F1125">
        <w:rPr>
          <w:sz w:val="22"/>
          <w:lang w:bidi="sr-Latn-RS"/>
        </w:rPr>
        <w:t>j</w:t>
      </w:r>
      <w:r w:rsidRPr="008F1125">
        <w:rPr>
          <w:sz w:val="22"/>
          <w:lang w:bidi="sr-Latn-RS"/>
        </w:rPr>
        <w:t>et kardiologa i sprovesti laboratorijske analize kako bi se sprovođenje odgovarajućih m</w:t>
      </w:r>
      <w:r w:rsidR="001E61FA" w:rsidRPr="008F1125">
        <w:rPr>
          <w:sz w:val="22"/>
          <w:lang w:bidi="sr-Latn-RS"/>
        </w:rPr>
        <w:t>j</w:t>
      </w:r>
      <w:r w:rsidRPr="008F1125">
        <w:rPr>
          <w:sz w:val="22"/>
          <w:lang w:bidi="sr-Latn-RS"/>
        </w:rPr>
        <w:t>era započelo u ranoj fazi. Kod imunološki posredovanog miokarditisa treba prim</w:t>
      </w:r>
      <w:r w:rsidR="001E61FA" w:rsidRPr="008F1125">
        <w:rPr>
          <w:sz w:val="22"/>
          <w:lang w:bidi="sr-Latn-RS"/>
        </w:rPr>
        <w:t>ij</w:t>
      </w:r>
      <w:r w:rsidRPr="008F1125">
        <w:rPr>
          <w:sz w:val="22"/>
          <w:lang w:bidi="sr-Latn-RS"/>
        </w:rPr>
        <w:t>eniti kortikosteroide (početnu dozu prednizona od 1 do 2 mg/kg na dan ili ekvivalentni l</w:t>
      </w:r>
      <w:r w:rsidR="001E61FA" w:rsidRPr="008F1125">
        <w:rPr>
          <w:sz w:val="22"/>
          <w:lang w:bidi="sr-Latn-RS"/>
        </w:rPr>
        <w:t>ij</w:t>
      </w:r>
      <w:r w:rsidRPr="008F1125">
        <w:rPr>
          <w:sz w:val="22"/>
          <w:lang w:bidi="sr-Latn-RS"/>
        </w:rPr>
        <w:t xml:space="preserve">ek, a nakon toga postepeno snižavanje doze kortikosteroida). Ako u okviru </w:t>
      </w:r>
      <w:r w:rsidR="008D1519" w:rsidRPr="008F1125">
        <w:rPr>
          <w:sz w:val="22"/>
          <w:lang w:bidi="sr-Latn-RS"/>
        </w:rPr>
        <w:t xml:space="preserve">od </w:t>
      </w:r>
      <w:r w:rsidRPr="008F1125">
        <w:rPr>
          <w:sz w:val="22"/>
          <w:lang w:bidi="sr-Latn-RS"/>
        </w:rPr>
        <w:t xml:space="preserve">24 </w:t>
      </w:r>
      <w:r w:rsidR="008D1519" w:rsidRPr="008F1125">
        <w:rPr>
          <w:sz w:val="22"/>
          <w:lang w:bidi="sr-Latn-RS"/>
        </w:rPr>
        <w:t xml:space="preserve">sata </w:t>
      </w:r>
      <w:r w:rsidRPr="008F1125">
        <w:rPr>
          <w:sz w:val="22"/>
          <w:lang w:bidi="sr-Latn-RS"/>
        </w:rPr>
        <w:t>od početka terapije kortikosteroidima ne nastupi poboljšanje, treba razmotriti dodatnu imunosupresiju (npr. mikofenolatom, infliksimabom, antitimocitnim globulinom).</w:t>
      </w:r>
    </w:p>
    <w:p w14:paraId="1FB633AA" w14:textId="77777777" w:rsidR="000D01B4" w:rsidRPr="008F1125" w:rsidRDefault="000D01B4" w:rsidP="00B71A52">
      <w:pPr>
        <w:tabs>
          <w:tab w:val="clear" w:pos="567"/>
        </w:tabs>
        <w:autoSpaceDE w:val="0"/>
        <w:autoSpaceDN w:val="0"/>
        <w:adjustRightInd w:val="0"/>
        <w:jc w:val="both"/>
        <w:rPr>
          <w:rFonts w:eastAsia="TimesNewRoman"/>
          <w:iCs/>
          <w:szCs w:val="22"/>
          <w:lang w:val="sr-Latn-RS" w:eastAsia="en-GB"/>
        </w:rPr>
      </w:pPr>
    </w:p>
    <w:p w14:paraId="1FB633AB" w14:textId="62DB0B4A" w:rsidR="00AC40F3" w:rsidRPr="008F1125" w:rsidRDefault="00926926" w:rsidP="00B71A52">
      <w:pPr>
        <w:pStyle w:val="Paragraph"/>
        <w:spacing w:after="0"/>
        <w:jc w:val="both"/>
        <w:rPr>
          <w:sz w:val="22"/>
          <w:szCs w:val="22"/>
        </w:rPr>
      </w:pPr>
      <w:r w:rsidRPr="008F1125">
        <w:rPr>
          <w:sz w:val="22"/>
          <w:lang w:bidi="sr-Latn-RS"/>
        </w:rPr>
        <w:t xml:space="preserve">Kod sumnje na imunološki posredovan miokarditis treba privremeno obustaviti </w:t>
      </w:r>
      <w:r w:rsidR="00DD502A" w:rsidRPr="008F1125">
        <w:rPr>
          <w:sz w:val="22"/>
          <w:lang w:bidi="sr-Latn-RS"/>
        </w:rPr>
        <w:t>primjenu</w:t>
      </w:r>
      <w:r w:rsidRPr="008F1125">
        <w:rPr>
          <w:sz w:val="22"/>
          <w:lang w:bidi="sr-Latn-RS"/>
        </w:rPr>
        <w:t xml:space="preserve"> avelumaba. Ako se imunološki posredovan miokarditis potvrdi, treba trajno prekinuti </w:t>
      </w:r>
      <w:r w:rsidR="00DD502A" w:rsidRPr="008F1125">
        <w:rPr>
          <w:sz w:val="22"/>
          <w:lang w:bidi="sr-Latn-RS"/>
        </w:rPr>
        <w:t>primjenu</w:t>
      </w:r>
      <w:r w:rsidRPr="008F1125">
        <w:rPr>
          <w:sz w:val="22"/>
          <w:lang w:bidi="sr-Latn-RS"/>
        </w:rPr>
        <w:t xml:space="preserve"> avelumaba (</w:t>
      </w:r>
      <w:r w:rsidR="00DD502A" w:rsidRPr="008F1125">
        <w:rPr>
          <w:sz w:val="22"/>
          <w:lang w:bidi="sr-Latn-RS"/>
        </w:rPr>
        <w:t>vidjeti dio</w:t>
      </w:r>
      <w:r w:rsidRPr="008F1125">
        <w:rPr>
          <w:sz w:val="22"/>
          <w:lang w:bidi="sr-Latn-RS"/>
        </w:rPr>
        <w:t xml:space="preserve"> 4.2).</w:t>
      </w:r>
    </w:p>
    <w:p w14:paraId="1FB633AC" w14:textId="77777777" w:rsidR="00AC40F3" w:rsidRPr="008F1125" w:rsidRDefault="00AC40F3" w:rsidP="00B71A52">
      <w:pPr>
        <w:pStyle w:val="Paragraph"/>
        <w:spacing w:after="0"/>
        <w:jc w:val="both"/>
        <w:rPr>
          <w:sz w:val="22"/>
          <w:szCs w:val="22"/>
        </w:rPr>
      </w:pPr>
    </w:p>
    <w:p w14:paraId="1FB633AD" w14:textId="77777777" w:rsidR="000D01B4" w:rsidRPr="008F1125" w:rsidRDefault="00926926" w:rsidP="00B71A52">
      <w:pPr>
        <w:keepNext/>
        <w:keepLines/>
        <w:jc w:val="both"/>
        <w:rPr>
          <w:i/>
          <w:szCs w:val="22"/>
          <w:u w:val="single"/>
          <w:lang w:val="sr-Latn-RS"/>
        </w:rPr>
      </w:pPr>
      <w:r w:rsidRPr="008F1125">
        <w:rPr>
          <w:i/>
          <w:u w:val="single"/>
          <w:lang w:val="sr-Latn-RS" w:bidi="sr-Latn-RS"/>
        </w:rPr>
        <w:t>Imunološki posredovane endokrinopatije</w:t>
      </w:r>
    </w:p>
    <w:p w14:paraId="1FB633AE" w14:textId="13C3BDAC" w:rsidR="000D01B4" w:rsidRPr="008F1125" w:rsidRDefault="00926926" w:rsidP="00B71A52">
      <w:pPr>
        <w:keepNext/>
        <w:keepLines/>
        <w:tabs>
          <w:tab w:val="clear" w:pos="567"/>
        </w:tabs>
        <w:autoSpaceDE w:val="0"/>
        <w:autoSpaceDN w:val="0"/>
        <w:adjustRightInd w:val="0"/>
        <w:jc w:val="both"/>
        <w:rPr>
          <w:szCs w:val="22"/>
          <w:lang w:val="sr-Latn-RS"/>
        </w:rPr>
      </w:pPr>
      <w:r w:rsidRPr="008F1125">
        <w:rPr>
          <w:lang w:val="sr-Latn-RS" w:bidi="sr-Latn-RS"/>
        </w:rPr>
        <w:t>Kod pacijenata koji primaju avelumab zab</w:t>
      </w:r>
      <w:r w:rsidR="008D1519" w:rsidRPr="008F1125">
        <w:rPr>
          <w:lang w:val="sr-Latn-RS" w:bidi="sr-Latn-RS"/>
        </w:rPr>
        <w:t>i</w:t>
      </w:r>
      <w:r w:rsidRPr="008F1125">
        <w:rPr>
          <w:lang w:val="sr-Latn-RS" w:bidi="sr-Latn-RS"/>
        </w:rPr>
        <w:t>l</w:t>
      </w:r>
      <w:r w:rsidR="008D1519" w:rsidRPr="008F1125">
        <w:rPr>
          <w:lang w:val="sr-Latn-RS" w:bidi="sr-Latn-RS"/>
        </w:rPr>
        <w:t>j</w:t>
      </w:r>
      <w:r w:rsidRPr="008F1125">
        <w:rPr>
          <w:lang w:val="sr-Latn-RS" w:bidi="sr-Latn-RS"/>
        </w:rPr>
        <w:t>eženi su imunološki posredovani poremećaji štitne žl</w:t>
      </w:r>
      <w:r w:rsidR="008D1519" w:rsidRPr="008F1125">
        <w:rPr>
          <w:lang w:val="sr-Latn-RS" w:bidi="sr-Latn-RS"/>
        </w:rPr>
        <w:t>ij</w:t>
      </w:r>
      <w:r w:rsidRPr="008F1125">
        <w:rPr>
          <w:lang w:val="sr-Latn-RS" w:bidi="sr-Latn-RS"/>
        </w:rPr>
        <w:t>ezde, imunološki posredovana adrenalna insuficijencija i dijabetes melitus tip 1 (</w:t>
      </w:r>
      <w:r w:rsidR="00DD502A" w:rsidRPr="008F1125">
        <w:rPr>
          <w:lang w:val="sr-Latn-RS" w:bidi="sr-Latn-RS"/>
        </w:rPr>
        <w:t>vidjeti dio</w:t>
      </w:r>
      <w:r w:rsidRPr="008F1125">
        <w:rPr>
          <w:lang w:val="sr-Latn-RS" w:bidi="sr-Latn-RS"/>
        </w:rPr>
        <w:t xml:space="preserve"> 4.8). Pacijente treba pratiti zbog mogućih kliničkih znakova i simptoma endokrinopatija. Kod endokrinopatija 3. ili 4. stepena treba privremeno obustaviti </w:t>
      </w:r>
      <w:r w:rsidR="00DD502A" w:rsidRPr="008F1125">
        <w:rPr>
          <w:lang w:val="sr-Latn-RS" w:bidi="sr-Latn-RS"/>
        </w:rPr>
        <w:t>primjenu</w:t>
      </w:r>
      <w:r w:rsidRPr="008F1125">
        <w:rPr>
          <w:lang w:val="sr-Latn-RS" w:bidi="sr-Latn-RS"/>
        </w:rPr>
        <w:t xml:space="preserve"> avelumaba do njihovog povlačenja (</w:t>
      </w:r>
      <w:r w:rsidR="00DD502A" w:rsidRPr="008F1125">
        <w:rPr>
          <w:lang w:val="sr-Latn-RS" w:bidi="sr-Latn-RS"/>
        </w:rPr>
        <w:t>vidjeti dio</w:t>
      </w:r>
      <w:r w:rsidRPr="008F1125">
        <w:rPr>
          <w:lang w:val="sr-Latn-RS" w:bidi="sr-Latn-RS"/>
        </w:rPr>
        <w:t xml:space="preserve"> 4.2).</w:t>
      </w:r>
    </w:p>
    <w:p w14:paraId="1FB633AF" w14:textId="77777777" w:rsidR="000D01B4" w:rsidRPr="008F1125" w:rsidRDefault="000D01B4" w:rsidP="00B71A52">
      <w:pPr>
        <w:jc w:val="both"/>
        <w:rPr>
          <w:rFonts w:eastAsia="TimesNewRoman"/>
          <w:szCs w:val="22"/>
          <w:lang w:val="sr-Latn-RS" w:eastAsia="en-GB"/>
        </w:rPr>
      </w:pPr>
    </w:p>
    <w:p w14:paraId="1FB633B0" w14:textId="34250F09" w:rsidR="000D01B4" w:rsidRPr="008F1125" w:rsidRDefault="00926926" w:rsidP="00B71A52">
      <w:pPr>
        <w:keepNext/>
        <w:keepLines/>
        <w:jc w:val="both"/>
        <w:rPr>
          <w:i/>
          <w:szCs w:val="22"/>
          <w:lang w:val="sr-Latn-RS"/>
        </w:rPr>
      </w:pPr>
      <w:r w:rsidRPr="008F1125">
        <w:rPr>
          <w:i/>
          <w:lang w:val="sr-Latn-RS" w:bidi="sr-Latn-RS"/>
        </w:rPr>
        <w:t>Poremećaji štitne žl</w:t>
      </w:r>
      <w:r w:rsidR="008D1519" w:rsidRPr="008F1125">
        <w:rPr>
          <w:i/>
          <w:lang w:val="sr-Latn-RS" w:bidi="sr-Latn-RS"/>
        </w:rPr>
        <w:t>ij</w:t>
      </w:r>
      <w:r w:rsidRPr="008F1125">
        <w:rPr>
          <w:i/>
          <w:lang w:val="sr-Latn-RS" w:bidi="sr-Latn-RS"/>
        </w:rPr>
        <w:t>ezde (hipotireoza/hipertireoza)</w:t>
      </w:r>
    </w:p>
    <w:p w14:paraId="1FB633B1" w14:textId="0FDD496B" w:rsidR="000D01B4" w:rsidRPr="008F1125" w:rsidRDefault="00926926" w:rsidP="00B71A52">
      <w:pPr>
        <w:keepNext/>
        <w:keepLines/>
        <w:jc w:val="both"/>
        <w:rPr>
          <w:szCs w:val="22"/>
          <w:lang w:val="sr-Latn-RS"/>
        </w:rPr>
      </w:pPr>
      <w:r w:rsidRPr="008F1125">
        <w:rPr>
          <w:lang w:val="sr-Latn-RS" w:bidi="sr-Latn-RS"/>
        </w:rPr>
        <w:t>Poremećaji štitne žl</w:t>
      </w:r>
      <w:r w:rsidR="008D1519" w:rsidRPr="008F1125">
        <w:rPr>
          <w:lang w:val="sr-Latn-RS" w:bidi="sr-Latn-RS"/>
        </w:rPr>
        <w:t>ij</w:t>
      </w:r>
      <w:r w:rsidRPr="008F1125">
        <w:rPr>
          <w:lang w:val="sr-Latn-RS" w:bidi="sr-Latn-RS"/>
        </w:rPr>
        <w:t>ezde mogu nastati bilo kada za vr</w:t>
      </w:r>
      <w:r w:rsidR="00E74CD9" w:rsidRPr="008F1125">
        <w:rPr>
          <w:lang w:val="sr-Latn-RS" w:bidi="sr-Latn-RS"/>
        </w:rPr>
        <w:t>ij</w:t>
      </w:r>
      <w:r w:rsidRPr="008F1125">
        <w:rPr>
          <w:lang w:val="sr-Latn-RS" w:bidi="sr-Latn-RS"/>
        </w:rPr>
        <w:t>eme terapije (</w:t>
      </w:r>
      <w:r w:rsidR="00DD502A" w:rsidRPr="008F1125">
        <w:rPr>
          <w:lang w:val="sr-Latn-RS" w:bidi="sr-Latn-RS"/>
        </w:rPr>
        <w:t>vidjeti dio</w:t>
      </w:r>
      <w:r w:rsidRPr="008F1125">
        <w:rPr>
          <w:lang w:val="sr-Latn-RS" w:bidi="sr-Latn-RS"/>
        </w:rPr>
        <w:t xml:space="preserve"> 4.8).</w:t>
      </w:r>
    </w:p>
    <w:p w14:paraId="1FB633B2" w14:textId="77777777" w:rsidR="000D01B4" w:rsidRPr="008F1125" w:rsidRDefault="000D01B4" w:rsidP="00B71A52">
      <w:pPr>
        <w:jc w:val="both"/>
        <w:rPr>
          <w:szCs w:val="22"/>
          <w:lang w:val="sr-Latn-RS"/>
        </w:rPr>
      </w:pPr>
    </w:p>
    <w:p w14:paraId="1FB633B3" w14:textId="69119349" w:rsidR="000D01B4" w:rsidRPr="008F1125" w:rsidRDefault="00926926" w:rsidP="00B71A52">
      <w:pPr>
        <w:jc w:val="both"/>
        <w:rPr>
          <w:szCs w:val="22"/>
          <w:lang w:val="sr-Latn-RS"/>
        </w:rPr>
      </w:pPr>
      <w:r w:rsidRPr="008F1125">
        <w:rPr>
          <w:lang w:val="sr-Latn-RS" w:bidi="sr-Latn-RS"/>
        </w:rPr>
        <w:t>Pacijente treba pratiti zbog mogućih prom</w:t>
      </w:r>
      <w:r w:rsidR="00CB0FF3" w:rsidRPr="008F1125">
        <w:rPr>
          <w:lang w:val="sr-Latn-RS" w:bidi="sr-Latn-RS"/>
        </w:rPr>
        <w:t>j</w:t>
      </w:r>
      <w:r w:rsidRPr="008F1125">
        <w:rPr>
          <w:lang w:val="sr-Latn-RS" w:bidi="sr-Latn-RS"/>
        </w:rPr>
        <w:t>ena u funkciji štitne žl</w:t>
      </w:r>
      <w:r w:rsidR="008D1519" w:rsidRPr="008F1125">
        <w:rPr>
          <w:lang w:val="sr-Latn-RS" w:bidi="sr-Latn-RS"/>
        </w:rPr>
        <w:t>ij</w:t>
      </w:r>
      <w:r w:rsidRPr="008F1125">
        <w:rPr>
          <w:lang w:val="sr-Latn-RS" w:bidi="sr-Latn-RS"/>
        </w:rPr>
        <w:t>ezde (na početku terapije, povremeno tokom terapije i prema indikaciji na osnovu kliničke proc</w:t>
      </w:r>
      <w:r w:rsidR="008D1519" w:rsidRPr="008F1125">
        <w:rPr>
          <w:lang w:val="sr-Latn-RS" w:bidi="sr-Latn-RS"/>
        </w:rPr>
        <w:t>j</w:t>
      </w:r>
      <w:r w:rsidRPr="008F1125">
        <w:rPr>
          <w:lang w:val="sr-Latn-RS" w:bidi="sr-Latn-RS"/>
        </w:rPr>
        <w:t xml:space="preserve">ene) i zbog mogućih kliničkih znakova i </w:t>
      </w:r>
      <w:r w:rsidRPr="008F1125">
        <w:rPr>
          <w:lang w:val="sr-Latn-RS" w:bidi="sr-Latn-RS"/>
        </w:rPr>
        <w:lastRenderedPageBreak/>
        <w:t>simptoma poremećaja štitne žl</w:t>
      </w:r>
      <w:r w:rsidR="00B27CC7" w:rsidRPr="008F1125">
        <w:rPr>
          <w:lang w:val="sr-Latn-RS" w:bidi="sr-Latn-RS"/>
        </w:rPr>
        <w:t>ij</w:t>
      </w:r>
      <w:r w:rsidRPr="008F1125">
        <w:rPr>
          <w:lang w:val="sr-Latn-RS" w:bidi="sr-Latn-RS"/>
        </w:rPr>
        <w:t>ezde. Hipotireozu treba regulisati supstitucionom terapijom, a hipertireozu antitiroidnim l</w:t>
      </w:r>
      <w:r w:rsidR="00B27CC7" w:rsidRPr="008F1125">
        <w:rPr>
          <w:lang w:val="sr-Latn-RS" w:bidi="sr-Latn-RS"/>
        </w:rPr>
        <w:t>ij</w:t>
      </w:r>
      <w:r w:rsidRPr="008F1125">
        <w:rPr>
          <w:lang w:val="sr-Latn-RS" w:bidi="sr-Latn-RS"/>
        </w:rPr>
        <w:t>ekom, po potrebi.</w:t>
      </w:r>
    </w:p>
    <w:p w14:paraId="1FB633B4" w14:textId="77777777" w:rsidR="000D01B4" w:rsidRPr="008F1125" w:rsidRDefault="000D01B4" w:rsidP="00B71A52">
      <w:pPr>
        <w:jc w:val="both"/>
        <w:rPr>
          <w:i/>
          <w:szCs w:val="22"/>
          <w:lang w:val="sr-Latn-RS"/>
        </w:rPr>
      </w:pPr>
    </w:p>
    <w:p w14:paraId="1FB633B5" w14:textId="25CF1C44" w:rsidR="000D01B4" w:rsidRPr="008F1125" w:rsidRDefault="00926926" w:rsidP="00B71A52">
      <w:pPr>
        <w:jc w:val="both"/>
        <w:rPr>
          <w:szCs w:val="22"/>
          <w:lang w:val="sr-Latn-RS"/>
        </w:rPr>
      </w:pPr>
      <w:r w:rsidRPr="008F1125">
        <w:rPr>
          <w:lang w:val="sr-Latn-RS" w:bidi="sr-Latn-RS"/>
        </w:rPr>
        <w:t>Kod poremećaja štitne žl</w:t>
      </w:r>
      <w:r w:rsidR="00B27CC7" w:rsidRPr="008F1125">
        <w:rPr>
          <w:lang w:val="sr-Latn-RS" w:bidi="sr-Latn-RS"/>
        </w:rPr>
        <w:t>ij</w:t>
      </w:r>
      <w:r w:rsidRPr="008F1125">
        <w:rPr>
          <w:lang w:val="sr-Latn-RS" w:bidi="sr-Latn-RS"/>
        </w:rPr>
        <w:t xml:space="preserve">ezde 3. ili 4. stepena treba privremeno obustaviti </w:t>
      </w:r>
      <w:r w:rsidR="00DD502A" w:rsidRPr="008F1125">
        <w:rPr>
          <w:lang w:val="sr-Latn-RS" w:bidi="sr-Latn-RS"/>
        </w:rPr>
        <w:t>primjenu</w:t>
      </w:r>
      <w:r w:rsidRPr="008F1125">
        <w:rPr>
          <w:lang w:val="sr-Latn-RS" w:bidi="sr-Latn-RS"/>
        </w:rPr>
        <w:t xml:space="preserve"> avelumaba (</w:t>
      </w:r>
      <w:r w:rsidR="00DD502A" w:rsidRPr="008F1125">
        <w:rPr>
          <w:lang w:val="sr-Latn-RS" w:bidi="sr-Latn-RS"/>
        </w:rPr>
        <w:t>vidjeti dio</w:t>
      </w:r>
      <w:r w:rsidRPr="008F1125">
        <w:rPr>
          <w:lang w:val="sr-Latn-RS" w:bidi="sr-Latn-RS"/>
        </w:rPr>
        <w:t xml:space="preserve"> 4.2).</w:t>
      </w:r>
    </w:p>
    <w:p w14:paraId="1FB633B6" w14:textId="77777777" w:rsidR="000D01B4" w:rsidRPr="008F1125" w:rsidRDefault="000D01B4" w:rsidP="00B71A52">
      <w:pPr>
        <w:jc w:val="both"/>
        <w:rPr>
          <w:iCs/>
          <w:szCs w:val="22"/>
          <w:lang w:val="sr-Latn-RS"/>
        </w:rPr>
      </w:pPr>
    </w:p>
    <w:p w14:paraId="1FB633B7" w14:textId="77777777" w:rsidR="000D01B4" w:rsidRPr="008F1125" w:rsidRDefault="00926926" w:rsidP="00B71A52">
      <w:pPr>
        <w:keepNext/>
        <w:keepLines/>
        <w:jc w:val="both"/>
        <w:rPr>
          <w:i/>
          <w:szCs w:val="22"/>
          <w:lang w:val="sr-Latn-RS"/>
        </w:rPr>
      </w:pPr>
      <w:r w:rsidRPr="008F1125">
        <w:rPr>
          <w:i/>
          <w:lang w:val="sr-Latn-RS" w:bidi="sr-Latn-RS"/>
        </w:rPr>
        <w:t>Adrenalna insuficijencija</w:t>
      </w:r>
    </w:p>
    <w:p w14:paraId="1FB633B8" w14:textId="57503385" w:rsidR="000D01B4" w:rsidRPr="008F1125" w:rsidRDefault="00926926" w:rsidP="00B71A52">
      <w:pPr>
        <w:keepNext/>
        <w:keepLines/>
        <w:autoSpaceDE w:val="0"/>
        <w:autoSpaceDN w:val="0"/>
        <w:adjustRightInd w:val="0"/>
        <w:jc w:val="both"/>
        <w:rPr>
          <w:iCs/>
          <w:szCs w:val="22"/>
          <w:lang w:val="sr-Latn-RS" w:eastAsia="en-GB"/>
        </w:rPr>
      </w:pPr>
      <w:r w:rsidRPr="008F1125">
        <w:rPr>
          <w:lang w:val="sr-Latn-RS" w:bidi="sr-Latn-RS"/>
        </w:rPr>
        <w:t xml:space="preserve">Pacijente treba pratiti zbog mogućih znakova i simptoma adrenalne insuficijencije tokom i nakon terapije. Kod adrenalne insuficijencije ≥ 3. stepena treba </w:t>
      </w:r>
      <w:r w:rsidR="00B27CC7" w:rsidRPr="008F1125">
        <w:rPr>
          <w:lang w:val="sr-Latn-RS" w:bidi="sr-Latn-RS"/>
        </w:rPr>
        <w:t>primijeniti</w:t>
      </w:r>
      <w:r w:rsidRPr="008F1125">
        <w:rPr>
          <w:lang w:val="sr-Latn-RS" w:bidi="sr-Latn-RS"/>
        </w:rPr>
        <w:t xml:space="preserve"> kortikosteroide (1 do 2 mg/kg </w:t>
      </w:r>
      <w:r w:rsidR="008D1519" w:rsidRPr="008F1125">
        <w:rPr>
          <w:lang w:val="sr-Latn-RS" w:bidi="sr-Latn-RS"/>
        </w:rPr>
        <w:t xml:space="preserve">prednizona </w:t>
      </w:r>
      <w:r w:rsidRPr="008F1125">
        <w:rPr>
          <w:lang w:val="sr-Latn-RS" w:bidi="sr-Latn-RS"/>
        </w:rPr>
        <w:t>na dan intravenski ili peroralni ekvivalent), a zatim postepeno snižavati dozu sve dok se ne dosegne doza od 10 mg/dan ili niža.</w:t>
      </w:r>
    </w:p>
    <w:p w14:paraId="1FB633B9" w14:textId="77777777" w:rsidR="000D01B4" w:rsidRPr="008F1125" w:rsidRDefault="000D01B4" w:rsidP="00B71A52">
      <w:pPr>
        <w:autoSpaceDE w:val="0"/>
        <w:autoSpaceDN w:val="0"/>
        <w:adjustRightInd w:val="0"/>
        <w:jc w:val="both"/>
        <w:rPr>
          <w:iCs/>
          <w:szCs w:val="22"/>
          <w:lang w:val="sr-Latn-RS" w:eastAsia="en-GB"/>
        </w:rPr>
      </w:pPr>
    </w:p>
    <w:p w14:paraId="1FB633BA" w14:textId="16108A74" w:rsidR="000D01B4" w:rsidRPr="008F1125" w:rsidRDefault="00DD502A" w:rsidP="00B71A52">
      <w:pPr>
        <w:jc w:val="both"/>
        <w:rPr>
          <w:iCs/>
          <w:szCs w:val="22"/>
          <w:lang w:val="sr-Latn-RS" w:eastAsia="en-GB"/>
        </w:rPr>
      </w:pPr>
      <w:r w:rsidRPr="008F1125">
        <w:rPr>
          <w:lang w:val="sr-Latn-RS" w:bidi="sr-Latn-RS"/>
        </w:rPr>
        <w:t>Primjenu</w:t>
      </w:r>
      <w:r w:rsidR="00926926" w:rsidRPr="008F1125">
        <w:rPr>
          <w:lang w:val="sr-Latn-RS" w:bidi="sr-Latn-RS"/>
        </w:rPr>
        <w:t xml:space="preserve"> avelumaba treba privremeno obustaviti kod simptomatske adrenalne insuficijencije 3. ili 4. stepena (</w:t>
      </w:r>
      <w:r w:rsidRPr="008F1125">
        <w:rPr>
          <w:lang w:val="sr-Latn-RS" w:bidi="sr-Latn-RS"/>
        </w:rPr>
        <w:t>vidjeti dio</w:t>
      </w:r>
      <w:r w:rsidR="00926926" w:rsidRPr="008F1125">
        <w:rPr>
          <w:lang w:val="sr-Latn-RS" w:bidi="sr-Latn-RS"/>
        </w:rPr>
        <w:t xml:space="preserve"> 4.2).</w:t>
      </w:r>
    </w:p>
    <w:p w14:paraId="1FB633BB" w14:textId="77777777" w:rsidR="000D01B4" w:rsidRPr="008F1125" w:rsidRDefault="000D01B4" w:rsidP="00B71A52">
      <w:pPr>
        <w:jc w:val="both"/>
        <w:rPr>
          <w:szCs w:val="22"/>
          <w:lang w:val="sr-Latn-RS" w:eastAsia="en-GB"/>
        </w:rPr>
      </w:pPr>
    </w:p>
    <w:p w14:paraId="1FB633BC" w14:textId="77777777" w:rsidR="000D01B4" w:rsidRPr="008F1125" w:rsidRDefault="00926926" w:rsidP="00B71A52">
      <w:pPr>
        <w:keepNext/>
        <w:keepLines/>
        <w:jc w:val="both"/>
        <w:rPr>
          <w:i/>
          <w:iCs/>
          <w:szCs w:val="22"/>
          <w:lang w:val="sr-Latn-RS" w:eastAsia="en-GB"/>
        </w:rPr>
      </w:pPr>
      <w:r w:rsidRPr="008F1125">
        <w:rPr>
          <w:i/>
          <w:lang w:val="sr-Latn-RS" w:bidi="sr-Latn-RS"/>
        </w:rPr>
        <w:t>Dijabetes melitus tip 1</w:t>
      </w:r>
    </w:p>
    <w:p w14:paraId="1FB633BD" w14:textId="6B1146F9" w:rsidR="000D01B4" w:rsidRPr="008F1125" w:rsidRDefault="00926926" w:rsidP="00B71A52">
      <w:pPr>
        <w:keepNext/>
        <w:keepLines/>
        <w:jc w:val="both"/>
        <w:rPr>
          <w:szCs w:val="22"/>
          <w:lang w:val="sr-Latn-RS"/>
        </w:rPr>
      </w:pPr>
      <w:r w:rsidRPr="008F1125">
        <w:rPr>
          <w:lang w:val="sr-Latn-RS" w:bidi="sr-Latn-RS"/>
        </w:rPr>
        <w:t>Avelumab može prouzrokovati dijabetes melitus tip 1, uključujući i dijabetesnu ketoacidozu (</w:t>
      </w:r>
      <w:r w:rsidR="00DD502A" w:rsidRPr="008F1125">
        <w:rPr>
          <w:lang w:val="sr-Latn-RS" w:bidi="sr-Latn-RS"/>
        </w:rPr>
        <w:t>vidjeti dio</w:t>
      </w:r>
      <w:r w:rsidRPr="008F1125">
        <w:rPr>
          <w:lang w:val="sr-Latn-RS" w:bidi="sr-Latn-RS"/>
        </w:rPr>
        <w:t xml:space="preserve"> 4.8).</w:t>
      </w:r>
    </w:p>
    <w:p w14:paraId="1FB633BE" w14:textId="77777777" w:rsidR="000D01B4" w:rsidRPr="008F1125" w:rsidRDefault="000D01B4" w:rsidP="00B71A52">
      <w:pPr>
        <w:jc w:val="both"/>
        <w:rPr>
          <w:szCs w:val="22"/>
          <w:lang w:val="sr-Latn-RS"/>
        </w:rPr>
      </w:pPr>
    </w:p>
    <w:p w14:paraId="1FB633BF" w14:textId="3AD54C75" w:rsidR="000D01B4" w:rsidRPr="008F1125" w:rsidRDefault="00926926" w:rsidP="00B71A52">
      <w:pPr>
        <w:jc w:val="both"/>
        <w:rPr>
          <w:szCs w:val="22"/>
          <w:lang w:val="sr-Latn-RS"/>
        </w:rPr>
      </w:pPr>
      <w:r w:rsidRPr="008F1125">
        <w:rPr>
          <w:lang w:val="sr-Latn-RS" w:bidi="sr-Latn-RS"/>
        </w:rPr>
        <w:t>Pacijente treba pratiti zbog moguće hiperglikemije ili drugih znakova i simptoma dijabetesa. Kod dijabetes melitus</w:t>
      </w:r>
      <w:r w:rsidR="008D1519" w:rsidRPr="008F1125">
        <w:rPr>
          <w:lang w:val="sr-Latn-RS" w:bidi="sr-Latn-RS"/>
        </w:rPr>
        <w:t>a</w:t>
      </w:r>
      <w:r w:rsidRPr="008F1125">
        <w:rPr>
          <w:lang w:val="sr-Latn-RS" w:bidi="sr-Latn-RS"/>
        </w:rPr>
        <w:t xml:space="preserve"> tip 1 započ</w:t>
      </w:r>
      <w:r w:rsidR="008D1519" w:rsidRPr="008F1125">
        <w:rPr>
          <w:lang w:val="sr-Latn-RS" w:bidi="sr-Latn-RS"/>
        </w:rPr>
        <w:t>eti</w:t>
      </w:r>
      <w:r w:rsidRPr="008F1125">
        <w:rPr>
          <w:lang w:val="sr-Latn-RS" w:bidi="sr-Latn-RS"/>
        </w:rPr>
        <w:t xml:space="preserve"> terapiju insulinom. Kod pacijenata sa hiperglikemijom ≥ 3. stepena treba privremeno obustaviti </w:t>
      </w:r>
      <w:r w:rsidR="00DD502A" w:rsidRPr="008F1125">
        <w:rPr>
          <w:lang w:val="sr-Latn-RS" w:bidi="sr-Latn-RS"/>
        </w:rPr>
        <w:t>primjenu</w:t>
      </w:r>
      <w:r w:rsidRPr="008F1125">
        <w:rPr>
          <w:lang w:val="sr-Latn-RS" w:bidi="sr-Latn-RS"/>
        </w:rPr>
        <w:t xml:space="preserve"> avelumaba i </w:t>
      </w:r>
      <w:r w:rsidR="00B27CC7" w:rsidRPr="008F1125">
        <w:rPr>
          <w:lang w:val="sr-Latn-RS" w:bidi="sr-Latn-RS"/>
        </w:rPr>
        <w:t>primijeniti</w:t>
      </w:r>
      <w:r w:rsidRPr="008F1125">
        <w:rPr>
          <w:lang w:val="sr-Latn-RS" w:bidi="sr-Latn-RS"/>
        </w:rPr>
        <w:t xml:space="preserve"> antihiperglikemike. Terapiju avelumabom treba nastaviti kad</w:t>
      </w:r>
      <w:r w:rsidR="008D1519" w:rsidRPr="008F1125">
        <w:rPr>
          <w:lang w:val="sr-Latn-RS" w:bidi="sr-Latn-RS"/>
        </w:rPr>
        <w:t>a</w:t>
      </w:r>
      <w:r w:rsidRPr="008F1125">
        <w:rPr>
          <w:lang w:val="sr-Latn-RS" w:bidi="sr-Latn-RS"/>
        </w:rPr>
        <w:t xml:space="preserve"> se postigne metabolička kontrola pomoću supstitucione terapije insulinom.</w:t>
      </w:r>
    </w:p>
    <w:p w14:paraId="1FB633C0" w14:textId="77777777" w:rsidR="000D01B4" w:rsidRPr="008F1125" w:rsidRDefault="000D01B4" w:rsidP="00B71A52">
      <w:pPr>
        <w:jc w:val="both"/>
        <w:rPr>
          <w:iCs/>
          <w:szCs w:val="22"/>
          <w:lang w:val="sr-Latn-RS"/>
        </w:rPr>
      </w:pPr>
    </w:p>
    <w:p w14:paraId="1FB633C1" w14:textId="77777777" w:rsidR="000D01B4" w:rsidRPr="008F1125" w:rsidRDefault="00926926" w:rsidP="00B71A52">
      <w:pPr>
        <w:keepNext/>
        <w:keepLines/>
        <w:jc w:val="both"/>
        <w:rPr>
          <w:i/>
          <w:szCs w:val="22"/>
          <w:u w:val="single"/>
          <w:lang w:val="sr-Latn-RS"/>
        </w:rPr>
      </w:pPr>
      <w:r w:rsidRPr="008F1125">
        <w:rPr>
          <w:i/>
          <w:u w:val="single"/>
          <w:lang w:val="sr-Latn-RS" w:bidi="sr-Latn-RS"/>
        </w:rPr>
        <w:t>Imunološki posredovan nefritis i poremećaj funkcije bubrega</w:t>
      </w:r>
    </w:p>
    <w:p w14:paraId="1FB633C2" w14:textId="200D113A" w:rsidR="000D01B4" w:rsidRPr="008F1125" w:rsidRDefault="00926926" w:rsidP="00B71A52">
      <w:pPr>
        <w:keepNext/>
        <w:keepLines/>
        <w:jc w:val="both"/>
        <w:rPr>
          <w:szCs w:val="22"/>
          <w:lang w:val="sr-Latn-RS" w:eastAsia="en-GB"/>
        </w:rPr>
      </w:pPr>
      <w:r w:rsidRPr="008F1125">
        <w:rPr>
          <w:lang w:val="sr-Latn-RS" w:bidi="sr-Latn-RS"/>
        </w:rPr>
        <w:t>Avelumab može pr</w:t>
      </w:r>
      <w:r w:rsidR="008D1519" w:rsidRPr="008F1125">
        <w:rPr>
          <w:lang w:val="sr-Latn-RS" w:bidi="sr-Latn-RS"/>
        </w:rPr>
        <w:t>o</w:t>
      </w:r>
      <w:r w:rsidRPr="008F1125">
        <w:rPr>
          <w:lang w:val="sr-Latn-RS" w:bidi="sr-Latn-RS"/>
        </w:rPr>
        <w:t>uzrokovati imunološki posredovan nefritis (</w:t>
      </w:r>
      <w:r w:rsidR="00DD502A" w:rsidRPr="008F1125">
        <w:rPr>
          <w:lang w:val="sr-Latn-RS" w:bidi="sr-Latn-RS"/>
        </w:rPr>
        <w:t>vidjeti dio</w:t>
      </w:r>
      <w:r w:rsidRPr="008F1125">
        <w:rPr>
          <w:lang w:val="sr-Latn-RS" w:bidi="sr-Latn-RS"/>
        </w:rPr>
        <w:t xml:space="preserve"> 4.8).</w:t>
      </w:r>
    </w:p>
    <w:p w14:paraId="1FB633C3" w14:textId="77777777" w:rsidR="000D01B4" w:rsidRPr="008F1125" w:rsidRDefault="000D01B4" w:rsidP="00B71A52">
      <w:pPr>
        <w:jc w:val="both"/>
        <w:rPr>
          <w:szCs w:val="22"/>
          <w:lang w:val="sr-Latn-RS" w:eastAsia="en-GB"/>
        </w:rPr>
      </w:pPr>
    </w:p>
    <w:p w14:paraId="1FB633C4" w14:textId="7BE8460F" w:rsidR="000D01B4" w:rsidRPr="008F1125" w:rsidRDefault="00926926" w:rsidP="00B71A52">
      <w:pPr>
        <w:jc w:val="both"/>
        <w:rPr>
          <w:szCs w:val="22"/>
          <w:lang w:val="sr-Latn-RS"/>
        </w:rPr>
      </w:pPr>
      <w:r w:rsidRPr="008F1125">
        <w:rPr>
          <w:lang w:val="sr-Latn-RS" w:bidi="sr-Latn-RS"/>
        </w:rPr>
        <w:t xml:space="preserve">Pacijente treba pratiti zbog mogućeg povišenog </w:t>
      </w:r>
      <w:r w:rsidR="008D1519" w:rsidRPr="008F1125">
        <w:rPr>
          <w:lang w:val="sr-Latn-RS" w:bidi="sr-Latn-RS"/>
        </w:rPr>
        <w:t xml:space="preserve">nivoa </w:t>
      </w:r>
      <w:r w:rsidRPr="008F1125">
        <w:rPr>
          <w:lang w:val="sr-Latn-RS" w:bidi="sr-Latn-RS"/>
        </w:rPr>
        <w:t>kreatinina u serumu pr</w:t>
      </w:r>
      <w:r w:rsidR="008D1519" w:rsidRPr="008F1125">
        <w:rPr>
          <w:lang w:val="sr-Latn-RS" w:bidi="sr-Latn-RS"/>
        </w:rPr>
        <w:t>ij</w:t>
      </w:r>
      <w:r w:rsidRPr="008F1125">
        <w:rPr>
          <w:lang w:val="sr-Latn-RS" w:bidi="sr-Latn-RS"/>
        </w:rPr>
        <w:t xml:space="preserve">e i povremeno tokom terapije. Kod nefritisa ≥ 2. stepena treba </w:t>
      </w:r>
      <w:r w:rsidR="00B27CC7" w:rsidRPr="008F1125">
        <w:rPr>
          <w:lang w:val="sr-Latn-RS" w:bidi="sr-Latn-RS"/>
        </w:rPr>
        <w:t>primijeniti</w:t>
      </w:r>
      <w:r w:rsidRPr="008F1125">
        <w:rPr>
          <w:lang w:val="sr-Latn-RS" w:bidi="sr-Latn-RS"/>
        </w:rPr>
        <w:t xml:space="preserve"> kortikosteroide (početnu dozu prednizona od 1 do 2 mg/kg na dan ili </w:t>
      </w:r>
      <w:r w:rsidR="00B27CC7" w:rsidRPr="008F1125">
        <w:rPr>
          <w:lang w:val="sr-Latn-RS" w:bidi="sr-Latn-RS"/>
        </w:rPr>
        <w:t>ekvivalentni lijek</w:t>
      </w:r>
      <w:r w:rsidRPr="008F1125">
        <w:rPr>
          <w:lang w:val="sr-Latn-RS" w:bidi="sr-Latn-RS"/>
        </w:rPr>
        <w:t xml:space="preserve">, a nakon toga postepeno snižavanje doze kortikosteroida). Kod nefritisa 2. ili 3. stepena treba privremeno obustaviti </w:t>
      </w:r>
      <w:r w:rsidR="00DD502A" w:rsidRPr="008F1125">
        <w:rPr>
          <w:lang w:val="sr-Latn-RS" w:bidi="sr-Latn-RS"/>
        </w:rPr>
        <w:t>primjenu</w:t>
      </w:r>
      <w:r w:rsidRPr="008F1125">
        <w:rPr>
          <w:lang w:val="sr-Latn-RS" w:bidi="sr-Latn-RS"/>
        </w:rPr>
        <w:t xml:space="preserve"> avelumaba do njegovog povlačenja, a trajno prekinuti kod nefritisa 4. stepena</w:t>
      </w:r>
      <w:r w:rsidR="008D1519" w:rsidRPr="008F1125">
        <w:rPr>
          <w:lang w:val="sr-Latn-RS" w:bidi="sr-Latn-RS"/>
        </w:rPr>
        <w:t>.</w:t>
      </w:r>
    </w:p>
    <w:p w14:paraId="1FB633C5" w14:textId="77777777" w:rsidR="000D01B4" w:rsidRPr="008F1125" w:rsidRDefault="000D01B4" w:rsidP="00B71A52">
      <w:pPr>
        <w:jc w:val="both"/>
        <w:rPr>
          <w:iCs/>
          <w:szCs w:val="22"/>
          <w:lang w:val="sr-Latn-RS"/>
        </w:rPr>
      </w:pPr>
    </w:p>
    <w:p w14:paraId="1FB633C6" w14:textId="77777777" w:rsidR="000D01B4" w:rsidRPr="008F1125" w:rsidRDefault="00926926" w:rsidP="00B71A52">
      <w:pPr>
        <w:keepNext/>
        <w:keepLines/>
        <w:jc w:val="both"/>
        <w:rPr>
          <w:i/>
          <w:szCs w:val="22"/>
          <w:u w:val="single"/>
          <w:lang w:val="sr-Latn-RS"/>
        </w:rPr>
      </w:pPr>
      <w:r w:rsidRPr="008F1125">
        <w:rPr>
          <w:i/>
          <w:u w:val="single"/>
          <w:lang w:val="sr-Latn-RS" w:bidi="sr-Latn-RS"/>
        </w:rPr>
        <w:t>Druge imunološki posredovane neželjene reakcije</w:t>
      </w:r>
    </w:p>
    <w:p w14:paraId="1FB633C7" w14:textId="7A04762D" w:rsidR="000D01B4" w:rsidRPr="008F1125" w:rsidRDefault="00926926" w:rsidP="00B71A52">
      <w:pPr>
        <w:keepNext/>
        <w:keepLines/>
        <w:tabs>
          <w:tab w:val="clear" w:pos="567"/>
        </w:tabs>
        <w:autoSpaceDE w:val="0"/>
        <w:autoSpaceDN w:val="0"/>
        <w:adjustRightInd w:val="0"/>
        <w:jc w:val="both"/>
        <w:rPr>
          <w:rFonts w:eastAsia="Calibri"/>
          <w:szCs w:val="22"/>
          <w:lang w:val="sr-Latn-RS"/>
        </w:rPr>
      </w:pPr>
      <w:r w:rsidRPr="008F1125">
        <w:rPr>
          <w:lang w:val="sr-Latn-RS" w:bidi="sr-Latn-RS"/>
        </w:rPr>
        <w:t xml:space="preserve">Druge klinički važne imunološki posredovane neželjene reakcije bile su </w:t>
      </w:r>
      <w:r w:rsidR="00DD502A" w:rsidRPr="008F1125">
        <w:rPr>
          <w:lang w:val="sr-Latn-RS" w:bidi="sr-Latn-RS"/>
        </w:rPr>
        <w:t>zabilježene</w:t>
      </w:r>
      <w:r w:rsidRPr="008F1125">
        <w:rPr>
          <w:lang w:val="sr-Latn-RS" w:bidi="sr-Latn-RS"/>
        </w:rPr>
        <w:t xml:space="preserve"> kod manje od 1% pacijenata: miozitis, hipopituitarizam, uveitis, mijastenija gravis, mijastenični sindrom</w:t>
      </w:r>
      <w:r w:rsidR="008D1519" w:rsidRPr="008F1125">
        <w:rPr>
          <w:lang w:val="sr-Latn-RS" w:bidi="sr-Latn-RS"/>
        </w:rPr>
        <w:t>, neinfektivni cistitis</w:t>
      </w:r>
      <w:r w:rsidR="00AB3BCF">
        <w:rPr>
          <w:lang w:val="sr-Latn-RS" w:bidi="sr-Latn-RS"/>
        </w:rPr>
        <w:t>, sarkoidoza</w:t>
      </w:r>
      <w:r w:rsidRPr="008F1125">
        <w:rPr>
          <w:lang w:val="sr-Latn-RS" w:bidi="sr-Latn-RS"/>
        </w:rPr>
        <w:t xml:space="preserve"> i </w:t>
      </w:r>
      <w:r w:rsidRPr="008F1125">
        <w:rPr>
          <w:i/>
          <w:lang w:val="sr-Latn-RS" w:bidi="sr-Latn-RS"/>
        </w:rPr>
        <w:t>Guillain-Barré-</w:t>
      </w:r>
      <w:r w:rsidRPr="008F1125">
        <w:rPr>
          <w:lang w:val="sr-Latn-RS" w:bidi="sr-Latn-RS"/>
        </w:rPr>
        <w:t>ov sindrom (</w:t>
      </w:r>
      <w:r w:rsidR="00DD502A" w:rsidRPr="008F1125">
        <w:rPr>
          <w:lang w:val="sr-Latn-RS" w:bidi="sr-Latn-RS"/>
        </w:rPr>
        <w:t>vidjeti dio</w:t>
      </w:r>
      <w:r w:rsidRPr="008F1125">
        <w:rPr>
          <w:lang w:val="sr-Latn-RS" w:bidi="sr-Latn-RS"/>
        </w:rPr>
        <w:t xml:space="preserve"> 4.8).</w:t>
      </w:r>
    </w:p>
    <w:p w14:paraId="1FB633C8" w14:textId="77777777" w:rsidR="000D01B4" w:rsidRPr="008F1125" w:rsidRDefault="000D01B4" w:rsidP="00B71A52">
      <w:pPr>
        <w:tabs>
          <w:tab w:val="clear" w:pos="567"/>
        </w:tabs>
        <w:autoSpaceDE w:val="0"/>
        <w:autoSpaceDN w:val="0"/>
        <w:adjustRightInd w:val="0"/>
        <w:jc w:val="both"/>
        <w:rPr>
          <w:rFonts w:eastAsia="TimesNewRoman"/>
          <w:szCs w:val="22"/>
          <w:lang w:val="sr-Latn-RS" w:eastAsia="en-GB"/>
        </w:rPr>
      </w:pPr>
    </w:p>
    <w:p w14:paraId="1FB633C9" w14:textId="58C326F3" w:rsidR="000D01B4" w:rsidRPr="008F1125" w:rsidRDefault="00926926" w:rsidP="00B71A52">
      <w:pPr>
        <w:keepLines/>
        <w:tabs>
          <w:tab w:val="clear" w:pos="567"/>
        </w:tabs>
        <w:autoSpaceDE w:val="0"/>
        <w:autoSpaceDN w:val="0"/>
        <w:adjustRightInd w:val="0"/>
        <w:jc w:val="both"/>
        <w:rPr>
          <w:rFonts w:eastAsia="TimesNewRoman"/>
          <w:i/>
          <w:szCs w:val="22"/>
          <w:lang w:val="sr-Latn-RS" w:eastAsia="en-GB"/>
        </w:rPr>
      </w:pPr>
      <w:r w:rsidRPr="008F1125">
        <w:rPr>
          <w:lang w:val="sr-Latn-RS" w:bidi="sr-Latn-RS"/>
        </w:rPr>
        <w:t xml:space="preserve">Kod sumnje na imunološki posredovane neželjene reakcije treba sprovesti odgovarajuću </w:t>
      </w:r>
      <w:r w:rsidR="0063413D" w:rsidRPr="008F1125">
        <w:rPr>
          <w:lang w:val="sr-Latn-RS" w:bidi="sr-Latn-RS"/>
        </w:rPr>
        <w:t>procjenu</w:t>
      </w:r>
      <w:r w:rsidRPr="008F1125">
        <w:rPr>
          <w:lang w:val="sr-Latn-RS" w:bidi="sr-Latn-RS"/>
        </w:rPr>
        <w:t xml:space="preserve"> kako bi se potvrdila etiologija ili isključili drugi uzroci. Na osnovu težine neželjene reakcije, </w:t>
      </w:r>
      <w:r w:rsidR="00BE106F" w:rsidRPr="008F1125">
        <w:rPr>
          <w:lang w:val="sr-Latn-RS" w:bidi="sr-Latn-RS"/>
        </w:rPr>
        <w:t xml:space="preserve">primjenu </w:t>
      </w:r>
      <w:r w:rsidRPr="008F1125">
        <w:rPr>
          <w:lang w:val="sr-Latn-RS" w:bidi="sr-Latn-RS"/>
        </w:rPr>
        <w:t>avelumab</w:t>
      </w:r>
      <w:r w:rsidR="00BE106F" w:rsidRPr="008F1125">
        <w:rPr>
          <w:lang w:val="sr-Latn-RS" w:bidi="sr-Latn-RS"/>
        </w:rPr>
        <w:t>a</w:t>
      </w:r>
      <w:r w:rsidRPr="008F1125">
        <w:rPr>
          <w:lang w:val="sr-Latn-RS" w:bidi="sr-Latn-RS"/>
        </w:rPr>
        <w:t xml:space="preserve"> treba privremeno obustaviti i </w:t>
      </w:r>
      <w:r w:rsidR="00B27CC7" w:rsidRPr="008F1125">
        <w:rPr>
          <w:lang w:val="sr-Latn-RS" w:bidi="sr-Latn-RS"/>
        </w:rPr>
        <w:t>primijeniti</w:t>
      </w:r>
      <w:r w:rsidRPr="008F1125">
        <w:rPr>
          <w:lang w:val="sr-Latn-RS" w:bidi="sr-Latn-RS"/>
        </w:rPr>
        <w:t xml:space="preserve"> kortikosteroide. Može se nastaviti sa prim</w:t>
      </w:r>
      <w:r w:rsidR="00515B67" w:rsidRPr="008F1125">
        <w:rPr>
          <w:lang w:val="sr-Latn-RS" w:bidi="sr-Latn-RS"/>
        </w:rPr>
        <w:t>j</w:t>
      </w:r>
      <w:r w:rsidRPr="008F1125">
        <w:rPr>
          <w:lang w:val="sr-Latn-RS" w:bidi="sr-Latn-RS"/>
        </w:rPr>
        <w:t xml:space="preserve">enom avelumaba kada se imunološki posredovana neželjena reakcija nakon snižavanja doze kortikosteroida vrati na 1. stepen ili niže. </w:t>
      </w:r>
      <w:r w:rsidR="00DD502A" w:rsidRPr="008F1125">
        <w:rPr>
          <w:lang w:val="sr-Latn-RS" w:bidi="sr-Latn-RS"/>
        </w:rPr>
        <w:t>Primjenu</w:t>
      </w:r>
      <w:r w:rsidRPr="008F1125">
        <w:rPr>
          <w:lang w:val="sr-Latn-RS" w:bidi="sr-Latn-RS"/>
        </w:rPr>
        <w:t xml:space="preserve"> avelumaba potrebno je trajno prekinuti kod svake imunološki posredovane neželjene reakcije 3. stepena koja se ponavlja i kod imunološki posredovane neželjene reakcije 4. stepena (</w:t>
      </w:r>
      <w:r w:rsidR="00DD502A" w:rsidRPr="008F1125">
        <w:rPr>
          <w:lang w:val="sr-Latn-RS" w:bidi="sr-Latn-RS"/>
        </w:rPr>
        <w:t>vidjeti dio</w:t>
      </w:r>
      <w:r w:rsidRPr="008F1125">
        <w:rPr>
          <w:lang w:val="sr-Latn-RS" w:bidi="sr-Latn-RS"/>
        </w:rPr>
        <w:t xml:space="preserve"> 4.2).</w:t>
      </w:r>
    </w:p>
    <w:p w14:paraId="1FB633CA" w14:textId="77777777" w:rsidR="000D01B4" w:rsidRPr="008F1125" w:rsidRDefault="000D01B4" w:rsidP="00B71A52">
      <w:pPr>
        <w:jc w:val="both"/>
        <w:rPr>
          <w:szCs w:val="22"/>
          <w:lang w:val="sr-Latn-RS"/>
        </w:rPr>
      </w:pPr>
    </w:p>
    <w:p w14:paraId="1FB633CB" w14:textId="77777777" w:rsidR="000C0C80" w:rsidRPr="008F1125" w:rsidRDefault="00926926" w:rsidP="00B71A52">
      <w:pPr>
        <w:keepNext/>
        <w:keepLines/>
        <w:tabs>
          <w:tab w:val="clear" w:pos="567"/>
        </w:tabs>
        <w:autoSpaceDE w:val="0"/>
        <w:autoSpaceDN w:val="0"/>
        <w:adjustRightInd w:val="0"/>
        <w:jc w:val="both"/>
        <w:rPr>
          <w:rStyle w:val="underline"/>
          <w:i/>
          <w:szCs w:val="22"/>
          <w:u w:val="single"/>
          <w:lang w:val="sr-Latn-RS"/>
        </w:rPr>
      </w:pPr>
      <w:r w:rsidRPr="008F1125">
        <w:rPr>
          <w:i/>
          <w:u w:val="single"/>
          <w:lang w:val="sr-Latn-RS" w:bidi="sr-Latn-RS"/>
        </w:rPr>
        <w:t>Hepatotoksičnost (u kombinaciji sa aksitinibom)</w:t>
      </w:r>
    </w:p>
    <w:p w14:paraId="1FB633CC" w14:textId="496BC015" w:rsidR="000C0C80" w:rsidRPr="008F1125" w:rsidRDefault="00926926" w:rsidP="00B71A52">
      <w:pPr>
        <w:keepNext/>
        <w:keepLines/>
        <w:jc w:val="both"/>
        <w:rPr>
          <w:szCs w:val="22"/>
          <w:lang w:val="sr-Latn-RS"/>
        </w:rPr>
      </w:pPr>
      <w:r w:rsidRPr="008F1125">
        <w:rPr>
          <w:lang w:val="sr-Latn-RS" w:bidi="sr-Latn-RS"/>
        </w:rPr>
        <w:t xml:space="preserve">Kod pacijenata na terapiji avelumabom u kombinaciji sa aksitinibom došlo je do razvoja hepatotoksičnosti sa učestalošću povećanja </w:t>
      </w:r>
      <w:r w:rsidR="003C0701" w:rsidRPr="008F1125">
        <w:rPr>
          <w:lang w:val="sr-Latn-RS" w:bidi="sr-Latn-RS"/>
        </w:rPr>
        <w:t>vrijednosti</w:t>
      </w:r>
      <w:r w:rsidRPr="008F1125">
        <w:rPr>
          <w:lang w:val="sr-Latn-RS" w:bidi="sr-Latn-RS"/>
        </w:rPr>
        <w:t xml:space="preserve"> ALT i AST 3. i 4. stepena većom od očekivane u poređenju sa prim</w:t>
      </w:r>
      <w:r w:rsidR="00515B67" w:rsidRPr="008F1125">
        <w:rPr>
          <w:lang w:val="sr-Latn-RS" w:bidi="sr-Latn-RS"/>
        </w:rPr>
        <w:t>j</w:t>
      </w:r>
      <w:r w:rsidRPr="008F1125">
        <w:rPr>
          <w:lang w:val="sr-Latn-RS" w:bidi="sr-Latn-RS"/>
        </w:rPr>
        <w:t>enom avelumaba u monoterapiji (</w:t>
      </w:r>
      <w:r w:rsidR="00DD502A" w:rsidRPr="008F1125">
        <w:rPr>
          <w:lang w:val="sr-Latn-RS" w:bidi="sr-Latn-RS"/>
        </w:rPr>
        <w:t>vidjeti dio</w:t>
      </w:r>
      <w:r w:rsidRPr="008F1125">
        <w:rPr>
          <w:lang w:val="sr-Latn-RS" w:bidi="sr-Latn-RS"/>
        </w:rPr>
        <w:t xml:space="preserve"> 4.8).</w:t>
      </w:r>
    </w:p>
    <w:p w14:paraId="1FB633CD" w14:textId="77777777" w:rsidR="000C0C80" w:rsidRPr="008F1125" w:rsidRDefault="000C0C80" w:rsidP="00B71A52">
      <w:pPr>
        <w:jc w:val="both"/>
        <w:rPr>
          <w:szCs w:val="22"/>
          <w:lang w:val="sr-Latn-RS"/>
        </w:rPr>
      </w:pPr>
    </w:p>
    <w:p w14:paraId="1FB633CE" w14:textId="6BD53D97" w:rsidR="000C0C80" w:rsidRPr="008F1125" w:rsidRDefault="00926926" w:rsidP="00B71A52">
      <w:pPr>
        <w:jc w:val="both"/>
        <w:rPr>
          <w:szCs w:val="22"/>
          <w:u w:val="single"/>
          <w:lang w:val="sr-Latn-RS"/>
        </w:rPr>
      </w:pPr>
      <w:r w:rsidRPr="008F1125">
        <w:rPr>
          <w:lang w:val="sr-Latn-RS" w:bidi="sr-Latn-RS"/>
        </w:rPr>
        <w:t xml:space="preserve">Pacijente treba češće pratiti </w:t>
      </w:r>
      <w:r w:rsidR="00BE106F" w:rsidRPr="008F1125">
        <w:rPr>
          <w:lang w:val="sr-Latn-RS" w:bidi="sr-Latn-RS"/>
        </w:rPr>
        <w:t>u pogledu</w:t>
      </w:r>
      <w:r w:rsidRPr="008F1125">
        <w:rPr>
          <w:lang w:val="sr-Latn-RS" w:bidi="sr-Latn-RS"/>
        </w:rPr>
        <w:t xml:space="preserve"> prom</w:t>
      </w:r>
      <w:r w:rsidR="00CB0FF3" w:rsidRPr="008F1125">
        <w:rPr>
          <w:lang w:val="sr-Latn-RS" w:bidi="sr-Latn-RS"/>
        </w:rPr>
        <w:t>j</w:t>
      </w:r>
      <w:r w:rsidRPr="008F1125">
        <w:rPr>
          <w:lang w:val="sr-Latn-RS" w:bidi="sr-Latn-RS"/>
        </w:rPr>
        <w:t>en</w:t>
      </w:r>
      <w:r w:rsidR="00BE106F" w:rsidRPr="008F1125">
        <w:rPr>
          <w:lang w:val="sr-Latn-RS" w:bidi="sr-Latn-RS"/>
        </w:rPr>
        <w:t>a</w:t>
      </w:r>
      <w:r w:rsidRPr="008F1125">
        <w:rPr>
          <w:lang w:val="sr-Latn-RS" w:bidi="sr-Latn-RS"/>
        </w:rPr>
        <w:t xml:space="preserve"> funkcije jetre i simptom</w:t>
      </w:r>
      <w:r w:rsidR="00BE106F" w:rsidRPr="008F1125">
        <w:rPr>
          <w:lang w:val="sr-Latn-RS" w:bidi="sr-Latn-RS"/>
        </w:rPr>
        <w:t>a</w:t>
      </w:r>
      <w:r w:rsidRPr="008F1125">
        <w:rPr>
          <w:lang w:val="sr-Latn-RS" w:bidi="sr-Latn-RS"/>
        </w:rPr>
        <w:t xml:space="preserve"> nego kod prim</w:t>
      </w:r>
      <w:r w:rsidR="00B27CC7" w:rsidRPr="008F1125">
        <w:rPr>
          <w:lang w:val="sr-Latn-RS" w:bidi="sr-Latn-RS"/>
        </w:rPr>
        <w:t>j</w:t>
      </w:r>
      <w:r w:rsidRPr="008F1125">
        <w:rPr>
          <w:lang w:val="sr-Latn-RS" w:bidi="sr-Latn-RS"/>
        </w:rPr>
        <w:t>ene avelumaba kao monoterapije.</w:t>
      </w:r>
    </w:p>
    <w:p w14:paraId="1FB633CF" w14:textId="77777777" w:rsidR="000C0C80" w:rsidRPr="008F1125" w:rsidRDefault="000C0C80" w:rsidP="00B71A52">
      <w:pPr>
        <w:jc w:val="both"/>
        <w:rPr>
          <w:szCs w:val="22"/>
          <w:lang w:val="sr-Latn-RS"/>
        </w:rPr>
      </w:pPr>
    </w:p>
    <w:p w14:paraId="1FB633D0" w14:textId="245340C2" w:rsidR="000C0C80" w:rsidRPr="008F1125" w:rsidRDefault="00DD502A" w:rsidP="00B71A52">
      <w:pPr>
        <w:jc w:val="both"/>
        <w:rPr>
          <w:rFonts w:eastAsia="TimesNewRoman"/>
          <w:szCs w:val="22"/>
          <w:lang w:val="sr-Latn-RS" w:eastAsia="en-GB"/>
        </w:rPr>
      </w:pPr>
      <w:r w:rsidRPr="008F1125">
        <w:rPr>
          <w:lang w:val="sr-Latn-RS" w:bidi="sr-Latn-RS"/>
        </w:rPr>
        <w:t>Primjenu</w:t>
      </w:r>
      <w:r w:rsidR="00926926" w:rsidRPr="008F1125">
        <w:rPr>
          <w:lang w:val="sr-Latn-RS" w:bidi="sr-Latn-RS"/>
        </w:rPr>
        <w:t xml:space="preserve"> avelumaba kod hepatotoksičnosti 2. stepena treba privremeno obustaviti do njenog povlačenja, a trajno prekinuti kod hepatotoksičnosti 3. ili 4. stepena. U slučaju događaja ≥ 2. stepena treba razmotriti </w:t>
      </w:r>
      <w:r w:rsidRPr="008F1125">
        <w:rPr>
          <w:lang w:val="sr-Latn-RS" w:bidi="sr-Latn-RS"/>
        </w:rPr>
        <w:t>primjenu</w:t>
      </w:r>
      <w:r w:rsidR="00926926" w:rsidRPr="008F1125">
        <w:rPr>
          <w:lang w:val="sr-Latn-RS" w:bidi="sr-Latn-RS"/>
        </w:rPr>
        <w:t xml:space="preserve"> kortikosteroida (</w:t>
      </w:r>
      <w:r w:rsidRPr="008F1125">
        <w:rPr>
          <w:lang w:val="sr-Latn-RS" w:bidi="sr-Latn-RS"/>
        </w:rPr>
        <w:t>vidjeti dio</w:t>
      </w:r>
      <w:r w:rsidR="00926926" w:rsidRPr="008F1125">
        <w:rPr>
          <w:lang w:val="sr-Latn-RS" w:bidi="sr-Latn-RS"/>
        </w:rPr>
        <w:t xml:space="preserve"> 4.2).</w:t>
      </w:r>
    </w:p>
    <w:p w14:paraId="1FB633D1" w14:textId="77777777" w:rsidR="000C0C80" w:rsidRPr="008F1125" w:rsidRDefault="000C0C80" w:rsidP="00B71A52">
      <w:pPr>
        <w:jc w:val="both"/>
        <w:rPr>
          <w:szCs w:val="22"/>
          <w:lang w:val="sr-Latn-RS"/>
        </w:rPr>
      </w:pPr>
    </w:p>
    <w:p w14:paraId="1FB633D2" w14:textId="77777777" w:rsidR="000D01B4" w:rsidRPr="008F1125" w:rsidRDefault="00926926" w:rsidP="00B71A52">
      <w:pPr>
        <w:keepNext/>
        <w:keepLines/>
        <w:tabs>
          <w:tab w:val="clear" w:pos="567"/>
        </w:tabs>
        <w:autoSpaceDE w:val="0"/>
        <w:autoSpaceDN w:val="0"/>
        <w:adjustRightInd w:val="0"/>
        <w:jc w:val="both"/>
        <w:rPr>
          <w:szCs w:val="22"/>
          <w:u w:val="single"/>
          <w:lang w:val="sr-Latn-RS" w:eastAsia="en-GB"/>
        </w:rPr>
      </w:pPr>
      <w:r w:rsidRPr="008F1125">
        <w:rPr>
          <w:u w:val="single"/>
          <w:lang w:val="sr-Latn-RS" w:bidi="sr-Latn-RS"/>
        </w:rPr>
        <w:t>Pacijenti isključeni iz kliničkih ispitivanja</w:t>
      </w:r>
    </w:p>
    <w:p w14:paraId="1FB633D3" w14:textId="06B166B1" w:rsidR="000D01B4" w:rsidRPr="008F1125" w:rsidRDefault="00926926" w:rsidP="00B71A52">
      <w:pPr>
        <w:keepNext/>
        <w:keepLines/>
        <w:autoSpaceDE w:val="0"/>
        <w:autoSpaceDN w:val="0"/>
        <w:adjustRightInd w:val="0"/>
        <w:jc w:val="both"/>
        <w:rPr>
          <w:rFonts w:eastAsia="SimSun"/>
          <w:spacing w:val="-1"/>
          <w:szCs w:val="22"/>
          <w:lang w:val="sr-Latn-RS" w:eastAsia="en-GB"/>
        </w:rPr>
      </w:pPr>
      <w:r w:rsidRPr="008F1125">
        <w:rPr>
          <w:lang w:val="sr-Latn-RS" w:bidi="sr-Latn-RS"/>
        </w:rPr>
        <w:t>Pacijenti sa sl</w:t>
      </w:r>
      <w:r w:rsidR="00BE106F" w:rsidRPr="008F1125">
        <w:rPr>
          <w:lang w:val="sr-Latn-RS" w:bidi="sr-Latn-RS"/>
        </w:rPr>
        <w:t>j</w:t>
      </w:r>
      <w:r w:rsidRPr="008F1125">
        <w:rPr>
          <w:lang w:val="sr-Latn-RS" w:bidi="sr-Latn-RS"/>
        </w:rPr>
        <w:t>edećim stanjima bili su isključeni iz kliničkih ispitivanja: aktivne metastaze u centralnom nervnom sistemu (CNS), aktivna autoimuna bolest ili autoimuna bolest u anamnezi, drugi maligniteti u anamnezi u prethodnih 5 godina, transplantacija organa, stanja koja zahtevaju terapijsku imunosupresiju, aktivna infekcija HIV-om ili hepatitis B ili C.</w:t>
      </w:r>
    </w:p>
    <w:p w14:paraId="1FB633D4" w14:textId="77777777" w:rsidR="000D01B4" w:rsidRDefault="000D01B4" w:rsidP="00B71A52">
      <w:pPr>
        <w:tabs>
          <w:tab w:val="clear" w:pos="567"/>
        </w:tabs>
        <w:autoSpaceDE w:val="0"/>
        <w:autoSpaceDN w:val="0"/>
        <w:adjustRightInd w:val="0"/>
        <w:jc w:val="both"/>
        <w:rPr>
          <w:szCs w:val="22"/>
          <w:lang w:val="sr-Latn-RS" w:eastAsia="en-GB"/>
        </w:rPr>
      </w:pPr>
    </w:p>
    <w:p w14:paraId="49C9D755" w14:textId="36AFE1E4" w:rsidR="00AB3BCF" w:rsidRDefault="00AB3BCF" w:rsidP="00B71A52">
      <w:pPr>
        <w:tabs>
          <w:tab w:val="clear" w:pos="567"/>
        </w:tabs>
        <w:autoSpaceDE w:val="0"/>
        <w:autoSpaceDN w:val="0"/>
        <w:adjustRightInd w:val="0"/>
        <w:jc w:val="both"/>
        <w:rPr>
          <w:szCs w:val="22"/>
          <w:lang w:val="sr-Latn-RS" w:eastAsia="en-GB"/>
        </w:rPr>
      </w:pPr>
      <w:r w:rsidRPr="00AB3BCF">
        <w:rPr>
          <w:szCs w:val="22"/>
          <w:lang w:val="sr-Latn-RS" w:eastAsia="en-GB"/>
        </w:rPr>
        <w:t>Kod ovih pacijenata avelumab treba koristiti sa oprezom i nakon pažljivog razmatranja potencijalne koristi/rizika na individualnoj osnovi.</w:t>
      </w:r>
    </w:p>
    <w:p w14:paraId="2A5C3370" w14:textId="77777777" w:rsidR="00AB3BCF" w:rsidRPr="008F1125" w:rsidRDefault="00AB3BCF" w:rsidP="00B71A52">
      <w:pPr>
        <w:tabs>
          <w:tab w:val="clear" w:pos="567"/>
        </w:tabs>
        <w:autoSpaceDE w:val="0"/>
        <w:autoSpaceDN w:val="0"/>
        <w:adjustRightInd w:val="0"/>
        <w:jc w:val="both"/>
        <w:rPr>
          <w:szCs w:val="22"/>
          <w:lang w:val="sr-Latn-RS" w:eastAsia="en-GB"/>
        </w:rPr>
      </w:pPr>
    </w:p>
    <w:p w14:paraId="1FB633D5" w14:textId="77777777" w:rsidR="000D01B4" w:rsidRPr="008F1125" w:rsidRDefault="00926926" w:rsidP="007A2B15">
      <w:pPr>
        <w:keepNext/>
        <w:keepLines/>
        <w:tabs>
          <w:tab w:val="clear" w:pos="567"/>
        </w:tabs>
        <w:autoSpaceDE w:val="0"/>
        <w:autoSpaceDN w:val="0"/>
        <w:adjustRightInd w:val="0"/>
        <w:jc w:val="both"/>
        <w:rPr>
          <w:rFonts w:eastAsia="SimSun"/>
          <w:szCs w:val="22"/>
          <w:u w:val="single"/>
          <w:lang w:val="sr-Latn-RS" w:eastAsia="en-GB"/>
        </w:rPr>
      </w:pPr>
      <w:r w:rsidRPr="008F1125">
        <w:rPr>
          <w:u w:val="single"/>
          <w:lang w:val="sr-Latn-RS" w:bidi="sr-Latn-RS"/>
        </w:rPr>
        <w:t>Sadržaj natrijuma</w:t>
      </w:r>
    </w:p>
    <w:p w14:paraId="1FB633D6" w14:textId="15020753" w:rsidR="000D01B4" w:rsidRPr="008F1125" w:rsidRDefault="00926926" w:rsidP="007A2B15">
      <w:pPr>
        <w:keepNext/>
        <w:keepLines/>
        <w:autoSpaceDE w:val="0"/>
        <w:autoSpaceDN w:val="0"/>
        <w:jc w:val="both"/>
        <w:rPr>
          <w:rFonts w:eastAsia="TimesNewRoman"/>
          <w:szCs w:val="22"/>
          <w:lang w:val="sr-Latn-RS" w:eastAsia="en-GB"/>
        </w:rPr>
      </w:pPr>
      <w:r w:rsidRPr="008F1125">
        <w:rPr>
          <w:lang w:val="sr-Latn-RS" w:bidi="sr-Latn-RS"/>
        </w:rPr>
        <w:t>Ovaj l</w:t>
      </w:r>
      <w:r w:rsidR="0038574B" w:rsidRPr="008F1125">
        <w:rPr>
          <w:lang w:val="sr-Latn-RS" w:bidi="sr-Latn-RS"/>
        </w:rPr>
        <w:t>ij</w:t>
      </w:r>
      <w:r w:rsidRPr="008F1125">
        <w:rPr>
          <w:lang w:val="sr-Latn-RS" w:bidi="sr-Latn-RS"/>
        </w:rPr>
        <w:t>ek sadrži manje od 1 mmol (23 mg) natrijuma po dozi, tj. zanemarljive količine natrijuma.</w:t>
      </w:r>
    </w:p>
    <w:p w14:paraId="1FB633D7" w14:textId="42C88AE5" w:rsidR="000D01B4" w:rsidRDefault="00851ABB" w:rsidP="007A2B15">
      <w:pPr>
        <w:jc w:val="both"/>
        <w:rPr>
          <w:szCs w:val="22"/>
          <w:lang w:val="sr-Latn-RS"/>
        </w:rPr>
      </w:pPr>
      <w:r w:rsidRPr="00851ABB">
        <w:rPr>
          <w:szCs w:val="22"/>
          <w:lang w:val="sr-Latn-RS"/>
        </w:rPr>
        <w:t>L</w:t>
      </w:r>
      <w:r>
        <w:rPr>
          <w:szCs w:val="22"/>
          <w:lang w:val="sr-Latn-RS"/>
        </w:rPr>
        <w:t>ij</w:t>
      </w:r>
      <w:r w:rsidRPr="00851ABB">
        <w:rPr>
          <w:szCs w:val="22"/>
          <w:lang w:val="sr-Latn-RS"/>
        </w:rPr>
        <w:t>ek Bavencio mora da se razblaži ili natrijum hloridom od 9 mg/m</w:t>
      </w:r>
      <w:r w:rsidR="007A2B15">
        <w:rPr>
          <w:szCs w:val="22"/>
          <w:lang w:val="sr-Latn-RS"/>
        </w:rPr>
        <w:t>l</w:t>
      </w:r>
      <w:r w:rsidRPr="00851ABB">
        <w:rPr>
          <w:szCs w:val="22"/>
          <w:lang w:val="sr-Latn-RS"/>
        </w:rPr>
        <w:t xml:space="preserve"> (0,9%) ili natrijum hloridom od 4,5 mg/m</w:t>
      </w:r>
      <w:r w:rsidR="007A2B15">
        <w:rPr>
          <w:szCs w:val="22"/>
          <w:lang w:val="sr-Latn-RS"/>
        </w:rPr>
        <w:t>l</w:t>
      </w:r>
      <w:r w:rsidRPr="00851ABB">
        <w:rPr>
          <w:szCs w:val="22"/>
          <w:lang w:val="sr-Latn-RS"/>
        </w:rPr>
        <w:t xml:space="preserve"> (0,45%). Ovo treba uzeti u obzir kod pacijenata koji su na režimu ishrane sa kontrolisanim unosom soli (videti </w:t>
      </w:r>
      <w:r w:rsidR="007A2B15">
        <w:rPr>
          <w:szCs w:val="22"/>
          <w:lang w:val="sr-Latn-RS"/>
        </w:rPr>
        <w:t>dio</w:t>
      </w:r>
      <w:r w:rsidRPr="00851ABB">
        <w:rPr>
          <w:szCs w:val="22"/>
          <w:lang w:val="sr-Latn-RS"/>
        </w:rPr>
        <w:t xml:space="preserve"> 6.6).</w:t>
      </w:r>
    </w:p>
    <w:p w14:paraId="309AB332" w14:textId="77777777" w:rsidR="00851ABB" w:rsidRPr="008F1125" w:rsidRDefault="00851ABB" w:rsidP="00577413">
      <w:pPr>
        <w:rPr>
          <w:szCs w:val="22"/>
          <w:lang w:val="sr-Latn-RS"/>
        </w:rPr>
      </w:pPr>
    </w:p>
    <w:p w14:paraId="1FB633D8" w14:textId="2D099786" w:rsidR="000D01B4" w:rsidRPr="008F1125" w:rsidRDefault="00926926" w:rsidP="00BE106F">
      <w:pPr>
        <w:keepNext/>
        <w:keepLines/>
        <w:jc w:val="both"/>
        <w:rPr>
          <w:b/>
          <w:szCs w:val="22"/>
          <w:lang w:val="sr-Latn-RS"/>
        </w:rPr>
      </w:pPr>
      <w:r w:rsidRPr="008F1125">
        <w:rPr>
          <w:b/>
          <w:lang w:val="sr-Latn-RS" w:bidi="sr-Latn-RS"/>
        </w:rPr>
        <w:t>4.5.</w:t>
      </w:r>
      <w:r w:rsidRPr="008F1125">
        <w:rPr>
          <w:b/>
          <w:lang w:val="sr-Latn-RS" w:bidi="sr-Latn-RS"/>
        </w:rPr>
        <w:tab/>
        <w:t>Interakcije sa drugim l</w:t>
      </w:r>
      <w:r w:rsidR="00B27CC7" w:rsidRPr="008F1125">
        <w:rPr>
          <w:b/>
          <w:lang w:val="sr-Latn-RS" w:bidi="sr-Latn-RS"/>
        </w:rPr>
        <w:t>j</w:t>
      </w:r>
      <w:r w:rsidRPr="008F1125">
        <w:rPr>
          <w:b/>
          <w:lang w:val="sr-Latn-RS" w:bidi="sr-Latn-RS"/>
        </w:rPr>
        <w:t>ekovima i druge vrste interakcija</w:t>
      </w:r>
    </w:p>
    <w:p w14:paraId="1FB633D9" w14:textId="77777777" w:rsidR="000D01B4" w:rsidRPr="008F1125" w:rsidRDefault="000D01B4" w:rsidP="00BE106F">
      <w:pPr>
        <w:keepNext/>
        <w:keepLines/>
        <w:jc w:val="both"/>
        <w:rPr>
          <w:szCs w:val="22"/>
          <w:lang w:val="sr-Latn-RS"/>
        </w:rPr>
      </w:pPr>
    </w:p>
    <w:p w14:paraId="1FB633DA" w14:textId="54A9B780" w:rsidR="000D01B4" w:rsidRPr="008F1125" w:rsidRDefault="00926926" w:rsidP="00BE106F">
      <w:pPr>
        <w:keepNext/>
        <w:keepLines/>
        <w:jc w:val="both"/>
        <w:rPr>
          <w:szCs w:val="22"/>
          <w:lang w:val="sr-Latn-RS"/>
        </w:rPr>
      </w:pPr>
      <w:r w:rsidRPr="008F1125">
        <w:rPr>
          <w:lang w:val="sr-Latn-RS" w:bidi="sr-Latn-RS"/>
        </w:rPr>
        <w:t>Ni</w:t>
      </w:r>
      <w:r w:rsidR="00BE106F" w:rsidRPr="008F1125">
        <w:rPr>
          <w:lang w:val="sr-Latn-RS" w:bidi="sr-Latn-RS"/>
        </w:rPr>
        <w:t>je</w:t>
      </w:r>
      <w:r w:rsidRPr="008F1125">
        <w:rPr>
          <w:lang w:val="sr-Latn-RS" w:bidi="sr-Latn-RS"/>
        </w:rPr>
        <w:t>su sprovedena ispitivanja interakcija sa avelumabom.</w:t>
      </w:r>
    </w:p>
    <w:p w14:paraId="1FB633DB" w14:textId="77777777" w:rsidR="000D01B4" w:rsidRPr="008F1125" w:rsidRDefault="000D01B4" w:rsidP="00BE106F">
      <w:pPr>
        <w:jc w:val="both"/>
        <w:rPr>
          <w:iCs/>
          <w:szCs w:val="22"/>
          <w:lang w:val="sr-Latn-RS"/>
        </w:rPr>
      </w:pPr>
    </w:p>
    <w:p w14:paraId="1FB633DC" w14:textId="49E2C0F8" w:rsidR="000D01B4" w:rsidRPr="008F1125" w:rsidRDefault="00926926" w:rsidP="00BE106F">
      <w:pPr>
        <w:jc w:val="both"/>
        <w:rPr>
          <w:szCs w:val="22"/>
          <w:lang w:val="sr-Latn-RS"/>
        </w:rPr>
      </w:pPr>
      <w:r w:rsidRPr="008F1125">
        <w:rPr>
          <w:lang w:val="sr-Latn-RS" w:bidi="sr-Latn-RS"/>
        </w:rPr>
        <w:t>Avelumab se primarno metabolizuje kataboličkim putevima</w:t>
      </w:r>
      <w:r w:rsidR="00BE106F" w:rsidRPr="008F1125">
        <w:rPr>
          <w:lang w:val="sr-Latn-RS" w:bidi="sr-Latn-RS"/>
        </w:rPr>
        <w:t>,</w:t>
      </w:r>
      <w:r w:rsidRPr="008F1125">
        <w:rPr>
          <w:lang w:val="sr-Latn-RS" w:bidi="sr-Latn-RS"/>
        </w:rPr>
        <w:t xml:space="preserve"> pa se zato ne očekuje ulazak avelumaba u farmakokinetičke interakcije sa drugim l</w:t>
      </w:r>
      <w:r w:rsidR="0038574B" w:rsidRPr="008F1125">
        <w:rPr>
          <w:lang w:val="sr-Latn-RS" w:bidi="sr-Latn-RS"/>
        </w:rPr>
        <w:t>j</w:t>
      </w:r>
      <w:r w:rsidRPr="008F1125">
        <w:rPr>
          <w:lang w:val="sr-Latn-RS" w:bidi="sr-Latn-RS"/>
        </w:rPr>
        <w:t>ekovima.</w:t>
      </w:r>
    </w:p>
    <w:p w14:paraId="1FB633DD" w14:textId="77777777" w:rsidR="000D01B4" w:rsidRPr="008F1125" w:rsidRDefault="000D01B4" w:rsidP="00577413">
      <w:pPr>
        <w:rPr>
          <w:szCs w:val="22"/>
          <w:lang w:val="sr-Latn-RS"/>
        </w:rPr>
      </w:pPr>
    </w:p>
    <w:p w14:paraId="1FB633DE" w14:textId="77777777" w:rsidR="000D01B4" w:rsidRPr="008F1125" w:rsidRDefault="00926926" w:rsidP="00BE106F">
      <w:pPr>
        <w:keepNext/>
        <w:keepLines/>
        <w:jc w:val="both"/>
        <w:rPr>
          <w:b/>
          <w:szCs w:val="22"/>
          <w:lang w:val="sr-Latn-RS"/>
        </w:rPr>
      </w:pPr>
      <w:r w:rsidRPr="008F1125">
        <w:rPr>
          <w:b/>
          <w:lang w:val="sr-Latn-RS" w:bidi="sr-Latn-RS"/>
        </w:rPr>
        <w:t>4.6.</w:t>
      </w:r>
      <w:r w:rsidRPr="008F1125">
        <w:rPr>
          <w:b/>
          <w:lang w:val="sr-Latn-RS" w:bidi="sr-Latn-RS"/>
        </w:rPr>
        <w:tab/>
        <w:t>Plodnost, trudnoća i dojenje</w:t>
      </w:r>
    </w:p>
    <w:p w14:paraId="1FB633DF" w14:textId="77777777" w:rsidR="00E97310" w:rsidRPr="008F1125" w:rsidRDefault="00E97310" w:rsidP="00BE106F">
      <w:pPr>
        <w:keepNext/>
        <w:keepLines/>
        <w:jc w:val="both"/>
        <w:rPr>
          <w:szCs w:val="22"/>
          <w:lang w:val="sr-Latn-RS"/>
        </w:rPr>
      </w:pPr>
    </w:p>
    <w:p w14:paraId="1FB633E0" w14:textId="77777777" w:rsidR="00E97310" w:rsidRPr="008F1125" w:rsidRDefault="00926926" w:rsidP="00BE106F">
      <w:pPr>
        <w:keepNext/>
        <w:keepLines/>
        <w:tabs>
          <w:tab w:val="clear" w:pos="567"/>
        </w:tabs>
        <w:autoSpaceDE w:val="0"/>
        <w:autoSpaceDN w:val="0"/>
        <w:adjustRightInd w:val="0"/>
        <w:jc w:val="both"/>
        <w:rPr>
          <w:szCs w:val="22"/>
          <w:u w:val="single"/>
          <w:lang w:val="sr-Latn-RS"/>
        </w:rPr>
      </w:pPr>
      <w:r w:rsidRPr="008F1125">
        <w:rPr>
          <w:u w:val="single"/>
          <w:lang w:val="sr-Latn-RS" w:bidi="sr-Latn-RS"/>
        </w:rPr>
        <w:t>Žene u reproduktivnom periodu/kontracepcija</w:t>
      </w:r>
    </w:p>
    <w:p w14:paraId="1FB633E1" w14:textId="1A78EBB5" w:rsidR="00437BE5" w:rsidRPr="008F1125" w:rsidRDefault="00926926" w:rsidP="00BE106F">
      <w:pPr>
        <w:keepNext/>
        <w:keepLines/>
        <w:tabs>
          <w:tab w:val="clear" w:pos="567"/>
        </w:tabs>
        <w:autoSpaceDE w:val="0"/>
        <w:autoSpaceDN w:val="0"/>
        <w:adjustRightInd w:val="0"/>
        <w:jc w:val="both"/>
        <w:rPr>
          <w:szCs w:val="22"/>
          <w:lang w:val="sr-Latn-RS"/>
        </w:rPr>
      </w:pPr>
      <w:r w:rsidRPr="008F1125">
        <w:rPr>
          <w:lang w:val="sr-Latn-RS" w:bidi="sr-Latn-RS"/>
        </w:rPr>
        <w:t>Ženama u reproduktivnom periodu treba sav</w:t>
      </w:r>
      <w:r w:rsidR="00BE106F" w:rsidRPr="008F1125">
        <w:rPr>
          <w:lang w:val="sr-Latn-RS" w:bidi="sr-Latn-RS"/>
        </w:rPr>
        <w:t>j</w:t>
      </w:r>
      <w:r w:rsidRPr="008F1125">
        <w:rPr>
          <w:lang w:val="sr-Latn-RS" w:bidi="sr-Latn-RS"/>
        </w:rPr>
        <w:t>etovati da izb</w:t>
      </w:r>
      <w:r w:rsidR="00BE106F" w:rsidRPr="008F1125">
        <w:rPr>
          <w:lang w:val="sr-Latn-RS" w:bidi="sr-Latn-RS"/>
        </w:rPr>
        <w:t>j</w:t>
      </w:r>
      <w:r w:rsidRPr="008F1125">
        <w:rPr>
          <w:lang w:val="sr-Latn-RS" w:bidi="sr-Latn-RS"/>
        </w:rPr>
        <w:t>egavaju trudnoću dok primaju avelumab i da koriste efikasne metode kontracepcije tokom terapije avelumabom i najmanje 1 m</w:t>
      </w:r>
      <w:r w:rsidR="00BE106F" w:rsidRPr="008F1125">
        <w:rPr>
          <w:lang w:val="sr-Latn-RS" w:bidi="sr-Latn-RS"/>
        </w:rPr>
        <w:t>j</w:t>
      </w:r>
      <w:r w:rsidRPr="008F1125">
        <w:rPr>
          <w:lang w:val="sr-Latn-RS" w:bidi="sr-Latn-RS"/>
        </w:rPr>
        <w:t>esec nakon posl</w:t>
      </w:r>
      <w:r w:rsidR="00BE106F" w:rsidRPr="008F1125">
        <w:rPr>
          <w:lang w:val="sr-Latn-RS" w:bidi="sr-Latn-RS"/>
        </w:rPr>
        <w:t>j</w:t>
      </w:r>
      <w:r w:rsidRPr="008F1125">
        <w:rPr>
          <w:lang w:val="sr-Latn-RS" w:bidi="sr-Latn-RS"/>
        </w:rPr>
        <w:t>ednje doze avelumaba.</w:t>
      </w:r>
    </w:p>
    <w:p w14:paraId="1FB633E2" w14:textId="77777777" w:rsidR="00437BE5" w:rsidRPr="008F1125" w:rsidRDefault="00437BE5" w:rsidP="00BE106F">
      <w:pPr>
        <w:jc w:val="both"/>
        <w:rPr>
          <w:szCs w:val="22"/>
          <w:lang w:val="sr-Latn-RS"/>
        </w:rPr>
      </w:pPr>
    </w:p>
    <w:p w14:paraId="69BD9935" w14:textId="77777777" w:rsidR="00BE106F" w:rsidRPr="008F1125" w:rsidRDefault="00BE106F" w:rsidP="00BE106F">
      <w:pPr>
        <w:keepNext/>
        <w:keepLines/>
        <w:jc w:val="both"/>
        <w:rPr>
          <w:szCs w:val="22"/>
          <w:lang w:val="sr-Latn-RS"/>
        </w:rPr>
      </w:pPr>
      <w:r w:rsidRPr="008F1125">
        <w:rPr>
          <w:u w:val="single"/>
          <w:lang w:val="sr-Latn-RS" w:bidi="sr-Latn-RS"/>
        </w:rPr>
        <w:t>Plodnost</w:t>
      </w:r>
    </w:p>
    <w:p w14:paraId="29AB7CA4" w14:textId="6EA8B274" w:rsidR="00BE106F" w:rsidRPr="008F1125" w:rsidRDefault="00BE106F" w:rsidP="00BE106F">
      <w:pPr>
        <w:pStyle w:val="BodyText"/>
        <w:keepNext/>
        <w:keepLines/>
        <w:jc w:val="both"/>
        <w:rPr>
          <w:i w:val="0"/>
          <w:color w:val="auto"/>
          <w:szCs w:val="22"/>
          <w:lang w:val="sr-Latn-RS"/>
        </w:rPr>
      </w:pPr>
      <w:r w:rsidRPr="008F1125">
        <w:rPr>
          <w:i w:val="0"/>
          <w:color w:val="auto"/>
          <w:lang w:val="sr-Latn-RS" w:bidi="sr-Latn-RS"/>
        </w:rPr>
        <w:t>Efekat avelumaba na mušku i žensku plodnost nije poznat.</w:t>
      </w:r>
    </w:p>
    <w:p w14:paraId="32D9791E" w14:textId="77777777" w:rsidR="00BE106F" w:rsidRPr="008F1125" w:rsidRDefault="00BE106F" w:rsidP="00BE106F">
      <w:pPr>
        <w:tabs>
          <w:tab w:val="clear" w:pos="567"/>
        </w:tabs>
        <w:autoSpaceDE w:val="0"/>
        <w:autoSpaceDN w:val="0"/>
        <w:adjustRightInd w:val="0"/>
        <w:jc w:val="both"/>
        <w:rPr>
          <w:szCs w:val="22"/>
          <w:lang w:val="sr-Latn-RS"/>
        </w:rPr>
      </w:pPr>
    </w:p>
    <w:p w14:paraId="1FB633E3" w14:textId="77777777" w:rsidR="00821DBC" w:rsidRPr="008F1125" w:rsidRDefault="00926926" w:rsidP="00BE106F">
      <w:pPr>
        <w:keepNext/>
        <w:keepLines/>
        <w:jc w:val="both"/>
        <w:rPr>
          <w:i/>
          <w:szCs w:val="22"/>
          <w:u w:val="single"/>
          <w:lang w:val="sr-Latn-RS"/>
        </w:rPr>
      </w:pPr>
      <w:r w:rsidRPr="008F1125">
        <w:rPr>
          <w:u w:val="single"/>
          <w:lang w:val="sr-Latn-RS" w:bidi="sr-Latn-RS"/>
        </w:rPr>
        <w:t>Trudnoća</w:t>
      </w:r>
    </w:p>
    <w:p w14:paraId="1FB633E4" w14:textId="0CCE15E5" w:rsidR="006B5C62" w:rsidRPr="008F1125" w:rsidRDefault="00926926" w:rsidP="00BE106F">
      <w:pPr>
        <w:keepNext/>
        <w:keepLines/>
        <w:tabs>
          <w:tab w:val="clear" w:pos="567"/>
        </w:tabs>
        <w:autoSpaceDE w:val="0"/>
        <w:autoSpaceDN w:val="0"/>
        <w:adjustRightInd w:val="0"/>
        <w:jc w:val="both"/>
        <w:rPr>
          <w:szCs w:val="22"/>
          <w:lang w:val="sr-Latn-RS"/>
        </w:rPr>
      </w:pPr>
      <w:r w:rsidRPr="008F1125">
        <w:rPr>
          <w:lang w:val="sr-Latn-RS" w:bidi="sr-Latn-RS"/>
        </w:rPr>
        <w:t xml:space="preserve">Nema podataka </w:t>
      </w:r>
      <w:r w:rsidR="00BE106F" w:rsidRPr="008F1125">
        <w:rPr>
          <w:lang w:val="sr-Latn-RS" w:bidi="sr-Latn-RS"/>
        </w:rPr>
        <w:t xml:space="preserve">o primjeni avelumaba kod trudnica </w:t>
      </w:r>
      <w:r w:rsidRPr="008F1125">
        <w:rPr>
          <w:lang w:val="sr-Latn-RS" w:bidi="sr-Latn-RS"/>
        </w:rPr>
        <w:t>ili su ograničeni.</w:t>
      </w:r>
    </w:p>
    <w:p w14:paraId="1FB633E5" w14:textId="77777777" w:rsidR="00960145" w:rsidRPr="008F1125" w:rsidRDefault="00960145" w:rsidP="00BE106F">
      <w:pPr>
        <w:tabs>
          <w:tab w:val="clear" w:pos="567"/>
        </w:tabs>
        <w:autoSpaceDE w:val="0"/>
        <w:autoSpaceDN w:val="0"/>
        <w:adjustRightInd w:val="0"/>
        <w:jc w:val="both"/>
        <w:rPr>
          <w:szCs w:val="22"/>
          <w:lang w:val="sr-Latn-RS"/>
        </w:rPr>
      </w:pPr>
    </w:p>
    <w:p w14:paraId="1FB633E6" w14:textId="592AB69A" w:rsidR="00821DBC" w:rsidRPr="008F1125" w:rsidRDefault="00926926" w:rsidP="00BE106F">
      <w:pPr>
        <w:tabs>
          <w:tab w:val="clear" w:pos="567"/>
        </w:tabs>
        <w:autoSpaceDE w:val="0"/>
        <w:autoSpaceDN w:val="0"/>
        <w:adjustRightInd w:val="0"/>
        <w:jc w:val="both"/>
        <w:rPr>
          <w:szCs w:val="22"/>
          <w:lang w:val="sr-Latn-RS"/>
        </w:rPr>
      </w:pPr>
      <w:r w:rsidRPr="008F1125">
        <w:rPr>
          <w:lang w:val="sr-Latn-RS" w:bidi="sr-Latn-RS"/>
        </w:rPr>
        <w:t>Ni</w:t>
      </w:r>
      <w:r w:rsidR="00BE106F" w:rsidRPr="008F1125">
        <w:rPr>
          <w:lang w:val="sr-Latn-RS" w:bidi="sr-Latn-RS"/>
        </w:rPr>
        <w:t>je</w:t>
      </w:r>
      <w:r w:rsidRPr="008F1125">
        <w:rPr>
          <w:lang w:val="sr-Latn-RS" w:bidi="sr-Latn-RS"/>
        </w:rPr>
        <w:t xml:space="preserve">su sprovedena ispitivanja uticaja avelumaba </w:t>
      </w:r>
      <w:r w:rsidR="00BE106F" w:rsidRPr="008F1125">
        <w:rPr>
          <w:lang w:val="sr-Latn-RS" w:bidi="sr-Latn-RS"/>
        </w:rPr>
        <w:t xml:space="preserve">na </w:t>
      </w:r>
      <w:r w:rsidRPr="008F1125">
        <w:rPr>
          <w:lang w:val="sr-Latn-RS" w:bidi="sr-Latn-RS"/>
        </w:rPr>
        <w:t>reprodukciju kod životinja. Međutim, na mišjim modelima trudnoće pokazalo se da blokada PD-L1 signalizacije ometa toleranciju prema fetusu i rezultuje povećanim gubitkom fetusa (</w:t>
      </w:r>
      <w:r w:rsidR="00DD502A" w:rsidRPr="008F1125">
        <w:rPr>
          <w:lang w:val="sr-Latn-RS" w:bidi="sr-Latn-RS"/>
        </w:rPr>
        <w:t>vidjeti dio</w:t>
      </w:r>
      <w:r w:rsidRPr="008F1125">
        <w:rPr>
          <w:lang w:val="sr-Latn-RS" w:bidi="sr-Latn-RS"/>
        </w:rPr>
        <w:t xml:space="preserve"> 5.3). Ovi rezultati, na osnovu mehanizma d</w:t>
      </w:r>
      <w:r w:rsidR="00BE106F" w:rsidRPr="008F1125">
        <w:rPr>
          <w:lang w:val="sr-Latn-RS" w:bidi="sr-Latn-RS"/>
        </w:rPr>
        <w:t>j</w:t>
      </w:r>
      <w:r w:rsidRPr="008F1125">
        <w:rPr>
          <w:lang w:val="sr-Latn-RS" w:bidi="sr-Latn-RS"/>
        </w:rPr>
        <w:t>elovanja avelumaba, ukazuju na mogući rizik od štetnog d</w:t>
      </w:r>
      <w:r w:rsidR="00BE106F" w:rsidRPr="008F1125">
        <w:rPr>
          <w:lang w:val="sr-Latn-RS" w:bidi="sr-Latn-RS"/>
        </w:rPr>
        <w:t>j</w:t>
      </w:r>
      <w:r w:rsidRPr="008F1125">
        <w:rPr>
          <w:lang w:val="sr-Latn-RS" w:bidi="sr-Latn-RS"/>
        </w:rPr>
        <w:t xml:space="preserve">elovanja na fetus ako se avelumab </w:t>
      </w:r>
      <w:r w:rsidR="00DD502A" w:rsidRPr="008F1125">
        <w:rPr>
          <w:lang w:val="sr-Latn-RS" w:bidi="sr-Latn-RS"/>
        </w:rPr>
        <w:t>primjenjuje</w:t>
      </w:r>
      <w:r w:rsidRPr="008F1125">
        <w:rPr>
          <w:lang w:val="sr-Latn-RS" w:bidi="sr-Latn-RS"/>
        </w:rPr>
        <w:t xml:space="preserve"> za vr</w:t>
      </w:r>
      <w:r w:rsidR="00B27CC7" w:rsidRPr="008F1125">
        <w:rPr>
          <w:lang w:val="sr-Latn-RS" w:bidi="sr-Latn-RS"/>
        </w:rPr>
        <w:t>ij</w:t>
      </w:r>
      <w:r w:rsidRPr="008F1125">
        <w:rPr>
          <w:lang w:val="sr-Latn-RS" w:bidi="sr-Latn-RS"/>
        </w:rPr>
        <w:t>eme trudnoće, uključujući povećanje stope pobačaja ili mrtvorođenosti.</w:t>
      </w:r>
    </w:p>
    <w:p w14:paraId="1FB633E7" w14:textId="77777777" w:rsidR="00821DBC" w:rsidRPr="008F1125" w:rsidRDefault="00821DBC" w:rsidP="00BE106F">
      <w:pPr>
        <w:tabs>
          <w:tab w:val="clear" w:pos="567"/>
        </w:tabs>
        <w:autoSpaceDE w:val="0"/>
        <w:autoSpaceDN w:val="0"/>
        <w:adjustRightInd w:val="0"/>
        <w:jc w:val="both"/>
        <w:rPr>
          <w:iCs/>
          <w:szCs w:val="22"/>
          <w:lang w:val="sr-Latn-RS"/>
        </w:rPr>
      </w:pPr>
    </w:p>
    <w:p w14:paraId="1FB633E8" w14:textId="205E5A6D" w:rsidR="00821DBC" w:rsidRPr="008F1125" w:rsidRDefault="00926926" w:rsidP="00BE106F">
      <w:pPr>
        <w:tabs>
          <w:tab w:val="clear" w:pos="567"/>
        </w:tabs>
        <w:autoSpaceDE w:val="0"/>
        <w:autoSpaceDN w:val="0"/>
        <w:adjustRightInd w:val="0"/>
        <w:jc w:val="both"/>
        <w:rPr>
          <w:szCs w:val="22"/>
          <w:lang w:val="sr-Latn-RS"/>
        </w:rPr>
      </w:pPr>
      <w:r w:rsidRPr="008F1125">
        <w:rPr>
          <w:lang w:val="sr-Latn-RS" w:bidi="sr-Latn-RS"/>
        </w:rPr>
        <w:t xml:space="preserve">Poznato je da </w:t>
      </w:r>
      <w:r w:rsidR="00324A9C" w:rsidRPr="008F1125">
        <w:rPr>
          <w:lang w:val="sr-Latn-RS" w:bidi="sr-Latn-RS"/>
        </w:rPr>
        <w:t xml:space="preserve">humani </w:t>
      </w:r>
      <w:r w:rsidRPr="008F1125">
        <w:rPr>
          <w:lang w:val="sr-Latn-RS" w:bidi="sr-Latn-RS"/>
        </w:rPr>
        <w:t>IgG1 imunoglobulini prelaze placenta</w:t>
      </w:r>
      <w:r w:rsidR="006305A8" w:rsidRPr="008F1125">
        <w:rPr>
          <w:lang w:val="sr-Latn-RS" w:bidi="sr-Latn-RS"/>
        </w:rPr>
        <w:t>r</w:t>
      </w:r>
      <w:r w:rsidRPr="008F1125">
        <w:rPr>
          <w:lang w:val="sr-Latn-RS" w:bidi="sr-Latn-RS"/>
        </w:rPr>
        <w:t>nu barijeru. Zato avelumab ima potencijal prenosa sa majke na fetus u razvoju. Ne preporučuje se prim</w:t>
      </w:r>
      <w:r w:rsidR="00515B67" w:rsidRPr="008F1125">
        <w:rPr>
          <w:lang w:val="sr-Latn-RS" w:bidi="sr-Latn-RS"/>
        </w:rPr>
        <w:t>j</w:t>
      </w:r>
      <w:r w:rsidRPr="008F1125">
        <w:rPr>
          <w:lang w:val="sr-Latn-RS" w:bidi="sr-Latn-RS"/>
        </w:rPr>
        <w:t>ena avelumaba za vr</w:t>
      </w:r>
      <w:r w:rsidR="00B27CC7" w:rsidRPr="008F1125">
        <w:rPr>
          <w:lang w:val="sr-Latn-RS" w:bidi="sr-Latn-RS"/>
        </w:rPr>
        <w:t>ij</w:t>
      </w:r>
      <w:r w:rsidRPr="008F1125">
        <w:rPr>
          <w:lang w:val="sr-Latn-RS" w:bidi="sr-Latn-RS"/>
        </w:rPr>
        <w:t>eme trudnoće osim ako kliničko stanje žene ne zaht</w:t>
      </w:r>
      <w:r w:rsidR="00B27CC7" w:rsidRPr="008F1125">
        <w:rPr>
          <w:lang w:val="sr-Latn-RS" w:bidi="sr-Latn-RS"/>
        </w:rPr>
        <w:t>ij</w:t>
      </w:r>
      <w:r w:rsidRPr="008F1125">
        <w:rPr>
          <w:lang w:val="sr-Latn-RS" w:bidi="sr-Latn-RS"/>
        </w:rPr>
        <w:t>eva terapiju avelumabom.</w:t>
      </w:r>
    </w:p>
    <w:p w14:paraId="1FB633E9" w14:textId="77777777" w:rsidR="00821DBC" w:rsidRPr="008F1125" w:rsidRDefault="00821DBC" w:rsidP="00BE106F">
      <w:pPr>
        <w:tabs>
          <w:tab w:val="clear" w:pos="567"/>
        </w:tabs>
        <w:autoSpaceDE w:val="0"/>
        <w:autoSpaceDN w:val="0"/>
        <w:adjustRightInd w:val="0"/>
        <w:jc w:val="both"/>
        <w:rPr>
          <w:rFonts w:eastAsia="TimesNewRoman"/>
          <w:szCs w:val="22"/>
          <w:lang w:val="sr-Latn-RS" w:eastAsia="en-GB"/>
        </w:rPr>
      </w:pPr>
    </w:p>
    <w:p w14:paraId="1FB633EA" w14:textId="77777777" w:rsidR="00821DBC" w:rsidRPr="008F1125" w:rsidRDefault="00926926" w:rsidP="00BE106F">
      <w:pPr>
        <w:keepNext/>
        <w:keepLines/>
        <w:jc w:val="both"/>
        <w:rPr>
          <w:szCs w:val="22"/>
          <w:lang w:val="sr-Latn-RS"/>
        </w:rPr>
      </w:pPr>
      <w:r w:rsidRPr="008F1125">
        <w:rPr>
          <w:u w:val="single"/>
          <w:lang w:val="sr-Latn-RS" w:bidi="sr-Latn-RS"/>
        </w:rPr>
        <w:t>Dojenje</w:t>
      </w:r>
    </w:p>
    <w:p w14:paraId="1FB633EB" w14:textId="25A590B8" w:rsidR="00DE3FE1" w:rsidRPr="008F1125" w:rsidRDefault="00926926" w:rsidP="00BE106F">
      <w:pPr>
        <w:keepNext/>
        <w:keepLines/>
        <w:tabs>
          <w:tab w:val="clear" w:pos="567"/>
        </w:tabs>
        <w:autoSpaceDE w:val="0"/>
        <w:autoSpaceDN w:val="0"/>
        <w:adjustRightInd w:val="0"/>
        <w:jc w:val="both"/>
        <w:rPr>
          <w:szCs w:val="22"/>
          <w:lang w:val="sr-Latn-RS"/>
        </w:rPr>
      </w:pPr>
      <w:r w:rsidRPr="008F1125">
        <w:rPr>
          <w:lang w:val="sr-Latn-RS" w:bidi="sr-Latn-RS"/>
        </w:rPr>
        <w:t xml:space="preserve">Nije poznato da li se avelumab izlučuje u majčino </w:t>
      </w:r>
      <w:r w:rsidR="00E74CD9" w:rsidRPr="008F1125">
        <w:rPr>
          <w:lang w:val="sr-Latn-RS" w:bidi="sr-Latn-RS"/>
        </w:rPr>
        <w:t>ml</w:t>
      </w:r>
      <w:r w:rsidR="00B27CC7" w:rsidRPr="008F1125">
        <w:rPr>
          <w:lang w:val="sr-Latn-RS" w:bidi="sr-Latn-RS"/>
        </w:rPr>
        <w:t>ij</w:t>
      </w:r>
      <w:r w:rsidRPr="008F1125">
        <w:rPr>
          <w:lang w:val="sr-Latn-RS" w:bidi="sr-Latn-RS"/>
        </w:rPr>
        <w:t>eko. Budući da je poznato da antit</w:t>
      </w:r>
      <w:r w:rsidR="00B27CC7" w:rsidRPr="008F1125">
        <w:rPr>
          <w:lang w:val="sr-Latn-RS" w:bidi="sr-Latn-RS"/>
        </w:rPr>
        <w:t>ij</w:t>
      </w:r>
      <w:r w:rsidRPr="008F1125">
        <w:rPr>
          <w:lang w:val="sr-Latn-RS" w:bidi="sr-Latn-RS"/>
        </w:rPr>
        <w:t xml:space="preserve">ela mogu da se izlučuju u majčino </w:t>
      </w:r>
      <w:r w:rsidR="00E74CD9" w:rsidRPr="008F1125">
        <w:rPr>
          <w:lang w:val="sr-Latn-RS" w:bidi="sr-Latn-RS"/>
        </w:rPr>
        <w:t>ml</w:t>
      </w:r>
      <w:r w:rsidR="00B27CC7" w:rsidRPr="008F1125">
        <w:rPr>
          <w:lang w:val="sr-Latn-RS" w:bidi="sr-Latn-RS"/>
        </w:rPr>
        <w:t>ij</w:t>
      </w:r>
      <w:r w:rsidRPr="008F1125">
        <w:rPr>
          <w:lang w:val="sr-Latn-RS" w:bidi="sr-Latn-RS"/>
        </w:rPr>
        <w:t>eko, ne može se isključiti rizik za novorođenče/odojče.</w:t>
      </w:r>
    </w:p>
    <w:p w14:paraId="1FB633EC" w14:textId="77777777" w:rsidR="00DE3FE1" w:rsidRPr="008F1125" w:rsidRDefault="00DE3FE1" w:rsidP="00BE106F">
      <w:pPr>
        <w:tabs>
          <w:tab w:val="clear" w:pos="567"/>
        </w:tabs>
        <w:autoSpaceDE w:val="0"/>
        <w:autoSpaceDN w:val="0"/>
        <w:adjustRightInd w:val="0"/>
        <w:jc w:val="both"/>
        <w:rPr>
          <w:szCs w:val="22"/>
          <w:lang w:val="sr-Latn-RS"/>
        </w:rPr>
      </w:pPr>
    </w:p>
    <w:p w14:paraId="1FB633ED" w14:textId="5EBFDDC3" w:rsidR="00821DBC" w:rsidRPr="008F1125" w:rsidRDefault="00926926" w:rsidP="00BE106F">
      <w:pPr>
        <w:tabs>
          <w:tab w:val="clear" w:pos="567"/>
        </w:tabs>
        <w:autoSpaceDE w:val="0"/>
        <w:autoSpaceDN w:val="0"/>
        <w:adjustRightInd w:val="0"/>
        <w:jc w:val="both"/>
        <w:rPr>
          <w:szCs w:val="22"/>
          <w:lang w:val="sr-Latn-RS"/>
        </w:rPr>
      </w:pPr>
      <w:r w:rsidRPr="008F1125">
        <w:rPr>
          <w:lang w:val="sr-Latn-RS" w:bidi="sr-Latn-RS"/>
        </w:rPr>
        <w:t>Dojiljama treba sav</w:t>
      </w:r>
      <w:r w:rsidR="00C62C0D" w:rsidRPr="008F1125">
        <w:rPr>
          <w:lang w:val="sr-Latn-RS" w:bidi="sr-Latn-RS"/>
        </w:rPr>
        <w:t>j</w:t>
      </w:r>
      <w:r w:rsidRPr="008F1125">
        <w:rPr>
          <w:lang w:val="sr-Latn-RS" w:bidi="sr-Latn-RS"/>
        </w:rPr>
        <w:t>etovati da ne doje tokom terapije i najmanje 1 m</w:t>
      </w:r>
      <w:r w:rsidR="00B27CC7" w:rsidRPr="008F1125">
        <w:rPr>
          <w:lang w:val="sr-Latn-RS" w:bidi="sr-Latn-RS"/>
        </w:rPr>
        <w:t>j</w:t>
      </w:r>
      <w:r w:rsidRPr="008F1125">
        <w:rPr>
          <w:lang w:val="sr-Latn-RS" w:bidi="sr-Latn-RS"/>
        </w:rPr>
        <w:t xml:space="preserve">esec nakon </w:t>
      </w:r>
      <w:r w:rsidR="00C62C0D" w:rsidRPr="008F1125">
        <w:rPr>
          <w:lang w:val="sr-Latn-RS" w:bidi="sr-Latn-RS"/>
        </w:rPr>
        <w:t xml:space="preserve">posljednje </w:t>
      </w:r>
      <w:r w:rsidRPr="008F1125">
        <w:rPr>
          <w:lang w:val="sr-Latn-RS" w:bidi="sr-Latn-RS"/>
        </w:rPr>
        <w:t>doze zbog mogućih ozbiljnih neželjenih reakcija kod odojčadi.</w:t>
      </w:r>
    </w:p>
    <w:p w14:paraId="1FB633EE" w14:textId="77777777" w:rsidR="00821DBC" w:rsidRPr="008F1125" w:rsidRDefault="00821DBC" w:rsidP="00BE106F">
      <w:pPr>
        <w:jc w:val="both"/>
        <w:rPr>
          <w:szCs w:val="22"/>
          <w:lang w:val="sr-Latn-RS"/>
        </w:rPr>
      </w:pPr>
    </w:p>
    <w:p w14:paraId="1FB633F2" w14:textId="0256BB43" w:rsidR="00821DBC" w:rsidRPr="008F1125" w:rsidRDefault="00926926" w:rsidP="00BE106F">
      <w:pPr>
        <w:pStyle w:val="BodyText"/>
        <w:jc w:val="both"/>
        <w:rPr>
          <w:i w:val="0"/>
          <w:color w:val="auto"/>
          <w:szCs w:val="22"/>
          <w:lang w:val="sr-Latn-RS"/>
        </w:rPr>
      </w:pPr>
      <w:r w:rsidRPr="008F1125">
        <w:rPr>
          <w:i w:val="0"/>
          <w:color w:val="auto"/>
          <w:lang w:val="sr-Latn-RS" w:bidi="sr-Latn-RS"/>
        </w:rPr>
        <w:t>Iako ni</w:t>
      </w:r>
      <w:r w:rsidR="00C62C0D" w:rsidRPr="008F1125">
        <w:rPr>
          <w:i w:val="0"/>
          <w:color w:val="auto"/>
          <w:lang w:val="sr-Latn-RS" w:bidi="sr-Latn-RS"/>
        </w:rPr>
        <w:t>je</w:t>
      </w:r>
      <w:r w:rsidRPr="008F1125">
        <w:rPr>
          <w:i w:val="0"/>
          <w:color w:val="auto"/>
          <w:lang w:val="sr-Latn-RS" w:bidi="sr-Latn-RS"/>
        </w:rPr>
        <w:t xml:space="preserve">su </w:t>
      </w:r>
      <w:r w:rsidR="00C62C0D" w:rsidRPr="008F1125">
        <w:rPr>
          <w:i w:val="0"/>
          <w:color w:val="auto"/>
          <w:lang w:val="sr-Latn-RS" w:bidi="sr-Latn-RS"/>
        </w:rPr>
        <w:t>s</w:t>
      </w:r>
      <w:r w:rsidRPr="008F1125">
        <w:rPr>
          <w:i w:val="0"/>
          <w:color w:val="auto"/>
          <w:lang w:val="sr-Latn-RS" w:bidi="sr-Latn-RS"/>
        </w:rPr>
        <w:t xml:space="preserve">provedena ispitivanja kojima bi se </w:t>
      </w:r>
      <w:r w:rsidR="00E74CD9" w:rsidRPr="008F1125">
        <w:rPr>
          <w:i w:val="0"/>
          <w:color w:val="auto"/>
          <w:lang w:val="sr-Latn-RS" w:bidi="sr-Latn-RS"/>
        </w:rPr>
        <w:t>proc</w:t>
      </w:r>
      <w:r w:rsidR="00C62C0D" w:rsidRPr="008F1125">
        <w:rPr>
          <w:i w:val="0"/>
          <w:color w:val="auto"/>
          <w:lang w:val="sr-Latn-RS" w:bidi="sr-Latn-RS"/>
        </w:rPr>
        <w:t>i</w:t>
      </w:r>
      <w:r w:rsidR="00E74CD9" w:rsidRPr="008F1125">
        <w:rPr>
          <w:i w:val="0"/>
          <w:color w:val="auto"/>
          <w:lang w:val="sr-Latn-RS" w:bidi="sr-Latn-RS"/>
        </w:rPr>
        <w:t>jeni</w:t>
      </w:r>
      <w:r w:rsidRPr="008F1125">
        <w:rPr>
          <w:i w:val="0"/>
          <w:color w:val="auto"/>
          <w:lang w:val="sr-Latn-RS" w:bidi="sr-Latn-RS"/>
        </w:rPr>
        <w:t>o efekat avelumaba na plodnost, nije bilo prim</w:t>
      </w:r>
      <w:r w:rsidR="00515B67" w:rsidRPr="008F1125">
        <w:rPr>
          <w:i w:val="0"/>
          <w:color w:val="auto"/>
          <w:lang w:val="sr-Latn-RS" w:bidi="sr-Latn-RS"/>
        </w:rPr>
        <w:t>j</w:t>
      </w:r>
      <w:r w:rsidRPr="008F1125">
        <w:rPr>
          <w:i w:val="0"/>
          <w:color w:val="auto"/>
          <w:lang w:val="sr-Latn-RS" w:bidi="sr-Latn-RS"/>
        </w:rPr>
        <w:t>etnih efekata na reproduktivne organe ženki majmuna na osnovu 1-m</w:t>
      </w:r>
      <w:r w:rsidR="00B27CC7" w:rsidRPr="008F1125">
        <w:rPr>
          <w:i w:val="0"/>
          <w:color w:val="auto"/>
          <w:lang w:val="sr-Latn-RS" w:bidi="sr-Latn-RS"/>
        </w:rPr>
        <w:t>j</w:t>
      </w:r>
      <w:r w:rsidRPr="008F1125">
        <w:rPr>
          <w:i w:val="0"/>
          <w:color w:val="auto"/>
          <w:lang w:val="sr-Latn-RS" w:bidi="sr-Latn-RS"/>
        </w:rPr>
        <w:t>esečnog i 3-m</w:t>
      </w:r>
      <w:r w:rsidR="00B27CC7" w:rsidRPr="008F1125">
        <w:rPr>
          <w:i w:val="0"/>
          <w:color w:val="auto"/>
          <w:lang w:val="sr-Latn-RS" w:bidi="sr-Latn-RS"/>
        </w:rPr>
        <w:t>j</w:t>
      </w:r>
      <w:r w:rsidRPr="008F1125">
        <w:rPr>
          <w:i w:val="0"/>
          <w:color w:val="auto"/>
          <w:lang w:val="sr-Latn-RS" w:bidi="sr-Latn-RS"/>
        </w:rPr>
        <w:t>esečnog ispitivanja toksičnosti ponovljenih doza (</w:t>
      </w:r>
      <w:r w:rsidR="00DD502A" w:rsidRPr="008F1125">
        <w:rPr>
          <w:i w:val="0"/>
          <w:color w:val="auto"/>
          <w:lang w:val="sr-Latn-RS" w:bidi="sr-Latn-RS"/>
        </w:rPr>
        <w:t>vidjeti dio</w:t>
      </w:r>
      <w:r w:rsidRPr="008F1125">
        <w:rPr>
          <w:i w:val="0"/>
          <w:color w:val="auto"/>
          <w:lang w:val="sr-Latn-RS" w:bidi="sr-Latn-RS"/>
        </w:rPr>
        <w:t xml:space="preserve"> 5.3).</w:t>
      </w:r>
    </w:p>
    <w:p w14:paraId="1FB633F3" w14:textId="77777777" w:rsidR="00821DBC" w:rsidRPr="008F1125" w:rsidRDefault="00821DBC" w:rsidP="00577413">
      <w:pPr>
        <w:rPr>
          <w:szCs w:val="22"/>
          <w:lang w:val="sr-Latn-RS"/>
        </w:rPr>
      </w:pPr>
    </w:p>
    <w:p w14:paraId="1FB633F4" w14:textId="4FE6490F" w:rsidR="00821DBC" w:rsidRPr="008F1125" w:rsidRDefault="00926926" w:rsidP="00C62C0D">
      <w:pPr>
        <w:keepNext/>
        <w:keepLines/>
        <w:jc w:val="both"/>
        <w:rPr>
          <w:b/>
          <w:szCs w:val="22"/>
          <w:lang w:val="sr-Latn-RS"/>
        </w:rPr>
      </w:pPr>
      <w:r w:rsidRPr="008F1125">
        <w:rPr>
          <w:b/>
          <w:lang w:val="sr-Latn-RS" w:bidi="sr-Latn-RS"/>
        </w:rPr>
        <w:lastRenderedPageBreak/>
        <w:t>4.7.</w:t>
      </w:r>
      <w:r w:rsidRPr="008F1125">
        <w:rPr>
          <w:b/>
          <w:lang w:val="sr-Latn-RS" w:bidi="sr-Latn-RS"/>
        </w:rPr>
        <w:tab/>
        <w:t>Uticaj na sposobnost upravljanja vozilima i rukovanj</w:t>
      </w:r>
      <w:r w:rsidR="00F77F00">
        <w:rPr>
          <w:b/>
          <w:lang w:val="sr-Latn-RS" w:bidi="sr-Latn-RS"/>
        </w:rPr>
        <w:t>e</w:t>
      </w:r>
      <w:r w:rsidRPr="008F1125">
        <w:rPr>
          <w:b/>
          <w:lang w:val="sr-Latn-RS" w:bidi="sr-Latn-RS"/>
        </w:rPr>
        <w:t xml:space="preserve"> mašinama</w:t>
      </w:r>
    </w:p>
    <w:p w14:paraId="1FB633F5" w14:textId="77777777" w:rsidR="00821DBC" w:rsidRPr="008F1125" w:rsidRDefault="00821DBC" w:rsidP="00C62C0D">
      <w:pPr>
        <w:keepNext/>
        <w:keepLines/>
        <w:jc w:val="both"/>
        <w:rPr>
          <w:szCs w:val="22"/>
          <w:lang w:val="sr-Latn-RS"/>
        </w:rPr>
      </w:pPr>
    </w:p>
    <w:p w14:paraId="1FB633F6" w14:textId="6263410C" w:rsidR="00821DBC" w:rsidRPr="008F1125" w:rsidRDefault="00926926" w:rsidP="00C62C0D">
      <w:pPr>
        <w:keepNext/>
        <w:keepLines/>
        <w:jc w:val="both"/>
        <w:rPr>
          <w:szCs w:val="22"/>
          <w:lang w:val="sr-Latn-RS"/>
        </w:rPr>
      </w:pPr>
      <w:r w:rsidRPr="008F1125">
        <w:rPr>
          <w:lang w:val="sr-Latn-RS" w:bidi="sr-Latn-RS"/>
        </w:rPr>
        <w:t>Avelumab ima zanemarljiv uticaj na sposobnost upravljanja vozilima i rukovanja mašinama. Posl</w:t>
      </w:r>
      <w:r w:rsidR="00C62C0D" w:rsidRPr="008F1125">
        <w:rPr>
          <w:lang w:val="sr-Latn-RS" w:bidi="sr-Latn-RS"/>
        </w:rPr>
        <w:t>ij</w:t>
      </w:r>
      <w:r w:rsidRPr="008F1125">
        <w:rPr>
          <w:lang w:val="sr-Latn-RS" w:bidi="sr-Latn-RS"/>
        </w:rPr>
        <w:t>e prim</w:t>
      </w:r>
      <w:r w:rsidR="00B27CC7" w:rsidRPr="008F1125">
        <w:rPr>
          <w:lang w:val="sr-Latn-RS" w:bidi="sr-Latn-RS"/>
        </w:rPr>
        <w:t>j</w:t>
      </w:r>
      <w:r w:rsidRPr="008F1125">
        <w:rPr>
          <w:lang w:val="sr-Latn-RS" w:bidi="sr-Latn-RS"/>
        </w:rPr>
        <w:t>ene avelumaba zab</w:t>
      </w:r>
      <w:r w:rsidR="00C62C0D" w:rsidRPr="008F1125">
        <w:rPr>
          <w:lang w:val="sr-Latn-RS" w:bidi="sr-Latn-RS"/>
        </w:rPr>
        <w:t>i</w:t>
      </w:r>
      <w:r w:rsidRPr="008F1125">
        <w:rPr>
          <w:lang w:val="sr-Latn-RS" w:bidi="sr-Latn-RS"/>
        </w:rPr>
        <w:t>l</w:t>
      </w:r>
      <w:r w:rsidR="00C62C0D" w:rsidRPr="008F1125">
        <w:rPr>
          <w:lang w:val="sr-Latn-RS" w:bidi="sr-Latn-RS"/>
        </w:rPr>
        <w:t>j</w:t>
      </w:r>
      <w:r w:rsidRPr="008F1125">
        <w:rPr>
          <w:lang w:val="sr-Latn-RS" w:bidi="sr-Latn-RS"/>
        </w:rPr>
        <w:t>ežen je zamor (</w:t>
      </w:r>
      <w:r w:rsidR="00DD502A" w:rsidRPr="008F1125">
        <w:rPr>
          <w:lang w:val="sr-Latn-RS" w:bidi="sr-Latn-RS"/>
        </w:rPr>
        <w:t>vidjeti dio</w:t>
      </w:r>
      <w:r w:rsidRPr="008F1125">
        <w:rPr>
          <w:lang w:val="sr-Latn-RS" w:bidi="sr-Latn-RS"/>
        </w:rPr>
        <w:t xml:space="preserve"> 4.8). Pacijentima treba sav</w:t>
      </w:r>
      <w:r w:rsidR="00B27CC7" w:rsidRPr="008F1125">
        <w:rPr>
          <w:lang w:val="sr-Latn-RS" w:bidi="sr-Latn-RS"/>
        </w:rPr>
        <w:t>j</w:t>
      </w:r>
      <w:r w:rsidRPr="008F1125">
        <w:rPr>
          <w:lang w:val="sr-Latn-RS" w:bidi="sr-Latn-RS"/>
        </w:rPr>
        <w:t>etovati da budu oprezni pri upravljanju vozilima ili rukovanj</w:t>
      </w:r>
      <w:r w:rsidR="00C62C0D" w:rsidRPr="008F1125">
        <w:rPr>
          <w:lang w:val="sr-Latn-RS" w:bidi="sr-Latn-RS"/>
        </w:rPr>
        <w:t>u</w:t>
      </w:r>
      <w:r w:rsidRPr="008F1125">
        <w:rPr>
          <w:lang w:val="sr-Latn-RS" w:bidi="sr-Latn-RS"/>
        </w:rPr>
        <w:t xml:space="preserve"> mašinama sve dok ne budu sigurni da avelumab nema štetan uticaj na njih.</w:t>
      </w:r>
    </w:p>
    <w:p w14:paraId="1FB633F7" w14:textId="77777777" w:rsidR="00CD0864" w:rsidRPr="008F1125" w:rsidRDefault="00CD0864" w:rsidP="00577413">
      <w:pPr>
        <w:rPr>
          <w:szCs w:val="22"/>
          <w:lang w:val="sr-Latn-RS"/>
        </w:rPr>
      </w:pPr>
    </w:p>
    <w:p w14:paraId="1FB633F8" w14:textId="77777777" w:rsidR="00821DBC" w:rsidRPr="008F1125" w:rsidRDefault="00926926" w:rsidP="00577413">
      <w:pPr>
        <w:keepNext/>
        <w:keepLines/>
        <w:rPr>
          <w:b/>
          <w:szCs w:val="22"/>
          <w:lang w:val="sr-Latn-RS"/>
        </w:rPr>
      </w:pPr>
      <w:r w:rsidRPr="008F1125">
        <w:rPr>
          <w:b/>
          <w:lang w:val="sr-Latn-RS" w:bidi="sr-Latn-RS"/>
        </w:rPr>
        <w:t>4.8.</w:t>
      </w:r>
      <w:r w:rsidRPr="008F1125">
        <w:rPr>
          <w:b/>
          <w:lang w:val="sr-Latn-RS" w:bidi="sr-Latn-RS"/>
        </w:rPr>
        <w:tab/>
        <w:t>Neželjena dejstva</w:t>
      </w:r>
    </w:p>
    <w:p w14:paraId="1FB633F9" w14:textId="77777777" w:rsidR="00821DBC" w:rsidRPr="008F1125" w:rsidRDefault="00821DBC" w:rsidP="00577413">
      <w:pPr>
        <w:keepNext/>
        <w:keepLines/>
        <w:autoSpaceDE w:val="0"/>
        <w:autoSpaceDN w:val="0"/>
        <w:adjustRightInd w:val="0"/>
        <w:jc w:val="both"/>
        <w:rPr>
          <w:szCs w:val="22"/>
          <w:lang w:val="sr-Latn-RS"/>
        </w:rPr>
      </w:pPr>
    </w:p>
    <w:p w14:paraId="0ADC4C56" w14:textId="6750F1A9" w:rsidR="002808A4" w:rsidRPr="008F1125" w:rsidRDefault="002808A4" w:rsidP="00AE57A4">
      <w:pPr>
        <w:keepNext/>
        <w:keepLines/>
        <w:autoSpaceDE w:val="0"/>
        <w:autoSpaceDN w:val="0"/>
        <w:adjustRightInd w:val="0"/>
        <w:jc w:val="both"/>
        <w:rPr>
          <w:szCs w:val="22"/>
          <w:u w:val="single"/>
          <w:lang w:val="sr-Latn-RS"/>
        </w:rPr>
      </w:pPr>
      <w:r w:rsidRPr="008F1125">
        <w:rPr>
          <w:szCs w:val="22"/>
          <w:u w:val="single"/>
          <w:lang w:val="sr-Latn-RS"/>
        </w:rPr>
        <w:t>Sažetak bezb</w:t>
      </w:r>
      <w:r w:rsidR="00D30197" w:rsidRPr="008F1125">
        <w:rPr>
          <w:szCs w:val="22"/>
          <w:u w:val="single"/>
          <w:lang w:val="sr-Latn-RS"/>
        </w:rPr>
        <w:t>j</w:t>
      </w:r>
      <w:r w:rsidRPr="008F1125">
        <w:rPr>
          <w:szCs w:val="22"/>
          <w:u w:val="single"/>
          <w:lang w:val="sr-Latn-RS"/>
        </w:rPr>
        <w:t>ednosnog profila</w:t>
      </w:r>
    </w:p>
    <w:p w14:paraId="1FB633FA" w14:textId="1A3B65D9" w:rsidR="00CE52D5" w:rsidRPr="008F1125" w:rsidRDefault="00926926" w:rsidP="00AE57A4">
      <w:pPr>
        <w:keepNext/>
        <w:keepLines/>
        <w:tabs>
          <w:tab w:val="clear" w:pos="567"/>
        </w:tabs>
        <w:autoSpaceDE w:val="0"/>
        <w:autoSpaceDN w:val="0"/>
        <w:adjustRightInd w:val="0"/>
        <w:jc w:val="both"/>
        <w:rPr>
          <w:rFonts w:eastAsia="SimSun"/>
          <w:szCs w:val="22"/>
          <w:lang w:val="sr-Latn-RS" w:eastAsia="en-GB"/>
        </w:rPr>
      </w:pPr>
      <w:r w:rsidRPr="008F1125">
        <w:rPr>
          <w:lang w:val="sr-Latn-RS" w:bidi="sr-Latn-RS"/>
        </w:rPr>
        <w:t>Avelumab je povezan sa imunološki posredovanim neželjenim reakcijama. Većina neželjenih reakcija, uključujući i teške reakcije, se povuče nakon uvođenja odgovarajuće medikamentozne terapije ili obustave prim</w:t>
      </w:r>
      <w:r w:rsidR="00515B67" w:rsidRPr="008F1125">
        <w:rPr>
          <w:lang w:val="sr-Latn-RS" w:bidi="sr-Latn-RS"/>
        </w:rPr>
        <w:t>j</w:t>
      </w:r>
      <w:r w:rsidRPr="008F1125">
        <w:rPr>
          <w:lang w:val="sr-Latn-RS" w:bidi="sr-Latn-RS"/>
        </w:rPr>
        <w:t>ene avelumaba (</w:t>
      </w:r>
      <w:r w:rsidR="00DD502A" w:rsidRPr="008F1125">
        <w:rPr>
          <w:lang w:val="sr-Latn-RS" w:bidi="sr-Latn-RS"/>
        </w:rPr>
        <w:t>vidjeti</w:t>
      </w:r>
      <w:r w:rsidRPr="008F1125">
        <w:rPr>
          <w:lang w:val="sr-Latn-RS" w:bidi="sr-Latn-RS"/>
        </w:rPr>
        <w:t xml:space="preserve"> „Opis odabranih neželjenih reakcija“ u nastavku).</w:t>
      </w:r>
    </w:p>
    <w:p w14:paraId="1FB633FB" w14:textId="77777777" w:rsidR="00567B07" w:rsidRPr="008F1125" w:rsidRDefault="00567B07" w:rsidP="00AE57A4">
      <w:pPr>
        <w:tabs>
          <w:tab w:val="clear" w:pos="567"/>
        </w:tabs>
        <w:autoSpaceDE w:val="0"/>
        <w:autoSpaceDN w:val="0"/>
        <w:adjustRightInd w:val="0"/>
        <w:jc w:val="both"/>
        <w:rPr>
          <w:rFonts w:eastAsia="SimSun"/>
          <w:szCs w:val="22"/>
          <w:lang w:val="sr-Latn-RS" w:eastAsia="en-GB"/>
        </w:rPr>
      </w:pPr>
    </w:p>
    <w:p w14:paraId="2037E0D2" w14:textId="2DE7FB48" w:rsidR="002808A4" w:rsidRPr="008F1125" w:rsidRDefault="002808A4" w:rsidP="00AE57A4">
      <w:pPr>
        <w:tabs>
          <w:tab w:val="clear" w:pos="567"/>
        </w:tabs>
        <w:autoSpaceDE w:val="0"/>
        <w:autoSpaceDN w:val="0"/>
        <w:adjustRightInd w:val="0"/>
        <w:jc w:val="both"/>
        <w:rPr>
          <w:rFonts w:eastAsia="HelveticaNeueLTStd-Cn"/>
          <w:szCs w:val="22"/>
          <w:lang w:val="sr-Latn-RS"/>
        </w:rPr>
      </w:pPr>
      <w:r w:rsidRPr="008F1125">
        <w:rPr>
          <w:lang w:val="sr-Latn-RS" w:bidi="sr-Latn-RS"/>
        </w:rPr>
        <w:t>Najčešće neželjene reakcije avelumaba bile su umor (30,0%), mučnina (23,6%), dijareja (18,5%), konstipacija (18,1%), smanjen apetit (17,6%), reakcije povezane sa infuzijom (15,9%), povraćanje (15,6%) i smanjena t</w:t>
      </w:r>
      <w:r w:rsidR="00B27CC7" w:rsidRPr="008F1125">
        <w:rPr>
          <w:lang w:val="sr-Latn-RS" w:bidi="sr-Latn-RS"/>
        </w:rPr>
        <w:t>j</w:t>
      </w:r>
      <w:r w:rsidRPr="008F1125">
        <w:rPr>
          <w:lang w:val="sr-Latn-RS" w:bidi="sr-Latn-RS"/>
        </w:rPr>
        <w:t>elesna masa (14,5%).</w:t>
      </w:r>
    </w:p>
    <w:p w14:paraId="1AB8962F" w14:textId="77777777" w:rsidR="002808A4" w:rsidRPr="008F1125" w:rsidRDefault="002808A4" w:rsidP="00AE57A4">
      <w:pPr>
        <w:autoSpaceDE w:val="0"/>
        <w:autoSpaceDN w:val="0"/>
        <w:adjustRightInd w:val="0"/>
        <w:jc w:val="both"/>
        <w:rPr>
          <w:rFonts w:eastAsia="HelveticaNeueLTStd-Cn"/>
          <w:szCs w:val="22"/>
          <w:lang w:val="sr-Latn-RS"/>
        </w:rPr>
      </w:pPr>
    </w:p>
    <w:p w14:paraId="36663DE6" w14:textId="51BA0B98" w:rsidR="002808A4" w:rsidRPr="008F1125" w:rsidRDefault="002808A4" w:rsidP="00AE57A4">
      <w:pPr>
        <w:tabs>
          <w:tab w:val="clear" w:pos="567"/>
        </w:tabs>
        <w:autoSpaceDE w:val="0"/>
        <w:autoSpaceDN w:val="0"/>
        <w:adjustRightInd w:val="0"/>
        <w:jc w:val="both"/>
        <w:rPr>
          <w:rFonts w:eastAsia="SimSun"/>
          <w:spacing w:val="-1"/>
          <w:szCs w:val="22"/>
          <w:lang w:val="sr-Latn-RS" w:eastAsia="en-GB"/>
        </w:rPr>
      </w:pPr>
      <w:r w:rsidRPr="008F1125">
        <w:rPr>
          <w:lang w:val="sr-Latn-RS" w:bidi="sr-Latn-RS"/>
        </w:rPr>
        <w:t>Najčešće neželjene reakcije ≥ 3. stepena bile su anemija (5,6%), hipertenzija (3,9%), hiponatremija (3,6%), dispneja (3,5%) i bol u abdomenu (2,6%). Ozbiljne neželjene reakcije bile su imunološki posredovane neželjene reakcije i reakcije povezane sa infuzijom (</w:t>
      </w:r>
      <w:r w:rsidR="00DD502A" w:rsidRPr="008F1125">
        <w:rPr>
          <w:lang w:val="sr-Latn-RS" w:bidi="sr-Latn-RS"/>
        </w:rPr>
        <w:t>vidjeti dio</w:t>
      </w:r>
      <w:r w:rsidRPr="008F1125">
        <w:rPr>
          <w:lang w:val="sr-Latn-RS" w:bidi="sr-Latn-RS"/>
        </w:rPr>
        <w:t xml:space="preserve"> 4.4).</w:t>
      </w:r>
    </w:p>
    <w:p w14:paraId="0B617C92" w14:textId="77777777" w:rsidR="002808A4" w:rsidRPr="008F1125" w:rsidRDefault="002808A4" w:rsidP="00AE57A4">
      <w:pPr>
        <w:jc w:val="both"/>
        <w:rPr>
          <w:szCs w:val="22"/>
          <w:lang w:val="sr-Latn-RS"/>
        </w:rPr>
      </w:pPr>
    </w:p>
    <w:p w14:paraId="1FB63403" w14:textId="77777777" w:rsidR="00821DBC" w:rsidRPr="008F1125" w:rsidRDefault="00926926" w:rsidP="00AE57A4">
      <w:pPr>
        <w:keepNext/>
        <w:keepLines/>
        <w:jc w:val="both"/>
        <w:rPr>
          <w:szCs w:val="22"/>
          <w:u w:val="single"/>
          <w:lang w:val="sr-Latn-RS"/>
        </w:rPr>
      </w:pPr>
      <w:r w:rsidRPr="008F1125">
        <w:rPr>
          <w:u w:val="single"/>
          <w:lang w:val="sr-Latn-RS" w:bidi="sr-Latn-RS"/>
        </w:rPr>
        <w:t>Tabelarni prikaz neželjenih reakcija</w:t>
      </w:r>
    </w:p>
    <w:p w14:paraId="4CC0DA47" w14:textId="2840505A" w:rsidR="002808A4" w:rsidRPr="008F1125" w:rsidRDefault="00DD502A" w:rsidP="00AE57A4">
      <w:pPr>
        <w:keepNext/>
        <w:keepLines/>
        <w:tabs>
          <w:tab w:val="clear" w:pos="567"/>
        </w:tabs>
        <w:autoSpaceDE w:val="0"/>
        <w:autoSpaceDN w:val="0"/>
        <w:adjustRightInd w:val="0"/>
        <w:jc w:val="both"/>
        <w:rPr>
          <w:szCs w:val="22"/>
          <w:lang w:val="sr-Latn-RS"/>
        </w:rPr>
      </w:pPr>
      <w:r w:rsidRPr="008F1125">
        <w:rPr>
          <w:lang w:val="sr-Latn-RS" w:bidi="sr-Latn-RS"/>
        </w:rPr>
        <w:t>Bezbjednost</w:t>
      </w:r>
      <w:r w:rsidR="002808A4" w:rsidRPr="008F1125">
        <w:rPr>
          <w:lang w:val="sr-Latn-RS" w:bidi="sr-Latn-RS"/>
        </w:rPr>
        <w:t xml:space="preserve"> prim</w:t>
      </w:r>
      <w:r w:rsidR="00515B67" w:rsidRPr="008F1125">
        <w:rPr>
          <w:lang w:val="sr-Latn-RS" w:bidi="sr-Latn-RS"/>
        </w:rPr>
        <w:t>j</w:t>
      </w:r>
      <w:r w:rsidR="002808A4" w:rsidRPr="008F1125">
        <w:rPr>
          <w:lang w:val="sr-Latn-RS" w:bidi="sr-Latn-RS"/>
        </w:rPr>
        <w:t>ene avelumaba kao monoterapije proc</w:t>
      </w:r>
      <w:r w:rsidR="0063413D" w:rsidRPr="008F1125">
        <w:rPr>
          <w:lang w:val="sr-Latn-RS" w:bidi="sr-Latn-RS"/>
        </w:rPr>
        <w:t>ij</w:t>
      </w:r>
      <w:r w:rsidR="002808A4" w:rsidRPr="008F1125">
        <w:rPr>
          <w:lang w:val="sr-Latn-RS" w:bidi="sr-Latn-RS"/>
        </w:rPr>
        <w:t>enjena je kod 2082 pacijenta sa solidnim tumorima, uključujući i metastatski karcinom Merkelovih ćelija</w:t>
      </w:r>
      <w:r w:rsidR="000904DE">
        <w:rPr>
          <w:lang w:val="sr-Latn-RS" w:bidi="sr-Latn-RS"/>
        </w:rPr>
        <w:t>,</w:t>
      </w:r>
      <w:r w:rsidR="002808A4" w:rsidRPr="008F1125">
        <w:rPr>
          <w:lang w:val="sr-Latn-RS" w:bidi="sr-Latn-RS"/>
        </w:rPr>
        <w:t xml:space="preserve"> ili lokalno uznapredovali ili metastatski urotelijalni karcinom, koji su u kliničkim ispitivanjima primali avelumab u dozi od 10 mg/kg svake 2 ned</w:t>
      </w:r>
      <w:r w:rsidR="00B34362">
        <w:rPr>
          <w:lang w:val="sr-Latn-RS" w:bidi="sr-Latn-RS"/>
        </w:rPr>
        <w:t>j</w:t>
      </w:r>
      <w:r w:rsidR="002808A4" w:rsidRPr="008F1125">
        <w:rPr>
          <w:lang w:val="sr-Latn-RS" w:bidi="sr-Latn-RS"/>
        </w:rPr>
        <w:t>elje (</w:t>
      </w:r>
      <w:r w:rsidRPr="008F1125">
        <w:rPr>
          <w:lang w:val="sr-Latn-RS" w:bidi="sr-Latn-RS"/>
        </w:rPr>
        <w:t>vidjeti</w:t>
      </w:r>
      <w:r w:rsidR="002808A4" w:rsidRPr="008F1125">
        <w:rPr>
          <w:lang w:val="sr-Latn-RS" w:bidi="sr-Latn-RS"/>
        </w:rPr>
        <w:t xml:space="preserve"> Tabelu 2).</w:t>
      </w:r>
    </w:p>
    <w:p w14:paraId="1D82BF38" w14:textId="77777777" w:rsidR="002808A4" w:rsidRPr="008F1125" w:rsidRDefault="002808A4" w:rsidP="00AE57A4">
      <w:pPr>
        <w:tabs>
          <w:tab w:val="clear" w:pos="567"/>
        </w:tabs>
        <w:autoSpaceDE w:val="0"/>
        <w:autoSpaceDN w:val="0"/>
        <w:adjustRightInd w:val="0"/>
        <w:jc w:val="both"/>
        <w:rPr>
          <w:szCs w:val="22"/>
          <w:lang w:val="sr-Latn-RS"/>
        </w:rPr>
      </w:pPr>
    </w:p>
    <w:p w14:paraId="1FB63406" w14:textId="3AA56779" w:rsidR="00732C1E" w:rsidRPr="008F1125" w:rsidRDefault="00926926" w:rsidP="00AE57A4">
      <w:pPr>
        <w:tabs>
          <w:tab w:val="clear" w:pos="567"/>
        </w:tabs>
        <w:autoSpaceDE w:val="0"/>
        <w:autoSpaceDN w:val="0"/>
        <w:adjustRightInd w:val="0"/>
        <w:jc w:val="both"/>
        <w:rPr>
          <w:szCs w:val="22"/>
          <w:lang w:val="sr-Latn-RS"/>
        </w:rPr>
      </w:pPr>
      <w:r w:rsidRPr="008F1125">
        <w:rPr>
          <w:lang w:val="sr-Latn-RS" w:bidi="sr-Latn-RS"/>
        </w:rPr>
        <w:t>Te reakcije prikazane su prema klasifikaciji sistema organa i učestalosti. Učestalosti se definišu kao: v</w:t>
      </w:r>
      <w:r w:rsidR="00B34362">
        <w:rPr>
          <w:lang w:val="sr-Latn-RS" w:bidi="sr-Latn-RS"/>
        </w:rPr>
        <w:t>e</w:t>
      </w:r>
      <w:r w:rsidRPr="008F1125">
        <w:rPr>
          <w:lang w:val="sr-Latn-RS" w:bidi="sr-Latn-RS"/>
        </w:rPr>
        <w:t>o</w:t>
      </w:r>
      <w:r w:rsidR="00B34362">
        <w:rPr>
          <w:lang w:val="sr-Latn-RS" w:bidi="sr-Latn-RS"/>
        </w:rPr>
        <w:t>ma</w:t>
      </w:r>
      <w:r w:rsidRPr="008F1125">
        <w:rPr>
          <w:lang w:val="sr-Latn-RS" w:bidi="sr-Latn-RS"/>
        </w:rPr>
        <w:t xml:space="preserve"> čest</w:t>
      </w:r>
      <w:r w:rsidR="00B34362">
        <w:rPr>
          <w:lang w:val="sr-Latn-RS" w:bidi="sr-Latn-RS"/>
        </w:rPr>
        <w:t>o</w:t>
      </w:r>
      <w:r w:rsidRPr="008F1125">
        <w:rPr>
          <w:lang w:val="sr-Latn-RS" w:bidi="sr-Latn-RS"/>
        </w:rPr>
        <w:t xml:space="preserve"> (≥ 1/10); čest</w:t>
      </w:r>
      <w:r w:rsidR="00B34362">
        <w:rPr>
          <w:lang w:val="sr-Latn-RS" w:bidi="sr-Latn-RS"/>
        </w:rPr>
        <w:t>o</w:t>
      </w:r>
      <w:r w:rsidRPr="008F1125">
        <w:rPr>
          <w:lang w:val="sr-Latn-RS" w:bidi="sr-Latn-RS"/>
        </w:rPr>
        <w:t xml:space="preserve"> (≥ 1/100 i &lt; 1/10); povremen</w:t>
      </w:r>
      <w:r w:rsidR="00B34362">
        <w:rPr>
          <w:lang w:val="sr-Latn-RS" w:bidi="sr-Latn-RS"/>
        </w:rPr>
        <w:t>o</w:t>
      </w:r>
      <w:r w:rsidRPr="008F1125">
        <w:rPr>
          <w:lang w:val="sr-Latn-RS" w:bidi="sr-Latn-RS"/>
        </w:rPr>
        <w:t xml:space="preserve"> (≥ 1/1000 i &lt; 1/100); </w:t>
      </w:r>
      <w:r w:rsidR="00B27CC7" w:rsidRPr="008F1125">
        <w:rPr>
          <w:lang w:val="sr-Latn-RS" w:bidi="sr-Latn-RS"/>
        </w:rPr>
        <w:t>rijetk</w:t>
      </w:r>
      <w:r w:rsidR="00B34362">
        <w:rPr>
          <w:lang w:val="sr-Latn-RS" w:bidi="sr-Latn-RS"/>
        </w:rPr>
        <w:t>o</w:t>
      </w:r>
      <w:r w:rsidRPr="008F1125">
        <w:rPr>
          <w:lang w:val="sr-Latn-RS" w:bidi="sr-Latn-RS"/>
        </w:rPr>
        <w:t xml:space="preserve"> (≥ 1/10 000 i &lt; 1/1000); veoma </w:t>
      </w:r>
      <w:r w:rsidR="00B27CC7" w:rsidRPr="008F1125">
        <w:rPr>
          <w:lang w:val="sr-Latn-RS" w:bidi="sr-Latn-RS"/>
        </w:rPr>
        <w:t>rijetk</w:t>
      </w:r>
      <w:r w:rsidR="00B34362">
        <w:rPr>
          <w:lang w:val="sr-Latn-RS" w:bidi="sr-Latn-RS"/>
        </w:rPr>
        <w:t>o</w:t>
      </w:r>
      <w:r w:rsidRPr="008F1125">
        <w:rPr>
          <w:lang w:val="sr-Latn-RS" w:bidi="sr-Latn-RS"/>
        </w:rPr>
        <w:t xml:space="preserve"> (&lt; 1/10000). U okviru svake grupe učestalosti neželjene reakcije su prikazane prema opadajućoj ozbiljnosti.</w:t>
      </w:r>
    </w:p>
    <w:p w14:paraId="1FB63407" w14:textId="77777777" w:rsidR="003A70F7" w:rsidRPr="008F1125" w:rsidRDefault="003A70F7" w:rsidP="00577413">
      <w:pPr>
        <w:rPr>
          <w:szCs w:val="22"/>
          <w:lang w:val="sr-Latn-RS"/>
        </w:rPr>
      </w:pPr>
    </w:p>
    <w:p w14:paraId="1FB63408" w14:textId="4A2F1654" w:rsidR="00821DBC" w:rsidRPr="008F1125" w:rsidRDefault="00926926" w:rsidP="00704138">
      <w:pPr>
        <w:pStyle w:val="BodytextAgency"/>
        <w:keepNext/>
        <w:keepLines/>
        <w:spacing w:after="0" w:line="240" w:lineRule="auto"/>
        <w:rPr>
          <w:rFonts w:ascii="Times New Roman" w:hAnsi="Times New Roman" w:cs="Times New Roman"/>
          <w:b/>
          <w:sz w:val="22"/>
          <w:szCs w:val="22"/>
          <w:lang w:val="sr-Latn-RS"/>
        </w:rPr>
      </w:pPr>
      <w:bookmarkStart w:id="1" w:name="_Ref531178251"/>
      <w:r w:rsidRPr="008F1125">
        <w:rPr>
          <w:rFonts w:ascii="Times New Roman" w:hAnsi="Times New Roman" w:cs="Times New Roman"/>
          <w:b/>
          <w:sz w:val="22"/>
          <w:lang w:val="sr-Latn-RS" w:bidi="sr-Latn-RS"/>
        </w:rPr>
        <w:t>Tabela </w:t>
      </w:r>
      <w:bookmarkEnd w:id="1"/>
      <w:r w:rsidRPr="008F1125">
        <w:rPr>
          <w:rFonts w:ascii="Times New Roman" w:hAnsi="Times New Roman" w:cs="Times New Roman"/>
          <w:b/>
          <w:sz w:val="22"/>
          <w:lang w:val="sr-Latn-RS" w:bidi="sr-Latn-RS"/>
        </w:rPr>
        <w:t>2: Neželjene reakcije kod pacijenata koji su primali avelumab kao monoterapiju</w:t>
      </w:r>
    </w:p>
    <w:p w14:paraId="1FB63409" w14:textId="77777777" w:rsidR="00014E1C" w:rsidRPr="008F1125" w:rsidRDefault="00014E1C" w:rsidP="00704138">
      <w:pPr>
        <w:keepNext/>
        <w:keepLines/>
        <w:tabs>
          <w:tab w:val="clear" w:pos="567"/>
        </w:tabs>
        <w:autoSpaceDE w:val="0"/>
        <w:autoSpaceDN w:val="0"/>
        <w:adjustRightInd w:val="0"/>
        <w:rPr>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723"/>
      </w:tblGrid>
      <w:tr w:rsidR="00F51581" w:rsidRPr="008F1125" w14:paraId="1FB6340C" w14:textId="77777777" w:rsidTr="001859BD">
        <w:trPr>
          <w:cantSplit/>
          <w:trHeight w:val="291"/>
          <w:tblHeader/>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0A" w14:textId="77777777" w:rsidR="007D5A8E" w:rsidRPr="008F1125" w:rsidRDefault="00926926" w:rsidP="00704138">
            <w:pPr>
              <w:pStyle w:val="Tableheading"/>
              <w:keepLines w:val="0"/>
              <w:spacing w:before="0" w:after="0"/>
              <w:jc w:val="left"/>
              <w:rPr>
                <w:rFonts w:ascii="Times New Roman" w:hAnsi="Times New Roman"/>
                <w:sz w:val="22"/>
                <w:lang w:val="sr-Latn-RS"/>
              </w:rPr>
            </w:pPr>
            <w:bookmarkStart w:id="2" w:name="_Hlk158635751"/>
            <w:r w:rsidRPr="008F1125">
              <w:rPr>
                <w:rFonts w:ascii="Times New Roman" w:hAnsi="Times New Roman"/>
                <w:sz w:val="22"/>
                <w:lang w:val="sr-Latn-RS" w:bidi="sr-Latn-RS"/>
              </w:rPr>
              <w:t>Učestalost</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0B" w14:textId="77777777" w:rsidR="007D5A8E" w:rsidRPr="008F1125" w:rsidRDefault="00926926" w:rsidP="00704138">
            <w:pPr>
              <w:pStyle w:val="Tableheading"/>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Neželjene reakcije</w:t>
            </w:r>
          </w:p>
        </w:tc>
      </w:tr>
      <w:tr w:rsidR="00F51581" w:rsidRPr="003D7D44" w14:paraId="1FB6340E"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0D" w14:textId="77777777" w:rsidR="007D5A8E" w:rsidRPr="008F1125" w:rsidRDefault="00926926" w:rsidP="00704138">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krvi i limfnog sistema</w:t>
            </w:r>
          </w:p>
        </w:tc>
      </w:tr>
      <w:tr w:rsidR="00F51581" w:rsidRPr="008F1125" w14:paraId="1FB6341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hideMark/>
          </w:tcPr>
          <w:p w14:paraId="1FB6340F" w14:textId="77777777" w:rsidR="007D5A8E" w:rsidRPr="008F1125" w:rsidRDefault="00926926"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hideMark/>
          </w:tcPr>
          <w:p w14:paraId="1FB63410" w14:textId="77777777" w:rsidR="007D5A8E" w:rsidRPr="008F1125" w:rsidRDefault="00926926"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anemija</w:t>
            </w:r>
          </w:p>
        </w:tc>
      </w:tr>
      <w:tr w:rsidR="00F51581" w:rsidRPr="008F1125" w14:paraId="1FB6341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12" w14:textId="77777777" w:rsidR="007D5A8E" w:rsidRPr="008F1125" w:rsidRDefault="00926926"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13" w14:textId="43FA3C96" w:rsidR="007D5A8E" w:rsidRPr="008F1125" w:rsidRDefault="00926926"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limfopenija</w:t>
            </w:r>
            <w:r w:rsidR="002808A4" w:rsidRPr="008F1125">
              <w:rPr>
                <w:rFonts w:ascii="Times New Roman" w:hAnsi="Times New Roman"/>
                <w:sz w:val="22"/>
                <w:lang w:val="sr-Latn-RS" w:bidi="sr-Latn-RS"/>
              </w:rPr>
              <w:t>, trombocitopenija</w:t>
            </w:r>
          </w:p>
        </w:tc>
      </w:tr>
      <w:tr w:rsidR="00F51581" w:rsidRPr="008F1125" w14:paraId="1FB63417"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15" w14:textId="77777777" w:rsidR="007D5A8E" w:rsidRPr="008F1125" w:rsidRDefault="00926926"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16" w14:textId="0A4669B0" w:rsidR="007D5A8E" w:rsidRPr="008F1125" w:rsidRDefault="002808A4" w:rsidP="00704138">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eozinofilija</w:t>
            </w:r>
            <w:r w:rsidRPr="008F1125">
              <w:rPr>
                <w:rFonts w:ascii="Times New Roman" w:hAnsi="Times New Roman"/>
                <w:sz w:val="22"/>
                <w:vertAlign w:val="superscript"/>
                <w:lang w:val="sr-Latn-RS" w:bidi="sr-Latn-RS"/>
              </w:rPr>
              <w:t>§</w:t>
            </w:r>
          </w:p>
        </w:tc>
      </w:tr>
      <w:tr w:rsidR="00F51581" w:rsidRPr="008F1125" w14:paraId="1FB63419"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18" w14:textId="767F63DF" w:rsidR="007D5A8E" w:rsidRPr="008F1125" w:rsidRDefault="00926926" w:rsidP="00B34362">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imunog sistema</w:t>
            </w:r>
          </w:p>
        </w:tc>
      </w:tr>
      <w:tr w:rsidR="00F51581" w:rsidRPr="003D7D44" w14:paraId="1FB6341C"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1A" w14:textId="0812D2CF" w:rsidR="002808A4" w:rsidRPr="008F1125" w:rsidRDefault="002808A4" w:rsidP="002808A4">
            <w:pPr>
              <w:pStyle w:val="BalloonText"/>
              <w:keepN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1B" w14:textId="75A17309" w:rsidR="002808A4" w:rsidRPr="008F1125" w:rsidRDefault="00FB2616" w:rsidP="002808A4">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preos</w:t>
            </w:r>
            <w:r w:rsidR="00B34362">
              <w:rPr>
                <w:rFonts w:ascii="Times New Roman" w:hAnsi="Times New Roman"/>
                <w:sz w:val="22"/>
                <w:lang w:val="sr-Latn-RS" w:bidi="sr-Latn-RS"/>
              </w:rPr>
              <w:t>j</w:t>
            </w:r>
            <w:r w:rsidRPr="008F1125">
              <w:rPr>
                <w:rFonts w:ascii="Times New Roman" w:hAnsi="Times New Roman"/>
                <w:sz w:val="22"/>
                <w:lang w:val="sr-Latn-RS" w:bidi="sr-Latn-RS"/>
              </w:rPr>
              <w:t xml:space="preserve">etljivost, </w:t>
            </w:r>
            <w:r w:rsidR="001B109A" w:rsidRPr="008F1125">
              <w:rPr>
                <w:rFonts w:ascii="Times New Roman" w:hAnsi="Times New Roman"/>
                <w:sz w:val="22"/>
                <w:lang w:val="sr-Latn-RS" w:bidi="sr-Latn-RS"/>
              </w:rPr>
              <w:t>preos</w:t>
            </w:r>
            <w:r w:rsidR="00B34362">
              <w:rPr>
                <w:rFonts w:ascii="Times New Roman" w:hAnsi="Times New Roman"/>
                <w:sz w:val="22"/>
                <w:lang w:val="sr-Latn-RS" w:bidi="sr-Latn-RS"/>
              </w:rPr>
              <w:t>j</w:t>
            </w:r>
            <w:r w:rsidR="001B109A" w:rsidRPr="008F1125">
              <w:rPr>
                <w:rFonts w:ascii="Times New Roman" w:hAnsi="Times New Roman"/>
                <w:sz w:val="22"/>
                <w:lang w:val="sr-Latn-RS" w:bidi="sr-Latn-RS"/>
              </w:rPr>
              <w:t>etljivost na l</w:t>
            </w:r>
            <w:r w:rsidR="0038574B" w:rsidRPr="008F1125">
              <w:rPr>
                <w:rFonts w:ascii="Times New Roman" w:hAnsi="Times New Roman"/>
                <w:sz w:val="22"/>
                <w:lang w:val="sr-Latn-RS" w:bidi="sr-Latn-RS"/>
              </w:rPr>
              <w:t>ij</w:t>
            </w:r>
            <w:r w:rsidR="001B109A" w:rsidRPr="008F1125">
              <w:rPr>
                <w:rFonts w:ascii="Times New Roman" w:hAnsi="Times New Roman"/>
                <w:sz w:val="22"/>
                <w:lang w:val="sr-Latn-RS" w:bidi="sr-Latn-RS"/>
              </w:rPr>
              <w:t>ek</w:t>
            </w:r>
            <w:r w:rsidR="00AB3BCF">
              <w:rPr>
                <w:rFonts w:ascii="Times New Roman" w:hAnsi="Times New Roman"/>
                <w:sz w:val="22"/>
                <w:lang w:val="sr-Latn-RS" w:bidi="sr-Latn-RS"/>
              </w:rPr>
              <w:t>, sarkoidoza**</w:t>
            </w:r>
          </w:p>
        </w:tc>
      </w:tr>
      <w:tr w:rsidR="00F51581" w:rsidRPr="003D7D44" w14:paraId="3F26272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264D5ECD" w14:textId="641EB69C" w:rsidR="002808A4" w:rsidRPr="008F1125" w:rsidRDefault="00B27CC7" w:rsidP="002808A4">
            <w:pPr>
              <w:pStyle w:val="BalloonText"/>
              <w:keepNext/>
              <w:rPr>
                <w:rFonts w:ascii="Times New Roman" w:hAnsi="Times New Roman" w:cs="Times New Roman"/>
                <w:sz w:val="22"/>
                <w:lang w:val="sr-Latn-RS" w:bidi="sr-Latn-RS"/>
              </w:rPr>
            </w:pPr>
            <w:r w:rsidRPr="008F1125">
              <w:rPr>
                <w:rFonts w:ascii="Times New Roman" w:hAnsi="Times New Roman" w:cs="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013A9300" w14:textId="134CD30B" w:rsidR="002808A4" w:rsidRPr="008F1125" w:rsidRDefault="002808A4" w:rsidP="00FB2616">
            <w:pPr>
              <w:pStyle w:val="Tabletext"/>
              <w:keepN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anafilaktička reakcija, preos</w:t>
            </w:r>
            <w:r w:rsidR="00B34362">
              <w:rPr>
                <w:rFonts w:ascii="Times New Roman" w:hAnsi="Times New Roman"/>
                <w:sz w:val="22"/>
                <w:lang w:val="sr-Latn-RS" w:bidi="sr-Latn-RS"/>
              </w:rPr>
              <w:t>j</w:t>
            </w:r>
            <w:r w:rsidRPr="008F1125">
              <w:rPr>
                <w:rFonts w:ascii="Times New Roman" w:hAnsi="Times New Roman"/>
                <w:sz w:val="22"/>
                <w:lang w:val="sr-Latn-RS" w:bidi="sr-Latn-RS"/>
              </w:rPr>
              <w:t>etljivost tipa I</w:t>
            </w:r>
          </w:p>
        </w:tc>
      </w:tr>
      <w:bookmarkEnd w:id="2"/>
      <w:tr w:rsidR="00F51581" w:rsidRPr="008F1125" w14:paraId="1FB6341E"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1D"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Endokrini poremećaji</w:t>
            </w:r>
          </w:p>
        </w:tc>
      </w:tr>
      <w:tr w:rsidR="00F51581" w:rsidRPr="008F1125" w14:paraId="1FB6342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1F" w14:textId="77777777" w:rsidR="007D5A8E" w:rsidRPr="008F1125" w:rsidRDefault="00926926" w:rsidP="000F6F96">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20" w14:textId="469E633B" w:rsidR="007D5A8E" w:rsidRPr="008F1125" w:rsidRDefault="00926926" w:rsidP="000F6F96">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hipotireodizam*</w:t>
            </w:r>
            <w:r w:rsidR="000E058D" w:rsidRPr="008F1125">
              <w:rPr>
                <w:rFonts w:ascii="Times New Roman" w:hAnsi="Times New Roman"/>
                <w:sz w:val="22"/>
                <w:lang w:val="sr-Latn-RS" w:bidi="sr-Latn-RS"/>
              </w:rPr>
              <w:t>, hipertireoza*</w:t>
            </w:r>
          </w:p>
        </w:tc>
      </w:tr>
      <w:tr w:rsidR="00F51581" w:rsidRPr="003D7D44" w14:paraId="1FB6342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22"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23" w14:textId="36183799" w:rsidR="007D5A8E" w:rsidRPr="008F1125" w:rsidRDefault="00926926" w:rsidP="000E058D">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adrenalna insuficijencija*, autoimuni tiroiditis*, </w:t>
            </w:r>
            <w:r w:rsidR="000E058D" w:rsidRPr="008F1125">
              <w:rPr>
                <w:rFonts w:ascii="Times New Roman" w:hAnsi="Times New Roman"/>
                <w:sz w:val="22"/>
                <w:lang w:val="sr-Latn-RS" w:bidi="sr-Latn-RS"/>
              </w:rPr>
              <w:t>tiroiditis*, autoimuna hipotireoza*</w:t>
            </w:r>
          </w:p>
        </w:tc>
      </w:tr>
      <w:tr w:rsidR="00F51581" w:rsidRPr="008F1125" w14:paraId="48FEC94A"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2B0881E5" w14:textId="6F906F83" w:rsidR="000E058D"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006BF767" w14:textId="05D01E51" w:rsidR="000E058D" w:rsidRPr="008F1125" w:rsidRDefault="000E058D" w:rsidP="000E058D">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akutna adrenokortikalna insuficijencija*, hipopituitarizam*</w:t>
            </w:r>
          </w:p>
        </w:tc>
      </w:tr>
      <w:tr w:rsidR="00F51581" w:rsidRPr="008F1125" w14:paraId="1FB63426"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25"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metabolizma i ishrane</w:t>
            </w:r>
          </w:p>
        </w:tc>
      </w:tr>
      <w:tr w:rsidR="00F51581" w:rsidRPr="008F1125" w14:paraId="1FB6342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27"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28"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smanjen apetit</w:t>
            </w:r>
          </w:p>
        </w:tc>
      </w:tr>
      <w:tr w:rsidR="00F51581" w:rsidRPr="008F1125" w14:paraId="7F96EC2E"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3D6B7DD7" w14:textId="5BEFAFD3" w:rsidR="000E058D" w:rsidRPr="008F1125" w:rsidRDefault="000E058D"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5FC765BD" w14:textId="4F2D79D4" w:rsidR="000E058D" w:rsidRPr="008F1125" w:rsidRDefault="00941806"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hiponatremija</w:t>
            </w:r>
          </w:p>
        </w:tc>
      </w:tr>
      <w:tr w:rsidR="00F51581" w:rsidRPr="008F1125" w14:paraId="1FB6342C"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2A"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2B" w14:textId="1EA7A65D" w:rsidR="007D5A8E" w:rsidRPr="008F1125" w:rsidRDefault="0094180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rPr>
              <w:t>hiperglikemija*</w:t>
            </w:r>
          </w:p>
        </w:tc>
      </w:tr>
      <w:tr w:rsidR="00F51581" w:rsidRPr="008F1125" w14:paraId="773B9052"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06285D6" w14:textId="55970BE9" w:rsidR="000E058D"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2EB52AE6" w14:textId="6C6AD66A" w:rsidR="000E058D" w:rsidRPr="008F1125" w:rsidRDefault="000E058D"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dijabetes melitus*, dijabetes melitus tip 1*</w:t>
            </w:r>
          </w:p>
        </w:tc>
      </w:tr>
      <w:tr w:rsidR="00F51581" w:rsidRPr="008F1125" w14:paraId="1FB6342E"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2D"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nervnog sistema</w:t>
            </w:r>
          </w:p>
        </w:tc>
      </w:tr>
      <w:tr w:rsidR="00F51581" w:rsidRPr="008F1125" w14:paraId="1FB6343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2F"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3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glavobolja, vrtoglavica, periferna neuropatija</w:t>
            </w:r>
          </w:p>
        </w:tc>
      </w:tr>
      <w:tr w:rsidR="00F51581" w:rsidRPr="008F1125" w14:paraId="1FB6343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32"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33" w14:textId="0893010D" w:rsidR="002668C8" w:rsidRPr="008F1125" w:rsidRDefault="00926926" w:rsidP="000859F5">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mijastenija gravis</w:t>
            </w:r>
            <w:r w:rsidRPr="008F1125">
              <w:rPr>
                <w:rFonts w:ascii="Times New Roman" w:hAnsi="Times New Roman"/>
                <w:sz w:val="22"/>
                <w:vertAlign w:val="superscript"/>
                <w:lang w:val="sr-Latn-RS" w:bidi="sr-Latn-RS"/>
              </w:rPr>
              <w:t>†</w:t>
            </w:r>
            <w:r w:rsidRPr="008F1125">
              <w:rPr>
                <w:rFonts w:ascii="Times New Roman" w:hAnsi="Times New Roman"/>
                <w:sz w:val="22"/>
                <w:lang w:val="sr-Latn-RS" w:bidi="sr-Latn-RS"/>
              </w:rPr>
              <w:t>, mijastenični sindrom</w:t>
            </w:r>
            <w:r w:rsidRPr="008F1125">
              <w:rPr>
                <w:rFonts w:ascii="Times New Roman" w:hAnsi="Times New Roman"/>
                <w:sz w:val="22"/>
                <w:vertAlign w:val="superscript"/>
                <w:lang w:val="sr-Latn-RS" w:bidi="sr-Latn-RS"/>
              </w:rPr>
              <w:t>†</w:t>
            </w:r>
          </w:p>
        </w:tc>
      </w:tr>
      <w:tr w:rsidR="00F51581" w:rsidRPr="008F1125" w14:paraId="31C95217"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2F1598E1" w14:textId="009B42F4" w:rsidR="00AC2208" w:rsidRPr="008F1125" w:rsidRDefault="00B27CC7" w:rsidP="00577413">
            <w:pPr>
              <w:pStyle w:val="BalloonText"/>
              <w:rPr>
                <w:rFonts w:ascii="Times New Roman" w:hAnsi="Times New Roman" w:cs="Times New Roman"/>
                <w:sz w:val="22"/>
                <w:lang w:val="sr-Latn-RS" w:bidi="sr-Latn-RS"/>
              </w:rPr>
            </w:pPr>
            <w:r w:rsidRPr="008F1125">
              <w:rPr>
                <w:rFonts w:ascii="Times New Roman" w:hAnsi="Times New Roman" w:cs="Times New Roman"/>
                <w:sz w:val="22"/>
                <w:lang w:val="sr-Latn-RS" w:bidi="sr-Latn-RS"/>
              </w:rPr>
              <w:lastRenderedPageBreak/>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6A96AF20" w14:textId="567373F7" w:rsidR="00AC2208" w:rsidRPr="008F1125" w:rsidRDefault="00AC2208" w:rsidP="000859F5">
            <w:pPr>
              <w:pStyle w:val="Tabletext"/>
              <w:keepLines w:val="0"/>
              <w:spacing w:before="0" w:after="0"/>
              <w:jc w:val="left"/>
              <w:rPr>
                <w:rFonts w:ascii="Times New Roman" w:hAnsi="Times New Roman"/>
                <w:sz w:val="22"/>
                <w:lang w:val="sr-Latn-RS" w:bidi="sr-Latn-RS"/>
              </w:rPr>
            </w:pPr>
            <w:r w:rsidRPr="008F1125">
              <w:rPr>
                <w:rFonts w:ascii="Times New Roman" w:hAnsi="Times New Roman"/>
                <w:i/>
                <w:sz w:val="22"/>
                <w:lang w:val="sr-Latn-RS" w:bidi="sr-Latn-RS"/>
              </w:rPr>
              <w:t>Guillain-Barré-</w:t>
            </w:r>
            <w:r w:rsidRPr="008F1125">
              <w:rPr>
                <w:rFonts w:ascii="Times New Roman" w:hAnsi="Times New Roman"/>
                <w:sz w:val="22"/>
                <w:lang w:val="sr-Latn-RS" w:bidi="sr-Latn-RS"/>
              </w:rPr>
              <w:t>ov sindrom*,</w:t>
            </w:r>
            <w:r w:rsidRPr="008F1125">
              <w:rPr>
                <w:rFonts w:ascii="Times New Roman" w:hAnsi="Times New Roman"/>
                <w:i/>
                <w:sz w:val="22"/>
                <w:lang w:val="sr-Latn-RS" w:bidi="sr-Latn-RS"/>
              </w:rPr>
              <w:t xml:space="preserve"> Miller Fisher</w:t>
            </w:r>
            <w:r w:rsidRPr="008F1125">
              <w:rPr>
                <w:rFonts w:ascii="Times New Roman" w:hAnsi="Times New Roman"/>
                <w:sz w:val="22"/>
                <w:lang w:val="sr-Latn-RS" w:bidi="sr-Latn-RS"/>
              </w:rPr>
              <w:t>-ov sindrom*</w:t>
            </w:r>
          </w:p>
        </w:tc>
      </w:tr>
      <w:tr w:rsidR="00F51581" w:rsidRPr="008F1125" w14:paraId="1FB63436"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35" w14:textId="77777777" w:rsidR="007D5A8E" w:rsidRPr="008F1125" w:rsidRDefault="00926926" w:rsidP="00577413">
            <w:pPr>
              <w:pStyle w:val="BalloonText"/>
              <w:keepNext/>
              <w:rPr>
                <w:rFonts w:ascii="Times New Roman" w:hAnsi="Times New Roman" w:cs="Times New Roman"/>
                <w:sz w:val="22"/>
                <w:szCs w:val="22"/>
                <w:lang w:val="sr-Latn-RS"/>
              </w:rPr>
            </w:pPr>
            <w:r w:rsidRPr="008F1125">
              <w:rPr>
                <w:rFonts w:ascii="Times New Roman" w:hAnsi="Times New Roman" w:cs="Times New Roman"/>
                <w:b/>
                <w:sz w:val="22"/>
                <w:lang w:val="sr-Latn-RS" w:bidi="sr-Latn-RS"/>
              </w:rPr>
              <w:t>Poremećaji oka</w:t>
            </w:r>
          </w:p>
        </w:tc>
      </w:tr>
      <w:tr w:rsidR="00F51581" w:rsidRPr="008F1125" w14:paraId="1FB6343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37" w14:textId="2242C6FF" w:rsidR="007D5A8E" w:rsidRPr="008F1125" w:rsidRDefault="00B27CC7"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38"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uveitis*</w:t>
            </w:r>
          </w:p>
        </w:tc>
      </w:tr>
      <w:tr w:rsidR="00F51581" w:rsidRPr="008F1125" w14:paraId="1FB6343B"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3A"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Kardiološki poremećaji</w:t>
            </w:r>
          </w:p>
        </w:tc>
      </w:tr>
      <w:tr w:rsidR="00F51581" w:rsidRPr="008F1125" w14:paraId="1FB6343E"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3C" w14:textId="7D3FE4A5" w:rsidR="007D5A8E" w:rsidRPr="008F1125" w:rsidRDefault="00B27CC7"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3D" w14:textId="20CB85D4" w:rsidR="007D5A8E" w:rsidRPr="008F1125" w:rsidRDefault="009F1E1A"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m</w:t>
            </w:r>
            <w:r w:rsidR="00926926" w:rsidRPr="008F1125">
              <w:rPr>
                <w:rFonts w:ascii="Times New Roman" w:hAnsi="Times New Roman"/>
                <w:sz w:val="22"/>
                <w:lang w:val="sr-Latn-RS" w:bidi="sr-Latn-RS"/>
              </w:rPr>
              <w:t>iokarditis*</w:t>
            </w:r>
          </w:p>
        </w:tc>
      </w:tr>
      <w:tr w:rsidR="00F51581" w:rsidRPr="008F1125" w14:paraId="1FB63440"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3F" w14:textId="77777777" w:rsidR="007D5A8E" w:rsidRPr="008F1125" w:rsidRDefault="00926926" w:rsidP="00577413">
            <w:pPr>
              <w:pStyle w:val="BalloonText"/>
              <w:keepNext/>
              <w:rPr>
                <w:rFonts w:ascii="Times New Roman" w:hAnsi="Times New Roman" w:cs="Times New Roman"/>
                <w:sz w:val="22"/>
                <w:szCs w:val="22"/>
                <w:lang w:val="sr-Latn-RS"/>
              </w:rPr>
            </w:pPr>
            <w:r w:rsidRPr="008F1125">
              <w:rPr>
                <w:rFonts w:ascii="Times New Roman" w:hAnsi="Times New Roman" w:cs="Times New Roman"/>
                <w:b/>
                <w:sz w:val="22"/>
                <w:lang w:val="sr-Latn-RS" w:bidi="sr-Latn-RS"/>
              </w:rPr>
              <w:t>Vaskularni poremećaji</w:t>
            </w:r>
          </w:p>
        </w:tc>
      </w:tr>
      <w:tr w:rsidR="00F51581" w:rsidRPr="008F1125" w14:paraId="1FB63443"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41"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42" w14:textId="5DD5471D" w:rsidR="007D5A8E" w:rsidRPr="008F1125" w:rsidRDefault="00941D41" w:rsidP="00941D41">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hipertenzija</w:t>
            </w:r>
          </w:p>
        </w:tc>
      </w:tr>
      <w:tr w:rsidR="00F51581" w:rsidRPr="008F1125" w14:paraId="1FB63446"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44"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45" w14:textId="7DB0A328" w:rsidR="007D5A8E" w:rsidRPr="008F1125" w:rsidRDefault="00941D41"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hipotenzija, </w:t>
            </w:r>
            <w:r w:rsidR="00926926" w:rsidRPr="008F1125">
              <w:rPr>
                <w:rFonts w:ascii="Times New Roman" w:hAnsi="Times New Roman"/>
                <w:sz w:val="22"/>
                <w:lang w:val="sr-Latn-RS" w:bidi="sr-Latn-RS"/>
              </w:rPr>
              <w:t>crvenilo</w:t>
            </w:r>
          </w:p>
        </w:tc>
      </w:tr>
      <w:tr w:rsidR="00F51581" w:rsidRPr="003D7D44" w14:paraId="1FB63448"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47"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Respiratorni, torakalni i medijastinalni poremećaji</w:t>
            </w:r>
          </w:p>
        </w:tc>
      </w:tr>
      <w:tr w:rsidR="00F51581" w:rsidRPr="008F1125" w14:paraId="1FB6344B"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49"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4A"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kašalj, dispneja</w:t>
            </w:r>
          </w:p>
        </w:tc>
      </w:tr>
      <w:tr w:rsidR="00F51581" w:rsidRPr="008F1125" w14:paraId="1FB6344E"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4C"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4D"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pneumonitis*</w:t>
            </w:r>
          </w:p>
        </w:tc>
      </w:tr>
      <w:tr w:rsidR="00F51581" w:rsidRPr="008F1125" w14:paraId="79874ADF"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5FA4126E" w14:textId="2F11FC80" w:rsidR="001C22D8"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3463F3A8" w14:textId="39615415" w:rsidR="001C22D8" w:rsidRPr="008F1125" w:rsidRDefault="001C22D8"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intersticijalna bolest pluća</w:t>
            </w:r>
            <w:r w:rsidR="00C670AC" w:rsidRPr="008F1125">
              <w:rPr>
                <w:rFonts w:ascii="Times New Roman" w:hAnsi="Times New Roman"/>
                <w:sz w:val="22"/>
                <w:lang w:val="sr-Latn-RS" w:bidi="sr-Latn-RS"/>
              </w:rPr>
              <w:t>*</w:t>
            </w:r>
          </w:p>
        </w:tc>
      </w:tr>
      <w:tr w:rsidR="00F51581" w:rsidRPr="008F1125" w14:paraId="1FB63450"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44F"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Gastrointestinalni poremećaji</w:t>
            </w:r>
          </w:p>
        </w:tc>
      </w:tr>
      <w:tr w:rsidR="00F51581" w:rsidRPr="000B529C" w14:paraId="1FB63453" w14:textId="77777777" w:rsidTr="001859BD">
        <w:trPr>
          <w:cantSplit/>
          <w:trHeight w:val="252"/>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51"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52"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mučnina, dijareja, konstipacija, povraćanje, bol u abdomenu</w:t>
            </w:r>
          </w:p>
        </w:tc>
      </w:tr>
      <w:tr w:rsidR="00F51581" w:rsidRPr="008F1125" w14:paraId="1FB63456" w14:textId="77777777" w:rsidTr="001859BD">
        <w:trPr>
          <w:cantSplit/>
          <w:trHeight w:val="252"/>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54"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55"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suva usta</w:t>
            </w:r>
          </w:p>
        </w:tc>
      </w:tr>
      <w:tr w:rsidR="00F51581" w:rsidRPr="008F1125" w14:paraId="1FB6345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57"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58" w14:textId="0402132F" w:rsidR="007D5A8E" w:rsidRPr="008F1125" w:rsidRDefault="00C670AC" w:rsidP="00C670AC">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ileus, </w:t>
            </w:r>
            <w:r w:rsidR="00926926" w:rsidRPr="008F1125">
              <w:rPr>
                <w:rFonts w:ascii="Times New Roman" w:hAnsi="Times New Roman"/>
                <w:sz w:val="22"/>
                <w:lang w:val="sr-Latn-RS" w:bidi="sr-Latn-RS"/>
              </w:rPr>
              <w:t>koli</w:t>
            </w:r>
            <w:r w:rsidRPr="008F1125">
              <w:rPr>
                <w:rFonts w:ascii="Times New Roman" w:hAnsi="Times New Roman"/>
                <w:sz w:val="22"/>
                <w:lang w:val="sr-Latn-RS" w:bidi="sr-Latn-RS"/>
              </w:rPr>
              <w:t>tis*</w:t>
            </w:r>
          </w:p>
        </w:tc>
      </w:tr>
      <w:tr w:rsidR="00F51581" w:rsidRPr="000B529C" w14:paraId="1FB6345C"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5A" w14:textId="768AC59C" w:rsidR="00D71843" w:rsidRPr="008F1125" w:rsidRDefault="00B27CC7"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5B" w14:textId="04DD8C1E" w:rsidR="00D71843"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pankreatitis*</w:t>
            </w:r>
            <w:r w:rsidR="00C670AC" w:rsidRPr="008F1125">
              <w:rPr>
                <w:rFonts w:ascii="Times New Roman" w:hAnsi="Times New Roman"/>
                <w:sz w:val="22"/>
                <w:lang w:val="sr-Latn-RS" w:bidi="sr-Latn-RS"/>
              </w:rPr>
              <w:t>, autoimuni kolitis*, enterokolitis*, autoimuni pankreatitis*, enteritis*, proktitis*</w:t>
            </w:r>
          </w:p>
        </w:tc>
      </w:tr>
      <w:tr w:rsidR="00F51581" w:rsidRPr="008F1125" w14:paraId="1FB6345E"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5D"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Hepatobilijarni poremećaji</w:t>
            </w:r>
          </w:p>
        </w:tc>
      </w:tr>
      <w:tr w:rsidR="00F51581" w:rsidRPr="008F1125" w14:paraId="1FB6346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5F"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60" w14:textId="6530E0B3" w:rsidR="007D5A8E" w:rsidRPr="008F1125" w:rsidRDefault="00852647" w:rsidP="00852647">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autoimuni hepatitis*</w:t>
            </w:r>
          </w:p>
        </w:tc>
      </w:tr>
      <w:tr w:rsidR="00F51581" w:rsidRPr="000B529C" w14:paraId="03466010"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2ADDA166" w14:textId="607DBF5D" w:rsidR="00852647"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3857E2E" w14:textId="438689BC" w:rsidR="00852647" w:rsidRPr="008F1125" w:rsidRDefault="0076093C" w:rsidP="0076093C">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akutna</w:t>
            </w:r>
            <w:r w:rsidR="00852647" w:rsidRPr="008F1125">
              <w:rPr>
                <w:rFonts w:ascii="Times New Roman" w:hAnsi="Times New Roman"/>
                <w:sz w:val="22"/>
                <w:lang w:val="sr-Latn-RS" w:bidi="sr-Latn-RS"/>
              </w:rPr>
              <w:t xml:space="preserve"> </w:t>
            </w:r>
            <w:r w:rsidRPr="008F1125">
              <w:rPr>
                <w:rFonts w:ascii="Times New Roman" w:hAnsi="Times New Roman"/>
                <w:sz w:val="22"/>
                <w:lang w:val="sr-Latn-RS" w:bidi="sr-Latn-RS"/>
              </w:rPr>
              <w:t xml:space="preserve">insuficijencija </w:t>
            </w:r>
            <w:r w:rsidR="00852647" w:rsidRPr="008F1125">
              <w:rPr>
                <w:rFonts w:ascii="Times New Roman" w:hAnsi="Times New Roman"/>
                <w:sz w:val="22"/>
                <w:lang w:val="sr-Latn-RS" w:bidi="sr-Latn-RS"/>
              </w:rPr>
              <w:t xml:space="preserve">jetre*, </w:t>
            </w:r>
            <w:r w:rsidRPr="008F1125">
              <w:rPr>
                <w:rFonts w:ascii="Times New Roman" w:hAnsi="Times New Roman"/>
                <w:sz w:val="22"/>
                <w:lang w:val="sr-Latn-RS" w:bidi="sr-Latn-RS"/>
              </w:rPr>
              <w:t xml:space="preserve">insuficijencija </w:t>
            </w:r>
            <w:r w:rsidR="00852647" w:rsidRPr="008F1125">
              <w:rPr>
                <w:rFonts w:ascii="Times New Roman" w:hAnsi="Times New Roman"/>
                <w:sz w:val="22"/>
                <w:lang w:val="sr-Latn-RS" w:bidi="sr-Latn-RS"/>
              </w:rPr>
              <w:t>jetre*, hepatitis*, hepatotoksičnost*</w:t>
            </w:r>
          </w:p>
        </w:tc>
      </w:tr>
      <w:tr w:rsidR="00F51581" w:rsidRPr="000B529C" w14:paraId="1FB63463"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62"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kože i potkožnog tkiva</w:t>
            </w:r>
          </w:p>
        </w:tc>
      </w:tr>
      <w:tr w:rsidR="00F51581" w:rsidRPr="000B529C" w14:paraId="1FB63466"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64"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65" w14:textId="78DCA6CB" w:rsidR="007D5A8E" w:rsidRPr="008F1125" w:rsidRDefault="00926926" w:rsidP="00A054B2">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pruritus*, </w:t>
            </w:r>
            <w:r w:rsidR="00A054B2" w:rsidRPr="008F1125">
              <w:rPr>
                <w:rFonts w:ascii="Times New Roman" w:hAnsi="Times New Roman"/>
                <w:sz w:val="22"/>
                <w:lang w:val="sr-Latn-RS" w:bidi="sr-Latn-RS"/>
              </w:rPr>
              <w:t xml:space="preserve">osip*, </w:t>
            </w:r>
            <w:r w:rsidRPr="008F1125">
              <w:rPr>
                <w:rFonts w:ascii="Times New Roman" w:hAnsi="Times New Roman"/>
                <w:sz w:val="22"/>
                <w:lang w:val="sr-Latn-RS" w:bidi="sr-Latn-RS"/>
              </w:rPr>
              <w:t>suva koža</w:t>
            </w:r>
            <w:r w:rsidR="00A054B2" w:rsidRPr="008F1125">
              <w:rPr>
                <w:rFonts w:ascii="Times New Roman" w:hAnsi="Times New Roman"/>
                <w:sz w:val="22"/>
                <w:lang w:val="sr-Latn-RS" w:bidi="sr-Latn-RS"/>
              </w:rPr>
              <w:t>, makulopapulozni osip*</w:t>
            </w:r>
          </w:p>
        </w:tc>
      </w:tr>
      <w:tr w:rsidR="00F51581" w:rsidRPr="000B529C" w14:paraId="1FB6346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67"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68" w14:textId="6F9310E6" w:rsidR="007D5A8E" w:rsidRPr="008F1125" w:rsidRDefault="00A054B2" w:rsidP="00C36672">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 xml:space="preserve">ekcem, dermatitis, </w:t>
            </w:r>
            <w:r w:rsidR="00926926" w:rsidRPr="008F1125">
              <w:rPr>
                <w:rFonts w:ascii="Times New Roman" w:hAnsi="Times New Roman" w:cs="Times New Roman"/>
                <w:sz w:val="22"/>
                <w:lang w:val="sr-Latn-RS" w:bidi="sr-Latn-RS"/>
              </w:rPr>
              <w:t xml:space="preserve">pruritični osip*, </w:t>
            </w:r>
            <w:r w:rsidRPr="008F1125">
              <w:rPr>
                <w:rFonts w:ascii="Times New Roman" w:hAnsi="Times New Roman" w:cs="Times New Roman"/>
                <w:sz w:val="22"/>
                <w:lang w:val="sr-Latn-RS" w:bidi="sr-Latn-RS"/>
              </w:rPr>
              <w:t xml:space="preserve">psorijaza*, </w:t>
            </w:r>
            <w:r w:rsidR="00926926" w:rsidRPr="008F1125">
              <w:rPr>
                <w:rFonts w:ascii="Times New Roman" w:hAnsi="Times New Roman" w:cs="Times New Roman"/>
                <w:sz w:val="22"/>
                <w:lang w:val="sr-Latn-RS" w:bidi="sr-Latn-RS"/>
              </w:rPr>
              <w:t>eritem*, eritematozni osip*,</w:t>
            </w:r>
            <w:r w:rsidRPr="008F1125">
              <w:rPr>
                <w:rFonts w:ascii="Times New Roman" w:hAnsi="Times New Roman" w:cs="Times New Roman"/>
                <w:sz w:val="22"/>
                <w:lang w:val="sr-Latn-RS" w:bidi="sr-Latn-RS"/>
              </w:rPr>
              <w:t xml:space="preserve"> generalizovani osip*, </w:t>
            </w:r>
            <w:r w:rsidR="00C36672" w:rsidRPr="008F1125">
              <w:rPr>
                <w:rFonts w:ascii="Times New Roman" w:hAnsi="Times New Roman" w:cs="Times New Roman"/>
                <w:sz w:val="22"/>
                <w:lang w:val="sr-Latn-RS" w:bidi="sr-Latn-RS"/>
              </w:rPr>
              <w:t>makularni osip*, papularni osip*</w:t>
            </w:r>
          </w:p>
        </w:tc>
      </w:tr>
      <w:tr w:rsidR="00F51581" w:rsidRPr="000B529C" w14:paraId="2E4DAF6D"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066DF4E3" w14:textId="08345F23" w:rsidR="00C36672" w:rsidRPr="008F1125" w:rsidRDefault="00B27CC7" w:rsidP="00577413">
            <w:pPr>
              <w:pStyle w:val="BalloonText"/>
              <w:rPr>
                <w:rFonts w:ascii="Times New Roman" w:hAnsi="Times New Roman" w:cs="Times New Roman"/>
                <w:sz w:val="22"/>
                <w:lang w:val="sr-Latn-RS" w:bidi="sr-Latn-RS"/>
              </w:rPr>
            </w:pPr>
            <w:r w:rsidRPr="008F1125">
              <w:rPr>
                <w:rFonts w:ascii="Times New Roman" w:hAnsi="Times New Roman" w:cs="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435851FA" w14:textId="12A14227" w:rsidR="00C36672" w:rsidRPr="008F1125" w:rsidRDefault="00C36672" w:rsidP="001B76DC">
            <w:pPr>
              <w:pStyle w:val="BalloonText"/>
              <w:rPr>
                <w:rFonts w:ascii="Times New Roman" w:hAnsi="Times New Roman" w:cs="Times New Roman"/>
                <w:sz w:val="22"/>
                <w:lang w:val="sr-Latn-RS" w:bidi="sr-Latn-RS"/>
              </w:rPr>
            </w:pPr>
            <w:r w:rsidRPr="008F1125">
              <w:rPr>
                <w:rFonts w:ascii="Times New Roman" w:hAnsi="Times New Roman" w:cs="Times New Roman"/>
                <w:sz w:val="22"/>
                <w:lang w:val="sr-Latn-RS" w:bidi="sr-Latn-RS"/>
              </w:rPr>
              <w:t>multiformni eritem*, purpura*, vitiligo*,</w:t>
            </w:r>
            <w:r w:rsidRPr="008F1125">
              <w:rPr>
                <w:rFonts w:ascii="Times New Roman" w:hAnsi="Times New Roman" w:cs="Times New Roman"/>
                <w:sz w:val="22"/>
                <w:szCs w:val="20"/>
                <w:lang w:val="sr-Latn-RS" w:bidi="sr-Latn-RS"/>
              </w:rPr>
              <w:t xml:space="preserve"> </w:t>
            </w:r>
            <w:r w:rsidRPr="008F1125">
              <w:rPr>
                <w:rFonts w:ascii="Times New Roman" w:hAnsi="Times New Roman" w:cs="Times New Roman"/>
                <w:sz w:val="22"/>
                <w:lang w:val="sr-Latn-RS" w:bidi="sr-Latn-RS"/>
              </w:rPr>
              <w:t xml:space="preserve">generalizovani </w:t>
            </w:r>
            <w:r w:rsidR="00DD4F16" w:rsidRPr="008F1125">
              <w:rPr>
                <w:rFonts w:ascii="Times New Roman" w:hAnsi="Times New Roman" w:cs="Times New Roman"/>
                <w:sz w:val="22"/>
                <w:lang w:val="sr-Latn-RS" w:bidi="sr-Latn-RS"/>
              </w:rPr>
              <w:t>svrab</w:t>
            </w:r>
            <w:r w:rsidRPr="008F1125">
              <w:rPr>
                <w:rFonts w:ascii="Times New Roman" w:hAnsi="Times New Roman" w:cs="Times New Roman"/>
                <w:sz w:val="22"/>
                <w:lang w:val="sr-Latn-RS" w:bidi="sr-Latn-RS"/>
              </w:rPr>
              <w:t xml:space="preserve">*, eksfolijativni dermatitis*, pemfigoid*, </w:t>
            </w:r>
            <w:r w:rsidR="00DD4F16" w:rsidRPr="008F1125">
              <w:rPr>
                <w:rFonts w:ascii="Times New Roman" w:hAnsi="Times New Roman" w:cs="Times New Roman"/>
                <w:sz w:val="22"/>
                <w:lang w:val="sr-Latn-RS" w:bidi="sr-Latn-RS"/>
              </w:rPr>
              <w:t xml:space="preserve">psorijatični </w:t>
            </w:r>
            <w:r w:rsidRPr="008F1125">
              <w:rPr>
                <w:rFonts w:ascii="Times New Roman" w:hAnsi="Times New Roman" w:cs="Times New Roman"/>
                <w:sz w:val="22"/>
                <w:lang w:val="sr-Latn-RS" w:bidi="sr-Latn-RS"/>
              </w:rPr>
              <w:t>dermatitis</w:t>
            </w:r>
            <w:r w:rsidR="00DD4F16" w:rsidRPr="008F1125">
              <w:rPr>
                <w:rFonts w:ascii="Times New Roman" w:hAnsi="Times New Roman" w:cs="Times New Roman"/>
                <w:sz w:val="22"/>
                <w:lang w:val="sr-Latn-RS" w:bidi="sr-Latn-RS"/>
              </w:rPr>
              <w:t xml:space="preserve">*, </w:t>
            </w:r>
            <w:r w:rsidR="001B76DC" w:rsidRPr="008F1125">
              <w:rPr>
                <w:rFonts w:ascii="Times New Roman" w:hAnsi="Times New Roman" w:cs="Times New Roman"/>
                <w:sz w:val="22"/>
                <w:lang w:val="sr-Latn-RS" w:bidi="sr-Latn-RS"/>
              </w:rPr>
              <w:t>eruptivne prom</w:t>
            </w:r>
            <w:r w:rsidR="00CB0FF3" w:rsidRPr="008F1125">
              <w:rPr>
                <w:rFonts w:ascii="Times New Roman" w:hAnsi="Times New Roman" w:cs="Times New Roman"/>
                <w:sz w:val="22"/>
                <w:lang w:val="sr-Latn-RS" w:bidi="sr-Latn-RS"/>
              </w:rPr>
              <w:t>j</w:t>
            </w:r>
            <w:r w:rsidR="001B76DC" w:rsidRPr="008F1125">
              <w:rPr>
                <w:rFonts w:ascii="Times New Roman" w:hAnsi="Times New Roman" w:cs="Times New Roman"/>
                <w:sz w:val="22"/>
                <w:lang w:val="sr-Latn-RS" w:bidi="sr-Latn-RS"/>
              </w:rPr>
              <w:t>ene na koži</w:t>
            </w:r>
            <w:r w:rsidR="00731F12" w:rsidRPr="008F1125">
              <w:rPr>
                <w:rFonts w:ascii="Times New Roman" w:hAnsi="Times New Roman" w:cs="Times New Roman"/>
                <w:sz w:val="22"/>
                <w:lang w:val="sr-Latn-RS" w:bidi="sr-Latn-RS"/>
              </w:rPr>
              <w:t xml:space="preserve"> </w:t>
            </w:r>
            <w:r w:rsidR="001B76DC" w:rsidRPr="008F1125">
              <w:rPr>
                <w:rFonts w:ascii="Times New Roman" w:hAnsi="Times New Roman" w:cs="Times New Roman"/>
                <w:sz w:val="22"/>
                <w:lang w:val="sr-Latn-RS" w:bidi="sr-Latn-RS"/>
              </w:rPr>
              <w:t>povezane sa uzimanjem l</w:t>
            </w:r>
            <w:r w:rsidR="00B27CC7" w:rsidRPr="008F1125">
              <w:rPr>
                <w:rFonts w:ascii="Times New Roman" w:hAnsi="Times New Roman" w:cs="Times New Roman"/>
                <w:sz w:val="22"/>
                <w:lang w:val="sr-Latn-RS" w:bidi="sr-Latn-RS"/>
              </w:rPr>
              <w:t>ij</w:t>
            </w:r>
            <w:r w:rsidR="001B76DC" w:rsidRPr="008F1125">
              <w:rPr>
                <w:rFonts w:ascii="Times New Roman" w:hAnsi="Times New Roman" w:cs="Times New Roman"/>
                <w:sz w:val="22"/>
                <w:lang w:val="sr-Latn-RS" w:bidi="sr-Latn-RS"/>
              </w:rPr>
              <w:t>eka</w:t>
            </w:r>
            <w:r w:rsidR="00731F12" w:rsidRPr="008F1125">
              <w:rPr>
                <w:rFonts w:ascii="Times New Roman" w:hAnsi="Times New Roman" w:cs="Times New Roman"/>
                <w:sz w:val="22"/>
                <w:lang w:val="sr-Latn-RS" w:bidi="sr-Latn-RS"/>
              </w:rPr>
              <w:t xml:space="preserve">*, </w:t>
            </w:r>
            <w:r w:rsidR="00731F12" w:rsidRPr="008F1125">
              <w:rPr>
                <w:rFonts w:ascii="Times New Roman" w:hAnsi="Times New Roman" w:cs="Times New Roman"/>
                <w:i/>
                <w:sz w:val="22"/>
                <w:lang w:val="sr-Latn-RS" w:bidi="sr-Latn-RS"/>
              </w:rPr>
              <w:t>lichen planus</w:t>
            </w:r>
            <w:r w:rsidR="00731F12" w:rsidRPr="008F1125">
              <w:rPr>
                <w:rFonts w:ascii="Times New Roman" w:hAnsi="Times New Roman" w:cs="Times New Roman"/>
                <w:sz w:val="22"/>
                <w:lang w:val="sr-Latn-RS" w:bidi="sr-Latn-RS"/>
              </w:rPr>
              <w:t>*</w:t>
            </w:r>
          </w:p>
        </w:tc>
      </w:tr>
      <w:tr w:rsidR="00F51581" w:rsidRPr="000B529C" w14:paraId="1FB6346B"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6A"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mišićno-koštanog sistema i vezivnog tkiva</w:t>
            </w:r>
          </w:p>
        </w:tc>
      </w:tr>
      <w:tr w:rsidR="00F51581" w:rsidRPr="008F1125" w14:paraId="1FB6346E"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6C"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6D"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bol u leđima, artralgija</w:t>
            </w:r>
          </w:p>
        </w:tc>
      </w:tr>
      <w:tr w:rsidR="00F51581" w:rsidRPr="008F1125" w14:paraId="1FB6347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6F"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7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mijalgija</w:t>
            </w:r>
          </w:p>
        </w:tc>
      </w:tr>
      <w:tr w:rsidR="00F51581" w:rsidRPr="008F1125" w14:paraId="1FB6347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72"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73" w14:textId="689C3BC9"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miozitis*</w:t>
            </w:r>
            <w:r w:rsidR="00B15A5D" w:rsidRPr="008F1125">
              <w:rPr>
                <w:rFonts w:ascii="Times New Roman" w:hAnsi="Times New Roman"/>
                <w:sz w:val="22"/>
                <w:lang w:val="sr-Latn-RS" w:bidi="sr-Latn-RS"/>
              </w:rPr>
              <w:t>, reumatoidni artritis*</w:t>
            </w:r>
          </w:p>
        </w:tc>
      </w:tr>
      <w:tr w:rsidR="00F51581" w:rsidRPr="008F1125" w14:paraId="2B2F2E5D"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005A2E61" w14:textId="15931850" w:rsidR="00B15A5D"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EB1EF1F" w14:textId="4CAE87A1" w:rsidR="00B15A5D" w:rsidRPr="008F1125" w:rsidRDefault="00B15A5D"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artritis*, poliartritis*, oligoartritis*</w:t>
            </w:r>
          </w:p>
        </w:tc>
      </w:tr>
      <w:tr w:rsidR="00F51581" w:rsidRPr="003D7D44" w14:paraId="1FB63476"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75"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Poremećaji bubrega i urinarnog sistema</w:t>
            </w:r>
          </w:p>
        </w:tc>
      </w:tr>
      <w:tr w:rsidR="00F51581" w:rsidRPr="008F1125" w14:paraId="1FB6347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77"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78" w14:textId="3D80D8C1" w:rsidR="007D5A8E" w:rsidRPr="008F1125" w:rsidRDefault="0040168F" w:rsidP="0040168F">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rPr>
              <w:t>bubrežna insuficijencija*, nefritis*</w:t>
            </w:r>
          </w:p>
        </w:tc>
      </w:tr>
      <w:tr w:rsidR="00F51581" w:rsidRPr="008F1125" w14:paraId="79F5EE88"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5D22C247" w14:textId="113547DD" w:rsidR="0040168F" w:rsidRPr="008F1125" w:rsidRDefault="00B27CC7" w:rsidP="00577413">
            <w:pPr>
              <w:pStyle w:val="BalloonText"/>
              <w:rPr>
                <w:rFonts w:ascii="Times New Roman" w:hAnsi="Times New Roman" w:cs="Times New Roman"/>
                <w:sz w:val="22"/>
                <w:lang w:val="sr-Latn-RS" w:bidi="sr-Latn-RS"/>
              </w:rPr>
            </w:pPr>
            <w:r w:rsidRPr="008F1125">
              <w:rPr>
                <w:rFonts w:ascii="Times New Roman" w:hAnsi="Times New Roman" w:cs="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9840D10" w14:textId="08EB16D5" w:rsidR="0040168F" w:rsidRPr="008F1125" w:rsidRDefault="0040168F" w:rsidP="009E519B">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tubuloin</w:t>
            </w:r>
            <w:r w:rsidR="009E519B" w:rsidRPr="008F1125">
              <w:rPr>
                <w:rFonts w:ascii="Times New Roman" w:hAnsi="Times New Roman"/>
                <w:sz w:val="22"/>
                <w:lang w:val="sr-Latn-RS" w:bidi="sr-Latn-RS"/>
              </w:rPr>
              <w:t>tersticijaln</w:t>
            </w:r>
            <w:r w:rsidRPr="008F1125">
              <w:rPr>
                <w:rFonts w:ascii="Times New Roman" w:hAnsi="Times New Roman"/>
                <w:sz w:val="22"/>
                <w:lang w:val="sr-Latn-RS" w:bidi="sr-Latn-RS"/>
              </w:rPr>
              <w:t>i nefritis*</w:t>
            </w:r>
            <w:r w:rsidR="000645FD">
              <w:rPr>
                <w:rFonts w:ascii="Times New Roman" w:hAnsi="Times New Roman"/>
                <w:sz w:val="22"/>
                <w:lang w:val="sr-Latn-RS" w:bidi="sr-Latn-RS"/>
              </w:rPr>
              <w:t>, neinfektivni cistitis*</w:t>
            </w:r>
          </w:p>
        </w:tc>
      </w:tr>
      <w:tr w:rsidR="00F51581" w:rsidRPr="003D7D44" w14:paraId="1FB6347B"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47A" w14:textId="04421C64"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Opšti poremećaji i reakcije na mestu prim</w:t>
            </w:r>
            <w:r w:rsidR="00515B67" w:rsidRPr="008F1125">
              <w:rPr>
                <w:rFonts w:ascii="Times New Roman" w:hAnsi="Times New Roman"/>
                <w:b/>
                <w:sz w:val="22"/>
                <w:lang w:val="sr-Latn-RS" w:bidi="sr-Latn-RS"/>
              </w:rPr>
              <w:t>j</w:t>
            </w:r>
            <w:r w:rsidRPr="008F1125">
              <w:rPr>
                <w:rFonts w:ascii="Times New Roman" w:hAnsi="Times New Roman"/>
                <w:b/>
                <w:sz w:val="22"/>
                <w:lang w:val="sr-Latn-RS" w:bidi="sr-Latn-RS"/>
              </w:rPr>
              <w:t>ene</w:t>
            </w:r>
          </w:p>
        </w:tc>
      </w:tr>
      <w:tr w:rsidR="00F51581" w:rsidRPr="008F1125" w14:paraId="1FB6347E"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hideMark/>
          </w:tcPr>
          <w:p w14:paraId="1FB6347C"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hideMark/>
          </w:tcPr>
          <w:p w14:paraId="1FB6347D"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zamor, pireksija, periferni edem</w:t>
            </w:r>
          </w:p>
        </w:tc>
      </w:tr>
      <w:tr w:rsidR="00F51581" w:rsidRPr="008F1125" w14:paraId="1FB63481"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7F"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8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astenija, drhtavica, simptomi slični gripu</w:t>
            </w:r>
          </w:p>
        </w:tc>
      </w:tr>
      <w:tr w:rsidR="00F51581" w:rsidRPr="008F1125" w14:paraId="1FB6348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82" w14:textId="1BB27862" w:rsidR="007D5A8E" w:rsidRPr="008F1125" w:rsidRDefault="00B27CC7"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8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sindrom sistemskog inflamatornog odgovora*</w:t>
            </w:r>
          </w:p>
        </w:tc>
      </w:tr>
      <w:tr w:rsidR="00F51581" w:rsidRPr="008F1125" w14:paraId="1FB63486"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485"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t>Ispitivanja</w:t>
            </w:r>
          </w:p>
        </w:tc>
      </w:tr>
      <w:tr w:rsidR="00F51581" w:rsidRPr="008F1125" w14:paraId="1FB63489"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hideMark/>
          </w:tcPr>
          <w:p w14:paraId="1FB63487"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hideMark/>
          </w:tcPr>
          <w:p w14:paraId="1FB63488" w14:textId="02532EBD"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smanjena </w:t>
            </w:r>
            <w:r w:rsidR="00B27CC7" w:rsidRPr="008F1125">
              <w:rPr>
                <w:rFonts w:ascii="Times New Roman" w:hAnsi="Times New Roman"/>
                <w:sz w:val="22"/>
                <w:lang w:val="sr-Latn-RS" w:bidi="sr-Latn-RS"/>
              </w:rPr>
              <w:t>tjelesna masa</w:t>
            </w:r>
          </w:p>
        </w:tc>
      </w:tr>
      <w:tr w:rsidR="00F51581" w:rsidRPr="000B529C" w14:paraId="1FB6348C"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8A"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8B" w14:textId="5CA34E38" w:rsidR="007D5A8E" w:rsidRPr="008F1125" w:rsidRDefault="00B46B0B" w:rsidP="00B46B0B">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povišeni nivo kreatinina u krvi, povišeni nivo alkalne fosfataze u krvi, povišena lipaza, </w:t>
            </w:r>
            <w:r w:rsidR="00926926" w:rsidRPr="008F1125">
              <w:rPr>
                <w:rFonts w:ascii="Times New Roman" w:hAnsi="Times New Roman"/>
                <w:sz w:val="22"/>
                <w:lang w:val="sr-Latn-RS" w:bidi="sr-Latn-RS"/>
              </w:rPr>
              <w:t xml:space="preserve">povišena gama-glutamil transferaza, </w:t>
            </w:r>
            <w:r w:rsidR="0032240F" w:rsidRPr="008F1125">
              <w:rPr>
                <w:rFonts w:ascii="Times New Roman" w:hAnsi="Times New Roman"/>
                <w:sz w:val="22"/>
                <w:lang w:val="sr-Latn-RS" w:bidi="sr-Latn-RS"/>
              </w:rPr>
              <w:t>povišena amilaza</w:t>
            </w:r>
          </w:p>
        </w:tc>
      </w:tr>
      <w:tr w:rsidR="00F51581" w:rsidRPr="000B529C" w14:paraId="1FB6348F"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8D"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8E" w14:textId="0A142092" w:rsidR="007D5A8E" w:rsidRPr="008F1125" w:rsidRDefault="00926926" w:rsidP="009C16C9">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povišena alanin aminotransferaza (ALT)*, povišena aspartat aminotransferaza (AST)*, povišeni n</w:t>
            </w:r>
            <w:r w:rsidR="009C16C9" w:rsidRPr="008F1125">
              <w:rPr>
                <w:rFonts w:ascii="Times New Roman" w:hAnsi="Times New Roman"/>
                <w:sz w:val="22"/>
                <w:lang w:val="sr-Latn-RS" w:bidi="sr-Latn-RS"/>
              </w:rPr>
              <w:t>ivo kreatin fosfokinaze u krvi*</w:t>
            </w:r>
          </w:p>
        </w:tc>
      </w:tr>
      <w:tr w:rsidR="00F51581" w:rsidRPr="000B529C" w14:paraId="5DB4191D"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3C3F30EA" w14:textId="0E30A2A8" w:rsidR="009C16C9" w:rsidRPr="008F1125" w:rsidRDefault="00B27CC7" w:rsidP="00577413">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Rijetko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5F4463C3" w14:textId="7EB58DC9" w:rsidR="009C16C9" w:rsidRPr="008F1125" w:rsidRDefault="009C16C9" w:rsidP="0090635F">
            <w:pPr>
              <w:pStyle w:val="Tabletext"/>
              <w:keepLines w:val="0"/>
              <w:spacing w:before="0" w:after="0"/>
              <w:jc w:val="left"/>
              <w:rPr>
                <w:rFonts w:ascii="Times New Roman" w:hAnsi="Times New Roman"/>
                <w:sz w:val="22"/>
                <w:lang w:val="sr-Latn-RS" w:bidi="sr-Latn-RS"/>
              </w:rPr>
            </w:pPr>
            <w:r w:rsidRPr="008F1125">
              <w:rPr>
                <w:rFonts w:ascii="Times New Roman" w:hAnsi="Times New Roman"/>
                <w:sz w:val="22"/>
                <w:lang w:val="sr-Latn-RS" w:bidi="sr-Latn-RS"/>
              </w:rPr>
              <w:t xml:space="preserve">povišene transaminaze*, </w:t>
            </w:r>
            <w:r w:rsidR="00D81BDF" w:rsidRPr="008F1125">
              <w:rPr>
                <w:rFonts w:ascii="Times New Roman" w:hAnsi="Times New Roman"/>
                <w:sz w:val="22"/>
                <w:lang w:val="sr-Latn-RS" w:bidi="sr-Latn-RS"/>
              </w:rPr>
              <w:t xml:space="preserve">smanjeni slobodni tiroksin*, povišeni </w:t>
            </w:r>
            <w:r w:rsidR="0090635F" w:rsidRPr="008F1125">
              <w:rPr>
                <w:rFonts w:ascii="Times New Roman" w:hAnsi="Times New Roman"/>
                <w:sz w:val="22"/>
                <w:lang w:val="sr-Latn-RS" w:bidi="sr-Latn-RS"/>
              </w:rPr>
              <w:t>nivo hormona koji stimuliše tiroideu</w:t>
            </w:r>
            <w:r w:rsidR="00D81BDF" w:rsidRPr="008F1125">
              <w:rPr>
                <w:rFonts w:ascii="Times New Roman" w:hAnsi="Times New Roman"/>
                <w:sz w:val="22"/>
                <w:lang w:val="sr-Latn-RS" w:bidi="sr-Latn-RS"/>
              </w:rPr>
              <w:t xml:space="preserve"> u krvi*</w:t>
            </w:r>
          </w:p>
        </w:tc>
      </w:tr>
      <w:tr w:rsidR="00F51581" w:rsidRPr="003D7D44" w14:paraId="1FB63491"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90"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b/>
                <w:sz w:val="22"/>
                <w:lang w:val="sr-Latn-RS" w:bidi="sr-Latn-RS"/>
              </w:rPr>
              <w:lastRenderedPageBreak/>
              <w:t>Povrede, trovanja i proceduralne komplikacije</w:t>
            </w:r>
          </w:p>
        </w:tc>
      </w:tr>
      <w:tr w:rsidR="00F51581" w:rsidRPr="008F1125" w14:paraId="1FB63494" w14:textId="77777777" w:rsidTr="001859BD">
        <w:trPr>
          <w:cantSplit/>
        </w:trPr>
        <w:tc>
          <w:tcPr>
            <w:tcW w:w="1290" w:type="pct"/>
            <w:tcBorders>
              <w:top w:val="single" w:sz="4" w:space="0" w:color="auto"/>
              <w:left w:val="single" w:sz="4" w:space="0" w:color="auto"/>
              <w:bottom w:val="single" w:sz="4" w:space="0" w:color="auto"/>
              <w:right w:val="single" w:sz="4" w:space="0" w:color="auto"/>
            </w:tcBorders>
            <w:shd w:val="clear" w:color="auto" w:fill="auto"/>
          </w:tcPr>
          <w:p w14:paraId="1FB63492" w14:textId="77777777" w:rsidR="007D5A8E" w:rsidRPr="008F1125" w:rsidRDefault="00926926" w:rsidP="00577413">
            <w:pPr>
              <w:pStyle w:val="BalloonText"/>
              <w:keepN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Veoma često</w:t>
            </w:r>
          </w:p>
        </w:tc>
        <w:tc>
          <w:tcPr>
            <w:tcW w:w="3710" w:type="pct"/>
            <w:tcBorders>
              <w:top w:val="single" w:sz="4" w:space="0" w:color="auto"/>
              <w:left w:val="single" w:sz="4" w:space="0" w:color="auto"/>
              <w:bottom w:val="single" w:sz="4" w:space="0" w:color="auto"/>
              <w:right w:val="single" w:sz="4" w:space="0" w:color="auto"/>
            </w:tcBorders>
            <w:shd w:val="clear" w:color="auto" w:fill="auto"/>
          </w:tcPr>
          <w:p w14:paraId="1FB63493"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u w:val="single"/>
                <w:lang w:val="sr-Latn-RS" w:bidi="sr-Latn-RS"/>
              </w:rPr>
              <w:t>Reakcije povezane sa infuzijom</w:t>
            </w:r>
          </w:p>
        </w:tc>
      </w:tr>
    </w:tbl>
    <w:p w14:paraId="1FB63495" w14:textId="5CA91625" w:rsidR="00DA0D97" w:rsidRDefault="00926926" w:rsidP="00577413">
      <w:pPr>
        <w:keepNext/>
        <w:tabs>
          <w:tab w:val="clear" w:pos="567"/>
        </w:tabs>
        <w:rPr>
          <w:sz w:val="20"/>
          <w:lang w:val="sr-Latn-RS" w:bidi="sr-Latn-RS"/>
        </w:rPr>
      </w:pPr>
      <w:r w:rsidRPr="008F1125">
        <w:rPr>
          <w:sz w:val="20"/>
          <w:vertAlign w:val="superscript"/>
          <w:lang w:val="sr-Latn-RS" w:bidi="sr-Latn-RS"/>
        </w:rPr>
        <w:t>*</w:t>
      </w:r>
      <w:r w:rsidRPr="008F1125">
        <w:rPr>
          <w:sz w:val="20"/>
          <w:lang w:val="sr-Latn-RS" w:bidi="sr-Latn-RS"/>
        </w:rPr>
        <w:t xml:space="preserve"> Imunološki posredovana neželjena reakcija na osnovu medicinskog pregleda</w:t>
      </w:r>
    </w:p>
    <w:p w14:paraId="73E7462C" w14:textId="7EF7467B" w:rsidR="00017F12" w:rsidRPr="008F1125" w:rsidRDefault="00017F12" w:rsidP="00577413">
      <w:pPr>
        <w:keepNext/>
        <w:tabs>
          <w:tab w:val="clear" w:pos="567"/>
        </w:tabs>
        <w:rPr>
          <w:sz w:val="20"/>
          <w:lang w:val="sr-Latn-RS"/>
        </w:rPr>
      </w:pPr>
      <w:r w:rsidRPr="00017F12">
        <w:rPr>
          <w:sz w:val="20"/>
          <w:lang w:val="sr-Latn-RS"/>
        </w:rPr>
        <w:t>** Sarkoidoza je prim</w:t>
      </w:r>
      <w:r>
        <w:rPr>
          <w:sz w:val="20"/>
          <w:lang w:val="sr-Latn-RS"/>
        </w:rPr>
        <w:t>ij</w:t>
      </w:r>
      <w:r w:rsidRPr="00017F12">
        <w:rPr>
          <w:sz w:val="20"/>
          <w:lang w:val="sr-Latn-RS"/>
        </w:rPr>
        <w:t>ećena u kliničkim ispitivanjima kod pacijenata koji su primali avelumab u kombinaciji sa hemoterapijom zasnovano</w:t>
      </w:r>
      <w:r>
        <w:rPr>
          <w:sz w:val="20"/>
          <w:lang w:val="sr-Latn-RS"/>
        </w:rPr>
        <w:t>j</w:t>
      </w:r>
      <w:r w:rsidRPr="00017F12">
        <w:rPr>
          <w:sz w:val="20"/>
          <w:lang w:val="sr-Latn-RS"/>
        </w:rPr>
        <w:t xml:space="preserve"> na platini</w:t>
      </w:r>
    </w:p>
    <w:p w14:paraId="5DC377E2" w14:textId="2C1F1E1A" w:rsidR="005E629F" w:rsidRPr="008F1125" w:rsidRDefault="00926926" w:rsidP="00577413">
      <w:pPr>
        <w:keepNext/>
        <w:tabs>
          <w:tab w:val="clear" w:pos="567"/>
        </w:tabs>
        <w:rPr>
          <w:sz w:val="20"/>
          <w:lang w:val="sr-Latn-RS"/>
        </w:rPr>
      </w:pPr>
      <w:r w:rsidRPr="008F1125">
        <w:rPr>
          <w:sz w:val="20"/>
          <w:vertAlign w:val="superscript"/>
          <w:lang w:val="sr-Latn-RS" w:bidi="sr-Latn-RS"/>
        </w:rPr>
        <w:t xml:space="preserve">† </w:t>
      </w:r>
      <w:r w:rsidRPr="008F1125">
        <w:rPr>
          <w:sz w:val="20"/>
          <w:lang w:val="sr-Latn-RS" w:bidi="sr-Latn-RS"/>
        </w:rPr>
        <w:t>Neželjene reakcije sa proc</w:t>
      </w:r>
      <w:r w:rsidR="0063413D" w:rsidRPr="008F1125">
        <w:rPr>
          <w:sz w:val="20"/>
          <w:lang w:val="sr-Latn-RS" w:bidi="sr-Latn-RS"/>
        </w:rPr>
        <w:t>ij</w:t>
      </w:r>
      <w:r w:rsidRPr="008F1125">
        <w:rPr>
          <w:sz w:val="20"/>
          <w:lang w:val="sr-Latn-RS" w:bidi="sr-Latn-RS"/>
        </w:rPr>
        <w:t>enjenom pojavom kod 4000 pacijenata izloženih monoterapiji avelumabom koje nisu bile uključene u objedinjenu analizu.</w:t>
      </w:r>
    </w:p>
    <w:p w14:paraId="1FB63496" w14:textId="2EF0A801" w:rsidR="00DA0D97" w:rsidRPr="008F1125" w:rsidRDefault="00926926" w:rsidP="00577413">
      <w:pPr>
        <w:tabs>
          <w:tab w:val="clear" w:pos="567"/>
        </w:tabs>
        <w:rPr>
          <w:sz w:val="20"/>
          <w:lang w:val="sr-Latn-RS"/>
        </w:rPr>
      </w:pPr>
      <w:r w:rsidRPr="008F1125">
        <w:rPr>
          <w:sz w:val="20"/>
          <w:vertAlign w:val="superscript"/>
          <w:lang w:val="sr-Latn-RS" w:bidi="sr-Latn-RS"/>
        </w:rPr>
        <w:t xml:space="preserve">§ </w:t>
      </w:r>
      <w:r w:rsidRPr="008F1125">
        <w:rPr>
          <w:sz w:val="20"/>
          <w:lang w:val="sr-Latn-RS" w:bidi="sr-Latn-RS"/>
        </w:rPr>
        <w:t>Reakcija uočena samo u ispitivanju EMR100070-003 (</w:t>
      </w:r>
      <w:r w:rsidR="0063413D" w:rsidRPr="008F1125">
        <w:rPr>
          <w:sz w:val="20"/>
          <w:lang w:val="sr-Latn-RS" w:bidi="sr-Latn-RS"/>
        </w:rPr>
        <w:t xml:space="preserve">dio </w:t>
      </w:r>
      <w:r w:rsidRPr="008F1125">
        <w:rPr>
          <w:sz w:val="20"/>
          <w:lang w:val="sr-Latn-RS" w:bidi="sr-Latn-RS"/>
        </w:rPr>
        <w:t>B) posle prestanka prikupljanja podataka za objedinjenu analizu, na osnovu čega je proc</w:t>
      </w:r>
      <w:r w:rsidR="00B27CC7" w:rsidRPr="008F1125">
        <w:rPr>
          <w:sz w:val="20"/>
          <w:lang w:val="sr-Latn-RS" w:bidi="sr-Latn-RS"/>
        </w:rPr>
        <w:t>ij</w:t>
      </w:r>
      <w:r w:rsidRPr="008F1125">
        <w:rPr>
          <w:sz w:val="20"/>
          <w:lang w:val="sr-Latn-RS" w:bidi="sr-Latn-RS"/>
        </w:rPr>
        <w:t>enjena učestalost</w:t>
      </w:r>
    </w:p>
    <w:p w14:paraId="1FB63497" w14:textId="77777777" w:rsidR="00732C1E" w:rsidRPr="008F1125" w:rsidRDefault="00732C1E" w:rsidP="00577413">
      <w:pPr>
        <w:tabs>
          <w:tab w:val="clear" w:pos="567"/>
        </w:tabs>
        <w:autoSpaceDE w:val="0"/>
        <w:autoSpaceDN w:val="0"/>
        <w:adjustRightInd w:val="0"/>
        <w:rPr>
          <w:szCs w:val="22"/>
          <w:lang w:val="sr-Latn-RS"/>
        </w:rPr>
      </w:pPr>
    </w:p>
    <w:p w14:paraId="1FB63498" w14:textId="77777777" w:rsidR="00C46BD0" w:rsidRPr="008F1125" w:rsidRDefault="00926926" w:rsidP="00AE57A4">
      <w:pPr>
        <w:keepNext/>
        <w:keepLines/>
        <w:tabs>
          <w:tab w:val="clear" w:pos="567"/>
        </w:tabs>
        <w:kinsoku w:val="0"/>
        <w:overflowPunct w:val="0"/>
        <w:autoSpaceDE w:val="0"/>
        <w:autoSpaceDN w:val="0"/>
        <w:adjustRightInd w:val="0"/>
        <w:jc w:val="both"/>
        <w:rPr>
          <w:rFonts w:eastAsia="SimSun"/>
          <w:i/>
          <w:iCs/>
          <w:spacing w:val="-1"/>
          <w:szCs w:val="22"/>
          <w:u w:val="single"/>
          <w:lang w:val="sr-Latn-RS" w:eastAsia="en-GB"/>
        </w:rPr>
      </w:pPr>
      <w:r w:rsidRPr="008F1125">
        <w:rPr>
          <w:i/>
          <w:spacing w:val="-1"/>
          <w:u w:val="single"/>
          <w:lang w:val="sr-Latn-RS" w:bidi="sr-Latn-RS"/>
        </w:rPr>
        <w:t>Karcinom Merkelovih ćelija</w:t>
      </w:r>
    </w:p>
    <w:p w14:paraId="1FB63499" w14:textId="77777777" w:rsidR="003540F4" w:rsidRPr="008F1125" w:rsidRDefault="003540F4" w:rsidP="00AE57A4">
      <w:pPr>
        <w:keepNext/>
        <w:jc w:val="both"/>
        <w:rPr>
          <w:szCs w:val="22"/>
          <w:lang w:val="sr-Latn-RS"/>
        </w:rPr>
      </w:pPr>
    </w:p>
    <w:p w14:paraId="1FB6349A" w14:textId="58BEFB58" w:rsidR="003540F4" w:rsidRPr="008F1125" w:rsidRDefault="00926926" w:rsidP="00AE57A4">
      <w:pPr>
        <w:keepNext/>
        <w:keepLines/>
        <w:jc w:val="both"/>
        <w:rPr>
          <w:szCs w:val="22"/>
          <w:u w:val="single"/>
          <w:lang w:val="sr-Latn-RS"/>
        </w:rPr>
      </w:pPr>
      <w:r w:rsidRPr="008F1125">
        <w:rPr>
          <w:u w:val="single"/>
          <w:lang w:val="sr-Latn-RS" w:bidi="sr-Latn-RS"/>
        </w:rPr>
        <w:t>Sažetak bezb</w:t>
      </w:r>
      <w:r w:rsidR="00B27CC7" w:rsidRPr="008F1125">
        <w:rPr>
          <w:u w:val="single"/>
          <w:lang w:val="sr-Latn-RS" w:bidi="sr-Latn-RS"/>
        </w:rPr>
        <w:t>j</w:t>
      </w:r>
      <w:r w:rsidRPr="008F1125">
        <w:rPr>
          <w:u w:val="single"/>
          <w:lang w:val="sr-Latn-RS" w:bidi="sr-Latn-RS"/>
        </w:rPr>
        <w:t>ednosnog profila</w:t>
      </w:r>
    </w:p>
    <w:p w14:paraId="1FB6349B" w14:textId="494C03FF" w:rsidR="002236B8" w:rsidRPr="008F1125" w:rsidRDefault="00DD502A" w:rsidP="00AE57A4">
      <w:pPr>
        <w:jc w:val="both"/>
        <w:rPr>
          <w:szCs w:val="22"/>
          <w:lang w:val="sr-Latn-RS"/>
        </w:rPr>
      </w:pPr>
      <w:r w:rsidRPr="008F1125">
        <w:rPr>
          <w:lang w:val="sr-Latn-RS" w:bidi="sr-Latn-RS"/>
        </w:rPr>
        <w:t>Bezbjednost</w:t>
      </w:r>
      <w:r w:rsidR="00926926" w:rsidRPr="008F1125">
        <w:rPr>
          <w:lang w:val="sr-Latn-RS" w:bidi="sr-Latn-RS"/>
        </w:rPr>
        <w:t xml:space="preserve"> prim</w:t>
      </w:r>
      <w:r w:rsidR="00515B67" w:rsidRPr="008F1125">
        <w:rPr>
          <w:lang w:val="sr-Latn-RS" w:bidi="sr-Latn-RS"/>
        </w:rPr>
        <w:t>j</w:t>
      </w:r>
      <w:r w:rsidR="00926926" w:rsidRPr="008F1125">
        <w:rPr>
          <w:lang w:val="sr-Latn-RS" w:bidi="sr-Latn-RS"/>
        </w:rPr>
        <w:t>ene avelumaba u kombinaciji sa aksitinibom proc</w:t>
      </w:r>
      <w:r w:rsidR="00B27CC7" w:rsidRPr="008F1125">
        <w:rPr>
          <w:lang w:val="sr-Latn-RS" w:bidi="sr-Latn-RS"/>
        </w:rPr>
        <w:t>ij</w:t>
      </w:r>
      <w:r w:rsidR="00926926" w:rsidRPr="008F1125">
        <w:rPr>
          <w:lang w:val="sr-Latn-RS" w:bidi="sr-Latn-RS"/>
        </w:rPr>
        <w:t xml:space="preserve">enjena je kod 489 pacijenata sa uznapredovalim karcinomom bubrežnih ćelija, koji su u dva klinička ispitivanja primali 10 mg/kg avelumaba svake 2 nedelje i 5 mg aksitiniba peroralno dvaput na dan. </w:t>
      </w:r>
    </w:p>
    <w:p w14:paraId="1FB6349C" w14:textId="77777777" w:rsidR="002236B8" w:rsidRPr="008F1125" w:rsidRDefault="002236B8" w:rsidP="00AE57A4">
      <w:pPr>
        <w:jc w:val="both"/>
        <w:rPr>
          <w:szCs w:val="22"/>
          <w:lang w:val="sr-Latn-RS"/>
        </w:rPr>
      </w:pPr>
    </w:p>
    <w:p w14:paraId="1FB6349D" w14:textId="102756D4" w:rsidR="003540F4" w:rsidRPr="008F1125" w:rsidRDefault="00926926" w:rsidP="00AE57A4">
      <w:pPr>
        <w:jc w:val="both"/>
        <w:rPr>
          <w:szCs w:val="22"/>
          <w:lang w:val="sr-Latn-RS"/>
        </w:rPr>
      </w:pPr>
      <w:r w:rsidRPr="008F1125">
        <w:rPr>
          <w:lang w:val="sr-Latn-RS" w:bidi="sr-Latn-RS"/>
        </w:rPr>
        <w:t>U toj populaciji pacijenata najčešće neželjene reakcije bile su dijareja (62,8%), hipertenzija (49,3%), zamor (42,9%), mučnina (33,5%), disfonija (32,7%), smanjen apetit (26,0%), hipotireoza (25,2%), kašalj (23,7%), glavobolja (21,3%), dispneja (20,9%) i artralgija (20,9%).</w:t>
      </w:r>
    </w:p>
    <w:p w14:paraId="1FB6349E" w14:textId="77777777" w:rsidR="003540F4" w:rsidRPr="008F1125" w:rsidRDefault="003540F4" w:rsidP="00AE57A4">
      <w:pPr>
        <w:jc w:val="both"/>
        <w:rPr>
          <w:szCs w:val="22"/>
          <w:lang w:val="sr-Latn-RS"/>
        </w:rPr>
      </w:pPr>
    </w:p>
    <w:p w14:paraId="1FB6349F" w14:textId="77777777" w:rsidR="003540F4" w:rsidRPr="008F1125" w:rsidRDefault="00926926" w:rsidP="00AE57A4">
      <w:pPr>
        <w:keepNext/>
        <w:keepLines/>
        <w:jc w:val="both"/>
        <w:rPr>
          <w:szCs w:val="22"/>
          <w:u w:val="single"/>
          <w:lang w:val="sr-Latn-RS"/>
        </w:rPr>
      </w:pPr>
      <w:r w:rsidRPr="008F1125">
        <w:rPr>
          <w:u w:val="single"/>
          <w:lang w:val="sr-Latn-RS" w:bidi="sr-Latn-RS"/>
        </w:rPr>
        <w:t>Tabelarni prikaz neželjenih reakcija</w:t>
      </w:r>
    </w:p>
    <w:p w14:paraId="1FB634A0" w14:textId="4BADC022" w:rsidR="00732C1E" w:rsidRPr="008F1125" w:rsidRDefault="00926926" w:rsidP="00AE57A4">
      <w:pPr>
        <w:tabs>
          <w:tab w:val="clear" w:pos="567"/>
        </w:tabs>
        <w:autoSpaceDE w:val="0"/>
        <w:autoSpaceDN w:val="0"/>
        <w:adjustRightInd w:val="0"/>
        <w:jc w:val="both"/>
        <w:rPr>
          <w:szCs w:val="22"/>
          <w:lang w:val="sr-Latn-RS"/>
        </w:rPr>
      </w:pPr>
      <w:r w:rsidRPr="008F1125">
        <w:rPr>
          <w:lang w:val="sr-Latn-RS" w:bidi="sr-Latn-RS"/>
        </w:rPr>
        <w:t xml:space="preserve">Neželjene reakcije </w:t>
      </w:r>
      <w:r w:rsidR="00DD502A" w:rsidRPr="008F1125">
        <w:rPr>
          <w:lang w:val="sr-Latn-RS" w:bidi="sr-Latn-RS"/>
        </w:rPr>
        <w:t>zabilježene</w:t>
      </w:r>
      <w:r w:rsidRPr="008F1125">
        <w:rPr>
          <w:lang w:val="sr-Latn-RS" w:bidi="sr-Latn-RS"/>
        </w:rPr>
        <w:t xml:space="preserve"> kod 489 pacijenata sa uznapredovalim karcinomom bubrežnih ćelija koji su na terapiji avelumabom u kombinaciji sa aksitinibom u dva klinička ispitivanja prikazane su u Tabel</w:t>
      </w:r>
      <w:r w:rsidR="0052661A">
        <w:rPr>
          <w:lang w:val="sr-Latn-RS" w:bidi="sr-Latn-RS"/>
        </w:rPr>
        <w:t>i</w:t>
      </w:r>
      <w:r w:rsidRPr="008F1125">
        <w:rPr>
          <w:lang w:val="sr-Latn-RS" w:bidi="sr-Latn-RS"/>
        </w:rPr>
        <w:t xml:space="preserve"> 3.</w:t>
      </w:r>
    </w:p>
    <w:p w14:paraId="1FB634A1" w14:textId="77777777" w:rsidR="00732C1E" w:rsidRPr="008F1125" w:rsidRDefault="00732C1E" w:rsidP="00AE57A4">
      <w:pPr>
        <w:tabs>
          <w:tab w:val="clear" w:pos="567"/>
        </w:tabs>
        <w:autoSpaceDE w:val="0"/>
        <w:autoSpaceDN w:val="0"/>
        <w:adjustRightInd w:val="0"/>
        <w:jc w:val="both"/>
        <w:rPr>
          <w:szCs w:val="22"/>
          <w:lang w:val="sr-Latn-RS"/>
        </w:rPr>
      </w:pPr>
    </w:p>
    <w:p w14:paraId="1FB634A2" w14:textId="3C68C4CF" w:rsidR="00732C1E" w:rsidRPr="008F1125" w:rsidRDefault="00926926" w:rsidP="00AE57A4">
      <w:pPr>
        <w:tabs>
          <w:tab w:val="clear" w:pos="567"/>
        </w:tabs>
        <w:autoSpaceDE w:val="0"/>
        <w:autoSpaceDN w:val="0"/>
        <w:adjustRightInd w:val="0"/>
        <w:jc w:val="both"/>
        <w:rPr>
          <w:szCs w:val="22"/>
          <w:lang w:val="sr-Latn-RS"/>
        </w:rPr>
      </w:pPr>
      <w:r w:rsidRPr="008F1125">
        <w:rPr>
          <w:lang w:val="sr-Latn-RS" w:bidi="sr-Latn-RS"/>
        </w:rPr>
        <w:t>Te reakcije prikazane su prema klasifikaciji sistema organa i učestalosti. Učestalosti se definišu kao: v</w:t>
      </w:r>
      <w:r w:rsidR="0052661A">
        <w:rPr>
          <w:lang w:val="sr-Latn-RS" w:bidi="sr-Latn-RS"/>
        </w:rPr>
        <w:t>e</w:t>
      </w:r>
      <w:r w:rsidRPr="008F1125">
        <w:rPr>
          <w:lang w:val="sr-Latn-RS" w:bidi="sr-Latn-RS"/>
        </w:rPr>
        <w:t>o</w:t>
      </w:r>
      <w:r w:rsidR="0052661A">
        <w:rPr>
          <w:lang w:val="sr-Latn-RS" w:bidi="sr-Latn-RS"/>
        </w:rPr>
        <w:t>ma</w:t>
      </w:r>
      <w:r w:rsidRPr="008F1125">
        <w:rPr>
          <w:lang w:val="sr-Latn-RS" w:bidi="sr-Latn-RS"/>
        </w:rPr>
        <w:t xml:space="preserve"> čest</w:t>
      </w:r>
      <w:r w:rsidR="0052661A">
        <w:rPr>
          <w:lang w:val="sr-Latn-RS" w:bidi="sr-Latn-RS"/>
        </w:rPr>
        <w:t>o</w:t>
      </w:r>
      <w:r w:rsidRPr="008F1125">
        <w:rPr>
          <w:lang w:val="sr-Latn-RS" w:bidi="sr-Latn-RS"/>
        </w:rPr>
        <w:t xml:space="preserve"> (≥ 1/10); čest</w:t>
      </w:r>
      <w:r w:rsidR="0052661A">
        <w:rPr>
          <w:lang w:val="sr-Latn-RS" w:bidi="sr-Latn-RS"/>
        </w:rPr>
        <w:t>o</w:t>
      </w:r>
      <w:r w:rsidRPr="008F1125">
        <w:rPr>
          <w:lang w:val="sr-Latn-RS" w:bidi="sr-Latn-RS"/>
        </w:rPr>
        <w:t xml:space="preserve"> (≥ 1/100 i &lt; 1/10); povremen</w:t>
      </w:r>
      <w:r w:rsidR="0052661A">
        <w:rPr>
          <w:lang w:val="sr-Latn-RS" w:bidi="sr-Latn-RS"/>
        </w:rPr>
        <w:t>o</w:t>
      </w:r>
      <w:r w:rsidRPr="008F1125">
        <w:rPr>
          <w:lang w:val="sr-Latn-RS" w:bidi="sr-Latn-RS"/>
        </w:rPr>
        <w:t xml:space="preserve"> (≥ 1/1000 i &lt; 1/100); </w:t>
      </w:r>
      <w:r w:rsidR="00B27CC7" w:rsidRPr="008F1125">
        <w:rPr>
          <w:lang w:val="sr-Latn-RS" w:bidi="sr-Latn-RS"/>
        </w:rPr>
        <w:t>rijetk</w:t>
      </w:r>
      <w:r w:rsidR="0052661A">
        <w:rPr>
          <w:lang w:val="sr-Latn-RS" w:bidi="sr-Latn-RS"/>
        </w:rPr>
        <w:t>o</w:t>
      </w:r>
      <w:r w:rsidRPr="008F1125">
        <w:rPr>
          <w:lang w:val="sr-Latn-RS" w:bidi="sr-Latn-RS"/>
        </w:rPr>
        <w:t xml:space="preserve"> (≥ 1/10 000 i &lt; 1/1000); veoma </w:t>
      </w:r>
      <w:r w:rsidR="00B27CC7" w:rsidRPr="008F1125">
        <w:rPr>
          <w:lang w:val="sr-Latn-RS" w:bidi="sr-Latn-RS"/>
        </w:rPr>
        <w:t>rijetk</w:t>
      </w:r>
      <w:r w:rsidR="0052661A">
        <w:rPr>
          <w:lang w:val="sr-Latn-RS" w:bidi="sr-Latn-RS"/>
        </w:rPr>
        <w:t>o</w:t>
      </w:r>
      <w:r w:rsidRPr="008F1125">
        <w:rPr>
          <w:lang w:val="sr-Latn-RS" w:bidi="sr-Latn-RS"/>
        </w:rPr>
        <w:t xml:space="preserve"> (&lt; 1/10000). U okviru svake grupe učestalosti neželjene reakcije su prikazane prema opadajućoj ozbiljnosti.</w:t>
      </w:r>
    </w:p>
    <w:p w14:paraId="1FB634A3" w14:textId="77777777" w:rsidR="003A70F7" w:rsidRPr="008F1125" w:rsidRDefault="003A70F7" w:rsidP="00577413">
      <w:pPr>
        <w:rPr>
          <w:szCs w:val="22"/>
          <w:lang w:val="sr-Latn-RS"/>
        </w:rPr>
      </w:pPr>
    </w:p>
    <w:p w14:paraId="1FB634A4" w14:textId="77777777" w:rsidR="00231F9D" w:rsidRPr="008F1125" w:rsidRDefault="00926926" w:rsidP="00577413">
      <w:pPr>
        <w:pStyle w:val="Default"/>
        <w:keepNext/>
        <w:keepLines/>
        <w:rPr>
          <w:b/>
          <w:color w:val="auto"/>
          <w:sz w:val="22"/>
          <w:szCs w:val="22"/>
          <w:lang w:val="sr-Latn-RS"/>
        </w:rPr>
      </w:pPr>
      <w:bookmarkStart w:id="3" w:name="_Ref535417436"/>
      <w:r w:rsidRPr="008F1125">
        <w:rPr>
          <w:b/>
          <w:color w:val="auto"/>
          <w:sz w:val="22"/>
          <w:lang w:val="sr-Latn-RS" w:bidi="sr-Latn-RS"/>
        </w:rPr>
        <w:t xml:space="preserve">Tabela </w:t>
      </w:r>
      <w:bookmarkEnd w:id="3"/>
      <w:r w:rsidRPr="008F1125">
        <w:rPr>
          <w:b/>
          <w:color w:val="auto"/>
          <w:sz w:val="22"/>
          <w:lang w:val="sr-Latn-RS" w:bidi="sr-Latn-RS"/>
        </w:rPr>
        <w:t>3: Neželjene reakcije kod pacijenata koji su primali avelumab u kombinaciji sa aksitinibom u kliničkim ispitivanjima B9991002 i B9991003</w:t>
      </w:r>
    </w:p>
    <w:p w14:paraId="1FB634A5" w14:textId="77777777" w:rsidR="00231F9D" w:rsidRPr="008F1125" w:rsidRDefault="00231F9D" w:rsidP="00577413">
      <w:pPr>
        <w:keepNext/>
        <w:keepLines/>
        <w:tabs>
          <w:tab w:val="clear" w:pos="567"/>
        </w:tabs>
        <w:autoSpaceDE w:val="0"/>
        <w:autoSpaceDN w:val="0"/>
        <w:adjustRightInd w:val="0"/>
        <w:rPr>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796"/>
      </w:tblGrid>
      <w:tr w:rsidR="00F51581" w:rsidRPr="008F1125" w14:paraId="1FB634A8" w14:textId="77777777" w:rsidTr="001859BD">
        <w:trPr>
          <w:cantSplit/>
          <w:trHeight w:val="291"/>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A6" w14:textId="77777777" w:rsidR="007D5A8E" w:rsidRPr="008F1125" w:rsidRDefault="00926926" w:rsidP="00577413">
            <w:pPr>
              <w:pStyle w:val="Tableheading"/>
              <w:spacing w:before="0" w:after="0"/>
              <w:jc w:val="left"/>
              <w:rPr>
                <w:rFonts w:ascii="Times New Roman" w:hAnsi="Times New Roman"/>
                <w:sz w:val="22"/>
                <w:lang w:val="sr-Latn-RS"/>
              </w:rPr>
            </w:pPr>
            <w:r w:rsidRPr="008F1125">
              <w:rPr>
                <w:rFonts w:ascii="Times New Roman" w:hAnsi="Times New Roman"/>
                <w:sz w:val="22"/>
                <w:lang w:val="sr-Latn-RS" w:bidi="sr-Latn-RS"/>
              </w:rPr>
              <w:t>Učestalost</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A7" w14:textId="77777777" w:rsidR="007D5A8E" w:rsidRPr="008F1125" w:rsidRDefault="00926926" w:rsidP="00577413">
            <w:pPr>
              <w:pStyle w:val="Tableheading"/>
              <w:spacing w:before="0" w:after="0"/>
              <w:jc w:val="left"/>
              <w:rPr>
                <w:rFonts w:ascii="Times New Roman" w:hAnsi="Times New Roman"/>
                <w:sz w:val="22"/>
                <w:lang w:val="sr-Latn-RS"/>
              </w:rPr>
            </w:pPr>
            <w:r w:rsidRPr="008F1125">
              <w:rPr>
                <w:rFonts w:ascii="Times New Roman" w:hAnsi="Times New Roman"/>
                <w:sz w:val="22"/>
                <w:lang w:val="sr-Latn-RS" w:bidi="sr-Latn-RS"/>
              </w:rPr>
              <w:t>Neželjene reakcije</w:t>
            </w:r>
          </w:p>
        </w:tc>
      </w:tr>
      <w:tr w:rsidR="00F51581" w:rsidRPr="008F1125" w14:paraId="1FB634AA"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A9"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Infekcije i infestacije</w:t>
            </w:r>
          </w:p>
        </w:tc>
      </w:tr>
      <w:tr w:rsidR="00F51581" w:rsidRPr="008F1125" w14:paraId="1FB634A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AB" w14:textId="77777777"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AC" w14:textId="2AC2AAC6" w:rsidR="007D5A8E" w:rsidRPr="008F1125" w:rsidRDefault="00926926" w:rsidP="00577413">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pustularni osip</w:t>
            </w:r>
            <w:r w:rsidR="00851ABB">
              <w:rPr>
                <w:rFonts w:ascii="Times New Roman" w:hAnsi="Times New Roman"/>
                <w:sz w:val="22"/>
                <w:lang w:val="sr-Latn-RS" w:bidi="sr-Latn-RS"/>
              </w:rPr>
              <w:t>*</w:t>
            </w:r>
          </w:p>
        </w:tc>
      </w:tr>
      <w:tr w:rsidR="00F51581" w:rsidRPr="003D7D44" w14:paraId="1FB634AF"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AE"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krvi i limfnog sistema</w:t>
            </w:r>
          </w:p>
        </w:tc>
      </w:tr>
      <w:tr w:rsidR="00F51581" w:rsidRPr="008F1125" w14:paraId="1FB634B2"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B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B1"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anemija, trombocitopenija</w:t>
            </w:r>
          </w:p>
        </w:tc>
      </w:tr>
      <w:tr w:rsidR="00F51581" w:rsidRPr="008F1125" w14:paraId="1FB634B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B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B4"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limfopenija, eozinofilija</w:t>
            </w:r>
          </w:p>
        </w:tc>
      </w:tr>
      <w:tr w:rsidR="00F51581" w:rsidRPr="008F1125" w14:paraId="1FB634B7"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B6" w14:textId="1A5302DC" w:rsidR="007D5A8E" w:rsidRPr="008F1125" w:rsidRDefault="00926926" w:rsidP="00400ADC">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imunog sistema</w:t>
            </w:r>
          </w:p>
        </w:tc>
      </w:tr>
      <w:tr w:rsidR="00F51581" w:rsidRPr="008F1125" w14:paraId="1FB634BA"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B8"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B9" w14:textId="50C7FCEE" w:rsidR="007D5A8E" w:rsidRPr="008F1125" w:rsidRDefault="00926926" w:rsidP="00577413">
            <w:pPr>
              <w:pStyle w:val="Tabletext"/>
              <w:keepLines w:val="0"/>
              <w:spacing w:before="0" w:after="0"/>
              <w:jc w:val="left"/>
              <w:rPr>
                <w:rFonts w:ascii="Times New Roman" w:eastAsia="SimSun" w:hAnsi="Times New Roman"/>
                <w:sz w:val="22"/>
                <w:lang w:val="sr-Latn-RS" w:eastAsia="en-GB"/>
              </w:rPr>
            </w:pPr>
            <w:r w:rsidRPr="008F1125">
              <w:rPr>
                <w:rFonts w:ascii="Times New Roman" w:hAnsi="Times New Roman"/>
                <w:sz w:val="22"/>
                <w:lang w:val="sr-Latn-RS" w:bidi="sr-Latn-RS"/>
              </w:rPr>
              <w:t>preos</w:t>
            </w:r>
            <w:r w:rsidR="00400ADC">
              <w:rPr>
                <w:rFonts w:ascii="Times New Roman" w:hAnsi="Times New Roman"/>
                <w:sz w:val="22"/>
                <w:lang w:val="sr-Latn-RS" w:bidi="sr-Latn-RS"/>
              </w:rPr>
              <w:t>j</w:t>
            </w:r>
            <w:r w:rsidRPr="008F1125">
              <w:rPr>
                <w:rFonts w:ascii="Times New Roman" w:hAnsi="Times New Roman"/>
                <w:sz w:val="22"/>
                <w:lang w:val="sr-Latn-RS" w:bidi="sr-Latn-RS"/>
              </w:rPr>
              <w:t>etljivost</w:t>
            </w:r>
          </w:p>
        </w:tc>
      </w:tr>
      <w:tr w:rsidR="00F51581" w:rsidRPr="008F1125" w14:paraId="1FB634BC"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BB"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Endokrini poremećaji</w:t>
            </w:r>
          </w:p>
        </w:tc>
      </w:tr>
      <w:tr w:rsidR="00F51581" w:rsidRPr="008F1125" w14:paraId="1FB634BF"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BD"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BE" w14:textId="308FE4B0" w:rsidR="007D5A8E" w:rsidRPr="008F1125" w:rsidRDefault="009878A2" w:rsidP="00400ADC">
            <w:pPr>
              <w:pStyle w:val="Tabletext"/>
              <w:keepLines w:val="0"/>
              <w:spacing w:before="0" w:after="0"/>
              <w:jc w:val="left"/>
              <w:rPr>
                <w:rFonts w:ascii="Times New Roman" w:eastAsia="SimSun" w:hAnsi="Times New Roman"/>
                <w:sz w:val="22"/>
                <w:lang w:val="sr-Latn-RS" w:eastAsia="en-GB"/>
              </w:rPr>
            </w:pPr>
            <w:r>
              <w:rPr>
                <w:rFonts w:ascii="Times New Roman" w:hAnsi="Times New Roman"/>
                <w:sz w:val="22"/>
                <w:lang w:val="sr-Latn-RS" w:bidi="sr-Latn-RS"/>
              </w:rPr>
              <w:t>h</w:t>
            </w:r>
            <w:r w:rsidR="00926926" w:rsidRPr="008F1125">
              <w:rPr>
                <w:rFonts w:ascii="Times New Roman" w:hAnsi="Times New Roman"/>
                <w:sz w:val="22"/>
                <w:lang w:val="sr-Latn-RS" w:bidi="sr-Latn-RS"/>
              </w:rPr>
              <w:t>ipotireodizam</w:t>
            </w:r>
            <w:r w:rsidR="00851ABB">
              <w:rPr>
                <w:rFonts w:ascii="Times New Roman" w:hAnsi="Times New Roman"/>
                <w:sz w:val="22"/>
                <w:lang w:val="sr-Latn-RS" w:bidi="sr-Latn-RS"/>
              </w:rPr>
              <w:t>*</w:t>
            </w:r>
          </w:p>
        </w:tc>
      </w:tr>
      <w:tr w:rsidR="00F51581" w:rsidRPr="008F1125" w14:paraId="1FB634C2"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C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C1" w14:textId="42A4632C" w:rsidR="007D5A8E" w:rsidRPr="008F1125" w:rsidRDefault="00851ABB" w:rsidP="00577413">
            <w:pPr>
              <w:pStyle w:val="Tabletext"/>
              <w:keepLines w:val="0"/>
              <w:spacing w:before="0" w:after="0"/>
              <w:jc w:val="left"/>
              <w:rPr>
                <w:rFonts w:ascii="Times New Roman" w:hAnsi="Times New Roman"/>
                <w:sz w:val="22"/>
                <w:lang w:val="sr-Latn-RS"/>
              </w:rPr>
            </w:pPr>
            <w:r>
              <w:rPr>
                <w:rFonts w:ascii="Times New Roman" w:hAnsi="Times New Roman"/>
                <w:sz w:val="22"/>
                <w:lang w:val="sr-Latn-RS" w:bidi="sr-Latn-RS"/>
              </w:rPr>
              <w:t>hipertireoidizam*</w:t>
            </w:r>
            <w:r w:rsidR="00926926" w:rsidRPr="008F1125">
              <w:rPr>
                <w:rFonts w:ascii="Times New Roman" w:hAnsi="Times New Roman"/>
                <w:sz w:val="22"/>
                <w:lang w:val="sr-Latn-RS" w:bidi="sr-Latn-RS"/>
              </w:rPr>
              <w:t>, adrenalna insuficijencija</w:t>
            </w:r>
            <w:r>
              <w:rPr>
                <w:rFonts w:ascii="Times New Roman" w:hAnsi="Times New Roman"/>
                <w:sz w:val="22"/>
                <w:lang w:val="sr-Latn-RS" w:bidi="sr-Latn-RS"/>
              </w:rPr>
              <w:t>*</w:t>
            </w:r>
            <w:r w:rsidR="00926926" w:rsidRPr="008F1125">
              <w:rPr>
                <w:rFonts w:ascii="Times New Roman" w:hAnsi="Times New Roman"/>
                <w:sz w:val="22"/>
                <w:lang w:val="sr-Latn-RS" w:bidi="sr-Latn-RS"/>
              </w:rPr>
              <w:t>, tiroiditis</w:t>
            </w:r>
            <w:r>
              <w:rPr>
                <w:rFonts w:ascii="Times New Roman" w:hAnsi="Times New Roman"/>
                <w:sz w:val="22"/>
                <w:lang w:val="sr-Latn-RS" w:bidi="sr-Latn-RS"/>
              </w:rPr>
              <w:t>*</w:t>
            </w:r>
          </w:p>
        </w:tc>
      </w:tr>
      <w:tr w:rsidR="00F51581" w:rsidRPr="008F1125" w14:paraId="1FB634C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C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C4" w14:textId="5583E613"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autoimuni tiroiditis</w:t>
            </w:r>
            <w:r w:rsidR="00851ABB">
              <w:rPr>
                <w:rFonts w:ascii="Times New Roman" w:hAnsi="Times New Roman"/>
                <w:sz w:val="22"/>
                <w:lang w:val="sr-Latn-RS" w:bidi="sr-Latn-RS"/>
              </w:rPr>
              <w:t>*</w:t>
            </w:r>
            <w:r w:rsidRPr="008F1125">
              <w:rPr>
                <w:rFonts w:ascii="Times New Roman" w:hAnsi="Times New Roman"/>
                <w:sz w:val="22"/>
                <w:lang w:val="sr-Latn-RS" w:bidi="sr-Latn-RS"/>
              </w:rPr>
              <w:t>, hipofizitis</w:t>
            </w:r>
            <w:r w:rsidR="00851ABB">
              <w:rPr>
                <w:rFonts w:ascii="Times New Roman" w:hAnsi="Times New Roman"/>
                <w:sz w:val="22"/>
                <w:lang w:val="sr-Latn-RS" w:bidi="sr-Latn-RS"/>
              </w:rPr>
              <w:t>*</w:t>
            </w:r>
          </w:p>
        </w:tc>
      </w:tr>
      <w:tr w:rsidR="00F51581" w:rsidRPr="008F1125" w14:paraId="1FB634C7"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C6"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metabolizma i ishrane</w:t>
            </w:r>
          </w:p>
        </w:tc>
      </w:tr>
      <w:tr w:rsidR="00F51581" w:rsidRPr="008F1125" w14:paraId="1FB634CA"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C8"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C9"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smanjen apetit</w:t>
            </w:r>
          </w:p>
        </w:tc>
      </w:tr>
      <w:tr w:rsidR="00F51581" w:rsidRPr="008F1125" w14:paraId="1FB634C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CB"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CC" w14:textId="7D832052" w:rsidR="007D5A8E" w:rsidRPr="008F1125" w:rsidRDefault="00851ABB" w:rsidP="00577413">
            <w:pPr>
              <w:pStyle w:val="Tabletext"/>
              <w:keepLines w:val="0"/>
              <w:spacing w:before="0" w:after="0"/>
              <w:jc w:val="left"/>
              <w:rPr>
                <w:rFonts w:ascii="Times New Roman" w:eastAsia="SimSun" w:hAnsi="Times New Roman"/>
                <w:sz w:val="22"/>
                <w:lang w:val="sr-Latn-RS" w:eastAsia="en-GB"/>
              </w:rPr>
            </w:pPr>
            <w:r w:rsidRPr="008F1125">
              <w:rPr>
                <w:rFonts w:ascii="Times New Roman" w:hAnsi="Times New Roman"/>
                <w:sz w:val="22"/>
                <w:lang w:val="sr-Latn-RS" w:bidi="sr-Latn-RS"/>
              </w:rPr>
              <w:t>H</w:t>
            </w:r>
            <w:r w:rsidR="00926926" w:rsidRPr="008F1125">
              <w:rPr>
                <w:rFonts w:ascii="Times New Roman" w:hAnsi="Times New Roman"/>
                <w:sz w:val="22"/>
                <w:lang w:val="sr-Latn-RS" w:bidi="sr-Latn-RS"/>
              </w:rPr>
              <w:t>iperglikemija</w:t>
            </w:r>
            <w:r>
              <w:rPr>
                <w:rFonts w:ascii="Times New Roman" w:hAnsi="Times New Roman"/>
                <w:sz w:val="22"/>
                <w:lang w:val="sr-Latn-RS" w:bidi="sr-Latn-RS"/>
              </w:rPr>
              <w:t>*</w:t>
            </w:r>
          </w:p>
        </w:tc>
      </w:tr>
      <w:tr w:rsidR="00F51581" w:rsidRPr="008F1125" w14:paraId="1FB634D0"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CE"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CF" w14:textId="7A036361" w:rsidR="007D5A8E" w:rsidRPr="008F1125" w:rsidRDefault="00926926" w:rsidP="00D5778F">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dijabetes melitus</w:t>
            </w:r>
            <w:r w:rsidR="00851ABB">
              <w:rPr>
                <w:rFonts w:ascii="Times New Roman" w:hAnsi="Times New Roman"/>
                <w:sz w:val="22"/>
                <w:lang w:val="sr-Latn-RS" w:bidi="sr-Latn-RS"/>
              </w:rPr>
              <w:t>*</w:t>
            </w:r>
            <w:r w:rsidRPr="008F1125">
              <w:rPr>
                <w:rFonts w:ascii="Times New Roman" w:hAnsi="Times New Roman"/>
                <w:sz w:val="22"/>
                <w:lang w:val="sr-Latn-RS" w:bidi="sr-Latn-RS"/>
              </w:rPr>
              <w:t>, dijabetes melitus tip 1</w:t>
            </w:r>
            <w:r w:rsidR="00851ABB">
              <w:rPr>
                <w:rFonts w:ascii="Times New Roman" w:hAnsi="Times New Roman"/>
                <w:sz w:val="22"/>
                <w:lang w:val="sr-Latn-RS" w:bidi="sr-Latn-RS"/>
              </w:rPr>
              <w:t>*</w:t>
            </w:r>
          </w:p>
        </w:tc>
      </w:tr>
      <w:tr w:rsidR="00F51581" w:rsidRPr="008F1125" w14:paraId="1FB634D2"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D1"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nervnog sistema</w:t>
            </w:r>
          </w:p>
        </w:tc>
      </w:tr>
      <w:tr w:rsidR="00F51581" w:rsidRPr="008F1125" w14:paraId="1FB634D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D3"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D4"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glavobolja, vrtoglavica</w:t>
            </w:r>
          </w:p>
        </w:tc>
      </w:tr>
      <w:tr w:rsidR="00F51581" w:rsidRPr="008F1125" w14:paraId="1FB634D8"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D6"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D7"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periferna neuropatija</w:t>
            </w:r>
          </w:p>
        </w:tc>
      </w:tr>
      <w:tr w:rsidR="00F51581" w:rsidRPr="008F1125" w14:paraId="3DD963D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3739257B" w14:textId="3E2A419E" w:rsidR="00447264" w:rsidRPr="008F1125" w:rsidRDefault="00926926" w:rsidP="00577413">
            <w:pPr>
              <w:pStyle w:val="BalloonText"/>
              <w:rPr>
                <w:rFonts w:ascii="Times New Roman" w:eastAsia="SimSun" w:hAnsi="Times New Roman" w:cs="Times New Roman"/>
                <w:sz w:val="22"/>
                <w:szCs w:val="22"/>
                <w:lang w:val="sr-Latn-RS" w:eastAsia="en-GB"/>
              </w:rPr>
            </w:pPr>
            <w:r w:rsidRPr="008F1125">
              <w:rPr>
                <w:rFonts w:ascii="Times New Roman" w:hAnsi="Times New Roman" w:cs="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265FA212" w14:textId="431B4227" w:rsidR="00447264" w:rsidRPr="008F1125" w:rsidRDefault="00926926" w:rsidP="00577413">
            <w:pPr>
              <w:pStyle w:val="Tabletext"/>
              <w:keepLines w:val="0"/>
              <w:spacing w:before="0" w:after="0"/>
              <w:jc w:val="left"/>
              <w:rPr>
                <w:rFonts w:ascii="Times New Roman" w:eastAsia="SimSun" w:hAnsi="Times New Roman"/>
                <w:sz w:val="22"/>
                <w:lang w:val="sr-Latn-RS" w:eastAsia="en-GB"/>
              </w:rPr>
            </w:pPr>
            <w:r w:rsidRPr="008F1125">
              <w:rPr>
                <w:rFonts w:ascii="Times New Roman" w:hAnsi="Times New Roman"/>
                <w:sz w:val="22"/>
                <w:lang w:val="sr-Latn-RS" w:bidi="sr-Latn-RS"/>
              </w:rPr>
              <w:t>mijastenija gravis</w:t>
            </w:r>
            <w:r w:rsidR="00851ABB">
              <w:rPr>
                <w:rFonts w:ascii="Times New Roman" w:hAnsi="Times New Roman"/>
                <w:sz w:val="22"/>
                <w:lang w:val="sr-Latn-RS" w:bidi="sr-Latn-RS"/>
              </w:rPr>
              <w:t>*</w:t>
            </w:r>
            <w:r w:rsidRPr="008F1125">
              <w:rPr>
                <w:rFonts w:ascii="Times New Roman" w:hAnsi="Times New Roman"/>
                <w:sz w:val="22"/>
                <w:lang w:val="sr-Latn-RS" w:bidi="sr-Latn-RS"/>
              </w:rPr>
              <w:t>, mijastenični sindrom</w:t>
            </w:r>
            <w:r w:rsidR="00851ABB">
              <w:rPr>
                <w:rFonts w:ascii="Times New Roman" w:hAnsi="Times New Roman"/>
                <w:sz w:val="22"/>
                <w:lang w:val="sr-Latn-RS" w:bidi="sr-Latn-RS"/>
              </w:rPr>
              <w:t>*</w:t>
            </w:r>
          </w:p>
        </w:tc>
      </w:tr>
      <w:tr w:rsidR="00F51581" w:rsidRPr="008F1125" w14:paraId="1FB634DA"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D9"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lastRenderedPageBreak/>
              <w:t>Kardiološki poremećaji</w:t>
            </w:r>
          </w:p>
        </w:tc>
      </w:tr>
      <w:tr w:rsidR="00F51581" w:rsidRPr="008F1125" w14:paraId="1FB634D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DB"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DC" w14:textId="019AE007" w:rsidR="007D5A8E" w:rsidRPr="008F1125" w:rsidRDefault="005E0C02" w:rsidP="00577413">
            <w:pPr>
              <w:pStyle w:val="Tabletext"/>
              <w:keepLines w:val="0"/>
              <w:spacing w:before="0" w:after="0"/>
              <w:jc w:val="left"/>
              <w:rPr>
                <w:rFonts w:ascii="Times New Roman" w:eastAsia="SimSun" w:hAnsi="Times New Roman"/>
                <w:sz w:val="22"/>
                <w:lang w:val="sr-Latn-RS" w:eastAsia="en-GB"/>
              </w:rPr>
            </w:pPr>
            <w:r>
              <w:rPr>
                <w:rFonts w:ascii="Times New Roman" w:hAnsi="Times New Roman"/>
                <w:sz w:val="22"/>
                <w:lang w:val="sr-Latn-RS" w:bidi="sr-Latn-RS"/>
              </w:rPr>
              <w:t>m</w:t>
            </w:r>
            <w:r w:rsidR="00926926" w:rsidRPr="008F1125">
              <w:rPr>
                <w:rFonts w:ascii="Times New Roman" w:hAnsi="Times New Roman"/>
                <w:sz w:val="22"/>
                <w:lang w:val="sr-Latn-RS" w:bidi="sr-Latn-RS"/>
              </w:rPr>
              <w:t>iokarditis</w:t>
            </w:r>
            <w:r w:rsidR="00851ABB">
              <w:rPr>
                <w:rFonts w:ascii="Times New Roman" w:hAnsi="Times New Roman"/>
                <w:sz w:val="22"/>
                <w:lang w:val="sr-Latn-RS" w:bidi="sr-Latn-RS"/>
              </w:rPr>
              <w:t>*</w:t>
            </w:r>
          </w:p>
        </w:tc>
      </w:tr>
      <w:tr w:rsidR="00F51581" w:rsidRPr="008F1125" w14:paraId="1FB634DF"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DE" w14:textId="77777777" w:rsidR="007D5A8E" w:rsidRPr="008F1125" w:rsidRDefault="00926926" w:rsidP="00577413">
            <w:pPr>
              <w:pStyle w:val="BalloonText"/>
              <w:keepNext/>
              <w:rPr>
                <w:rFonts w:ascii="Times New Roman" w:hAnsi="Times New Roman" w:cs="Times New Roman"/>
                <w:b/>
                <w:sz w:val="22"/>
                <w:szCs w:val="22"/>
                <w:lang w:val="sr-Latn-RS"/>
              </w:rPr>
            </w:pPr>
            <w:r w:rsidRPr="008F1125">
              <w:rPr>
                <w:rFonts w:ascii="Times New Roman" w:hAnsi="Times New Roman" w:cs="Times New Roman"/>
                <w:b/>
                <w:sz w:val="22"/>
                <w:lang w:val="sr-Latn-RS" w:bidi="sr-Latn-RS"/>
              </w:rPr>
              <w:t>Vaskularni poremećaji</w:t>
            </w:r>
          </w:p>
        </w:tc>
      </w:tr>
      <w:tr w:rsidR="00F51581" w:rsidRPr="008F1125" w14:paraId="1FB634E2"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E0"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E1"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hipertenzija</w:t>
            </w:r>
          </w:p>
        </w:tc>
      </w:tr>
      <w:tr w:rsidR="00F51581" w:rsidRPr="008F1125" w14:paraId="1FB634E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E3"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E4"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hipotenzija, crvenilo</w:t>
            </w:r>
          </w:p>
        </w:tc>
      </w:tr>
      <w:tr w:rsidR="00F51581" w:rsidRPr="003D7D44" w14:paraId="1FB634E7"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E6"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Respiratorni, torakalni i medijastinalni poremećaji</w:t>
            </w:r>
          </w:p>
        </w:tc>
      </w:tr>
      <w:tr w:rsidR="00F51581" w:rsidRPr="008F1125" w14:paraId="1FB634EA"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E8" w14:textId="77777777" w:rsidR="007D5A8E" w:rsidRPr="008F1125" w:rsidRDefault="00926926" w:rsidP="000F6F96">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E9" w14:textId="77777777" w:rsidR="007D5A8E" w:rsidRPr="008F1125" w:rsidRDefault="00926926" w:rsidP="000F6F96">
            <w:pPr>
              <w:pStyle w:val="Tabletext"/>
              <w:keepN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disfonija, kašalj, dispneja</w:t>
            </w:r>
          </w:p>
        </w:tc>
      </w:tr>
      <w:tr w:rsidR="00F51581" w:rsidRPr="008F1125" w14:paraId="1FB634E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EB"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EC" w14:textId="0DA0A7AE" w:rsidR="007D5A8E" w:rsidRPr="008F1125" w:rsidRDefault="00851ABB"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w:t>
            </w:r>
            <w:r w:rsidR="00926926" w:rsidRPr="008F1125">
              <w:rPr>
                <w:rFonts w:ascii="Times New Roman" w:hAnsi="Times New Roman"/>
                <w:sz w:val="22"/>
                <w:lang w:val="sr-Latn-RS" w:bidi="sr-Latn-RS"/>
              </w:rPr>
              <w:t>neumonitis</w:t>
            </w:r>
            <w:r>
              <w:rPr>
                <w:rFonts w:ascii="Times New Roman" w:hAnsi="Times New Roman"/>
                <w:sz w:val="22"/>
                <w:lang w:val="sr-Latn-RS" w:bidi="sr-Latn-RS"/>
              </w:rPr>
              <w:t>*</w:t>
            </w:r>
          </w:p>
        </w:tc>
      </w:tr>
      <w:tr w:rsidR="00F51581" w:rsidRPr="008F1125" w14:paraId="1FB634EF"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4EE"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Gastrointestinalni poremećaji</w:t>
            </w:r>
          </w:p>
        </w:tc>
      </w:tr>
      <w:tr w:rsidR="00F51581" w:rsidRPr="000B529C" w14:paraId="1FB634F2" w14:textId="77777777" w:rsidTr="001859BD">
        <w:trPr>
          <w:cantSplit/>
          <w:trHeight w:val="25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F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F1"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dijareja, mučnina, konstipacija, povraćanje, bol u abdomenu</w:t>
            </w:r>
          </w:p>
        </w:tc>
      </w:tr>
      <w:tr w:rsidR="00F51581" w:rsidRPr="008F1125" w14:paraId="1FB634F5" w14:textId="77777777" w:rsidTr="001859BD">
        <w:trPr>
          <w:cantSplit/>
          <w:trHeight w:val="252"/>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F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F4" w14:textId="48DF5C1A"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suva usta, kolitis</w:t>
            </w:r>
            <w:r w:rsidR="00851ABB">
              <w:rPr>
                <w:rFonts w:ascii="Times New Roman" w:hAnsi="Times New Roman"/>
                <w:sz w:val="22"/>
                <w:lang w:val="sr-Latn-RS" w:bidi="sr-Latn-RS"/>
              </w:rPr>
              <w:t>*</w:t>
            </w:r>
          </w:p>
        </w:tc>
      </w:tr>
      <w:tr w:rsidR="00F51581" w:rsidRPr="000B529C" w14:paraId="1FB634F8"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F6"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F7" w14:textId="3223DDC3" w:rsidR="007D5A8E" w:rsidRPr="008F1125" w:rsidRDefault="00926926" w:rsidP="00FB0DDB">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autoimuni kolitis</w:t>
            </w:r>
            <w:r w:rsidR="00851ABB">
              <w:rPr>
                <w:rFonts w:ascii="Times New Roman" w:hAnsi="Times New Roman"/>
                <w:sz w:val="22"/>
                <w:lang w:val="sr-Latn-RS" w:bidi="sr-Latn-RS"/>
              </w:rPr>
              <w:t>*</w:t>
            </w:r>
            <w:r w:rsidRPr="008F1125">
              <w:rPr>
                <w:rFonts w:ascii="Times New Roman" w:hAnsi="Times New Roman"/>
                <w:sz w:val="22"/>
                <w:lang w:val="sr-Latn-RS" w:bidi="sr-Latn-RS"/>
              </w:rPr>
              <w:t>, autoimuni pankreatitis</w:t>
            </w:r>
            <w:r w:rsidR="00851ABB">
              <w:rPr>
                <w:rFonts w:ascii="Times New Roman" w:hAnsi="Times New Roman"/>
                <w:sz w:val="22"/>
                <w:lang w:val="sr-Latn-RS" w:bidi="sr-Latn-RS"/>
              </w:rPr>
              <w:t>*</w:t>
            </w:r>
            <w:r w:rsidRPr="008F1125">
              <w:rPr>
                <w:rFonts w:ascii="Times New Roman" w:hAnsi="Times New Roman"/>
                <w:sz w:val="22"/>
                <w:lang w:val="sr-Latn-RS" w:bidi="sr-Latn-RS"/>
              </w:rPr>
              <w:t>, enterokolitis</w:t>
            </w:r>
            <w:r w:rsidR="00851ABB">
              <w:rPr>
                <w:rFonts w:ascii="Times New Roman" w:hAnsi="Times New Roman"/>
                <w:sz w:val="22"/>
                <w:lang w:val="sr-Latn-RS" w:bidi="sr-Latn-RS"/>
              </w:rPr>
              <w:t>*</w:t>
            </w:r>
            <w:r w:rsidRPr="008F1125">
              <w:rPr>
                <w:rFonts w:ascii="Times New Roman" w:hAnsi="Times New Roman"/>
                <w:sz w:val="22"/>
                <w:lang w:val="sr-Latn-RS" w:bidi="sr-Latn-RS"/>
              </w:rPr>
              <w:t>, ileus, nekrotizirajući</w:t>
            </w:r>
            <w:r w:rsidR="00FB0DDB">
              <w:rPr>
                <w:rFonts w:ascii="Times New Roman" w:hAnsi="Times New Roman"/>
                <w:sz w:val="22"/>
                <w:lang w:val="sr-Latn-RS" w:bidi="sr-Latn-RS"/>
              </w:rPr>
              <w:t xml:space="preserve"> </w:t>
            </w:r>
            <w:r w:rsidRPr="008F1125">
              <w:rPr>
                <w:rFonts w:ascii="Times New Roman" w:hAnsi="Times New Roman"/>
                <w:sz w:val="22"/>
                <w:lang w:val="sr-Latn-RS" w:bidi="sr-Latn-RS"/>
              </w:rPr>
              <w:t>pankreatitis</w:t>
            </w:r>
            <w:r w:rsidR="00851ABB">
              <w:rPr>
                <w:rFonts w:ascii="Times New Roman" w:hAnsi="Times New Roman"/>
                <w:sz w:val="22"/>
                <w:lang w:val="sr-Latn-RS" w:bidi="sr-Latn-RS"/>
              </w:rPr>
              <w:t>*</w:t>
            </w:r>
          </w:p>
        </w:tc>
      </w:tr>
      <w:tr w:rsidR="00F51581" w:rsidRPr="008F1125" w14:paraId="1FB634FA"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4F9"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Hepatobilijarni poremećaji</w:t>
            </w:r>
          </w:p>
        </w:tc>
      </w:tr>
      <w:tr w:rsidR="00F51581" w:rsidRPr="008F1125" w14:paraId="1FB634F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FB"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FC" w14:textId="3FA7B26B"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abnormalna funkcija jetre</w:t>
            </w:r>
            <w:r w:rsidR="00851ABB">
              <w:rPr>
                <w:rFonts w:ascii="Times New Roman" w:hAnsi="Times New Roman"/>
                <w:sz w:val="22"/>
                <w:lang w:val="sr-Latn-RS" w:bidi="sr-Latn-RS"/>
              </w:rPr>
              <w:t>*</w:t>
            </w:r>
          </w:p>
        </w:tc>
      </w:tr>
      <w:tr w:rsidR="00F51581" w:rsidRPr="000B529C" w14:paraId="1FB63500"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4FE"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4FF" w14:textId="39EDE863" w:rsidR="007D5A8E" w:rsidRPr="008F1125" w:rsidRDefault="00851ABB"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H</w:t>
            </w:r>
            <w:r w:rsidR="00926926" w:rsidRPr="008F1125">
              <w:rPr>
                <w:rFonts w:ascii="Times New Roman" w:hAnsi="Times New Roman"/>
                <w:sz w:val="22"/>
                <w:lang w:val="sr-Latn-RS" w:bidi="sr-Latn-RS"/>
              </w:rPr>
              <w:t>epatitis</w:t>
            </w:r>
            <w:r>
              <w:rPr>
                <w:rFonts w:ascii="Times New Roman" w:hAnsi="Times New Roman"/>
                <w:sz w:val="22"/>
                <w:lang w:val="sr-Latn-RS" w:bidi="sr-Latn-RS"/>
              </w:rPr>
              <w:t>*</w:t>
            </w:r>
            <w:r w:rsidR="00926926" w:rsidRPr="008F1125">
              <w:rPr>
                <w:rFonts w:ascii="Times New Roman" w:hAnsi="Times New Roman"/>
                <w:sz w:val="22"/>
                <w:lang w:val="sr-Latn-RS" w:bidi="sr-Latn-RS"/>
              </w:rPr>
              <w:t>, hepatotoksičnost</w:t>
            </w:r>
            <w:r>
              <w:rPr>
                <w:rFonts w:ascii="Times New Roman" w:hAnsi="Times New Roman"/>
                <w:sz w:val="22"/>
                <w:lang w:val="sr-Latn-RS" w:bidi="sr-Latn-RS"/>
              </w:rPr>
              <w:t>*</w:t>
            </w:r>
            <w:r w:rsidR="00926926" w:rsidRPr="008F1125">
              <w:rPr>
                <w:rFonts w:ascii="Times New Roman" w:hAnsi="Times New Roman"/>
                <w:sz w:val="22"/>
                <w:lang w:val="sr-Latn-RS" w:bidi="sr-Latn-RS"/>
              </w:rPr>
              <w:t>, imunološki posredovan hepatitis</w:t>
            </w:r>
            <w:r>
              <w:rPr>
                <w:rFonts w:ascii="Times New Roman" w:hAnsi="Times New Roman"/>
                <w:sz w:val="22"/>
                <w:lang w:val="sr-Latn-RS" w:bidi="sr-Latn-RS"/>
              </w:rPr>
              <w:t>*</w:t>
            </w:r>
            <w:r w:rsidR="00926926" w:rsidRPr="008F1125">
              <w:rPr>
                <w:rFonts w:ascii="Times New Roman" w:hAnsi="Times New Roman"/>
                <w:sz w:val="22"/>
                <w:lang w:val="sr-Latn-RS" w:bidi="sr-Latn-RS"/>
              </w:rPr>
              <w:t>, poremećaj jetre</w:t>
            </w:r>
            <w:r>
              <w:rPr>
                <w:rFonts w:ascii="Times New Roman" w:hAnsi="Times New Roman"/>
                <w:sz w:val="22"/>
                <w:lang w:val="sr-Latn-RS" w:bidi="sr-Latn-RS"/>
              </w:rPr>
              <w:t>*</w:t>
            </w:r>
          </w:p>
        </w:tc>
      </w:tr>
      <w:tr w:rsidR="00F51581" w:rsidRPr="000B529C" w14:paraId="1FB63502"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501"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kože i potkožnog tkiva</w:t>
            </w:r>
          </w:p>
        </w:tc>
      </w:tr>
      <w:tr w:rsidR="00F51581" w:rsidRPr="008F1125" w14:paraId="1FB6350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0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04" w14:textId="0DB4587B" w:rsidR="007D5A8E" w:rsidRPr="008F1125" w:rsidRDefault="009878A2" w:rsidP="00577413">
            <w:pPr>
              <w:pStyle w:val="Tabletext"/>
              <w:keepLines w:val="0"/>
              <w:spacing w:before="0" w:after="0"/>
              <w:jc w:val="left"/>
              <w:rPr>
                <w:rFonts w:ascii="Times New Roman" w:hAnsi="Times New Roman"/>
                <w:sz w:val="22"/>
                <w:lang w:val="sr-Latn-RS"/>
              </w:rPr>
            </w:pPr>
            <w:r>
              <w:rPr>
                <w:rFonts w:ascii="Times New Roman" w:hAnsi="Times New Roman"/>
                <w:sz w:val="22"/>
                <w:lang w:val="sr-Latn-RS" w:bidi="sr-Latn-RS"/>
              </w:rPr>
              <w:t>o</w:t>
            </w:r>
            <w:r w:rsidR="00926926" w:rsidRPr="008F1125">
              <w:rPr>
                <w:rFonts w:ascii="Times New Roman" w:hAnsi="Times New Roman"/>
                <w:sz w:val="22"/>
                <w:lang w:val="sr-Latn-RS" w:bidi="sr-Latn-RS"/>
              </w:rPr>
              <w:t>sip</w:t>
            </w:r>
            <w:r w:rsidR="00851ABB">
              <w:rPr>
                <w:rFonts w:ascii="Times New Roman" w:hAnsi="Times New Roman"/>
                <w:sz w:val="22"/>
                <w:lang w:val="sr-Latn-RS" w:bidi="sr-Latn-RS"/>
              </w:rPr>
              <w:t>*</w:t>
            </w:r>
            <w:r w:rsidR="00926926" w:rsidRPr="008F1125">
              <w:rPr>
                <w:rFonts w:ascii="Times New Roman" w:hAnsi="Times New Roman"/>
                <w:sz w:val="22"/>
                <w:lang w:val="sr-Latn-RS" w:bidi="sr-Latn-RS"/>
              </w:rPr>
              <w:t>, pruritus</w:t>
            </w:r>
            <w:r w:rsidR="00851ABB">
              <w:rPr>
                <w:rFonts w:ascii="Times New Roman" w:hAnsi="Times New Roman"/>
                <w:sz w:val="22"/>
                <w:lang w:val="sr-Latn-RS" w:bidi="sr-Latn-RS"/>
              </w:rPr>
              <w:t>*</w:t>
            </w:r>
          </w:p>
        </w:tc>
      </w:tr>
      <w:tr w:rsidR="00F51581" w:rsidRPr="000B529C" w14:paraId="1FB63508"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06"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07" w14:textId="58915FCD" w:rsidR="007D5A8E" w:rsidRPr="008F1125" w:rsidRDefault="00926926" w:rsidP="00183DAF">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pruritični osip</w:t>
            </w:r>
            <w:r w:rsidR="00851ABB">
              <w:rPr>
                <w:rFonts w:ascii="Times New Roman" w:hAnsi="Times New Roman"/>
                <w:sz w:val="22"/>
                <w:lang w:val="sr-Latn-RS" w:bidi="sr-Latn-RS"/>
              </w:rPr>
              <w:t>*</w:t>
            </w:r>
            <w:r w:rsidRPr="008F1125">
              <w:rPr>
                <w:rFonts w:ascii="Times New Roman" w:hAnsi="Times New Roman"/>
                <w:sz w:val="22"/>
                <w:lang w:val="sr-Latn-RS" w:bidi="sr-Latn-RS"/>
              </w:rPr>
              <w:t>, makulopapulozni osip</w:t>
            </w:r>
            <w:r w:rsidR="00851ABB">
              <w:rPr>
                <w:rFonts w:ascii="Times New Roman" w:hAnsi="Times New Roman"/>
                <w:sz w:val="22"/>
                <w:lang w:val="sr-Latn-RS" w:bidi="sr-Latn-RS"/>
              </w:rPr>
              <w:t>*</w:t>
            </w:r>
            <w:r w:rsidRPr="008F1125">
              <w:rPr>
                <w:rFonts w:ascii="Times New Roman" w:hAnsi="Times New Roman"/>
                <w:sz w:val="22"/>
                <w:lang w:val="sr-Latn-RS" w:bidi="sr-Latn-RS"/>
              </w:rPr>
              <w:t>, generalizovani pruritus</w:t>
            </w:r>
            <w:r w:rsidR="00851ABB">
              <w:rPr>
                <w:rFonts w:ascii="Times New Roman" w:hAnsi="Times New Roman"/>
                <w:sz w:val="22"/>
                <w:lang w:val="sr-Latn-RS" w:bidi="sr-Latn-RS"/>
              </w:rPr>
              <w:t>*</w:t>
            </w:r>
            <w:r w:rsidRPr="008F1125">
              <w:rPr>
                <w:rFonts w:ascii="Times New Roman" w:hAnsi="Times New Roman"/>
                <w:sz w:val="22"/>
                <w:lang w:val="sr-Latn-RS" w:bidi="sr-Latn-RS"/>
              </w:rPr>
              <w:t>, akneiformni</w:t>
            </w:r>
            <w:r w:rsidR="00183DAF">
              <w:rPr>
                <w:rFonts w:ascii="Times New Roman" w:hAnsi="Times New Roman"/>
                <w:sz w:val="22"/>
                <w:lang w:val="sr-Latn-RS" w:bidi="sr-Latn-RS"/>
              </w:rPr>
              <w:t xml:space="preserve"> </w:t>
            </w:r>
            <w:r w:rsidRPr="008F1125">
              <w:rPr>
                <w:rFonts w:ascii="Times New Roman" w:hAnsi="Times New Roman"/>
                <w:sz w:val="22"/>
                <w:lang w:val="sr-Latn-RS" w:bidi="sr-Latn-RS"/>
              </w:rPr>
              <w:t>dermatitis, eritem</w:t>
            </w:r>
            <w:r w:rsidR="00851ABB">
              <w:rPr>
                <w:rFonts w:ascii="Times New Roman" w:hAnsi="Times New Roman"/>
                <w:sz w:val="22"/>
                <w:lang w:val="sr-Latn-RS" w:bidi="sr-Latn-RS"/>
              </w:rPr>
              <w:t>*</w:t>
            </w:r>
            <w:r w:rsidRPr="008F1125">
              <w:rPr>
                <w:rFonts w:ascii="Times New Roman" w:hAnsi="Times New Roman"/>
                <w:sz w:val="22"/>
                <w:lang w:val="sr-Latn-RS" w:bidi="sr-Latn-RS"/>
              </w:rPr>
              <w:t>, makularni osip</w:t>
            </w:r>
            <w:r w:rsidR="00851ABB">
              <w:rPr>
                <w:rFonts w:ascii="Times New Roman" w:hAnsi="Times New Roman"/>
                <w:sz w:val="22"/>
                <w:lang w:val="sr-Latn-RS" w:bidi="sr-Latn-RS"/>
              </w:rPr>
              <w:t>*</w:t>
            </w:r>
            <w:r w:rsidRPr="008F1125">
              <w:rPr>
                <w:rFonts w:ascii="Times New Roman" w:hAnsi="Times New Roman"/>
                <w:sz w:val="22"/>
                <w:lang w:val="sr-Latn-RS" w:bidi="sr-Latn-RS"/>
              </w:rPr>
              <w:t>, papularni osip</w:t>
            </w:r>
            <w:r w:rsidR="00851ABB">
              <w:rPr>
                <w:rFonts w:ascii="Times New Roman" w:hAnsi="Times New Roman"/>
                <w:sz w:val="22"/>
                <w:lang w:val="sr-Latn-RS" w:bidi="sr-Latn-RS"/>
              </w:rPr>
              <w:t>*</w:t>
            </w:r>
            <w:r w:rsidRPr="008F1125">
              <w:rPr>
                <w:rFonts w:ascii="Times New Roman" w:hAnsi="Times New Roman"/>
                <w:sz w:val="22"/>
                <w:lang w:val="sr-Latn-RS" w:bidi="sr-Latn-RS"/>
              </w:rPr>
              <w:t>, eritematozni osip</w:t>
            </w:r>
            <w:r w:rsidR="00851ABB">
              <w:rPr>
                <w:rFonts w:ascii="Times New Roman" w:hAnsi="Times New Roman"/>
                <w:sz w:val="22"/>
                <w:lang w:val="sr-Latn-RS" w:bidi="sr-Latn-RS"/>
              </w:rPr>
              <w:t>*</w:t>
            </w:r>
            <w:r w:rsidRPr="008F1125">
              <w:rPr>
                <w:rFonts w:ascii="Times New Roman" w:hAnsi="Times New Roman"/>
                <w:sz w:val="22"/>
                <w:lang w:val="sr-Latn-RS" w:bidi="sr-Latn-RS"/>
              </w:rPr>
              <w:t>, dermatitis</w:t>
            </w:r>
            <w:r w:rsidR="00851ABB">
              <w:rPr>
                <w:rFonts w:ascii="Times New Roman" w:hAnsi="Times New Roman"/>
                <w:sz w:val="22"/>
                <w:lang w:val="sr-Latn-RS" w:bidi="sr-Latn-RS"/>
              </w:rPr>
              <w:t>*</w:t>
            </w:r>
            <w:r w:rsidRPr="008F1125">
              <w:rPr>
                <w:rFonts w:ascii="Times New Roman" w:hAnsi="Times New Roman"/>
                <w:sz w:val="22"/>
                <w:lang w:val="sr-Latn-RS" w:bidi="sr-Latn-RS"/>
              </w:rPr>
              <w:t>, ekcem, generalizovani osip</w:t>
            </w:r>
            <w:r w:rsidR="00851ABB">
              <w:rPr>
                <w:rFonts w:ascii="Times New Roman" w:hAnsi="Times New Roman"/>
                <w:sz w:val="22"/>
                <w:lang w:val="sr-Latn-RS" w:bidi="sr-Latn-RS"/>
              </w:rPr>
              <w:t>*</w:t>
            </w:r>
          </w:p>
        </w:tc>
      </w:tr>
      <w:tr w:rsidR="00F51581" w:rsidRPr="000B529C" w14:paraId="1FB6350B"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09"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0A" w14:textId="433EC9DF"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izbijanje prom</w:t>
            </w:r>
            <w:r w:rsidR="00CB0FF3" w:rsidRPr="008F1125">
              <w:rPr>
                <w:rFonts w:ascii="Times New Roman" w:hAnsi="Times New Roman" w:cs="Times New Roman"/>
                <w:sz w:val="22"/>
                <w:lang w:val="sr-Latn-RS" w:bidi="sr-Latn-RS"/>
              </w:rPr>
              <w:t>j</w:t>
            </w:r>
            <w:r w:rsidRPr="008F1125">
              <w:rPr>
                <w:rFonts w:ascii="Times New Roman" w:hAnsi="Times New Roman" w:cs="Times New Roman"/>
                <w:sz w:val="22"/>
                <w:lang w:val="sr-Latn-RS" w:bidi="sr-Latn-RS"/>
              </w:rPr>
              <w:t xml:space="preserve">ena na koži uzrokovanih </w:t>
            </w:r>
            <w:r w:rsidR="0038574B" w:rsidRPr="008F1125">
              <w:rPr>
                <w:rFonts w:ascii="Times New Roman" w:hAnsi="Times New Roman" w:cs="Times New Roman"/>
                <w:sz w:val="22"/>
                <w:lang w:val="sr-Latn-RS" w:bidi="sr-Latn-RS"/>
              </w:rPr>
              <w:t>lijekom</w:t>
            </w:r>
            <w:r w:rsidR="00851ABB">
              <w:rPr>
                <w:rFonts w:ascii="Times New Roman" w:hAnsi="Times New Roman" w:cs="Times New Roman"/>
                <w:sz w:val="22"/>
                <w:lang w:val="sr-Latn-RS" w:bidi="sr-Latn-RS"/>
              </w:rPr>
              <w:t>*</w:t>
            </w:r>
            <w:r w:rsidRPr="008F1125">
              <w:rPr>
                <w:rFonts w:ascii="Times New Roman" w:hAnsi="Times New Roman" w:cs="Times New Roman"/>
                <w:sz w:val="22"/>
                <w:lang w:val="sr-Latn-RS" w:bidi="sr-Latn-RS"/>
              </w:rPr>
              <w:t>, multiformni eritem</w:t>
            </w:r>
            <w:r w:rsidR="00851ABB">
              <w:rPr>
                <w:rFonts w:ascii="Times New Roman" w:hAnsi="Times New Roman" w:cs="Times New Roman"/>
                <w:sz w:val="22"/>
                <w:lang w:val="sr-Latn-RS" w:bidi="sr-Latn-RS"/>
              </w:rPr>
              <w:t>*</w:t>
            </w:r>
            <w:r w:rsidRPr="008F1125">
              <w:rPr>
                <w:rFonts w:ascii="Times New Roman" w:hAnsi="Times New Roman" w:cs="Times New Roman"/>
                <w:sz w:val="22"/>
                <w:lang w:val="sr-Latn-RS" w:bidi="sr-Latn-RS"/>
              </w:rPr>
              <w:t>, psorijaza</w:t>
            </w:r>
            <w:r w:rsidR="00851ABB">
              <w:rPr>
                <w:rFonts w:ascii="Times New Roman" w:hAnsi="Times New Roman" w:cs="Times New Roman"/>
                <w:sz w:val="22"/>
                <w:lang w:val="sr-Latn-RS" w:bidi="sr-Latn-RS"/>
              </w:rPr>
              <w:t>*</w:t>
            </w:r>
          </w:p>
        </w:tc>
      </w:tr>
      <w:tr w:rsidR="00F51581" w:rsidRPr="000B529C" w14:paraId="1FB6350D"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50C"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mišićno-koštanog sistema i vezivnog tkiva</w:t>
            </w:r>
          </w:p>
        </w:tc>
      </w:tr>
      <w:tr w:rsidR="00F51581" w:rsidRPr="000B529C" w14:paraId="1FB63510"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0E"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0F"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artralgija, bol u leđima, mijalgija</w:t>
            </w:r>
          </w:p>
        </w:tc>
      </w:tr>
      <w:tr w:rsidR="00F51581" w:rsidRPr="003D7D44" w14:paraId="1FB63512"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511"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Poremećaji bubrega i urinarnog sistema</w:t>
            </w:r>
          </w:p>
        </w:tc>
      </w:tr>
      <w:tr w:rsidR="00F51581" w:rsidRPr="008F1125" w14:paraId="1FB6351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13"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14" w14:textId="20FEA19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akutno oštećenje bubrega</w:t>
            </w:r>
            <w:r w:rsidR="00851ABB">
              <w:rPr>
                <w:rFonts w:ascii="Times New Roman" w:hAnsi="Times New Roman"/>
                <w:sz w:val="22"/>
                <w:lang w:val="sr-Latn-RS" w:bidi="sr-Latn-RS"/>
              </w:rPr>
              <w:t>*</w:t>
            </w:r>
          </w:p>
        </w:tc>
      </w:tr>
      <w:tr w:rsidR="00F51581" w:rsidRPr="003D7D44" w14:paraId="1FB63517"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516" w14:textId="48727068"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Opšti poremećaji i reakcije na m</w:t>
            </w:r>
            <w:r w:rsidR="00183DAF">
              <w:rPr>
                <w:rFonts w:ascii="Times New Roman" w:hAnsi="Times New Roman"/>
                <w:b/>
                <w:sz w:val="22"/>
                <w:lang w:val="sr-Latn-RS" w:bidi="sr-Latn-RS"/>
              </w:rPr>
              <w:t>j</w:t>
            </w:r>
            <w:r w:rsidRPr="008F1125">
              <w:rPr>
                <w:rFonts w:ascii="Times New Roman" w:hAnsi="Times New Roman"/>
                <w:b/>
                <w:sz w:val="22"/>
                <w:lang w:val="sr-Latn-RS" w:bidi="sr-Latn-RS"/>
              </w:rPr>
              <w:t>estu prim</w:t>
            </w:r>
            <w:r w:rsidR="00515B67" w:rsidRPr="008F1125">
              <w:rPr>
                <w:rFonts w:ascii="Times New Roman" w:hAnsi="Times New Roman"/>
                <w:b/>
                <w:sz w:val="22"/>
                <w:lang w:val="sr-Latn-RS" w:bidi="sr-Latn-RS"/>
              </w:rPr>
              <w:t>j</w:t>
            </w:r>
            <w:r w:rsidRPr="008F1125">
              <w:rPr>
                <w:rFonts w:ascii="Times New Roman" w:hAnsi="Times New Roman"/>
                <w:b/>
                <w:sz w:val="22"/>
                <w:lang w:val="sr-Latn-RS" w:bidi="sr-Latn-RS"/>
              </w:rPr>
              <w:t>ene</w:t>
            </w:r>
          </w:p>
        </w:tc>
      </w:tr>
      <w:tr w:rsidR="00F51581" w:rsidRPr="008F1125" w14:paraId="1FB6351A"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FB63518"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19"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zamor, drhtavica, astenija pireksija</w:t>
            </w:r>
          </w:p>
        </w:tc>
      </w:tr>
      <w:tr w:rsidR="00F51581" w:rsidRPr="000B529C" w14:paraId="1FB6351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1B"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1C"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periferni edem, simptomi slični gripu</w:t>
            </w:r>
          </w:p>
        </w:tc>
      </w:tr>
      <w:tr w:rsidR="00F51581" w:rsidRPr="008F1125" w14:paraId="1FB6351F"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B6351E"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Ispitivanja</w:t>
            </w:r>
          </w:p>
        </w:tc>
      </w:tr>
      <w:tr w:rsidR="00F51581" w:rsidRPr="000B529C" w14:paraId="1FB63522"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1FB63520"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21" w14:textId="5390CC6F"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 xml:space="preserve">smanjena </w:t>
            </w:r>
            <w:r w:rsidR="00B27CC7" w:rsidRPr="008F1125">
              <w:rPr>
                <w:rFonts w:ascii="Times New Roman" w:hAnsi="Times New Roman"/>
                <w:sz w:val="22"/>
                <w:lang w:val="sr-Latn-RS" w:bidi="sr-Latn-RS"/>
              </w:rPr>
              <w:t>tjelesna masa</w:t>
            </w:r>
            <w:r w:rsidRPr="008F1125">
              <w:rPr>
                <w:rFonts w:ascii="Times New Roman" w:hAnsi="Times New Roman"/>
                <w:sz w:val="22"/>
                <w:lang w:val="sr-Latn-RS" w:bidi="sr-Latn-RS"/>
              </w:rPr>
              <w:t>, povišena alanin aminotransferaza (ALT)</w:t>
            </w:r>
            <w:r w:rsidR="00851ABB">
              <w:rPr>
                <w:rFonts w:ascii="Times New Roman" w:hAnsi="Times New Roman"/>
                <w:sz w:val="22"/>
                <w:lang w:val="sr-Latn-RS" w:bidi="sr-Latn-RS"/>
              </w:rPr>
              <w:t>*</w:t>
            </w:r>
            <w:r w:rsidRPr="008F1125">
              <w:rPr>
                <w:rFonts w:ascii="Times New Roman" w:hAnsi="Times New Roman"/>
                <w:sz w:val="22"/>
                <w:lang w:val="sr-Latn-RS" w:bidi="sr-Latn-RS"/>
              </w:rPr>
              <w:t>, povišena aspartat aminotransferaza (AST)</w:t>
            </w:r>
            <w:r w:rsidR="00851ABB">
              <w:rPr>
                <w:rFonts w:ascii="Times New Roman" w:hAnsi="Times New Roman"/>
                <w:sz w:val="22"/>
                <w:lang w:val="sr-Latn-RS" w:bidi="sr-Latn-RS"/>
              </w:rPr>
              <w:t>*</w:t>
            </w:r>
          </w:p>
        </w:tc>
      </w:tr>
      <w:tr w:rsidR="00F51581" w:rsidRPr="000B529C" w14:paraId="1FB63525"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23"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24" w14:textId="58B05F69"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povišen nivo kreatinina u krvi, povišena amilaza, povišena lipaza, povišena gamaglutamil transferaza, povišen nivo alkalne fosfataze u krvi, povišen nivo kreatin fosfokinaze u krvi</w:t>
            </w:r>
            <w:r w:rsidR="00851ABB">
              <w:rPr>
                <w:rFonts w:ascii="Times New Roman" w:hAnsi="Times New Roman"/>
                <w:sz w:val="22"/>
                <w:lang w:val="sr-Latn-RS" w:bidi="sr-Latn-RS"/>
              </w:rPr>
              <w:t>*</w:t>
            </w:r>
            <w:r w:rsidRPr="008F1125">
              <w:rPr>
                <w:rFonts w:ascii="Times New Roman" w:hAnsi="Times New Roman"/>
                <w:sz w:val="22"/>
                <w:lang w:val="sr-Latn-RS" w:bidi="sr-Latn-RS"/>
              </w:rPr>
              <w:t>, smanjeni nivo tireotropnog hormona u krvi</w:t>
            </w:r>
            <w:r w:rsidR="00851ABB">
              <w:rPr>
                <w:rFonts w:ascii="Times New Roman" w:hAnsi="Times New Roman"/>
                <w:sz w:val="22"/>
                <w:lang w:val="sr-Latn-RS" w:bidi="sr-Latn-RS"/>
              </w:rPr>
              <w:t>*</w:t>
            </w:r>
            <w:r w:rsidRPr="008F1125">
              <w:rPr>
                <w:rFonts w:ascii="Times New Roman" w:hAnsi="Times New Roman"/>
                <w:sz w:val="22"/>
                <w:lang w:val="sr-Latn-RS" w:bidi="sr-Latn-RS"/>
              </w:rPr>
              <w:t>, povišene transaminaze</w:t>
            </w:r>
            <w:r w:rsidR="00851ABB">
              <w:rPr>
                <w:rFonts w:ascii="Times New Roman" w:hAnsi="Times New Roman"/>
                <w:sz w:val="22"/>
                <w:lang w:val="sr-Latn-RS" w:bidi="sr-Latn-RS"/>
              </w:rPr>
              <w:t>*</w:t>
            </w:r>
          </w:p>
        </w:tc>
      </w:tr>
      <w:tr w:rsidR="00F51581" w:rsidRPr="003D7D44" w14:paraId="1FB63528"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26"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Povremeno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27"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lang w:val="sr-Latn-RS" w:bidi="sr-Latn-RS"/>
              </w:rPr>
              <w:t>povišeni rezultati testova funkcije jetre</w:t>
            </w:r>
          </w:p>
        </w:tc>
      </w:tr>
      <w:tr w:rsidR="00F51581" w:rsidRPr="003D7D44" w14:paraId="1FB6352A" w14:textId="77777777" w:rsidTr="001859BD">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B63529" w14:textId="77777777" w:rsidR="007D5A8E" w:rsidRPr="008F1125" w:rsidRDefault="00926926" w:rsidP="00577413">
            <w:pPr>
              <w:pStyle w:val="Tabletext"/>
              <w:keepNext/>
              <w:keepLines w:val="0"/>
              <w:spacing w:before="0" w:after="0"/>
              <w:jc w:val="left"/>
              <w:rPr>
                <w:rFonts w:ascii="Times New Roman" w:hAnsi="Times New Roman"/>
                <w:b/>
                <w:sz w:val="22"/>
                <w:lang w:val="sr-Latn-RS"/>
              </w:rPr>
            </w:pPr>
            <w:r w:rsidRPr="008F1125">
              <w:rPr>
                <w:rFonts w:ascii="Times New Roman" w:hAnsi="Times New Roman"/>
                <w:b/>
                <w:sz w:val="22"/>
                <w:lang w:val="sr-Latn-RS" w:bidi="sr-Latn-RS"/>
              </w:rPr>
              <w:t>Povrede, trovanja i proceduralne komplikacije</w:t>
            </w:r>
          </w:p>
        </w:tc>
      </w:tr>
      <w:tr w:rsidR="00F51581" w:rsidRPr="008F1125" w14:paraId="1FB6352D" w14:textId="77777777" w:rsidTr="001859BD">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tcPr>
          <w:p w14:paraId="1FB6352B" w14:textId="77777777" w:rsidR="007D5A8E" w:rsidRPr="008F1125" w:rsidRDefault="00926926" w:rsidP="00577413">
            <w:pPr>
              <w:pStyle w:val="BalloonText"/>
              <w:rPr>
                <w:rFonts w:ascii="Times New Roman" w:hAnsi="Times New Roman" w:cs="Times New Roman"/>
                <w:sz w:val="22"/>
                <w:szCs w:val="22"/>
                <w:lang w:val="sr-Latn-RS"/>
              </w:rPr>
            </w:pPr>
            <w:r w:rsidRPr="008F1125">
              <w:rPr>
                <w:rFonts w:ascii="Times New Roman" w:hAnsi="Times New Roman" w:cs="Times New Roman"/>
                <w:sz w:val="22"/>
                <w:lang w:val="sr-Latn-RS" w:bidi="sr-Latn-RS"/>
              </w:rPr>
              <w:t>Veoma često</w:t>
            </w:r>
          </w:p>
        </w:tc>
        <w:tc>
          <w:tcPr>
            <w:tcW w:w="3750" w:type="pct"/>
            <w:tcBorders>
              <w:top w:val="single" w:sz="4" w:space="0" w:color="auto"/>
              <w:left w:val="single" w:sz="4" w:space="0" w:color="auto"/>
              <w:bottom w:val="single" w:sz="4" w:space="0" w:color="auto"/>
              <w:right w:val="single" w:sz="4" w:space="0" w:color="auto"/>
            </w:tcBorders>
            <w:shd w:val="clear" w:color="auto" w:fill="auto"/>
          </w:tcPr>
          <w:p w14:paraId="1FB6352C" w14:textId="77777777" w:rsidR="007D5A8E" w:rsidRPr="008F1125" w:rsidRDefault="00926926" w:rsidP="00577413">
            <w:pPr>
              <w:pStyle w:val="Tabletext"/>
              <w:keepLines w:val="0"/>
              <w:spacing w:before="0" w:after="0"/>
              <w:jc w:val="left"/>
              <w:rPr>
                <w:rFonts w:ascii="Times New Roman" w:hAnsi="Times New Roman"/>
                <w:sz w:val="22"/>
                <w:lang w:val="sr-Latn-RS"/>
              </w:rPr>
            </w:pPr>
            <w:r w:rsidRPr="008F1125">
              <w:rPr>
                <w:rFonts w:ascii="Times New Roman" w:hAnsi="Times New Roman"/>
                <w:sz w:val="22"/>
                <w:u w:val="single"/>
                <w:lang w:val="sr-Latn-RS" w:bidi="sr-Latn-RS"/>
              </w:rPr>
              <w:t>Reakcije povezane sa infuzijom</w:t>
            </w:r>
          </w:p>
        </w:tc>
      </w:tr>
    </w:tbl>
    <w:p w14:paraId="3FD64636" w14:textId="77777777" w:rsidR="00851ABB" w:rsidRPr="00131544" w:rsidRDefault="00851ABB" w:rsidP="00851ABB">
      <w:pPr>
        <w:spacing w:before="120"/>
        <w:ind w:left="215"/>
        <w:rPr>
          <w:sz w:val="20"/>
          <w:lang w:val="sr-Latn-RS"/>
        </w:rPr>
      </w:pPr>
      <w:r>
        <w:rPr>
          <w:sz w:val="20"/>
          <w:lang w:val="sr-Latn-RS"/>
        </w:rPr>
        <w:t>*</w:t>
      </w:r>
      <w:r w:rsidRPr="00131544">
        <w:rPr>
          <w:sz w:val="20"/>
          <w:lang w:val="sr-Latn-RS"/>
        </w:rPr>
        <w:t>Imunski</w:t>
      </w:r>
      <w:r w:rsidRPr="00131544">
        <w:rPr>
          <w:spacing w:val="45"/>
          <w:sz w:val="20"/>
          <w:lang w:val="sr-Latn-RS"/>
        </w:rPr>
        <w:t xml:space="preserve"> </w:t>
      </w:r>
      <w:r w:rsidRPr="00131544">
        <w:rPr>
          <w:sz w:val="20"/>
          <w:lang w:val="sr-Latn-RS"/>
        </w:rPr>
        <w:t>posredovana</w:t>
      </w:r>
      <w:r w:rsidRPr="00131544">
        <w:rPr>
          <w:spacing w:val="-2"/>
          <w:sz w:val="20"/>
          <w:lang w:val="sr-Latn-RS"/>
        </w:rPr>
        <w:t xml:space="preserve"> </w:t>
      </w:r>
      <w:r w:rsidRPr="00131544">
        <w:rPr>
          <w:sz w:val="20"/>
          <w:lang w:val="sr-Latn-RS"/>
        </w:rPr>
        <w:t>neželjena</w:t>
      </w:r>
      <w:r w:rsidRPr="00131544">
        <w:rPr>
          <w:spacing w:val="-2"/>
          <w:sz w:val="20"/>
          <w:lang w:val="sr-Latn-RS"/>
        </w:rPr>
        <w:t xml:space="preserve"> </w:t>
      </w:r>
      <w:r w:rsidRPr="00131544">
        <w:rPr>
          <w:sz w:val="20"/>
          <w:lang w:val="sr-Latn-RS"/>
        </w:rPr>
        <w:t>reakcija</w:t>
      </w:r>
      <w:r w:rsidRPr="00131544">
        <w:rPr>
          <w:spacing w:val="-7"/>
          <w:sz w:val="20"/>
          <w:lang w:val="sr-Latn-RS"/>
        </w:rPr>
        <w:t xml:space="preserve"> </w:t>
      </w:r>
      <w:r w:rsidRPr="00131544">
        <w:rPr>
          <w:sz w:val="20"/>
          <w:lang w:val="sr-Latn-RS"/>
        </w:rPr>
        <w:t>na</w:t>
      </w:r>
      <w:r w:rsidRPr="00131544">
        <w:rPr>
          <w:spacing w:val="-2"/>
          <w:sz w:val="20"/>
          <w:lang w:val="sr-Latn-RS"/>
        </w:rPr>
        <w:t xml:space="preserve"> </w:t>
      </w:r>
      <w:r w:rsidRPr="00131544">
        <w:rPr>
          <w:sz w:val="20"/>
          <w:lang w:val="sr-Latn-RS"/>
        </w:rPr>
        <w:t>osnovu</w:t>
      </w:r>
      <w:r w:rsidRPr="00131544">
        <w:rPr>
          <w:spacing w:val="-2"/>
          <w:sz w:val="20"/>
          <w:lang w:val="sr-Latn-RS"/>
        </w:rPr>
        <w:t xml:space="preserve"> </w:t>
      </w:r>
      <w:r w:rsidRPr="00131544">
        <w:rPr>
          <w:sz w:val="20"/>
          <w:lang w:val="sr-Latn-RS"/>
        </w:rPr>
        <w:t>medicinskog</w:t>
      </w:r>
      <w:r w:rsidRPr="00131544">
        <w:rPr>
          <w:spacing w:val="-1"/>
          <w:sz w:val="20"/>
          <w:lang w:val="sr-Latn-RS"/>
        </w:rPr>
        <w:t xml:space="preserve"> </w:t>
      </w:r>
      <w:r w:rsidRPr="00131544">
        <w:rPr>
          <w:sz w:val="20"/>
          <w:lang w:val="sr-Latn-RS"/>
        </w:rPr>
        <w:t>pregleda</w:t>
      </w:r>
    </w:p>
    <w:p w14:paraId="054173B1" w14:textId="77777777" w:rsidR="00704CB1" w:rsidRPr="008F1125" w:rsidRDefault="00704CB1" w:rsidP="001302F7">
      <w:pPr>
        <w:tabs>
          <w:tab w:val="clear" w:pos="567"/>
        </w:tabs>
        <w:autoSpaceDE w:val="0"/>
        <w:autoSpaceDN w:val="0"/>
        <w:adjustRightInd w:val="0"/>
        <w:jc w:val="both"/>
        <w:rPr>
          <w:szCs w:val="22"/>
          <w:lang w:val="sr-Latn-RS"/>
        </w:rPr>
      </w:pPr>
    </w:p>
    <w:p w14:paraId="1FB6352F" w14:textId="77777777" w:rsidR="00E357C6" w:rsidRPr="008F1125" w:rsidRDefault="00926926" w:rsidP="00AE57A4">
      <w:pPr>
        <w:keepNext/>
        <w:keepLines/>
        <w:tabs>
          <w:tab w:val="clear" w:pos="567"/>
        </w:tabs>
        <w:autoSpaceDE w:val="0"/>
        <w:autoSpaceDN w:val="0"/>
        <w:adjustRightInd w:val="0"/>
        <w:jc w:val="both"/>
        <w:rPr>
          <w:szCs w:val="22"/>
          <w:u w:val="single"/>
          <w:lang w:val="sr-Latn-RS"/>
        </w:rPr>
      </w:pPr>
      <w:r w:rsidRPr="008F1125">
        <w:rPr>
          <w:u w:val="single"/>
          <w:lang w:val="sr-Latn-RS" w:bidi="sr-Latn-RS"/>
        </w:rPr>
        <w:t>Opis odabranih neželjenih reakcija</w:t>
      </w:r>
    </w:p>
    <w:p w14:paraId="1FB63530" w14:textId="7CD89CF1" w:rsidR="00A95C6C" w:rsidRPr="008F1125" w:rsidRDefault="00926926" w:rsidP="00AE57A4">
      <w:pPr>
        <w:keepNext/>
        <w:keepLines/>
        <w:tabs>
          <w:tab w:val="clear" w:pos="567"/>
        </w:tabs>
        <w:autoSpaceDE w:val="0"/>
        <w:autoSpaceDN w:val="0"/>
        <w:adjustRightInd w:val="0"/>
        <w:jc w:val="both"/>
        <w:rPr>
          <w:szCs w:val="22"/>
          <w:lang w:val="sr-Latn-RS"/>
        </w:rPr>
      </w:pPr>
      <w:r w:rsidRPr="008F1125">
        <w:rPr>
          <w:lang w:val="sr-Latn-RS" w:bidi="sr-Latn-RS"/>
        </w:rPr>
        <w:t xml:space="preserve">Podaci za imunološki posredovane neželjene reakcije za avelumab kao monoterapiju zasnovane su na </w:t>
      </w:r>
      <w:r w:rsidR="001026B0" w:rsidRPr="008F1125">
        <w:rPr>
          <w:lang w:val="sr-Latn-RS" w:bidi="sr-Latn-RS"/>
        </w:rPr>
        <w:t xml:space="preserve">2082 pacijenta uključujući </w:t>
      </w:r>
      <w:r w:rsidRPr="008F1125">
        <w:rPr>
          <w:lang w:val="sr-Latn-RS" w:bidi="sr-Latn-RS"/>
        </w:rPr>
        <w:t>1650 pacijenata sa solidnim tumorima u ispitivanju EMR100070-001 faze I</w:t>
      </w:r>
      <w:r w:rsidR="00D87DA9" w:rsidRPr="008F1125">
        <w:rPr>
          <w:lang w:val="sr-Latn-RS" w:bidi="sr-Latn-RS"/>
        </w:rPr>
        <w:t>,</w:t>
      </w:r>
      <w:r w:rsidRPr="008F1125">
        <w:rPr>
          <w:lang w:val="sr-Latn-RS" w:bidi="sr-Latn-RS"/>
        </w:rPr>
        <w:t xml:space="preserve"> 88 pacijenata </w:t>
      </w:r>
      <w:r w:rsidR="00D87DA9" w:rsidRPr="008F1125">
        <w:rPr>
          <w:lang w:val="sr-Latn-RS" w:bidi="sr-Latn-RS"/>
        </w:rPr>
        <w:t xml:space="preserve">sa metastatskim karcinomom Merkelovih ćelija </w:t>
      </w:r>
      <w:r w:rsidRPr="008F1125">
        <w:rPr>
          <w:lang w:val="sr-Latn-RS" w:bidi="sr-Latn-RS"/>
        </w:rPr>
        <w:t>u ispitivanju EMR100070-003</w:t>
      </w:r>
      <w:r w:rsidR="00D87DA9" w:rsidRPr="008F1125">
        <w:rPr>
          <w:lang w:val="sr-Latn-RS" w:bidi="sr-Latn-RS"/>
        </w:rPr>
        <w:t xml:space="preserve"> i 344 pacijenta sa urotelijalnim karcinomom u ispitivanju B9991001</w:t>
      </w:r>
      <w:r w:rsidRPr="008F1125">
        <w:rPr>
          <w:lang w:val="sr-Latn-RS" w:bidi="sr-Latn-RS"/>
        </w:rPr>
        <w:t xml:space="preserve">, a za avelumab u kombinaciji sa aksitinibom na 489 pacijenata </w:t>
      </w:r>
      <w:r w:rsidR="003A0C26" w:rsidRPr="008F1125">
        <w:rPr>
          <w:lang w:val="sr-Latn-RS" w:bidi="sr-Latn-RS"/>
        </w:rPr>
        <w:t xml:space="preserve">sa karcinomom bubrežnih ćelija </w:t>
      </w:r>
      <w:r w:rsidRPr="008F1125">
        <w:rPr>
          <w:lang w:val="sr-Latn-RS" w:bidi="sr-Latn-RS"/>
        </w:rPr>
        <w:t>u ispitivanjima B9991002 i B9991003 (</w:t>
      </w:r>
      <w:r w:rsidR="00DD502A" w:rsidRPr="008F1125">
        <w:rPr>
          <w:lang w:val="sr-Latn-RS" w:bidi="sr-Latn-RS"/>
        </w:rPr>
        <w:t>vidjeti dio</w:t>
      </w:r>
      <w:r w:rsidRPr="008F1125">
        <w:rPr>
          <w:lang w:val="sr-Latn-RS" w:bidi="sr-Latn-RS"/>
        </w:rPr>
        <w:t xml:space="preserve"> 5.1).</w:t>
      </w:r>
    </w:p>
    <w:p w14:paraId="1FB63531" w14:textId="77777777" w:rsidR="00A95C6C" w:rsidRPr="008F1125" w:rsidRDefault="00A95C6C" w:rsidP="00AE57A4">
      <w:pPr>
        <w:autoSpaceDE w:val="0"/>
        <w:autoSpaceDN w:val="0"/>
        <w:adjustRightInd w:val="0"/>
        <w:jc w:val="both"/>
        <w:rPr>
          <w:szCs w:val="22"/>
          <w:lang w:val="sr-Latn-RS"/>
        </w:rPr>
      </w:pPr>
    </w:p>
    <w:p w14:paraId="1FB63532" w14:textId="4A3A2B64" w:rsidR="00E357C6" w:rsidRPr="008F1125" w:rsidRDefault="00926926" w:rsidP="00AE57A4">
      <w:pPr>
        <w:tabs>
          <w:tab w:val="clear" w:pos="567"/>
        </w:tabs>
        <w:autoSpaceDE w:val="0"/>
        <w:autoSpaceDN w:val="0"/>
        <w:adjustRightInd w:val="0"/>
        <w:jc w:val="both"/>
        <w:rPr>
          <w:szCs w:val="22"/>
          <w:lang w:val="sr-Latn-RS"/>
        </w:rPr>
      </w:pPr>
      <w:r w:rsidRPr="008F1125">
        <w:rPr>
          <w:lang w:val="sr-Latn-RS" w:bidi="sr-Latn-RS"/>
        </w:rPr>
        <w:t>Detaljne sm</w:t>
      </w:r>
      <w:r w:rsidR="00B80A64" w:rsidRPr="008F1125">
        <w:rPr>
          <w:lang w:val="sr-Latn-RS" w:bidi="sr-Latn-RS"/>
        </w:rPr>
        <w:t>j</w:t>
      </w:r>
      <w:r w:rsidRPr="008F1125">
        <w:rPr>
          <w:lang w:val="sr-Latn-RS" w:bidi="sr-Latn-RS"/>
        </w:rPr>
        <w:t xml:space="preserve">ernice za zbrinjavanje imunološki </w:t>
      </w:r>
      <w:r w:rsidR="00851ABB">
        <w:rPr>
          <w:lang w:val="sr-Latn-RS" w:bidi="sr-Latn-RS"/>
        </w:rPr>
        <w:t>posredovanih</w:t>
      </w:r>
      <w:r w:rsidR="00851ABB" w:rsidRPr="008F1125">
        <w:rPr>
          <w:lang w:val="sr-Latn-RS" w:bidi="sr-Latn-RS"/>
        </w:rPr>
        <w:t xml:space="preserve"> </w:t>
      </w:r>
      <w:r w:rsidRPr="008F1125">
        <w:rPr>
          <w:lang w:val="sr-Latn-RS" w:bidi="sr-Latn-RS"/>
        </w:rPr>
        <w:t xml:space="preserve">neželjenih reakcija opisane su u </w:t>
      </w:r>
      <w:r w:rsidR="009878A2">
        <w:rPr>
          <w:lang w:val="sr-Latn-RS" w:bidi="sr-Latn-RS"/>
        </w:rPr>
        <w:t>dijelu</w:t>
      </w:r>
      <w:r w:rsidRPr="008F1125">
        <w:rPr>
          <w:lang w:val="sr-Latn-RS" w:bidi="sr-Latn-RS"/>
        </w:rPr>
        <w:t>u 4.4.</w:t>
      </w:r>
    </w:p>
    <w:p w14:paraId="1FB63533" w14:textId="77777777" w:rsidR="00282B55" w:rsidRPr="008F1125" w:rsidRDefault="00282B55" w:rsidP="00AE57A4">
      <w:pPr>
        <w:tabs>
          <w:tab w:val="clear" w:pos="567"/>
        </w:tabs>
        <w:autoSpaceDE w:val="0"/>
        <w:autoSpaceDN w:val="0"/>
        <w:adjustRightInd w:val="0"/>
        <w:jc w:val="both"/>
        <w:rPr>
          <w:iCs/>
          <w:szCs w:val="22"/>
          <w:lang w:val="sr-Latn-RS"/>
        </w:rPr>
      </w:pPr>
    </w:p>
    <w:p w14:paraId="1FB63534" w14:textId="77777777" w:rsidR="00125FA2" w:rsidRPr="008F1125" w:rsidRDefault="00926926" w:rsidP="00AE57A4">
      <w:pPr>
        <w:keepNext/>
        <w:keepLines/>
        <w:tabs>
          <w:tab w:val="clear" w:pos="567"/>
        </w:tabs>
        <w:autoSpaceDE w:val="0"/>
        <w:autoSpaceDN w:val="0"/>
        <w:adjustRightInd w:val="0"/>
        <w:jc w:val="both"/>
        <w:rPr>
          <w:rFonts w:eastAsia="TimesNewRoman"/>
          <w:i/>
          <w:szCs w:val="22"/>
          <w:u w:val="single"/>
          <w:lang w:val="sr-Latn-RS" w:eastAsia="en-GB"/>
        </w:rPr>
      </w:pPr>
      <w:r w:rsidRPr="008F1125">
        <w:rPr>
          <w:i/>
          <w:u w:val="single"/>
          <w:lang w:val="sr-Latn-RS" w:bidi="sr-Latn-RS"/>
        </w:rPr>
        <w:lastRenderedPageBreak/>
        <w:t>Imunološki posredovan pneumonitis</w:t>
      </w:r>
    </w:p>
    <w:p w14:paraId="1FB63535" w14:textId="7930A105" w:rsidR="00FD5E16" w:rsidRPr="008F1125" w:rsidRDefault="00926926" w:rsidP="00AE57A4">
      <w:pPr>
        <w:keepNext/>
        <w:keepLines/>
        <w:jc w:val="both"/>
        <w:rPr>
          <w:szCs w:val="22"/>
          <w:lang w:val="sr-Latn-RS"/>
        </w:rPr>
      </w:pPr>
      <w:r w:rsidRPr="008F1125">
        <w:rPr>
          <w:lang w:val="sr-Latn-RS" w:bidi="sr-Latn-RS"/>
        </w:rPr>
        <w:t xml:space="preserve">Kod pacijenata koji su primali avelumab kao monoterapiju, </w:t>
      </w:r>
      <w:r w:rsidR="00032624" w:rsidRPr="008F1125">
        <w:rPr>
          <w:lang w:val="sr-Latn-RS" w:bidi="sr-Latn-RS"/>
        </w:rPr>
        <w:t>1,3</w:t>
      </w:r>
      <w:r w:rsidRPr="008F1125">
        <w:rPr>
          <w:lang w:val="sr-Latn-RS" w:bidi="sr-Latn-RS"/>
        </w:rPr>
        <w:t>% (2</w:t>
      </w:r>
      <w:r w:rsidR="00032624" w:rsidRPr="008F1125">
        <w:rPr>
          <w:lang w:val="sr-Latn-RS" w:bidi="sr-Latn-RS"/>
        </w:rPr>
        <w:t>8</w:t>
      </w:r>
      <w:r w:rsidRPr="008F1125">
        <w:rPr>
          <w:lang w:val="sr-Latn-RS" w:bidi="sr-Latn-RS"/>
        </w:rPr>
        <w:t>/</w:t>
      </w:r>
      <w:r w:rsidR="00032624" w:rsidRPr="008F1125">
        <w:rPr>
          <w:lang w:val="sr-Latn-RS" w:bidi="sr-Latn-RS"/>
        </w:rPr>
        <w:t>2082</w:t>
      </w:r>
      <w:r w:rsidRPr="008F1125">
        <w:rPr>
          <w:lang w:val="sr-Latn-RS" w:bidi="sr-Latn-RS"/>
        </w:rPr>
        <w:t>) pacijenata razvilo je imunološki posredovan pneumonitis. Među njima je bio 1 (</w:t>
      </w:r>
      <w:r w:rsidR="00032624" w:rsidRPr="008F1125">
        <w:rPr>
          <w:lang w:val="sr-Latn-RS" w:bidi="sr-Latn-RS"/>
        </w:rPr>
        <w:t xml:space="preserve">manje od </w:t>
      </w:r>
      <w:r w:rsidRPr="008F1125">
        <w:rPr>
          <w:lang w:val="sr-Latn-RS" w:bidi="sr-Latn-RS"/>
        </w:rPr>
        <w:t>0,1%) pacijent sa smrtnim ishodom, 1 (</w:t>
      </w:r>
      <w:r w:rsidR="00032624" w:rsidRPr="008F1125">
        <w:rPr>
          <w:lang w:val="sr-Latn-RS" w:bidi="sr-Latn-RS"/>
        </w:rPr>
        <w:t xml:space="preserve">manje od </w:t>
      </w:r>
      <w:r w:rsidRPr="008F1125">
        <w:rPr>
          <w:lang w:val="sr-Latn-RS" w:bidi="sr-Latn-RS"/>
        </w:rPr>
        <w:t xml:space="preserve">0,1%) pacijent sa imunološki posredovanim pneumonitisom 4. stepena i </w:t>
      </w:r>
      <w:r w:rsidR="009E4857" w:rsidRPr="008F1125">
        <w:rPr>
          <w:lang w:val="sr-Latn-RS" w:bidi="sr-Latn-RS"/>
        </w:rPr>
        <w:t>6</w:t>
      </w:r>
      <w:r w:rsidRPr="008F1125">
        <w:rPr>
          <w:lang w:val="sr-Latn-RS" w:bidi="sr-Latn-RS"/>
        </w:rPr>
        <w:t xml:space="preserve"> (0,3%) pacijenata sa imunološki posredovanim pneumonitisom 3. stepena.</w:t>
      </w:r>
    </w:p>
    <w:p w14:paraId="1FB63536" w14:textId="77777777" w:rsidR="00FD5E16" w:rsidRPr="008F1125" w:rsidRDefault="00FD5E16" w:rsidP="00AE57A4">
      <w:pPr>
        <w:jc w:val="both"/>
        <w:rPr>
          <w:szCs w:val="22"/>
          <w:lang w:val="sr-Latn-RS" w:eastAsia="en-GB"/>
        </w:rPr>
      </w:pPr>
    </w:p>
    <w:p w14:paraId="1FB63537" w14:textId="421B8D09" w:rsidR="00FD5E16" w:rsidRPr="008F1125" w:rsidRDefault="00926926" w:rsidP="00AE57A4">
      <w:pPr>
        <w:jc w:val="both"/>
        <w:rPr>
          <w:szCs w:val="22"/>
          <w:lang w:val="sr-Latn-RS" w:eastAsia="en-GB"/>
        </w:rPr>
      </w:pPr>
      <w:r w:rsidRPr="008F1125">
        <w:rPr>
          <w:lang w:val="sr-Latn-RS" w:bidi="sr-Latn-RS"/>
        </w:rPr>
        <w:t xml:space="preserve">Medijana vremena do nastupa imunološki posredovanog pneumonitisa iznosila je 2,5 </w:t>
      </w:r>
      <w:r w:rsidR="00B27CC7" w:rsidRPr="008F1125">
        <w:rPr>
          <w:lang w:val="sr-Latn-RS" w:bidi="sr-Latn-RS"/>
        </w:rPr>
        <w:t>mjeseci</w:t>
      </w:r>
      <w:r w:rsidRPr="008F1125">
        <w:rPr>
          <w:lang w:val="sr-Latn-RS" w:bidi="sr-Latn-RS"/>
        </w:rPr>
        <w:t xml:space="preserve"> (raspon:  od 3 dana do 1</w:t>
      </w:r>
      <w:r w:rsidR="00852EF1" w:rsidRPr="008F1125">
        <w:rPr>
          <w:lang w:val="sr-Latn-RS" w:bidi="sr-Latn-RS"/>
        </w:rPr>
        <w:t>3,8</w:t>
      </w:r>
      <w:r w:rsidRPr="008F1125">
        <w:rPr>
          <w:lang w:val="sr-Latn-RS" w:bidi="sr-Latn-RS"/>
        </w:rPr>
        <w:t xml:space="preserve"> </w:t>
      </w:r>
      <w:r w:rsidR="00B27CC7" w:rsidRPr="008F1125">
        <w:rPr>
          <w:lang w:val="sr-Latn-RS" w:bidi="sr-Latn-RS"/>
        </w:rPr>
        <w:t>mjeseci</w:t>
      </w:r>
      <w:r w:rsidRPr="008F1125">
        <w:rPr>
          <w:lang w:val="sr-Latn-RS" w:bidi="sr-Latn-RS"/>
        </w:rPr>
        <w:t xml:space="preserve">). Medijana trajanja iznosila je </w:t>
      </w:r>
      <w:r w:rsidR="00852EF1" w:rsidRPr="008F1125">
        <w:rPr>
          <w:lang w:val="sr-Latn-RS" w:bidi="sr-Latn-RS"/>
        </w:rPr>
        <w:t>8,1 nedelju</w:t>
      </w:r>
      <w:r w:rsidRPr="008F1125">
        <w:rPr>
          <w:lang w:val="sr-Latn-RS" w:bidi="sr-Latn-RS"/>
        </w:rPr>
        <w:t xml:space="preserve"> (raspon:  od 4 dana do više od 4</w:t>
      </w:r>
      <w:r w:rsidR="00852EF1" w:rsidRPr="008F1125">
        <w:rPr>
          <w:lang w:val="sr-Latn-RS" w:bidi="sr-Latn-RS"/>
        </w:rPr>
        <w:t xml:space="preserve">,9 </w:t>
      </w:r>
      <w:r w:rsidR="00B27CC7" w:rsidRPr="008F1125">
        <w:rPr>
          <w:lang w:val="sr-Latn-RS" w:bidi="sr-Latn-RS"/>
        </w:rPr>
        <w:t>mjeseci</w:t>
      </w:r>
      <w:r w:rsidRPr="008F1125">
        <w:rPr>
          <w:lang w:val="sr-Latn-RS" w:bidi="sr-Latn-RS"/>
        </w:rPr>
        <w:t>).</w:t>
      </w:r>
    </w:p>
    <w:p w14:paraId="1FB63538" w14:textId="77777777" w:rsidR="00FD5E16" w:rsidRPr="008F1125" w:rsidRDefault="00FD5E16" w:rsidP="00AE57A4">
      <w:pPr>
        <w:jc w:val="both"/>
        <w:rPr>
          <w:szCs w:val="22"/>
          <w:lang w:val="sr-Latn-RS" w:eastAsia="en-GB"/>
        </w:rPr>
      </w:pPr>
    </w:p>
    <w:p w14:paraId="1FB63539" w14:textId="5755B523" w:rsidR="00FD5E16" w:rsidRPr="008F1125" w:rsidRDefault="00926926" w:rsidP="00AE57A4">
      <w:pPr>
        <w:tabs>
          <w:tab w:val="clear" w:pos="567"/>
        </w:tabs>
        <w:autoSpaceDE w:val="0"/>
        <w:autoSpaceDN w:val="0"/>
        <w:adjustRightInd w:val="0"/>
        <w:jc w:val="both"/>
        <w:rPr>
          <w:rFonts w:eastAsia="TimesNewRoman"/>
          <w:i/>
          <w:iCs/>
          <w:szCs w:val="22"/>
          <w:u w:val="single"/>
          <w:lang w:val="sr-Latn-RS" w:eastAsia="en-GB"/>
        </w:rPr>
      </w:pPr>
      <w:r w:rsidRPr="008F1125">
        <w:rPr>
          <w:lang w:val="sr-Latn-RS" w:bidi="sr-Latn-RS"/>
        </w:rPr>
        <w:t>Prim</w:t>
      </w:r>
      <w:r w:rsidR="00515B67" w:rsidRPr="008F1125">
        <w:rPr>
          <w:lang w:val="sr-Latn-RS" w:bidi="sr-Latn-RS"/>
        </w:rPr>
        <w:t>j</w:t>
      </w:r>
      <w:r w:rsidRPr="008F1125">
        <w:rPr>
          <w:lang w:val="sr-Latn-RS" w:bidi="sr-Latn-RS"/>
        </w:rPr>
        <w:t>ena avelumaba prekinuta je zbog imunološki posredovanog pneumonitisa kod 0,</w:t>
      </w:r>
      <w:r w:rsidR="00076DA6" w:rsidRPr="008F1125">
        <w:rPr>
          <w:lang w:val="sr-Latn-RS" w:bidi="sr-Latn-RS"/>
        </w:rPr>
        <w:t>4</w:t>
      </w:r>
      <w:r w:rsidRPr="008F1125">
        <w:rPr>
          <w:lang w:val="sr-Latn-RS" w:bidi="sr-Latn-RS"/>
        </w:rPr>
        <w:t>% (</w:t>
      </w:r>
      <w:r w:rsidR="00076DA6" w:rsidRPr="008F1125">
        <w:rPr>
          <w:lang w:val="sr-Latn-RS" w:bidi="sr-Latn-RS"/>
        </w:rPr>
        <w:t>9</w:t>
      </w:r>
      <w:r w:rsidRPr="008F1125">
        <w:rPr>
          <w:lang w:val="sr-Latn-RS" w:bidi="sr-Latn-RS"/>
        </w:rPr>
        <w:t>/</w:t>
      </w:r>
      <w:r w:rsidR="00076DA6" w:rsidRPr="008F1125">
        <w:rPr>
          <w:lang w:val="sr-Latn-RS" w:bidi="sr-Latn-RS"/>
        </w:rPr>
        <w:t>2082</w:t>
      </w:r>
      <w:r w:rsidRPr="008F1125">
        <w:rPr>
          <w:lang w:val="sr-Latn-RS" w:bidi="sr-Latn-RS"/>
        </w:rPr>
        <w:t>) pacijenata. Svi pacijenti, kojih je bilo 2</w:t>
      </w:r>
      <w:r w:rsidR="00076DA6" w:rsidRPr="008F1125">
        <w:rPr>
          <w:lang w:val="sr-Latn-RS" w:bidi="sr-Latn-RS"/>
        </w:rPr>
        <w:t>8</w:t>
      </w:r>
      <w:r w:rsidRPr="008F1125">
        <w:rPr>
          <w:lang w:val="sr-Latn-RS" w:bidi="sr-Latn-RS"/>
        </w:rPr>
        <w:t>, sa imunološki posredovanim pneumonitisom,</w:t>
      </w:r>
      <w:r w:rsidR="00076DA6" w:rsidRPr="008F1125">
        <w:rPr>
          <w:lang w:val="sr-Latn-RS" w:bidi="sr-Latn-RS"/>
        </w:rPr>
        <w:t xml:space="preserve"> primali su kortikosteroide, a 21</w:t>
      </w:r>
      <w:r w:rsidRPr="008F1125">
        <w:rPr>
          <w:lang w:val="sr-Latn-RS" w:bidi="sr-Latn-RS"/>
        </w:rPr>
        <w:t xml:space="preserve"> (</w:t>
      </w:r>
      <w:r w:rsidR="00076DA6" w:rsidRPr="008F1125">
        <w:rPr>
          <w:lang w:val="sr-Latn-RS" w:bidi="sr-Latn-RS"/>
        </w:rPr>
        <w:t>75</w:t>
      </w:r>
      <w:r w:rsidR="00CF78E9" w:rsidRPr="008F1125">
        <w:rPr>
          <w:lang w:val="sr-Latn-RS" w:bidi="sr-Latn-RS"/>
        </w:rPr>
        <w:t>%) pacijent</w:t>
      </w:r>
      <w:r w:rsidRPr="008F1125">
        <w:rPr>
          <w:lang w:val="sr-Latn-RS" w:bidi="sr-Latn-RS"/>
        </w:rPr>
        <w:t xml:space="preserve"> od ukupno 2</w:t>
      </w:r>
      <w:r w:rsidR="000F3EDD" w:rsidRPr="008F1125">
        <w:rPr>
          <w:lang w:val="sr-Latn-RS" w:bidi="sr-Latn-RS"/>
        </w:rPr>
        <w:t>8</w:t>
      </w:r>
      <w:r w:rsidRPr="008F1125">
        <w:rPr>
          <w:lang w:val="sr-Latn-RS" w:bidi="sr-Latn-RS"/>
        </w:rPr>
        <w:t xml:space="preserve"> primalo je visoku dozu kortikosteroida tokom medijane od </w:t>
      </w:r>
      <w:r w:rsidR="000F3EDD" w:rsidRPr="008F1125">
        <w:rPr>
          <w:lang w:val="sr-Latn-RS" w:bidi="sr-Latn-RS"/>
        </w:rPr>
        <w:t>9</w:t>
      </w:r>
      <w:r w:rsidRPr="008F1125">
        <w:rPr>
          <w:lang w:val="sr-Latn-RS" w:bidi="sr-Latn-RS"/>
        </w:rPr>
        <w:t xml:space="preserve"> dana (raspon:  od 1 dana do 2,3 meseca). Imunološki posredov</w:t>
      </w:r>
      <w:r w:rsidR="000F3EDD" w:rsidRPr="008F1125">
        <w:rPr>
          <w:lang w:val="sr-Latn-RS" w:bidi="sr-Latn-RS"/>
        </w:rPr>
        <w:t>an pneumonitis povukao se kod 18</w:t>
      </w:r>
      <w:r w:rsidRPr="008F1125">
        <w:rPr>
          <w:lang w:val="sr-Latn-RS" w:bidi="sr-Latn-RS"/>
        </w:rPr>
        <w:t xml:space="preserve"> (</w:t>
      </w:r>
      <w:r w:rsidR="000F3EDD" w:rsidRPr="008F1125">
        <w:rPr>
          <w:lang w:val="sr-Latn-RS" w:bidi="sr-Latn-RS"/>
        </w:rPr>
        <w:t>64,3</w:t>
      </w:r>
      <w:r w:rsidRPr="008F1125">
        <w:rPr>
          <w:lang w:val="sr-Latn-RS" w:bidi="sr-Latn-RS"/>
        </w:rPr>
        <w:t>%) od 2</w:t>
      </w:r>
      <w:r w:rsidR="000F3EDD" w:rsidRPr="008F1125">
        <w:rPr>
          <w:lang w:val="sr-Latn-RS" w:bidi="sr-Latn-RS"/>
        </w:rPr>
        <w:t>8</w:t>
      </w:r>
      <w:r w:rsidRPr="008F1125">
        <w:rPr>
          <w:lang w:val="sr-Latn-RS" w:bidi="sr-Latn-RS"/>
        </w:rPr>
        <w:t xml:space="preserve"> pacijen</w:t>
      </w:r>
      <w:r w:rsidR="000F3EDD" w:rsidRPr="008F1125">
        <w:rPr>
          <w:lang w:val="sr-Latn-RS" w:bidi="sr-Latn-RS"/>
        </w:rPr>
        <w:t>a</w:t>
      </w:r>
      <w:r w:rsidRPr="008F1125">
        <w:rPr>
          <w:lang w:val="sr-Latn-RS" w:bidi="sr-Latn-RS"/>
        </w:rPr>
        <w:t>ta u vr</w:t>
      </w:r>
      <w:r w:rsidR="00E74CD9" w:rsidRPr="008F1125">
        <w:rPr>
          <w:lang w:val="sr-Latn-RS" w:bidi="sr-Latn-RS"/>
        </w:rPr>
        <w:t>ij</w:t>
      </w:r>
      <w:r w:rsidRPr="008F1125">
        <w:rPr>
          <w:lang w:val="sr-Latn-RS" w:bidi="sr-Latn-RS"/>
        </w:rPr>
        <w:t>eme prestanka prikupljanja podataka.</w:t>
      </w:r>
    </w:p>
    <w:p w14:paraId="1FB6353A" w14:textId="77777777" w:rsidR="00FD5E16" w:rsidRPr="008F1125" w:rsidRDefault="00FD5E16" w:rsidP="00AE57A4">
      <w:pPr>
        <w:tabs>
          <w:tab w:val="clear" w:pos="567"/>
        </w:tabs>
        <w:autoSpaceDE w:val="0"/>
        <w:autoSpaceDN w:val="0"/>
        <w:adjustRightInd w:val="0"/>
        <w:jc w:val="both"/>
        <w:rPr>
          <w:rFonts w:eastAsia="TimesNewRoman"/>
          <w:szCs w:val="22"/>
          <w:lang w:val="sr-Latn-RS" w:eastAsia="en-GB"/>
        </w:rPr>
      </w:pPr>
    </w:p>
    <w:p w14:paraId="1FB6353B" w14:textId="77777777" w:rsidR="00CC2596" w:rsidRPr="008F1125" w:rsidRDefault="00926926" w:rsidP="00AE57A4">
      <w:pPr>
        <w:jc w:val="both"/>
        <w:rPr>
          <w:szCs w:val="22"/>
          <w:lang w:val="sr-Latn-RS"/>
        </w:rPr>
      </w:pPr>
      <w:r w:rsidRPr="008F1125">
        <w:rPr>
          <w:lang w:val="sr-Latn-RS" w:bidi="sr-Latn-RS"/>
        </w:rPr>
        <w:t>Kod pacijenata na terapiji avelumabom u kombinaciji sa aksitinibom, 0,6% (3/489) pacijenata razvilo je imunološki posredovan pneumonitis. Među njima nijedan nije imao imunološki posredovan pneumonitis ≥ 3. stepena.</w:t>
      </w:r>
    </w:p>
    <w:p w14:paraId="1FB6353C" w14:textId="77777777" w:rsidR="00CC2596" w:rsidRPr="008F1125" w:rsidRDefault="00CC2596" w:rsidP="00AE57A4">
      <w:pPr>
        <w:jc w:val="both"/>
        <w:rPr>
          <w:szCs w:val="22"/>
          <w:lang w:val="sr-Latn-RS"/>
        </w:rPr>
      </w:pPr>
    </w:p>
    <w:p w14:paraId="1FB6353D" w14:textId="7594C363" w:rsidR="00CC2596" w:rsidRPr="008F1125" w:rsidRDefault="00926926" w:rsidP="00AE57A4">
      <w:pPr>
        <w:jc w:val="both"/>
        <w:rPr>
          <w:szCs w:val="22"/>
          <w:lang w:val="sr-Latn-RS"/>
        </w:rPr>
      </w:pPr>
      <w:r w:rsidRPr="008F1125">
        <w:rPr>
          <w:lang w:val="sr-Latn-RS" w:bidi="sr-Latn-RS"/>
        </w:rPr>
        <w:t xml:space="preserve">Medijana vremena do nastupa imunološki posredovanog pneumonitisa iznosila je 3,7 </w:t>
      </w:r>
      <w:r w:rsidR="00B27CC7" w:rsidRPr="008F1125">
        <w:rPr>
          <w:lang w:val="sr-Latn-RS" w:bidi="sr-Latn-RS"/>
        </w:rPr>
        <w:t>mjeseci</w:t>
      </w:r>
      <w:r w:rsidRPr="008F1125">
        <w:rPr>
          <w:lang w:val="sr-Latn-RS" w:bidi="sr-Latn-RS"/>
        </w:rPr>
        <w:t xml:space="preserve"> (raspon:  od 2,7 </w:t>
      </w:r>
      <w:r w:rsidR="00B27CC7" w:rsidRPr="008F1125">
        <w:rPr>
          <w:lang w:val="sr-Latn-RS" w:bidi="sr-Latn-RS"/>
        </w:rPr>
        <w:t>mjeseci</w:t>
      </w:r>
      <w:r w:rsidRPr="008F1125">
        <w:rPr>
          <w:lang w:val="sr-Latn-RS" w:bidi="sr-Latn-RS"/>
        </w:rPr>
        <w:t xml:space="preserve"> do 8,6 </w:t>
      </w:r>
      <w:r w:rsidR="00B27CC7" w:rsidRPr="008F1125">
        <w:rPr>
          <w:lang w:val="sr-Latn-RS" w:bidi="sr-Latn-RS"/>
        </w:rPr>
        <w:t>mjeseci</w:t>
      </w:r>
      <w:r w:rsidRPr="008F1125">
        <w:rPr>
          <w:lang w:val="sr-Latn-RS" w:bidi="sr-Latn-RS"/>
        </w:rPr>
        <w:t xml:space="preserve">). Medijana trajanja iznosila je 2,6 </w:t>
      </w:r>
      <w:r w:rsidR="00B27CC7" w:rsidRPr="008F1125">
        <w:rPr>
          <w:lang w:val="sr-Latn-RS" w:bidi="sr-Latn-RS"/>
        </w:rPr>
        <w:t>mjeseci</w:t>
      </w:r>
      <w:r w:rsidRPr="008F1125">
        <w:rPr>
          <w:lang w:val="sr-Latn-RS" w:bidi="sr-Latn-RS"/>
        </w:rPr>
        <w:t xml:space="preserve"> (raspon:  od 3,3 ned</w:t>
      </w:r>
      <w:r w:rsidR="006A5A68">
        <w:rPr>
          <w:lang w:val="sr-Latn-RS" w:bidi="sr-Latn-RS"/>
        </w:rPr>
        <w:t>j</w:t>
      </w:r>
      <w:r w:rsidRPr="008F1125">
        <w:rPr>
          <w:lang w:val="sr-Latn-RS" w:bidi="sr-Latn-RS"/>
        </w:rPr>
        <w:t xml:space="preserve">elje do više od 7,9 </w:t>
      </w:r>
      <w:r w:rsidR="00B27CC7" w:rsidRPr="008F1125">
        <w:rPr>
          <w:lang w:val="sr-Latn-RS" w:bidi="sr-Latn-RS"/>
        </w:rPr>
        <w:t>mjeseci</w:t>
      </w:r>
      <w:r w:rsidRPr="008F1125">
        <w:rPr>
          <w:lang w:val="sr-Latn-RS" w:bidi="sr-Latn-RS"/>
        </w:rPr>
        <w:t>).</w:t>
      </w:r>
    </w:p>
    <w:p w14:paraId="1FB6353E" w14:textId="77777777" w:rsidR="00CC2596" w:rsidRPr="008F1125" w:rsidRDefault="00CC2596" w:rsidP="00AE57A4">
      <w:pPr>
        <w:jc w:val="both"/>
        <w:rPr>
          <w:szCs w:val="22"/>
          <w:lang w:val="sr-Latn-RS"/>
        </w:rPr>
      </w:pPr>
    </w:p>
    <w:p w14:paraId="1FB6353F" w14:textId="4E507136" w:rsidR="00CC2596" w:rsidRPr="008F1125" w:rsidRDefault="00926926" w:rsidP="00AE57A4">
      <w:pPr>
        <w:tabs>
          <w:tab w:val="clear" w:pos="567"/>
        </w:tabs>
        <w:autoSpaceDE w:val="0"/>
        <w:autoSpaceDN w:val="0"/>
        <w:adjustRightInd w:val="0"/>
        <w:jc w:val="both"/>
        <w:rPr>
          <w:szCs w:val="22"/>
          <w:lang w:val="sr-Latn-RS" w:eastAsia="en-GB"/>
        </w:rPr>
      </w:pPr>
      <w:r w:rsidRPr="008F1125">
        <w:rPr>
          <w:lang w:val="sr-Latn-RS" w:bidi="sr-Latn-RS"/>
        </w:rPr>
        <w:t>Imunološki posredovan pneumonitis nije doveo do prekida prim</w:t>
      </w:r>
      <w:r w:rsidR="00515B67" w:rsidRPr="008F1125">
        <w:rPr>
          <w:lang w:val="sr-Latn-RS" w:bidi="sr-Latn-RS"/>
        </w:rPr>
        <w:t>j</w:t>
      </w:r>
      <w:r w:rsidRPr="008F1125">
        <w:rPr>
          <w:lang w:val="sr-Latn-RS" w:bidi="sr-Latn-RS"/>
        </w:rPr>
        <w:t>ene avelumaba ni kod jednog pacijenta. Sva 3 pacijenta sa imunološki posredovanim pneumonitisom bila su l</w:t>
      </w:r>
      <w:r w:rsidR="009E59CF">
        <w:rPr>
          <w:lang w:val="sr-Latn-RS" w:bidi="sr-Latn-RS"/>
        </w:rPr>
        <w:t>ij</w:t>
      </w:r>
      <w:r w:rsidRPr="008F1125">
        <w:rPr>
          <w:lang w:val="sr-Latn-RS" w:bidi="sr-Latn-RS"/>
        </w:rPr>
        <w:t>ečena visokom dozom kortikosteroida tokom medijane od 3,3 m</w:t>
      </w:r>
      <w:r w:rsidR="009E59CF">
        <w:rPr>
          <w:lang w:val="sr-Latn-RS" w:bidi="sr-Latn-RS"/>
        </w:rPr>
        <w:t>j</w:t>
      </w:r>
      <w:r w:rsidRPr="008F1125">
        <w:rPr>
          <w:lang w:val="sr-Latn-RS" w:bidi="sr-Latn-RS"/>
        </w:rPr>
        <w:t>eseca (raspon:  od 3 ned</w:t>
      </w:r>
      <w:r w:rsidR="009E59CF">
        <w:rPr>
          <w:lang w:val="sr-Latn-RS" w:bidi="sr-Latn-RS"/>
        </w:rPr>
        <w:t>j</w:t>
      </w:r>
      <w:r w:rsidRPr="008F1125">
        <w:rPr>
          <w:lang w:val="sr-Latn-RS" w:bidi="sr-Latn-RS"/>
        </w:rPr>
        <w:t>elje do 22,3 m</w:t>
      </w:r>
      <w:r w:rsidR="009E59CF">
        <w:rPr>
          <w:lang w:val="sr-Latn-RS" w:bidi="sr-Latn-RS"/>
        </w:rPr>
        <w:t>j</w:t>
      </w:r>
      <w:r w:rsidRPr="008F1125">
        <w:rPr>
          <w:lang w:val="sr-Latn-RS" w:bidi="sr-Latn-RS"/>
        </w:rPr>
        <w:t>eseca). Imunološki posredovan pneumonitis povukao se kod 2 (66,7%) od 3 pacijenta u vr</w:t>
      </w:r>
      <w:r w:rsidR="00E74CD9" w:rsidRPr="008F1125">
        <w:rPr>
          <w:lang w:val="sr-Latn-RS" w:bidi="sr-Latn-RS"/>
        </w:rPr>
        <w:t>ij</w:t>
      </w:r>
      <w:r w:rsidRPr="008F1125">
        <w:rPr>
          <w:lang w:val="sr-Latn-RS" w:bidi="sr-Latn-RS"/>
        </w:rPr>
        <w:t>eme prestanka prikupljanja podataka.</w:t>
      </w:r>
    </w:p>
    <w:p w14:paraId="1FB63540" w14:textId="77777777" w:rsidR="00CC2596" w:rsidRPr="008F1125" w:rsidRDefault="00CC2596" w:rsidP="00AE57A4">
      <w:pPr>
        <w:tabs>
          <w:tab w:val="clear" w:pos="567"/>
        </w:tabs>
        <w:autoSpaceDE w:val="0"/>
        <w:autoSpaceDN w:val="0"/>
        <w:adjustRightInd w:val="0"/>
        <w:jc w:val="both"/>
        <w:rPr>
          <w:rFonts w:eastAsia="TimesNewRoman"/>
          <w:szCs w:val="22"/>
          <w:lang w:val="sr-Latn-RS" w:eastAsia="en-GB"/>
        </w:rPr>
      </w:pPr>
    </w:p>
    <w:p w14:paraId="1FB63541" w14:textId="77777777" w:rsidR="00FD5E16" w:rsidRPr="008F1125" w:rsidRDefault="00926926" w:rsidP="00AE57A4">
      <w:pPr>
        <w:keepNext/>
        <w:keepLines/>
        <w:tabs>
          <w:tab w:val="clear" w:pos="567"/>
        </w:tabs>
        <w:autoSpaceDE w:val="0"/>
        <w:autoSpaceDN w:val="0"/>
        <w:adjustRightInd w:val="0"/>
        <w:jc w:val="both"/>
        <w:rPr>
          <w:rFonts w:eastAsia="TimesNewRoman"/>
          <w:i/>
          <w:iCs/>
          <w:szCs w:val="22"/>
          <w:u w:val="single"/>
          <w:lang w:val="sr-Latn-RS" w:eastAsia="en-GB"/>
        </w:rPr>
      </w:pPr>
      <w:r w:rsidRPr="008F1125">
        <w:rPr>
          <w:i/>
          <w:u w:val="single"/>
          <w:lang w:val="sr-Latn-RS" w:bidi="sr-Latn-RS"/>
        </w:rPr>
        <w:t>Imunološki posredovan hepatitis</w:t>
      </w:r>
    </w:p>
    <w:p w14:paraId="1FB63542" w14:textId="62188E31" w:rsidR="00FD5E16" w:rsidRPr="008F1125" w:rsidRDefault="00926926" w:rsidP="00AE57A4">
      <w:pPr>
        <w:keepNext/>
        <w:keepLines/>
        <w:jc w:val="both"/>
        <w:rPr>
          <w:szCs w:val="22"/>
          <w:lang w:val="sr-Latn-RS"/>
        </w:rPr>
      </w:pPr>
      <w:r w:rsidRPr="008F1125">
        <w:rPr>
          <w:lang w:val="sr-Latn-RS" w:bidi="sr-Latn-RS"/>
        </w:rPr>
        <w:t xml:space="preserve">Kod pacijenata koji su primali avelumab kao monoterapiju, </w:t>
      </w:r>
      <w:r w:rsidR="00A87F4F" w:rsidRPr="008F1125">
        <w:rPr>
          <w:lang w:val="sr-Latn-RS" w:bidi="sr-Latn-RS"/>
        </w:rPr>
        <w:t>1,0% (21/2082</w:t>
      </w:r>
      <w:r w:rsidRPr="008F1125">
        <w:rPr>
          <w:lang w:val="sr-Latn-RS" w:bidi="sr-Latn-RS"/>
        </w:rPr>
        <w:t>) pacijenata razvilo je imunološki posredovan hepatitis. Među njima su bila 2 (0,1%) pacijenta sa smrtnim ishodom, dok je 1</w:t>
      </w:r>
      <w:r w:rsidR="00A87F4F" w:rsidRPr="008F1125">
        <w:rPr>
          <w:lang w:val="sr-Latn-RS" w:bidi="sr-Latn-RS"/>
        </w:rPr>
        <w:t>6</w:t>
      </w:r>
      <w:r w:rsidRPr="008F1125">
        <w:rPr>
          <w:lang w:val="sr-Latn-RS" w:bidi="sr-Latn-RS"/>
        </w:rPr>
        <w:t xml:space="preserve"> (0,</w:t>
      </w:r>
      <w:r w:rsidR="00A87F4F" w:rsidRPr="008F1125">
        <w:rPr>
          <w:lang w:val="sr-Latn-RS" w:bidi="sr-Latn-RS"/>
        </w:rPr>
        <w:t>8</w:t>
      </w:r>
      <w:r w:rsidRPr="008F1125">
        <w:rPr>
          <w:lang w:val="sr-Latn-RS" w:bidi="sr-Latn-RS"/>
        </w:rPr>
        <w:t>%) pacijenata imalo imunološki posredovan hepatitis 3. stepena.</w:t>
      </w:r>
    </w:p>
    <w:p w14:paraId="1FB63543" w14:textId="77777777" w:rsidR="00FD5E16" w:rsidRPr="008F1125" w:rsidRDefault="00FD5E16" w:rsidP="00AE57A4">
      <w:pPr>
        <w:jc w:val="both"/>
        <w:rPr>
          <w:iCs/>
          <w:szCs w:val="22"/>
          <w:lang w:val="sr-Latn-RS"/>
        </w:rPr>
      </w:pPr>
    </w:p>
    <w:p w14:paraId="1FB63544" w14:textId="30B82334" w:rsidR="00FD5E16" w:rsidRPr="008F1125" w:rsidRDefault="00926926" w:rsidP="00AE57A4">
      <w:pPr>
        <w:jc w:val="both"/>
        <w:rPr>
          <w:szCs w:val="22"/>
          <w:lang w:val="sr-Latn-RS" w:eastAsia="en-GB"/>
        </w:rPr>
      </w:pPr>
      <w:r w:rsidRPr="008F1125">
        <w:rPr>
          <w:lang w:val="sr-Latn-RS" w:bidi="sr-Latn-RS"/>
        </w:rPr>
        <w:t>Medijana vremena do nastupa imunološki posredovanog hepatitisa iznosila je 3</w:t>
      </w:r>
      <w:r w:rsidR="00807B60" w:rsidRPr="008F1125">
        <w:rPr>
          <w:lang w:val="sr-Latn-RS" w:bidi="sr-Latn-RS"/>
        </w:rPr>
        <w:t>,3</w:t>
      </w:r>
      <w:r w:rsidRPr="008F1125">
        <w:rPr>
          <w:lang w:val="sr-Latn-RS" w:bidi="sr-Latn-RS"/>
        </w:rPr>
        <w:t xml:space="preserve"> m</w:t>
      </w:r>
      <w:r w:rsidR="009E59CF">
        <w:rPr>
          <w:lang w:val="sr-Latn-RS" w:bidi="sr-Latn-RS"/>
        </w:rPr>
        <w:t>j</w:t>
      </w:r>
      <w:r w:rsidRPr="008F1125">
        <w:rPr>
          <w:lang w:val="sr-Latn-RS" w:bidi="sr-Latn-RS"/>
        </w:rPr>
        <w:t xml:space="preserve">eseca (raspon:  od </w:t>
      </w:r>
      <w:r w:rsidR="00A87F4F" w:rsidRPr="008F1125">
        <w:rPr>
          <w:lang w:val="sr-Latn-RS" w:bidi="sr-Latn-RS"/>
        </w:rPr>
        <w:t>9</w:t>
      </w:r>
      <w:r w:rsidRPr="008F1125">
        <w:rPr>
          <w:lang w:val="sr-Latn-RS" w:bidi="sr-Latn-RS"/>
        </w:rPr>
        <w:t xml:space="preserve"> </w:t>
      </w:r>
      <w:r w:rsidR="00A87F4F" w:rsidRPr="008F1125">
        <w:rPr>
          <w:lang w:val="sr-Latn-RS" w:bidi="sr-Latn-RS"/>
        </w:rPr>
        <w:t xml:space="preserve">dana </w:t>
      </w:r>
      <w:r w:rsidRPr="008F1125">
        <w:rPr>
          <w:lang w:val="sr-Latn-RS" w:bidi="sr-Latn-RS"/>
        </w:rPr>
        <w:t>do 1</w:t>
      </w:r>
      <w:r w:rsidR="00A87F4F" w:rsidRPr="008F1125">
        <w:rPr>
          <w:lang w:val="sr-Latn-RS" w:bidi="sr-Latn-RS"/>
        </w:rPr>
        <w:t>4,8</w:t>
      </w:r>
      <w:r w:rsidRPr="008F1125">
        <w:rPr>
          <w:lang w:val="sr-Latn-RS" w:bidi="sr-Latn-RS"/>
        </w:rPr>
        <w:t xml:space="preserve"> </w:t>
      </w:r>
      <w:r w:rsidR="00B27CC7" w:rsidRPr="008F1125">
        <w:rPr>
          <w:lang w:val="sr-Latn-RS" w:bidi="sr-Latn-RS"/>
        </w:rPr>
        <w:t>mjeseci</w:t>
      </w:r>
      <w:r w:rsidRPr="008F1125">
        <w:rPr>
          <w:lang w:val="sr-Latn-RS" w:bidi="sr-Latn-RS"/>
        </w:rPr>
        <w:t xml:space="preserve">). Medijana trajanja iznosila je 2,5 </w:t>
      </w:r>
      <w:r w:rsidR="00B27CC7" w:rsidRPr="008F1125">
        <w:rPr>
          <w:lang w:val="sr-Latn-RS" w:bidi="sr-Latn-RS"/>
        </w:rPr>
        <w:t>mjeseci</w:t>
      </w:r>
      <w:r w:rsidRPr="008F1125">
        <w:rPr>
          <w:lang w:val="sr-Latn-RS" w:bidi="sr-Latn-RS"/>
        </w:rPr>
        <w:t xml:space="preserve"> (raspon: </w:t>
      </w:r>
      <w:r w:rsidR="00A87F4F" w:rsidRPr="008F1125">
        <w:rPr>
          <w:lang w:val="sr-Latn-RS" w:bidi="sr-Latn-RS"/>
        </w:rPr>
        <w:t xml:space="preserve"> </w:t>
      </w:r>
      <w:r w:rsidRPr="008F1125">
        <w:rPr>
          <w:lang w:val="sr-Latn-RS" w:bidi="sr-Latn-RS"/>
        </w:rPr>
        <w:t>od 1 dana do više od 7,4</w:t>
      </w:r>
      <w:r w:rsidR="00A87F4F" w:rsidRPr="008F1125">
        <w:rPr>
          <w:lang w:val="sr-Latn-RS" w:bidi="sr-Latn-RS"/>
        </w:rPr>
        <w:t xml:space="preserve"> </w:t>
      </w:r>
      <w:r w:rsidRPr="008F1125">
        <w:rPr>
          <w:lang w:val="sr-Latn-RS" w:bidi="sr-Latn-RS"/>
        </w:rPr>
        <w:t>m</w:t>
      </w:r>
      <w:r w:rsidR="00D30197" w:rsidRPr="008F1125">
        <w:rPr>
          <w:lang w:val="sr-Latn-RS" w:bidi="sr-Latn-RS"/>
        </w:rPr>
        <w:t>j</w:t>
      </w:r>
      <w:r w:rsidRPr="008F1125">
        <w:rPr>
          <w:lang w:val="sr-Latn-RS" w:bidi="sr-Latn-RS"/>
        </w:rPr>
        <w:t>eseca).</w:t>
      </w:r>
    </w:p>
    <w:p w14:paraId="1FB63545" w14:textId="77777777" w:rsidR="00FD5E16" w:rsidRPr="008F1125" w:rsidRDefault="00FD5E16" w:rsidP="00AE57A4">
      <w:pPr>
        <w:jc w:val="both"/>
        <w:rPr>
          <w:szCs w:val="22"/>
          <w:lang w:val="sr-Latn-RS" w:eastAsia="en-GB"/>
        </w:rPr>
      </w:pPr>
    </w:p>
    <w:p w14:paraId="1FB63546" w14:textId="562FD286" w:rsidR="00FD5E16" w:rsidRPr="008F1125" w:rsidRDefault="00926926" w:rsidP="00AE57A4">
      <w:pPr>
        <w:jc w:val="both"/>
        <w:rPr>
          <w:szCs w:val="22"/>
          <w:lang w:val="sr-Latn-RS" w:eastAsia="en-GB"/>
        </w:rPr>
      </w:pPr>
      <w:r w:rsidRPr="008F1125">
        <w:rPr>
          <w:lang w:val="sr-Latn-RS" w:bidi="sr-Latn-RS"/>
        </w:rPr>
        <w:t>Prim</w:t>
      </w:r>
      <w:r w:rsidR="00515B67" w:rsidRPr="008F1125">
        <w:rPr>
          <w:lang w:val="sr-Latn-RS" w:bidi="sr-Latn-RS"/>
        </w:rPr>
        <w:t>j</w:t>
      </w:r>
      <w:r w:rsidRPr="008F1125">
        <w:rPr>
          <w:lang w:val="sr-Latn-RS" w:bidi="sr-Latn-RS"/>
        </w:rPr>
        <w:t xml:space="preserve">ena avelumaba prekinuta je zbog imunološki posredovanog hepatitisa kod </w:t>
      </w:r>
      <w:r w:rsidR="00F02216" w:rsidRPr="008F1125">
        <w:rPr>
          <w:lang w:val="sr-Latn-RS" w:bidi="sr-Latn-RS"/>
        </w:rPr>
        <w:t>0,</w:t>
      </w:r>
      <w:r w:rsidR="00A87F4F" w:rsidRPr="008F1125">
        <w:rPr>
          <w:lang w:val="sr-Latn-RS" w:bidi="sr-Latn-RS"/>
        </w:rPr>
        <w:t>6</w:t>
      </w:r>
      <w:r w:rsidRPr="008F1125">
        <w:rPr>
          <w:lang w:val="sr-Latn-RS" w:bidi="sr-Latn-RS"/>
        </w:rPr>
        <w:t>% (</w:t>
      </w:r>
      <w:r w:rsidR="00A87F4F" w:rsidRPr="008F1125">
        <w:rPr>
          <w:lang w:val="sr-Latn-RS" w:bidi="sr-Latn-RS"/>
        </w:rPr>
        <w:t>13</w:t>
      </w:r>
      <w:r w:rsidRPr="008F1125">
        <w:rPr>
          <w:lang w:val="sr-Latn-RS" w:bidi="sr-Latn-RS"/>
        </w:rPr>
        <w:t>/</w:t>
      </w:r>
      <w:r w:rsidR="00A87F4F" w:rsidRPr="008F1125">
        <w:rPr>
          <w:lang w:val="sr-Latn-RS" w:bidi="sr-Latn-RS"/>
        </w:rPr>
        <w:t>2082</w:t>
      </w:r>
      <w:r w:rsidRPr="008F1125">
        <w:rPr>
          <w:lang w:val="sr-Latn-RS" w:bidi="sr-Latn-RS"/>
        </w:rPr>
        <w:t xml:space="preserve">) pacijenata. Svih </w:t>
      </w:r>
      <w:r w:rsidR="00A87F4F" w:rsidRPr="008F1125">
        <w:rPr>
          <w:lang w:val="sr-Latn-RS" w:bidi="sr-Latn-RS"/>
        </w:rPr>
        <w:t>21</w:t>
      </w:r>
      <w:r w:rsidRPr="008F1125">
        <w:rPr>
          <w:lang w:val="sr-Latn-RS" w:bidi="sr-Latn-RS"/>
        </w:rPr>
        <w:t xml:space="preserve"> pacijen</w:t>
      </w:r>
      <w:r w:rsidR="0052203B" w:rsidRPr="008F1125">
        <w:rPr>
          <w:lang w:val="sr-Latn-RS" w:bidi="sr-Latn-RS"/>
        </w:rPr>
        <w:t>a</w:t>
      </w:r>
      <w:r w:rsidRPr="008F1125">
        <w:rPr>
          <w:lang w:val="sr-Latn-RS" w:bidi="sr-Latn-RS"/>
        </w:rPr>
        <w:t>t</w:t>
      </w:r>
      <w:r w:rsidR="0052203B" w:rsidRPr="008F1125">
        <w:rPr>
          <w:lang w:val="sr-Latn-RS" w:bidi="sr-Latn-RS"/>
        </w:rPr>
        <w:t>a</w:t>
      </w:r>
      <w:r w:rsidRPr="008F1125">
        <w:rPr>
          <w:lang w:val="sr-Latn-RS" w:bidi="sr-Latn-RS"/>
        </w:rPr>
        <w:t xml:space="preserve"> sa imunološki posredovanim hepatitisom, primali su kortikosteroide, a </w:t>
      </w:r>
      <w:r w:rsidR="0052203B" w:rsidRPr="008F1125">
        <w:rPr>
          <w:lang w:val="sr-Latn-RS" w:bidi="sr-Latn-RS"/>
        </w:rPr>
        <w:t>20</w:t>
      </w:r>
      <w:r w:rsidRPr="008F1125">
        <w:rPr>
          <w:lang w:val="sr-Latn-RS" w:bidi="sr-Latn-RS"/>
        </w:rPr>
        <w:t xml:space="preserve"> (9</w:t>
      </w:r>
      <w:r w:rsidR="0052203B" w:rsidRPr="008F1125">
        <w:rPr>
          <w:lang w:val="sr-Latn-RS" w:bidi="sr-Latn-RS"/>
        </w:rPr>
        <w:t>5,2</w:t>
      </w:r>
      <w:r w:rsidRPr="008F1125">
        <w:rPr>
          <w:lang w:val="sr-Latn-RS" w:bidi="sr-Latn-RS"/>
        </w:rPr>
        <w:t xml:space="preserve">%) pacijenata od ukupno </w:t>
      </w:r>
      <w:r w:rsidR="0052203B" w:rsidRPr="008F1125">
        <w:rPr>
          <w:lang w:val="sr-Latn-RS" w:bidi="sr-Latn-RS"/>
        </w:rPr>
        <w:t xml:space="preserve">21 </w:t>
      </w:r>
      <w:r w:rsidRPr="008F1125">
        <w:rPr>
          <w:lang w:val="sr-Latn-RS" w:bidi="sr-Latn-RS"/>
        </w:rPr>
        <w:t>primalo je visoku dozu kortikosteroida tokom medijane od 1</w:t>
      </w:r>
      <w:r w:rsidR="00DF613A" w:rsidRPr="008F1125">
        <w:rPr>
          <w:lang w:val="sr-Latn-RS" w:bidi="sr-Latn-RS"/>
        </w:rPr>
        <w:t>7</w:t>
      </w:r>
      <w:r w:rsidRPr="008F1125">
        <w:rPr>
          <w:lang w:val="sr-Latn-RS" w:bidi="sr-Latn-RS"/>
        </w:rPr>
        <w:t xml:space="preserve"> dana (raspon:  od 1 dana do </w:t>
      </w:r>
      <w:r w:rsidR="00DF613A" w:rsidRPr="008F1125">
        <w:rPr>
          <w:lang w:val="sr-Latn-RS" w:bidi="sr-Latn-RS"/>
        </w:rPr>
        <w:t>4</w:t>
      </w:r>
      <w:r w:rsidRPr="008F1125">
        <w:rPr>
          <w:lang w:val="sr-Latn-RS" w:bidi="sr-Latn-RS"/>
        </w:rPr>
        <w:t>,</w:t>
      </w:r>
      <w:r w:rsidR="00DF613A" w:rsidRPr="008F1125">
        <w:rPr>
          <w:lang w:val="sr-Latn-RS" w:bidi="sr-Latn-RS"/>
        </w:rPr>
        <w:t>1</w:t>
      </w:r>
      <w:r w:rsidRPr="008F1125">
        <w:rPr>
          <w:lang w:val="sr-Latn-RS" w:bidi="sr-Latn-RS"/>
        </w:rPr>
        <w:t xml:space="preserve"> m</w:t>
      </w:r>
      <w:r w:rsidR="00D30197" w:rsidRPr="008F1125">
        <w:rPr>
          <w:lang w:val="sr-Latn-RS" w:bidi="sr-Latn-RS"/>
        </w:rPr>
        <w:t>j</w:t>
      </w:r>
      <w:r w:rsidRPr="008F1125">
        <w:rPr>
          <w:lang w:val="sr-Latn-RS" w:bidi="sr-Latn-RS"/>
        </w:rPr>
        <w:t xml:space="preserve">esec). Imunološki posredovan hepatitis povukao se kod </w:t>
      </w:r>
      <w:r w:rsidR="00DF613A" w:rsidRPr="008F1125">
        <w:rPr>
          <w:lang w:val="sr-Latn-RS" w:bidi="sr-Latn-RS"/>
        </w:rPr>
        <w:t>12 (57,1</w:t>
      </w:r>
      <w:r w:rsidRPr="008F1125">
        <w:rPr>
          <w:lang w:val="sr-Latn-RS" w:bidi="sr-Latn-RS"/>
        </w:rPr>
        <w:t xml:space="preserve">%) od </w:t>
      </w:r>
      <w:r w:rsidR="00DF613A" w:rsidRPr="008F1125">
        <w:rPr>
          <w:lang w:val="sr-Latn-RS" w:bidi="sr-Latn-RS"/>
        </w:rPr>
        <w:t>21</w:t>
      </w:r>
      <w:r w:rsidRPr="008F1125">
        <w:rPr>
          <w:lang w:val="sr-Latn-RS" w:bidi="sr-Latn-RS"/>
        </w:rPr>
        <w:t xml:space="preserve"> pacijenta u vreme prestanka prikupljanja podataka.</w:t>
      </w:r>
    </w:p>
    <w:p w14:paraId="1FB63547" w14:textId="77777777" w:rsidR="00FD5E16" w:rsidRPr="008F1125" w:rsidRDefault="00FD5E16" w:rsidP="00AE57A4">
      <w:pPr>
        <w:tabs>
          <w:tab w:val="clear" w:pos="567"/>
        </w:tabs>
        <w:autoSpaceDE w:val="0"/>
        <w:autoSpaceDN w:val="0"/>
        <w:adjustRightInd w:val="0"/>
        <w:jc w:val="both"/>
        <w:rPr>
          <w:rFonts w:eastAsia="TimesNewRoman"/>
          <w:szCs w:val="22"/>
          <w:lang w:val="sr-Latn-RS" w:eastAsia="en-GB"/>
        </w:rPr>
      </w:pPr>
    </w:p>
    <w:p w14:paraId="1FB63548" w14:textId="77777777" w:rsidR="00CC2596" w:rsidRPr="008F1125" w:rsidRDefault="00926926" w:rsidP="00AE57A4">
      <w:pPr>
        <w:autoSpaceDE w:val="0"/>
        <w:autoSpaceDN w:val="0"/>
        <w:adjustRightInd w:val="0"/>
        <w:jc w:val="both"/>
        <w:rPr>
          <w:szCs w:val="22"/>
          <w:lang w:val="sr-Latn-RS"/>
        </w:rPr>
      </w:pPr>
      <w:r w:rsidRPr="008F1125">
        <w:rPr>
          <w:lang w:val="sr-Latn-RS" w:bidi="sr-Latn-RS"/>
        </w:rPr>
        <w:t>Kod pacijenata na terapiji avelumabom u kombinaciji sa aksitinibom, 6,3% (31/489) pacijenata razvilo je imunološki posredovan hepatitis. Među njima je bilo 18 (3,7%) pacijenata sa imunološki posredovanim hepatitisom 3. stepena i 3 (0,6 %) pacijenta sa imunološki posredovanim hepatitisom 4. stepena.</w:t>
      </w:r>
    </w:p>
    <w:p w14:paraId="1FB63549" w14:textId="77777777" w:rsidR="00CC2596" w:rsidRPr="008F1125" w:rsidRDefault="00CC2596" w:rsidP="00577413">
      <w:pPr>
        <w:autoSpaceDE w:val="0"/>
        <w:autoSpaceDN w:val="0"/>
        <w:adjustRightInd w:val="0"/>
        <w:rPr>
          <w:szCs w:val="22"/>
          <w:lang w:val="sr-Latn-RS"/>
        </w:rPr>
      </w:pPr>
    </w:p>
    <w:p w14:paraId="1FB6354A" w14:textId="44487225" w:rsidR="00CC2596" w:rsidRPr="008F1125" w:rsidRDefault="00926926" w:rsidP="00AE57A4">
      <w:pPr>
        <w:autoSpaceDE w:val="0"/>
        <w:autoSpaceDN w:val="0"/>
        <w:adjustRightInd w:val="0"/>
        <w:jc w:val="both"/>
        <w:rPr>
          <w:szCs w:val="22"/>
          <w:lang w:val="sr-Latn-RS"/>
        </w:rPr>
      </w:pPr>
      <w:r w:rsidRPr="008F1125">
        <w:rPr>
          <w:lang w:val="sr-Latn-RS" w:bidi="sr-Latn-RS"/>
        </w:rPr>
        <w:t>Medijana vremena do nastupa imunološki posredovanog hepatitisa iznosila je 2,3 m</w:t>
      </w:r>
      <w:r w:rsidR="00D30197" w:rsidRPr="008F1125">
        <w:rPr>
          <w:lang w:val="sr-Latn-RS" w:bidi="sr-Latn-RS"/>
        </w:rPr>
        <w:t>j</w:t>
      </w:r>
      <w:r w:rsidRPr="008F1125">
        <w:rPr>
          <w:lang w:val="sr-Latn-RS" w:bidi="sr-Latn-RS"/>
        </w:rPr>
        <w:t xml:space="preserve">eseca (raspon:  od 2,1 nedelje do 14,5 </w:t>
      </w:r>
      <w:r w:rsidR="00B27CC7" w:rsidRPr="008F1125">
        <w:rPr>
          <w:lang w:val="sr-Latn-RS" w:bidi="sr-Latn-RS"/>
        </w:rPr>
        <w:t>mjeseci</w:t>
      </w:r>
      <w:r w:rsidRPr="008F1125">
        <w:rPr>
          <w:lang w:val="sr-Latn-RS" w:bidi="sr-Latn-RS"/>
        </w:rPr>
        <w:t>). Medijana trajanja iznosila je 2,1 ned</w:t>
      </w:r>
      <w:r w:rsidR="00F36ECD">
        <w:rPr>
          <w:lang w:val="sr-Latn-RS" w:bidi="sr-Latn-RS"/>
        </w:rPr>
        <w:t>j</w:t>
      </w:r>
      <w:r w:rsidRPr="008F1125">
        <w:rPr>
          <w:lang w:val="sr-Latn-RS" w:bidi="sr-Latn-RS"/>
        </w:rPr>
        <w:t xml:space="preserve">elju (raspon:  od 2 dana do 8,9 </w:t>
      </w:r>
      <w:r w:rsidR="00B27CC7" w:rsidRPr="008F1125">
        <w:rPr>
          <w:lang w:val="sr-Latn-RS" w:bidi="sr-Latn-RS"/>
        </w:rPr>
        <w:t>mjeseci</w:t>
      </w:r>
      <w:r w:rsidRPr="008F1125">
        <w:rPr>
          <w:lang w:val="sr-Latn-RS" w:bidi="sr-Latn-RS"/>
        </w:rPr>
        <w:t>).</w:t>
      </w:r>
    </w:p>
    <w:p w14:paraId="1FB6354B" w14:textId="77777777" w:rsidR="00CC2596" w:rsidRPr="008F1125" w:rsidRDefault="00CC2596" w:rsidP="00AE57A4">
      <w:pPr>
        <w:autoSpaceDE w:val="0"/>
        <w:autoSpaceDN w:val="0"/>
        <w:adjustRightInd w:val="0"/>
        <w:jc w:val="both"/>
        <w:rPr>
          <w:szCs w:val="22"/>
          <w:lang w:val="sr-Latn-RS"/>
        </w:rPr>
      </w:pPr>
    </w:p>
    <w:p w14:paraId="1FB6354C" w14:textId="2A770B4A" w:rsidR="00CC2596" w:rsidRPr="008F1125" w:rsidRDefault="00926926" w:rsidP="00AE57A4">
      <w:pPr>
        <w:tabs>
          <w:tab w:val="clear" w:pos="567"/>
        </w:tabs>
        <w:autoSpaceDE w:val="0"/>
        <w:autoSpaceDN w:val="0"/>
        <w:adjustRightInd w:val="0"/>
        <w:jc w:val="both"/>
        <w:rPr>
          <w:szCs w:val="22"/>
          <w:lang w:val="sr-Latn-RS"/>
        </w:rPr>
      </w:pPr>
      <w:r w:rsidRPr="008F1125">
        <w:rPr>
          <w:lang w:val="sr-Latn-RS" w:bidi="sr-Latn-RS"/>
        </w:rPr>
        <w:t>Prim</w:t>
      </w:r>
      <w:r w:rsidR="00515B67" w:rsidRPr="008F1125">
        <w:rPr>
          <w:lang w:val="sr-Latn-RS" w:bidi="sr-Latn-RS"/>
        </w:rPr>
        <w:t>j</w:t>
      </w:r>
      <w:r w:rsidRPr="008F1125">
        <w:rPr>
          <w:lang w:val="sr-Latn-RS" w:bidi="sr-Latn-RS"/>
        </w:rPr>
        <w:t>ena avelumaba prekinuta je zbog imunološki posredovanog hepatitisa kod 4,7% (23/489) pacijenata. Svi pacijenti sa imunološki posredovanim hepatitisom, njih 31, bili su l</w:t>
      </w:r>
      <w:r w:rsidR="00F36ECD">
        <w:rPr>
          <w:lang w:val="sr-Latn-RS" w:bidi="sr-Latn-RS"/>
        </w:rPr>
        <w:t>ij</w:t>
      </w:r>
      <w:r w:rsidRPr="008F1125">
        <w:rPr>
          <w:lang w:val="sr-Latn-RS" w:bidi="sr-Latn-RS"/>
        </w:rPr>
        <w:t xml:space="preserve">ečeni zbog hepatitisa, pri čemu je 30 pacijenata (96,8 %) primalo terapiju kortikosteroidima, a 1 nesteroidnim </w:t>
      </w:r>
      <w:r w:rsidRPr="008F1125">
        <w:rPr>
          <w:lang w:val="sr-Latn-RS" w:bidi="sr-Latn-RS"/>
        </w:rPr>
        <w:lastRenderedPageBreak/>
        <w:t>imunosupresivom. Visoku dozu kortikosteroida primalo je 28 (90,3 %) od 31 pacijenta tokom</w:t>
      </w:r>
      <w:r w:rsidRPr="008F1125">
        <w:rPr>
          <w:lang w:val="sr-Latn-RS" w:bidi="sr-Latn-RS"/>
        </w:rPr>
        <w:br/>
        <w:t>medijane od 2,4 ned</w:t>
      </w:r>
      <w:r w:rsidR="00F36ECD">
        <w:rPr>
          <w:lang w:val="sr-Latn-RS" w:bidi="sr-Latn-RS"/>
        </w:rPr>
        <w:t>j</w:t>
      </w:r>
      <w:r w:rsidRPr="008F1125">
        <w:rPr>
          <w:lang w:val="sr-Latn-RS" w:bidi="sr-Latn-RS"/>
        </w:rPr>
        <w:t>elje (raspon:  od 1 dana do 10,2 m</w:t>
      </w:r>
      <w:r w:rsidR="00D30197" w:rsidRPr="008F1125">
        <w:rPr>
          <w:lang w:val="sr-Latn-RS" w:bidi="sr-Latn-RS"/>
        </w:rPr>
        <w:t>j</w:t>
      </w:r>
      <w:r w:rsidRPr="008F1125">
        <w:rPr>
          <w:lang w:val="sr-Latn-RS" w:bidi="sr-Latn-RS"/>
        </w:rPr>
        <w:t>eseca). Imunološki posredovan hepatitis povukao se kod 27 (87,1%) od 31 pacijenta u vr</w:t>
      </w:r>
      <w:r w:rsidR="00F36ECD">
        <w:rPr>
          <w:lang w:val="sr-Latn-RS" w:bidi="sr-Latn-RS"/>
        </w:rPr>
        <w:t>ij</w:t>
      </w:r>
      <w:r w:rsidRPr="008F1125">
        <w:rPr>
          <w:lang w:val="sr-Latn-RS" w:bidi="sr-Latn-RS"/>
        </w:rPr>
        <w:t>eme prestanka prikupljanja podataka.</w:t>
      </w:r>
    </w:p>
    <w:p w14:paraId="1FB6354D" w14:textId="77777777" w:rsidR="00CC2596" w:rsidRPr="008F1125" w:rsidRDefault="00CC2596" w:rsidP="00AE57A4">
      <w:pPr>
        <w:tabs>
          <w:tab w:val="clear" w:pos="567"/>
        </w:tabs>
        <w:autoSpaceDE w:val="0"/>
        <w:autoSpaceDN w:val="0"/>
        <w:adjustRightInd w:val="0"/>
        <w:jc w:val="both"/>
        <w:rPr>
          <w:rFonts w:eastAsia="TimesNewRoman"/>
          <w:szCs w:val="22"/>
          <w:lang w:val="sr-Latn-RS" w:eastAsia="en-GB"/>
        </w:rPr>
      </w:pPr>
    </w:p>
    <w:p w14:paraId="1FB6354E" w14:textId="77777777" w:rsidR="00125FA2" w:rsidRPr="008F1125" w:rsidRDefault="00926926" w:rsidP="00AE57A4">
      <w:pPr>
        <w:keepNext/>
        <w:keepLines/>
        <w:tabs>
          <w:tab w:val="clear" w:pos="567"/>
        </w:tabs>
        <w:autoSpaceDE w:val="0"/>
        <w:autoSpaceDN w:val="0"/>
        <w:adjustRightInd w:val="0"/>
        <w:jc w:val="both"/>
        <w:rPr>
          <w:rFonts w:eastAsia="TimesNewRoman"/>
          <w:i/>
          <w:iCs/>
          <w:szCs w:val="22"/>
          <w:u w:val="single"/>
          <w:lang w:val="sr-Latn-RS" w:eastAsia="en-GB"/>
        </w:rPr>
      </w:pPr>
      <w:r w:rsidRPr="008F1125">
        <w:rPr>
          <w:i/>
          <w:u w:val="single"/>
          <w:lang w:val="sr-Latn-RS" w:bidi="sr-Latn-RS"/>
        </w:rPr>
        <w:t>Imunološki posredovan kolitis</w:t>
      </w:r>
    </w:p>
    <w:p w14:paraId="1FB6354F" w14:textId="6EB17ADD" w:rsidR="00FD5E16" w:rsidRPr="008F1125" w:rsidRDefault="00926926" w:rsidP="00AE57A4">
      <w:pPr>
        <w:keepNext/>
        <w:keepLines/>
        <w:jc w:val="both"/>
        <w:rPr>
          <w:szCs w:val="22"/>
          <w:lang w:val="sr-Latn-RS"/>
        </w:rPr>
      </w:pPr>
      <w:r w:rsidRPr="008F1125">
        <w:rPr>
          <w:lang w:val="sr-Latn-RS" w:bidi="sr-Latn-RS"/>
        </w:rPr>
        <w:t>Kod pacijenata koji su primali avelumab kao monoterapiju, 1,5% (</w:t>
      </w:r>
      <w:r w:rsidR="00AC1851" w:rsidRPr="008F1125">
        <w:rPr>
          <w:lang w:val="sr-Latn-RS" w:bidi="sr-Latn-RS"/>
        </w:rPr>
        <w:t>31/2082</w:t>
      </w:r>
      <w:r w:rsidRPr="008F1125">
        <w:rPr>
          <w:lang w:val="sr-Latn-RS" w:bidi="sr-Latn-RS"/>
        </w:rPr>
        <w:t xml:space="preserve">) pacijenata razvilo je imunološki posredovan kolitis. Među tim pacijentima, njih </w:t>
      </w:r>
      <w:r w:rsidR="00AC1851" w:rsidRPr="008F1125">
        <w:rPr>
          <w:lang w:val="sr-Latn-RS" w:bidi="sr-Latn-RS"/>
        </w:rPr>
        <w:t>10</w:t>
      </w:r>
      <w:r w:rsidRPr="008F1125">
        <w:rPr>
          <w:lang w:val="sr-Latn-RS" w:bidi="sr-Latn-RS"/>
        </w:rPr>
        <w:t xml:space="preserve"> (0,</w:t>
      </w:r>
      <w:r w:rsidR="00AC1851" w:rsidRPr="008F1125">
        <w:rPr>
          <w:lang w:val="sr-Latn-RS" w:bidi="sr-Latn-RS"/>
        </w:rPr>
        <w:t>5</w:t>
      </w:r>
      <w:r w:rsidRPr="008F1125">
        <w:rPr>
          <w:lang w:val="sr-Latn-RS" w:bidi="sr-Latn-RS"/>
        </w:rPr>
        <w:t xml:space="preserve"> %) imalo je imunološki posredovan</w:t>
      </w:r>
      <w:r w:rsidRPr="008F1125">
        <w:rPr>
          <w:lang w:val="sr-Latn-RS" w:bidi="sr-Latn-RS"/>
        </w:rPr>
        <w:br/>
        <w:t>kolitis 3. stepena.</w:t>
      </w:r>
    </w:p>
    <w:p w14:paraId="1FB63550" w14:textId="77777777" w:rsidR="00FD5E16" w:rsidRPr="008F1125" w:rsidRDefault="00FD5E16" w:rsidP="00AE57A4">
      <w:pPr>
        <w:jc w:val="both"/>
        <w:rPr>
          <w:szCs w:val="22"/>
          <w:lang w:val="sr-Latn-RS" w:eastAsia="en-GB"/>
        </w:rPr>
      </w:pPr>
    </w:p>
    <w:p w14:paraId="1FB63551" w14:textId="4EE914BB" w:rsidR="00FD5E16" w:rsidRPr="008F1125" w:rsidRDefault="00926926" w:rsidP="00AE57A4">
      <w:pPr>
        <w:jc w:val="both"/>
        <w:rPr>
          <w:szCs w:val="22"/>
          <w:lang w:val="sr-Latn-RS" w:eastAsia="en-GB"/>
        </w:rPr>
      </w:pPr>
      <w:r w:rsidRPr="008F1125">
        <w:rPr>
          <w:lang w:val="sr-Latn-RS" w:bidi="sr-Latn-RS"/>
        </w:rPr>
        <w:t>Medijana vremena do nastupa imunološki posredovanog kolitisa iznosila je 2,</w:t>
      </w:r>
      <w:r w:rsidR="00AC1851" w:rsidRPr="008F1125">
        <w:rPr>
          <w:lang w:val="sr-Latn-RS" w:bidi="sr-Latn-RS"/>
        </w:rPr>
        <w:t>0</w:t>
      </w:r>
      <w:r w:rsidRPr="008F1125">
        <w:rPr>
          <w:lang w:val="sr-Latn-RS" w:bidi="sr-Latn-RS"/>
        </w:rPr>
        <w:t xml:space="preserve"> m</w:t>
      </w:r>
      <w:r w:rsidR="00D30197" w:rsidRPr="008F1125">
        <w:rPr>
          <w:lang w:val="sr-Latn-RS" w:bidi="sr-Latn-RS"/>
        </w:rPr>
        <w:t>j</w:t>
      </w:r>
      <w:r w:rsidRPr="008F1125">
        <w:rPr>
          <w:lang w:val="sr-Latn-RS" w:bidi="sr-Latn-RS"/>
        </w:rPr>
        <w:t>esec</w:t>
      </w:r>
      <w:r w:rsidR="00AC1851" w:rsidRPr="008F1125">
        <w:rPr>
          <w:lang w:val="sr-Latn-RS" w:bidi="sr-Latn-RS"/>
        </w:rPr>
        <w:t>a</w:t>
      </w:r>
      <w:r w:rsidRPr="008F1125">
        <w:rPr>
          <w:lang w:val="sr-Latn-RS" w:bidi="sr-Latn-RS"/>
        </w:rPr>
        <w:t xml:space="preserve"> (raspon:  od 2 dana do 11</w:t>
      </w:r>
      <w:r w:rsidR="00AC1851" w:rsidRPr="008F1125">
        <w:rPr>
          <w:lang w:val="sr-Latn-RS" w:bidi="sr-Latn-RS"/>
        </w:rPr>
        <w:t>,5</w:t>
      </w:r>
      <w:r w:rsidRPr="008F1125">
        <w:rPr>
          <w:lang w:val="sr-Latn-RS" w:bidi="sr-Latn-RS"/>
        </w:rPr>
        <w:t xml:space="preserve"> </w:t>
      </w:r>
      <w:r w:rsidR="00B27CC7" w:rsidRPr="008F1125">
        <w:rPr>
          <w:lang w:val="sr-Latn-RS" w:bidi="sr-Latn-RS"/>
        </w:rPr>
        <w:t>mjeseci</w:t>
      </w:r>
      <w:r w:rsidRPr="008F1125">
        <w:rPr>
          <w:lang w:val="sr-Latn-RS" w:bidi="sr-Latn-RS"/>
        </w:rPr>
        <w:t xml:space="preserve">). Medijana trajanja iznosila je </w:t>
      </w:r>
      <w:r w:rsidR="00AC1851" w:rsidRPr="008F1125">
        <w:rPr>
          <w:lang w:val="sr-Latn-RS" w:bidi="sr-Latn-RS"/>
        </w:rPr>
        <w:t>5,9</w:t>
      </w:r>
      <w:r w:rsidRPr="008F1125">
        <w:rPr>
          <w:lang w:val="sr-Latn-RS" w:bidi="sr-Latn-RS"/>
        </w:rPr>
        <w:t xml:space="preserve"> ned</w:t>
      </w:r>
      <w:r w:rsidR="003F742D">
        <w:rPr>
          <w:lang w:val="sr-Latn-RS" w:bidi="sr-Latn-RS"/>
        </w:rPr>
        <w:t>j</w:t>
      </w:r>
      <w:r w:rsidRPr="008F1125">
        <w:rPr>
          <w:lang w:val="sr-Latn-RS" w:bidi="sr-Latn-RS"/>
        </w:rPr>
        <w:t xml:space="preserve">elja (raspon:  od 1 dana do više od 14 </w:t>
      </w:r>
      <w:r w:rsidR="00B27CC7" w:rsidRPr="008F1125">
        <w:rPr>
          <w:lang w:val="sr-Latn-RS" w:bidi="sr-Latn-RS"/>
        </w:rPr>
        <w:t>mjeseci</w:t>
      </w:r>
      <w:r w:rsidRPr="008F1125">
        <w:rPr>
          <w:lang w:val="sr-Latn-RS" w:bidi="sr-Latn-RS"/>
        </w:rPr>
        <w:t>).</w:t>
      </w:r>
    </w:p>
    <w:p w14:paraId="1FB63552" w14:textId="77777777" w:rsidR="00FD5E16" w:rsidRPr="008F1125" w:rsidRDefault="00FD5E16" w:rsidP="00AE57A4">
      <w:pPr>
        <w:jc w:val="both"/>
        <w:rPr>
          <w:szCs w:val="22"/>
          <w:lang w:val="sr-Latn-RS" w:eastAsia="en-GB"/>
        </w:rPr>
      </w:pPr>
    </w:p>
    <w:p w14:paraId="1FB63553" w14:textId="4CF58A3B" w:rsidR="00FD5E16" w:rsidRPr="008F1125" w:rsidRDefault="00926926" w:rsidP="003D55E0">
      <w:pPr>
        <w:jc w:val="both"/>
        <w:rPr>
          <w:szCs w:val="22"/>
          <w:lang w:val="sr-Latn-RS" w:eastAsia="en-GB"/>
        </w:rPr>
      </w:pPr>
      <w:r w:rsidRPr="008F1125">
        <w:rPr>
          <w:lang w:val="sr-Latn-RS" w:bidi="sr-Latn-RS"/>
        </w:rPr>
        <w:t>Prim</w:t>
      </w:r>
      <w:r w:rsidR="00515B67" w:rsidRPr="008F1125">
        <w:rPr>
          <w:lang w:val="sr-Latn-RS" w:bidi="sr-Latn-RS"/>
        </w:rPr>
        <w:t>j</w:t>
      </w:r>
      <w:r w:rsidRPr="008F1125">
        <w:rPr>
          <w:lang w:val="sr-Latn-RS" w:bidi="sr-Latn-RS"/>
        </w:rPr>
        <w:t>ena avelumaba prekinuta je zbog imunološki p</w:t>
      </w:r>
      <w:r w:rsidR="00AC1851" w:rsidRPr="008F1125">
        <w:rPr>
          <w:lang w:val="sr-Latn-RS" w:bidi="sr-Latn-RS"/>
        </w:rPr>
        <w:t>osredovanog kolitisa kod 0,5% (11</w:t>
      </w:r>
      <w:r w:rsidRPr="008F1125">
        <w:rPr>
          <w:lang w:val="sr-Latn-RS" w:bidi="sr-Latn-RS"/>
        </w:rPr>
        <w:t>/</w:t>
      </w:r>
      <w:r w:rsidR="00AC1851" w:rsidRPr="008F1125">
        <w:rPr>
          <w:lang w:val="sr-Latn-RS" w:bidi="sr-Latn-RS"/>
        </w:rPr>
        <w:t>2082</w:t>
      </w:r>
      <w:r w:rsidRPr="008F1125">
        <w:rPr>
          <w:lang w:val="sr-Latn-RS" w:bidi="sr-Latn-RS"/>
        </w:rPr>
        <w:t xml:space="preserve">) pacijenata. Svih </w:t>
      </w:r>
      <w:r w:rsidR="00AB5188" w:rsidRPr="008F1125">
        <w:rPr>
          <w:lang w:val="sr-Latn-RS" w:bidi="sr-Latn-RS"/>
        </w:rPr>
        <w:t>31</w:t>
      </w:r>
      <w:r w:rsidRPr="008F1125">
        <w:rPr>
          <w:lang w:val="sr-Latn-RS" w:bidi="sr-Latn-RS"/>
        </w:rPr>
        <w:t xml:space="preserve"> pacijenata sa imunološki posredovanim kolitisom, primali su kortikosteroide, a 1</w:t>
      </w:r>
      <w:r w:rsidR="00AB5188" w:rsidRPr="008F1125">
        <w:rPr>
          <w:lang w:val="sr-Latn-RS" w:bidi="sr-Latn-RS"/>
        </w:rPr>
        <w:t>9</w:t>
      </w:r>
      <w:r w:rsidRPr="008F1125">
        <w:rPr>
          <w:lang w:val="sr-Latn-RS" w:bidi="sr-Latn-RS"/>
        </w:rPr>
        <w:t xml:space="preserve"> (</w:t>
      </w:r>
      <w:r w:rsidR="00AB5188" w:rsidRPr="008F1125">
        <w:rPr>
          <w:lang w:val="sr-Latn-RS" w:bidi="sr-Latn-RS"/>
        </w:rPr>
        <w:t>61,3</w:t>
      </w:r>
      <w:r w:rsidRPr="008F1125">
        <w:rPr>
          <w:lang w:val="sr-Latn-RS" w:bidi="sr-Latn-RS"/>
        </w:rPr>
        <w:t xml:space="preserve">%) pacijenata od ukupno </w:t>
      </w:r>
      <w:r w:rsidR="00AB5188" w:rsidRPr="008F1125">
        <w:rPr>
          <w:lang w:val="sr-Latn-RS" w:bidi="sr-Latn-RS"/>
        </w:rPr>
        <w:t>31</w:t>
      </w:r>
      <w:r w:rsidRPr="008F1125">
        <w:rPr>
          <w:lang w:val="sr-Latn-RS" w:bidi="sr-Latn-RS"/>
        </w:rPr>
        <w:t xml:space="preserve"> primalo je visoku dozu kortikosteroida tokom medijane od 19 dana (raspon:  od 1 dana do 2,3 m</w:t>
      </w:r>
      <w:r w:rsidR="00D30197" w:rsidRPr="008F1125">
        <w:rPr>
          <w:lang w:val="sr-Latn-RS" w:bidi="sr-Latn-RS"/>
        </w:rPr>
        <w:t>j</w:t>
      </w:r>
      <w:r w:rsidRPr="008F1125">
        <w:rPr>
          <w:lang w:val="sr-Latn-RS" w:bidi="sr-Latn-RS"/>
        </w:rPr>
        <w:t xml:space="preserve">eseca). Imunološki posredovan kolitis povukao se kod </w:t>
      </w:r>
      <w:r w:rsidR="00AB5188" w:rsidRPr="008F1125">
        <w:rPr>
          <w:lang w:val="sr-Latn-RS" w:bidi="sr-Latn-RS"/>
        </w:rPr>
        <w:t>22</w:t>
      </w:r>
      <w:r w:rsidRPr="008F1125">
        <w:rPr>
          <w:lang w:val="sr-Latn-RS" w:bidi="sr-Latn-RS"/>
        </w:rPr>
        <w:t xml:space="preserve"> (7</w:t>
      </w:r>
      <w:r w:rsidR="00AB5188" w:rsidRPr="008F1125">
        <w:rPr>
          <w:lang w:val="sr-Latn-RS" w:bidi="sr-Latn-RS"/>
        </w:rPr>
        <w:t>1</w:t>
      </w:r>
      <w:r w:rsidRPr="008F1125">
        <w:rPr>
          <w:lang w:val="sr-Latn-RS" w:bidi="sr-Latn-RS"/>
        </w:rPr>
        <w:t xml:space="preserve">%) od </w:t>
      </w:r>
      <w:r w:rsidR="00AB5188" w:rsidRPr="008F1125">
        <w:rPr>
          <w:lang w:val="sr-Latn-RS" w:bidi="sr-Latn-RS"/>
        </w:rPr>
        <w:t>31</w:t>
      </w:r>
      <w:r w:rsidRPr="008F1125">
        <w:rPr>
          <w:lang w:val="sr-Latn-RS" w:bidi="sr-Latn-RS"/>
        </w:rPr>
        <w:t xml:space="preserve"> pacijenta u vr</w:t>
      </w:r>
      <w:r w:rsidR="00E74CD9" w:rsidRPr="008F1125">
        <w:rPr>
          <w:lang w:val="sr-Latn-RS" w:bidi="sr-Latn-RS"/>
        </w:rPr>
        <w:t>ij</w:t>
      </w:r>
      <w:r w:rsidRPr="008F1125">
        <w:rPr>
          <w:lang w:val="sr-Latn-RS" w:bidi="sr-Latn-RS"/>
        </w:rPr>
        <w:t>eme prestanka prikupljanja podataka.</w:t>
      </w:r>
    </w:p>
    <w:p w14:paraId="1FB63554" w14:textId="77777777" w:rsidR="00FB648C" w:rsidRPr="008F1125" w:rsidRDefault="00FB648C" w:rsidP="00577413">
      <w:pPr>
        <w:tabs>
          <w:tab w:val="clear" w:pos="567"/>
        </w:tabs>
        <w:autoSpaceDE w:val="0"/>
        <w:autoSpaceDN w:val="0"/>
        <w:adjustRightInd w:val="0"/>
        <w:rPr>
          <w:rFonts w:eastAsia="SimSun"/>
          <w:szCs w:val="22"/>
          <w:lang w:val="sr-Latn-RS" w:eastAsia="en-GB"/>
        </w:rPr>
      </w:pPr>
    </w:p>
    <w:p w14:paraId="1FB63555" w14:textId="1016611A" w:rsidR="00CC2596" w:rsidRPr="008F1125" w:rsidRDefault="00926926" w:rsidP="00577413">
      <w:pPr>
        <w:rPr>
          <w:szCs w:val="22"/>
          <w:lang w:val="sr-Latn-RS"/>
        </w:rPr>
      </w:pPr>
      <w:r w:rsidRPr="008F1125">
        <w:rPr>
          <w:lang w:val="sr-Latn-RS" w:bidi="sr-Latn-RS"/>
        </w:rPr>
        <w:t>Kod pacijenata na terapiji avelumabom u kombinaciji sa aksitinibom, 2,7% (13/489) pacijenata razvilo je imunološki posredovan kolitis. Među tim pacijentima, njih 9 (1,8 %) imalo je imunološki posredovan</w:t>
      </w:r>
      <w:r w:rsidR="003F742D">
        <w:rPr>
          <w:lang w:val="sr-Latn-RS" w:bidi="sr-Latn-RS"/>
        </w:rPr>
        <w:t xml:space="preserve"> </w:t>
      </w:r>
      <w:r w:rsidRPr="008F1125">
        <w:rPr>
          <w:lang w:val="sr-Latn-RS" w:bidi="sr-Latn-RS"/>
        </w:rPr>
        <w:t>kolitis 3. stepena.</w:t>
      </w:r>
    </w:p>
    <w:p w14:paraId="1FB63556" w14:textId="77777777" w:rsidR="00CC2596" w:rsidRPr="008F1125" w:rsidRDefault="00CC2596" w:rsidP="00577413">
      <w:pPr>
        <w:tabs>
          <w:tab w:val="clear" w:pos="567"/>
        </w:tabs>
        <w:rPr>
          <w:szCs w:val="22"/>
          <w:lang w:val="sr-Latn-RS"/>
        </w:rPr>
      </w:pPr>
    </w:p>
    <w:p w14:paraId="1FB63557" w14:textId="6D818E51" w:rsidR="00CC2596" w:rsidRPr="008F1125" w:rsidRDefault="00926926" w:rsidP="00577413">
      <w:pPr>
        <w:tabs>
          <w:tab w:val="clear" w:pos="567"/>
        </w:tabs>
        <w:rPr>
          <w:szCs w:val="22"/>
          <w:lang w:val="sr-Latn-RS"/>
        </w:rPr>
      </w:pPr>
      <w:r w:rsidRPr="008F1125">
        <w:rPr>
          <w:lang w:val="sr-Latn-RS" w:bidi="sr-Latn-RS"/>
        </w:rPr>
        <w:t>Medijana vremena do nastupa imunološki posredovanog kolitisa iznosila je 5,1 m</w:t>
      </w:r>
      <w:r w:rsidR="00D30197" w:rsidRPr="008F1125">
        <w:rPr>
          <w:lang w:val="sr-Latn-RS" w:bidi="sr-Latn-RS"/>
        </w:rPr>
        <w:t>j</w:t>
      </w:r>
      <w:r w:rsidRPr="008F1125">
        <w:rPr>
          <w:lang w:val="sr-Latn-RS" w:bidi="sr-Latn-RS"/>
        </w:rPr>
        <w:t>esec (raspon:  od 2,3 ned</w:t>
      </w:r>
      <w:r w:rsidR="003F742D">
        <w:rPr>
          <w:lang w:val="sr-Latn-RS" w:bidi="sr-Latn-RS"/>
        </w:rPr>
        <w:t>j</w:t>
      </w:r>
      <w:r w:rsidRPr="008F1125">
        <w:rPr>
          <w:lang w:val="sr-Latn-RS" w:bidi="sr-Latn-RS"/>
        </w:rPr>
        <w:t xml:space="preserve">elje do 14 </w:t>
      </w:r>
      <w:r w:rsidR="00B27CC7" w:rsidRPr="008F1125">
        <w:rPr>
          <w:lang w:val="sr-Latn-RS" w:bidi="sr-Latn-RS"/>
        </w:rPr>
        <w:t>mjeseci</w:t>
      </w:r>
      <w:r w:rsidRPr="008F1125">
        <w:rPr>
          <w:lang w:val="sr-Latn-RS" w:bidi="sr-Latn-RS"/>
        </w:rPr>
        <w:t xml:space="preserve">). Medijana trajanja iznosila je 1,6 nedelja (raspon:  od 1 dana do više od 9 </w:t>
      </w:r>
      <w:r w:rsidR="00B27CC7" w:rsidRPr="008F1125">
        <w:rPr>
          <w:lang w:val="sr-Latn-RS" w:bidi="sr-Latn-RS"/>
        </w:rPr>
        <w:t>mjeseci</w:t>
      </w:r>
      <w:r w:rsidRPr="008F1125">
        <w:rPr>
          <w:lang w:val="sr-Latn-RS" w:bidi="sr-Latn-RS"/>
        </w:rPr>
        <w:t>).</w:t>
      </w:r>
    </w:p>
    <w:p w14:paraId="1FB63558" w14:textId="77777777" w:rsidR="00CC2596" w:rsidRPr="008F1125" w:rsidRDefault="00CC2596" w:rsidP="00577413">
      <w:pPr>
        <w:rPr>
          <w:szCs w:val="22"/>
          <w:lang w:val="sr-Latn-RS"/>
        </w:rPr>
      </w:pPr>
    </w:p>
    <w:p w14:paraId="1FB63559" w14:textId="746A23DA" w:rsidR="00CC2596" w:rsidRPr="008F1125" w:rsidRDefault="00926926" w:rsidP="003D55E0">
      <w:pPr>
        <w:tabs>
          <w:tab w:val="clear" w:pos="567"/>
        </w:tabs>
        <w:autoSpaceDE w:val="0"/>
        <w:autoSpaceDN w:val="0"/>
        <w:adjustRightInd w:val="0"/>
        <w:jc w:val="both"/>
        <w:rPr>
          <w:szCs w:val="22"/>
          <w:lang w:val="sr-Latn-RS" w:eastAsia="en-GB"/>
        </w:rPr>
      </w:pPr>
      <w:r w:rsidRPr="008F1125">
        <w:rPr>
          <w:lang w:val="sr-Latn-RS" w:bidi="sr-Latn-RS"/>
        </w:rPr>
        <w:t>Prim</w:t>
      </w:r>
      <w:r w:rsidR="009A1F78">
        <w:rPr>
          <w:lang w:val="sr-Latn-RS" w:bidi="sr-Latn-RS"/>
        </w:rPr>
        <w:t>j</w:t>
      </w:r>
      <w:r w:rsidRPr="008F1125">
        <w:rPr>
          <w:lang w:val="sr-Latn-RS" w:bidi="sr-Latn-RS"/>
        </w:rPr>
        <w:t xml:space="preserve">ena avelumaba prekinuta je zbog imunološki posredovanog kolitisa kod 0,4% (2/489) pacijenata. Svih 13 pacijenata sa imunološki posredovanim kolitisom, primali su kortikosteroide, a 12 (92.3%) pacijenata od ukupno 13 primalo je visoku dozu kortikosteroida tokom medijane od 2,3 dana (raspon:  od 5 dana do 4,6 </w:t>
      </w:r>
      <w:r w:rsidR="00B27CC7" w:rsidRPr="008F1125">
        <w:rPr>
          <w:lang w:val="sr-Latn-RS" w:bidi="sr-Latn-RS"/>
        </w:rPr>
        <w:t>mjeseci</w:t>
      </w:r>
      <w:r w:rsidRPr="008F1125">
        <w:rPr>
          <w:lang w:val="sr-Latn-RS" w:bidi="sr-Latn-RS"/>
        </w:rPr>
        <w:t>). Imunološki posredovan kolitis povukao se kod 10 (76,9%) od 13 pacijenata u vr</w:t>
      </w:r>
      <w:r w:rsidR="00E74CD9" w:rsidRPr="008F1125">
        <w:rPr>
          <w:lang w:val="sr-Latn-RS" w:bidi="sr-Latn-RS"/>
        </w:rPr>
        <w:t>ij</w:t>
      </w:r>
      <w:r w:rsidRPr="008F1125">
        <w:rPr>
          <w:lang w:val="sr-Latn-RS" w:bidi="sr-Latn-RS"/>
        </w:rPr>
        <w:t>eme prestanka prikupljanja podataka.</w:t>
      </w:r>
    </w:p>
    <w:p w14:paraId="1FB6355A" w14:textId="77777777" w:rsidR="00CC2596" w:rsidRPr="008F1125" w:rsidRDefault="00CC2596" w:rsidP="00577413">
      <w:pPr>
        <w:tabs>
          <w:tab w:val="clear" w:pos="567"/>
        </w:tabs>
        <w:autoSpaceDE w:val="0"/>
        <w:autoSpaceDN w:val="0"/>
        <w:adjustRightInd w:val="0"/>
        <w:rPr>
          <w:szCs w:val="22"/>
          <w:lang w:val="sr-Latn-RS"/>
        </w:rPr>
      </w:pPr>
    </w:p>
    <w:p w14:paraId="1FB6355B" w14:textId="77777777" w:rsidR="00CC2596" w:rsidRPr="008F1125" w:rsidRDefault="00926926" w:rsidP="00577413">
      <w:pPr>
        <w:keepNext/>
        <w:tabs>
          <w:tab w:val="clear" w:pos="567"/>
        </w:tabs>
        <w:autoSpaceDE w:val="0"/>
        <w:autoSpaceDN w:val="0"/>
        <w:adjustRightInd w:val="0"/>
        <w:rPr>
          <w:i/>
          <w:iCs/>
          <w:szCs w:val="22"/>
          <w:u w:val="single"/>
          <w:lang w:val="sr-Latn-RS"/>
        </w:rPr>
      </w:pPr>
      <w:r w:rsidRPr="008F1125">
        <w:rPr>
          <w:i/>
          <w:u w:val="single"/>
          <w:lang w:val="sr-Latn-RS" w:bidi="sr-Latn-RS"/>
        </w:rPr>
        <w:t>Imunološki posredovan pankreatitis</w:t>
      </w:r>
    </w:p>
    <w:p w14:paraId="1FB6355C" w14:textId="4597E0DC" w:rsidR="00CC2596" w:rsidRPr="008F1125" w:rsidRDefault="00926926" w:rsidP="003D55E0">
      <w:pPr>
        <w:keepNext/>
        <w:keepLines/>
        <w:tabs>
          <w:tab w:val="clear" w:pos="567"/>
        </w:tabs>
        <w:autoSpaceDE w:val="0"/>
        <w:autoSpaceDN w:val="0"/>
        <w:adjustRightInd w:val="0"/>
        <w:jc w:val="both"/>
        <w:rPr>
          <w:iCs/>
          <w:szCs w:val="22"/>
          <w:lang w:val="sr-Latn-RS"/>
        </w:rPr>
      </w:pPr>
      <w:r w:rsidRPr="008F1125">
        <w:rPr>
          <w:lang w:val="sr-Latn-RS" w:bidi="sr-Latn-RS"/>
        </w:rPr>
        <w:t>Kod pacijenata koji su primali avelumab kao monoterapiju, imunološki posredovan pankreatitis javio se kod manje od 1% (1/4000) pacijenata u kliničkim ispitivanjima više vrsta tumora i kod 0,6% (3/489)</w:t>
      </w:r>
      <w:r w:rsidR="005B2DBD">
        <w:rPr>
          <w:lang w:val="sr-Latn-RS" w:bidi="sr-Latn-RS"/>
        </w:rPr>
        <w:t xml:space="preserve"> </w:t>
      </w:r>
      <w:r w:rsidRPr="008F1125">
        <w:rPr>
          <w:lang w:val="sr-Latn-RS" w:bidi="sr-Latn-RS"/>
        </w:rPr>
        <w:t>pacijenata koji su primali avelumab u kombinaciji s aksitinibom, uključujući i 2 (0,4 %) pacijenta sa smrtnim ishodom.</w:t>
      </w:r>
    </w:p>
    <w:p w14:paraId="1FB6355D" w14:textId="77777777" w:rsidR="00CC2596" w:rsidRPr="008F1125" w:rsidRDefault="00CC2596" w:rsidP="00577413">
      <w:pPr>
        <w:tabs>
          <w:tab w:val="clear" w:pos="567"/>
        </w:tabs>
        <w:autoSpaceDE w:val="0"/>
        <w:autoSpaceDN w:val="0"/>
        <w:adjustRightInd w:val="0"/>
        <w:rPr>
          <w:rFonts w:eastAsia="SimSun"/>
          <w:szCs w:val="22"/>
          <w:lang w:val="sr-Latn-RS" w:eastAsia="en-GB"/>
        </w:rPr>
      </w:pPr>
    </w:p>
    <w:p w14:paraId="1FB6355E" w14:textId="77777777" w:rsidR="00CC2596" w:rsidRPr="008F1125" w:rsidRDefault="00926926" w:rsidP="00577413">
      <w:pPr>
        <w:keepNext/>
        <w:keepLines/>
        <w:tabs>
          <w:tab w:val="clear" w:pos="567"/>
        </w:tabs>
        <w:autoSpaceDE w:val="0"/>
        <w:autoSpaceDN w:val="0"/>
        <w:adjustRightInd w:val="0"/>
        <w:rPr>
          <w:i/>
          <w:iCs/>
          <w:szCs w:val="22"/>
          <w:u w:val="single"/>
          <w:lang w:val="sr-Latn-RS"/>
        </w:rPr>
      </w:pPr>
      <w:r w:rsidRPr="008F1125">
        <w:rPr>
          <w:i/>
          <w:u w:val="single"/>
          <w:lang w:val="sr-Latn-RS" w:bidi="sr-Latn-RS"/>
        </w:rPr>
        <w:t>Imunološki posredovan miokarditis</w:t>
      </w:r>
    </w:p>
    <w:p w14:paraId="1780CC7C" w14:textId="6E9A3D86" w:rsidR="0061414F" w:rsidRPr="008F1125" w:rsidRDefault="00926926" w:rsidP="003D55E0">
      <w:pPr>
        <w:keepNext/>
        <w:keepLines/>
        <w:tabs>
          <w:tab w:val="clear" w:pos="567"/>
        </w:tabs>
        <w:autoSpaceDE w:val="0"/>
        <w:autoSpaceDN w:val="0"/>
        <w:adjustRightInd w:val="0"/>
        <w:jc w:val="both"/>
        <w:rPr>
          <w:strike/>
          <w:szCs w:val="22"/>
          <w:lang w:val="sr-Latn-RS" w:eastAsia="en-GB"/>
        </w:rPr>
      </w:pPr>
      <w:r w:rsidRPr="008F1125">
        <w:rPr>
          <w:lang w:val="sr-Latn-RS" w:bidi="sr-Latn-RS"/>
        </w:rPr>
        <w:t>Kod pacijenata koji su primali avelumab kao monoterapiju, imunološki posredovan miokarditis javio se kod manje od 1% (5/4000) pacijenata u kliničkim ispitivanjima više vrsta tumora i kod 0,6% (3/489)</w:t>
      </w:r>
      <w:r w:rsidR="00F0761E">
        <w:rPr>
          <w:lang w:val="sr-Latn-RS" w:bidi="sr-Latn-RS"/>
        </w:rPr>
        <w:t xml:space="preserve"> </w:t>
      </w:r>
      <w:r w:rsidRPr="008F1125">
        <w:rPr>
          <w:lang w:val="sr-Latn-RS" w:bidi="sr-Latn-RS"/>
        </w:rPr>
        <w:t>pacijenata koji su primali avelumab u kombinaciji s aksitinibom, uključujući i 2 (0,4 %) pacijenta sa smrtnim ishodom.</w:t>
      </w:r>
    </w:p>
    <w:p w14:paraId="1FB63560" w14:textId="77777777" w:rsidR="00CC2596" w:rsidRPr="008F1125" w:rsidRDefault="00CC2596" w:rsidP="003D55E0">
      <w:pPr>
        <w:tabs>
          <w:tab w:val="clear" w:pos="567"/>
        </w:tabs>
        <w:autoSpaceDE w:val="0"/>
        <w:autoSpaceDN w:val="0"/>
        <w:adjustRightInd w:val="0"/>
        <w:jc w:val="both"/>
        <w:rPr>
          <w:szCs w:val="22"/>
          <w:lang w:val="sr-Latn-RS"/>
        </w:rPr>
      </w:pPr>
    </w:p>
    <w:p w14:paraId="1FB63561" w14:textId="77777777" w:rsidR="00125FA2" w:rsidRPr="008F1125" w:rsidRDefault="00926926" w:rsidP="00577413">
      <w:pPr>
        <w:keepNext/>
        <w:keepLines/>
        <w:tabs>
          <w:tab w:val="clear" w:pos="567"/>
        </w:tabs>
        <w:autoSpaceDE w:val="0"/>
        <w:autoSpaceDN w:val="0"/>
        <w:adjustRightInd w:val="0"/>
        <w:rPr>
          <w:rFonts w:eastAsia="SimSun"/>
          <w:i/>
          <w:iCs/>
          <w:szCs w:val="22"/>
          <w:u w:val="single"/>
          <w:lang w:val="sr-Latn-RS" w:eastAsia="en-GB"/>
        </w:rPr>
      </w:pPr>
      <w:r w:rsidRPr="008F1125">
        <w:rPr>
          <w:i/>
          <w:u w:val="single"/>
          <w:lang w:val="sr-Latn-RS" w:bidi="sr-Latn-RS"/>
        </w:rPr>
        <w:t>Imunološki posredovane endokrinopatije</w:t>
      </w:r>
    </w:p>
    <w:p w14:paraId="1FB63562" w14:textId="24545332" w:rsidR="004E675F" w:rsidRPr="008F1125" w:rsidRDefault="00926926" w:rsidP="00577413">
      <w:pPr>
        <w:keepNext/>
        <w:keepLines/>
        <w:rPr>
          <w:i/>
          <w:szCs w:val="22"/>
          <w:lang w:val="sr-Latn-RS"/>
        </w:rPr>
      </w:pPr>
      <w:r w:rsidRPr="008F1125">
        <w:rPr>
          <w:i/>
          <w:lang w:val="sr-Latn-RS" w:bidi="sr-Latn-RS"/>
        </w:rPr>
        <w:t>Poremećaji štitne žl</w:t>
      </w:r>
      <w:r w:rsidR="005567A4">
        <w:rPr>
          <w:i/>
          <w:lang w:val="sr-Latn-RS" w:bidi="sr-Latn-RS"/>
        </w:rPr>
        <w:t>ij</w:t>
      </w:r>
      <w:r w:rsidRPr="008F1125">
        <w:rPr>
          <w:i/>
          <w:lang w:val="sr-Latn-RS" w:bidi="sr-Latn-RS"/>
        </w:rPr>
        <w:t>ezde</w:t>
      </w:r>
    </w:p>
    <w:p w14:paraId="1FB63563" w14:textId="4073B63B" w:rsidR="00FD5E16" w:rsidRPr="008F1125" w:rsidRDefault="00926926" w:rsidP="003D55E0">
      <w:pPr>
        <w:keepNext/>
        <w:keepLines/>
        <w:jc w:val="both"/>
        <w:rPr>
          <w:szCs w:val="22"/>
          <w:lang w:val="sr-Latn-RS"/>
        </w:rPr>
      </w:pPr>
      <w:r w:rsidRPr="008F1125">
        <w:rPr>
          <w:lang w:val="sr-Latn-RS" w:bidi="sr-Latn-RS"/>
        </w:rPr>
        <w:t xml:space="preserve">Kod pacijenata koji su primali avelumab kao monoterapiju, </w:t>
      </w:r>
      <w:r w:rsidR="009F1E1A" w:rsidRPr="008F1125">
        <w:rPr>
          <w:lang w:val="sr-Latn-RS" w:bidi="sr-Latn-RS"/>
        </w:rPr>
        <w:t>6,</w:t>
      </w:r>
      <w:r w:rsidR="00AF7BA5" w:rsidRPr="008F1125">
        <w:rPr>
          <w:lang w:val="sr-Latn-RS" w:bidi="sr-Latn-RS"/>
        </w:rPr>
        <w:t>7</w:t>
      </w:r>
      <w:r w:rsidRPr="008F1125">
        <w:rPr>
          <w:lang w:val="sr-Latn-RS" w:bidi="sr-Latn-RS"/>
        </w:rPr>
        <w:t>% (</w:t>
      </w:r>
      <w:r w:rsidR="00AF7BA5" w:rsidRPr="008F1125">
        <w:rPr>
          <w:lang w:val="sr-Latn-RS" w:bidi="sr-Latn-RS"/>
        </w:rPr>
        <w:t>140</w:t>
      </w:r>
      <w:r w:rsidRPr="008F1125">
        <w:rPr>
          <w:lang w:val="sr-Latn-RS" w:bidi="sr-Latn-RS"/>
        </w:rPr>
        <w:t>/</w:t>
      </w:r>
      <w:r w:rsidR="00AF7BA5" w:rsidRPr="008F1125">
        <w:rPr>
          <w:lang w:val="sr-Latn-RS" w:bidi="sr-Latn-RS"/>
        </w:rPr>
        <w:t>2082</w:t>
      </w:r>
      <w:r w:rsidRPr="008F1125">
        <w:rPr>
          <w:lang w:val="sr-Latn-RS" w:bidi="sr-Latn-RS"/>
        </w:rPr>
        <w:t>) pacijenata razvilo je imunološki posredovane poremećaje štitne žl</w:t>
      </w:r>
      <w:r w:rsidR="005567A4">
        <w:rPr>
          <w:lang w:val="sr-Latn-RS" w:bidi="sr-Latn-RS"/>
        </w:rPr>
        <w:t>ij</w:t>
      </w:r>
      <w:r w:rsidRPr="008F1125">
        <w:rPr>
          <w:lang w:val="sr-Latn-RS" w:bidi="sr-Latn-RS"/>
        </w:rPr>
        <w:t xml:space="preserve">ezde, što je uključivalo njih </w:t>
      </w:r>
      <w:r w:rsidR="00AF7BA5" w:rsidRPr="008F1125">
        <w:rPr>
          <w:lang w:val="sr-Latn-RS" w:bidi="sr-Latn-RS"/>
        </w:rPr>
        <w:t>127</w:t>
      </w:r>
      <w:r w:rsidRPr="008F1125">
        <w:rPr>
          <w:lang w:val="sr-Latn-RS" w:bidi="sr-Latn-RS"/>
        </w:rPr>
        <w:t xml:space="preserve"> (</w:t>
      </w:r>
      <w:r w:rsidR="00AF7BA5" w:rsidRPr="008F1125">
        <w:rPr>
          <w:lang w:val="sr-Latn-RS" w:bidi="sr-Latn-RS"/>
        </w:rPr>
        <w:t>6,1</w:t>
      </w:r>
      <w:r w:rsidRPr="008F1125">
        <w:rPr>
          <w:lang w:val="sr-Latn-RS" w:bidi="sr-Latn-RS"/>
        </w:rPr>
        <w:t xml:space="preserve">%) sa hipotireozom, </w:t>
      </w:r>
      <w:r w:rsidR="00AF7BA5" w:rsidRPr="008F1125">
        <w:rPr>
          <w:lang w:val="sr-Latn-RS" w:bidi="sr-Latn-RS"/>
        </w:rPr>
        <w:t>23</w:t>
      </w:r>
      <w:r w:rsidRPr="008F1125">
        <w:rPr>
          <w:lang w:val="sr-Latn-RS" w:bidi="sr-Latn-RS"/>
        </w:rPr>
        <w:t xml:space="preserve"> (</w:t>
      </w:r>
      <w:r w:rsidR="00AF7BA5" w:rsidRPr="008F1125">
        <w:rPr>
          <w:lang w:val="sr-Latn-RS" w:bidi="sr-Latn-RS"/>
        </w:rPr>
        <w:t>1,1</w:t>
      </w:r>
      <w:r w:rsidRPr="008F1125">
        <w:rPr>
          <w:lang w:val="sr-Latn-RS" w:bidi="sr-Latn-RS"/>
        </w:rPr>
        <w:t xml:space="preserve">%) sa hipertireozom i </w:t>
      </w:r>
      <w:r w:rsidR="00AF7BA5" w:rsidRPr="008F1125">
        <w:rPr>
          <w:lang w:val="sr-Latn-RS" w:bidi="sr-Latn-RS"/>
        </w:rPr>
        <w:t>7 (0,3</w:t>
      </w:r>
      <w:r w:rsidRPr="008F1125">
        <w:rPr>
          <w:lang w:val="sr-Latn-RS" w:bidi="sr-Latn-RS"/>
        </w:rPr>
        <w:t xml:space="preserve">%) sa tireoiditisom. Među tim pacijentima, njih </w:t>
      </w:r>
      <w:r w:rsidR="00BA45E4" w:rsidRPr="008F1125">
        <w:rPr>
          <w:lang w:val="sr-Latn-RS" w:bidi="sr-Latn-RS"/>
        </w:rPr>
        <w:t>4</w:t>
      </w:r>
      <w:r w:rsidRPr="008F1125">
        <w:rPr>
          <w:lang w:val="sr-Latn-RS" w:bidi="sr-Latn-RS"/>
        </w:rPr>
        <w:t xml:space="preserve"> (0,2 %) imalo je imunološki posredovane</w:t>
      </w:r>
      <w:r w:rsidR="00D00B9D" w:rsidRPr="008F1125">
        <w:rPr>
          <w:lang w:val="sr-Latn-RS" w:bidi="sr-Latn-RS"/>
        </w:rPr>
        <w:t xml:space="preserve"> </w:t>
      </w:r>
      <w:r w:rsidRPr="008F1125">
        <w:rPr>
          <w:lang w:val="sr-Latn-RS" w:bidi="sr-Latn-RS"/>
        </w:rPr>
        <w:t>poremećaje štitne žl</w:t>
      </w:r>
      <w:r w:rsidR="005567A4">
        <w:rPr>
          <w:lang w:val="sr-Latn-RS" w:bidi="sr-Latn-RS"/>
        </w:rPr>
        <w:t>ij</w:t>
      </w:r>
      <w:r w:rsidRPr="008F1125">
        <w:rPr>
          <w:lang w:val="sr-Latn-RS" w:bidi="sr-Latn-RS"/>
        </w:rPr>
        <w:t>ezde 3. stepena.</w:t>
      </w:r>
    </w:p>
    <w:p w14:paraId="1FB63564" w14:textId="77777777" w:rsidR="00FD5E16" w:rsidRPr="008F1125" w:rsidRDefault="00FD5E16" w:rsidP="00577413">
      <w:pPr>
        <w:rPr>
          <w:szCs w:val="22"/>
          <w:lang w:val="sr-Latn-RS"/>
        </w:rPr>
      </w:pPr>
    </w:p>
    <w:p w14:paraId="1FB63565" w14:textId="1FDB463D" w:rsidR="00FD5E16" w:rsidRPr="008F1125" w:rsidRDefault="00926926" w:rsidP="003D55E0">
      <w:pPr>
        <w:jc w:val="both"/>
        <w:rPr>
          <w:i/>
          <w:szCs w:val="22"/>
          <w:lang w:val="sr-Latn-RS" w:eastAsia="en-GB"/>
        </w:rPr>
      </w:pPr>
      <w:r w:rsidRPr="008F1125">
        <w:rPr>
          <w:lang w:val="sr-Latn-RS" w:bidi="sr-Latn-RS"/>
        </w:rPr>
        <w:t>Medijana vremena do nastupa poremećaja štitne žl</w:t>
      </w:r>
      <w:r w:rsidR="005567A4">
        <w:rPr>
          <w:lang w:val="sr-Latn-RS" w:bidi="sr-Latn-RS"/>
        </w:rPr>
        <w:t>ij</w:t>
      </w:r>
      <w:r w:rsidRPr="008F1125">
        <w:rPr>
          <w:lang w:val="sr-Latn-RS" w:bidi="sr-Latn-RS"/>
        </w:rPr>
        <w:t xml:space="preserve">ezde iznosila je 2,8 </w:t>
      </w:r>
      <w:r w:rsidR="00B27CC7" w:rsidRPr="008F1125">
        <w:rPr>
          <w:lang w:val="sr-Latn-RS" w:bidi="sr-Latn-RS"/>
        </w:rPr>
        <w:t>mjeseci</w:t>
      </w:r>
      <w:r w:rsidRPr="008F1125">
        <w:rPr>
          <w:lang w:val="sr-Latn-RS" w:bidi="sr-Latn-RS"/>
        </w:rPr>
        <w:t xml:space="preserve"> (raspon:  od 2 ned</w:t>
      </w:r>
      <w:r w:rsidR="005567A4">
        <w:rPr>
          <w:lang w:val="sr-Latn-RS" w:bidi="sr-Latn-RS"/>
        </w:rPr>
        <w:t>j</w:t>
      </w:r>
      <w:r w:rsidRPr="008F1125">
        <w:rPr>
          <w:lang w:val="sr-Latn-RS" w:bidi="sr-Latn-RS"/>
        </w:rPr>
        <w:t>elje do 1</w:t>
      </w:r>
      <w:r w:rsidR="00BA45E4" w:rsidRPr="008F1125">
        <w:rPr>
          <w:lang w:val="sr-Latn-RS" w:bidi="sr-Latn-RS"/>
        </w:rPr>
        <w:t>2,8</w:t>
      </w:r>
      <w:r w:rsidRPr="008F1125">
        <w:rPr>
          <w:lang w:val="sr-Latn-RS" w:bidi="sr-Latn-RS"/>
        </w:rPr>
        <w:t xml:space="preserve"> </w:t>
      </w:r>
      <w:r w:rsidR="00B27CC7" w:rsidRPr="008F1125">
        <w:rPr>
          <w:lang w:val="sr-Latn-RS" w:bidi="sr-Latn-RS"/>
        </w:rPr>
        <w:t>mjeseci</w:t>
      </w:r>
      <w:r w:rsidRPr="008F1125">
        <w:rPr>
          <w:lang w:val="sr-Latn-RS" w:bidi="sr-Latn-RS"/>
        </w:rPr>
        <w:t xml:space="preserve">). Nije bilo moguće </w:t>
      </w:r>
      <w:r w:rsidR="00E74CD9" w:rsidRPr="008F1125">
        <w:rPr>
          <w:lang w:val="sr-Latn-RS" w:bidi="sr-Latn-RS"/>
        </w:rPr>
        <w:t>proc</w:t>
      </w:r>
      <w:r w:rsidR="005567A4">
        <w:rPr>
          <w:lang w:val="sr-Latn-RS" w:bidi="sr-Latn-RS"/>
        </w:rPr>
        <w:t>i</w:t>
      </w:r>
      <w:r w:rsidR="00E74CD9" w:rsidRPr="008F1125">
        <w:rPr>
          <w:lang w:val="sr-Latn-RS" w:bidi="sr-Latn-RS"/>
        </w:rPr>
        <w:t>jeni</w:t>
      </w:r>
      <w:r w:rsidRPr="008F1125">
        <w:rPr>
          <w:lang w:val="sr-Latn-RS" w:bidi="sr-Latn-RS"/>
        </w:rPr>
        <w:t xml:space="preserve">ti medijanu trajanja (raspon:  od </w:t>
      </w:r>
      <w:r w:rsidR="00BA45E4" w:rsidRPr="008F1125">
        <w:rPr>
          <w:lang w:val="sr-Latn-RS" w:bidi="sr-Latn-RS"/>
        </w:rPr>
        <w:t>3</w:t>
      </w:r>
      <w:r w:rsidRPr="008F1125">
        <w:rPr>
          <w:lang w:val="sr-Latn-RS" w:bidi="sr-Latn-RS"/>
        </w:rPr>
        <w:t xml:space="preserve"> dana do više od 2</w:t>
      </w:r>
      <w:r w:rsidR="00BA45E4" w:rsidRPr="008F1125">
        <w:rPr>
          <w:lang w:val="sr-Latn-RS" w:bidi="sr-Latn-RS"/>
        </w:rPr>
        <w:t>7,</w:t>
      </w:r>
      <w:r w:rsidRPr="008F1125">
        <w:rPr>
          <w:lang w:val="sr-Latn-RS" w:bidi="sr-Latn-RS"/>
        </w:rPr>
        <w:t xml:space="preserve">6 </w:t>
      </w:r>
      <w:r w:rsidR="00B27CC7" w:rsidRPr="008F1125">
        <w:rPr>
          <w:lang w:val="sr-Latn-RS" w:bidi="sr-Latn-RS"/>
        </w:rPr>
        <w:t>mjeseci</w:t>
      </w:r>
      <w:r w:rsidRPr="008F1125">
        <w:rPr>
          <w:lang w:val="sr-Latn-RS" w:bidi="sr-Latn-RS"/>
        </w:rPr>
        <w:t>).</w:t>
      </w:r>
    </w:p>
    <w:p w14:paraId="1FB63566" w14:textId="77777777" w:rsidR="00FD5E16" w:rsidRPr="008F1125" w:rsidRDefault="00FD5E16" w:rsidP="003D55E0">
      <w:pPr>
        <w:jc w:val="both"/>
        <w:rPr>
          <w:iCs/>
          <w:szCs w:val="22"/>
          <w:lang w:val="sr-Latn-RS" w:eastAsia="en-GB"/>
        </w:rPr>
      </w:pPr>
    </w:p>
    <w:p w14:paraId="1FB63567" w14:textId="00B89732" w:rsidR="00FD5E16" w:rsidRPr="008F1125" w:rsidRDefault="00926926" w:rsidP="003D55E0">
      <w:pPr>
        <w:jc w:val="both"/>
        <w:rPr>
          <w:szCs w:val="22"/>
          <w:lang w:val="sr-Latn-RS" w:eastAsia="en-GB"/>
        </w:rPr>
      </w:pPr>
      <w:r w:rsidRPr="008F1125">
        <w:rPr>
          <w:lang w:val="sr-Latn-RS" w:bidi="sr-Latn-RS"/>
        </w:rPr>
        <w:lastRenderedPageBreak/>
        <w:t>Prim</w:t>
      </w:r>
      <w:r w:rsidR="00515B67" w:rsidRPr="008F1125">
        <w:rPr>
          <w:lang w:val="sr-Latn-RS" w:bidi="sr-Latn-RS"/>
        </w:rPr>
        <w:t>j</w:t>
      </w:r>
      <w:r w:rsidRPr="008F1125">
        <w:rPr>
          <w:lang w:val="sr-Latn-RS" w:bidi="sr-Latn-RS"/>
        </w:rPr>
        <w:t>ena avelumaba prekinuta je zbog imunološki posredovanih poremećaja štitne žl</w:t>
      </w:r>
      <w:r w:rsidR="00D852B9">
        <w:rPr>
          <w:lang w:val="sr-Latn-RS" w:bidi="sr-Latn-RS"/>
        </w:rPr>
        <w:t>ij</w:t>
      </w:r>
      <w:r w:rsidRPr="008F1125">
        <w:rPr>
          <w:lang w:val="sr-Latn-RS" w:bidi="sr-Latn-RS"/>
        </w:rPr>
        <w:t>ezde kod 0,</w:t>
      </w:r>
      <w:r w:rsidR="003076F5" w:rsidRPr="008F1125">
        <w:rPr>
          <w:lang w:val="sr-Latn-RS" w:bidi="sr-Latn-RS"/>
        </w:rPr>
        <w:t>2% (4</w:t>
      </w:r>
      <w:r w:rsidRPr="008F1125">
        <w:rPr>
          <w:lang w:val="sr-Latn-RS" w:bidi="sr-Latn-RS"/>
        </w:rPr>
        <w:t>/</w:t>
      </w:r>
      <w:r w:rsidR="003076F5" w:rsidRPr="008F1125">
        <w:rPr>
          <w:lang w:val="sr-Latn-RS" w:bidi="sr-Latn-RS"/>
        </w:rPr>
        <w:t>2082</w:t>
      </w:r>
      <w:r w:rsidRPr="008F1125">
        <w:rPr>
          <w:lang w:val="sr-Latn-RS" w:bidi="sr-Latn-RS"/>
        </w:rPr>
        <w:t>) pacijenata. Poremećaji štitne žl</w:t>
      </w:r>
      <w:r w:rsidR="00D852B9">
        <w:rPr>
          <w:lang w:val="sr-Latn-RS" w:bidi="sr-Latn-RS"/>
        </w:rPr>
        <w:t>ij</w:t>
      </w:r>
      <w:r w:rsidRPr="008F1125">
        <w:rPr>
          <w:lang w:val="sr-Latn-RS" w:bidi="sr-Latn-RS"/>
        </w:rPr>
        <w:t xml:space="preserve">ezde povukli su se kod </w:t>
      </w:r>
      <w:r w:rsidR="00043D3C" w:rsidRPr="008F1125">
        <w:rPr>
          <w:lang w:val="sr-Latn-RS" w:bidi="sr-Latn-RS"/>
        </w:rPr>
        <w:t>14</w:t>
      </w:r>
      <w:r w:rsidRPr="008F1125">
        <w:rPr>
          <w:lang w:val="sr-Latn-RS" w:bidi="sr-Latn-RS"/>
        </w:rPr>
        <w:t xml:space="preserve"> (</w:t>
      </w:r>
      <w:r w:rsidR="00043D3C" w:rsidRPr="008F1125">
        <w:rPr>
          <w:lang w:val="sr-Latn-RS" w:bidi="sr-Latn-RS"/>
        </w:rPr>
        <w:t>10</w:t>
      </w:r>
      <w:r w:rsidRPr="008F1125">
        <w:rPr>
          <w:lang w:val="sr-Latn-RS" w:bidi="sr-Latn-RS"/>
        </w:rPr>
        <w:t xml:space="preserve">%) od </w:t>
      </w:r>
      <w:r w:rsidR="00043D3C" w:rsidRPr="008F1125">
        <w:rPr>
          <w:lang w:val="sr-Latn-RS" w:bidi="sr-Latn-RS"/>
        </w:rPr>
        <w:t>140</w:t>
      </w:r>
      <w:r w:rsidRPr="008F1125">
        <w:rPr>
          <w:lang w:val="sr-Latn-RS" w:bidi="sr-Latn-RS"/>
        </w:rPr>
        <w:t xml:space="preserve"> pacijenata u vr</w:t>
      </w:r>
      <w:r w:rsidR="00D852B9">
        <w:rPr>
          <w:lang w:val="sr-Latn-RS" w:bidi="sr-Latn-RS"/>
        </w:rPr>
        <w:t>ij</w:t>
      </w:r>
      <w:r w:rsidRPr="008F1125">
        <w:rPr>
          <w:lang w:val="sr-Latn-RS" w:bidi="sr-Latn-RS"/>
        </w:rPr>
        <w:t>eme prestanka prikupljanja podataka.</w:t>
      </w:r>
    </w:p>
    <w:p w14:paraId="1FB63568" w14:textId="77777777" w:rsidR="004E675F" w:rsidRPr="008F1125" w:rsidRDefault="004E675F" w:rsidP="003D55E0">
      <w:pPr>
        <w:autoSpaceDE w:val="0"/>
        <w:autoSpaceDN w:val="0"/>
        <w:adjustRightInd w:val="0"/>
        <w:jc w:val="both"/>
        <w:rPr>
          <w:szCs w:val="22"/>
          <w:lang w:val="sr-Latn-RS" w:eastAsia="en-GB"/>
        </w:rPr>
      </w:pPr>
    </w:p>
    <w:p w14:paraId="1FB63569" w14:textId="2E372335" w:rsidR="00CC2596" w:rsidRPr="008F1125" w:rsidRDefault="00926926" w:rsidP="003D55E0">
      <w:pPr>
        <w:jc w:val="both"/>
        <w:rPr>
          <w:szCs w:val="22"/>
          <w:lang w:val="sr-Latn-RS"/>
        </w:rPr>
      </w:pPr>
      <w:r w:rsidRPr="008F1125">
        <w:rPr>
          <w:lang w:val="sr-Latn-RS" w:bidi="sr-Latn-RS"/>
        </w:rPr>
        <w:t>Kod pacijenata koji su primali avelumab kao monoterapiju, 24,7% (121/489) pacijenata razvilo je imunološki posredovane poremećaje štitne žl</w:t>
      </w:r>
      <w:r w:rsidR="00D852B9">
        <w:rPr>
          <w:lang w:val="sr-Latn-RS" w:bidi="sr-Latn-RS"/>
        </w:rPr>
        <w:t>ij</w:t>
      </w:r>
      <w:r w:rsidRPr="008F1125">
        <w:rPr>
          <w:lang w:val="sr-Latn-RS" w:bidi="sr-Latn-RS"/>
        </w:rPr>
        <w:t>ezde, što je uključivalo njih 111 (22,7%) sa hipotireozom, 17 (3,5%) sa hipertireozom i 7 (1,4%) sa tireoiditisom. Među tim pacijentima, njih 2 (0,4 %) imalo je imunološki posredovane</w:t>
      </w:r>
      <w:r w:rsidR="00D852B9">
        <w:rPr>
          <w:lang w:val="sr-Latn-RS" w:bidi="sr-Latn-RS"/>
        </w:rPr>
        <w:t xml:space="preserve"> </w:t>
      </w:r>
      <w:r w:rsidRPr="008F1125">
        <w:rPr>
          <w:lang w:val="sr-Latn-RS" w:bidi="sr-Latn-RS"/>
        </w:rPr>
        <w:t>poremećaje štitne žl</w:t>
      </w:r>
      <w:r w:rsidR="00D852B9">
        <w:rPr>
          <w:lang w:val="sr-Latn-RS" w:bidi="sr-Latn-RS"/>
        </w:rPr>
        <w:t>ij</w:t>
      </w:r>
      <w:r w:rsidRPr="008F1125">
        <w:rPr>
          <w:lang w:val="sr-Latn-RS" w:bidi="sr-Latn-RS"/>
        </w:rPr>
        <w:t>ezde 3. stepena.</w:t>
      </w:r>
    </w:p>
    <w:p w14:paraId="1FB6356A" w14:textId="77777777" w:rsidR="00CC2596" w:rsidRPr="008F1125" w:rsidRDefault="00CC2596" w:rsidP="003D55E0">
      <w:pPr>
        <w:jc w:val="both"/>
        <w:rPr>
          <w:szCs w:val="22"/>
          <w:lang w:val="sr-Latn-RS"/>
        </w:rPr>
      </w:pPr>
    </w:p>
    <w:p w14:paraId="1FB6356B" w14:textId="6F27A590" w:rsidR="00CC2596" w:rsidRPr="008F1125" w:rsidRDefault="00926926" w:rsidP="003D55E0">
      <w:pPr>
        <w:jc w:val="both"/>
        <w:rPr>
          <w:szCs w:val="22"/>
          <w:lang w:val="sr-Latn-RS"/>
        </w:rPr>
      </w:pPr>
      <w:r w:rsidRPr="008F1125">
        <w:rPr>
          <w:lang w:val="sr-Latn-RS" w:bidi="sr-Latn-RS"/>
        </w:rPr>
        <w:t>Medijana vremena do nastupa poremećaja štitne žl</w:t>
      </w:r>
      <w:r w:rsidR="00D852B9">
        <w:rPr>
          <w:lang w:val="sr-Latn-RS" w:bidi="sr-Latn-RS"/>
        </w:rPr>
        <w:t>ij</w:t>
      </w:r>
      <w:r w:rsidRPr="008F1125">
        <w:rPr>
          <w:lang w:val="sr-Latn-RS" w:bidi="sr-Latn-RS"/>
        </w:rPr>
        <w:t xml:space="preserve">ezde iznosila je 2,8 </w:t>
      </w:r>
      <w:r w:rsidR="00B27CC7" w:rsidRPr="008F1125">
        <w:rPr>
          <w:lang w:val="sr-Latn-RS" w:bidi="sr-Latn-RS"/>
        </w:rPr>
        <w:t>mjeseci</w:t>
      </w:r>
      <w:r w:rsidRPr="008F1125">
        <w:rPr>
          <w:lang w:val="sr-Latn-RS" w:bidi="sr-Latn-RS"/>
        </w:rPr>
        <w:t xml:space="preserve"> (raspon:  od 3,6 ned</w:t>
      </w:r>
      <w:r w:rsidR="003C0701" w:rsidRPr="008F1125">
        <w:rPr>
          <w:lang w:val="sr-Latn-RS" w:bidi="sr-Latn-RS"/>
        </w:rPr>
        <w:t>j</w:t>
      </w:r>
      <w:r w:rsidRPr="008F1125">
        <w:rPr>
          <w:lang w:val="sr-Latn-RS" w:bidi="sr-Latn-RS"/>
        </w:rPr>
        <w:t xml:space="preserve">elja do 19,3 </w:t>
      </w:r>
      <w:r w:rsidR="00B27CC7" w:rsidRPr="008F1125">
        <w:rPr>
          <w:lang w:val="sr-Latn-RS" w:bidi="sr-Latn-RS"/>
        </w:rPr>
        <w:t>mjeseci</w:t>
      </w:r>
      <w:r w:rsidRPr="008F1125">
        <w:rPr>
          <w:lang w:val="sr-Latn-RS" w:bidi="sr-Latn-RS"/>
        </w:rPr>
        <w:t xml:space="preserve">). Nije bilo moguće </w:t>
      </w:r>
      <w:r w:rsidR="00E74CD9" w:rsidRPr="008F1125">
        <w:rPr>
          <w:lang w:val="sr-Latn-RS" w:bidi="sr-Latn-RS"/>
        </w:rPr>
        <w:t>proc</w:t>
      </w:r>
      <w:r w:rsidR="00D852B9">
        <w:rPr>
          <w:lang w:val="sr-Latn-RS" w:bidi="sr-Latn-RS"/>
        </w:rPr>
        <w:t>i</w:t>
      </w:r>
      <w:r w:rsidR="00E74CD9" w:rsidRPr="008F1125">
        <w:rPr>
          <w:lang w:val="sr-Latn-RS" w:bidi="sr-Latn-RS"/>
        </w:rPr>
        <w:t>jeni</w:t>
      </w:r>
      <w:r w:rsidRPr="008F1125">
        <w:rPr>
          <w:lang w:val="sr-Latn-RS" w:bidi="sr-Latn-RS"/>
        </w:rPr>
        <w:t xml:space="preserve">ti medijanu trajanja (raspon:  od 8 dana do više od 23,9 </w:t>
      </w:r>
      <w:r w:rsidR="00B27CC7" w:rsidRPr="008F1125">
        <w:rPr>
          <w:lang w:val="sr-Latn-RS" w:bidi="sr-Latn-RS"/>
        </w:rPr>
        <w:t>mjeseci</w:t>
      </w:r>
      <w:r w:rsidRPr="008F1125">
        <w:rPr>
          <w:lang w:val="sr-Latn-RS" w:bidi="sr-Latn-RS"/>
        </w:rPr>
        <w:t>).</w:t>
      </w:r>
    </w:p>
    <w:p w14:paraId="1FB6356C" w14:textId="77777777" w:rsidR="00CC2596" w:rsidRPr="008F1125" w:rsidRDefault="00CC2596" w:rsidP="003D55E0">
      <w:pPr>
        <w:jc w:val="both"/>
        <w:rPr>
          <w:szCs w:val="22"/>
          <w:lang w:val="sr-Latn-RS"/>
        </w:rPr>
      </w:pPr>
    </w:p>
    <w:p w14:paraId="1FB6356D" w14:textId="440E8997" w:rsidR="00CC2596" w:rsidRPr="008F1125" w:rsidRDefault="00926926" w:rsidP="003D55E0">
      <w:pPr>
        <w:autoSpaceDE w:val="0"/>
        <w:autoSpaceDN w:val="0"/>
        <w:adjustRightInd w:val="0"/>
        <w:jc w:val="both"/>
        <w:rPr>
          <w:szCs w:val="22"/>
          <w:lang w:val="sr-Latn-RS" w:eastAsia="en-GB"/>
        </w:rPr>
      </w:pPr>
      <w:r w:rsidRPr="008F1125">
        <w:rPr>
          <w:lang w:val="sr-Latn-RS" w:bidi="sr-Latn-RS"/>
        </w:rPr>
        <w:t>Prim</w:t>
      </w:r>
      <w:r w:rsidR="00515B67" w:rsidRPr="008F1125">
        <w:rPr>
          <w:lang w:val="sr-Latn-RS" w:bidi="sr-Latn-RS"/>
        </w:rPr>
        <w:t>j</w:t>
      </w:r>
      <w:r w:rsidRPr="008F1125">
        <w:rPr>
          <w:lang w:val="sr-Latn-RS" w:bidi="sr-Latn-RS"/>
        </w:rPr>
        <w:t>ena avelumaba prekinuta je zbog imunološki posredovanih poremećaja štitne žl</w:t>
      </w:r>
      <w:r w:rsidR="00D852B9">
        <w:rPr>
          <w:lang w:val="sr-Latn-RS" w:bidi="sr-Latn-RS"/>
        </w:rPr>
        <w:t>ij</w:t>
      </w:r>
      <w:r w:rsidRPr="008F1125">
        <w:rPr>
          <w:lang w:val="sr-Latn-RS" w:bidi="sr-Latn-RS"/>
        </w:rPr>
        <w:t>ezde kod 0,2% (1/489) pacijenata. Poremećaji štitne žl</w:t>
      </w:r>
      <w:r w:rsidR="003C0701" w:rsidRPr="008F1125">
        <w:rPr>
          <w:lang w:val="sr-Latn-RS" w:bidi="sr-Latn-RS"/>
        </w:rPr>
        <w:t>ij</w:t>
      </w:r>
      <w:r w:rsidRPr="008F1125">
        <w:rPr>
          <w:lang w:val="sr-Latn-RS" w:bidi="sr-Latn-RS"/>
        </w:rPr>
        <w:t>ezde povukli su se kod 15 (12,4%) od 121 pacijenta u vr</w:t>
      </w:r>
      <w:r w:rsidR="003C0701" w:rsidRPr="008F1125">
        <w:rPr>
          <w:lang w:val="sr-Latn-RS" w:bidi="sr-Latn-RS"/>
        </w:rPr>
        <w:t>ij</w:t>
      </w:r>
      <w:r w:rsidRPr="008F1125">
        <w:rPr>
          <w:lang w:val="sr-Latn-RS" w:bidi="sr-Latn-RS"/>
        </w:rPr>
        <w:t>eme prestanka prikupljanja podataka.</w:t>
      </w:r>
    </w:p>
    <w:p w14:paraId="1FB6356E" w14:textId="77777777" w:rsidR="00CC2596" w:rsidRPr="008F1125" w:rsidRDefault="00CC2596" w:rsidP="003D55E0">
      <w:pPr>
        <w:autoSpaceDE w:val="0"/>
        <w:autoSpaceDN w:val="0"/>
        <w:adjustRightInd w:val="0"/>
        <w:jc w:val="both"/>
        <w:rPr>
          <w:szCs w:val="22"/>
          <w:lang w:val="sr-Latn-RS" w:eastAsia="en-GB"/>
        </w:rPr>
      </w:pPr>
    </w:p>
    <w:p w14:paraId="1FB6356F" w14:textId="77777777" w:rsidR="004E675F" w:rsidRPr="008F1125" w:rsidRDefault="00926926" w:rsidP="003D55E0">
      <w:pPr>
        <w:keepNext/>
        <w:keepLines/>
        <w:autoSpaceDE w:val="0"/>
        <w:autoSpaceDN w:val="0"/>
        <w:adjustRightInd w:val="0"/>
        <w:jc w:val="both"/>
        <w:rPr>
          <w:i/>
          <w:iCs/>
          <w:szCs w:val="22"/>
          <w:lang w:val="sr-Latn-RS" w:eastAsia="en-GB"/>
        </w:rPr>
      </w:pPr>
      <w:r w:rsidRPr="008F1125">
        <w:rPr>
          <w:i/>
          <w:lang w:val="sr-Latn-RS" w:bidi="sr-Latn-RS"/>
        </w:rPr>
        <w:t>Adrenalna insuficijencija</w:t>
      </w:r>
    </w:p>
    <w:p w14:paraId="1FB63570" w14:textId="72989874" w:rsidR="00FD5E16" w:rsidRPr="008F1125" w:rsidRDefault="00926926" w:rsidP="003D55E0">
      <w:pPr>
        <w:keepNext/>
        <w:keepLines/>
        <w:jc w:val="both"/>
        <w:rPr>
          <w:szCs w:val="22"/>
          <w:lang w:val="sr-Latn-RS" w:eastAsia="en-GB"/>
        </w:rPr>
      </w:pPr>
      <w:r w:rsidRPr="008F1125">
        <w:rPr>
          <w:lang w:val="sr-Latn-RS" w:bidi="sr-Latn-RS"/>
        </w:rPr>
        <w:t>Kod pacijenata koji su primali av</w:t>
      </w:r>
      <w:r w:rsidR="00DE497A" w:rsidRPr="008F1125">
        <w:rPr>
          <w:lang w:val="sr-Latn-RS" w:bidi="sr-Latn-RS"/>
        </w:rPr>
        <w:t>elumab kao monoterapiju, 0,5% (11</w:t>
      </w:r>
      <w:r w:rsidRPr="008F1125">
        <w:rPr>
          <w:lang w:val="sr-Latn-RS" w:bidi="sr-Latn-RS"/>
        </w:rPr>
        <w:t>/</w:t>
      </w:r>
      <w:r w:rsidR="00DE497A" w:rsidRPr="008F1125">
        <w:rPr>
          <w:lang w:val="sr-Latn-RS" w:bidi="sr-Latn-RS"/>
        </w:rPr>
        <w:t>2082</w:t>
      </w:r>
      <w:r w:rsidRPr="008F1125">
        <w:rPr>
          <w:lang w:val="sr-Latn-RS" w:bidi="sr-Latn-RS"/>
        </w:rPr>
        <w:t>) pacijenata razvilo je imunološki posredovanu adrenalnu insuficijenciju. Među tim pacijentima, kod 1 (</w:t>
      </w:r>
      <w:r w:rsidR="00DE497A" w:rsidRPr="008F1125">
        <w:rPr>
          <w:lang w:val="sr-Latn-RS" w:bidi="sr-Latn-RS"/>
        </w:rPr>
        <w:t xml:space="preserve">manje od </w:t>
      </w:r>
      <w:r w:rsidRPr="008F1125">
        <w:rPr>
          <w:lang w:val="sr-Latn-RS" w:bidi="sr-Latn-RS"/>
        </w:rPr>
        <w:t>0,1 %) pacijenta je imunološki posredovana</w:t>
      </w:r>
      <w:r w:rsidR="003C0701" w:rsidRPr="008F1125">
        <w:rPr>
          <w:lang w:val="sr-Latn-RS" w:bidi="sr-Latn-RS"/>
        </w:rPr>
        <w:t xml:space="preserve"> </w:t>
      </w:r>
      <w:r w:rsidRPr="008F1125">
        <w:rPr>
          <w:lang w:val="sr-Latn-RS" w:bidi="sr-Latn-RS"/>
        </w:rPr>
        <w:t>adrenalna insuficijencija bila 3. stepena.</w:t>
      </w:r>
    </w:p>
    <w:p w14:paraId="1FB63571" w14:textId="77777777" w:rsidR="00FD5E16" w:rsidRPr="008F1125" w:rsidRDefault="00FD5E16" w:rsidP="003D55E0">
      <w:pPr>
        <w:autoSpaceDE w:val="0"/>
        <w:autoSpaceDN w:val="0"/>
        <w:adjustRightInd w:val="0"/>
        <w:jc w:val="both"/>
        <w:rPr>
          <w:iCs/>
          <w:szCs w:val="22"/>
          <w:lang w:val="sr-Latn-RS" w:eastAsia="en-GB"/>
        </w:rPr>
      </w:pPr>
    </w:p>
    <w:p w14:paraId="1FB63572" w14:textId="736EC391" w:rsidR="00FD5E16" w:rsidRPr="008F1125" w:rsidRDefault="00926926" w:rsidP="003D55E0">
      <w:pPr>
        <w:jc w:val="both"/>
        <w:rPr>
          <w:szCs w:val="22"/>
          <w:lang w:val="sr-Latn-RS" w:eastAsia="en-GB"/>
        </w:rPr>
      </w:pPr>
      <w:r w:rsidRPr="008F1125">
        <w:rPr>
          <w:lang w:val="sr-Latn-RS" w:bidi="sr-Latn-RS"/>
        </w:rPr>
        <w:t xml:space="preserve">Medijana vremena do nastupa imunološki posredovane adrenalne insuficijencije iznosila je </w:t>
      </w:r>
      <w:r w:rsidR="00DE497A" w:rsidRPr="008F1125">
        <w:rPr>
          <w:lang w:val="sr-Latn-RS" w:bidi="sr-Latn-RS"/>
        </w:rPr>
        <w:t>3,3</w:t>
      </w:r>
      <w:r w:rsidRPr="008F1125">
        <w:rPr>
          <w:lang w:val="sr-Latn-RS" w:bidi="sr-Latn-RS"/>
        </w:rPr>
        <w:t xml:space="preserve"> m</w:t>
      </w:r>
      <w:r w:rsidR="00D30197" w:rsidRPr="008F1125">
        <w:rPr>
          <w:lang w:val="sr-Latn-RS" w:bidi="sr-Latn-RS"/>
        </w:rPr>
        <w:t>j</w:t>
      </w:r>
      <w:r w:rsidRPr="008F1125">
        <w:rPr>
          <w:lang w:val="sr-Latn-RS" w:bidi="sr-Latn-RS"/>
        </w:rPr>
        <w:t>esec</w:t>
      </w:r>
      <w:r w:rsidR="00DE497A" w:rsidRPr="008F1125">
        <w:rPr>
          <w:lang w:val="sr-Latn-RS" w:bidi="sr-Latn-RS"/>
        </w:rPr>
        <w:t>a</w:t>
      </w:r>
      <w:r w:rsidRPr="008F1125">
        <w:rPr>
          <w:lang w:val="sr-Latn-RS" w:bidi="sr-Latn-RS"/>
        </w:rPr>
        <w:t xml:space="preserve"> (raspon:  od 1 dana do </w:t>
      </w:r>
      <w:r w:rsidR="00DE497A" w:rsidRPr="008F1125">
        <w:rPr>
          <w:lang w:val="sr-Latn-RS" w:bidi="sr-Latn-RS"/>
        </w:rPr>
        <w:t>7,6</w:t>
      </w:r>
      <w:r w:rsidRPr="008F1125">
        <w:rPr>
          <w:lang w:val="sr-Latn-RS" w:bidi="sr-Latn-RS"/>
        </w:rPr>
        <w:t xml:space="preserve"> </w:t>
      </w:r>
      <w:r w:rsidR="00B27CC7" w:rsidRPr="008F1125">
        <w:rPr>
          <w:lang w:val="sr-Latn-RS" w:bidi="sr-Latn-RS"/>
        </w:rPr>
        <w:t>mjeseci</w:t>
      </w:r>
      <w:r w:rsidRPr="008F1125">
        <w:rPr>
          <w:lang w:val="sr-Latn-RS" w:bidi="sr-Latn-RS"/>
        </w:rPr>
        <w:t>). Nije bilo moguće proc</w:t>
      </w:r>
      <w:r w:rsidR="00D30197" w:rsidRPr="008F1125">
        <w:rPr>
          <w:lang w:val="sr-Latn-RS" w:bidi="sr-Latn-RS"/>
        </w:rPr>
        <w:t>ij</w:t>
      </w:r>
      <w:r w:rsidRPr="008F1125">
        <w:rPr>
          <w:lang w:val="sr-Latn-RS" w:bidi="sr-Latn-RS"/>
        </w:rPr>
        <w:t xml:space="preserve">eniti medijanu trajanja (raspon:  od 2 dana do više od </w:t>
      </w:r>
      <w:r w:rsidR="00DE497A" w:rsidRPr="008F1125">
        <w:rPr>
          <w:lang w:val="sr-Latn-RS" w:bidi="sr-Latn-RS"/>
        </w:rPr>
        <w:t>10,4</w:t>
      </w:r>
      <w:r w:rsidRPr="008F1125">
        <w:rPr>
          <w:lang w:val="sr-Latn-RS" w:bidi="sr-Latn-RS"/>
        </w:rPr>
        <w:t xml:space="preserve"> </w:t>
      </w:r>
      <w:r w:rsidR="00B27CC7" w:rsidRPr="008F1125">
        <w:rPr>
          <w:lang w:val="sr-Latn-RS" w:bidi="sr-Latn-RS"/>
        </w:rPr>
        <w:t>mjeseci</w:t>
      </w:r>
      <w:r w:rsidRPr="008F1125">
        <w:rPr>
          <w:lang w:val="sr-Latn-RS" w:bidi="sr-Latn-RS"/>
        </w:rPr>
        <w:t>).</w:t>
      </w:r>
    </w:p>
    <w:p w14:paraId="1FB63573" w14:textId="77777777" w:rsidR="00D2656D" w:rsidRPr="008F1125" w:rsidRDefault="00D2656D" w:rsidP="003D55E0">
      <w:pPr>
        <w:jc w:val="both"/>
        <w:rPr>
          <w:szCs w:val="22"/>
          <w:lang w:val="sr-Latn-RS" w:eastAsia="en-GB"/>
        </w:rPr>
      </w:pPr>
    </w:p>
    <w:p w14:paraId="1FB63574" w14:textId="02C67CF5" w:rsidR="00D2656D" w:rsidRPr="008F1125" w:rsidRDefault="00926926" w:rsidP="003D55E0">
      <w:pPr>
        <w:jc w:val="both"/>
        <w:rPr>
          <w:szCs w:val="22"/>
          <w:lang w:val="sr-Latn-RS" w:eastAsia="en-GB"/>
        </w:rPr>
      </w:pPr>
      <w:r w:rsidRPr="008F1125">
        <w:rPr>
          <w:lang w:val="sr-Latn-RS" w:bidi="sr-Latn-RS"/>
        </w:rPr>
        <w:t>Prim</w:t>
      </w:r>
      <w:r w:rsidR="00515B67" w:rsidRPr="008F1125">
        <w:rPr>
          <w:lang w:val="sr-Latn-RS" w:bidi="sr-Latn-RS"/>
        </w:rPr>
        <w:t>j</w:t>
      </w:r>
      <w:r w:rsidRPr="008F1125">
        <w:rPr>
          <w:lang w:val="sr-Latn-RS" w:bidi="sr-Latn-RS"/>
        </w:rPr>
        <w:t>ena avelumaba prekinuta je zbog imunološki posredovane adrenalne insuficijencije kod 0,1% (2/</w:t>
      </w:r>
      <w:r w:rsidR="00DE497A" w:rsidRPr="008F1125">
        <w:rPr>
          <w:lang w:val="sr-Latn-RS" w:bidi="sr-Latn-RS"/>
        </w:rPr>
        <w:t>2082</w:t>
      </w:r>
      <w:r w:rsidRPr="008F1125">
        <w:rPr>
          <w:lang w:val="sr-Latn-RS" w:bidi="sr-Latn-RS"/>
        </w:rPr>
        <w:t xml:space="preserve">) pacijenata. Svih </w:t>
      </w:r>
      <w:r w:rsidR="00DE497A" w:rsidRPr="008F1125">
        <w:rPr>
          <w:lang w:val="sr-Latn-RS" w:bidi="sr-Latn-RS"/>
        </w:rPr>
        <w:t>11</w:t>
      </w:r>
      <w:r w:rsidRPr="008F1125">
        <w:rPr>
          <w:lang w:val="sr-Latn-RS" w:bidi="sr-Latn-RS"/>
        </w:rPr>
        <w:t xml:space="preserve"> pacijenata sa imunološki posredovanom adrenalnom insuficijencijom primalo je terapiju kortikosteroidima, a </w:t>
      </w:r>
      <w:r w:rsidR="00F037E1" w:rsidRPr="008F1125">
        <w:rPr>
          <w:lang w:val="sr-Latn-RS" w:bidi="sr-Latn-RS"/>
        </w:rPr>
        <w:t>5</w:t>
      </w:r>
      <w:r w:rsidRPr="008F1125">
        <w:rPr>
          <w:lang w:val="sr-Latn-RS" w:bidi="sr-Latn-RS"/>
        </w:rPr>
        <w:t xml:space="preserve"> (</w:t>
      </w:r>
      <w:r w:rsidR="00F037E1" w:rsidRPr="008F1125">
        <w:rPr>
          <w:lang w:val="sr-Latn-RS" w:bidi="sr-Latn-RS"/>
        </w:rPr>
        <w:t>45,</w:t>
      </w:r>
      <w:r w:rsidRPr="008F1125">
        <w:rPr>
          <w:lang w:val="sr-Latn-RS" w:bidi="sr-Latn-RS"/>
        </w:rPr>
        <w:t xml:space="preserve">5%) od tih </w:t>
      </w:r>
      <w:r w:rsidR="00F037E1" w:rsidRPr="008F1125">
        <w:rPr>
          <w:lang w:val="sr-Latn-RS" w:bidi="sr-Latn-RS"/>
        </w:rPr>
        <w:t>11</w:t>
      </w:r>
      <w:r w:rsidRPr="008F1125">
        <w:rPr>
          <w:lang w:val="sr-Latn-RS" w:bidi="sr-Latn-RS"/>
        </w:rPr>
        <w:t xml:space="preserve"> pacijenata primilo je visoke doze sistemskih kortikosteroida (≥ 40 mg prednizona ili </w:t>
      </w:r>
      <w:r w:rsidR="00B27CC7" w:rsidRPr="008F1125">
        <w:rPr>
          <w:lang w:val="sr-Latn-RS" w:bidi="sr-Latn-RS"/>
        </w:rPr>
        <w:t>ekvivalentni lijek</w:t>
      </w:r>
      <w:r w:rsidRPr="008F1125">
        <w:rPr>
          <w:lang w:val="sr-Latn-RS" w:bidi="sr-Latn-RS"/>
        </w:rPr>
        <w:t xml:space="preserve">) tokom medijane od </w:t>
      </w:r>
      <w:r w:rsidR="00F037E1" w:rsidRPr="008F1125">
        <w:rPr>
          <w:lang w:val="sr-Latn-RS" w:bidi="sr-Latn-RS"/>
        </w:rPr>
        <w:t>2</w:t>
      </w:r>
      <w:r w:rsidRPr="008F1125">
        <w:rPr>
          <w:lang w:val="sr-Latn-RS" w:bidi="sr-Latn-RS"/>
        </w:rPr>
        <w:t xml:space="preserve"> dana (raspon:  od 1 dana do 24 dana). Adrenalna insuficijencija povukla se kod </w:t>
      </w:r>
      <w:r w:rsidR="00F037E1" w:rsidRPr="008F1125">
        <w:rPr>
          <w:lang w:val="sr-Latn-RS" w:bidi="sr-Latn-RS"/>
        </w:rPr>
        <w:t>3 (27.3%)</w:t>
      </w:r>
      <w:r w:rsidRPr="008F1125">
        <w:rPr>
          <w:lang w:val="sr-Latn-RS" w:bidi="sr-Latn-RS"/>
        </w:rPr>
        <w:t xml:space="preserve"> pacijenta u vr</w:t>
      </w:r>
      <w:r w:rsidR="00D30197" w:rsidRPr="008F1125">
        <w:rPr>
          <w:lang w:val="sr-Latn-RS" w:bidi="sr-Latn-RS"/>
        </w:rPr>
        <w:t>ij</w:t>
      </w:r>
      <w:r w:rsidRPr="008F1125">
        <w:rPr>
          <w:lang w:val="sr-Latn-RS" w:bidi="sr-Latn-RS"/>
        </w:rPr>
        <w:t>eme prestanka prikupljanja podataka.</w:t>
      </w:r>
    </w:p>
    <w:p w14:paraId="1FB63575" w14:textId="77777777" w:rsidR="00EC3AEE" w:rsidRPr="008F1125" w:rsidRDefault="00EC3AEE" w:rsidP="003D55E0">
      <w:pPr>
        <w:tabs>
          <w:tab w:val="clear" w:pos="567"/>
        </w:tabs>
        <w:autoSpaceDE w:val="0"/>
        <w:autoSpaceDN w:val="0"/>
        <w:adjustRightInd w:val="0"/>
        <w:jc w:val="both"/>
        <w:rPr>
          <w:szCs w:val="22"/>
          <w:lang w:val="sr-Latn-RS"/>
        </w:rPr>
      </w:pPr>
    </w:p>
    <w:p w14:paraId="1FB63576" w14:textId="2ADD1995" w:rsidR="00CC2596" w:rsidRPr="008F1125" w:rsidRDefault="00926926" w:rsidP="003D55E0">
      <w:pPr>
        <w:jc w:val="both"/>
        <w:rPr>
          <w:szCs w:val="22"/>
          <w:lang w:val="sr-Latn-RS"/>
        </w:rPr>
      </w:pPr>
      <w:r w:rsidRPr="008F1125">
        <w:rPr>
          <w:lang w:val="sr-Latn-RS" w:bidi="sr-Latn-RS"/>
        </w:rPr>
        <w:t>Kod pacijenata na terapiji avelumabom u kombinaciji sa aksitinibom, 1,8% (9/489) pacijenata razvilo je imunološki posredovanu adrenalnu insuficijenciju. Među tim pacijentima, kod 2 (0,4%) pacijenta je imunološki posredovana adrenalna insuficijencija bila 3. stepena.</w:t>
      </w:r>
    </w:p>
    <w:p w14:paraId="1FB63577" w14:textId="77777777" w:rsidR="00CC2596" w:rsidRPr="008F1125" w:rsidRDefault="00CC2596" w:rsidP="003D55E0">
      <w:pPr>
        <w:jc w:val="both"/>
        <w:rPr>
          <w:szCs w:val="22"/>
          <w:lang w:val="sr-Latn-RS"/>
        </w:rPr>
      </w:pPr>
    </w:p>
    <w:p w14:paraId="1FB63578" w14:textId="1E087825" w:rsidR="00CC2596" w:rsidRPr="008F1125" w:rsidRDefault="00926926" w:rsidP="003D55E0">
      <w:pPr>
        <w:jc w:val="both"/>
        <w:rPr>
          <w:szCs w:val="22"/>
          <w:lang w:val="sr-Latn-RS"/>
        </w:rPr>
      </w:pPr>
      <w:r w:rsidRPr="008F1125">
        <w:rPr>
          <w:lang w:val="sr-Latn-RS" w:bidi="sr-Latn-RS"/>
        </w:rPr>
        <w:t xml:space="preserve">Medijana vremena do nastupa imunološki posredovane adrenalne insuficijencije iznosila je 5,5 </w:t>
      </w:r>
      <w:r w:rsidR="00B27CC7" w:rsidRPr="008F1125">
        <w:rPr>
          <w:lang w:val="sr-Latn-RS" w:bidi="sr-Latn-RS"/>
        </w:rPr>
        <w:t>mjeseci</w:t>
      </w:r>
      <w:r w:rsidRPr="008F1125">
        <w:rPr>
          <w:lang w:val="sr-Latn-RS" w:bidi="sr-Latn-RS"/>
        </w:rPr>
        <w:t xml:space="preserve"> (raspon:  od 3,6 ned</w:t>
      </w:r>
      <w:r w:rsidR="00D852B9">
        <w:rPr>
          <w:lang w:val="sr-Latn-RS" w:bidi="sr-Latn-RS"/>
        </w:rPr>
        <w:t>j</w:t>
      </w:r>
      <w:r w:rsidRPr="008F1125">
        <w:rPr>
          <w:lang w:val="sr-Latn-RS" w:bidi="sr-Latn-RS"/>
        </w:rPr>
        <w:t xml:space="preserve">elja do 8,7 </w:t>
      </w:r>
      <w:r w:rsidR="00B27CC7" w:rsidRPr="008F1125">
        <w:rPr>
          <w:lang w:val="sr-Latn-RS" w:bidi="sr-Latn-RS"/>
        </w:rPr>
        <w:t>mjeseci</w:t>
      </w:r>
      <w:r w:rsidRPr="008F1125">
        <w:rPr>
          <w:lang w:val="sr-Latn-RS" w:bidi="sr-Latn-RS"/>
        </w:rPr>
        <w:t xml:space="preserve">). Medijana trajanja iznosila je 2,8 </w:t>
      </w:r>
      <w:r w:rsidR="00B27CC7" w:rsidRPr="008F1125">
        <w:rPr>
          <w:lang w:val="sr-Latn-RS" w:bidi="sr-Latn-RS"/>
        </w:rPr>
        <w:t>mjeseci</w:t>
      </w:r>
      <w:r w:rsidRPr="008F1125">
        <w:rPr>
          <w:lang w:val="sr-Latn-RS" w:bidi="sr-Latn-RS"/>
        </w:rPr>
        <w:t xml:space="preserve"> (raspon:  od 3 dana do više od 15,5 </w:t>
      </w:r>
      <w:r w:rsidR="00B27CC7" w:rsidRPr="008F1125">
        <w:rPr>
          <w:lang w:val="sr-Latn-RS" w:bidi="sr-Latn-RS"/>
        </w:rPr>
        <w:t>mjeseci</w:t>
      </w:r>
      <w:r w:rsidRPr="008F1125">
        <w:rPr>
          <w:lang w:val="sr-Latn-RS" w:bidi="sr-Latn-RS"/>
        </w:rPr>
        <w:t>).</w:t>
      </w:r>
    </w:p>
    <w:p w14:paraId="1FB63579" w14:textId="77777777" w:rsidR="00CC2596" w:rsidRPr="008F1125" w:rsidRDefault="00CC2596" w:rsidP="003D55E0">
      <w:pPr>
        <w:jc w:val="both"/>
        <w:rPr>
          <w:szCs w:val="22"/>
          <w:lang w:val="sr-Latn-RS"/>
        </w:rPr>
      </w:pPr>
    </w:p>
    <w:p w14:paraId="1FB6357A" w14:textId="17918919"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Imunološki posredovana adrenalna insuficijencija nije dovela do prekida prim</w:t>
      </w:r>
      <w:r w:rsidR="00515B67" w:rsidRPr="008F1125">
        <w:rPr>
          <w:lang w:val="sr-Latn-RS" w:bidi="sr-Latn-RS"/>
        </w:rPr>
        <w:t>j</w:t>
      </w:r>
      <w:r w:rsidRPr="008F1125">
        <w:rPr>
          <w:lang w:val="sr-Latn-RS" w:bidi="sr-Latn-RS"/>
        </w:rPr>
        <w:t xml:space="preserve">ene avelumaba ni kod jednog pacijenta. Osam (88,9 %) pacijenata sa imunološki posredovanom adrenalnom insuficijencijom primalo je terapiju kortikosteroidima, a 2 (25%) od tih 8 pacijenata primilo je visoke doze sistemskih kortikosteroida (≥ 40 mg prednizona ili </w:t>
      </w:r>
      <w:r w:rsidR="00B27CC7" w:rsidRPr="008F1125">
        <w:rPr>
          <w:lang w:val="sr-Latn-RS" w:bidi="sr-Latn-RS"/>
        </w:rPr>
        <w:t>ekvivalentni lijek</w:t>
      </w:r>
      <w:r w:rsidRPr="008F1125">
        <w:rPr>
          <w:lang w:val="sr-Latn-RS" w:bidi="sr-Latn-RS"/>
        </w:rPr>
        <w:t>) koje su postepeno snižavane tokom medijane od 8 dana (raspon:  od 5 dana do 11 dana). Adrenalna insuficijencija povukla se kod 4 (44,4%) od 9 pacijen</w:t>
      </w:r>
      <w:r w:rsidR="00D852B9">
        <w:rPr>
          <w:lang w:val="sr-Latn-RS" w:bidi="sr-Latn-RS"/>
        </w:rPr>
        <w:t>a</w:t>
      </w:r>
      <w:r w:rsidRPr="008F1125">
        <w:rPr>
          <w:lang w:val="sr-Latn-RS" w:bidi="sr-Latn-RS"/>
        </w:rPr>
        <w:t>ta u vr</w:t>
      </w:r>
      <w:r w:rsidR="003C0701" w:rsidRPr="008F1125">
        <w:rPr>
          <w:lang w:val="sr-Latn-RS" w:bidi="sr-Latn-RS"/>
        </w:rPr>
        <w:t>ij</w:t>
      </w:r>
      <w:r w:rsidRPr="008F1125">
        <w:rPr>
          <w:lang w:val="sr-Latn-RS" w:bidi="sr-Latn-RS"/>
        </w:rPr>
        <w:t>eme prestanka prikupljanja podataka.</w:t>
      </w:r>
    </w:p>
    <w:p w14:paraId="1FB6357B" w14:textId="77777777" w:rsidR="00CC2596" w:rsidRPr="008F1125" w:rsidRDefault="00CC2596" w:rsidP="003D55E0">
      <w:pPr>
        <w:tabs>
          <w:tab w:val="clear" w:pos="567"/>
        </w:tabs>
        <w:autoSpaceDE w:val="0"/>
        <w:autoSpaceDN w:val="0"/>
        <w:adjustRightInd w:val="0"/>
        <w:jc w:val="both"/>
        <w:rPr>
          <w:szCs w:val="22"/>
          <w:lang w:val="sr-Latn-RS"/>
        </w:rPr>
      </w:pPr>
    </w:p>
    <w:p w14:paraId="1FB6357C" w14:textId="77777777" w:rsidR="00986038" w:rsidRPr="008F1125" w:rsidRDefault="00926926" w:rsidP="003D55E0">
      <w:pPr>
        <w:keepNext/>
        <w:keepLines/>
        <w:tabs>
          <w:tab w:val="clear" w:pos="567"/>
        </w:tabs>
        <w:autoSpaceDE w:val="0"/>
        <w:autoSpaceDN w:val="0"/>
        <w:adjustRightInd w:val="0"/>
        <w:jc w:val="both"/>
        <w:rPr>
          <w:i/>
          <w:szCs w:val="22"/>
          <w:lang w:val="sr-Latn-RS" w:eastAsia="en-GB"/>
        </w:rPr>
      </w:pPr>
      <w:r w:rsidRPr="008F1125">
        <w:rPr>
          <w:i/>
          <w:lang w:val="sr-Latn-RS" w:bidi="sr-Latn-RS"/>
        </w:rPr>
        <w:t>Dijabetes melitus tip 1</w:t>
      </w:r>
    </w:p>
    <w:p w14:paraId="1FB6357D" w14:textId="45240F79" w:rsidR="00986038" w:rsidRPr="008F1125" w:rsidRDefault="00926926" w:rsidP="003D55E0">
      <w:pPr>
        <w:keepNext/>
        <w:keepLines/>
        <w:tabs>
          <w:tab w:val="clear" w:pos="567"/>
        </w:tabs>
        <w:autoSpaceDE w:val="0"/>
        <w:autoSpaceDN w:val="0"/>
        <w:adjustRightInd w:val="0"/>
        <w:jc w:val="both"/>
        <w:rPr>
          <w:szCs w:val="22"/>
          <w:lang w:val="sr-Latn-RS"/>
        </w:rPr>
      </w:pPr>
      <w:r w:rsidRPr="008F1125">
        <w:rPr>
          <w:lang w:val="sr-Latn-RS" w:bidi="sr-Latn-RS"/>
        </w:rPr>
        <w:t>Kod pacijenata koji su primali avelumab kao monoterapiju, dijabetes melitus tip 1 koji nije imao drugi uzrok nastao je kod 0,</w:t>
      </w:r>
      <w:r w:rsidR="007367FE" w:rsidRPr="008F1125">
        <w:rPr>
          <w:lang w:val="sr-Latn-RS" w:bidi="sr-Latn-RS"/>
        </w:rPr>
        <w:t>2</w:t>
      </w:r>
      <w:r w:rsidRPr="008F1125">
        <w:rPr>
          <w:lang w:val="sr-Latn-RS" w:bidi="sr-Latn-RS"/>
        </w:rPr>
        <w:t>% (</w:t>
      </w:r>
      <w:r w:rsidR="007367FE" w:rsidRPr="008F1125">
        <w:rPr>
          <w:lang w:val="sr-Latn-RS" w:bidi="sr-Latn-RS"/>
        </w:rPr>
        <w:t>5</w:t>
      </w:r>
      <w:r w:rsidRPr="008F1125">
        <w:rPr>
          <w:lang w:val="sr-Latn-RS" w:bidi="sr-Latn-RS"/>
        </w:rPr>
        <w:t>/</w:t>
      </w:r>
      <w:r w:rsidR="007367FE" w:rsidRPr="008F1125">
        <w:rPr>
          <w:lang w:val="sr-Latn-RS" w:bidi="sr-Latn-RS"/>
        </w:rPr>
        <w:t>2082</w:t>
      </w:r>
      <w:r w:rsidRPr="008F1125">
        <w:rPr>
          <w:lang w:val="sr-Latn-RS" w:bidi="sr-Latn-RS"/>
        </w:rPr>
        <w:t>) pacijenata</w:t>
      </w:r>
      <w:r w:rsidR="007367FE" w:rsidRPr="008F1125">
        <w:rPr>
          <w:lang w:val="sr-Latn-RS" w:bidi="sr-Latn-RS"/>
        </w:rPr>
        <w:t>.</w:t>
      </w:r>
      <w:r w:rsidRPr="008F1125">
        <w:rPr>
          <w:lang w:val="sr-Latn-RS" w:bidi="sr-Latn-RS"/>
        </w:rPr>
        <w:t xml:space="preserve"> </w:t>
      </w:r>
      <w:r w:rsidR="007367FE" w:rsidRPr="008F1125">
        <w:rPr>
          <w:lang w:val="sr-Latn-RS" w:bidi="sr-Latn-RS"/>
        </w:rPr>
        <w:t xml:space="preserve">Svih 5 pacijenata imalo je </w:t>
      </w:r>
      <w:r w:rsidRPr="008F1125">
        <w:rPr>
          <w:lang w:val="sr-Latn-RS" w:bidi="sr-Latn-RS"/>
        </w:rPr>
        <w:t>reakcije 3. stepena</w:t>
      </w:r>
      <w:r w:rsidR="007367FE" w:rsidRPr="008F1125">
        <w:rPr>
          <w:lang w:val="sr-Latn-RS" w:bidi="sr-Latn-RS"/>
        </w:rPr>
        <w:t xml:space="preserve"> dijabetes melitusa tipa 1</w:t>
      </w:r>
      <w:r w:rsidRPr="008F1125">
        <w:rPr>
          <w:lang w:val="sr-Latn-RS" w:bidi="sr-Latn-RS"/>
        </w:rPr>
        <w:t>.</w:t>
      </w:r>
    </w:p>
    <w:p w14:paraId="1FB6357E" w14:textId="77777777" w:rsidR="00986038" w:rsidRPr="008F1125" w:rsidRDefault="00986038" w:rsidP="003D55E0">
      <w:pPr>
        <w:tabs>
          <w:tab w:val="clear" w:pos="567"/>
        </w:tabs>
        <w:autoSpaceDE w:val="0"/>
        <w:autoSpaceDN w:val="0"/>
        <w:adjustRightInd w:val="0"/>
        <w:jc w:val="both"/>
        <w:rPr>
          <w:szCs w:val="22"/>
          <w:lang w:val="sr-Latn-RS" w:eastAsia="en-GB"/>
        </w:rPr>
      </w:pPr>
    </w:p>
    <w:p w14:paraId="502CCC83" w14:textId="15A0891C" w:rsidR="00135978" w:rsidRPr="008F1125" w:rsidRDefault="00135978" w:rsidP="003D55E0">
      <w:pPr>
        <w:tabs>
          <w:tab w:val="clear" w:pos="567"/>
        </w:tabs>
        <w:autoSpaceDE w:val="0"/>
        <w:autoSpaceDN w:val="0"/>
        <w:adjustRightInd w:val="0"/>
        <w:jc w:val="both"/>
        <w:rPr>
          <w:szCs w:val="22"/>
          <w:lang w:val="sr-Latn-RS" w:eastAsia="en-GB"/>
        </w:rPr>
      </w:pPr>
      <w:r w:rsidRPr="008F1125">
        <w:rPr>
          <w:szCs w:val="22"/>
          <w:lang w:val="sr-Latn-RS" w:eastAsia="en-GB"/>
        </w:rPr>
        <w:t xml:space="preserve">Medijana vremena do nastupa </w:t>
      </w:r>
      <w:r w:rsidRPr="008F1125">
        <w:rPr>
          <w:szCs w:val="22"/>
          <w:lang w:val="sr-Latn-RS" w:eastAsia="en-GB" w:bidi="sr-Latn-RS"/>
        </w:rPr>
        <w:t>dijabetes melitusa</w:t>
      </w:r>
      <w:r w:rsidRPr="008F1125">
        <w:rPr>
          <w:szCs w:val="22"/>
          <w:lang w:val="sr-Latn-RS" w:eastAsia="en-GB"/>
        </w:rPr>
        <w:t xml:space="preserve"> tipa 1 iznosila je 3,3 m</w:t>
      </w:r>
      <w:r w:rsidR="00D30197" w:rsidRPr="008F1125">
        <w:rPr>
          <w:szCs w:val="22"/>
          <w:lang w:val="sr-Latn-RS" w:eastAsia="en-GB"/>
        </w:rPr>
        <w:t>j</w:t>
      </w:r>
      <w:r w:rsidRPr="008F1125">
        <w:rPr>
          <w:szCs w:val="22"/>
          <w:lang w:val="sr-Latn-RS" w:eastAsia="en-GB"/>
        </w:rPr>
        <w:t xml:space="preserve">eseca (raspon: od 1 dana do 18,7 </w:t>
      </w:r>
      <w:r w:rsidR="00B27CC7" w:rsidRPr="008F1125">
        <w:rPr>
          <w:szCs w:val="22"/>
          <w:lang w:val="sr-Latn-RS" w:eastAsia="en-GB"/>
        </w:rPr>
        <w:t>mjeseci</w:t>
      </w:r>
      <w:r w:rsidRPr="008F1125">
        <w:rPr>
          <w:szCs w:val="22"/>
          <w:lang w:val="sr-Latn-RS" w:eastAsia="en-GB"/>
        </w:rPr>
        <w:t xml:space="preserve">). Nije bilo moguće </w:t>
      </w:r>
      <w:r w:rsidR="00E74CD9" w:rsidRPr="008F1125">
        <w:rPr>
          <w:szCs w:val="22"/>
          <w:lang w:val="sr-Latn-RS" w:eastAsia="en-GB"/>
        </w:rPr>
        <w:t>proc</w:t>
      </w:r>
      <w:r w:rsidR="00D852B9">
        <w:rPr>
          <w:szCs w:val="22"/>
          <w:lang w:val="sr-Latn-RS" w:eastAsia="en-GB"/>
        </w:rPr>
        <w:t>i</w:t>
      </w:r>
      <w:r w:rsidR="00E74CD9" w:rsidRPr="008F1125">
        <w:rPr>
          <w:szCs w:val="22"/>
          <w:lang w:val="sr-Latn-RS" w:eastAsia="en-GB"/>
        </w:rPr>
        <w:t>jeni</w:t>
      </w:r>
      <w:r w:rsidRPr="008F1125">
        <w:rPr>
          <w:szCs w:val="22"/>
          <w:lang w:val="sr-Latn-RS" w:eastAsia="en-GB"/>
        </w:rPr>
        <w:t xml:space="preserve">ti medijanu trajanja (raspon: od 14 dana do više od 4,8 </w:t>
      </w:r>
      <w:r w:rsidR="00B27CC7" w:rsidRPr="008F1125">
        <w:rPr>
          <w:szCs w:val="22"/>
          <w:lang w:val="sr-Latn-RS" w:eastAsia="en-GB"/>
        </w:rPr>
        <w:t>mjeseci</w:t>
      </w:r>
      <w:r w:rsidRPr="008F1125">
        <w:rPr>
          <w:szCs w:val="22"/>
          <w:lang w:val="sr-Latn-RS" w:eastAsia="en-GB"/>
        </w:rPr>
        <w:t>).</w:t>
      </w:r>
    </w:p>
    <w:p w14:paraId="5D954B96" w14:textId="77777777" w:rsidR="00397157" w:rsidRPr="008F1125" w:rsidRDefault="00397157" w:rsidP="003D55E0">
      <w:pPr>
        <w:tabs>
          <w:tab w:val="clear" w:pos="567"/>
        </w:tabs>
        <w:autoSpaceDE w:val="0"/>
        <w:autoSpaceDN w:val="0"/>
        <w:adjustRightInd w:val="0"/>
        <w:jc w:val="both"/>
        <w:rPr>
          <w:szCs w:val="22"/>
          <w:lang w:val="sr-Latn-RS" w:eastAsia="en-GB"/>
        </w:rPr>
      </w:pPr>
    </w:p>
    <w:p w14:paraId="2057A05A" w14:textId="1E7DF906" w:rsidR="00135978" w:rsidRPr="008F1125" w:rsidRDefault="00135978" w:rsidP="003D55E0">
      <w:pPr>
        <w:tabs>
          <w:tab w:val="clear" w:pos="567"/>
        </w:tabs>
        <w:autoSpaceDE w:val="0"/>
        <w:autoSpaceDN w:val="0"/>
        <w:adjustRightInd w:val="0"/>
        <w:jc w:val="both"/>
        <w:rPr>
          <w:szCs w:val="22"/>
          <w:lang w:val="sr-Latn-RS" w:eastAsia="en-GB"/>
        </w:rPr>
      </w:pPr>
      <w:r w:rsidRPr="008F1125">
        <w:rPr>
          <w:szCs w:val="22"/>
          <w:lang w:val="sr-Latn-RS" w:eastAsia="en-GB"/>
        </w:rPr>
        <w:lastRenderedPageBreak/>
        <w:t>Prim</w:t>
      </w:r>
      <w:r w:rsidR="00515B67" w:rsidRPr="008F1125">
        <w:rPr>
          <w:szCs w:val="22"/>
          <w:lang w:val="sr-Latn-RS" w:eastAsia="en-GB"/>
        </w:rPr>
        <w:t>j</w:t>
      </w:r>
      <w:r w:rsidRPr="008F1125">
        <w:rPr>
          <w:szCs w:val="22"/>
          <w:lang w:val="sr-Latn-RS" w:eastAsia="en-GB"/>
        </w:rPr>
        <w:t xml:space="preserve">ena avelumaba prekinuta je </w:t>
      </w:r>
      <w:r w:rsidR="00397157" w:rsidRPr="008F1125">
        <w:rPr>
          <w:szCs w:val="22"/>
          <w:lang w:val="sr-Latn-RS" w:eastAsia="en-GB"/>
        </w:rPr>
        <w:t xml:space="preserve">kod </w:t>
      </w:r>
      <w:r w:rsidRPr="008F1125">
        <w:rPr>
          <w:szCs w:val="22"/>
          <w:lang w:val="sr-Latn-RS" w:eastAsia="en-GB"/>
        </w:rPr>
        <w:t xml:space="preserve">0,1% (2/2082) </w:t>
      </w:r>
      <w:r w:rsidR="00397157" w:rsidRPr="008F1125">
        <w:rPr>
          <w:szCs w:val="22"/>
          <w:lang w:val="sr-Latn-RS" w:eastAsia="en-GB"/>
        </w:rPr>
        <w:t xml:space="preserve">pacijenata </w:t>
      </w:r>
      <w:r w:rsidRPr="008F1125">
        <w:rPr>
          <w:szCs w:val="22"/>
          <w:lang w:val="sr-Latn-RS" w:eastAsia="en-GB"/>
        </w:rPr>
        <w:t xml:space="preserve">zbog </w:t>
      </w:r>
      <w:r w:rsidR="00397157" w:rsidRPr="008F1125">
        <w:rPr>
          <w:szCs w:val="22"/>
          <w:lang w:val="sr-Latn-RS" w:eastAsia="en-GB" w:bidi="sr-Latn-RS"/>
        </w:rPr>
        <w:t>dijabetes melitusa</w:t>
      </w:r>
      <w:r w:rsidR="00397157" w:rsidRPr="008F1125">
        <w:rPr>
          <w:szCs w:val="22"/>
          <w:lang w:val="sr-Latn-RS" w:eastAsia="en-GB"/>
        </w:rPr>
        <w:t xml:space="preserve"> </w:t>
      </w:r>
      <w:r w:rsidRPr="008F1125">
        <w:rPr>
          <w:szCs w:val="22"/>
          <w:lang w:val="sr-Latn-RS" w:eastAsia="en-GB"/>
        </w:rPr>
        <w:t>tipa 1.</w:t>
      </w:r>
      <w:r w:rsidR="00397157" w:rsidRPr="008F1125">
        <w:rPr>
          <w:szCs w:val="22"/>
          <w:lang w:val="sr-Latn-RS" w:eastAsia="en-GB"/>
        </w:rPr>
        <w:t xml:space="preserve"> </w:t>
      </w:r>
      <w:r w:rsidR="00AC7302" w:rsidRPr="008F1125">
        <w:rPr>
          <w:szCs w:val="22"/>
          <w:lang w:val="sr-Latn-RS" w:eastAsia="en-GB"/>
        </w:rPr>
        <w:t>D</w:t>
      </w:r>
      <w:r w:rsidR="00397157" w:rsidRPr="008F1125">
        <w:rPr>
          <w:szCs w:val="22"/>
          <w:lang w:val="sr-Latn-RS" w:eastAsia="en-GB" w:bidi="sr-Latn-RS"/>
        </w:rPr>
        <w:t>ijabetes melitus</w:t>
      </w:r>
      <w:r w:rsidR="00397157" w:rsidRPr="008F1125">
        <w:rPr>
          <w:szCs w:val="22"/>
          <w:lang w:val="sr-Latn-RS" w:eastAsia="en-GB"/>
        </w:rPr>
        <w:t xml:space="preserve"> </w:t>
      </w:r>
      <w:r w:rsidRPr="008F1125">
        <w:rPr>
          <w:szCs w:val="22"/>
          <w:lang w:val="sr-Latn-RS" w:eastAsia="en-GB"/>
        </w:rPr>
        <w:t>tipa 1 povuka</w:t>
      </w:r>
      <w:r w:rsidR="00397157" w:rsidRPr="008F1125">
        <w:rPr>
          <w:szCs w:val="22"/>
          <w:lang w:val="sr-Latn-RS" w:eastAsia="en-GB"/>
        </w:rPr>
        <w:t>o</w:t>
      </w:r>
      <w:r w:rsidRPr="008F1125">
        <w:rPr>
          <w:szCs w:val="22"/>
          <w:lang w:val="sr-Latn-RS" w:eastAsia="en-GB"/>
        </w:rPr>
        <w:t xml:space="preserve"> se </w:t>
      </w:r>
      <w:r w:rsidR="00397157" w:rsidRPr="008F1125">
        <w:rPr>
          <w:szCs w:val="22"/>
          <w:lang w:val="sr-Latn-RS" w:eastAsia="en-GB"/>
        </w:rPr>
        <w:t>kod</w:t>
      </w:r>
      <w:r w:rsidRPr="008F1125">
        <w:rPr>
          <w:szCs w:val="22"/>
          <w:lang w:val="sr-Latn-RS" w:eastAsia="en-GB"/>
        </w:rPr>
        <w:t xml:space="preserve"> 2 (40%) </w:t>
      </w:r>
      <w:r w:rsidR="005F3840" w:rsidRPr="008F1125">
        <w:rPr>
          <w:szCs w:val="22"/>
          <w:lang w:val="sr-Latn-RS" w:eastAsia="en-GB"/>
        </w:rPr>
        <w:t>pacijenta</w:t>
      </w:r>
      <w:r w:rsidRPr="008F1125">
        <w:rPr>
          <w:szCs w:val="22"/>
          <w:lang w:val="sr-Latn-RS" w:eastAsia="en-GB"/>
        </w:rPr>
        <w:t xml:space="preserve"> u vreme prestanka prikupljanja</w:t>
      </w:r>
      <w:r w:rsidR="005F3840" w:rsidRPr="008F1125">
        <w:rPr>
          <w:szCs w:val="22"/>
          <w:lang w:val="sr-Latn-RS" w:eastAsia="en-GB"/>
        </w:rPr>
        <w:t xml:space="preserve"> </w:t>
      </w:r>
      <w:r w:rsidRPr="008F1125">
        <w:rPr>
          <w:szCs w:val="22"/>
          <w:lang w:val="sr-Latn-RS" w:eastAsia="en-GB"/>
        </w:rPr>
        <w:t>podataka.</w:t>
      </w:r>
    </w:p>
    <w:p w14:paraId="5CAF5AE2" w14:textId="77777777" w:rsidR="00135978" w:rsidRPr="008F1125" w:rsidRDefault="00135978" w:rsidP="003D55E0">
      <w:pPr>
        <w:tabs>
          <w:tab w:val="clear" w:pos="567"/>
        </w:tabs>
        <w:autoSpaceDE w:val="0"/>
        <w:autoSpaceDN w:val="0"/>
        <w:adjustRightInd w:val="0"/>
        <w:jc w:val="both"/>
        <w:rPr>
          <w:szCs w:val="22"/>
          <w:lang w:val="sr-Latn-RS" w:eastAsia="en-GB"/>
        </w:rPr>
      </w:pPr>
    </w:p>
    <w:p w14:paraId="1FB6357F" w14:textId="77777777"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Kod pacijenata na terapiji avelumabom u kombinaciji sa aksitinibom, dijabetes melitus tip 1 koji nije imao drugi uzrok nastao je kod 1,0% (5/489) pacijenata. Među njima je bio 1 (0,2%) pacijent sa 3. stepenom dijabetes melitusa tip 1.</w:t>
      </w:r>
    </w:p>
    <w:p w14:paraId="1FB63580" w14:textId="77777777" w:rsidR="00CC2596" w:rsidRPr="008F1125" w:rsidRDefault="00CC2596" w:rsidP="00577413">
      <w:pPr>
        <w:tabs>
          <w:tab w:val="clear" w:pos="567"/>
        </w:tabs>
        <w:autoSpaceDE w:val="0"/>
        <w:autoSpaceDN w:val="0"/>
        <w:adjustRightInd w:val="0"/>
        <w:rPr>
          <w:szCs w:val="22"/>
          <w:lang w:val="sr-Latn-RS"/>
        </w:rPr>
      </w:pPr>
    </w:p>
    <w:p w14:paraId="1FB63581" w14:textId="0A66AF0A"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 xml:space="preserve">Medijana vremena do nastupa dijabetes melitusa tip 1 iznosila je 1,9 </w:t>
      </w:r>
      <w:r w:rsidR="00B27CC7" w:rsidRPr="008F1125">
        <w:rPr>
          <w:lang w:val="sr-Latn-RS" w:bidi="sr-Latn-RS"/>
        </w:rPr>
        <w:t>mjeseci</w:t>
      </w:r>
      <w:r w:rsidRPr="008F1125">
        <w:rPr>
          <w:lang w:val="sr-Latn-RS" w:bidi="sr-Latn-RS"/>
        </w:rPr>
        <w:t xml:space="preserve"> (raspon:  od 1,1 m</w:t>
      </w:r>
      <w:r w:rsidR="00D30197" w:rsidRPr="008F1125">
        <w:rPr>
          <w:lang w:val="sr-Latn-RS" w:bidi="sr-Latn-RS"/>
        </w:rPr>
        <w:t>j</w:t>
      </w:r>
      <w:r w:rsidRPr="008F1125">
        <w:rPr>
          <w:lang w:val="sr-Latn-RS" w:bidi="sr-Latn-RS"/>
        </w:rPr>
        <w:t>esec do 7,3 m</w:t>
      </w:r>
      <w:r w:rsidR="00D30197" w:rsidRPr="008F1125">
        <w:rPr>
          <w:lang w:val="sr-Latn-RS" w:bidi="sr-Latn-RS"/>
        </w:rPr>
        <w:t>j</w:t>
      </w:r>
      <w:r w:rsidRPr="008F1125">
        <w:rPr>
          <w:lang w:val="sr-Latn-RS" w:bidi="sr-Latn-RS"/>
        </w:rPr>
        <w:t>eseca).</w:t>
      </w:r>
    </w:p>
    <w:p w14:paraId="1FB63582" w14:textId="77777777" w:rsidR="00CC2596" w:rsidRPr="008F1125" w:rsidRDefault="00CC2596" w:rsidP="003D55E0">
      <w:pPr>
        <w:tabs>
          <w:tab w:val="clear" w:pos="567"/>
        </w:tabs>
        <w:autoSpaceDE w:val="0"/>
        <w:autoSpaceDN w:val="0"/>
        <w:adjustRightInd w:val="0"/>
        <w:jc w:val="both"/>
        <w:rPr>
          <w:szCs w:val="22"/>
          <w:lang w:val="sr-Latn-RS"/>
        </w:rPr>
      </w:pPr>
    </w:p>
    <w:p w14:paraId="1FB63583" w14:textId="2F9855B3"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Prim</w:t>
      </w:r>
      <w:r w:rsidR="00515B67" w:rsidRPr="008F1125">
        <w:rPr>
          <w:lang w:val="sr-Latn-RS" w:bidi="sr-Latn-RS"/>
        </w:rPr>
        <w:t>j</w:t>
      </w:r>
      <w:r w:rsidRPr="008F1125">
        <w:rPr>
          <w:lang w:val="sr-Latn-RS" w:bidi="sr-Latn-RS"/>
        </w:rPr>
        <w:t>ena avelumaba prekinuta je zbog dijabetes melitusa tip 1 kod 0,2% (1/489) pacijenata. Svih 5 pacijenata sa dijabetes melitusom tip 1 l</w:t>
      </w:r>
      <w:r w:rsidR="00AC1192">
        <w:rPr>
          <w:lang w:val="sr-Latn-RS" w:bidi="sr-Latn-RS"/>
        </w:rPr>
        <w:t>ij</w:t>
      </w:r>
      <w:r w:rsidRPr="008F1125">
        <w:rPr>
          <w:lang w:val="sr-Latn-RS" w:bidi="sr-Latn-RS"/>
        </w:rPr>
        <w:t>ečeno je insulinom. Dijabetes melitus tip 1 nije se povukao ni kod jednog pacijenta u vr</w:t>
      </w:r>
      <w:r w:rsidR="00E74CD9" w:rsidRPr="008F1125">
        <w:rPr>
          <w:lang w:val="sr-Latn-RS" w:bidi="sr-Latn-RS"/>
        </w:rPr>
        <w:t>ij</w:t>
      </w:r>
      <w:r w:rsidRPr="008F1125">
        <w:rPr>
          <w:lang w:val="sr-Latn-RS" w:bidi="sr-Latn-RS"/>
        </w:rPr>
        <w:t>eme prestanka prikupljanja podataka.</w:t>
      </w:r>
    </w:p>
    <w:p w14:paraId="1FB63584" w14:textId="77777777" w:rsidR="00CC2596" w:rsidRPr="008F1125" w:rsidRDefault="00CC2596" w:rsidP="00577413">
      <w:pPr>
        <w:tabs>
          <w:tab w:val="clear" w:pos="567"/>
        </w:tabs>
        <w:autoSpaceDE w:val="0"/>
        <w:autoSpaceDN w:val="0"/>
        <w:adjustRightInd w:val="0"/>
        <w:rPr>
          <w:szCs w:val="22"/>
          <w:lang w:val="sr-Latn-RS" w:eastAsia="en-GB"/>
        </w:rPr>
      </w:pPr>
    </w:p>
    <w:p w14:paraId="1FB63585" w14:textId="77777777" w:rsidR="00986038" w:rsidRPr="008F1125" w:rsidRDefault="00926926" w:rsidP="00577413">
      <w:pPr>
        <w:keepNext/>
        <w:tabs>
          <w:tab w:val="clear" w:pos="567"/>
        </w:tabs>
        <w:autoSpaceDE w:val="0"/>
        <w:autoSpaceDN w:val="0"/>
        <w:adjustRightInd w:val="0"/>
        <w:rPr>
          <w:i/>
          <w:iCs/>
          <w:szCs w:val="22"/>
          <w:u w:val="single"/>
          <w:lang w:val="sr-Latn-RS"/>
        </w:rPr>
      </w:pPr>
      <w:r w:rsidRPr="008F1125">
        <w:rPr>
          <w:i/>
          <w:u w:val="single"/>
          <w:lang w:val="sr-Latn-RS" w:bidi="sr-Latn-RS"/>
        </w:rPr>
        <w:t>Imunološki posredovan nefritis i poremećaj funkcije bubrega</w:t>
      </w:r>
    </w:p>
    <w:p w14:paraId="626B2AB2" w14:textId="43075D2B" w:rsidR="005E01AA" w:rsidRPr="008F1125" w:rsidRDefault="00926926" w:rsidP="003D55E0">
      <w:pPr>
        <w:keepNext/>
        <w:keepLines/>
        <w:tabs>
          <w:tab w:val="clear" w:pos="567"/>
        </w:tabs>
        <w:autoSpaceDE w:val="0"/>
        <w:autoSpaceDN w:val="0"/>
        <w:adjustRightInd w:val="0"/>
        <w:jc w:val="both"/>
        <w:rPr>
          <w:lang w:val="sr-Latn-RS" w:bidi="sr-Latn-RS"/>
        </w:rPr>
      </w:pPr>
      <w:r w:rsidRPr="008F1125">
        <w:rPr>
          <w:lang w:val="sr-Latn-RS" w:bidi="sr-Latn-RS"/>
        </w:rPr>
        <w:t xml:space="preserve">Kod pacijenata koji su primali avelumab kao monoterapiju, imunološki posredovan nefritis nastao je kod </w:t>
      </w:r>
      <w:r w:rsidR="005E01AA" w:rsidRPr="008F1125">
        <w:rPr>
          <w:lang w:val="sr-Latn-RS" w:bidi="sr-Latn-RS"/>
        </w:rPr>
        <w:t>3</w:t>
      </w:r>
      <w:r w:rsidRPr="008F1125">
        <w:rPr>
          <w:lang w:val="sr-Latn-RS" w:bidi="sr-Latn-RS"/>
        </w:rPr>
        <w:t>% (</w:t>
      </w:r>
      <w:r w:rsidR="005E01AA" w:rsidRPr="008F1125">
        <w:rPr>
          <w:lang w:val="sr-Latn-RS" w:bidi="sr-Latn-RS"/>
        </w:rPr>
        <w:t>7</w:t>
      </w:r>
      <w:r w:rsidRPr="008F1125">
        <w:rPr>
          <w:lang w:val="sr-Latn-RS" w:bidi="sr-Latn-RS"/>
        </w:rPr>
        <w:t>/</w:t>
      </w:r>
      <w:r w:rsidR="005E01AA" w:rsidRPr="008F1125">
        <w:rPr>
          <w:lang w:val="sr-Latn-RS" w:bidi="sr-Latn-RS"/>
        </w:rPr>
        <w:t>2082</w:t>
      </w:r>
      <w:r w:rsidRPr="008F1125">
        <w:rPr>
          <w:lang w:val="sr-Latn-RS" w:bidi="sr-Latn-RS"/>
        </w:rPr>
        <w:t>) pacijenata</w:t>
      </w:r>
      <w:r w:rsidR="005E01AA" w:rsidRPr="008F1125">
        <w:rPr>
          <w:lang w:val="sr-Latn-RS" w:bidi="sr-Latn-RS"/>
        </w:rPr>
        <w:t>. Jedan pacijent (manje od 0,1%) imao je imunološki posredovan nefritis</w:t>
      </w:r>
    </w:p>
    <w:p w14:paraId="1FB63586" w14:textId="176BA47D" w:rsidR="00986038" w:rsidRPr="008F1125" w:rsidRDefault="005E01AA" w:rsidP="003D55E0">
      <w:pPr>
        <w:keepNext/>
        <w:keepLines/>
        <w:tabs>
          <w:tab w:val="clear" w:pos="567"/>
        </w:tabs>
        <w:autoSpaceDE w:val="0"/>
        <w:autoSpaceDN w:val="0"/>
        <w:adjustRightInd w:val="0"/>
        <w:jc w:val="both"/>
        <w:rPr>
          <w:szCs w:val="22"/>
          <w:lang w:val="sr-Latn-RS" w:eastAsia="en-GB"/>
        </w:rPr>
      </w:pPr>
      <w:r w:rsidRPr="008F1125">
        <w:rPr>
          <w:lang w:val="sr-Latn-RS" w:bidi="sr-Latn-RS"/>
        </w:rPr>
        <w:t>3. stepena</w:t>
      </w:r>
      <w:r w:rsidR="00926926" w:rsidRPr="008F1125">
        <w:rPr>
          <w:lang w:val="sr-Latn-RS" w:bidi="sr-Latn-RS"/>
        </w:rPr>
        <w:t>.</w:t>
      </w:r>
    </w:p>
    <w:p w14:paraId="1FB63587" w14:textId="77777777" w:rsidR="00986038" w:rsidRPr="008F1125" w:rsidRDefault="00986038" w:rsidP="003D55E0">
      <w:pPr>
        <w:tabs>
          <w:tab w:val="clear" w:pos="567"/>
        </w:tabs>
        <w:autoSpaceDE w:val="0"/>
        <w:autoSpaceDN w:val="0"/>
        <w:adjustRightInd w:val="0"/>
        <w:jc w:val="both"/>
        <w:rPr>
          <w:szCs w:val="22"/>
          <w:lang w:val="sr-Latn-RS"/>
        </w:rPr>
      </w:pPr>
    </w:p>
    <w:p w14:paraId="6D30005E" w14:textId="694156F4" w:rsidR="00CC1386" w:rsidRPr="008F1125" w:rsidRDefault="00CC1386" w:rsidP="003D55E0">
      <w:pPr>
        <w:tabs>
          <w:tab w:val="clear" w:pos="567"/>
        </w:tabs>
        <w:autoSpaceDE w:val="0"/>
        <w:autoSpaceDN w:val="0"/>
        <w:adjustRightInd w:val="0"/>
        <w:jc w:val="both"/>
        <w:rPr>
          <w:szCs w:val="22"/>
          <w:lang w:val="sr-Latn-RS"/>
        </w:rPr>
      </w:pPr>
      <w:r w:rsidRPr="008F1125">
        <w:rPr>
          <w:szCs w:val="22"/>
          <w:lang w:val="sr-Latn-RS"/>
        </w:rPr>
        <w:t>Medijana vremena do nastupa imunološki posredovanog nefritisa iznosila je 2,4 m</w:t>
      </w:r>
      <w:r w:rsidR="00D30197" w:rsidRPr="008F1125">
        <w:rPr>
          <w:szCs w:val="22"/>
          <w:lang w:val="sr-Latn-RS"/>
        </w:rPr>
        <w:t>j</w:t>
      </w:r>
      <w:r w:rsidRPr="008F1125">
        <w:rPr>
          <w:szCs w:val="22"/>
          <w:lang w:val="sr-Latn-RS"/>
        </w:rPr>
        <w:t>eseca (raspon: od 7,1 ned</w:t>
      </w:r>
      <w:r w:rsidR="00AC1192">
        <w:rPr>
          <w:szCs w:val="22"/>
          <w:lang w:val="sr-Latn-RS"/>
        </w:rPr>
        <w:t>j</w:t>
      </w:r>
      <w:r w:rsidRPr="008F1125">
        <w:rPr>
          <w:szCs w:val="22"/>
          <w:lang w:val="sr-Latn-RS"/>
        </w:rPr>
        <w:t xml:space="preserve">elje do 21,9 </w:t>
      </w:r>
      <w:r w:rsidR="00B27CC7" w:rsidRPr="008F1125">
        <w:rPr>
          <w:szCs w:val="22"/>
          <w:lang w:val="sr-Latn-RS"/>
        </w:rPr>
        <w:t>mjeseci</w:t>
      </w:r>
      <w:r w:rsidRPr="008F1125">
        <w:rPr>
          <w:szCs w:val="22"/>
          <w:lang w:val="sr-Latn-RS"/>
        </w:rPr>
        <w:t>). Medijana trajanja iznosila je 6,1 m</w:t>
      </w:r>
      <w:r w:rsidR="00515B67" w:rsidRPr="008F1125">
        <w:rPr>
          <w:szCs w:val="22"/>
          <w:lang w:val="sr-Latn-RS"/>
        </w:rPr>
        <w:t>j</w:t>
      </w:r>
      <w:r w:rsidRPr="008F1125">
        <w:rPr>
          <w:szCs w:val="22"/>
          <w:lang w:val="sr-Latn-RS"/>
        </w:rPr>
        <w:t>esec (raspon: od 9 dana do 6,1 m</w:t>
      </w:r>
      <w:r w:rsidR="00515B67" w:rsidRPr="008F1125">
        <w:rPr>
          <w:szCs w:val="22"/>
          <w:lang w:val="sr-Latn-RS"/>
        </w:rPr>
        <w:t>j</w:t>
      </w:r>
      <w:r w:rsidRPr="008F1125">
        <w:rPr>
          <w:szCs w:val="22"/>
          <w:lang w:val="sr-Latn-RS"/>
        </w:rPr>
        <w:t>esec).</w:t>
      </w:r>
    </w:p>
    <w:p w14:paraId="16FD98AE" w14:textId="77777777" w:rsidR="00CC1386" w:rsidRPr="008F1125" w:rsidRDefault="00CC1386" w:rsidP="003D55E0">
      <w:pPr>
        <w:tabs>
          <w:tab w:val="clear" w:pos="567"/>
        </w:tabs>
        <w:autoSpaceDE w:val="0"/>
        <w:autoSpaceDN w:val="0"/>
        <w:adjustRightInd w:val="0"/>
        <w:jc w:val="both"/>
        <w:rPr>
          <w:szCs w:val="22"/>
          <w:lang w:val="sr-Latn-RS"/>
        </w:rPr>
      </w:pPr>
    </w:p>
    <w:p w14:paraId="17920A62" w14:textId="144E86E4" w:rsidR="005E01AA" w:rsidRPr="008F1125" w:rsidRDefault="00AC7302" w:rsidP="003D55E0">
      <w:pPr>
        <w:tabs>
          <w:tab w:val="clear" w:pos="567"/>
        </w:tabs>
        <w:autoSpaceDE w:val="0"/>
        <w:autoSpaceDN w:val="0"/>
        <w:adjustRightInd w:val="0"/>
        <w:jc w:val="both"/>
        <w:rPr>
          <w:szCs w:val="22"/>
          <w:lang w:val="sr-Latn-RS"/>
        </w:rPr>
      </w:pPr>
      <w:r w:rsidRPr="008F1125">
        <w:rPr>
          <w:szCs w:val="22"/>
          <w:lang w:val="sr-Latn-RS"/>
        </w:rPr>
        <w:t>Prim</w:t>
      </w:r>
      <w:r w:rsidR="00515B67" w:rsidRPr="008F1125">
        <w:rPr>
          <w:szCs w:val="22"/>
          <w:lang w:val="sr-Latn-RS"/>
        </w:rPr>
        <w:t>j</w:t>
      </w:r>
      <w:r w:rsidR="00CC1386" w:rsidRPr="008F1125">
        <w:rPr>
          <w:szCs w:val="22"/>
          <w:lang w:val="sr-Latn-RS"/>
        </w:rPr>
        <w:t xml:space="preserve">ena avelumaba prekinuta je </w:t>
      </w:r>
      <w:r w:rsidR="00283A6B" w:rsidRPr="008F1125">
        <w:rPr>
          <w:szCs w:val="22"/>
          <w:lang w:val="sr-Latn-RS"/>
        </w:rPr>
        <w:t>kod</w:t>
      </w:r>
      <w:r w:rsidR="00CC1386" w:rsidRPr="008F1125">
        <w:rPr>
          <w:szCs w:val="22"/>
          <w:lang w:val="sr-Latn-RS"/>
        </w:rPr>
        <w:t xml:space="preserve"> 0,2% (4/2082) </w:t>
      </w:r>
      <w:r w:rsidR="00283A6B" w:rsidRPr="008F1125">
        <w:rPr>
          <w:szCs w:val="22"/>
          <w:lang w:val="sr-Latn-RS"/>
        </w:rPr>
        <w:t>pacijen</w:t>
      </w:r>
      <w:r w:rsidR="00AC1192">
        <w:rPr>
          <w:szCs w:val="22"/>
          <w:lang w:val="sr-Latn-RS"/>
        </w:rPr>
        <w:t>a</w:t>
      </w:r>
      <w:r w:rsidR="00283A6B" w:rsidRPr="008F1125">
        <w:rPr>
          <w:szCs w:val="22"/>
          <w:lang w:val="sr-Latn-RS"/>
        </w:rPr>
        <w:t>ta zbog imunološki posredovanog nefritisa</w:t>
      </w:r>
      <w:r w:rsidR="00CC1386" w:rsidRPr="008F1125">
        <w:rPr>
          <w:szCs w:val="22"/>
          <w:lang w:val="sr-Latn-RS"/>
        </w:rPr>
        <w:t>.</w:t>
      </w:r>
      <w:r w:rsidR="00AC1192">
        <w:rPr>
          <w:szCs w:val="22"/>
          <w:lang w:val="sr-Latn-RS"/>
        </w:rPr>
        <w:t xml:space="preserve"> </w:t>
      </w:r>
      <w:r w:rsidR="00CC1386" w:rsidRPr="008F1125">
        <w:rPr>
          <w:szCs w:val="22"/>
          <w:lang w:val="sr-Latn-RS"/>
        </w:rPr>
        <w:t xml:space="preserve">Svih 7 </w:t>
      </w:r>
      <w:r w:rsidR="00283A6B" w:rsidRPr="008F1125">
        <w:rPr>
          <w:szCs w:val="22"/>
          <w:lang w:val="sr-Latn-RS"/>
        </w:rPr>
        <w:t>pacijenata</w:t>
      </w:r>
      <w:r w:rsidR="00CC1386" w:rsidRPr="008F1125">
        <w:rPr>
          <w:szCs w:val="22"/>
          <w:lang w:val="sr-Latn-RS"/>
        </w:rPr>
        <w:t xml:space="preserve"> s</w:t>
      </w:r>
      <w:r w:rsidR="00283A6B" w:rsidRPr="008F1125">
        <w:rPr>
          <w:szCs w:val="22"/>
          <w:lang w:val="sr-Latn-RS"/>
        </w:rPr>
        <w:t>a</w:t>
      </w:r>
      <w:r w:rsidR="00CC1386" w:rsidRPr="008F1125">
        <w:rPr>
          <w:szCs w:val="22"/>
          <w:lang w:val="sr-Latn-RS"/>
        </w:rPr>
        <w:t xml:space="preserve"> imunološki posredovanim nefritisom </w:t>
      </w:r>
      <w:r w:rsidR="00283A6B" w:rsidRPr="008F1125">
        <w:rPr>
          <w:szCs w:val="22"/>
          <w:lang w:val="sr-Latn-RS"/>
        </w:rPr>
        <w:t xml:space="preserve">primalo </w:t>
      </w:r>
      <w:r w:rsidR="00CC1386" w:rsidRPr="008F1125">
        <w:rPr>
          <w:szCs w:val="22"/>
          <w:lang w:val="sr-Latn-RS"/>
        </w:rPr>
        <w:t>je kortikoste</w:t>
      </w:r>
      <w:r w:rsidR="00283A6B" w:rsidRPr="008F1125">
        <w:rPr>
          <w:szCs w:val="22"/>
          <w:lang w:val="sr-Latn-RS"/>
        </w:rPr>
        <w:t>roide</w:t>
      </w:r>
      <w:r w:rsidR="00CC1386" w:rsidRPr="008F1125">
        <w:rPr>
          <w:szCs w:val="22"/>
          <w:lang w:val="sr-Latn-RS"/>
        </w:rPr>
        <w:t>. Od tih</w:t>
      </w:r>
      <w:r w:rsidR="00283A6B" w:rsidRPr="008F1125">
        <w:rPr>
          <w:szCs w:val="22"/>
          <w:lang w:val="sr-Latn-RS"/>
        </w:rPr>
        <w:t xml:space="preserve"> </w:t>
      </w:r>
      <w:r w:rsidR="00CC1386" w:rsidRPr="008F1125">
        <w:rPr>
          <w:szCs w:val="22"/>
          <w:lang w:val="sr-Latn-RS"/>
        </w:rPr>
        <w:t xml:space="preserve">7 </w:t>
      </w:r>
      <w:r w:rsidR="00283A6B" w:rsidRPr="008F1125">
        <w:rPr>
          <w:szCs w:val="22"/>
          <w:lang w:val="sr-Latn-RS"/>
        </w:rPr>
        <w:t xml:space="preserve">pacijenata </w:t>
      </w:r>
      <w:r w:rsidR="00CC1386" w:rsidRPr="008F1125">
        <w:rPr>
          <w:szCs w:val="22"/>
          <w:lang w:val="sr-Latn-RS"/>
        </w:rPr>
        <w:t>s</w:t>
      </w:r>
      <w:r w:rsidR="00283A6B" w:rsidRPr="008F1125">
        <w:rPr>
          <w:szCs w:val="22"/>
          <w:lang w:val="sr-Latn-RS"/>
        </w:rPr>
        <w:t>a</w:t>
      </w:r>
      <w:r w:rsidR="00CC1386" w:rsidRPr="008F1125">
        <w:rPr>
          <w:szCs w:val="22"/>
          <w:lang w:val="sr-Latn-RS"/>
        </w:rPr>
        <w:t xml:space="preserve"> imunološki posredovanim nefritisom, njih 6 (85,7%) </w:t>
      </w:r>
      <w:r w:rsidR="00283A6B" w:rsidRPr="008F1125">
        <w:rPr>
          <w:szCs w:val="22"/>
          <w:lang w:val="sr-Latn-RS"/>
        </w:rPr>
        <w:t xml:space="preserve">primalo je visoke doze </w:t>
      </w:r>
      <w:r w:rsidR="00CC1386" w:rsidRPr="008F1125">
        <w:rPr>
          <w:szCs w:val="22"/>
          <w:lang w:val="sr-Latn-RS"/>
        </w:rPr>
        <w:t>kortikosteroida t</w:t>
      </w:r>
      <w:r w:rsidR="00283A6B" w:rsidRPr="008F1125">
        <w:rPr>
          <w:szCs w:val="22"/>
          <w:lang w:val="sr-Latn-RS"/>
        </w:rPr>
        <w:t>okom medijane</w:t>
      </w:r>
      <w:r w:rsidR="00CC1386" w:rsidRPr="008F1125">
        <w:rPr>
          <w:szCs w:val="22"/>
          <w:lang w:val="sr-Latn-RS"/>
        </w:rPr>
        <w:t xml:space="preserve"> od 2,5 </w:t>
      </w:r>
      <w:r w:rsidR="00283A6B" w:rsidRPr="008F1125">
        <w:rPr>
          <w:szCs w:val="22"/>
          <w:lang w:val="sr-Latn-RS"/>
        </w:rPr>
        <w:t>ned</w:t>
      </w:r>
      <w:r w:rsidR="00AC1192">
        <w:rPr>
          <w:szCs w:val="22"/>
          <w:lang w:val="sr-Latn-RS"/>
        </w:rPr>
        <w:t>j</w:t>
      </w:r>
      <w:r w:rsidR="00283A6B" w:rsidRPr="008F1125">
        <w:rPr>
          <w:szCs w:val="22"/>
          <w:lang w:val="sr-Latn-RS"/>
        </w:rPr>
        <w:t xml:space="preserve">elje </w:t>
      </w:r>
      <w:r w:rsidR="00CC1386" w:rsidRPr="008F1125">
        <w:rPr>
          <w:szCs w:val="22"/>
          <w:lang w:val="sr-Latn-RS"/>
        </w:rPr>
        <w:t xml:space="preserve">(raspon: od 6 dana do 2,8 </w:t>
      </w:r>
      <w:r w:rsidR="00B27CC7" w:rsidRPr="008F1125">
        <w:rPr>
          <w:szCs w:val="22"/>
          <w:lang w:val="sr-Latn-RS"/>
        </w:rPr>
        <w:t>mjeseci</w:t>
      </w:r>
      <w:r w:rsidR="00CC1386" w:rsidRPr="008F1125">
        <w:rPr>
          <w:szCs w:val="22"/>
          <w:lang w:val="sr-Latn-RS"/>
        </w:rPr>
        <w:t>). Imunološki</w:t>
      </w:r>
      <w:r w:rsidR="00167C0E" w:rsidRPr="008F1125">
        <w:rPr>
          <w:szCs w:val="22"/>
          <w:lang w:val="sr-Latn-RS"/>
        </w:rPr>
        <w:t xml:space="preserve"> </w:t>
      </w:r>
      <w:r w:rsidR="00CC1386" w:rsidRPr="008F1125">
        <w:rPr>
          <w:szCs w:val="22"/>
          <w:lang w:val="sr-Latn-RS"/>
        </w:rPr>
        <w:t xml:space="preserve">posredovan nefritis povukao se </w:t>
      </w:r>
      <w:r w:rsidR="00167C0E" w:rsidRPr="008F1125">
        <w:rPr>
          <w:szCs w:val="22"/>
          <w:lang w:val="sr-Latn-RS"/>
        </w:rPr>
        <w:t xml:space="preserve">kod </w:t>
      </w:r>
      <w:r w:rsidR="00CC1386" w:rsidRPr="008F1125">
        <w:rPr>
          <w:szCs w:val="22"/>
          <w:lang w:val="sr-Latn-RS"/>
        </w:rPr>
        <w:t xml:space="preserve">4 (57,1%) </w:t>
      </w:r>
      <w:r w:rsidR="00167C0E" w:rsidRPr="008F1125">
        <w:rPr>
          <w:szCs w:val="22"/>
          <w:lang w:val="sr-Latn-RS"/>
        </w:rPr>
        <w:t xml:space="preserve">pacijenta </w:t>
      </w:r>
      <w:r w:rsidR="00CC1386" w:rsidRPr="008F1125">
        <w:rPr>
          <w:szCs w:val="22"/>
          <w:lang w:val="sr-Latn-RS"/>
        </w:rPr>
        <w:t>u vr</w:t>
      </w:r>
      <w:r w:rsidR="00E74CD9" w:rsidRPr="008F1125">
        <w:rPr>
          <w:szCs w:val="22"/>
          <w:lang w:val="sr-Latn-RS"/>
        </w:rPr>
        <w:t>ij</w:t>
      </w:r>
      <w:r w:rsidR="00CC1386" w:rsidRPr="008F1125">
        <w:rPr>
          <w:szCs w:val="22"/>
          <w:lang w:val="sr-Latn-RS"/>
        </w:rPr>
        <w:t>eme prestanka prikupljanja podataka.</w:t>
      </w:r>
    </w:p>
    <w:p w14:paraId="58A50334" w14:textId="77777777" w:rsidR="005E01AA" w:rsidRPr="008F1125" w:rsidRDefault="005E01AA" w:rsidP="003D55E0">
      <w:pPr>
        <w:tabs>
          <w:tab w:val="clear" w:pos="567"/>
        </w:tabs>
        <w:autoSpaceDE w:val="0"/>
        <w:autoSpaceDN w:val="0"/>
        <w:adjustRightInd w:val="0"/>
        <w:jc w:val="both"/>
        <w:rPr>
          <w:szCs w:val="22"/>
          <w:lang w:val="sr-Latn-RS"/>
        </w:rPr>
      </w:pPr>
    </w:p>
    <w:p w14:paraId="1FB63588" w14:textId="77777777"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Kod pacijenata na terapiji avelumabom u kombinaciji sa aksitinibom, 0,4% (2/489) pacijenata razvilo je imunološki posredovan nefritis. Među tim pacijentima, njih 2 (0,4 %) imalo je imunološki posredovan nefritis 3. stepena.</w:t>
      </w:r>
    </w:p>
    <w:p w14:paraId="1FB63589" w14:textId="77777777" w:rsidR="00CC2596" w:rsidRPr="008F1125" w:rsidRDefault="00CC2596" w:rsidP="003D55E0">
      <w:pPr>
        <w:tabs>
          <w:tab w:val="clear" w:pos="567"/>
        </w:tabs>
        <w:autoSpaceDE w:val="0"/>
        <w:autoSpaceDN w:val="0"/>
        <w:adjustRightInd w:val="0"/>
        <w:jc w:val="both"/>
        <w:rPr>
          <w:szCs w:val="22"/>
          <w:lang w:val="sr-Latn-RS"/>
        </w:rPr>
      </w:pPr>
    </w:p>
    <w:p w14:paraId="1FB6358A" w14:textId="284A0E0F" w:rsidR="00CC2596" w:rsidRPr="008F1125" w:rsidRDefault="00926926" w:rsidP="003D55E0">
      <w:pPr>
        <w:tabs>
          <w:tab w:val="clear" w:pos="567"/>
        </w:tabs>
        <w:autoSpaceDE w:val="0"/>
        <w:autoSpaceDN w:val="0"/>
        <w:adjustRightInd w:val="0"/>
        <w:jc w:val="both"/>
        <w:rPr>
          <w:szCs w:val="22"/>
          <w:lang w:val="sr-Latn-RS"/>
        </w:rPr>
      </w:pPr>
      <w:r w:rsidRPr="008F1125">
        <w:rPr>
          <w:lang w:val="sr-Latn-RS" w:bidi="sr-Latn-RS"/>
        </w:rPr>
        <w:t>Medijana vremena do nastupa imunološki posredovanog nefritisa iznosila je 1,2 m</w:t>
      </w:r>
      <w:r w:rsidR="00D30197" w:rsidRPr="008F1125">
        <w:rPr>
          <w:lang w:val="sr-Latn-RS" w:bidi="sr-Latn-RS"/>
        </w:rPr>
        <w:t>j</w:t>
      </w:r>
      <w:r w:rsidRPr="008F1125">
        <w:rPr>
          <w:lang w:val="sr-Latn-RS" w:bidi="sr-Latn-RS"/>
        </w:rPr>
        <w:t>esec (raspon:  od 2,9 ned</w:t>
      </w:r>
      <w:r w:rsidR="003C0701" w:rsidRPr="008F1125">
        <w:rPr>
          <w:lang w:val="sr-Latn-RS" w:bidi="sr-Latn-RS"/>
        </w:rPr>
        <w:t>j</w:t>
      </w:r>
      <w:r w:rsidRPr="008F1125">
        <w:rPr>
          <w:lang w:val="sr-Latn-RS" w:bidi="sr-Latn-RS"/>
        </w:rPr>
        <w:t xml:space="preserve">elja do 1,8 </w:t>
      </w:r>
      <w:r w:rsidR="00B27CC7" w:rsidRPr="008F1125">
        <w:rPr>
          <w:lang w:val="sr-Latn-RS" w:bidi="sr-Latn-RS"/>
        </w:rPr>
        <w:t>mjeseci</w:t>
      </w:r>
      <w:r w:rsidRPr="008F1125">
        <w:rPr>
          <w:lang w:val="sr-Latn-RS" w:bidi="sr-Latn-RS"/>
        </w:rPr>
        <w:t>). Medijana trajanja iznosila je 1,3 ned</w:t>
      </w:r>
      <w:r w:rsidR="003C0701" w:rsidRPr="008F1125">
        <w:rPr>
          <w:lang w:val="sr-Latn-RS" w:bidi="sr-Latn-RS"/>
        </w:rPr>
        <w:t>j</w:t>
      </w:r>
      <w:r w:rsidRPr="008F1125">
        <w:rPr>
          <w:lang w:val="sr-Latn-RS" w:bidi="sr-Latn-RS"/>
        </w:rPr>
        <w:t>elje (raspon: od više od 4 dana do 1,3 ned</w:t>
      </w:r>
      <w:r w:rsidR="003C0701" w:rsidRPr="008F1125">
        <w:rPr>
          <w:lang w:val="sr-Latn-RS" w:bidi="sr-Latn-RS"/>
        </w:rPr>
        <w:t>j</w:t>
      </w:r>
      <w:r w:rsidRPr="008F1125">
        <w:rPr>
          <w:lang w:val="sr-Latn-RS" w:bidi="sr-Latn-RS"/>
        </w:rPr>
        <w:t>elje).</w:t>
      </w:r>
    </w:p>
    <w:p w14:paraId="1FB6358B" w14:textId="77777777" w:rsidR="00CC2596" w:rsidRPr="008F1125" w:rsidRDefault="00CC2596" w:rsidP="003D55E0">
      <w:pPr>
        <w:tabs>
          <w:tab w:val="clear" w:pos="567"/>
        </w:tabs>
        <w:autoSpaceDE w:val="0"/>
        <w:autoSpaceDN w:val="0"/>
        <w:adjustRightInd w:val="0"/>
        <w:jc w:val="both"/>
        <w:rPr>
          <w:szCs w:val="22"/>
          <w:lang w:val="sr-Latn-RS"/>
        </w:rPr>
      </w:pPr>
    </w:p>
    <w:p w14:paraId="1FB6358C" w14:textId="315FFE7C" w:rsidR="00CC2596" w:rsidRPr="008F1125" w:rsidRDefault="00926926" w:rsidP="003D55E0">
      <w:pPr>
        <w:tabs>
          <w:tab w:val="clear" w:pos="567"/>
        </w:tabs>
        <w:autoSpaceDE w:val="0"/>
        <w:autoSpaceDN w:val="0"/>
        <w:adjustRightInd w:val="0"/>
        <w:jc w:val="both"/>
        <w:rPr>
          <w:szCs w:val="22"/>
          <w:lang w:val="sr-Latn-RS" w:eastAsia="en-GB"/>
        </w:rPr>
      </w:pPr>
      <w:r w:rsidRPr="008F1125">
        <w:rPr>
          <w:lang w:val="sr-Latn-RS" w:bidi="sr-Latn-RS"/>
        </w:rPr>
        <w:t>Imunološki posredovan nefritis nije doveo do prekida prim</w:t>
      </w:r>
      <w:r w:rsidR="00515B67" w:rsidRPr="008F1125">
        <w:rPr>
          <w:lang w:val="sr-Latn-RS" w:bidi="sr-Latn-RS"/>
        </w:rPr>
        <w:t>j</w:t>
      </w:r>
      <w:r w:rsidRPr="008F1125">
        <w:rPr>
          <w:lang w:val="sr-Latn-RS" w:bidi="sr-Latn-RS"/>
        </w:rPr>
        <w:t>ene avelumaba ni kod jednog pacijenta. Oba pacijenta sa imunološki posredovanim nefritisom bila su l</w:t>
      </w:r>
      <w:r w:rsidR="003C0701" w:rsidRPr="008F1125">
        <w:rPr>
          <w:lang w:val="sr-Latn-RS" w:bidi="sr-Latn-RS"/>
        </w:rPr>
        <w:t>ij</w:t>
      </w:r>
      <w:r w:rsidRPr="008F1125">
        <w:rPr>
          <w:lang w:val="sr-Latn-RS" w:bidi="sr-Latn-RS"/>
        </w:rPr>
        <w:t>ečena visokom dozom kortikosteroida tokom medijane od 1,1 ned</w:t>
      </w:r>
      <w:r w:rsidR="003C0701" w:rsidRPr="008F1125">
        <w:rPr>
          <w:lang w:val="sr-Latn-RS" w:bidi="sr-Latn-RS"/>
        </w:rPr>
        <w:t>j</w:t>
      </w:r>
      <w:r w:rsidRPr="008F1125">
        <w:rPr>
          <w:lang w:val="sr-Latn-RS" w:bidi="sr-Latn-RS"/>
        </w:rPr>
        <w:t>elje (raspon:  od 3 dana do 1,9 ned</w:t>
      </w:r>
      <w:r w:rsidR="00AC1192">
        <w:rPr>
          <w:lang w:val="sr-Latn-RS" w:bidi="sr-Latn-RS"/>
        </w:rPr>
        <w:t>j</w:t>
      </w:r>
      <w:r w:rsidRPr="008F1125">
        <w:rPr>
          <w:lang w:val="sr-Latn-RS" w:bidi="sr-Latn-RS"/>
        </w:rPr>
        <w:t>elja). Imunološki posredovan hepatitis povukao se kod 1 (50%) od 2 pacijenta u vr</w:t>
      </w:r>
      <w:r w:rsidR="003C0701" w:rsidRPr="008F1125">
        <w:rPr>
          <w:lang w:val="sr-Latn-RS" w:bidi="sr-Latn-RS"/>
        </w:rPr>
        <w:t>ij</w:t>
      </w:r>
      <w:r w:rsidRPr="008F1125">
        <w:rPr>
          <w:lang w:val="sr-Latn-RS" w:bidi="sr-Latn-RS"/>
        </w:rPr>
        <w:t>eme prestanka prikupljanja podataka.</w:t>
      </w:r>
    </w:p>
    <w:p w14:paraId="1FB6358D" w14:textId="77777777" w:rsidR="00CC2596" w:rsidRPr="008F1125" w:rsidRDefault="00CC2596" w:rsidP="00577413">
      <w:pPr>
        <w:tabs>
          <w:tab w:val="clear" w:pos="567"/>
        </w:tabs>
        <w:autoSpaceDE w:val="0"/>
        <w:autoSpaceDN w:val="0"/>
        <w:adjustRightInd w:val="0"/>
        <w:rPr>
          <w:iCs/>
          <w:szCs w:val="22"/>
          <w:lang w:val="sr-Latn-RS"/>
        </w:rPr>
      </w:pPr>
    </w:p>
    <w:p w14:paraId="1FB6358E" w14:textId="77777777" w:rsidR="00CC2596" w:rsidRPr="008F1125" w:rsidRDefault="00926926" w:rsidP="00577413">
      <w:pPr>
        <w:keepNext/>
        <w:keepLines/>
        <w:tabs>
          <w:tab w:val="clear" w:pos="567"/>
        </w:tabs>
        <w:autoSpaceDE w:val="0"/>
        <w:autoSpaceDN w:val="0"/>
        <w:adjustRightInd w:val="0"/>
        <w:rPr>
          <w:rStyle w:val="underline"/>
          <w:rFonts w:eastAsia="TimesNewRoman"/>
          <w:i/>
          <w:szCs w:val="22"/>
          <w:u w:val="single"/>
          <w:lang w:val="sr-Latn-RS"/>
        </w:rPr>
      </w:pPr>
      <w:r w:rsidRPr="008F1125">
        <w:rPr>
          <w:i/>
          <w:u w:val="single"/>
          <w:lang w:val="sr-Latn-RS" w:bidi="sr-Latn-RS"/>
        </w:rPr>
        <w:t>Hepatotoksičnost</w:t>
      </w:r>
      <w:r w:rsidRPr="008F1125">
        <w:rPr>
          <w:rStyle w:val="underline"/>
          <w:i/>
          <w:u w:val="single"/>
          <w:lang w:val="sr-Latn-RS" w:bidi="sr-Latn-RS"/>
        </w:rPr>
        <w:t xml:space="preserve"> (u kombinaciji sa aksitinibom)</w:t>
      </w:r>
    </w:p>
    <w:p w14:paraId="1FB6358F" w14:textId="23999C1E" w:rsidR="00CC2596" w:rsidRPr="008F1125" w:rsidRDefault="00926926" w:rsidP="003D55E0">
      <w:pPr>
        <w:keepNext/>
        <w:keepLines/>
        <w:jc w:val="both"/>
        <w:rPr>
          <w:szCs w:val="22"/>
          <w:lang w:val="sr-Latn-RS"/>
        </w:rPr>
      </w:pPr>
      <w:r w:rsidRPr="008F1125">
        <w:rPr>
          <w:lang w:val="sr-Latn-RS" w:bidi="sr-Latn-RS"/>
        </w:rPr>
        <w:t>Kod pacijenata na terapiji avelumabom u kombinaciji sa aksitinibom, povišene vr</w:t>
      </w:r>
      <w:r w:rsidR="003C0701" w:rsidRPr="008F1125">
        <w:rPr>
          <w:lang w:val="sr-Latn-RS" w:bidi="sr-Latn-RS"/>
        </w:rPr>
        <w:t>ij</w:t>
      </w:r>
      <w:r w:rsidRPr="008F1125">
        <w:rPr>
          <w:lang w:val="sr-Latn-RS" w:bidi="sr-Latn-RS"/>
        </w:rPr>
        <w:t xml:space="preserve">ednosti ALT-a i AST-a 3. i 4. stepena </w:t>
      </w:r>
      <w:r w:rsidR="00DD502A" w:rsidRPr="008F1125">
        <w:rPr>
          <w:lang w:val="sr-Latn-RS" w:bidi="sr-Latn-RS"/>
        </w:rPr>
        <w:t>zabilježene</w:t>
      </w:r>
      <w:r w:rsidRPr="008F1125">
        <w:rPr>
          <w:lang w:val="sr-Latn-RS" w:bidi="sr-Latn-RS"/>
        </w:rPr>
        <w:t xml:space="preserve"> su </w:t>
      </w:r>
      <w:r w:rsidR="00AC1192">
        <w:rPr>
          <w:lang w:val="sr-Latn-RS" w:bidi="sr-Latn-RS"/>
        </w:rPr>
        <w:t>kod</w:t>
      </w:r>
      <w:r w:rsidRPr="008F1125">
        <w:rPr>
          <w:lang w:val="sr-Latn-RS" w:bidi="sr-Latn-RS"/>
        </w:rPr>
        <w:t xml:space="preserve"> 9% odnosno 7% pacijenata.</w:t>
      </w:r>
    </w:p>
    <w:p w14:paraId="1FB63590" w14:textId="77777777" w:rsidR="00CC2596" w:rsidRPr="008F1125" w:rsidRDefault="00CC2596" w:rsidP="003D55E0">
      <w:pPr>
        <w:jc w:val="both"/>
        <w:rPr>
          <w:lang w:val="sr-Latn-RS" w:eastAsia="en-GB"/>
        </w:rPr>
      </w:pPr>
    </w:p>
    <w:p w14:paraId="1FB63591" w14:textId="0C7022BB" w:rsidR="00CC2596" w:rsidRPr="008F1125" w:rsidRDefault="00926926" w:rsidP="003D55E0">
      <w:pPr>
        <w:jc w:val="both"/>
        <w:rPr>
          <w:szCs w:val="22"/>
          <w:lang w:val="sr-Latn-RS"/>
        </w:rPr>
      </w:pPr>
      <w:r w:rsidRPr="008F1125">
        <w:rPr>
          <w:lang w:val="sr-Latn-RS" w:bidi="sr-Latn-RS"/>
        </w:rPr>
        <w:t>Kod pacijenata sa ALT-om ≥ 3 puta iznad GGN-a (2.-4. stepena, n=82), vr</w:t>
      </w:r>
      <w:r w:rsidR="00AC1192">
        <w:rPr>
          <w:lang w:val="sr-Latn-RS" w:bidi="sr-Latn-RS"/>
        </w:rPr>
        <w:t>ij</w:t>
      </w:r>
      <w:r w:rsidRPr="008F1125">
        <w:rPr>
          <w:lang w:val="sr-Latn-RS" w:bidi="sr-Latn-RS"/>
        </w:rPr>
        <w:t>ednost ALT-a se smanjila na 0.-1. stepen u 92%.</w:t>
      </w:r>
    </w:p>
    <w:p w14:paraId="1FB63592" w14:textId="77777777" w:rsidR="00CC2596" w:rsidRPr="008F1125" w:rsidRDefault="00CC2596" w:rsidP="003D55E0">
      <w:pPr>
        <w:tabs>
          <w:tab w:val="clear" w:pos="567"/>
        </w:tabs>
        <w:autoSpaceDE w:val="0"/>
        <w:autoSpaceDN w:val="0"/>
        <w:adjustRightInd w:val="0"/>
        <w:jc w:val="both"/>
        <w:rPr>
          <w:lang w:val="sr-Latn-RS" w:eastAsia="en-GB"/>
        </w:rPr>
      </w:pPr>
    </w:p>
    <w:p w14:paraId="1FB63593" w14:textId="4B4D3439" w:rsidR="00CC2596" w:rsidRDefault="00926926" w:rsidP="003D55E0">
      <w:pPr>
        <w:tabs>
          <w:tab w:val="clear" w:pos="567"/>
        </w:tabs>
        <w:autoSpaceDE w:val="0"/>
        <w:autoSpaceDN w:val="0"/>
        <w:adjustRightInd w:val="0"/>
        <w:jc w:val="both"/>
        <w:rPr>
          <w:lang w:val="sr-Latn-RS" w:bidi="sr-Latn-RS"/>
        </w:rPr>
      </w:pPr>
      <w:r w:rsidRPr="008F1125">
        <w:rPr>
          <w:lang w:val="sr-Latn-RS" w:bidi="sr-Latn-RS"/>
        </w:rPr>
        <w:t>Od 73 pacijenta kod kojih je ponovno uvedena ili monoterapija avelumabom (59%) ili monoterapija aksitinibom (85 %) ili kombinacija oba l</w:t>
      </w:r>
      <w:r w:rsidR="0038574B" w:rsidRPr="008F1125">
        <w:rPr>
          <w:lang w:val="sr-Latn-RS" w:bidi="sr-Latn-RS"/>
        </w:rPr>
        <w:t>ij</w:t>
      </w:r>
      <w:r w:rsidRPr="008F1125">
        <w:rPr>
          <w:lang w:val="sr-Latn-RS" w:bidi="sr-Latn-RS"/>
        </w:rPr>
        <w:t>eka (55%), kod njih 66% nisu se ponovile povišene vr</w:t>
      </w:r>
      <w:r w:rsidR="003C0701" w:rsidRPr="008F1125">
        <w:rPr>
          <w:lang w:val="sr-Latn-RS" w:bidi="sr-Latn-RS"/>
        </w:rPr>
        <w:t>ij</w:t>
      </w:r>
      <w:r w:rsidRPr="008F1125">
        <w:rPr>
          <w:lang w:val="sr-Latn-RS" w:bidi="sr-Latn-RS"/>
        </w:rPr>
        <w:t>ednosti ALT-a ≥ 3 puta iznad GGN-a.</w:t>
      </w:r>
    </w:p>
    <w:p w14:paraId="7B5241A8" w14:textId="77777777" w:rsidR="00851ABB" w:rsidRDefault="00851ABB" w:rsidP="003D55E0">
      <w:pPr>
        <w:tabs>
          <w:tab w:val="clear" w:pos="567"/>
        </w:tabs>
        <w:autoSpaceDE w:val="0"/>
        <w:autoSpaceDN w:val="0"/>
        <w:adjustRightInd w:val="0"/>
        <w:jc w:val="both"/>
        <w:rPr>
          <w:lang w:val="sr-Latn-RS" w:bidi="sr-Latn-RS"/>
        </w:rPr>
      </w:pPr>
    </w:p>
    <w:p w14:paraId="1EDDB247" w14:textId="1144D1E8" w:rsidR="00851ABB" w:rsidRPr="005E0C02" w:rsidRDefault="00851ABB" w:rsidP="00851ABB">
      <w:pPr>
        <w:tabs>
          <w:tab w:val="clear" w:pos="567"/>
        </w:tabs>
        <w:autoSpaceDE w:val="0"/>
        <w:autoSpaceDN w:val="0"/>
        <w:adjustRightInd w:val="0"/>
        <w:jc w:val="both"/>
        <w:rPr>
          <w:szCs w:val="22"/>
          <w:u w:val="single"/>
          <w:lang w:val="sr-Latn-RS"/>
        </w:rPr>
      </w:pPr>
      <w:r w:rsidRPr="005E0C02">
        <w:rPr>
          <w:szCs w:val="22"/>
          <w:u w:val="single"/>
          <w:lang w:val="sr-Latn-RS"/>
        </w:rPr>
        <w:t xml:space="preserve">Klasni efekti inhibitora kontrolnih tačaka imunološkog odgovora </w:t>
      </w:r>
    </w:p>
    <w:p w14:paraId="52D06409" w14:textId="349F7099" w:rsidR="00851ABB" w:rsidRDefault="00851ABB" w:rsidP="00851ABB">
      <w:pPr>
        <w:tabs>
          <w:tab w:val="clear" w:pos="567"/>
        </w:tabs>
        <w:autoSpaceDE w:val="0"/>
        <w:autoSpaceDN w:val="0"/>
        <w:adjustRightInd w:val="0"/>
        <w:jc w:val="both"/>
        <w:rPr>
          <w:szCs w:val="22"/>
          <w:lang w:val="sr-Latn-RS"/>
        </w:rPr>
      </w:pPr>
      <w:r w:rsidRPr="00851ABB">
        <w:rPr>
          <w:szCs w:val="22"/>
          <w:lang w:val="sr-Latn-RS"/>
        </w:rPr>
        <w:t>Zab</w:t>
      </w:r>
      <w:r>
        <w:rPr>
          <w:szCs w:val="22"/>
          <w:lang w:val="sr-Latn-RS"/>
        </w:rPr>
        <w:t>ilj</w:t>
      </w:r>
      <w:r w:rsidRPr="00851ABB">
        <w:rPr>
          <w:szCs w:val="22"/>
          <w:lang w:val="sr-Latn-RS"/>
        </w:rPr>
        <w:t>eženi su slučajevi sl</w:t>
      </w:r>
      <w:r>
        <w:rPr>
          <w:szCs w:val="22"/>
          <w:lang w:val="sr-Latn-RS"/>
        </w:rPr>
        <w:t>j</w:t>
      </w:r>
      <w:r w:rsidRPr="00851ABB">
        <w:rPr>
          <w:szCs w:val="22"/>
          <w:lang w:val="sr-Latn-RS"/>
        </w:rPr>
        <w:t xml:space="preserve">edećih neželjenih reakcija tokom terapije drugim inhibitorima kontrolnih tačaka </w:t>
      </w:r>
      <w:r>
        <w:rPr>
          <w:szCs w:val="22"/>
          <w:lang w:val="sr-Latn-RS"/>
        </w:rPr>
        <w:t>imunološkog</w:t>
      </w:r>
      <w:r w:rsidRPr="00851ABB">
        <w:rPr>
          <w:szCs w:val="22"/>
          <w:lang w:val="sr-Latn-RS"/>
        </w:rPr>
        <w:t xml:space="preserve"> odgovora, a koji se takođe mogu javiti tokom l</w:t>
      </w:r>
      <w:r>
        <w:rPr>
          <w:szCs w:val="22"/>
          <w:lang w:val="sr-Latn-RS"/>
        </w:rPr>
        <w:t>ij</w:t>
      </w:r>
      <w:r w:rsidRPr="00851ABB">
        <w:rPr>
          <w:szCs w:val="22"/>
          <w:lang w:val="sr-Latn-RS"/>
        </w:rPr>
        <w:t>ečenja avelumabom: egzokrina insuficijencija pankreasa, celijakija.</w:t>
      </w:r>
    </w:p>
    <w:p w14:paraId="0F79C154" w14:textId="77777777" w:rsidR="00851ABB" w:rsidRPr="008F1125" w:rsidRDefault="00851ABB" w:rsidP="00851ABB">
      <w:pPr>
        <w:tabs>
          <w:tab w:val="clear" w:pos="567"/>
        </w:tabs>
        <w:autoSpaceDE w:val="0"/>
        <w:autoSpaceDN w:val="0"/>
        <w:adjustRightInd w:val="0"/>
        <w:jc w:val="both"/>
        <w:rPr>
          <w:szCs w:val="22"/>
          <w:lang w:val="sr-Latn-RS"/>
        </w:rPr>
      </w:pPr>
    </w:p>
    <w:p w14:paraId="1FB63595" w14:textId="77777777" w:rsidR="00821DBC" w:rsidRPr="008F1125" w:rsidRDefault="00926926" w:rsidP="00577413">
      <w:pPr>
        <w:keepNext/>
        <w:keepLines/>
        <w:tabs>
          <w:tab w:val="clear" w:pos="567"/>
        </w:tabs>
        <w:autoSpaceDE w:val="0"/>
        <w:autoSpaceDN w:val="0"/>
        <w:adjustRightInd w:val="0"/>
        <w:rPr>
          <w:i/>
          <w:iCs/>
          <w:szCs w:val="22"/>
          <w:u w:val="single"/>
          <w:lang w:val="sr-Latn-RS"/>
        </w:rPr>
      </w:pPr>
      <w:r w:rsidRPr="008F1125">
        <w:rPr>
          <w:i/>
          <w:u w:val="single"/>
          <w:lang w:val="sr-Latn-RS" w:bidi="sr-Latn-RS"/>
        </w:rPr>
        <w:lastRenderedPageBreak/>
        <w:t>Imunogenost</w:t>
      </w:r>
    </w:p>
    <w:p w14:paraId="1FB63596" w14:textId="3567E079" w:rsidR="00267F49" w:rsidRPr="008F1125" w:rsidRDefault="00926926" w:rsidP="003D55E0">
      <w:pPr>
        <w:keepNext/>
        <w:keepLines/>
        <w:tabs>
          <w:tab w:val="clear" w:pos="567"/>
        </w:tabs>
        <w:autoSpaceDE w:val="0"/>
        <w:autoSpaceDN w:val="0"/>
        <w:adjustRightInd w:val="0"/>
        <w:jc w:val="both"/>
        <w:rPr>
          <w:lang w:val="sr-Latn-RS" w:bidi="sr-Latn-RS"/>
        </w:rPr>
      </w:pPr>
      <w:r w:rsidRPr="008F1125">
        <w:rPr>
          <w:lang w:val="sr-Latn-RS" w:bidi="sr-Latn-RS"/>
        </w:rPr>
        <w:t xml:space="preserve">Prisutnost </w:t>
      </w:r>
      <w:r w:rsidR="00B27CC7" w:rsidRPr="008F1125">
        <w:rPr>
          <w:lang w:val="sr-Latn-RS" w:bidi="sr-Latn-RS"/>
        </w:rPr>
        <w:t xml:space="preserve">antitijela </w:t>
      </w:r>
      <w:r w:rsidRPr="008F1125">
        <w:rPr>
          <w:lang w:val="sr-Latn-RS" w:bidi="sr-Latn-RS"/>
        </w:rPr>
        <w:t xml:space="preserve"> na l</w:t>
      </w:r>
      <w:r w:rsidR="00B27CC7" w:rsidRPr="008F1125">
        <w:rPr>
          <w:lang w:val="sr-Latn-RS" w:bidi="sr-Latn-RS"/>
        </w:rPr>
        <w:t>ij</w:t>
      </w:r>
      <w:r w:rsidRPr="008F1125">
        <w:rPr>
          <w:lang w:val="sr-Latn-RS" w:bidi="sr-Latn-RS"/>
        </w:rPr>
        <w:t xml:space="preserve">ek  (eng. </w:t>
      </w:r>
      <w:r w:rsidRPr="008F1125">
        <w:rPr>
          <w:i/>
          <w:lang w:val="sr-Latn-RS" w:bidi="sr-Latn-RS"/>
        </w:rPr>
        <w:t>anti-drug antibody</w:t>
      </w:r>
      <w:r w:rsidRPr="008F1125">
        <w:rPr>
          <w:lang w:val="sr-Latn-RS" w:bidi="sr-Latn-RS"/>
        </w:rPr>
        <w:t xml:space="preserve">, ADA) nastalih tokom terapije mogla je da se </w:t>
      </w:r>
      <w:r w:rsidR="00E74CD9" w:rsidRPr="008F1125">
        <w:rPr>
          <w:lang w:val="sr-Latn-RS" w:bidi="sr-Latn-RS"/>
        </w:rPr>
        <w:t>proc</w:t>
      </w:r>
      <w:r w:rsidR="00AC1192">
        <w:rPr>
          <w:lang w:val="sr-Latn-RS" w:bidi="sr-Latn-RS"/>
        </w:rPr>
        <w:t>i</w:t>
      </w:r>
      <w:r w:rsidR="00E74CD9" w:rsidRPr="008F1125">
        <w:rPr>
          <w:lang w:val="sr-Latn-RS" w:bidi="sr-Latn-RS"/>
        </w:rPr>
        <w:t>jeni</w:t>
      </w:r>
      <w:r w:rsidRPr="008F1125">
        <w:rPr>
          <w:lang w:val="sr-Latn-RS" w:bidi="sr-Latn-RS"/>
        </w:rPr>
        <w:t xml:space="preserve"> kod 1627 od 1738 pacijenata na terapiji avelumabom u dozi od 10 mg/kg koji se prim</w:t>
      </w:r>
      <w:r w:rsidR="00515B67" w:rsidRPr="008F1125">
        <w:rPr>
          <w:lang w:val="sr-Latn-RS" w:bidi="sr-Latn-RS"/>
        </w:rPr>
        <w:t>j</w:t>
      </w:r>
      <w:r w:rsidRPr="008F1125">
        <w:rPr>
          <w:lang w:val="sr-Latn-RS" w:bidi="sr-Latn-RS"/>
        </w:rPr>
        <w:t>enjivao kao intravenska infuzija svake 2 nedelje, a test je bio pozitivan kod 96 (5,9%) pacijenata. Kod pacijenata sa pozitivnim antit</w:t>
      </w:r>
      <w:r w:rsidR="00B27CC7" w:rsidRPr="008F1125">
        <w:rPr>
          <w:lang w:val="sr-Latn-RS" w:bidi="sr-Latn-RS"/>
        </w:rPr>
        <w:t>ij</w:t>
      </w:r>
      <w:r w:rsidRPr="008F1125">
        <w:rPr>
          <w:lang w:val="sr-Latn-RS" w:bidi="sr-Latn-RS"/>
        </w:rPr>
        <w:t>elima na l</w:t>
      </w:r>
      <w:r w:rsidR="00B27CC7" w:rsidRPr="008F1125">
        <w:rPr>
          <w:lang w:val="sr-Latn-RS" w:bidi="sr-Latn-RS"/>
        </w:rPr>
        <w:t>ij</w:t>
      </w:r>
      <w:r w:rsidRPr="008F1125">
        <w:rPr>
          <w:lang w:val="sr-Latn-RS" w:bidi="sr-Latn-RS"/>
        </w:rPr>
        <w:t xml:space="preserve">ek može postojati povećan rizik od reakcija povezanih sa infuzijom (oko 40% kod pacijenata koji su bilo kada imali pozitivan test na </w:t>
      </w:r>
      <w:r w:rsidR="00B27CC7" w:rsidRPr="008F1125">
        <w:rPr>
          <w:lang w:val="sr-Latn-RS" w:bidi="sr-Latn-RS"/>
        </w:rPr>
        <w:t xml:space="preserve">antitijela </w:t>
      </w:r>
      <w:r w:rsidRPr="008F1125">
        <w:rPr>
          <w:lang w:val="sr-Latn-RS" w:bidi="sr-Latn-RS"/>
        </w:rPr>
        <w:t xml:space="preserve"> na l</w:t>
      </w:r>
      <w:r w:rsidR="0038574B" w:rsidRPr="008F1125">
        <w:rPr>
          <w:lang w:val="sr-Latn-RS" w:bidi="sr-Latn-RS"/>
        </w:rPr>
        <w:t>ij</w:t>
      </w:r>
      <w:r w:rsidRPr="008F1125">
        <w:rPr>
          <w:lang w:val="sr-Latn-RS" w:bidi="sr-Latn-RS"/>
        </w:rPr>
        <w:t xml:space="preserve">ek i 25% kod pacijenata koji nikad nisu imali pozitivan test na </w:t>
      </w:r>
      <w:r w:rsidR="00B27CC7" w:rsidRPr="008F1125">
        <w:rPr>
          <w:lang w:val="sr-Latn-RS" w:bidi="sr-Latn-RS"/>
        </w:rPr>
        <w:t xml:space="preserve">antitijela </w:t>
      </w:r>
      <w:r w:rsidRPr="008F1125">
        <w:rPr>
          <w:lang w:val="sr-Latn-RS" w:bidi="sr-Latn-RS"/>
        </w:rPr>
        <w:t xml:space="preserve"> na l</w:t>
      </w:r>
      <w:r w:rsidR="00B27CC7" w:rsidRPr="008F1125">
        <w:rPr>
          <w:lang w:val="sr-Latn-RS" w:bidi="sr-Latn-RS"/>
        </w:rPr>
        <w:t>ij</w:t>
      </w:r>
      <w:r w:rsidRPr="008F1125">
        <w:rPr>
          <w:lang w:val="sr-Latn-RS" w:bidi="sr-Latn-RS"/>
        </w:rPr>
        <w:t>ek).</w:t>
      </w:r>
    </w:p>
    <w:p w14:paraId="2C1B5F29" w14:textId="77777777" w:rsidR="00692BE5" w:rsidRPr="008F1125" w:rsidRDefault="00692BE5" w:rsidP="003D55E0">
      <w:pPr>
        <w:keepNext/>
        <w:keepLines/>
        <w:tabs>
          <w:tab w:val="clear" w:pos="567"/>
        </w:tabs>
        <w:autoSpaceDE w:val="0"/>
        <w:autoSpaceDN w:val="0"/>
        <w:adjustRightInd w:val="0"/>
        <w:jc w:val="both"/>
        <w:rPr>
          <w:lang w:val="sr-Latn-RS" w:bidi="sr-Latn-RS"/>
        </w:rPr>
      </w:pPr>
    </w:p>
    <w:p w14:paraId="36744C29" w14:textId="63AF6C2E" w:rsidR="00692BE5" w:rsidRPr="008F1125" w:rsidRDefault="00692BE5" w:rsidP="003D55E0">
      <w:pPr>
        <w:keepNext/>
        <w:keepLines/>
        <w:tabs>
          <w:tab w:val="clear" w:pos="567"/>
        </w:tabs>
        <w:autoSpaceDE w:val="0"/>
        <w:autoSpaceDN w:val="0"/>
        <w:adjustRightInd w:val="0"/>
        <w:jc w:val="both"/>
        <w:rPr>
          <w:szCs w:val="22"/>
          <w:lang w:val="sr-Latn-RS"/>
        </w:rPr>
      </w:pPr>
      <w:r w:rsidRPr="008F1125">
        <w:rPr>
          <w:szCs w:val="22"/>
          <w:lang w:val="sr-Latn-RS"/>
        </w:rPr>
        <w:t>U ispitivanju B9991001 kod pacijenata sa urotelijalnim karcinomom koji su primali avelumab kao monoterapiju upotr</w:t>
      </w:r>
      <w:r w:rsidR="00CB0FF3" w:rsidRPr="008F1125">
        <w:rPr>
          <w:szCs w:val="22"/>
          <w:lang w:val="sr-Latn-RS"/>
        </w:rPr>
        <w:t>ij</w:t>
      </w:r>
      <w:r w:rsidRPr="008F1125">
        <w:rPr>
          <w:szCs w:val="22"/>
          <w:lang w:val="sr-Latn-RS"/>
        </w:rPr>
        <w:t>ebljen je os</w:t>
      </w:r>
      <w:r w:rsidR="00CB0FF3" w:rsidRPr="008F1125">
        <w:rPr>
          <w:szCs w:val="22"/>
          <w:lang w:val="sr-Latn-RS"/>
        </w:rPr>
        <w:t>j</w:t>
      </w:r>
      <w:r w:rsidRPr="008F1125">
        <w:rPr>
          <w:szCs w:val="22"/>
          <w:lang w:val="sr-Latn-RS"/>
        </w:rPr>
        <w:t xml:space="preserve">etljiviji test za </w:t>
      </w:r>
      <w:r w:rsidR="00DD0E3D" w:rsidRPr="008F1125">
        <w:rPr>
          <w:szCs w:val="22"/>
          <w:lang w:val="sr-Latn-RS"/>
        </w:rPr>
        <w:t xml:space="preserve">određivanje </w:t>
      </w:r>
      <w:r w:rsidR="00B27CC7" w:rsidRPr="008F1125">
        <w:rPr>
          <w:szCs w:val="22"/>
          <w:lang w:val="sr-Latn-RS"/>
        </w:rPr>
        <w:t xml:space="preserve">antitijela </w:t>
      </w:r>
      <w:r w:rsidR="00E75289" w:rsidRPr="008F1125">
        <w:rPr>
          <w:szCs w:val="22"/>
          <w:lang w:val="sr-Latn-RS"/>
        </w:rPr>
        <w:t xml:space="preserve"> </w:t>
      </w:r>
      <w:r w:rsidRPr="008F1125">
        <w:rPr>
          <w:szCs w:val="22"/>
          <w:lang w:val="sr-Latn-RS"/>
        </w:rPr>
        <w:t>na l</w:t>
      </w:r>
      <w:r w:rsidR="0038574B" w:rsidRPr="008F1125">
        <w:rPr>
          <w:szCs w:val="22"/>
          <w:lang w:val="sr-Latn-RS"/>
        </w:rPr>
        <w:t>ij</w:t>
      </w:r>
      <w:r w:rsidRPr="008F1125">
        <w:rPr>
          <w:szCs w:val="22"/>
          <w:lang w:val="sr-Latn-RS"/>
        </w:rPr>
        <w:t xml:space="preserve">ek </w:t>
      </w:r>
      <w:r w:rsidR="00DD2A4D" w:rsidRPr="008F1125">
        <w:rPr>
          <w:szCs w:val="22"/>
          <w:lang w:val="sr-Latn-RS"/>
        </w:rPr>
        <w:t>na osnovu kog</w:t>
      </w:r>
      <w:r w:rsidRPr="008F1125">
        <w:rPr>
          <w:szCs w:val="22"/>
          <w:lang w:val="sr-Latn-RS"/>
        </w:rPr>
        <w:t xml:space="preserve"> </w:t>
      </w:r>
      <w:r w:rsidR="00DD2A4D" w:rsidRPr="008F1125">
        <w:rPr>
          <w:szCs w:val="22"/>
          <w:lang w:val="sr-Latn-RS"/>
        </w:rPr>
        <w:t>je omogućena proc</w:t>
      </w:r>
      <w:r w:rsidR="00B27CC7" w:rsidRPr="008F1125">
        <w:rPr>
          <w:szCs w:val="22"/>
          <w:lang w:val="sr-Latn-RS"/>
        </w:rPr>
        <w:t>j</w:t>
      </w:r>
      <w:r w:rsidR="00DD2A4D" w:rsidRPr="008F1125">
        <w:rPr>
          <w:szCs w:val="22"/>
          <w:lang w:val="sr-Latn-RS"/>
        </w:rPr>
        <w:t>ena</w:t>
      </w:r>
      <w:r w:rsidR="00E75289" w:rsidRPr="008F1125">
        <w:rPr>
          <w:szCs w:val="22"/>
          <w:lang w:val="sr-Latn-RS"/>
        </w:rPr>
        <w:t xml:space="preserve"> </w:t>
      </w:r>
      <w:r w:rsidRPr="008F1125">
        <w:rPr>
          <w:szCs w:val="22"/>
          <w:lang w:val="sr-Latn-RS"/>
        </w:rPr>
        <w:t>prisutnost</w:t>
      </w:r>
      <w:r w:rsidR="00DD2A4D" w:rsidRPr="008F1125">
        <w:rPr>
          <w:szCs w:val="22"/>
          <w:lang w:val="sr-Latn-RS"/>
        </w:rPr>
        <w:t>i</w:t>
      </w:r>
      <w:r w:rsidRPr="008F1125">
        <w:rPr>
          <w:szCs w:val="22"/>
          <w:lang w:val="sr-Latn-RS"/>
        </w:rPr>
        <w:t xml:space="preserve"> </w:t>
      </w:r>
      <w:r w:rsidR="00B27CC7" w:rsidRPr="008F1125">
        <w:rPr>
          <w:szCs w:val="22"/>
          <w:lang w:val="sr-Latn-RS"/>
        </w:rPr>
        <w:t>antitijela</w:t>
      </w:r>
      <w:r w:rsidR="00DD2A4D" w:rsidRPr="008F1125">
        <w:rPr>
          <w:szCs w:val="22"/>
          <w:lang w:val="sr-Latn-RS"/>
        </w:rPr>
        <w:t xml:space="preserve"> </w:t>
      </w:r>
      <w:r w:rsidRPr="008F1125">
        <w:rPr>
          <w:szCs w:val="22"/>
          <w:lang w:val="sr-Latn-RS"/>
        </w:rPr>
        <w:t>na l</w:t>
      </w:r>
      <w:r w:rsidR="00B27CC7" w:rsidRPr="008F1125">
        <w:rPr>
          <w:szCs w:val="22"/>
          <w:lang w:val="sr-Latn-RS"/>
        </w:rPr>
        <w:t>ij</w:t>
      </w:r>
      <w:r w:rsidRPr="008F1125">
        <w:rPr>
          <w:szCs w:val="22"/>
          <w:lang w:val="sr-Latn-RS"/>
        </w:rPr>
        <w:t>ek t</w:t>
      </w:r>
      <w:r w:rsidR="00DD2A4D" w:rsidRPr="008F1125">
        <w:rPr>
          <w:szCs w:val="22"/>
          <w:lang w:val="sr-Latn-RS"/>
        </w:rPr>
        <w:t>o</w:t>
      </w:r>
      <w:r w:rsidRPr="008F1125">
        <w:rPr>
          <w:szCs w:val="22"/>
          <w:lang w:val="sr-Latn-RS"/>
        </w:rPr>
        <w:t xml:space="preserve">kom </w:t>
      </w:r>
      <w:r w:rsidR="00DD2A4D" w:rsidRPr="008F1125">
        <w:rPr>
          <w:szCs w:val="22"/>
          <w:lang w:val="sr-Latn-RS"/>
        </w:rPr>
        <w:t>terapije</w:t>
      </w:r>
      <w:r w:rsidRPr="008F1125">
        <w:rPr>
          <w:szCs w:val="22"/>
          <w:lang w:val="sr-Latn-RS"/>
        </w:rPr>
        <w:t xml:space="preserve">. Od 344 </w:t>
      </w:r>
      <w:r w:rsidR="00CE49BB" w:rsidRPr="008F1125">
        <w:rPr>
          <w:szCs w:val="22"/>
          <w:lang w:val="sr-Latn-RS"/>
        </w:rPr>
        <w:t>pacijenta koji su primali avelumab</w:t>
      </w:r>
      <w:r w:rsidRPr="008F1125">
        <w:rPr>
          <w:szCs w:val="22"/>
          <w:lang w:val="sr-Latn-RS"/>
        </w:rPr>
        <w:t xml:space="preserve"> u dozi</w:t>
      </w:r>
      <w:r w:rsidR="00CE49BB" w:rsidRPr="008F1125">
        <w:rPr>
          <w:szCs w:val="22"/>
          <w:lang w:val="sr-Latn-RS"/>
        </w:rPr>
        <w:t xml:space="preserve"> </w:t>
      </w:r>
      <w:r w:rsidRPr="008F1125">
        <w:rPr>
          <w:szCs w:val="22"/>
          <w:lang w:val="sr-Latn-RS"/>
        </w:rPr>
        <w:t>od 10 mg/kg prim</w:t>
      </w:r>
      <w:r w:rsidR="00515B67" w:rsidRPr="008F1125">
        <w:rPr>
          <w:szCs w:val="22"/>
          <w:lang w:val="sr-Latn-RS"/>
        </w:rPr>
        <w:t>j</w:t>
      </w:r>
      <w:r w:rsidRPr="008F1125">
        <w:rPr>
          <w:szCs w:val="22"/>
          <w:lang w:val="sr-Latn-RS"/>
        </w:rPr>
        <w:t>enjenim u o</w:t>
      </w:r>
      <w:r w:rsidR="00AA50E4" w:rsidRPr="008F1125">
        <w:rPr>
          <w:szCs w:val="22"/>
          <w:lang w:val="sr-Latn-RS"/>
        </w:rPr>
        <w:t>bliku intravenske infuzije svake</w:t>
      </w:r>
      <w:r w:rsidRPr="008F1125">
        <w:rPr>
          <w:szCs w:val="22"/>
          <w:lang w:val="sr-Latn-RS"/>
        </w:rPr>
        <w:t xml:space="preserve"> 2 </w:t>
      </w:r>
      <w:r w:rsidR="00AA50E4" w:rsidRPr="008F1125">
        <w:rPr>
          <w:szCs w:val="22"/>
          <w:lang w:val="sr-Latn-RS"/>
        </w:rPr>
        <w:t>ned</w:t>
      </w:r>
      <w:r w:rsidR="00AC1192">
        <w:rPr>
          <w:szCs w:val="22"/>
          <w:lang w:val="sr-Latn-RS"/>
        </w:rPr>
        <w:t>j</w:t>
      </w:r>
      <w:r w:rsidR="00AA50E4" w:rsidRPr="008F1125">
        <w:rPr>
          <w:szCs w:val="22"/>
          <w:lang w:val="sr-Latn-RS"/>
        </w:rPr>
        <w:t xml:space="preserve">elje </w:t>
      </w:r>
      <w:r w:rsidRPr="008F1125">
        <w:rPr>
          <w:szCs w:val="22"/>
          <w:lang w:val="sr-Latn-RS"/>
        </w:rPr>
        <w:t>uz suportivnu terapiju,</w:t>
      </w:r>
      <w:r w:rsidR="00AA50E4" w:rsidRPr="008F1125">
        <w:rPr>
          <w:szCs w:val="22"/>
          <w:lang w:val="sr-Latn-RS"/>
        </w:rPr>
        <w:t xml:space="preserve"> </w:t>
      </w:r>
      <w:r w:rsidRPr="008F1125">
        <w:rPr>
          <w:szCs w:val="22"/>
          <w:lang w:val="sr-Latn-RS"/>
        </w:rPr>
        <w:t xml:space="preserve">prisutnost </w:t>
      </w:r>
      <w:r w:rsidR="00B27CC7" w:rsidRPr="008F1125">
        <w:rPr>
          <w:szCs w:val="22"/>
          <w:lang w:val="sr-Latn-RS"/>
        </w:rPr>
        <w:t xml:space="preserve">antitijela </w:t>
      </w:r>
      <w:r w:rsidR="00AA50E4" w:rsidRPr="008F1125">
        <w:rPr>
          <w:szCs w:val="22"/>
          <w:lang w:val="sr-Latn-RS"/>
        </w:rPr>
        <w:t xml:space="preserve"> </w:t>
      </w:r>
      <w:r w:rsidRPr="008F1125">
        <w:rPr>
          <w:szCs w:val="22"/>
          <w:lang w:val="sr-Latn-RS"/>
        </w:rPr>
        <w:t>na l</w:t>
      </w:r>
      <w:r w:rsidR="00B27CC7" w:rsidRPr="008F1125">
        <w:rPr>
          <w:szCs w:val="22"/>
          <w:lang w:val="sr-Latn-RS"/>
        </w:rPr>
        <w:t>ij</w:t>
      </w:r>
      <w:r w:rsidRPr="008F1125">
        <w:rPr>
          <w:szCs w:val="22"/>
          <w:lang w:val="sr-Latn-RS"/>
        </w:rPr>
        <w:t xml:space="preserve">ek nastalih </w:t>
      </w:r>
      <w:r w:rsidR="00AA50E4" w:rsidRPr="008F1125">
        <w:rPr>
          <w:szCs w:val="22"/>
          <w:lang w:val="sr-Latn-RS"/>
        </w:rPr>
        <w:t xml:space="preserve">tokom terapije </w:t>
      </w:r>
      <w:r w:rsidRPr="008F1125">
        <w:rPr>
          <w:szCs w:val="22"/>
          <w:lang w:val="sr-Latn-RS"/>
        </w:rPr>
        <w:t xml:space="preserve">mogla </w:t>
      </w:r>
      <w:r w:rsidR="00AA50E4" w:rsidRPr="008F1125">
        <w:rPr>
          <w:szCs w:val="22"/>
          <w:lang w:val="sr-Latn-RS"/>
        </w:rPr>
        <w:t xml:space="preserve">je da se </w:t>
      </w:r>
      <w:r w:rsidR="00E74CD9" w:rsidRPr="008F1125">
        <w:rPr>
          <w:szCs w:val="22"/>
          <w:lang w:val="sr-Latn-RS"/>
        </w:rPr>
        <w:t>proc</w:t>
      </w:r>
      <w:r w:rsidR="00CB0FF3" w:rsidRPr="008F1125">
        <w:rPr>
          <w:szCs w:val="22"/>
          <w:lang w:val="sr-Latn-RS"/>
        </w:rPr>
        <w:t>i</w:t>
      </w:r>
      <w:r w:rsidR="00E74CD9" w:rsidRPr="008F1125">
        <w:rPr>
          <w:szCs w:val="22"/>
          <w:lang w:val="sr-Latn-RS"/>
        </w:rPr>
        <w:t>jeni</w:t>
      </w:r>
      <w:r w:rsidRPr="008F1125">
        <w:rPr>
          <w:szCs w:val="22"/>
          <w:lang w:val="sr-Latn-RS"/>
        </w:rPr>
        <w:t xml:space="preserve"> </w:t>
      </w:r>
      <w:r w:rsidR="00AA50E4" w:rsidRPr="008F1125">
        <w:rPr>
          <w:szCs w:val="22"/>
          <w:lang w:val="sr-Latn-RS"/>
        </w:rPr>
        <w:t xml:space="preserve">kod </w:t>
      </w:r>
      <w:r w:rsidRPr="008F1125">
        <w:rPr>
          <w:szCs w:val="22"/>
          <w:lang w:val="sr-Latn-RS"/>
        </w:rPr>
        <w:t xml:space="preserve">325 </w:t>
      </w:r>
      <w:r w:rsidR="00AA50E4" w:rsidRPr="008F1125">
        <w:rPr>
          <w:szCs w:val="22"/>
          <w:lang w:val="sr-Latn-RS"/>
        </w:rPr>
        <w:t>pacijenata</w:t>
      </w:r>
      <w:r w:rsidRPr="008F1125">
        <w:rPr>
          <w:szCs w:val="22"/>
          <w:lang w:val="sr-Latn-RS"/>
        </w:rPr>
        <w:t>, a test je</w:t>
      </w:r>
      <w:r w:rsidR="00AA50E4" w:rsidRPr="008F1125">
        <w:rPr>
          <w:szCs w:val="22"/>
          <w:lang w:val="sr-Latn-RS"/>
        </w:rPr>
        <w:t xml:space="preserve"> </w:t>
      </w:r>
      <w:r w:rsidRPr="008F1125">
        <w:rPr>
          <w:szCs w:val="22"/>
          <w:lang w:val="sr-Latn-RS"/>
        </w:rPr>
        <w:t xml:space="preserve">bio pozitivan </w:t>
      </w:r>
      <w:r w:rsidR="00AA50E4" w:rsidRPr="008F1125">
        <w:rPr>
          <w:szCs w:val="22"/>
          <w:lang w:val="sr-Latn-RS"/>
        </w:rPr>
        <w:t xml:space="preserve">kod </w:t>
      </w:r>
      <w:r w:rsidRPr="008F1125">
        <w:rPr>
          <w:szCs w:val="22"/>
          <w:lang w:val="sr-Latn-RS"/>
        </w:rPr>
        <w:t>njih 62 (19,1%).</w:t>
      </w:r>
    </w:p>
    <w:p w14:paraId="0FB886B8" w14:textId="77777777" w:rsidR="00045278" w:rsidRPr="008F1125" w:rsidRDefault="00045278" w:rsidP="003D55E0">
      <w:pPr>
        <w:keepNext/>
        <w:keepLines/>
        <w:tabs>
          <w:tab w:val="clear" w:pos="567"/>
        </w:tabs>
        <w:autoSpaceDE w:val="0"/>
        <w:autoSpaceDN w:val="0"/>
        <w:adjustRightInd w:val="0"/>
        <w:jc w:val="both"/>
        <w:rPr>
          <w:szCs w:val="22"/>
          <w:lang w:val="sr-Latn-RS"/>
        </w:rPr>
      </w:pPr>
    </w:p>
    <w:p w14:paraId="5DFAC8EC" w14:textId="455F35BF" w:rsidR="00DD0E3D" w:rsidRPr="008F1125" w:rsidRDefault="00045278" w:rsidP="003D55E0">
      <w:pPr>
        <w:keepNext/>
        <w:keepLines/>
        <w:tabs>
          <w:tab w:val="clear" w:pos="567"/>
        </w:tabs>
        <w:autoSpaceDE w:val="0"/>
        <w:autoSpaceDN w:val="0"/>
        <w:adjustRightInd w:val="0"/>
        <w:jc w:val="both"/>
        <w:rPr>
          <w:lang w:val="sr-Latn-RS" w:bidi="sr-Latn-RS"/>
        </w:rPr>
      </w:pPr>
      <w:r w:rsidRPr="008F1125">
        <w:rPr>
          <w:szCs w:val="22"/>
          <w:lang w:val="sr-Latn-RS"/>
        </w:rPr>
        <w:t>Os</w:t>
      </w:r>
      <w:r w:rsidR="00DF3B4B">
        <w:rPr>
          <w:szCs w:val="22"/>
          <w:lang w:val="sr-Latn-RS"/>
        </w:rPr>
        <w:t>j</w:t>
      </w:r>
      <w:r w:rsidR="00692BE5" w:rsidRPr="008F1125">
        <w:rPr>
          <w:szCs w:val="22"/>
          <w:lang w:val="sr-Latn-RS"/>
        </w:rPr>
        <w:t xml:space="preserve">etljiviji test na </w:t>
      </w:r>
      <w:r w:rsidR="00B27CC7" w:rsidRPr="008F1125">
        <w:rPr>
          <w:szCs w:val="22"/>
          <w:lang w:val="sr-Latn-RS"/>
        </w:rPr>
        <w:t xml:space="preserve">antitijela </w:t>
      </w:r>
      <w:r w:rsidR="00692BE5" w:rsidRPr="008F1125">
        <w:rPr>
          <w:szCs w:val="22"/>
          <w:lang w:val="sr-Latn-RS"/>
        </w:rPr>
        <w:t xml:space="preserve"> na l</w:t>
      </w:r>
      <w:r w:rsidR="0038574B" w:rsidRPr="008F1125">
        <w:rPr>
          <w:szCs w:val="22"/>
          <w:lang w:val="sr-Latn-RS"/>
        </w:rPr>
        <w:t>ij</w:t>
      </w:r>
      <w:r w:rsidRPr="008F1125">
        <w:rPr>
          <w:szCs w:val="22"/>
          <w:lang w:val="sr-Latn-RS"/>
        </w:rPr>
        <w:t>ek bio je prim</w:t>
      </w:r>
      <w:r w:rsidR="00DF3B4B">
        <w:rPr>
          <w:szCs w:val="22"/>
          <w:lang w:val="sr-Latn-RS"/>
        </w:rPr>
        <w:t>i</w:t>
      </w:r>
      <w:r w:rsidR="00515B67" w:rsidRPr="008F1125">
        <w:rPr>
          <w:szCs w:val="22"/>
          <w:lang w:val="sr-Latn-RS"/>
        </w:rPr>
        <w:t>j</w:t>
      </w:r>
      <w:r w:rsidR="00692BE5" w:rsidRPr="008F1125">
        <w:rPr>
          <w:szCs w:val="22"/>
          <w:lang w:val="sr-Latn-RS"/>
        </w:rPr>
        <w:t>enjen i u ispitivanju B9991002 i ispitivanju</w:t>
      </w:r>
      <w:r w:rsidRPr="008F1125">
        <w:rPr>
          <w:szCs w:val="22"/>
          <w:lang w:val="sr-Latn-RS"/>
        </w:rPr>
        <w:t xml:space="preserve"> </w:t>
      </w:r>
      <w:r w:rsidR="00692BE5" w:rsidRPr="008F1125">
        <w:rPr>
          <w:szCs w:val="22"/>
          <w:lang w:val="sr-Latn-RS"/>
        </w:rPr>
        <w:t xml:space="preserve">B9991003 </w:t>
      </w:r>
      <w:r w:rsidRPr="008F1125">
        <w:rPr>
          <w:szCs w:val="22"/>
          <w:lang w:val="sr-Latn-RS"/>
        </w:rPr>
        <w:t>kod populacije</w:t>
      </w:r>
      <w:r w:rsidR="00692BE5" w:rsidRPr="008F1125">
        <w:rPr>
          <w:szCs w:val="22"/>
          <w:lang w:val="sr-Latn-RS"/>
        </w:rPr>
        <w:t xml:space="preserve"> s</w:t>
      </w:r>
      <w:r w:rsidRPr="008F1125">
        <w:rPr>
          <w:szCs w:val="22"/>
          <w:lang w:val="sr-Latn-RS"/>
        </w:rPr>
        <w:t>a</w:t>
      </w:r>
      <w:r w:rsidR="00692BE5" w:rsidRPr="008F1125">
        <w:rPr>
          <w:szCs w:val="22"/>
          <w:lang w:val="sr-Latn-RS"/>
        </w:rPr>
        <w:t xml:space="preserve"> karcinomom bubrežnih </w:t>
      </w:r>
      <w:r w:rsidRPr="008F1125">
        <w:rPr>
          <w:szCs w:val="22"/>
          <w:lang w:val="sr-Latn-RS"/>
        </w:rPr>
        <w:t>ćelija</w:t>
      </w:r>
      <w:r w:rsidR="00692BE5" w:rsidRPr="008F1125">
        <w:rPr>
          <w:szCs w:val="22"/>
          <w:lang w:val="sr-Latn-RS"/>
        </w:rPr>
        <w:t>.</w:t>
      </w:r>
      <w:r w:rsidRPr="008F1125">
        <w:rPr>
          <w:szCs w:val="22"/>
          <w:lang w:val="sr-Latn-RS"/>
        </w:rPr>
        <w:t xml:space="preserve"> </w:t>
      </w:r>
      <w:r w:rsidR="00926926" w:rsidRPr="008F1125">
        <w:rPr>
          <w:lang w:val="sr-Latn-RS" w:bidi="sr-Latn-RS"/>
        </w:rPr>
        <w:t>Od 480 pacijenata koji su primali avelumab u dozi od 10 mg/kg koji se prim</w:t>
      </w:r>
      <w:r w:rsidR="00515B67" w:rsidRPr="008F1125">
        <w:rPr>
          <w:lang w:val="sr-Latn-RS" w:bidi="sr-Latn-RS"/>
        </w:rPr>
        <w:t>j</w:t>
      </w:r>
      <w:r w:rsidR="00926926" w:rsidRPr="008F1125">
        <w:rPr>
          <w:lang w:val="sr-Latn-RS" w:bidi="sr-Latn-RS"/>
        </w:rPr>
        <w:t>enjivao kao intravenska infuzija svake 2 nedelje u kombinaciji sa aksitinibom u dozi od 5 mg dvaput na dan sa najmanje jednim validnim rezultatom ADA, bez obzira na to kada je izm</w:t>
      </w:r>
      <w:r w:rsidR="00B80A64" w:rsidRPr="008F1125">
        <w:rPr>
          <w:lang w:val="sr-Latn-RS" w:bidi="sr-Latn-RS"/>
        </w:rPr>
        <w:t>j</w:t>
      </w:r>
      <w:r w:rsidR="00926926" w:rsidRPr="008F1125">
        <w:rPr>
          <w:lang w:val="sr-Latn-RS" w:bidi="sr-Latn-RS"/>
        </w:rPr>
        <w:t xml:space="preserve">eren, prisutnost </w:t>
      </w:r>
      <w:r w:rsidR="00B27CC7" w:rsidRPr="008F1125">
        <w:rPr>
          <w:lang w:val="sr-Latn-RS" w:bidi="sr-Latn-RS"/>
        </w:rPr>
        <w:t xml:space="preserve">antitijela </w:t>
      </w:r>
      <w:r w:rsidR="00926926" w:rsidRPr="008F1125">
        <w:rPr>
          <w:lang w:val="sr-Latn-RS" w:bidi="sr-Latn-RS"/>
        </w:rPr>
        <w:t xml:space="preserve"> na l</w:t>
      </w:r>
      <w:r w:rsidR="00B27CC7" w:rsidRPr="008F1125">
        <w:rPr>
          <w:lang w:val="sr-Latn-RS" w:bidi="sr-Latn-RS"/>
        </w:rPr>
        <w:t>ij</w:t>
      </w:r>
      <w:r w:rsidR="00926926" w:rsidRPr="008F1125">
        <w:rPr>
          <w:lang w:val="sr-Latn-RS" w:bidi="sr-Latn-RS"/>
        </w:rPr>
        <w:t xml:space="preserve">ek (ADA) nastalih tokom terapije mogla je da se </w:t>
      </w:r>
      <w:r w:rsidR="00E74CD9" w:rsidRPr="008F1125">
        <w:rPr>
          <w:lang w:val="sr-Latn-RS" w:bidi="sr-Latn-RS"/>
        </w:rPr>
        <w:t>procjeni</w:t>
      </w:r>
      <w:r w:rsidR="00926926" w:rsidRPr="008F1125">
        <w:rPr>
          <w:lang w:val="sr-Latn-RS" w:bidi="sr-Latn-RS"/>
        </w:rPr>
        <w:t xml:space="preserve"> kod 453 pacijenta, a test je bio pozi</w:t>
      </w:r>
      <w:r w:rsidR="00DD0E3D" w:rsidRPr="008F1125">
        <w:rPr>
          <w:lang w:val="sr-Latn-RS" w:bidi="sr-Latn-RS"/>
        </w:rPr>
        <w:t>tivan kod 66 (14,6%) pacijenata</w:t>
      </w:r>
      <w:r w:rsidR="00926926" w:rsidRPr="008F1125">
        <w:rPr>
          <w:lang w:val="sr-Latn-RS" w:bidi="sr-Latn-RS"/>
        </w:rPr>
        <w:t xml:space="preserve">. </w:t>
      </w:r>
    </w:p>
    <w:p w14:paraId="4B6E3B6D" w14:textId="77777777" w:rsidR="00DD0E3D" w:rsidRPr="008F1125" w:rsidRDefault="00DD0E3D" w:rsidP="003D55E0">
      <w:pPr>
        <w:keepNext/>
        <w:keepLines/>
        <w:tabs>
          <w:tab w:val="clear" w:pos="567"/>
        </w:tabs>
        <w:autoSpaceDE w:val="0"/>
        <w:autoSpaceDN w:val="0"/>
        <w:adjustRightInd w:val="0"/>
        <w:jc w:val="both"/>
        <w:rPr>
          <w:lang w:val="sr-Latn-RS" w:bidi="sr-Latn-RS"/>
        </w:rPr>
      </w:pPr>
    </w:p>
    <w:p w14:paraId="1FB63598" w14:textId="1DB85E2B" w:rsidR="00945B2E" w:rsidRPr="008F1125" w:rsidRDefault="00926926" w:rsidP="003D55E0">
      <w:pPr>
        <w:keepNext/>
        <w:keepLines/>
        <w:tabs>
          <w:tab w:val="clear" w:pos="567"/>
        </w:tabs>
        <w:autoSpaceDE w:val="0"/>
        <w:autoSpaceDN w:val="0"/>
        <w:adjustRightInd w:val="0"/>
        <w:jc w:val="both"/>
        <w:rPr>
          <w:szCs w:val="22"/>
          <w:lang w:val="sr-Latn-RS"/>
        </w:rPr>
      </w:pPr>
      <w:r w:rsidRPr="008F1125">
        <w:rPr>
          <w:lang w:val="sr-Latn-RS" w:bidi="sr-Latn-RS"/>
        </w:rPr>
        <w:t xml:space="preserve">Generalno, nije bilo dokaza da je razvoj </w:t>
      </w:r>
      <w:r w:rsidR="00B27CC7" w:rsidRPr="008F1125">
        <w:rPr>
          <w:lang w:val="sr-Latn-RS" w:bidi="sr-Latn-RS"/>
        </w:rPr>
        <w:t xml:space="preserve">antitijela </w:t>
      </w:r>
      <w:r w:rsidRPr="008F1125">
        <w:rPr>
          <w:lang w:val="sr-Latn-RS" w:bidi="sr-Latn-RS"/>
        </w:rPr>
        <w:t xml:space="preserve"> na avelumab prom</w:t>
      </w:r>
      <w:r w:rsidR="00CB0FF3" w:rsidRPr="008F1125">
        <w:rPr>
          <w:lang w:val="sr-Latn-RS" w:bidi="sr-Latn-RS"/>
        </w:rPr>
        <w:t>ij</w:t>
      </w:r>
      <w:r w:rsidRPr="008F1125">
        <w:rPr>
          <w:lang w:val="sr-Latn-RS" w:bidi="sr-Latn-RS"/>
        </w:rPr>
        <w:t>enio farmakokinetički profil, povećao incidencu reakcija na infuziju ili uticao na efikasnost.</w:t>
      </w:r>
      <w:r w:rsidR="001D3CA8" w:rsidRPr="008F1125">
        <w:rPr>
          <w:lang w:val="sr-Latn-RS" w:bidi="sr-Latn-RS"/>
        </w:rPr>
        <w:t xml:space="preserve"> Uticaj </w:t>
      </w:r>
      <w:r w:rsidR="004433E7" w:rsidRPr="008F1125">
        <w:rPr>
          <w:lang w:val="sr-Latn-RS" w:bidi="sr-Latn-RS"/>
        </w:rPr>
        <w:t xml:space="preserve">neutrališućih </w:t>
      </w:r>
      <w:r w:rsidR="00B27CC7" w:rsidRPr="008F1125">
        <w:rPr>
          <w:lang w:val="sr-Latn-RS" w:bidi="sr-Latn-RS"/>
        </w:rPr>
        <w:t xml:space="preserve">antitijela </w:t>
      </w:r>
      <w:r w:rsidR="001D3CA8" w:rsidRPr="008F1125">
        <w:rPr>
          <w:lang w:val="sr-Latn-RS" w:bidi="sr-Latn-RS"/>
        </w:rPr>
        <w:t xml:space="preserve"> nije poznat.</w:t>
      </w:r>
    </w:p>
    <w:p w14:paraId="1FB63599" w14:textId="77777777" w:rsidR="003A70F7" w:rsidRPr="008F1125" w:rsidRDefault="003A70F7" w:rsidP="00577413">
      <w:pPr>
        <w:tabs>
          <w:tab w:val="clear" w:pos="567"/>
        </w:tabs>
        <w:autoSpaceDE w:val="0"/>
        <w:autoSpaceDN w:val="0"/>
        <w:adjustRightInd w:val="0"/>
        <w:rPr>
          <w:szCs w:val="22"/>
          <w:lang w:val="sr-Latn-RS"/>
        </w:rPr>
      </w:pPr>
    </w:p>
    <w:p w14:paraId="4BD4A6A3" w14:textId="77777777" w:rsidR="00B27CC7" w:rsidRPr="008F1125" w:rsidRDefault="00B27CC7" w:rsidP="00B27CC7">
      <w:pPr>
        <w:spacing w:after="200" w:line="276" w:lineRule="auto"/>
        <w:rPr>
          <w:rFonts w:eastAsia="Calibri"/>
          <w:szCs w:val="22"/>
          <w:u w:val="single"/>
          <w:lang w:val="sr-Latn-RS"/>
        </w:rPr>
      </w:pPr>
      <w:r w:rsidRPr="008F1125">
        <w:rPr>
          <w:rFonts w:eastAsia="Calibri"/>
          <w:szCs w:val="22"/>
          <w:u w:val="single"/>
          <w:lang w:val="sr-Latn-RS"/>
        </w:rPr>
        <w:t>Prijavljivanje sumnji na neželjena dejstva</w:t>
      </w:r>
    </w:p>
    <w:p w14:paraId="380986E5" w14:textId="77777777" w:rsidR="00B27CC7" w:rsidRPr="008F1125" w:rsidRDefault="00B27CC7" w:rsidP="003D55E0">
      <w:pPr>
        <w:spacing w:after="200"/>
        <w:rPr>
          <w:rFonts w:eastAsia="Calibri"/>
          <w:szCs w:val="22"/>
          <w:lang w:val="sr-Latn-RS"/>
        </w:rPr>
      </w:pPr>
      <w:r w:rsidRPr="008F112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088C433" w14:textId="77777777" w:rsidR="00B27CC7" w:rsidRPr="008F1125" w:rsidRDefault="00B27CC7" w:rsidP="00B27CC7">
      <w:pPr>
        <w:pStyle w:val="NoSpacing"/>
        <w:jc w:val="both"/>
        <w:rPr>
          <w:rFonts w:eastAsia="Calibri"/>
          <w:sz w:val="22"/>
          <w:szCs w:val="22"/>
          <w:lang w:val="sr-Latn-RS"/>
        </w:rPr>
      </w:pPr>
      <w:r w:rsidRPr="008F1125">
        <w:rPr>
          <w:rFonts w:eastAsia="Calibri"/>
          <w:sz w:val="22"/>
          <w:szCs w:val="22"/>
          <w:lang w:val="sr-Latn-RS"/>
        </w:rPr>
        <w:t xml:space="preserve">Institut za ljekove i medicinska sredstva </w:t>
      </w:r>
    </w:p>
    <w:p w14:paraId="79DBBD87" w14:textId="77777777" w:rsidR="00B27CC7" w:rsidRPr="008F1125" w:rsidRDefault="00B27CC7" w:rsidP="00B27CC7">
      <w:pPr>
        <w:pStyle w:val="NoSpacing"/>
        <w:jc w:val="both"/>
        <w:rPr>
          <w:rFonts w:eastAsia="Calibri"/>
          <w:sz w:val="22"/>
          <w:szCs w:val="22"/>
          <w:lang w:val="sr-Latn-RS"/>
        </w:rPr>
      </w:pPr>
      <w:r w:rsidRPr="008F1125">
        <w:rPr>
          <w:rFonts w:eastAsia="Calibri"/>
          <w:sz w:val="22"/>
          <w:szCs w:val="22"/>
          <w:lang w:val="sr-Latn-RS"/>
        </w:rPr>
        <w:t>Odjeljenje za farmakovigilancu</w:t>
      </w:r>
    </w:p>
    <w:p w14:paraId="7E02DE8C" w14:textId="77777777" w:rsidR="00B27CC7" w:rsidRPr="008F1125" w:rsidRDefault="00B27CC7" w:rsidP="00B27CC7">
      <w:pPr>
        <w:pStyle w:val="NoSpacing"/>
        <w:jc w:val="both"/>
        <w:rPr>
          <w:rFonts w:eastAsia="Calibri"/>
          <w:sz w:val="22"/>
          <w:szCs w:val="22"/>
          <w:lang w:val="sr-Latn-RS"/>
        </w:rPr>
      </w:pPr>
      <w:r w:rsidRPr="008F1125">
        <w:rPr>
          <w:rFonts w:eastAsia="Calibri"/>
          <w:sz w:val="22"/>
          <w:szCs w:val="22"/>
          <w:lang w:val="sr-Latn-RS"/>
        </w:rPr>
        <w:t>Bulevar Ivana Crnojevića 64a, 81000 Podgorica</w:t>
      </w:r>
    </w:p>
    <w:p w14:paraId="4F20A076" w14:textId="77777777" w:rsidR="00B27CC7" w:rsidRPr="008F1125" w:rsidRDefault="00B27CC7" w:rsidP="00B27CC7">
      <w:pPr>
        <w:pStyle w:val="NoSpacing"/>
        <w:rPr>
          <w:rFonts w:eastAsia="Calibri"/>
          <w:sz w:val="22"/>
          <w:szCs w:val="22"/>
          <w:lang w:val="sr-Latn-RS"/>
        </w:rPr>
      </w:pPr>
    </w:p>
    <w:p w14:paraId="31B8B598" w14:textId="77777777" w:rsidR="00B27CC7" w:rsidRPr="008F1125" w:rsidRDefault="00B27CC7" w:rsidP="00B27CC7">
      <w:pPr>
        <w:pStyle w:val="NoSpacing"/>
        <w:jc w:val="both"/>
        <w:rPr>
          <w:rFonts w:eastAsia="Calibri"/>
          <w:sz w:val="22"/>
          <w:szCs w:val="22"/>
          <w:lang w:val="sr-Latn-RS"/>
        </w:rPr>
      </w:pPr>
      <w:r w:rsidRPr="008F1125">
        <w:rPr>
          <w:rFonts w:eastAsia="Calibri"/>
          <w:sz w:val="22"/>
          <w:szCs w:val="22"/>
          <w:lang w:val="sr-Latn-RS"/>
        </w:rPr>
        <w:t>tel: +382 (0) 20 310 280</w:t>
      </w:r>
    </w:p>
    <w:p w14:paraId="161B632F" w14:textId="77777777" w:rsidR="00B27CC7" w:rsidRPr="008F1125" w:rsidRDefault="00B27CC7" w:rsidP="00B27CC7">
      <w:pPr>
        <w:pStyle w:val="NoSpacing"/>
        <w:jc w:val="both"/>
        <w:rPr>
          <w:rFonts w:eastAsia="Calibri"/>
          <w:sz w:val="22"/>
          <w:szCs w:val="22"/>
          <w:lang w:val="sr-Latn-RS"/>
        </w:rPr>
      </w:pPr>
      <w:r w:rsidRPr="008F1125">
        <w:rPr>
          <w:rFonts w:eastAsia="Calibri"/>
          <w:sz w:val="22"/>
          <w:szCs w:val="22"/>
          <w:lang w:val="sr-Latn-RS"/>
        </w:rPr>
        <w:t>fax: +382 (0) 20 310 581</w:t>
      </w:r>
    </w:p>
    <w:p w14:paraId="33B8C92F" w14:textId="77777777" w:rsidR="00B27CC7" w:rsidRPr="008F1125" w:rsidRDefault="00801B8C" w:rsidP="00B27CC7">
      <w:pPr>
        <w:pStyle w:val="NoSpacing"/>
        <w:jc w:val="both"/>
        <w:rPr>
          <w:rFonts w:eastAsia="Calibri"/>
          <w:sz w:val="22"/>
          <w:szCs w:val="22"/>
          <w:lang w:val="sr-Latn-RS"/>
        </w:rPr>
      </w:pPr>
      <w:hyperlink r:id="rId13" w:history="1">
        <w:r w:rsidR="00B27CC7" w:rsidRPr="008F1125">
          <w:rPr>
            <w:rStyle w:val="Hyperlink"/>
            <w:rFonts w:eastAsia="Calibri"/>
            <w:sz w:val="22"/>
            <w:szCs w:val="22"/>
            <w:lang w:val="sr-Latn-RS"/>
          </w:rPr>
          <w:t>www.cinmed.me</w:t>
        </w:r>
      </w:hyperlink>
    </w:p>
    <w:p w14:paraId="530AD203" w14:textId="77777777" w:rsidR="00B27CC7" w:rsidRPr="008F1125" w:rsidRDefault="00801B8C" w:rsidP="00B27CC7">
      <w:pPr>
        <w:pStyle w:val="NoSpacing"/>
        <w:jc w:val="both"/>
        <w:rPr>
          <w:rFonts w:eastAsia="Calibri"/>
          <w:color w:val="0000FF"/>
          <w:sz w:val="22"/>
          <w:szCs w:val="22"/>
          <w:u w:val="single"/>
          <w:lang w:val="sr-Latn-RS"/>
        </w:rPr>
      </w:pPr>
      <w:hyperlink r:id="rId14" w:history="1">
        <w:r w:rsidR="00B27CC7" w:rsidRPr="008F1125">
          <w:rPr>
            <w:rStyle w:val="Hyperlink"/>
            <w:rFonts w:eastAsia="Calibri"/>
            <w:sz w:val="22"/>
            <w:szCs w:val="22"/>
            <w:lang w:val="sr-Latn-RS"/>
          </w:rPr>
          <w:t>nezeljenadejstva@cinmed.me</w:t>
        </w:r>
      </w:hyperlink>
    </w:p>
    <w:p w14:paraId="612790EF" w14:textId="679BEA6C" w:rsidR="00B27CC7" w:rsidRDefault="00B27CC7" w:rsidP="00B27CC7">
      <w:pPr>
        <w:pStyle w:val="NoSpacing"/>
        <w:jc w:val="both"/>
        <w:rPr>
          <w:rFonts w:eastAsia="Calibri"/>
          <w:sz w:val="22"/>
          <w:szCs w:val="22"/>
          <w:lang w:val="sr-Latn-RS"/>
        </w:rPr>
      </w:pPr>
      <w:r w:rsidRPr="008F1125">
        <w:rPr>
          <w:rFonts w:eastAsia="Calibri"/>
          <w:sz w:val="22"/>
          <w:szCs w:val="22"/>
          <w:lang w:val="sr-Latn-RS"/>
        </w:rPr>
        <w:t>putem IS zdravstvene zaštite</w:t>
      </w:r>
    </w:p>
    <w:p w14:paraId="57D0D5AD" w14:textId="77777777" w:rsidR="001156D7" w:rsidRDefault="001156D7" w:rsidP="001156D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37D0D9E" w14:textId="22665EEB" w:rsidR="001156D7" w:rsidRDefault="001156D7" w:rsidP="00B27CC7">
      <w:pPr>
        <w:pStyle w:val="NoSpacing"/>
        <w:jc w:val="both"/>
        <w:rPr>
          <w:rFonts w:eastAsia="Calibri"/>
          <w:sz w:val="22"/>
          <w:szCs w:val="22"/>
          <w:lang w:val="sr-Latn-RS"/>
        </w:rPr>
      </w:pPr>
    </w:p>
    <w:p w14:paraId="4C542B85" w14:textId="27CDCF69" w:rsidR="001156D7" w:rsidRPr="008F1125" w:rsidRDefault="001156D7" w:rsidP="00B27CC7">
      <w:pPr>
        <w:pStyle w:val="NoSpacing"/>
        <w:jc w:val="both"/>
        <w:rPr>
          <w:rFonts w:eastAsia="Calibri"/>
          <w:sz w:val="22"/>
          <w:szCs w:val="22"/>
          <w:lang w:val="sr-Latn-RS"/>
        </w:rPr>
      </w:pPr>
      <w:r>
        <w:rPr>
          <w:noProof/>
        </w:rPr>
        <w:drawing>
          <wp:inline distT="0" distB="0" distL="0" distR="0" wp14:anchorId="1D9AB056" wp14:editId="526B87C4">
            <wp:extent cx="971550" cy="971550"/>
            <wp:effectExtent l="0" t="0" r="0" b="0"/>
            <wp:docPr id="7" name="Picture 7" descr="https://cinmed.me/wp-content/uploads/2022/11/Online-prijava-NDL-QR-code-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B6359C" w14:textId="77777777" w:rsidR="00B4377C" w:rsidRPr="008F1125" w:rsidRDefault="00B4377C" w:rsidP="00577413">
      <w:pPr>
        <w:rPr>
          <w:szCs w:val="22"/>
          <w:lang w:val="sr-Latn-RS"/>
        </w:rPr>
      </w:pPr>
    </w:p>
    <w:p w14:paraId="1FB6359D" w14:textId="77777777" w:rsidR="00821DBC" w:rsidRPr="008F1125" w:rsidRDefault="00926926" w:rsidP="00C62C0D">
      <w:pPr>
        <w:keepNext/>
        <w:keepLines/>
        <w:jc w:val="both"/>
        <w:rPr>
          <w:b/>
          <w:szCs w:val="22"/>
          <w:lang w:val="sr-Latn-RS"/>
        </w:rPr>
      </w:pPr>
      <w:r w:rsidRPr="008F1125">
        <w:rPr>
          <w:b/>
          <w:lang w:val="sr-Latn-RS" w:bidi="sr-Latn-RS"/>
        </w:rPr>
        <w:t>4.9.</w:t>
      </w:r>
      <w:r w:rsidRPr="008F1125">
        <w:rPr>
          <w:b/>
          <w:lang w:val="sr-Latn-RS" w:bidi="sr-Latn-RS"/>
        </w:rPr>
        <w:tab/>
        <w:t>Predoziranje</w:t>
      </w:r>
    </w:p>
    <w:p w14:paraId="1FB6359E" w14:textId="77777777" w:rsidR="00821DBC" w:rsidRPr="008F1125" w:rsidRDefault="00821DBC" w:rsidP="00C62C0D">
      <w:pPr>
        <w:keepNext/>
        <w:keepLines/>
        <w:jc w:val="both"/>
        <w:rPr>
          <w:szCs w:val="22"/>
          <w:lang w:val="sr-Latn-RS"/>
        </w:rPr>
      </w:pPr>
    </w:p>
    <w:p w14:paraId="1FB6359F" w14:textId="136FD813" w:rsidR="003D3474" w:rsidRPr="008F1125" w:rsidRDefault="00926926" w:rsidP="00C62C0D">
      <w:pPr>
        <w:pStyle w:val="BodyText"/>
        <w:keepNext/>
        <w:keepLines/>
        <w:jc w:val="both"/>
        <w:rPr>
          <w:i w:val="0"/>
          <w:color w:val="auto"/>
          <w:szCs w:val="22"/>
          <w:lang w:val="sr-Latn-RS" w:eastAsia="en-GB"/>
        </w:rPr>
      </w:pPr>
      <w:r w:rsidRPr="008F1125">
        <w:rPr>
          <w:i w:val="0"/>
          <w:color w:val="auto"/>
          <w:lang w:val="sr-Latn-RS" w:bidi="sr-Latn-RS"/>
        </w:rPr>
        <w:t>Kod tri pacijenta je zab</w:t>
      </w:r>
      <w:r w:rsidR="00B27CC7" w:rsidRPr="008F1125">
        <w:rPr>
          <w:i w:val="0"/>
          <w:color w:val="auto"/>
          <w:lang w:val="sr-Latn-RS" w:bidi="sr-Latn-RS"/>
        </w:rPr>
        <w:t>i</w:t>
      </w:r>
      <w:r w:rsidRPr="008F1125">
        <w:rPr>
          <w:i w:val="0"/>
          <w:color w:val="auto"/>
          <w:lang w:val="sr-Latn-RS" w:bidi="sr-Latn-RS"/>
        </w:rPr>
        <w:t>l</w:t>
      </w:r>
      <w:r w:rsidR="00B27CC7" w:rsidRPr="008F1125">
        <w:rPr>
          <w:i w:val="0"/>
          <w:color w:val="auto"/>
          <w:lang w:val="sr-Latn-RS" w:bidi="sr-Latn-RS"/>
        </w:rPr>
        <w:t>j</w:t>
      </w:r>
      <w:r w:rsidRPr="008F1125">
        <w:rPr>
          <w:i w:val="0"/>
          <w:color w:val="auto"/>
          <w:lang w:val="sr-Latn-RS" w:bidi="sr-Latn-RS"/>
        </w:rPr>
        <w:t>eženo predoziranje dozom avelumaba koja je bila 5% do 10% veća od preporučene. Pacijenti ni</w:t>
      </w:r>
      <w:r w:rsidR="00C62C0D" w:rsidRPr="008F1125">
        <w:rPr>
          <w:i w:val="0"/>
          <w:color w:val="auto"/>
          <w:lang w:val="sr-Latn-RS" w:bidi="sr-Latn-RS"/>
        </w:rPr>
        <w:t>je</w:t>
      </w:r>
      <w:r w:rsidRPr="008F1125">
        <w:rPr>
          <w:i w:val="0"/>
          <w:color w:val="auto"/>
          <w:lang w:val="sr-Latn-RS" w:bidi="sr-Latn-RS"/>
        </w:rPr>
        <w:t>su imali simptome, nije im bilo potrebna nikakva terapija zbog predoziranja i nastavili su sa terapijom avelumabom.</w:t>
      </w:r>
    </w:p>
    <w:p w14:paraId="1FB635A0" w14:textId="77777777" w:rsidR="00C90F03" w:rsidRPr="008F1125" w:rsidRDefault="00C90F03" w:rsidP="00C62C0D">
      <w:pPr>
        <w:pStyle w:val="BodyText"/>
        <w:jc w:val="both"/>
        <w:rPr>
          <w:i w:val="0"/>
          <w:color w:val="auto"/>
          <w:szCs w:val="22"/>
          <w:lang w:val="sr-Latn-RS"/>
        </w:rPr>
      </w:pPr>
    </w:p>
    <w:p w14:paraId="6805856B" w14:textId="448D5D06" w:rsidR="003D55E0" w:rsidRPr="006A6873" w:rsidRDefault="00926926" w:rsidP="00C62C0D">
      <w:pPr>
        <w:tabs>
          <w:tab w:val="clear" w:pos="567"/>
        </w:tabs>
        <w:autoSpaceDE w:val="0"/>
        <w:autoSpaceDN w:val="0"/>
        <w:adjustRightInd w:val="0"/>
        <w:jc w:val="both"/>
        <w:rPr>
          <w:lang w:val="sr-Latn-RS" w:bidi="sr-Latn-RS"/>
        </w:rPr>
      </w:pPr>
      <w:r w:rsidRPr="008F1125">
        <w:rPr>
          <w:lang w:val="sr-Latn-RS" w:bidi="sr-Latn-RS"/>
        </w:rPr>
        <w:t>U slučaju predoziranja, pacijente treba pažljivo pratiti zbog mogućih znakova ili simptoma neželjenih reakcija. Terapiju treba usm</w:t>
      </w:r>
      <w:r w:rsidR="00B27CC7" w:rsidRPr="008F1125">
        <w:rPr>
          <w:lang w:val="sr-Latn-RS" w:bidi="sr-Latn-RS"/>
        </w:rPr>
        <w:t>j</w:t>
      </w:r>
      <w:r w:rsidRPr="008F1125">
        <w:rPr>
          <w:lang w:val="sr-Latn-RS" w:bidi="sr-Latn-RS"/>
        </w:rPr>
        <w:t xml:space="preserve">eriti na </w:t>
      </w:r>
      <w:r w:rsidR="00C62C0D" w:rsidRPr="008F1125">
        <w:rPr>
          <w:lang w:val="sr-Latn-RS" w:bidi="sr-Latn-RS"/>
        </w:rPr>
        <w:t xml:space="preserve">zbrinjavanje </w:t>
      </w:r>
      <w:r w:rsidRPr="008F1125">
        <w:rPr>
          <w:lang w:val="sr-Latn-RS" w:bidi="sr-Latn-RS"/>
        </w:rPr>
        <w:t>simptoma.</w:t>
      </w:r>
    </w:p>
    <w:p w14:paraId="1FB635A4" w14:textId="77777777" w:rsidR="00821DBC" w:rsidRPr="008F1125" w:rsidRDefault="00926926" w:rsidP="00C62C0D">
      <w:pPr>
        <w:keepNext/>
        <w:keepLines/>
        <w:suppressAutoHyphens/>
        <w:jc w:val="both"/>
        <w:rPr>
          <w:szCs w:val="22"/>
          <w:lang w:val="sr-Latn-RS"/>
        </w:rPr>
      </w:pPr>
      <w:r w:rsidRPr="008F1125">
        <w:rPr>
          <w:b/>
          <w:lang w:val="sr-Latn-RS" w:bidi="sr-Latn-RS"/>
        </w:rPr>
        <w:lastRenderedPageBreak/>
        <w:t>5.</w:t>
      </w:r>
      <w:r w:rsidRPr="008F1125">
        <w:rPr>
          <w:b/>
          <w:lang w:val="sr-Latn-RS" w:bidi="sr-Latn-RS"/>
        </w:rPr>
        <w:tab/>
        <w:t>FARMAKOLOŠKI PODACI</w:t>
      </w:r>
    </w:p>
    <w:p w14:paraId="1FB635A5" w14:textId="77777777" w:rsidR="00821DBC" w:rsidRPr="008F1125" w:rsidRDefault="00821DBC" w:rsidP="00C62C0D">
      <w:pPr>
        <w:keepNext/>
        <w:keepLines/>
        <w:jc w:val="both"/>
        <w:rPr>
          <w:szCs w:val="22"/>
          <w:lang w:val="sr-Latn-RS"/>
        </w:rPr>
      </w:pPr>
    </w:p>
    <w:p w14:paraId="1FB635A6" w14:textId="77777777" w:rsidR="00821DBC" w:rsidRPr="008F1125" w:rsidRDefault="00926926" w:rsidP="00C62C0D">
      <w:pPr>
        <w:keepNext/>
        <w:keepLines/>
        <w:jc w:val="both"/>
        <w:rPr>
          <w:b/>
          <w:szCs w:val="22"/>
          <w:lang w:val="sr-Latn-RS"/>
        </w:rPr>
      </w:pPr>
      <w:r w:rsidRPr="008F1125">
        <w:rPr>
          <w:b/>
          <w:lang w:val="sr-Latn-RS" w:bidi="sr-Latn-RS"/>
        </w:rPr>
        <w:t>5.1.</w:t>
      </w:r>
      <w:r w:rsidRPr="008F1125">
        <w:rPr>
          <w:b/>
          <w:lang w:val="sr-Latn-RS" w:bidi="sr-Latn-RS"/>
        </w:rPr>
        <w:tab/>
        <w:t>Farmakodinamski podaci</w:t>
      </w:r>
    </w:p>
    <w:p w14:paraId="1FB635A7" w14:textId="77777777" w:rsidR="00821DBC" w:rsidRPr="008F1125" w:rsidRDefault="00821DBC" w:rsidP="00C62C0D">
      <w:pPr>
        <w:keepNext/>
        <w:keepLines/>
        <w:jc w:val="both"/>
        <w:rPr>
          <w:szCs w:val="22"/>
          <w:lang w:val="sr-Latn-RS"/>
        </w:rPr>
      </w:pPr>
    </w:p>
    <w:p w14:paraId="52FE4CB2" w14:textId="0D1854AA" w:rsidR="003C0701" w:rsidRPr="008F1125" w:rsidRDefault="00926926" w:rsidP="00C62C0D">
      <w:pPr>
        <w:keepNext/>
        <w:keepLines/>
        <w:jc w:val="both"/>
        <w:rPr>
          <w:lang w:val="sr-Latn-RS" w:bidi="sr-Latn-RS"/>
        </w:rPr>
      </w:pPr>
      <w:r w:rsidRPr="008F1125">
        <w:rPr>
          <w:lang w:val="sr-Latn-RS" w:bidi="sr-Latn-RS"/>
        </w:rPr>
        <w:t>Farmakoterapijska grupa: antineoplastici, monoklonska ant</w:t>
      </w:r>
      <w:r w:rsidR="00C62C0D" w:rsidRPr="008F1125">
        <w:rPr>
          <w:lang w:val="sr-Latn-RS" w:bidi="sr-Latn-RS"/>
        </w:rPr>
        <w:t>i</w:t>
      </w:r>
      <w:r w:rsidRPr="008F1125">
        <w:rPr>
          <w:lang w:val="sr-Latn-RS" w:bidi="sr-Latn-RS"/>
        </w:rPr>
        <w:t>t</w:t>
      </w:r>
      <w:r w:rsidR="00C62C0D" w:rsidRPr="008F1125">
        <w:rPr>
          <w:lang w:val="sr-Latn-RS" w:bidi="sr-Latn-RS"/>
        </w:rPr>
        <w:t>ij</w:t>
      </w:r>
      <w:r w:rsidRPr="008F1125">
        <w:rPr>
          <w:lang w:val="sr-Latn-RS" w:bidi="sr-Latn-RS"/>
        </w:rPr>
        <w:t>ela</w:t>
      </w:r>
      <w:r w:rsidR="00851ABB">
        <w:rPr>
          <w:lang w:val="sr-Latn-RS" w:bidi="sr-Latn-RS"/>
        </w:rPr>
        <w:t xml:space="preserve">, </w:t>
      </w:r>
      <w:r w:rsidR="00851ABB" w:rsidRPr="00BC324E">
        <w:rPr>
          <w:lang w:val="sr-Latn-RS"/>
        </w:rPr>
        <w:t>PD-1 / PDL-1 (protein programirane ćelijske smrti-1 / ligand-1) inhibitori</w:t>
      </w:r>
      <w:r w:rsidR="00851ABB" w:rsidRPr="00BC324E">
        <w:rPr>
          <w:lang w:val="sr-Latn-RS"/>
        </w:rPr>
        <w:cr/>
      </w:r>
      <w:r w:rsidRPr="008F1125">
        <w:rPr>
          <w:lang w:val="sr-Latn-RS" w:bidi="sr-Latn-RS"/>
        </w:rPr>
        <w:t xml:space="preserve"> </w:t>
      </w:r>
    </w:p>
    <w:p w14:paraId="1FB635A8" w14:textId="32F03E03" w:rsidR="00821DBC" w:rsidRPr="008F1125" w:rsidRDefault="003C0701" w:rsidP="00C62C0D">
      <w:pPr>
        <w:keepNext/>
        <w:keepLines/>
        <w:jc w:val="both"/>
        <w:rPr>
          <w:i/>
          <w:szCs w:val="22"/>
          <w:lang w:val="sr-Latn-RS"/>
        </w:rPr>
      </w:pPr>
      <w:r w:rsidRPr="008F1125">
        <w:rPr>
          <w:lang w:val="sr-Latn-RS" w:bidi="sr-Latn-RS"/>
        </w:rPr>
        <w:t xml:space="preserve">ATC kod: </w:t>
      </w:r>
      <w:r w:rsidR="00073D51">
        <w:rPr>
          <w:lang w:val="sr-Latn-RS" w:bidi="sr-Latn-RS"/>
        </w:rPr>
        <w:t>L01FF04</w:t>
      </w:r>
      <w:r w:rsidR="00926926" w:rsidRPr="008F1125">
        <w:rPr>
          <w:lang w:val="sr-Latn-RS" w:bidi="sr-Latn-RS"/>
        </w:rPr>
        <w:t>.</w:t>
      </w:r>
    </w:p>
    <w:p w14:paraId="1FB635A9" w14:textId="77777777" w:rsidR="00821DBC" w:rsidRPr="008F1125" w:rsidRDefault="00821DBC" w:rsidP="00C62C0D">
      <w:pPr>
        <w:jc w:val="both"/>
        <w:rPr>
          <w:szCs w:val="22"/>
          <w:lang w:val="sr-Latn-RS"/>
        </w:rPr>
      </w:pPr>
    </w:p>
    <w:p w14:paraId="1FB635AA" w14:textId="77777777" w:rsidR="00821DBC" w:rsidRPr="008F1125" w:rsidRDefault="00926926" w:rsidP="00C62C0D">
      <w:pPr>
        <w:keepNext/>
        <w:keepLines/>
        <w:autoSpaceDE w:val="0"/>
        <w:autoSpaceDN w:val="0"/>
        <w:adjustRightInd w:val="0"/>
        <w:jc w:val="both"/>
        <w:rPr>
          <w:szCs w:val="22"/>
          <w:lang w:val="sr-Latn-RS"/>
        </w:rPr>
      </w:pPr>
      <w:r w:rsidRPr="008F1125">
        <w:rPr>
          <w:u w:val="single"/>
          <w:lang w:val="sr-Latn-RS" w:bidi="sr-Latn-RS"/>
        </w:rPr>
        <w:t>Mehanizam dejstva</w:t>
      </w:r>
    </w:p>
    <w:p w14:paraId="1FB635AD" w14:textId="0004146B" w:rsidR="001D2892" w:rsidRPr="008F1125" w:rsidRDefault="00926926" w:rsidP="00C62C0D">
      <w:pPr>
        <w:jc w:val="both"/>
        <w:rPr>
          <w:szCs w:val="22"/>
          <w:lang w:val="sr-Latn-RS"/>
        </w:rPr>
      </w:pPr>
      <w:r w:rsidRPr="008F1125">
        <w:rPr>
          <w:lang w:val="sr-Latn-RS" w:bidi="sr-Latn-RS"/>
        </w:rPr>
        <w:t>Avelumab je humani imunoglobulin G1 (IgG1), monoklonsko antit</w:t>
      </w:r>
      <w:r w:rsidR="00C62C0D" w:rsidRPr="008F1125">
        <w:rPr>
          <w:lang w:val="sr-Latn-RS" w:bidi="sr-Latn-RS"/>
        </w:rPr>
        <w:t>ij</w:t>
      </w:r>
      <w:r w:rsidRPr="008F1125">
        <w:rPr>
          <w:lang w:val="sr-Latn-RS" w:bidi="sr-Latn-RS"/>
        </w:rPr>
        <w:t>elo usm</w:t>
      </w:r>
      <w:r w:rsidR="00B80A64" w:rsidRPr="008F1125">
        <w:rPr>
          <w:lang w:val="sr-Latn-RS" w:bidi="sr-Latn-RS"/>
        </w:rPr>
        <w:t>j</w:t>
      </w:r>
      <w:r w:rsidRPr="008F1125">
        <w:rPr>
          <w:lang w:val="sr-Latn-RS" w:bidi="sr-Latn-RS"/>
        </w:rPr>
        <w:t>ereno na ligand 1 programirane smrti ćelije (PD-L1). Avelumab se vezuje na PD-L1 i blokira interakciju PD-L1 i receptora 1 programirane smrti ćelije (PD-1) i receptora B7.1. To sprečava supresivne efekte PD-L1 na citotoksične CD8</w:t>
      </w:r>
      <w:r w:rsidRPr="008F1125">
        <w:rPr>
          <w:vertAlign w:val="superscript"/>
          <w:lang w:val="sr-Latn-RS" w:bidi="sr-Latn-RS"/>
        </w:rPr>
        <w:t>+</w:t>
      </w:r>
      <w:r w:rsidRPr="008F1125">
        <w:rPr>
          <w:lang w:val="sr-Latn-RS" w:bidi="sr-Latn-RS"/>
        </w:rPr>
        <w:t xml:space="preserve"> T-ćelije, što dovodi do obnove antitumorskih odgovora T-ćelija. Takođe se pokazalo da avelumab indukuje direktnu lizu tumorskih ćelija posredovanu ćelijama prirodnim ubicama (eng. </w:t>
      </w:r>
      <w:r w:rsidRPr="008F1125">
        <w:rPr>
          <w:i/>
          <w:lang w:val="sr-Latn-RS" w:bidi="sr-Latn-RS"/>
        </w:rPr>
        <w:t>Natural Killer</w:t>
      </w:r>
      <w:r w:rsidRPr="008F1125">
        <w:rPr>
          <w:lang w:val="sr-Latn-RS" w:bidi="sr-Latn-RS"/>
        </w:rPr>
        <w:t xml:space="preserve">, NK) putem ćelijske citotoksičnosti zavisne od </w:t>
      </w:r>
      <w:r w:rsidR="00B27CC7" w:rsidRPr="008F1125">
        <w:rPr>
          <w:lang w:val="sr-Latn-RS" w:bidi="sr-Latn-RS"/>
        </w:rPr>
        <w:t xml:space="preserve">antitijela </w:t>
      </w:r>
      <w:r w:rsidRPr="008F1125">
        <w:rPr>
          <w:lang w:val="sr-Latn-RS" w:bidi="sr-Latn-RS"/>
        </w:rPr>
        <w:t xml:space="preserve"> (eng. </w:t>
      </w:r>
      <w:r w:rsidRPr="008F1125">
        <w:rPr>
          <w:i/>
          <w:lang w:val="sr-Latn-RS" w:bidi="sr-Latn-RS"/>
        </w:rPr>
        <w:t>antibody-dependent cell-mediated cytotoxicity</w:t>
      </w:r>
      <w:r w:rsidRPr="008F1125">
        <w:rPr>
          <w:lang w:val="sr-Latn-RS" w:bidi="sr-Latn-RS"/>
        </w:rPr>
        <w:t>, ADCC).</w:t>
      </w:r>
    </w:p>
    <w:p w14:paraId="1FB635AE" w14:textId="77777777" w:rsidR="005D7220" w:rsidRPr="008F1125" w:rsidRDefault="005D7220" w:rsidP="00C62C0D">
      <w:pPr>
        <w:autoSpaceDE w:val="0"/>
        <w:autoSpaceDN w:val="0"/>
        <w:adjustRightInd w:val="0"/>
        <w:jc w:val="both"/>
        <w:rPr>
          <w:szCs w:val="22"/>
          <w:lang w:val="sr-Latn-RS"/>
        </w:rPr>
      </w:pPr>
    </w:p>
    <w:p w14:paraId="1FB635AF" w14:textId="252FE16C" w:rsidR="00650B95" w:rsidRPr="008F1125" w:rsidRDefault="00926926" w:rsidP="00C62C0D">
      <w:pPr>
        <w:keepNext/>
        <w:keepLines/>
        <w:autoSpaceDE w:val="0"/>
        <w:autoSpaceDN w:val="0"/>
        <w:adjustRightInd w:val="0"/>
        <w:jc w:val="both"/>
        <w:rPr>
          <w:szCs w:val="22"/>
          <w:lang w:val="sr-Latn-RS"/>
        </w:rPr>
      </w:pPr>
      <w:r w:rsidRPr="008F1125">
        <w:rPr>
          <w:u w:val="single"/>
          <w:lang w:val="sr-Latn-RS" w:bidi="sr-Latn-RS"/>
        </w:rPr>
        <w:t xml:space="preserve">Klinička efikasnost i </w:t>
      </w:r>
      <w:r w:rsidR="00DD502A" w:rsidRPr="008F1125">
        <w:rPr>
          <w:u w:val="single"/>
          <w:lang w:val="sr-Latn-RS" w:bidi="sr-Latn-RS"/>
        </w:rPr>
        <w:t>bezbjednost</w:t>
      </w:r>
    </w:p>
    <w:p w14:paraId="1FB635B0" w14:textId="77777777" w:rsidR="00650B95" w:rsidRPr="008F1125" w:rsidRDefault="00650B95" w:rsidP="00C62C0D">
      <w:pPr>
        <w:keepNext/>
        <w:keepLines/>
        <w:tabs>
          <w:tab w:val="clear" w:pos="567"/>
        </w:tabs>
        <w:kinsoku w:val="0"/>
        <w:overflowPunct w:val="0"/>
        <w:autoSpaceDE w:val="0"/>
        <w:autoSpaceDN w:val="0"/>
        <w:adjustRightInd w:val="0"/>
        <w:jc w:val="both"/>
        <w:rPr>
          <w:rFonts w:eastAsia="SimSun"/>
          <w:i/>
          <w:iCs/>
          <w:spacing w:val="-1"/>
          <w:szCs w:val="22"/>
          <w:u w:val="single"/>
          <w:lang w:val="sr-Latn-RS" w:eastAsia="en-GB"/>
        </w:rPr>
      </w:pPr>
    </w:p>
    <w:p w14:paraId="1FB635B1" w14:textId="77777777" w:rsidR="000569A6" w:rsidRPr="008F1125" w:rsidRDefault="00926926" w:rsidP="00C62C0D">
      <w:pPr>
        <w:keepNext/>
        <w:keepLines/>
        <w:tabs>
          <w:tab w:val="clear" w:pos="567"/>
        </w:tabs>
        <w:kinsoku w:val="0"/>
        <w:overflowPunct w:val="0"/>
        <w:autoSpaceDE w:val="0"/>
        <w:autoSpaceDN w:val="0"/>
        <w:adjustRightInd w:val="0"/>
        <w:jc w:val="both"/>
        <w:rPr>
          <w:rFonts w:eastAsia="SimSun"/>
          <w:i/>
          <w:iCs/>
          <w:spacing w:val="-1"/>
          <w:szCs w:val="22"/>
          <w:u w:val="single"/>
          <w:lang w:val="sr-Latn-RS" w:eastAsia="en-GB"/>
        </w:rPr>
      </w:pPr>
      <w:r w:rsidRPr="008F1125">
        <w:rPr>
          <w:i/>
          <w:spacing w:val="-1"/>
          <w:u w:val="single"/>
          <w:lang w:val="sr-Latn-RS" w:bidi="sr-Latn-RS"/>
        </w:rPr>
        <w:t>Karcinom Merkelovih ćelija (ispitivanje EMR100070-003)</w:t>
      </w:r>
    </w:p>
    <w:p w14:paraId="1FB635B2" w14:textId="1DE10C83" w:rsidR="000569A6" w:rsidRPr="008F1125" w:rsidRDefault="00926926" w:rsidP="00C62C0D">
      <w:pPr>
        <w:keepNext/>
        <w:keepLines/>
        <w:autoSpaceDE w:val="0"/>
        <w:autoSpaceDN w:val="0"/>
        <w:adjustRightInd w:val="0"/>
        <w:jc w:val="both"/>
        <w:rPr>
          <w:rFonts w:eastAsia="SimSun"/>
          <w:spacing w:val="-1"/>
          <w:szCs w:val="22"/>
          <w:lang w:val="sr-Latn-RS" w:eastAsia="en-GB"/>
        </w:rPr>
      </w:pPr>
      <w:r w:rsidRPr="008F1125">
        <w:rPr>
          <w:spacing w:val="-1"/>
          <w:lang w:val="sr-Latn-RS" w:bidi="sr-Latn-RS"/>
        </w:rPr>
        <w:t xml:space="preserve">Efikasnost i </w:t>
      </w:r>
      <w:r w:rsidR="00DD502A" w:rsidRPr="008F1125">
        <w:rPr>
          <w:spacing w:val="-1"/>
          <w:lang w:val="sr-Latn-RS" w:bidi="sr-Latn-RS"/>
        </w:rPr>
        <w:t>bezbjednost</w:t>
      </w:r>
      <w:r w:rsidRPr="008F1125">
        <w:rPr>
          <w:spacing w:val="-1"/>
          <w:lang w:val="sr-Latn-RS" w:bidi="sr-Latn-RS"/>
        </w:rPr>
        <w:t xml:space="preserve"> avelumaba ispitana je u multicentričnom ispitivanju EMR100070-003 sprovedenom u dva d</w:t>
      </w:r>
      <w:r w:rsidR="003B3AD4" w:rsidRPr="008F1125">
        <w:rPr>
          <w:spacing w:val="-1"/>
          <w:lang w:val="sr-Latn-RS" w:bidi="sr-Latn-RS"/>
        </w:rPr>
        <w:t>ij</w:t>
      </w:r>
      <w:r w:rsidRPr="008F1125">
        <w:rPr>
          <w:spacing w:val="-1"/>
          <w:lang w:val="sr-Latn-RS" w:bidi="sr-Latn-RS"/>
        </w:rPr>
        <w:t>ela na jednoj grupi  pacijenata. D</w:t>
      </w:r>
      <w:r w:rsidR="00B27CC7" w:rsidRPr="008F1125">
        <w:rPr>
          <w:spacing w:val="-1"/>
          <w:lang w:val="sr-Latn-RS" w:bidi="sr-Latn-RS"/>
        </w:rPr>
        <w:t>i</w:t>
      </w:r>
      <w:r w:rsidRPr="008F1125">
        <w:rPr>
          <w:spacing w:val="-1"/>
          <w:lang w:val="sr-Latn-RS" w:bidi="sr-Latn-RS"/>
        </w:rPr>
        <w:t>o A bio je sproveden na pacijentima sa histološki potvrđenim metastatskim karcinomom Merkelovih ćelija, čija bolest je progredirala za vr</w:t>
      </w:r>
      <w:r w:rsidR="00E74CD9" w:rsidRPr="008F1125">
        <w:rPr>
          <w:spacing w:val="-1"/>
          <w:lang w:val="sr-Latn-RS" w:bidi="sr-Latn-RS"/>
        </w:rPr>
        <w:t>ij</w:t>
      </w:r>
      <w:r w:rsidRPr="008F1125">
        <w:rPr>
          <w:spacing w:val="-1"/>
          <w:lang w:val="sr-Latn-RS" w:bidi="sr-Latn-RS"/>
        </w:rPr>
        <w:t>eme ili nakon hemioterapije prim</w:t>
      </w:r>
      <w:r w:rsidR="003B3AD4" w:rsidRPr="008F1125">
        <w:rPr>
          <w:spacing w:val="-1"/>
          <w:lang w:val="sr-Latn-RS" w:bidi="sr-Latn-RS"/>
        </w:rPr>
        <w:t>ij</w:t>
      </w:r>
      <w:r w:rsidRPr="008F1125">
        <w:rPr>
          <w:spacing w:val="-1"/>
          <w:lang w:val="sr-Latn-RS" w:bidi="sr-Latn-RS"/>
        </w:rPr>
        <w:t>enjene zbog udaljenih metastaza, sa očekivanim trajanjem života dužim od 3 m</w:t>
      </w:r>
      <w:r w:rsidR="00D30197" w:rsidRPr="008F1125">
        <w:rPr>
          <w:spacing w:val="-1"/>
          <w:lang w:val="sr-Latn-RS" w:bidi="sr-Latn-RS"/>
        </w:rPr>
        <w:t>j</w:t>
      </w:r>
      <w:r w:rsidRPr="008F1125">
        <w:rPr>
          <w:spacing w:val="-1"/>
          <w:lang w:val="sr-Latn-RS" w:bidi="sr-Latn-RS"/>
        </w:rPr>
        <w:t>eseca. D</w:t>
      </w:r>
      <w:r w:rsidR="00B27CC7" w:rsidRPr="008F1125">
        <w:rPr>
          <w:spacing w:val="-1"/>
          <w:lang w:val="sr-Latn-RS" w:bidi="sr-Latn-RS"/>
        </w:rPr>
        <w:t>i</w:t>
      </w:r>
      <w:r w:rsidRPr="008F1125">
        <w:rPr>
          <w:spacing w:val="-1"/>
          <w:lang w:val="sr-Latn-RS" w:bidi="sr-Latn-RS"/>
        </w:rPr>
        <w:t>o B uključi</w:t>
      </w:r>
      <w:r w:rsidR="003B3AD4" w:rsidRPr="008F1125">
        <w:rPr>
          <w:spacing w:val="-1"/>
          <w:lang w:val="sr-Latn-RS" w:bidi="sr-Latn-RS"/>
        </w:rPr>
        <w:t>va</w:t>
      </w:r>
      <w:r w:rsidRPr="008F1125">
        <w:rPr>
          <w:spacing w:val="-1"/>
          <w:lang w:val="sr-Latn-RS" w:bidi="sr-Latn-RS"/>
        </w:rPr>
        <w:t>o je pacijente sa histološki potvrđenim metastatskim karcinomom Merkelovih ćelija koji ni</w:t>
      </w:r>
      <w:r w:rsidR="003B3AD4" w:rsidRPr="008F1125">
        <w:rPr>
          <w:spacing w:val="-1"/>
          <w:lang w:val="sr-Latn-RS" w:bidi="sr-Latn-RS"/>
        </w:rPr>
        <w:t>je</w:t>
      </w:r>
      <w:r w:rsidRPr="008F1125">
        <w:rPr>
          <w:spacing w:val="-1"/>
          <w:lang w:val="sr-Latn-RS" w:bidi="sr-Latn-RS"/>
        </w:rPr>
        <w:t>su primali sistemsku terapiju nakon pojave metastaza.</w:t>
      </w:r>
    </w:p>
    <w:p w14:paraId="1FB635B3"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FB635B4" w14:textId="7AF1A103" w:rsidR="000569A6" w:rsidRPr="008F1125" w:rsidRDefault="00926926" w:rsidP="00C62C0D">
      <w:pPr>
        <w:kinsoku w:val="0"/>
        <w:overflowPunct w:val="0"/>
        <w:autoSpaceDE w:val="0"/>
        <w:autoSpaceDN w:val="0"/>
        <w:adjustRightInd w:val="0"/>
        <w:jc w:val="both"/>
        <w:rPr>
          <w:rFonts w:eastAsia="SimSun"/>
          <w:spacing w:val="-1"/>
          <w:szCs w:val="22"/>
          <w:lang w:val="sr-Latn-RS" w:eastAsia="en-GB"/>
        </w:rPr>
      </w:pPr>
      <w:r w:rsidRPr="008F1125">
        <w:rPr>
          <w:spacing w:val="-1"/>
          <w:lang w:val="sr-Latn-RS" w:bidi="sr-Latn-RS"/>
        </w:rPr>
        <w:t>Bili su isključeni pacijenti sa aktivnim metastazama ili anamnezom metastaza u centralnom nervnom sistemu (CNS), aktivnom autoimunom bolešću ili autoimunom bolešću u anamnezi; drugim malignitetima u anamnezi u prethodnih 5 godina; transplantacijom organa, stanjima koja zaht</w:t>
      </w:r>
      <w:r w:rsidR="003B3AD4" w:rsidRPr="008F1125">
        <w:rPr>
          <w:spacing w:val="-1"/>
          <w:lang w:val="sr-Latn-RS" w:bidi="sr-Latn-RS"/>
        </w:rPr>
        <w:t>ij</w:t>
      </w:r>
      <w:r w:rsidRPr="008F1125">
        <w:rPr>
          <w:spacing w:val="-1"/>
          <w:lang w:val="sr-Latn-RS" w:bidi="sr-Latn-RS"/>
        </w:rPr>
        <w:t>evaju terapijsku imunosupresiju ili aktivnom infekcijom HIV-om ili hepatitisom B ili C.</w:t>
      </w:r>
    </w:p>
    <w:p w14:paraId="1FB635B5"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FB635B6" w14:textId="23840A8F" w:rsidR="000569A6" w:rsidRPr="008F1125" w:rsidRDefault="00926926" w:rsidP="00C62C0D">
      <w:pPr>
        <w:kinsoku w:val="0"/>
        <w:overflowPunct w:val="0"/>
        <w:autoSpaceDE w:val="0"/>
        <w:autoSpaceDN w:val="0"/>
        <w:adjustRightInd w:val="0"/>
        <w:jc w:val="both"/>
        <w:rPr>
          <w:rFonts w:eastAsia="SimSun"/>
          <w:spacing w:val="-1"/>
          <w:szCs w:val="22"/>
          <w:lang w:val="sr-Latn-RS" w:eastAsia="en-GB"/>
        </w:rPr>
      </w:pPr>
      <w:r w:rsidRPr="008F1125">
        <w:rPr>
          <w:spacing w:val="-1"/>
          <w:lang w:val="sr-Latn-RS" w:bidi="sr-Latn-RS"/>
        </w:rPr>
        <w:t>Pacijenti su primali avelumab u dozi od 10 mg/kg svake 2 ned</w:t>
      </w:r>
      <w:r w:rsidR="00CB0FF3" w:rsidRPr="008F1125">
        <w:rPr>
          <w:spacing w:val="-1"/>
          <w:lang w:val="sr-Latn-RS" w:bidi="sr-Latn-RS"/>
        </w:rPr>
        <w:t>j</w:t>
      </w:r>
      <w:r w:rsidRPr="008F1125">
        <w:rPr>
          <w:spacing w:val="-1"/>
          <w:lang w:val="sr-Latn-RS" w:bidi="sr-Latn-RS"/>
        </w:rPr>
        <w:t>elje do progresije bolesti ili neprihvatljive toksičnosti. Pacijenti sa radiološkom progresijom bolesti koja nije povezana sa značajnim kliničkim pogoršanjem, definisanim kao stanje bez pojave novih ili pogoršanja postojećih simptoma, bez prom</w:t>
      </w:r>
      <w:r w:rsidR="00CB0FF3" w:rsidRPr="008F1125">
        <w:rPr>
          <w:spacing w:val="-1"/>
          <w:lang w:val="sr-Latn-RS" w:bidi="sr-Latn-RS"/>
        </w:rPr>
        <w:t>j</w:t>
      </w:r>
      <w:r w:rsidRPr="008F1125">
        <w:rPr>
          <w:spacing w:val="-1"/>
          <w:lang w:val="sr-Latn-RS" w:bidi="sr-Latn-RS"/>
        </w:rPr>
        <w:t>ene opšteg stanja duže od dv</w:t>
      </w:r>
      <w:r w:rsidR="00B27CC7" w:rsidRPr="008F1125">
        <w:rPr>
          <w:spacing w:val="-1"/>
          <w:lang w:val="sr-Latn-RS" w:bidi="sr-Latn-RS"/>
        </w:rPr>
        <w:t>ij</w:t>
      </w:r>
      <w:r w:rsidRPr="008F1125">
        <w:rPr>
          <w:spacing w:val="-1"/>
          <w:lang w:val="sr-Latn-RS" w:bidi="sr-Latn-RS"/>
        </w:rPr>
        <w:t>e ned</w:t>
      </w:r>
      <w:r w:rsidR="00965FB6" w:rsidRPr="008F1125">
        <w:rPr>
          <w:spacing w:val="-1"/>
          <w:lang w:val="sr-Latn-RS" w:bidi="sr-Latn-RS"/>
        </w:rPr>
        <w:t>j</w:t>
      </w:r>
      <w:r w:rsidRPr="008F1125">
        <w:rPr>
          <w:spacing w:val="-1"/>
          <w:lang w:val="sr-Latn-RS" w:bidi="sr-Latn-RS"/>
        </w:rPr>
        <w:t>elje i bez potrebe za drugom linijom terapije, mogli su da nastave sa terapijom.</w:t>
      </w:r>
    </w:p>
    <w:p w14:paraId="1FB635B7"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FB635B8" w14:textId="37E6FE8A" w:rsidR="000569A6" w:rsidRPr="008F1125" w:rsidRDefault="00926926" w:rsidP="00C62C0D">
      <w:pPr>
        <w:kinsoku w:val="0"/>
        <w:overflowPunct w:val="0"/>
        <w:autoSpaceDE w:val="0"/>
        <w:autoSpaceDN w:val="0"/>
        <w:adjustRightInd w:val="0"/>
        <w:jc w:val="both"/>
        <w:rPr>
          <w:rFonts w:eastAsia="SimSun"/>
          <w:spacing w:val="-1"/>
          <w:szCs w:val="22"/>
          <w:lang w:val="sr-Latn-RS" w:eastAsia="en-GB"/>
        </w:rPr>
      </w:pPr>
      <w:r w:rsidRPr="008F1125">
        <w:rPr>
          <w:spacing w:val="-1"/>
          <w:lang w:val="sr-Latn-RS" w:bidi="sr-Latn-RS"/>
        </w:rPr>
        <w:t>Odgovor tumora proc</w:t>
      </w:r>
      <w:r w:rsidR="00965FB6" w:rsidRPr="008F1125">
        <w:rPr>
          <w:spacing w:val="-1"/>
          <w:lang w:val="sr-Latn-RS" w:bidi="sr-Latn-RS"/>
        </w:rPr>
        <w:t>j</w:t>
      </w:r>
      <w:r w:rsidRPr="008F1125">
        <w:rPr>
          <w:spacing w:val="-1"/>
          <w:lang w:val="sr-Latn-RS" w:bidi="sr-Latn-RS"/>
        </w:rPr>
        <w:t>enjivao se na svakih 6 ned</w:t>
      </w:r>
      <w:r w:rsidR="003C0701" w:rsidRPr="008F1125">
        <w:rPr>
          <w:spacing w:val="-1"/>
          <w:lang w:val="sr-Latn-RS" w:bidi="sr-Latn-RS"/>
        </w:rPr>
        <w:t>j</w:t>
      </w:r>
      <w:r w:rsidRPr="008F1125">
        <w:rPr>
          <w:spacing w:val="-1"/>
          <w:lang w:val="sr-Latn-RS" w:bidi="sr-Latn-RS"/>
        </w:rPr>
        <w:t xml:space="preserve">elja, a </w:t>
      </w:r>
      <w:r w:rsidR="0063413D" w:rsidRPr="008F1125">
        <w:rPr>
          <w:spacing w:val="-1"/>
          <w:lang w:val="sr-Latn-RS" w:bidi="sr-Latn-RS"/>
        </w:rPr>
        <w:t>procjenu</w:t>
      </w:r>
      <w:r w:rsidRPr="008F1125">
        <w:rPr>
          <w:spacing w:val="-1"/>
          <w:lang w:val="sr-Latn-RS" w:bidi="sr-Latn-RS"/>
        </w:rPr>
        <w:t xml:space="preserve"> je radio Odbor za nezavisnu proc</w:t>
      </w:r>
      <w:r w:rsidR="00B27CC7" w:rsidRPr="008F1125">
        <w:rPr>
          <w:spacing w:val="-1"/>
          <w:lang w:val="sr-Latn-RS" w:bidi="sr-Latn-RS"/>
        </w:rPr>
        <w:t>j</w:t>
      </w:r>
      <w:r w:rsidRPr="008F1125">
        <w:rPr>
          <w:spacing w:val="-1"/>
          <w:lang w:val="sr-Latn-RS" w:bidi="sr-Latn-RS"/>
        </w:rPr>
        <w:t xml:space="preserve">enu ishoda (eng. </w:t>
      </w:r>
      <w:r w:rsidRPr="008F1125">
        <w:rPr>
          <w:i/>
          <w:spacing w:val="-1"/>
          <w:lang w:val="sr-Latn-RS" w:bidi="sr-Latn-RS"/>
        </w:rPr>
        <w:t>Independent Endpoint Review Committee</w:t>
      </w:r>
      <w:r w:rsidRPr="008F1125">
        <w:rPr>
          <w:spacing w:val="-1"/>
          <w:lang w:val="sr-Latn-RS" w:bidi="sr-Latn-RS"/>
        </w:rPr>
        <w:t>, IERC) prema Kriterijumima za oc</w:t>
      </w:r>
      <w:r w:rsidR="003C0701" w:rsidRPr="008F1125">
        <w:rPr>
          <w:spacing w:val="-1"/>
          <w:lang w:val="sr-Latn-RS" w:bidi="sr-Latn-RS"/>
        </w:rPr>
        <w:t>j</w:t>
      </w:r>
      <w:r w:rsidRPr="008F1125">
        <w:rPr>
          <w:spacing w:val="-1"/>
          <w:lang w:val="sr-Latn-RS" w:bidi="sr-Latn-RS"/>
        </w:rPr>
        <w:t>enu odgovora</w:t>
      </w:r>
      <w:r w:rsidRPr="008F1125">
        <w:rPr>
          <w:spacing w:val="-1"/>
          <w:lang w:val="sr-Latn-RS" w:bidi="sr-Latn-RS"/>
        </w:rPr>
        <w:br/>
        <w:t xml:space="preserve">kod solidnih tumora (eng. </w:t>
      </w:r>
      <w:r w:rsidRPr="008F1125">
        <w:rPr>
          <w:i/>
          <w:spacing w:val="-1"/>
          <w:lang w:val="sr-Latn-RS" w:bidi="sr-Latn-RS"/>
        </w:rPr>
        <w:t>Response Evaluation Criteria in Solid Tumors</w:t>
      </w:r>
      <w:r w:rsidRPr="008F1125">
        <w:rPr>
          <w:spacing w:val="-1"/>
          <w:lang w:val="sr-Latn-RS" w:bidi="sr-Latn-RS"/>
        </w:rPr>
        <w:t>, RECIST) v1.1.</w:t>
      </w:r>
    </w:p>
    <w:p w14:paraId="1FB635B9"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110EC21" w14:textId="6F74BF3C" w:rsidR="00DF0699" w:rsidRPr="008F1125" w:rsidRDefault="00E25717" w:rsidP="00C62C0D">
      <w:pPr>
        <w:keepNext/>
        <w:kinsoku w:val="0"/>
        <w:overflowPunct w:val="0"/>
        <w:autoSpaceDE w:val="0"/>
        <w:autoSpaceDN w:val="0"/>
        <w:adjustRightInd w:val="0"/>
        <w:jc w:val="both"/>
        <w:rPr>
          <w:rFonts w:eastAsia="SimSun"/>
          <w:i/>
          <w:spacing w:val="-1"/>
          <w:szCs w:val="22"/>
          <w:lang w:val="sr-Latn-RS" w:eastAsia="en-GB"/>
        </w:rPr>
      </w:pPr>
      <w:r w:rsidRPr="008F1125">
        <w:rPr>
          <w:i/>
          <w:spacing w:val="-1"/>
          <w:lang w:val="sr-Latn-RS" w:bidi="sr-Latn-RS"/>
        </w:rPr>
        <w:t>Ispitivanje 003, d</w:t>
      </w:r>
      <w:r w:rsidR="00965FB6" w:rsidRPr="008F1125">
        <w:rPr>
          <w:i/>
          <w:spacing w:val="-1"/>
          <w:lang w:val="sr-Latn-RS" w:bidi="sr-Latn-RS"/>
        </w:rPr>
        <w:t>i</w:t>
      </w:r>
      <w:r w:rsidRPr="008F1125">
        <w:rPr>
          <w:i/>
          <w:spacing w:val="-1"/>
          <w:lang w:val="sr-Latn-RS" w:bidi="sr-Latn-RS"/>
        </w:rPr>
        <w:t>o A – prethodno l</w:t>
      </w:r>
      <w:r w:rsidR="00965FB6" w:rsidRPr="008F1125">
        <w:rPr>
          <w:i/>
          <w:spacing w:val="-1"/>
          <w:lang w:val="sr-Latn-RS" w:bidi="sr-Latn-RS"/>
        </w:rPr>
        <w:t>ij</w:t>
      </w:r>
      <w:r w:rsidRPr="008F1125">
        <w:rPr>
          <w:i/>
          <w:spacing w:val="-1"/>
          <w:lang w:val="sr-Latn-RS" w:bidi="sr-Latn-RS"/>
        </w:rPr>
        <w:t>ečeni pacijenti</w:t>
      </w:r>
    </w:p>
    <w:p w14:paraId="1FB635BA" w14:textId="7B9A4809" w:rsidR="000569A6" w:rsidRPr="008F1125" w:rsidRDefault="00880F31" w:rsidP="00C62C0D">
      <w:pPr>
        <w:jc w:val="both"/>
        <w:rPr>
          <w:rFonts w:eastAsia="SimSun"/>
          <w:spacing w:val="-1"/>
          <w:szCs w:val="22"/>
          <w:lang w:val="sr-Latn-RS" w:eastAsia="en-GB"/>
        </w:rPr>
      </w:pPr>
      <w:r w:rsidRPr="008F1125">
        <w:rPr>
          <w:spacing w:val="-1"/>
          <w:lang w:val="sr-Latn-RS" w:bidi="sr-Latn-RS"/>
        </w:rPr>
        <w:t>Glavna m</w:t>
      </w:r>
      <w:r w:rsidR="00B80A64" w:rsidRPr="008F1125">
        <w:rPr>
          <w:spacing w:val="-1"/>
          <w:lang w:val="sr-Latn-RS" w:bidi="sr-Latn-RS"/>
        </w:rPr>
        <w:t>j</w:t>
      </w:r>
      <w:r w:rsidRPr="008F1125">
        <w:rPr>
          <w:spacing w:val="-1"/>
          <w:lang w:val="sr-Latn-RS" w:bidi="sr-Latn-RS"/>
        </w:rPr>
        <w:t>era ishoda efikasnosti bila je potvrđeni najbolji ukupni odgovor</w:t>
      </w:r>
      <w:r w:rsidR="00965FB6" w:rsidRPr="008F1125">
        <w:rPr>
          <w:spacing w:val="-1"/>
          <w:lang w:val="sr-Latn-RS" w:bidi="sr-Latn-RS"/>
        </w:rPr>
        <w:t xml:space="preserve"> (eng. </w:t>
      </w:r>
      <w:r w:rsidR="00965FB6" w:rsidRPr="00957A54">
        <w:rPr>
          <w:i/>
          <w:spacing w:val="-1"/>
          <w:lang w:val="sr-Latn-RS" w:bidi="sr-Latn-RS"/>
        </w:rPr>
        <w:t>best overall response</w:t>
      </w:r>
      <w:r w:rsidR="00965FB6" w:rsidRPr="00957A54">
        <w:rPr>
          <w:spacing w:val="-1"/>
          <w:lang w:val="sr-Latn-RS" w:bidi="sr-Latn-RS"/>
        </w:rPr>
        <w:t>, BOR)</w:t>
      </w:r>
      <w:r w:rsidRPr="008F1125">
        <w:rPr>
          <w:spacing w:val="-1"/>
          <w:lang w:val="sr-Latn-RS" w:bidi="sr-Latn-RS"/>
        </w:rPr>
        <w:t>; sekundarne m</w:t>
      </w:r>
      <w:r w:rsidR="00B80A64" w:rsidRPr="008F1125">
        <w:rPr>
          <w:spacing w:val="-1"/>
          <w:lang w:val="sr-Latn-RS" w:bidi="sr-Latn-RS"/>
        </w:rPr>
        <w:t>j</w:t>
      </w:r>
      <w:r w:rsidRPr="008F1125">
        <w:rPr>
          <w:spacing w:val="-1"/>
          <w:lang w:val="sr-Latn-RS" w:bidi="sr-Latn-RS"/>
        </w:rPr>
        <w:t xml:space="preserve">ere ishoda efikasnosti uključivale su trajanje odgovora, preživljavanje bez progresije bolesti (eng. </w:t>
      </w:r>
      <w:r w:rsidRPr="008F1125">
        <w:rPr>
          <w:i/>
          <w:spacing w:val="-1"/>
          <w:lang w:val="sr-Latn-RS" w:bidi="sr-Latn-RS"/>
        </w:rPr>
        <w:t>progression-free survival</w:t>
      </w:r>
      <w:r w:rsidRPr="008F1125">
        <w:rPr>
          <w:spacing w:val="-1"/>
          <w:lang w:val="sr-Latn-RS" w:bidi="sr-Latn-RS"/>
        </w:rPr>
        <w:t xml:space="preserve">, PFS) i ukupno preživljavanje (eng. </w:t>
      </w:r>
      <w:r w:rsidRPr="008F1125">
        <w:rPr>
          <w:i/>
          <w:spacing w:val="-1"/>
          <w:lang w:val="sr-Latn-RS" w:bidi="sr-Latn-RS"/>
        </w:rPr>
        <w:t>overall survival</w:t>
      </w:r>
      <w:r w:rsidRPr="008F1125">
        <w:rPr>
          <w:spacing w:val="-1"/>
          <w:lang w:val="sr-Latn-RS" w:bidi="sr-Latn-RS"/>
        </w:rPr>
        <w:t>, OS).</w:t>
      </w:r>
    </w:p>
    <w:p w14:paraId="1FB635BB" w14:textId="77777777" w:rsidR="000569A6" w:rsidRPr="008F1125" w:rsidRDefault="000569A6" w:rsidP="00C62C0D">
      <w:pPr>
        <w:jc w:val="both"/>
        <w:rPr>
          <w:rFonts w:eastAsia="SimSun"/>
          <w:spacing w:val="-1"/>
          <w:szCs w:val="22"/>
          <w:lang w:val="sr-Latn-RS" w:eastAsia="en-GB"/>
        </w:rPr>
      </w:pPr>
    </w:p>
    <w:p w14:paraId="1FB635BC" w14:textId="66719374" w:rsidR="000569A6" w:rsidRPr="008F1125" w:rsidRDefault="00880F31" w:rsidP="00C62C0D">
      <w:pPr>
        <w:jc w:val="both"/>
        <w:rPr>
          <w:szCs w:val="22"/>
          <w:lang w:val="sr-Latn-RS"/>
        </w:rPr>
      </w:pPr>
      <w:r w:rsidRPr="008F1125">
        <w:rPr>
          <w:spacing w:val="-1"/>
          <w:lang w:val="sr-Latn-RS" w:bidi="sr-Latn-RS"/>
        </w:rPr>
        <w:t xml:space="preserve">Analiza efikasnosti sprovedena je kod svih 88 pacijenata nakon minimalnog praćenja od 36 </w:t>
      </w:r>
      <w:r w:rsidR="00B27CC7" w:rsidRPr="008F1125">
        <w:rPr>
          <w:spacing w:val="-1"/>
          <w:lang w:val="sr-Latn-RS" w:bidi="sr-Latn-RS"/>
        </w:rPr>
        <w:t>mjeseci</w:t>
      </w:r>
      <w:r w:rsidRPr="008F1125">
        <w:rPr>
          <w:spacing w:val="-1"/>
          <w:lang w:val="sr-Latn-RS" w:bidi="sr-Latn-RS"/>
        </w:rPr>
        <w:t>. Pacijenti su primili medijanu od 7 doza avelumaba (raspon: od 1 doze do 95 doza), a medijana trajanja terapije iznosila je 17 ned</w:t>
      </w:r>
      <w:r w:rsidR="00965FB6" w:rsidRPr="008F1125">
        <w:rPr>
          <w:spacing w:val="-1"/>
          <w:lang w:val="sr-Latn-RS" w:bidi="sr-Latn-RS"/>
        </w:rPr>
        <w:t>j</w:t>
      </w:r>
      <w:r w:rsidRPr="008F1125">
        <w:rPr>
          <w:spacing w:val="-1"/>
          <w:lang w:val="sr-Latn-RS" w:bidi="sr-Latn-RS"/>
        </w:rPr>
        <w:t>elja (raspon: od 2 ned</w:t>
      </w:r>
      <w:r w:rsidR="00965FB6" w:rsidRPr="008F1125">
        <w:rPr>
          <w:spacing w:val="-1"/>
          <w:lang w:val="sr-Latn-RS" w:bidi="sr-Latn-RS"/>
        </w:rPr>
        <w:t>j</w:t>
      </w:r>
      <w:r w:rsidRPr="008F1125">
        <w:rPr>
          <w:spacing w:val="-1"/>
          <w:lang w:val="sr-Latn-RS" w:bidi="sr-Latn-RS"/>
        </w:rPr>
        <w:t>elje do 208 ned</w:t>
      </w:r>
      <w:r w:rsidR="00965FB6" w:rsidRPr="008F1125">
        <w:rPr>
          <w:spacing w:val="-1"/>
          <w:lang w:val="sr-Latn-RS" w:bidi="sr-Latn-RS"/>
        </w:rPr>
        <w:t>j</w:t>
      </w:r>
      <w:r w:rsidRPr="008F1125">
        <w:rPr>
          <w:spacing w:val="-1"/>
          <w:lang w:val="sr-Latn-RS" w:bidi="sr-Latn-RS"/>
        </w:rPr>
        <w:t>elja).</w:t>
      </w:r>
    </w:p>
    <w:p w14:paraId="1FB635BD"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FB635BE" w14:textId="0C9CD3B0" w:rsidR="000569A6" w:rsidRPr="008F1125" w:rsidRDefault="00926926" w:rsidP="00C62C0D">
      <w:pPr>
        <w:kinsoku w:val="0"/>
        <w:overflowPunct w:val="0"/>
        <w:autoSpaceDE w:val="0"/>
        <w:autoSpaceDN w:val="0"/>
        <w:adjustRightInd w:val="0"/>
        <w:jc w:val="both"/>
        <w:rPr>
          <w:rFonts w:eastAsia="SimSun"/>
          <w:spacing w:val="-1"/>
          <w:szCs w:val="22"/>
          <w:lang w:val="sr-Latn-RS" w:eastAsia="en-GB"/>
        </w:rPr>
      </w:pPr>
      <w:r w:rsidRPr="008F1125">
        <w:rPr>
          <w:spacing w:val="-1"/>
          <w:lang w:val="sr-Latn-RS" w:bidi="sr-Latn-RS"/>
        </w:rPr>
        <w:t>Od 88 pacijenata, njih 65 (74%) bili su muškarci, medijana starosti iznosila je 73 godine (raspon: od 33 godine do 88 godina), 81 (92%) pacijent bi</w:t>
      </w:r>
      <w:r w:rsidR="000C6795" w:rsidRPr="008F1125">
        <w:rPr>
          <w:spacing w:val="-1"/>
          <w:lang w:val="sr-Latn-RS" w:bidi="sr-Latn-RS"/>
        </w:rPr>
        <w:t>o</w:t>
      </w:r>
      <w:r w:rsidRPr="008F1125">
        <w:rPr>
          <w:spacing w:val="-1"/>
          <w:lang w:val="sr-Latn-RS" w:bidi="sr-Latn-RS"/>
        </w:rPr>
        <w:t xml:space="preserve"> </w:t>
      </w:r>
      <w:r w:rsidR="000C6795" w:rsidRPr="008F1125">
        <w:rPr>
          <w:spacing w:val="-1"/>
          <w:lang w:val="sr-Latn-RS" w:bidi="sr-Latn-RS"/>
        </w:rPr>
        <w:t>je</w:t>
      </w:r>
      <w:r w:rsidRPr="008F1125">
        <w:rPr>
          <w:spacing w:val="-1"/>
          <w:lang w:val="sr-Latn-RS" w:bidi="sr-Latn-RS"/>
        </w:rPr>
        <w:t xml:space="preserve"> b</w:t>
      </w:r>
      <w:r w:rsidR="00B27CC7" w:rsidRPr="008F1125">
        <w:rPr>
          <w:spacing w:val="-1"/>
          <w:lang w:val="sr-Latn-RS" w:bidi="sr-Latn-RS"/>
        </w:rPr>
        <w:t>ij</w:t>
      </w:r>
      <w:r w:rsidRPr="008F1125">
        <w:rPr>
          <w:spacing w:val="-1"/>
          <w:lang w:val="sr-Latn-RS" w:bidi="sr-Latn-RS"/>
        </w:rPr>
        <w:t>ele rase, a oc</w:t>
      </w:r>
      <w:r w:rsidR="00B27CC7" w:rsidRPr="008F1125">
        <w:rPr>
          <w:spacing w:val="-1"/>
          <w:lang w:val="sr-Latn-RS" w:bidi="sr-Latn-RS"/>
        </w:rPr>
        <w:t>j</w:t>
      </w:r>
      <w:r w:rsidRPr="008F1125">
        <w:rPr>
          <w:spacing w:val="-1"/>
          <w:lang w:val="sr-Latn-RS" w:bidi="sr-Latn-RS"/>
        </w:rPr>
        <w:t xml:space="preserve">ena opšteg stanja prema klasifikaciji Istočne kooperativne onkološke grupe (eng. </w:t>
      </w:r>
      <w:r w:rsidRPr="008F1125">
        <w:rPr>
          <w:i/>
          <w:spacing w:val="-1"/>
          <w:lang w:val="sr-Latn-RS" w:bidi="sr-Latn-RS"/>
        </w:rPr>
        <w:t>Eastern Cooperative Oncology Group</w:t>
      </w:r>
      <w:r w:rsidRPr="008F1125">
        <w:rPr>
          <w:spacing w:val="-1"/>
          <w:lang w:val="sr-Latn-RS" w:bidi="sr-Latn-RS"/>
        </w:rPr>
        <w:t>, ECOG) bila je 0 kod 49 (56%) pacijenata i 1 kod 39 (44%) pacijenata.</w:t>
      </w:r>
    </w:p>
    <w:p w14:paraId="1FB635BF" w14:textId="77777777" w:rsidR="000569A6" w:rsidRPr="008F1125" w:rsidRDefault="000569A6" w:rsidP="00C62C0D">
      <w:pPr>
        <w:autoSpaceDE w:val="0"/>
        <w:autoSpaceDN w:val="0"/>
        <w:adjustRightInd w:val="0"/>
        <w:jc w:val="both"/>
        <w:rPr>
          <w:rFonts w:eastAsia="SimSun"/>
          <w:iCs/>
          <w:spacing w:val="-1"/>
          <w:szCs w:val="22"/>
          <w:lang w:val="sr-Latn-RS" w:eastAsia="en-GB"/>
        </w:rPr>
      </w:pPr>
    </w:p>
    <w:p w14:paraId="1FB635C0" w14:textId="7771BE15" w:rsidR="000569A6" w:rsidRPr="008F1125" w:rsidRDefault="00926926" w:rsidP="00C62C0D">
      <w:pPr>
        <w:jc w:val="both"/>
        <w:rPr>
          <w:rFonts w:eastAsia="SimSun"/>
          <w:spacing w:val="-1"/>
          <w:szCs w:val="22"/>
          <w:lang w:val="sr-Latn-RS" w:eastAsia="en-GB"/>
        </w:rPr>
      </w:pPr>
      <w:r w:rsidRPr="008F1125">
        <w:rPr>
          <w:spacing w:val="-1"/>
          <w:lang w:val="sr-Latn-RS" w:bidi="sr-Latn-RS"/>
        </w:rPr>
        <w:t>Generalno je za 52 (59%) pacijenta bilo zab</w:t>
      </w:r>
      <w:r w:rsidR="000C6795" w:rsidRPr="008F1125">
        <w:rPr>
          <w:spacing w:val="-1"/>
          <w:lang w:val="sr-Latn-RS" w:bidi="sr-Latn-RS"/>
        </w:rPr>
        <w:t>i</w:t>
      </w:r>
      <w:r w:rsidRPr="008F1125">
        <w:rPr>
          <w:spacing w:val="-1"/>
          <w:lang w:val="sr-Latn-RS" w:bidi="sr-Latn-RS"/>
        </w:rPr>
        <w:t>l</w:t>
      </w:r>
      <w:r w:rsidR="000C6795" w:rsidRPr="008F1125">
        <w:rPr>
          <w:spacing w:val="-1"/>
          <w:lang w:val="sr-Latn-RS" w:bidi="sr-Latn-RS"/>
        </w:rPr>
        <w:t>j</w:t>
      </w:r>
      <w:r w:rsidRPr="008F1125">
        <w:rPr>
          <w:spacing w:val="-1"/>
          <w:lang w:val="sr-Latn-RS" w:bidi="sr-Latn-RS"/>
        </w:rPr>
        <w:t>eženo da su prethodno primili 1 antitumorsku terapiju zbog karcinoma Merkelovih ćelija, 26 (30%) pacijenata je prethodno primilo 2 terapije, a 10 (11 %) pacijenata je prethodno primilo 3 ili više terapija</w:t>
      </w:r>
      <w:r w:rsidR="000C6795" w:rsidRPr="008F1125">
        <w:rPr>
          <w:spacing w:val="-1"/>
          <w:lang w:val="sr-Latn-RS" w:bidi="sr-Latn-RS"/>
        </w:rPr>
        <w:t>.</w:t>
      </w:r>
      <w:r w:rsidRPr="008F1125">
        <w:rPr>
          <w:spacing w:val="-1"/>
          <w:lang w:val="sr-Latn-RS" w:bidi="sr-Latn-RS"/>
        </w:rPr>
        <w:t xml:space="preserve"> Četrdeset i sedam (53%) pacijenata imalo je visceralne metastaze.</w:t>
      </w:r>
    </w:p>
    <w:p w14:paraId="1FB635C1" w14:textId="77777777" w:rsidR="000569A6" w:rsidRPr="008F1125" w:rsidRDefault="000569A6" w:rsidP="00C62C0D">
      <w:pPr>
        <w:kinsoku w:val="0"/>
        <w:overflowPunct w:val="0"/>
        <w:autoSpaceDE w:val="0"/>
        <w:autoSpaceDN w:val="0"/>
        <w:adjustRightInd w:val="0"/>
        <w:jc w:val="both"/>
        <w:rPr>
          <w:rFonts w:eastAsia="SimSun"/>
          <w:spacing w:val="-1"/>
          <w:szCs w:val="22"/>
          <w:lang w:val="sr-Latn-RS" w:eastAsia="en-GB"/>
        </w:rPr>
      </w:pPr>
    </w:p>
    <w:p w14:paraId="1FB635C2" w14:textId="61961FD7" w:rsidR="000569A6" w:rsidRPr="008F1125" w:rsidRDefault="00926926" w:rsidP="00C62C0D">
      <w:pPr>
        <w:tabs>
          <w:tab w:val="clear" w:pos="567"/>
        </w:tabs>
        <w:autoSpaceDE w:val="0"/>
        <w:autoSpaceDN w:val="0"/>
        <w:adjustRightInd w:val="0"/>
        <w:jc w:val="both"/>
        <w:rPr>
          <w:rFonts w:eastAsia="SimSun"/>
          <w:szCs w:val="22"/>
          <w:lang w:val="sr-Latn-RS" w:eastAsia="en-GB"/>
        </w:rPr>
      </w:pPr>
      <w:bookmarkStart w:id="4" w:name="_Hlk41980024"/>
      <w:bookmarkStart w:id="5" w:name="_Ref531183934"/>
      <w:r w:rsidRPr="008F1125">
        <w:rPr>
          <w:lang w:val="sr-Latn-RS" w:bidi="sr-Latn-RS"/>
        </w:rPr>
        <w:t>U Tabeli 4 sažeto su prikazane m</w:t>
      </w:r>
      <w:r w:rsidR="00B27CC7" w:rsidRPr="008F1125">
        <w:rPr>
          <w:lang w:val="sr-Latn-RS" w:bidi="sr-Latn-RS"/>
        </w:rPr>
        <w:t>j</w:t>
      </w:r>
      <w:r w:rsidRPr="008F1125">
        <w:rPr>
          <w:lang w:val="sr-Latn-RS" w:bidi="sr-Latn-RS"/>
        </w:rPr>
        <w:t>ere ishoda efikasnosti kod pacijenata koji su primali avelumab u preporučenoj dozi u ispitivanju EMR100070-003, d</w:t>
      </w:r>
      <w:r w:rsidR="00B27CC7" w:rsidRPr="008F1125">
        <w:rPr>
          <w:lang w:val="sr-Latn-RS" w:bidi="sr-Latn-RS"/>
        </w:rPr>
        <w:t>i</w:t>
      </w:r>
      <w:r w:rsidRPr="008F1125">
        <w:rPr>
          <w:lang w:val="sr-Latn-RS" w:bidi="sr-Latn-RS"/>
        </w:rPr>
        <w:t>o A, za minimalno trajanje praćenja od 36 m</w:t>
      </w:r>
      <w:r w:rsidR="00B27CC7" w:rsidRPr="008F1125">
        <w:rPr>
          <w:lang w:val="sr-Latn-RS" w:bidi="sr-Latn-RS"/>
        </w:rPr>
        <w:t>j</w:t>
      </w:r>
      <w:r w:rsidRPr="008F1125">
        <w:rPr>
          <w:lang w:val="sr-Latn-RS" w:bidi="sr-Latn-RS"/>
        </w:rPr>
        <w:t>eseci. Ukupno preživljavanje bilo je proc</w:t>
      </w:r>
      <w:r w:rsidR="0063413D" w:rsidRPr="008F1125">
        <w:rPr>
          <w:lang w:val="sr-Latn-RS" w:bidi="sr-Latn-RS"/>
        </w:rPr>
        <w:t>ij</w:t>
      </w:r>
      <w:r w:rsidRPr="008F1125">
        <w:rPr>
          <w:lang w:val="sr-Latn-RS" w:bidi="sr-Latn-RS"/>
        </w:rPr>
        <w:t>enjeno u analizi sa najmanjim trajanjem praćenja od 44 m</w:t>
      </w:r>
      <w:r w:rsidR="00B27CC7" w:rsidRPr="008F1125">
        <w:rPr>
          <w:lang w:val="sr-Latn-RS" w:bidi="sr-Latn-RS"/>
        </w:rPr>
        <w:t>j</w:t>
      </w:r>
      <w:r w:rsidRPr="008F1125">
        <w:rPr>
          <w:lang w:val="sr-Latn-RS" w:bidi="sr-Latn-RS"/>
        </w:rPr>
        <w:t>eseca. Medijana OS iznosila je 12,6 m</w:t>
      </w:r>
      <w:r w:rsidR="00B27CC7" w:rsidRPr="008F1125">
        <w:rPr>
          <w:lang w:val="sr-Latn-RS" w:bidi="sr-Latn-RS"/>
        </w:rPr>
        <w:t>j</w:t>
      </w:r>
      <w:r w:rsidRPr="008F1125">
        <w:rPr>
          <w:lang w:val="sr-Latn-RS" w:bidi="sr-Latn-RS"/>
        </w:rPr>
        <w:t>eseci (95% CI 7,5; 17,1).</w:t>
      </w:r>
    </w:p>
    <w:bookmarkEnd w:id="4"/>
    <w:p w14:paraId="1FB635C3" w14:textId="77777777" w:rsidR="000569A6" w:rsidRPr="008F1125" w:rsidRDefault="000569A6" w:rsidP="00C62C0D">
      <w:pPr>
        <w:pStyle w:val="CommentText"/>
        <w:jc w:val="both"/>
        <w:rPr>
          <w:rFonts w:eastAsia="SimSun"/>
          <w:sz w:val="22"/>
          <w:szCs w:val="22"/>
          <w:lang w:val="sr-Latn-RS"/>
        </w:rPr>
      </w:pPr>
    </w:p>
    <w:p w14:paraId="1FB635C4" w14:textId="240FFB89" w:rsidR="000569A6" w:rsidRPr="008F1125" w:rsidRDefault="00926926" w:rsidP="000C6795">
      <w:pPr>
        <w:pStyle w:val="BodytextAgency"/>
        <w:keepNext/>
        <w:keepLines/>
        <w:spacing w:after="0" w:line="240" w:lineRule="auto"/>
        <w:jc w:val="both"/>
        <w:rPr>
          <w:rFonts w:ascii="Times New Roman" w:hAnsi="Times New Roman" w:cs="Times New Roman"/>
          <w:b/>
          <w:spacing w:val="-2"/>
          <w:sz w:val="22"/>
          <w:szCs w:val="22"/>
          <w:lang w:val="sr-Latn-RS"/>
        </w:rPr>
      </w:pPr>
      <w:bookmarkStart w:id="6" w:name="_Ref531178361"/>
      <w:r w:rsidRPr="008F1125">
        <w:rPr>
          <w:rFonts w:ascii="Times New Roman" w:hAnsi="Times New Roman" w:cs="Times New Roman"/>
          <w:b/>
          <w:sz w:val="22"/>
          <w:lang w:val="sr-Latn-RS" w:bidi="sr-Latn-RS"/>
        </w:rPr>
        <w:t>Tabela </w:t>
      </w:r>
      <w:bookmarkEnd w:id="5"/>
      <w:bookmarkEnd w:id="6"/>
      <w:r w:rsidRPr="008F1125">
        <w:rPr>
          <w:rFonts w:ascii="Times New Roman" w:hAnsi="Times New Roman" w:cs="Times New Roman"/>
          <w:b/>
          <w:sz w:val="22"/>
          <w:lang w:val="sr-Latn-RS" w:bidi="sr-Latn-RS"/>
        </w:rPr>
        <w:t>4: Odgovor na avelumab u dozi od 10 mg/kg svake 2 ned</w:t>
      </w:r>
      <w:r w:rsidR="003C0701" w:rsidRPr="008F1125">
        <w:rPr>
          <w:rFonts w:ascii="Times New Roman" w:hAnsi="Times New Roman" w:cs="Times New Roman"/>
          <w:b/>
          <w:sz w:val="22"/>
          <w:lang w:val="sr-Latn-RS" w:bidi="sr-Latn-RS"/>
        </w:rPr>
        <w:t>j</w:t>
      </w:r>
      <w:r w:rsidRPr="008F1125">
        <w:rPr>
          <w:rFonts w:ascii="Times New Roman" w:hAnsi="Times New Roman" w:cs="Times New Roman"/>
          <w:b/>
          <w:sz w:val="22"/>
          <w:lang w:val="sr-Latn-RS" w:bidi="sr-Latn-RS"/>
        </w:rPr>
        <w:t>elje kod pacijenata sa metastatskim karcinomom Merkelovih ćelija u ispitivanju EMR100070-003 (d</w:t>
      </w:r>
      <w:r w:rsidR="000C6795" w:rsidRPr="008F1125">
        <w:rPr>
          <w:rFonts w:ascii="Times New Roman" w:hAnsi="Times New Roman" w:cs="Times New Roman"/>
          <w:b/>
          <w:sz w:val="22"/>
          <w:lang w:val="sr-Latn-RS" w:bidi="sr-Latn-RS"/>
        </w:rPr>
        <w:t>i</w:t>
      </w:r>
      <w:r w:rsidRPr="008F1125">
        <w:rPr>
          <w:rFonts w:ascii="Times New Roman" w:hAnsi="Times New Roman" w:cs="Times New Roman"/>
          <w:b/>
          <w:sz w:val="22"/>
          <w:lang w:val="sr-Latn-RS" w:bidi="sr-Latn-RS"/>
        </w:rPr>
        <w:t>o A)*</w:t>
      </w:r>
    </w:p>
    <w:p w14:paraId="1FB635C5" w14:textId="77777777" w:rsidR="00CC2596" w:rsidRPr="008F1125" w:rsidRDefault="00CC2596" w:rsidP="00577413">
      <w:pPr>
        <w:keepNext/>
        <w:keepLines/>
        <w:tabs>
          <w:tab w:val="clear" w:pos="567"/>
        </w:tabs>
        <w:kinsoku w:val="0"/>
        <w:overflowPunct w:val="0"/>
        <w:autoSpaceDE w:val="0"/>
        <w:autoSpaceDN w:val="0"/>
        <w:adjustRightInd w:val="0"/>
        <w:rPr>
          <w:rFonts w:eastAsia="SimSun"/>
          <w:spacing w:val="-2"/>
          <w:szCs w:val="22"/>
          <w:lang w:val="sr-Latn-RS"/>
        </w:rPr>
      </w:pP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133"/>
        <w:gridCol w:w="2287"/>
      </w:tblGrid>
      <w:tr w:rsidR="00F51581" w:rsidRPr="008F1125" w14:paraId="1FB635CA" w14:textId="77777777" w:rsidTr="005C0AF0">
        <w:trPr>
          <w:jc w:val="center"/>
        </w:trPr>
        <w:tc>
          <w:tcPr>
            <w:tcW w:w="5133" w:type="dxa"/>
            <w:shd w:val="clear" w:color="auto" w:fill="auto"/>
          </w:tcPr>
          <w:p w14:paraId="1FB635C6" w14:textId="14318A51" w:rsidR="00CC2596" w:rsidRPr="008F1125" w:rsidRDefault="00926926" w:rsidP="00577413">
            <w:pPr>
              <w:keepNext/>
              <w:keepLines/>
              <w:jc w:val="center"/>
              <w:rPr>
                <w:b/>
                <w:kern w:val="24"/>
                <w:szCs w:val="22"/>
                <w:lang w:val="sr-Latn-RS"/>
              </w:rPr>
            </w:pPr>
            <w:bookmarkStart w:id="7" w:name="_Ref453081932"/>
            <w:bookmarkEnd w:id="7"/>
            <w:r w:rsidRPr="008F1125">
              <w:rPr>
                <w:b/>
                <w:kern w:val="24"/>
                <w:lang w:val="sr-Latn-RS" w:bidi="sr-Latn-RS"/>
              </w:rPr>
              <w:t>M</w:t>
            </w:r>
            <w:r w:rsidR="00B80A64" w:rsidRPr="008F1125">
              <w:rPr>
                <w:b/>
                <w:kern w:val="24"/>
                <w:lang w:val="sr-Latn-RS" w:bidi="sr-Latn-RS"/>
              </w:rPr>
              <w:t>j</w:t>
            </w:r>
            <w:r w:rsidRPr="008F1125">
              <w:rPr>
                <w:b/>
                <w:kern w:val="24"/>
                <w:lang w:val="sr-Latn-RS" w:bidi="sr-Latn-RS"/>
              </w:rPr>
              <w:t>ere ishoda efikasnosti (d</w:t>
            </w:r>
            <w:r w:rsidR="00401182" w:rsidRPr="008F1125">
              <w:rPr>
                <w:b/>
                <w:kern w:val="24"/>
                <w:lang w:val="sr-Latn-RS" w:bidi="sr-Latn-RS"/>
              </w:rPr>
              <w:t>i</w:t>
            </w:r>
            <w:r w:rsidRPr="008F1125">
              <w:rPr>
                <w:b/>
                <w:kern w:val="24"/>
                <w:lang w:val="sr-Latn-RS" w:bidi="sr-Latn-RS"/>
              </w:rPr>
              <w:t>o A)</w:t>
            </w:r>
          </w:p>
          <w:p w14:paraId="1FB635C7" w14:textId="77777777" w:rsidR="00CC2596" w:rsidRPr="008F1125" w:rsidRDefault="00926926" w:rsidP="00577413">
            <w:pPr>
              <w:keepNext/>
              <w:keepLines/>
              <w:jc w:val="center"/>
              <w:rPr>
                <w:b/>
                <w:szCs w:val="22"/>
                <w:lang w:val="sr-Latn-RS"/>
              </w:rPr>
            </w:pPr>
            <w:r w:rsidRPr="008F1125">
              <w:rPr>
                <w:b/>
                <w:lang w:val="sr-Latn-RS" w:bidi="sr-Latn-RS"/>
              </w:rPr>
              <w:t>(prema RECIST verziji 1.1, IERC)</w:t>
            </w:r>
          </w:p>
        </w:tc>
        <w:tc>
          <w:tcPr>
            <w:tcW w:w="2287" w:type="dxa"/>
            <w:shd w:val="clear" w:color="auto" w:fill="auto"/>
          </w:tcPr>
          <w:p w14:paraId="1FB635C8" w14:textId="77777777" w:rsidR="00CC2596" w:rsidRPr="008F1125" w:rsidRDefault="00926926" w:rsidP="00577413">
            <w:pPr>
              <w:keepNext/>
              <w:keepLines/>
              <w:jc w:val="center"/>
              <w:rPr>
                <w:b/>
                <w:kern w:val="24"/>
                <w:szCs w:val="22"/>
                <w:lang w:val="sr-Latn-RS"/>
              </w:rPr>
            </w:pPr>
            <w:r w:rsidRPr="008F1125">
              <w:rPr>
                <w:b/>
                <w:kern w:val="24"/>
                <w:lang w:val="sr-Latn-RS" w:bidi="sr-Latn-RS"/>
              </w:rPr>
              <w:t>Rezultati</w:t>
            </w:r>
          </w:p>
          <w:p w14:paraId="1FB635C9" w14:textId="77777777" w:rsidR="00CC2596" w:rsidRPr="008F1125" w:rsidRDefault="00926926" w:rsidP="00577413">
            <w:pPr>
              <w:keepNext/>
              <w:keepLines/>
              <w:jc w:val="center"/>
              <w:rPr>
                <w:b/>
                <w:szCs w:val="22"/>
                <w:lang w:val="sr-Latn-RS"/>
              </w:rPr>
            </w:pPr>
            <w:r w:rsidRPr="008F1125">
              <w:rPr>
                <w:b/>
                <w:kern w:val="24"/>
                <w:lang w:val="sr-Latn-RS" w:bidi="sr-Latn-RS"/>
              </w:rPr>
              <w:t>(N=88)</w:t>
            </w:r>
          </w:p>
        </w:tc>
      </w:tr>
      <w:tr w:rsidR="00F51581" w:rsidRPr="008F1125" w14:paraId="1FB635D1" w14:textId="77777777" w:rsidTr="005C0AF0">
        <w:trPr>
          <w:jc w:val="center"/>
        </w:trPr>
        <w:tc>
          <w:tcPr>
            <w:tcW w:w="5133" w:type="dxa"/>
            <w:shd w:val="clear" w:color="auto" w:fill="auto"/>
          </w:tcPr>
          <w:p w14:paraId="1FB635CB" w14:textId="77777777" w:rsidR="00CC2596" w:rsidRPr="008F1125" w:rsidRDefault="00926926" w:rsidP="00577413">
            <w:pPr>
              <w:keepNext/>
              <w:keepLines/>
              <w:rPr>
                <w:b/>
                <w:szCs w:val="22"/>
                <w:lang w:val="sr-Latn-RS"/>
              </w:rPr>
            </w:pPr>
            <w:r w:rsidRPr="008F1125">
              <w:rPr>
                <w:b/>
                <w:lang w:val="sr-Latn-RS" w:bidi="sr-Latn-RS"/>
              </w:rPr>
              <w:t>Stopa objektivnog odgovora</w:t>
            </w:r>
          </w:p>
          <w:p w14:paraId="1FB635CC" w14:textId="77777777" w:rsidR="00CC2596" w:rsidRPr="008F1125" w:rsidRDefault="00926926" w:rsidP="00577413">
            <w:pPr>
              <w:keepNext/>
              <w:keepLines/>
              <w:rPr>
                <w:szCs w:val="22"/>
                <w:lang w:val="sr-Latn-RS"/>
              </w:rPr>
            </w:pPr>
            <w:r w:rsidRPr="008F1125">
              <w:rPr>
                <w:lang w:val="sr-Latn-RS" w:bidi="sr-Latn-RS"/>
              </w:rPr>
              <w:tab/>
              <w:t>Stopa odgovora, CR+PR** n (%)</w:t>
            </w:r>
          </w:p>
          <w:p w14:paraId="1FB635CD" w14:textId="77777777" w:rsidR="00CC2596" w:rsidRPr="008F1125" w:rsidRDefault="00926926" w:rsidP="00577413">
            <w:pPr>
              <w:keepNext/>
              <w:keepLines/>
              <w:rPr>
                <w:b/>
                <w:kern w:val="24"/>
                <w:szCs w:val="22"/>
                <w:lang w:val="sr-Latn-RS"/>
              </w:rPr>
            </w:pPr>
            <w:r w:rsidRPr="008F1125">
              <w:rPr>
                <w:lang w:val="sr-Latn-RS" w:bidi="sr-Latn-RS"/>
              </w:rPr>
              <w:tab/>
              <w:t>(95% CI)</w:t>
            </w:r>
          </w:p>
        </w:tc>
        <w:tc>
          <w:tcPr>
            <w:tcW w:w="2287" w:type="dxa"/>
            <w:shd w:val="clear" w:color="auto" w:fill="auto"/>
          </w:tcPr>
          <w:p w14:paraId="1FB635CE" w14:textId="77777777" w:rsidR="00CC2596" w:rsidRPr="008F1125" w:rsidRDefault="00CC2596" w:rsidP="00577413">
            <w:pPr>
              <w:keepNext/>
              <w:keepLines/>
              <w:jc w:val="center"/>
              <w:rPr>
                <w:kern w:val="24"/>
                <w:lang w:val="sr-Latn-RS"/>
              </w:rPr>
            </w:pPr>
          </w:p>
          <w:p w14:paraId="1FB635CF" w14:textId="77777777" w:rsidR="00CC2596" w:rsidRPr="008F1125" w:rsidRDefault="00926926" w:rsidP="00577413">
            <w:pPr>
              <w:keepNext/>
              <w:keepLines/>
              <w:jc w:val="center"/>
              <w:rPr>
                <w:kern w:val="24"/>
                <w:lang w:val="sr-Latn-RS"/>
              </w:rPr>
            </w:pPr>
            <w:r w:rsidRPr="008F1125">
              <w:rPr>
                <w:kern w:val="24"/>
                <w:lang w:val="sr-Latn-RS" w:bidi="sr-Latn-RS"/>
              </w:rPr>
              <w:t>29 (33,0%)</w:t>
            </w:r>
          </w:p>
          <w:p w14:paraId="1FB635D0" w14:textId="5FA89D9D" w:rsidR="00CC2596" w:rsidRPr="008F1125" w:rsidRDefault="00926926" w:rsidP="00577413">
            <w:pPr>
              <w:keepNext/>
              <w:keepLines/>
              <w:jc w:val="center"/>
              <w:rPr>
                <w:b/>
                <w:kern w:val="24"/>
                <w:szCs w:val="22"/>
                <w:lang w:val="sr-Latn-RS"/>
              </w:rPr>
            </w:pPr>
            <w:r w:rsidRPr="008F1125">
              <w:rPr>
                <w:kern w:val="24"/>
                <w:lang w:val="sr-Latn-RS" w:bidi="sr-Latn-RS"/>
              </w:rPr>
              <w:t>(23</w:t>
            </w:r>
            <w:r w:rsidR="00401182" w:rsidRPr="008F1125">
              <w:rPr>
                <w:kern w:val="24"/>
                <w:lang w:val="sr-Latn-RS" w:bidi="sr-Latn-RS"/>
              </w:rPr>
              <w:t>,</w:t>
            </w:r>
            <w:r w:rsidRPr="008F1125">
              <w:rPr>
                <w:kern w:val="24"/>
                <w:lang w:val="sr-Latn-RS" w:bidi="sr-Latn-RS"/>
              </w:rPr>
              <w:t>3</w:t>
            </w:r>
            <w:r w:rsidR="00401182" w:rsidRPr="008F1125">
              <w:rPr>
                <w:kern w:val="24"/>
                <w:lang w:val="sr-Latn-RS" w:bidi="sr-Latn-RS"/>
              </w:rPr>
              <w:t>;</w:t>
            </w:r>
            <w:r w:rsidRPr="008F1125">
              <w:rPr>
                <w:kern w:val="24"/>
                <w:lang w:val="sr-Latn-RS" w:bidi="sr-Latn-RS"/>
              </w:rPr>
              <w:t xml:space="preserve"> 43</w:t>
            </w:r>
            <w:r w:rsidR="00401182" w:rsidRPr="008F1125">
              <w:rPr>
                <w:kern w:val="24"/>
                <w:lang w:val="sr-Latn-RS" w:bidi="sr-Latn-RS"/>
              </w:rPr>
              <w:t>,</w:t>
            </w:r>
            <w:r w:rsidRPr="008F1125">
              <w:rPr>
                <w:kern w:val="24"/>
                <w:lang w:val="sr-Latn-RS" w:bidi="sr-Latn-RS"/>
              </w:rPr>
              <w:t>8)</w:t>
            </w:r>
          </w:p>
        </w:tc>
      </w:tr>
      <w:tr w:rsidR="00F51581" w:rsidRPr="008F1125" w14:paraId="1FB635D8" w14:textId="77777777" w:rsidTr="005C0AF0">
        <w:trPr>
          <w:trHeight w:val="787"/>
          <w:jc w:val="center"/>
        </w:trPr>
        <w:tc>
          <w:tcPr>
            <w:tcW w:w="5133" w:type="dxa"/>
            <w:shd w:val="clear" w:color="auto" w:fill="auto"/>
          </w:tcPr>
          <w:p w14:paraId="1FB635D2" w14:textId="3D6A0440" w:rsidR="00CC2596" w:rsidRPr="008F1125" w:rsidRDefault="00926926" w:rsidP="00577413">
            <w:pPr>
              <w:keepNext/>
              <w:keepLines/>
              <w:rPr>
                <w:b/>
                <w:kern w:val="24"/>
                <w:lang w:val="sr-Latn-RS"/>
              </w:rPr>
            </w:pPr>
            <w:r w:rsidRPr="008F1125">
              <w:rPr>
                <w:b/>
                <w:lang w:val="sr-Latn-RS" w:bidi="sr-Latn-RS"/>
              </w:rPr>
              <w:t>Potvrđen</w:t>
            </w:r>
            <w:r w:rsidR="00AA7648" w:rsidRPr="008F1125">
              <w:rPr>
                <w:b/>
                <w:lang w:val="sr-Latn-RS" w:bidi="sr-Latn-RS"/>
              </w:rPr>
              <w:t>i</w:t>
            </w:r>
            <w:r w:rsidRPr="008F1125">
              <w:rPr>
                <w:b/>
                <w:lang w:val="sr-Latn-RS" w:bidi="sr-Latn-RS"/>
              </w:rPr>
              <w:t xml:space="preserve"> najbolji ukupni odgovor</w:t>
            </w:r>
          </w:p>
          <w:p w14:paraId="1FB635D3" w14:textId="77777777" w:rsidR="00CC2596" w:rsidRPr="008F1125" w:rsidRDefault="00926926" w:rsidP="00577413">
            <w:pPr>
              <w:keepNext/>
              <w:keepLines/>
              <w:rPr>
                <w:kern w:val="24"/>
                <w:lang w:val="sr-Latn-RS"/>
              </w:rPr>
            </w:pPr>
            <w:r w:rsidRPr="008F1125">
              <w:rPr>
                <w:lang w:val="sr-Latn-RS" w:bidi="sr-Latn-RS"/>
              </w:rPr>
              <w:tab/>
              <w:t>Potpuni odgovor (CR)** n (%)</w:t>
            </w:r>
          </w:p>
          <w:p w14:paraId="1FB635D4" w14:textId="0871BBDB" w:rsidR="00CC2596" w:rsidRPr="008F1125" w:rsidRDefault="00926926" w:rsidP="00577413">
            <w:pPr>
              <w:keepNext/>
              <w:keepLines/>
              <w:rPr>
                <w:b/>
                <w:kern w:val="24"/>
                <w:lang w:val="sr-Latn-RS"/>
              </w:rPr>
            </w:pPr>
            <w:r w:rsidRPr="008F1125">
              <w:rPr>
                <w:lang w:val="sr-Latn-RS" w:bidi="sr-Latn-RS"/>
              </w:rPr>
              <w:tab/>
              <w:t>D</w:t>
            </w:r>
            <w:r w:rsidR="00B27CC7" w:rsidRPr="008F1125">
              <w:rPr>
                <w:lang w:val="sr-Latn-RS" w:bidi="sr-Latn-RS"/>
              </w:rPr>
              <w:t>j</w:t>
            </w:r>
            <w:r w:rsidRPr="008F1125">
              <w:rPr>
                <w:lang w:val="sr-Latn-RS" w:bidi="sr-Latn-RS"/>
              </w:rPr>
              <w:t>elimični odgovor (PR)** n (%)</w:t>
            </w:r>
          </w:p>
        </w:tc>
        <w:tc>
          <w:tcPr>
            <w:tcW w:w="2287" w:type="dxa"/>
            <w:shd w:val="clear" w:color="auto" w:fill="auto"/>
          </w:tcPr>
          <w:p w14:paraId="1FB635D5" w14:textId="77777777" w:rsidR="00CC2596" w:rsidRPr="008F1125" w:rsidRDefault="00CC2596" w:rsidP="00577413">
            <w:pPr>
              <w:keepNext/>
              <w:keepLines/>
              <w:jc w:val="center"/>
              <w:rPr>
                <w:lang w:val="sr-Latn-RS"/>
              </w:rPr>
            </w:pPr>
          </w:p>
          <w:p w14:paraId="1FB635D6" w14:textId="62B3770F" w:rsidR="00CC2596" w:rsidRPr="008F1125" w:rsidRDefault="00926926" w:rsidP="00577413">
            <w:pPr>
              <w:keepNext/>
              <w:keepLines/>
              <w:jc w:val="center"/>
              <w:rPr>
                <w:kern w:val="24"/>
                <w:lang w:val="sr-Latn-RS"/>
              </w:rPr>
            </w:pPr>
            <w:r w:rsidRPr="008F1125">
              <w:rPr>
                <w:lang w:val="sr-Latn-RS" w:bidi="sr-Latn-RS"/>
              </w:rPr>
              <w:t>10 (11</w:t>
            </w:r>
            <w:r w:rsidR="00401182" w:rsidRPr="008F1125">
              <w:rPr>
                <w:lang w:val="sr-Latn-RS" w:bidi="sr-Latn-RS"/>
              </w:rPr>
              <w:t>,</w:t>
            </w:r>
            <w:r w:rsidRPr="008F1125">
              <w:rPr>
                <w:lang w:val="sr-Latn-RS" w:bidi="sr-Latn-RS"/>
              </w:rPr>
              <w:t>4%)</w:t>
            </w:r>
          </w:p>
          <w:p w14:paraId="1FB635D7" w14:textId="19EB714A" w:rsidR="00CC2596" w:rsidRPr="008F1125" w:rsidRDefault="00926926" w:rsidP="00577413">
            <w:pPr>
              <w:keepNext/>
              <w:keepLines/>
              <w:jc w:val="center"/>
              <w:rPr>
                <w:kern w:val="24"/>
                <w:lang w:val="sr-Latn-RS"/>
              </w:rPr>
            </w:pPr>
            <w:r w:rsidRPr="008F1125">
              <w:rPr>
                <w:lang w:val="sr-Latn-RS" w:bidi="sr-Latn-RS"/>
              </w:rPr>
              <w:t>19 (21</w:t>
            </w:r>
            <w:r w:rsidR="00401182" w:rsidRPr="008F1125">
              <w:rPr>
                <w:lang w:val="sr-Latn-RS" w:bidi="sr-Latn-RS"/>
              </w:rPr>
              <w:t>,</w:t>
            </w:r>
            <w:r w:rsidRPr="008F1125">
              <w:rPr>
                <w:lang w:val="sr-Latn-RS" w:bidi="sr-Latn-RS"/>
              </w:rPr>
              <w:t>6%)</w:t>
            </w:r>
          </w:p>
        </w:tc>
      </w:tr>
      <w:tr w:rsidR="00F51581" w:rsidRPr="008F1125" w14:paraId="1FB635E9" w14:textId="77777777" w:rsidTr="005C0AF0">
        <w:trPr>
          <w:trHeight w:val="1048"/>
          <w:jc w:val="center"/>
        </w:trPr>
        <w:tc>
          <w:tcPr>
            <w:tcW w:w="5133" w:type="dxa"/>
            <w:shd w:val="clear" w:color="auto" w:fill="auto"/>
          </w:tcPr>
          <w:p w14:paraId="1FB635D9" w14:textId="77777777" w:rsidR="00CC2596" w:rsidRPr="008F1125" w:rsidRDefault="00926926" w:rsidP="00577413">
            <w:pPr>
              <w:keepNext/>
              <w:keepLines/>
              <w:rPr>
                <w:b/>
                <w:szCs w:val="22"/>
                <w:lang w:val="sr-Latn-RS"/>
              </w:rPr>
            </w:pPr>
            <w:r w:rsidRPr="008F1125">
              <w:rPr>
                <w:b/>
                <w:lang w:val="sr-Latn-RS" w:bidi="sr-Latn-RS"/>
              </w:rPr>
              <w:t>Trajanje odgovora</w:t>
            </w:r>
            <w:r w:rsidRPr="008F1125">
              <w:rPr>
                <w:vertAlign w:val="superscript"/>
                <w:lang w:val="sr-Latn-RS" w:bidi="sr-Latn-RS"/>
              </w:rPr>
              <w:t>a</w:t>
            </w:r>
          </w:p>
          <w:p w14:paraId="1FB635DA" w14:textId="641EF887" w:rsidR="00CC2596" w:rsidRPr="008F1125" w:rsidRDefault="00926926" w:rsidP="00577413">
            <w:pPr>
              <w:keepNext/>
              <w:keepLines/>
              <w:rPr>
                <w:szCs w:val="22"/>
                <w:lang w:val="sr-Latn-RS"/>
              </w:rPr>
            </w:pPr>
            <w:r w:rsidRPr="008F1125">
              <w:rPr>
                <w:lang w:val="sr-Latn-RS" w:bidi="sr-Latn-RS"/>
              </w:rPr>
              <w:tab/>
              <w:t xml:space="preserve">Medijana, </w:t>
            </w:r>
            <w:r w:rsidR="00B27CC7" w:rsidRPr="008F1125">
              <w:rPr>
                <w:lang w:val="sr-Latn-RS" w:bidi="sr-Latn-RS"/>
              </w:rPr>
              <w:t>mjeseci</w:t>
            </w:r>
          </w:p>
          <w:p w14:paraId="1FB635DB" w14:textId="77777777" w:rsidR="00CC2596" w:rsidRPr="008F1125" w:rsidRDefault="00926926" w:rsidP="00577413">
            <w:pPr>
              <w:keepNext/>
              <w:keepLines/>
              <w:rPr>
                <w:szCs w:val="22"/>
                <w:lang w:val="sr-Latn-RS"/>
              </w:rPr>
            </w:pPr>
            <w:r w:rsidRPr="008F1125">
              <w:rPr>
                <w:lang w:val="sr-Latn-RS" w:bidi="sr-Latn-RS"/>
              </w:rPr>
              <w:tab/>
              <w:t>(95% CI)</w:t>
            </w:r>
          </w:p>
          <w:p w14:paraId="14E95A40" w14:textId="77777777" w:rsidR="00732B09" w:rsidRPr="008F1125" w:rsidRDefault="00926926" w:rsidP="00577413">
            <w:pPr>
              <w:keepNext/>
              <w:keepLines/>
              <w:rPr>
                <w:lang w:val="sr-Latn-RS" w:bidi="sr-Latn-RS"/>
              </w:rPr>
            </w:pPr>
            <w:r w:rsidRPr="008F1125">
              <w:rPr>
                <w:lang w:val="sr-Latn-RS" w:bidi="sr-Latn-RS"/>
              </w:rPr>
              <w:tab/>
            </w:r>
          </w:p>
          <w:p w14:paraId="1FB635DC" w14:textId="2A082111" w:rsidR="00CC2596" w:rsidRPr="008F1125" w:rsidRDefault="00926926" w:rsidP="00732B09">
            <w:pPr>
              <w:keepNext/>
              <w:keepLines/>
              <w:tabs>
                <w:tab w:val="clear" w:pos="567"/>
                <w:tab w:val="left" w:pos="650"/>
              </w:tabs>
              <w:ind w:left="83" w:firstLine="508"/>
              <w:rPr>
                <w:szCs w:val="22"/>
                <w:lang w:val="sr-Latn-RS"/>
              </w:rPr>
            </w:pPr>
            <w:r w:rsidRPr="008F1125">
              <w:rPr>
                <w:lang w:val="sr-Latn-RS" w:bidi="sr-Latn-RS"/>
              </w:rPr>
              <w:t>Minimum, maksimum (</w:t>
            </w:r>
            <w:r w:rsidR="00B27CC7" w:rsidRPr="008F1125">
              <w:rPr>
                <w:lang w:val="sr-Latn-RS" w:bidi="sr-Latn-RS"/>
              </w:rPr>
              <w:t>mjeseci</w:t>
            </w:r>
            <w:r w:rsidRPr="008F1125">
              <w:rPr>
                <w:lang w:val="sr-Latn-RS" w:bidi="sr-Latn-RS"/>
              </w:rPr>
              <w:t>)</w:t>
            </w:r>
          </w:p>
          <w:p w14:paraId="1FB635DD" w14:textId="4D391B47" w:rsidR="00CC2596" w:rsidRPr="008F1125" w:rsidRDefault="00926926" w:rsidP="00577413">
            <w:pPr>
              <w:keepNext/>
              <w:keepLines/>
              <w:rPr>
                <w:szCs w:val="22"/>
                <w:lang w:val="sr-Latn-RS"/>
              </w:rPr>
            </w:pPr>
            <w:r w:rsidRPr="008F1125">
              <w:rPr>
                <w:lang w:val="sr-Latn-RS" w:bidi="sr-Latn-RS"/>
              </w:rPr>
              <w:tab/>
              <w:t xml:space="preserve">≥ 6 </w:t>
            </w:r>
            <w:r w:rsidR="00B27CC7" w:rsidRPr="008F1125">
              <w:rPr>
                <w:lang w:val="sr-Latn-RS" w:bidi="sr-Latn-RS"/>
              </w:rPr>
              <w:t>mjeseci</w:t>
            </w:r>
            <w:r w:rsidRPr="008F1125">
              <w:rPr>
                <w:lang w:val="sr-Latn-RS" w:bidi="sr-Latn-RS"/>
              </w:rPr>
              <w:t xml:space="preserve"> prema K-M, (95% CI)</w:t>
            </w:r>
          </w:p>
          <w:p w14:paraId="1FB635DE" w14:textId="60D25F92" w:rsidR="00CC2596" w:rsidRPr="008F1125" w:rsidRDefault="00926926" w:rsidP="00577413">
            <w:pPr>
              <w:keepNext/>
              <w:keepLines/>
              <w:rPr>
                <w:szCs w:val="22"/>
                <w:lang w:val="sr-Latn-RS"/>
              </w:rPr>
            </w:pPr>
            <w:r w:rsidRPr="008F1125">
              <w:rPr>
                <w:lang w:val="sr-Latn-RS" w:bidi="sr-Latn-RS"/>
              </w:rPr>
              <w:tab/>
              <w:t xml:space="preserve">≥ 12 </w:t>
            </w:r>
            <w:r w:rsidR="00B27CC7" w:rsidRPr="008F1125">
              <w:rPr>
                <w:lang w:val="sr-Latn-RS" w:bidi="sr-Latn-RS"/>
              </w:rPr>
              <w:t>mjeseci</w:t>
            </w:r>
            <w:r w:rsidRPr="008F1125">
              <w:rPr>
                <w:lang w:val="sr-Latn-RS" w:bidi="sr-Latn-RS"/>
              </w:rPr>
              <w:t xml:space="preserve"> prema K-M, (95% CI)</w:t>
            </w:r>
          </w:p>
          <w:p w14:paraId="1FB635DF" w14:textId="56D3CF52" w:rsidR="00CC2596" w:rsidRPr="008F1125" w:rsidRDefault="00926926" w:rsidP="00577413">
            <w:pPr>
              <w:keepNext/>
              <w:keepLines/>
              <w:rPr>
                <w:szCs w:val="22"/>
                <w:lang w:val="sr-Latn-RS"/>
              </w:rPr>
            </w:pPr>
            <w:r w:rsidRPr="008F1125">
              <w:rPr>
                <w:lang w:val="sr-Latn-RS" w:bidi="sr-Latn-RS"/>
              </w:rPr>
              <w:tab/>
              <w:t>≥ 24 m</w:t>
            </w:r>
            <w:r w:rsidR="003C0701" w:rsidRPr="008F1125">
              <w:rPr>
                <w:lang w:val="sr-Latn-RS" w:bidi="sr-Latn-RS"/>
              </w:rPr>
              <w:t>j</w:t>
            </w:r>
            <w:r w:rsidRPr="008F1125">
              <w:rPr>
                <w:lang w:val="sr-Latn-RS" w:bidi="sr-Latn-RS"/>
              </w:rPr>
              <w:t>eseca prema K-M, (95% CI)</w:t>
            </w:r>
          </w:p>
          <w:p w14:paraId="1FB635E0" w14:textId="58160B9C" w:rsidR="00CC2596" w:rsidRPr="008F1125" w:rsidRDefault="00926926" w:rsidP="00577413">
            <w:pPr>
              <w:keepNext/>
              <w:keepLines/>
              <w:rPr>
                <w:b/>
                <w:szCs w:val="22"/>
                <w:lang w:val="sr-Latn-RS"/>
              </w:rPr>
            </w:pPr>
            <w:r w:rsidRPr="008F1125">
              <w:rPr>
                <w:lang w:val="sr-Latn-RS" w:bidi="sr-Latn-RS"/>
              </w:rPr>
              <w:tab/>
              <w:t xml:space="preserve">≥ 36 </w:t>
            </w:r>
            <w:r w:rsidR="00B27CC7" w:rsidRPr="008F1125">
              <w:rPr>
                <w:lang w:val="sr-Latn-RS" w:bidi="sr-Latn-RS"/>
              </w:rPr>
              <w:t>mjeseci</w:t>
            </w:r>
            <w:r w:rsidRPr="008F1125">
              <w:rPr>
                <w:lang w:val="sr-Latn-RS" w:bidi="sr-Latn-RS"/>
              </w:rPr>
              <w:t xml:space="preserve"> prema K-M, (95% CI)</w:t>
            </w:r>
          </w:p>
        </w:tc>
        <w:tc>
          <w:tcPr>
            <w:tcW w:w="2287" w:type="dxa"/>
            <w:shd w:val="clear" w:color="auto" w:fill="auto"/>
          </w:tcPr>
          <w:p w14:paraId="1FB635E1" w14:textId="77777777" w:rsidR="00CC2596" w:rsidRPr="008F1125" w:rsidRDefault="00CC2596" w:rsidP="00577413">
            <w:pPr>
              <w:keepNext/>
              <w:keepLines/>
              <w:jc w:val="center"/>
              <w:rPr>
                <w:szCs w:val="22"/>
                <w:lang w:val="sr-Latn-RS"/>
              </w:rPr>
            </w:pPr>
          </w:p>
          <w:p w14:paraId="1FB635E2" w14:textId="77777777" w:rsidR="00CC2596" w:rsidRPr="008F1125" w:rsidRDefault="00926926" w:rsidP="00577413">
            <w:pPr>
              <w:keepNext/>
              <w:keepLines/>
              <w:jc w:val="center"/>
              <w:rPr>
                <w:szCs w:val="22"/>
                <w:lang w:val="sr-Latn-RS"/>
              </w:rPr>
            </w:pPr>
            <w:r w:rsidRPr="008F1125">
              <w:rPr>
                <w:lang w:val="sr-Latn-RS" w:bidi="sr-Latn-RS"/>
              </w:rPr>
              <w:t>40,5</w:t>
            </w:r>
          </w:p>
          <w:p w14:paraId="1FB635E3" w14:textId="7865DA81" w:rsidR="00CC2596" w:rsidRPr="008F1125" w:rsidRDefault="00926926" w:rsidP="00577413">
            <w:pPr>
              <w:keepNext/>
              <w:keepLines/>
              <w:jc w:val="center"/>
              <w:rPr>
                <w:szCs w:val="22"/>
                <w:lang w:val="sr-Latn-RS"/>
              </w:rPr>
            </w:pPr>
            <w:r w:rsidRPr="008F1125">
              <w:rPr>
                <w:lang w:val="sr-Latn-RS" w:bidi="sr-Latn-RS"/>
              </w:rPr>
              <w:t>(18</w:t>
            </w:r>
            <w:r w:rsidR="00732B09" w:rsidRPr="008F1125">
              <w:rPr>
                <w:lang w:val="sr-Latn-RS" w:bidi="sr-Latn-RS"/>
              </w:rPr>
              <w:t>;</w:t>
            </w:r>
            <w:r w:rsidRPr="008F1125">
              <w:rPr>
                <w:lang w:val="sr-Latn-RS" w:bidi="sr-Latn-RS"/>
              </w:rPr>
              <w:t xml:space="preserve"> nije moglo da se </w:t>
            </w:r>
            <w:r w:rsidR="00E74CD9" w:rsidRPr="008F1125">
              <w:rPr>
                <w:lang w:val="sr-Latn-RS" w:bidi="sr-Latn-RS"/>
              </w:rPr>
              <w:t>proc</w:t>
            </w:r>
            <w:r w:rsidR="00401182" w:rsidRPr="008F1125">
              <w:rPr>
                <w:lang w:val="sr-Latn-RS" w:bidi="sr-Latn-RS"/>
              </w:rPr>
              <w:t>i</w:t>
            </w:r>
            <w:r w:rsidR="00E74CD9" w:rsidRPr="008F1125">
              <w:rPr>
                <w:lang w:val="sr-Latn-RS" w:bidi="sr-Latn-RS"/>
              </w:rPr>
              <w:t>jeni</w:t>
            </w:r>
            <w:r w:rsidRPr="008F1125">
              <w:rPr>
                <w:lang w:val="sr-Latn-RS" w:bidi="sr-Latn-RS"/>
              </w:rPr>
              <w:t>)</w:t>
            </w:r>
          </w:p>
          <w:p w14:paraId="1FB635E4" w14:textId="77777777" w:rsidR="00CC2596" w:rsidRPr="008F1125" w:rsidRDefault="00926926" w:rsidP="00577413">
            <w:pPr>
              <w:keepNext/>
              <w:keepLines/>
              <w:jc w:val="center"/>
              <w:rPr>
                <w:szCs w:val="22"/>
                <w:lang w:val="sr-Latn-RS"/>
              </w:rPr>
            </w:pPr>
            <w:r w:rsidRPr="008F1125">
              <w:rPr>
                <w:lang w:val="sr-Latn-RS" w:bidi="sr-Latn-RS"/>
              </w:rPr>
              <w:t>2,8; 41,5+</w:t>
            </w:r>
          </w:p>
          <w:p w14:paraId="1FB635E5" w14:textId="767C70A9" w:rsidR="00CC2596" w:rsidRPr="008F1125" w:rsidRDefault="00926926" w:rsidP="00577413">
            <w:pPr>
              <w:keepNext/>
              <w:keepLines/>
              <w:jc w:val="center"/>
              <w:rPr>
                <w:szCs w:val="22"/>
                <w:lang w:val="sr-Latn-RS"/>
              </w:rPr>
            </w:pPr>
            <w:r w:rsidRPr="008F1125">
              <w:rPr>
                <w:lang w:val="sr-Latn-RS" w:bidi="sr-Latn-RS"/>
              </w:rPr>
              <w:t>93% (75, 98)</w:t>
            </w:r>
          </w:p>
          <w:p w14:paraId="1FB635E6" w14:textId="77777777" w:rsidR="00CC2596" w:rsidRPr="008F1125" w:rsidRDefault="00926926" w:rsidP="00577413">
            <w:pPr>
              <w:keepNext/>
              <w:keepLines/>
              <w:jc w:val="center"/>
              <w:rPr>
                <w:szCs w:val="22"/>
                <w:lang w:val="sr-Latn-RS"/>
              </w:rPr>
            </w:pPr>
            <w:r w:rsidRPr="008F1125">
              <w:rPr>
                <w:lang w:val="sr-Latn-RS" w:bidi="sr-Latn-RS"/>
              </w:rPr>
              <w:t>71% (51, 85)</w:t>
            </w:r>
          </w:p>
          <w:p w14:paraId="1FB635E7" w14:textId="77777777" w:rsidR="00CC2596" w:rsidRPr="008F1125" w:rsidRDefault="00926926" w:rsidP="00577413">
            <w:pPr>
              <w:keepNext/>
              <w:keepLines/>
              <w:jc w:val="center"/>
              <w:rPr>
                <w:szCs w:val="22"/>
                <w:lang w:val="sr-Latn-RS"/>
              </w:rPr>
            </w:pPr>
            <w:r w:rsidRPr="008F1125">
              <w:rPr>
                <w:lang w:val="sr-Latn-RS" w:bidi="sr-Latn-RS"/>
              </w:rPr>
              <w:t>67% (47, 82)</w:t>
            </w:r>
          </w:p>
          <w:p w14:paraId="1FB635E8" w14:textId="77777777" w:rsidR="00CC2596" w:rsidRPr="008F1125" w:rsidRDefault="00926926" w:rsidP="00577413">
            <w:pPr>
              <w:keepNext/>
              <w:keepLines/>
              <w:jc w:val="center"/>
              <w:rPr>
                <w:szCs w:val="22"/>
                <w:lang w:val="sr-Latn-RS"/>
              </w:rPr>
            </w:pPr>
            <w:r w:rsidRPr="008F1125">
              <w:rPr>
                <w:lang w:val="sr-Latn-RS" w:bidi="sr-Latn-RS"/>
              </w:rPr>
              <w:t>52% (26, 73)</w:t>
            </w:r>
          </w:p>
        </w:tc>
      </w:tr>
      <w:tr w:rsidR="00F51581" w:rsidRPr="008F1125" w14:paraId="1FB635F8" w14:textId="77777777" w:rsidTr="005C0AF0">
        <w:trPr>
          <w:trHeight w:val="641"/>
          <w:jc w:val="center"/>
        </w:trPr>
        <w:tc>
          <w:tcPr>
            <w:tcW w:w="5133" w:type="dxa"/>
            <w:shd w:val="clear" w:color="auto" w:fill="auto"/>
          </w:tcPr>
          <w:p w14:paraId="1FB635EA" w14:textId="77777777" w:rsidR="00CC2596" w:rsidRPr="008F1125" w:rsidRDefault="00926926" w:rsidP="00577413">
            <w:pPr>
              <w:keepNext/>
              <w:keepLines/>
              <w:rPr>
                <w:b/>
                <w:szCs w:val="22"/>
                <w:lang w:val="sr-Latn-RS" w:eastAsia="ja-JP"/>
              </w:rPr>
            </w:pPr>
            <w:r w:rsidRPr="008F1125">
              <w:rPr>
                <w:b/>
                <w:lang w:val="sr-Latn-RS" w:bidi="sr-Latn-RS"/>
              </w:rPr>
              <w:t>Preživljavanje bez progresije bolesti (PFS)</w:t>
            </w:r>
          </w:p>
          <w:p w14:paraId="1FB635EB" w14:textId="1EFAEF85" w:rsidR="00CC2596" w:rsidRPr="008F1125" w:rsidRDefault="00926926" w:rsidP="00577413">
            <w:pPr>
              <w:keepNext/>
              <w:keepLines/>
              <w:rPr>
                <w:szCs w:val="22"/>
                <w:lang w:val="sr-Latn-RS" w:eastAsia="ja-JP"/>
              </w:rPr>
            </w:pPr>
            <w:r w:rsidRPr="008F1125">
              <w:rPr>
                <w:lang w:val="sr-Latn-RS" w:bidi="sr-Latn-RS"/>
              </w:rPr>
              <w:tab/>
              <w:t xml:space="preserve">Medijana PFS, </w:t>
            </w:r>
            <w:r w:rsidR="00B27CC7" w:rsidRPr="008F1125">
              <w:rPr>
                <w:lang w:val="sr-Latn-RS" w:bidi="sr-Latn-RS"/>
              </w:rPr>
              <w:t>mjeseci</w:t>
            </w:r>
          </w:p>
          <w:p w14:paraId="1FB635EC" w14:textId="77777777" w:rsidR="00CC2596" w:rsidRPr="008F1125" w:rsidRDefault="00926926" w:rsidP="00577413">
            <w:pPr>
              <w:keepNext/>
              <w:keepLines/>
              <w:rPr>
                <w:szCs w:val="22"/>
                <w:lang w:val="sr-Latn-RS" w:eastAsia="ja-JP"/>
              </w:rPr>
            </w:pPr>
            <w:r w:rsidRPr="008F1125">
              <w:rPr>
                <w:lang w:val="sr-Latn-RS" w:bidi="sr-Latn-RS"/>
              </w:rPr>
              <w:tab/>
              <w:t>(95% CI)</w:t>
            </w:r>
          </w:p>
          <w:p w14:paraId="1FB635ED" w14:textId="0EAA5078" w:rsidR="00CC2596" w:rsidRPr="008F1125" w:rsidRDefault="00926926" w:rsidP="00577413">
            <w:pPr>
              <w:keepNext/>
              <w:keepLines/>
              <w:rPr>
                <w:szCs w:val="22"/>
                <w:lang w:val="sr-Latn-RS" w:eastAsia="ja-JP"/>
              </w:rPr>
            </w:pPr>
            <w:r w:rsidRPr="008F1125">
              <w:rPr>
                <w:lang w:val="sr-Latn-RS" w:bidi="sr-Latn-RS"/>
              </w:rPr>
              <w:tab/>
              <w:t>6-</w:t>
            </w:r>
            <w:r w:rsidR="00B27CC7" w:rsidRPr="008F1125">
              <w:rPr>
                <w:lang w:val="sr-Latn-RS" w:bidi="sr-Latn-RS"/>
              </w:rPr>
              <w:t>mjesečna</w:t>
            </w:r>
            <w:r w:rsidRPr="008F1125">
              <w:rPr>
                <w:lang w:val="sr-Latn-RS" w:bidi="sr-Latn-RS"/>
              </w:rPr>
              <w:t xml:space="preserve"> stopa PFS-a prema K-M, (95% CI)</w:t>
            </w:r>
          </w:p>
          <w:p w14:paraId="1FB635EE" w14:textId="761FCE61" w:rsidR="00CC2596" w:rsidRPr="008F1125" w:rsidRDefault="00926926" w:rsidP="00577413">
            <w:pPr>
              <w:keepNext/>
              <w:keepLines/>
              <w:rPr>
                <w:szCs w:val="22"/>
                <w:lang w:val="sr-Latn-RS" w:eastAsia="ja-JP"/>
              </w:rPr>
            </w:pPr>
            <w:r w:rsidRPr="008F1125">
              <w:rPr>
                <w:lang w:val="sr-Latn-RS" w:bidi="sr-Latn-RS"/>
              </w:rPr>
              <w:tab/>
              <w:t>12-</w:t>
            </w:r>
            <w:r w:rsidR="00B27CC7" w:rsidRPr="008F1125">
              <w:rPr>
                <w:lang w:val="sr-Latn-RS" w:bidi="sr-Latn-RS"/>
              </w:rPr>
              <w:t>mjesečna</w:t>
            </w:r>
            <w:r w:rsidRPr="008F1125">
              <w:rPr>
                <w:lang w:val="sr-Latn-RS" w:bidi="sr-Latn-RS"/>
              </w:rPr>
              <w:t xml:space="preserve"> stopa PFS-a prema K-M, (95% CI)</w:t>
            </w:r>
          </w:p>
          <w:p w14:paraId="1FB635EF" w14:textId="72DA2DF4" w:rsidR="00CC2596" w:rsidRPr="008F1125" w:rsidRDefault="00926926" w:rsidP="00577413">
            <w:pPr>
              <w:keepNext/>
              <w:keepLines/>
              <w:rPr>
                <w:szCs w:val="22"/>
                <w:lang w:val="sr-Latn-RS" w:eastAsia="ja-JP"/>
              </w:rPr>
            </w:pPr>
            <w:r w:rsidRPr="008F1125">
              <w:rPr>
                <w:lang w:val="sr-Latn-RS" w:bidi="sr-Latn-RS"/>
              </w:rPr>
              <w:tab/>
              <w:t>24-</w:t>
            </w:r>
            <w:r w:rsidR="00B27CC7" w:rsidRPr="008F1125">
              <w:rPr>
                <w:lang w:val="sr-Latn-RS" w:bidi="sr-Latn-RS"/>
              </w:rPr>
              <w:t>mjesečna</w:t>
            </w:r>
            <w:r w:rsidRPr="008F1125">
              <w:rPr>
                <w:lang w:val="sr-Latn-RS" w:bidi="sr-Latn-RS"/>
              </w:rPr>
              <w:t xml:space="preserve"> stopa PFS-a prema K-M, (95% CI)</w:t>
            </w:r>
          </w:p>
          <w:p w14:paraId="1FB635F0" w14:textId="2C2BA899" w:rsidR="00CC2596" w:rsidRPr="008F1125" w:rsidRDefault="00926926" w:rsidP="00577413">
            <w:pPr>
              <w:keepNext/>
              <w:keepLines/>
              <w:rPr>
                <w:szCs w:val="22"/>
                <w:lang w:val="sr-Latn-RS"/>
              </w:rPr>
            </w:pPr>
            <w:r w:rsidRPr="008F1125">
              <w:rPr>
                <w:lang w:val="sr-Latn-RS" w:bidi="sr-Latn-RS"/>
              </w:rPr>
              <w:tab/>
              <w:t>36-</w:t>
            </w:r>
            <w:r w:rsidR="00B27CC7" w:rsidRPr="008F1125">
              <w:rPr>
                <w:lang w:val="sr-Latn-RS" w:bidi="sr-Latn-RS"/>
              </w:rPr>
              <w:t>mjesečna</w:t>
            </w:r>
            <w:r w:rsidRPr="008F1125">
              <w:rPr>
                <w:lang w:val="sr-Latn-RS" w:bidi="sr-Latn-RS"/>
              </w:rPr>
              <w:t xml:space="preserve"> stopa PFS-a prema K-M, (95% CI)</w:t>
            </w:r>
          </w:p>
        </w:tc>
        <w:tc>
          <w:tcPr>
            <w:tcW w:w="2287" w:type="dxa"/>
            <w:shd w:val="clear" w:color="auto" w:fill="auto"/>
          </w:tcPr>
          <w:p w14:paraId="1FB635F1" w14:textId="77777777" w:rsidR="00CC2596" w:rsidRPr="008F1125" w:rsidRDefault="00CC2596" w:rsidP="00577413">
            <w:pPr>
              <w:keepNext/>
              <w:keepLines/>
              <w:jc w:val="center"/>
              <w:rPr>
                <w:szCs w:val="22"/>
                <w:lang w:val="sr-Latn-RS" w:eastAsia="ja-JP"/>
              </w:rPr>
            </w:pPr>
          </w:p>
          <w:p w14:paraId="1FB635F2" w14:textId="77777777" w:rsidR="00CC2596" w:rsidRPr="008F1125" w:rsidRDefault="00926926" w:rsidP="00577413">
            <w:pPr>
              <w:keepNext/>
              <w:keepLines/>
              <w:jc w:val="center"/>
              <w:rPr>
                <w:szCs w:val="22"/>
                <w:lang w:val="sr-Latn-RS" w:eastAsia="ja-JP"/>
              </w:rPr>
            </w:pPr>
            <w:r w:rsidRPr="008F1125">
              <w:rPr>
                <w:lang w:val="sr-Latn-RS" w:bidi="sr-Latn-RS"/>
              </w:rPr>
              <w:t>2,7</w:t>
            </w:r>
          </w:p>
          <w:p w14:paraId="1FB635F3" w14:textId="77777777" w:rsidR="00CC2596" w:rsidRPr="008F1125" w:rsidRDefault="00926926" w:rsidP="00577413">
            <w:pPr>
              <w:keepNext/>
              <w:keepLines/>
              <w:jc w:val="center"/>
              <w:rPr>
                <w:szCs w:val="22"/>
                <w:lang w:val="sr-Latn-RS" w:eastAsia="ja-JP"/>
              </w:rPr>
            </w:pPr>
            <w:r w:rsidRPr="008F1125">
              <w:rPr>
                <w:lang w:val="sr-Latn-RS" w:bidi="sr-Latn-RS"/>
              </w:rPr>
              <w:t>(1,4; 6,9)</w:t>
            </w:r>
          </w:p>
          <w:p w14:paraId="1FB635F4" w14:textId="77777777" w:rsidR="00CC2596" w:rsidRPr="008F1125" w:rsidRDefault="00926926" w:rsidP="00577413">
            <w:pPr>
              <w:keepNext/>
              <w:keepLines/>
              <w:jc w:val="center"/>
              <w:rPr>
                <w:szCs w:val="22"/>
                <w:lang w:val="sr-Latn-RS" w:eastAsia="ja-JP"/>
              </w:rPr>
            </w:pPr>
            <w:r w:rsidRPr="008F1125">
              <w:rPr>
                <w:lang w:val="sr-Latn-RS" w:bidi="sr-Latn-RS"/>
              </w:rPr>
              <w:t>40% (29, 50)</w:t>
            </w:r>
          </w:p>
          <w:p w14:paraId="1FB635F5" w14:textId="77777777" w:rsidR="00CC2596" w:rsidRPr="008F1125" w:rsidRDefault="00926926" w:rsidP="00577413">
            <w:pPr>
              <w:keepNext/>
              <w:keepLines/>
              <w:jc w:val="center"/>
              <w:rPr>
                <w:szCs w:val="22"/>
                <w:lang w:val="sr-Latn-RS" w:eastAsia="ja-JP"/>
              </w:rPr>
            </w:pPr>
            <w:r w:rsidRPr="008F1125">
              <w:rPr>
                <w:lang w:val="sr-Latn-RS" w:bidi="sr-Latn-RS"/>
              </w:rPr>
              <w:t>29% (19, 39)</w:t>
            </w:r>
          </w:p>
          <w:p w14:paraId="1FB635F6" w14:textId="77777777" w:rsidR="00CC2596" w:rsidRPr="008F1125" w:rsidRDefault="00926926" w:rsidP="00577413">
            <w:pPr>
              <w:keepNext/>
              <w:keepLines/>
              <w:jc w:val="center"/>
              <w:rPr>
                <w:szCs w:val="22"/>
                <w:lang w:val="sr-Latn-RS" w:eastAsia="ja-JP"/>
              </w:rPr>
            </w:pPr>
            <w:r w:rsidRPr="008F1125">
              <w:rPr>
                <w:lang w:val="sr-Latn-RS" w:bidi="sr-Latn-RS"/>
              </w:rPr>
              <w:t>26% (17, 36)</w:t>
            </w:r>
          </w:p>
          <w:p w14:paraId="1FB635F7" w14:textId="77777777" w:rsidR="00CC2596" w:rsidRPr="008F1125" w:rsidRDefault="00926926" w:rsidP="00577413">
            <w:pPr>
              <w:keepNext/>
              <w:keepLines/>
              <w:jc w:val="center"/>
              <w:rPr>
                <w:szCs w:val="22"/>
                <w:lang w:val="sr-Latn-RS" w:eastAsia="ja-JP"/>
              </w:rPr>
            </w:pPr>
            <w:r w:rsidRPr="008F1125">
              <w:rPr>
                <w:lang w:val="sr-Latn-RS" w:bidi="sr-Latn-RS"/>
              </w:rPr>
              <w:t>21% (12, 32)</w:t>
            </w:r>
          </w:p>
        </w:tc>
      </w:tr>
    </w:tbl>
    <w:p w14:paraId="1FB635F9" w14:textId="4B936E93" w:rsidR="00CC2596" w:rsidRPr="008F1125" w:rsidRDefault="00926926" w:rsidP="00401182">
      <w:pPr>
        <w:keepLines/>
        <w:tabs>
          <w:tab w:val="clear" w:pos="567"/>
        </w:tabs>
        <w:ind w:left="851" w:right="849"/>
        <w:jc w:val="both"/>
        <w:rPr>
          <w:sz w:val="20"/>
          <w:lang w:val="sr-Latn-RS"/>
        </w:rPr>
      </w:pPr>
      <w:r w:rsidRPr="008F1125">
        <w:rPr>
          <w:sz w:val="20"/>
          <w:lang w:val="sr-Latn-RS" w:bidi="sr-Latn-RS"/>
        </w:rPr>
        <w:t>CI: interval pouzdanosti; RECIST: Kriterijumi za oc</w:t>
      </w:r>
      <w:r w:rsidR="003C0701" w:rsidRPr="008F1125">
        <w:rPr>
          <w:sz w:val="20"/>
          <w:lang w:val="sr-Latn-RS" w:bidi="sr-Latn-RS"/>
        </w:rPr>
        <w:t>j</w:t>
      </w:r>
      <w:r w:rsidRPr="008F1125">
        <w:rPr>
          <w:sz w:val="20"/>
          <w:lang w:val="sr-Latn-RS" w:bidi="sr-Latn-RS"/>
        </w:rPr>
        <w:t xml:space="preserve">enu odgovora kod solidnih tumora (eng. </w:t>
      </w:r>
      <w:r w:rsidRPr="008F1125">
        <w:rPr>
          <w:i/>
          <w:sz w:val="20"/>
          <w:lang w:val="sr-Latn-RS" w:bidi="sr-Latn-RS"/>
        </w:rPr>
        <w:t>Response Evaluation Criteria in Solid Tumours</w:t>
      </w:r>
      <w:r w:rsidRPr="008F1125">
        <w:rPr>
          <w:sz w:val="20"/>
          <w:lang w:val="sr-Latn-RS" w:bidi="sr-Latn-RS"/>
        </w:rPr>
        <w:t xml:space="preserve">); IERC: Odbor za nezavisnu </w:t>
      </w:r>
      <w:r w:rsidR="0063413D" w:rsidRPr="008F1125">
        <w:rPr>
          <w:sz w:val="20"/>
          <w:lang w:val="sr-Latn-RS" w:bidi="sr-Latn-RS"/>
        </w:rPr>
        <w:t>procjenu</w:t>
      </w:r>
      <w:r w:rsidRPr="008F1125">
        <w:rPr>
          <w:sz w:val="20"/>
          <w:lang w:val="sr-Latn-RS" w:bidi="sr-Latn-RS"/>
        </w:rPr>
        <w:t xml:space="preserve"> ishoda (eng. </w:t>
      </w:r>
      <w:r w:rsidRPr="008F1125">
        <w:rPr>
          <w:i/>
          <w:sz w:val="20"/>
          <w:lang w:val="sr-Latn-RS" w:bidi="sr-Latn-RS"/>
        </w:rPr>
        <w:t>Independent Endpoint Review Committee</w:t>
      </w:r>
      <w:r w:rsidRPr="008F1125">
        <w:rPr>
          <w:sz w:val="20"/>
          <w:lang w:val="sr-Latn-RS" w:bidi="sr-Latn-RS"/>
        </w:rPr>
        <w:t>, IERC); K-M: Kaplan-Meier; +</w:t>
      </w:r>
      <w:r w:rsidR="00401182" w:rsidRPr="008F1125">
        <w:rPr>
          <w:sz w:val="20"/>
          <w:lang w:val="sr-Latn-RS" w:bidi="sr-Latn-RS"/>
        </w:rPr>
        <w:t xml:space="preserve"> </w:t>
      </w:r>
      <w:r w:rsidRPr="008F1125">
        <w:rPr>
          <w:sz w:val="20"/>
          <w:lang w:val="sr-Latn-RS" w:bidi="sr-Latn-RS"/>
        </w:rPr>
        <w:t>označava cenzurisanu vr</w:t>
      </w:r>
      <w:r w:rsidR="003C0701" w:rsidRPr="008F1125">
        <w:rPr>
          <w:sz w:val="20"/>
          <w:lang w:val="sr-Latn-RS" w:bidi="sr-Latn-RS"/>
        </w:rPr>
        <w:t>ij</w:t>
      </w:r>
      <w:r w:rsidRPr="008F1125">
        <w:rPr>
          <w:sz w:val="20"/>
          <w:lang w:val="sr-Latn-RS" w:bidi="sr-Latn-RS"/>
        </w:rPr>
        <w:t>ednost</w:t>
      </w:r>
    </w:p>
    <w:p w14:paraId="1FB635FA" w14:textId="71814024" w:rsidR="00CC2596" w:rsidRPr="008F1125" w:rsidRDefault="00926926" w:rsidP="00401182">
      <w:pPr>
        <w:keepNext/>
        <w:tabs>
          <w:tab w:val="clear" w:pos="567"/>
        </w:tabs>
        <w:autoSpaceDE w:val="0"/>
        <w:autoSpaceDN w:val="0"/>
        <w:adjustRightInd w:val="0"/>
        <w:ind w:left="851" w:right="849"/>
        <w:jc w:val="both"/>
        <w:rPr>
          <w:sz w:val="20"/>
          <w:lang w:val="sr-Latn-RS"/>
        </w:rPr>
      </w:pPr>
      <w:r w:rsidRPr="008F1125">
        <w:rPr>
          <w:sz w:val="20"/>
          <w:lang w:val="sr-Latn-RS" w:bidi="sr-Latn-RS"/>
        </w:rPr>
        <w:t xml:space="preserve">*Podaci o efikasnosti za minimalno trajanje praćenja od 36 </w:t>
      </w:r>
      <w:r w:rsidR="00B27CC7" w:rsidRPr="008F1125">
        <w:rPr>
          <w:sz w:val="20"/>
          <w:lang w:val="sr-Latn-RS" w:bidi="sr-Latn-RS"/>
        </w:rPr>
        <w:t>mjeseci</w:t>
      </w:r>
      <w:r w:rsidRPr="008F1125">
        <w:rPr>
          <w:sz w:val="20"/>
          <w:lang w:val="sr-Latn-RS" w:bidi="sr-Latn-RS"/>
        </w:rPr>
        <w:t xml:space="preserve"> (uključeni podaci prikupljeni do 14.9.2018.</w:t>
      </w:r>
      <w:r w:rsidR="00AA7648" w:rsidRPr="008F1125">
        <w:rPr>
          <w:sz w:val="20"/>
          <w:lang w:val="sr-Latn-RS" w:bidi="sr-Latn-RS"/>
        </w:rPr>
        <w:t xml:space="preserve"> </w:t>
      </w:r>
      <w:r w:rsidRPr="008F1125">
        <w:rPr>
          <w:sz w:val="20"/>
          <w:lang w:val="sr-Latn-RS" w:bidi="sr-Latn-RS"/>
        </w:rPr>
        <w:t>god</w:t>
      </w:r>
      <w:r w:rsidR="00401182" w:rsidRPr="008F1125">
        <w:rPr>
          <w:sz w:val="20"/>
          <w:lang w:val="sr-Latn-RS" w:bidi="sr-Latn-RS"/>
        </w:rPr>
        <w:t>ine</w:t>
      </w:r>
      <w:r w:rsidRPr="008F1125">
        <w:rPr>
          <w:sz w:val="20"/>
          <w:lang w:val="sr-Latn-RS" w:bidi="sr-Latn-RS"/>
        </w:rPr>
        <w:t>)</w:t>
      </w:r>
    </w:p>
    <w:p w14:paraId="1FB635FB" w14:textId="6DE7DCFA" w:rsidR="00CC2596" w:rsidRPr="008F1125" w:rsidRDefault="00926926" w:rsidP="00401182">
      <w:pPr>
        <w:keepNext/>
        <w:tabs>
          <w:tab w:val="clear" w:pos="567"/>
        </w:tabs>
        <w:autoSpaceDE w:val="0"/>
        <w:autoSpaceDN w:val="0"/>
        <w:adjustRightInd w:val="0"/>
        <w:ind w:left="851" w:right="849"/>
        <w:jc w:val="both"/>
        <w:rPr>
          <w:rFonts w:eastAsia="SimSun"/>
          <w:spacing w:val="-1"/>
          <w:sz w:val="20"/>
          <w:lang w:val="sr-Latn-RS" w:eastAsia="en-GB"/>
        </w:rPr>
      </w:pPr>
      <w:r w:rsidRPr="008F1125">
        <w:rPr>
          <w:spacing w:val="-1"/>
          <w:sz w:val="20"/>
          <w:lang w:val="sr-Latn-RS" w:bidi="sr-Latn-RS"/>
        </w:rPr>
        <w:t>** CR ili PR bili su potvrđeni na kasnijoj proc</w:t>
      </w:r>
      <w:r w:rsidR="00515B67" w:rsidRPr="008F1125">
        <w:rPr>
          <w:spacing w:val="-1"/>
          <w:sz w:val="20"/>
          <w:lang w:val="sr-Latn-RS" w:bidi="sr-Latn-RS"/>
        </w:rPr>
        <w:t>j</w:t>
      </w:r>
      <w:r w:rsidRPr="008F1125">
        <w:rPr>
          <w:spacing w:val="-1"/>
          <w:sz w:val="20"/>
          <w:lang w:val="sr-Latn-RS" w:bidi="sr-Latn-RS"/>
        </w:rPr>
        <w:t>eni tumora</w:t>
      </w:r>
    </w:p>
    <w:p w14:paraId="1FB635FC" w14:textId="77777777" w:rsidR="00CC2596" w:rsidRPr="008F1125" w:rsidRDefault="00926926" w:rsidP="00401182">
      <w:pPr>
        <w:tabs>
          <w:tab w:val="clear" w:pos="567"/>
        </w:tabs>
        <w:autoSpaceDE w:val="0"/>
        <w:autoSpaceDN w:val="0"/>
        <w:adjustRightInd w:val="0"/>
        <w:ind w:right="849" w:firstLine="851"/>
        <w:jc w:val="both"/>
        <w:rPr>
          <w:sz w:val="20"/>
          <w:lang w:val="sr-Latn-RS"/>
        </w:rPr>
      </w:pPr>
      <w:r w:rsidRPr="008F1125">
        <w:rPr>
          <w:sz w:val="20"/>
          <w:vertAlign w:val="superscript"/>
          <w:lang w:val="sr-Latn-RS" w:bidi="sr-Latn-RS"/>
        </w:rPr>
        <w:t>a</w:t>
      </w:r>
      <w:r w:rsidRPr="008F1125">
        <w:rPr>
          <w:sz w:val="20"/>
          <w:lang w:val="sr-Latn-RS" w:bidi="sr-Latn-RS"/>
        </w:rPr>
        <w:t xml:space="preserve"> Na osnovu broja pacijenata sa potvrđenim odgovorom (CR ili PR)</w:t>
      </w:r>
    </w:p>
    <w:p w14:paraId="1FB635FD" w14:textId="77777777" w:rsidR="00CC2596" w:rsidRPr="008F1125" w:rsidRDefault="00CC2596" w:rsidP="00577413">
      <w:pPr>
        <w:rPr>
          <w:szCs w:val="22"/>
          <w:lang w:val="sr-Latn-RS"/>
        </w:rPr>
      </w:pPr>
    </w:p>
    <w:p w14:paraId="1FB635FE" w14:textId="2171AE19" w:rsidR="000569A6" w:rsidRPr="008F1125" w:rsidRDefault="00926926" w:rsidP="00401182">
      <w:pPr>
        <w:jc w:val="both"/>
        <w:rPr>
          <w:rFonts w:eastAsia="SimSun"/>
          <w:spacing w:val="-1"/>
          <w:szCs w:val="22"/>
          <w:lang w:val="sr-Latn-RS" w:eastAsia="en-GB"/>
        </w:rPr>
      </w:pPr>
      <w:r w:rsidRPr="008F1125">
        <w:rPr>
          <w:spacing w:val="-1"/>
          <w:lang w:val="sr-Latn-RS" w:bidi="sr-Latn-RS"/>
        </w:rPr>
        <w:t>Medijana vremena do odgovora iznosila je 6 ned</w:t>
      </w:r>
      <w:r w:rsidR="003C0701" w:rsidRPr="008F1125">
        <w:rPr>
          <w:spacing w:val="-1"/>
          <w:lang w:val="sr-Latn-RS" w:bidi="sr-Latn-RS"/>
        </w:rPr>
        <w:t>j</w:t>
      </w:r>
      <w:r w:rsidRPr="008F1125">
        <w:rPr>
          <w:spacing w:val="-1"/>
          <w:lang w:val="sr-Latn-RS" w:bidi="sr-Latn-RS"/>
        </w:rPr>
        <w:t>elja (raspon: od 6 ned</w:t>
      </w:r>
      <w:r w:rsidR="006372AD">
        <w:rPr>
          <w:spacing w:val="-1"/>
          <w:lang w:val="sr-Latn-RS" w:bidi="sr-Latn-RS"/>
        </w:rPr>
        <w:t>j</w:t>
      </w:r>
      <w:r w:rsidRPr="008F1125">
        <w:rPr>
          <w:spacing w:val="-1"/>
          <w:lang w:val="sr-Latn-RS" w:bidi="sr-Latn-RS"/>
        </w:rPr>
        <w:t>elja do 36 ned</w:t>
      </w:r>
      <w:r w:rsidR="003C0701" w:rsidRPr="008F1125">
        <w:rPr>
          <w:spacing w:val="-1"/>
          <w:lang w:val="sr-Latn-RS" w:bidi="sr-Latn-RS"/>
        </w:rPr>
        <w:t>j</w:t>
      </w:r>
      <w:r w:rsidRPr="008F1125">
        <w:rPr>
          <w:spacing w:val="-1"/>
          <w:lang w:val="sr-Latn-RS" w:bidi="sr-Latn-RS"/>
        </w:rPr>
        <w:t>elja) nakon prve doze avelumaba. Dvadeset i dvoje od 29 (76%) pacijenata sa odgovorom odgovorilo je u periodu od 7 ned</w:t>
      </w:r>
      <w:r w:rsidR="003C0701" w:rsidRPr="008F1125">
        <w:rPr>
          <w:spacing w:val="-1"/>
          <w:lang w:val="sr-Latn-RS" w:bidi="sr-Latn-RS"/>
        </w:rPr>
        <w:t>j</w:t>
      </w:r>
      <w:r w:rsidRPr="008F1125">
        <w:rPr>
          <w:spacing w:val="-1"/>
          <w:lang w:val="sr-Latn-RS" w:bidi="sr-Latn-RS"/>
        </w:rPr>
        <w:t>elja posl</w:t>
      </w:r>
      <w:r w:rsidR="00401182" w:rsidRPr="008F1125">
        <w:rPr>
          <w:spacing w:val="-1"/>
          <w:lang w:val="sr-Latn-RS" w:bidi="sr-Latn-RS"/>
        </w:rPr>
        <w:t>ij</w:t>
      </w:r>
      <w:r w:rsidRPr="008F1125">
        <w:rPr>
          <w:spacing w:val="-1"/>
          <w:lang w:val="sr-Latn-RS" w:bidi="sr-Latn-RS"/>
        </w:rPr>
        <w:t>e prve doze avelumaba.</w:t>
      </w:r>
    </w:p>
    <w:p w14:paraId="1FB635FF" w14:textId="77777777" w:rsidR="000569A6" w:rsidRPr="008F1125" w:rsidRDefault="000569A6" w:rsidP="00401182">
      <w:pPr>
        <w:jc w:val="both"/>
        <w:rPr>
          <w:szCs w:val="22"/>
          <w:lang w:val="sr-Latn-RS"/>
        </w:rPr>
      </w:pPr>
    </w:p>
    <w:p w14:paraId="1FB63600" w14:textId="1F7129E6" w:rsidR="000569A6" w:rsidRPr="008F1125" w:rsidRDefault="00926926" w:rsidP="00401182">
      <w:pPr>
        <w:jc w:val="both"/>
        <w:rPr>
          <w:szCs w:val="22"/>
          <w:lang w:val="sr-Latn-RS"/>
        </w:rPr>
      </w:pPr>
      <w:r w:rsidRPr="008F1125">
        <w:rPr>
          <w:i/>
          <w:lang w:val="sr-Latn-RS" w:bidi="sr-Latn-RS"/>
        </w:rPr>
        <w:t>Kaplan-Meier</w:t>
      </w:r>
      <w:r w:rsidRPr="008F1125">
        <w:rPr>
          <w:lang w:val="sr-Latn-RS" w:bidi="sr-Latn-RS"/>
        </w:rPr>
        <w:t xml:space="preserve">-ova </w:t>
      </w:r>
      <w:r w:rsidR="003B62B9" w:rsidRPr="008F1125">
        <w:rPr>
          <w:lang w:val="sr-Latn-RS" w:bidi="sr-Latn-RS"/>
        </w:rPr>
        <w:t>proc</w:t>
      </w:r>
      <w:r w:rsidR="0060293D" w:rsidRPr="008F1125">
        <w:rPr>
          <w:lang w:val="sr-Latn-RS" w:bidi="sr-Latn-RS"/>
        </w:rPr>
        <w:t>j</w:t>
      </w:r>
      <w:r w:rsidR="003B62B9" w:rsidRPr="008F1125">
        <w:rPr>
          <w:lang w:val="sr-Latn-RS" w:bidi="sr-Latn-RS"/>
        </w:rPr>
        <w:t>ena</w:t>
      </w:r>
      <w:r w:rsidRPr="008F1125">
        <w:rPr>
          <w:lang w:val="sr-Latn-RS" w:bidi="sr-Latn-RS"/>
        </w:rPr>
        <w:t xml:space="preserve"> preživljavanja bez progresije bolesti </w:t>
      </w:r>
      <w:r w:rsidR="0060293D" w:rsidRPr="008F1125">
        <w:rPr>
          <w:lang w:val="sr-Latn-RS" w:bidi="sr-Latn-RS"/>
        </w:rPr>
        <w:t>(</w:t>
      </w:r>
      <w:r w:rsidR="0060293D" w:rsidRPr="00B34362">
        <w:rPr>
          <w:lang w:val="sr-Latn-RS" w:bidi="sr-Latn-RS"/>
        </w:rPr>
        <w:t xml:space="preserve">PFS) </w:t>
      </w:r>
      <w:r w:rsidRPr="008F1125">
        <w:rPr>
          <w:lang w:val="sr-Latn-RS" w:bidi="sr-Latn-RS"/>
        </w:rPr>
        <w:t>kod 88 pacijenata (d</w:t>
      </w:r>
      <w:r w:rsidR="00515B67" w:rsidRPr="008F1125">
        <w:rPr>
          <w:lang w:val="sr-Latn-RS" w:bidi="sr-Latn-RS"/>
        </w:rPr>
        <w:t>i</w:t>
      </w:r>
      <w:r w:rsidRPr="008F1125">
        <w:rPr>
          <w:lang w:val="sr-Latn-RS" w:bidi="sr-Latn-RS"/>
        </w:rPr>
        <w:t>o A) sa metastatskim karcinomom Merkelovih ćelija prikazana je na slici 1.</w:t>
      </w:r>
    </w:p>
    <w:p w14:paraId="1FB63601" w14:textId="1405061C" w:rsidR="000569A6" w:rsidRDefault="000569A6" w:rsidP="00577413">
      <w:pPr>
        <w:rPr>
          <w:szCs w:val="22"/>
          <w:lang w:val="sr-Latn-RS"/>
        </w:rPr>
      </w:pPr>
    </w:p>
    <w:p w14:paraId="1FC80FFA" w14:textId="3D4ED66F" w:rsidR="003D55E0" w:rsidRDefault="003D55E0" w:rsidP="00577413">
      <w:pPr>
        <w:rPr>
          <w:szCs w:val="22"/>
          <w:lang w:val="sr-Latn-RS"/>
        </w:rPr>
      </w:pPr>
    </w:p>
    <w:p w14:paraId="148543C2" w14:textId="77777777" w:rsidR="003D55E0" w:rsidRPr="008F1125" w:rsidRDefault="003D55E0" w:rsidP="00577413">
      <w:pPr>
        <w:rPr>
          <w:szCs w:val="22"/>
          <w:lang w:val="sr-Latn-RS"/>
        </w:rPr>
      </w:pPr>
    </w:p>
    <w:p w14:paraId="1FB63602" w14:textId="7DABF571" w:rsidR="000569A6" w:rsidRPr="008F1125" w:rsidRDefault="00926926" w:rsidP="0060293D">
      <w:pPr>
        <w:pStyle w:val="BodytextAgency"/>
        <w:keepNext/>
        <w:keepLines/>
        <w:spacing w:after="0" w:line="240" w:lineRule="auto"/>
        <w:jc w:val="both"/>
        <w:rPr>
          <w:rFonts w:ascii="Times New Roman" w:hAnsi="Times New Roman" w:cs="Times New Roman"/>
          <w:b/>
          <w:sz w:val="22"/>
          <w:szCs w:val="22"/>
          <w:lang w:val="sr-Latn-RS"/>
        </w:rPr>
      </w:pPr>
      <w:bookmarkStart w:id="8" w:name="_Ref531178477"/>
      <w:bookmarkStart w:id="9" w:name="_Ref531184198"/>
      <w:r w:rsidRPr="008F1125">
        <w:rPr>
          <w:rFonts w:ascii="Times New Roman" w:hAnsi="Times New Roman" w:cs="Times New Roman"/>
          <w:b/>
          <w:sz w:val="22"/>
          <w:lang w:val="sr-Latn-RS" w:bidi="sr-Latn-RS"/>
        </w:rPr>
        <w:lastRenderedPageBreak/>
        <w:t>Slika </w:t>
      </w:r>
      <w:bookmarkEnd w:id="8"/>
      <w:bookmarkEnd w:id="9"/>
      <w:r w:rsidRPr="008F1125">
        <w:rPr>
          <w:rFonts w:ascii="Times New Roman" w:hAnsi="Times New Roman" w:cs="Times New Roman"/>
          <w:b/>
          <w:sz w:val="22"/>
          <w:lang w:val="sr-Latn-RS" w:bidi="sr-Latn-RS"/>
        </w:rPr>
        <w:t xml:space="preserve">1: </w:t>
      </w:r>
      <w:r w:rsidRPr="008F1125">
        <w:rPr>
          <w:rFonts w:ascii="Times New Roman" w:hAnsi="Times New Roman" w:cs="Times New Roman"/>
          <w:b/>
          <w:i/>
          <w:sz w:val="22"/>
          <w:lang w:val="sr-Latn-RS" w:bidi="sr-Latn-RS"/>
        </w:rPr>
        <w:t>Kaplan-Meier</w:t>
      </w:r>
      <w:r w:rsidRPr="008F1125">
        <w:rPr>
          <w:rFonts w:ascii="Times New Roman" w:hAnsi="Times New Roman" w:cs="Times New Roman"/>
          <w:b/>
          <w:sz w:val="22"/>
          <w:lang w:val="sr-Latn-RS" w:bidi="sr-Latn-RS"/>
        </w:rPr>
        <w:t>-ova proc</w:t>
      </w:r>
      <w:r w:rsidR="0063413D" w:rsidRPr="008F1125">
        <w:rPr>
          <w:rFonts w:ascii="Times New Roman" w:hAnsi="Times New Roman" w:cs="Times New Roman"/>
          <w:b/>
          <w:sz w:val="22"/>
          <w:lang w:val="sr-Latn-RS" w:bidi="sr-Latn-RS"/>
        </w:rPr>
        <w:t>j</w:t>
      </w:r>
      <w:r w:rsidRPr="008F1125">
        <w:rPr>
          <w:rFonts w:ascii="Times New Roman" w:hAnsi="Times New Roman" w:cs="Times New Roman"/>
          <w:b/>
          <w:sz w:val="22"/>
          <w:lang w:val="sr-Latn-RS" w:bidi="sr-Latn-RS"/>
        </w:rPr>
        <w:t>ena preživljavanja bez progresije bolesti (PFS) prema RECIST verziji 1.1, IERC (d</w:t>
      </w:r>
      <w:r w:rsidR="00515B67" w:rsidRPr="008F1125">
        <w:rPr>
          <w:rFonts w:ascii="Times New Roman" w:hAnsi="Times New Roman" w:cs="Times New Roman"/>
          <w:b/>
          <w:sz w:val="22"/>
          <w:lang w:val="sr-Latn-RS" w:bidi="sr-Latn-RS"/>
        </w:rPr>
        <w:t>i</w:t>
      </w:r>
      <w:r w:rsidRPr="008F1125">
        <w:rPr>
          <w:rFonts w:ascii="Times New Roman" w:hAnsi="Times New Roman" w:cs="Times New Roman"/>
          <w:b/>
          <w:sz w:val="22"/>
          <w:lang w:val="sr-Latn-RS" w:bidi="sr-Latn-RS"/>
        </w:rPr>
        <w:t xml:space="preserve">o A, minimalno trajanje praćenja od 36 </w:t>
      </w:r>
      <w:r w:rsidR="00B27CC7" w:rsidRPr="008F1125">
        <w:rPr>
          <w:rFonts w:ascii="Times New Roman" w:hAnsi="Times New Roman" w:cs="Times New Roman"/>
          <w:b/>
          <w:sz w:val="22"/>
          <w:lang w:val="sr-Latn-RS" w:bidi="sr-Latn-RS"/>
        </w:rPr>
        <w:t>mjeseci</w:t>
      </w:r>
      <w:r w:rsidRPr="008F1125">
        <w:rPr>
          <w:rFonts w:ascii="Times New Roman" w:hAnsi="Times New Roman" w:cs="Times New Roman"/>
          <w:b/>
          <w:sz w:val="22"/>
          <w:lang w:val="sr-Latn-RS" w:bidi="sr-Latn-RS"/>
        </w:rPr>
        <w:t>)</w:t>
      </w:r>
    </w:p>
    <w:p w14:paraId="1FB63603" w14:textId="77777777" w:rsidR="000569A6" w:rsidRPr="008F1125" w:rsidRDefault="000569A6" w:rsidP="00577413">
      <w:pPr>
        <w:pStyle w:val="Default"/>
        <w:keepNext/>
        <w:keepLines/>
        <w:rPr>
          <w:color w:val="auto"/>
          <w:sz w:val="22"/>
          <w:lang w:val="sr-Latn-RS"/>
        </w:rPr>
      </w:pPr>
    </w:p>
    <w:p w14:paraId="4E36288A" w14:textId="29614924" w:rsidR="00DF0699" w:rsidRDefault="00DF0699" w:rsidP="00227E4B">
      <w:pPr>
        <w:autoSpaceDE w:val="0"/>
        <w:autoSpaceDN w:val="0"/>
        <w:adjustRightInd w:val="0"/>
        <w:rPr>
          <w:lang w:val="sr-Latn-RS"/>
        </w:rPr>
      </w:pPr>
    </w:p>
    <w:p w14:paraId="4D6537BB" w14:textId="6329B34A" w:rsidR="00C56C07" w:rsidRPr="008F1125" w:rsidRDefault="00DE7128" w:rsidP="00227E4B">
      <w:pPr>
        <w:autoSpaceDE w:val="0"/>
        <w:autoSpaceDN w:val="0"/>
        <w:adjustRightInd w:val="0"/>
        <w:rPr>
          <w:lang w:val="sr-Latn-RS"/>
        </w:rPr>
      </w:pPr>
      <w:r>
        <w:rPr>
          <w:noProof/>
          <w:lang w:val="en-US"/>
        </w:rPr>
        <w:drawing>
          <wp:inline distT="0" distB="0" distL="0" distR="0" wp14:anchorId="3D07655E" wp14:editId="21A98265">
            <wp:extent cx="5760085" cy="2928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2928620"/>
                    </a:xfrm>
                    <a:prstGeom prst="rect">
                      <a:avLst/>
                    </a:prstGeom>
                  </pic:spPr>
                </pic:pic>
              </a:graphicData>
            </a:graphic>
          </wp:inline>
        </w:drawing>
      </w:r>
    </w:p>
    <w:p w14:paraId="1FB63605" w14:textId="77777777" w:rsidR="000569A6" w:rsidRPr="008F1125" w:rsidRDefault="000569A6" w:rsidP="00577413">
      <w:pPr>
        <w:autoSpaceDE w:val="0"/>
        <w:autoSpaceDN w:val="0"/>
        <w:adjustRightInd w:val="0"/>
        <w:rPr>
          <w:rFonts w:eastAsia="SimSun"/>
          <w:spacing w:val="-1"/>
          <w:lang w:val="sr-Latn-RS" w:eastAsia="en-GB"/>
        </w:rPr>
      </w:pPr>
    </w:p>
    <w:p w14:paraId="1FB63606" w14:textId="506E5B71" w:rsidR="000569A6" w:rsidRPr="008F1125" w:rsidRDefault="00926926" w:rsidP="0060293D">
      <w:pPr>
        <w:jc w:val="both"/>
        <w:rPr>
          <w:szCs w:val="22"/>
          <w:lang w:val="sr-Latn-RS"/>
        </w:rPr>
      </w:pPr>
      <w:r w:rsidRPr="008F1125">
        <w:rPr>
          <w:spacing w:val="-1"/>
          <w:lang w:val="sr-Latn-RS" w:bidi="sr-Latn-RS"/>
        </w:rPr>
        <w:t>U uzorcima tumora bila je proc</w:t>
      </w:r>
      <w:r w:rsidR="00515B67" w:rsidRPr="008F1125">
        <w:rPr>
          <w:spacing w:val="-1"/>
          <w:lang w:val="sr-Latn-RS" w:bidi="sr-Latn-RS"/>
        </w:rPr>
        <w:t>ij</w:t>
      </w:r>
      <w:r w:rsidRPr="008F1125">
        <w:rPr>
          <w:spacing w:val="-1"/>
          <w:lang w:val="sr-Latn-RS" w:bidi="sr-Latn-RS"/>
        </w:rPr>
        <w:t>enjena ekspresija PD-L1 na tumorskim ćelijama i prisutnost poliomavirusa Merkelovih ćelija (MCV) pomoću istraživačkog imunohistohemijskog testa. U Tabeli 5 sažeto su prikazane stope objektivnog odgovora prema ekspresiji PD-L1 i MCV statusu pacijenata sa metastatskim karcinomom Merkelovih ćelija u ispitivanju EMR100070-003 (d</w:t>
      </w:r>
      <w:r w:rsidR="0060293D" w:rsidRPr="008F1125">
        <w:rPr>
          <w:spacing w:val="-1"/>
          <w:lang w:val="sr-Latn-RS" w:bidi="sr-Latn-RS"/>
        </w:rPr>
        <w:t>i</w:t>
      </w:r>
      <w:r w:rsidRPr="008F1125">
        <w:rPr>
          <w:spacing w:val="-1"/>
          <w:lang w:val="sr-Latn-RS" w:bidi="sr-Latn-RS"/>
        </w:rPr>
        <w:t>o A).</w:t>
      </w:r>
    </w:p>
    <w:p w14:paraId="1FB63607" w14:textId="77777777" w:rsidR="000569A6" w:rsidRPr="008F1125" w:rsidRDefault="000569A6" w:rsidP="0060293D">
      <w:pPr>
        <w:tabs>
          <w:tab w:val="clear" w:pos="567"/>
        </w:tabs>
        <w:kinsoku w:val="0"/>
        <w:overflowPunct w:val="0"/>
        <w:autoSpaceDE w:val="0"/>
        <w:autoSpaceDN w:val="0"/>
        <w:adjustRightInd w:val="0"/>
        <w:jc w:val="both"/>
        <w:rPr>
          <w:rFonts w:eastAsia="SimSun"/>
          <w:lang w:val="sr-Latn-RS"/>
        </w:rPr>
      </w:pPr>
    </w:p>
    <w:p w14:paraId="1FB63608" w14:textId="34B6DF89" w:rsidR="000569A6" w:rsidRPr="008F1125" w:rsidRDefault="00926926" w:rsidP="0060293D">
      <w:pPr>
        <w:pStyle w:val="BodytextAgency"/>
        <w:keepNext/>
        <w:spacing w:after="0" w:line="240" w:lineRule="auto"/>
        <w:jc w:val="both"/>
        <w:rPr>
          <w:rFonts w:ascii="Times New Roman" w:hAnsi="Times New Roman" w:cs="Times New Roman"/>
          <w:b/>
          <w:bCs/>
          <w:spacing w:val="-2"/>
          <w:sz w:val="22"/>
          <w:szCs w:val="22"/>
          <w:lang w:val="sr-Latn-RS"/>
        </w:rPr>
      </w:pPr>
      <w:bookmarkStart w:id="10" w:name="_Ref531179065"/>
      <w:bookmarkStart w:id="11" w:name="_Ref531183999"/>
      <w:r w:rsidRPr="008F1125">
        <w:rPr>
          <w:rFonts w:ascii="Times New Roman" w:hAnsi="Times New Roman" w:cs="Times New Roman"/>
          <w:b/>
          <w:sz w:val="22"/>
          <w:lang w:val="sr-Latn-RS" w:bidi="sr-Latn-RS"/>
        </w:rPr>
        <w:t>Tabela </w:t>
      </w:r>
      <w:bookmarkEnd w:id="10"/>
      <w:bookmarkEnd w:id="11"/>
      <w:r w:rsidRPr="008F1125">
        <w:rPr>
          <w:rFonts w:ascii="Times New Roman" w:hAnsi="Times New Roman" w:cs="Times New Roman"/>
          <w:b/>
          <w:sz w:val="22"/>
          <w:lang w:val="sr-Latn-RS" w:bidi="sr-Latn-RS"/>
        </w:rPr>
        <w:t xml:space="preserve">5: </w:t>
      </w:r>
      <w:bookmarkStart w:id="12" w:name="_Hlk504984333"/>
      <w:r w:rsidRPr="008F1125">
        <w:rPr>
          <w:rFonts w:ascii="Times New Roman" w:hAnsi="Times New Roman" w:cs="Times New Roman"/>
          <w:b/>
          <w:sz w:val="22"/>
          <w:lang w:val="sr-Latn-RS" w:bidi="sr-Latn-RS"/>
        </w:rPr>
        <w:t>Stope objektivnog odgovora prema ekspresiji PD-L1 i MCV statusu</w:t>
      </w:r>
      <w:r w:rsidR="0060293D" w:rsidRPr="008F1125">
        <w:rPr>
          <w:rFonts w:ascii="Times New Roman" w:hAnsi="Times New Roman" w:cs="Times New Roman"/>
          <w:b/>
          <w:sz w:val="22"/>
          <w:lang w:val="sr-Latn-RS" w:bidi="sr-Latn-RS"/>
        </w:rPr>
        <w:t xml:space="preserve"> tumora</w:t>
      </w:r>
      <w:r w:rsidRPr="008F1125">
        <w:rPr>
          <w:rFonts w:ascii="Times New Roman" w:hAnsi="Times New Roman" w:cs="Times New Roman"/>
          <w:b/>
          <w:sz w:val="22"/>
          <w:lang w:val="sr-Latn-RS" w:bidi="sr-Latn-RS"/>
        </w:rPr>
        <w:t xml:space="preserve"> pacijenata sa metastatskim karcinomom Merkelovih ćelija u ispitivanju EMR100070-003 (d</w:t>
      </w:r>
      <w:r w:rsidR="0060293D" w:rsidRPr="008F1125">
        <w:rPr>
          <w:rFonts w:ascii="Times New Roman" w:hAnsi="Times New Roman" w:cs="Times New Roman"/>
          <w:b/>
          <w:sz w:val="22"/>
          <w:lang w:val="sr-Latn-RS" w:bidi="sr-Latn-RS"/>
        </w:rPr>
        <w:t>i</w:t>
      </w:r>
      <w:r w:rsidRPr="008F1125">
        <w:rPr>
          <w:rFonts w:ascii="Times New Roman" w:hAnsi="Times New Roman" w:cs="Times New Roman"/>
          <w:b/>
          <w:sz w:val="22"/>
          <w:lang w:val="sr-Latn-RS" w:bidi="sr-Latn-RS"/>
        </w:rPr>
        <w:t>o A).</w:t>
      </w:r>
      <w:bookmarkEnd w:id="12"/>
    </w:p>
    <w:p w14:paraId="1FB63609" w14:textId="77777777" w:rsidR="000569A6" w:rsidRPr="008F1125" w:rsidRDefault="000569A6" w:rsidP="00577413">
      <w:pPr>
        <w:keepNext/>
        <w:tabs>
          <w:tab w:val="clear" w:pos="567"/>
        </w:tabs>
        <w:autoSpaceDE w:val="0"/>
        <w:autoSpaceDN w:val="0"/>
        <w:adjustRightInd w:val="0"/>
        <w:rPr>
          <w:rFonts w:eastAsia="SimSun"/>
          <w:spacing w:val="-2"/>
          <w:lang w:val="sr-Latn-RS"/>
        </w:rPr>
      </w:pPr>
    </w:p>
    <w:tbl>
      <w:tblPr>
        <w:tblW w:w="7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551"/>
      </w:tblGrid>
      <w:tr w:rsidR="00F51581" w:rsidRPr="008F1125" w14:paraId="1FB6360D" w14:textId="77777777" w:rsidTr="005C2AEC">
        <w:trPr>
          <w:cantSplit/>
          <w:jc w:val="center"/>
        </w:trPr>
        <w:tc>
          <w:tcPr>
            <w:tcW w:w="3628" w:type="dxa"/>
            <w:tcBorders>
              <w:bottom w:val="single" w:sz="4" w:space="0" w:color="auto"/>
            </w:tcBorders>
            <w:shd w:val="clear" w:color="auto" w:fill="auto"/>
          </w:tcPr>
          <w:p w14:paraId="1FB6360A" w14:textId="77777777" w:rsidR="000569A6" w:rsidRPr="008F1125" w:rsidRDefault="000569A6" w:rsidP="00577413">
            <w:pPr>
              <w:pStyle w:val="Default"/>
              <w:keepNext/>
              <w:rPr>
                <w:b/>
                <w:bCs/>
                <w:color w:val="auto"/>
                <w:sz w:val="22"/>
                <w:szCs w:val="22"/>
                <w:lang w:val="sr-Latn-RS"/>
              </w:rPr>
            </w:pPr>
          </w:p>
        </w:tc>
        <w:tc>
          <w:tcPr>
            <w:tcW w:w="3551" w:type="dxa"/>
            <w:tcBorders>
              <w:bottom w:val="single" w:sz="4" w:space="0" w:color="auto"/>
            </w:tcBorders>
            <w:shd w:val="clear" w:color="auto" w:fill="auto"/>
          </w:tcPr>
          <w:p w14:paraId="1FB6360B" w14:textId="77777777" w:rsidR="000569A6" w:rsidRPr="008F1125" w:rsidRDefault="00926926" w:rsidP="00577413">
            <w:pPr>
              <w:keepNext/>
              <w:tabs>
                <w:tab w:val="clear" w:pos="567"/>
              </w:tabs>
              <w:autoSpaceDE w:val="0"/>
              <w:autoSpaceDN w:val="0"/>
              <w:adjustRightInd w:val="0"/>
              <w:jc w:val="center"/>
              <w:rPr>
                <w:rFonts w:eastAsia="SimSun"/>
                <w:b/>
                <w:spacing w:val="-1"/>
                <w:szCs w:val="22"/>
                <w:lang w:val="sr-Latn-RS" w:eastAsia="en-GB"/>
              </w:rPr>
            </w:pPr>
            <w:r w:rsidRPr="008F1125">
              <w:rPr>
                <w:b/>
                <w:spacing w:val="-1"/>
                <w:lang w:val="sr-Latn-RS" w:bidi="sr-Latn-RS"/>
              </w:rPr>
              <w:t>Avelumab</w:t>
            </w:r>
          </w:p>
          <w:p w14:paraId="1FB6360C" w14:textId="2699AE59" w:rsidR="000569A6" w:rsidRPr="008F1125" w:rsidRDefault="00926926" w:rsidP="00577413">
            <w:pPr>
              <w:keepNext/>
              <w:tabs>
                <w:tab w:val="clear" w:pos="567"/>
              </w:tabs>
              <w:autoSpaceDE w:val="0"/>
              <w:autoSpaceDN w:val="0"/>
              <w:adjustRightInd w:val="0"/>
              <w:jc w:val="center"/>
              <w:rPr>
                <w:rFonts w:eastAsia="SimSun"/>
                <w:b/>
                <w:spacing w:val="-1"/>
                <w:szCs w:val="22"/>
                <w:lang w:val="sr-Latn-RS" w:eastAsia="en-GB"/>
              </w:rPr>
            </w:pPr>
            <w:r w:rsidRPr="008F1125">
              <w:rPr>
                <w:b/>
                <w:spacing w:val="-1"/>
                <w:lang w:val="sr-Latn-RS" w:bidi="sr-Latn-RS"/>
              </w:rPr>
              <w:t>ORR (95% CI)*</w:t>
            </w:r>
          </w:p>
        </w:tc>
      </w:tr>
      <w:tr w:rsidR="00F51581" w:rsidRPr="008F1125" w14:paraId="1FB63610" w14:textId="77777777" w:rsidTr="005C2AEC">
        <w:trPr>
          <w:cantSplit/>
          <w:jc w:val="center"/>
        </w:trPr>
        <w:tc>
          <w:tcPr>
            <w:tcW w:w="3628" w:type="dxa"/>
            <w:tcBorders>
              <w:bottom w:val="nil"/>
            </w:tcBorders>
            <w:shd w:val="clear" w:color="auto" w:fill="auto"/>
          </w:tcPr>
          <w:p w14:paraId="1FB6360E" w14:textId="1A3DF078" w:rsidR="000569A6" w:rsidRPr="008F1125" w:rsidRDefault="00926926" w:rsidP="00577413">
            <w:pPr>
              <w:pStyle w:val="Default"/>
              <w:keepNext/>
              <w:rPr>
                <w:b/>
                <w:color w:val="auto"/>
                <w:sz w:val="22"/>
                <w:szCs w:val="22"/>
                <w:lang w:val="sr-Latn-RS"/>
              </w:rPr>
            </w:pPr>
            <w:r w:rsidRPr="008F1125">
              <w:rPr>
                <w:b/>
                <w:color w:val="auto"/>
                <w:sz w:val="22"/>
                <w:lang w:val="sr-Latn-RS" w:bidi="sr-Latn-RS"/>
              </w:rPr>
              <w:t>Ekspresija PD-L1 uz graničnu vr</w:t>
            </w:r>
            <w:r w:rsidR="003C0701" w:rsidRPr="008F1125">
              <w:rPr>
                <w:b/>
                <w:color w:val="auto"/>
                <w:sz w:val="22"/>
                <w:lang w:val="sr-Latn-RS" w:bidi="sr-Latn-RS"/>
              </w:rPr>
              <w:t>ij</w:t>
            </w:r>
            <w:r w:rsidRPr="008F1125">
              <w:rPr>
                <w:b/>
                <w:color w:val="auto"/>
                <w:sz w:val="22"/>
                <w:lang w:val="sr-Latn-RS" w:bidi="sr-Latn-RS"/>
              </w:rPr>
              <w:t>ednost od ≥ 1%</w:t>
            </w:r>
          </w:p>
        </w:tc>
        <w:tc>
          <w:tcPr>
            <w:tcW w:w="3551" w:type="dxa"/>
            <w:tcBorders>
              <w:bottom w:val="nil"/>
            </w:tcBorders>
            <w:shd w:val="clear" w:color="auto" w:fill="auto"/>
          </w:tcPr>
          <w:p w14:paraId="1FB6360F" w14:textId="77777777" w:rsidR="000569A6" w:rsidRPr="008F1125" w:rsidRDefault="00926926" w:rsidP="00577413">
            <w:pPr>
              <w:keepNext/>
              <w:tabs>
                <w:tab w:val="clear" w:pos="567"/>
              </w:tabs>
              <w:autoSpaceDE w:val="0"/>
              <w:autoSpaceDN w:val="0"/>
              <w:adjustRightInd w:val="0"/>
              <w:jc w:val="center"/>
              <w:rPr>
                <w:rFonts w:eastAsia="SimSun"/>
                <w:b/>
                <w:spacing w:val="-1"/>
                <w:szCs w:val="22"/>
                <w:lang w:val="sr-Latn-RS" w:eastAsia="en-GB"/>
              </w:rPr>
            </w:pPr>
            <w:r w:rsidRPr="008F1125">
              <w:rPr>
                <w:lang w:val="sr-Latn-RS" w:bidi="sr-Latn-RS"/>
              </w:rPr>
              <w:t>N=74</w:t>
            </w:r>
            <w:r w:rsidRPr="008F1125">
              <w:rPr>
                <w:spacing w:val="-1"/>
                <w:vertAlign w:val="superscript"/>
                <w:lang w:val="sr-Latn-RS" w:bidi="sr-Latn-RS"/>
              </w:rPr>
              <w:t>a</w:t>
            </w:r>
          </w:p>
        </w:tc>
      </w:tr>
      <w:tr w:rsidR="00F51581" w:rsidRPr="008F1125" w14:paraId="1FB63613" w14:textId="77777777" w:rsidTr="005C2AEC">
        <w:trPr>
          <w:cantSplit/>
          <w:jc w:val="center"/>
        </w:trPr>
        <w:tc>
          <w:tcPr>
            <w:tcW w:w="3628" w:type="dxa"/>
            <w:tcBorders>
              <w:top w:val="nil"/>
              <w:bottom w:val="nil"/>
            </w:tcBorders>
            <w:shd w:val="clear" w:color="auto" w:fill="auto"/>
          </w:tcPr>
          <w:p w14:paraId="1FB63611" w14:textId="77777777" w:rsidR="000569A6" w:rsidRPr="008F1125" w:rsidRDefault="00926926" w:rsidP="00577413">
            <w:pPr>
              <w:pStyle w:val="Default"/>
              <w:keepNext/>
              <w:rPr>
                <w:color w:val="auto"/>
                <w:sz w:val="22"/>
                <w:szCs w:val="22"/>
                <w:lang w:val="sr-Latn-RS"/>
              </w:rPr>
            </w:pPr>
            <w:r w:rsidRPr="008F1125">
              <w:rPr>
                <w:color w:val="auto"/>
                <w:sz w:val="22"/>
                <w:lang w:val="sr-Latn-RS" w:bidi="sr-Latn-RS"/>
              </w:rPr>
              <w:tab/>
              <w:t>pozitivna (n=58)</w:t>
            </w:r>
          </w:p>
        </w:tc>
        <w:tc>
          <w:tcPr>
            <w:tcW w:w="3551" w:type="dxa"/>
            <w:tcBorders>
              <w:top w:val="nil"/>
              <w:bottom w:val="nil"/>
            </w:tcBorders>
            <w:shd w:val="clear" w:color="auto" w:fill="auto"/>
          </w:tcPr>
          <w:p w14:paraId="1FB63612" w14:textId="77777777" w:rsidR="000569A6" w:rsidRPr="008F1125" w:rsidRDefault="00926926" w:rsidP="00577413">
            <w:pPr>
              <w:keepNext/>
              <w:tabs>
                <w:tab w:val="clear" w:pos="567"/>
              </w:tabs>
              <w:autoSpaceDE w:val="0"/>
              <w:autoSpaceDN w:val="0"/>
              <w:adjustRightInd w:val="0"/>
              <w:jc w:val="center"/>
              <w:rPr>
                <w:rFonts w:eastAsia="SimSun"/>
                <w:spacing w:val="-1"/>
                <w:szCs w:val="22"/>
                <w:lang w:val="sr-Latn-RS" w:eastAsia="en-GB"/>
              </w:rPr>
            </w:pPr>
            <w:r w:rsidRPr="008F1125">
              <w:rPr>
                <w:lang w:val="sr-Latn-RS" w:bidi="sr-Latn-RS"/>
              </w:rPr>
              <w:t>36,2% (24,0; 49,9)</w:t>
            </w:r>
          </w:p>
        </w:tc>
      </w:tr>
      <w:tr w:rsidR="00F51581" w:rsidRPr="008F1125" w14:paraId="1FB63616" w14:textId="77777777" w:rsidTr="005C2AEC">
        <w:trPr>
          <w:cantSplit/>
          <w:jc w:val="center"/>
        </w:trPr>
        <w:tc>
          <w:tcPr>
            <w:tcW w:w="3628" w:type="dxa"/>
            <w:tcBorders>
              <w:top w:val="nil"/>
              <w:bottom w:val="single" w:sz="4" w:space="0" w:color="auto"/>
            </w:tcBorders>
            <w:shd w:val="clear" w:color="auto" w:fill="auto"/>
          </w:tcPr>
          <w:p w14:paraId="1FB63614" w14:textId="77777777" w:rsidR="000569A6" w:rsidRPr="008F1125" w:rsidRDefault="00926926" w:rsidP="00577413">
            <w:pPr>
              <w:pStyle w:val="Default"/>
              <w:keepNext/>
              <w:rPr>
                <w:color w:val="auto"/>
                <w:sz w:val="22"/>
                <w:szCs w:val="22"/>
                <w:lang w:val="sr-Latn-RS"/>
              </w:rPr>
            </w:pPr>
            <w:r w:rsidRPr="008F1125">
              <w:rPr>
                <w:color w:val="auto"/>
                <w:sz w:val="22"/>
                <w:lang w:val="sr-Latn-RS" w:bidi="sr-Latn-RS"/>
              </w:rPr>
              <w:tab/>
              <w:t>negativna (n=16)</w:t>
            </w:r>
          </w:p>
        </w:tc>
        <w:tc>
          <w:tcPr>
            <w:tcW w:w="3551" w:type="dxa"/>
            <w:tcBorders>
              <w:top w:val="nil"/>
              <w:bottom w:val="single" w:sz="4" w:space="0" w:color="auto"/>
            </w:tcBorders>
            <w:shd w:val="clear" w:color="auto" w:fill="auto"/>
          </w:tcPr>
          <w:p w14:paraId="1FB63615" w14:textId="77777777" w:rsidR="000569A6" w:rsidRPr="008F1125" w:rsidRDefault="00926926" w:rsidP="00577413">
            <w:pPr>
              <w:keepNext/>
              <w:tabs>
                <w:tab w:val="clear" w:pos="567"/>
              </w:tabs>
              <w:autoSpaceDE w:val="0"/>
              <w:autoSpaceDN w:val="0"/>
              <w:adjustRightInd w:val="0"/>
              <w:jc w:val="center"/>
              <w:rPr>
                <w:szCs w:val="22"/>
                <w:lang w:val="sr-Latn-RS"/>
              </w:rPr>
            </w:pPr>
            <w:r w:rsidRPr="008F1125">
              <w:rPr>
                <w:lang w:val="sr-Latn-RS" w:bidi="sr-Latn-RS"/>
              </w:rPr>
              <w:t>18,8% (4,0; 45,6)</w:t>
            </w:r>
          </w:p>
        </w:tc>
      </w:tr>
      <w:tr w:rsidR="00F51581" w:rsidRPr="008F1125" w14:paraId="1FB63622" w14:textId="77777777" w:rsidTr="005C2AEC">
        <w:trPr>
          <w:cantSplit/>
          <w:jc w:val="center"/>
        </w:trPr>
        <w:tc>
          <w:tcPr>
            <w:tcW w:w="3628" w:type="dxa"/>
            <w:tcBorders>
              <w:bottom w:val="nil"/>
            </w:tcBorders>
            <w:shd w:val="clear" w:color="auto" w:fill="auto"/>
          </w:tcPr>
          <w:p w14:paraId="1FB63620" w14:textId="77777777" w:rsidR="000569A6" w:rsidRPr="008F1125" w:rsidRDefault="00926926" w:rsidP="00577413">
            <w:pPr>
              <w:pStyle w:val="Default"/>
              <w:keepNext/>
              <w:rPr>
                <w:b/>
                <w:color w:val="auto"/>
                <w:sz w:val="22"/>
                <w:szCs w:val="22"/>
                <w:lang w:val="sr-Latn-RS"/>
              </w:rPr>
            </w:pPr>
            <w:r w:rsidRPr="008F1125">
              <w:rPr>
                <w:b/>
                <w:color w:val="auto"/>
                <w:sz w:val="22"/>
                <w:lang w:val="sr-Latn-RS" w:bidi="sr-Latn-RS"/>
              </w:rPr>
              <w:t>IHC-MCV status tumora</w:t>
            </w:r>
          </w:p>
        </w:tc>
        <w:tc>
          <w:tcPr>
            <w:tcW w:w="3551" w:type="dxa"/>
            <w:tcBorders>
              <w:bottom w:val="nil"/>
            </w:tcBorders>
            <w:shd w:val="clear" w:color="auto" w:fill="auto"/>
          </w:tcPr>
          <w:p w14:paraId="1FB63621" w14:textId="77777777" w:rsidR="000569A6" w:rsidRPr="008F1125" w:rsidRDefault="00926926" w:rsidP="00577413">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N=77</w:t>
            </w:r>
            <w:r w:rsidRPr="008F1125">
              <w:rPr>
                <w:spacing w:val="-1"/>
                <w:vertAlign w:val="superscript"/>
                <w:lang w:val="sr-Latn-RS" w:bidi="sr-Latn-RS"/>
              </w:rPr>
              <w:t>b</w:t>
            </w:r>
          </w:p>
        </w:tc>
      </w:tr>
      <w:tr w:rsidR="00F51581" w:rsidRPr="008F1125" w14:paraId="1FB63625" w14:textId="77777777" w:rsidTr="005C2AEC">
        <w:trPr>
          <w:cantSplit/>
          <w:jc w:val="center"/>
        </w:trPr>
        <w:tc>
          <w:tcPr>
            <w:tcW w:w="3628" w:type="dxa"/>
            <w:tcBorders>
              <w:top w:val="nil"/>
              <w:bottom w:val="nil"/>
            </w:tcBorders>
            <w:shd w:val="clear" w:color="auto" w:fill="auto"/>
          </w:tcPr>
          <w:p w14:paraId="1FB63623" w14:textId="77777777" w:rsidR="000569A6" w:rsidRPr="008F1125" w:rsidRDefault="00926926" w:rsidP="00577413">
            <w:pPr>
              <w:pStyle w:val="Default"/>
              <w:keepNext/>
              <w:rPr>
                <w:color w:val="auto"/>
                <w:sz w:val="22"/>
                <w:szCs w:val="22"/>
                <w:lang w:val="sr-Latn-RS"/>
              </w:rPr>
            </w:pPr>
            <w:r w:rsidRPr="008F1125">
              <w:rPr>
                <w:color w:val="auto"/>
                <w:sz w:val="22"/>
                <w:lang w:val="sr-Latn-RS" w:bidi="sr-Latn-RS"/>
              </w:rPr>
              <w:tab/>
              <w:t>pozitivna (n=46)</w:t>
            </w:r>
          </w:p>
        </w:tc>
        <w:tc>
          <w:tcPr>
            <w:tcW w:w="3551" w:type="dxa"/>
            <w:tcBorders>
              <w:top w:val="nil"/>
              <w:bottom w:val="nil"/>
            </w:tcBorders>
            <w:shd w:val="clear" w:color="auto" w:fill="auto"/>
          </w:tcPr>
          <w:p w14:paraId="1FB63624" w14:textId="77777777" w:rsidR="000569A6" w:rsidRPr="008F1125" w:rsidRDefault="00926926" w:rsidP="00577413">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28,3% (16,0; 43,5)</w:t>
            </w:r>
          </w:p>
        </w:tc>
      </w:tr>
      <w:tr w:rsidR="00F51581" w:rsidRPr="008F1125" w14:paraId="1FB63628" w14:textId="77777777" w:rsidTr="005C2AEC">
        <w:trPr>
          <w:cantSplit/>
          <w:jc w:val="center"/>
        </w:trPr>
        <w:tc>
          <w:tcPr>
            <w:tcW w:w="3628" w:type="dxa"/>
            <w:tcBorders>
              <w:top w:val="nil"/>
            </w:tcBorders>
            <w:shd w:val="clear" w:color="auto" w:fill="auto"/>
          </w:tcPr>
          <w:p w14:paraId="1FB63626" w14:textId="77777777" w:rsidR="000569A6" w:rsidRPr="008F1125" w:rsidRDefault="00926926" w:rsidP="00577413">
            <w:pPr>
              <w:pStyle w:val="Default"/>
              <w:keepNext/>
              <w:rPr>
                <w:color w:val="auto"/>
                <w:sz w:val="22"/>
                <w:szCs w:val="22"/>
                <w:lang w:val="sr-Latn-RS"/>
              </w:rPr>
            </w:pPr>
            <w:r w:rsidRPr="008F1125">
              <w:rPr>
                <w:color w:val="auto"/>
                <w:sz w:val="22"/>
                <w:lang w:val="sr-Latn-RS" w:bidi="sr-Latn-RS"/>
              </w:rPr>
              <w:tab/>
              <w:t>negativna (n=31)</w:t>
            </w:r>
          </w:p>
        </w:tc>
        <w:tc>
          <w:tcPr>
            <w:tcW w:w="3551" w:type="dxa"/>
            <w:tcBorders>
              <w:top w:val="nil"/>
            </w:tcBorders>
            <w:shd w:val="clear" w:color="auto" w:fill="auto"/>
          </w:tcPr>
          <w:p w14:paraId="1FB63627" w14:textId="77777777" w:rsidR="000569A6" w:rsidRPr="008F1125" w:rsidRDefault="00926926" w:rsidP="00577413">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35,5 % (19,2; 54,6)</w:t>
            </w:r>
          </w:p>
        </w:tc>
      </w:tr>
    </w:tbl>
    <w:p w14:paraId="1FB63629" w14:textId="6AE3EB8A" w:rsidR="000569A6" w:rsidRPr="008F1125" w:rsidRDefault="00926926" w:rsidP="0060293D">
      <w:pPr>
        <w:keepNext/>
        <w:tabs>
          <w:tab w:val="clear" w:pos="567"/>
        </w:tabs>
        <w:autoSpaceDE w:val="0"/>
        <w:autoSpaceDN w:val="0"/>
        <w:adjustRightInd w:val="0"/>
        <w:ind w:left="993" w:right="991"/>
        <w:jc w:val="both"/>
        <w:rPr>
          <w:sz w:val="20"/>
          <w:lang w:val="sr-Latn-RS" w:eastAsia="en-GB"/>
        </w:rPr>
      </w:pPr>
      <w:r w:rsidRPr="008F1125">
        <w:rPr>
          <w:sz w:val="20"/>
          <w:lang w:val="sr-Latn-RS" w:bidi="sr-Latn-RS"/>
        </w:rPr>
        <w:t>IHC: imunohistohemija; MCV: poliomavirus Merkelovih ćelija; ORR: stopa objektivnog odgovora</w:t>
      </w:r>
    </w:p>
    <w:p w14:paraId="5DAF2BF6" w14:textId="0B23D44A" w:rsidR="00DF0699" w:rsidRPr="008F1125" w:rsidRDefault="00E25717" w:rsidP="0060293D">
      <w:pPr>
        <w:tabs>
          <w:tab w:val="clear" w:pos="567"/>
        </w:tabs>
        <w:autoSpaceDE w:val="0"/>
        <w:autoSpaceDN w:val="0"/>
        <w:adjustRightInd w:val="0"/>
        <w:ind w:left="993" w:right="991"/>
        <w:jc w:val="both"/>
        <w:rPr>
          <w:rFonts w:eastAsia="SimSun"/>
          <w:spacing w:val="-1"/>
          <w:szCs w:val="22"/>
          <w:lang w:val="sr-Latn-RS" w:eastAsia="en-GB"/>
        </w:rPr>
      </w:pPr>
      <w:r w:rsidRPr="008F1125">
        <w:rPr>
          <w:sz w:val="20"/>
          <w:lang w:val="sr-Latn-RS" w:bidi="sr-Latn-RS"/>
        </w:rPr>
        <w:t>* ORR (datum prestanka prikupljanja podataka: 14.9.2018.</w:t>
      </w:r>
      <w:r w:rsidR="00AA7648" w:rsidRPr="008F1125">
        <w:rPr>
          <w:sz w:val="20"/>
          <w:lang w:val="sr-Latn-RS" w:bidi="sr-Latn-RS"/>
        </w:rPr>
        <w:t xml:space="preserve"> </w:t>
      </w:r>
      <w:r w:rsidRPr="008F1125">
        <w:rPr>
          <w:sz w:val="20"/>
          <w:lang w:val="sr-Latn-RS" w:bidi="sr-Latn-RS"/>
        </w:rPr>
        <w:t>god</w:t>
      </w:r>
      <w:r w:rsidR="0060293D" w:rsidRPr="008F1125">
        <w:rPr>
          <w:sz w:val="20"/>
          <w:lang w:val="sr-Latn-RS" w:bidi="sr-Latn-RS"/>
        </w:rPr>
        <w:t>ine</w:t>
      </w:r>
      <w:r w:rsidRPr="008F1125">
        <w:rPr>
          <w:sz w:val="20"/>
          <w:lang w:val="sr-Latn-RS" w:bidi="sr-Latn-RS"/>
        </w:rPr>
        <w:t>)</w:t>
      </w:r>
    </w:p>
    <w:p w14:paraId="1FB6362A" w14:textId="26C6EDB1" w:rsidR="000569A6" w:rsidRPr="008F1125" w:rsidRDefault="00926926" w:rsidP="0060293D">
      <w:pPr>
        <w:keepNext/>
        <w:tabs>
          <w:tab w:val="clear" w:pos="567"/>
        </w:tabs>
        <w:autoSpaceDE w:val="0"/>
        <w:autoSpaceDN w:val="0"/>
        <w:adjustRightInd w:val="0"/>
        <w:ind w:left="993" w:right="991"/>
        <w:jc w:val="both"/>
        <w:rPr>
          <w:rFonts w:eastAsia="SimSun"/>
          <w:spacing w:val="-1"/>
          <w:sz w:val="20"/>
          <w:lang w:val="sr-Latn-RS" w:eastAsia="en-GB"/>
        </w:rPr>
      </w:pPr>
      <w:r w:rsidRPr="008F1125">
        <w:rPr>
          <w:sz w:val="20"/>
          <w:vertAlign w:val="superscript"/>
          <w:lang w:val="sr-Latn-RS" w:bidi="sr-Latn-RS"/>
        </w:rPr>
        <w:t>a</w:t>
      </w:r>
      <w:r w:rsidRPr="008F1125">
        <w:rPr>
          <w:sz w:val="20"/>
          <w:lang w:val="sr-Latn-RS" w:bidi="sr-Latn-RS"/>
        </w:rPr>
        <w:t xml:space="preserve"> Na osnovu podataka pacijenata koji su mogli biti proc</w:t>
      </w:r>
      <w:r w:rsidR="0060293D" w:rsidRPr="008F1125">
        <w:rPr>
          <w:sz w:val="20"/>
          <w:lang w:val="sr-Latn-RS" w:bidi="sr-Latn-RS"/>
        </w:rPr>
        <w:t>ij</w:t>
      </w:r>
      <w:r w:rsidRPr="008F1125">
        <w:rPr>
          <w:sz w:val="20"/>
          <w:lang w:val="sr-Latn-RS" w:bidi="sr-Latn-RS"/>
        </w:rPr>
        <w:t>enjeni na PD-L1</w:t>
      </w:r>
    </w:p>
    <w:p w14:paraId="1FB6362B" w14:textId="44CFED44" w:rsidR="000569A6" w:rsidRPr="008F1125" w:rsidRDefault="00926926" w:rsidP="0060293D">
      <w:pPr>
        <w:tabs>
          <w:tab w:val="clear" w:pos="567"/>
        </w:tabs>
        <w:autoSpaceDE w:val="0"/>
        <w:autoSpaceDN w:val="0"/>
        <w:adjustRightInd w:val="0"/>
        <w:ind w:left="993" w:right="991"/>
        <w:jc w:val="both"/>
        <w:rPr>
          <w:rFonts w:eastAsia="SimSun"/>
          <w:spacing w:val="-1"/>
          <w:sz w:val="20"/>
          <w:lang w:val="sr-Latn-RS" w:eastAsia="en-GB"/>
        </w:rPr>
      </w:pPr>
      <w:r w:rsidRPr="008F1125">
        <w:rPr>
          <w:sz w:val="20"/>
          <w:vertAlign w:val="superscript"/>
          <w:lang w:val="sr-Latn-RS" w:bidi="sr-Latn-RS"/>
        </w:rPr>
        <w:t xml:space="preserve">b </w:t>
      </w:r>
      <w:r w:rsidRPr="008F1125">
        <w:rPr>
          <w:spacing w:val="-1"/>
          <w:sz w:val="20"/>
          <w:lang w:val="sr-Latn-RS" w:bidi="sr-Latn-RS"/>
        </w:rPr>
        <w:t>Na osnovu podataka pacijenata koji su mogli biti imunohistohemijski (IHC) proc</w:t>
      </w:r>
      <w:r w:rsidR="0060293D" w:rsidRPr="008F1125">
        <w:rPr>
          <w:spacing w:val="-1"/>
          <w:sz w:val="20"/>
          <w:lang w:val="sr-Latn-RS" w:bidi="sr-Latn-RS"/>
        </w:rPr>
        <w:t>ij</w:t>
      </w:r>
      <w:r w:rsidRPr="008F1125">
        <w:rPr>
          <w:spacing w:val="-1"/>
          <w:sz w:val="20"/>
          <w:lang w:val="sr-Latn-RS" w:bidi="sr-Latn-RS"/>
        </w:rPr>
        <w:t>enjeni na MCV</w:t>
      </w:r>
    </w:p>
    <w:p w14:paraId="1FB6362C" w14:textId="77777777" w:rsidR="000569A6" w:rsidRPr="008F1125" w:rsidRDefault="000569A6" w:rsidP="0060293D">
      <w:pPr>
        <w:autoSpaceDE w:val="0"/>
        <w:autoSpaceDN w:val="0"/>
        <w:adjustRightInd w:val="0"/>
        <w:ind w:left="993" w:right="991"/>
        <w:jc w:val="both"/>
        <w:rPr>
          <w:rFonts w:eastAsia="SimSun"/>
          <w:spacing w:val="-1"/>
          <w:szCs w:val="22"/>
          <w:lang w:val="sr-Latn-RS" w:eastAsia="en-GB"/>
        </w:rPr>
      </w:pPr>
    </w:p>
    <w:p w14:paraId="2436687E" w14:textId="2CD9CBCE" w:rsidR="00DF0699" w:rsidRPr="008F1125" w:rsidRDefault="00E25717" w:rsidP="00AE57A4">
      <w:pPr>
        <w:keepNext/>
        <w:kinsoku w:val="0"/>
        <w:overflowPunct w:val="0"/>
        <w:autoSpaceDE w:val="0"/>
        <w:autoSpaceDN w:val="0"/>
        <w:adjustRightInd w:val="0"/>
        <w:jc w:val="both"/>
        <w:rPr>
          <w:rFonts w:eastAsia="SimSun"/>
          <w:spacing w:val="-1"/>
          <w:szCs w:val="22"/>
          <w:lang w:val="sr-Latn-RS" w:eastAsia="en-GB"/>
        </w:rPr>
      </w:pPr>
      <w:r w:rsidRPr="008F1125">
        <w:rPr>
          <w:i/>
          <w:spacing w:val="-1"/>
          <w:lang w:val="sr-Latn-RS" w:bidi="sr-Latn-RS"/>
        </w:rPr>
        <w:t>Ispitivanje 003, d</w:t>
      </w:r>
      <w:r w:rsidR="00515B67" w:rsidRPr="008F1125">
        <w:rPr>
          <w:i/>
          <w:spacing w:val="-1"/>
          <w:lang w:val="sr-Latn-RS" w:bidi="sr-Latn-RS"/>
        </w:rPr>
        <w:t>i</w:t>
      </w:r>
      <w:r w:rsidRPr="008F1125">
        <w:rPr>
          <w:i/>
          <w:spacing w:val="-1"/>
          <w:lang w:val="sr-Latn-RS" w:bidi="sr-Latn-RS"/>
        </w:rPr>
        <w:t>o B – pacijenti koji ni</w:t>
      </w:r>
      <w:r w:rsidR="0060293D" w:rsidRPr="008F1125">
        <w:rPr>
          <w:i/>
          <w:spacing w:val="-1"/>
          <w:lang w:val="sr-Latn-RS" w:bidi="sr-Latn-RS"/>
        </w:rPr>
        <w:t>je</w:t>
      </w:r>
      <w:r w:rsidRPr="008F1125">
        <w:rPr>
          <w:i/>
          <w:spacing w:val="-1"/>
          <w:lang w:val="sr-Latn-RS" w:bidi="sr-Latn-RS"/>
        </w:rPr>
        <w:t>su primili sistemsku terapiju kod metastatske bolesti</w:t>
      </w:r>
    </w:p>
    <w:p w14:paraId="1FB6362F" w14:textId="76BBC510" w:rsidR="000569A6" w:rsidRPr="008F1125" w:rsidRDefault="00962894" w:rsidP="00AE57A4">
      <w:pPr>
        <w:autoSpaceDE w:val="0"/>
        <w:autoSpaceDN w:val="0"/>
        <w:jc w:val="both"/>
        <w:rPr>
          <w:spacing w:val="-1"/>
          <w:lang w:val="sr-Latn-RS"/>
        </w:rPr>
      </w:pPr>
      <w:r w:rsidRPr="008F1125">
        <w:rPr>
          <w:spacing w:val="-1"/>
          <w:lang w:val="sr-Latn-RS" w:bidi="sr-Latn-RS"/>
        </w:rPr>
        <w:t>Glavna m</w:t>
      </w:r>
      <w:r w:rsidR="0060293D" w:rsidRPr="008F1125">
        <w:rPr>
          <w:spacing w:val="-1"/>
          <w:lang w:val="sr-Latn-RS" w:bidi="sr-Latn-RS"/>
        </w:rPr>
        <w:t>j</w:t>
      </w:r>
      <w:r w:rsidRPr="008F1125">
        <w:rPr>
          <w:spacing w:val="-1"/>
          <w:lang w:val="sr-Latn-RS" w:bidi="sr-Latn-RS"/>
        </w:rPr>
        <w:t>era ishoda efikasnosti bila je trajni odgovor, definisan kao objektivni odgovor (potpuni odgovor [CR] ili d</w:t>
      </w:r>
      <w:r w:rsidR="0060293D" w:rsidRPr="008F1125">
        <w:rPr>
          <w:spacing w:val="-1"/>
          <w:lang w:val="sr-Latn-RS" w:bidi="sr-Latn-RS"/>
        </w:rPr>
        <w:t>j</w:t>
      </w:r>
      <w:r w:rsidRPr="008F1125">
        <w:rPr>
          <w:spacing w:val="-1"/>
          <w:lang w:val="sr-Latn-RS" w:bidi="sr-Latn-RS"/>
        </w:rPr>
        <w:t xml:space="preserve">elimični odgovor [PR]) koji traje najmanje 6 </w:t>
      </w:r>
      <w:r w:rsidR="00B27CC7" w:rsidRPr="008F1125">
        <w:rPr>
          <w:spacing w:val="-1"/>
          <w:lang w:val="sr-Latn-RS" w:bidi="sr-Latn-RS"/>
        </w:rPr>
        <w:t>mjeseci</w:t>
      </w:r>
      <w:r w:rsidRPr="008F1125">
        <w:rPr>
          <w:spacing w:val="-1"/>
          <w:lang w:val="sr-Latn-RS" w:bidi="sr-Latn-RS"/>
        </w:rPr>
        <w:t>; sekundarne m</w:t>
      </w:r>
      <w:r w:rsidR="00515B67" w:rsidRPr="008F1125">
        <w:rPr>
          <w:spacing w:val="-1"/>
          <w:lang w:val="sr-Latn-RS" w:bidi="sr-Latn-RS"/>
        </w:rPr>
        <w:t>j</w:t>
      </w:r>
      <w:r w:rsidRPr="008F1125">
        <w:rPr>
          <w:spacing w:val="-1"/>
          <w:lang w:val="sr-Latn-RS" w:bidi="sr-Latn-RS"/>
        </w:rPr>
        <w:t>ere ishoda uključivale su najbolji ukupni odgovor, trajanje odgovora, preživljavanje bez progresije bolesti i ukupno preživljavanje.</w:t>
      </w:r>
    </w:p>
    <w:p w14:paraId="1FB63630" w14:textId="77777777" w:rsidR="000569A6" w:rsidRPr="008F1125" w:rsidRDefault="000569A6" w:rsidP="00AE57A4">
      <w:pPr>
        <w:autoSpaceDE w:val="0"/>
        <w:autoSpaceDN w:val="0"/>
        <w:jc w:val="both"/>
        <w:rPr>
          <w:spacing w:val="-1"/>
          <w:lang w:val="sr-Latn-RS"/>
        </w:rPr>
      </w:pPr>
    </w:p>
    <w:p w14:paraId="1FB63631" w14:textId="2E2DF33E" w:rsidR="000569A6" w:rsidRPr="008F1125" w:rsidRDefault="00926926" w:rsidP="00AE57A4">
      <w:pPr>
        <w:jc w:val="both"/>
        <w:rPr>
          <w:spacing w:val="-1"/>
          <w:szCs w:val="22"/>
          <w:lang w:val="sr-Latn-RS"/>
        </w:rPr>
      </w:pPr>
      <w:r w:rsidRPr="008F1125">
        <w:rPr>
          <w:spacing w:val="-1"/>
          <w:lang w:val="sr-Latn-RS" w:bidi="sr-Latn-RS"/>
        </w:rPr>
        <w:t>Primarna analiza za d</w:t>
      </w:r>
      <w:r w:rsidR="00515B67" w:rsidRPr="008F1125">
        <w:rPr>
          <w:spacing w:val="-1"/>
          <w:lang w:val="sr-Latn-RS" w:bidi="sr-Latn-RS"/>
        </w:rPr>
        <w:t>i</w:t>
      </w:r>
      <w:r w:rsidRPr="008F1125">
        <w:rPr>
          <w:spacing w:val="-1"/>
          <w:lang w:val="sr-Latn-RS" w:bidi="sr-Latn-RS"/>
        </w:rPr>
        <w:t>o B uključi</w:t>
      </w:r>
      <w:r w:rsidR="0060293D" w:rsidRPr="008F1125">
        <w:rPr>
          <w:spacing w:val="-1"/>
          <w:lang w:val="sr-Latn-RS" w:bidi="sr-Latn-RS"/>
        </w:rPr>
        <w:t>va</w:t>
      </w:r>
      <w:r w:rsidRPr="008F1125">
        <w:rPr>
          <w:spacing w:val="-1"/>
          <w:lang w:val="sr-Latn-RS" w:bidi="sr-Latn-RS"/>
        </w:rPr>
        <w:t xml:space="preserve">la je 116 pacijenata koji su primili najmanje jednu dozu avelumaba i koji su praćeni najmanje 15 </w:t>
      </w:r>
      <w:r w:rsidR="00B27CC7" w:rsidRPr="008F1125">
        <w:rPr>
          <w:spacing w:val="-1"/>
          <w:lang w:val="sr-Latn-RS" w:bidi="sr-Latn-RS"/>
        </w:rPr>
        <w:t>mjeseci</w:t>
      </w:r>
      <w:r w:rsidRPr="008F1125">
        <w:rPr>
          <w:spacing w:val="-1"/>
          <w:lang w:val="sr-Latn-RS" w:bidi="sr-Latn-RS"/>
        </w:rPr>
        <w:t xml:space="preserve"> do trenutka prestanka prikupljanja podataka za analizu (datum prestanka prikupljanja podataka: 2.5.2019. god</w:t>
      </w:r>
      <w:r w:rsidR="0060293D" w:rsidRPr="008F1125">
        <w:rPr>
          <w:spacing w:val="-1"/>
          <w:lang w:val="sr-Latn-RS" w:bidi="sr-Latn-RS"/>
        </w:rPr>
        <w:t>ine</w:t>
      </w:r>
      <w:r w:rsidRPr="008F1125">
        <w:rPr>
          <w:spacing w:val="-1"/>
          <w:lang w:val="sr-Latn-RS" w:bidi="sr-Latn-RS"/>
        </w:rPr>
        <w:t>).</w:t>
      </w:r>
    </w:p>
    <w:p w14:paraId="1FB63632" w14:textId="77777777" w:rsidR="000569A6" w:rsidRPr="008F1125" w:rsidRDefault="000569A6" w:rsidP="003D55E0">
      <w:pPr>
        <w:rPr>
          <w:spacing w:val="-1"/>
          <w:szCs w:val="22"/>
          <w:lang w:val="sr-Latn-RS"/>
        </w:rPr>
      </w:pPr>
    </w:p>
    <w:p w14:paraId="1FB63635" w14:textId="1A6D44D1" w:rsidR="005C2AEC" w:rsidRPr="008F1125" w:rsidRDefault="00926926" w:rsidP="00AE57A4">
      <w:pPr>
        <w:autoSpaceDE w:val="0"/>
        <w:autoSpaceDN w:val="0"/>
        <w:adjustRightInd w:val="0"/>
        <w:jc w:val="both"/>
        <w:rPr>
          <w:spacing w:val="-1"/>
          <w:szCs w:val="22"/>
          <w:lang w:val="sr-Latn-RS"/>
        </w:rPr>
      </w:pPr>
      <w:r w:rsidRPr="008F1125">
        <w:rPr>
          <w:spacing w:val="-1"/>
          <w:lang w:val="sr-Latn-RS" w:bidi="sr-Latn-RS"/>
        </w:rPr>
        <w:lastRenderedPageBreak/>
        <w:t>Od tih 116 pacijenata, njih 81 (70%) bili su muškarci, medijana starosti iznosila je 74 godine (raspon: od 41 do 93 godine), 75 (65%) pacijen</w:t>
      </w:r>
      <w:r w:rsidR="0060293D" w:rsidRPr="008F1125">
        <w:rPr>
          <w:spacing w:val="-1"/>
          <w:lang w:val="sr-Latn-RS" w:bidi="sr-Latn-RS"/>
        </w:rPr>
        <w:t>a</w:t>
      </w:r>
      <w:r w:rsidRPr="008F1125">
        <w:rPr>
          <w:spacing w:val="-1"/>
          <w:lang w:val="sr-Latn-RS" w:bidi="sr-Latn-RS"/>
        </w:rPr>
        <w:t>t</w:t>
      </w:r>
      <w:r w:rsidR="0060293D" w:rsidRPr="008F1125">
        <w:rPr>
          <w:spacing w:val="-1"/>
          <w:lang w:val="sr-Latn-RS" w:bidi="sr-Latn-RS"/>
        </w:rPr>
        <w:t>a je bilo</w:t>
      </w:r>
      <w:r w:rsidRPr="008F1125">
        <w:rPr>
          <w:spacing w:val="-1"/>
          <w:lang w:val="sr-Latn-RS" w:bidi="sr-Latn-RS"/>
        </w:rPr>
        <w:t xml:space="preserve"> b</w:t>
      </w:r>
      <w:r w:rsidR="003C0701" w:rsidRPr="008F1125">
        <w:rPr>
          <w:spacing w:val="-1"/>
          <w:lang w:val="sr-Latn-RS" w:bidi="sr-Latn-RS"/>
        </w:rPr>
        <w:t>ij</w:t>
      </w:r>
      <w:r w:rsidRPr="008F1125">
        <w:rPr>
          <w:spacing w:val="-1"/>
          <w:lang w:val="sr-Latn-RS" w:bidi="sr-Latn-RS"/>
        </w:rPr>
        <w:t xml:space="preserve">ele rase, a 72 (62%) pacijenta i 44 (38 %) pacijenta imala su ECOG </w:t>
      </w:r>
      <w:r w:rsidR="00AA7648" w:rsidRPr="008F1125">
        <w:rPr>
          <w:spacing w:val="-1"/>
          <w:lang w:val="sr-Latn-RS" w:bidi="sr-Latn-RS"/>
        </w:rPr>
        <w:t xml:space="preserve">performans </w:t>
      </w:r>
      <w:r w:rsidRPr="008F1125">
        <w:rPr>
          <w:spacing w:val="-1"/>
          <w:lang w:val="sr-Latn-RS" w:bidi="sr-Latn-RS"/>
        </w:rPr>
        <w:t xml:space="preserve">status 0 odnosno 1. </w:t>
      </w:r>
    </w:p>
    <w:p w14:paraId="1FB63636" w14:textId="77777777" w:rsidR="005C2AEC" w:rsidRPr="008F1125" w:rsidRDefault="005C2AEC" w:rsidP="00AE57A4">
      <w:pPr>
        <w:jc w:val="both"/>
        <w:rPr>
          <w:rFonts w:eastAsia="SimSun"/>
          <w:lang w:val="sr-Latn-RS"/>
        </w:rPr>
      </w:pPr>
    </w:p>
    <w:p w14:paraId="1FB63637" w14:textId="77A6AAC8" w:rsidR="005C2AEC" w:rsidRPr="008F1125" w:rsidRDefault="00926926" w:rsidP="00AE57A4">
      <w:pPr>
        <w:jc w:val="both"/>
        <w:rPr>
          <w:rFonts w:eastAsia="SimSun"/>
          <w:lang w:val="sr-Latn-RS"/>
        </w:rPr>
      </w:pPr>
      <w:r w:rsidRPr="008F1125">
        <w:rPr>
          <w:lang w:val="sr-Latn-RS" w:bidi="sr-Latn-RS"/>
        </w:rPr>
        <w:t>U Tabel</w:t>
      </w:r>
      <w:r w:rsidR="00813ECE" w:rsidRPr="008F1125">
        <w:rPr>
          <w:lang w:val="sr-Latn-RS" w:bidi="sr-Latn-RS"/>
        </w:rPr>
        <w:t>i</w:t>
      </w:r>
      <w:r w:rsidRPr="008F1125">
        <w:rPr>
          <w:lang w:val="sr-Latn-RS" w:bidi="sr-Latn-RS"/>
        </w:rPr>
        <w:t xml:space="preserve"> 6 sažeto je prikazana primarna analiza m</w:t>
      </w:r>
      <w:r w:rsidR="003C0701" w:rsidRPr="008F1125">
        <w:rPr>
          <w:lang w:val="sr-Latn-RS" w:bidi="sr-Latn-RS"/>
        </w:rPr>
        <w:t>j</w:t>
      </w:r>
      <w:r w:rsidRPr="008F1125">
        <w:rPr>
          <w:lang w:val="sr-Latn-RS" w:bidi="sr-Latn-RS"/>
        </w:rPr>
        <w:t>era ishoda efikasnosti uključujući proc</w:t>
      </w:r>
      <w:r w:rsidR="003C0701" w:rsidRPr="008F1125">
        <w:rPr>
          <w:lang w:val="sr-Latn-RS" w:bidi="sr-Latn-RS"/>
        </w:rPr>
        <w:t>j</w:t>
      </w:r>
      <w:r w:rsidRPr="008F1125">
        <w:rPr>
          <w:lang w:val="sr-Latn-RS" w:bidi="sr-Latn-RS"/>
        </w:rPr>
        <w:t>enu 24-m</w:t>
      </w:r>
      <w:r w:rsidR="003C0701" w:rsidRPr="008F1125">
        <w:rPr>
          <w:lang w:val="sr-Latn-RS" w:bidi="sr-Latn-RS"/>
        </w:rPr>
        <w:t>j</w:t>
      </w:r>
      <w:r w:rsidRPr="008F1125">
        <w:rPr>
          <w:lang w:val="sr-Latn-RS" w:bidi="sr-Latn-RS"/>
        </w:rPr>
        <w:t>esečnih stopa za trajanje odgovora i PFS prim</w:t>
      </w:r>
      <w:r w:rsidR="00515B67" w:rsidRPr="008F1125">
        <w:rPr>
          <w:lang w:val="sr-Latn-RS" w:bidi="sr-Latn-RS"/>
        </w:rPr>
        <w:t>j</w:t>
      </w:r>
      <w:r w:rsidRPr="008F1125">
        <w:rPr>
          <w:lang w:val="sr-Latn-RS" w:bidi="sr-Latn-RS"/>
        </w:rPr>
        <w:t xml:space="preserve">enom </w:t>
      </w:r>
      <w:r w:rsidRPr="008F1125">
        <w:rPr>
          <w:i/>
          <w:lang w:val="sr-Latn-RS" w:bidi="sr-Latn-RS"/>
        </w:rPr>
        <w:t>Kaplan-Meier</w:t>
      </w:r>
      <w:r w:rsidRPr="008F1125">
        <w:rPr>
          <w:lang w:val="sr-Latn-RS" w:bidi="sr-Latn-RS"/>
        </w:rPr>
        <w:t>-ove analize kod pacijenata koji su primali avelumab u preporučenoj dozi u ispitivanju EMR100070-003, d</w:t>
      </w:r>
      <w:r w:rsidR="00515B67" w:rsidRPr="008F1125">
        <w:rPr>
          <w:lang w:val="sr-Latn-RS" w:bidi="sr-Latn-RS"/>
        </w:rPr>
        <w:t>i</w:t>
      </w:r>
      <w:r w:rsidRPr="008F1125">
        <w:rPr>
          <w:lang w:val="sr-Latn-RS" w:bidi="sr-Latn-RS"/>
        </w:rPr>
        <w:t>o B.</w:t>
      </w:r>
    </w:p>
    <w:p w14:paraId="1FB63638" w14:textId="77777777" w:rsidR="000569A6" w:rsidRPr="008F1125" w:rsidRDefault="000569A6" w:rsidP="00AE57A4">
      <w:pPr>
        <w:jc w:val="both"/>
        <w:rPr>
          <w:lang w:val="sr-Latn-RS"/>
        </w:rPr>
      </w:pPr>
    </w:p>
    <w:p w14:paraId="1FB63639" w14:textId="76810260" w:rsidR="005C2AEC" w:rsidRPr="008F1125" w:rsidRDefault="00926926" w:rsidP="00AE57A4">
      <w:pPr>
        <w:pStyle w:val="BodytextAgency"/>
        <w:keepNext/>
        <w:keepLines/>
        <w:spacing w:after="0" w:line="240" w:lineRule="auto"/>
        <w:jc w:val="both"/>
        <w:rPr>
          <w:rFonts w:ascii="Times New Roman" w:hAnsi="Times New Roman" w:cs="Times New Roman"/>
          <w:b/>
          <w:sz w:val="22"/>
          <w:szCs w:val="22"/>
          <w:lang w:val="sr-Latn-RS"/>
        </w:rPr>
      </w:pPr>
      <w:bookmarkStart w:id="13" w:name="_Ref531178722"/>
      <w:bookmarkStart w:id="14" w:name="_Ref531184073"/>
      <w:r w:rsidRPr="008F1125">
        <w:rPr>
          <w:rFonts w:ascii="Times New Roman" w:hAnsi="Times New Roman" w:cs="Times New Roman"/>
          <w:b/>
          <w:sz w:val="22"/>
          <w:lang w:val="sr-Latn-RS" w:bidi="sr-Latn-RS"/>
        </w:rPr>
        <w:t>Tabela </w:t>
      </w:r>
      <w:bookmarkEnd w:id="13"/>
      <w:bookmarkEnd w:id="14"/>
      <w:r w:rsidRPr="008F1125">
        <w:rPr>
          <w:rFonts w:ascii="Times New Roman" w:hAnsi="Times New Roman" w:cs="Times New Roman"/>
          <w:b/>
          <w:sz w:val="22"/>
          <w:lang w:val="sr-Latn-RS" w:bidi="sr-Latn-RS"/>
        </w:rPr>
        <w:t>6: Primarna analiza odgovora na avelumab u dozi od 10 mg/kg svake 2 ned</w:t>
      </w:r>
      <w:r w:rsidR="00732B09" w:rsidRPr="008F1125">
        <w:rPr>
          <w:rFonts w:ascii="Times New Roman" w:hAnsi="Times New Roman" w:cs="Times New Roman"/>
          <w:b/>
          <w:sz w:val="22"/>
          <w:lang w:val="sr-Latn-RS" w:bidi="sr-Latn-RS"/>
        </w:rPr>
        <w:t>j</w:t>
      </w:r>
      <w:r w:rsidRPr="008F1125">
        <w:rPr>
          <w:rFonts w:ascii="Times New Roman" w:hAnsi="Times New Roman" w:cs="Times New Roman"/>
          <w:b/>
          <w:sz w:val="22"/>
          <w:lang w:val="sr-Latn-RS" w:bidi="sr-Latn-RS"/>
        </w:rPr>
        <w:t>elje kod pacijenata sa metastatskim karcinomom Merkelovih ćelija u ispitivanju EMR100070-003 (</w:t>
      </w:r>
      <w:r w:rsidR="003C0701" w:rsidRPr="008F1125">
        <w:rPr>
          <w:rFonts w:ascii="Times New Roman" w:hAnsi="Times New Roman" w:cs="Times New Roman"/>
          <w:b/>
          <w:sz w:val="22"/>
          <w:lang w:val="sr-Latn-RS" w:bidi="sr-Latn-RS"/>
        </w:rPr>
        <w:t xml:space="preserve">dio </w:t>
      </w:r>
      <w:r w:rsidRPr="008F1125">
        <w:rPr>
          <w:rFonts w:ascii="Times New Roman" w:hAnsi="Times New Roman" w:cs="Times New Roman"/>
          <w:b/>
          <w:sz w:val="22"/>
          <w:lang w:val="sr-Latn-RS" w:bidi="sr-Latn-RS"/>
        </w:rPr>
        <w:t>B)*</w:t>
      </w:r>
    </w:p>
    <w:p w14:paraId="1FB6363A" w14:textId="77777777" w:rsidR="005C2AEC" w:rsidRPr="008F1125" w:rsidRDefault="005C2AEC" w:rsidP="00577413">
      <w:pPr>
        <w:keepNext/>
        <w:keepLines/>
        <w:rPr>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110" w:type="dxa"/>
        </w:tblCellMar>
        <w:tblLook w:val="0000" w:firstRow="0" w:lastRow="0" w:firstColumn="0" w:lastColumn="0" w:noHBand="0" w:noVBand="0"/>
      </w:tblPr>
      <w:tblGrid>
        <w:gridCol w:w="5806"/>
        <w:gridCol w:w="3246"/>
        <w:gridCol w:w="9"/>
      </w:tblGrid>
      <w:tr w:rsidR="00F51581" w:rsidRPr="008F1125" w14:paraId="1FB6363F" w14:textId="77777777" w:rsidTr="004550F8">
        <w:trPr>
          <w:cantSplit/>
          <w:trHeight w:val="227"/>
          <w:tblHeader/>
          <w:jc w:val="center"/>
        </w:trPr>
        <w:tc>
          <w:tcPr>
            <w:tcW w:w="3204" w:type="pct"/>
          </w:tcPr>
          <w:p w14:paraId="1FB6363B" w14:textId="6CF5D6D9"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2"/>
                <w:lang w:val="sr-Latn-RS"/>
              </w:rPr>
            </w:pPr>
            <w:r w:rsidRPr="008F1125">
              <w:rPr>
                <w:b/>
                <w:lang w:val="sr-Latn-RS" w:bidi="sr-Latn-RS"/>
              </w:rPr>
              <w:t>M</w:t>
            </w:r>
            <w:r w:rsidR="00732B09" w:rsidRPr="008F1125">
              <w:rPr>
                <w:b/>
                <w:lang w:val="sr-Latn-RS" w:bidi="sr-Latn-RS"/>
              </w:rPr>
              <w:t>j</w:t>
            </w:r>
            <w:r w:rsidRPr="008F1125">
              <w:rPr>
                <w:b/>
                <w:lang w:val="sr-Latn-RS" w:bidi="sr-Latn-RS"/>
              </w:rPr>
              <w:t>ere ishoda efikasnosti (d</w:t>
            </w:r>
            <w:r w:rsidR="00732B09" w:rsidRPr="008F1125">
              <w:rPr>
                <w:b/>
                <w:lang w:val="sr-Latn-RS" w:bidi="sr-Latn-RS"/>
              </w:rPr>
              <w:t>i</w:t>
            </w:r>
            <w:r w:rsidRPr="008F1125">
              <w:rPr>
                <w:b/>
                <w:lang w:val="sr-Latn-RS" w:bidi="sr-Latn-RS"/>
              </w:rPr>
              <w:t>o B)</w:t>
            </w:r>
          </w:p>
          <w:p w14:paraId="1FB6363C"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2"/>
                <w:lang w:val="sr-Latn-RS"/>
              </w:rPr>
            </w:pPr>
            <w:r w:rsidRPr="008F1125">
              <w:rPr>
                <w:b/>
                <w:lang w:val="sr-Latn-RS" w:bidi="sr-Latn-RS"/>
              </w:rPr>
              <w:t>(prema RECIST verziji 1.1, IERC)</w:t>
            </w:r>
          </w:p>
        </w:tc>
        <w:tc>
          <w:tcPr>
            <w:tcW w:w="1796" w:type="pct"/>
            <w:gridSpan w:val="2"/>
          </w:tcPr>
          <w:p w14:paraId="1FB6363D" w14:textId="77777777" w:rsidR="005C2AEC" w:rsidRPr="008F1125" w:rsidRDefault="00926926" w:rsidP="00577413">
            <w:pPr>
              <w:keepNext/>
              <w:autoSpaceDE w:val="0"/>
              <w:autoSpaceDN w:val="0"/>
              <w:adjustRightInd w:val="0"/>
              <w:jc w:val="center"/>
              <w:rPr>
                <w:rFonts w:eastAsia="TimesNewRoman,Bold"/>
                <w:b/>
                <w:bCs/>
                <w:szCs w:val="22"/>
                <w:lang w:val="sr-Latn-RS"/>
              </w:rPr>
            </w:pPr>
            <w:r w:rsidRPr="008F1125">
              <w:rPr>
                <w:b/>
                <w:lang w:val="sr-Latn-RS" w:bidi="sr-Latn-RS"/>
              </w:rPr>
              <w:t>Rezultati</w:t>
            </w:r>
          </w:p>
          <w:p w14:paraId="1FB6363E" w14:textId="77777777" w:rsidR="005C2AEC" w:rsidRPr="008F1125" w:rsidRDefault="00926926" w:rsidP="00577413">
            <w:pPr>
              <w:keepNext/>
              <w:autoSpaceDE w:val="0"/>
              <w:autoSpaceDN w:val="0"/>
              <w:adjustRightInd w:val="0"/>
              <w:jc w:val="center"/>
              <w:rPr>
                <w:rFonts w:eastAsia="TimesNewRoman,Bold"/>
                <w:b/>
                <w:bCs/>
                <w:szCs w:val="22"/>
                <w:lang w:val="sr-Latn-RS"/>
              </w:rPr>
            </w:pPr>
            <w:r w:rsidRPr="008F1125">
              <w:rPr>
                <w:b/>
                <w:lang w:val="sr-Latn-RS" w:bidi="sr-Latn-RS"/>
              </w:rPr>
              <w:t>(N=116)</w:t>
            </w:r>
          </w:p>
        </w:tc>
      </w:tr>
      <w:tr w:rsidR="00F51581" w:rsidRPr="008F1125" w14:paraId="67CF76DB" w14:textId="77777777" w:rsidTr="004550F8">
        <w:trPr>
          <w:gridAfter w:val="1"/>
          <w:wAfter w:w="5" w:type="pct"/>
          <w:cantSplit/>
          <w:tblHeader/>
          <w:jc w:val="center"/>
        </w:trPr>
        <w:tc>
          <w:tcPr>
            <w:tcW w:w="3204" w:type="pct"/>
          </w:tcPr>
          <w:p w14:paraId="3DBC25EC" w14:textId="77777777" w:rsidR="00DF0699" w:rsidRPr="008F1125" w:rsidRDefault="00E25717" w:rsidP="002B59FE">
            <w:pPr>
              <w:keepNext/>
              <w:rPr>
                <w:rFonts w:eastAsia="SimSun"/>
                <w:b/>
                <w:szCs w:val="22"/>
                <w:lang w:val="sr-Latn-RS"/>
              </w:rPr>
            </w:pPr>
            <w:r w:rsidRPr="008F1125">
              <w:rPr>
                <w:b/>
                <w:lang w:val="sr-Latn-RS" w:bidi="sr-Latn-RS"/>
              </w:rPr>
              <w:t>Trajni odgovor</w:t>
            </w:r>
          </w:p>
          <w:p w14:paraId="7607A114" w14:textId="0EC7DE77" w:rsidR="00DF0699" w:rsidRPr="008F1125" w:rsidRDefault="00E25717" w:rsidP="002B59FE">
            <w:pPr>
              <w:keepNext/>
              <w:rPr>
                <w:rFonts w:eastAsia="SimSun"/>
                <w:szCs w:val="22"/>
                <w:lang w:val="sr-Latn-RS"/>
              </w:rPr>
            </w:pPr>
            <w:r w:rsidRPr="008F1125">
              <w:rPr>
                <w:lang w:val="sr-Latn-RS" w:bidi="sr-Latn-RS"/>
              </w:rPr>
              <w:tab/>
              <w:t xml:space="preserve">≥ 6 </w:t>
            </w:r>
            <w:r w:rsidR="00B27CC7" w:rsidRPr="008F1125">
              <w:rPr>
                <w:lang w:val="sr-Latn-RS" w:bidi="sr-Latn-RS"/>
              </w:rPr>
              <w:t>mjeseci</w:t>
            </w:r>
          </w:p>
          <w:p w14:paraId="1DBB6E02" w14:textId="77777777" w:rsidR="00DF0699" w:rsidRPr="008F1125" w:rsidRDefault="00E25717" w:rsidP="002B59FE">
            <w:pPr>
              <w:keepNext/>
              <w:rPr>
                <w:b/>
                <w:szCs w:val="22"/>
                <w:lang w:val="sr-Latn-RS"/>
              </w:rPr>
            </w:pPr>
            <w:r w:rsidRPr="008F1125">
              <w:rPr>
                <w:lang w:val="sr-Latn-RS" w:bidi="sr-Latn-RS"/>
              </w:rPr>
              <w:tab/>
              <w:t>(95% CI)</w:t>
            </w:r>
          </w:p>
        </w:tc>
        <w:tc>
          <w:tcPr>
            <w:tcW w:w="1791" w:type="pct"/>
          </w:tcPr>
          <w:p w14:paraId="3A781260" w14:textId="77777777" w:rsidR="00DF0699" w:rsidRPr="008F1125" w:rsidRDefault="00DF0699"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NewRoman,Bold"/>
                <w:bCs/>
                <w:szCs w:val="22"/>
                <w:lang w:val="sr-Latn-RS"/>
              </w:rPr>
            </w:pPr>
          </w:p>
          <w:p w14:paraId="2B65C9F0" w14:textId="77777777" w:rsidR="00DF0699" w:rsidRPr="008F1125" w:rsidRDefault="00E25717"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imSun"/>
                <w:szCs w:val="22"/>
                <w:lang w:val="sr-Latn-RS"/>
              </w:rPr>
            </w:pPr>
            <w:r w:rsidRPr="008F1125">
              <w:rPr>
                <w:lang w:val="sr-Latn-RS" w:bidi="sr-Latn-RS"/>
              </w:rPr>
              <w:t>30,2%</w:t>
            </w:r>
          </w:p>
          <w:p w14:paraId="7B00C697" w14:textId="77777777" w:rsidR="00DF0699" w:rsidRPr="008F1125" w:rsidRDefault="00E25717"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NewRoman,Bold"/>
                <w:bCs/>
                <w:szCs w:val="22"/>
                <w:lang w:val="sr-Latn-RS"/>
              </w:rPr>
            </w:pPr>
            <w:r w:rsidRPr="008F1125">
              <w:rPr>
                <w:lang w:val="sr-Latn-RS" w:bidi="sr-Latn-RS"/>
              </w:rPr>
              <w:t>(22,0; 39,4)</w:t>
            </w:r>
          </w:p>
        </w:tc>
      </w:tr>
      <w:tr w:rsidR="00F51581" w:rsidRPr="008F1125" w14:paraId="1FB63646" w14:textId="77777777" w:rsidTr="004550F8">
        <w:trPr>
          <w:cantSplit/>
          <w:tblHeader/>
          <w:jc w:val="center"/>
        </w:trPr>
        <w:tc>
          <w:tcPr>
            <w:tcW w:w="3204" w:type="pct"/>
          </w:tcPr>
          <w:p w14:paraId="1FB63640" w14:textId="77777777" w:rsidR="005C2AEC" w:rsidRPr="008F1125" w:rsidRDefault="00926926" w:rsidP="00577413">
            <w:pPr>
              <w:keepNext/>
              <w:rPr>
                <w:b/>
                <w:szCs w:val="22"/>
                <w:lang w:val="sr-Latn-RS"/>
              </w:rPr>
            </w:pPr>
            <w:r w:rsidRPr="008F1125">
              <w:rPr>
                <w:b/>
                <w:lang w:val="sr-Latn-RS" w:bidi="sr-Latn-RS"/>
              </w:rPr>
              <w:t>Stopa objektivnog odgovora</w:t>
            </w:r>
          </w:p>
          <w:p w14:paraId="1FB63641" w14:textId="77777777" w:rsidR="005C2AEC" w:rsidRPr="008F1125" w:rsidRDefault="00926926" w:rsidP="00577413">
            <w:pPr>
              <w:keepNext/>
              <w:rPr>
                <w:szCs w:val="22"/>
                <w:lang w:val="sr-Latn-RS"/>
              </w:rPr>
            </w:pPr>
            <w:r w:rsidRPr="008F1125">
              <w:rPr>
                <w:lang w:val="sr-Latn-RS" w:bidi="sr-Latn-RS"/>
              </w:rPr>
              <w:tab/>
              <w:t>Stopa odgovora, CR+PR** n (%)</w:t>
            </w:r>
          </w:p>
          <w:p w14:paraId="1FB63642"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2"/>
                <w:lang w:val="sr-Latn-RS"/>
              </w:rPr>
            </w:pPr>
            <w:r w:rsidRPr="008F1125">
              <w:rPr>
                <w:lang w:val="sr-Latn-RS" w:bidi="sr-Latn-RS"/>
              </w:rPr>
              <w:tab/>
              <w:t>(95% CI)</w:t>
            </w:r>
          </w:p>
        </w:tc>
        <w:tc>
          <w:tcPr>
            <w:tcW w:w="1796" w:type="pct"/>
            <w:gridSpan w:val="2"/>
          </w:tcPr>
          <w:p w14:paraId="1FB63643" w14:textId="77777777" w:rsidR="005C2AEC" w:rsidRPr="008F1125" w:rsidRDefault="005C2AEC"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p>
          <w:p w14:paraId="1FB63644"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46 (39,7 %)</w:t>
            </w:r>
          </w:p>
          <w:p w14:paraId="1FB63645" w14:textId="77777777" w:rsidR="005C2AEC" w:rsidRPr="008F1125" w:rsidRDefault="00926926" w:rsidP="00577413">
            <w:pPr>
              <w:keepNext/>
              <w:autoSpaceDE w:val="0"/>
              <w:autoSpaceDN w:val="0"/>
              <w:adjustRightInd w:val="0"/>
              <w:jc w:val="center"/>
              <w:rPr>
                <w:rFonts w:eastAsia="TimesNewRoman,Bold"/>
                <w:b/>
                <w:bCs/>
                <w:szCs w:val="22"/>
                <w:lang w:val="sr-Latn-RS"/>
              </w:rPr>
            </w:pPr>
            <w:r w:rsidRPr="008F1125">
              <w:rPr>
                <w:lang w:val="sr-Latn-RS" w:bidi="sr-Latn-RS"/>
              </w:rPr>
              <w:t>(30,7; 49,2)</w:t>
            </w:r>
          </w:p>
        </w:tc>
      </w:tr>
      <w:tr w:rsidR="00F51581" w:rsidRPr="008F1125" w14:paraId="1FB6364D" w14:textId="77777777" w:rsidTr="004550F8">
        <w:trPr>
          <w:cantSplit/>
          <w:jc w:val="center"/>
        </w:trPr>
        <w:tc>
          <w:tcPr>
            <w:tcW w:w="3204" w:type="pct"/>
          </w:tcPr>
          <w:p w14:paraId="1FB63647" w14:textId="2F375BA3" w:rsidR="005C2AEC" w:rsidRPr="008F1125" w:rsidRDefault="00926926" w:rsidP="00577413">
            <w:pPr>
              <w:keepNext/>
              <w:rPr>
                <w:b/>
                <w:kern w:val="24"/>
                <w:szCs w:val="22"/>
                <w:lang w:val="sr-Latn-RS"/>
              </w:rPr>
            </w:pPr>
            <w:r w:rsidRPr="008F1125">
              <w:rPr>
                <w:b/>
                <w:lang w:val="sr-Latn-RS" w:bidi="sr-Latn-RS"/>
              </w:rPr>
              <w:t>Potvrđen</w:t>
            </w:r>
            <w:r w:rsidR="00AA7648" w:rsidRPr="008F1125">
              <w:rPr>
                <w:b/>
                <w:lang w:val="sr-Latn-RS" w:bidi="sr-Latn-RS"/>
              </w:rPr>
              <w:t>i</w:t>
            </w:r>
            <w:r w:rsidRPr="008F1125">
              <w:rPr>
                <w:b/>
                <w:lang w:val="sr-Latn-RS" w:bidi="sr-Latn-RS"/>
              </w:rPr>
              <w:t xml:space="preserve"> najbolji ukupni odgovor</w:t>
            </w:r>
          </w:p>
          <w:p w14:paraId="1FB63648" w14:textId="77777777" w:rsidR="005C2AEC" w:rsidRPr="008F1125" w:rsidRDefault="00926926" w:rsidP="00577413">
            <w:pPr>
              <w:keepNext/>
              <w:rPr>
                <w:szCs w:val="22"/>
                <w:lang w:val="sr-Latn-RS"/>
              </w:rPr>
            </w:pPr>
            <w:r w:rsidRPr="008F1125">
              <w:rPr>
                <w:lang w:val="sr-Latn-RS" w:bidi="sr-Latn-RS"/>
              </w:rPr>
              <w:tab/>
              <w:t>Potpuni odgovor (CR)** n (%)</w:t>
            </w:r>
          </w:p>
          <w:p w14:paraId="1FB63649" w14:textId="31CCB96D" w:rsidR="005C2AEC" w:rsidRPr="008F1125" w:rsidRDefault="00926926" w:rsidP="00577413">
            <w:pPr>
              <w:keepNext/>
              <w:rPr>
                <w:szCs w:val="22"/>
                <w:lang w:val="sr-Latn-RS"/>
              </w:rPr>
            </w:pPr>
            <w:r w:rsidRPr="008F1125">
              <w:rPr>
                <w:lang w:val="sr-Latn-RS" w:bidi="sr-Latn-RS"/>
              </w:rPr>
              <w:tab/>
              <w:t>D</w:t>
            </w:r>
            <w:r w:rsidR="00732B09" w:rsidRPr="008F1125">
              <w:rPr>
                <w:lang w:val="sr-Latn-RS" w:bidi="sr-Latn-RS"/>
              </w:rPr>
              <w:t>j</w:t>
            </w:r>
            <w:r w:rsidRPr="008F1125">
              <w:rPr>
                <w:lang w:val="sr-Latn-RS" w:bidi="sr-Latn-RS"/>
              </w:rPr>
              <w:t>elimični odgovor (PR)** n (%)</w:t>
            </w:r>
          </w:p>
        </w:tc>
        <w:tc>
          <w:tcPr>
            <w:tcW w:w="1796" w:type="pct"/>
            <w:gridSpan w:val="2"/>
          </w:tcPr>
          <w:p w14:paraId="1FB6364A" w14:textId="77777777" w:rsidR="005C2AEC" w:rsidRPr="008F1125" w:rsidRDefault="005C2AEC"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p>
          <w:p w14:paraId="1FB6364B" w14:textId="5A19FC63" w:rsidR="005C2AEC" w:rsidRPr="008F1125" w:rsidRDefault="00E25717"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19 (16,4 %)</w:t>
            </w:r>
          </w:p>
          <w:p w14:paraId="1FB6364C" w14:textId="31F447F2" w:rsidR="005C2AEC" w:rsidRPr="008F1125" w:rsidRDefault="00E25717"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27 (23,3 %)</w:t>
            </w:r>
          </w:p>
        </w:tc>
      </w:tr>
      <w:tr w:rsidR="00F51581" w:rsidRPr="008F1125" w14:paraId="1FB6365C" w14:textId="77777777" w:rsidTr="004550F8">
        <w:trPr>
          <w:cantSplit/>
          <w:jc w:val="center"/>
        </w:trPr>
        <w:tc>
          <w:tcPr>
            <w:tcW w:w="3204" w:type="pct"/>
          </w:tcPr>
          <w:p w14:paraId="1FB6364E" w14:textId="77777777" w:rsidR="005C2AEC" w:rsidRPr="008F1125" w:rsidRDefault="00926926" w:rsidP="00577413">
            <w:pPr>
              <w:keepNext/>
              <w:rPr>
                <w:b/>
                <w:szCs w:val="22"/>
                <w:lang w:val="sr-Latn-RS"/>
              </w:rPr>
            </w:pPr>
            <w:r w:rsidRPr="008F1125">
              <w:rPr>
                <w:b/>
                <w:lang w:val="sr-Latn-RS" w:bidi="sr-Latn-RS"/>
              </w:rPr>
              <w:t>Trajanje odgovora</w:t>
            </w:r>
            <w:r w:rsidRPr="008F1125">
              <w:rPr>
                <w:vertAlign w:val="superscript"/>
                <w:lang w:val="sr-Latn-RS" w:bidi="sr-Latn-RS"/>
              </w:rPr>
              <w:t>a</w:t>
            </w:r>
          </w:p>
          <w:p w14:paraId="1FB6364F" w14:textId="48E3CBB1" w:rsidR="005C2AEC" w:rsidRPr="008F1125" w:rsidRDefault="00926926" w:rsidP="00577413">
            <w:pPr>
              <w:keepNext/>
              <w:rPr>
                <w:szCs w:val="22"/>
                <w:lang w:val="sr-Latn-RS"/>
              </w:rPr>
            </w:pPr>
            <w:r w:rsidRPr="008F1125">
              <w:rPr>
                <w:lang w:val="sr-Latn-RS" w:bidi="sr-Latn-RS"/>
              </w:rPr>
              <w:tab/>
              <w:t xml:space="preserve">Medijana, </w:t>
            </w:r>
            <w:r w:rsidR="00B27CC7" w:rsidRPr="008F1125">
              <w:rPr>
                <w:lang w:val="sr-Latn-RS" w:bidi="sr-Latn-RS"/>
              </w:rPr>
              <w:t>mjeseci</w:t>
            </w:r>
          </w:p>
          <w:p w14:paraId="1FB63650" w14:textId="77777777" w:rsidR="005C2AEC" w:rsidRPr="008F1125" w:rsidRDefault="00926926" w:rsidP="00577413">
            <w:pPr>
              <w:keepNext/>
              <w:rPr>
                <w:szCs w:val="22"/>
                <w:lang w:val="sr-Latn-RS"/>
              </w:rPr>
            </w:pPr>
            <w:r w:rsidRPr="008F1125">
              <w:rPr>
                <w:lang w:val="sr-Latn-RS" w:bidi="sr-Latn-RS"/>
              </w:rPr>
              <w:tab/>
              <w:t>(95% CI)</w:t>
            </w:r>
          </w:p>
          <w:p w14:paraId="1FB63651" w14:textId="205238E5" w:rsidR="005C2AEC" w:rsidRPr="008F1125" w:rsidRDefault="00926926" w:rsidP="004550F8">
            <w:pPr>
              <w:keepNext/>
              <w:rPr>
                <w:szCs w:val="22"/>
                <w:lang w:val="sr-Latn-RS"/>
              </w:rPr>
            </w:pPr>
            <w:r w:rsidRPr="008F1125">
              <w:rPr>
                <w:lang w:val="sr-Latn-RS" w:bidi="sr-Latn-RS"/>
              </w:rPr>
              <w:tab/>
              <w:t>Minimum, maksimum (</w:t>
            </w:r>
            <w:r w:rsidR="00B27CC7" w:rsidRPr="008F1125">
              <w:rPr>
                <w:lang w:val="sr-Latn-RS" w:bidi="sr-Latn-RS"/>
              </w:rPr>
              <w:t>mjeseci</w:t>
            </w:r>
            <w:r w:rsidRPr="008F1125">
              <w:rPr>
                <w:lang w:val="sr-Latn-RS" w:bidi="sr-Latn-RS"/>
              </w:rPr>
              <w:t>)</w:t>
            </w:r>
          </w:p>
          <w:p w14:paraId="1FB63652" w14:textId="5D5A9486" w:rsidR="005C2AEC" w:rsidRPr="008F1125" w:rsidRDefault="00926926" w:rsidP="00577413">
            <w:pPr>
              <w:keepNext/>
              <w:rPr>
                <w:szCs w:val="22"/>
                <w:lang w:val="sr-Latn-RS"/>
              </w:rPr>
            </w:pPr>
            <w:r w:rsidRPr="008F1125">
              <w:rPr>
                <w:lang w:val="sr-Latn-RS" w:bidi="sr-Latn-RS"/>
              </w:rPr>
              <w:tab/>
              <w:t>≥ 3 m</w:t>
            </w:r>
            <w:r w:rsidR="00515B67" w:rsidRPr="008F1125">
              <w:rPr>
                <w:lang w:val="sr-Latn-RS" w:bidi="sr-Latn-RS"/>
              </w:rPr>
              <w:t>j</w:t>
            </w:r>
            <w:r w:rsidRPr="008F1125">
              <w:rPr>
                <w:lang w:val="sr-Latn-RS" w:bidi="sr-Latn-RS"/>
              </w:rPr>
              <w:t>eseca prema K-M, (95% CI)</w:t>
            </w:r>
          </w:p>
          <w:p w14:paraId="1FB63653" w14:textId="1BC17EA9" w:rsidR="005C2AEC" w:rsidRPr="008F1125" w:rsidRDefault="00926926" w:rsidP="00577413">
            <w:pPr>
              <w:keepNext/>
              <w:rPr>
                <w:szCs w:val="22"/>
                <w:lang w:val="sr-Latn-RS"/>
              </w:rPr>
            </w:pPr>
            <w:r w:rsidRPr="008F1125">
              <w:rPr>
                <w:lang w:val="sr-Latn-RS" w:bidi="sr-Latn-RS"/>
              </w:rPr>
              <w:tab/>
              <w:t xml:space="preserve">≥ 6 </w:t>
            </w:r>
            <w:r w:rsidR="00B27CC7" w:rsidRPr="008F1125">
              <w:rPr>
                <w:lang w:val="sr-Latn-RS" w:bidi="sr-Latn-RS"/>
              </w:rPr>
              <w:t>mjeseci</w:t>
            </w:r>
            <w:r w:rsidRPr="008F1125">
              <w:rPr>
                <w:lang w:val="sr-Latn-RS" w:bidi="sr-Latn-RS"/>
              </w:rPr>
              <w:t xml:space="preserve"> prema K-M, (95% CI)</w:t>
            </w:r>
          </w:p>
          <w:p w14:paraId="57C766D5" w14:textId="472172A9" w:rsidR="00DF0699" w:rsidRPr="008F1125" w:rsidRDefault="00926926" w:rsidP="002B59FE">
            <w:pPr>
              <w:keepNext/>
              <w:rPr>
                <w:szCs w:val="22"/>
                <w:lang w:val="sr-Latn-RS"/>
              </w:rPr>
            </w:pPr>
            <w:r w:rsidRPr="008F1125">
              <w:rPr>
                <w:lang w:val="sr-Latn-RS" w:bidi="sr-Latn-RS"/>
              </w:rPr>
              <w:tab/>
              <w:t xml:space="preserve">≥ 12 </w:t>
            </w:r>
            <w:r w:rsidR="00B27CC7" w:rsidRPr="008F1125">
              <w:rPr>
                <w:lang w:val="sr-Latn-RS" w:bidi="sr-Latn-RS"/>
              </w:rPr>
              <w:t>mjeseci</w:t>
            </w:r>
            <w:r w:rsidRPr="008F1125">
              <w:rPr>
                <w:lang w:val="sr-Latn-RS" w:bidi="sr-Latn-RS"/>
              </w:rPr>
              <w:t xml:space="preserve"> prema K-M, (95% CI)</w:t>
            </w:r>
          </w:p>
          <w:p w14:paraId="17C0DF0F" w14:textId="3D648F92" w:rsidR="00DF0699" w:rsidRPr="008F1125" w:rsidRDefault="00E25717" w:rsidP="002B59FE">
            <w:pPr>
              <w:keepNext/>
              <w:rPr>
                <w:szCs w:val="22"/>
                <w:lang w:val="sr-Latn-RS"/>
              </w:rPr>
            </w:pPr>
            <w:r w:rsidRPr="008F1125">
              <w:rPr>
                <w:lang w:val="sr-Latn-RS" w:bidi="sr-Latn-RS"/>
              </w:rPr>
              <w:tab/>
              <w:t xml:space="preserve">≥ 18 </w:t>
            </w:r>
            <w:r w:rsidR="00B27CC7" w:rsidRPr="008F1125">
              <w:rPr>
                <w:lang w:val="sr-Latn-RS" w:bidi="sr-Latn-RS"/>
              </w:rPr>
              <w:t>mjeseci</w:t>
            </w:r>
            <w:r w:rsidRPr="008F1125">
              <w:rPr>
                <w:lang w:val="sr-Latn-RS" w:bidi="sr-Latn-RS"/>
              </w:rPr>
              <w:t xml:space="preserve"> prema K-M, (95% CI)</w:t>
            </w:r>
          </w:p>
          <w:p w14:paraId="1FB63654" w14:textId="3258106C" w:rsidR="005C2AEC" w:rsidRPr="008F1125" w:rsidRDefault="00E25717" w:rsidP="00577413">
            <w:pPr>
              <w:keepNext/>
              <w:rPr>
                <w:szCs w:val="22"/>
                <w:lang w:val="sr-Latn-RS"/>
              </w:rPr>
            </w:pPr>
            <w:r w:rsidRPr="008F1125">
              <w:rPr>
                <w:lang w:val="sr-Latn-RS" w:bidi="sr-Latn-RS"/>
              </w:rPr>
              <w:tab/>
              <w:t>≥ 24 m</w:t>
            </w:r>
            <w:r w:rsidR="003C0701" w:rsidRPr="008F1125">
              <w:rPr>
                <w:lang w:val="sr-Latn-RS" w:bidi="sr-Latn-RS"/>
              </w:rPr>
              <w:t>j</w:t>
            </w:r>
            <w:r w:rsidRPr="008F1125">
              <w:rPr>
                <w:lang w:val="sr-Latn-RS" w:bidi="sr-Latn-RS"/>
              </w:rPr>
              <w:t>eseca prema K-M, (95% CI)</w:t>
            </w:r>
          </w:p>
        </w:tc>
        <w:tc>
          <w:tcPr>
            <w:tcW w:w="1796" w:type="pct"/>
            <w:gridSpan w:val="2"/>
          </w:tcPr>
          <w:p w14:paraId="1FB63655" w14:textId="77777777" w:rsidR="005C2AEC" w:rsidRPr="008F1125" w:rsidRDefault="005C2AEC"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TimesNewRoman,Bold"/>
                <w:bCs/>
                <w:szCs w:val="22"/>
                <w:lang w:val="sr-Latn-RS"/>
              </w:rPr>
            </w:pPr>
          </w:p>
          <w:p w14:paraId="1FB63656" w14:textId="0378CA90" w:rsidR="005C2AEC" w:rsidRPr="008F1125" w:rsidRDefault="00E25717"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18,2</w:t>
            </w:r>
          </w:p>
          <w:p w14:paraId="1FB63657" w14:textId="2E402344"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(11,3</w:t>
            </w:r>
            <w:r w:rsidR="00732B09" w:rsidRPr="008F1125">
              <w:rPr>
                <w:lang w:val="sr-Latn-RS" w:bidi="sr-Latn-RS"/>
              </w:rPr>
              <w:t>;</w:t>
            </w:r>
            <w:r w:rsidRPr="008F1125">
              <w:rPr>
                <w:lang w:val="sr-Latn-RS" w:bidi="sr-Latn-RS"/>
              </w:rPr>
              <w:t xml:space="preserve"> nije moglo da se proc</w:t>
            </w:r>
            <w:r w:rsidR="003C0701" w:rsidRPr="008F1125">
              <w:rPr>
                <w:lang w:val="sr-Latn-RS" w:bidi="sr-Latn-RS"/>
              </w:rPr>
              <w:t>ij</w:t>
            </w:r>
            <w:r w:rsidRPr="008F1125">
              <w:rPr>
                <w:lang w:val="sr-Latn-RS" w:bidi="sr-Latn-RS"/>
              </w:rPr>
              <w:t>eni)</w:t>
            </w:r>
          </w:p>
          <w:p w14:paraId="1FB63658" w14:textId="27C01779"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1,2; 28,3</w:t>
            </w:r>
          </w:p>
          <w:p w14:paraId="1FB63659"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89% (75, 95)</w:t>
            </w:r>
          </w:p>
          <w:p w14:paraId="1FB6365A" w14:textId="0F514DA8"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imSun"/>
                <w:szCs w:val="22"/>
                <w:lang w:val="sr-Latn-RS" w:eastAsia="en-GB"/>
              </w:rPr>
            </w:pPr>
            <w:r w:rsidRPr="008F1125">
              <w:rPr>
                <w:lang w:val="sr-Latn-RS" w:bidi="sr-Latn-RS"/>
              </w:rPr>
              <w:t>78% (63, 87)</w:t>
            </w:r>
          </w:p>
          <w:p w14:paraId="7C2BC11D" w14:textId="77777777" w:rsidR="00DF0699" w:rsidRPr="008F1125" w:rsidRDefault="00E25717"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imSun"/>
                <w:szCs w:val="22"/>
                <w:lang w:val="sr-Latn-RS" w:eastAsia="en-GB"/>
              </w:rPr>
            </w:pPr>
            <w:r w:rsidRPr="008F1125">
              <w:rPr>
                <w:lang w:val="sr-Latn-RS" w:bidi="sr-Latn-RS"/>
              </w:rPr>
              <w:t>66% (50, 78)</w:t>
            </w:r>
          </w:p>
          <w:p w14:paraId="359C82ED" w14:textId="77777777" w:rsidR="00DF0699" w:rsidRPr="008F1125" w:rsidRDefault="00E25717"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imSun"/>
                <w:szCs w:val="22"/>
                <w:lang w:val="sr-Latn-RS" w:eastAsia="en-GB"/>
              </w:rPr>
            </w:pPr>
            <w:r w:rsidRPr="008F1125">
              <w:rPr>
                <w:lang w:val="sr-Latn-RS" w:bidi="sr-Latn-RS"/>
              </w:rPr>
              <w:t>52% (34, 67)</w:t>
            </w:r>
          </w:p>
          <w:p w14:paraId="1FB6365B" w14:textId="3D1CF18F" w:rsidR="005C2AEC" w:rsidRPr="008F1125" w:rsidRDefault="00E25717"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45% (25, 63)</w:t>
            </w:r>
          </w:p>
        </w:tc>
      </w:tr>
      <w:tr w:rsidR="00F51581" w:rsidRPr="008F1125" w14:paraId="1FB63669" w14:textId="77777777" w:rsidTr="004550F8">
        <w:trPr>
          <w:cantSplit/>
          <w:jc w:val="center"/>
        </w:trPr>
        <w:tc>
          <w:tcPr>
            <w:tcW w:w="3204" w:type="pct"/>
          </w:tcPr>
          <w:p w14:paraId="1FB6365D" w14:textId="77777777" w:rsidR="005C2AEC" w:rsidRPr="008F1125" w:rsidRDefault="00926926" w:rsidP="00577413">
            <w:pPr>
              <w:keepNext/>
              <w:rPr>
                <w:b/>
                <w:szCs w:val="22"/>
                <w:lang w:val="sr-Latn-RS" w:eastAsia="ja-JP"/>
              </w:rPr>
            </w:pPr>
            <w:r w:rsidRPr="008F1125">
              <w:rPr>
                <w:b/>
                <w:lang w:val="sr-Latn-RS" w:bidi="sr-Latn-RS"/>
              </w:rPr>
              <w:t>Preživljavanje bez progresije bolesti (PFS)</w:t>
            </w:r>
          </w:p>
          <w:p w14:paraId="1FB6365E" w14:textId="6D95B8D9" w:rsidR="005C2AEC" w:rsidRPr="008F1125" w:rsidRDefault="00926926" w:rsidP="00577413">
            <w:pPr>
              <w:keepNext/>
              <w:rPr>
                <w:szCs w:val="22"/>
                <w:lang w:val="sr-Latn-RS" w:eastAsia="ja-JP"/>
              </w:rPr>
            </w:pPr>
            <w:r w:rsidRPr="008F1125">
              <w:rPr>
                <w:lang w:val="sr-Latn-RS" w:bidi="sr-Latn-RS"/>
              </w:rPr>
              <w:tab/>
              <w:t xml:space="preserve">Medijana PFS, </w:t>
            </w:r>
            <w:r w:rsidR="00B27CC7" w:rsidRPr="008F1125">
              <w:rPr>
                <w:lang w:val="sr-Latn-RS" w:bidi="sr-Latn-RS"/>
              </w:rPr>
              <w:t>mjeseci</w:t>
            </w:r>
          </w:p>
          <w:p w14:paraId="1FB6365F" w14:textId="77777777" w:rsidR="005C2AEC" w:rsidRPr="008F1125" w:rsidRDefault="00926926" w:rsidP="00577413">
            <w:pPr>
              <w:keepNext/>
              <w:rPr>
                <w:szCs w:val="22"/>
                <w:lang w:val="sr-Latn-RS" w:eastAsia="ja-JP"/>
              </w:rPr>
            </w:pPr>
            <w:r w:rsidRPr="008F1125">
              <w:rPr>
                <w:lang w:val="sr-Latn-RS" w:bidi="sr-Latn-RS"/>
              </w:rPr>
              <w:tab/>
              <w:t>(95% CI)</w:t>
            </w:r>
          </w:p>
          <w:p w14:paraId="1FB63660" w14:textId="0579F07E" w:rsidR="005C2AEC" w:rsidRPr="008F1125" w:rsidRDefault="00926926" w:rsidP="00577413">
            <w:pPr>
              <w:keepNext/>
              <w:rPr>
                <w:szCs w:val="22"/>
                <w:lang w:val="sr-Latn-RS" w:eastAsia="ja-JP"/>
              </w:rPr>
            </w:pPr>
            <w:r w:rsidRPr="008F1125">
              <w:rPr>
                <w:lang w:val="sr-Latn-RS" w:bidi="sr-Latn-RS"/>
              </w:rPr>
              <w:tab/>
              <w:t>3-</w:t>
            </w:r>
            <w:r w:rsidR="00B27CC7" w:rsidRPr="008F1125">
              <w:rPr>
                <w:lang w:val="sr-Latn-RS" w:bidi="sr-Latn-RS"/>
              </w:rPr>
              <w:t>mjesečna</w:t>
            </w:r>
            <w:r w:rsidRPr="008F1125">
              <w:rPr>
                <w:lang w:val="sr-Latn-RS" w:bidi="sr-Latn-RS"/>
              </w:rPr>
              <w:t xml:space="preserve"> stopa PFS-a prema K-M, (95% CI)</w:t>
            </w:r>
          </w:p>
          <w:p w14:paraId="1FB63661" w14:textId="070B6BE7" w:rsidR="005C2AEC" w:rsidRPr="008F1125" w:rsidRDefault="00926926" w:rsidP="00577413">
            <w:pPr>
              <w:keepNext/>
              <w:rPr>
                <w:szCs w:val="22"/>
                <w:lang w:val="sr-Latn-RS" w:eastAsia="ja-JP"/>
              </w:rPr>
            </w:pPr>
            <w:r w:rsidRPr="008F1125">
              <w:rPr>
                <w:lang w:val="sr-Latn-RS" w:bidi="sr-Latn-RS"/>
              </w:rPr>
              <w:tab/>
              <w:t>6-</w:t>
            </w:r>
            <w:r w:rsidR="00B27CC7" w:rsidRPr="008F1125">
              <w:rPr>
                <w:lang w:val="sr-Latn-RS" w:bidi="sr-Latn-RS"/>
              </w:rPr>
              <w:t>mjesečna</w:t>
            </w:r>
            <w:r w:rsidRPr="008F1125">
              <w:rPr>
                <w:lang w:val="sr-Latn-RS" w:bidi="sr-Latn-RS"/>
              </w:rPr>
              <w:t xml:space="preserve"> stopa PFS-a prema K-M, (95% CI)</w:t>
            </w:r>
          </w:p>
          <w:p w14:paraId="4A0833E5" w14:textId="4BD289AA" w:rsidR="00DF0699" w:rsidRPr="008F1125" w:rsidRDefault="00926926" w:rsidP="00732B09">
            <w:pPr>
              <w:keepNext/>
              <w:ind w:left="591" w:hanging="142"/>
              <w:rPr>
                <w:szCs w:val="22"/>
                <w:lang w:val="sr-Latn-RS" w:eastAsia="ja-JP"/>
              </w:rPr>
            </w:pPr>
            <w:r w:rsidRPr="008F1125">
              <w:rPr>
                <w:lang w:val="sr-Latn-RS" w:bidi="sr-Latn-RS"/>
              </w:rPr>
              <w:tab/>
              <w:t>12-</w:t>
            </w:r>
            <w:r w:rsidR="00B27CC7" w:rsidRPr="008F1125">
              <w:rPr>
                <w:lang w:val="sr-Latn-RS" w:bidi="sr-Latn-RS"/>
              </w:rPr>
              <w:t>mjesečna</w:t>
            </w:r>
            <w:r w:rsidRPr="008F1125">
              <w:rPr>
                <w:lang w:val="sr-Latn-RS" w:bidi="sr-Latn-RS"/>
              </w:rPr>
              <w:t xml:space="preserve"> stopa PFS-a prema K-M, (95% CI)</w:t>
            </w:r>
          </w:p>
          <w:p w14:paraId="1FB63662" w14:textId="59163D42" w:rsidR="005C2AEC" w:rsidRPr="008F1125" w:rsidRDefault="00E25717" w:rsidP="00732B09">
            <w:pPr>
              <w:keepNext/>
              <w:tabs>
                <w:tab w:val="clear" w:pos="567"/>
              </w:tabs>
              <w:ind w:left="591" w:hanging="142"/>
              <w:rPr>
                <w:szCs w:val="22"/>
                <w:lang w:val="sr-Latn-RS" w:eastAsia="ja-JP"/>
              </w:rPr>
            </w:pPr>
            <w:r w:rsidRPr="008F1125">
              <w:rPr>
                <w:lang w:val="sr-Latn-RS" w:bidi="sr-Latn-RS"/>
              </w:rPr>
              <w:tab/>
              <w:t>24-</w:t>
            </w:r>
            <w:r w:rsidR="00B27CC7" w:rsidRPr="008F1125">
              <w:rPr>
                <w:lang w:val="sr-Latn-RS" w:bidi="sr-Latn-RS"/>
              </w:rPr>
              <w:t>mjesečna</w:t>
            </w:r>
            <w:r w:rsidRPr="008F1125">
              <w:rPr>
                <w:lang w:val="sr-Latn-RS" w:bidi="sr-Latn-RS"/>
              </w:rPr>
              <w:t xml:space="preserve"> stopa PFS-a prema K-M, (95% CI)</w:t>
            </w:r>
          </w:p>
        </w:tc>
        <w:tc>
          <w:tcPr>
            <w:tcW w:w="1796" w:type="pct"/>
            <w:gridSpan w:val="2"/>
          </w:tcPr>
          <w:p w14:paraId="1FB63663" w14:textId="77777777" w:rsidR="005C2AEC" w:rsidRPr="008F1125" w:rsidRDefault="005C2AEC"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p>
          <w:p w14:paraId="1FB63664"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4,1</w:t>
            </w:r>
          </w:p>
          <w:p w14:paraId="1FB63665"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(1,4; 6,1)</w:t>
            </w:r>
          </w:p>
          <w:p w14:paraId="1FB63666"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51% (42, 60)</w:t>
            </w:r>
          </w:p>
          <w:p w14:paraId="1FB63667" w14:textId="77777777" w:rsidR="005C2AEC" w:rsidRPr="008F1125" w:rsidRDefault="00926926"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imSun"/>
                <w:szCs w:val="22"/>
                <w:lang w:val="sr-Latn-RS" w:eastAsia="en-GB"/>
              </w:rPr>
            </w:pPr>
            <w:r w:rsidRPr="008F1125">
              <w:rPr>
                <w:lang w:val="sr-Latn-RS" w:bidi="sr-Latn-RS"/>
              </w:rPr>
              <w:t>41% (32, 50)</w:t>
            </w:r>
          </w:p>
          <w:p w14:paraId="386FDA25" w14:textId="77777777" w:rsidR="00DF0699" w:rsidRPr="008F1125" w:rsidRDefault="00E25717" w:rsidP="002B59F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31% (23, 40)</w:t>
            </w:r>
          </w:p>
          <w:p w14:paraId="1FB63668" w14:textId="2C9DEA91" w:rsidR="005C2AEC" w:rsidRPr="008F1125" w:rsidRDefault="00E25717" w:rsidP="0057741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2"/>
                <w:lang w:val="sr-Latn-RS"/>
              </w:rPr>
            </w:pPr>
            <w:r w:rsidRPr="008F1125">
              <w:rPr>
                <w:lang w:val="sr-Latn-RS" w:bidi="sr-Latn-RS"/>
              </w:rPr>
              <w:t>20% (12, 30)</w:t>
            </w:r>
          </w:p>
        </w:tc>
      </w:tr>
    </w:tbl>
    <w:p w14:paraId="1FB6366A" w14:textId="4F148497" w:rsidR="005C2AEC" w:rsidRPr="008F1125" w:rsidRDefault="00926926" w:rsidP="004550F8">
      <w:pPr>
        <w:keepNext/>
        <w:tabs>
          <w:tab w:val="clear" w:pos="567"/>
        </w:tabs>
        <w:ind w:right="-1"/>
        <w:jc w:val="both"/>
        <w:rPr>
          <w:sz w:val="20"/>
          <w:lang w:val="sr-Latn-RS"/>
        </w:rPr>
      </w:pPr>
      <w:r w:rsidRPr="008F1125">
        <w:rPr>
          <w:sz w:val="20"/>
          <w:lang w:val="sr-Latn-RS" w:bidi="sr-Latn-RS"/>
        </w:rPr>
        <w:t>CI: interval pouzdanosti; RECIST: Kriterijumi za oc</w:t>
      </w:r>
      <w:r w:rsidR="003C0701" w:rsidRPr="008F1125">
        <w:rPr>
          <w:sz w:val="20"/>
          <w:lang w:val="sr-Latn-RS" w:bidi="sr-Latn-RS"/>
        </w:rPr>
        <w:t>j</w:t>
      </w:r>
      <w:r w:rsidRPr="008F1125">
        <w:rPr>
          <w:sz w:val="20"/>
          <w:lang w:val="sr-Latn-RS" w:bidi="sr-Latn-RS"/>
        </w:rPr>
        <w:t xml:space="preserve">enu odgovora kod solidnih tumora (eng. </w:t>
      </w:r>
      <w:r w:rsidRPr="008F1125">
        <w:rPr>
          <w:i/>
          <w:sz w:val="20"/>
          <w:lang w:val="sr-Latn-RS" w:bidi="sr-Latn-RS"/>
        </w:rPr>
        <w:t>Response Evaluation Criteria in Solid Tumours</w:t>
      </w:r>
      <w:r w:rsidRPr="008F1125">
        <w:rPr>
          <w:sz w:val="20"/>
          <w:lang w:val="sr-Latn-RS" w:bidi="sr-Latn-RS"/>
        </w:rPr>
        <w:t xml:space="preserve">); IERC: Odbor za nezavisnu </w:t>
      </w:r>
      <w:r w:rsidR="0063413D" w:rsidRPr="008F1125">
        <w:rPr>
          <w:sz w:val="20"/>
          <w:lang w:val="sr-Latn-RS" w:bidi="sr-Latn-RS"/>
        </w:rPr>
        <w:t>procjenu</w:t>
      </w:r>
      <w:r w:rsidRPr="008F1125">
        <w:rPr>
          <w:sz w:val="20"/>
          <w:lang w:val="sr-Latn-RS" w:bidi="sr-Latn-RS"/>
        </w:rPr>
        <w:t xml:space="preserve"> ishoda (eng. </w:t>
      </w:r>
      <w:r w:rsidRPr="008F1125">
        <w:rPr>
          <w:i/>
          <w:sz w:val="20"/>
          <w:lang w:val="sr-Latn-RS" w:bidi="sr-Latn-RS"/>
        </w:rPr>
        <w:t>Independent Endpoint Review Committee</w:t>
      </w:r>
      <w:r w:rsidRPr="008F1125">
        <w:rPr>
          <w:sz w:val="20"/>
          <w:lang w:val="sr-Latn-RS" w:bidi="sr-Latn-RS"/>
        </w:rPr>
        <w:t>, IERC); K-M: Kaplan-Meier</w:t>
      </w:r>
    </w:p>
    <w:p w14:paraId="1FB6366B" w14:textId="434019EE" w:rsidR="005C2AEC" w:rsidRPr="008F1125" w:rsidRDefault="00926926" w:rsidP="004550F8">
      <w:pPr>
        <w:keepNext/>
        <w:tabs>
          <w:tab w:val="clear" w:pos="567"/>
        </w:tabs>
        <w:autoSpaceDE w:val="0"/>
        <w:autoSpaceDN w:val="0"/>
        <w:adjustRightInd w:val="0"/>
        <w:ind w:right="-1"/>
        <w:jc w:val="both"/>
        <w:rPr>
          <w:rFonts w:eastAsia="SimSun"/>
          <w:spacing w:val="-1"/>
          <w:szCs w:val="22"/>
          <w:lang w:val="sr-Latn-RS" w:eastAsia="en-GB"/>
        </w:rPr>
      </w:pPr>
      <w:r w:rsidRPr="008F1125">
        <w:rPr>
          <w:sz w:val="20"/>
          <w:lang w:val="sr-Latn-RS" w:bidi="sr-Latn-RS"/>
        </w:rPr>
        <w:t xml:space="preserve">*Podaci o efikasnosti za minimalno trajanje praćenja od 15 </w:t>
      </w:r>
      <w:r w:rsidR="00B27CC7" w:rsidRPr="008F1125">
        <w:rPr>
          <w:sz w:val="20"/>
          <w:lang w:val="sr-Latn-RS" w:bidi="sr-Latn-RS"/>
        </w:rPr>
        <w:t>mjeseci</w:t>
      </w:r>
      <w:r w:rsidRPr="008F1125">
        <w:rPr>
          <w:sz w:val="20"/>
          <w:lang w:val="sr-Latn-RS" w:bidi="sr-Latn-RS"/>
        </w:rPr>
        <w:t xml:space="preserve"> (uključeni podaci prikupljeni do 2.5.2019.</w:t>
      </w:r>
      <w:r w:rsidR="00836743" w:rsidRPr="008F1125">
        <w:rPr>
          <w:sz w:val="20"/>
          <w:lang w:val="sr-Latn-RS" w:bidi="sr-Latn-RS"/>
        </w:rPr>
        <w:t xml:space="preserve"> </w:t>
      </w:r>
      <w:r w:rsidRPr="008F1125">
        <w:rPr>
          <w:sz w:val="20"/>
          <w:lang w:val="sr-Latn-RS" w:bidi="sr-Latn-RS"/>
        </w:rPr>
        <w:t>god</w:t>
      </w:r>
      <w:r w:rsidR="00732B09" w:rsidRPr="008F1125">
        <w:rPr>
          <w:sz w:val="20"/>
          <w:lang w:val="sr-Latn-RS" w:bidi="sr-Latn-RS"/>
        </w:rPr>
        <w:t>ine</w:t>
      </w:r>
      <w:r w:rsidRPr="008F1125">
        <w:rPr>
          <w:sz w:val="20"/>
          <w:lang w:val="sr-Latn-RS" w:bidi="sr-Latn-RS"/>
        </w:rPr>
        <w:t>)</w:t>
      </w:r>
    </w:p>
    <w:p w14:paraId="1FB6366C" w14:textId="508F5D5E" w:rsidR="005C2AEC" w:rsidRPr="008F1125" w:rsidRDefault="00926926" w:rsidP="004550F8">
      <w:pPr>
        <w:keepNext/>
        <w:tabs>
          <w:tab w:val="clear" w:pos="567"/>
        </w:tabs>
        <w:ind w:right="-1"/>
        <w:jc w:val="both"/>
        <w:rPr>
          <w:rFonts w:eastAsia="SimSun"/>
          <w:spacing w:val="-1"/>
          <w:sz w:val="20"/>
          <w:lang w:val="sr-Latn-RS" w:eastAsia="en-GB"/>
        </w:rPr>
      </w:pPr>
      <w:r w:rsidRPr="008F1125">
        <w:rPr>
          <w:spacing w:val="-1"/>
          <w:sz w:val="20"/>
          <w:lang w:val="sr-Latn-RS" w:bidi="sr-Latn-RS"/>
        </w:rPr>
        <w:t>** CR ili PR bili su potvrđeni na kasnijoj proc</w:t>
      </w:r>
      <w:r w:rsidR="003C0701" w:rsidRPr="008F1125">
        <w:rPr>
          <w:spacing w:val="-1"/>
          <w:sz w:val="20"/>
          <w:lang w:val="sr-Latn-RS" w:bidi="sr-Latn-RS"/>
        </w:rPr>
        <w:t>j</w:t>
      </w:r>
      <w:r w:rsidRPr="008F1125">
        <w:rPr>
          <w:spacing w:val="-1"/>
          <w:sz w:val="20"/>
          <w:lang w:val="sr-Latn-RS" w:bidi="sr-Latn-RS"/>
        </w:rPr>
        <w:t>eni tumora</w:t>
      </w:r>
    </w:p>
    <w:p w14:paraId="1FB6366D" w14:textId="77777777" w:rsidR="005C2AEC" w:rsidRPr="008F1125" w:rsidRDefault="00926926" w:rsidP="004550F8">
      <w:pPr>
        <w:tabs>
          <w:tab w:val="clear" w:pos="567"/>
        </w:tabs>
        <w:ind w:right="-1"/>
        <w:jc w:val="both"/>
        <w:rPr>
          <w:sz w:val="20"/>
          <w:lang w:val="sr-Latn-RS"/>
        </w:rPr>
      </w:pPr>
      <w:r w:rsidRPr="008F1125">
        <w:rPr>
          <w:sz w:val="20"/>
          <w:vertAlign w:val="superscript"/>
          <w:lang w:val="sr-Latn-RS" w:bidi="sr-Latn-RS"/>
        </w:rPr>
        <w:t>a</w:t>
      </w:r>
      <w:r w:rsidRPr="008F1125">
        <w:rPr>
          <w:sz w:val="20"/>
          <w:lang w:val="sr-Latn-RS" w:bidi="sr-Latn-RS"/>
        </w:rPr>
        <w:t xml:space="preserve"> Na osnovu broja pacijenata sa potvrđenim odgovorom (CR ili PR)</w:t>
      </w:r>
    </w:p>
    <w:p w14:paraId="1FB6366E" w14:textId="77777777" w:rsidR="005C2AEC" w:rsidRPr="008F1125" w:rsidRDefault="005C2AEC" w:rsidP="00577413">
      <w:pPr>
        <w:rPr>
          <w:szCs w:val="22"/>
          <w:lang w:val="sr-Latn-RS"/>
        </w:rPr>
      </w:pPr>
    </w:p>
    <w:p w14:paraId="1FB6366F" w14:textId="4837657F" w:rsidR="005C2AEC" w:rsidRPr="008F1125" w:rsidRDefault="00926926" w:rsidP="00732B09">
      <w:pPr>
        <w:jc w:val="both"/>
        <w:rPr>
          <w:lang w:val="sr-Latn-RS"/>
        </w:rPr>
      </w:pPr>
      <w:r w:rsidRPr="008F1125">
        <w:rPr>
          <w:lang w:val="sr-Latn-RS" w:bidi="sr-Latn-RS"/>
        </w:rPr>
        <w:t xml:space="preserve">Na slici 2 prikazana je </w:t>
      </w:r>
      <w:r w:rsidRPr="008F1125">
        <w:rPr>
          <w:i/>
          <w:lang w:val="sr-Latn-RS" w:bidi="sr-Latn-RS"/>
        </w:rPr>
        <w:t>Kaplan-Meier</w:t>
      </w:r>
      <w:r w:rsidRPr="008F1125">
        <w:rPr>
          <w:lang w:val="sr-Latn-RS" w:bidi="sr-Latn-RS"/>
        </w:rPr>
        <w:t xml:space="preserve">-ova </w:t>
      </w:r>
      <w:r w:rsidR="00C76484" w:rsidRPr="008F1125">
        <w:rPr>
          <w:lang w:val="sr-Latn-RS" w:bidi="sr-Latn-RS"/>
        </w:rPr>
        <w:t>proc</w:t>
      </w:r>
      <w:r w:rsidR="00732B09" w:rsidRPr="008F1125">
        <w:rPr>
          <w:lang w:val="sr-Latn-RS" w:bidi="sr-Latn-RS"/>
        </w:rPr>
        <w:t>j</w:t>
      </w:r>
      <w:r w:rsidR="00C76484" w:rsidRPr="008F1125">
        <w:rPr>
          <w:lang w:val="sr-Latn-RS" w:bidi="sr-Latn-RS"/>
        </w:rPr>
        <w:t xml:space="preserve">ena </w:t>
      </w:r>
      <w:r w:rsidRPr="008F1125">
        <w:rPr>
          <w:lang w:val="sr-Latn-RS" w:bidi="sr-Latn-RS"/>
        </w:rPr>
        <w:t>preživljavanja bez progresije bolesti iz primarne analize sa 116 pacijenata koji su bili uključeni u d</w:t>
      </w:r>
      <w:r w:rsidR="00515B67" w:rsidRPr="008F1125">
        <w:rPr>
          <w:lang w:val="sr-Latn-RS" w:bidi="sr-Latn-RS"/>
        </w:rPr>
        <w:t>i</w:t>
      </w:r>
      <w:r w:rsidRPr="008F1125">
        <w:rPr>
          <w:lang w:val="sr-Latn-RS" w:bidi="sr-Latn-RS"/>
        </w:rPr>
        <w:t xml:space="preserve">o B za minimalno trajanje praćenja od 15 </w:t>
      </w:r>
      <w:r w:rsidR="00B27CC7" w:rsidRPr="008F1125">
        <w:rPr>
          <w:lang w:val="sr-Latn-RS" w:bidi="sr-Latn-RS"/>
        </w:rPr>
        <w:t>mjeseci</w:t>
      </w:r>
      <w:r w:rsidRPr="008F1125">
        <w:rPr>
          <w:lang w:val="sr-Latn-RS" w:bidi="sr-Latn-RS"/>
        </w:rPr>
        <w:t>.</w:t>
      </w:r>
    </w:p>
    <w:p w14:paraId="1FB63670" w14:textId="77777777" w:rsidR="005C2AEC" w:rsidRPr="008F1125" w:rsidRDefault="005C2AEC" w:rsidP="00732B09">
      <w:pPr>
        <w:jc w:val="both"/>
        <w:rPr>
          <w:lang w:val="sr-Latn-RS"/>
        </w:rPr>
      </w:pPr>
    </w:p>
    <w:p w14:paraId="1FE62675" w14:textId="6D25D501" w:rsidR="004550F8" w:rsidRDefault="004550F8" w:rsidP="00732B09">
      <w:pPr>
        <w:pStyle w:val="BodytextAgency"/>
        <w:keepNext/>
        <w:keepLines/>
        <w:spacing w:after="0" w:line="240" w:lineRule="auto"/>
        <w:jc w:val="both"/>
        <w:rPr>
          <w:rFonts w:ascii="Times New Roman" w:hAnsi="Times New Roman" w:cs="Times New Roman"/>
          <w:b/>
          <w:sz w:val="22"/>
          <w:lang w:val="sr-Latn-RS" w:bidi="sr-Latn-RS"/>
        </w:rPr>
      </w:pPr>
      <w:bookmarkStart w:id="15" w:name="_Ref531178865"/>
      <w:bookmarkStart w:id="16" w:name="_Ref531184266"/>
    </w:p>
    <w:p w14:paraId="2800AE23" w14:textId="77777777" w:rsidR="006A6873" w:rsidRDefault="006A6873">
      <w:pPr>
        <w:tabs>
          <w:tab w:val="clear" w:pos="567"/>
        </w:tabs>
        <w:rPr>
          <w:rFonts w:eastAsia="Verdana"/>
          <w:b/>
          <w:szCs w:val="18"/>
          <w:lang w:val="sr-Latn-RS" w:eastAsia="en-GB" w:bidi="sr-Latn-RS"/>
        </w:rPr>
      </w:pPr>
      <w:r>
        <w:rPr>
          <w:b/>
          <w:lang w:val="sr-Latn-RS" w:bidi="sr-Latn-RS"/>
        </w:rPr>
        <w:br w:type="page"/>
      </w:r>
    </w:p>
    <w:p w14:paraId="1FB63671" w14:textId="18D11433" w:rsidR="000569A6" w:rsidRPr="008F1125" w:rsidRDefault="00926926" w:rsidP="00732B09">
      <w:pPr>
        <w:pStyle w:val="BodytextAgency"/>
        <w:keepNext/>
        <w:keepLines/>
        <w:spacing w:after="0" w:line="240" w:lineRule="auto"/>
        <w:jc w:val="both"/>
        <w:rPr>
          <w:rFonts w:ascii="Times New Roman" w:hAnsi="Times New Roman" w:cs="Times New Roman"/>
          <w:b/>
          <w:sz w:val="22"/>
          <w:szCs w:val="22"/>
          <w:lang w:val="sr-Latn-RS"/>
        </w:rPr>
      </w:pPr>
      <w:r w:rsidRPr="008F1125">
        <w:rPr>
          <w:rFonts w:ascii="Times New Roman" w:hAnsi="Times New Roman" w:cs="Times New Roman"/>
          <w:b/>
          <w:sz w:val="22"/>
          <w:lang w:val="sr-Latn-RS" w:bidi="sr-Latn-RS"/>
        </w:rPr>
        <w:lastRenderedPageBreak/>
        <w:t>Slika </w:t>
      </w:r>
      <w:bookmarkEnd w:id="15"/>
      <w:bookmarkEnd w:id="16"/>
      <w:r w:rsidRPr="008F1125">
        <w:rPr>
          <w:rFonts w:ascii="Times New Roman" w:hAnsi="Times New Roman" w:cs="Times New Roman"/>
          <w:b/>
          <w:sz w:val="22"/>
          <w:lang w:val="sr-Latn-RS" w:bidi="sr-Latn-RS"/>
        </w:rPr>
        <w:t xml:space="preserve">2: </w:t>
      </w:r>
      <w:r w:rsidRPr="008F1125">
        <w:rPr>
          <w:rFonts w:ascii="Times New Roman" w:hAnsi="Times New Roman" w:cs="Times New Roman"/>
          <w:b/>
          <w:i/>
          <w:sz w:val="22"/>
          <w:lang w:val="sr-Latn-RS" w:bidi="sr-Latn-RS"/>
        </w:rPr>
        <w:t>Kaplan-Meier</w:t>
      </w:r>
      <w:r w:rsidRPr="008F1125">
        <w:rPr>
          <w:rFonts w:ascii="Times New Roman" w:hAnsi="Times New Roman" w:cs="Times New Roman"/>
          <w:b/>
          <w:sz w:val="22"/>
          <w:lang w:val="sr-Latn-RS" w:bidi="sr-Latn-RS"/>
        </w:rPr>
        <w:t>-ova proc</w:t>
      </w:r>
      <w:r w:rsidR="00732B09" w:rsidRPr="008F1125">
        <w:rPr>
          <w:rFonts w:ascii="Times New Roman" w:hAnsi="Times New Roman" w:cs="Times New Roman"/>
          <w:b/>
          <w:sz w:val="22"/>
          <w:lang w:val="sr-Latn-RS" w:bidi="sr-Latn-RS"/>
        </w:rPr>
        <w:t>j</w:t>
      </w:r>
      <w:r w:rsidRPr="008F1125">
        <w:rPr>
          <w:rFonts w:ascii="Times New Roman" w:hAnsi="Times New Roman" w:cs="Times New Roman"/>
          <w:b/>
          <w:sz w:val="22"/>
          <w:lang w:val="sr-Latn-RS" w:bidi="sr-Latn-RS"/>
        </w:rPr>
        <w:t>ena preživljavanja bez progresije bolesti (PFS) prema RECIST verziji 1.1, IERC (d</w:t>
      </w:r>
      <w:r w:rsidR="00732B09" w:rsidRPr="008F1125">
        <w:rPr>
          <w:rFonts w:ascii="Times New Roman" w:hAnsi="Times New Roman" w:cs="Times New Roman"/>
          <w:b/>
          <w:sz w:val="22"/>
          <w:lang w:val="sr-Latn-RS" w:bidi="sr-Latn-RS"/>
        </w:rPr>
        <w:t>i</w:t>
      </w:r>
      <w:r w:rsidRPr="008F1125">
        <w:rPr>
          <w:rFonts w:ascii="Times New Roman" w:hAnsi="Times New Roman" w:cs="Times New Roman"/>
          <w:b/>
          <w:sz w:val="22"/>
          <w:lang w:val="sr-Latn-RS" w:bidi="sr-Latn-RS"/>
        </w:rPr>
        <w:t>o B, N=116)</w:t>
      </w:r>
    </w:p>
    <w:p w14:paraId="1FB63672" w14:textId="77777777" w:rsidR="000569A6" w:rsidRPr="008F1125" w:rsidRDefault="000569A6" w:rsidP="00577413">
      <w:pPr>
        <w:keepNext/>
        <w:keepLines/>
        <w:rPr>
          <w:lang w:val="sr-Latn-RS"/>
        </w:rPr>
      </w:pPr>
    </w:p>
    <w:p w14:paraId="6C7EF583" w14:textId="161A26D9" w:rsidR="00DF0699" w:rsidRDefault="00DF0699" w:rsidP="00227E4B">
      <w:pPr>
        <w:rPr>
          <w:lang w:val="sr-Latn-RS"/>
        </w:rPr>
      </w:pPr>
    </w:p>
    <w:p w14:paraId="5F9264E8" w14:textId="79329B43" w:rsidR="00C56C07" w:rsidRPr="008F1125" w:rsidRDefault="00DE7128" w:rsidP="00227E4B">
      <w:pPr>
        <w:rPr>
          <w:lang w:val="sr-Latn-RS"/>
        </w:rPr>
      </w:pPr>
      <w:r>
        <w:rPr>
          <w:noProof/>
          <w:lang w:val="en-US"/>
        </w:rPr>
        <w:drawing>
          <wp:inline distT="0" distB="0" distL="0" distR="0" wp14:anchorId="48CDC1F9" wp14:editId="49D6C09D">
            <wp:extent cx="5760085"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3009900"/>
                    </a:xfrm>
                    <a:prstGeom prst="rect">
                      <a:avLst/>
                    </a:prstGeom>
                  </pic:spPr>
                </pic:pic>
              </a:graphicData>
            </a:graphic>
          </wp:inline>
        </w:drawing>
      </w:r>
    </w:p>
    <w:p w14:paraId="5D9D8ABD" w14:textId="77777777" w:rsidR="00DF0699" w:rsidRPr="008F1125" w:rsidRDefault="00DF0699" w:rsidP="00DF0699">
      <w:pPr>
        <w:rPr>
          <w:bCs/>
          <w:iCs/>
          <w:szCs w:val="22"/>
          <w:lang w:val="sr-Latn-RS"/>
        </w:rPr>
      </w:pPr>
    </w:p>
    <w:p w14:paraId="7FE06114" w14:textId="2AC414BC" w:rsidR="00DF0699" w:rsidRPr="008F1125" w:rsidRDefault="00E25717" w:rsidP="00732B09">
      <w:pPr>
        <w:jc w:val="both"/>
        <w:rPr>
          <w:szCs w:val="22"/>
          <w:lang w:val="sr-Latn-RS"/>
        </w:rPr>
      </w:pPr>
      <w:r w:rsidRPr="008F1125">
        <w:rPr>
          <w:spacing w:val="-1"/>
          <w:lang w:val="sr-Latn-RS" w:bidi="sr-Latn-RS"/>
        </w:rPr>
        <w:t>U uzorcima tumora bila je proc</w:t>
      </w:r>
      <w:r w:rsidR="00732B09" w:rsidRPr="008F1125">
        <w:rPr>
          <w:spacing w:val="-1"/>
          <w:lang w:val="sr-Latn-RS" w:bidi="sr-Latn-RS"/>
        </w:rPr>
        <w:t>ij</w:t>
      </w:r>
      <w:r w:rsidRPr="008F1125">
        <w:rPr>
          <w:spacing w:val="-1"/>
          <w:lang w:val="sr-Latn-RS" w:bidi="sr-Latn-RS"/>
        </w:rPr>
        <w:t>enjena ekspresija PD-L1 na tumorskim ćelijama i prisutnost poliomavirusa Merkelovih ćelija (MCV) pomoću istraživačkog imunohistohemijskog testa. U Tabeli 7 sažeto su prikazane stope objektivnog odgovora prema ekspresiji PD-L1 i MCV statusu pacijenata sa metastatskim karcinomom Merkelovih ćelija u ispitivanju EMR100070003-003 (d</w:t>
      </w:r>
      <w:r w:rsidR="00515B67" w:rsidRPr="008F1125">
        <w:rPr>
          <w:spacing w:val="-1"/>
          <w:lang w:val="sr-Latn-RS" w:bidi="sr-Latn-RS"/>
        </w:rPr>
        <w:t>i</w:t>
      </w:r>
      <w:r w:rsidRPr="008F1125">
        <w:rPr>
          <w:spacing w:val="-1"/>
          <w:lang w:val="sr-Latn-RS" w:bidi="sr-Latn-RS"/>
        </w:rPr>
        <w:t xml:space="preserve">o </w:t>
      </w:r>
      <w:r w:rsidR="00732B09" w:rsidRPr="008F1125">
        <w:rPr>
          <w:spacing w:val="-1"/>
          <w:lang w:val="sr-Latn-RS" w:bidi="sr-Latn-RS"/>
        </w:rPr>
        <w:t>B</w:t>
      </w:r>
      <w:r w:rsidRPr="008F1125">
        <w:rPr>
          <w:spacing w:val="-1"/>
          <w:lang w:val="sr-Latn-RS" w:bidi="sr-Latn-RS"/>
        </w:rPr>
        <w:t>).</w:t>
      </w:r>
    </w:p>
    <w:p w14:paraId="5DF93619" w14:textId="77777777" w:rsidR="00DF0699" w:rsidRPr="008F1125" w:rsidRDefault="00DF0699" w:rsidP="00732B09">
      <w:pPr>
        <w:tabs>
          <w:tab w:val="clear" w:pos="567"/>
        </w:tabs>
        <w:kinsoku w:val="0"/>
        <w:overflowPunct w:val="0"/>
        <w:autoSpaceDE w:val="0"/>
        <w:autoSpaceDN w:val="0"/>
        <w:adjustRightInd w:val="0"/>
        <w:jc w:val="both"/>
        <w:rPr>
          <w:rFonts w:eastAsia="SimSun"/>
          <w:szCs w:val="22"/>
          <w:lang w:val="sr-Latn-RS"/>
        </w:rPr>
      </w:pPr>
    </w:p>
    <w:p w14:paraId="3C9D4469" w14:textId="3F5C2D97" w:rsidR="00DF0699" w:rsidRPr="008F1125" w:rsidRDefault="00E25717" w:rsidP="00732B09">
      <w:pPr>
        <w:pStyle w:val="BodytextAgency"/>
        <w:keepNext/>
        <w:spacing w:after="0" w:line="240" w:lineRule="auto"/>
        <w:jc w:val="both"/>
        <w:rPr>
          <w:rFonts w:ascii="Times New Roman" w:hAnsi="Times New Roman" w:cs="Times New Roman"/>
          <w:b/>
          <w:spacing w:val="-2"/>
          <w:sz w:val="22"/>
          <w:szCs w:val="22"/>
          <w:lang w:val="sr-Latn-RS"/>
        </w:rPr>
      </w:pPr>
      <w:r w:rsidRPr="008F1125">
        <w:rPr>
          <w:rFonts w:ascii="Times New Roman" w:hAnsi="Times New Roman" w:cs="Times New Roman"/>
          <w:b/>
          <w:sz w:val="22"/>
          <w:lang w:val="sr-Latn-RS" w:bidi="sr-Latn-RS"/>
        </w:rPr>
        <w:t>Tabela 7: Stope objektivnog odgovora prema ekspresiji PD-L1 i MCV statusu pacijenata sa metastatskim karcinomom Merkelovih ćelija u ispitivanju EMR100070-003 (d</w:t>
      </w:r>
      <w:r w:rsidR="00515B67" w:rsidRPr="008F1125">
        <w:rPr>
          <w:rFonts w:ascii="Times New Roman" w:hAnsi="Times New Roman" w:cs="Times New Roman"/>
          <w:b/>
          <w:sz w:val="22"/>
          <w:lang w:val="sr-Latn-RS" w:bidi="sr-Latn-RS"/>
        </w:rPr>
        <w:t>i</w:t>
      </w:r>
      <w:r w:rsidRPr="008F1125">
        <w:rPr>
          <w:rFonts w:ascii="Times New Roman" w:hAnsi="Times New Roman" w:cs="Times New Roman"/>
          <w:b/>
          <w:sz w:val="22"/>
          <w:lang w:val="sr-Latn-RS" w:bidi="sr-Latn-RS"/>
        </w:rPr>
        <w:t xml:space="preserve">o </w:t>
      </w:r>
      <w:r w:rsidR="00F31FF2" w:rsidRPr="008F1125">
        <w:rPr>
          <w:rFonts w:ascii="Times New Roman" w:hAnsi="Times New Roman" w:cs="Times New Roman"/>
          <w:b/>
          <w:sz w:val="22"/>
          <w:lang w:val="sr-Latn-RS" w:bidi="sr-Latn-RS"/>
        </w:rPr>
        <w:t>B</w:t>
      </w:r>
      <w:r w:rsidRPr="008F1125">
        <w:rPr>
          <w:rFonts w:ascii="Times New Roman" w:hAnsi="Times New Roman" w:cs="Times New Roman"/>
          <w:b/>
          <w:sz w:val="22"/>
          <w:lang w:val="sr-Latn-RS" w:bidi="sr-Latn-RS"/>
        </w:rPr>
        <w:t>).</w:t>
      </w:r>
    </w:p>
    <w:p w14:paraId="78563620" w14:textId="77777777" w:rsidR="00DF0699" w:rsidRPr="008F1125" w:rsidRDefault="00DF0699" w:rsidP="00DF0699">
      <w:pPr>
        <w:keepNext/>
        <w:tabs>
          <w:tab w:val="clear" w:pos="567"/>
        </w:tabs>
        <w:autoSpaceDE w:val="0"/>
        <w:autoSpaceDN w:val="0"/>
        <w:adjustRightInd w:val="0"/>
        <w:rPr>
          <w:rFonts w:eastAsia="SimSun"/>
          <w:spacing w:val="-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072"/>
      </w:tblGrid>
      <w:tr w:rsidR="00F51581" w:rsidRPr="008F1125" w14:paraId="05D2928B" w14:textId="77777777" w:rsidTr="004550F8">
        <w:trPr>
          <w:cantSplit/>
          <w:tblHeader/>
          <w:jc w:val="center"/>
        </w:trPr>
        <w:tc>
          <w:tcPr>
            <w:tcW w:w="2753" w:type="pct"/>
            <w:tcBorders>
              <w:bottom w:val="single" w:sz="4" w:space="0" w:color="auto"/>
            </w:tcBorders>
            <w:shd w:val="clear" w:color="auto" w:fill="auto"/>
          </w:tcPr>
          <w:p w14:paraId="1E675C7E" w14:textId="77777777" w:rsidR="00DF0699" w:rsidRPr="008F1125" w:rsidRDefault="00DF0699" w:rsidP="002B59FE">
            <w:pPr>
              <w:pStyle w:val="Default"/>
              <w:keepNext/>
              <w:rPr>
                <w:b/>
                <w:color w:val="auto"/>
                <w:sz w:val="22"/>
                <w:szCs w:val="22"/>
                <w:lang w:val="sr-Latn-RS"/>
              </w:rPr>
            </w:pPr>
          </w:p>
        </w:tc>
        <w:tc>
          <w:tcPr>
            <w:tcW w:w="2247" w:type="pct"/>
            <w:tcBorders>
              <w:bottom w:val="single" w:sz="4" w:space="0" w:color="auto"/>
            </w:tcBorders>
            <w:shd w:val="clear" w:color="auto" w:fill="auto"/>
          </w:tcPr>
          <w:p w14:paraId="7E5412C7" w14:textId="77777777" w:rsidR="00DF0699" w:rsidRPr="008F1125" w:rsidRDefault="00E25717" w:rsidP="002B59FE">
            <w:pPr>
              <w:keepNext/>
              <w:tabs>
                <w:tab w:val="clear" w:pos="567"/>
              </w:tabs>
              <w:autoSpaceDE w:val="0"/>
              <w:autoSpaceDN w:val="0"/>
              <w:adjustRightInd w:val="0"/>
              <w:jc w:val="center"/>
              <w:rPr>
                <w:rFonts w:eastAsia="SimSun"/>
                <w:b/>
                <w:spacing w:val="-1"/>
                <w:szCs w:val="22"/>
                <w:lang w:val="sr-Latn-RS" w:eastAsia="en-GB"/>
              </w:rPr>
            </w:pPr>
            <w:r w:rsidRPr="008F1125">
              <w:rPr>
                <w:b/>
                <w:spacing w:val="-1"/>
                <w:lang w:val="sr-Latn-RS" w:bidi="sr-Latn-RS"/>
              </w:rPr>
              <w:t>Avelumab</w:t>
            </w:r>
          </w:p>
          <w:p w14:paraId="7A6167A8" w14:textId="77777777" w:rsidR="00DF0699" w:rsidRPr="008F1125" w:rsidRDefault="00E25717" w:rsidP="002B59FE">
            <w:pPr>
              <w:keepNext/>
              <w:tabs>
                <w:tab w:val="clear" w:pos="567"/>
              </w:tabs>
              <w:autoSpaceDE w:val="0"/>
              <w:autoSpaceDN w:val="0"/>
              <w:adjustRightInd w:val="0"/>
              <w:jc w:val="center"/>
              <w:rPr>
                <w:rFonts w:eastAsia="SimSun"/>
                <w:b/>
                <w:spacing w:val="-1"/>
                <w:szCs w:val="22"/>
                <w:lang w:val="sr-Latn-RS" w:eastAsia="en-GB"/>
              </w:rPr>
            </w:pPr>
            <w:r w:rsidRPr="008F1125">
              <w:rPr>
                <w:b/>
                <w:spacing w:val="-1"/>
                <w:lang w:val="sr-Latn-RS" w:bidi="sr-Latn-RS"/>
              </w:rPr>
              <w:t>ORR (95% CI)*</w:t>
            </w:r>
          </w:p>
        </w:tc>
      </w:tr>
      <w:tr w:rsidR="00F51581" w:rsidRPr="008F1125" w14:paraId="374BAF67" w14:textId="77777777" w:rsidTr="004550F8">
        <w:trPr>
          <w:cantSplit/>
          <w:jc w:val="center"/>
        </w:trPr>
        <w:tc>
          <w:tcPr>
            <w:tcW w:w="2753" w:type="pct"/>
            <w:tcBorders>
              <w:bottom w:val="nil"/>
            </w:tcBorders>
            <w:shd w:val="clear" w:color="auto" w:fill="auto"/>
          </w:tcPr>
          <w:p w14:paraId="7A4C915F" w14:textId="6DFB4DA8" w:rsidR="00DF0699" w:rsidRPr="008F1125" w:rsidRDefault="00E25717" w:rsidP="002B59FE">
            <w:pPr>
              <w:pStyle w:val="Default"/>
              <w:keepNext/>
              <w:rPr>
                <w:b/>
                <w:color w:val="auto"/>
                <w:sz w:val="22"/>
                <w:szCs w:val="22"/>
                <w:lang w:val="sr-Latn-RS"/>
              </w:rPr>
            </w:pPr>
            <w:r w:rsidRPr="008F1125">
              <w:rPr>
                <w:b/>
                <w:color w:val="auto"/>
                <w:sz w:val="22"/>
                <w:lang w:val="sr-Latn-RS" w:bidi="sr-Latn-RS"/>
              </w:rPr>
              <w:t>Ekspresija PD-L1 uz graničnu vr</w:t>
            </w:r>
            <w:r w:rsidR="00F31FF2" w:rsidRPr="008F1125">
              <w:rPr>
                <w:b/>
                <w:color w:val="auto"/>
                <w:sz w:val="22"/>
                <w:lang w:val="sr-Latn-RS" w:bidi="sr-Latn-RS"/>
              </w:rPr>
              <w:t>ij</w:t>
            </w:r>
            <w:r w:rsidRPr="008F1125">
              <w:rPr>
                <w:b/>
                <w:color w:val="auto"/>
                <w:sz w:val="22"/>
                <w:lang w:val="sr-Latn-RS" w:bidi="sr-Latn-RS"/>
              </w:rPr>
              <w:t>ednost od ≥ 1%</w:t>
            </w:r>
          </w:p>
        </w:tc>
        <w:tc>
          <w:tcPr>
            <w:tcW w:w="2247" w:type="pct"/>
            <w:tcBorders>
              <w:bottom w:val="nil"/>
            </w:tcBorders>
            <w:shd w:val="clear" w:color="auto" w:fill="auto"/>
          </w:tcPr>
          <w:p w14:paraId="6671D029" w14:textId="77777777" w:rsidR="00DF0699" w:rsidRPr="008F1125" w:rsidRDefault="00E25717" w:rsidP="002B59FE">
            <w:pPr>
              <w:keepNext/>
              <w:tabs>
                <w:tab w:val="clear" w:pos="567"/>
              </w:tabs>
              <w:autoSpaceDE w:val="0"/>
              <w:autoSpaceDN w:val="0"/>
              <w:adjustRightInd w:val="0"/>
              <w:jc w:val="center"/>
              <w:rPr>
                <w:rFonts w:eastAsia="SimSun"/>
                <w:b/>
                <w:spacing w:val="-1"/>
                <w:szCs w:val="22"/>
                <w:lang w:val="sr-Latn-RS" w:eastAsia="en-GB"/>
              </w:rPr>
            </w:pPr>
            <w:r w:rsidRPr="008F1125">
              <w:rPr>
                <w:lang w:val="sr-Latn-RS" w:bidi="sr-Latn-RS"/>
              </w:rPr>
              <w:t>N=108</w:t>
            </w:r>
            <w:r w:rsidRPr="008F1125">
              <w:rPr>
                <w:spacing w:val="-1"/>
                <w:vertAlign w:val="superscript"/>
                <w:lang w:val="sr-Latn-RS" w:bidi="sr-Latn-RS"/>
              </w:rPr>
              <w:t>a</w:t>
            </w:r>
          </w:p>
        </w:tc>
      </w:tr>
      <w:tr w:rsidR="00F51581" w:rsidRPr="008F1125" w14:paraId="05167DC2" w14:textId="77777777" w:rsidTr="004550F8">
        <w:trPr>
          <w:cantSplit/>
          <w:jc w:val="center"/>
        </w:trPr>
        <w:tc>
          <w:tcPr>
            <w:tcW w:w="2753" w:type="pct"/>
            <w:tcBorders>
              <w:top w:val="nil"/>
              <w:bottom w:val="nil"/>
            </w:tcBorders>
            <w:shd w:val="clear" w:color="auto" w:fill="auto"/>
          </w:tcPr>
          <w:p w14:paraId="6D94DB95" w14:textId="77777777" w:rsidR="00DF0699" w:rsidRPr="008F1125" w:rsidRDefault="00E25717" w:rsidP="002B59FE">
            <w:pPr>
              <w:pStyle w:val="Default"/>
              <w:keepNext/>
              <w:rPr>
                <w:color w:val="auto"/>
                <w:sz w:val="22"/>
                <w:szCs w:val="22"/>
                <w:lang w:val="sr-Latn-RS"/>
              </w:rPr>
            </w:pPr>
            <w:r w:rsidRPr="008F1125">
              <w:rPr>
                <w:color w:val="auto"/>
                <w:sz w:val="22"/>
                <w:lang w:val="sr-Latn-RS" w:bidi="sr-Latn-RS"/>
              </w:rPr>
              <w:tab/>
              <w:t>pozitivna (n=21)</w:t>
            </w:r>
          </w:p>
        </w:tc>
        <w:tc>
          <w:tcPr>
            <w:tcW w:w="2247" w:type="pct"/>
            <w:tcBorders>
              <w:top w:val="nil"/>
              <w:bottom w:val="nil"/>
            </w:tcBorders>
            <w:shd w:val="clear" w:color="auto" w:fill="auto"/>
          </w:tcPr>
          <w:p w14:paraId="02B8C2D1" w14:textId="77777777" w:rsidR="00DF0699" w:rsidRPr="008F1125" w:rsidRDefault="00E25717" w:rsidP="002B59FE">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61,9% (38,4; 81,9)</w:t>
            </w:r>
          </w:p>
        </w:tc>
      </w:tr>
      <w:tr w:rsidR="00F51581" w:rsidRPr="008F1125" w14:paraId="13EE6870" w14:textId="77777777" w:rsidTr="004550F8">
        <w:trPr>
          <w:cantSplit/>
          <w:jc w:val="center"/>
        </w:trPr>
        <w:tc>
          <w:tcPr>
            <w:tcW w:w="2753" w:type="pct"/>
            <w:tcBorders>
              <w:top w:val="nil"/>
              <w:bottom w:val="single" w:sz="4" w:space="0" w:color="auto"/>
            </w:tcBorders>
            <w:shd w:val="clear" w:color="auto" w:fill="auto"/>
          </w:tcPr>
          <w:p w14:paraId="4AE326F0" w14:textId="77777777" w:rsidR="00DF0699" w:rsidRPr="008F1125" w:rsidRDefault="00E25717" w:rsidP="002B59FE">
            <w:pPr>
              <w:pStyle w:val="Default"/>
              <w:keepNext/>
              <w:rPr>
                <w:color w:val="auto"/>
                <w:sz w:val="22"/>
                <w:szCs w:val="22"/>
                <w:lang w:val="sr-Latn-RS"/>
              </w:rPr>
            </w:pPr>
            <w:r w:rsidRPr="008F1125">
              <w:rPr>
                <w:color w:val="auto"/>
                <w:sz w:val="22"/>
                <w:lang w:val="sr-Latn-RS" w:bidi="sr-Latn-RS"/>
              </w:rPr>
              <w:tab/>
              <w:t>negativna (n=87)</w:t>
            </w:r>
          </w:p>
        </w:tc>
        <w:tc>
          <w:tcPr>
            <w:tcW w:w="2247" w:type="pct"/>
            <w:tcBorders>
              <w:top w:val="nil"/>
              <w:bottom w:val="single" w:sz="4" w:space="0" w:color="auto"/>
            </w:tcBorders>
            <w:shd w:val="clear" w:color="auto" w:fill="auto"/>
          </w:tcPr>
          <w:p w14:paraId="07599D26" w14:textId="77777777" w:rsidR="00DF0699" w:rsidRPr="008F1125" w:rsidRDefault="00E25717" w:rsidP="002B59FE">
            <w:pPr>
              <w:keepNext/>
              <w:tabs>
                <w:tab w:val="clear" w:pos="567"/>
              </w:tabs>
              <w:autoSpaceDE w:val="0"/>
              <w:autoSpaceDN w:val="0"/>
              <w:adjustRightInd w:val="0"/>
              <w:jc w:val="center"/>
              <w:rPr>
                <w:szCs w:val="22"/>
                <w:lang w:val="sr-Latn-RS"/>
              </w:rPr>
            </w:pPr>
            <w:r w:rsidRPr="008F1125">
              <w:rPr>
                <w:lang w:val="sr-Latn-RS" w:bidi="sr-Latn-RS"/>
              </w:rPr>
              <w:t>33,3% (23,6; 44,3)</w:t>
            </w:r>
          </w:p>
        </w:tc>
      </w:tr>
      <w:tr w:rsidR="00F51581" w:rsidRPr="008F1125" w14:paraId="44153331" w14:textId="77777777" w:rsidTr="004550F8">
        <w:trPr>
          <w:cantSplit/>
          <w:jc w:val="center"/>
        </w:trPr>
        <w:tc>
          <w:tcPr>
            <w:tcW w:w="2753" w:type="pct"/>
            <w:tcBorders>
              <w:bottom w:val="nil"/>
            </w:tcBorders>
            <w:shd w:val="clear" w:color="auto" w:fill="auto"/>
          </w:tcPr>
          <w:p w14:paraId="3C295BEB" w14:textId="77777777" w:rsidR="00DF0699" w:rsidRPr="008F1125" w:rsidRDefault="00E25717" w:rsidP="002B59FE">
            <w:pPr>
              <w:pStyle w:val="Default"/>
              <w:keepNext/>
              <w:rPr>
                <w:b/>
                <w:color w:val="auto"/>
                <w:sz w:val="22"/>
                <w:szCs w:val="22"/>
                <w:lang w:val="sr-Latn-RS"/>
              </w:rPr>
            </w:pPr>
            <w:r w:rsidRPr="008F1125">
              <w:rPr>
                <w:b/>
                <w:color w:val="auto"/>
                <w:sz w:val="22"/>
                <w:lang w:val="sr-Latn-RS" w:bidi="sr-Latn-RS"/>
              </w:rPr>
              <w:t>IHC-MCV status tumora</w:t>
            </w:r>
          </w:p>
        </w:tc>
        <w:tc>
          <w:tcPr>
            <w:tcW w:w="2247" w:type="pct"/>
            <w:tcBorders>
              <w:bottom w:val="nil"/>
            </w:tcBorders>
            <w:shd w:val="clear" w:color="auto" w:fill="auto"/>
          </w:tcPr>
          <w:p w14:paraId="19B807F0" w14:textId="77777777" w:rsidR="00DF0699" w:rsidRPr="008F1125" w:rsidRDefault="00E25717" w:rsidP="002B59FE">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N=107</w:t>
            </w:r>
            <w:r w:rsidRPr="008F1125">
              <w:rPr>
                <w:spacing w:val="-1"/>
                <w:vertAlign w:val="superscript"/>
                <w:lang w:val="sr-Latn-RS" w:bidi="sr-Latn-RS"/>
              </w:rPr>
              <w:t>b</w:t>
            </w:r>
          </w:p>
        </w:tc>
      </w:tr>
      <w:tr w:rsidR="00F51581" w:rsidRPr="008F1125" w14:paraId="02CBC13C" w14:textId="77777777" w:rsidTr="004550F8">
        <w:trPr>
          <w:cantSplit/>
          <w:jc w:val="center"/>
        </w:trPr>
        <w:tc>
          <w:tcPr>
            <w:tcW w:w="2753" w:type="pct"/>
            <w:tcBorders>
              <w:top w:val="nil"/>
              <w:bottom w:val="nil"/>
            </w:tcBorders>
            <w:shd w:val="clear" w:color="auto" w:fill="auto"/>
          </w:tcPr>
          <w:p w14:paraId="7C59B0B2" w14:textId="77777777" w:rsidR="00DF0699" w:rsidRPr="008F1125" w:rsidRDefault="00E25717" w:rsidP="002B59FE">
            <w:pPr>
              <w:pStyle w:val="Default"/>
              <w:keepNext/>
              <w:rPr>
                <w:color w:val="auto"/>
                <w:sz w:val="22"/>
                <w:szCs w:val="22"/>
                <w:lang w:val="sr-Latn-RS"/>
              </w:rPr>
            </w:pPr>
            <w:r w:rsidRPr="008F1125">
              <w:rPr>
                <w:color w:val="auto"/>
                <w:sz w:val="22"/>
                <w:lang w:val="sr-Latn-RS" w:bidi="sr-Latn-RS"/>
              </w:rPr>
              <w:tab/>
              <w:t>pozitivna (n=70)</w:t>
            </w:r>
          </w:p>
        </w:tc>
        <w:tc>
          <w:tcPr>
            <w:tcW w:w="2247" w:type="pct"/>
            <w:tcBorders>
              <w:top w:val="nil"/>
              <w:bottom w:val="nil"/>
            </w:tcBorders>
            <w:shd w:val="clear" w:color="auto" w:fill="auto"/>
          </w:tcPr>
          <w:p w14:paraId="17DC8AF6" w14:textId="77777777" w:rsidR="00DF0699" w:rsidRPr="008F1125" w:rsidRDefault="00E25717" w:rsidP="002B59FE">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34,3% (23,3; 46,6)</w:t>
            </w:r>
          </w:p>
        </w:tc>
      </w:tr>
      <w:tr w:rsidR="00F51581" w:rsidRPr="008F1125" w14:paraId="0924B7C2" w14:textId="77777777" w:rsidTr="004550F8">
        <w:trPr>
          <w:cantSplit/>
          <w:jc w:val="center"/>
        </w:trPr>
        <w:tc>
          <w:tcPr>
            <w:tcW w:w="2753" w:type="pct"/>
            <w:tcBorders>
              <w:top w:val="nil"/>
            </w:tcBorders>
            <w:shd w:val="clear" w:color="auto" w:fill="auto"/>
          </w:tcPr>
          <w:p w14:paraId="5DC0C14F" w14:textId="77777777" w:rsidR="00DF0699" w:rsidRPr="008F1125" w:rsidRDefault="00E25717" w:rsidP="002B59FE">
            <w:pPr>
              <w:pStyle w:val="Default"/>
              <w:keepNext/>
              <w:rPr>
                <w:color w:val="auto"/>
                <w:sz w:val="22"/>
                <w:szCs w:val="22"/>
                <w:lang w:val="sr-Latn-RS"/>
              </w:rPr>
            </w:pPr>
            <w:r w:rsidRPr="008F1125">
              <w:rPr>
                <w:color w:val="auto"/>
                <w:sz w:val="22"/>
                <w:lang w:val="sr-Latn-RS" w:bidi="sr-Latn-RS"/>
              </w:rPr>
              <w:tab/>
              <w:t>negativna (n=37)</w:t>
            </w:r>
          </w:p>
        </w:tc>
        <w:tc>
          <w:tcPr>
            <w:tcW w:w="2247" w:type="pct"/>
            <w:tcBorders>
              <w:top w:val="nil"/>
            </w:tcBorders>
            <w:shd w:val="clear" w:color="auto" w:fill="auto"/>
          </w:tcPr>
          <w:p w14:paraId="46C4DB7A" w14:textId="77777777" w:rsidR="00DF0699" w:rsidRPr="008F1125" w:rsidRDefault="00E25717" w:rsidP="002B59FE">
            <w:pPr>
              <w:keepNext/>
              <w:tabs>
                <w:tab w:val="clear" w:pos="567"/>
              </w:tabs>
              <w:autoSpaceDE w:val="0"/>
              <w:autoSpaceDN w:val="0"/>
              <w:adjustRightInd w:val="0"/>
              <w:jc w:val="center"/>
              <w:rPr>
                <w:rFonts w:eastAsia="SimSun"/>
                <w:spacing w:val="-1"/>
                <w:szCs w:val="22"/>
                <w:lang w:val="sr-Latn-RS" w:eastAsia="en-GB"/>
              </w:rPr>
            </w:pPr>
            <w:r w:rsidRPr="008F1125">
              <w:rPr>
                <w:spacing w:val="-1"/>
                <w:lang w:val="sr-Latn-RS" w:bidi="sr-Latn-RS"/>
              </w:rPr>
              <w:t>48,6% (31,9; 65,6)</w:t>
            </w:r>
          </w:p>
        </w:tc>
      </w:tr>
    </w:tbl>
    <w:p w14:paraId="60AA382F" w14:textId="4E4DC3A9" w:rsidR="00DF0699" w:rsidRPr="008F1125" w:rsidRDefault="00E25717" w:rsidP="004550F8">
      <w:pPr>
        <w:keepNext/>
        <w:tabs>
          <w:tab w:val="clear" w:pos="567"/>
        </w:tabs>
        <w:autoSpaceDE w:val="0"/>
        <w:autoSpaceDN w:val="0"/>
        <w:adjustRightInd w:val="0"/>
        <w:ind w:right="-1"/>
        <w:jc w:val="both"/>
        <w:rPr>
          <w:sz w:val="20"/>
          <w:lang w:val="sr-Latn-RS" w:eastAsia="en-GB"/>
        </w:rPr>
      </w:pPr>
      <w:r w:rsidRPr="008F1125">
        <w:rPr>
          <w:sz w:val="20"/>
          <w:lang w:val="sr-Latn-RS" w:bidi="sr-Latn-RS"/>
        </w:rPr>
        <w:t>IHC: imunohistohemija; MCV: poliomavirus Merkelovih ćelija; ORR: stopa objektivnog odgovora</w:t>
      </w:r>
    </w:p>
    <w:p w14:paraId="7D3A5171" w14:textId="7136D774" w:rsidR="00DF0699" w:rsidRPr="008F1125" w:rsidRDefault="00E25717" w:rsidP="004550F8">
      <w:pPr>
        <w:keepNext/>
        <w:tabs>
          <w:tab w:val="clear" w:pos="567"/>
        </w:tabs>
        <w:autoSpaceDE w:val="0"/>
        <w:autoSpaceDN w:val="0"/>
        <w:adjustRightInd w:val="0"/>
        <w:ind w:right="-1"/>
        <w:jc w:val="both"/>
        <w:rPr>
          <w:sz w:val="20"/>
          <w:lang w:val="sr-Latn-RS" w:eastAsia="en-GB"/>
        </w:rPr>
      </w:pPr>
      <w:r w:rsidRPr="008F1125">
        <w:rPr>
          <w:sz w:val="20"/>
          <w:lang w:val="sr-Latn-RS" w:bidi="sr-Latn-RS"/>
        </w:rPr>
        <w:t>* ORR (datum prestanka prikupljanja podataka: 2.5.2019.</w:t>
      </w:r>
      <w:r w:rsidR="00AA7648" w:rsidRPr="008F1125">
        <w:rPr>
          <w:sz w:val="20"/>
          <w:lang w:val="sr-Latn-RS" w:bidi="sr-Latn-RS"/>
        </w:rPr>
        <w:t xml:space="preserve"> </w:t>
      </w:r>
      <w:r w:rsidRPr="008F1125">
        <w:rPr>
          <w:sz w:val="20"/>
          <w:lang w:val="sr-Latn-RS" w:bidi="sr-Latn-RS"/>
        </w:rPr>
        <w:t>god</w:t>
      </w:r>
      <w:r w:rsidR="00F31FF2" w:rsidRPr="008F1125">
        <w:rPr>
          <w:sz w:val="20"/>
          <w:lang w:val="sr-Latn-RS" w:bidi="sr-Latn-RS"/>
        </w:rPr>
        <w:t>ine</w:t>
      </w:r>
      <w:r w:rsidRPr="008F1125">
        <w:rPr>
          <w:sz w:val="20"/>
          <w:lang w:val="sr-Latn-RS" w:bidi="sr-Latn-RS"/>
        </w:rPr>
        <w:t>)</w:t>
      </w:r>
    </w:p>
    <w:p w14:paraId="41534B3F" w14:textId="270DC499" w:rsidR="00DF0699" w:rsidRPr="008F1125" w:rsidRDefault="00E25717" w:rsidP="004550F8">
      <w:pPr>
        <w:keepNext/>
        <w:tabs>
          <w:tab w:val="clear" w:pos="567"/>
        </w:tabs>
        <w:autoSpaceDE w:val="0"/>
        <w:autoSpaceDN w:val="0"/>
        <w:adjustRightInd w:val="0"/>
        <w:ind w:right="-1"/>
        <w:jc w:val="both"/>
        <w:rPr>
          <w:sz w:val="20"/>
          <w:lang w:val="sr-Latn-RS" w:eastAsia="en-GB"/>
        </w:rPr>
      </w:pPr>
      <w:r w:rsidRPr="008F1125">
        <w:rPr>
          <w:sz w:val="20"/>
          <w:vertAlign w:val="superscript"/>
          <w:lang w:val="sr-Latn-RS" w:bidi="sr-Latn-RS"/>
        </w:rPr>
        <w:t>a</w:t>
      </w:r>
      <w:r w:rsidRPr="008F1125">
        <w:rPr>
          <w:sz w:val="20"/>
          <w:lang w:val="sr-Latn-RS" w:bidi="sr-Latn-RS"/>
        </w:rPr>
        <w:t xml:space="preserve"> Na osnovu podataka pacijenata koji su mogli biti proc</w:t>
      </w:r>
      <w:r w:rsidR="00F31FF2" w:rsidRPr="008F1125">
        <w:rPr>
          <w:sz w:val="20"/>
          <w:lang w:val="sr-Latn-RS" w:bidi="sr-Latn-RS"/>
        </w:rPr>
        <w:t>ij</w:t>
      </w:r>
      <w:r w:rsidRPr="008F1125">
        <w:rPr>
          <w:sz w:val="20"/>
          <w:lang w:val="sr-Latn-RS" w:bidi="sr-Latn-RS"/>
        </w:rPr>
        <w:t>enjeni na PD-L1</w:t>
      </w:r>
    </w:p>
    <w:p w14:paraId="337A78A5" w14:textId="18580104" w:rsidR="00DF0699" w:rsidRPr="008F1125" w:rsidRDefault="00E25717" w:rsidP="004550F8">
      <w:pPr>
        <w:tabs>
          <w:tab w:val="clear" w:pos="567"/>
        </w:tabs>
        <w:autoSpaceDE w:val="0"/>
        <w:autoSpaceDN w:val="0"/>
        <w:adjustRightInd w:val="0"/>
        <w:ind w:right="-1"/>
        <w:jc w:val="both"/>
        <w:rPr>
          <w:sz w:val="20"/>
          <w:lang w:val="sr-Latn-RS" w:eastAsia="en-GB"/>
        </w:rPr>
      </w:pPr>
      <w:r w:rsidRPr="008F1125">
        <w:rPr>
          <w:sz w:val="20"/>
          <w:vertAlign w:val="superscript"/>
          <w:lang w:val="sr-Latn-RS" w:bidi="sr-Latn-RS"/>
        </w:rPr>
        <w:t>a</w:t>
      </w:r>
      <w:r w:rsidRPr="008F1125">
        <w:rPr>
          <w:sz w:val="20"/>
          <w:lang w:val="sr-Latn-RS" w:bidi="sr-Latn-RS"/>
        </w:rPr>
        <w:t xml:space="preserve"> Na osnovu podataka pacijenata koji su mogli biti </w:t>
      </w:r>
      <w:r w:rsidR="00F31FF2" w:rsidRPr="008F1125">
        <w:rPr>
          <w:sz w:val="20"/>
          <w:lang w:val="sr-Latn-RS" w:bidi="sr-Latn-RS"/>
        </w:rPr>
        <w:t xml:space="preserve">imunohistohemijski </w:t>
      </w:r>
      <w:r w:rsidRPr="008F1125">
        <w:rPr>
          <w:sz w:val="20"/>
          <w:lang w:val="sr-Latn-RS" w:bidi="sr-Latn-RS"/>
        </w:rPr>
        <w:t>proc</w:t>
      </w:r>
      <w:r w:rsidR="00B80A64" w:rsidRPr="008F1125">
        <w:rPr>
          <w:sz w:val="20"/>
          <w:lang w:val="sr-Latn-RS" w:bidi="sr-Latn-RS"/>
        </w:rPr>
        <w:t>ij</w:t>
      </w:r>
      <w:r w:rsidRPr="008F1125">
        <w:rPr>
          <w:sz w:val="20"/>
          <w:lang w:val="sr-Latn-RS" w:bidi="sr-Latn-RS"/>
        </w:rPr>
        <w:t>enjeni na MCV</w:t>
      </w:r>
    </w:p>
    <w:p w14:paraId="1FB63674" w14:textId="77777777" w:rsidR="000569A6" w:rsidRPr="008F1125" w:rsidRDefault="000569A6" w:rsidP="004550F8">
      <w:pPr>
        <w:ind w:right="-1"/>
        <w:rPr>
          <w:bCs/>
          <w:iCs/>
          <w:szCs w:val="22"/>
          <w:lang w:val="sr-Latn-RS"/>
        </w:rPr>
      </w:pPr>
    </w:p>
    <w:p w14:paraId="42A16543" w14:textId="26335BBC" w:rsidR="00770AEC" w:rsidRPr="008F1125" w:rsidRDefault="00770AEC" w:rsidP="00F31FF2">
      <w:pPr>
        <w:tabs>
          <w:tab w:val="clear" w:pos="567"/>
        </w:tabs>
        <w:jc w:val="both"/>
        <w:rPr>
          <w:bCs/>
          <w:i/>
          <w:iCs/>
          <w:szCs w:val="22"/>
          <w:u w:val="single"/>
          <w:lang w:val="sr-Latn-RS"/>
        </w:rPr>
      </w:pPr>
      <w:r w:rsidRPr="008F1125">
        <w:rPr>
          <w:bCs/>
          <w:i/>
          <w:iCs/>
          <w:szCs w:val="22"/>
          <w:u w:val="single"/>
          <w:lang w:val="sr-Latn-RS"/>
        </w:rPr>
        <w:t>Lokalno uznapredovali ili metastatski urotelijalni karcinom (ispitivanje B9991001)</w:t>
      </w:r>
    </w:p>
    <w:p w14:paraId="44F5F8F8" w14:textId="7BDA57FA" w:rsidR="00770AEC" w:rsidRPr="008F1125" w:rsidRDefault="00770AEC" w:rsidP="00F31FF2">
      <w:pPr>
        <w:tabs>
          <w:tab w:val="clear" w:pos="567"/>
        </w:tabs>
        <w:jc w:val="both"/>
        <w:rPr>
          <w:bCs/>
          <w:iCs/>
          <w:szCs w:val="22"/>
          <w:lang w:val="sr-Latn-RS"/>
        </w:rPr>
      </w:pPr>
      <w:r w:rsidRPr="008F1125">
        <w:rPr>
          <w:bCs/>
          <w:iCs/>
          <w:szCs w:val="22"/>
          <w:lang w:val="sr-Latn-RS"/>
        </w:rPr>
        <w:t xml:space="preserve">Efikasnost i </w:t>
      </w:r>
      <w:r w:rsidR="00DD502A" w:rsidRPr="008F1125">
        <w:rPr>
          <w:bCs/>
          <w:iCs/>
          <w:szCs w:val="22"/>
          <w:lang w:val="sr-Latn-RS"/>
        </w:rPr>
        <w:t>bezbjednost</w:t>
      </w:r>
      <w:r w:rsidRPr="008F1125">
        <w:rPr>
          <w:bCs/>
          <w:iCs/>
          <w:szCs w:val="22"/>
          <w:lang w:val="sr-Latn-RS"/>
        </w:rPr>
        <w:t xml:space="preserve"> </w:t>
      </w:r>
      <w:r w:rsidR="00A575A2" w:rsidRPr="008F1125">
        <w:rPr>
          <w:bCs/>
          <w:iCs/>
          <w:szCs w:val="22"/>
          <w:lang w:val="sr-Latn-RS"/>
        </w:rPr>
        <w:t>avelumaba dokazana</w:t>
      </w:r>
      <w:r w:rsidRPr="008F1125">
        <w:rPr>
          <w:bCs/>
          <w:iCs/>
          <w:szCs w:val="22"/>
          <w:lang w:val="sr-Latn-RS"/>
        </w:rPr>
        <w:t xml:space="preserve"> </w:t>
      </w:r>
      <w:r w:rsidR="00A575A2" w:rsidRPr="008F1125">
        <w:rPr>
          <w:bCs/>
          <w:iCs/>
          <w:szCs w:val="22"/>
          <w:lang w:val="sr-Latn-RS"/>
        </w:rPr>
        <w:t xml:space="preserve">je </w:t>
      </w:r>
      <w:r w:rsidRPr="008F1125">
        <w:rPr>
          <w:bCs/>
          <w:iCs/>
          <w:szCs w:val="22"/>
          <w:lang w:val="sr-Latn-RS"/>
        </w:rPr>
        <w:t>u ispitivanju B9991001, randomiz</w:t>
      </w:r>
      <w:r w:rsidR="00453EF8" w:rsidRPr="008F1125">
        <w:rPr>
          <w:bCs/>
          <w:iCs/>
          <w:szCs w:val="22"/>
          <w:lang w:val="sr-Latn-RS"/>
        </w:rPr>
        <w:t>ov</w:t>
      </w:r>
      <w:r w:rsidRPr="008F1125">
        <w:rPr>
          <w:bCs/>
          <w:iCs/>
          <w:szCs w:val="22"/>
          <w:lang w:val="sr-Latn-RS"/>
        </w:rPr>
        <w:t>anom,</w:t>
      </w:r>
      <w:r w:rsidR="00453EF8" w:rsidRPr="008F1125">
        <w:rPr>
          <w:bCs/>
          <w:iCs/>
          <w:szCs w:val="22"/>
          <w:lang w:val="sr-Latn-RS"/>
        </w:rPr>
        <w:t xml:space="preserve"> </w:t>
      </w:r>
      <w:r w:rsidRPr="008F1125">
        <w:rPr>
          <w:bCs/>
          <w:iCs/>
          <w:szCs w:val="22"/>
          <w:lang w:val="sr-Latn-RS"/>
        </w:rPr>
        <w:t xml:space="preserve">multicentričnom, otvorenom ispitivanju </w:t>
      </w:r>
      <w:r w:rsidR="00453EF8" w:rsidRPr="008F1125">
        <w:rPr>
          <w:bCs/>
          <w:iCs/>
          <w:szCs w:val="22"/>
          <w:lang w:val="sr-Latn-RS"/>
        </w:rPr>
        <w:t>s</w:t>
      </w:r>
      <w:r w:rsidRPr="008F1125">
        <w:rPr>
          <w:bCs/>
          <w:iCs/>
          <w:szCs w:val="22"/>
          <w:lang w:val="sr-Latn-RS"/>
        </w:rPr>
        <w:t xml:space="preserve">provedenom </w:t>
      </w:r>
      <w:r w:rsidR="00453EF8" w:rsidRPr="008F1125">
        <w:rPr>
          <w:bCs/>
          <w:iCs/>
          <w:szCs w:val="22"/>
          <w:lang w:val="sr-Latn-RS"/>
        </w:rPr>
        <w:t xml:space="preserve">kod </w:t>
      </w:r>
      <w:r w:rsidRPr="008F1125">
        <w:rPr>
          <w:bCs/>
          <w:iCs/>
          <w:szCs w:val="22"/>
          <w:lang w:val="sr-Latn-RS"/>
        </w:rPr>
        <w:t xml:space="preserve">700 </w:t>
      </w:r>
      <w:r w:rsidR="00453EF8" w:rsidRPr="008F1125">
        <w:rPr>
          <w:bCs/>
          <w:iCs/>
          <w:szCs w:val="22"/>
          <w:lang w:val="sr-Latn-RS"/>
        </w:rPr>
        <w:t xml:space="preserve">pacijenata </w:t>
      </w:r>
      <w:r w:rsidRPr="008F1125">
        <w:rPr>
          <w:bCs/>
          <w:iCs/>
          <w:szCs w:val="22"/>
          <w:lang w:val="sr-Latn-RS"/>
        </w:rPr>
        <w:t>s</w:t>
      </w:r>
      <w:r w:rsidR="00453EF8" w:rsidRPr="008F1125">
        <w:rPr>
          <w:bCs/>
          <w:iCs/>
          <w:szCs w:val="22"/>
          <w:lang w:val="sr-Latn-RS"/>
        </w:rPr>
        <w:t>a</w:t>
      </w:r>
      <w:r w:rsidRPr="008F1125">
        <w:rPr>
          <w:bCs/>
          <w:iCs/>
          <w:szCs w:val="22"/>
          <w:lang w:val="sr-Latn-RS"/>
        </w:rPr>
        <w:t xml:space="preserve"> neresektabilnim, lokalno</w:t>
      </w:r>
      <w:r w:rsidR="00453EF8" w:rsidRPr="008F1125">
        <w:rPr>
          <w:bCs/>
          <w:iCs/>
          <w:szCs w:val="22"/>
          <w:lang w:val="sr-Latn-RS"/>
        </w:rPr>
        <w:t xml:space="preserve"> </w:t>
      </w:r>
      <w:r w:rsidRPr="008F1125">
        <w:rPr>
          <w:bCs/>
          <w:iCs/>
          <w:szCs w:val="22"/>
          <w:lang w:val="sr-Latn-RS"/>
        </w:rPr>
        <w:t>uznapredovalim ili metastatskim urotel</w:t>
      </w:r>
      <w:r w:rsidR="007505CF" w:rsidRPr="008F1125">
        <w:rPr>
          <w:bCs/>
          <w:iCs/>
          <w:szCs w:val="22"/>
          <w:lang w:val="sr-Latn-RS"/>
        </w:rPr>
        <w:t>ijal</w:t>
      </w:r>
      <w:r w:rsidRPr="008F1125">
        <w:rPr>
          <w:bCs/>
          <w:iCs/>
          <w:szCs w:val="22"/>
          <w:lang w:val="sr-Latn-RS"/>
        </w:rPr>
        <w:t xml:space="preserve">nim karcinomom, čija bolest nije </w:t>
      </w:r>
      <w:r w:rsidR="007505CF" w:rsidRPr="008F1125">
        <w:rPr>
          <w:bCs/>
          <w:iCs/>
          <w:szCs w:val="22"/>
          <w:lang w:val="sr-Latn-RS"/>
        </w:rPr>
        <w:t>progredirala to</w:t>
      </w:r>
      <w:r w:rsidRPr="008F1125">
        <w:rPr>
          <w:bCs/>
          <w:iCs/>
          <w:szCs w:val="22"/>
          <w:lang w:val="sr-Latn-RS"/>
        </w:rPr>
        <w:t>kom 4 do</w:t>
      </w:r>
    </w:p>
    <w:p w14:paraId="301659B4" w14:textId="5B861057" w:rsidR="00770AEC" w:rsidRPr="008F1125" w:rsidRDefault="00770AEC" w:rsidP="00F31FF2">
      <w:pPr>
        <w:tabs>
          <w:tab w:val="clear" w:pos="567"/>
        </w:tabs>
        <w:jc w:val="both"/>
        <w:rPr>
          <w:bCs/>
          <w:iCs/>
          <w:szCs w:val="22"/>
          <w:lang w:val="sr-Latn-RS"/>
        </w:rPr>
      </w:pPr>
      <w:r w:rsidRPr="008F1125">
        <w:rPr>
          <w:bCs/>
          <w:iCs/>
          <w:szCs w:val="22"/>
          <w:lang w:val="sr-Latn-RS"/>
        </w:rPr>
        <w:t>6 ciklusa indukc</w:t>
      </w:r>
      <w:r w:rsidR="00A61C9C" w:rsidRPr="008F1125">
        <w:rPr>
          <w:bCs/>
          <w:iCs/>
          <w:szCs w:val="22"/>
          <w:lang w:val="sr-Latn-RS"/>
        </w:rPr>
        <w:t>ione h</w:t>
      </w:r>
      <w:r w:rsidRPr="008F1125">
        <w:rPr>
          <w:bCs/>
          <w:iCs/>
          <w:szCs w:val="22"/>
          <w:lang w:val="sr-Latn-RS"/>
        </w:rPr>
        <w:t>em</w:t>
      </w:r>
      <w:r w:rsidR="00A61C9C" w:rsidRPr="008F1125">
        <w:rPr>
          <w:bCs/>
          <w:iCs/>
          <w:szCs w:val="22"/>
          <w:lang w:val="sr-Latn-RS"/>
        </w:rPr>
        <w:t>i</w:t>
      </w:r>
      <w:r w:rsidRPr="008F1125">
        <w:rPr>
          <w:bCs/>
          <w:iCs/>
          <w:szCs w:val="22"/>
          <w:lang w:val="sr-Latn-RS"/>
        </w:rPr>
        <w:t xml:space="preserve">oterapije prve linije na bazi platine. </w:t>
      </w:r>
      <w:r w:rsidR="00A61C9C" w:rsidRPr="008F1125">
        <w:rPr>
          <w:bCs/>
          <w:iCs/>
          <w:szCs w:val="22"/>
          <w:lang w:val="sr-Latn-RS"/>
        </w:rPr>
        <w:t>Pacijenti sa</w:t>
      </w:r>
      <w:r w:rsidRPr="008F1125">
        <w:rPr>
          <w:bCs/>
          <w:iCs/>
          <w:szCs w:val="22"/>
          <w:lang w:val="sr-Latn-RS"/>
        </w:rPr>
        <w:t xml:space="preserve"> autoimunom bolešću ili</w:t>
      </w:r>
      <w:r w:rsidR="00A61C9C" w:rsidRPr="008F1125">
        <w:rPr>
          <w:bCs/>
          <w:iCs/>
          <w:szCs w:val="22"/>
          <w:lang w:val="sr-Latn-RS"/>
        </w:rPr>
        <w:t xml:space="preserve"> </w:t>
      </w:r>
      <w:r w:rsidRPr="008F1125">
        <w:rPr>
          <w:bCs/>
          <w:iCs/>
          <w:szCs w:val="22"/>
          <w:lang w:val="sr-Latn-RS"/>
        </w:rPr>
        <w:t>zdravstvenim stanjem koje je zaht</w:t>
      </w:r>
      <w:r w:rsidR="00515B67" w:rsidRPr="008F1125">
        <w:rPr>
          <w:bCs/>
          <w:iCs/>
          <w:szCs w:val="22"/>
          <w:lang w:val="sr-Latn-RS"/>
        </w:rPr>
        <w:t>ij</w:t>
      </w:r>
      <w:r w:rsidRPr="008F1125">
        <w:rPr>
          <w:bCs/>
          <w:iCs/>
          <w:szCs w:val="22"/>
          <w:lang w:val="sr-Latn-RS"/>
        </w:rPr>
        <w:t>evalo imunosupresiju bili su isključeni.</w:t>
      </w:r>
    </w:p>
    <w:p w14:paraId="0B68853F" w14:textId="77777777" w:rsidR="00A61C9C" w:rsidRPr="008F1125" w:rsidRDefault="00A61C9C" w:rsidP="00F31FF2">
      <w:pPr>
        <w:tabs>
          <w:tab w:val="clear" w:pos="567"/>
        </w:tabs>
        <w:jc w:val="both"/>
        <w:rPr>
          <w:bCs/>
          <w:iCs/>
          <w:szCs w:val="22"/>
          <w:lang w:val="sr-Latn-RS"/>
        </w:rPr>
      </w:pPr>
    </w:p>
    <w:p w14:paraId="647C0A68" w14:textId="35DF9417" w:rsidR="00770AEC" w:rsidRPr="008F1125" w:rsidRDefault="00770AEC" w:rsidP="00F31FF2">
      <w:pPr>
        <w:tabs>
          <w:tab w:val="clear" w:pos="567"/>
        </w:tabs>
        <w:jc w:val="both"/>
        <w:rPr>
          <w:bCs/>
          <w:iCs/>
          <w:szCs w:val="22"/>
          <w:lang w:val="sr-Latn-RS"/>
        </w:rPr>
      </w:pPr>
      <w:r w:rsidRPr="008F1125">
        <w:rPr>
          <w:bCs/>
          <w:iCs/>
          <w:szCs w:val="22"/>
          <w:lang w:val="sr-Latn-RS"/>
        </w:rPr>
        <w:t>Randomizacija je bila stratifi</w:t>
      </w:r>
      <w:r w:rsidR="007A5733" w:rsidRPr="008F1125">
        <w:rPr>
          <w:bCs/>
          <w:iCs/>
          <w:szCs w:val="22"/>
          <w:lang w:val="sr-Latn-RS"/>
        </w:rPr>
        <w:t>kov</w:t>
      </w:r>
      <w:r w:rsidRPr="008F1125">
        <w:rPr>
          <w:bCs/>
          <w:iCs/>
          <w:szCs w:val="22"/>
          <w:lang w:val="sr-Latn-RS"/>
        </w:rPr>
        <w:t xml:space="preserve">ana prema najboljem odgovoru na </w:t>
      </w:r>
      <w:r w:rsidR="007A5733" w:rsidRPr="008F1125">
        <w:rPr>
          <w:bCs/>
          <w:iCs/>
          <w:szCs w:val="22"/>
          <w:lang w:val="sr-Latn-RS"/>
        </w:rPr>
        <w:t>h</w:t>
      </w:r>
      <w:r w:rsidRPr="008F1125">
        <w:rPr>
          <w:bCs/>
          <w:iCs/>
          <w:szCs w:val="22"/>
          <w:lang w:val="sr-Latn-RS"/>
        </w:rPr>
        <w:t>em</w:t>
      </w:r>
      <w:r w:rsidR="007A5733" w:rsidRPr="008F1125">
        <w:rPr>
          <w:bCs/>
          <w:iCs/>
          <w:szCs w:val="22"/>
          <w:lang w:val="sr-Latn-RS"/>
        </w:rPr>
        <w:t>i</w:t>
      </w:r>
      <w:r w:rsidRPr="008F1125">
        <w:rPr>
          <w:bCs/>
          <w:iCs/>
          <w:szCs w:val="22"/>
          <w:lang w:val="sr-Latn-RS"/>
        </w:rPr>
        <w:t xml:space="preserve">oterapiju (CR/PR </w:t>
      </w:r>
      <w:r w:rsidR="007A5733" w:rsidRPr="008F1125">
        <w:rPr>
          <w:bCs/>
          <w:iCs/>
          <w:szCs w:val="22"/>
          <w:lang w:val="sr-Latn-RS"/>
        </w:rPr>
        <w:t>u odnosu na</w:t>
      </w:r>
    </w:p>
    <w:p w14:paraId="207D4F84" w14:textId="032BA909" w:rsidR="00770AEC" w:rsidRPr="008F1125" w:rsidRDefault="002D542A" w:rsidP="00F31FF2">
      <w:pPr>
        <w:tabs>
          <w:tab w:val="clear" w:pos="567"/>
        </w:tabs>
        <w:jc w:val="both"/>
        <w:rPr>
          <w:bCs/>
          <w:iCs/>
          <w:szCs w:val="22"/>
          <w:lang w:val="sr-Latn-RS"/>
        </w:rPr>
      </w:pPr>
      <w:r w:rsidRPr="008F1125">
        <w:rPr>
          <w:bCs/>
          <w:iCs/>
          <w:szCs w:val="22"/>
          <w:lang w:val="sr-Latn-RS"/>
        </w:rPr>
        <w:t>stabiln</w:t>
      </w:r>
      <w:r w:rsidR="009B2003" w:rsidRPr="008F1125">
        <w:rPr>
          <w:bCs/>
          <w:iCs/>
          <w:szCs w:val="22"/>
          <w:lang w:val="sr-Latn-RS"/>
        </w:rPr>
        <w:t>u</w:t>
      </w:r>
      <w:r w:rsidRPr="008F1125">
        <w:rPr>
          <w:bCs/>
          <w:iCs/>
          <w:szCs w:val="22"/>
          <w:lang w:val="sr-Latn-RS"/>
        </w:rPr>
        <w:t xml:space="preserve"> bolest) i m</w:t>
      </w:r>
      <w:r w:rsidR="00F31FF2" w:rsidRPr="008F1125">
        <w:rPr>
          <w:bCs/>
          <w:iCs/>
          <w:szCs w:val="22"/>
          <w:lang w:val="sr-Latn-RS"/>
        </w:rPr>
        <w:t>j</w:t>
      </w:r>
      <w:r w:rsidR="00770AEC" w:rsidRPr="008F1125">
        <w:rPr>
          <w:bCs/>
          <w:iCs/>
          <w:szCs w:val="22"/>
          <w:lang w:val="sr-Latn-RS"/>
        </w:rPr>
        <w:t xml:space="preserve">estu metastaza (visceralne </w:t>
      </w:r>
      <w:r w:rsidRPr="008F1125">
        <w:rPr>
          <w:bCs/>
          <w:iCs/>
          <w:szCs w:val="22"/>
          <w:lang w:val="sr-Latn-RS"/>
        </w:rPr>
        <w:t xml:space="preserve">u odnosu na </w:t>
      </w:r>
      <w:r w:rsidR="00770AEC" w:rsidRPr="008F1125">
        <w:rPr>
          <w:bCs/>
          <w:iCs/>
          <w:szCs w:val="22"/>
          <w:lang w:val="sr-Latn-RS"/>
        </w:rPr>
        <w:t>nevisceralne) u vr</w:t>
      </w:r>
      <w:r w:rsidR="00E74CD9" w:rsidRPr="008F1125">
        <w:rPr>
          <w:bCs/>
          <w:iCs/>
          <w:szCs w:val="22"/>
          <w:lang w:val="sr-Latn-RS"/>
        </w:rPr>
        <w:t>ij</w:t>
      </w:r>
      <w:r w:rsidRPr="008F1125">
        <w:rPr>
          <w:bCs/>
          <w:iCs/>
          <w:szCs w:val="22"/>
          <w:lang w:val="sr-Latn-RS"/>
        </w:rPr>
        <w:t>eme uvođenja indukcion</w:t>
      </w:r>
      <w:r w:rsidR="00770AEC" w:rsidRPr="008F1125">
        <w:rPr>
          <w:bCs/>
          <w:iCs/>
          <w:szCs w:val="22"/>
          <w:lang w:val="sr-Latn-RS"/>
        </w:rPr>
        <w:t>e</w:t>
      </w:r>
      <w:r w:rsidRPr="008F1125">
        <w:rPr>
          <w:bCs/>
          <w:iCs/>
          <w:szCs w:val="22"/>
          <w:lang w:val="sr-Latn-RS"/>
        </w:rPr>
        <w:t xml:space="preserve"> h</w:t>
      </w:r>
      <w:r w:rsidR="00770AEC" w:rsidRPr="008F1125">
        <w:rPr>
          <w:bCs/>
          <w:iCs/>
          <w:szCs w:val="22"/>
          <w:lang w:val="sr-Latn-RS"/>
        </w:rPr>
        <w:t>em</w:t>
      </w:r>
      <w:r w:rsidRPr="008F1125">
        <w:rPr>
          <w:bCs/>
          <w:iCs/>
          <w:szCs w:val="22"/>
          <w:lang w:val="sr-Latn-RS"/>
        </w:rPr>
        <w:t>i</w:t>
      </w:r>
      <w:r w:rsidR="00770AEC" w:rsidRPr="008F1125">
        <w:rPr>
          <w:bCs/>
          <w:iCs/>
          <w:szCs w:val="22"/>
          <w:lang w:val="sr-Latn-RS"/>
        </w:rPr>
        <w:t xml:space="preserve">oterapije prve linije. </w:t>
      </w:r>
      <w:r w:rsidR="003E49C0" w:rsidRPr="008F1125">
        <w:rPr>
          <w:bCs/>
          <w:iCs/>
          <w:szCs w:val="22"/>
          <w:lang w:val="sr-Latn-RS"/>
        </w:rPr>
        <w:t>Pacijenti su bili randomizov</w:t>
      </w:r>
      <w:r w:rsidR="00770AEC" w:rsidRPr="008F1125">
        <w:rPr>
          <w:bCs/>
          <w:iCs/>
          <w:szCs w:val="22"/>
          <w:lang w:val="sr-Latn-RS"/>
        </w:rPr>
        <w:t xml:space="preserve">ani (1:1) u </w:t>
      </w:r>
      <w:r w:rsidR="003E49C0" w:rsidRPr="008F1125">
        <w:rPr>
          <w:bCs/>
          <w:iCs/>
          <w:szCs w:val="22"/>
          <w:lang w:val="sr-Latn-RS"/>
        </w:rPr>
        <w:t xml:space="preserve">grupu </w:t>
      </w:r>
      <w:r w:rsidR="00770AEC" w:rsidRPr="008F1125">
        <w:rPr>
          <w:bCs/>
          <w:iCs/>
          <w:szCs w:val="22"/>
          <w:lang w:val="sr-Latn-RS"/>
        </w:rPr>
        <w:t>koja je primala avelumab u</w:t>
      </w:r>
      <w:r w:rsidR="003E49C0" w:rsidRPr="008F1125">
        <w:rPr>
          <w:bCs/>
          <w:iCs/>
          <w:szCs w:val="22"/>
          <w:lang w:val="sr-Latn-RS"/>
        </w:rPr>
        <w:t xml:space="preserve"> </w:t>
      </w:r>
      <w:r w:rsidR="00770AEC" w:rsidRPr="008F1125">
        <w:rPr>
          <w:bCs/>
          <w:iCs/>
          <w:szCs w:val="22"/>
          <w:lang w:val="sr-Latn-RS"/>
        </w:rPr>
        <w:t>dozi od 10 mg/k</w:t>
      </w:r>
      <w:r w:rsidR="003E49C0" w:rsidRPr="008F1125">
        <w:rPr>
          <w:bCs/>
          <w:iCs/>
          <w:szCs w:val="22"/>
          <w:lang w:val="sr-Latn-RS"/>
        </w:rPr>
        <w:t>g kao intravensku infuziju svake</w:t>
      </w:r>
      <w:r w:rsidR="00770AEC" w:rsidRPr="008F1125">
        <w:rPr>
          <w:bCs/>
          <w:iCs/>
          <w:szCs w:val="22"/>
          <w:lang w:val="sr-Latn-RS"/>
        </w:rPr>
        <w:t xml:space="preserve"> 2 </w:t>
      </w:r>
      <w:r w:rsidR="003E49C0" w:rsidRPr="008F1125">
        <w:rPr>
          <w:bCs/>
          <w:iCs/>
          <w:szCs w:val="22"/>
          <w:lang w:val="sr-Latn-RS"/>
        </w:rPr>
        <w:t>ned</w:t>
      </w:r>
      <w:r w:rsidR="003C0701" w:rsidRPr="008F1125">
        <w:rPr>
          <w:bCs/>
          <w:iCs/>
          <w:szCs w:val="22"/>
          <w:lang w:val="sr-Latn-RS"/>
        </w:rPr>
        <w:t>j</w:t>
      </w:r>
      <w:r w:rsidR="003E49C0" w:rsidRPr="008F1125">
        <w:rPr>
          <w:bCs/>
          <w:iCs/>
          <w:szCs w:val="22"/>
          <w:lang w:val="sr-Latn-RS"/>
        </w:rPr>
        <w:t xml:space="preserve">elje </w:t>
      </w:r>
      <w:r w:rsidR="00770AEC" w:rsidRPr="008F1125">
        <w:rPr>
          <w:bCs/>
          <w:iCs/>
          <w:szCs w:val="22"/>
          <w:lang w:val="sr-Latn-RS"/>
        </w:rPr>
        <w:t>uz suportivnu terapiju ili samo suportivnu</w:t>
      </w:r>
      <w:r w:rsidR="00F31FF2" w:rsidRPr="008F1125">
        <w:rPr>
          <w:bCs/>
          <w:iCs/>
          <w:szCs w:val="22"/>
          <w:lang w:val="sr-Latn-RS"/>
        </w:rPr>
        <w:t xml:space="preserve"> </w:t>
      </w:r>
      <w:r w:rsidR="00770AEC" w:rsidRPr="008F1125">
        <w:rPr>
          <w:bCs/>
          <w:iCs/>
          <w:szCs w:val="22"/>
          <w:lang w:val="sr-Latn-RS"/>
        </w:rPr>
        <w:t>terapiju.</w:t>
      </w:r>
    </w:p>
    <w:p w14:paraId="52F679FA" w14:textId="77777777" w:rsidR="003E49C0" w:rsidRPr="008F1125" w:rsidRDefault="003E49C0" w:rsidP="00F31FF2">
      <w:pPr>
        <w:tabs>
          <w:tab w:val="clear" w:pos="567"/>
        </w:tabs>
        <w:jc w:val="both"/>
        <w:rPr>
          <w:bCs/>
          <w:iCs/>
          <w:szCs w:val="22"/>
          <w:lang w:val="sr-Latn-RS"/>
        </w:rPr>
      </w:pPr>
    </w:p>
    <w:p w14:paraId="303A097C" w14:textId="45959D8D" w:rsidR="004962B2" w:rsidRPr="008F1125" w:rsidRDefault="008924A6" w:rsidP="00F31FF2">
      <w:pPr>
        <w:tabs>
          <w:tab w:val="clear" w:pos="567"/>
        </w:tabs>
        <w:jc w:val="both"/>
        <w:rPr>
          <w:bCs/>
          <w:iCs/>
          <w:szCs w:val="22"/>
          <w:lang w:val="sr-Latn-RS"/>
        </w:rPr>
      </w:pPr>
      <w:r w:rsidRPr="008F1125">
        <w:rPr>
          <w:bCs/>
          <w:iCs/>
          <w:szCs w:val="22"/>
          <w:lang w:val="sr-Latn-RS"/>
        </w:rPr>
        <w:t>Prim</w:t>
      </w:r>
      <w:r w:rsidR="00515B67" w:rsidRPr="008F1125">
        <w:rPr>
          <w:bCs/>
          <w:iCs/>
          <w:szCs w:val="22"/>
          <w:lang w:val="sr-Latn-RS"/>
        </w:rPr>
        <w:t>j</w:t>
      </w:r>
      <w:r w:rsidR="00770AEC" w:rsidRPr="008F1125">
        <w:rPr>
          <w:bCs/>
          <w:iCs/>
          <w:szCs w:val="22"/>
          <w:lang w:val="sr-Latn-RS"/>
        </w:rPr>
        <w:t xml:space="preserve">ena avelumaba bila je </w:t>
      </w:r>
      <w:r w:rsidRPr="008F1125">
        <w:rPr>
          <w:bCs/>
          <w:iCs/>
          <w:szCs w:val="22"/>
          <w:lang w:val="sr-Latn-RS"/>
        </w:rPr>
        <w:t>dozvoljena nakon progresije bolesti definis</w:t>
      </w:r>
      <w:r w:rsidR="00770AEC" w:rsidRPr="008F1125">
        <w:rPr>
          <w:bCs/>
          <w:iCs/>
          <w:szCs w:val="22"/>
          <w:lang w:val="sr-Latn-RS"/>
        </w:rPr>
        <w:t>ane prema Kriterij</w:t>
      </w:r>
      <w:r w:rsidRPr="008F1125">
        <w:rPr>
          <w:bCs/>
          <w:iCs/>
          <w:szCs w:val="22"/>
          <w:lang w:val="sr-Latn-RS"/>
        </w:rPr>
        <w:t>u</w:t>
      </w:r>
      <w:r w:rsidR="00770AEC" w:rsidRPr="008F1125">
        <w:rPr>
          <w:bCs/>
          <w:iCs/>
          <w:szCs w:val="22"/>
          <w:lang w:val="sr-Latn-RS"/>
        </w:rPr>
        <w:t>m</w:t>
      </w:r>
      <w:r w:rsidRPr="008F1125">
        <w:rPr>
          <w:bCs/>
          <w:iCs/>
          <w:szCs w:val="22"/>
          <w:lang w:val="sr-Latn-RS"/>
        </w:rPr>
        <w:t>im</w:t>
      </w:r>
      <w:r w:rsidR="00770AEC" w:rsidRPr="008F1125">
        <w:rPr>
          <w:bCs/>
          <w:iCs/>
          <w:szCs w:val="22"/>
          <w:lang w:val="sr-Latn-RS"/>
        </w:rPr>
        <w:t>a za oc</w:t>
      </w:r>
      <w:r w:rsidR="00F31FF2" w:rsidRPr="008F1125">
        <w:rPr>
          <w:bCs/>
          <w:iCs/>
          <w:szCs w:val="22"/>
          <w:lang w:val="sr-Latn-RS"/>
        </w:rPr>
        <w:t>j</w:t>
      </w:r>
      <w:r w:rsidR="00770AEC" w:rsidRPr="008F1125">
        <w:rPr>
          <w:bCs/>
          <w:iCs/>
          <w:szCs w:val="22"/>
          <w:lang w:val="sr-Latn-RS"/>
        </w:rPr>
        <w:t>enu</w:t>
      </w:r>
      <w:r w:rsidRPr="008F1125">
        <w:rPr>
          <w:bCs/>
          <w:iCs/>
          <w:szCs w:val="22"/>
          <w:lang w:val="sr-Latn-RS"/>
        </w:rPr>
        <w:t xml:space="preserve"> </w:t>
      </w:r>
      <w:r w:rsidR="00770AEC" w:rsidRPr="008F1125">
        <w:rPr>
          <w:bCs/>
          <w:iCs/>
          <w:szCs w:val="22"/>
          <w:lang w:val="sr-Latn-RS"/>
        </w:rPr>
        <w:t xml:space="preserve">odgovora kod solidnih tumora (RECIST) v1.1 prema </w:t>
      </w:r>
      <w:r w:rsidR="00E74CD9" w:rsidRPr="008F1125">
        <w:rPr>
          <w:bCs/>
          <w:iCs/>
          <w:szCs w:val="22"/>
          <w:lang w:val="sr-Latn-RS"/>
        </w:rPr>
        <w:t>procjeni</w:t>
      </w:r>
      <w:r w:rsidR="00770AEC" w:rsidRPr="008F1125">
        <w:rPr>
          <w:bCs/>
          <w:iCs/>
          <w:szCs w:val="22"/>
          <w:lang w:val="sr-Latn-RS"/>
        </w:rPr>
        <w:t xml:space="preserve"> </w:t>
      </w:r>
      <w:r w:rsidR="0090624F" w:rsidRPr="008F1125">
        <w:rPr>
          <w:bCs/>
          <w:iCs/>
          <w:szCs w:val="22"/>
          <w:lang w:val="sr-Latn-RS" w:bidi="sr-Latn-RS"/>
        </w:rPr>
        <w:t>Zasl</w:t>
      </w:r>
      <w:r w:rsidR="00F31FF2" w:rsidRPr="008F1125">
        <w:rPr>
          <w:bCs/>
          <w:iCs/>
          <w:szCs w:val="22"/>
          <w:lang w:val="sr-Latn-RS" w:bidi="sr-Latn-RS"/>
        </w:rPr>
        <w:t>ij</w:t>
      </w:r>
      <w:r w:rsidR="0090624F" w:rsidRPr="008F1125">
        <w:rPr>
          <w:bCs/>
          <w:iCs/>
          <w:szCs w:val="22"/>
          <w:lang w:val="sr-Latn-RS" w:bidi="sr-Latn-RS"/>
        </w:rPr>
        <w:t>epljene nezavisne centralne komisije</w:t>
      </w:r>
      <w:r w:rsidR="0090624F" w:rsidRPr="008F1125">
        <w:rPr>
          <w:bCs/>
          <w:iCs/>
          <w:szCs w:val="22"/>
          <w:lang w:val="sr-Latn-RS"/>
        </w:rPr>
        <w:t xml:space="preserve"> (eng</w:t>
      </w:r>
      <w:r w:rsidR="00770AEC" w:rsidRPr="008F1125">
        <w:rPr>
          <w:bCs/>
          <w:iCs/>
          <w:szCs w:val="22"/>
          <w:lang w:val="sr-Latn-RS"/>
        </w:rPr>
        <w:t xml:space="preserve">. </w:t>
      </w:r>
      <w:r w:rsidR="00770AEC" w:rsidRPr="008F1125">
        <w:rPr>
          <w:bCs/>
          <w:i/>
          <w:iCs/>
          <w:szCs w:val="22"/>
          <w:lang w:val="sr-Latn-RS"/>
        </w:rPr>
        <w:t>Blinded Independent Central Review</w:t>
      </w:r>
      <w:r w:rsidR="00770AEC" w:rsidRPr="008F1125">
        <w:rPr>
          <w:bCs/>
          <w:iCs/>
          <w:szCs w:val="22"/>
          <w:lang w:val="sr-Latn-RS"/>
        </w:rPr>
        <w:t xml:space="preserve">, BICR) ako je </w:t>
      </w:r>
      <w:r w:rsidR="004962B2" w:rsidRPr="008F1125">
        <w:rPr>
          <w:bCs/>
          <w:iCs/>
          <w:szCs w:val="22"/>
          <w:lang w:val="sr-Latn-RS"/>
        </w:rPr>
        <w:t xml:space="preserve">pacijent </w:t>
      </w:r>
      <w:r w:rsidR="00770AEC" w:rsidRPr="008F1125">
        <w:rPr>
          <w:bCs/>
          <w:iCs/>
          <w:szCs w:val="22"/>
          <w:lang w:val="sr-Latn-RS"/>
        </w:rPr>
        <w:t>bio klinički stabilan i</w:t>
      </w:r>
      <w:r w:rsidR="004962B2" w:rsidRPr="008F1125">
        <w:rPr>
          <w:bCs/>
          <w:iCs/>
          <w:szCs w:val="22"/>
          <w:lang w:val="sr-Latn-RS"/>
        </w:rPr>
        <w:t xml:space="preserve"> </w:t>
      </w:r>
      <w:r w:rsidR="00770AEC" w:rsidRPr="008F1125">
        <w:rPr>
          <w:bCs/>
          <w:iCs/>
          <w:szCs w:val="22"/>
          <w:lang w:val="sr-Latn-RS"/>
        </w:rPr>
        <w:t>ako je ispitivač smatrao d</w:t>
      </w:r>
      <w:r w:rsidR="004962B2" w:rsidRPr="008F1125">
        <w:rPr>
          <w:bCs/>
          <w:iCs/>
          <w:szCs w:val="22"/>
          <w:lang w:val="sr-Latn-RS"/>
        </w:rPr>
        <w:t>a od toga ima kliničke koristi.</w:t>
      </w:r>
    </w:p>
    <w:p w14:paraId="0A74DC0D" w14:textId="77777777" w:rsidR="004962B2" w:rsidRPr="008F1125" w:rsidRDefault="004962B2" w:rsidP="00F31FF2">
      <w:pPr>
        <w:tabs>
          <w:tab w:val="clear" w:pos="567"/>
        </w:tabs>
        <w:jc w:val="both"/>
        <w:rPr>
          <w:bCs/>
          <w:iCs/>
          <w:szCs w:val="22"/>
          <w:lang w:val="sr-Latn-RS"/>
        </w:rPr>
      </w:pPr>
    </w:p>
    <w:p w14:paraId="126FFEE5" w14:textId="7F83396D" w:rsidR="00770AEC" w:rsidRPr="008F1125" w:rsidRDefault="00770AEC" w:rsidP="00F31FF2">
      <w:pPr>
        <w:tabs>
          <w:tab w:val="clear" w:pos="567"/>
        </w:tabs>
        <w:jc w:val="both"/>
        <w:rPr>
          <w:bCs/>
          <w:iCs/>
          <w:szCs w:val="22"/>
          <w:lang w:val="sr-Latn-RS"/>
        </w:rPr>
      </w:pPr>
      <w:r w:rsidRPr="008F1125">
        <w:rPr>
          <w:bCs/>
          <w:iCs/>
          <w:szCs w:val="22"/>
          <w:lang w:val="sr-Latn-RS"/>
        </w:rPr>
        <w:t>Proc</w:t>
      </w:r>
      <w:r w:rsidR="00F31FF2" w:rsidRPr="008F1125">
        <w:rPr>
          <w:bCs/>
          <w:iCs/>
          <w:szCs w:val="22"/>
          <w:lang w:val="sr-Latn-RS"/>
        </w:rPr>
        <w:t>j</w:t>
      </w:r>
      <w:r w:rsidRPr="008F1125">
        <w:rPr>
          <w:bCs/>
          <w:iCs/>
          <w:szCs w:val="22"/>
          <w:lang w:val="sr-Latn-RS"/>
        </w:rPr>
        <w:t xml:space="preserve">ena statusa tumora </w:t>
      </w:r>
      <w:r w:rsidR="004962B2" w:rsidRPr="008F1125">
        <w:rPr>
          <w:bCs/>
          <w:iCs/>
          <w:szCs w:val="22"/>
          <w:lang w:val="sr-Latn-RS"/>
        </w:rPr>
        <w:t>s</w:t>
      </w:r>
      <w:r w:rsidRPr="008F1125">
        <w:rPr>
          <w:bCs/>
          <w:iCs/>
          <w:szCs w:val="22"/>
          <w:lang w:val="sr-Latn-RS"/>
        </w:rPr>
        <w:t>provedena je na</w:t>
      </w:r>
      <w:r w:rsidR="004962B2" w:rsidRPr="008F1125">
        <w:rPr>
          <w:bCs/>
          <w:iCs/>
          <w:szCs w:val="22"/>
          <w:lang w:val="sr-Latn-RS"/>
        </w:rPr>
        <w:t xml:space="preserve"> </w:t>
      </w:r>
      <w:r w:rsidRPr="008F1125">
        <w:rPr>
          <w:bCs/>
          <w:iCs/>
          <w:szCs w:val="22"/>
          <w:lang w:val="sr-Latn-RS"/>
        </w:rPr>
        <w:t xml:space="preserve">početku ispitivanja, 8 </w:t>
      </w:r>
      <w:r w:rsidR="004962B2" w:rsidRPr="008F1125">
        <w:rPr>
          <w:bCs/>
          <w:iCs/>
          <w:szCs w:val="22"/>
          <w:lang w:val="sr-Latn-RS"/>
        </w:rPr>
        <w:t>ned</w:t>
      </w:r>
      <w:r w:rsidR="003C0701" w:rsidRPr="008F1125">
        <w:rPr>
          <w:bCs/>
          <w:iCs/>
          <w:szCs w:val="22"/>
          <w:lang w:val="sr-Latn-RS"/>
        </w:rPr>
        <w:t>j</w:t>
      </w:r>
      <w:r w:rsidR="004962B2" w:rsidRPr="008F1125">
        <w:rPr>
          <w:bCs/>
          <w:iCs/>
          <w:szCs w:val="22"/>
          <w:lang w:val="sr-Latn-RS"/>
        </w:rPr>
        <w:t>elja posl</w:t>
      </w:r>
      <w:r w:rsidR="00F31FF2" w:rsidRPr="008F1125">
        <w:rPr>
          <w:bCs/>
          <w:iCs/>
          <w:szCs w:val="22"/>
          <w:lang w:val="sr-Latn-RS"/>
        </w:rPr>
        <w:t>ij</w:t>
      </w:r>
      <w:r w:rsidR="004962B2" w:rsidRPr="008F1125">
        <w:rPr>
          <w:bCs/>
          <w:iCs/>
          <w:szCs w:val="22"/>
          <w:lang w:val="sr-Latn-RS"/>
        </w:rPr>
        <w:t xml:space="preserve">e </w:t>
      </w:r>
      <w:r w:rsidRPr="008F1125">
        <w:rPr>
          <w:bCs/>
          <w:iCs/>
          <w:szCs w:val="22"/>
          <w:lang w:val="sr-Latn-RS"/>
        </w:rPr>
        <w:t xml:space="preserve">randomizacije, </w:t>
      </w:r>
      <w:r w:rsidR="004962B2" w:rsidRPr="008F1125">
        <w:rPr>
          <w:bCs/>
          <w:iCs/>
          <w:szCs w:val="22"/>
          <w:lang w:val="sr-Latn-RS"/>
        </w:rPr>
        <w:t xml:space="preserve">a zatim na </w:t>
      </w:r>
      <w:r w:rsidRPr="008F1125">
        <w:rPr>
          <w:bCs/>
          <w:iCs/>
          <w:szCs w:val="22"/>
          <w:lang w:val="sr-Latn-RS"/>
        </w:rPr>
        <w:t xml:space="preserve">svakih 8 </w:t>
      </w:r>
      <w:r w:rsidR="004962B2" w:rsidRPr="008F1125">
        <w:rPr>
          <w:bCs/>
          <w:iCs/>
          <w:szCs w:val="22"/>
          <w:lang w:val="sr-Latn-RS"/>
        </w:rPr>
        <w:t>ned</w:t>
      </w:r>
      <w:r w:rsidR="003C0701" w:rsidRPr="008F1125">
        <w:rPr>
          <w:bCs/>
          <w:iCs/>
          <w:szCs w:val="22"/>
          <w:lang w:val="sr-Latn-RS"/>
        </w:rPr>
        <w:t>j</w:t>
      </w:r>
      <w:r w:rsidR="004962B2" w:rsidRPr="008F1125">
        <w:rPr>
          <w:bCs/>
          <w:iCs/>
          <w:szCs w:val="22"/>
          <w:lang w:val="sr-Latn-RS"/>
        </w:rPr>
        <w:t xml:space="preserve">elja sve do 12 </w:t>
      </w:r>
      <w:r w:rsidR="00B27CC7" w:rsidRPr="008F1125">
        <w:rPr>
          <w:bCs/>
          <w:iCs/>
          <w:szCs w:val="22"/>
          <w:lang w:val="sr-Latn-RS"/>
        </w:rPr>
        <w:t>mjeseci</w:t>
      </w:r>
      <w:r w:rsidRPr="008F1125">
        <w:rPr>
          <w:bCs/>
          <w:iCs/>
          <w:szCs w:val="22"/>
          <w:lang w:val="sr-Latn-RS"/>
        </w:rPr>
        <w:t xml:space="preserve"> </w:t>
      </w:r>
      <w:r w:rsidR="004962B2" w:rsidRPr="008F1125">
        <w:rPr>
          <w:bCs/>
          <w:iCs/>
          <w:szCs w:val="22"/>
          <w:lang w:val="sr-Latn-RS"/>
        </w:rPr>
        <w:t>posl</w:t>
      </w:r>
      <w:r w:rsidR="00F31FF2" w:rsidRPr="008F1125">
        <w:rPr>
          <w:bCs/>
          <w:iCs/>
          <w:szCs w:val="22"/>
          <w:lang w:val="sr-Latn-RS"/>
        </w:rPr>
        <w:t>ij</w:t>
      </w:r>
      <w:r w:rsidR="004962B2" w:rsidRPr="008F1125">
        <w:rPr>
          <w:bCs/>
          <w:iCs/>
          <w:szCs w:val="22"/>
          <w:lang w:val="sr-Latn-RS"/>
        </w:rPr>
        <w:t xml:space="preserve">e </w:t>
      </w:r>
      <w:r w:rsidRPr="008F1125">
        <w:rPr>
          <w:bCs/>
          <w:iCs/>
          <w:szCs w:val="22"/>
          <w:lang w:val="sr-Latn-RS"/>
        </w:rPr>
        <w:t xml:space="preserve">randomizacije, a nakon toga svakih 12 </w:t>
      </w:r>
      <w:r w:rsidR="004962B2" w:rsidRPr="008F1125">
        <w:rPr>
          <w:bCs/>
          <w:iCs/>
          <w:szCs w:val="22"/>
          <w:lang w:val="sr-Latn-RS"/>
        </w:rPr>
        <w:t>ned</w:t>
      </w:r>
      <w:r w:rsidR="00F31FF2" w:rsidRPr="008F1125">
        <w:rPr>
          <w:bCs/>
          <w:iCs/>
          <w:szCs w:val="22"/>
          <w:lang w:val="sr-Latn-RS"/>
        </w:rPr>
        <w:t>j</w:t>
      </w:r>
      <w:r w:rsidR="004962B2" w:rsidRPr="008F1125">
        <w:rPr>
          <w:bCs/>
          <w:iCs/>
          <w:szCs w:val="22"/>
          <w:lang w:val="sr-Latn-RS"/>
        </w:rPr>
        <w:t xml:space="preserve">elja </w:t>
      </w:r>
      <w:r w:rsidRPr="008F1125">
        <w:rPr>
          <w:bCs/>
          <w:iCs/>
          <w:szCs w:val="22"/>
          <w:lang w:val="sr-Latn-RS"/>
        </w:rPr>
        <w:t xml:space="preserve">do </w:t>
      </w:r>
      <w:r w:rsidR="004962B2" w:rsidRPr="008F1125">
        <w:rPr>
          <w:bCs/>
          <w:iCs/>
          <w:szCs w:val="22"/>
          <w:lang w:val="sr-Latn-RS"/>
        </w:rPr>
        <w:t xml:space="preserve"> d</w:t>
      </w:r>
      <w:r w:rsidRPr="008F1125">
        <w:rPr>
          <w:bCs/>
          <w:iCs/>
          <w:szCs w:val="22"/>
          <w:lang w:val="sr-Latn-RS"/>
        </w:rPr>
        <w:t>okument</w:t>
      </w:r>
      <w:r w:rsidR="004962B2" w:rsidRPr="008F1125">
        <w:rPr>
          <w:bCs/>
          <w:iCs/>
          <w:szCs w:val="22"/>
          <w:lang w:val="sr-Latn-RS"/>
        </w:rPr>
        <w:t>ovane</w:t>
      </w:r>
      <w:r w:rsidRPr="008F1125">
        <w:rPr>
          <w:bCs/>
          <w:iCs/>
          <w:szCs w:val="22"/>
          <w:lang w:val="sr-Latn-RS"/>
        </w:rPr>
        <w:t xml:space="preserve"> potvrde progresije bolesti na </w:t>
      </w:r>
      <w:r w:rsidR="004962B2" w:rsidRPr="008F1125">
        <w:rPr>
          <w:bCs/>
          <w:iCs/>
          <w:szCs w:val="22"/>
          <w:lang w:val="sr-Latn-RS"/>
        </w:rPr>
        <w:t xml:space="preserve">osnovu </w:t>
      </w:r>
      <w:r w:rsidRPr="008F1125">
        <w:rPr>
          <w:bCs/>
          <w:iCs/>
          <w:szCs w:val="22"/>
          <w:lang w:val="sr-Latn-RS"/>
        </w:rPr>
        <w:t>procene BICR-a prema kriterij</w:t>
      </w:r>
      <w:r w:rsidR="004962B2" w:rsidRPr="008F1125">
        <w:rPr>
          <w:bCs/>
          <w:iCs/>
          <w:szCs w:val="22"/>
          <w:lang w:val="sr-Latn-RS"/>
        </w:rPr>
        <w:t>um</w:t>
      </w:r>
      <w:r w:rsidRPr="008F1125">
        <w:rPr>
          <w:bCs/>
          <w:iCs/>
          <w:szCs w:val="22"/>
          <w:lang w:val="sr-Latn-RS"/>
        </w:rPr>
        <w:t>ima RECIST v1.1.</w:t>
      </w:r>
    </w:p>
    <w:p w14:paraId="55C5246B" w14:textId="77777777" w:rsidR="004962B2" w:rsidRPr="008F1125" w:rsidRDefault="004962B2" w:rsidP="00F31FF2">
      <w:pPr>
        <w:tabs>
          <w:tab w:val="clear" w:pos="567"/>
        </w:tabs>
        <w:jc w:val="both"/>
        <w:rPr>
          <w:bCs/>
          <w:iCs/>
          <w:szCs w:val="22"/>
          <w:lang w:val="sr-Latn-RS"/>
        </w:rPr>
      </w:pPr>
    </w:p>
    <w:p w14:paraId="2FCF35DB" w14:textId="191BC6A3" w:rsidR="00770AEC" w:rsidRPr="008F1125" w:rsidRDefault="00F31FF2" w:rsidP="00F31FF2">
      <w:pPr>
        <w:tabs>
          <w:tab w:val="clear" w:pos="567"/>
        </w:tabs>
        <w:jc w:val="both"/>
        <w:rPr>
          <w:bCs/>
          <w:iCs/>
          <w:szCs w:val="22"/>
          <w:lang w:val="sr-Latn-RS"/>
        </w:rPr>
      </w:pPr>
      <w:r w:rsidRPr="008F1125">
        <w:rPr>
          <w:bCs/>
          <w:iCs/>
          <w:szCs w:val="22"/>
          <w:lang w:val="sr-Latn-RS"/>
        </w:rPr>
        <w:t>U pogledu</w:t>
      </w:r>
      <w:r w:rsidR="00770AEC" w:rsidRPr="008F1125">
        <w:rPr>
          <w:bCs/>
          <w:iCs/>
          <w:szCs w:val="22"/>
          <w:lang w:val="sr-Latn-RS"/>
        </w:rPr>
        <w:t xml:space="preserve"> demografsk</w:t>
      </w:r>
      <w:r w:rsidRPr="008F1125">
        <w:rPr>
          <w:bCs/>
          <w:iCs/>
          <w:szCs w:val="22"/>
          <w:lang w:val="sr-Latn-RS"/>
        </w:rPr>
        <w:t>ih</w:t>
      </w:r>
      <w:r w:rsidR="00770AEC" w:rsidRPr="008F1125">
        <w:rPr>
          <w:bCs/>
          <w:iCs/>
          <w:szCs w:val="22"/>
          <w:lang w:val="sr-Latn-RS"/>
        </w:rPr>
        <w:t xml:space="preserve"> i početn</w:t>
      </w:r>
      <w:r w:rsidRPr="008F1125">
        <w:rPr>
          <w:bCs/>
          <w:iCs/>
          <w:szCs w:val="22"/>
          <w:lang w:val="sr-Latn-RS"/>
        </w:rPr>
        <w:t>ih</w:t>
      </w:r>
      <w:r w:rsidR="00770AEC" w:rsidRPr="008F1125">
        <w:rPr>
          <w:bCs/>
          <w:iCs/>
          <w:szCs w:val="22"/>
          <w:lang w:val="sr-Latn-RS"/>
        </w:rPr>
        <w:t xml:space="preserve"> </w:t>
      </w:r>
      <w:r w:rsidR="00286F96" w:rsidRPr="008F1125">
        <w:rPr>
          <w:bCs/>
          <w:iCs/>
          <w:szCs w:val="22"/>
          <w:lang w:val="sr-Latn-RS"/>
        </w:rPr>
        <w:t>karakteristik</w:t>
      </w:r>
      <w:r w:rsidRPr="008F1125">
        <w:rPr>
          <w:bCs/>
          <w:iCs/>
          <w:szCs w:val="22"/>
          <w:lang w:val="sr-Latn-RS"/>
        </w:rPr>
        <w:t>a</w:t>
      </w:r>
      <w:r w:rsidR="00770AEC" w:rsidRPr="008F1125">
        <w:rPr>
          <w:bCs/>
          <w:iCs/>
          <w:szCs w:val="22"/>
          <w:lang w:val="sr-Latn-RS"/>
        </w:rPr>
        <w:t xml:space="preserve"> </w:t>
      </w:r>
      <w:r w:rsidR="00286F96" w:rsidRPr="008F1125">
        <w:rPr>
          <w:bCs/>
          <w:iCs/>
          <w:szCs w:val="22"/>
          <w:lang w:val="sr-Latn-RS"/>
        </w:rPr>
        <w:t xml:space="preserve">pacijenata, </w:t>
      </w:r>
      <w:r w:rsidR="00770AEC" w:rsidRPr="008F1125">
        <w:rPr>
          <w:bCs/>
          <w:iCs/>
          <w:szCs w:val="22"/>
          <w:lang w:val="sr-Latn-RS"/>
        </w:rPr>
        <w:t xml:space="preserve">nije bilo značajnih razlika između </w:t>
      </w:r>
      <w:r w:rsidR="00286F96" w:rsidRPr="008F1125">
        <w:rPr>
          <w:bCs/>
          <w:iCs/>
          <w:szCs w:val="22"/>
          <w:lang w:val="sr-Latn-RS"/>
        </w:rPr>
        <w:t xml:space="preserve">grupe </w:t>
      </w:r>
      <w:r w:rsidR="00770AEC" w:rsidRPr="008F1125">
        <w:rPr>
          <w:bCs/>
          <w:iCs/>
          <w:szCs w:val="22"/>
          <w:lang w:val="sr-Latn-RS"/>
        </w:rPr>
        <w:t xml:space="preserve">koja je primala avelumab uz suportivnu terapiju i </w:t>
      </w:r>
      <w:r w:rsidR="00286F96" w:rsidRPr="008F1125">
        <w:rPr>
          <w:bCs/>
          <w:iCs/>
          <w:szCs w:val="22"/>
          <w:lang w:val="sr-Latn-RS"/>
        </w:rPr>
        <w:t xml:space="preserve">grupe </w:t>
      </w:r>
      <w:r w:rsidR="00770AEC" w:rsidRPr="008F1125">
        <w:rPr>
          <w:bCs/>
          <w:iCs/>
          <w:szCs w:val="22"/>
          <w:lang w:val="sr-Latn-RS"/>
        </w:rPr>
        <w:t>koja je primala samo suportivnu terapiju.</w:t>
      </w:r>
      <w:r w:rsidR="00030D7F" w:rsidRPr="008F1125">
        <w:rPr>
          <w:bCs/>
          <w:iCs/>
          <w:szCs w:val="22"/>
          <w:lang w:val="sr-Latn-RS"/>
        </w:rPr>
        <w:t xml:space="preserve"> </w:t>
      </w:r>
      <w:r w:rsidR="00770AEC" w:rsidRPr="008F1125">
        <w:rPr>
          <w:bCs/>
          <w:iCs/>
          <w:szCs w:val="22"/>
          <w:lang w:val="sr-Latn-RS"/>
        </w:rPr>
        <w:t xml:space="preserve">Početne </w:t>
      </w:r>
      <w:r w:rsidR="00030D7F" w:rsidRPr="008F1125">
        <w:rPr>
          <w:bCs/>
          <w:iCs/>
          <w:szCs w:val="22"/>
          <w:lang w:val="sr-Latn-RS"/>
        </w:rPr>
        <w:t xml:space="preserve">karakteristike </w:t>
      </w:r>
      <w:r w:rsidR="00770AEC" w:rsidRPr="008F1125">
        <w:rPr>
          <w:bCs/>
          <w:iCs/>
          <w:szCs w:val="22"/>
          <w:lang w:val="sr-Latn-RS"/>
        </w:rPr>
        <w:t>bile su medijan</w:t>
      </w:r>
      <w:r w:rsidR="00030D7F" w:rsidRPr="008F1125">
        <w:rPr>
          <w:bCs/>
          <w:iCs/>
          <w:szCs w:val="22"/>
          <w:lang w:val="sr-Latn-RS"/>
        </w:rPr>
        <w:t>a</w:t>
      </w:r>
      <w:r w:rsidR="00770AEC" w:rsidRPr="008F1125">
        <w:rPr>
          <w:bCs/>
          <w:iCs/>
          <w:szCs w:val="22"/>
          <w:lang w:val="sr-Latn-RS"/>
        </w:rPr>
        <w:t xml:space="preserve"> </w:t>
      </w:r>
      <w:r w:rsidR="00030D7F" w:rsidRPr="008F1125">
        <w:rPr>
          <w:bCs/>
          <w:iCs/>
          <w:szCs w:val="22"/>
          <w:lang w:val="sr-Latn-RS"/>
        </w:rPr>
        <w:t xml:space="preserve">starosti </w:t>
      </w:r>
      <w:r w:rsidR="00770AEC" w:rsidRPr="008F1125">
        <w:rPr>
          <w:bCs/>
          <w:iCs/>
          <w:szCs w:val="22"/>
          <w:lang w:val="sr-Latn-RS"/>
        </w:rPr>
        <w:t xml:space="preserve">od 69 godina (raspon: od 32 do 90), 66% </w:t>
      </w:r>
      <w:r w:rsidR="00030D7F" w:rsidRPr="008F1125">
        <w:rPr>
          <w:bCs/>
          <w:iCs/>
          <w:szCs w:val="22"/>
          <w:lang w:val="sr-Latn-RS"/>
        </w:rPr>
        <w:t xml:space="preserve">pacijenata bilo je starosti </w:t>
      </w:r>
      <w:r w:rsidR="00770AEC" w:rsidRPr="008F1125">
        <w:rPr>
          <w:bCs/>
          <w:iCs/>
          <w:szCs w:val="22"/>
          <w:lang w:val="sr-Latn-RS"/>
        </w:rPr>
        <w:t xml:space="preserve">65 godina ili </w:t>
      </w:r>
      <w:r w:rsidRPr="008F1125">
        <w:rPr>
          <w:bCs/>
          <w:iCs/>
          <w:szCs w:val="22"/>
          <w:lang w:val="sr-Latn-RS"/>
        </w:rPr>
        <w:t>iznad</w:t>
      </w:r>
      <w:r w:rsidR="00770AEC" w:rsidRPr="008F1125">
        <w:rPr>
          <w:bCs/>
          <w:iCs/>
          <w:szCs w:val="22"/>
          <w:lang w:val="sr-Latn-RS"/>
        </w:rPr>
        <w:t>, 77% su bili muškarci, 67% su bili b</w:t>
      </w:r>
      <w:r w:rsidR="003C0701" w:rsidRPr="008F1125">
        <w:rPr>
          <w:bCs/>
          <w:iCs/>
          <w:szCs w:val="22"/>
          <w:lang w:val="sr-Latn-RS"/>
        </w:rPr>
        <w:t>ij</w:t>
      </w:r>
      <w:r w:rsidR="00770AEC" w:rsidRPr="008F1125">
        <w:rPr>
          <w:bCs/>
          <w:iCs/>
          <w:szCs w:val="22"/>
          <w:lang w:val="sr-Latn-RS"/>
        </w:rPr>
        <w:t xml:space="preserve">elci, a ECOG </w:t>
      </w:r>
      <w:r w:rsidR="00AA7648" w:rsidRPr="008F1125">
        <w:rPr>
          <w:bCs/>
          <w:iCs/>
          <w:szCs w:val="22"/>
          <w:lang w:val="sr-Latn-RS"/>
        </w:rPr>
        <w:t xml:space="preserve">performans </w:t>
      </w:r>
      <w:r w:rsidR="00770AEC" w:rsidRPr="008F1125">
        <w:rPr>
          <w:bCs/>
          <w:iCs/>
          <w:szCs w:val="22"/>
          <w:lang w:val="sr-Latn-RS"/>
        </w:rPr>
        <w:t>status bio</w:t>
      </w:r>
      <w:r w:rsidR="00030D7F" w:rsidRPr="008F1125">
        <w:rPr>
          <w:bCs/>
          <w:iCs/>
          <w:szCs w:val="22"/>
          <w:lang w:val="sr-Latn-RS"/>
        </w:rPr>
        <w:t xml:space="preserve"> </w:t>
      </w:r>
      <w:r w:rsidR="007B288C" w:rsidRPr="008F1125">
        <w:rPr>
          <w:bCs/>
          <w:iCs/>
          <w:szCs w:val="22"/>
          <w:lang w:val="sr-Latn-RS"/>
        </w:rPr>
        <w:t>je 0 (61%) ili 1 (39%) u ob</w:t>
      </w:r>
      <w:r w:rsidR="003C0701" w:rsidRPr="008F1125">
        <w:rPr>
          <w:bCs/>
          <w:iCs/>
          <w:szCs w:val="22"/>
          <w:lang w:val="sr-Latn-RS"/>
        </w:rPr>
        <w:t>j</w:t>
      </w:r>
      <w:r w:rsidR="00770AEC" w:rsidRPr="008F1125">
        <w:rPr>
          <w:bCs/>
          <w:iCs/>
          <w:szCs w:val="22"/>
          <w:lang w:val="sr-Latn-RS"/>
        </w:rPr>
        <w:t xml:space="preserve">e </w:t>
      </w:r>
      <w:r w:rsidR="007B288C" w:rsidRPr="008F1125">
        <w:rPr>
          <w:bCs/>
          <w:iCs/>
          <w:szCs w:val="22"/>
          <w:lang w:val="sr-Latn-RS"/>
        </w:rPr>
        <w:t>grupe</w:t>
      </w:r>
      <w:r w:rsidR="00770AEC" w:rsidRPr="008F1125">
        <w:rPr>
          <w:bCs/>
          <w:iCs/>
          <w:szCs w:val="22"/>
          <w:lang w:val="sr-Latn-RS"/>
        </w:rPr>
        <w:t>.</w:t>
      </w:r>
    </w:p>
    <w:p w14:paraId="2F109B1E" w14:textId="77777777" w:rsidR="007B288C" w:rsidRPr="008F1125" w:rsidRDefault="007B288C" w:rsidP="00F31FF2">
      <w:pPr>
        <w:tabs>
          <w:tab w:val="clear" w:pos="567"/>
        </w:tabs>
        <w:jc w:val="both"/>
        <w:rPr>
          <w:bCs/>
          <w:iCs/>
          <w:szCs w:val="22"/>
          <w:lang w:val="sr-Latn-RS"/>
        </w:rPr>
      </w:pPr>
    </w:p>
    <w:p w14:paraId="31113FF2" w14:textId="59A025F4" w:rsidR="00770AEC" w:rsidRPr="008F1125" w:rsidRDefault="008D191A" w:rsidP="00F31FF2">
      <w:pPr>
        <w:tabs>
          <w:tab w:val="clear" w:pos="567"/>
        </w:tabs>
        <w:jc w:val="both"/>
        <w:rPr>
          <w:bCs/>
          <w:iCs/>
          <w:szCs w:val="22"/>
          <w:lang w:val="sr-Latn-RS"/>
        </w:rPr>
      </w:pPr>
      <w:r w:rsidRPr="008F1125">
        <w:rPr>
          <w:bCs/>
          <w:iCs/>
          <w:szCs w:val="22"/>
          <w:lang w:val="sr-Latn-RS"/>
        </w:rPr>
        <w:t>Kao indukcion</w:t>
      </w:r>
      <w:r w:rsidR="00770AEC" w:rsidRPr="008F1125">
        <w:rPr>
          <w:bCs/>
          <w:iCs/>
          <w:szCs w:val="22"/>
          <w:lang w:val="sr-Latn-RS"/>
        </w:rPr>
        <w:t xml:space="preserve">u </w:t>
      </w:r>
      <w:r w:rsidRPr="008F1125">
        <w:rPr>
          <w:bCs/>
          <w:iCs/>
          <w:szCs w:val="22"/>
          <w:lang w:val="sr-Latn-RS"/>
        </w:rPr>
        <w:t>h</w:t>
      </w:r>
      <w:r w:rsidR="00770AEC" w:rsidRPr="008F1125">
        <w:rPr>
          <w:bCs/>
          <w:iCs/>
          <w:szCs w:val="22"/>
          <w:lang w:val="sr-Latn-RS"/>
        </w:rPr>
        <w:t>em</w:t>
      </w:r>
      <w:r w:rsidRPr="008F1125">
        <w:rPr>
          <w:bCs/>
          <w:iCs/>
          <w:szCs w:val="22"/>
          <w:lang w:val="sr-Latn-RS"/>
        </w:rPr>
        <w:t>i</w:t>
      </w:r>
      <w:r w:rsidR="00770AEC" w:rsidRPr="008F1125">
        <w:rPr>
          <w:bCs/>
          <w:iCs/>
          <w:szCs w:val="22"/>
          <w:lang w:val="sr-Latn-RS"/>
        </w:rPr>
        <w:t xml:space="preserve">oterapiju prve linije, 56% </w:t>
      </w:r>
      <w:r w:rsidRPr="008F1125">
        <w:rPr>
          <w:bCs/>
          <w:iCs/>
          <w:szCs w:val="22"/>
          <w:lang w:val="sr-Latn-RS"/>
        </w:rPr>
        <w:t xml:space="preserve">pacijenata </w:t>
      </w:r>
      <w:r w:rsidR="00770AEC" w:rsidRPr="008F1125">
        <w:rPr>
          <w:bCs/>
          <w:iCs/>
          <w:szCs w:val="22"/>
          <w:lang w:val="sr-Latn-RS"/>
        </w:rPr>
        <w:t>primilo je cisplatin i gemcitabin, 38%</w:t>
      </w:r>
      <w:r w:rsidRPr="008F1125">
        <w:rPr>
          <w:bCs/>
          <w:iCs/>
          <w:szCs w:val="22"/>
          <w:lang w:val="sr-Latn-RS"/>
        </w:rPr>
        <w:t xml:space="preserve"> pacijenata </w:t>
      </w:r>
      <w:r w:rsidR="00770AEC" w:rsidRPr="008F1125">
        <w:rPr>
          <w:bCs/>
          <w:iCs/>
          <w:szCs w:val="22"/>
          <w:lang w:val="sr-Latn-RS"/>
        </w:rPr>
        <w:t>primilo j</w:t>
      </w:r>
      <w:r w:rsidR="00EF4307" w:rsidRPr="008F1125">
        <w:rPr>
          <w:bCs/>
          <w:iCs/>
          <w:szCs w:val="22"/>
          <w:lang w:val="sr-Latn-RS"/>
        </w:rPr>
        <w:t>e karboplatin i gemcitabin, a 6</w:t>
      </w:r>
      <w:r w:rsidR="00770AEC" w:rsidRPr="008F1125">
        <w:rPr>
          <w:bCs/>
          <w:iCs/>
          <w:szCs w:val="22"/>
          <w:lang w:val="sr-Latn-RS"/>
        </w:rPr>
        <w:t xml:space="preserve">% </w:t>
      </w:r>
      <w:r w:rsidRPr="008F1125">
        <w:rPr>
          <w:bCs/>
          <w:iCs/>
          <w:szCs w:val="22"/>
          <w:lang w:val="sr-Latn-RS"/>
        </w:rPr>
        <w:t xml:space="preserve">pacijenata </w:t>
      </w:r>
      <w:r w:rsidR="00770AEC" w:rsidRPr="008F1125">
        <w:rPr>
          <w:bCs/>
          <w:iCs/>
          <w:szCs w:val="22"/>
          <w:lang w:val="sr-Latn-RS"/>
        </w:rPr>
        <w:t>primilo je ob</w:t>
      </w:r>
      <w:r w:rsidR="003C0701" w:rsidRPr="008F1125">
        <w:rPr>
          <w:bCs/>
          <w:iCs/>
          <w:szCs w:val="22"/>
          <w:lang w:val="sr-Latn-RS"/>
        </w:rPr>
        <w:t>j</w:t>
      </w:r>
      <w:r w:rsidRPr="008F1125">
        <w:rPr>
          <w:bCs/>
          <w:iCs/>
          <w:szCs w:val="22"/>
          <w:lang w:val="sr-Latn-RS"/>
        </w:rPr>
        <w:t xml:space="preserve">e kombinacije, cisplatin i gemcitabin, kao i </w:t>
      </w:r>
      <w:r w:rsidR="00770AEC" w:rsidRPr="008F1125">
        <w:rPr>
          <w:bCs/>
          <w:iCs/>
          <w:szCs w:val="22"/>
          <w:lang w:val="sr-Latn-RS"/>
        </w:rPr>
        <w:t xml:space="preserve">karboplatin i gemcitabin (tj. ovi </w:t>
      </w:r>
      <w:r w:rsidR="00A827A4" w:rsidRPr="008F1125">
        <w:rPr>
          <w:bCs/>
          <w:iCs/>
          <w:szCs w:val="22"/>
          <w:lang w:val="sr-Latn-RS"/>
        </w:rPr>
        <w:t xml:space="preserve">pacijenti su </w:t>
      </w:r>
      <w:r w:rsidR="00770AEC" w:rsidRPr="008F1125">
        <w:rPr>
          <w:bCs/>
          <w:iCs/>
          <w:szCs w:val="22"/>
          <w:lang w:val="sr-Latn-RS"/>
        </w:rPr>
        <w:t>primili jedan il</w:t>
      </w:r>
      <w:r w:rsidR="00A827A4" w:rsidRPr="008F1125">
        <w:rPr>
          <w:bCs/>
          <w:iCs/>
          <w:szCs w:val="22"/>
          <w:lang w:val="sr-Latn-RS"/>
        </w:rPr>
        <w:t>i više ciklusa svake od ove dv</w:t>
      </w:r>
      <w:r w:rsidR="00B80A64" w:rsidRPr="008F1125">
        <w:rPr>
          <w:bCs/>
          <w:iCs/>
          <w:szCs w:val="22"/>
          <w:lang w:val="sr-Latn-RS"/>
        </w:rPr>
        <w:t>ij</w:t>
      </w:r>
      <w:r w:rsidR="00770AEC" w:rsidRPr="008F1125">
        <w:rPr>
          <w:bCs/>
          <w:iCs/>
          <w:szCs w:val="22"/>
          <w:lang w:val="sr-Latn-RS"/>
        </w:rPr>
        <w:t>e</w:t>
      </w:r>
      <w:r w:rsidR="00A827A4" w:rsidRPr="008F1125">
        <w:rPr>
          <w:bCs/>
          <w:iCs/>
          <w:szCs w:val="22"/>
          <w:lang w:val="sr-Latn-RS"/>
        </w:rPr>
        <w:t xml:space="preserve"> </w:t>
      </w:r>
      <w:r w:rsidR="00770AEC" w:rsidRPr="008F1125">
        <w:rPr>
          <w:bCs/>
          <w:iCs/>
          <w:szCs w:val="22"/>
          <w:lang w:val="sr-Latn-RS"/>
        </w:rPr>
        <w:t xml:space="preserve">kombinacije). Najbolji odgovor na </w:t>
      </w:r>
      <w:r w:rsidR="00EF4307" w:rsidRPr="008F1125">
        <w:rPr>
          <w:bCs/>
          <w:iCs/>
          <w:szCs w:val="22"/>
          <w:lang w:val="sr-Latn-RS"/>
        </w:rPr>
        <w:t xml:space="preserve">indukcionu hemioterapiju </w:t>
      </w:r>
      <w:r w:rsidR="00770AEC" w:rsidRPr="008F1125">
        <w:rPr>
          <w:bCs/>
          <w:iCs/>
          <w:szCs w:val="22"/>
          <w:lang w:val="sr-Latn-RS"/>
        </w:rPr>
        <w:t>p</w:t>
      </w:r>
      <w:r w:rsidR="00EF4307" w:rsidRPr="008F1125">
        <w:rPr>
          <w:bCs/>
          <w:iCs/>
          <w:szCs w:val="22"/>
          <w:lang w:val="sr-Latn-RS"/>
        </w:rPr>
        <w:t>rve linije bio je CR ili PR (72</w:t>
      </w:r>
      <w:r w:rsidR="00770AEC" w:rsidRPr="008F1125">
        <w:rPr>
          <w:bCs/>
          <w:iCs/>
          <w:szCs w:val="22"/>
          <w:lang w:val="sr-Latn-RS"/>
        </w:rPr>
        <w:t>%) ili</w:t>
      </w:r>
      <w:r w:rsidR="00EF4307" w:rsidRPr="008F1125">
        <w:rPr>
          <w:bCs/>
          <w:iCs/>
          <w:szCs w:val="22"/>
          <w:lang w:val="sr-Latn-RS"/>
        </w:rPr>
        <w:t xml:space="preserve"> </w:t>
      </w:r>
      <w:r w:rsidR="00770AEC" w:rsidRPr="008F1125">
        <w:rPr>
          <w:bCs/>
          <w:iCs/>
          <w:szCs w:val="22"/>
          <w:lang w:val="sr-Latn-RS"/>
        </w:rPr>
        <w:t>stabilna bolest (28%). Metastaze pr</w:t>
      </w:r>
      <w:r w:rsidR="003C0701" w:rsidRPr="008F1125">
        <w:rPr>
          <w:bCs/>
          <w:iCs/>
          <w:szCs w:val="22"/>
          <w:lang w:val="sr-Latn-RS"/>
        </w:rPr>
        <w:t>ij</w:t>
      </w:r>
      <w:r w:rsidR="00770AEC" w:rsidRPr="008F1125">
        <w:rPr>
          <w:bCs/>
          <w:iCs/>
          <w:szCs w:val="22"/>
          <w:lang w:val="sr-Latn-RS"/>
        </w:rPr>
        <w:t xml:space="preserve">e </w:t>
      </w:r>
      <w:r w:rsidR="00383A73" w:rsidRPr="008F1125">
        <w:rPr>
          <w:bCs/>
          <w:iCs/>
          <w:szCs w:val="22"/>
          <w:lang w:val="sr-Latn-RS"/>
        </w:rPr>
        <w:t>h</w:t>
      </w:r>
      <w:r w:rsidR="00770AEC" w:rsidRPr="008F1125">
        <w:rPr>
          <w:bCs/>
          <w:iCs/>
          <w:szCs w:val="22"/>
          <w:lang w:val="sr-Latn-RS"/>
        </w:rPr>
        <w:t>em</w:t>
      </w:r>
      <w:r w:rsidR="00383A73" w:rsidRPr="008F1125">
        <w:rPr>
          <w:bCs/>
          <w:iCs/>
          <w:szCs w:val="22"/>
          <w:lang w:val="sr-Latn-RS"/>
        </w:rPr>
        <w:t>i</w:t>
      </w:r>
      <w:r w:rsidR="00770AEC" w:rsidRPr="008F1125">
        <w:rPr>
          <w:bCs/>
          <w:iCs/>
          <w:szCs w:val="22"/>
          <w:lang w:val="sr-Latn-RS"/>
        </w:rPr>
        <w:t>oterapije bile su visceralne (55%) ili nevisceralne</w:t>
      </w:r>
      <w:r w:rsidR="00383A73" w:rsidRPr="008F1125">
        <w:rPr>
          <w:bCs/>
          <w:iCs/>
          <w:szCs w:val="22"/>
          <w:lang w:val="sr-Latn-RS"/>
        </w:rPr>
        <w:t xml:space="preserve"> </w:t>
      </w:r>
      <w:r w:rsidR="00770AEC" w:rsidRPr="008F1125">
        <w:rPr>
          <w:bCs/>
          <w:iCs/>
          <w:szCs w:val="22"/>
          <w:lang w:val="sr-Latn-RS"/>
        </w:rPr>
        <w:t>(45%).</w:t>
      </w:r>
      <w:r w:rsidR="00AB27A2" w:rsidRPr="008F1125">
        <w:rPr>
          <w:bCs/>
          <w:iCs/>
          <w:szCs w:val="22"/>
          <w:lang w:val="sr-Latn-RS"/>
        </w:rPr>
        <w:t xml:space="preserve"> </w:t>
      </w:r>
      <w:r w:rsidR="00770AEC" w:rsidRPr="008F1125">
        <w:rPr>
          <w:bCs/>
          <w:iCs/>
          <w:szCs w:val="22"/>
          <w:lang w:val="sr-Latn-RS"/>
        </w:rPr>
        <w:t xml:space="preserve">Pedeset jedan </w:t>
      </w:r>
      <w:r w:rsidR="00794ACB" w:rsidRPr="008F1125">
        <w:rPr>
          <w:bCs/>
          <w:iCs/>
          <w:szCs w:val="22"/>
          <w:lang w:val="sr-Latn-RS"/>
        </w:rPr>
        <w:t>procenat</w:t>
      </w:r>
      <w:r w:rsidR="00770AEC" w:rsidRPr="008F1125">
        <w:rPr>
          <w:bCs/>
          <w:iCs/>
          <w:szCs w:val="22"/>
          <w:lang w:val="sr-Latn-RS"/>
        </w:rPr>
        <w:t xml:space="preserve"> </w:t>
      </w:r>
      <w:r w:rsidR="00AB27A2" w:rsidRPr="008F1125">
        <w:rPr>
          <w:bCs/>
          <w:iCs/>
          <w:szCs w:val="22"/>
          <w:lang w:val="sr-Latn-RS"/>
        </w:rPr>
        <w:t xml:space="preserve">pacijenata </w:t>
      </w:r>
      <w:r w:rsidR="00770AEC" w:rsidRPr="008F1125">
        <w:rPr>
          <w:bCs/>
          <w:iCs/>
          <w:szCs w:val="22"/>
          <w:lang w:val="sr-Latn-RS"/>
        </w:rPr>
        <w:t xml:space="preserve">imao je PD-L1 pozitivne tumore. Šest </w:t>
      </w:r>
      <w:r w:rsidR="00794ACB" w:rsidRPr="008F1125">
        <w:rPr>
          <w:bCs/>
          <w:iCs/>
          <w:szCs w:val="22"/>
          <w:lang w:val="sr-Latn-RS"/>
        </w:rPr>
        <w:t>procenata</w:t>
      </w:r>
      <w:r w:rsidR="00770AEC" w:rsidRPr="008F1125">
        <w:rPr>
          <w:bCs/>
          <w:iCs/>
          <w:szCs w:val="22"/>
          <w:lang w:val="sr-Latn-RS"/>
        </w:rPr>
        <w:t xml:space="preserve"> </w:t>
      </w:r>
      <w:r w:rsidR="00AB27A2" w:rsidRPr="008F1125">
        <w:rPr>
          <w:bCs/>
          <w:iCs/>
          <w:szCs w:val="22"/>
          <w:lang w:val="sr-Latn-RS"/>
        </w:rPr>
        <w:t xml:space="preserve">pacijenata </w:t>
      </w:r>
      <w:r w:rsidR="00770AEC" w:rsidRPr="008F1125">
        <w:rPr>
          <w:bCs/>
          <w:iCs/>
          <w:szCs w:val="22"/>
          <w:lang w:val="sr-Latn-RS"/>
        </w:rPr>
        <w:t xml:space="preserve">u </w:t>
      </w:r>
      <w:r w:rsidR="00AB27A2" w:rsidRPr="008F1125">
        <w:rPr>
          <w:bCs/>
          <w:iCs/>
          <w:szCs w:val="22"/>
          <w:lang w:val="sr-Latn-RS"/>
        </w:rPr>
        <w:t xml:space="preserve">grupi </w:t>
      </w:r>
      <w:r w:rsidR="00770AEC" w:rsidRPr="008F1125">
        <w:rPr>
          <w:bCs/>
          <w:iCs/>
          <w:szCs w:val="22"/>
          <w:lang w:val="sr-Latn-RS"/>
        </w:rPr>
        <w:t>koja je</w:t>
      </w:r>
      <w:r w:rsidR="00AB27A2" w:rsidRPr="008F1125">
        <w:rPr>
          <w:bCs/>
          <w:iCs/>
          <w:szCs w:val="22"/>
          <w:lang w:val="sr-Latn-RS"/>
        </w:rPr>
        <w:t xml:space="preserve"> </w:t>
      </w:r>
      <w:r w:rsidR="00770AEC" w:rsidRPr="008F1125">
        <w:rPr>
          <w:bCs/>
          <w:iCs/>
          <w:szCs w:val="22"/>
          <w:lang w:val="sr-Latn-RS"/>
        </w:rPr>
        <w:t xml:space="preserve">primala avelumab uz suportivnu terapiju i 44% </w:t>
      </w:r>
      <w:r w:rsidR="00AB27A2" w:rsidRPr="008F1125">
        <w:rPr>
          <w:bCs/>
          <w:iCs/>
          <w:szCs w:val="22"/>
          <w:lang w:val="sr-Latn-RS"/>
        </w:rPr>
        <w:t xml:space="preserve">pacijenata </w:t>
      </w:r>
      <w:r w:rsidR="00770AEC" w:rsidRPr="008F1125">
        <w:rPr>
          <w:bCs/>
          <w:iCs/>
          <w:szCs w:val="22"/>
          <w:lang w:val="sr-Latn-RS"/>
        </w:rPr>
        <w:t xml:space="preserve">u </w:t>
      </w:r>
      <w:r w:rsidR="00AB27A2" w:rsidRPr="008F1125">
        <w:rPr>
          <w:bCs/>
          <w:iCs/>
          <w:szCs w:val="22"/>
          <w:lang w:val="sr-Latn-RS"/>
        </w:rPr>
        <w:t>grupi koja je primala samo s</w:t>
      </w:r>
      <w:r w:rsidR="00770AEC" w:rsidRPr="008F1125">
        <w:rPr>
          <w:bCs/>
          <w:iCs/>
          <w:szCs w:val="22"/>
          <w:lang w:val="sr-Latn-RS"/>
        </w:rPr>
        <w:t>uportivnu</w:t>
      </w:r>
      <w:r w:rsidR="00AB27A2" w:rsidRPr="008F1125">
        <w:rPr>
          <w:bCs/>
          <w:iCs/>
          <w:szCs w:val="22"/>
          <w:lang w:val="sr-Latn-RS"/>
        </w:rPr>
        <w:t xml:space="preserve"> </w:t>
      </w:r>
      <w:r w:rsidR="00770AEC" w:rsidRPr="008F1125">
        <w:rPr>
          <w:bCs/>
          <w:iCs/>
          <w:szCs w:val="22"/>
          <w:lang w:val="sr-Latn-RS"/>
        </w:rPr>
        <w:t xml:space="preserve">terapiju primilo je, nakon prestanka </w:t>
      </w:r>
      <w:r w:rsidR="00E50EFF" w:rsidRPr="008F1125">
        <w:rPr>
          <w:bCs/>
          <w:iCs/>
          <w:szCs w:val="22"/>
          <w:lang w:val="sr-Latn-RS"/>
        </w:rPr>
        <w:t>terapije</w:t>
      </w:r>
      <w:r w:rsidR="00770AEC" w:rsidRPr="008F1125">
        <w:rPr>
          <w:bCs/>
          <w:iCs/>
          <w:szCs w:val="22"/>
          <w:lang w:val="sr-Latn-RS"/>
        </w:rPr>
        <w:t>, drugi inhibitor kontrolnih t</w:t>
      </w:r>
      <w:r w:rsidR="00E50EFF" w:rsidRPr="008F1125">
        <w:rPr>
          <w:bCs/>
          <w:iCs/>
          <w:szCs w:val="22"/>
          <w:lang w:val="sr-Latn-RS"/>
        </w:rPr>
        <w:t>a</w:t>
      </w:r>
      <w:r w:rsidR="00770AEC" w:rsidRPr="008F1125">
        <w:rPr>
          <w:bCs/>
          <w:iCs/>
          <w:szCs w:val="22"/>
          <w:lang w:val="sr-Latn-RS"/>
        </w:rPr>
        <w:t>čaka PD-1/PD-L1.</w:t>
      </w:r>
    </w:p>
    <w:p w14:paraId="75EACD0F" w14:textId="77777777" w:rsidR="00E50EFF" w:rsidRPr="008F1125" w:rsidRDefault="00E50EFF" w:rsidP="00F31FF2">
      <w:pPr>
        <w:tabs>
          <w:tab w:val="clear" w:pos="567"/>
        </w:tabs>
        <w:jc w:val="both"/>
        <w:rPr>
          <w:bCs/>
          <w:iCs/>
          <w:szCs w:val="22"/>
          <w:lang w:val="sr-Latn-RS"/>
        </w:rPr>
      </w:pPr>
    </w:p>
    <w:p w14:paraId="067A6610" w14:textId="2CFBD10D" w:rsidR="00770AEC" w:rsidRPr="008F1125" w:rsidRDefault="00487079" w:rsidP="00F31FF2">
      <w:pPr>
        <w:tabs>
          <w:tab w:val="clear" w:pos="567"/>
        </w:tabs>
        <w:jc w:val="both"/>
        <w:rPr>
          <w:bCs/>
          <w:iCs/>
          <w:szCs w:val="22"/>
          <w:lang w:val="sr-Latn-RS"/>
        </w:rPr>
      </w:pPr>
      <w:r w:rsidRPr="008F1125">
        <w:rPr>
          <w:bCs/>
          <w:iCs/>
          <w:szCs w:val="22"/>
          <w:lang w:val="sr-Latn-RS"/>
        </w:rPr>
        <w:t>Primarna m</w:t>
      </w:r>
      <w:r w:rsidR="003C0701" w:rsidRPr="008F1125">
        <w:rPr>
          <w:bCs/>
          <w:iCs/>
          <w:szCs w:val="22"/>
          <w:lang w:val="sr-Latn-RS"/>
        </w:rPr>
        <w:t>j</w:t>
      </w:r>
      <w:r w:rsidR="009563E7" w:rsidRPr="008F1125">
        <w:rPr>
          <w:bCs/>
          <w:iCs/>
          <w:szCs w:val="22"/>
          <w:lang w:val="sr-Latn-RS"/>
        </w:rPr>
        <w:t xml:space="preserve">era </w:t>
      </w:r>
      <w:r w:rsidR="00770AEC" w:rsidRPr="008F1125">
        <w:rPr>
          <w:bCs/>
          <w:iCs/>
          <w:szCs w:val="22"/>
          <w:lang w:val="sr-Latn-RS"/>
        </w:rPr>
        <w:t xml:space="preserve">ishoda </w:t>
      </w:r>
      <w:r w:rsidR="009563E7" w:rsidRPr="008F1125">
        <w:rPr>
          <w:bCs/>
          <w:iCs/>
          <w:szCs w:val="22"/>
          <w:lang w:val="sr-Latn-RS"/>
        </w:rPr>
        <w:t>efikasnosti terapije</w:t>
      </w:r>
      <w:r w:rsidR="00770AEC" w:rsidRPr="008F1125">
        <w:rPr>
          <w:bCs/>
          <w:iCs/>
          <w:szCs w:val="22"/>
          <w:lang w:val="sr-Latn-RS"/>
        </w:rPr>
        <w:t xml:space="preserve"> b</w:t>
      </w:r>
      <w:r w:rsidR="009563E7" w:rsidRPr="008F1125">
        <w:rPr>
          <w:bCs/>
          <w:iCs/>
          <w:szCs w:val="22"/>
          <w:lang w:val="sr-Latn-RS"/>
        </w:rPr>
        <w:t>ila je ukupno preživljava</w:t>
      </w:r>
      <w:r w:rsidR="00770AEC" w:rsidRPr="008F1125">
        <w:rPr>
          <w:bCs/>
          <w:iCs/>
          <w:szCs w:val="22"/>
          <w:lang w:val="sr-Latn-RS"/>
        </w:rPr>
        <w:t>nje (</w:t>
      </w:r>
      <w:r w:rsidR="00B83F4B" w:rsidRPr="008F1125">
        <w:rPr>
          <w:bCs/>
          <w:iCs/>
          <w:szCs w:val="22"/>
          <w:lang w:val="sr-Latn-RS"/>
        </w:rPr>
        <w:t>OS) kod</w:t>
      </w:r>
      <w:r w:rsidR="00770AEC" w:rsidRPr="008F1125">
        <w:rPr>
          <w:bCs/>
          <w:iCs/>
          <w:szCs w:val="22"/>
          <w:lang w:val="sr-Latn-RS"/>
        </w:rPr>
        <w:t xml:space="preserve"> svih randomiz</w:t>
      </w:r>
      <w:r w:rsidR="00B83F4B" w:rsidRPr="008F1125">
        <w:rPr>
          <w:bCs/>
          <w:iCs/>
          <w:szCs w:val="22"/>
          <w:lang w:val="sr-Latn-RS"/>
        </w:rPr>
        <w:t>ov</w:t>
      </w:r>
      <w:r w:rsidR="00770AEC" w:rsidRPr="008F1125">
        <w:rPr>
          <w:bCs/>
          <w:iCs/>
          <w:szCs w:val="22"/>
          <w:lang w:val="sr-Latn-RS"/>
        </w:rPr>
        <w:t xml:space="preserve">anih </w:t>
      </w:r>
      <w:r w:rsidR="00B83F4B" w:rsidRPr="008F1125">
        <w:rPr>
          <w:bCs/>
          <w:iCs/>
          <w:szCs w:val="22"/>
          <w:lang w:val="sr-Latn-RS"/>
        </w:rPr>
        <w:t>pacijenata i kod</w:t>
      </w:r>
      <w:r w:rsidR="00770AEC" w:rsidRPr="008F1125">
        <w:rPr>
          <w:bCs/>
          <w:iCs/>
          <w:szCs w:val="22"/>
          <w:lang w:val="sr-Latn-RS"/>
        </w:rPr>
        <w:t xml:space="preserve"> </w:t>
      </w:r>
      <w:r w:rsidR="00B83F4B" w:rsidRPr="008F1125">
        <w:rPr>
          <w:bCs/>
          <w:iCs/>
          <w:szCs w:val="22"/>
          <w:lang w:val="sr-Latn-RS"/>
        </w:rPr>
        <w:t xml:space="preserve">pacijenata </w:t>
      </w:r>
      <w:r w:rsidR="00770AEC" w:rsidRPr="008F1125">
        <w:rPr>
          <w:bCs/>
          <w:iCs/>
          <w:szCs w:val="22"/>
          <w:lang w:val="sr-Latn-RS"/>
        </w:rPr>
        <w:t>s</w:t>
      </w:r>
      <w:r w:rsidR="00B83F4B" w:rsidRPr="008F1125">
        <w:rPr>
          <w:bCs/>
          <w:iCs/>
          <w:szCs w:val="22"/>
          <w:lang w:val="sr-Latn-RS"/>
        </w:rPr>
        <w:t>a</w:t>
      </w:r>
      <w:r w:rsidR="00770AEC" w:rsidRPr="008F1125">
        <w:rPr>
          <w:bCs/>
          <w:iCs/>
          <w:szCs w:val="22"/>
          <w:lang w:val="sr-Latn-RS"/>
        </w:rPr>
        <w:t xml:space="preserve"> PD-L</w:t>
      </w:r>
      <w:r w:rsidR="00607A30" w:rsidRPr="008F1125">
        <w:rPr>
          <w:bCs/>
          <w:iCs/>
          <w:szCs w:val="22"/>
          <w:lang w:val="sr-Latn-RS"/>
        </w:rPr>
        <w:t>1 pozitivnim tumorima. Preživljava</w:t>
      </w:r>
      <w:r w:rsidR="00770AEC" w:rsidRPr="008F1125">
        <w:rPr>
          <w:bCs/>
          <w:iCs/>
          <w:szCs w:val="22"/>
          <w:lang w:val="sr-Latn-RS"/>
        </w:rPr>
        <w:t xml:space="preserve">nje bez progresije bolesti (PFS) na </w:t>
      </w:r>
      <w:r w:rsidR="00607A30" w:rsidRPr="008F1125">
        <w:rPr>
          <w:bCs/>
          <w:iCs/>
          <w:szCs w:val="22"/>
          <w:lang w:val="sr-Latn-RS"/>
        </w:rPr>
        <w:t xml:space="preserve">osnovu </w:t>
      </w:r>
      <w:r w:rsidR="00770AEC" w:rsidRPr="008F1125">
        <w:rPr>
          <w:bCs/>
          <w:iCs/>
          <w:szCs w:val="22"/>
          <w:lang w:val="sr-Latn-RS"/>
        </w:rPr>
        <w:t>proc</w:t>
      </w:r>
      <w:r w:rsidR="003C0701" w:rsidRPr="008F1125">
        <w:rPr>
          <w:bCs/>
          <w:iCs/>
          <w:szCs w:val="22"/>
          <w:lang w:val="sr-Latn-RS"/>
        </w:rPr>
        <w:t>j</w:t>
      </w:r>
      <w:r w:rsidR="00770AEC" w:rsidRPr="008F1125">
        <w:rPr>
          <w:bCs/>
          <w:iCs/>
          <w:szCs w:val="22"/>
          <w:lang w:val="sr-Latn-RS"/>
        </w:rPr>
        <w:t>ene BICR-a prema kriterij</w:t>
      </w:r>
      <w:r w:rsidR="00045E11" w:rsidRPr="008F1125">
        <w:rPr>
          <w:bCs/>
          <w:iCs/>
          <w:szCs w:val="22"/>
          <w:lang w:val="sr-Latn-RS"/>
        </w:rPr>
        <w:t>umi</w:t>
      </w:r>
      <w:r w:rsidR="00770AEC" w:rsidRPr="008F1125">
        <w:rPr>
          <w:bCs/>
          <w:iCs/>
          <w:szCs w:val="22"/>
          <w:lang w:val="sr-Latn-RS"/>
        </w:rPr>
        <w:t>m</w:t>
      </w:r>
      <w:r w:rsidR="00045E11" w:rsidRPr="008F1125">
        <w:rPr>
          <w:bCs/>
          <w:iCs/>
          <w:szCs w:val="22"/>
          <w:lang w:val="sr-Latn-RS"/>
        </w:rPr>
        <w:t>a RECIST v1.1 bila je dodatna m</w:t>
      </w:r>
      <w:r w:rsidR="00836743" w:rsidRPr="008F1125">
        <w:rPr>
          <w:bCs/>
          <w:iCs/>
          <w:szCs w:val="22"/>
          <w:lang w:val="sr-Latn-RS"/>
        </w:rPr>
        <w:t>j</w:t>
      </w:r>
      <w:r w:rsidR="00770AEC" w:rsidRPr="008F1125">
        <w:rPr>
          <w:bCs/>
          <w:iCs/>
          <w:szCs w:val="22"/>
          <w:lang w:val="sr-Latn-RS"/>
        </w:rPr>
        <w:t xml:space="preserve">era ishoda </w:t>
      </w:r>
      <w:r w:rsidR="00045E11" w:rsidRPr="008F1125">
        <w:rPr>
          <w:bCs/>
          <w:iCs/>
          <w:szCs w:val="22"/>
          <w:lang w:val="sr-Latn-RS"/>
        </w:rPr>
        <w:t>efikasnosti</w:t>
      </w:r>
      <w:r w:rsidR="00770AEC" w:rsidRPr="008F1125">
        <w:rPr>
          <w:bCs/>
          <w:iCs/>
          <w:szCs w:val="22"/>
          <w:lang w:val="sr-Latn-RS"/>
        </w:rPr>
        <w:t>. Ishodi</w:t>
      </w:r>
      <w:r w:rsidR="00045E11" w:rsidRPr="008F1125">
        <w:rPr>
          <w:bCs/>
          <w:iCs/>
          <w:szCs w:val="22"/>
          <w:lang w:val="sr-Latn-RS"/>
        </w:rPr>
        <w:t xml:space="preserve"> efikasnosti </w:t>
      </w:r>
      <w:r w:rsidR="00770AEC" w:rsidRPr="008F1125">
        <w:rPr>
          <w:bCs/>
          <w:iCs/>
          <w:szCs w:val="22"/>
          <w:lang w:val="sr-Latn-RS"/>
        </w:rPr>
        <w:t>m</w:t>
      </w:r>
      <w:r w:rsidR="003C0701" w:rsidRPr="008F1125">
        <w:rPr>
          <w:bCs/>
          <w:iCs/>
          <w:szCs w:val="22"/>
          <w:lang w:val="sr-Latn-RS"/>
        </w:rPr>
        <w:t>j</w:t>
      </w:r>
      <w:r w:rsidR="00770AEC" w:rsidRPr="008F1125">
        <w:rPr>
          <w:bCs/>
          <w:iCs/>
          <w:szCs w:val="22"/>
          <w:lang w:val="sr-Latn-RS"/>
        </w:rPr>
        <w:t xml:space="preserve">ereni su od trenutka randomizacije </w:t>
      </w:r>
      <w:r w:rsidR="00045E11" w:rsidRPr="008F1125">
        <w:rPr>
          <w:bCs/>
          <w:iCs/>
          <w:szCs w:val="22"/>
          <w:lang w:val="sr-Latn-RS"/>
        </w:rPr>
        <w:t>posl</w:t>
      </w:r>
      <w:r w:rsidR="00836743" w:rsidRPr="008F1125">
        <w:rPr>
          <w:bCs/>
          <w:iCs/>
          <w:szCs w:val="22"/>
          <w:lang w:val="sr-Latn-RS"/>
        </w:rPr>
        <w:t>ij</w:t>
      </w:r>
      <w:r w:rsidR="00045E11" w:rsidRPr="008F1125">
        <w:rPr>
          <w:bCs/>
          <w:iCs/>
          <w:szCs w:val="22"/>
          <w:lang w:val="sr-Latn-RS"/>
        </w:rPr>
        <w:t xml:space="preserve">e </w:t>
      </w:r>
      <w:r w:rsidR="00770AEC" w:rsidRPr="008F1125">
        <w:rPr>
          <w:bCs/>
          <w:iCs/>
          <w:szCs w:val="22"/>
          <w:lang w:val="sr-Latn-RS"/>
        </w:rPr>
        <w:t>4 do 6 ciklusa indukci</w:t>
      </w:r>
      <w:r w:rsidR="00045E11" w:rsidRPr="008F1125">
        <w:rPr>
          <w:bCs/>
          <w:iCs/>
          <w:szCs w:val="22"/>
          <w:lang w:val="sr-Latn-RS"/>
        </w:rPr>
        <w:t>one h</w:t>
      </w:r>
      <w:r w:rsidR="00770AEC" w:rsidRPr="008F1125">
        <w:rPr>
          <w:bCs/>
          <w:iCs/>
          <w:szCs w:val="22"/>
          <w:lang w:val="sr-Latn-RS"/>
        </w:rPr>
        <w:t>em</w:t>
      </w:r>
      <w:r w:rsidR="00045E11" w:rsidRPr="008F1125">
        <w:rPr>
          <w:bCs/>
          <w:iCs/>
          <w:szCs w:val="22"/>
          <w:lang w:val="sr-Latn-RS"/>
        </w:rPr>
        <w:t>i</w:t>
      </w:r>
      <w:r w:rsidR="00770AEC" w:rsidRPr="008F1125">
        <w:rPr>
          <w:bCs/>
          <w:iCs/>
          <w:szCs w:val="22"/>
          <w:lang w:val="sr-Latn-RS"/>
        </w:rPr>
        <w:t>oterapije na</w:t>
      </w:r>
      <w:r w:rsidR="00045E11" w:rsidRPr="008F1125">
        <w:rPr>
          <w:bCs/>
          <w:iCs/>
          <w:szCs w:val="22"/>
          <w:lang w:val="sr-Latn-RS"/>
        </w:rPr>
        <w:t xml:space="preserve"> </w:t>
      </w:r>
      <w:r w:rsidR="00770AEC" w:rsidRPr="008F1125">
        <w:rPr>
          <w:bCs/>
          <w:iCs/>
          <w:szCs w:val="22"/>
          <w:lang w:val="sr-Latn-RS"/>
        </w:rPr>
        <w:t>bazi platine.</w:t>
      </w:r>
    </w:p>
    <w:p w14:paraId="1AC7CB85" w14:textId="77777777" w:rsidR="00045E11" w:rsidRPr="008F1125" w:rsidRDefault="00045E11" w:rsidP="00F31FF2">
      <w:pPr>
        <w:tabs>
          <w:tab w:val="clear" w:pos="567"/>
        </w:tabs>
        <w:jc w:val="both"/>
        <w:rPr>
          <w:bCs/>
          <w:iCs/>
          <w:szCs w:val="22"/>
          <w:lang w:val="sr-Latn-RS"/>
        </w:rPr>
      </w:pPr>
    </w:p>
    <w:p w14:paraId="55F9B143" w14:textId="41D83BCC" w:rsidR="00770AEC" w:rsidRPr="008F1125" w:rsidRDefault="001A76B9" w:rsidP="00F31FF2">
      <w:pPr>
        <w:tabs>
          <w:tab w:val="clear" w:pos="567"/>
        </w:tabs>
        <w:jc w:val="both"/>
        <w:rPr>
          <w:bCs/>
          <w:iCs/>
          <w:szCs w:val="22"/>
          <w:lang w:val="sr-Latn-RS"/>
        </w:rPr>
      </w:pPr>
      <w:r w:rsidRPr="008F1125">
        <w:rPr>
          <w:bCs/>
          <w:iCs/>
          <w:szCs w:val="22"/>
          <w:lang w:val="sr-Latn-RS"/>
        </w:rPr>
        <w:t>PD-L1 status tumora proc</w:t>
      </w:r>
      <w:r w:rsidR="003C0701" w:rsidRPr="008F1125">
        <w:rPr>
          <w:bCs/>
          <w:iCs/>
          <w:szCs w:val="22"/>
          <w:lang w:val="sr-Latn-RS"/>
        </w:rPr>
        <w:t>ij</w:t>
      </w:r>
      <w:r w:rsidR="00770AEC" w:rsidRPr="008F1125">
        <w:rPr>
          <w:bCs/>
          <w:iCs/>
          <w:szCs w:val="22"/>
          <w:lang w:val="sr-Latn-RS"/>
        </w:rPr>
        <w:t>enjen je pomoću testa Ventana PD-L1 (SP263). PD-L1 pozitivnost</w:t>
      </w:r>
      <w:r w:rsidR="00BE2929" w:rsidRPr="008F1125">
        <w:rPr>
          <w:bCs/>
          <w:iCs/>
          <w:szCs w:val="22"/>
          <w:lang w:val="sr-Latn-RS"/>
        </w:rPr>
        <w:t xml:space="preserve"> </w:t>
      </w:r>
      <w:r w:rsidR="00770AEC" w:rsidRPr="008F1125">
        <w:rPr>
          <w:bCs/>
          <w:iCs/>
          <w:szCs w:val="22"/>
          <w:lang w:val="sr-Latn-RS"/>
        </w:rPr>
        <w:t>defini</w:t>
      </w:r>
      <w:r w:rsidR="00D32D24" w:rsidRPr="008F1125">
        <w:rPr>
          <w:bCs/>
          <w:iCs/>
          <w:szCs w:val="22"/>
          <w:lang w:val="sr-Latn-RS"/>
        </w:rPr>
        <w:t>s</w:t>
      </w:r>
      <w:r w:rsidR="00770AEC" w:rsidRPr="008F1125">
        <w:rPr>
          <w:bCs/>
          <w:iCs/>
          <w:szCs w:val="22"/>
          <w:lang w:val="sr-Latn-RS"/>
        </w:rPr>
        <w:t xml:space="preserve">ana je kao ≥ 25% tumorskih </w:t>
      </w:r>
      <w:r w:rsidR="00D32D24" w:rsidRPr="008F1125">
        <w:rPr>
          <w:bCs/>
          <w:iCs/>
          <w:szCs w:val="22"/>
          <w:lang w:val="sr-Latn-RS"/>
        </w:rPr>
        <w:t xml:space="preserve">ćelija </w:t>
      </w:r>
      <w:r w:rsidR="00770AEC" w:rsidRPr="008F1125">
        <w:rPr>
          <w:bCs/>
          <w:iCs/>
          <w:szCs w:val="22"/>
          <w:lang w:val="sr-Latn-RS"/>
        </w:rPr>
        <w:t>oboj</w:t>
      </w:r>
      <w:r w:rsidR="00D32D24" w:rsidRPr="008F1125">
        <w:rPr>
          <w:bCs/>
          <w:iCs/>
          <w:szCs w:val="22"/>
          <w:lang w:val="sr-Latn-RS"/>
        </w:rPr>
        <w:t>e</w:t>
      </w:r>
      <w:r w:rsidR="00770AEC" w:rsidRPr="008F1125">
        <w:rPr>
          <w:bCs/>
          <w:iCs/>
          <w:szCs w:val="22"/>
          <w:lang w:val="sr-Latn-RS"/>
        </w:rPr>
        <w:t>no</w:t>
      </w:r>
      <w:r w:rsidR="00DE485C" w:rsidRPr="008F1125">
        <w:rPr>
          <w:bCs/>
          <w:iCs/>
          <w:szCs w:val="22"/>
          <w:lang w:val="sr-Latn-RS"/>
        </w:rPr>
        <w:t xml:space="preserve"> na PD-L1, </w:t>
      </w:r>
      <w:r w:rsidR="001100F0" w:rsidRPr="008F1125">
        <w:rPr>
          <w:bCs/>
          <w:iCs/>
          <w:szCs w:val="22"/>
          <w:lang w:val="sr-Latn-RS"/>
        </w:rPr>
        <w:t xml:space="preserve">ili </w:t>
      </w:r>
      <w:r w:rsidR="00DE485C" w:rsidRPr="008F1125">
        <w:rPr>
          <w:bCs/>
          <w:iCs/>
          <w:szCs w:val="22"/>
          <w:lang w:val="sr-Latn-RS"/>
        </w:rPr>
        <w:t>≥ 25</w:t>
      </w:r>
      <w:r w:rsidR="00770AEC" w:rsidRPr="008F1125">
        <w:rPr>
          <w:bCs/>
          <w:iCs/>
          <w:szCs w:val="22"/>
          <w:lang w:val="sr-Latn-RS"/>
        </w:rPr>
        <w:t xml:space="preserve">% imunih </w:t>
      </w:r>
      <w:r w:rsidR="00BE2929" w:rsidRPr="008F1125">
        <w:rPr>
          <w:bCs/>
          <w:iCs/>
          <w:szCs w:val="22"/>
          <w:lang w:val="sr-Latn-RS"/>
        </w:rPr>
        <w:t xml:space="preserve">ćelija </w:t>
      </w:r>
      <w:r w:rsidR="00770AEC" w:rsidRPr="008F1125">
        <w:rPr>
          <w:bCs/>
          <w:iCs/>
          <w:szCs w:val="22"/>
          <w:lang w:val="sr-Latn-RS"/>
        </w:rPr>
        <w:t>oboj</w:t>
      </w:r>
      <w:r w:rsidR="00BE2929" w:rsidRPr="008F1125">
        <w:rPr>
          <w:bCs/>
          <w:iCs/>
          <w:szCs w:val="22"/>
          <w:lang w:val="sr-Latn-RS"/>
        </w:rPr>
        <w:t>e</w:t>
      </w:r>
      <w:r w:rsidR="00770AEC" w:rsidRPr="008F1125">
        <w:rPr>
          <w:bCs/>
          <w:iCs/>
          <w:szCs w:val="22"/>
          <w:lang w:val="sr-Latn-RS"/>
        </w:rPr>
        <w:t>no na</w:t>
      </w:r>
      <w:r w:rsidR="00BE2929" w:rsidRPr="008F1125">
        <w:rPr>
          <w:bCs/>
          <w:iCs/>
          <w:szCs w:val="22"/>
          <w:lang w:val="sr-Latn-RS"/>
        </w:rPr>
        <w:t xml:space="preserve"> </w:t>
      </w:r>
      <w:r w:rsidR="00770AEC" w:rsidRPr="008F1125">
        <w:rPr>
          <w:bCs/>
          <w:iCs/>
          <w:szCs w:val="22"/>
          <w:lang w:val="sr-Latn-RS"/>
        </w:rPr>
        <w:t xml:space="preserve">PD-L1 ako je &gt; 1% </w:t>
      </w:r>
      <w:r w:rsidR="00645620" w:rsidRPr="008F1125">
        <w:rPr>
          <w:bCs/>
          <w:iCs/>
          <w:szCs w:val="22"/>
          <w:lang w:val="sr-Latn-RS"/>
        </w:rPr>
        <w:t>površine</w:t>
      </w:r>
      <w:r w:rsidR="00770AEC" w:rsidRPr="008F1125">
        <w:rPr>
          <w:bCs/>
          <w:iCs/>
          <w:szCs w:val="22"/>
          <w:lang w:val="sr-Latn-RS"/>
        </w:rPr>
        <w:t xml:space="preserve"> tumora sadržalo imune </w:t>
      </w:r>
      <w:r w:rsidR="006D2EF1" w:rsidRPr="008F1125">
        <w:rPr>
          <w:bCs/>
          <w:iCs/>
          <w:szCs w:val="22"/>
          <w:lang w:val="sr-Latn-RS"/>
        </w:rPr>
        <w:t>ćelije</w:t>
      </w:r>
      <w:r w:rsidR="00836743" w:rsidRPr="008F1125">
        <w:rPr>
          <w:bCs/>
          <w:iCs/>
          <w:szCs w:val="22"/>
          <w:lang w:val="sr-Latn-RS"/>
        </w:rPr>
        <w:t>,</w:t>
      </w:r>
      <w:r w:rsidR="006D2EF1" w:rsidRPr="008F1125">
        <w:rPr>
          <w:bCs/>
          <w:iCs/>
          <w:szCs w:val="22"/>
          <w:lang w:val="sr-Latn-RS"/>
        </w:rPr>
        <w:t xml:space="preserve"> </w:t>
      </w:r>
      <w:r w:rsidR="00770AEC" w:rsidRPr="008F1125">
        <w:rPr>
          <w:bCs/>
          <w:iCs/>
          <w:szCs w:val="22"/>
          <w:lang w:val="sr-Latn-RS"/>
        </w:rPr>
        <w:t xml:space="preserve">ili 100% imunih </w:t>
      </w:r>
      <w:r w:rsidR="006D2EF1" w:rsidRPr="008F1125">
        <w:rPr>
          <w:bCs/>
          <w:iCs/>
          <w:szCs w:val="22"/>
          <w:lang w:val="sr-Latn-RS"/>
        </w:rPr>
        <w:t xml:space="preserve">ćelija </w:t>
      </w:r>
      <w:r w:rsidR="00770AEC" w:rsidRPr="008F1125">
        <w:rPr>
          <w:bCs/>
          <w:iCs/>
          <w:szCs w:val="22"/>
          <w:lang w:val="sr-Latn-RS"/>
        </w:rPr>
        <w:t>oboj</w:t>
      </w:r>
      <w:r w:rsidR="006D2EF1" w:rsidRPr="008F1125">
        <w:rPr>
          <w:bCs/>
          <w:iCs/>
          <w:szCs w:val="22"/>
          <w:lang w:val="sr-Latn-RS"/>
        </w:rPr>
        <w:t>e</w:t>
      </w:r>
      <w:r w:rsidR="00770AEC" w:rsidRPr="008F1125">
        <w:rPr>
          <w:bCs/>
          <w:iCs/>
          <w:szCs w:val="22"/>
          <w:lang w:val="sr-Latn-RS"/>
        </w:rPr>
        <w:t>no na PD-L1 ako je = 1</w:t>
      </w:r>
      <w:r w:rsidR="002537DA" w:rsidRPr="008F1125">
        <w:rPr>
          <w:bCs/>
          <w:iCs/>
          <w:szCs w:val="22"/>
          <w:lang w:val="sr-Latn-RS"/>
        </w:rPr>
        <w:t xml:space="preserve">% </w:t>
      </w:r>
      <w:r w:rsidR="00645620" w:rsidRPr="008F1125">
        <w:rPr>
          <w:bCs/>
          <w:iCs/>
          <w:szCs w:val="22"/>
          <w:lang w:val="sr-Latn-RS"/>
        </w:rPr>
        <w:t xml:space="preserve">površine </w:t>
      </w:r>
      <w:r w:rsidR="002537DA" w:rsidRPr="008F1125">
        <w:rPr>
          <w:bCs/>
          <w:iCs/>
          <w:szCs w:val="22"/>
          <w:lang w:val="sr-Latn-RS"/>
        </w:rPr>
        <w:t>tumora sadrža</w:t>
      </w:r>
      <w:r w:rsidR="00770AEC" w:rsidRPr="008F1125">
        <w:rPr>
          <w:bCs/>
          <w:iCs/>
          <w:szCs w:val="22"/>
          <w:lang w:val="sr-Latn-RS"/>
        </w:rPr>
        <w:t xml:space="preserve">lo imune </w:t>
      </w:r>
      <w:r w:rsidR="000C0DC2" w:rsidRPr="008F1125">
        <w:rPr>
          <w:bCs/>
          <w:iCs/>
          <w:szCs w:val="22"/>
          <w:lang w:val="sr-Latn-RS"/>
        </w:rPr>
        <w:t>ćelije</w:t>
      </w:r>
      <w:r w:rsidR="00770AEC" w:rsidRPr="008F1125">
        <w:rPr>
          <w:bCs/>
          <w:iCs/>
          <w:szCs w:val="22"/>
          <w:lang w:val="sr-Latn-RS"/>
        </w:rPr>
        <w:t>.</w:t>
      </w:r>
    </w:p>
    <w:p w14:paraId="338AA0E1" w14:textId="77777777" w:rsidR="000C0DC2" w:rsidRPr="008F1125" w:rsidRDefault="000C0DC2" w:rsidP="00F31FF2">
      <w:pPr>
        <w:tabs>
          <w:tab w:val="clear" w:pos="567"/>
        </w:tabs>
        <w:jc w:val="both"/>
        <w:rPr>
          <w:bCs/>
          <w:iCs/>
          <w:szCs w:val="22"/>
          <w:lang w:val="sr-Latn-RS"/>
        </w:rPr>
      </w:pPr>
    </w:p>
    <w:p w14:paraId="55F682DC" w14:textId="6DB7EBCB" w:rsidR="00770AEC" w:rsidRPr="008F1125" w:rsidRDefault="00770AEC" w:rsidP="00F31FF2">
      <w:pPr>
        <w:tabs>
          <w:tab w:val="clear" w:pos="567"/>
        </w:tabs>
        <w:jc w:val="both"/>
        <w:rPr>
          <w:bCs/>
          <w:iCs/>
          <w:szCs w:val="22"/>
          <w:lang w:val="sr-Latn-RS"/>
        </w:rPr>
      </w:pPr>
      <w:r w:rsidRPr="008F1125">
        <w:rPr>
          <w:bCs/>
          <w:iCs/>
          <w:szCs w:val="22"/>
          <w:lang w:val="sr-Latn-RS"/>
        </w:rPr>
        <w:t>Prema unapr</w:t>
      </w:r>
      <w:r w:rsidR="003C0701" w:rsidRPr="008F1125">
        <w:rPr>
          <w:bCs/>
          <w:iCs/>
          <w:szCs w:val="22"/>
          <w:lang w:val="sr-Latn-RS"/>
        </w:rPr>
        <w:t>ij</w:t>
      </w:r>
      <w:r w:rsidRPr="008F1125">
        <w:rPr>
          <w:bCs/>
          <w:iCs/>
          <w:szCs w:val="22"/>
          <w:lang w:val="sr-Latn-RS"/>
        </w:rPr>
        <w:t>ed defini</w:t>
      </w:r>
      <w:r w:rsidR="000C0DC2" w:rsidRPr="008F1125">
        <w:rPr>
          <w:bCs/>
          <w:iCs/>
          <w:szCs w:val="22"/>
          <w:lang w:val="sr-Latn-RS"/>
        </w:rPr>
        <w:t>s</w:t>
      </w:r>
      <w:r w:rsidRPr="008F1125">
        <w:rPr>
          <w:bCs/>
          <w:iCs/>
          <w:szCs w:val="22"/>
          <w:lang w:val="sr-Latn-RS"/>
        </w:rPr>
        <w:t xml:space="preserve">anoj </w:t>
      </w:r>
      <w:r w:rsidR="001D3FED" w:rsidRPr="008F1125">
        <w:rPr>
          <w:bCs/>
          <w:iCs/>
          <w:szCs w:val="22"/>
          <w:lang w:val="sr-Latn-RS"/>
        </w:rPr>
        <w:t>periodičnoj</w:t>
      </w:r>
      <w:r w:rsidRPr="008F1125">
        <w:rPr>
          <w:bCs/>
          <w:iCs/>
          <w:szCs w:val="22"/>
          <w:lang w:val="sr-Latn-RS"/>
        </w:rPr>
        <w:t xml:space="preserve"> analizi (datum prestanka prikupljanja podataka 21.</w:t>
      </w:r>
      <w:r w:rsidR="00836743" w:rsidRPr="008F1125">
        <w:rPr>
          <w:bCs/>
          <w:iCs/>
          <w:szCs w:val="22"/>
          <w:lang w:val="sr-Latn-RS"/>
        </w:rPr>
        <w:t>10.</w:t>
      </w:r>
      <w:r w:rsidRPr="008F1125">
        <w:rPr>
          <w:bCs/>
          <w:iCs/>
          <w:szCs w:val="22"/>
          <w:lang w:val="sr-Latn-RS"/>
        </w:rPr>
        <w:t>2019</w:t>
      </w:r>
      <w:r w:rsidR="001D3FED" w:rsidRPr="008F1125">
        <w:rPr>
          <w:bCs/>
          <w:iCs/>
          <w:szCs w:val="22"/>
          <w:lang w:val="sr-Latn-RS"/>
        </w:rPr>
        <w:t>. g</w:t>
      </w:r>
      <w:r w:rsidR="007E5C2F" w:rsidRPr="008F1125">
        <w:rPr>
          <w:bCs/>
          <w:iCs/>
          <w:szCs w:val="22"/>
          <w:lang w:val="sr-Latn-RS"/>
        </w:rPr>
        <w:t>odine</w:t>
      </w:r>
      <w:r w:rsidRPr="008F1125">
        <w:rPr>
          <w:bCs/>
          <w:iCs/>
          <w:szCs w:val="22"/>
          <w:lang w:val="sr-Latn-RS"/>
        </w:rPr>
        <w:t xml:space="preserve">) u ispitivanju B9991001 postignuta je </w:t>
      </w:r>
      <w:r w:rsidR="00836743" w:rsidRPr="008F1125">
        <w:rPr>
          <w:bCs/>
          <w:iCs/>
          <w:szCs w:val="22"/>
          <w:lang w:val="sr-Latn-RS"/>
        </w:rPr>
        <w:t xml:space="preserve">primarna </w:t>
      </w:r>
      <w:r w:rsidR="001D3FED" w:rsidRPr="008F1125">
        <w:rPr>
          <w:bCs/>
          <w:iCs/>
          <w:szCs w:val="22"/>
          <w:lang w:val="sr-Latn-RS"/>
        </w:rPr>
        <w:t>m</w:t>
      </w:r>
      <w:r w:rsidR="00854AD7" w:rsidRPr="008F1125">
        <w:rPr>
          <w:bCs/>
          <w:iCs/>
          <w:szCs w:val="22"/>
          <w:lang w:val="sr-Latn-RS"/>
        </w:rPr>
        <w:t>j</w:t>
      </w:r>
      <w:r w:rsidR="001D3FED" w:rsidRPr="008F1125">
        <w:rPr>
          <w:bCs/>
          <w:iCs/>
          <w:szCs w:val="22"/>
          <w:lang w:val="sr-Latn-RS"/>
        </w:rPr>
        <w:t xml:space="preserve">era </w:t>
      </w:r>
      <w:r w:rsidRPr="008F1125">
        <w:rPr>
          <w:bCs/>
          <w:iCs/>
          <w:szCs w:val="22"/>
          <w:lang w:val="sr-Latn-RS"/>
        </w:rPr>
        <w:t>ishoda za OS u ob</w:t>
      </w:r>
      <w:r w:rsidR="003C0701" w:rsidRPr="008F1125">
        <w:rPr>
          <w:bCs/>
          <w:iCs/>
          <w:szCs w:val="22"/>
          <w:lang w:val="sr-Latn-RS"/>
        </w:rPr>
        <w:t>j</w:t>
      </w:r>
      <w:r w:rsidRPr="008F1125">
        <w:rPr>
          <w:bCs/>
          <w:iCs/>
          <w:szCs w:val="22"/>
          <w:lang w:val="sr-Latn-RS"/>
        </w:rPr>
        <w:t>e primarne populacije:</w:t>
      </w:r>
      <w:r w:rsidR="001D3FED" w:rsidRPr="008F1125">
        <w:rPr>
          <w:bCs/>
          <w:iCs/>
          <w:szCs w:val="22"/>
          <w:lang w:val="sr-Latn-RS"/>
        </w:rPr>
        <w:t xml:space="preserve"> kod </w:t>
      </w:r>
      <w:r w:rsidRPr="008F1125">
        <w:rPr>
          <w:bCs/>
          <w:iCs/>
          <w:szCs w:val="22"/>
          <w:lang w:val="sr-Latn-RS"/>
        </w:rPr>
        <w:t>svih randomiz</w:t>
      </w:r>
      <w:r w:rsidR="001D3FED" w:rsidRPr="008F1125">
        <w:rPr>
          <w:bCs/>
          <w:iCs/>
          <w:szCs w:val="22"/>
          <w:lang w:val="sr-Latn-RS"/>
        </w:rPr>
        <w:t>ov</w:t>
      </w:r>
      <w:r w:rsidRPr="008F1125">
        <w:rPr>
          <w:bCs/>
          <w:iCs/>
          <w:szCs w:val="22"/>
          <w:lang w:val="sr-Latn-RS"/>
        </w:rPr>
        <w:t xml:space="preserve">anih </w:t>
      </w:r>
      <w:r w:rsidR="001D3FED" w:rsidRPr="008F1125">
        <w:rPr>
          <w:bCs/>
          <w:iCs/>
          <w:szCs w:val="22"/>
          <w:lang w:val="sr-Latn-RS"/>
        </w:rPr>
        <w:t xml:space="preserve">pacijenata </w:t>
      </w:r>
      <w:r w:rsidRPr="008F1125">
        <w:rPr>
          <w:bCs/>
          <w:iCs/>
          <w:szCs w:val="22"/>
          <w:lang w:val="sr-Latn-RS"/>
        </w:rPr>
        <w:t>s</w:t>
      </w:r>
      <w:r w:rsidR="001D3FED" w:rsidRPr="008F1125">
        <w:rPr>
          <w:bCs/>
          <w:iCs/>
          <w:szCs w:val="22"/>
          <w:lang w:val="sr-Latn-RS"/>
        </w:rPr>
        <w:t>a</w:t>
      </w:r>
      <w:r w:rsidRPr="008F1125">
        <w:rPr>
          <w:bCs/>
          <w:iCs/>
          <w:szCs w:val="22"/>
          <w:lang w:val="sr-Latn-RS"/>
        </w:rPr>
        <w:t xml:space="preserve"> medijanom OS od 21,4 m</w:t>
      </w:r>
      <w:r w:rsidR="003C0701" w:rsidRPr="008F1125">
        <w:rPr>
          <w:bCs/>
          <w:iCs/>
          <w:szCs w:val="22"/>
          <w:lang w:val="sr-Latn-RS"/>
        </w:rPr>
        <w:t>j</w:t>
      </w:r>
      <w:r w:rsidRPr="008F1125">
        <w:rPr>
          <w:bCs/>
          <w:iCs/>
          <w:szCs w:val="22"/>
          <w:lang w:val="sr-Latn-RS"/>
        </w:rPr>
        <w:t>eseca (95% CI: 18,9; 26,1; HR 0,69;</w:t>
      </w:r>
      <w:r w:rsidR="00D903F7" w:rsidRPr="008F1125">
        <w:rPr>
          <w:bCs/>
          <w:iCs/>
          <w:szCs w:val="22"/>
          <w:lang w:val="sr-Latn-RS"/>
        </w:rPr>
        <w:t xml:space="preserve"> </w:t>
      </w:r>
      <w:r w:rsidRPr="008F1125">
        <w:rPr>
          <w:bCs/>
          <w:iCs/>
          <w:szCs w:val="22"/>
          <w:lang w:val="sr-Latn-RS"/>
        </w:rPr>
        <w:t xml:space="preserve">95% CI: 0,556; 0,863) u </w:t>
      </w:r>
      <w:r w:rsidR="00D903F7" w:rsidRPr="008F1125">
        <w:rPr>
          <w:bCs/>
          <w:iCs/>
          <w:szCs w:val="22"/>
          <w:lang w:val="sr-Latn-RS"/>
        </w:rPr>
        <w:t xml:space="preserve">grupi </w:t>
      </w:r>
      <w:r w:rsidRPr="008F1125">
        <w:rPr>
          <w:bCs/>
          <w:iCs/>
          <w:szCs w:val="22"/>
          <w:lang w:val="sr-Latn-RS"/>
        </w:rPr>
        <w:t>koja je primala avelumab uz suportivnu terapiju i medijanom OS</w:t>
      </w:r>
      <w:r w:rsidR="00D903F7" w:rsidRPr="008F1125">
        <w:rPr>
          <w:bCs/>
          <w:iCs/>
          <w:szCs w:val="22"/>
          <w:lang w:val="sr-Latn-RS"/>
        </w:rPr>
        <w:t xml:space="preserve"> </w:t>
      </w:r>
      <w:r w:rsidRPr="008F1125">
        <w:rPr>
          <w:bCs/>
          <w:iCs/>
          <w:szCs w:val="22"/>
          <w:lang w:val="sr-Latn-RS"/>
        </w:rPr>
        <w:t>od 14,3 m</w:t>
      </w:r>
      <w:r w:rsidR="003C0701" w:rsidRPr="008F1125">
        <w:rPr>
          <w:bCs/>
          <w:iCs/>
          <w:szCs w:val="22"/>
          <w:lang w:val="sr-Latn-RS"/>
        </w:rPr>
        <w:t>j</w:t>
      </w:r>
      <w:r w:rsidRPr="008F1125">
        <w:rPr>
          <w:bCs/>
          <w:iCs/>
          <w:szCs w:val="22"/>
          <w:lang w:val="sr-Latn-RS"/>
        </w:rPr>
        <w:t xml:space="preserve">eseca (95% CI: 12,9; 17,8) u </w:t>
      </w:r>
      <w:r w:rsidR="006756F4" w:rsidRPr="008F1125">
        <w:rPr>
          <w:bCs/>
          <w:iCs/>
          <w:szCs w:val="22"/>
          <w:lang w:val="sr-Latn-RS"/>
        </w:rPr>
        <w:t xml:space="preserve">grupi </w:t>
      </w:r>
      <w:r w:rsidRPr="008F1125">
        <w:rPr>
          <w:bCs/>
          <w:iCs/>
          <w:szCs w:val="22"/>
          <w:lang w:val="sr-Latn-RS"/>
        </w:rPr>
        <w:t xml:space="preserve">koja je primala samo suportivnu terapiju. </w:t>
      </w:r>
      <w:r w:rsidR="006756F4" w:rsidRPr="008F1125">
        <w:rPr>
          <w:bCs/>
          <w:iCs/>
          <w:szCs w:val="22"/>
          <w:lang w:val="sr-Latn-RS"/>
        </w:rPr>
        <w:t>Kod pacijenata sa</w:t>
      </w:r>
      <w:r w:rsidRPr="008F1125">
        <w:rPr>
          <w:bCs/>
          <w:iCs/>
          <w:szCs w:val="22"/>
          <w:lang w:val="sr-Latn-RS"/>
        </w:rPr>
        <w:t xml:space="preserve"> PD-L1 pozitivnim tumorima medijan</w:t>
      </w:r>
      <w:r w:rsidR="006756F4" w:rsidRPr="008F1125">
        <w:rPr>
          <w:bCs/>
          <w:iCs/>
          <w:szCs w:val="22"/>
          <w:lang w:val="sr-Latn-RS"/>
        </w:rPr>
        <w:t>a</w:t>
      </w:r>
      <w:r w:rsidRPr="008F1125">
        <w:rPr>
          <w:bCs/>
          <w:iCs/>
          <w:szCs w:val="22"/>
          <w:lang w:val="sr-Latn-RS"/>
        </w:rPr>
        <w:t xml:space="preserve"> OS nije </w:t>
      </w:r>
      <w:r w:rsidR="006756F4" w:rsidRPr="008F1125">
        <w:rPr>
          <w:bCs/>
          <w:iCs/>
          <w:szCs w:val="22"/>
          <w:lang w:val="sr-Latn-RS"/>
        </w:rPr>
        <w:t>po</w:t>
      </w:r>
      <w:r w:rsidRPr="008F1125">
        <w:rPr>
          <w:bCs/>
          <w:iCs/>
          <w:szCs w:val="22"/>
          <w:lang w:val="sr-Latn-RS"/>
        </w:rPr>
        <w:t>s</w:t>
      </w:r>
      <w:r w:rsidR="006756F4" w:rsidRPr="008F1125">
        <w:rPr>
          <w:bCs/>
          <w:iCs/>
          <w:szCs w:val="22"/>
          <w:lang w:val="sr-Latn-RS"/>
        </w:rPr>
        <w:t>ti</w:t>
      </w:r>
      <w:r w:rsidRPr="008F1125">
        <w:rPr>
          <w:bCs/>
          <w:iCs/>
          <w:szCs w:val="22"/>
          <w:lang w:val="sr-Latn-RS"/>
        </w:rPr>
        <w:t>gnut</w:t>
      </w:r>
      <w:r w:rsidR="006756F4" w:rsidRPr="008F1125">
        <w:rPr>
          <w:bCs/>
          <w:iCs/>
          <w:szCs w:val="22"/>
          <w:lang w:val="sr-Latn-RS"/>
        </w:rPr>
        <w:t>a</w:t>
      </w:r>
      <w:r w:rsidRPr="008F1125">
        <w:rPr>
          <w:bCs/>
          <w:iCs/>
          <w:szCs w:val="22"/>
          <w:lang w:val="sr-Latn-RS"/>
        </w:rPr>
        <w:t xml:space="preserve"> (95% CI: 20,3; nije </w:t>
      </w:r>
      <w:r w:rsidR="00B80906" w:rsidRPr="008F1125">
        <w:rPr>
          <w:bCs/>
          <w:iCs/>
          <w:szCs w:val="22"/>
          <w:lang w:val="sr-Latn-RS"/>
        </w:rPr>
        <w:t>postignuto</w:t>
      </w:r>
      <w:r w:rsidRPr="008F1125">
        <w:rPr>
          <w:bCs/>
          <w:iCs/>
          <w:szCs w:val="22"/>
          <w:lang w:val="sr-Latn-RS"/>
        </w:rPr>
        <w:t>; HR 0,56;</w:t>
      </w:r>
      <w:r w:rsidR="00B80906" w:rsidRPr="008F1125">
        <w:rPr>
          <w:bCs/>
          <w:iCs/>
          <w:szCs w:val="22"/>
          <w:lang w:val="sr-Latn-RS"/>
        </w:rPr>
        <w:t xml:space="preserve"> </w:t>
      </w:r>
      <w:r w:rsidRPr="008F1125">
        <w:rPr>
          <w:bCs/>
          <w:iCs/>
          <w:szCs w:val="22"/>
          <w:lang w:val="sr-Latn-RS"/>
        </w:rPr>
        <w:t xml:space="preserve">95% CI: 0,404; 0,787) u </w:t>
      </w:r>
      <w:r w:rsidR="00813679" w:rsidRPr="008F1125">
        <w:rPr>
          <w:bCs/>
          <w:iCs/>
          <w:szCs w:val="22"/>
          <w:lang w:val="sr-Latn-RS"/>
        </w:rPr>
        <w:t xml:space="preserve">grupi </w:t>
      </w:r>
      <w:r w:rsidRPr="008F1125">
        <w:rPr>
          <w:bCs/>
          <w:iCs/>
          <w:szCs w:val="22"/>
          <w:lang w:val="sr-Latn-RS"/>
        </w:rPr>
        <w:t>koja je primala avelumab uz suportivnu terapiju, a medijan</w:t>
      </w:r>
      <w:r w:rsidR="00813679" w:rsidRPr="008F1125">
        <w:rPr>
          <w:bCs/>
          <w:iCs/>
          <w:szCs w:val="22"/>
          <w:lang w:val="sr-Latn-RS"/>
        </w:rPr>
        <w:t>a</w:t>
      </w:r>
      <w:r w:rsidRPr="008F1125">
        <w:rPr>
          <w:bCs/>
          <w:iCs/>
          <w:szCs w:val="22"/>
          <w:lang w:val="sr-Latn-RS"/>
        </w:rPr>
        <w:t xml:space="preserve"> OS je u</w:t>
      </w:r>
      <w:r w:rsidR="00813679" w:rsidRPr="008F1125">
        <w:rPr>
          <w:bCs/>
          <w:iCs/>
          <w:szCs w:val="22"/>
          <w:lang w:val="sr-Latn-RS"/>
        </w:rPr>
        <w:t xml:space="preserve"> grupi </w:t>
      </w:r>
      <w:r w:rsidRPr="008F1125">
        <w:rPr>
          <w:bCs/>
          <w:iCs/>
          <w:szCs w:val="22"/>
          <w:lang w:val="sr-Latn-RS"/>
        </w:rPr>
        <w:t>koja je prim</w:t>
      </w:r>
      <w:r w:rsidR="00813679" w:rsidRPr="008F1125">
        <w:rPr>
          <w:bCs/>
          <w:iCs/>
          <w:szCs w:val="22"/>
          <w:lang w:val="sr-Latn-RS"/>
        </w:rPr>
        <w:t>ala samo suportivnu terapiju bila</w:t>
      </w:r>
      <w:r w:rsidRPr="008F1125">
        <w:rPr>
          <w:bCs/>
          <w:iCs/>
          <w:szCs w:val="22"/>
          <w:lang w:val="sr-Latn-RS"/>
        </w:rPr>
        <w:t xml:space="preserve"> 17,1 m</w:t>
      </w:r>
      <w:r w:rsidR="003C0701" w:rsidRPr="008F1125">
        <w:rPr>
          <w:bCs/>
          <w:iCs/>
          <w:szCs w:val="22"/>
          <w:lang w:val="sr-Latn-RS"/>
        </w:rPr>
        <w:t>j</w:t>
      </w:r>
      <w:r w:rsidRPr="008F1125">
        <w:rPr>
          <w:bCs/>
          <w:iCs/>
          <w:szCs w:val="22"/>
          <w:lang w:val="sr-Latn-RS"/>
        </w:rPr>
        <w:t>esec (95% CI: 13,5; 23,7). Ažurirani</w:t>
      </w:r>
      <w:r w:rsidR="00D35089" w:rsidRPr="008F1125">
        <w:rPr>
          <w:bCs/>
          <w:iCs/>
          <w:szCs w:val="22"/>
          <w:lang w:val="sr-Latn-RS"/>
        </w:rPr>
        <w:t xml:space="preserve"> </w:t>
      </w:r>
      <w:r w:rsidRPr="008F1125">
        <w:rPr>
          <w:bCs/>
          <w:iCs/>
          <w:szCs w:val="22"/>
          <w:lang w:val="sr-Latn-RS"/>
        </w:rPr>
        <w:t>rezultati OS s</w:t>
      </w:r>
      <w:r w:rsidR="00D35089" w:rsidRPr="008F1125">
        <w:rPr>
          <w:bCs/>
          <w:iCs/>
          <w:szCs w:val="22"/>
          <w:lang w:val="sr-Latn-RS"/>
        </w:rPr>
        <w:t>a</w:t>
      </w:r>
      <w:r w:rsidRPr="008F1125">
        <w:rPr>
          <w:bCs/>
          <w:iCs/>
          <w:szCs w:val="22"/>
          <w:lang w:val="sr-Latn-RS"/>
        </w:rPr>
        <w:t xml:space="preserve"> datumom prestanka prikupljanja podataka 19.</w:t>
      </w:r>
      <w:r w:rsidR="00836743" w:rsidRPr="008F1125">
        <w:rPr>
          <w:bCs/>
          <w:iCs/>
          <w:szCs w:val="22"/>
          <w:lang w:val="sr-Latn-RS"/>
        </w:rPr>
        <w:t>1.</w:t>
      </w:r>
      <w:r w:rsidRPr="008F1125">
        <w:rPr>
          <w:bCs/>
          <w:iCs/>
          <w:szCs w:val="22"/>
          <w:lang w:val="sr-Latn-RS"/>
        </w:rPr>
        <w:t xml:space="preserve">2020. </w:t>
      </w:r>
      <w:r w:rsidR="00D35089" w:rsidRPr="008F1125">
        <w:rPr>
          <w:bCs/>
          <w:iCs/>
          <w:szCs w:val="22"/>
          <w:lang w:val="sr-Latn-RS"/>
        </w:rPr>
        <w:t xml:space="preserve">godine </w:t>
      </w:r>
      <w:r w:rsidRPr="008F1125">
        <w:rPr>
          <w:bCs/>
          <w:iCs/>
          <w:szCs w:val="22"/>
          <w:lang w:val="sr-Latn-RS"/>
        </w:rPr>
        <w:t>i podaci o PFS s</w:t>
      </w:r>
      <w:r w:rsidR="00D35089" w:rsidRPr="008F1125">
        <w:rPr>
          <w:bCs/>
          <w:iCs/>
          <w:szCs w:val="22"/>
          <w:lang w:val="sr-Latn-RS"/>
        </w:rPr>
        <w:t xml:space="preserve">a </w:t>
      </w:r>
      <w:r w:rsidRPr="008F1125">
        <w:rPr>
          <w:bCs/>
          <w:iCs/>
          <w:szCs w:val="22"/>
          <w:lang w:val="sr-Latn-RS"/>
        </w:rPr>
        <w:t>datumom prestanka prikupljanja podataka 21.</w:t>
      </w:r>
      <w:r w:rsidR="00836743" w:rsidRPr="008F1125">
        <w:rPr>
          <w:bCs/>
          <w:iCs/>
          <w:szCs w:val="22"/>
          <w:lang w:val="sr-Latn-RS"/>
        </w:rPr>
        <w:t>10.</w:t>
      </w:r>
      <w:r w:rsidRPr="008F1125">
        <w:rPr>
          <w:bCs/>
          <w:iCs/>
          <w:szCs w:val="22"/>
          <w:lang w:val="sr-Latn-RS"/>
        </w:rPr>
        <w:t>2019.</w:t>
      </w:r>
      <w:r w:rsidR="00836743" w:rsidRPr="008F1125">
        <w:rPr>
          <w:bCs/>
          <w:iCs/>
          <w:szCs w:val="22"/>
          <w:lang w:val="sr-Latn-RS"/>
        </w:rPr>
        <w:t xml:space="preserve"> </w:t>
      </w:r>
      <w:r w:rsidR="00D35089" w:rsidRPr="008F1125">
        <w:rPr>
          <w:bCs/>
          <w:iCs/>
          <w:szCs w:val="22"/>
          <w:lang w:val="sr-Latn-RS"/>
        </w:rPr>
        <w:t xml:space="preserve">godine </w:t>
      </w:r>
      <w:r w:rsidRPr="008F1125">
        <w:rPr>
          <w:bCs/>
          <w:iCs/>
          <w:szCs w:val="22"/>
          <w:lang w:val="sr-Latn-RS"/>
        </w:rPr>
        <w:t xml:space="preserve">prikazani su u </w:t>
      </w:r>
      <w:r w:rsidR="006D22A1" w:rsidRPr="008F1125">
        <w:rPr>
          <w:bCs/>
          <w:iCs/>
          <w:szCs w:val="22"/>
          <w:lang w:val="sr-Latn-RS"/>
        </w:rPr>
        <w:t>T</w:t>
      </w:r>
      <w:r w:rsidR="00D35089" w:rsidRPr="008F1125">
        <w:rPr>
          <w:bCs/>
          <w:iCs/>
          <w:szCs w:val="22"/>
          <w:lang w:val="sr-Latn-RS"/>
        </w:rPr>
        <w:t xml:space="preserve">abeli </w:t>
      </w:r>
      <w:r w:rsidRPr="008F1125">
        <w:rPr>
          <w:bCs/>
          <w:iCs/>
          <w:szCs w:val="22"/>
          <w:lang w:val="sr-Latn-RS"/>
        </w:rPr>
        <w:t xml:space="preserve">8 </w:t>
      </w:r>
      <w:r w:rsidR="00D35089" w:rsidRPr="008F1125">
        <w:rPr>
          <w:bCs/>
          <w:iCs/>
          <w:szCs w:val="22"/>
          <w:lang w:val="sr-Latn-RS"/>
        </w:rPr>
        <w:t xml:space="preserve">i </w:t>
      </w:r>
      <w:r w:rsidRPr="008F1125">
        <w:rPr>
          <w:bCs/>
          <w:iCs/>
          <w:szCs w:val="22"/>
          <w:lang w:val="sr-Latn-RS"/>
        </w:rPr>
        <w:t xml:space="preserve">na </w:t>
      </w:r>
      <w:r w:rsidR="006D22A1" w:rsidRPr="008F1125">
        <w:rPr>
          <w:bCs/>
          <w:iCs/>
          <w:szCs w:val="22"/>
          <w:lang w:val="sr-Latn-RS"/>
        </w:rPr>
        <w:t>S</w:t>
      </w:r>
      <w:r w:rsidRPr="008F1125">
        <w:rPr>
          <w:bCs/>
          <w:iCs/>
          <w:szCs w:val="22"/>
          <w:lang w:val="sr-Latn-RS"/>
        </w:rPr>
        <w:t>lici 3 i</w:t>
      </w:r>
      <w:r w:rsidR="00D35089" w:rsidRPr="008F1125">
        <w:rPr>
          <w:bCs/>
          <w:iCs/>
          <w:szCs w:val="22"/>
          <w:lang w:val="sr-Latn-RS"/>
        </w:rPr>
        <w:t xml:space="preserve"> </w:t>
      </w:r>
      <w:r w:rsidR="006D22A1" w:rsidRPr="008F1125">
        <w:rPr>
          <w:bCs/>
          <w:iCs/>
          <w:szCs w:val="22"/>
          <w:lang w:val="sr-Latn-RS"/>
        </w:rPr>
        <w:t>S</w:t>
      </w:r>
      <w:r w:rsidRPr="008F1125">
        <w:rPr>
          <w:bCs/>
          <w:iCs/>
          <w:szCs w:val="22"/>
          <w:lang w:val="sr-Latn-RS"/>
        </w:rPr>
        <w:t>lici 4 u nastavku.</w:t>
      </w:r>
    </w:p>
    <w:p w14:paraId="25AD7932" w14:textId="7577C62E" w:rsidR="00836743" w:rsidRPr="008F1125" w:rsidRDefault="00836743" w:rsidP="00F31FF2">
      <w:pPr>
        <w:tabs>
          <w:tab w:val="clear" w:pos="567"/>
        </w:tabs>
        <w:jc w:val="both"/>
        <w:rPr>
          <w:bCs/>
          <w:iCs/>
          <w:szCs w:val="22"/>
          <w:lang w:val="sr-Latn-RS"/>
        </w:rPr>
      </w:pPr>
    </w:p>
    <w:p w14:paraId="34373124" w14:textId="6FF945FE" w:rsidR="00770AEC" w:rsidRPr="008F1125" w:rsidRDefault="00770AEC" w:rsidP="00836743">
      <w:pPr>
        <w:tabs>
          <w:tab w:val="clear" w:pos="567"/>
        </w:tabs>
        <w:jc w:val="both"/>
        <w:rPr>
          <w:bCs/>
          <w:iCs/>
          <w:szCs w:val="22"/>
          <w:lang w:val="sr-Latn-RS"/>
        </w:rPr>
      </w:pPr>
      <w:r w:rsidRPr="008F1125">
        <w:rPr>
          <w:b/>
          <w:bCs/>
          <w:iCs/>
          <w:szCs w:val="22"/>
          <w:lang w:val="sr-Latn-RS"/>
        </w:rPr>
        <w:t>Tab</w:t>
      </w:r>
      <w:r w:rsidR="0057288B" w:rsidRPr="008F1125">
        <w:rPr>
          <w:b/>
          <w:bCs/>
          <w:iCs/>
          <w:szCs w:val="22"/>
          <w:lang w:val="sr-Latn-RS"/>
        </w:rPr>
        <w:t>e</w:t>
      </w:r>
      <w:r w:rsidRPr="008F1125">
        <w:rPr>
          <w:b/>
          <w:bCs/>
          <w:iCs/>
          <w:szCs w:val="22"/>
          <w:lang w:val="sr-Latn-RS"/>
        </w:rPr>
        <w:t xml:space="preserve">la 8: Rezultati analize </w:t>
      </w:r>
      <w:r w:rsidR="0057288B" w:rsidRPr="008F1125">
        <w:rPr>
          <w:b/>
          <w:bCs/>
          <w:iCs/>
          <w:szCs w:val="22"/>
          <w:lang w:val="sr-Latn-RS"/>
        </w:rPr>
        <w:t xml:space="preserve">efikasnosti </w:t>
      </w:r>
      <w:r w:rsidRPr="008F1125">
        <w:rPr>
          <w:b/>
          <w:bCs/>
          <w:iCs/>
          <w:szCs w:val="22"/>
          <w:lang w:val="sr-Latn-RS"/>
        </w:rPr>
        <w:t>prema ekspresiji PD-L1 u ispitivanju B9991001</w:t>
      </w:r>
    </w:p>
    <w:p w14:paraId="4465058C" w14:textId="77777777" w:rsidR="00770AEC" w:rsidRPr="008F1125" w:rsidRDefault="00770AEC" w:rsidP="00836743">
      <w:pPr>
        <w:tabs>
          <w:tab w:val="clear" w:pos="567"/>
        </w:tabs>
        <w:jc w:val="both"/>
        <w:rPr>
          <w:b/>
          <w:bCs/>
          <w:iCs/>
          <w:szCs w:val="22"/>
          <w:lang w:val="sr-Latn-RS"/>
        </w:rPr>
      </w:pPr>
    </w:p>
    <w:tbl>
      <w:tblPr>
        <w:tblW w:w="5000" w:type="pct"/>
        <w:tblLook w:val="01E0" w:firstRow="1" w:lastRow="1" w:firstColumn="1" w:lastColumn="1" w:noHBand="0" w:noVBand="0"/>
      </w:tblPr>
      <w:tblGrid>
        <w:gridCol w:w="1838"/>
        <w:gridCol w:w="1185"/>
        <w:gridCol w:w="1222"/>
        <w:gridCol w:w="1185"/>
        <w:gridCol w:w="1222"/>
        <w:gridCol w:w="1185"/>
        <w:gridCol w:w="1222"/>
      </w:tblGrid>
      <w:tr w:rsidR="00F51581" w:rsidRPr="008F1125" w14:paraId="3A1697AA" w14:textId="77777777" w:rsidTr="004550F8">
        <w:tc>
          <w:tcPr>
            <w:tcW w:w="1162" w:type="pct"/>
            <w:vMerge w:val="restart"/>
            <w:tcBorders>
              <w:top w:val="single" w:sz="5" w:space="0" w:color="000000"/>
              <w:left w:val="single" w:sz="5" w:space="0" w:color="000000"/>
              <w:right w:val="single" w:sz="5" w:space="0" w:color="000000"/>
            </w:tcBorders>
            <w:tcMar>
              <w:left w:w="85" w:type="dxa"/>
              <w:right w:w="85" w:type="dxa"/>
            </w:tcMar>
          </w:tcPr>
          <w:p w14:paraId="7292B308" w14:textId="412DCC2C" w:rsidR="00770AEC" w:rsidRPr="008F1125" w:rsidRDefault="00770AEC" w:rsidP="00B54E9B">
            <w:pPr>
              <w:tabs>
                <w:tab w:val="clear" w:pos="567"/>
              </w:tabs>
              <w:jc w:val="center"/>
              <w:rPr>
                <w:bCs/>
                <w:iCs/>
                <w:szCs w:val="22"/>
                <w:lang w:val="sr-Latn-RS"/>
              </w:rPr>
            </w:pPr>
            <w:r w:rsidRPr="008F1125">
              <w:rPr>
                <w:b/>
                <w:bCs/>
                <w:iCs/>
                <w:szCs w:val="22"/>
                <w:lang w:val="sr-Latn-RS"/>
              </w:rPr>
              <w:t>M</w:t>
            </w:r>
            <w:r w:rsidR="00515B67" w:rsidRPr="008F1125">
              <w:rPr>
                <w:b/>
                <w:bCs/>
                <w:iCs/>
                <w:szCs w:val="22"/>
                <w:lang w:val="sr-Latn-RS"/>
              </w:rPr>
              <w:t>j</w:t>
            </w:r>
            <w:r w:rsidRPr="008F1125">
              <w:rPr>
                <w:b/>
                <w:bCs/>
                <w:iCs/>
                <w:szCs w:val="22"/>
                <w:lang w:val="sr-Latn-RS"/>
              </w:rPr>
              <w:t xml:space="preserve">ere ishoda </w:t>
            </w:r>
            <w:r w:rsidR="00760E2A" w:rsidRPr="008F1125">
              <w:rPr>
                <w:b/>
                <w:bCs/>
                <w:iCs/>
                <w:szCs w:val="22"/>
                <w:lang w:val="sr-Latn-RS"/>
              </w:rPr>
              <w:t>efikasnosti</w:t>
            </w:r>
          </w:p>
        </w:tc>
        <w:tc>
          <w:tcPr>
            <w:tcW w:w="639" w:type="pct"/>
            <w:tcBorders>
              <w:top w:val="single" w:sz="5" w:space="0" w:color="000000"/>
              <w:left w:val="single" w:sz="5" w:space="0" w:color="000000"/>
              <w:bottom w:val="single" w:sz="5" w:space="0" w:color="000000"/>
              <w:right w:val="single" w:sz="5" w:space="0" w:color="000000"/>
            </w:tcBorders>
            <w:tcMar>
              <w:left w:w="85" w:type="dxa"/>
              <w:right w:w="85" w:type="dxa"/>
            </w:tcMar>
          </w:tcPr>
          <w:p w14:paraId="00EB3EAF" w14:textId="77777777" w:rsidR="00770AEC" w:rsidRPr="008F1125" w:rsidRDefault="00770AEC" w:rsidP="00B54E9B">
            <w:pPr>
              <w:tabs>
                <w:tab w:val="clear" w:pos="567"/>
              </w:tabs>
              <w:jc w:val="center"/>
              <w:rPr>
                <w:bCs/>
                <w:iCs/>
                <w:szCs w:val="22"/>
                <w:lang w:val="sr-Latn-RS"/>
              </w:rPr>
            </w:pPr>
            <w:r w:rsidRPr="008F1125">
              <w:rPr>
                <w:b/>
                <w:bCs/>
                <w:iCs/>
                <w:szCs w:val="22"/>
                <w:lang w:val="sr-Latn-RS"/>
              </w:rPr>
              <w:t>Avelumab i suportivna terapija</w:t>
            </w:r>
          </w:p>
          <w:p w14:paraId="5BD06DF4" w14:textId="77777777" w:rsidR="00770AEC" w:rsidRPr="008F1125" w:rsidRDefault="00770AEC" w:rsidP="00B54E9B">
            <w:pPr>
              <w:tabs>
                <w:tab w:val="clear" w:pos="567"/>
              </w:tabs>
              <w:jc w:val="center"/>
              <w:rPr>
                <w:bCs/>
                <w:iCs/>
                <w:szCs w:val="22"/>
                <w:lang w:val="sr-Latn-RS"/>
              </w:rPr>
            </w:pPr>
            <w:r w:rsidRPr="008F1125">
              <w:rPr>
                <w:bCs/>
                <w:iCs/>
                <w:szCs w:val="22"/>
                <w:lang w:val="sr-Latn-RS"/>
              </w:rPr>
              <w:t>(N=350)</w:t>
            </w:r>
          </w:p>
        </w:tc>
        <w:tc>
          <w:tcPr>
            <w:tcW w:w="639" w:type="pct"/>
            <w:tcBorders>
              <w:top w:val="single" w:sz="5" w:space="0" w:color="000000"/>
              <w:left w:val="single" w:sz="5" w:space="0" w:color="000000"/>
              <w:bottom w:val="single" w:sz="5" w:space="0" w:color="000000"/>
              <w:right w:val="single" w:sz="5" w:space="0" w:color="000000"/>
            </w:tcBorders>
            <w:tcMar>
              <w:left w:w="85" w:type="dxa"/>
              <w:right w:w="85" w:type="dxa"/>
            </w:tcMar>
          </w:tcPr>
          <w:p w14:paraId="66171430" w14:textId="77777777" w:rsidR="00770AEC" w:rsidRPr="008F1125" w:rsidRDefault="00770AEC" w:rsidP="00B54E9B">
            <w:pPr>
              <w:tabs>
                <w:tab w:val="clear" w:pos="567"/>
              </w:tabs>
              <w:jc w:val="center"/>
              <w:rPr>
                <w:bCs/>
                <w:iCs/>
                <w:szCs w:val="22"/>
                <w:lang w:val="sr-Latn-RS"/>
              </w:rPr>
            </w:pPr>
            <w:r w:rsidRPr="008F1125">
              <w:rPr>
                <w:b/>
                <w:bCs/>
                <w:iCs/>
                <w:szCs w:val="22"/>
                <w:lang w:val="sr-Latn-RS"/>
              </w:rPr>
              <w:t>Suportivna terapija</w:t>
            </w:r>
          </w:p>
          <w:p w14:paraId="1E6E65FB" w14:textId="77777777" w:rsidR="00770AEC" w:rsidRPr="008F1125" w:rsidRDefault="00770AEC" w:rsidP="00B54E9B">
            <w:pPr>
              <w:tabs>
                <w:tab w:val="clear" w:pos="567"/>
              </w:tabs>
              <w:jc w:val="center"/>
              <w:rPr>
                <w:b/>
                <w:bCs/>
                <w:iCs/>
                <w:szCs w:val="22"/>
                <w:lang w:val="sr-Latn-RS"/>
              </w:rPr>
            </w:pPr>
          </w:p>
          <w:p w14:paraId="2BA9889C" w14:textId="77777777" w:rsidR="00836743" w:rsidRPr="008F1125" w:rsidRDefault="00836743" w:rsidP="00B54E9B">
            <w:pPr>
              <w:tabs>
                <w:tab w:val="clear" w:pos="567"/>
              </w:tabs>
              <w:jc w:val="center"/>
              <w:rPr>
                <w:bCs/>
                <w:iCs/>
                <w:szCs w:val="22"/>
                <w:lang w:val="sr-Latn-RS"/>
              </w:rPr>
            </w:pPr>
          </w:p>
          <w:p w14:paraId="0C4B2148" w14:textId="56F26214" w:rsidR="00770AEC" w:rsidRPr="008F1125" w:rsidRDefault="00770AEC" w:rsidP="00B54E9B">
            <w:pPr>
              <w:tabs>
                <w:tab w:val="clear" w:pos="567"/>
              </w:tabs>
              <w:jc w:val="center"/>
              <w:rPr>
                <w:bCs/>
                <w:iCs/>
                <w:szCs w:val="22"/>
                <w:lang w:val="sr-Latn-RS"/>
              </w:rPr>
            </w:pPr>
            <w:r w:rsidRPr="008F1125">
              <w:rPr>
                <w:bCs/>
                <w:iCs/>
                <w:szCs w:val="22"/>
                <w:lang w:val="sr-Latn-RS"/>
              </w:rPr>
              <w:t>(N=350)</w:t>
            </w:r>
          </w:p>
        </w:tc>
        <w:tc>
          <w:tcPr>
            <w:tcW w:w="640" w:type="pct"/>
            <w:tcBorders>
              <w:top w:val="single" w:sz="5" w:space="0" w:color="000000"/>
              <w:left w:val="single" w:sz="5" w:space="0" w:color="000000"/>
              <w:bottom w:val="single" w:sz="5" w:space="0" w:color="000000"/>
              <w:right w:val="single" w:sz="5" w:space="0" w:color="000000"/>
            </w:tcBorders>
            <w:tcMar>
              <w:left w:w="85" w:type="dxa"/>
              <w:right w:w="85" w:type="dxa"/>
            </w:tcMar>
          </w:tcPr>
          <w:p w14:paraId="39488B7E" w14:textId="77777777" w:rsidR="00770AEC" w:rsidRPr="008F1125" w:rsidRDefault="00770AEC" w:rsidP="00B54E9B">
            <w:pPr>
              <w:tabs>
                <w:tab w:val="clear" w:pos="567"/>
              </w:tabs>
              <w:jc w:val="center"/>
              <w:rPr>
                <w:bCs/>
                <w:iCs/>
                <w:szCs w:val="22"/>
                <w:lang w:val="sr-Latn-RS"/>
              </w:rPr>
            </w:pPr>
            <w:r w:rsidRPr="008F1125">
              <w:rPr>
                <w:b/>
                <w:bCs/>
                <w:iCs/>
                <w:szCs w:val="22"/>
                <w:lang w:val="sr-Latn-RS"/>
              </w:rPr>
              <w:t>Avelumab i suportivna terapija</w:t>
            </w:r>
          </w:p>
          <w:p w14:paraId="2F1C2D6D" w14:textId="77777777" w:rsidR="00770AEC" w:rsidRPr="008F1125" w:rsidRDefault="00770AEC" w:rsidP="00B54E9B">
            <w:pPr>
              <w:tabs>
                <w:tab w:val="clear" w:pos="567"/>
              </w:tabs>
              <w:jc w:val="center"/>
              <w:rPr>
                <w:bCs/>
                <w:iCs/>
                <w:szCs w:val="22"/>
                <w:lang w:val="sr-Latn-RS"/>
              </w:rPr>
            </w:pPr>
            <w:r w:rsidRPr="008F1125">
              <w:rPr>
                <w:bCs/>
                <w:iCs/>
                <w:szCs w:val="22"/>
                <w:lang w:val="sr-Latn-RS"/>
              </w:rPr>
              <w:t>(N=189)</w:t>
            </w:r>
          </w:p>
        </w:tc>
        <w:tc>
          <w:tcPr>
            <w:tcW w:w="639" w:type="pct"/>
            <w:tcBorders>
              <w:top w:val="single" w:sz="5" w:space="0" w:color="000000"/>
              <w:left w:val="single" w:sz="5" w:space="0" w:color="000000"/>
              <w:bottom w:val="single" w:sz="5" w:space="0" w:color="000000"/>
              <w:right w:val="single" w:sz="5" w:space="0" w:color="000000"/>
            </w:tcBorders>
            <w:tcMar>
              <w:left w:w="85" w:type="dxa"/>
              <w:right w:w="85" w:type="dxa"/>
            </w:tcMar>
          </w:tcPr>
          <w:p w14:paraId="67078177" w14:textId="77777777" w:rsidR="00770AEC" w:rsidRPr="008F1125" w:rsidRDefault="00770AEC" w:rsidP="00B54E9B">
            <w:pPr>
              <w:tabs>
                <w:tab w:val="clear" w:pos="567"/>
              </w:tabs>
              <w:jc w:val="center"/>
              <w:rPr>
                <w:bCs/>
                <w:iCs/>
                <w:szCs w:val="22"/>
                <w:lang w:val="sr-Latn-RS"/>
              </w:rPr>
            </w:pPr>
            <w:r w:rsidRPr="008F1125">
              <w:rPr>
                <w:b/>
                <w:bCs/>
                <w:iCs/>
                <w:szCs w:val="22"/>
                <w:lang w:val="sr-Latn-RS"/>
              </w:rPr>
              <w:t>Suportivna terapija</w:t>
            </w:r>
          </w:p>
          <w:p w14:paraId="25FEAE63" w14:textId="77777777" w:rsidR="00770AEC" w:rsidRPr="008F1125" w:rsidRDefault="00770AEC" w:rsidP="00B54E9B">
            <w:pPr>
              <w:tabs>
                <w:tab w:val="clear" w:pos="567"/>
              </w:tabs>
              <w:jc w:val="center"/>
              <w:rPr>
                <w:b/>
                <w:bCs/>
                <w:iCs/>
                <w:szCs w:val="22"/>
                <w:lang w:val="sr-Latn-RS"/>
              </w:rPr>
            </w:pPr>
          </w:p>
          <w:p w14:paraId="6EDF5424" w14:textId="77777777" w:rsidR="00836743" w:rsidRPr="008F1125" w:rsidRDefault="00836743" w:rsidP="00B54E9B">
            <w:pPr>
              <w:tabs>
                <w:tab w:val="clear" w:pos="567"/>
              </w:tabs>
              <w:jc w:val="center"/>
              <w:rPr>
                <w:bCs/>
                <w:iCs/>
                <w:szCs w:val="22"/>
                <w:lang w:val="sr-Latn-RS"/>
              </w:rPr>
            </w:pPr>
          </w:p>
          <w:p w14:paraId="3674E4FB" w14:textId="26A6FA5C" w:rsidR="00770AEC" w:rsidRPr="008F1125" w:rsidRDefault="00770AEC" w:rsidP="00B54E9B">
            <w:pPr>
              <w:tabs>
                <w:tab w:val="clear" w:pos="567"/>
              </w:tabs>
              <w:jc w:val="center"/>
              <w:rPr>
                <w:bCs/>
                <w:iCs/>
                <w:szCs w:val="22"/>
                <w:lang w:val="sr-Latn-RS"/>
              </w:rPr>
            </w:pPr>
            <w:r w:rsidRPr="008F1125">
              <w:rPr>
                <w:bCs/>
                <w:iCs/>
                <w:szCs w:val="22"/>
                <w:lang w:val="sr-Latn-RS"/>
              </w:rPr>
              <w:t>(N=169)</w:t>
            </w:r>
          </w:p>
        </w:tc>
        <w:tc>
          <w:tcPr>
            <w:tcW w:w="639" w:type="pct"/>
            <w:tcBorders>
              <w:top w:val="single" w:sz="5" w:space="0" w:color="000000"/>
              <w:left w:val="single" w:sz="5" w:space="0" w:color="000000"/>
              <w:bottom w:val="single" w:sz="5" w:space="0" w:color="000000"/>
              <w:right w:val="single" w:sz="5" w:space="0" w:color="000000"/>
            </w:tcBorders>
            <w:tcMar>
              <w:left w:w="85" w:type="dxa"/>
              <w:right w:w="85" w:type="dxa"/>
            </w:tcMar>
          </w:tcPr>
          <w:p w14:paraId="3D8142EE" w14:textId="61ED6E0D" w:rsidR="00770AEC" w:rsidRPr="008F1125" w:rsidRDefault="00770AEC" w:rsidP="00B54E9B">
            <w:pPr>
              <w:tabs>
                <w:tab w:val="clear" w:pos="567"/>
              </w:tabs>
              <w:jc w:val="center"/>
              <w:rPr>
                <w:bCs/>
                <w:iCs/>
                <w:szCs w:val="22"/>
                <w:lang w:val="sr-Latn-RS"/>
              </w:rPr>
            </w:pPr>
            <w:r w:rsidRPr="008F1125">
              <w:rPr>
                <w:b/>
                <w:bCs/>
                <w:iCs/>
                <w:szCs w:val="22"/>
                <w:lang w:val="sr-Latn-RS"/>
              </w:rPr>
              <w:t>Avelumab i</w:t>
            </w:r>
            <w:r w:rsidR="00B54E9B" w:rsidRPr="008F1125">
              <w:rPr>
                <w:b/>
                <w:bCs/>
                <w:iCs/>
                <w:szCs w:val="22"/>
                <w:lang w:val="sr-Latn-RS"/>
              </w:rPr>
              <w:t xml:space="preserve"> </w:t>
            </w:r>
            <w:r w:rsidRPr="008F1125">
              <w:rPr>
                <w:b/>
                <w:bCs/>
                <w:iCs/>
                <w:szCs w:val="22"/>
                <w:lang w:val="sr-Latn-RS"/>
              </w:rPr>
              <w:t>suportivna terapija</w:t>
            </w:r>
          </w:p>
          <w:p w14:paraId="22F184D2" w14:textId="77777777" w:rsidR="00770AEC" w:rsidRPr="008F1125" w:rsidRDefault="00770AEC" w:rsidP="00B54E9B">
            <w:pPr>
              <w:tabs>
                <w:tab w:val="clear" w:pos="567"/>
              </w:tabs>
              <w:jc w:val="center"/>
              <w:rPr>
                <w:bCs/>
                <w:iCs/>
                <w:szCs w:val="22"/>
                <w:lang w:val="sr-Latn-RS"/>
              </w:rPr>
            </w:pPr>
            <w:r w:rsidRPr="008F1125">
              <w:rPr>
                <w:bCs/>
                <w:iCs/>
                <w:szCs w:val="22"/>
                <w:lang w:val="sr-Latn-RS"/>
              </w:rPr>
              <w:t>(N=139)</w:t>
            </w:r>
          </w:p>
        </w:tc>
        <w:tc>
          <w:tcPr>
            <w:tcW w:w="640" w:type="pct"/>
            <w:tcBorders>
              <w:top w:val="single" w:sz="5" w:space="0" w:color="000000"/>
              <w:left w:val="single" w:sz="5" w:space="0" w:color="000000"/>
              <w:bottom w:val="single" w:sz="5" w:space="0" w:color="000000"/>
              <w:right w:val="single" w:sz="5" w:space="0" w:color="000000"/>
            </w:tcBorders>
            <w:tcMar>
              <w:left w:w="85" w:type="dxa"/>
              <w:right w:w="85" w:type="dxa"/>
            </w:tcMar>
          </w:tcPr>
          <w:p w14:paraId="26813665" w14:textId="77777777" w:rsidR="00770AEC" w:rsidRPr="008F1125" w:rsidRDefault="00770AEC" w:rsidP="00B54E9B">
            <w:pPr>
              <w:tabs>
                <w:tab w:val="clear" w:pos="567"/>
              </w:tabs>
              <w:jc w:val="center"/>
              <w:rPr>
                <w:bCs/>
                <w:iCs/>
                <w:szCs w:val="22"/>
                <w:lang w:val="sr-Latn-RS"/>
              </w:rPr>
            </w:pPr>
            <w:r w:rsidRPr="008F1125">
              <w:rPr>
                <w:b/>
                <w:bCs/>
                <w:iCs/>
                <w:szCs w:val="22"/>
                <w:lang w:val="sr-Latn-RS"/>
              </w:rPr>
              <w:t>Suportivna terapija</w:t>
            </w:r>
          </w:p>
          <w:p w14:paraId="46108CD2" w14:textId="77777777" w:rsidR="00770AEC" w:rsidRPr="008F1125" w:rsidRDefault="00770AEC" w:rsidP="00B54E9B">
            <w:pPr>
              <w:tabs>
                <w:tab w:val="clear" w:pos="567"/>
              </w:tabs>
              <w:jc w:val="center"/>
              <w:rPr>
                <w:b/>
                <w:bCs/>
                <w:iCs/>
                <w:szCs w:val="22"/>
                <w:lang w:val="sr-Latn-RS"/>
              </w:rPr>
            </w:pPr>
          </w:p>
          <w:p w14:paraId="0D43A350" w14:textId="77777777" w:rsidR="00836743" w:rsidRPr="008F1125" w:rsidRDefault="00836743" w:rsidP="00B54E9B">
            <w:pPr>
              <w:tabs>
                <w:tab w:val="clear" w:pos="567"/>
              </w:tabs>
              <w:jc w:val="center"/>
              <w:rPr>
                <w:bCs/>
                <w:iCs/>
                <w:szCs w:val="22"/>
                <w:lang w:val="sr-Latn-RS"/>
              </w:rPr>
            </w:pPr>
          </w:p>
          <w:p w14:paraId="03F71CC0" w14:textId="11A8A160" w:rsidR="00770AEC" w:rsidRPr="008F1125" w:rsidRDefault="00770AEC" w:rsidP="00B54E9B">
            <w:pPr>
              <w:tabs>
                <w:tab w:val="clear" w:pos="567"/>
              </w:tabs>
              <w:jc w:val="center"/>
              <w:rPr>
                <w:bCs/>
                <w:iCs/>
                <w:szCs w:val="22"/>
                <w:lang w:val="sr-Latn-RS"/>
              </w:rPr>
            </w:pPr>
            <w:r w:rsidRPr="008F1125">
              <w:rPr>
                <w:bCs/>
                <w:iCs/>
                <w:szCs w:val="22"/>
                <w:lang w:val="sr-Latn-RS"/>
              </w:rPr>
              <w:t>(N=131)</w:t>
            </w:r>
          </w:p>
        </w:tc>
      </w:tr>
      <w:tr w:rsidR="00F51581" w:rsidRPr="008F1125" w14:paraId="1CC835A3" w14:textId="77777777" w:rsidTr="004550F8">
        <w:tc>
          <w:tcPr>
            <w:tcW w:w="1162" w:type="pct"/>
            <w:vMerge/>
            <w:tcBorders>
              <w:left w:val="single" w:sz="5" w:space="0" w:color="000000"/>
              <w:bottom w:val="single" w:sz="5" w:space="0" w:color="000000"/>
              <w:right w:val="single" w:sz="5" w:space="0" w:color="000000"/>
            </w:tcBorders>
            <w:tcMar>
              <w:left w:w="85" w:type="dxa"/>
              <w:right w:w="85" w:type="dxa"/>
            </w:tcMar>
          </w:tcPr>
          <w:p w14:paraId="0FC52B27" w14:textId="77777777" w:rsidR="00770AEC" w:rsidRPr="008F1125" w:rsidRDefault="00770AEC" w:rsidP="00B54E9B">
            <w:pPr>
              <w:tabs>
                <w:tab w:val="clear" w:pos="567"/>
              </w:tabs>
              <w:jc w:val="center"/>
              <w:rPr>
                <w:bCs/>
                <w:iCs/>
                <w:szCs w:val="22"/>
                <w:lang w:val="sr-Latn-RS"/>
              </w:rPr>
            </w:pPr>
          </w:p>
        </w:tc>
        <w:tc>
          <w:tcPr>
            <w:tcW w:w="1279" w:type="pct"/>
            <w:gridSpan w:val="2"/>
            <w:tcBorders>
              <w:top w:val="single" w:sz="5" w:space="0" w:color="000000"/>
              <w:left w:val="single" w:sz="5" w:space="0" w:color="000000"/>
              <w:bottom w:val="single" w:sz="5" w:space="0" w:color="000000"/>
              <w:right w:val="single" w:sz="5" w:space="0" w:color="000000"/>
            </w:tcBorders>
            <w:tcMar>
              <w:left w:w="85" w:type="dxa"/>
              <w:right w:w="85" w:type="dxa"/>
            </w:tcMar>
          </w:tcPr>
          <w:p w14:paraId="1A153B35" w14:textId="1E9C9E0F" w:rsidR="00770AEC" w:rsidRPr="008F1125" w:rsidRDefault="00770AEC" w:rsidP="00B54E9B">
            <w:pPr>
              <w:tabs>
                <w:tab w:val="clear" w:pos="567"/>
              </w:tabs>
              <w:jc w:val="center"/>
              <w:rPr>
                <w:bCs/>
                <w:iCs/>
                <w:szCs w:val="22"/>
                <w:lang w:val="sr-Latn-RS"/>
              </w:rPr>
            </w:pPr>
            <w:r w:rsidRPr="008F1125">
              <w:rPr>
                <w:b/>
                <w:bCs/>
                <w:iCs/>
                <w:szCs w:val="22"/>
                <w:lang w:val="sr-Latn-RS"/>
              </w:rPr>
              <w:t xml:space="preserve">svi </w:t>
            </w:r>
            <w:r w:rsidR="00DC2B8F" w:rsidRPr="008F1125">
              <w:rPr>
                <w:b/>
                <w:bCs/>
                <w:iCs/>
                <w:szCs w:val="22"/>
                <w:lang w:val="sr-Latn-RS"/>
              </w:rPr>
              <w:t>randomizov</w:t>
            </w:r>
            <w:r w:rsidRPr="008F1125">
              <w:rPr>
                <w:b/>
                <w:bCs/>
                <w:iCs/>
                <w:szCs w:val="22"/>
                <w:lang w:val="sr-Latn-RS"/>
              </w:rPr>
              <w:t xml:space="preserve">ani </w:t>
            </w:r>
            <w:r w:rsidR="00DC2B8F" w:rsidRPr="008F1125">
              <w:rPr>
                <w:b/>
                <w:bCs/>
                <w:iCs/>
                <w:szCs w:val="22"/>
                <w:lang w:val="sr-Latn-RS"/>
              </w:rPr>
              <w:t>pacijenti</w:t>
            </w:r>
          </w:p>
        </w:tc>
        <w:tc>
          <w:tcPr>
            <w:tcW w:w="1279" w:type="pct"/>
            <w:gridSpan w:val="2"/>
            <w:tcBorders>
              <w:top w:val="single" w:sz="5" w:space="0" w:color="000000"/>
              <w:left w:val="single" w:sz="5" w:space="0" w:color="000000"/>
              <w:bottom w:val="single" w:sz="5" w:space="0" w:color="000000"/>
              <w:right w:val="single" w:sz="5" w:space="0" w:color="000000"/>
            </w:tcBorders>
            <w:tcMar>
              <w:left w:w="85" w:type="dxa"/>
              <w:right w:w="85" w:type="dxa"/>
            </w:tcMar>
          </w:tcPr>
          <w:p w14:paraId="3B8D1108" w14:textId="77777777" w:rsidR="00770AEC" w:rsidRPr="008F1125" w:rsidRDefault="00770AEC" w:rsidP="00B54E9B">
            <w:pPr>
              <w:tabs>
                <w:tab w:val="clear" w:pos="567"/>
              </w:tabs>
              <w:jc w:val="center"/>
              <w:rPr>
                <w:bCs/>
                <w:iCs/>
                <w:szCs w:val="22"/>
                <w:lang w:val="sr-Latn-RS"/>
              </w:rPr>
            </w:pPr>
            <w:r w:rsidRPr="008F1125">
              <w:rPr>
                <w:b/>
                <w:bCs/>
                <w:iCs/>
                <w:szCs w:val="22"/>
                <w:lang w:val="sr-Latn-RS"/>
              </w:rPr>
              <w:t>PD-L1 pozitivni tumori</w:t>
            </w:r>
          </w:p>
        </w:tc>
        <w:tc>
          <w:tcPr>
            <w:tcW w:w="1279" w:type="pct"/>
            <w:gridSpan w:val="2"/>
            <w:tcBorders>
              <w:top w:val="single" w:sz="5" w:space="0" w:color="000000"/>
              <w:left w:val="single" w:sz="5" w:space="0" w:color="000000"/>
              <w:bottom w:val="single" w:sz="5" w:space="0" w:color="000000"/>
              <w:right w:val="single" w:sz="5" w:space="0" w:color="000000"/>
            </w:tcBorders>
            <w:tcMar>
              <w:left w:w="85" w:type="dxa"/>
              <w:right w:w="85" w:type="dxa"/>
            </w:tcMar>
          </w:tcPr>
          <w:p w14:paraId="2DD34343" w14:textId="77777777" w:rsidR="00770AEC" w:rsidRPr="008F1125" w:rsidRDefault="00770AEC" w:rsidP="00B54E9B">
            <w:pPr>
              <w:tabs>
                <w:tab w:val="clear" w:pos="567"/>
              </w:tabs>
              <w:jc w:val="center"/>
              <w:rPr>
                <w:bCs/>
                <w:iCs/>
                <w:szCs w:val="22"/>
                <w:lang w:val="sr-Latn-RS"/>
              </w:rPr>
            </w:pPr>
            <w:r w:rsidRPr="008F1125">
              <w:rPr>
                <w:b/>
                <w:bCs/>
                <w:iCs/>
                <w:szCs w:val="22"/>
                <w:lang w:val="sr-Latn-RS"/>
              </w:rPr>
              <w:t>PD-L1 negativni tumori</w:t>
            </w:r>
            <w:r w:rsidRPr="008F1125">
              <w:rPr>
                <w:bCs/>
                <w:iCs/>
                <w:szCs w:val="22"/>
                <w:vertAlign w:val="superscript"/>
                <w:lang w:val="sr-Latn-RS"/>
              </w:rPr>
              <w:t>c</w:t>
            </w:r>
          </w:p>
        </w:tc>
      </w:tr>
      <w:tr w:rsidR="00F51581" w:rsidRPr="008F1125" w14:paraId="6FB35E14" w14:textId="77777777" w:rsidTr="004550F8">
        <w:tc>
          <w:tcPr>
            <w:tcW w:w="5000" w:type="pct"/>
            <w:gridSpan w:val="7"/>
            <w:tcBorders>
              <w:top w:val="single" w:sz="5" w:space="0" w:color="000000"/>
              <w:left w:val="single" w:sz="5" w:space="0" w:color="000000"/>
              <w:bottom w:val="nil"/>
              <w:right w:val="single" w:sz="5" w:space="0" w:color="000000"/>
            </w:tcBorders>
            <w:tcMar>
              <w:left w:w="85" w:type="dxa"/>
              <w:right w:w="85" w:type="dxa"/>
            </w:tcMar>
          </w:tcPr>
          <w:p w14:paraId="47BE6EF4" w14:textId="52C054D5" w:rsidR="00770AEC" w:rsidRPr="008F1125" w:rsidRDefault="00770AEC" w:rsidP="00770AEC">
            <w:pPr>
              <w:tabs>
                <w:tab w:val="clear" w:pos="567"/>
              </w:tabs>
              <w:rPr>
                <w:bCs/>
                <w:iCs/>
                <w:szCs w:val="22"/>
                <w:lang w:val="sr-Latn-RS"/>
              </w:rPr>
            </w:pPr>
            <w:r w:rsidRPr="008F1125">
              <w:rPr>
                <w:b/>
                <w:bCs/>
                <w:iCs/>
                <w:szCs w:val="22"/>
                <w:lang w:val="sr-Latn-RS"/>
              </w:rPr>
              <w:t xml:space="preserve">Ukupno </w:t>
            </w:r>
            <w:r w:rsidR="00C4007B" w:rsidRPr="008F1125">
              <w:rPr>
                <w:b/>
                <w:bCs/>
                <w:iCs/>
                <w:szCs w:val="22"/>
                <w:lang w:val="sr-Latn-RS"/>
              </w:rPr>
              <w:t>preživljava</w:t>
            </w:r>
            <w:r w:rsidRPr="008F1125">
              <w:rPr>
                <w:b/>
                <w:bCs/>
                <w:iCs/>
                <w:szCs w:val="22"/>
                <w:lang w:val="sr-Latn-RS"/>
              </w:rPr>
              <w:t>nje (OS)</w:t>
            </w:r>
            <w:r w:rsidRPr="008F1125">
              <w:rPr>
                <w:bCs/>
                <w:iCs/>
                <w:szCs w:val="22"/>
                <w:vertAlign w:val="superscript"/>
                <w:lang w:val="sr-Latn-RS"/>
              </w:rPr>
              <w:t>a</w:t>
            </w:r>
          </w:p>
        </w:tc>
      </w:tr>
      <w:tr w:rsidR="00F51581" w:rsidRPr="008F1125" w14:paraId="49B0DE46" w14:textId="77777777" w:rsidTr="004550F8">
        <w:tc>
          <w:tcPr>
            <w:tcW w:w="1162" w:type="pct"/>
            <w:tcBorders>
              <w:top w:val="nil"/>
              <w:left w:val="single" w:sz="5" w:space="0" w:color="000000"/>
              <w:bottom w:val="nil"/>
              <w:right w:val="single" w:sz="5" w:space="0" w:color="000000"/>
            </w:tcBorders>
            <w:tcMar>
              <w:left w:w="85" w:type="dxa"/>
              <w:right w:w="85" w:type="dxa"/>
            </w:tcMar>
          </w:tcPr>
          <w:p w14:paraId="4F2D247E" w14:textId="77777777" w:rsidR="008D0057" w:rsidRPr="008F1125" w:rsidRDefault="008D0057" w:rsidP="00770AEC">
            <w:pPr>
              <w:tabs>
                <w:tab w:val="clear" w:pos="567"/>
              </w:tabs>
              <w:rPr>
                <w:bCs/>
                <w:iCs/>
                <w:szCs w:val="22"/>
                <w:lang w:val="sr-Latn-RS"/>
              </w:rPr>
            </w:pPr>
            <w:r w:rsidRPr="008F1125">
              <w:rPr>
                <w:bCs/>
                <w:iCs/>
                <w:szCs w:val="22"/>
                <w:lang w:val="sr-Latn-RS"/>
              </w:rPr>
              <w:t>Događaji (%)</w:t>
            </w:r>
          </w:p>
        </w:tc>
        <w:tc>
          <w:tcPr>
            <w:tcW w:w="639" w:type="pct"/>
            <w:tcBorders>
              <w:top w:val="nil"/>
              <w:left w:val="single" w:sz="5" w:space="0" w:color="000000"/>
              <w:bottom w:val="nil"/>
              <w:right w:val="single" w:sz="5" w:space="0" w:color="000000"/>
            </w:tcBorders>
            <w:tcMar>
              <w:left w:w="85" w:type="dxa"/>
              <w:right w:w="85" w:type="dxa"/>
            </w:tcMar>
          </w:tcPr>
          <w:p w14:paraId="125F7747" w14:textId="19B89321" w:rsidR="008D0057" w:rsidRPr="008F1125" w:rsidRDefault="008D0057" w:rsidP="003C5296">
            <w:pPr>
              <w:tabs>
                <w:tab w:val="clear" w:pos="567"/>
              </w:tabs>
              <w:jc w:val="center"/>
              <w:rPr>
                <w:bCs/>
                <w:iCs/>
                <w:szCs w:val="22"/>
                <w:lang w:val="sr-Latn-RS"/>
              </w:rPr>
            </w:pPr>
            <w:r w:rsidRPr="008F1125">
              <w:rPr>
                <w:bCs/>
                <w:iCs/>
                <w:szCs w:val="22"/>
                <w:lang w:val="sr-Latn-RS"/>
              </w:rPr>
              <w:t>156 (44,6)</w:t>
            </w:r>
          </w:p>
        </w:tc>
        <w:tc>
          <w:tcPr>
            <w:tcW w:w="639" w:type="pct"/>
            <w:tcBorders>
              <w:top w:val="nil"/>
              <w:left w:val="single" w:sz="5" w:space="0" w:color="000000"/>
              <w:bottom w:val="nil"/>
              <w:right w:val="single" w:sz="5" w:space="0" w:color="000000"/>
            </w:tcBorders>
            <w:tcMar>
              <w:left w:w="85" w:type="dxa"/>
              <w:right w:w="85" w:type="dxa"/>
            </w:tcMar>
          </w:tcPr>
          <w:p w14:paraId="11DDE01A" w14:textId="6247E527" w:rsidR="008D0057" w:rsidRPr="008F1125" w:rsidRDefault="008D0057" w:rsidP="003C5296">
            <w:pPr>
              <w:tabs>
                <w:tab w:val="clear" w:pos="567"/>
              </w:tabs>
              <w:jc w:val="center"/>
              <w:rPr>
                <w:bCs/>
                <w:iCs/>
                <w:szCs w:val="22"/>
                <w:lang w:val="sr-Latn-RS"/>
              </w:rPr>
            </w:pPr>
            <w:r w:rsidRPr="008F1125">
              <w:rPr>
                <w:bCs/>
                <w:iCs/>
                <w:szCs w:val="22"/>
                <w:lang w:val="sr-Latn-RS"/>
              </w:rPr>
              <w:t>190 (54,3)</w:t>
            </w:r>
          </w:p>
        </w:tc>
        <w:tc>
          <w:tcPr>
            <w:tcW w:w="640" w:type="pct"/>
            <w:tcBorders>
              <w:top w:val="nil"/>
              <w:left w:val="single" w:sz="5" w:space="0" w:color="000000"/>
              <w:bottom w:val="nil"/>
              <w:right w:val="single" w:sz="5" w:space="0" w:color="000000"/>
            </w:tcBorders>
            <w:tcMar>
              <w:left w:w="85" w:type="dxa"/>
              <w:right w:w="85" w:type="dxa"/>
            </w:tcMar>
          </w:tcPr>
          <w:p w14:paraId="448523E8" w14:textId="77777777" w:rsidR="008D0057" w:rsidRPr="008F1125" w:rsidRDefault="008D0057" w:rsidP="003C5296">
            <w:pPr>
              <w:tabs>
                <w:tab w:val="clear" w:pos="567"/>
              </w:tabs>
              <w:jc w:val="center"/>
              <w:rPr>
                <w:bCs/>
                <w:iCs/>
                <w:szCs w:val="22"/>
                <w:lang w:val="sr-Latn-RS"/>
              </w:rPr>
            </w:pPr>
            <w:r w:rsidRPr="008F1125">
              <w:rPr>
                <w:bCs/>
                <w:iCs/>
                <w:szCs w:val="22"/>
                <w:lang w:val="sr-Latn-RS"/>
              </w:rPr>
              <w:t>68 (36,0)</w:t>
            </w:r>
          </w:p>
        </w:tc>
        <w:tc>
          <w:tcPr>
            <w:tcW w:w="639" w:type="pct"/>
            <w:tcBorders>
              <w:top w:val="nil"/>
              <w:left w:val="single" w:sz="5" w:space="0" w:color="000000"/>
              <w:bottom w:val="nil"/>
              <w:right w:val="single" w:sz="5" w:space="0" w:color="000000"/>
            </w:tcBorders>
            <w:tcMar>
              <w:left w:w="85" w:type="dxa"/>
              <w:right w:w="85" w:type="dxa"/>
            </w:tcMar>
          </w:tcPr>
          <w:p w14:paraId="07EAEF42" w14:textId="09C77AB1" w:rsidR="008D0057" w:rsidRPr="008F1125" w:rsidRDefault="008D0057" w:rsidP="003C5296">
            <w:pPr>
              <w:tabs>
                <w:tab w:val="clear" w:pos="567"/>
              </w:tabs>
              <w:jc w:val="center"/>
              <w:rPr>
                <w:bCs/>
                <w:iCs/>
                <w:szCs w:val="22"/>
                <w:lang w:val="sr-Latn-RS"/>
              </w:rPr>
            </w:pPr>
            <w:r w:rsidRPr="008F1125">
              <w:rPr>
                <w:bCs/>
                <w:iCs/>
                <w:szCs w:val="22"/>
                <w:lang w:val="sr-Latn-RS"/>
              </w:rPr>
              <w:t>85 (50,3)</w:t>
            </w:r>
          </w:p>
        </w:tc>
        <w:tc>
          <w:tcPr>
            <w:tcW w:w="639" w:type="pct"/>
            <w:tcBorders>
              <w:top w:val="nil"/>
              <w:left w:val="single" w:sz="5" w:space="0" w:color="000000"/>
              <w:bottom w:val="nil"/>
              <w:right w:val="single" w:sz="5" w:space="0" w:color="000000"/>
            </w:tcBorders>
            <w:tcMar>
              <w:left w:w="85" w:type="dxa"/>
              <w:right w:w="85" w:type="dxa"/>
            </w:tcMar>
          </w:tcPr>
          <w:p w14:paraId="26DC2D57" w14:textId="77777777" w:rsidR="008D0057" w:rsidRPr="008F1125" w:rsidRDefault="008D0057" w:rsidP="003C5296">
            <w:pPr>
              <w:tabs>
                <w:tab w:val="clear" w:pos="567"/>
              </w:tabs>
              <w:jc w:val="center"/>
              <w:rPr>
                <w:bCs/>
                <w:iCs/>
                <w:szCs w:val="22"/>
                <w:lang w:val="sr-Latn-RS"/>
              </w:rPr>
            </w:pPr>
            <w:r w:rsidRPr="008F1125">
              <w:rPr>
                <w:bCs/>
                <w:iCs/>
                <w:szCs w:val="22"/>
                <w:lang w:val="sr-Latn-RS"/>
              </w:rPr>
              <w:t>80 (57,6)</w:t>
            </w:r>
          </w:p>
        </w:tc>
        <w:tc>
          <w:tcPr>
            <w:tcW w:w="640" w:type="pct"/>
            <w:tcBorders>
              <w:top w:val="nil"/>
              <w:left w:val="single" w:sz="5" w:space="0" w:color="000000"/>
              <w:bottom w:val="nil"/>
              <w:right w:val="single" w:sz="5" w:space="0" w:color="000000"/>
            </w:tcBorders>
            <w:tcMar>
              <w:left w:w="85" w:type="dxa"/>
              <w:right w:w="85" w:type="dxa"/>
            </w:tcMar>
          </w:tcPr>
          <w:p w14:paraId="5AE97817" w14:textId="1225C554" w:rsidR="008D0057" w:rsidRPr="008F1125" w:rsidRDefault="008D0057" w:rsidP="003C5296">
            <w:pPr>
              <w:tabs>
                <w:tab w:val="clear" w:pos="567"/>
              </w:tabs>
              <w:jc w:val="center"/>
              <w:rPr>
                <w:bCs/>
                <w:iCs/>
                <w:szCs w:val="22"/>
                <w:lang w:val="sr-Latn-RS"/>
              </w:rPr>
            </w:pPr>
            <w:r w:rsidRPr="008F1125">
              <w:rPr>
                <w:bCs/>
                <w:iCs/>
                <w:szCs w:val="22"/>
                <w:lang w:val="sr-Latn-RS"/>
              </w:rPr>
              <w:t>80 (61,1)</w:t>
            </w:r>
          </w:p>
        </w:tc>
      </w:tr>
      <w:tr w:rsidR="00F51581" w:rsidRPr="008F1125" w14:paraId="7224298E" w14:textId="77777777" w:rsidTr="004550F8">
        <w:tc>
          <w:tcPr>
            <w:tcW w:w="1162" w:type="pct"/>
            <w:tcBorders>
              <w:top w:val="nil"/>
              <w:left w:val="single" w:sz="5" w:space="0" w:color="000000"/>
              <w:bottom w:val="nil"/>
              <w:right w:val="single" w:sz="5" w:space="0" w:color="000000"/>
            </w:tcBorders>
            <w:tcMar>
              <w:left w:w="85" w:type="dxa"/>
              <w:right w:w="85" w:type="dxa"/>
            </w:tcMar>
          </w:tcPr>
          <w:p w14:paraId="214C0E0E" w14:textId="623234C1" w:rsidR="008D0057" w:rsidRPr="008F1125" w:rsidRDefault="008D0057" w:rsidP="00770AEC">
            <w:pPr>
              <w:tabs>
                <w:tab w:val="clear" w:pos="567"/>
              </w:tabs>
              <w:rPr>
                <w:bCs/>
                <w:iCs/>
                <w:szCs w:val="22"/>
                <w:lang w:val="sr-Latn-RS"/>
              </w:rPr>
            </w:pPr>
            <w:r w:rsidRPr="008F1125">
              <w:rPr>
                <w:bCs/>
                <w:iCs/>
                <w:szCs w:val="22"/>
                <w:lang w:val="sr-Latn-RS"/>
              </w:rPr>
              <w:t>Medijan</w:t>
            </w:r>
            <w:r w:rsidR="00B54E9B" w:rsidRPr="008F1125">
              <w:rPr>
                <w:bCs/>
                <w:iCs/>
                <w:szCs w:val="22"/>
                <w:lang w:val="sr-Latn-RS"/>
              </w:rPr>
              <w:t>a</w:t>
            </w:r>
            <w:r w:rsidRPr="008F1125">
              <w:rPr>
                <w:bCs/>
                <w:iCs/>
                <w:szCs w:val="22"/>
                <w:lang w:val="sr-Latn-RS"/>
              </w:rPr>
              <w:t xml:space="preserve"> u </w:t>
            </w:r>
            <w:r w:rsidR="00B27CC7" w:rsidRPr="008F1125">
              <w:rPr>
                <w:bCs/>
                <w:iCs/>
                <w:szCs w:val="22"/>
                <w:lang w:val="sr-Latn-RS"/>
              </w:rPr>
              <w:t>mjeseci</w:t>
            </w:r>
            <w:r w:rsidRPr="008F1125">
              <w:rPr>
                <w:bCs/>
                <w:iCs/>
                <w:szCs w:val="22"/>
                <w:lang w:val="sr-Latn-RS"/>
              </w:rPr>
              <w:t>ma</w:t>
            </w:r>
          </w:p>
        </w:tc>
        <w:tc>
          <w:tcPr>
            <w:tcW w:w="639" w:type="pct"/>
            <w:tcBorders>
              <w:top w:val="nil"/>
              <w:left w:val="single" w:sz="5" w:space="0" w:color="000000"/>
              <w:bottom w:val="nil"/>
              <w:right w:val="single" w:sz="5" w:space="0" w:color="000000"/>
            </w:tcBorders>
            <w:tcMar>
              <w:left w:w="85" w:type="dxa"/>
              <w:right w:w="85" w:type="dxa"/>
            </w:tcMar>
          </w:tcPr>
          <w:p w14:paraId="73FBEC7A" w14:textId="77777777" w:rsidR="008D0057" w:rsidRPr="008F1125" w:rsidRDefault="008D0057" w:rsidP="003C5296">
            <w:pPr>
              <w:tabs>
                <w:tab w:val="clear" w:pos="567"/>
              </w:tabs>
              <w:jc w:val="center"/>
              <w:rPr>
                <w:bCs/>
                <w:iCs/>
                <w:szCs w:val="22"/>
                <w:lang w:val="sr-Latn-RS"/>
              </w:rPr>
            </w:pPr>
            <w:r w:rsidRPr="008F1125">
              <w:rPr>
                <w:bCs/>
                <w:iCs/>
                <w:szCs w:val="22"/>
                <w:lang w:val="sr-Latn-RS"/>
              </w:rPr>
              <w:t>22,1</w:t>
            </w:r>
          </w:p>
        </w:tc>
        <w:tc>
          <w:tcPr>
            <w:tcW w:w="639" w:type="pct"/>
            <w:tcBorders>
              <w:top w:val="nil"/>
              <w:left w:val="single" w:sz="5" w:space="0" w:color="000000"/>
              <w:bottom w:val="nil"/>
              <w:right w:val="single" w:sz="5" w:space="0" w:color="000000"/>
            </w:tcBorders>
            <w:tcMar>
              <w:left w:w="85" w:type="dxa"/>
              <w:right w:w="85" w:type="dxa"/>
            </w:tcMar>
          </w:tcPr>
          <w:p w14:paraId="7DC3F4C4" w14:textId="740BBBBC" w:rsidR="008D0057" w:rsidRPr="008F1125" w:rsidRDefault="008D0057" w:rsidP="003C5296">
            <w:pPr>
              <w:tabs>
                <w:tab w:val="clear" w:pos="567"/>
              </w:tabs>
              <w:jc w:val="center"/>
              <w:rPr>
                <w:bCs/>
                <w:iCs/>
                <w:szCs w:val="22"/>
                <w:lang w:val="sr-Latn-RS"/>
              </w:rPr>
            </w:pPr>
            <w:r w:rsidRPr="008F1125">
              <w:rPr>
                <w:bCs/>
                <w:iCs/>
                <w:szCs w:val="22"/>
                <w:lang w:val="sr-Latn-RS"/>
              </w:rPr>
              <w:t>14,6</w:t>
            </w:r>
          </w:p>
        </w:tc>
        <w:tc>
          <w:tcPr>
            <w:tcW w:w="640" w:type="pct"/>
            <w:tcBorders>
              <w:top w:val="nil"/>
              <w:left w:val="single" w:sz="5" w:space="0" w:color="000000"/>
              <w:bottom w:val="nil"/>
              <w:right w:val="single" w:sz="5" w:space="0" w:color="000000"/>
            </w:tcBorders>
            <w:tcMar>
              <w:left w:w="85" w:type="dxa"/>
              <w:right w:w="85" w:type="dxa"/>
            </w:tcMar>
          </w:tcPr>
          <w:p w14:paraId="7DBAA33A" w14:textId="77777777" w:rsidR="008D0057" w:rsidRPr="008F1125" w:rsidRDefault="008D0057" w:rsidP="003C5296">
            <w:pPr>
              <w:tabs>
                <w:tab w:val="clear" w:pos="567"/>
              </w:tabs>
              <w:jc w:val="center"/>
              <w:rPr>
                <w:bCs/>
                <w:iCs/>
                <w:szCs w:val="22"/>
                <w:lang w:val="sr-Latn-RS"/>
              </w:rPr>
            </w:pPr>
            <w:r w:rsidRPr="008F1125">
              <w:rPr>
                <w:bCs/>
                <w:iCs/>
                <w:szCs w:val="22"/>
                <w:lang w:val="sr-Latn-RS"/>
              </w:rPr>
              <w:t>NE</w:t>
            </w:r>
          </w:p>
        </w:tc>
        <w:tc>
          <w:tcPr>
            <w:tcW w:w="639" w:type="pct"/>
            <w:tcBorders>
              <w:top w:val="nil"/>
              <w:left w:val="single" w:sz="5" w:space="0" w:color="000000"/>
              <w:bottom w:val="nil"/>
              <w:right w:val="single" w:sz="5" w:space="0" w:color="000000"/>
            </w:tcBorders>
            <w:tcMar>
              <w:left w:w="85" w:type="dxa"/>
              <w:right w:w="85" w:type="dxa"/>
            </w:tcMar>
          </w:tcPr>
          <w:p w14:paraId="6192008E" w14:textId="60620722" w:rsidR="008D0057" w:rsidRPr="008F1125" w:rsidRDefault="008D0057" w:rsidP="003C5296">
            <w:pPr>
              <w:tabs>
                <w:tab w:val="clear" w:pos="567"/>
              </w:tabs>
              <w:jc w:val="center"/>
              <w:rPr>
                <w:bCs/>
                <w:iCs/>
                <w:szCs w:val="22"/>
                <w:lang w:val="sr-Latn-RS"/>
              </w:rPr>
            </w:pPr>
            <w:r w:rsidRPr="008F1125">
              <w:rPr>
                <w:bCs/>
                <w:iCs/>
                <w:szCs w:val="22"/>
                <w:lang w:val="sr-Latn-RS"/>
              </w:rPr>
              <w:t>17,5</w:t>
            </w:r>
          </w:p>
        </w:tc>
        <w:tc>
          <w:tcPr>
            <w:tcW w:w="639" w:type="pct"/>
            <w:tcBorders>
              <w:top w:val="nil"/>
              <w:left w:val="single" w:sz="5" w:space="0" w:color="000000"/>
              <w:bottom w:val="nil"/>
              <w:right w:val="single" w:sz="5" w:space="0" w:color="000000"/>
            </w:tcBorders>
            <w:tcMar>
              <w:left w:w="85" w:type="dxa"/>
              <w:right w:w="85" w:type="dxa"/>
            </w:tcMar>
          </w:tcPr>
          <w:p w14:paraId="2AAFB278" w14:textId="77777777" w:rsidR="008D0057" w:rsidRPr="008F1125" w:rsidRDefault="008D0057" w:rsidP="003C5296">
            <w:pPr>
              <w:tabs>
                <w:tab w:val="clear" w:pos="567"/>
              </w:tabs>
              <w:jc w:val="center"/>
              <w:rPr>
                <w:bCs/>
                <w:iCs/>
                <w:szCs w:val="22"/>
                <w:lang w:val="sr-Latn-RS"/>
              </w:rPr>
            </w:pPr>
            <w:r w:rsidRPr="008F1125">
              <w:rPr>
                <w:bCs/>
                <w:iCs/>
                <w:szCs w:val="22"/>
                <w:lang w:val="sr-Latn-RS"/>
              </w:rPr>
              <w:t>18,9</w:t>
            </w:r>
          </w:p>
        </w:tc>
        <w:tc>
          <w:tcPr>
            <w:tcW w:w="640" w:type="pct"/>
            <w:tcBorders>
              <w:top w:val="nil"/>
              <w:left w:val="single" w:sz="5" w:space="0" w:color="000000"/>
              <w:bottom w:val="nil"/>
              <w:right w:val="single" w:sz="5" w:space="0" w:color="000000"/>
            </w:tcBorders>
            <w:tcMar>
              <w:left w:w="85" w:type="dxa"/>
              <w:right w:w="85" w:type="dxa"/>
            </w:tcMar>
          </w:tcPr>
          <w:p w14:paraId="392C4371" w14:textId="291EB5E8" w:rsidR="008D0057" w:rsidRPr="008F1125" w:rsidRDefault="008D0057" w:rsidP="003C5296">
            <w:pPr>
              <w:tabs>
                <w:tab w:val="clear" w:pos="567"/>
              </w:tabs>
              <w:jc w:val="center"/>
              <w:rPr>
                <w:bCs/>
                <w:iCs/>
                <w:szCs w:val="22"/>
                <w:lang w:val="sr-Latn-RS"/>
              </w:rPr>
            </w:pPr>
            <w:r w:rsidRPr="008F1125">
              <w:rPr>
                <w:bCs/>
                <w:iCs/>
                <w:szCs w:val="22"/>
                <w:lang w:val="sr-Latn-RS"/>
              </w:rPr>
              <w:t>13,4</w:t>
            </w:r>
          </w:p>
        </w:tc>
      </w:tr>
      <w:tr w:rsidR="00F51581" w:rsidRPr="008F1125" w14:paraId="0E4E3C0E" w14:textId="77777777" w:rsidTr="004550F8">
        <w:tc>
          <w:tcPr>
            <w:tcW w:w="1162" w:type="pct"/>
            <w:tcBorders>
              <w:top w:val="nil"/>
              <w:left w:val="single" w:sz="5" w:space="0" w:color="000000"/>
              <w:bottom w:val="nil"/>
              <w:right w:val="single" w:sz="5" w:space="0" w:color="000000"/>
            </w:tcBorders>
            <w:tcMar>
              <w:left w:w="85" w:type="dxa"/>
              <w:right w:w="85" w:type="dxa"/>
            </w:tcMar>
          </w:tcPr>
          <w:p w14:paraId="705B0ED0" w14:textId="6660AE99" w:rsidR="008D0057" w:rsidRPr="008F1125" w:rsidRDefault="008D0057" w:rsidP="00B54E9B">
            <w:pPr>
              <w:tabs>
                <w:tab w:val="clear" w:pos="567"/>
              </w:tabs>
              <w:rPr>
                <w:bCs/>
                <w:iCs/>
                <w:szCs w:val="22"/>
                <w:lang w:val="sr-Latn-RS"/>
              </w:rPr>
            </w:pPr>
            <w:r w:rsidRPr="008F1125">
              <w:rPr>
                <w:bCs/>
                <w:iCs/>
                <w:szCs w:val="22"/>
                <w:lang w:val="sr-Latn-RS"/>
              </w:rPr>
              <w:t>(95% CI)</w:t>
            </w:r>
          </w:p>
        </w:tc>
        <w:tc>
          <w:tcPr>
            <w:tcW w:w="639" w:type="pct"/>
            <w:tcBorders>
              <w:top w:val="nil"/>
              <w:left w:val="single" w:sz="5" w:space="0" w:color="000000"/>
              <w:bottom w:val="nil"/>
              <w:right w:val="single" w:sz="5" w:space="0" w:color="000000"/>
            </w:tcBorders>
            <w:tcMar>
              <w:left w:w="85" w:type="dxa"/>
              <w:right w:w="85" w:type="dxa"/>
            </w:tcMar>
          </w:tcPr>
          <w:p w14:paraId="3CD18161" w14:textId="77777777" w:rsidR="008D0057" w:rsidRPr="008F1125" w:rsidRDefault="008D0057" w:rsidP="003C5296">
            <w:pPr>
              <w:tabs>
                <w:tab w:val="clear" w:pos="567"/>
              </w:tabs>
              <w:jc w:val="center"/>
              <w:rPr>
                <w:bCs/>
                <w:iCs/>
                <w:szCs w:val="22"/>
                <w:lang w:val="sr-Latn-RS"/>
              </w:rPr>
            </w:pPr>
            <w:r w:rsidRPr="008F1125">
              <w:rPr>
                <w:bCs/>
                <w:iCs/>
                <w:szCs w:val="22"/>
                <w:lang w:val="sr-Latn-RS"/>
              </w:rPr>
              <w:t>(19,0; 26,1)</w:t>
            </w:r>
          </w:p>
        </w:tc>
        <w:tc>
          <w:tcPr>
            <w:tcW w:w="639" w:type="pct"/>
            <w:tcBorders>
              <w:top w:val="nil"/>
              <w:left w:val="single" w:sz="5" w:space="0" w:color="000000"/>
              <w:bottom w:val="nil"/>
              <w:right w:val="single" w:sz="5" w:space="0" w:color="000000"/>
            </w:tcBorders>
            <w:tcMar>
              <w:left w:w="85" w:type="dxa"/>
              <w:right w:w="85" w:type="dxa"/>
            </w:tcMar>
          </w:tcPr>
          <w:p w14:paraId="705446DB" w14:textId="6334D207" w:rsidR="008D0057" w:rsidRPr="008F1125" w:rsidRDefault="008D0057" w:rsidP="003C5296">
            <w:pPr>
              <w:tabs>
                <w:tab w:val="clear" w:pos="567"/>
              </w:tabs>
              <w:jc w:val="center"/>
              <w:rPr>
                <w:bCs/>
                <w:iCs/>
                <w:szCs w:val="22"/>
                <w:lang w:val="sr-Latn-RS"/>
              </w:rPr>
            </w:pPr>
            <w:r w:rsidRPr="008F1125">
              <w:rPr>
                <w:bCs/>
                <w:iCs/>
                <w:szCs w:val="22"/>
                <w:lang w:val="sr-Latn-RS"/>
              </w:rPr>
              <w:t>(12,8; 17,8)</w:t>
            </w:r>
          </w:p>
        </w:tc>
        <w:tc>
          <w:tcPr>
            <w:tcW w:w="640" w:type="pct"/>
            <w:tcBorders>
              <w:top w:val="nil"/>
              <w:left w:val="single" w:sz="5" w:space="0" w:color="000000"/>
              <w:bottom w:val="nil"/>
              <w:right w:val="single" w:sz="5" w:space="0" w:color="000000"/>
            </w:tcBorders>
            <w:tcMar>
              <w:left w:w="85" w:type="dxa"/>
              <w:right w:w="85" w:type="dxa"/>
            </w:tcMar>
          </w:tcPr>
          <w:p w14:paraId="36620CCD" w14:textId="77777777" w:rsidR="008D0057" w:rsidRPr="008F1125" w:rsidRDefault="008D0057" w:rsidP="003C5296">
            <w:pPr>
              <w:tabs>
                <w:tab w:val="clear" w:pos="567"/>
              </w:tabs>
              <w:jc w:val="center"/>
              <w:rPr>
                <w:bCs/>
                <w:iCs/>
                <w:szCs w:val="22"/>
                <w:lang w:val="sr-Latn-RS"/>
              </w:rPr>
            </w:pPr>
            <w:r w:rsidRPr="008F1125">
              <w:rPr>
                <w:bCs/>
                <w:iCs/>
                <w:szCs w:val="22"/>
                <w:lang w:val="sr-Latn-RS"/>
              </w:rPr>
              <w:t>(20,6; NE)</w:t>
            </w:r>
          </w:p>
        </w:tc>
        <w:tc>
          <w:tcPr>
            <w:tcW w:w="639" w:type="pct"/>
            <w:tcBorders>
              <w:top w:val="nil"/>
              <w:left w:val="single" w:sz="5" w:space="0" w:color="000000"/>
              <w:bottom w:val="nil"/>
              <w:right w:val="single" w:sz="5" w:space="0" w:color="000000"/>
            </w:tcBorders>
            <w:tcMar>
              <w:left w:w="85" w:type="dxa"/>
              <w:right w:w="85" w:type="dxa"/>
            </w:tcMar>
          </w:tcPr>
          <w:p w14:paraId="6C2F4527" w14:textId="2071E498" w:rsidR="008D0057" w:rsidRPr="008F1125" w:rsidRDefault="008D0057" w:rsidP="003C5296">
            <w:pPr>
              <w:tabs>
                <w:tab w:val="clear" w:pos="567"/>
              </w:tabs>
              <w:jc w:val="center"/>
              <w:rPr>
                <w:bCs/>
                <w:iCs/>
                <w:szCs w:val="22"/>
                <w:lang w:val="sr-Latn-RS"/>
              </w:rPr>
            </w:pPr>
            <w:r w:rsidRPr="008F1125">
              <w:rPr>
                <w:bCs/>
                <w:iCs/>
                <w:szCs w:val="22"/>
                <w:lang w:val="sr-Latn-RS"/>
              </w:rPr>
              <w:t>(13,5; 31,6)</w:t>
            </w:r>
          </w:p>
        </w:tc>
        <w:tc>
          <w:tcPr>
            <w:tcW w:w="639" w:type="pct"/>
            <w:tcBorders>
              <w:top w:val="nil"/>
              <w:left w:val="single" w:sz="5" w:space="0" w:color="000000"/>
              <w:bottom w:val="nil"/>
              <w:right w:val="single" w:sz="5" w:space="0" w:color="000000"/>
            </w:tcBorders>
            <w:tcMar>
              <w:left w:w="85" w:type="dxa"/>
              <w:right w:w="85" w:type="dxa"/>
            </w:tcMar>
          </w:tcPr>
          <w:p w14:paraId="2F3DB48B" w14:textId="77777777" w:rsidR="008D0057" w:rsidRPr="008F1125" w:rsidRDefault="008D0057" w:rsidP="003C5296">
            <w:pPr>
              <w:tabs>
                <w:tab w:val="clear" w:pos="567"/>
              </w:tabs>
              <w:jc w:val="center"/>
              <w:rPr>
                <w:bCs/>
                <w:iCs/>
                <w:szCs w:val="22"/>
                <w:lang w:val="sr-Latn-RS"/>
              </w:rPr>
            </w:pPr>
            <w:r w:rsidRPr="008F1125">
              <w:rPr>
                <w:bCs/>
                <w:iCs/>
                <w:szCs w:val="22"/>
                <w:lang w:val="sr-Latn-RS"/>
              </w:rPr>
              <w:t>(13,3; 22,1)</w:t>
            </w:r>
          </w:p>
        </w:tc>
        <w:tc>
          <w:tcPr>
            <w:tcW w:w="640" w:type="pct"/>
            <w:tcBorders>
              <w:top w:val="nil"/>
              <w:left w:val="single" w:sz="5" w:space="0" w:color="000000"/>
              <w:bottom w:val="nil"/>
              <w:right w:val="single" w:sz="5" w:space="0" w:color="000000"/>
            </w:tcBorders>
            <w:tcMar>
              <w:left w:w="85" w:type="dxa"/>
              <w:right w:w="85" w:type="dxa"/>
            </w:tcMar>
          </w:tcPr>
          <w:p w14:paraId="6C7CE446" w14:textId="4B09F537" w:rsidR="008D0057" w:rsidRPr="008F1125" w:rsidRDefault="008D0057" w:rsidP="003C5296">
            <w:pPr>
              <w:tabs>
                <w:tab w:val="clear" w:pos="567"/>
              </w:tabs>
              <w:jc w:val="center"/>
              <w:rPr>
                <w:bCs/>
                <w:iCs/>
                <w:szCs w:val="22"/>
                <w:lang w:val="sr-Latn-RS"/>
              </w:rPr>
            </w:pPr>
            <w:r w:rsidRPr="008F1125">
              <w:rPr>
                <w:bCs/>
                <w:iCs/>
                <w:szCs w:val="22"/>
                <w:lang w:val="sr-Latn-RS"/>
              </w:rPr>
              <w:t>(10,4; 17,3)</w:t>
            </w:r>
          </w:p>
        </w:tc>
      </w:tr>
      <w:tr w:rsidR="00F51581" w:rsidRPr="008F1125" w14:paraId="5182124B" w14:textId="77777777" w:rsidTr="004550F8">
        <w:tc>
          <w:tcPr>
            <w:tcW w:w="1162" w:type="pct"/>
            <w:tcBorders>
              <w:top w:val="nil"/>
              <w:left w:val="single" w:sz="5" w:space="0" w:color="000000"/>
              <w:bottom w:val="nil"/>
              <w:right w:val="single" w:sz="5" w:space="0" w:color="000000"/>
            </w:tcBorders>
            <w:tcMar>
              <w:left w:w="85" w:type="dxa"/>
              <w:right w:w="85" w:type="dxa"/>
            </w:tcMar>
          </w:tcPr>
          <w:p w14:paraId="6A62AAD8" w14:textId="43DDCF98" w:rsidR="00770AEC" w:rsidRPr="008F1125" w:rsidRDefault="00F862C5" w:rsidP="00770AEC">
            <w:pPr>
              <w:tabs>
                <w:tab w:val="clear" w:pos="567"/>
              </w:tabs>
              <w:rPr>
                <w:bCs/>
                <w:iCs/>
                <w:szCs w:val="22"/>
                <w:lang w:val="sr-Latn-RS"/>
              </w:rPr>
            </w:pPr>
            <w:r>
              <w:rPr>
                <w:bCs/>
                <w:iCs/>
                <w:szCs w:val="22"/>
                <w:lang w:val="sr-Latn-RS"/>
              </w:rPr>
              <w:t>Odnos</w:t>
            </w:r>
            <w:r w:rsidRPr="008F1125">
              <w:rPr>
                <w:bCs/>
                <w:iCs/>
                <w:szCs w:val="22"/>
                <w:lang w:val="sr-Latn-RS"/>
              </w:rPr>
              <w:t xml:space="preserve"> </w:t>
            </w:r>
            <w:r w:rsidR="00B54E9B" w:rsidRPr="008F1125">
              <w:rPr>
                <w:bCs/>
                <w:iCs/>
                <w:szCs w:val="22"/>
                <w:lang w:val="sr-Latn-RS"/>
              </w:rPr>
              <w:t>rizika</w:t>
            </w:r>
          </w:p>
        </w:tc>
        <w:tc>
          <w:tcPr>
            <w:tcW w:w="1279" w:type="pct"/>
            <w:gridSpan w:val="2"/>
            <w:tcBorders>
              <w:top w:val="nil"/>
              <w:left w:val="single" w:sz="5" w:space="0" w:color="000000"/>
              <w:bottom w:val="nil"/>
              <w:right w:val="single" w:sz="5" w:space="0" w:color="000000"/>
            </w:tcBorders>
            <w:tcMar>
              <w:left w:w="85" w:type="dxa"/>
              <w:right w:w="85" w:type="dxa"/>
            </w:tcMar>
          </w:tcPr>
          <w:p w14:paraId="6640FE6D" w14:textId="77777777" w:rsidR="00770AEC" w:rsidRPr="008F1125" w:rsidRDefault="00770AEC" w:rsidP="003C5296">
            <w:pPr>
              <w:tabs>
                <w:tab w:val="clear" w:pos="567"/>
              </w:tabs>
              <w:jc w:val="center"/>
              <w:rPr>
                <w:bCs/>
                <w:iCs/>
                <w:szCs w:val="22"/>
                <w:lang w:val="sr-Latn-RS"/>
              </w:rPr>
            </w:pPr>
            <w:r w:rsidRPr="008F1125">
              <w:rPr>
                <w:bCs/>
                <w:iCs/>
                <w:szCs w:val="22"/>
                <w:lang w:val="sr-Latn-RS"/>
              </w:rPr>
              <w:t>0,70</w:t>
            </w:r>
          </w:p>
        </w:tc>
        <w:tc>
          <w:tcPr>
            <w:tcW w:w="1279" w:type="pct"/>
            <w:gridSpan w:val="2"/>
            <w:tcBorders>
              <w:top w:val="nil"/>
              <w:left w:val="single" w:sz="5" w:space="0" w:color="000000"/>
              <w:bottom w:val="nil"/>
              <w:right w:val="single" w:sz="5" w:space="0" w:color="000000"/>
            </w:tcBorders>
            <w:tcMar>
              <w:left w:w="85" w:type="dxa"/>
              <w:right w:w="85" w:type="dxa"/>
            </w:tcMar>
          </w:tcPr>
          <w:p w14:paraId="666D9342" w14:textId="77777777" w:rsidR="00770AEC" w:rsidRPr="008F1125" w:rsidRDefault="00770AEC" w:rsidP="003C5296">
            <w:pPr>
              <w:tabs>
                <w:tab w:val="clear" w:pos="567"/>
              </w:tabs>
              <w:jc w:val="center"/>
              <w:rPr>
                <w:bCs/>
                <w:iCs/>
                <w:szCs w:val="22"/>
                <w:lang w:val="sr-Latn-RS"/>
              </w:rPr>
            </w:pPr>
            <w:r w:rsidRPr="008F1125">
              <w:rPr>
                <w:bCs/>
                <w:iCs/>
                <w:szCs w:val="22"/>
                <w:lang w:val="sr-Latn-RS"/>
              </w:rPr>
              <w:t>0,60</w:t>
            </w:r>
          </w:p>
        </w:tc>
        <w:tc>
          <w:tcPr>
            <w:tcW w:w="1279" w:type="pct"/>
            <w:gridSpan w:val="2"/>
            <w:tcBorders>
              <w:top w:val="nil"/>
              <w:left w:val="single" w:sz="5" w:space="0" w:color="000000"/>
              <w:bottom w:val="nil"/>
              <w:right w:val="single" w:sz="5" w:space="0" w:color="000000"/>
            </w:tcBorders>
            <w:tcMar>
              <w:left w:w="85" w:type="dxa"/>
              <w:right w:w="85" w:type="dxa"/>
            </w:tcMar>
          </w:tcPr>
          <w:p w14:paraId="14B727E4" w14:textId="77777777" w:rsidR="00770AEC" w:rsidRPr="008F1125" w:rsidRDefault="00770AEC" w:rsidP="003C5296">
            <w:pPr>
              <w:tabs>
                <w:tab w:val="clear" w:pos="567"/>
              </w:tabs>
              <w:jc w:val="center"/>
              <w:rPr>
                <w:bCs/>
                <w:iCs/>
                <w:szCs w:val="22"/>
                <w:lang w:val="sr-Latn-RS"/>
              </w:rPr>
            </w:pPr>
            <w:r w:rsidRPr="008F1125">
              <w:rPr>
                <w:bCs/>
                <w:iCs/>
                <w:szCs w:val="22"/>
                <w:lang w:val="sr-Latn-RS"/>
              </w:rPr>
              <w:t>0,83</w:t>
            </w:r>
          </w:p>
        </w:tc>
      </w:tr>
      <w:tr w:rsidR="00F51581" w:rsidRPr="008F1125" w14:paraId="628736FD" w14:textId="77777777" w:rsidTr="004550F8">
        <w:tc>
          <w:tcPr>
            <w:tcW w:w="1162" w:type="pct"/>
            <w:tcBorders>
              <w:top w:val="nil"/>
              <w:left w:val="single" w:sz="5" w:space="0" w:color="000000"/>
              <w:bottom w:val="nil"/>
              <w:right w:val="single" w:sz="5" w:space="0" w:color="000000"/>
            </w:tcBorders>
            <w:tcMar>
              <w:left w:w="85" w:type="dxa"/>
              <w:right w:w="85" w:type="dxa"/>
            </w:tcMar>
          </w:tcPr>
          <w:p w14:paraId="0604B77E" w14:textId="03BC900C" w:rsidR="00770AEC" w:rsidRPr="008F1125" w:rsidRDefault="00770AEC" w:rsidP="00B54E9B">
            <w:pPr>
              <w:tabs>
                <w:tab w:val="clear" w:pos="567"/>
              </w:tabs>
              <w:rPr>
                <w:bCs/>
                <w:iCs/>
                <w:szCs w:val="22"/>
                <w:lang w:val="sr-Latn-RS"/>
              </w:rPr>
            </w:pPr>
            <w:r w:rsidRPr="008F1125">
              <w:rPr>
                <w:bCs/>
                <w:iCs/>
                <w:szCs w:val="22"/>
                <w:lang w:val="sr-Latn-RS"/>
              </w:rPr>
              <w:t>(95% CI)</w:t>
            </w:r>
          </w:p>
        </w:tc>
        <w:tc>
          <w:tcPr>
            <w:tcW w:w="1279" w:type="pct"/>
            <w:gridSpan w:val="2"/>
            <w:tcBorders>
              <w:top w:val="nil"/>
              <w:left w:val="single" w:sz="5" w:space="0" w:color="000000"/>
              <w:bottom w:val="nil"/>
              <w:right w:val="single" w:sz="5" w:space="0" w:color="000000"/>
            </w:tcBorders>
            <w:tcMar>
              <w:left w:w="85" w:type="dxa"/>
              <w:right w:w="85" w:type="dxa"/>
            </w:tcMar>
          </w:tcPr>
          <w:p w14:paraId="7E0013FE" w14:textId="77777777" w:rsidR="00770AEC" w:rsidRPr="008F1125" w:rsidRDefault="00770AEC" w:rsidP="003C5296">
            <w:pPr>
              <w:tabs>
                <w:tab w:val="clear" w:pos="567"/>
              </w:tabs>
              <w:jc w:val="center"/>
              <w:rPr>
                <w:bCs/>
                <w:iCs/>
                <w:szCs w:val="22"/>
                <w:lang w:val="sr-Latn-RS"/>
              </w:rPr>
            </w:pPr>
            <w:r w:rsidRPr="008F1125">
              <w:rPr>
                <w:bCs/>
                <w:iCs/>
                <w:szCs w:val="22"/>
                <w:lang w:val="sr-Latn-RS"/>
              </w:rPr>
              <w:t>(0,564; 0,862)</w:t>
            </w:r>
          </w:p>
        </w:tc>
        <w:tc>
          <w:tcPr>
            <w:tcW w:w="1279" w:type="pct"/>
            <w:gridSpan w:val="2"/>
            <w:tcBorders>
              <w:top w:val="nil"/>
              <w:left w:val="single" w:sz="5" w:space="0" w:color="000000"/>
              <w:bottom w:val="nil"/>
              <w:right w:val="single" w:sz="5" w:space="0" w:color="000000"/>
            </w:tcBorders>
            <w:tcMar>
              <w:left w:w="85" w:type="dxa"/>
              <w:right w:w="85" w:type="dxa"/>
            </w:tcMar>
          </w:tcPr>
          <w:p w14:paraId="640BF274" w14:textId="77777777" w:rsidR="00770AEC" w:rsidRPr="008F1125" w:rsidRDefault="00770AEC" w:rsidP="003C5296">
            <w:pPr>
              <w:tabs>
                <w:tab w:val="clear" w:pos="567"/>
              </w:tabs>
              <w:jc w:val="center"/>
              <w:rPr>
                <w:bCs/>
                <w:iCs/>
                <w:szCs w:val="22"/>
                <w:lang w:val="sr-Latn-RS"/>
              </w:rPr>
            </w:pPr>
            <w:r w:rsidRPr="008F1125">
              <w:rPr>
                <w:bCs/>
                <w:iCs/>
                <w:szCs w:val="22"/>
                <w:lang w:val="sr-Latn-RS"/>
              </w:rPr>
              <w:t>(0,439; 0,833)</w:t>
            </w:r>
          </w:p>
        </w:tc>
        <w:tc>
          <w:tcPr>
            <w:tcW w:w="1279" w:type="pct"/>
            <w:gridSpan w:val="2"/>
            <w:tcBorders>
              <w:top w:val="nil"/>
              <w:left w:val="single" w:sz="5" w:space="0" w:color="000000"/>
              <w:bottom w:val="nil"/>
              <w:right w:val="single" w:sz="5" w:space="0" w:color="000000"/>
            </w:tcBorders>
            <w:tcMar>
              <w:left w:w="85" w:type="dxa"/>
              <w:right w:w="85" w:type="dxa"/>
            </w:tcMar>
          </w:tcPr>
          <w:p w14:paraId="39613DA8" w14:textId="77777777" w:rsidR="00770AEC" w:rsidRPr="008F1125" w:rsidRDefault="00770AEC" w:rsidP="003C5296">
            <w:pPr>
              <w:tabs>
                <w:tab w:val="clear" w:pos="567"/>
              </w:tabs>
              <w:jc w:val="center"/>
              <w:rPr>
                <w:bCs/>
                <w:iCs/>
                <w:szCs w:val="22"/>
                <w:lang w:val="sr-Latn-RS"/>
              </w:rPr>
            </w:pPr>
            <w:r w:rsidRPr="008F1125">
              <w:rPr>
                <w:bCs/>
                <w:iCs/>
                <w:szCs w:val="22"/>
                <w:lang w:val="sr-Latn-RS"/>
              </w:rPr>
              <w:t>(0,603; 1,131)</w:t>
            </w:r>
          </w:p>
        </w:tc>
      </w:tr>
      <w:tr w:rsidR="00F51581" w:rsidRPr="008F1125" w14:paraId="6232BE70" w14:textId="77777777" w:rsidTr="004550F8">
        <w:tc>
          <w:tcPr>
            <w:tcW w:w="1162" w:type="pct"/>
            <w:tcBorders>
              <w:top w:val="nil"/>
              <w:left w:val="single" w:sz="5" w:space="0" w:color="000000"/>
              <w:bottom w:val="single" w:sz="5" w:space="0" w:color="000000"/>
              <w:right w:val="single" w:sz="5" w:space="0" w:color="000000"/>
            </w:tcBorders>
            <w:tcMar>
              <w:left w:w="85" w:type="dxa"/>
              <w:right w:w="85" w:type="dxa"/>
            </w:tcMar>
          </w:tcPr>
          <w:p w14:paraId="78556365" w14:textId="7A27C218" w:rsidR="00770AEC" w:rsidRPr="008F1125" w:rsidRDefault="00FF3F3A" w:rsidP="00770AEC">
            <w:pPr>
              <w:tabs>
                <w:tab w:val="clear" w:pos="567"/>
              </w:tabs>
              <w:rPr>
                <w:bCs/>
                <w:iCs/>
                <w:szCs w:val="22"/>
                <w:lang w:val="sr-Latn-RS"/>
              </w:rPr>
            </w:pPr>
            <w:r w:rsidRPr="008F1125">
              <w:rPr>
                <w:bCs/>
                <w:iCs/>
                <w:szCs w:val="22"/>
                <w:lang w:val="sr-Latn-RS"/>
              </w:rPr>
              <w:t>2-strana p-vr</w:t>
            </w:r>
            <w:r w:rsidR="00AA6E94" w:rsidRPr="008F1125">
              <w:rPr>
                <w:bCs/>
                <w:iCs/>
                <w:szCs w:val="22"/>
                <w:lang w:val="sr-Latn-RS"/>
              </w:rPr>
              <w:t>ij</w:t>
            </w:r>
            <w:r w:rsidR="00770AEC" w:rsidRPr="008F1125">
              <w:rPr>
                <w:bCs/>
                <w:iCs/>
                <w:szCs w:val="22"/>
                <w:lang w:val="sr-Latn-RS"/>
              </w:rPr>
              <w:t>ednost</w:t>
            </w:r>
            <w:r w:rsidR="00770AEC" w:rsidRPr="008F1125">
              <w:rPr>
                <w:bCs/>
                <w:iCs/>
                <w:szCs w:val="22"/>
                <w:vertAlign w:val="superscript"/>
                <w:lang w:val="sr-Latn-RS"/>
              </w:rPr>
              <w:t>d</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7ED31193" w14:textId="77777777" w:rsidR="00770AEC" w:rsidRPr="008F1125" w:rsidRDefault="00770AEC" w:rsidP="003C5296">
            <w:pPr>
              <w:tabs>
                <w:tab w:val="clear" w:pos="567"/>
              </w:tabs>
              <w:jc w:val="center"/>
              <w:rPr>
                <w:bCs/>
                <w:iCs/>
                <w:szCs w:val="22"/>
                <w:lang w:val="sr-Latn-RS"/>
              </w:rPr>
            </w:pPr>
            <w:r w:rsidRPr="008F1125">
              <w:rPr>
                <w:bCs/>
                <w:iCs/>
                <w:szCs w:val="22"/>
                <w:lang w:val="sr-Latn-RS"/>
              </w:rPr>
              <w:t>0,0008</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02562639" w14:textId="77777777" w:rsidR="00770AEC" w:rsidRPr="008F1125" w:rsidRDefault="00770AEC" w:rsidP="003C5296">
            <w:pPr>
              <w:tabs>
                <w:tab w:val="clear" w:pos="567"/>
              </w:tabs>
              <w:jc w:val="center"/>
              <w:rPr>
                <w:bCs/>
                <w:iCs/>
                <w:szCs w:val="22"/>
                <w:lang w:val="sr-Latn-RS"/>
              </w:rPr>
            </w:pPr>
            <w:r w:rsidRPr="008F1125">
              <w:rPr>
                <w:bCs/>
                <w:iCs/>
                <w:szCs w:val="22"/>
                <w:lang w:val="sr-Latn-RS"/>
              </w:rPr>
              <w:t>0,0019</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3E0508E3" w14:textId="77777777" w:rsidR="00770AEC" w:rsidRPr="008F1125" w:rsidRDefault="00770AEC" w:rsidP="003C5296">
            <w:pPr>
              <w:tabs>
                <w:tab w:val="clear" w:pos="567"/>
              </w:tabs>
              <w:jc w:val="center"/>
              <w:rPr>
                <w:bCs/>
                <w:iCs/>
                <w:szCs w:val="22"/>
                <w:lang w:val="sr-Latn-RS"/>
              </w:rPr>
            </w:pPr>
            <w:r w:rsidRPr="008F1125">
              <w:rPr>
                <w:b/>
                <w:bCs/>
                <w:iCs/>
                <w:szCs w:val="22"/>
                <w:lang w:val="sr-Latn-RS"/>
              </w:rPr>
              <w:t>-</w:t>
            </w:r>
          </w:p>
        </w:tc>
      </w:tr>
      <w:tr w:rsidR="00F51581" w:rsidRPr="003D7D44" w14:paraId="2EDCDFE5" w14:textId="77777777" w:rsidTr="004550F8">
        <w:tc>
          <w:tcPr>
            <w:tcW w:w="5000" w:type="pct"/>
            <w:gridSpan w:val="7"/>
            <w:tcBorders>
              <w:top w:val="single" w:sz="5" w:space="0" w:color="000000"/>
              <w:left w:val="single" w:sz="5" w:space="0" w:color="000000"/>
              <w:bottom w:val="nil"/>
              <w:right w:val="single" w:sz="5" w:space="0" w:color="000000"/>
            </w:tcBorders>
            <w:tcMar>
              <w:left w:w="85" w:type="dxa"/>
              <w:right w:w="85" w:type="dxa"/>
            </w:tcMar>
          </w:tcPr>
          <w:p w14:paraId="4FC0B497" w14:textId="78E8F62D" w:rsidR="00770AEC" w:rsidRPr="008F1125" w:rsidRDefault="00C4007B" w:rsidP="00770AEC">
            <w:pPr>
              <w:tabs>
                <w:tab w:val="clear" w:pos="567"/>
              </w:tabs>
              <w:rPr>
                <w:bCs/>
                <w:iCs/>
                <w:szCs w:val="22"/>
                <w:lang w:val="sr-Latn-RS"/>
              </w:rPr>
            </w:pPr>
            <w:r w:rsidRPr="008F1125">
              <w:rPr>
                <w:b/>
                <w:bCs/>
                <w:iCs/>
                <w:szCs w:val="22"/>
                <w:lang w:val="sr-Latn-RS"/>
              </w:rPr>
              <w:t>Preživljava</w:t>
            </w:r>
            <w:r w:rsidR="00770AEC" w:rsidRPr="008F1125">
              <w:rPr>
                <w:b/>
                <w:bCs/>
                <w:iCs/>
                <w:szCs w:val="22"/>
                <w:lang w:val="sr-Latn-RS"/>
              </w:rPr>
              <w:t>nje bez progresije bolesti (PFS)</w:t>
            </w:r>
            <w:r w:rsidR="00770AEC" w:rsidRPr="008F1125">
              <w:rPr>
                <w:bCs/>
                <w:iCs/>
                <w:szCs w:val="22"/>
                <w:vertAlign w:val="superscript"/>
                <w:lang w:val="sr-Latn-RS"/>
              </w:rPr>
              <w:t>b, e, f</w:t>
            </w:r>
          </w:p>
        </w:tc>
      </w:tr>
      <w:tr w:rsidR="00F51581" w:rsidRPr="008F1125" w14:paraId="08C1064D" w14:textId="77777777" w:rsidTr="004550F8">
        <w:tc>
          <w:tcPr>
            <w:tcW w:w="1162" w:type="pct"/>
            <w:tcBorders>
              <w:top w:val="nil"/>
              <w:left w:val="single" w:sz="5" w:space="0" w:color="000000"/>
              <w:bottom w:val="nil"/>
              <w:right w:val="single" w:sz="5" w:space="0" w:color="000000"/>
            </w:tcBorders>
            <w:tcMar>
              <w:left w:w="85" w:type="dxa"/>
              <w:right w:w="85" w:type="dxa"/>
            </w:tcMar>
          </w:tcPr>
          <w:p w14:paraId="6A862244" w14:textId="77777777" w:rsidR="00FE7427" w:rsidRPr="008F1125" w:rsidRDefault="00FE7427" w:rsidP="00770AEC">
            <w:pPr>
              <w:tabs>
                <w:tab w:val="clear" w:pos="567"/>
              </w:tabs>
              <w:rPr>
                <w:bCs/>
                <w:iCs/>
                <w:szCs w:val="22"/>
                <w:lang w:val="sr-Latn-RS"/>
              </w:rPr>
            </w:pPr>
            <w:r w:rsidRPr="008F1125">
              <w:rPr>
                <w:bCs/>
                <w:iCs/>
                <w:szCs w:val="22"/>
                <w:lang w:val="sr-Latn-RS"/>
              </w:rPr>
              <w:t>Događaji (%)</w:t>
            </w:r>
          </w:p>
        </w:tc>
        <w:tc>
          <w:tcPr>
            <w:tcW w:w="639" w:type="pct"/>
            <w:tcBorders>
              <w:top w:val="nil"/>
              <w:left w:val="single" w:sz="5" w:space="0" w:color="000000"/>
              <w:bottom w:val="nil"/>
              <w:right w:val="single" w:sz="5" w:space="0" w:color="000000"/>
            </w:tcBorders>
            <w:tcMar>
              <w:left w:w="85" w:type="dxa"/>
              <w:right w:w="85" w:type="dxa"/>
            </w:tcMar>
          </w:tcPr>
          <w:p w14:paraId="6297217C" w14:textId="77777777" w:rsidR="00FE7427" w:rsidRPr="008F1125" w:rsidRDefault="00FE7427" w:rsidP="003C5296">
            <w:pPr>
              <w:tabs>
                <w:tab w:val="clear" w:pos="567"/>
              </w:tabs>
              <w:jc w:val="center"/>
              <w:rPr>
                <w:bCs/>
                <w:iCs/>
                <w:szCs w:val="22"/>
                <w:lang w:val="sr-Latn-RS"/>
              </w:rPr>
            </w:pPr>
            <w:r w:rsidRPr="008F1125">
              <w:rPr>
                <w:bCs/>
                <w:iCs/>
                <w:szCs w:val="22"/>
                <w:lang w:val="sr-Latn-RS"/>
              </w:rPr>
              <w:t>225 (64,3)</w:t>
            </w:r>
          </w:p>
        </w:tc>
        <w:tc>
          <w:tcPr>
            <w:tcW w:w="639" w:type="pct"/>
            <w:tcBorders>
              <w:top w:val="nil"/>
              <w:left w:val="single" w:sz="5" w:space="0" w:color="000000"/>
              <w:bottom w:val="nil"/>
              <w:right w:val="single" w:sz="5" w:space="0" w:color="000000"/>
            </w:tcBorders>
            <w:tcMar>
              <w:left w:w="85" w:type="dxa"/>
              <w:right w:w="85" w:type="dxa"/>
            </w:tcMar>
          </w:tcPr>
          <w:p w14:paraId="36DD6EE2" w14:textId="708EA079" w:rsidR="00FE7427" w:rsidRPr="008F1125" w:rsidRDefault="00FE7427" w:rsidP="003C5296">
            <w:pPr>
              <w:tabs>
                <w:tab w:val="clear" w:pos="567"/>
              </w:tabs>
              <w:jc w:val="center"/>
              <w:rPr>
                <w:bCs/>
                <w:iCs/>
                <w:szCs w:val="22"/>
                <w:lang w:val="sr-Latn-RS"/>
              </w:rPr>
            </w:pPr>
            <w:r w:rsidRPr="008F1125">
              <w:rPr>
                <w:bCs/>
                <w:iCs/>
                <w:szCs w:val="22"/>
                <w:lang w:val="sr-Latn-RS"/>
              </w:rPr>
              <w:t>260 (74,3)</w:t>
            </w:r>
          </w:p>
        </w:tc>
        <w:tc>
          <w:tcPr>
            <w:tcW w:w="640" w:type="pct"/>
            <w:tcBorders>
              <w:top w:val="nil"/>
              <w:left w:val="single" w:sz="5" w:space="0" w:color="000000"/>
              <w:bottom w:val="nil"/>
              <w:right w:val="single" w:sz="5" w:space="0" w:color="000000"/>
            </w:tcBorders>
            <w:tcMar>
              <w:left w:w="85" w:type="dxa"/>
              <w:right w:w="85" w:type="dxa"/>
            </w:tcMar>
          </w:tcPr>
          <w:p w14:paraId="27DA5288" w14:textId="77777777" w:rsidR="00FE7427" w:rsidRPr="008F1125" w:rsidRDefault="00FE7427" w:rsidP="003C5296">
            <w:pPr>
              <w:tabs>
                <w:tab w:val="clear" w:pos="567"/>
              </w:tabs>
              <w:jc w:val="center"/>
              <w:rPr>
                <w:bCs/>
                <w:iCs/>
                <w:szCs w:val="22"/>
                <w:lang w:val="sr-Latn-RS"/>
              </w:rPr>
            </w:pPr>
            <w:r w:rsidRPr="008F1125">
              <w:rPr>
                <w:bCs/>
                <w:iCs/>
                <w:szCs w:val="22"/>
                <w:lang w:val="sr-Latn-RS"/>
              </w:rPr>
              <w:t>109 (57,7)</w:t>
            </w:r>
          </w:p>
        </w:tc>
        <w:tc>
          <w:tcPr>
            <w:tcW w:w="639" w:type="pct"/>
            <w:tcBorders>
              <w:top w:val="nil"/>
              <w:left w:val="single" w:sz="5" w:space="0" w:color="000000"/>
              <w:bottom w:val="nil"/>
              <w:right w:val="single" w:sz="5" w:space="0" w:color="000000"/>
            </w:tcBorders>
            <w:tcMar>
              <w:left w:w="85" w:type="dxa"/>
              <w:right w:w="85" w:type="dxa"/>
            </w:tcMar>
          </w:tcPr>
          <w:p w14:paraId="67F3A852" w14:textId="117358E6" w:rsidR="00FE7427" w:rsidRPr="008F1125" w:rsidRDefault="00FE7427" w:rsidP="003C5296">
            <w:pPr>
              <w:tabs>
                <w:tab w:val="clear" w:pos="567"/>
              </w:tabs>
              <w:jc w:val="center"/>
              <w:rPr>
                <w:bCs/>
                <w:iCs/>
                <w:szCs w:val="22"/>
                <w:lang w:val="sr-Latn-RS"/>
              </w:rPr>
            </w:pPr>
            <w:r w:rsidRPr="008F1125">
              <w:rPr>
                <w:bCs/>
                <w:iCs/>
                <w:szCs w:val="22"/>
                <w:lang w:val="sr-Latn-RS"/>
              </w:rPr>
              <w:t>130 (76,9)</w:t>
            </w:r>
          </w:p>
        </w:tc>
        <w:tc>
          <w:tcPr>
            <w:tcW w:w="639" w:type="pct"/>
            <w:tcBorders>
              <w:top w:val="nil"/>
              <w:left w:val="single" w:sz="5" w:space="0" w:color="000000"/>
              <w:bottom w:val="nil"/>
              <w:right w:val="single" w:sz="5" w:space="0" w:color="000000"/>
            </w:tcBorders>
            <w:tcMar>
              <w:left w:w="85" w:type="dxa"/>
              <w:right w:w="85" w:type="dxa"/>
            </w:tcMar>
          </w:tcPr>
          <w:p w14:paraId="0BBFC937" w14:textId="77777777" w:rsidR="00FE7427" w:rsidRPr="008F1125" w:rsidRDefault="00FE7427" w:rsidP="003C5296">
            <w:pPr>
              <w:tabs>
                <w:tab w:val="clear" w:pos="567"/>
              </w:tabs>
              <w:jc w:val="center"/>
              <w:rPr>
                <w:bCs/>
                <w:iCs/>
                <w:szCs w:val="22"/>
                <w:lang w:val="sr-Latn-RS"/>
              </w:rPr>
            </w:pPr>
            <w:r w:rsidRPr="008F1125">
              <w:rPr>
                <w:bCs/>
                <w:iCs/>
                <w:szCs w:val="22"/>
                <w:lang w:val="sr-Latn-RS"/>
              </w:rPr>
              <w:t>103 (74,1)</w:t>
            </w:r>
          </w:p>
        </w:tc>
        <w:tc>
          <w:tcPr>
            <w:tcW w:w="640" w:type="pct"/>
            <w:tcBorders>
              <w:top w:val="nil"/>
              <w:left w:val="single" w:sz="5" w:space="0" w:color="000000"/>
              <w:bottom w:val="nil"/>
              <w:right w:val="single" w:sz="5" w:space="0" w:color="000000"/>
            </w:tcBorders>
            <w:tcMar>
              <w:left w:w="85" w:type="dxa"/>
              <w:right w:w="85" w:type="dxa"/>
            </w:tcMar>
          </w:tcPr>
          <w:p w14:paraId="098D31ED" w14:textId="2F3F3FC1" w:rsidR="00FE7427" w:rsidRPr="008F1125" w:rsidRDefault="00FE7427" w:rsidP="003C5296">
            <w:pPr>
              <w:tabs>
                <w:tab w:val="clear" w:pos="567"/>
              </w:tabs>
              <w:jc w:val="center"/>
              <w:rPr>
                <w:bCs/>
                <w:iCs/>
                <w:szCs w:val="22"/>
                <w:lang w:val="sr-Latn-RS"/>
              </w:rPr>
            </w:pPr>
            <w:r w:rsidRPr="008F1125">
              <w:rPr>
                <w:bCs/>
                <w:iCs/>
                <w:szCs w:val="22"/>
                <w:lang w:val="sr-Latn-RS"/>
              </w:rPr>
              <w:t>99 (75,6)</w:t>
            </w:r>
          </w:p>
        </w:tc>
      </w:tr>
      <w:tr w:rsidR="00F51581" w:rsidRPr="008F1125" w14:paraId="278327F2" w14:textId="77777777" w:rsidTr="004550F8">
        <w:tc>
          <w:tcPr>
            <w:tcW w:w="1162" w:type="pct"/>
            <w:tcBorders>
              <w:top w:val="nil"/>
              <w:left w:val="single" w:sz="5" w:space="0" w:color="000000"/>
              <w:bottom w:val="nil"/>
              <w:right w:val="single" w:sz="5" w:space="0" w:color="000000"/>
            </w:tcBorders>
            <w:tcMar>
              <w:left w:w="85" w:type="dxa"/>
              <w:right w:w="85" w:type="dxa"/>
            </w:tcMar>
          </w:tcPr>
          <w:p w14:paraId="701B6A19" w14:textId="2516E889" w:rsidR="00FE7427" w:rsidRPr="008F1125" w:rsidRDefault="00FE7427" w:rsidP="00B54E9B">
            <w:pPr>
              <w:tabs>
                <w:tab w:val="clear" w:pos="567"/>
              </w:tabs>
              <w:rPr>
                <w:bCs/>
                <w:iCs/>
                <w:szCs w:val="22"/>
                <w:lang w:val="sr-Latn-RS"/>
              </w:rPr>
            </w:pPr>
            <w:r w:rsidRPr="008F1125">
              <w:rPr>
                <w:bCs/>
                <w:iCs/>
                <w:szCs w:val="22"/>
                <w:lang w:val="sr-Latn-RS"/>
              </w:rPr>
              <w:t>Medijan</w:t>
            </w:r>
            <w:r w:rsidR="00B54E9B" w:rsidRPr="008F1125">
              <w:rPr>
                <w:bCs/>
                <w:iCs/>
                <w:szCs w:val="22"/>
                <w:lang w:val="sr-Latn-RS"/>
              </w:rPr>
              <w:t>a</w:t>
            </w:r>
            <w:r w:rsidRPr="008F1125">
              <w:rPr>
                <w:bCs/>
                <w:iCs/>
                <w:szCs w:val="22"/>
                <w:lang w:val="sr-Latn-RS"/>
              </w:rPr>
              <w:t xml:space="preserve"> u </w:t>
            </w:r>
            <w:r w:rsidR="00B27CC7" w:rsidRPr="008F1125">
              <w:rPr>
                <w:bCs/>
                <w:iCs/>
                <w:szCs w:val="22"/>
                <w:lang w:val="sr-Latn-RS"/>
              </w:rPr>
              <w:t>mjeseci</w:t>
            </w:r>
            <w:r w:rsidRPr="008F1125">
              <w:rPr>
                <w:bCs/>
                <w:iCs/>
                <w:szCs w:val="22"/>
                <w:lang w:val="sr-Latn-RS"/>
              </w:rPr>
              <w:t>ma</w:t>
            </w:r>
          </w:p>
        </w:tc>
        <w:tc>
          <w:tcPr>
            <w:tcW w:w="639" w:type="pct"/>
            <w:tcBorders>
              <w:top w:val="nil"/>
              <w:left w:val="single" w:sz="5" w:space="0" w:color="000000"/>
              <w:bottom w:val="nil"/>
              <w:right w:val="single" w:sz="5" w:space="0" w:color="000000"/>
            </w:tcBorders>
            <w:tcMar>
              <w:left w:w="85" w:type="dxa"/>
              <w:right w:w="85" w:type="dxa"/>
            </w:tcMar>
          </w:tcPr>
          <w:p w14:paraId="79DB1E5D" w14:textId="77777777" w:rsidR="00FE7427" w:rsidRPr="008F1125" w:rsidRDefault="00FE7427" w:rsidP="003C5296">
            <w:pPr>
              <w:tabs>
                <w:tab w:val="clear" w:pos="567"/>
              </w:tabs>
              <w:jc w:val="center"/>
              <w:rPr>
                <w:bCs/>
                <w:iCs/>
                <w:szCs w:val="22"/>
                <w:lang w:val="sr-Latn-RS"/>
              </w:rPr>
            </w:pPr>
            <w:r w:rsidRPr="008F1125">
              <w:rPr>
                <w:bCs/>
                <w:iCs/>
                <w:szCs w:val="22"/>
                <w:lang w:val="sr-Latn-RS"/>
              </w:rPr>
              <w:t>3,7</w:t>
            </w:r>
          </w:p>
        </w:tc>
        <w:tc>
          <w:tcPr>
            <w:tcW w:w="639" w:type="pct"/>
            <w:tcBorders>
              <w:top w:val="nil"/>
              <w:left w:val="single" w:sz="5" w:space="0" w:color="000000"/>
              <w:bottom w:val="nil"/>
              <w:right w:val="single" w:sz="5" w:space="0" w:color="000000"/>
            </w:tcBorders>
            <w:tcMar>
              <w:left w:w="85" w:type="dxa"/>
              <w:right w:w="85" w:type="dxa"/>
            </w:tcMar>
          </w:tcPr>
          <w:p w14:paraId="66C22EC6" w14:textId="05A107A8" w:rsidR="00FE7427" w:rsidRPr="008F1125" w:rsidRDefault="00FE7427" w:rsidP="003C5296">
            <w:pPr>
              <w:tabs>
                <w:tab w:val="clear" w:pos="567"/>
              </w:tabs>
              <w:jc w:val="center"/>
              <w:rPr>
                <w:bCs/>
                <w:iCs/>
                <w:szCs w:val="22"/>
                <w:lang w:val="sr-Latn-RS"/>
              </w:rPr>
            </w:pPr>
            <w:r w:rsidRPr="008F1125">
              <w:rPr>
                <w:bCs/>
                <w:iCs/>
                <w:szCs w:val="22"/>
                <w:lang w:val="sr-Latn-RS"/>
              </w:rPr>
              <w:t>2,0</w:t>
            </w:r>
          </w:p>
        </w:tc>
        <w:tc>
          <w:tcPr>
            <w:tcW w:w="640" w:type="pct"/>
            <w:tcBorders>
              <w:top w:val="nil"/>
              <w:left w:val="single" w:sz="5" w:space="0" w:color="000000"/>
              <w:bottom w:val="nil"/>
              <w:right w:val="single" w:sz="5" w:space="0" w:color="000000"/>
            </w:tcBorders>
            <w:tcMar>
              <w:left w:w="85" w:type="dxa"/>
              <w:right w:w="85" w:type="dxa"/>
            </w:tcMar>
          </w:tcPr>
          <w:p w14:paraId="2F35753A" w14:textId="77777777" w:rsidR="00FE7427" w:rsidRPr="008F1125" w:rsidRDefault="00FE7427" w:rsidP="003C5296">
            <w:pPr>
              <w:tabs>
                <w:tab w:val="clear" w:pos="567"/>
              </w:tabs>
              <w:jc w:val="center"/>
              <w:rPr>
                <w:bCs/>
                <w:iCs/>
                <w:szCs w:val="22"/>
                <w:lang w:val="sr-Latn-RS"/>
              </w:rPr>
            </w:pPr>
            <w:r w:rsidRPr="008F1125">
              <w:rPr>
                <w:bCs/>
                <w:iCs/>
                <w:szCs w:val="22"/>
                <w:lang w:val="sr-Latn-RS"/>
              </w:rPr>
              <w:t>5,7</w:t>
            </w:r>
          </w:p>
        </w:tc>
        <w:tc>
          <w:tcPr>
            <w:tcW w:w="639" w:type="pct"/>
            <w:tcBorders>
              <w:top w:val="nil"/>
              <w:left w:val="single" w:sz="5" w:space="0" w:color="000000"/>
              <w:bottom w:val="nil"/>
              <w:right w:val="single" w:sz="5" w:space="0" w:color="000000"/>
            </w:tcBorders>
            <w:tcMar>
              <w:left w:w="85" w:type="dxa"/>
              <w:right w:w="85" w:type="dxa"/>
            </w:tcMar>
          </w:tcPr>
          <w:p w14:paraId="42895F23" w14:textId="5367473D" w:rsidR="00FE7427" w:rsidRPr="008F1125" w:rsidRDefault="00FE7427" w:rsidP="003C5296">
            <w:pPr>
              <w:tabs>
                <w:tab w:val="clear" w:pos="567"/>
              </w:tabs>
              <w:jc w:val="center"/>
              <w:rPr>
                <w:bCs/>
                <w:iCs/>
                <w:szCs w:val="22"/>
                <w:lang w:val="sr-Latn-RS"/>
              </w:rPr>
            </w:pPr>
            <w:r w:rsidRPr="008F1125">
              <w:rPr>
                <w:bCs/>
                <w:iCs/>
                <w:szCs w:val="22"/>
                <w:lang w:val="sr-Latn-RS"/>
              </w:rPr>
              <w:t>2,1</w:t>
            </w:r>
          </w:p>
        </w:tc>
        <w:tc>
          <w:tcPr>
            <w:tcW w:w="639" w:type="pct"/>
            <w:tcBorders>
              <w:top w:val="nil"/>
              <w:left w:val="single" w:sz="5" w:space="0" w:color="000000"/>
              <w:bottom w:val="nil"/>
              <w:right w:val="single" w:sz="5" w:space="0" w:color="000000"/>
            </w:tcBorders>
            <w:tcMar>
              <w:left w:w="85" w:type="dxa"/>
              <w:right w:w="85" w:type="dxa"/>
            </w:tcMar>
          </w:tcPr>
          <w:p w14:paraId="42E33497" w14:textId="77777777" w:rsidR="00FE7427" w:rsidRPr="008F1125" w:rsidRDefault="00FE7427" w:rsidP="003C5296">
            <w:pPr>
              <w:tabs>
                <w:tab w:val="clear" w:pos="567"/>
              </w:tabs>
              <w:jc w:val="center"/>
              <w:rPr>
                <w:bCs/>
                <w:iCs/>
                <w:szCs w:val="22"/>
                <w:lang w:val="sr-Latn-RS"/>
              </w:rPr>
            </w:pPr>
            <w:r w:rsidRPr="008F1125">
              <w:rPr>
                <w:bCs/>
                <w:iCs/>
                <w:szCs w:val="22"/>
                <w:lang w:val="sr-Latn-RS"/>
              </w:rPr>
              <w:t>3,0</w:t>
            </w:r>
          </w:p>
        </w:tc>
        <w:tc>
          <w:tcPr>
            <w:tcW w:w="640" w:type="pct"/>
            <w:tcBorders>
              <w:top w:val="nil"/>
              <w:left w:val="single" w:sz="5" w:space="0" w:color="000000"/>
              <w:bottom w:val="nil"/>
              <w:right w:val="single" w:sz="5" w:space="0" w:color="000000"/>
            </w:tcBorders>
            <w:tcMar>
              <w:left w:w="85" w:type="dxa"/>
              <w:right w:w="85" w:type="dxa"/>
            </w:tcMar>
          </w:tcPr>
          <w:p w14:paraId="2B138933" w14:textId="7530DAFD" w:rsidR="00FE7427" w:rsidRPr="008F1125" w:rsidRDefault="00FE7427" w:rsidP="003C5296">
            <w:pPr>
              <w:tabs>
                <w:tab w:val="clear" w:pos="567"/>
              </w:tabs>
              <w:jc w:val="center"/>
              <w:rPr>
                <w:bCs/>
                <w:iCs/>
                <w:szCs w:val="22"/>
                <w:lang w:val="sr-Latn-RS"/>
              </w:rPr>
            </w:pPr>
            <w:r w:rsidRPr="008F1125">
              <w:rPr>
                <w:bCs/>
                <w:iCs/>
                <w:szCs w:val="22"/>
                <w:lang w:val="sr-Latn-RS"/>
              </w:rPr>
              <w:t>1,9</w:t>
            </w:r>
          </w:p>
        </w:tc>
      </w:tr>
      <w:tr w:rsidR="00F51581" w:rsidRPr="008F1125" w14:paraId="6B511D29" w14:textId="77777777" w:rsidTr="004550F8">
        <w:tc>
          <w:tcPr>
            <w:tcW w:w="1162" w:type="pct"/>
            <w:tcBorders>
              <w:top w:val="nil"/>
              <w:left w:val="single" w:sz="5" w:space="0" w:color="000000"/>
              <w:bottom w:val="nil"/>
              <w:right w:val="single" w:sz="5" w:space="0" w:color="000000"/>
            </w:tcBorders>
            <w:tcMar>
              <w:left w:w="85" w:type="dxa"/>
              <w:right w:w="85" w:type="dxa"/>
            </w:tcMar>
          </w:tcPr>
          <w:p w14:paraId="6DA02E27" w14:textId="6A5D2948" w:rsidR="00FE7427" w:rsidRPr="008F1125" w:rsidRDefault="00FE7427" w:rsidP="00B54E9B">
            <w:pPr>
              <w:tabs>
                <w:tab w:val="clear" w:pos="567"/>
              </w:tabs>
              <w:rPr>
                <w:bCs/>
                <w:iCs/>
                <w:szCs w:val="22"/>
                <w:lang w:val="sr-Latn-RS"/>
              </w:rPr>
            </w:pPr>
            <w:r w:rsidRPr="008F1125">
              <w:rPr>
                <w:bCs/>
                <w:iCs/>
                <w:szCs w:val="22"/>
                <w:lang w:val="sr-Latn-RS"/>
              </w:rPr>
              <w:t>(95% CI)</w:t>
            </w:r>
          </w:p>
        </w:tc>
        <w:tc>
          <w:tcPr>
            <w:tcW w:w="639" w:type="pct"/>
            <w:tcBorders>
              <w:top w:val="nil"/>
              <w:left w:val="single" w:sz="5" w:space="0" w:color="000000"/>
              <w:bottom w:val="nil"/>
              <w:right w:val="single" w:sz="5" w:space="0" w:color="000000"/>
            </w:tcBorders>
            <w:tcMar>
              <w:left w:w="85" w:type="dxa"/>
              <w:right w:w="85" w:type="dxa"/>
            </w:tcMar>
          </w:tcPr>
          <w:p w14:paraId="5B29EEA3" w14:textId="77777777" w:rsidR="00FE7427" w:rsidRPr="008F1125" w:rsidRDefault="00FE7427" w:rsidP="003C5296">
            <w:pPr>
              <w:tabs>
                <w:tab w:val="clear" w:pos="567"/>
              </w:tabs>
              <w:jc w:val="center"/>
              <w:rPr>
                <w:bCs/>
                <w:iCs/>
                <w:szCs w:val="22"/>
                <w:lang w:val="sr-Latn-RS"/>
              </w:rPr>
            </w:pPr>
            <w:r w:rsidRPr="008F1125">
              <w:rPr>
                <w:bCs/>
                <w:iCs/>
                <w:szCs w:val="22"/>
                <w:lang w:val="sr-Latn-RS"/>
              </w:rPr>
              <w:t>(3,5; 5,5)</w:t>
            </w:r>
          </w:p>
        </w:tc>
        <w:tc>
          <w:tcPr>
            <w:tcW w:w="639" w:type="pct"/>
            <w:tcBorders>
              <w:top w:val="nil"/>
              <w:left w:val="single" w:sz="5" w:space="0" w:color="000000"/>
              <w:bottom w:val="nil"/>
              <w:right w:val="single" w:sz="5" w:space="0" w:color="000000"/>
            </w:tcBorders>
            <w:tcMar>
              <w:left w:w="85" w:type="dxa"/>
              <w:right w:w="85" w:type="dxa"/>
            </w:tcMar>
          </w:tcPr>
          <w:p w14:paraId="351773B2" w14:textId="1C57A793" w:rsidR="00FE7427" w:rsidRPr="008F1125" w:rsidRDefault="00FE7427" w:rsidP="003C5296">
            <w:pPr>
              <w:tabs>
                <w:tab w:val="clear" w:pos="567"/>
              </w:tabs>
              <w:jc w:val="center"/>
              <w:rPr>
                <w:bCs/>
                <w:iCs/>
                <w:szCs w:val="22"/>
                <w:lang w:val="sr-Latn-RS"/>
              </w:rPr>
            </w:pPr>
            <w:r w:rsidRPr="008F1125">
              <w:rPr>
                <w:bCs/>
                <w:iCs/>
                <w:szCs w:val="22"/>
                <w:lang w:val="sr-Latn-RS"/>
              </w:rPr>
              <w:t>(1,9; 2,7)</w:t>
            </w:r>
          </w:p>
        </w:tc>
        <w:tc>
          <w:tcPr>
            <w:tcW w:w="640" w:type="pct"/>
            <w:tcBorders>
              <w:top w:val="nil"/>
              <w:left w:val="single" w:sz="5" w:space="0" w:color="000000"/>
              <w:bottom w:val="nil"/>
              <w:right w:val="single" w:sz="5" w:space="0" w:color="000000"/>
            </w:tcBorders>
            <w:tcMar>
              <w:left w:w="85" w:type="dxa"/>
              <w:right w:w="85" w:type="dxa"/>
            </w:tcMar>
          </w:tcPr>
          <w:p w14:paraId="71AD7521" w14:textId="77777777" w:rsidR="00FE7427" w:rsidRPr="008F1125" w:rsidRDefault="00FE7427" w:rsidP="003C5296">
            <w:pPr>
              <w:tabs>
                <w:tab w:val="clear" w:pos="567"/>
              </w:tabs>
              <w:jc w:val="center"/>
              <w:rPr>
                <w:bCs/>
                <w:iCs/>
                <w:szCs w:val="22"/>
                <w:lang w:val="sr-Latn-RS"/>
              </w:rPr>
            </w:pPr>
            <w:r w:rsidRPr="008F1125">
              <w:rPr>
                <w:bCs/>
                <w:iCs/>
                <w:szCs w:val="22"/>
                <w:lang w:val="sr-Latn-RS"/>
              </w:rPr>
              <w:t>(3,7; 7,4)</w:t>
            </w:r>
          </w:p>
        </w:tc>
        <w:tc>
          <w:tcPr>
            <w:tcW w:w="639" w:type="pct"/>
            <w:tcBorders>
              <w:top w:val="nil"/>
              <w:left w:val="single" w:sz="5" w:space="0" w:color="000000"/>
              <w:bottom w:val="nil"/>
              <w:right w:val="single" w:sz="5" w:space="0" w:color="000000"/>
            </w:tcBorders>
            <w:tcMar>
              <w:left w:w="85" w:type="dxa"/>
              <w:right w:w="85" w:type="dxa"/>
            </w:tcMar>
          </w:tcPr>
          <w:p w14:paraId="5FBE524C" w14:textId="75338720" w:rsidR="00FE7427" w:rsidRPr="008F1125" w:rsidRDefault="00FE7427" w:rsidP="003C5296">
            <w:pPr>
              <w:tabs>
                <w:tab w:val="clear" w:pos="567"/>
              </w:tabs>
              <w:jc w:val="center"/>
              <w:rPr>
                <w:bCs/>
                <w:iCs/>
                <w:szCs w:val="22"/>
                <w:lang w:val="sr-Latn-RS"/>
              </w:rPr>
            </w:pPr>
            <w:r w:rsidRPr="008F1125">
              <w:rPr>
                <w:bCs/>
                <w:iCs/>
                <w:szCs w:val="22"/>
                <w:lang w:val="sr-Latn-RS"/>
              </w:rPr>
              <w:t>(1,9; 3,5)</w:t>
            </w:r>
          </w:p>
        </w:tc>
        <w:tc>
          <w:tcPr>
            <w:tcW w:w="639" w:type="pct"/>
            <w:tcBorders>
              <w:top w:val="nil"/>
              <w:left w:val="single" w:sz="5" w:space="0" w:color="000000"/>
              <w:bottom w:val="nil"/>
              <w:right w:val="single" w:sz="5" w:space="0" w:color="000000"/>
            </w:tcBorders>
            <w:tcMar>
              <w:left w:w="85" w:type="dxa"/>
              <w:right w:w="85" w:type="dxa"/>
            </w:tcMar>
          </w:tcPr>
          <w:p w14:paraId="71156DC9" w14:textId="77777777" w:rsidR="00FE7427" w:rsidRPr="008F1125" w:rsidRDefault="00FE7427" w:rsidP="003C5296">
            <w:pPr>
              <w:tabs>
                <w:tab w:val="clear" w:pos="567"/>
              </w:tabs>
              <w:jc w:val="center"/>
              <w:rPr>
                <w:bCs/>
                <w:iCs/>
                <w:szCs w:val="22"/>
                <w:lang w:val="sr-Latn-RS"/>
              </w:rPr>
            </w:pPr>
            <w:r w:rsidRPr="008F1125">
              <w:rPr>
                <w:bCs/>
                <w:iCs/>
                <w:szCs w:val="22"/>
                <w:lang w:val="sr-Latn-RS"/>
              </w:rPr>
              <w:t>(2,0; 3,7)</w:t>
            </w:r>
          </w:p>
        </w:tc>
        <w:tc>
          <w:tcPr>
            <w:tcW w:w="640" w:type="pct"/>
            <w:tcBorders>
              <w:top w:val="nil"/>
              <w:left w:val="single" w:sz="5" w:space="0" w:color="000000"/>
              <w:bottom w:val="nil"/>
              <w:right w:val="single" w:sz="5" w:space="0" w:color="000000"/>
            </w:tcBorders>
            <w:tcMar>
              <w:left w:w="85" w:type="dxa"/>
              <w:right w:w="85" w:type="dxa"/>
            </w:tcMar>
          </w:tcPr>
          <w:p w14:paraId="23681743" w14:textId="2A0E1921" w:rsidR="00FE7427" w:rsidRPr="008F1125" w:rsidRDefault="00FE7427" w:rsidP="003C5296">
            <w:pPr>
              <w:tabs>
                <w:tab w:val="clear" w:pos="567"/>
              </w:tabs>
              <w:jc w:val="center"/>
              <w:rPr>
                <w:bCs/>
                <w:iCs/>
                <w:szCs w:val="22"/>
                <w:lang w:val="sr-Latn-RS"/>
              </w:rPr>
            </w:pPr>
            <w:r w:rsidRPr="008F1125">
              <w:rPr>
                <w:bCs/>
                <w:iCs/>
                <w:szCs w:val="22"/>
                <w:lang w:val="sr-Latn-RS"/>
              </w:rPr>
              <w:t>(1,9; 2,1)</w:t>
            </w:r>
          </w:p>
        </w:tc>
      </w:tr>
      <w:tr w:rsidR="00F51581" w:rsidRPr="008F1125" w14:paraId="1BE29312" w14:textId="77777777" w:rsidTr="004550F8">
        <w:tc>
          <w:tcPr>
            <w:tcW w:w="1162" w:type="pct"/>
            <w:tcBorders>
              <w:top w:val="nil"/>
              <w:left w:val="single" w:sz="5" w:space="0" w:color="000000"/>
              <w:bottom w:val="nil"/>
              <w:right w:val="single" w:sz="5" w:space="0" w:color="000000"/>
            </w:tcBorders>
            <w:tcMar>
              <w:left w:w="85" w:type="dxa"/>
              <w:right w:w="85" w:type="dxa"/>
            </w:tcMar>
          </w:tcPr>
          <w:p w14:paraId="21D89419" w14:textId="2F71E18C" w:rsidR="00770AEC" w:rsidRPr="008F1125" w:rsidRDefault="00F862C5" w:rsidP="00770AEC">
            <w:pPr>
              <w:tabs>
                <w:tab w:val="clear" w:pos="567"/>
              </w:tabs>
              <w:rPr>
                <w:bCs/>
                <w:iCs/>
                <w:szCs w:val="22"/>
                <w:lang w:val="sr-Latn-RS"/>
              </w:rPr>
            </w:pPr>
            <w:r>
              <w:rPr>
                <w:bCs/>
                <w:iCs/>
                <w:szCs w:val="22"/>
                <w:lang w:val="sr-Latn-RS"/>
              </w:rPr>
              <w:t>Odnos</w:t>
            </w:r>
            <w:r w:rsidRPr="008F1125">
              <w:rPr>
                <w:bCs/>
                <w:iCs/>
                <w:szCs w:val="22"/>
                <w:lang w:val="sr-Latn-RS"/>
              </w:rPr>
              <w:t xml:space="preserve"> </w:t>
            </w:r>
            <w:r w:rsidR="00B54E9B" w:rsidRPr="008F1125">
              <w:rPr>
                <w:bCs/>
                <w:iCs/>
                <w:szCs w:val="22"/>
                <w:lang w:val="sr-Latn-RS"/>
              </w:rPr>
              <w:t>rizika</w:t>
            </w:r>
          </w:p>
        </w:tc>
        <w:tc>
          <w:tcPr>
            <w:tcW w:w="1279" w:type="pct"/>
            <w:gridSpan w:val="2"/>
            <w:tcBorders>
              <w:top w:val="nil"/>
              <w:left w:val="single" w:sz="5" w:space="0" w:color="000000"/>
              <w:bottom w:val="nil"/>
              <w:right w:val="single" w:sz="5" w:space="0" w:color="000000"/>
            </w:tcBorders>
            <w:tcMar>
              <w:left w:w="85" w:type="dxa"/>
              <w:right w:w="85" w:type="dxa"/>
            </w:tcMar>
          </w:tcPr>
          <w:p w14:paraId="0CB653A2" w14:textId="77777777" w:rsidR="00770AEC" w:rsidRPr="008F1125" w:rsidRDefault="00770AEC" w:rsidP="003C5296">
            <w:pPr>
              <w:tabs>
                <w:tab w:val="clear" w:pos="567"/>
              </w:tabs>
              <w:jc w:val="center"/>
              <w:rPr>
                <w:bCs/>
                <w:iCs/>
                <w:szCs w:val="22"/>
                <w:lang w:val="sr-Latn-RS"/>
              </w:rPr>
            </w:pPr>
            <w:r w:rsidRPr="008F1125">
              <w:rPr>
                <w:bCs/>
                <w:iCs/>
                <w:szCs w:val="22"/>
                <w:lang w:val="sr-Latn-RS"/>
              </w:rPr>
              <w:t>0,62</w:t>
            </w:r>
          </w:p>
        </w:tc>
        <w:tc>
          <w:tcPr>
            <w:tcW w:w="1279" w:type="pct"/>
            <w:gridSpan w:val="2"/>
            <w:tcBorders>
              <w:top w:val="nil"/>
              <w:left w:val="single" w:sz="5" w:space="0" w:color="000000"/>
              <w:bottom w:val="nil"/>
              <w:right w:val="single" w:sz="5" w:space="0" w:color="000000"/>
            </w:tcBorders>
            <w:tcMar>
              <w:left w:w="85" w:type="dxa"/>
              <w:right w:w="85" w:type="dxa"/>
            </w:tcMar>
          </w:tcPr>
          <w:p w14:paraId="49B32B71" w14:textId="77777777" w:rsidR="00770AEC" w:rsidRPr="008F1125" w:rsidRDefault="00770AEC" w:rsidP="003C5296">
            <w:pPr>
              <w:tabs>
                <w:tab w:val="clear" w:pos="567"/>
              </w:tabs>
              <w:jc w:val="center"/>
              <w:rPr>
                <w:bCs/>
                <w:iCs/>
                <w:szCs w:val="22"/>
                <w:lang w:val="sr-Latn-RS"/>
              </w:rPr>
            </w:pPr>
            <w:r w:rsidRPr="008F1125">
              <w:rPr>
                <w:bCs/>
                <w:iCs/>
                <w:szCs w:val="22"/>
                <w:lang w:val="sr-Latn-RS"/>
              </w:rPr>
              <w:t>0,56</w:t>
            </w:r>
          </w:p>
        </w:tc>
        <w:tc>
          <w:tcPr>
            <w:tcW w:w="1279" w:type="pct"/>
            <w:gridSpan w:val="2"/>
            <w:tcBorders>
              <w:top w:val="nil"/>
              <w:left w:val="single" w:sz="5" w:space="0" w:color="000000"/>
              <w:bottom w:val="nil"/>
              <w:right w:val="single" w:sz="5" w:space="0" w:color="000000"/>
            </w:tcBorders>
            <w:tcMar>
              <w:left w:w="85" w:type="dxa"/>
              <w:right w:w="85" w:type="dxa"/>
            </w:tcMar>
          </w:tcPr>
          <w:p w14:paraId="799673BA" w14:textId="77777777" w:rsidR="00770AEC" w:rsidRPr="008F1125" w:rsidRDefault="00770AEC" w:rsidP="003C5296">
            <w:pPr>
              <w:tabs>
                <w:tab w:val="clear" w:pos="567"/>
              </w:tabs>
              <w:jc w:val="center"/>
              <w:rPr>
                <w:bCs/>
                <w:iCs/>
                <w:szCs w:val="22"/>
                <w:lang w:val="sr-Latn-RS"/>
              </w:rPr>
            </w:pPr>
            <w:r w:rsidRPr="008F1125">
              <w:rPr>
                <w:bCs/>
                <w:iCs/>
                <w:szCs w:val="22"/>
                <w:lang w:val="sr-Latn-RS"/>
              </w:rPr>
              <w:t>0,63</w:t>
            </w:r>
          </w:p>
        </w:tc>
      </w:tr>
      <w:tr w:rsidR="00F51581" w:rsidRPr="008F1125" w14:paraId="602F05EA" w14:textId="77777777" w:rsidTr="004550F8">
        <w:tc>
          <w:tcPr>
            <w:tcW w:w="1162" w:type="pct"/>
            <w:tcBorders>
              <w:top w:val="nil"/>
              <w:left w:val="single" w:sz="5" w:space="0" w:color="000000"/>
              <w:bottom w:val="nil"/>
              <w:right w:val="single" w:sz="5" w:space="0" w:color="000000"/>
            </w:tcBorders>
            <w:tcMar>
              <w:left w:w="85" w:type="dxa"/>
              <w:right w:w="85" w:type="dxa"/>
            </w:tcMar>
          </w:tcPr>
          <w:p w14:paraId="5E30CD9D" w14:textId="6AE18FF9" w:rsidR="00770AEC" w:rsidRPr="008F1125" w:rsidRDefault="00770AEC" w:rsidP="00770AEC">
            <w:pPr>
              <w:tabs>
                <w:tab w:val="clear" w:pos="567"/>
              </w:tabs>
              <w:rPr>
                <w:bCs/>
                <w:iCs/>
                <w:szCs w:val="22"/>
                <w:lang w:val="sr-Latn-RS"/>
              </w:rPr>
            </w:pPr>
            <w:r w:rsidRPr="008F1125">
              <w:rPr>
                <w:bCs/>
                <w:iCs/>
                <w:szCs w:val="22"/>
                <w:lang w:val="sr-Latn-RS"/>
              </w:rPr>
              <w:t>(95% CI)</w:t>
            </w:r>
          </w:p>
        </w:tc>
        <w:tc>
          <w:tcPr>
            <w:tcW w:w="1279" w:type="pct"/>
            <w:gridSpan w:val="2"/>
            <w:tcBorders>
              <w:top w:val="nil"/>
              <w:left w:val="single" w:sz="5" w:space="0" w:color="000000"/>
              <w:bottom w:val="nil"/>
              <w:right w:val="single" w:sz="5" w:space="0" w:color="000000"/>
            </w:tcBorders>
            <w:tcMar>
              <w:left w:w="85" w:type="dxa"/>
              <w:right w:w="85" w:type="dxa"/>
            </w:tcMar>
          </w:tcPr>
          <w:p w14:paraId="114CE318" w14:textId="77777777" w:rsidR="00770AEC" w:rsidRPr="008F1125" w:rsidRDefault="00770AEC" w:rsidP="003C5296">
            <w:pPr>
              <w:tabs>
                <w:tab w:val="clear" w:pos="567"/>
              </w:tabs>
              <w:jc w:val="center"/>
              <w:rPr>
                <w:bCs/>
                <w:iCs/>
                <w:szCs w:val="22"/>
                <w:lang w:val="sr-Latn-RS"/>
              </w:rPr>
            </w:pPr>
            <w:r w:rsidRPr="008F1125">
              <w:rPr>
                <w:bCs/>
                <w:iCs/>
                <w:szCs w:val="22"/>
                <w:lang w:val="sr-Latn-RS"/>
              </w:rPr>
              <w:t>(0,519; 0,751)</w:t>
            </w:r>
          </w:p>
        </w:tc>
        <w:tc>
          <w:tcPr>
            <w:tcW w:w="1279" w:type="pct"/>
            <w:gridSpan w:val="2"/>
            <w:tcBorders>
              <w:top w:val="nil"/>
              <w:left w:val="single" w:sz="5" w:space="0" w:color="000000"/>
              <w:bottom w:val="nil"/>
              <w:right w:val="single" w:sz="5" w:space="0" w:color="000000"/>
            </w:tcBorders>
            <w:tcMar>
              <w:left w:w="85" w:type="dxa"/>
              <w:right w:w="85" w:type="dxa"/>
            </w:tcMar>
          </w:tcPr>
          <w:p w14:paraId="4DB0C824" w14:textId="77777777" w:rsidR="00770AEC" w:rsidRPr="008F1125" w:rsidRDefault="00770AEC" w:rsidP="003C5296">
            <w:pPr>
              <w:tabs>
                <w:tab w:val="clear" w:pos="567"/>
              </w:tabs>
              <w:jc w:val="center"/>
              <w:rPr>
                <w:bCs/>
                <w:iCs/>
                <w:szCs w:val="22"/>
                <w:lang w:val="sr-Latn-RS"/>
              </w:rPr>
            </w:pPr>
            <w:r w:rsidRPr="008F1125">
              <w:rPr>
                <w:bCs/>
                <w:iCs/>
                <w:szCs w:val="22"/>
                <w:lang w:val="sr-Latn-RS"/>
              </w:rPr>
              <w:t>(0,431; 0,728)</w:t>
            </w:r>
          </w:p>
        </w:tc>
        <w:tc>
          <w:tcPr>
            <w:tcW w:w="1279" w:type="pct"/>
            <w:gridSpan w:val="2"/>
            <w:tcBorders>
              <w:top w:val="nil"/>
              <w:left w:val="single" w:sz="5" w:space="0" w:color="000000"/>
              <w:bottom w:val="nil"/>
              <w:right w:val="single" w:sz="5" w:space="0" w:color="000000"/>
            </w:tcBorders>
            <w:tcMar>
              <w:left w:w="85" w:type="dxa"/>
              <w:right w:w="85" w:type="dxa"/>
            </w:tcMar>
          </w:tcPr>
          <w:p w14:paraId="11FADE4E" w14:textId="77777777" w:rsidR="00770AEC" w:rsidRPr="008F1125" w:rsidRDefault="00770AEC" w:rsidP="003C5296">
            <w:pPr>
              <w:tabs>
                <w:tab w:val="clear" w:pos="567"/>
              </w:tabs>
              <w:jc w:val="center"/>
              <w:rPr>
                <w:bCs/>
                <w:iCs/>
                <w:szCs w:val="22"/>
                <w:lang w:val="sr-Latn-RS"/>
              </w:rPr>
            </w:pPr>
            <w:r w:rsidRPr="008F1125">
              <w:rPr>
                <w:bCs/>
                <w:iCs/>
                <w:szCs w:val="22"/>
                <w:lang w:val="sr-Latn-RS"/>
              </w:rPr>
              <w:t>(0,474; 0,847)</w:t>
            </w:r>
          </w:p>
        </w:tc>
      </w:tr>
      <w:tr w:rsidR="00F51581" w:rsidRPr="008F1125" w14:paraId="3AB7336F" w14:textId="77777777" w:rsidTr="004550F8">
        <w:tc>
          <w:tcPr>
            <w:tcW w:w="1162" w:type="pct"/>
            <w:tcBorders>
              <w:top w:val="nil"/>
              <w:left w:val="single" w:sz="5" w:space="0" w:color="000000"/>
              <w:bottom w:val="single" w:sz="5" w:space="0" w:color="000000"/>
              <w:right w:val="single" w:sz="5" w:space="0" w:color="000000"/>
            </w:tcBorders>
            <w:tcMar>
              <w:left w:w="85" w:type="dxa"/>
              <w:right w:w="85" w:type="dxa"/>
            </w:tcMar>
          </w:tcPr>
          <w:p w14:paraId="0702C8F7" w14:textId="5AFB7888" w:rsidR="00770AEC" w:rsidRPr="008F1125" w:rsidRDefault="00FF3F3A" w:rsidP="00770AEC">
            <w:pPr>
              <w:tabs>
                <w:tab w:val="clear" w:pos="567"/>
              </w:tabs>
              <w:rPr>
                <w:bCs/>
                <w:iCs/>
                <w:szCs w:val="22"/>
                <w:lang w:val="sr-Latn-RS"/>
              </w:rPr>
            </w:pPr>
            <w:r w:rsidRPr="008F1125">
              <w:rPr>
                <w:bCs/>
                <w:iCs/>
                <w:szCs w:val="22"/>
                <w:lang w:val="sr-Latn-RS"/>
              </w:rPr>
              <w:t>2-strana p-vr</w:t>
            </w:r>
            <w:r w:rsidR="00AA6E94" w:rsidRPr="008F1125">
              <w:rPr>
                <w:bCs/>
                <w:iCs/>
                <w:szCs w:val="22"/>
                <w:lang w:val="sr-Latn-RS"/>
              </w:rPr>
              <w:t>ij</w:t>
            </w:r>
            <w:r w:rsidR="00770AEC" w:rsidRPr="008F1125">
              <w:rPr>
                <w:bCs/>
                <w:iCs/>
                <w:szCs w:val="22"/>
                <w:lang w:val="sr-Latn-RS"/>
              </w:rPr>
              <w:t>ednost</w:t>
            </w:r>
            <w:r w:rsidR="00770AEC" w:rsidRPr="008F1125">
              <w:rPr>
                <w:bCs/>
                <w:iCs/>
                <w:szCs w:val="22"/>
                <w:vertAlign w:val="superscript"/>
                <w:lang w:val="sr-Latn-RS"/>
              </w:rPr>
              <w:t>d</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10E44EE0" w14:textId="77777777" w:rsidR="00770AEC" w:rsidRPr="008F1125" w:rsidRDefault="00770AEC" w:rsidP="003C5296">
            <w:pPr>
              <w:tabs>
                <w:tab w:val="clear" w:pos="567"/>
              </w:tabs>
              <w:jc w:val="center"/>
              <w:rPr>
                <w:bCs/>
                <w:iCs/>
                <w:szCs w:val="22"/>
                <w:lang w:val="sr-Latn-RS"/>
              </w:rPr>
            </w:pPr>
            <w:r w:rsidRPr="008F1125">
              <w:rPr>
                <w:bCs/>
                <w:iCs/>
                <w:szCs w:val="22"/>
                <w:lang w:val="sr-Latn-RS"/>
              </w:rPr>
              <w:t>&lt; 0,0001</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21B2A21F" w14:textId="77777777" w:rsidR="00770AEC" w:rsidRPr="008F1125" w:rsidRDefault="00770AEC" w:rsidP="003C5296">
            <w:pPr>
              <w:tabs>
                <w:tab w:val="clear" w:pos="567"/>
              </w:tabs>
              <w:jc w:val="center"/>
              <w:rPr>
                <w:bCs/>
                <w:iCs/>
                <w:szCs w:val="22"/>
                <w:lang w:val="sr-Latn-RS"/>
              </w:rPr>
            </w:pPr>
            <w:r w:rsidRPr="008F1125">
              <w:rPr>
                <w:bCs/>
                <w:iCs/>
                <w:szCs w:val="22"/>
                <w:lang w:val="sr-Latn-RS"/>
              </w:rPr>
              <w:t>&lt; 0,0001</w:t>
            </w:r>
          </w:p>
        </w:tc>
        <w:tc>
          <w:tcPr>
            <w:tcW w:w="1279" w:type="pct"/>
            <w:gridSpan w:val="2"/>
            <w:tcBorders>
              <w:top w:val="nil"/>
              <w:left w:val="single" w:sz="5" w:space="0" w:color="000000"/>
              <w:bottom w:val="single" w:sz="5" w:space="0" w:color="000000"/>
              <w:right w:val="single" w:sz="5" w:space="0" w:color="000000"/>
            </w:tcBorders>
            <w:tcMar>
              <w:left w:w="85" w:type="dxa"/>
              <w:right w:w="85" w:type="dxa"/>
            </w:tcMar>
          </w:tcPr>
          <w:p w14:paraId="5D024252" w14:textId="77777777" w:rsidR="00770AEC" w:rsidRPr="008F1125" w:rsidRDefault="00770AEC" w:rsidP="003C5296">
            <w:pPr>
              <w:tabs>
                <w:tab w:val="clear" w:pos="567"/>
              </w:tabs>
              <w:jc w:val="center"/>
              <w:rPr>
                <w:bCs/>
                <w:iCs/>
                <w:szCs w:val="22"/>
                <w:lang w:val="sr-Latn-RS"/>
              </w:rPr>
            </w:pPr>
            <w:r w:rsidRPr="008F1125">
              <w:rPr>
                <w:b/>
                <w:bCs/>
                <w:iCs/>
                <w:szCs w:val="22"/>
                <w:lang w:val="sr-Latn-RS"/>
              </w:rPr>
              <w:t>-</w:t>
            </w:r>
          </w:p>
        </w:tc>
      </w:tr>
    </w:tbl>
    <w:p w14:paraId="213CF587" w14:textId="015C49FE" w:rsidR="00770AEC" w:rsidRPr="008F1125" w:rsidRDefault="00770AEC" w:rsidP="004550F8">
      <w:pPr>
        <w:tabs>
          <w:tab w:val="clear" w:pos="567"/>
        </w:tabs>
        <w:ind w:right="-1"/>
        <w:jc w:val="both"/>
        <w:rPr>
          <w:bCs/>
          <w:iCs/>
          <w:sz w:val="20"/>
          <w:szCs w:val="22"/>
          <w:lang w:val="sr-Latn-RS"/>
        </w:rPr>
      </w:pPr>
      <w:r w:rsidRPr="008F1125">
        <w:rPr>
          <w:bCs/>
          <w:iCs/>
          <w:sz w:val="20"/>
          <w:szCs w:val="22"/>
          <w:lang w:val="sr-Latn-RS"/>
        </w:rPr>
        <w:t xml:space="preserve">CI: interval pouzdanosti; K-M: </w:t>
      </w:r>
      <w:r w:rsidRPr="008F1125">
        <w:rPr>
          <w:bCs/>
          <w:i/>
          <w:iCs/>
          <w:sz w:val="20"/>
          <w:szCs w:val="22"/>
          <w:lang w:val="sr-Latn-RS"/>
        </w:rPr>
        <w:t>Kaplan-Meier</w:t>
      </w:r>
      <w:r w:rsidRPr="008F1125">
        <w:rPr>
          <w:bCs/>
          <w:iCs/>
          <w:sz w:val="20"/>
          <w:szCs w:val="22"/>
          <w:lang w:val="sr-Latn-RS"/>
        </w:rPr>
        <w:t xml:space="preserve">; NE: </w:t>
      </w:r>
      <w:r w:rsidR="00B35D8C" w:rsidRPr="008F1125">
        <w:rPr>
          <w:bCs/>
          <w:iCs/>
          <w:sz w:val="20"/>
          <w:szCs w:val="22"/>
          <w:lang w:val="sr-Latn-RS"/>
        </w:rPr>
        <w:t>nije moglo da</w:t>
      </w:r>
      <w:r w:rsidRPr="008F1125">
        <w:rPr>
          <w:bCs/>
          <w:iCs/>
          <w:sz w:val="20"/>
          <w:szCs w:val="22"/>
          <w:lang w:val="sr-Latn-RS"/>
        </w:rPr>
        <w:t xml:space="preserve"> se proc</w:t>
      </w:r>
      <w:r w:rsidR="00854AD7" w:rsidRPr="008F1125">
        <w:rPr>
          <w:bCs/>
          <w:iCs/>
          <w:sz w:val="20"/>
          <w:szCs w:val="22"/>
          <w:lang w:val="sr-Latn-RS"/>
        </w:rPr>
        <w:t>ij</w:t>
      </w:r>
      <w:r w:rsidRPr="008F1125">
        <w:rPr>
          <w:bCs/>
          <w:iCs/>
          <w:sz w:val="20"/>
          <w:szCs w:val="22"/>
          <w:lang w:val="sr-Latn-RS"/>
        </w:rPr>
        <w:t>eni</w:t>
      </w:r>
    </w:p>
    <w:p w14:paraId="3AA40B78" w14:textId="1E39395F" w:rsidR="00770AEC" w:rsidRPr="008F1125" w:rsidRDefault="00770AEC" w:rsidP="004550F8">
      <w:pPr>
        <w:tabs>
          <w:tab w:val="clear" w:pos="567"/>
        </w:tabs>
        <w:ind w:right="-1"/>
        <w:jc w:val="both"/>
        <w:rPr>
          <w:bCs/>
          <w:iCs/>
          <w:sz w:val="20"/>
          <w:szCs w:val="22"/>
          <w:lang w:val="sr-Latn-RS"/>
        </w:rPr>
      </w:pPr>
      <w:r w:rsidRPr="008F1125">
        <w:rPr>
          <w:bCs/>
          <w:iCs/>
          <w:sz w:val="20"/>
          <w:szCs w:val="22"/>
          <w:lang w:val="sr-Latn-RS"/>
        </w:rPr>
        <w:t xml:space="preserve">Napomena: 72 </w:t>
      </w:r>
      <w:r w:rsidR="009857D8" w:rsidRPr="008F1125">
        <w:rPr>
          <w:bCs/>
          <w:iCs/>
          <w:sz w:val="20"/>
          <w:szCs w:val="22"/>
          <w:lang w:val="sr-Latn-RS"/>
        </w:rPr>
        <w:t>pacijenta</w:t>
      </w:r>
      <w:r w:rsidRPr="008F1125">
        <w:rPr>
          <w:bCs/>
          <w:iCs/>
          <w:sz w:val="20"/>
          <w:szCs w:val="22"/>
          <w:lang w:val="sr-Latn-RS"/>
        </w:rPr>
        <w:t xml:space="preserve"> (22 </w:t>
      </w:r>
      <w:r w:rsidR="009857D8" w:rsidRPr="008F1125">
        <w:rPr>
          <w:bCs/>
          <w:iCs/>
          <w:sz w:val="20"/>
          <w:szCs w:val="22"/>
          <w:lang w:val="sr-Latn-RS"/>
        </w:rPr>
        <w:t xml:space="preserve">pacijenta </w:t>
      </w:r>
      <w:r w:rsidRPr="008F1125">
        <w:rPr>
          <w:bCs/>
          <w:iCs/>
          <w:sz w:val="20"/>
          <w:szCs w:val="22"/>
          <w:lang w:val="sr-Latn-RS"/>
        </w:rPr>
        <w:t xml:space="preserve">u </w:t>
      </w:r>
      <w:r w:rsidR="009857D8" w:rsidRPr="008F1125">
        <w:rPr>
          <w:bCs/>
          <w:iCs/>
          <w:sz w:val="20"/>
          <w:szCs w:val="22"/>
          <w:lang w:val="sr-Latn-RS"/>
        </w:rPr>
        <w:t>grupi koja je primala avelumab</w:t>
      </w:r>
      <w:r w:rsidRPr="008F1125">
        <w:rPr>
          <w:bCs/>
          <w:iCs/>
          <w:sz w:val="20"/>
          <w:szCs w:val="22"/>
          <w:lang w:val="sr-Latn-RS"/>
        </w:rPr>
        <w:t xml:space="preserve"> i </w:t>
      </w:r>
      <w:r w:rsidR="009857D8" w:rsidRPr="008F1125">
        <w:rPr>
          <w:bCs/>
          <w:iCs/>
          <w:sz w:val="20"/>
          <w:szCs w:val="22"/>
          <w:lang w:val="sr-Latn-RS"/>
        </w:rPr>
        <w:t>suportivnu</w:t>
      </w:r>
      <w:r w:rsidRPr="008F1125">
        <w:rPr>
          <w:bCs/>
          <w:iCs/>
          <w:sz w:val="20"/>
          <w:szCs w:val="22"/>
          <w:lang w:val="sr-Latn-RS"/>
        </w:rPr>
        <w:t xml:space="preserve"> </w:t>
      </w:r>
      <w:r w:rsidR="009857D8" w:rsidRPr="008F1125">
        <w:rPr>
          <w:bCs/>
          <w:iCs/>
          <w:sz w:val="20"/>
          <w:szCs w:val="22"/>
          <w:lang w:val="sr-Latn-RS"/>
        </w:rPr>
        <w:t>terapiju</w:t>
      </w:r>
      <w:r w:rsidRPr="008F1125">
        <w:rPr>
          <w:bCs/>
          <w:iCs/>
          <w:sz w:val="20"/>
          <w:szCs w:val="22"/>
          <w:lang w:val="sr-Latn-RS"/>
        </w:rPr>
        <w:t xml:space="preserve"> i 50 </w:t>
      </w:r>
      <w:r w:rsidR="009857D8" w:rsidRPr="008F1125">
        <w:rPr>
          <w:bCs/>
          <w:iCs/>
          <w:sz w:val="20"/>
          <w:szCs w:val="22"/>
          <w:lang w:val="sr-Latn-RS"/>
        </w:rPr>
        <w:t xml:space="preserve">pacijenata koji su primali </w:t>
      </w:r>
      <w:r w:rsidRPr="008F1125">
        <w:rPr>
          <w:bCs/>
          <w:iCs/>
          <w:sz w:val="20"/>
          <w:szCs w:val="22"/>
          <w:lang w:val="sr-Latn-RS"/>
        </w:rPr>
        <w:t xml:space="preserve">samo </w:t>
      </w:r>
      <w:r w:rsidR="009857D8" w:rsidRPr="008F1125">
        <w:rPr>
          <w:bCs/>
          <w:iCs/>
          <w:sz w:val="20"/>
          <w:szCs w:val="22"/>
          <w:lang w:val="sr-Latn-RS"/>
        </w:rPr>
        <w:t>suportivnu</w:t>
      </w:r>
      <w:r w:rsidRPr="008F1125">
        <w:rPr>
          <w:bCs/>
          <w:iCs/>
          <w:sz w:val="20"/>
          <w:szCs w:val="22"/>
          <w:lang w:val="sr-Latn-RS"/>
        </w:rPr>
        <w:t xml:space="preserve"> </w:t>
      </w:r>
      <w:r w:rsidR="009857D8" w:rsidRPr="008F1125">
        <w:rPr>
          <w:bCs/>
          <w:iCs/>
          <w:sz w:val="20"/>
          <w:szCs w:val="22"/>
          <w:lang w:val="sr-Latn-RS"/>
        </w:rPr>
        <w:t>terapiju</w:t>
      </w:r>
      <w:r w:rsidRPr="008F1125">
        <w:rPr>
          <w:bCs/>
          <w:iCs/>
          <w:sz w:val="20"/>
          <w:szCs w:val="22"/>
          <w:lang w:val="sr-Latn-RS"/>
        </w:rPr>
        <w:t>) imalo je tumor čiji PD-L1 status nije bio poznat</w:t>
      </w:r>
    </w:p>
    <w:p w14:paraId="4258C2C0" w14:textId="2B7693F9"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a</w:t>
      </w:r>
      <w:r w:rsidRPr="008F1125">
        <w:rPr>
          <w:bCs/>
          <w:iCs/>
          <w:sz w:val="20"/>
          <w:szCs w:val="22"/>
          <w:lang w:val="sr-Latn-RS"/>
        </w:rPr>
        <w:t xml:space="preserve"> Datum prestanka prikupljanja podataka za OS bio je 19.</w:t>
      </w:r>
      <w:r w:rsidR="00B03C0F" w:rsidRPr="008F1125">
        <w:rPr>
          <w:bCs/>
          <w:iCs/>
          <w:sz w:val="20"/>
          <w:szCs w:val="22"/>
          <w:lang w:val="sr-Latn-RS"/>
        </w:rPr>
        <w:t>1.</w:t>
      </w:r>
      <w:r w:rsidRPr="008F1125">
        <w:rPr>
          <w:bCs/>
          <w:iCs/>
          <w:sz w:val="20"/>
          <w:szCs w:val="22"/>
          <w:lang w:val="sr-Latn-RS"/>
        </w:rPr>
        <w:t>2020.</w:t>
      </w:r>
      <w:r w:rsidR="00B03C0F" w:rsidRPr="008F1125">
        <w:rPr>
          <w:bCs/>
          <w:iCs/>
          <w:sz w:val="20"/>
          <w:szCs w:val="22"/>
          <w:lang w:val="sr-Latn-RS"/>
        </w:rPr>
        <w:t xml:space="preserve"> godine</w:t>
      </w:r>
    </w:p>
    <w:p w14:paraId="62341684" w14:textId="430BE65D"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b</w:t>
      </w:r>
      <w:r w:rsidRPr="008F1125">
        <w:rPr>
          <w:bCs/>
          <w:iCs/>
          <w:sz w:val="20"/>
          <w:szCs w:val="22"/>
          <w:lang w:val="sr-Latn-RS"/>
        </w:rPr>
        <w:t xml:space="preserve"> Datum prestanka prikupljanja podataka za PFS bio je 21.</w:t>
      </w:r>
      <w:r w:rsidR="00B03C0F" w:rsidRPr="008F1125">
        <w:rPr>
          <w:bCs/>
          <w:iCs/>
          <w:sz w:val="20"/>
          <w:szCs w:val="22"/>
          <w:lang w:val="sr-Latn-RS"/>
        </w:rPr>
        <w:t>10.</w:t>
      </w:r>
      <w:r w:rsidRPr="008F1125">
        <w:rPr>
          <w:bCs/>
          <w:iCs/>
          <w:sz w:val="20"/>
          <w:szCs w:val="22"/>
          <w:lang w:val="sr-Latn-RS"/>
        </w:rPr>
        <w:t>2019.</w:t>
      </w:r>
      <w:r w:rsidR="00B03C0F" w:rsidRPr="008F1125">
        <w:rPr>
          <w:bCs/>
          <w:iCs/>
          <w:sz w:val="20"/>
          <w:szCs w:val="22"/>
          <w:lang w:val="sr-Latn-RS"/>
        </w:rPr>
        <w:t xml:space="preserve"> godine</w:t>
      </w:r>
    </w:p>
    <w:p w14:paraId="0350ACD5" w14:textId="47CA835F"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c</w:t>
      </w:r>
      <w:r w:rsidRPr="008F1125">
        <w:rPr>
          <w:bCs/>
          <w:iCs/>
          <w:sz w:val="20"/>
          <w:szCs w:val="22"/>
          <w:lang w:val="sr-Latn-RS"/>
        </w:rPr>
        <w:t xml:space="preserve"> Analize populacije s</w:t>
      </w:r>
      <w:r w:rsidR="000828F9" w:rsidRPr="008F1125">
        <w:rPr>
          <w:bCs/>
          <w:iCs/>
          <w:sz w:val="20"/>
          <w:szCs w:val="22"/>
          <w:lang w:val="sr-Latn-RS"/>
        </w:rPr>
        <w:t>a</w:t>
      </w:r>
      <w:r w:rsidRPr="008F1125">
        <w:rPr>
          <w:bCs/>
          <w:iCs/>
          <w:sz w:val="20"/>
          <w:szCs w:val="22"/>
          <w:lang w:val="sr-Latn-RS"/>
        </w:rPr>
        <w:t xml:space="preserve"> PD-L1 negativnim tumorima bile su eksplorativne i nije </w:t>
      </w:r>
      <w:r w:rsidR="000828F9" w:rsidRPr="008F1125">
        <w:rPr>
          <w:bCs/>
          <w:iCs/>
          <w:sz w:val="20"/>
          <w:szCs w:val="22"/>
          <w:lang w:val="sr-Latn-RS"/>
        </w:rPr>
        <w:t>s</w:t>
      </w:r>
      <w:r w:rsidRPr="008F1125">
        <w:rPr>
          <w:bCs/>
          <w:iCs/>
          <w:sz w:val="20"/>
          <w:szCs w:val="22"/>
          <w:lang w:val="sr-Latn-RS"/>
        </w:rPr>
        <w:t>proveden formalan test</w:t>
      </w:r>
    </w:p>
    <w:p w14:paraId="490329EA" w14:textId="3B58DA46"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d</w:t>
      </w:r>
      <w:r w:rsidRPr="008F1125">
        <w:rPr>
          <w:bCs/>
          <w:iCs/>
          <w:sz w:val="20"/>
          <w:szCs w:val="22"/>
          <w:lang w:val="sr-Latn-RS"/>
        </w:rPr>
        <w:t xml:space="preserve"> p-vr</w:t>
      </w:r>
      <w:r w:rsidR="00B03C0F" w:rsidRPr="008F1125">
        <w:rPr>
          <w:bCs/>
          <w:iCs/>
          <w:sz w:val="20"/>
          <w:szCs w:val="22"/>
          <w:lang w:val="sr-Latn-RS"/>
        </w:rPr>
        <w:t>ij</w:t>
      </w:r>
      <w:r w:rsidRPr="008F1125">
        <w:rPr>
          <w:bCs/>
          <w:iCs/>
          <w:sz w:val="20"/>
          <w:szCs w:val="22"/>
          <w:lang w:val="sr-Latn-RS"/>
        </w:rPr>
        <w:t xml:space="preserve">ednost na </w:t>
      </w:r>
      <w:r w:rsidR="000828F9" w:rsidRPr="008F1125">
        <w:rPr>
          <w:bCs/>
          <w:iCs/>
          <w:sz w:val="20"/>
          <w:szCs w:val="22"/>
          <w:lang w:val="sr-Latn-RS"/>
        </w:rPr>
        <w:t xml:space="preserve">osnovu </w:t>
      </w:r>
      <w:r w:rsidRPr="008F1125">
        <w:rPr>
          <w:bCs/>
          <w:iCs/>
          <w:sz w:val="20"/>
          <w:szCs w:val="22"/>
          <w:lang w:val="sr-Latn-RS"/>
        </w:rPr>
        <w:t>stratifi</w:t>
      </w:r>
      <w:r w:rsidR="000828F9" w:rsidRPr="008F1125">
        <w:rPr>
          <w:bCs/>
          <w:iCs/>
          <w:sz w:val="20"/>
          <w:szCs w:val="22"/>
          <w:lang w:val="sr-Latn-RS"/>
        </w:rPr>
        <w:t>kov</w:t>
      </w:r>
      <w:r w:rsidRPr="008F1125">
        <w:rPr>
          <w:bCs/>
          <w:iCs/>
          <w:sz w:val="20"/>
          <w:szCs w:val="22"/>
          <w:lang w:val="sr-Latn-RS"/>
        </w:rPr>
        <w:t>anog log-rang testa</w:t>
      </w:r>
    </w:p>
    <w:p w14:paraId="196BDB3E" w14:textId="19755ECE"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e</w:t>
      </w:r>
      <w:r w:rsidRPr="008F1125">
        <w:rPr>
          <w:bCs/>
          <w:iCs/>
          <w:sz w:val="20"/>
          <w:szCs w:val="22"/>
          <w:lang w:val="sr-Latn-RS"/>
        </w:rPr>
        <w:t xml:space="preserve"> Na </w:t>
      </w:r>
      <w:r w:rsidR="00F97E6C" w:rsidRPr="008F1125">
        <w:rPr>
          <w:bCs/>
          <w:iCs/>
          <w:sz w:val="20"/>
          <w:szCs w:val="22"/>
          <w:lang w:val="sr-Latn-RS"/>
        </w:rPr>
        <w:t>osnovu</w:t>
      </w:r>
      <w:r w:rsidRPr="008F1125">
        <w:rPr>
          <w:bCs/>
          <w:iCs/>
          <w:sz w:val="20"/>
          <w:szCs w:val="22"/>
          <w:lang w:val="sr-Latn-RS"/>
        </w:rPr>
        <w:t xml:space="preserve"> proc</w:t>
      </w:r>
      <w:r w:rsidR="00B03C0F" w:rsidRPr="008F1125">
        <w:rPr>
          <w:bCs/>
          <w:iCs/>
          <w:sz w:val="20"/>
          <w:szCs w:val="22"/>
          <w:lang w:val="sr-Latn-RS"/>
        </w:rPr>
        <w:t>j</w:t>
      </w:r>
      <w:r w:rsidRPr="008F1125">
        <w:rPr>
          <w:bCs/>
          <w:iCs/>
          <w:sz w:val="20"/>
          <w:szCs w:val="22"/>
          <w:lang w:val="sr-Latn-RS"/>
        </w:rPr>
        <w:t>ene BICR-a prema kriterij</w:t>
      </w:r>
      <w:r w:rsidR="00F97E6C" w:rsidRPr="008F1125">
        <w:rPr>
          <w:bCs/>
          <w:iCs/>
          <w:sz w:val="20"/>
          <w:szCs w:val="22"/>
          <w:lang w:val="sr-Latn-RS"/>
        </w:rPr>
        <w:t>umi</w:t>
      </w:r>
      <w:r w:rsidRPr="008F1125">
        <w:rPr>
          <w:bCs/>
          <w:iCs/>
          <w:sz w:val="20"/>
          <w:szCs w:val="22"/>
          <w:lang w:val="sr-Latn-RS"/>
        </w:rPr>
        <w:t>ma RECIST v1.1</w:t>
      </w:r>
    </w:p>
    <w:p w14:paraId="24D1EC2B" w14:textId="74A1E961" w:rsidR="00770AEC" w:rsidRPr="008F1125" w:rsidRDefault="00770AEC" w:rsidP="004550F8">
      <w:pPr>
        <w:tabs>
          <w:tab w:val="clear" w:pos="567"/>
        </w:tabs>
        <w:ind w:right="-1"/>
        <w:jc w:val="both"/>
        <w:rPr>
          <w:bCs/>
          <w:iCs/>
          <w:sz w:val="20"/>
          <w:szCs w:val="22"/>
          <w:lang w:val="sr-Latn-RS"/>
        </w:rPr>
      </w:pPr>
      <w:r w:rsidRPr="008F1125">
        <w:rPr>
          <w:bCs/>
          <w:iCs/>
          <w:sz w:val="20"/>
          <w:szCs w:val="22"/>
          <w:vertAlign w:val="superscript"/>
          <w:lang w:val="sr-Latn-RS"/>
        </w:rPr>
        <w:t>f</w:t>
      </w:r>
      <w:r w:rsidRPr="008F1125">
        <w:rPr>
          <w:bCs/>
          <w:iCs/>
          <w:sz w:val="20"/>
          <w:szCs w:val="22"/>
          <w:lang w:val="sr-Latn-RS"/>
        </w:rPr>
        <w:t xml:space="preserve"> Razlozi </w:t>
      </w:r>
      <w:r w:rsidR="00F97E6C" w:rsidRPr="008F1125">
        <w:rPr>
          <w:bCs/>
          <w:iCs/>
          <w:sz w:val="20"/>
          <w:szCs w:val="22"/>
          <w:lang w:val="sr-Latn-RS"/>
        </w:rPr>
        <w:t>cenzuris</w:t>
      </w:r>
      <w:r w:rsidRPr="008F1125">
        <w:rPr>
          <w:bCs/>
          <w:iCs/>
          <w:sz w:val="20"/>
          <w:szCs w:val="22"/>
          <w:lang w:val="sr-Latn-RS"/>
        </w:rPr>
        <w:t xml:space="preserve">anja PFS navedeni su </w:t>
      </w:r>
      <w:r w:rsidR="00F97E6C" w:rsidRPr="008F1125">
        <w:rPr>
          <w:bCs/>
          <w:iCs/>
          <w:sz w:val="20"/>
          <w:szCs w:val="22"/>
          <w:lang w:val="sr-Latn-RS"/>
        </w:rPr>
        <w:t xml:space="preserve">po </w:t>
      </w:r>
      <w:r w:rsidRPr="008F1125">
        <w:rPr>
          <w:bCs/>
          <w:iCs/>
          <w:sz w:val="20"/>
          <w:szCs w:val="22"/>
          <w:lang w:val="sr-Latn-RS"/>
        </w:rPr>
        <w:t>hijerarhijsk</w:t>
      </w:r>
      <w:r w:rsidR="00F97E6C" w:rsidRPr="008F1125">
        <w:rPr>
          <w:bCs/>
          <w:iCs/>
          <w:sz w:val="20"/>
          <w:szCs w:val="22"/>
          <w:lang w:val="sr-Latn-RS"/>
        </w:rPr>
        <w:t>o</w:t>
      </w:r>
      <w:r w:rsidRPr="008F1125">
        <w:rPr>
          <w:bCs/>
          <w:iCs/>
          <w:sz w:val="20"/>
          <w:szCs w:val="22"/>
          <w:lang w:val="sr-Latn-RS"/>
        </w:rPr>
        <w:t xml:space="preserve">m </w:t>
      </w:r>
      <w:r w:rsidR="00F97E6C" w:rsidRPr="008F1125">
        <w:rPr>
          <w:bCs/>
          <w:iCs/>
          <w:sz w:val="20"/>
          <w:szCs w:val="22"/>
          <w:lang w:val="sr-Latn-RS"/>
        </w:rPr>
        <w:t>redosl</w:t>
      </w:r>
      <w:r w:rsidR="00B03C0F" w:rsidRPr="008F1125">
        <w:rPr>
          <w:bCs/>
          <w:iCs/>
          <w:sz w:val="20"/>
          <w:szCs w:val="22"/>
          <w:lang w:val="sr-Latn-RS"/>
        </w:rPr>
        <w:t>j</w:t>
      </w:r>
      <w:r w:rsidR="00F97E6C" w:rsidRPr="008F1125">
        <w:rPr>
          <w:bCs/>
          <w:iCs/>
          <w:sz w:val="20"/>
          <w:szCs w:val="22"/>
          <w:lang w:val="sr-Latn-RS"/>
        </w:rPr>
        <w:t>edu</w:t>
      </w:r>
      <w:r w:rsidRPr="008F1125">
        <w:rPr>
          <w:bCs/>
          <w:iCs/>
          <w:sz w:val="20"/>
          <w:szCs w:val="22"/>
          <w:lang w:val="sr-Latn-RS"/>
        </w:rPr>
        <w:t>: bez odgovarajuće proc</w:t>
      </w:r>
      <w:r w:rsidR="00854AD7" w:rsidRPr="008F1125">
        <w:rPr>
          <w:bCs/>
          <w:iCs/>
          <w:sz w:val="20"/>
          <w:szCs w:val="22"/>
          <w:lang w:val="sr-Latn-RS"/>
        </w:rPr>
        <w:t>j</w:t>
      </w:r>
      <w:r w:rsidRPr="008F1125">
        <w:rPr>
          <w:bCs/>
          <w:iCs/>
          <w:sz w:val="20"/>
          <w:szCs w:val="22"/>
          <w:lang w:val="sr-Latn-RS"/>
        </w:rPr>
        <w:t xml:space="preserve">ene na početku </w:t>
      </w:r>
      <w:r w:rsidR="00F97E6C" w:rsidRPr="008F1125">
        <w:rPr>
          <w:bCs/>
          <w:iCs/>
          <w:sz w:val="20"/>
          <w:szCs w:val="22"/>
          <w:lang w:val="sr-Latn-RS"/>
        </w:rPr>
        <w:t>i</w:t>
      </w:r>
      <w:r w:rsidRPr="008F1125">
        <w:rPr>
          <w:bCs/>
          <w:iCs/>
          <w:sz w:val="20"/>
          <w:szCs w:val="22"/>
          <w:lang w:val="sr-Latn-RS"/>
        </w:rPr>
        <w:t xml:space="preserve">spitivanja, početak nove antitumorske terapije, događaj </w:t>
      </w:r>
      <w:r w:rsidR="00092566" w:rsidRPr="008F1125">
        <w:rPr>
          <w:bCs/>
          <w:iCs/>
          <w:sz w:val="20"/>
          <w:szCs w:val="22"/>
          <w:lang w:val="sr-Latn-RS"/>
        </w:rPr>
        <w:t>posl</w:t>
      </w:r>
      <w:r w:rsidR="00B03C0F" w:rsidRPr="008F1125">
        <w:rPr>
          <w:bCs/>
          <w:iCs/>
          <w:sz w:val="20"/>
          <w:szCs w:val="22"/>
          <w:lang w:val="sr-Latn-RS"/>
        </w:rPr>
        <w:t>ij</w:t>
      </w:r>
      <w:r w:rsidR="00092566" w:rsidRPr="008F1125">
        <w:rPr>
          <w:bCs/>
          <w:iCs/>
          <w:sz w:val="20"/>
          <w:szCs w:val="22"/>
          <w:lang w:val="sr-Latn-RS"/>
        </w:rPr>
        <w:t xml:space="preserve">e </w:t>
      </w:r>
      <w:r w:rsidRPr="008F1125">
        <w:rPr>
          <w:bCs/>
          <w:iCs/>
          <w:sz w:val="20"/>
          <w:szCs w:val="22"/>
          <w:lang w:val="sr-Latn-RS"/>
        </w:rPr>
        <w:t>2 ili više propuštenih proc</w:t>
      </w:r>
      <w:r w:rsidR="00854AD7" w:rsidRPr="008F1125">
        <w:rPr>
          <w:bCs/>
          <w:iCs/>
          <w:sz w:val="20"/>
          <w:szCs w:val="22"/>
          <w:lang w:val="sr-Latn-RS"/>
        </w:rPr>
        <w:t>j</w:t>
      </w:r>
      <w:r w:rsidRPr="008F1125">
        <w:rPr>
          <w:bCs/>
          <w:iCs/>
          <w:sz w:val="20"/>
          <w:szCs w:val="22"/>
          <w:lang w:val="sr-Latn-RS"/>
        </w:rPr>
        <w:t>ena, povlačenje</w:t>
      </w:r>
      <w:r w:rsidR="00092566" w:rsidRPr="008F1125">
        <w:rPr>
          <w:bCs/>
          <w:iCs/>
          <w:sz w:val="20"/>
          <w:szCs w:val="22"/>
          <w:lang w:val="sr-Latn-RS"/>
        </w:rPr>
        <w:t xml:space="preserve"> </w:t>
      </w:r>
      <w:r w:rsidRPr="008F1125">
        <w:rPr>
          <w:bCs/>
          <w:iCs/>
          <w:sz w:val="20"/>
          <w:szCs w:val="22"/>
          <w:lang w:val="sr-Latn-RS"/>
        </w:rPr>
        <w:t>pristanka, izgubljen iz praćenja, bez odgovarajuće proc</w:t>
      </w:r>
      <w:r w:rsidR="00854AD7" w:rsidRPr="008F1125">
        <w:rPr>
          <w:bCs/>
          <w:iCs/>
          <w:sz w:val="20"/>
          <w:szCs w:val="22"/>
          <w:lang w:val="sr-Latn-RS"/>
        </w:rPr>
        <w:t>j</w:t>
      </w:r>
      <w:r w:rsidRPr="008F1125">
        <w:rPr>
          <w:bCs/>
          <w:iCs/>
          <w:sz w:val="20"/>
          <w:szCs w:val="22"/>
          <w:lang w:val="sr-Latn-RS"/>
        </w:rPr>
        <w:t xml:space="preserve">ene tumora </w:t>
      </w:r>
      <w:r w:rsidR="00092566" w:rsidRPr="008F1125">
        <w:rPr>
          <w:bCs/>
          <w:iCs/>
          <w:sz w:val="20"/>
          <w:szCs w:val="22"/>
          <w:lang w:val="sr-Latn-RS"/>
        </w:rPr>
        <w:t>posl</w:t>
      </w:r>
      <w:r w:rsidR="00B03C0F" w:rsidRPr="008F1125">
        <w:rPr>
          <w:bCs/>
          <w:iCs/>
          <w:sz w:val="20"/>
          <w:szCs w:val="22"/>
          <w:lang w:val="sr-Latn-RS"/>
        </w:rPr>
        <w:t>ij</w:t>
      </w:r>
      <w:r w:rsidR="00092566" w:rsidRPr="008F1125">
        <w:rPr>
          <w:bCs/>
          <w:iCs/>
          <w:sz w:val="20"/>
          <w:szCs w:val="22"/>
          <w:lang w:val="sr-Latn-RS"/>
        </w:rPr>
        <w:t xml:space="preserve">e </w:t>
      </w:r>
      <w:r w:rsidRPr="008F1125">
        <w:rPr>
          <w:bCs/>
          <w:iCs/>
          <w:sz w:val="20"/>
          <w:szCs w:val="22"/>
          <w:lang w:val="sr-Latn-RS"/>
        </w:rPr>
        <w:t xml:space="preserve">početka ispitivanja, dalje </w:t>
      </w:r>
      <w:r w:rsidR="00092566" w:rsidRPr="008F1125">
        <w:rPr>
          <w:bCs/>
          <w:iCs/>
          <w:sz w:val="20"/>
          <w:szCs w:val="22"/>
          <w:lang w:val="sr-Latn-RS"/>
        </w:rPr>
        <w:t xml:space="preserve">učešće </w:t>
      </w:r>
      <w:r w:rsidRPr="008F1125">
        <w:rPr>
          <w:bCs/>
          <w:iCs/>
          <w:sz w:val="20"/>
          <w:szCs w:val="22"/>
          <w:lang w:val="sr-Latn-RS"/>
        </w:rPr>
        <w:t>bez događaja</w:t>
      </w:r>
    </w:p>
    <w:p w14:paraId="67762F9B" w14:textId="77777777" w:rsidR="00770AEC" w:rsidRPr="008F1125" w:rsidRDefault="00770AEC" w:rsidP="00770AEC">
      <w:pPr>
        <w:tabs>
          <w:tab w:val="clear" w:pos="567"/>
        </w:tabs>
        <w:rPr>
          <w:bCs/>
          <w:iCs/>
          <w:szCs w:val="22"/>
          <w:lang w:val="sr-Latn-RS"/>
        </w:rPr>
      </w:pPr>
    </w:p>
    <w:p w14:paraId="54D64B8A" w14:textId="7E62ADBE" w:rsidR="00770AEC" w:rsidRPr="008F1125" w:rsidRDefault="00770AEC" w:rsidP="00B03C0F">
      <w:pPr>
        <w:tabs>
          <w:tab w:val="clear" w:pos="567"/>
        </w:tabs>
        <w:jc w:val="both"/>
        <w:rPr>
          <w:b/>
          <w:bCs/>
          <w:iCs/>
          <w:szCs w:val="22"/>
          <w:lang w:val="sr-Latn-RS"/>
        </w:rPr>
      </w:pPr>
      <w:r w:rsidRPr="008F1125">
        <w:rPr>
          <w:b/>
          <w:bCs/>
          <w:iCs/>
          <w:szCs w:val="22"/>
          <w:lang w:val="sr-Latn-RS"/>
        </w:rPr>
        <w:t xml:space="preserve">Slika 3: </w:t>
      </w:r>
      <w:r w:rsidRPr="008F1125">
        <w:rPr>
          <w:b/>
          <w:bCs/>
          <w:i/>
          <w:iCs/>
          <w:szCs w:val="22"/>
          <w:lang w:val="sr-Latn-RS"/>
        </w:rPr>
        <w:t>Kaplan-Meier</w:t>
      </w:r>
      <w:r w:rsidR="00275522" w:rsidRPr="008F1125">
        <w:rPr>
          <w:b/>
          <w:bCs/>
          <w:iCs/>
          <w:szCs w:val="22"/>
          <w:lang w:val="sr-Latn-RS"/>
        </w:rPr>
        <w:t>-</w:t>
      </w:r>
      <w:r w:rsidRPr="008F1125">
        <w:rPr>
          <w:b/>
          <w:bCs/>
          <w:iCs/>
          <w:szCs w:val="22"/>
          <w:lang w:val="sr-Latn-RS"/>
        </w:rPr>
        <w:t>ova proc</w:t>
      </w:r>
      <w:r w:rsidR="00B03C0F" w:rsidRPr="008F1125">
        <w:rPr>
          <w:b/>
          <w:bCs/>
          <w:iCs/>
          <w:szCs w:val="22"/>
          <w:lang w:val="sr-Latn-RS"/>
        </w:rPr>
        <w:t>j</w:t>
      </w:r>
      <w:r w:rsidRPr="008F1125">
        <w:rPr>
          <w:b/>
          <w:bCs/>
          <w:iCs/>
          <w:szCs w:val="22"/>
          <w:lang w:val="sr-Latn-RS"/>
        </w:rPr>
        <w:t>ena ukupnog preživlj</w:t>
      </w:r>
      <w:r w:rsidR="007C3514" w:rsidRPr="008F1125">
        <w:rPr>
          <w:b/>
          <w:bCs/>
          <w:iCs/>
          <w:szCs w:val="22"/>
          <w:lang w:val="sr-Latn-RS"/>
        </w:rPr>
        <w:t>ava</w:t>
      </w:r>
      <w:r w:rsidRPr="008F1125">
        <w:rPr>
          <w:b/>
          <w:bCs/>
          <w:iCs/>
          <w:szCs w:val="22"/>
          <w:lang w:val="sr-Latn-RS"/>
        </w:rPr>
        <w:t>nja (OS) prema ekspresiji PD-L1 (datum</w:t>
      </w:r>
      <w:r w:rsidR="007C3514" w:rsidRPr="008F1125">
        <w:rPr>
          <w:b/>
          <w:bCs/>
          <w:iCs/>
          <w:szCs w:val="22"/>
          <w:lang w:val="sr-Latn-RS"/>
        </w:rPr>
        <w:t xml:space="preserve"> </w:t>
      </w:r>
      <w:r w:rsidRPr="008F1125">
        <w:rPr>
          <w:b/>
          <w:bCs/>
          <w:iCs/>
          <w:szCs w:val="22"/>
          <w:lang w:val="sr-Latn-RS"/>
        </w:rPr>
        <w:t>prestanka prikupljanja podataka: 19.</w:t>
      </w:r>
      <w:r w:rsidR="00B03C0F" w:rsidRPr="008F1125">
        <w:rPr>
          <w:b/>
          <w:bCs/>
          <w:iCs/>
          <w:szCs w:val="22"/>
          <w:lang w:val="sr-Latn-RS"/>
        </w:rPr>
        <w:t>10.</w:t>
      </w:r>
      <w:r w:rsidRPr="008F1125">
        <w:rPr>
          <w:b/>
          <w:bCs/>
          <w:iCs/>
          <w:szCs w:val="22"/>
          <w:lang w:val="sr-Latn-RS"/>
        </w:rPr>
        <w:t>2020</w:t>
      </w:r>
      <w:r w:rsidR="00B03C0F" w:rsidRPr="008F1125">
        <w:rPr>
          <w:b/>
          <w:bCs/>
          <w:iCs/>
          <w:szCs w:val="22"/>
          <w:lang w:val="sr-Latn-RS"/>
        </w:rPr>
        <w:t>. godine</w:t>
      </w:r>
      <w:r w:rsidRPr="008F1125">
        <w:rPr>
          <w:b/>
          <w:bCs/>
          <w:iCs/>
          <w:szCs w:val="22"/>
          <w:lang w:val="sr-Latn-RS"/>
        </w:rPr>
        <w:t>) – potpuni skup podataka za analizu</w:t>
      </w:r>
    </w:p>
    <w:p w14:paraId="0FABB9DC" w14:textId="3636B63A" w:rsidR="00B638E9" w:rsidRDefault="00B638E9" w:rsidP="00770AEC">
      <w:pPr>
        <w:tabs>
          <w:tab w:val="clear" w:pos="567"/>
        </w:tabs>
        <w:rPr>
          <w:bCs/>
          <w:iCs/>
          <w:szCs w:val="22"/>
          <w:lang w:val="sr-Latn-RS"/>
        </w:rPr>
      </w:pPr>
    </w:p>
    <w:p w14:paraId="2F283DC7" w14:textId="1AD897B6" w:rsidR="00C56C07" w:rsidRPr="008F1125" w:rsidRDefault="003D55E0" w:rsidP="00770AEC">
      <w:pPr>
        <w:tabs>
          <w:tab w:val="clear" w:pos="567"/>
        </w:tabs>
        <w:rPr>
          <w:bCs/>
          <w:iCs/>
          <w:szCs w:val="22"/>
          <w:lang w:val="sr-Latn-RS"/>
        </w:rPr>
      </w:pPr>
      <w:r>
        <w:rPr>
          <w:noProof/>
          <w:lang w:val="en-US"/>
        </w:rPr>
        <w:drawing>
          <wp:inline distT="0" distB="0" distL="0" distR="0" wp14:anchorId="0240DFB0" wp14:editId="0DD209C1">
            <wp:extent cx="4685715" cy="276514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5115" cy="2776593"/>
                    </a:xfrm>
                    <a:prstGeom prst="rect">
                      <a:avLst/>
                    </a:prstGeom>
                  </pic:spPr>
                </pic:pic>
              </a:graphicData>
            </a:graphic>
          </wp:inline>
        </w:drawing>
      </w:r>
    </w:p>
    <w:p w14:paraId="4A05F3A7" w14:textId="77777777" w:rsidR="00B638E9" w:rsidRPr="008F1125" w:rsidRDefault="00B638E9" w:rsidP="00770AEC">
      <w:pPr>
        <w:tabs>
          <w:tab w:val="clear" w:pos="567"/>
        </w:tabs>
        <w:rPr>
          <w:bCs/>
          <w:iCs/>
          <w:szCs w:val="22"/>
          <w:lang w:val="sr-Latn-RS"/>
        </w:rPr>
      </w:pPr>
    </w:p>
    <w:p w14:paraId="4D5310D8" w14:textId="24866970" w:rsidR="00770AEC" w:rsidRPr="008F1125" w:rsidRDefault="00770AEC" w:rsidP="00770AEC">
      <w:pPr>
        <w:tabs>
          <w:tab w:val="clear" w:pos="567"/>
        </w:tabs>
        <w:rPr>
          <w:bCs/>
          <w:iCs/>
          <w:szCs w:val="22"/>
          <w:lang w:val="sr-Latn-RS"/>
        </w:rPr>
      </w:pPr>
      <w:r w:rsidRPr="008F1125">
        <w:rPr>
          <w:bCs/>
          <w:iCs/>
          <w:szCs w:val="22"/>
          <w:lang w:val="sr-Latn-RS"/>
        </w:rPr>
        <w:t>(A): Svi randomiz</w:t>
      </w:r>
      <w:r w:rsidR="00B638E9" w:rsidRPr="008F1125">
        <w:rPr>
          <w:bCs/>
          <w:iCs/>
          <w:szCs w:val="22"/>
          <w:lang w:val="sr-Latn-RS"/>
        </w:rPr>
        <w:t>ov</w:t>
      </w:r>
      <w:r w:rsidRPr="008F1125">
        <w:rPr>
          <w:bCs/>
          <w:iCs/>
          <w:szCs w:val="22"/>
          <w:lang w:val="sr-Latn-RS"/>
        </w:rPr>
        <w:t xml:space="preserve">ani </w:t>
      </w:r>
      <w:r w:rsidR="00B638E9" w:rsidRPr="008F1125">
        <w:rPr>
          <w:bCs/>
          <w:iCs/>
          <w:szCs w:val="22"/>
          <w:lang w:val="sr-Latn-RS"/>
        </w:rPr>
        <w:t>pacijenti</w:t>
      </w:r>
    </w:p>
    <w:p w14:paraId="433A095F" w14:textId="77777777" w:rsidR="00B638E9" w:rsidRPr="008F1125" w:rsidRDefault="00B638E9" w:rsidP="00770AEC">
      <w:pPr>
        <w:tabs>
          <w:tab w:val="clear" w:pos="567"/>
        </w:tabs>
        <w:rPr>
          <w:bCs/>
          <w:iCs/>
          <w:szCs w:val="22"/>
          <w:lang w:val="sr-Latn-RS"/>
        </w:rPr>
      </w:pPr>
    </w:p>
    <w:p w14:paraId="5387C50E" w14:textId="6E60C967" w:rsidR="00B638E9" w:rsidRDefault="00B638E9" w:rsidP="00770AEC">
      <w:pPr>
        <w:tabs>
          <w:tab w:val="clear" w:pos="567"/>
        </w:tabs>
        <w:rPr>
          <w:bCs/>
          <w:iCs/>
          <w:szCs w:val="22"/>
          <w:lang w:val="sr-Latn-RS"/>
        </w:rPr>
      </w:pPr>
    </w:p>
    <w:p w14:paraId="29979B38" w14:textId="3B92CC37" w:rsidR="00C56C07" w:rsidRPr="008F1125" w:rsidRDefault="00DE7128" w:rsidP="00770AEC">
      <w:pPr>
        <w:tabs>
          <w:tab w:val="clear" w:pos="567"/>
        </w:tabs>
        <w:rPr>
          <w:bCs/>
          <w:iCs/>
          <w:szCs w:val="22"/>
          <w:lang w:val="sr-Latn-RS"/>
        </w:rPr>
      </w:pPr>
      <w:r>
        <w:rPr>
          <w:noProof/>
          <w:lang w:val="en-US"/>
        </w:rPr>
        <w:drawing>
          <wp:inline distT="0" distB="0" distL="0" distR="0" wp14:anchorId="09B129A2" wp14:editId="6AE25CD7">
            <wp:extent cx="5760085" cy="32677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085" cy="3267710"/>
                    </a:xfrm>
                    <a:prstGeom prst="rect">
                      <a:avLst/>
                    </a:prstGeom>
                  </pic:spPr>
                </pic:pic>
              </a:graphicData>
            </a:graphic>
          </wp:inline>
        </w:drawing>
      </w:r>
    </w:p>
    <w:p w14:paraId="383222CF" w14:textId="1A41038A" w:rsidR="00770AEC" w:rsidRPr="008F1125" w:rsidRDefault="00770AEC" w:rsidP="00770AEC">
      <w:pPr>
        <w:tabs>
          <w:tab w:val="clear" w:pos="567"/>
        </w:tabs>
        <w:rPr>
          <w:bCs/>
          <w:iCs/>
          <w:szCs w:val="22"/>
          <w:lang w:val="sr-Latn-RS"/>
        </w:rPr>
      </w:pPr>
      <w:r w:rsidRPr="008F1125">
        <w:rPr>
          <w:bCs/>
          <w:iCs/>
          <w:szCs w:val="22"/>
          <w:lang w:val="sr-Latn-RS"/>
        </w:rPr>
        <w:t xml:space="preserve">(B): </w:t>
      </w:r>
      <w:r w:rsidR="00BA2D23" w:rsidRPr="008F1125">
        <w:rPr>
          <w:bCs/>
          <w:iCs/>
          <w:szCs w:val="22"/>
          <w:lang w:val="sr-Latn-RS"/>
        </w:rPr>
        <w:t>Pacijenti</w:t>
      </w:r>
      <w:r w:rsidRPr="008F1125">
        <w:rPr>
          <w:bCs/>
          <w:iCs/>
          <w:szCs w:val="22"/>
          <w:lang w:val="sr-Latn-RS"/>
        </w:rPr>
        <w:t xml:space="preserve"> prema ekspresiji PD-L1</w:t>
      </w:r>
    </w:p>
    <w:p w14:paraId="4B318CB0" w14:textId="77777777" w:rsidR="00BA2D23" w:rsidRPr="008F1125" w:rsidRDefault="00BA2D23" w:rsidP="00770AEC">
      <w:pPr>
        <w:tabs>
          <w:tab w:val="clear" w:pos="567"/>
        </w:tabs>
        <w:rPr>
          <w:bCs/>
          <w:iCs/>
          <w:szCs w:val="22"/>
          <w:lang w:val="sr-Latn-RS"/>
        </w:rPr>
      </w:pPr>
    </w:p>
    <w:p w14:paraId="52AC8FC9" w14:textId="3E522489" w:rsidR="00770AEC" w:rsidRPr="008F1125" w:rsidRDefault="00770AEC" w:rsidP="00B03C0F">
      <w:pPr>
        <w:tabs>
          <w:tab w:val="clear" w:pos="567"/>
        </w:tabs>
        <w:jc w:val="both"/>
        <w:rPr>
          <w:b/>
          <w:bCs/>
          <w:iCs/>
          <w:szCs w:val="22"/>
          <w:lang w:val="sr-Latn-RS"/>
        </w:rPr>
      </w:pPr>
      <w:r w:rsidRPr="008F1125">
        <w:rPr>
          <w:b/>
          <w:bCs/>
          <w:iCs/>
          <w:szCs w:val="22"/>
          <w:lang w:val="sr-Latn-RS"/>
        </w:rPr>
        <w:t xml:space="preserve">Slika 4: </w:t>
      </w:r>
      <w:r w:rsidRPr="008F1125">
        <w:rPr>
          <w:b/>
          <w:bCs/>
          <w:i/>
          <w:iCs/>
          <w:szCs w:val="22"/>
          <w:lang w:val="sr-Latn-RS"/>
        </w:rPr>
        <w:t>Kaplan-Meier</w:t>
      </w:r>
      <w:r w:rsidR="002D5D3C" w:rsidRPr="008F1125">
        <w:rPr>
          <w:b/>
          <w:bCs/>
          <w:iCs/>
          <w:szCs w:val="22"/>
          <w:lang w:val="sr-Latn-RS"/>
        </w:rPr>
        <w:t>-</w:t>
      </w:r>
      <w:r w:rsidRPr="008F1125">
        <w:rPr>
          <w:b/>
          <w:bCs/>
          <w:iCs/>
          <w:szCs w:val="22"/>
          <w:lang w:val="sr-Latn-RS"/>
        </w:rPr>
        <w:t>ova proc</w:t>
      </w:r>
      <w:r w:rsidR="00B03C0F" w:rsidRPr="008F1125">
        <w:rPr>
          <w:b/>
          <w:bCs/>
          <w:iCs/>
          <w:szCs w:val="22"/>
          <w:lang w:val="sr-Latn-RS"/>
        </w:rPr>
        <w:t>j</w:t>
      </w:r>
      <w:r w:rsidRPr="008F1125">
        <w:rPr>
          <w:b/>
          <w:bCs/>
          <w:iCs/>
          <w:szCs w:val="22"/>
          <w:lang w:val="sr-Latn-RS"/>
        </w:rPr>
        <w:t xml:space="preserve">ena </w:t>
      </w:r>
      <w:r w:rsidR="007C3514" w:rsidRPr="008F1125">
        <w:rPr>
          <w:b/>
          <w:bCs/>
          <w:iCs/>
          <w:szCs w:val="22"/>
          <w:lang w:val="sr-Latn-RS"/>
        </w:rPr>
        <w:t xml:space="preserve">preživljavanja </w:t>
      </w:r>
      <w:r w:rsidRPr="008F1125">
        <w:rPr>
          <w:b/>
          <w:bCs/>
          <w:iCs/>
          <w:szCs w:val="22"/>
          <w:lang w:val="sr-Latn-RS"/>
        </w:rPr>
        <w:t>bez progresije bolesti (PFS) prema ekspresiji</w:t>
      </w:r>
    </w:p>
    <w:p w14:paraId="5A3ECD61" w14:textId="7D2EBB0F" w:rsidR="00770AEC" w:rsidRPr="008F1125" w:rsidRDefault="00770AEC" w:rsidP="00B03C0F">
      <w:pPr>
        <w:tabs>
          <w:tab w:val="clear" w:pos="567"/>
        </w:tabs>
        <w:jc w:val="both"/>
        <w:rPr>
          <w:b/>
          <w:bCs/>
          <w:iCs/>
          <w:szCs w:val="22"/>
          <w:lang w:val="sr-Latn-RS"/>
        </w:rPr>
      </w:pPr>
      <w:r w:rsidRPr="008F1125">
        <w:rPr>
          <w:b/>
          <w:bCs/>
          <w:iCs/>
          <w:szCs w:val="22"/>
          <w:lang w:val="sr-Latn-RS"/>
        </w:rPr>
        <w:t xml:space="preserve">PD-L1 na </w:t>
      </w:r>
      <w:r w:rsidR="002D5D3C" w:rsidRPr="008F1125">
        <w:rPr>
          <w:b/>
          <w:bCs/>
          <w:iCs/>
          <w:szCs w:val="22"/>
          <w:lang w:val="sr-Latn-RS"/>
        </w:rPr>
        <w:t xml:space="preserve">osnovu </w:t>
      </w:r>
      <w:r w:rsidRPr="008F1125">
        <w:rPr>
          <w:b/>
          <w:bCs/>
          <w:iCs/>
          <w:szCs w:val="22"/>
          <w:lang w:val="sr-Latn-RS"/>
        </w:rPr>
        <w:t>procene BICR-a (RECIST v1.1) (datum prestanka prikupljanja podataka:</w:t>
      </w:r>
      <w:r w:rsidR="002D5D3C" w:rsidRPr="008F1125">
        <w:rPr>
          <w:b/>
          <w:bCs/>
          <w:iCs/>
          <w:szCs w:val="22"/>
          <w:lang w:val="sr-Latn-RS"/>
        </w:rPr>
        <w:t xml:space="preserve"> </w:t>
      </w:r>
      <w:r w:rsidRPr="008F1125">
        <w:rPr>
          <w:b/>
          <w:bCs/>
          <w:iCs/>
          <w:szCs w:val="22"/>
          <w:lang w:val="sr-Latn-RS"/>
        </w:rPr>
        <w:t>21.</w:t>
      </w:r>
      <w:r w:rsidR="00B03C0F" w:rsidRPr="008F1125">
        <w:rPr>
          <w:b/>
          <w:bCs/>
          <w:iCs/>
          <w:szCs w:val="22"/>
          <w:lang w:val="sr-Latn-RS"/>
        </w:rPr>
        <w:t>10.</w:t>
      </w:r>
      <w:r w:rsidRPr="008F1125">
        <w:rPr>
          <w:b/>
          <w:bCs/>
          <w:iCs/>
          <w:szCs w:val="22"/>
          <w:lang w:val="sr-Latn-RS"/>
        </w:rPr>
        <w:t>2019</w:t>
      </w:r>
      <w:r w:rsidR="00B03C0F" w:rsidRPr="008F1125">
        <w:rPr>
          <w:b/>
          <w:bCs/>
          <w:iCs/>
          <w:szCs w:val="22"/>
          <w:lang w:val="sr-Latn-RS"/>
        </w:rPr>
        <w:t>. godine</w:t>
      </w:r>
      <w:r w:rsidRPr="008F1125">
        <w:rPr>
          <w:b/>
          <w:bCs/>
          <w:iCs/>
          <w:szCs w:val="22"/>
          <w:lang w:val="sr-Latn-RS"/>
        </w:rPr>
        <w:t xml:space="preserve">) </w:t>
      </w:r>
      <w:r w:rsidR="00B03C0F" w:rsidRPr="008F1125">
        <w:rPr>
          <w:b/>
          <w:bCs/>
          <w:iCs/>
          <w:szCs w:val="22"/>
          <w:lang w:val="sr-Latn-RS"/>
        </w:rPr>
        <w:t>–</w:t>
      </w:r>
      <w:r w:rsidRPr="008F1125">
        <w:rPr>
          <w:b/>
          <w:bCs/>
          <w:iCs/>
          <w:szCs w:val="22"/>
          <w:lang w:val="sr-Latn-RS"/>
        </w:rPr>
        <w:t xml:space="preserve"> potpuni skup podataka za analizu</w:t>
      </w:r>
    </w:p>
    <w:p w14:paraId="3F77CAB6" w14:textId="77777777" w:rsidR="002D5D3C" w:rsidRPr="008F1125" w:rsidRDefault="002D5D3C" w:rsidP="00B03C0F">
      <w:pPr>
        <w:tabs>
          <w:tab w:val="clear" w:pos="567"/>
        </w:tabs>
        <w:jc w:val="both"/>
        <w:rPr>
          <w:b/>
          <w:bCs/>
          <w:iCs/>
          <w:szCs w:val="22"/>
          <w:lang w:val="sr-Latn-RS"/>
        </w:rPr>
      </w:pPr>
    </w:p>
    <w:p w14:paraId="71A88B9F" w14:textId="04CB20CB" w:rsidR="002D5D3C" w:rsidRDefault="002D5D3C" w:rsidP="00770AEC">
      <w:pPr>
        <w:tabs>
          <w:tab w:val="clear" w:pos="567"/>
        </w:tabs>
        <w:rPr>
          <w:bCs/>
          <w:iCs/>
          <w:szCs w:val="22"/>
          <w:lang w:val="sr-Latn-RS"/>
        </w:rPr>
      </w:pPr>
    </w:p>
    <w:p w14:paraId="51D6E600" w14:textId="618C80D6" w:rsidR="00550471" w:rsidRPr="008F1125" w:rsidRDefault="00EE51A1" w:rsidP="00770AEC">
      <w:pPr>
        <w:tabs>
          <w:tab w:val="clear" w:pos="567"/>
        </w:tabs>
        <w:rPr>
          <w:bCs/>
          <w:iCs/>
          <w:szCs w:val="22"/>
          <w:lang w:val="sr-Latn-RS"/>
        </w:rPr>
      </w:pPr>
      <w:r>
        <w:rPr>
          <w:noProof/>
          <w:lang w:val="en-US"/>
        </w:rPr>
        <w:drawing>
          <wp:inline distT="0" distB="0" distL="0" distR="0" wp14:anchorId="6637704D" wp14:editId="1929E388">
            <wp:extent cx="5760085" cy="33966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085" cy="3396615"/>
                    </a:xfrm>
                    <a:prstGeom prst="rect">
                      <a:avLst/>
                    </a:prstGeom>
                  </pic:spPr>
                </pic:pic>
              </a:graphicData>
            </a:graphic>
          </wp:inline>
        </w:drawing>
      </w:r>
    </w:p>
    <w:p w14:paraId="1BF26EE7" w14:textId="77777777" w:rsidR="002D5D3C" w:rsidRPr="008F1125" w:rsidRDefault="002D5D3C" w:rsidP="00770AEC">
      <w:pPr>
        <w:tabs>
          <w:tab w:val="clear" w:pos="567"/>
        </w:tabs>
        <w:rPr>
          <w:bCs/>
          <w:iCs/>
          <w:szCs w:val="22"/>
          <w:lang w:val="sr-Latn-RS"/>
        </w:rPr>
      </w:pPr>
    </w:p>
    <w:p w14:paraId="3659DAA8" w14:textId="0942B8EF" w:rsidR="00770AEC" w:rsidRPr="008F1125" w:rsidRDefault="00770AEC" w:rsidP="00770AEC">
      <w:pPr>
        <w:tabs>
          <w:tab w:val="clear" w:pos="567"/>
        </w:tabs>
        <w:rPr>
          <w:bCs/>
          <w:iCs/>
          <w:szCs w:val="22"/>
          <w:lang w:val="sr-Latn-RS"/>
        </w:rPr>
      </w:pPr>
      <w:r w:rsidRPr="008F1125">
        <w:rPr>
          <w:bCs/>
          <w:iCs/>
          <w:szCs w:val="22"/>
          <w:lang w:val="sr-Latn-RS"/>
        </w:rPr>
        <w:t>(A): Svi randomiz</w:t>
      </w:r>
      <w:r w:rsidR="002D5D3C" w:rsidRPr="008F1125">
        <w:rPr>
          <w:bCs/>
          <w:iCs/>
          <w:szCs w:val="22"/>
          <w:lang w:val="sr-Latn-RS"/>
        </w:rPr>
        <w:t>ov</w:t>
      </w:r>
      <w:r w:rsidRPr="008F1125">
        <w:rPr>
          <w:bCs/>
          <w:iCs/>
          <w:szCs w:val="22"/>
          <w:lang w:val="sr-Latn-RS"/>
        </w:rPr>
        <w:t xml:space="preserve">ani </w:t>
      </w:r>
      <w:r w:rsidR="002D5D3C" w:rsidRPr="008F1125">
        <w:rPr>
          <w:bCs/>
          <w:iCs/>
          <w:szCs w:val="22"/>
          <w:lang w:val="sr-Latn-RS"/>
        </w:rPr>
        <w:t>pacijenti</w:t>
      </w:r>
    </w:p>
    <w:p w14:paraId="06411156" w14:textId="77777777" w:rsidR="002D5D3C" w:rsidRPr="008F1125" w:rsidRDefault="002D5D3C" w:rsidP="00770AEC">
      <w:pPr>
        <w:tabs>
          <w:tab w:val="clear" w:pos="567"/>
        </w:tabs>
        <w:rPr>
          <w:bCs/>
          <w:iCs/>
          <w:szCs w:val="22"/>
          <w:lang w:val="sr-Latn-RS"/>
        </w:rPr>
      </w:pPr>
    </w:p>
    <w:p w14:paraId="5FBD4E23" w14:textId="67F5FA15" w:rsidR="002D5D3C" w:rsidRDefault="002D5D3C" w:rsidP="00770AEC">
      <w:pPr>
        <w:tabs>
          <w:tab w:val="clear" w:pos="567"/>
        </w:tabs>
        <w:rPr>
          <w:bCs/>
          <w:iCs/>
          <w:szCs w:val="22"/>
          <w:lang w:val="sr-Latn-RS"/>
        </w:rPr>
      </w:pPr>
    </w:p>
    <w:p w14:paraId="0CAFFA1A" w14:textId="00921BBC" w:rsidR="00550471" w:rsidRPr="008F1125" w:rsidRDefault="00EE51A1" w:rsidP="00770AEC">
      <w:pPr>
        <w:tabs>
          <w:tab w:val="clear" w:pos="567"/>
        </w:tabs>
        <w:rPr>
          <w:bCs/>
          <w:iCs/>
          <w:szCs w:val="22"/>
          <w:lang w:val="sr-Latn-RS"/>
        </w:rPr>
      </w:pPr>
      <w:r>
        <w:rPr>
          <w:noProof/>
          <w:lang w:val="en-US"/>
        </w:rPr>
        <w:lastRenderedPageBreak/>
        <w:drawing>
          <wp:inline distT="0" distB="0" distL="0" distR="0" wp14:anchorId="003EA5EF" wp14:editId="3D276C0E">
            <wp:extent cx="5760085" cy="33762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3376295"/>
                    </a:xfrm>
                    <a:prstGeom prst="rect">
                      <a:avLst/>
                    </a:prstGeom>
                  </pic:spPr>
                </pic:pic>
              </a:graphicData>
            </a:graphic>
          </wp:inline>
        </w:drawing>
      </w:r>
    </w:p>
    <w:p w14:paraId="30261F65" w14:textId="715EA7DF" w:rsidR="00770AEC" w:rsidRPr="008F1125" w:rsidRDefault="00770AEC" w:rsidP="00770AEC">
      <w:pPr>
        <w:tabs>
          <w:tab w:val="clear" w:pos="567"/>
        </w:tabs>
        <w:rPr>
          <w:bCs/>
          <w:iCs/>
          <w:szCs w:val="22"/>
          <w:lang w:val="sr-Latn-RS"/>
        </w:rPr>
      </w:pPr>
      <w:r w:rsidRPr="008F1125">
        <w:rPr>
          <w:bCs/>
          <w:iCs/>
          <w:szCs w:val="22"/>
          <w:lang w:val="sr-Latn-RS"/>
        </w:rPr>
        <w:t xml:space="preserve">(B): </w:t>
      </w:r>
      <w:r w:rsidR="002D5D3C" w:rsidRPr="008F1125">
        <w:rPr>
          <w:bCs/>
          <w:iCs/>
          <w:szCs w:val="22"/>
          <w:lang w:val="sr-Latn-RS"/>
        </w:rPr>
        <w:t>Pacijenti</w:t>
      </w:r>
      <w:r w:rsidRPr="008F1125">
        <w:rPr>
          <w:bCs/>
          <w:iCs/>
          <w:szCs w:val="22"/>
          <w:lang w:val="sr-Latn-RS"/>
        </w:rPr>
        <w:t xml:space="preserve"> prema ekspresiji PD-L1</w:t>
      </w:r>
    </w:p>
    <w:p w14:paraId="02603FAB" w14:textId="77777777" w:rsidR="00770AEC" w:rsidRPr="008F1125" w:rsidRDefault="00770AEC" w:rsidP="00577413">
      <w:pPr>
        <w:rPr>
          <w:bCs/>
          <w:iCs/>
          <w:szCs w:val="22"/>
          <w:lang w:val="sr-Latn-RS"/>
        </w:rPr>
      </w:pPr>
    </w:p>
    <w:p w14:paraId="1FB63675" w14:textId="77777777" w:rsidR="00014D35" w:rsidRPr="008F1125" w:rsidRDefault="00926926" w:rsidP="00B03C0F">
      <w:pPr>
        <w:keepNext/>
        <w:keepLines/>
        <w:tabs>
          <w:tab w:val="clear" w:pos="567"/>
        </w:tabs>
        <w:kinsoku w:val="0"/>
        <w:overflowPunct w:val="0"/>
        <w:autoSpaceDE w:val="0"/>
        <w:autoSpaceDN w:val="0"/>
        <w:adjustRightInd w:val="0"/>
        <w:jc w:val="both"/>
        <w:rPr>
          <w:rFonts w:eastAsia="SimSun"/>
          <w:i/>
          <w:iCs/>
          <w:spacing w:val="-1"/>
          <w:szCs w:val="22"/>
          <w:u w:val="single"/>
          <w:lang w:val="sr-Latn-RS" w:eastAsia="en-GB"/>
        </w:rPr>
      </w:pPr>
      <w:r w:rsidRPr="008F1125">
        <w:rPr>
          <w:i/>
          <w:spacing w:val="-1"/>
          <w:u w:val="single"/>
          <w:lang w:val="sr-Latn-RS" w:bidi="sr-Latn-RS"/>
        </w:rPr>
        <w:t>Karcinom bubrežnih ćelija (ispitivanje B9991003)</w:t>
      </w:r>
    </w:p>
    <w:p w14:paraId="1FB63676" w14:textId="65DD86B7" w:rsidR="0059510E" w:rsidRPr="008F1125" w:rsidRDefault="00926926" w:rsidP="003D55E0">
      <w:pPr>
        <w:autoSpaceDE w:val="0"/>
        <w:autoSpaceDN w:val="0"/>
        <w:adjustRightInd w:val="0"/>
        <w:rPr>
          <w:szCs w:val="22"/>
          <w:lang w:val="sr-Latn-RS"/>
        </w:rPr>
      </w:pPr>
      <w:r w:rsidRPr="008F1125">
        <w:rPr>
          <w:spacing w:val="-1"/>
          <w:lang w:val="sr-Latn-RS" w:bidi="sr-Latn-RS"/>
        </w:rPr>
        <w:t xml:space="preserve">Efikasnost i </w:t>
      </w:r>
      <w:r w:rsidR="00DD502A" w:rsidRPr="008F1125">
        <w:rPr>
          <w:spacing w:val="-1"/>
          <w:lang w:val="sr-Latn-RS" w:bidi="sr-Latn-RS"/>
        </w:rPr>
        <w:t>bezbjednost</w:t>
      </w:r>
      <w:r w:rsidRPr="008F1125">
        <w:rPr>
          <w:spacing w:val="-1"/>
          <w:lang w:val="sr-Latn-RS" w:bidi="sr-Latn-RS"/>
        </w:rPr>
        <w:t xml:space="preserve"> prim</w:t>
      </w:r>
      <w:r w:rsidR="00515B67" w:rsidRPr="008F1125">
        <w:rPr>
          <w:spacing w:val="-1"/>
          <w:lang w:val="sr-Latn-RS" w:bidi="sr-Latn-RS"/>
        </w:rPr>
        <w:t>j</w:t>
      </w:r>
      <w:r w:rsidRPr="008F1125">
        <w:rPr>
          <w:spacing w:val="-1"/>
          <w:lang w:val="sr-Latn-RS" w:bidi="sr-Latn-RS"/>
        </w:rPr>
        <w:t xml:space="preserve">ene avelumaba u kombinaciji sa aksitinibom dokazana je u ispitivanju B9991003, randomizovanom, multicentričnom, otvorenom ispitivanju avelumaba u kombinaciji sa aksitinibom </w:t>
      </w:r>
      <w:r w:rsidR="00B03C0F" w:rsidRPr="008F1125">
        <w:rPr>
          <w:spacing w:val="-1"/>
          <w:lang w:val="sr-Latn-RS" w:bidi="sr-Latn-RS"/>
        </w:rPr>
        <w:t>kod</w:t>
      </w:r>
      <w:r w:rsidRPr="008F1125">
        <w:rPr>
          <w:spacing w:val="-1"/>
          <w:lang w:val="sr-Latn-RS" w:bidi="sr-Latn-RS"/>
        </w:rPr>
        <w:t xml:space="preserve"> 886 nel</w:t>
      </w:r>
      <w:r w:rsidR="00B03C0F" w:rsidRPr="008F1125">
        <w:rPr>
          <w:spacing w:val="-1"/>
          <w:lang w:val="sr-Latn-RS" w:bidi="sr-Latn-RS"/>
        </w:rPr>
        <w:t>ij</w:t>
      </w:r>
      <w:r w:rsidRPr="008F1125">
        <w:rPr>
          <w:spacing w:val="-1"/>
          <w:lang w:val="sr-Latn-RS" w:bidi="sr-Latn-RS"/>
        </w:rPr>
        <w:t>ečenih pacijenata sa uznapredovalim ili metastatskim karcinomom bubrežnih ćelija sa komponentom sv</w:t>
      </w:r>
      <w:r w:rsidR="00B03C0F" w:rsidRPr="008F1125">
        <w:rPr>
          <w:spacing w:val="-1"/>
          <w:lang w:val="sr-Latn-RS" w:bidi="sr-Latn-RS"/>
        </w:rPr>
        <w:t>ij</w:t>
      </w:r>
      <w:r w:rsidRPr="008F1125">
        <w:rPr>
          <w:spacing w:val="-1"/>
          <w:lang w:val="sr-Latn-RS" w:bidi="sr-Latn-RS"/>
        </w:rPr>
        <w:t>etlih ćelija.</w:t>
      </w:r>
    </w:p>
    <w:p w14:paraId="1FB63677" w14:textId="77777777" w:rsidR="0059510E" w:rsidRPr="008F1125" w:rsidRDefault="0059510E" w:rsidP="003D55E0">
      <w:pPr>
        <w:autoSpaceDE w:val="0"/>
        <w:autoSpaceDN w:val="0"/>
        <w:adjustRightInd w:val="0"/>
        <w:rPr>
          <w:szCs w:val="22"/>
          <w:lang w:val="sr-Latn-RS"/>
        </w:rPr>
      </w:pPr>
    </w:p>
    <w:p w14:paraId="1FB63678" w14:textId="7E51AF7C" w:rsidR="005E38EB" w:rsidRPr="008F1125" w:rsidRDefault="00926926" w:rsidP="003D55E0">
      <w:pPr>
        <w:autoSpaceDE w:val="0"/>
        <w:autoSpaceDN w:val="0"/>
        <w:adjustRightInd w:val="0"/>
        <w:rPr>
          <w:rFonts w:eastAsia="SimSun"/>
          <w:spacing w:val="-1"/>
          <w:szCs w:val="22"/>
          <w:lang w:val="sr-Latn-RS" w:eastAsia="en-GB"/>
        </w:rPr>
      </w:pPr>
      <w:r w:rsidRPr="008F1125">
        <w:rPr>
          <w:lang w:val="sr-Latn-RS" w:bidi="sr-Latn-RS"/>
        </w:rPr>
        <w:t>Pacijenti su bili uključeni u ispitivanje nezavisno od grupe po prognostičkom riziku ili tumorskoj ekspresiji PD-L1 i morali su da imaju najmanje jednu m</w:t>
      </w:r>
      <w:r w:rsidR="00B03C0F" w:rsidRPr="008F1125">
        <w:rPr>
          <w:lang w:val="sr-Latn-RS" w:bidi="sr-Latn-RS"/>
        </w:rPr>
        <w:t>j</w:t>
      </w:r>
      <w:r w:rsidRPr="008F1125">
        <w:rPr>
          <w:lang w:val="sr-Latn-RS" w:bidi="sr-Latn-RS"/>
        </w:rPr>
        <w:t>erljivu leziju prema Kriterijumima za oc</w:t>
      </w:r>
      <w:r w:rsidR="00B03C0F" w:rsidRPr="008F1125">
        <w:rPr>
          <w:lang w:val="sr-Latn-RS" w:bidi="sr-Latn-RS"/>
        </w:rPr>
        <w:t>j</w:t>
      </w:r>
      <w:r w:rsidRPr="008F1125">
        <w:rPr>
          <w:lang w:val="sr-Latn-RS" w:bidi="sr-Latn-RS"/>
        </w:rPr>
        <w:t xml:space="preserve">enu odgovora kod solidnih tumora (eng. </w:t>
      </w:r>
      <w:r w:rsidRPr="008F1125">
        <w:rPr>
          <w:i/>
          <w:lang w:val="sr-Latn-RS" w:bidi="sr-Latn-RS"/>
        </w:rPr>
        <w:t>Response Evaluation Criteria in Solid Tumours</w:t>
      </w:r>
      <w:r w:rsidRPr="008F1125">
        <w:rPr>
          <w:lang w:val="sr-Latn-RS" w:bidi="sr-Latn-RS"/>
        </w:rPr>
        <w:t>, RECIST), verziji 1.1, a koja prethodno nije bila zračena. Pacijenti koji su prethodno primali sistemsku terapiju usm</w:t>
      </w:r>
      <w:r w:rsidR="00B03C0F" w:rsidRPr="008F1125">
        <w:rPr>
          <w:lang w:val="sr-Latn-RS" w:bidi="sr-Latn-RS"/>
        </w:rPr>
        <w:t>j</w:t>
      </w:r>
      <w:r w:rsidRPr="008F1125">
        <w:rPr>
          <w:lang w:val="sr-Latn-RS" w:bidi="sr-Latn-RS"/>
        </w:rPr>
        <w:t>erenu na uznapredovali ili metastatski karcinom bubrežnih ćelija, koji su primali sistemsku imunoterapiju IL-2, IFN-α, antit</w:t>
      </w:r>
      <w:r w:rsidR="00B03C0F" w:rsidRPr="008F1125">
        <w:rPr>
          <w:lang w:val="sr-Latn-RS" w:bidi="sr-Latn-RS"/>
        </w:rPr>
        <w:t>ij</w:t>
      </w:r>
      <w:r w:rsidRPr="008F1125">
        <w:rPr>
          <w:lang w:val="sr-Latn-RS" w:bidi="sr-Latn-RS"/>
        </w:rPr>
        <w:t>elima na PD-1, PD-L1 ili CTLA-4 ili su imali aktivne metastaze na mozgu, aktivnu autoimunu bolest koja se mogla pogoršati zbog primanja imunostimulativnih l</w:t>
      </w:r>
      <w:r w:rsidR="0038574B" w:rsidRPr="008F1125">
        <w:rPr>
          <w:lang w:val="sr-Latn-RS" w:bidi="sr-Latn-RS"/>
        </w:rPr>
        <w:t>j</w:t>
      </w:r>
      <w:r w:rsidRPr="008F1125">
        <w:rPr>
          <w:lang w:val="sr-Latn-RS" w:bidi="sr-Latn-RS"/>
        </w:rPr>
        <w:t>ekova, druge malignitete u anamnezi u prethodnih 5 godina ili koji su bili podvrgnuti transplantaciji organa, ni</w:t>
      </w:r>
      <w:r w:rsidR="00721FF5" w:rsidRPr="008F1125">
        <w:rPr>
          <w:lang w:val="sr-Latn-RS" w:bidi="sr-Latn-RS"/>
        </w:rPr>
        <w:t>je</w:t>
      </w:r>
      <w:r w:rsidRPr="008F1125">
        <w:rPr>
          <w:lang w:val="sr-Latn-RS" w:bidi="sr-Latn-RS"/>
        </w:rPr>
        <w:t>su bili pogodni za ispitivanje.</w:t>
      </w:r>
    </w:p>
    <w:p w14:paraId="1FB63679" w14:textId="77777777" w:rsidR="005E38EB" w:rsidRPr="008F1125" w:rsidRDefault="005E38EB" w:rsidP="003D55E0">
      <w:pPr>
        <w:rPr>
          <w:szCs w:val="22"/>
          <w:lang w:val="sr-Latn-RS"/>
        </w:rPr>
      </w:pPr>
    </w:p>
    <w:p w14:paraId="1FB6367A" w14:textId="3C8668E1" w:rsidR="005C0AF0" w:rsidRPr="008F1125" w:rsidRDefault="00926926" w:rsidP="003D55E0">
      <w:pPr>
        <w:keepNext/>
        <w:rPr>
          <w:szCs w:val="22"/>
          <w:lang w:val="sr-Latn-RS"/>
        </w:rPr>
      </w:pPr>
      <w:r w:rsidRPr="008F1125">
        <w:rPr>
          <w:lang w:val="sr-Latn-RS" w:bidi="sr-Latn-RS"/>
        </w:rPr>
        <w:t xml:space="preserve">Randomizacija je bila stratifikovana prema </w:t>
      </w:r>
      <w:r w:rsidR="00AA7648" w:rsidRPr="008F1125">
        <w:rPr>
          <w:lang w:val="sr-Latn-RS" w:bidi="sr-Latn-RS"/>
        </w:rPr>
        <w:t xml:space="preserve">performans </w:t>
      </w:r>
      <w:r w:rsidRPr="008F1125">
        <w:rPr>
          <w:lang w:val="sr-Latn-RS" w:bidi="sr-Latn-RS"/>
        </w:rPr>
        <w:t>statusu ECOG (0 na</w:t>
      </w:r>
      <w:r w:rsidR="00721FF5" w:rsidRPr="008F1125">
        <w:rPr>
          <w:lang w:val="sr-Latn-RS" w:bidi="sr-Latn-RS"/>
        </w:rPr>
        <w:t>s</w:t>
      </w:r>
      <w:r w:rsidRPr="008F1125">
        <w:rPr>
          <w:lang w:val="sr-Latn-RS" w:bidi="sr-Latn-RS"/>
        </w:rPr>
        <w:t>pram 1) i regionu (Sjedinjene Američke Države naspram Kanade/Zapadne Evrope naspram ostatka sv</w:t>
      </w:r>
      <w:r w:rsidR="00721FF5" w:rsidRPr="008F1125">
        <w:rPr>
          <w:lang w:val="sr-Latn-RS" w:bidi="sr-Latn-RS"/>
        </w:rPr>
        <w:t>ij</w:t>
      </w:r>
      <w:r w:rsidRPr="008F1125">
        <w:rPr>
          <w:lang w:val="sr-Latn-RS" w:bidi="sr-Latn-RS"/>
        </w:rPr>
        <w:t>eta). Pacijenti su bili randomizovani (1:1) u jednu od s</w:t>
      </w:r>
      <w:r w:rsidR="00721FF5" w:rsidRPr="008F1125">
        <w:rPr>
          <w:lang w:val="sr-Latn-RS" w:bidi="sr-Latn-RS"/>
        </w:rPr>
        <w:t>lj</w:t>
      </w:r>
      <w:r w:rsidRPr="008F1125">
        <w:rPr>
          <w:lang w:val="sr-Latn-RS" w:bidi="sr-Latn-RS"/>
        </w:rPr>
        <w:t>edećih terapijskih grupa:</w:t>
      </w:r>
    </w:p>
    <w:p w14:paraId="1FB6367B" w14:textId="003E4127" w:rsidR="005C0AF0" w:rsidRPr="008F1125" w:rsidRDefault="00926926" w:rsidP="003D55E0">
      <w:pPr>
        <w:pStyle w:val="ListParagraph"/>
        <w:numPr>
          <w:ilvl w:val="0"/>
          <w:numId w:val="30"/>
        </w:numPr>
        <w:spacing w:line="240" w:lineRule="auto"/>
        <w:ind w:left="567" w:hanging="567"/>
        <w:rPr>
          <w:lang w:val="sr-Latn-RS"/>
        </w:rPr>
      </w:pPr>
      <w:r w:rsidRPr="008F1125">
        <w:rPr>
          <w:lang w:val="sr-Latn-RS" w:bidi="sr-Latn-RS"/>
        </w:rPr>
        <w:t>Avelumab u dozi od 10 mg/kg intravenskom infuzijom svake 2 ned</w:t>
      </w:r>
      <w:r w:rsidR="00721FF5" w:rsidRPr="008F1125">
        <w:rPr>
          <w:lang w:val="sr-Latn-RS" w:bidi="sr-Latn-RS"/>
        </w:rPr>
        <w:t>j</w:t>
      </w:r>
      <w:r w:rsidRPr="008F1125">
        <w:rPr>
          <w:lang w:val="sr-Latn-RS" w:bidi="sr-Latn-RS"/>
        </w:rPr>
        <w:t>elje u kombinaciji sa aksitinibom u dozi od 5 mg peroralno dvaput na dan (N=442). Kod pacijenata koji su podnosili aksitinib u dozi od 5 mg dvaput na dan bez neželjenih događaja 2. ili višeg stepena tokom 2 uzastopne ned</w:t>
      </w:r>
      <w:r w:rsidR="00721FF5" w:rsidRPr="008F1125">
        <w:rPr>
          <w:lang w:val="sr-Latn-RS" w:bidi="sr-Latn-RS"/>
        </w:rPr>
        <w:t>j</w:t>
      </w:r>
      <w:r w:rsidRPr="008F1125">
        <w:rPr>
          <w:lang w:val="sr-Latn-RS" w:bidi="sr-Latn-RS"/>
        </w:rPr>
        <w:t>elje, doza je mogla da se poveća na 7 mg, a nakon toga na 10 mg dvaput na dan. Prim</w:t>
      </w:r>
      <w:r w:rsidR="00515B67" w:rsidRPr="008F1125">
        <w:rPr>
          <w:lang w:val="sr-Latn-RS" w:bidi="sr-Latn-RS"/>
        </w:rPr>
        <w:t>j</w:t>
      </w:r>
      <w:r w:rsidRPr="008F1125">
        <w:rPr>
          <w:lang w:val="sr-Latn-RS" w:bidi="sr-Latn-RS"/>
        </w:rPr>
        <w:t xml:space="preserve">ena aksitiniba mogla je da se odloži ili </w:t>
      </w:r>
      <w:r w:rsidR="00721FF5" w:rsidRPr="008F1125">
        <w:rPr>
          <w:lang w:val="sr-Latn-RS" w:bidi="sr-Latn-RS"/>
        </w:rPr>
        <w:t xml:space="preserve">da se </w:t>
      </w:r>
      <w:r w:rsidRPr="008F1125">
        <w:rPr>
          <w:lang w:val="sr-Latn-RS" w:bidi="sr-Latn-RS"/>
        </w:rPr>
        <w:t>doza smanji na 3 mg dvaput na dan, a zatim na 2 mg dvaput na dan zbog zbrinjavanja toksičnosti.</w:t>
      </w:r>
    </w:p>
    <w:p w14:paraId="1FB6367C" w14:textId="5EEA4654" w:rsidR="005C0AF0" w:rsidRPr="008F1125" w:rsidRDefault="00926926" w:rsidP="003D55E0">
      <w:pPr>
        <w:pStyle w:val="ListParagraph"/>
        <w:numPr>
          <w:ilvl w:val="0"/>
          <w:numId w:val="30"/>
        </w:numPr>
        <w:spacing w:line="240" w:lineRule="auto"/>
        <w:ind w:left="567" w:hanging="567"/>
        <w:rPr>
          <w:lang w:val="sr-Latn-RS"/>
        </w:rPr>
      </w:pPr>
      <w:r w:rsidRPr="008F1125">
        <w:rPr>
          <w:lang w:val="sr-Latn-RS" w:bidi="sr-Latn-RS"/>
        </w:rPr>
        <w:t>Sunitinib u dozi od 50 mg peroralno jedanput na dan tokom 4 ned</w:t>
      </w:r>
      <w:r w:rsidR="00721FF5" w:rsidRPr="008F1125">
        <w:rPr>
          <w:lang w:val="sr-Latn-RS" w:bidi="sr-Latn-RS"/>
        </w:rPr>
        <w:t>j</w:t>
      </w:r>
      <w:r w:rsidRPr="008F1125">
        <w:rPr>
          <w:lang w:val="sr-Latn-RS" w:bidi="sr-Latn-RS"/>
        </w:rPr>
        <w:t>elje, a zatim 2 ned</w:t>
      </w:r>
      <w:r w:rsidR="00721FF5" w:rsidRPr="008F1125">
        <w:rPr>
          <w:lang w:val="sr-Latn-RS" w:bidi="sr-Latn-RS"/>
        </w:rPr>
        <w:t>j</w:t>
      </w:r>
      <w:r w:rsidRPr="008F1125">
        <w:rPr>
          <w:lang w:val="sr-Latn-RS" w:bidi="sr-Latn-RS"/>
        </w:rPr>
        <w:t>elje bez l</w:t>
      </w:r>
      <w:r w:rsidR="0038574B" w:rsidRPr="008F1125">
        <w:rPr>
          <w:lang w:val="sr-Latn-RS" w:bidi="sr-Latn-RS"/>
        </w:rPr>
        <w:t>ij</w:t>
      </w:r>
      <w:r w:rsidRPr="008F1125">
        <w:rPr>
          <w:lang w:val="sr-Latn-RS" w:bidi="sr-Latn-RS"/>
        </w:rPr>
        <w:t>eka (N=444) sve do radiografske ili kliničke progresije ili neprihvatljive toksičnosti.</w:t>
      </w:r>
    </w:p>
    <w:p w14:paraId="1FB6367D" w14:textId="77777777" w:rsidR="005C0AF0" w:rsidRPr="008F1125" w:rsidRDefault="005C0AF0" w:rsidP="003D55E0">
      <w:pPr>
        <w:rPr>
          <w:szCs w:val="22"/>
          <w:lang w:val="sr-Latn-RS"/>
        </w:rPr>
      </w:pPr>
    </w:p>
    <w:p w14:paraId="1FB6367E" w14:textId="2D40F74E" w:rsidR="005C0AF0" w:rsidRPr="008F1125" w:rsidRDefault="00926926" w:rsidP="003D55E0">
      <w:pPr>
        <w:jc w:val="both"/>
        <w:rPr>
          <w:szCs w:val="22"/>
          <w:lang w:val="sr-Latn-RS"/>
        </w:rPr>
      </w:pPr>
      <w:r w:rsidRPr="008F1125">
        <w:rPr>
          <w:lang w:val="sr-Latn-RS" w:bidi="sr-Latn-RS"/>
        </w:rPr>
        <w:t xml:space="preserve">Terapija avelumabom i aksitinibom nastavljena je do progresije bolesti definisane RECIST v1.1 kriterijumima prema </w:t>
      </w:r>
      <w:r w:rsidR="00E74CD9" w:rsidRPr="008F1125">
        <w:rPr>
          <w:lang w:val="sr-Latn-RS" w:bidi="sr-Latn-RS"/>
        </w:rPr>
        <w:t>procjeni</w:t>
      </w:r>
      <w:r w:rsidRPr="008F1125">
        <w:rPr>
          <w:lang w:val="sr-Latn-RS" w:bidi="sr-Latn-RS"/>
        </w:rPr>
        <w:t xml:space="preserve"> BICR</w:t>
      </w:r>
      <w:r w:rsidR="009C0C2A" w:rsidRPr="008F1125">
        <w:rPr>
          <w:lang w:val="sr-Latn-RS" w:bidi="sr-Latn-RS"/>
        </w:rPr>
        <w:t>-a</w:t>
      </w:r>
      <w:r w:rsidRPr="008F1125">
        <w:rPr>
          <w:lang w:val="sr-Latn-RS" w:bidi="sr-Latn-RS"/>
        </w:rPr>
        <w:t xml:space="preserve"> ili do neprihvatljive toksičnosti. Prim</w:t>
      </w:r>
      <w:r w:rsidR="00515B67" w:rsidRPr="008F1125">
        <w:rPr>
          <w:lang w:val="sr-Latn-RS" w:bidi="sr-Latn-RS"/>
        </w:rPr>
        <w:t>j</w:t>
      </w:r>
      <w:r w:rsidRPr="008F1125">
        <w:rPr>
          <w:lang w:val="sr-Latn-RS" w:bidi="sr-Latn-RS"/>
        </w:rPr>
        <w:t>ena avelumaba i aksitiniba bila je dozvoljena i nakon progresije bolesti definisane RECIST kriterijumima na osnovu proc</w:t>
      </w:r>
      <w:r w:rsidR="009C0C2A" w:rsidRPr="008F1125">
        <w:rPr>
          <w:lang w:val="sr-Latn-RS" w:bidi="sr-Latn-RS"/>
        </w:rPr>
        <w:t>j</w:t>
      </w:r>
      <w:r w:rsidRPr="008F1125">
        <w:rPr>
          <w:lang w:val="sr-Latn-RS" w:bidi="sr-Latn-RS"/>
        </w:rPr>
        <w:t xml:space="preserve">ene koristi i rizika za pojedinog pacijenta i njegovog kliničkog stanja od strane ispitivača, uključujući i </w:t>
      </w:r>
      <w:r w:rsidR="00AA7648" w:rsidRPr="008F1125">
        <w:rPr>
          <w:lang w:val="sr-Latn-RS" w:bidi="sr-Latn-RS"/>
        </w:rPr>
        <w:t xml:space="preserve">performans </w:t>
      </w:r>
      <w:r w:rsidRPr="008F1125">
        <w:rPr>
          <w:lang w:val="sr-Latn-RS" w:bidi="sr-Latn-RS"/>
        </w:rPr>
        <w:t xml:space="preserve">status pacijenta, kliničke simptome, štetne događaje i laboratorijske podatke. Većina </w:t>
      </w:r>
      <w:r w:rsidRPr="008F1125">
        <w:rPr>
          <w:lang w:val="sr-Latn-RS" w:bidi="sr-Latn-RS"/>
        </w:rPr>
        <w:lastRenderedPageBreak/>
        <w:t>pacijenata (n=160; 71,4%) sa progresivnom bolešću nastavila je terapiju sa oba l</w:t>
      </w:r>
      <w:r w:rsidR="00515B67" w:rsidRPr="008F1125">
        <w:rPr>
          <w:lang w:val="sr-Latn-RS" w:bidi="sr-Latn-RS"/>
        </w:rPr>
        <w:t>ij</w:t>
      </w:r>
      <w:r w:rsidRPr="008F1125">
        <w:rPr>
          <w:lang w:val="sr-Latn-RS" w:bidi="sr-Latn-RS"/>
        </w:rPr>
        <w:t>eka i nakon progresije. Proc</w:t>
      </w:r>
      <w:r w:rsidR="00515B67" w:rsidRPr="008F1125">
        <w:rPr>
          <w:lang w:val="sr-Latn-RS" w:bidi="sr-Latn-RS"/>
        </w:rPr>
        <w:t>j</w:t>
      </w:r>
      <w:r w:rsidRPr="008F1125">
        <w:rPr>
          <w:lang w:val="sr-Latn-RS" w:bidi="sr-Latn-RS"/>
        </w:rPr>
        <w:t>ena statusa tumora sprovedena je na početku, a zatim 6 ned</w:t>
      </w:r>
      <w:r w:rsidR="009C0C2A" w:rsidRPr="008F1125">
        <w:rPr>
          <w:lang w:val="sr-Latn-RS" w:bidi="sr-Latn-RS"/>
        </w:rPr>
        <w:t>j</w:t>
      </w:r>
      <w:r w:rsidRPr="008F1125">
        <w:rPr>
          <w:lang w:val="sr-Latn-RS" w:bidi="sr-Latn-RS"/>
        </w:rPr>
        <w:t>elja nakon randomizacije, posl</w:t>
      </w:r>
      <w:r w:rsidR="009C0C2A" w:rsidRPr="008F1125">
        <w:rPr>
          <w:lang w:val="sr-Latn-RS" w:bidi="sr-Latn-RS"/>
        </w:rPr>
        <w:t>ij</w:t>
      </w:r>
      <w:r w:rsidRPr="008F1125">
        <w:rPr>
          <w:lang w:val="sr-Latn-RS" w:bidi="sr-Latn-RS"/>
        </w:rPr>
        <w:t>e toga na svakih 6 ned</w:t>
      </w:r>
      <w:r w:rsidR="009C0C2A" w:rsidRPr="008F1125">
        <w:rPr>
          <w:lang w:val="sr-Latn-RS" w:bidi="sr-Latn-RS"/>
        </w:rPr>
        <w:t>j</w:t>
      </w:r>
      <w:r w:rsidRPr="008F1125">
        <w:rPr>
          <w:lang w:val="sr-Latn-RS" w:bidi="sr-Latn-RS"/>
        </w:rPr>
        <w:t xml:space="preserve">elja do 18 </w:t>
      </w:r>
      <w:r w:rsidR="00B27CC7" w:rsidRPr="008F1125">
        <w:rPr>
          <w:lang w:val="sr-Latn-RS" w:bidi="sr-Latn-RS"/>
        </w:rPr>
        <w:t>mjeseci</w:t>
      </w:r>
      <w:r w:rsidRPr="008F1125">
        <w:rPr>
          <w:lang w:val="sr-Latn-RS" w:bidi="sr-Latn-RS"/>
        </w:rPr>
        <w:t xml:space="preserve"> posl</w:t>
      </w:r>
      <w:r w:rsidR="009C0C2A" w:rsidRPr="008F1125">
        <w:rPr>
          <w:lang w:val="sr-Latn-RS" w:bidi="sr-Latn-RS"/>
        </w:rPr>
        <w:t>ij</w:t>
      </w:r>
      <w:r w:rsidRPr="008F1125">
        <w:rPr>
          <w:lang w:val="sr-Latn-RS" w:bidi="sr-Latn-RS"/>
        </w:rPr>
        <w:t>e randomizacije</w:t>
      </w:r>
      <w:r w:rsidR="009C0C2A" w:rsidRPr="008F1125">
        <w:rPr>
          <w:lang w:val="sr-Latn-RS" w:bidi="sr-Latn-RS"/>
        </w:rPr>
        <w:t>,</w:t>
      </w:r>
      <w:r w:rsidRPr="008F1125">
        <w:rPr>
          <w:lang w:val="sr-Latn-RS" w:bidi="sr-Latn-RS"/>
        </w:rPr>
        <w:t xml:space="preserve"> a posl</w:t>
      </w:r>
      <w:r w:rsidR="009C0C2A" w:rsidRPr="008F1125">
        <w:rPr>
          <w:lang w:val="sr-Latn-RS" w:bidi="sr-Latn-RS"/>
        </w:rPr>
        <w:t>ij</w:t>
      </w:r>
      <w:r w:rsidRPr="008F1125">
        <w:rPr>
          <w:lang w:val="sr-Latn-RS" w:bidi="sr-Latn-RS"/>
        </w:rPr>
        <w:t>e toga na svakih 12 ned</w:t>
      </w:r>
      <w:r w:rsidR="009C0C2A" w:rsidRPr="008F1125">
        <w:rPr>
          <w:lang w:val="sr-Latn-RS" w:bidi="sr-Latn-RS"/>
        </w:rPr>
        <w:t>j</w:t>
      </w:r>
      <w:r w:rsidRPr="008F1125">
        <w:rPr>
          <w:lang w:val="sr-Latn-RS" w:bidi="sr-Latn-RS"/>
        </w:rPr>
        <w:t>elja sve do dokumentovane potvrde progresije bolesti od strane BICR-a.</w:t>
      </w:r>
    </w:p>
    <w:p w14:paraId="1FB6367F" w14:textId="77777777" w:rsidR="005E38EB" w:rsidRPr="008F1125" w:rsidRDefault="005E38EB" w:rsidP="003D55E0">
      <w:pPr>
        <w:jc w:val="both"/>
        <w:rPr>
          <w:szCs w:val="22"/>
          <w:lang w:val="sr-Latn-RS"/>
        </w:rPr>
      </w:pPr>
    </w:p>
    <w:p w14:paraId="1FB63680" w14:textId="7D9B2A3B" w:rsidR="005E38EB" w:rsidRPr="008F1125" w:rsidRDefault="00410D93" w:rsidP="003D55E0">
      <w:pPr>
        <w:jc w:val="both"/>
        <w:rPr>
          <w:szCs w:val="22"/>
          <w:lang w:val="sr-Latn-RS"/>
        </w:rPr>
      </w:pPr>
      <w:r w:rsidRPr="008F1125">
        <w:rPr>
          <w:lang w:val="sr-Latn-RS" w:bidi="sr-Latn-RS"/>
        </w:rPr>
        <w:t>Primarne m</w:t>
      </w:r>
      <w:r w:rsidR="009C0C2A" w:rsidRPr="008F1125">
        <w:rPr>
          <w:lang w:val="sr-Latn-RS" w:bidi="sr-Latn-RS"/>
        </w:rPr>
        <w:t>j</w:t>
      </w:r>
      <w:r w:rsidR="00926926" w:rsidRPr="008F1125">
        <w:rPr>
          <w:lang w:val="sr-Latn-RS" w:bidi="sr-Latn-RS"/>
        </w:rPr>
        <w:t xml:space="preserve">ere ishoda bile su preživljavanje bez progresije bolesti (PFS), prema </w:t>
      </w:r>
      <w:r w:rsidR="00E74CD9" w:rsidRPr="008F1125">
        <w:rPr>
          <w:lang w:val="sr-Latn-RS" w:bidi="sr-Latn-RS"/>
        </w:rPr>
        <w:t>procjeni</w:t>
      </w:r>
      <w:r w:rsidR="00926926" w:rsidRPr="008F1125">
        <w:rPr>
          <w:lang w:val="sr-Latn-RS" w:bidi="sr-Latn-RS"/>
        </w:rPr>
        <w:t xml:space="preserve"> BICR-a na osnovu RECIST v1.1 kriterijuma, i ukupno preživljavanje (OS) kod prve linije terapije pacijenata sa uznapredovalim karcinomom bubrežnih ćelija koji imaju PD-L1-pozitivne tumore (nivo ekspresije PD-L1 ≥ 1%). Ključne sekundarne m</w:t>
      </w:r>
      <w:r w:rsidRPr="008F1125">
        <w:rPr>
          <w:lang w:val="sr-Latn-RS" w:bidi="sr-Latn-RS"/>
        </w:rPr>
        <w:t>j</w:t>
      </w:r>
      <w:r w:rsidR="00926926" w:rsidRPr="008F1125">
        <w:rPr>
          <w:lang w:val="sr-Latn-RS" w:bidi="sr-Latn-RS"/>
        </w:rPr>
        <w:t xml:space="preserve">ere ishoda bile su PFS prema </w:t>
      </w:r>
      <w:r w:rsidR="00E74CD9" w:rsidRPr="008F1125">
        <w:rPr>
          <w:lang w:val="sr-Latn-RS" w:bidi="sr-Latn-RS"/>
        </w:rPr>
        <w:t>procjeni</w:t>
      </w:r>
      <w:r w:rsidR="00926926" w:rsidRPr="008F1125">
        <w:rPr>
          <w:lang w:val="sr-Latn-RS" w:bidi="sr-Latn-RS"/>
        </w:rPr>
        <w:t xml:space="preserve"> BICR-a na osnovu kriterijuma RECIST v1.1 i OS nezavisno od ekspresije PD-L1. Status PD-L1 bio je određen imunohistohemijski. Dodatne sekundarne m</w:t>
      </w:r>
      <w:r w:rsidR="002B7ED7" w:rsidRPr="008F1125">
        <w:rPr>
          <w:lang w:val="sr-Latn-RS" w:bidi="sr-Latn-RS"/>
        </w:rPr>
        <w:t>j</w:t>
      </w:r>
      <w:r w:rsidR="00926926" w:rsidRPr="008F1125">
        <w:rPr>
          <w:lang w:val="sr-Latn-RS" w:bidi="sr-Latn-RS"/>
        </w:rPr>
        <w:t>ere ishoda uključivale su objektivni odgovor (OR), vr</w:t>
      </w:r>
      <w:r w:rsidR="00E74CD9" w:rsidRPr="008F1125">
        <w:rPr>
          <w:lang w:val="sr-Latn-RS" w:bidi="sr-Latn-RS"/>
        </w:rPr>
        <w:t>ij</w:t>
      </w:r>
      <w:r w:rsidR="00926926" w:rsidRPr="008F1125">
        <w:rPr>
          <w:lang w:val="sr-Latn-RS" w:bidi="sr-Latn-RS"/>
        </w:rPr>
        <w:t xml:space="preserve">eme do odgovora (eng. </w:t>
      </w:r>
      <w:r w:rsidR="00926926" w:rsidRPr="008F1125">
        <w:rPr>
          <w:i/>
          <w:lang w:val="sr-Latn-RS" w:bidi="sr-Latn-RS"/>
        </w:rPr>
        <w:t>time to response</w:t>
      </w:r>
      <w:r w:rsidR="00926926" w:rsidRPr="008F1125">
        <w:rPr>
          <w:lang w:val="sr-Latn-RS" w:bidi="sr-Latn-RS"/>
        </w:rPr>
        <w:t xml:space="preserve">, TTR) i trajanje odgovora (eng. </w:t>
      </w:r>
      <w:r w:rsidR="00926926" w:rsidRPr="008F1125">
        <w:rPr>
          <w:i/>
          <w:lang w:val="sr-Latn-RS" w:bidi="sr-Latn-RS"/>
        </w:rPr>
        <w:t>duration of response</w:t>
      </w:r>
      <w:r w:rsidR="00926926" w:rsidRPr="008F1125">
        <w:rPr>
          <w:lang w:val="sr-Latn-RS" w:bidi="sr-Latn-RS"/>
        </w:rPr>
        <w:t>, DOR).</w:t>
      </w:r>
    </w:p>
    <w:p w14:paraId="1FB63681" w14:textId="77777777" w:rsidR="005E38EB" w:rsidRPr="008F1125" w:rsidRDefault="005E38EB" w:rsidP="003D55E0">
      <w:pPr>
        <w:jc w:val="both"/>
        <w:rPr>
          <w:szCs w:val="22"/>
          <w:lang w:val="sr-Latn-RS"/>
        </w:rPr>
      </w:pPr>
    </w:p>
    <w:p w14:paraId="1FB63682" w14:textId="0E36EC1A" w:rsidR="005E38EB" w:rsidRPr="008F1125" w:rsidRDefault="00926926" w:rsidP="003D55E0">
      <w:pPr>
        <w:jc w:val="both"/>
        <w:rPr>
          <w:szCs w:val="22"/>
          <w:lang w:val="sr-Latn-RS"/>
        </w:rPr>
      </w:pPr>
      <w:r w:rsidRPr="008F1125">
        <w:rPr>
          <w:spacing w:val="-1"/>
          <w:lang w:val="sr-Latn-RS" w:bidi="sr-Latn-RS"/>
        </w:rPr>
        <w:t xml:space="preserve">Karakteristike ispitivane populacije: medijana starosti od 61 godine (raspon: 27,0-88,0), 38% pacijenata bilo je starosti 65 godina ili </w:t>
      </w:r>
      <w:r w:rsidR="002B7ED7" w:rsidRPr="008F1125">
        <w:rPr>
          <w:spacing w:val="-1"/>
          <w:lang w:val="sr-Latn-RS" w:bidi="sr-Latn-RS"/>
        </w:rPr>
        <w:t>iznad</w:t>
      </w:r>
      <w:r w:rsidRPr="008F1125">
        <w:rPr>
          <w:spacing w:val="-1"/>
          <w:lang w:val="sr-Latn-RS" w:bidi="sr-Latn-RS"/>
        </w:rPr>
        <w:t xml:space="preserve">, 75% su bili muškarci, 75% </w:t>
      </w:r>
      <w:r w:rsidR="00854AD7" w:rsidRPr="008F1125">
        <w:rPr>
          <w:spacing w:val="-1"/>
          <w:lang w:val="sr-Latn-RS" w:bidi="sr-Latn-RS"/>
        </w:rPr>
        <w:t>bijelci</w:t>
      </w:r>
      <w:r w:rsidRPr="008F1125">
        <w:rPr>
          <w:spacing w:val="-1"/>
          <w:lang w:val="sr-Latn-RS" w:bidi="sr-Latn-RS"/>
        </w:rPr>
        <w:t xml:space="preserve">, a </w:t>
      </w:r>
      <w:r w:rsidR="00AA7648" w:rsidRPr="008F1125">
        <w:rPr>
          <w:spacing w:val="-1"/>
          <w:lang w:val="sr-Latn-RS" w:bidi="sr-Latn-RS"/>
        </w:rPr>
        <w:t xml:space="preserve">performans </w:t>
      </w:r>
      <w:r w:rsidRPr="008F1125">
        <w:rPr>
          <w:spacing w:val="-1"/>
          <w:lang w:val="sr-Latn-RS" w:bidi="sr-Latn-RS"/>
        </w:rPr>
        <w:t>status prema ECOG bio je 0 (63%) ili 1 (37%).</w:t>
      </w:r>
    </w:p>
    <w:p w14:paraId="1FB63683" w14:textId="77777777" w:rsidR="005E38EB" w:rsidRPr="008F1125" w:rsidRDefault="005E38EB" w:rsidP="003D55E0">
      <w:pPr>
        <w:jc w:val="both"/>
        <w:rPr>
          <w:szCs w:val="22"/>
          <w:lang w:val="sr-Latn-RS"/>
        </w:rPr>
      </w:pPr>
    </w:p>
    <w:p w14:paraId="1FB63684" w14:textId="2F621C13" w:rsidR="00014D35" w:rsidRPr="008F1125" w:rsidRDefault="00926926" w:rsidP="003D55E0">
      <w:pPr>
        <w:jc w:val="both"/>
        <w:rPr>
          <w:rFonts w:eastAsia="SimSun"/>
          <w:szCs w:val="22"/>
          <w:lang w:val="sr-Latn-RS"/>
        </w:rPr>
      </w:pPr>
      <w:r w:rsidRPr="008F1125">
        <w:rPr>
          <w:lang w:val="sr-Latn-RS" w:bidi="sr-Latn-RS"/>
        </w:rPr>
        <w:t>Raspod</w:t>
      </w:r>
      <w:r w:rsidR="007C2C75" w:rsidRPr="008F1125">
        <w:rPr>
          <w:lang w:val="sr-Latn-RS" w:bidi="sr-Latn-RS"/>
        </w:rPr>
        <w:t>j</w:t>
      </w:r>
      <w:r w:rsidRPr="008F1125">
        <w:rPr>
          <w:lang w:val="sr-Latn-RS" w:bidi="sr-Latn-RS"/>
        </w:rPr>
        <w:t xml:space="preserve">ela pacijenata po rizičnim grupama prema bazi podataka za metastatski karcinom bubrežnih ćelija međunarodnog konzorcijuma (eng. </w:t>
      </w:r>
      <w:r w:rsidRPr="008F1125">
        <w:rPr>
          <w:i/>
          <w:lang w:val="sr-Latn-RS" w:bidi="sr-Latn-RS"/>
        </w:rPr>
        <w:t>International Metastatic Renal Cell Carcinoma Database</w:t>
      </w:r>
      <w:r w:rsidRPr="008F1125">
        <w:rPr>
          <w:i/>
          <w:lang w:val="sr-Latn-RS" w:bidi="sr-Latn-RS"/>
        </w:rPr>
        <w:br/>
        <w:t>Consortium</w:t>
      </w:r>
      <w:r w:rsidRPr="008F1125">
        <w:rPr>
          <w:lang w:val="sr-Latn-RS" w:bidi="sr-Latn-RS"/>
        </w:rPr>
        <w:t>, IMDC) bila je sl</w:t>
      </w:r>
      <w:r w:rsidR="007C2C75" w:rsidRPr="008F1125">
        <w:rPr>
          <w:lang w:val="sr-Latn-RS" w:bidi="sr-Latn-RS"/>
        </w:rPr>
        <w:t>j</w:t>
      </w:r>
      <w:r w:rsidRPr="008F1125">
        <w:rPr>
          <w:lang w:val="sr-Latn-RS" w:bidi="sr-Latn-RS"/>
        </w:rPr>
        <w:t>edeća: 21% povoljno, 62% srednje i 16% loše. Raspod</w:t>
      </w:r>
      <w:r w:rsidR="007C2C75" w:rsidRPr="008F1125">
        <w:rPr>
          <w:lang w:val="sr-Latn-RS" w:bidi="sr-Latn-RS"/>
        </w:rPr>
        <w:t>j</w:t>
      </w:r>
      <w:r w:rsidRPr="008F1125">
        <w:rPr>
          <w:lang w:val="sr-Latn-RS" w:bidi="sr-Latn-RS"/>
        </w:rPr>
        <w:t xml:space="preserve">ela pacijenata po rizičnim grupama prema Memorijalnom centru za </w:t>
      </w:r>
      <w:r w:rsidR="007C2C75" w:rsidRPr="008F1125">
        <w:rPr>
          <w:lang w:val="sr-Latn-RS" w:bidi="sr-Latn-RS"/>
        </w:rPr>
        <w:t xml:space="preserve">karcinom </w:t>
      </w:r>
      <w:r w:rsidRPr="008F1125">
        <w:rPr>
          <w:i/>
          <w:lang w:val="sr-Latn-RS" w:bidi="sr-Latn-RS"/>
        </w:rPr>
        <w:t>Sloan</w:t>
      </w:r>
      <w:r w:rsidR="007C2C75" w:rsidRPr="008F1125">
        <w:rPr>
          <w:i/>
          <w:lang w:val="sr-Latn-RS" w:bidi="sr-Latn-RS"/>
        </w:rPr>
        <w:t>-</w:t>
      </w:r>
      <w:r w:rsidRPr="008F1125">
        <w:rPr>
          <w:i/>
          <w:lang w:val="sr-Latn-RS" w:bidi="sr-Latn-RS"/>
        </w:rPr>
        <w:t xml:space="preserve">Kettering </w:t>
      </w:r>
      <w:r w:rsidRPr="008F1125">
        <w:rPr>
          <w:lang w:val="sr-Latn-RS" w:bidi="sr-Latn-RS"/>
        </w:rPr>
        <w:t xml:space="preserve">(eng. </w:t>
      </w:r>
      <w:r w:rsidRPr="008F1125">
        <w:rPr>
          <w:i/>
          <w:lang w:val="sr-Latn-RS" w:bidi="sr-Latn-RS"/>
        </w:rPr>
        <w:t>Memorial Sloan-Kettering Cancer Center</w:t>
      </w:r>
      <w:r w:rsidRPr="008F1125">
        <w:rPr>
          <w:lang w:val="sr-Latn-RS" w:bidi="sr-Latn-RS"/>
        </w:rPr>
        <w:t>, MSKCC) bila je sl</w:t>
      </w:r>
      <w:r w:rsidR="007C2C75" w:rsidRPr="008F1125">
        <w:rPr>
          <w:lang w:val="sr-Latn-RS" w:bidi="sr-Latn-RS"/>
        </w:rPr>
        <w:t>j</w:t>
      </w:r>
      <w:r w:rsidRPr="008F1125">
        <w:rPr>
          <w:lang w:val="sr-Latn-RS" w:bidi="sr-Latn-RS"/>
        </w:rPr>
        <w:t>edeća: 22% povoljno, 65% srednje i 11% loše.</w:t>
      </w:r>
    </w:p>
    <w:p w14:paraId="1FB63685" w14:textId="77777777" w:rsidR="00014D35" w:rsidRPr="008F1125" w:rsidRDefault="00014D35" w:rsidP="003D55E0">
      <w:pPr>
        <w:jc w:val="both"/>
        <w:rPr>
          <w:rFonts w:eastAsia="SimSun"/>
          <w:spacing w:val="-1"/>
          <w:szCs w:val="22"/>
          <w:lang w:val="sr-Latn-RS" w:eastAsia="en-GB"/>
        </w:rPr>
      </w:pPr>
    </w:p>
    <w:p w14:paraId="1FB63686" w14:textId="3CD5A050" w:rsidR="00E250B1" w:rsidRPr="008F1125" w:rsidRDefault="00926926" w:rsidP="003D55E0">
      <w:pPr>
        <w:jc w:val="both"/>
        <w:rPr>
          <w:szCs w:val="22"/>
          <w:lang w:val="sr-Latn-RS"/>
        </w:rPr>
      </w:pPr>
      <w:r w:rsidRPr="008F1125">
        <w:rPr>
          <w:lang w:val="sr-Latn-RS" w:bidi="sr-Latn-RS"/>
        </w:rPr>
        <w:t xml:space="preserve">Rezultati ispitivanja efikasnosti prikazani su u Tabeli </w:t>
      </w:r>
      <w:r w:rsidR="0058445B" w:rsidRPr="008F1125">
        <w:rPr>
          <w:lang w:val="sr-Latn-RS" w:bidi="sr-Latn-RS"/>
        </w:rPr>
        <w:t>9</w:t>
      </w:r>
      <w:r w:rsidRPr="008F1125">
        <w:rPr>
          <w:lang w:val="sr-Latn-RS" w:bidi="sr-Latn-RS"/>
        </w:rPr>
        <w:t xml:space="preserve"> i na </w:t>
      </w:r>
      <w:r w:rsidR="0058445B" w:rsidRPr="008F1125">
        <w:rPr>
          <w:lang w:val="sr-Latn-RS" w:bidi="sr-Latn-RS"/>
        </w:rPr>
        <w:t>S</w:t>
      </w:r>
      <w:r w:rsidRPr="008F1125">
        <w:rPr>
          <w:lang w:val="sr-Latn-RS" w:bidi="sr-Latn-RS"/>
        </w:rPr>
        <w:t xml:space="preserve">lici 3 na osnovu podataka od 28.1.2019. godine, odnosno datuma prestanka prikupljanja podataka. Uz medijanu praćenja OS od 19 </w:t>
      </w:r>
      <w:r w:rsidR="00B27CC7" w:rsidRPr="008F1125">
        <w:rPr>
          <w:lang w:val="sr-Latn-RS" w:bidi="sr-Latn-RS"/>
        </w:rPr>
        <w:t>mjeseci</w:t>
      </w:r>
      <w:r w:rsidRPr="008F1125">
        <w:rPr>
          <w:lang w:val="sr-Latn-RS" w:bidi="sr-Latn-RS"/>
        </w:rPr>
        <w:t>, podaci za OS ni</w:t>
      </w:r>
      <w:r w:rsidR="0058445B" w:rsidRPr="008F1125">
        <w:rPr>
          <w:lang w:val="sr-Latn-RS" w:bidi="sr-Latn-RS"/>
        </w:rPr>
        <w:t>je</w:t>
      </w:r>
      <w:r w:rsidRPr="008F1125">
        <w:rPr>
          <w:lang w:val="sr-Latn-RS" w:bidi="sr-Latn-RS"/>
        </w:rPr>
        <w:t xml:space="preserve">su bili spremni za analizu, sa 27% smrtnih slučajeva. Uočeni </w:t>
      </w:r>
      <w:r w:rsidR="00F862C5">
        <w:rPr>
          <w:lang w:val="sr-Latn-RS" w:bidi="sr-Latn-RS"/>
        </w:rPr>
        <w:t>odnos</w:t>
      </w:r>
      <w:r w:rsidR="00F862C5" w:rsidRPr="008F1125">
        <w:rPr>
          <w:lang w:val="sr-Latn-RS" w:bidi="sr-Latn-RS"/>
        </w:rPr>
        <w:t xml:space="preserve"> </w:t>
      </w:r>
      <w:r w:rsidRPr="008F1125">
        <w:rPr>
          <w:lang w:val="sr-Latn-RS" w:bidi="sr-Latn-RS"/>
        </w:rPr>
        <w:t xml:space="preserve">rizika (eng. </w:t>
      </w:r>
      <w:r w:rsidRPr="008F1125">
        <w:rPr>
          <w:i/>
          <w:lang w:val="sr-Latn-RS" w:bidi="sr-Latn-RS"/>
        </w:rPr>
        <w:t>hazard ratio</w:t>
      </w:r>
      <w:r w:rsidRPr="008F1125">
        <w:rPr>
          <w:lang w:val="sr-Latn-RS" w:bidi="sr-Latn-RS"/>
        </w:rPr>
        <w:t>, HR) za OS iznosio je 0,80 (95% CI: 0,616; 1,027) za avelumab u kombinaciji sa aksitinibom u poređenju sa sunitinibom.</w:t>
      </w:r>
    </w:p>
    <w:p w14:paraId="1FB63687" w14:textId="77777777" w:rsidR="005E38EB" w:rsidRPr="008F1125" w:rsidRDefault="005E38EB" w:rsidP="00B03C0F">
      <w:pPr>
        <w:jc w:val="both"/>
        <w:rPr>
          <w:szCs w:val="22"/>
          <w:lang w:val="sr-Latn-RS"/>
        </w:rPr>
      </w:pPr>
    </w:p>
    <w:p w14:paraId="1FB63688" w14:textId="6A73F9D2" w:rsidR="005E38EB" w:rsidRPr="008F1125" w:rsidRDefault="00926926" w:rsidP="0058445B">
      <w:pPr>
        <w:pStyle w:val="Default"/>
        <w:keepNext/>
        <w:keepLines/>
        <w:jc w:val="both"/>
        <w:rPr>
          <w:b/>
          <w:i/>
          <w:color w:val="auto"/>
          <w:sz w:val="22"/>
          <w:szCs w:val="22"/>
          <w:lang w:val="sr-Latn-RS"/>
        </w:rPr>
      </w:pPr>
      <w:bookmarkStart w:id="17" w:name="_Ref523740140"/>
      <w:bookmarkStart w:id="18" w:name="_Ref531178967"/>
      <w:r w:rsidRPr="008F1125">
        <w:rPr>
          <w:b/>
          <w:color w:val="auto"/>
          <w:sz w:val="22"/>
          <w:lang w:val="sr-Latn-RS" w:bidi="sr-Latn-RS"/>
        </w:rPr>
        <w:t>Tabela </w:t>
      </w:r>
      <w:bookmarkEnd w:id="17"/>
      <w:bookmarkEnd w:id="18"/>
      <w:r w:rsidR="00FC38A4" w:rsidRPr="008F1125">
        <w:rPr>
          <w:b/>
          <w:color w:val="auto"/>
          <w:sz w:val="22"/>
          <w:lang w:val="sr-Latn-RS" w:bidi="sr-Latn-RS"/>
        </w:rPr>
        <w:t>9</w:t>
      </w:r>
      <w:r w:rsidRPr="008F1125">
        <w:rPr>
          <w:b/>
          <w:color w:val="auto"/>
          <w:sz w:val="22"/>
          <w:lang w:val="sr-Latn-RS" w:bidi="sr-Latn-RS"/>
        </w:rPr>
        <w:t>: Rezultati ispitivanja efikasnosti u ispitivanju B9991003 kod pacijenata nezavisno od ekspresije PD-L1</w:t>
      </w:r>
    </w:p>
    <w:p w14:paraId="1FB63689" w14:textId="77777777" w:rsidR="005E38EB" w:rsidRPr="008F1125" w:rsidRDefault="005E38EB" w:rsidP="001859BD">
      <w:pPr>
        <w:keepNext/>
        <w:keepLines/>
        <w:rPr>
          <w:szCs w:val="22"/>
          <w:lang w:val="sr-Latn-RS"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393"/>
        <w:gridCol w:w="2376"/>
        <w:gridCol w:w="2292"/>
      </w:tblGrid>
      <w:tr w:rsidR="00F51581" w:rsidRPr="008F1125" w14:paraId="1FB63690" w14:textId="77777777" w:rsidTr="001859BD">
        <w:trPr>
          <w:cantSplit/>
          <w:tblHeader/>
          <w:jc w:val="center"/>
        </w:trPr>
        <w:tc>
          <w:tcPr>
            <w:tcW w:w="2424" w:type="pct"/>
            <w:tcBorders>
              <w:bottom w:val="single" w:sz="4" w:space="0" w:color="auto"/>
            </w:tcBorders>
            <w:shd w:val="clear" w:color="auto" w:fill="auto"/>
          </w:tcPr>
          <w:p w14:paraId="1FB6368A" w14:textId="71741494" w:rsidR="005E38EB" w:rsidRPr="008F1125" w:rsidRDefault="00926926" w:rsidP="001859BD">
            <w:pPr>
              <w:keepNext/>
              <w:keepLines/>
              <w:spacing w:before="20" w:after="20"/>
              <w:jc w:val="center"/>
              <w:rPr>
                <w:b/>
                <w:bCs/>
                <w:kern w:val="24"/>
                <w:szCs w:val="22"/>
                <w:lang w:val="sr-Latn-RS"/>
              </w:rPr>
            </w:pPr>
            <w:r w:rsidRPr="008F1125">
              <w:rPr>
                <w:b/>
                <w:kern w:val="24"/>
                <w:lang w:val="sr-Latn-RS" w:bidi="sr-Latn-RS"/>
              </w:rPr>
              <w:t>M</w:t>
            </w:r>
            <w:r w:rsidR="00854AD7" w:rsidRPr="008F1125">
              <w:rPr>
                <w:b/>
                <w:kern w:val="24"/>
                <w:lang w:val="sr-Latn-RS" w:bidi="sr-Latn-RS"/>
              </w:rPr>
              <w:t>j</w:t>
            </w:r>
            <w:r w:rsidRPr="008F1125">
              <w:rPr>
                <w:b/>
                <w:kern w:val="24"/>
                <w:lang w:val="sr-Latn-RS" w:bidi="sr-Latn-RS"/>
              </w:rPr>
              <w:t>ere ishoda efikasnosti</w:t>
            </w:r>
          </w:p>
          <w:p w14:paraId="1FB6368B" w14:textId="77777777" w:rsidR="005E38EB" w:rsidRPr="008F1125" w:rsidRDefault="00926926" w:rsidP="001859BD">
            <w:pPr>
              <w:keepNext/>
              <w:keepLines/>
              <w:spacing w:before="20" w:after="20"/>
              <w:jc w:val="center"/>
              <w:rPr>
                <w:b/>
                <w:bCs/>
                <w:szCs w:val="22"/>
                <w:lang w:val="sr-Latn-RS"/>
              </w:rPr>
            </w:pPr>
            <w:r w:rsidRPr="008F1125">
              <w:rPr>
                <w:b/>
                <w:kern w:val="24"/>
                <w:lang w:val="sr-Latn-RS" w:bidi="sr-Latn-RS"/>
              </w:rPr>
              <w:t>(na osnovu procene BICR-a)</w:t>
            </w:r>
          </w:p>
        </w:tc>
        <w:tc>
          <w:tcPr>
            <w:tcW w:w="1311" w:type="pct"/>
            <w:tcBorders>
              <w:bottom w:val="single" w:sz="4" w:space="0" w:color="auto"/>
            </w:tcBorders>
            <w:shd w:val="clear" w:color="auto" w:fill="auto"/>
          </w:tcPr>
          <w:p w14:paraId="1FB6368C" w14:textId="77777777" w:rsidR="005E38EB" w:rsidRPr="008F1125" w:rsidRDefault="00926926" w:rsidP="001859BD">
            <w:pPr>
              <w:keepNext/>
              <w:keepLines/>
              <w:spacing w:before="20" w:after="20"/>
              <w:jc w:val="center"/>
              <w:rPr>
                <w:b/>
                <w:kern w:val="24"/>
                <w:szCs w:val="22"/>
                <w:lang w:val="sr-Latn-RS"/>
              </w:rPr>
            </w:pPr>
            <w:r w:rsidRPr="008F1125">
              <w:rPr>
                <w:b/>
                <w:kern w:val="24"/>
                <w:lang w:val="sr-Latn-RS" w:bidi="sr-Latn-RS"/>
              </w:rPr>
              <w:t>Avelumab plus aksitinib</w:t>
            </w:r>
          </w:p>
          <w:p w14:paraId="1FB6368D" w14:textId="77777777" w:rsidR="005E38EB" w:rsidRPr="008F1125" w:rsidRDefault="00926926" w:rsidP="001859BD">
            <w:pPr>
              <w:keepNext/>
              <w:keepLines/>
              <w:spacing w:before="20" w:after="20"/>
              <w:jc w:val="center"/>
              <w:rPr>
                <w:b/>
                <w:bCs/>
                <w:kern w:val="24"/>
                <w:szCs w:val="22"/>
                <w:lang w:val="sr-Latn-RS"/>
              </w:rPr>
            </w:pPr>
            <w:r w:rsidRPr="008F1125">
              <w:rPr>
                <w:lang w:val="sr-Latn-RS" w:bidi="sr-Latn-RS"/>
              </w:rPr>
              <w:t>(N=442)</w:t>
            </w:r>
          </w:p>
        </w:tc>
        <w:tc>
          <w:tcPr>
            <w:tcW w:w="1265" w:type="pct"/>
            <w:tcBorders>
              <w:bottom w:val="single" w:sz="4" w:space="0" w:color="auto"/>
            </w:tcBorders>
            <w:shd w:val="clear" w:color="auto" w:fill="auto"/>
          </w:tcPr>
          <w:p w14:paraId="1FB6368E" w14:textId="77777777" w:rsidR="005E38EB" w:rsidRPr="008F1125" w:rsidRDefault="00926926" w:rsidP="001859BD">
            <w:pPr>
              <w:keepNext/>
              <w:keepLines/>
              <w:spacing w:before="20" w:after="20"/>
              <w:jc w:val="center"/>
              <w:rPr>
                <w:b/>
                <w:bCs/>
                <w:kern w:val="24"/>
                <w:szCs w:val="22"/>
                <w:lang w:val="sr-Latn-RS"/>
              </w:rPr>
            </w:pPr>
            <w:r w:rsidRPr="008F1125">
              <w:rPr>
                <w:b/>
                <w:kern w:val="24"/>
                <w:lang w:val="sr-Latn-RS" w:bidi="sr-Latn-RS"/>
              </w:rPr>
              <w:t>Sunitinib</w:t>
            </w:r>
          </w:p>
          <w:p w14:paraId="0BEB26F3" w14:textId="77777777" w:rsidR="0058445B" w:rsidRPr="008F1125" w:rsidRDefault="0058445B" w:rsidP="001859BD">
            <w:pPr>
              <w:keepNext/>
              <w:keepLines/>
              <w:spacing w:before="20" w:after="20"/>
              <w:jc w:val="center"/>
              <w:rPr>
                <w:lang w:val="sr-Latn-RS" w:bidi="sr-Latn-RS"/>
              </w:rPr>
            </w:pPr>
          </w:p>
          <w:p w14:paraId="1FB6368F" w14:textId="6E9CAECF" w:rsidR="005E38EB" w:rsidRPr="008F1125" w:rsidRDefault="00926926" w:rsidP="001859BD">
            <w:pPr>
              <w:keepNext/>
              <w:keepLines/>
              <w:spacing w:before="20" w:after="20"/>
              <w:jc w:val="center"/>
              <w:rPr>
                <w:b/>
                <w:bCs/>
                <w:kern w:val="24"/>
                <w:szCs w:val="22"/>
                <w:lang w:val="sr-Latn-RS"/>
              </w:rPr>
            </w:pPr>
            <w:r w:rsidRPr="008F1125">
              <w:rPr>
                <w:lang w:val="sr-Latn-RS" w:bidi="sr-Latn-RS"/>
              </w:rPr>
              <w:t>(N=444)</w:t>
            </w:r>
          </w:p>
        </w:tc>
      </w:tr>
      <w:tr w:rsidR="00F51581" w:rsidRPr="003D7D44" w14:paraId="1FB63694" w14:textId="77777777" w:rsidTr="001859BD">
        <w:trPr>
          <w:cantSplit/>
          <w:trHeight w:val="110"/>
          <w:jc w:val="center"/>
        </w:trPr>
        <w:tc>
          <w:tcPr>
            <w:tcW w:w="2424" w:type="pct"/>
            <w:tcBorders>
              <w:top w:val="single" w:sz="4" w:space="0" w:color="auto"/>
              <w:left w:val="single" w:sz="4" w:space="0" w:color="auto"/>
              <w:bottom w:val="nil"/>
              <w:right w:val="single" w:sz="4" w:space="0" w:color="auto"/>
            </w:tcBorders>
            <w:shd w:val="clear" w:color="auto" w:fill="auto"/>
          </w:tcPr>
          <w:p w14:paraId="1FB63691" w14:textId="77777777" w:rsidR="005E38EB" w:rsidRPr="008F1125" w:rsidRDefault="00926926" w:rsidP="001859BD">
            <w:pPr>
              <w:keepNext/>
              <w:keepLines/>
              <w:spacing w:before="20" w:after="20"/>
              <w:rPr>
                <w:b/>
                <w:bCs/>
                <w:szCs w:val="22"/>
                <w:lang w:val="sr-Latn-RS"/>
              </w:rPr>
            </w:pPr>
            <w:r w:rsidRPr="008F1125">
              <w:rPr>
                <w:b/>
                <w:lang w:val="sr-Latn-RS" w:bidi="sr-Latn-RS"/>
              </w:rPr>
              <w:t>Preživljavanje bez progresije bolesti (PFS)</w:t>
            </w:r>
          </w:p>
        </w:tc>
        <w:tc>
          <w:tcPr>
            <w:tcW w:w="1311" w:type="pct"/>
            <w:tcBorders>
              <w:left w:val="single" w:sz="4" w:space="0" w:color="auto"/>
              <w:bottom w:val="nil"/>
              <w:right w:val="single" w:sz="4" w:space="0" w:color="auto"/>
            </w:tcBorders>
            <w:shd w:val="clear" w:color="auto" w:fill="auto"/>
          </w:tcPr>
          <w:p w14:paraId="1FB63692" w14:textId="77777777" w:rsidR="005E38EB" w:rsidRPr="008F1125" w:rsidRDefault="005E38EB" w:rsidP="001859BD">
            <w:pPr>
              <w:keepNext/>
              <w:keepLines/>
              <w:spacing w:before="20" w:after="20"/>
              <w:jc w:val="center"/>
              <w:rPr>
                <w:szCs w:val="22"/>
                <w:lang w:val="sr-Latn-RS"/>
              </w:rPr>
            </w:pPr>
          </w:p>
        </w:tc>
        <w:tc>
          <w:tcPr>
            <w:tcW w:w="1265" w:type="pct"/>
            <w:tcBorders>
              <w:left w:val="single" w:sz="4" w:space="0" w:color="auto"/>
              <w:bottom w:val="nil"/>
            </w:tcBorders>
            <w:shd w:val="clear" w:color="auto" w:fill="auto"/>
          </w:tcPr>
          <w:p w14:paraId="1FB63693" w14:textId="77777777" w:rsidR="005E38EB" w:rsidRPr="008F1125" w:rsidRDefault="005E38EB" w:rsidP="001859BD">
            <w:pPr>
              <w:keepNext/>
              <w:keepLines/>
              <w:spacing w:before="20" w:after="20"/>
              <w:jc w:val="center"/>
              <w:rPr>
                <w:szCs w:val="22"/>
                <w:lang w:val="sr-Latn-RS"/>
              </w:rPr>
            </w:pPr>
          </w:p>
        </w:tc>
      </w:tr>
      <w:tr w:rsidR="00F51581" w:rsidRPr="008F1125" w14:paraId="1FB63698" w14:textId="77777777" w:rsidTr="001859BD">
        <w:trPr>
          <w:cantSplit/>
          <w:trHeight w:val="82"/>
          <w:jc w:val="center"/>
        </w:trPr>
        <w:tc>
          <w:tcPr>
            <w:tcW w:w="2424" w:type="pct"/>
            <w:tcBorders>
              <w:top w:val="nil"/>
              <w:left w:val="single" w:sz="4" w:space="0" w:color="auto"/>
              <w:bottom w:val="nil"/>
              <w:right w:val="single" w:sz="4" w:space="0" w:color="auto"/>
            </w:tcBorders>
            <w:shd w:val="clear" w:color="auto" w:fill="auto"/>
          </w:tcPr>
          <w:p w14:paraId="1FB63695" w14:textId="7E43E88B" w:rsidR="005E38EB" w:rsidRPr="008F1125" w:rsidRDefault="00926926" w:rsidP="001859BD">
            <w:pPr>
              <w:keepNext/>
              <w:spacing w:before="20" w:after="20"/>
              <w:rPr>
                <w:b/>
                <w:bCs/>
                <w:szCs w:val="22"/>
                <w:lang w:val="sr-Latn-RS"/>
              </w:rPr>
            </w:pPr>
            <w:r w:rsidRPr="008F1125">
              <w:rPr>
                <w:lang w:val="sr-Latn-RS" w:bidi="sr-Latn-RS"/>
              </w:rPr>
              <w:tab/>
            </w:r>
            <w:r w:rsidR="0058445B" w:rsidRPr="008F1125">
              <w:rPr>
                <w:lang w:val="sr-Latn-RS" w:bidi="sr-Latn-RS"/>
              </w:rPr>
              <w:t>D</w:t>
            </w:r>
            <w:r w:rsidRPr="008F1125">
              <w:rPr>
                <w:lang w:val="sr-Latn-RS" w:bidi="sr-Latn-RS"/>
              </w:rPr>
              <w:t>ogađaji (%)</w:t>
            </w:r>
          </w:p>
        </w:tc>
        <w:tc>
          <w:tcPr>
            <w:tcW w:w="1311" w:type="pct"/>
            <w:tcBorders>
              <w:top w:val="nil"/>
              <w:left w:val="single" w:sz="4" w:space="0" w:color="auto"/>
              <w:bottom w:val="nil"/>
              <w:right w:val="single" w:sz="4" w:space="0" w:color="auto"/>
            </w:tcBorders>
            <w:shd w:val="clear" w:color="auto" w:fill="auto"/>
          </w:tcPr>
          <w:p w14:paraId="1FB63696" w14:textId="77777777" w:rsidR="005E38EB" w:rsidRPr="008F1125" w:rsidRDefault="00926926" w:rsidP="001859BD">
            <w:pPr>
              <w:keepNext/>
              <w:spacing w:before="20" w:after="20"/>
              <w:jc w:val="center"/>
              <w:rPr>
                <w:szCs w:val="22"/>
                <w:lang w:val="sr-Latn-RS"/>
              </w:rPr>
            </w:pPr>
            <w:r w:rsidRPr="008F1125">
              <w:rPr>
                <w:lang w:val="sr-Latn-RS" w:bidi="sr-Latn-RS"/>
              </w:rPr>
              <w:t>229 (52)</w:t>
            </w:r>
          </w:p>
        </w:tc>
        <w:tc>
          <w:tcPr>
            <w:tcW w:w="1265" w:type="pct"/>
            <w:tcBorders>
              <w:top w:val="nil"/>
              <w:left w:val="single" w:sz="4" w:space="0" w:color="auto"/>
              <w:bottom w:val="nil"/>
            </w:tcBorders>
            <w:shd w:val="clear" w:color="auto" w:fill="auto"/>
          </w:tcPr>
          <w:p w14:paraId="1FB63697" w14:textId="77777777" w:rsidR="005E38EB" w:rsidRPr="008F1125" w:rsidRDefault="00926926" w:rsidP="001859BD">
            <w:pPr>
              <w:keepNext/>
              <w:spacing w:before="20" w:after="20"/>
              <w:jc w:val="center"/>
              <w:rPr>
                <w:szCs w:val="22"/>
                <w:lang w:val="sr-Latn-RS"/>
              </w:rPr>
            </w:pPr>
            <w:r w:rsidRPr="008F1125">
              <w:rPr>
                <w:lang w:val="sr-Latn-RS" w:bidi="sr-Latn-RS"/>
              </w:rPr>
              <w:t>258 (58)</w:t>
            </w:r>
          </w:p>
        </w:tc>
      </w:tr>
      <w:tr w:rsidR="00F51581" w:rsidRPr="008F1125" w14:paraId="1FB6369C" w14:textId="77777777" w:rsidTr="001859BD">
        <w:trPr>
          <w:cantSplit/>
          <w:trHeight w:val="65"/>
          <w:jc w:val="center"/>
        </w:trPr>
        <w:tc>
          <w:tcPr>
            <w:tcW w:w="2424" w:type="pct"/>
            <w:tcBorders>
              <w:top w:val="nil"/>
              <w:left w:val="single" w:sz="4" w:space="0" w:color="auto"/>
              <w:bottom w:val="nil"/>
              <w:right w:val="single" w:sz="4" w:space="0" w:color="auto"/>
            </w:tcBorders>
            <w:shd w:val="clear" w:color="auto" w:fill="auto"/>
          </w:tcPr>
          <w:p w14:paraId="1FB63699" w14:textId="0E3D14FC" w:rsidR="005E38EB" w:rsidRPr="008F1125" w:rsidRDefault="00926926" w:rsidP="001859BD">
            <w:pPr>
              <w:keepNext/>
              <w:spacing w:before="20" w:after="20"/>
              <w:rPr>
                <w:b/>
                <w:bCs/>
                <w:szCs w:val="22"/>
                <w:lang w:val="sr-Latn-RS"/>
              </w:rPr>
            </w:pPr>
            <w:r w:rsidRPr="008F1125">
              <w:rPr>
                <w:lang w:val="sr-Latn-RS" w:bidi="sr-Latn-RS"/>
              </w:rPr>
              <w:tab/>
            </w:r>
            <w:r w:rsidR="0058445B" w:rsidRPr="008F1125">
              <w:rPr>
                <w:lang w:val="sr-Latn-RS" w:bidi="sr-Latn-RS"/>
              </w:rPr>
              <w:t>M</w:t>
            </w:r>
            <w:r w:rsidRPr="008F1125">
              <w:rPr>
                <w:lang w:val="sr-Latn-RS" w:bidi="sr-Latn-RS"/>
              </w:rPr>
              <w:t xml:space="preserve">edijana u </w:t>
            </w:r>
            <w:r w:rsidR="00B27CC7" w:rsidRPr="008F1125">
              <w:rPr>
                <w:lang w:val="sr-Latn-RS" w:bidi="sr-Latn-RS"/>
              </w:rPr>
              <w:t>mjeseci</w:t>
            </w:r>
            <w:r w:rsidRPr="008F1125">
              <w:rPr>
                <w:lang w:val="sr-Latn-RS" w:bidi="sr-Latn-RS"/>
              </w:rPr>
              <w:t>ma (95% CI)</w:t>
            </w:r>
          </w:p>
        </w:tc>
        <w:tc>
          <w:tcPr>
            <w:tcW w:w="1311" w:type="pct"/>
            <w:tcBorders>
              <w:top w:val="nil"/>
              <w:left w:val="single" w:sz="4" w:space="0" w:color="auto"/>
              <w:bottom w:val="nil"/>
              <w:right w:val="single" w:sz="4" w:space="0" w:color="auto"/>
            </w:tcBorders>
            <w:shd w:val="clear" w:color="auto" w:fill="auto"/>
          </w:tcPr>
          <w:p w14:paraId="1FB6369A" w14:textId="77777777" w:rsidR="005E38EB" w:rsidRPr="008F1125" w:rsidRDefault="00926926" w:rsidP="001859BD">
            <w:pPr>
              <w:keepNext/>
              <w:spacing w:before="20" w:after="20"/>
              <w:jc w:val="center"/>
              <w:rPr>
                <w:szCs w:val="22"/>
                <w:lang w:val="sr-Latn-RS"/>
              </w:rPr>
            </w:pPr>
            <w:r w:rsidRPr="008F1125">
              <w:rPr>
                <w:lang w:val="sr-Latn-RS" w:bidi="sr-Latn-RS"/>
              </w:rPr>
              <w:t>13,3 (11,1; 15,3)</w:t>
            </w:r>
          </w:p>
        </w:tc>
        <w:tc>
          <w:tcPr>
            <w:tcW w:w="1265" w:type="pct"/>
            <w:tcBorders>
              <w:top w:val="nil"/>
              <w:left w:val="single" w:sz="4" w:space="0" w:color="auto"/>
              <w:bottom w:val="nil"/>
            </w:tcBorders>
            <w:shd w:val="clear" w:color="auto" w:fill="auto"/>
          </w:tcPr>
          <w:p w14:paraId="1FB6369B" w14:textId="77777777" w:rsidR="005E38EB" w:rsidRPr="008F1125" w:rsidRDefault="00926926" w:rsidP="001859BD">
            <w:pPr>
              <w:keepNext/>
              <w:spacing w:before="20" w:after="20"/>
              <w:jc w:val="center"/>
              <w:rPr>
                <w:szCs w:val="22"/>
                <w:lang w:val="sr-Latn-RS"/>
              </w:rPr>
            </w:pPr>
            <w:r w:rsidRPr="008F1125">
              <w:rPr>
                <w:lang w:val="sr-Latn-RS" w:bidi="sr-Latn-RS"/>
              </w:rPr>
              <w:t>8,0 (6,7; 9,8)</w:t>
            </w:r>
          </w:p>
        </w:tc>
      </w:tr>
      <w:tr w:rsidR="00F51581" w:rsidRPr="008F1125" w14:paraId="1FB6369F" w14:textId="77777777" w:rsidTr="001859BD">
        <w:trPr>
          <w:cantSplit/>
          <w:trHeight w:val="65"/>
          <w:jc w:val="center"/>
        </w:trPr>
        <w:tc>
          <w:tcPr>
            <w:tcW w:w="2424" w:type="pct"/>
            <w:tcBorders>
              <w:top w:val="nil"/>
              <w:left w:val="single" w:sz="4" w:space="0" w:color="auto"/>
              <w:bottom w:val="nil"/>
              <w:right w:val="single" w:sz="4" w:space="0" w:color="auto"/>
            </w:tcBorders>
            <w:shd w:val="clear" w:color="auto" w:fill="auto"/>
          </w:tcPr>
          <w:p w14:paraId="1FB6369D" w14:textId="2C38A1AE" w:rsidR="005E38EB" w:rsidRPr="008F1125" w:rsidRDefault="00926926" w:rsidP="00F862C5">
            <w:pPr>
              <w:keepNext/>
              <w:spacing w:before="20" w:after="20"/>
              <w:rPr>
                <w:szCs w:val="22"/>
                <w:lang w:val="sr-Latn-RS"/>
              </w:rPr>
            </w:pPr>
            <w:r w:rsidRPr="008F1125">
              <w:rPr>
                <w:lang w:val="sr-Latn-RS" w:bidi="sr-Latn-RS"/>
              </w:rPr>
              <w:tab/>
            </w:r>
            <w:r w:rsidR="00F862C5">
              <w:rPr>
                <w:lang w:val="sr-Latn-RS" w:bidi="sr-Latn-RS"/>
              </w:rPr>
              <w:t>Odnos</w:t>
            </w:r>
            <w:r w:rsidRPr="008F1125">
              <w:rPr>
                <w:lang w:val="sr-Latn-RS" w:bidi="sr-Latn-RS"/>
              </w:rPr>
              <w:t xml:space="preserve"> rizika (95% CI)</w:t>
            </w:r>
          </w:p>
        </w:tc>
        <w:tc>
          <w:tcPr>
            <w:tcW w:w="2576" w:type="pct"/>
            <w:gridSpan w:val="2"/>
            <w:tcBorders>
              <w:top w:val="nil"/>
              <w:left w:val="single" w:sz="4" w:space="0" w:color="auto"/>
              <w:bottom w:val="nil"/>
            </w:tcBorders>
            <w:shd w:val="clear" w:color="auto" w:fill="auto"/>
          </w:tcPr>
          <w:p w14:paraId="1FB6369E" w14:textId="77777777" w:rsidR="005E38EB" w:rsidRPr="008F1125" w:rsidRDefault="00926926" w:rsidP="001859BD">
            <w:pPr>
              <w:keepNext/>
              <w:spacing w:before="20" w:after="20"/>
              <w:jc w:val="center"/>
              <w:rPr>
                <w:szCs w:val="22"/>
                <w:lang w:val="sr-Latn-RS"/>
              </w:rPr>
            </w:pPr>
            <w:r w:rsidRPr="008F1125">
              <w:rPr>
                <w:lang w:val="sr-Latn-RS" w:bidi="sr-Latn-RS"/>
              </w:rPr>
              <w:t>0,69 (0,574; 0,825)</w:t>
            </w:r>
          </w:p>
        </w:tc>
      </w:tr>
      <w:tr w:rsidR="00F51581" w:rsidRPr="008F1125" w14:paraId="1FB636A2" w14:textId="77777777" w:rsidTr="001859BD">
        <w:trPr>
          <w:cantSplit/>
          <w:trHeight w:val="55"/>
          <w:jc w:val="center"/>
        </w:trPr>
        <w:tc>
          <w:tcPr>
            <w:tcW w:w="2424" w:type="pct"/>
            <w:tcBorders>
              <w:top w:val="nil"/>
              <w:left w:val="single" w:sz="4" w:space="0" w:color="auto"/>
              <w:bottom w:val="nil"/>
              <w:right w:val="single" w:sz="4" w:space="0" w:color="auto"/>
            </w:tcBorders>
            <w:shd w:val="clear" w:color="auto" w:fill="auto"/>
          </w:tcPr>
          <w:p w14:paraId="1FB636A0" w14:textId="32073DE0" w:rsidR="005E38EB" w:rsidRPr="008F1125" w:rsidRDefault="00926926" w:rsidP="001859BD">
            <w:pPr>
              <w:keepNext/>
              <w:spacing w:before="20" w:after="20"/>
              <w:rPr>
                <w:szCs w:val="22"/>
                <w:lang w:val="sr-Latn-RS"/>
              </w:rPr>
            </w:pPr>
            <w:r w:rsidRPr="008F1125">
              <w:rPr>
                <w:lang w:val="sr-Latn-RS" w:bidi="sr-Latn-RS"/>
              </w:rPr>
              <w:tab/>
              <w:t>p-vr</w:t>
            </w:r>
            <w:r w:rsidR="0058445B" w:rsidRPr="008F1125">
              <w:rPr>
                <w:lang w:val="sr-Latn-RS" w:bidi="sr-Latn-RS"/>
              </w:rPr>
              <w:t>ij</w:t>
            </w:r>
            <w:r w:rsidRPr="008F1125">
              <w:rPr>
                <w:lang w:val="sr-Latn-RS" w:bidi="sr-Latn-RS"/>
              </w:rPr>
              <w:t>ednost*</w:t>
            </w:r>
          </w:p>
        </w:tc>
        <w:tc>
          <w:tcPr>
            <w:tcW w:w="2576" w:type="pct"/>
            <w:gridSpan w:val="2"/>
            <w:tcBorders>
              <w:top w:val="nil"/>
              <w:left w:val="single" w:sz="4" w:space="0" w:color="auto"/>
              <w:bottom w:val="nil"/>
            </w:tcBorders>
            <w:shd w:val="clear" w:color="auto" w:fill="auto"/>
          </w:tcPr>
          <w:p w14:paraId="1FB636A1" w14:textId="77777777" w:rsidR="005E38EB" w:rsidRPr="008F1125" w:rsidRDefault="00926926" w:rsidP="001859BD">
            <w:pPr>
              <w:keepNext/>
              <w:spacing w:before="20" w:after="20"/>
              <w:jc w:val="center"/>
              <w:rPr>
                <w:szCs w:val="22"/>
                <w:lang w:val="sr-Latn-RS"/>
              </w:rPr>
            </w:pPr>
            <w:r w:rsidRPr="008F1125">
              <w:rPr>
                <w:lang w:val="sr-Latn-RS" w:bidi="sr-Latn-RS"/>
              </w:rPr>
              <w:t>&lt; 0,0001</w:t>
            </w:r>
          </w:p>
        </w:tc>
      </w:tr>
      <w:tr w:rsidR="00F51581" w:rsidRPr="008F1125" w14:paraId="1FB636A6" w14:textId="77777777" w:rsidTr="001859BD">
        <w:trPr>
          <w:cantSplit/>
          <w:trHeight w:val="55"/>
          <w:jc w:val="center"/>
        </w:trPr>
        <w:tc>
          <w:tcPr>
            <w:tcW w:w="2424" w:type="pct"/>
            <w:tcBorders>
              <w:top w:val="nil"/>
              <w:left w:val="single" w:sz="4" w:space="0" w:color="auto"/>
              <w:bottom w:val="nil"/>
              <w:right w:val="single" w:sz="4" w:space="0" w:color="auto"/>
            </w:tcBorders>
            <w:shd w:val="clear" w:color="auto" w:fill="auto"/>
          </w:tcPr>
          <w:p w14:paraId="1FB636A3" w14:textId="63EE1AD3" w:rsidR="009B36B2" w:rsidRPr="008F1125" w:rsidRDefault="00E24418" w:rsidP="0058445B">
            <w:pPr>
              <w:keepNext/>
              <w:spacing w:before="20" w:after="20"/>
              <w:ind w:left="650" w:hanging="650"/>
              <w:rPr>
                <w:szCs w:val="22"/>
                <w:lang w:val="sr-Latn-RS" w:eastAsia="ja-JP"/>
              </w:rPr>
            </w:pPr>
            <w:r w:rsidRPr="008F1125">
              <w:rPr>
                <w:lang w:val="sr-Latn-RS" w:bidi="sr-Latn-RS"/>
              </w:rPr>
              <w:tab/>
              <w:t>12-</w:t>
            </w:r>
            <w:r w:rsidR="00B27CC7" w:rsidRPr="008F1125">
              <w:rPr>
                <w:lang w:val="sr-Latn-RS" w:bidi="sr-Latn-RS"/>
              </w:rPr>
              <w:t>mjesečna</w:t>
            </w:r>
            <w:r w:rsidRPr="008F1125">
              <w:rPr>
                <w:lang w:val="sr-Latn-RS" w:bidi="sr-Latn-RS"/>
              </w:rPr>
              <w:t xml:space="preserve"> stopa PFS prema K-M,</w:t>
            </w:r>
            <w:r w:rsidR="0058445B" w:rsidRPr="008F1125">
              <w:rPr>
                <w:lang w:val="sr-Latn-RS" w:bidi="sr-Latn-RS"/>
              </w:rPr>
              <w:t xml:space="preserve"> </w:t>
            </w:r>
            <w:r w:rsidRPr="008F1125">
              <w:rPr>
                <w:lang w:val="sr-Latn-RS" w:bidi="sr-Latn-RS"/>
              </w:rPr>
              <w:t>(95% CI)**</w:t>
            </w:r>
          </w:p>
        </w:tc>
        <w:tc>
          <w:tcPr>
            <w:tcW w:w="1311" w:type="pct"/>
            <w:tcBorders>
              <w:top w:val="nil"/>
              <w:left w:val="single" w:sz="4" w:space="0" w:color="auto"/>
              <w:bottom w:val="nil"/>
            </w:tcBorders>
            <w:shd w:val="clear" w:color="auto" w:fill="auto"/>
          </w:tcPr>
          <w:p w14:paraId="1FB636A4" w14:textId="77777777" w:rsidR="009B36B2" w:rsidRPr="008F1125" w:rsidRDefault="00926926" w:rsidP="001859BD">
            <w:pPr>
              <w:keepNext/>
              <w:spacing w:before="20" w:after="20"/>
              <w:jc w:val="center"/>
              <w:rPr>
                <w:rFonts w:eastAsia="SimSun"/>
                <w:szCs w:val="22"/>
                <w:lang w:val="sr-Latn-RS" w:eastAsia="en-GB"/>
              </w:rPr>
            </w:pPr>
            <w:r w:rsidRPr="008F1125">
              <w:rPr>
                <w:lang w:val="sr-Latn-RS" w:bidi="sr-Latn-RS"/>
              </w:rPr>
              <w:t>52,4% (47,4; 57,2)</w:t>
            </w:r>
          </w:p>
        </w:tc>
        <w:tc>
          <w:tcPr>
            <w:tcW w:w="1265" w:type="pct"/>
            <w:tcBorders>
              <w:top w:val="nil"/>
              <w:left w:val="single" w:sz="4" w:space="0" w:color="auto"/>
              <w:bottom w:val="nil"/>
            </w:tcBorders>
            <w:shd w:val="clear" w:color="auto" w:fill="auto"/>
          </w:tcPr>
          <w:p w14:paraId="1FB636A5" w14:textId="77777777" w:rsidR="009B36B2" w:rsidRPr="008F1125" w:rsidRDefault="00926926" w:rsidP="001859BD">
            <w:pPr>
              <w:keepNext/>
              <w:spacing w:before="20" w:after="20"/>
              <w:jc w:val="center"/>
              <w:rPr>
                <w:rFonts w:eastAsia="SimSun"/>
                <w:szCs w:val="22"/>
                <w:lang w:val="sr-Latn-RS" w:eastAsia="en-GB"/>
              </w:rPr>
            </w:pPr>
            <w:r w:rsidRPr="008F1125">
              <w:rPr>
                <w:lang w:val="sr-Latn-RS" w:bidi="sr-Latn-RS"/>
              </w:rPr>
              <w:t>39,2% (34,1; 44,2)</w:t>
            </w:r>
          </w:p>
        </w:tc>
      </w:tr>
      <w:tr w:rsidR="00F51581" w:rsidRPr="008F1125" w14:paraId="1FB636AA" w14:textId="77777777" w:rsidTr="001859BD">
        <w:trPr>
          <w:cantSplit/>
          <w:trHeight w:val="55"/>
          <w:jc w:val="center"/>
        </w:trPr>
        <w:tc>
          <w:tcPr>
            <w:tcW w:w="2424" w:type="pct"/>
            <w:tcBorders>
              <w:top w:val="nil"/>
              <w:left w:val="single" w:sz="4" w:space="0" w:color="auto"/>
              <w:bottom w:val="single" w:sz="4" w:space="0" w:color="auto"/>
              <w:right w:val="single" w:sz="4" w:space="0" w:color="auto"/>
            </w:tcBorders>
            <w:shd w:val="clear" w:color="auto" w:fill="auto"/>
          </w:tcPr>
          <w:p w14:paraId="1FB636A7" w14:textId="40880F5B" w:rsidR="003540F4" w:rsidRPr="008F1125" w:rsidRDefault="00926926" w:rsidP="0058445B">
            <w:pPr>
              <w:keepNext/>
              <w:spacing w:before="20" w:after="20"/>
              <w:ind w:left="650" w:hanging="425"/>
              <w:rPr>
                <w:szCs w:val="22"/>
                <w:lang w:val="sr-Latn-RS" w:eastAsia="ja-JP"/>
              </w:rPr>
            </w:pPr>
            <w:r w:rsidRPr="008F1125">
              <w:rPr>
                <w:lang w:val="sr-Latn-RS" w:bidi="sr-Latn-RS"/>
              </w:rPr>
              <w:tab/>
              <w:t>18-</w:t>
            </w:r>
            <w:r w:rsidR="00B27CC7" w:rsidRPr="008F1125">
              <w:rPr>
                <w:lang w:val="sr-Latn-RS" w:bidi="sr-Latn-RS"/>
              </w:rPr>
              <w:t>mjesečna</w:t>
            </w:r>
            <w:r w:rsidRPr="008F1125">
              <w:rPr>
                <w:lang w:val="sr-Latn-RS" w:bidi="sr-Latn-RS"/>
              </w:rPr>
              <w:t xml:space="preserve"> stopa PFS prema K-M, (95% CI)**</w:t>
            </w:r>
          </w:p>
        </w:tc>
        <w:tc>
          <w:tcPr>
            <w:tcW w:w="1311" w:type="pct"/>
            <w:tcBorders>
              <w:top w:val="nil"/>
              <w:left w:val="single" w:sz="4" w:space="0" w:color="auto"/>
            </w:tcBorders>
            <w:shd w:val="clear" w:color="auto" w:fill="auto"/>
          </w:tcPr>
          <w:p w14:paraId="1FB636A8" w14:textId="3EC1F5D1" w:rsidR="003540F4" w:rsidRPr="008F1125" w:rsidRDefault="00926926" w:rsidP="001859BD">
            <w:pPr>
              <w:keepNext/>
              <w:spacing w:before="20" w:after="20"/>
              <w:jc w:val="center"/>
              <w:rPr>
                <w:rFonts w:eastAsia="SimSun"/>
                <w:szCs w:val="22"/>
                <w:lang w:val="sr-Latn-RS" w:eastAsia="en-GB"/>
              </w:rPr>
            </w:pPr>
            <w:r w:rsidRPr="008F1125">
              <w:rPr>
                <w:lang w:val="sr-Latn-RS" w:bidi="sr-Latn-RS"/>
              </w:rPr>
              <w:t>43,9% (38,8; 49,0)</w:t>
            </w:r>
          </w:p>
        </w:tc>
        <w:tc>
          <w:tcPr>
            <w:tcW w:w="1265" w:type="pct"/>
            <w:tcBorders>
              <w:top w:val="nil"/>
              <w:left w:val="single" w:sz="4" w:space="0" w:color="auto"/>
            </w:tcBorders>
            <w:shd w:val="clear" w:color="auto" w:fill="auto"/>
          </w:tcPr>
          <w:p w14:paraId="1FB636A9" w14:textId="32003203" w:rsidR="003540F4" w:rsidRPr="008F1125" w:rsidRDefault="00926926" w:rsidP="001859BD">
            <w:pPr>
              <w:keepNext/>
              <w:spacing w:before="20" w:after="20"/>
              <w:jc w:val="center"/>
              <w:rPr>
                <w:rFonts w:eastAsia="SimSun"/>
                <w:szCs w:val="22"/>
                <w:lang w:val="sr-Latn-RS" w:eastAsia="en-GB"/>
              </w:rPr>
            </w:pPr>
            <w:r w:rsidRPr="008F1125">
              <w:rPr>
                <w:lang w:val="sr-Latn-RS" w:bidi="sr-Latn-RS"/>
              </w:rPr>
              <w:t>29,3% (24,2; 34,6)</w:t>
            </w:r>
          </w:p>
        </w:tc>
      </w:tr>
      <w:tr w:rsidR="00F51581" w:rsidRPr="008F1125" w14:paraId="1FB636AE" w14:textId="77777777" w:rsidTr="001859BD">
        <w:trPr>
          <w:cantSplit/>
          <w:trHeight w:val="204"/>
          <w:jc w:val="center"/>
        </w:trPr>
        <w:tc>
          <w:tcPr>
            <w:tcW w:w="2424" w:type="pct"/>
            <w:tcBorders>
              <w:top w:val="single" w:sz="4" w:space="0" w:color="auto"/>
              <w:bottom w:val="nil"/>
              <w:right w:val="single" w:sz="4" w:space="0" w:color="auto"/>
            </w:tcBorders>
            <w:shd w:val="clear" w:color="auto" w:fill="auto"/>
          </w:tcPr>
          <w:p w14:paraId="1FB636AB" w14:textId="77777777" w:rsidR="005E38EB" w:rsidRPr="008F1125" w:rsidRDefault="00926926" w:rsidP="001859BD">
            <w:pPr>
              <w:keepNext/>
              <w:keepLines/>
              <w:spacing w:before="20" w:after="20"/>
              <w:rPr>
                <w:szCs w:val="22"/>
                <w:lang w:val="sr-Latn-RS"/>
              </w:rPr>
            </w:pPr>
            <w:r w:rsidRPr="008F1125">
              <w:rPr>
                <w:b/>
                <w:lang w:val="sr-Latn-RS" w:bidi="sr-Latn-RS"/>
              </w:rPr>
              <w:t>Stopa objektivnog odgovora (ORR)</w:t>
            </w:r>
          </w:p>
        </w:tc>
        <w:tc>
          <w:tcPr>
            <w:tcW w:w="1311" w:type="pct"/>
            <w:tcBorders>
              <w:left w:val="single" w:sz="4" w:space="0" w:color="auto"/>
              <w:bottom w:val="nil"/>
              <w:right w:val="single" w:sz="4" w:space="0" w:color="auto"/>
            </w:tcBorders>
            <w:shd w:val="clear" w:color="auto" w:fill="auto"/>
          </w:tcPr>
          <w:p w14:paraId="1FB636AC" w14:textId="77777777" w:rsidR="005E38EB" w:rsidRPr="008F1125" w:rsidRDefault="005E38EB" w:rsidP="001859BD">
            <w:pPr>
              <w:keepNext/>
              <w:keepLines/>
              <w:spacing w:before="20" w:after="20"/>
              <w:jc w:val="center"/>
              <w:rPr>
                <w:szCs w:val="22"/>
                <w:lang w:val="sr-Latn-RS"/>
              </w:rPr>
            </w:pPr>
          </w:p>
        </w:tc>
        <w:tc>
          <w:tcPr>
            <w:tcW w:w="1265" w:type="pct"/>
            <w:tcBorders>
              <w:left w:val="single" w:sz="4" w:space="0" w:color="auto"/>
              <w:bottom w:val="nil"/>
            </w:tcBorders>
            <w:shd w:val="clear" w:color="auto" w:fill="auto"/>
          </w:tcPr>
          <w:p w14:paraId="1FB636AD" w14:textId="77777777" w:rsidR="005E38EB" w:rsidRPr="008F1125" w:rsidRDefault="005E38EB" w:rsidP="001859BD">
            <w:pPr>
              <w:keepNext/>
              <w:keepLines/>
              <w:spacing w:before="20" w:after="20"/>
              <w:jc w:val="center"/>
              <w:rPr>
                <w:szCs w:val="22"/>
                <w:lang w:val="sr-Latn-RS"/>
              </w:rPr>
            </w:pPr>
          </w:p>
        </w:tc>
      </w:tr>
      <w:tr w:rsidR="00F51581" w:rsidRPr="008F1125" w14:paraId="1FB636B2" w14:textId="77777777" w:rsidTr="001859BD">
        <w:trPr>
          <w:cantSplit/>
          <w:trHeight w:val="142"/>
          <w:jc w:val="center"/>
        </w:trPr>
        <w:tc>
          <w:tcPr>
            <w:tcW w:w="2424" w:type="pct"/>
            <w:tcBorders>
              <w:top w:val="nil"/>
              <w:bottom w:val="nil"/>
              <w:right w:val="single" w:sz="4" w:space="0" w:color="auto"/>
            </w:tcBorders>
            <w:shd w:val="clear" w:color="auto" w:fill="auto"/>
          </w:tcPr>
          <w:p w14:paraId="1FB636AF" w14:textId="4C8B63D2" w:rsidR="005E38EB" w:rsidRPr="008F1125" w:rsidRDefault="00D84ED9" w:rsidP="001859BD">
            <w:pPr>
              <w:keepNext/>
              <w:spacing w:before="20" w:after="20"/>
              <w:rPr>
                <w:b/>
                <w:bCs/>
                <w:szCs w:val="22"/>
                <w:lang w:val="sr-Latn-RS"/>
              </w:rPr>
            </w:pPr>
            <w:r w:rsidRPr="008F1125">
              <w:rPr>
                <w:lang w:val="sr-Latn-RS" w:bidi="sr-Latn-RS"/>
              </w:rPr>
              <w:tab/>
            </w:r>
            <w:r w:rsidR="0058445B" w:rsidRPr="008F1125">
              <w:rPr>
                <w:lang w:val="sr-Latn-RS" w:bidi="sr-Latn-RS"/>
              </w:rPr>
              <w:t>S</w:t>
            </w:r>
            <w:r w:rsidRPr="008F1125">
              <w:rPr>
                <w:lang w:val="sr-Latn-RS" w:bidi="sr-Latn-RS"/>
              </w:rPr>
              <w:t>topa objektivnog odgovora (ORR) n (%)</w:t>
            </w:r>
          </w:p>
        </w:tc>
        <w:tc>
          <w:tcPr>
            <w:tcW w:w="1311" w:type="pct"/>
            <w:tcBorders>
              <w:top w:val="nil"/>
              <w:left w:val="single" w:sz="4" w:space="0" w:color="auto"/>
              <w:bottom w:val="nil"/>
              <w:right w:val="single" w:sz="4" w:space="0" w:color="auto"/>
            </w:tcBorders>
            <w:shd w:val="clear" w:color="auto" w:fill="auto"/>
          </w:tcPr>
          <w:p w14:paraId="1FB636B0" w14:textId="77777777" w:rsidR="005E38EB" w:rsidRPr="008F1125" w:rsidRDefault="00926926" w:rsidP="001859BD">
            <w:pPr>
              <w:keepNext/>
              <w:spacing w:before="20" w:after="20"/>
              <w:jc w:val="center"/>
              <w:rPr>
                <w:szCs w:val="22"/>
                <w:lang w:val="sr-Latn-RS"/>
              </w:rPr>
            </w:pPr>
            <w:r w:rsidRPr="008F1125">
              <w:rPr>
                <w:lang w:val="sr-Latn-RS" w:bidi="sr-Latn-RS"/>
              </w:rPr>
              <w:t>232 (52,5)</w:t>
            </w:r>
          </w:p>
        </w:tc>
        <w:tc>
          <w:tcPr>
            <w:tcW w:w="1265" w:type="pct"/>
            <w:tcBorders>
              <w:top w:val="nil"/>
              <w:left w:val="single" w:sz="4" w:space="0" w:color="auto"/>
              <w:bottom w:val="nil"/>
            </w:tcBorders>
            <w:shd w:val="clear" w:color="auto" w:fill="auto"/>
          </w:tcPr>
          <w:p w14:paraId="1FB636B1" w14:textId="77777777" w:rsidR="005E38EB" w:rsidRPr="008F1125" w:rsidRDefault="00926926" w:rsidP="001859BD">
            <w:pPr>
              <w:keepNext/>
              <w:spacing w:before="20" w:after="20"/>
              <w:jc w:val="center"/>
              <w:rPr>
                <w:szCs w:val="22"/>
                <w:lang w:val="sr-Latn-RS"/>
              </w:rPr>
            </w:pPr>
            <w:r w:rsidRPr="008F1125">
              <w:rPr>
                <w:lang w:val="sr-Latn-RS" w:bidi="sr-Latn-RS"/>
              </w:rPr>
              <w:t>121 (27,3)</w:t>
            </w:r>
          </w:p>
        </w:tc>
      </w:tr>
      <w:tr w:rsidR="00F51581" w:rsidRPr="008F1125" w14:paraId="1FB636B6" w14:textId="77777777" w:rsidTr="001859BD">
        <w:trPr>
          <w:cantSplit/>
          <w:trHeight w:val="214"/>
          <w:jc w:val="center"/>
        </w:trPr>
        <w:tc>
          <w:tcPr>
            <w:tcW w:w="2424" w:type="pct"/>
            <w:tcBorders>
              <w:top w:val="nil"/>
              <w:bottom w:val="nil"/>
              <w:right w:val="single" w:sz="4" w:space="0" w:color="auto"/>
            </w:tcBorders>
            <w:shd w:val="clear" w:color="auto" w:fill="auto"/>
          </w:tcPr>
          <w:p w14:paraId="1FB636B3" w14:textId="77777777" w:rsidR="005E38EB" w:rsidRPr="008F1125" w:rsidRDefault="00926926" w:rsidP="00577413">
            <w:pPr>
              <w:spacing w:before="20" w:after="20"/>
              <w:rPr>
                <w:szCs w:val="22"/>
                <w:lang w:val="sr-Latn-RS"/>
              </w:rPr>
            </w:pPr>
            <w:r w:rsidRPr="008F1125">
              <w:rPr>
                <w:lang w:val="sr-Latn-RS" w:bidi="sr-Latn-RS"/>
              </w:rPr>
              <w:tab/>
              <w:t>(95% CI)</w:t>
            </w:r>
          </w:p>
        </w:tc>
        <w:tc>
          <w:tcPr>
            <w:tcW w:w="1311" w:type="pct"/>
            <w:tcBorders>
              <w:top w:val="nil"/>
              <w:left w:val="single" w:sz="4" w:space="0" w:color="auto"/>
              <w:bottom w:val="nil"/>
              <w:right w:val="single" w:sz="4" w:space="0" w:color="auto"/>
            </w:tcBorders>
            <w:shd w:val="clear" w:color="auto" w:fill="auto"/>
          </w:tcPr>
          <w:p w14:paraId="1FB636B4" w14:textId="77777777" w:rsidR="005E38EB" w:rsidRPr="008F1125" w:rsidRDefault="00926926" w:rsidP="00577413">
            <w:pPr>
              <w:spacing w:before="20" w:after="20"/>
              <w:jc w:val="center"/>
              <w:rPr>
                <w:szCs w:val="22"/>
                <w:lang w:val="sr-Latn-RS"/>
              </w:rPr>
            </w:pPr>
            <w:r w:rsidRPr="008F1125">
              <w:rPr>
                <w:lang w:val="sr-Latn-RS" w:bidi="sr-Latn-RS"/>
              </w:rPr>
              <w:t>47,7; 57,2</w:t>
            </w:r>
          </w:p>
        </w:tc>
        <w:tc>
          <w:tcPr>
            <w:tcW w:w="1265" w:type="pct"/>
            <w:tcBorders>
              <w:top w:val="nil"/>
              <w:left w:val="single" w:sz="4" w:space="0" w:color="auto"/>
              <w:bottom w:val="nil"/>
            </w:tcBorders>
            <w:shd w:val="clear" w:color="auto" w:fill="auto"/>
          </w:tcPr>
          <w:p w14:paraId="1FB636B5" w14:textId="77777777" w:rsidR="005E38EB" w:rsidRPr="008F1125" w:rsidRDefault="00926926" w:rsidP="00577413">
            <w:pPr>
              <w:spacing w:before="20" w:after="20"/>
              <w:jc w:val="center"/>
              <w:rPr>
                <w:szCs w:val="22"/>
                <w:lang w:val="sr-Latn-RS"/>
              </w:rPr>
            </w:pPr>
            <w:r w:rsidRPr="008F1125">
              <w:rPr>
                <w:lang w:val="sr-Latn-RS" w:bidi="sr-Latn-RS"/>
              </w:rPr>
              <w:t>23,2; 31,6</w:t>
            </w:r>
          </w:p>
        </w:tc>
      </w:tr>
      <w:tr w:rsidR="00F51581" w:rsidRPr="008F1125" w14:paraId="1FB636BA" w14:textId="77777777" w:rsidTr="001859BD">
        <w:trPr>
          <w:cantSplit/>
          <w:trHeight w:val="190"/>
          <w:jc w:val="center"/>
        </w:trPr>
        <w:tc>
          <w:tcPr>
            <w:tcW w:w="2424" w:type="pct"/>
            <w:tcBorders>
              <w:top w:val="nil"/>
              <w:bottom w:val="nil"/>
              <w:right w:val="single" w:sz="4" w:space="0" w:color="auto"/>
            </w:tcBorders>
            <w:shd w:val="clear" w:color="auto" w:fill="auto"/>
          </w:tcPr>
          <w:p w14:paraId="1FB636B7" w14:textId="77777777" w:rsidR="005E38EB" w:rsidRPr="008F1125" w:rsidRDefault="00926926" w:rsidP="00577413">
            <w:pPr>
              <w:spacing w:before="20" w:after="20"/>
              <w:rPr>
                <w:b/>
                <w:bCs/>
                <w:szCs w:val="22"/>
                <w:lang w:val="sr-Latn-RS"/>
              </w:rPr>
            </w:pPr>
            <w:r w:rsidRPr="008F1125">
              <w:rPr>
                <w:lang w:val="sr-Latn-RS" w:bidi="sr-Latn-RS"/>
              </w:rPr>
              <w:tab/>
              <w:t>Potpuni odgovor (CR) n (%)</w:t>
            </w:r>
          </w:p>
        </w:tc>
        <w:tc>
          <w:tcPr>
            <w:tcW w:w="1311" w:type="pct"/>
            <w:tcBorders>
              <w:top w:val="nil"/>
              <w:left w:val="single" w:sz="4" w:space="0" w:color="auto"/>
              <w:bottom w:val="nil"/>
              <w:right w:val="single" w:sz="4" w:space="0" w:color="auto"/>
            </w:tcBorders>
            <w:shd w:val="clear" w:color="auto" w:fill="auto"/>
          </w:tcPr>
          <w:p w14:paraId="1FB636B8" w14:textId="77777777" w:rsidR="005E38EB" w:rsidRPr="008F1125" w:rsidRDefault="00926926" w:rsidP="00577413">
            <w:pPr>
              <w:spacing w:before="20" w:after="20"/>
              <w:jc w:val="center"/>
              <w:rPr>
                <w:szCs w:val="22"/>
                <w:lang w:val="sr-Latn-RS"/>
              </w:rPr>
            </w:pPr>
            <w:r w:rsidRPr="008F1125">
              <w:rPr>
                <w:lang w:val="sr-Latn-RS" w:bidi="sr-Latn-RS"/>
              </w:rPr>
              <w:t>17 (3,8)</w:t>
            </w:r>
          </w:p>
        </w:tc>
        <w:tc>
          <w:tcPr>
            <w:tcW w:w="1265" w:type="pct"/>
            <w:tcBorders>
              <w:top w:val="nil"/>
              <w:left w:val="single" w:sz="4" w:space="0" w:color="auto"/>
              <w:bottom w:val="nil"/>
            </w:tcBorders>
            <w:shd w:val="clear" w:color="auto" w:fill="auto"/>
          </w:tcPr>
          <w:p w14:paraId="1FB636B9" w14:textId="77777777" w:rsidR="005E38EB" w:rsidRPr="008F1125" w:rsidRDefault="00926926" w:rsidP="00577413">
            <w:pPr>
              <w:spacing w:before="20" w:after="20"/>
              <w:jc w:val="center"/>
              <w:rPr>
                <w:szCs w:val="22"/>
                <w:lang w:val="sr-Latn-RS"/>
              </w:rPr>
            </w:pPr>
            <w:r w:rsidRPr="008F1125">
              <w:rPr>
                <w:lang w:val="sr-Latn-RS" w:bidi="sr-Latn-RS"/>
              </w:rPr>
              <w:t>9 (2,0)</w:t>
            </w:r>
          </w:p>
        </w:tc>
      </w:tr>
      <w:tr w:rsidR="00F51581" w:rsidRPr="008F1125" w14:paraId="1FB636BE" w14:textId="77777777" w:rsidTr="001859BD">
        <w:trPr>
          <w:cantSplit/>
          <w:trHeight w:val="74"/>
          <w:jc w:val="center"/>
        </w:trPr>
        <w:tc>
          <w:tcPr>
            <w:tcW w:w="2424" w:type="pct"/>
            <w:tcBorders>
              <w:top w:val="nil"/>
              <w:bottom w:val="nil"/>
              <w:right w:val="single" w:sz="4" w:space="0" w:color="auto"/>
            </w:tcBorders>
            <w:shd w:val="clear" w:color="auto" w:fill="auto"/>
          </w:tcPr>
          <w:p w14:paraId="1FB636BB" w14:textId="1C91C56B" w:rsidR="005E38EB" w:rsidRPr="008F1125" w:rsidRDefault="00926926" w:rsidP="00577413">
            <w:pPr>
              <w:spacing w:before="20" w:after="20"/>
              <w:rPr>
                <w:b/>
                <w:bCs/>
                <w:szCs w:val="22"/>
                <w:lang w:val="sr-Latn-RS"/>
              </w:rPr>
            </w:pPr>
            <w:r w:rsidRPr="008F1125">
              <w:rPr>
                <w:lang w:val="sr-Latn-RS" w:bidi="sr-Latn-RS"/>
              </w:rPr>
              <w:tab/>
              <w:t>D</w:t>
            </w:r>
            <w:r w:rsidR="00E74CD9" w:rsidRPr="008F1125">
              <w:rPr>
                <w:lang w:val="sr-Latn-RS" w:bidi="sr-Latn-RS"/>
              </w:rPr>
              <w:t>j</w:t>
            </w:r>
            <w:r w:rsidRPr="008F1125">
              <w:rPr>
                <w:lang w:val="sr-Latn-RS" w:bidi="sr-Latn-RS"/>
              </w:rPr>
              <w:t>elimični odgovor (PR) n (%)</w:t>
            </w:r>
          </w:p>
        </w:tc>
        <w:tc>
          <w:tcPr>
            <w:tcW w:w="1311" w:type="pct"/>
            <w:tcBorders>
              <w:top w:val="nil"/>
              <w:left w:val="single" w:sz="4" w:space="0" w:color="auto"/>
              <w:bottom w:val="nil"/>
              <w:right w:val="single" w:sz="4" w:space="0" w:color="auto"/>
            </w:tcBorders>
            <w:shd w:val="clear" w:color="auto" w:fill="auto"/>
          </w:tcPr>
          <w:p w14:paraId="1FB636BC" w14:textId="77777777" w:rsidR="005E38EB" w:rsidRPr="008F1125" w:rsidRDefault="00926926" w:rsidP="00577413">
            <w:pPr>
              <w:spacing w:before="20" w:after="20"/>
              <w:jc w:val="center"/>
              <w:rPr>
                <w:szCs w:val="22"/>
                <w:lang w:val="sr-Latn-RS"/>
              </w:rPr>
            </w:pPr>
            <w:r w:rsidRPr="008F1125">
              <w:rPr>
                <w:lang w:val="sr-Latn-RS" w:bidi="sr-Latn-RS"/>
              </w:rPr>
              <w:t>215 (48,6)</w:t>
            </w:r>
          </w:p>
        </w:tc>
        <w:tc>
          <w:tcPr>
            <w:tcW w:w="1265" w:type="pct"/>
            <w:tcBorders>
              <w:top w:val="nil"/>
              <w:left w:val="single" w:sz="4" w:space="0" w:color="auto"/>
              <w:bottom w:val="nil"/>
            </w:tcBorders>
            <w:shd w:val="clear" w:color="auto" w:fill="auto"/>
          </w:tcPr>
          <w:p w14:paraId="1FB636BD" w14:textId="77777777" w:rsidR="005E38EB" w:rsidRPr="008F1125" w:rsidRDefault="00926926" w:rsidP="00577413">
            <w:pPr>
              <w:spacing w:before="20" w:after="20"/>
              <w:jc w:val="center"/>
              <w:rPr>
                <w:szCs w:val="22"/>
                <w:lang w:val="sr-Latn-RS"/>
              </w:rPr>
            </w:pPr>
            <w:r w:rsidRPr="008F1125">
              <w:rPr>
                <w:lang w:val="sr-Latn-RS" w:bidi="sr-Latn-RS"/>
              </w:rPr>
              <w:t>112 (25,2)</w:t>
            </w:r>
          </w:p>
        </w:tc>
      </w:tr>
      <w:tr w:rsidR="00F51581" w:rsidRPr="008F1125" w14:paraId="1FB636C2" w14:textId="77777777" w:rsidTr="001859BD">
        <w:trPr>
          <w:cantSplit/>
          <w:trHeight w:val="183"/>
          <w:jc w:val="center"/>
        </w:trPr>
        <w:tc>
          <w:tcPr>
            <w:tcW w:w="2424" w:type="pct"/>
            <w:tcBorders>
              <w:top w:val="single" w:sz="4" w:space="0" w:color="auto"/>
              <w:bottom w:val="nil"/>
            </w:tcBorders>
            <w:shd w:val="clear" w:color="auto" w:fill="auto"/>
          </w:tcPr>
          <w:p w14:paraId="1FB636BF" w14:textId="62192E37" w:rsidR="00E266E6" w:rsidRPr="008F1125" w:rsidRDefault="00926926" w:rsidP="00577413">
            <w:pPr>
              <w:keepNext/>
              <w:keepLines/>
              <w:spacing w:before="20" w:after="20"/>
              <w:rPr>
                <w:b/>
                <w:bCs/>
                <w:szCs w:val="22"/>
                <w:lang w:val="sr-Latn-RS"/>
              </w:rPr>
            </w:pPr>
            <w:r w:rsidRPr="008F1125">
              <w:rPr>
                <w:b/>
                <w:lang w:val="sr-Latn-RS" w:bidi="sr-Latn-RS"/>
              </w:rPr>
              <w:t>Vr</w:t>
            </w:r>
            <w:r w:rsidR="00854AD7" w:rsidRPr="008F1125">
              <w:rPr>
                <w:b/>
                <w:lang w:val="sr-Latn-RS" w:bidi="sr-Latn-RS"/>
              </w:rPr>
              <w:t>ij</w:t>
            </w:r>
            <w:r w:rsidRPr="008F1125">
              <w:rPr>
                <w:b/>
                <w:lang w:val="sr-Latn-RS" w:bidi="sr-Latn-RS"/>
              </w:rPr>
              <w:t>eme do odgovora (TTR)</w:t>
            </w:r>
          </w:p>
        </w:tc>
        <w:tc>
          <w:tcPr>
            <w:tcW w:w="1311" w:type="pct"/>
            <w:tcBorders>
              <w:top w:val="single" w:sz="4" w:space="0" w:color="auto"/>
              <w:bottom w:val="nil"/>
            </w:tcBorders>
            <w:shd w:val="clear" w:color="auto" w:fill="auto"/>
          </w:tcPr>
          <w:p w14:paraId="1FB636C0" w14:textId="77777777" w:rsidR="00E266E6" w:rsidRPr="008F1125" w:rsidRDefault="00E266E6" w:rsidP="00577413">
            <w:pPr>
              <w:keepNext/>
              <w:keepLines/>
              <w:spacing w:before="20" w:after="20"/>
              <w:jc w:val="center"/>
              <w:rPr>
                <w:szCs w:val="22"/>
                <w:lang w:val="sr-Latn-RS"/>
              </w:rPr>
            </w:pPr>
          </w:p>
        </w:tc>
        <w:tc>
          <w:tcPr>
            <w:tcW w:w="1265" w:type="pct"/>
            <w:tcBorders>
              <w:top w:val="single" w:sz="4" w:space="0" w:color="auto"/>
              <w:bottom w:val="nil"/>
            </w:tcBorders>
            <w:shd w:val="clear" w:color="auto" w:fill="auto"/>
          </w:tcPr>
          <w:p w14:paraId="1FB636C1" w14:textId="77777777" w:rsidR="00E266E6" w:rsidRPr="008F1125" w:rsidRDefault="00E266E6" w:rsidP="00577413">
            <w:pPr>
              <w:keepNext/>
              <w:keepLines/>
              <w:spacing w:before="20" w:after="20"/>
              <w:jc w:val="center"/>
              <w:rPr>
                <w:szCs w:val="22"/>
                <w:lang w:val="sr-Latn-RS"/>
              </w:rPr>
            </w:pPr>
          </w:p>
        </w:tc>
      </w:tr>
      <w:tr w:rsidR="00F51581" w:rsidRPr="008F1125" w14:paraId="1FB636C6" w14:textId="77777777" w:rsidTr="001859BD">
        <w:trPr>
          <w:cantSplit/>
          <w:trHeight w:val="217"/>
          <w:jc w:val="center"/>
        </w:trPr>
        <w:tc>
          <w:tcPr>
            <w:tcW w:w="2424" w:type="pct"/>
            <w:tcBorders>
              <w:top w:val="nil"/>
              <w:bottom w:val="single" w:sz="4" w:space="0" w:color="auto"/>
            </w:tcBorders>
            <w:shd w:val="clear" w:color="auto" w:fill="auto"/>
          </w:tcPr>
          <w:p w14:paraId="1FB636C3" w14:textId="4739702F" w:rsidR="00E266E6" w:rsidRPr="008F1125" w:rsidRDefault="00926926" w:rsidP="00577413">
            <w:pPr>
              <w:spacing w:before="20" w:after="20"/>
              <w:rPr>
                <w:b/>
                <w:bCs/>
                <w:szCs w:val="22"/>
                <w:lang w:val="sr-Latn-RS"/>
              </w:rPr>
            </w:pPr>
            <w:r w:rsidRPr="008F1125">
              <w:rPr>
                <w:lang w:val="sr-Latn-RS" w:bidi="sr-Latn-RS"/>
              </w:rPr>
              <w:tab/>
              <w:t xml:space="preserve">Medijana, </w:t>
            </w:r>
            <w:r w:rsidR="00B27CC7" w:rsidRPr="008F1125">
              <w:rPr>
                <w:lang w:val="sr-Latn-RS" w:bidi="sr-Latn-RS"/>
              </w:rPr>
              <w:t>mjeseci</w:t>
            </w:r>
            <w:r w:rsidRPr="008F1125">
              <w:rPr>
                <w:lang w:val="sr-Latn-RS" w:bidi="sr-Latn-RS"/>
              </w:rPr>
              <w:t xml:space="preserve"> (raspon)</w:t>
            </w:r>
          </w:p>
        </w:tc>
        <w:tc>
          <w:tcPr>
            <w:tcW w:w="1311" w:type="pct"/>
            <w:tcBorders>
              <w:top w:val="nil"/>
              <w:bottom w:val="single" w:sz="4" w:space="0" w:color="auto"/>
            </w:tcBorders>
            <w:shd w:val="clear" w:color="auto" w:fill="auto"/>
          </w:tcPr>
          <w:p w14:paraId="1FB636C4" w14:textId="77777777" w:rsidR="00E266E6" w:rsidRPr="008F1125" w:rsidRDefault="00926926" w:rsidP="00577413">
            <w:pPr>
              <w:spacing w:before="20" w:after="20"/>
              <w:jc w:val="center"/>
              <w:rPr>
                <w:szCs w:val="22"/>
                <w:lang w:val="sr-Latn-RS"/>
              </w:rPr>
            </w:pPr>
            <w:r w:rsidRPr="008F1125">
              <w:rPr>
                <w:lang w:val="sr-Latn-RS" w:bidi="sr-Latn-RS"/>
              </w:rPr>
              <w:t>2,7 (1,2; 20,7)</w:t>
            </w:r>
          </w:p>
        </w:tc>
        <w:tc>
          <w:tcPr>
            <w:tcW w:w="1265" w:type="pct"/>
            <w:tcBorders>
              <w:top w:val="nil"/>
              <w:bottom w:val="single" w:sz="4" w:space="0" w:color="auto"/>
            </w:tcBorders>
            <w:shd w:val="clear" w:color="auto" w:fill="auto"/>
          </w:tcPr>
          <w:p w14:paraId="1FB636C5" w14:textId="77777777" w:rsidR="00E266E6" w:rsidRPr="008F1125" w:rsidRDefault="00926926" w:rsidP="00577413">
            <w:pPr>
              <w:spacing w:before="20" w:after="20"/>
              <w:jc w:val="center"/>
              <w:rPr>
                <w:szCs w:val="22"/>
                <w:lang w:val="sr-Latn-RS"/>
              </w:rPr>
            </w:pPr>
            <w:r w:rsidRPr="008F1125">
              <w:rPr>
                <w:lang w:val="sr-Latn-RS" w:bidi="sr-Latn-RS"/>
              </w:rPr>
              <w:t>4,0 (1,2; 18,0)</w:t>
            </w:r>
          </w:p>
        </w:tc>
      </w:tr>
      <w:tr w:rsidR="00F51581" w:rsidRPr="008F1125" w14:paraId="1FB636CA" w14:textId="77777777" w:rsidTr="001859BD">
        <w:trPr>
          <w:cantSplit/>
          <w:trHeight w:val="183"/>
          <w:jc w:val="center"/>
        </w:trPr>
        <w:tc>
          <w:tcPr>
            <w:tcW w:w="2424" w:type="pct"/>
            <w:tcBorders>
              <w:top w:val="single" w:sz="4" w:space="0" w:color="auto"/>
              <w:bottom w:val="nil"/>
            </w:tcBorders>
            <w:shd w:val="clear" w:color="auto" w:fill="auto"/>
          </w:tcPr>
          <w:p w14:paraId="1FB636C7" w14:textId="77777777" w:rsidR="00E266E6" w:rsidRPr="008F1125" w:rsidRDefault="00926926" w:rsidP="00577413">
            <w:pPr>
              <w:keepNext/>
              <w:keepLines/>
              <w:spacing w:before="20" w:after="20"/>
              <w:rPr>
                <w:b/>
                <w:bCs/>
                <w:szCs w:val="22"/>
                <w:lang w:val="sr-Latn-RS"/>
              </w:rPr>
            </w:pPr>
            <w:r w:rsidRPr="008F1125">
              <w:rPr>
                <w:b/>
                <w:lang w:val="sr-Latn-RS" w:bidi="sr-Latn-RS"/>
              </w:rPr>
              <w:lastRenderedPageBreak/>
              <w:t>Trajanje odgovora (DOR)</w:t>
            </w:r>
          </w:p>
        </w:tc>
        <w:tc>
          <w:tcPr>
            <w:tcW w:w="1311" w:type="pct"/>
            <w:tcBorders>
              <w:top w:val="single" w:sz="4" w:space="0" w:color="auto"/>
              <w:bottom w:val="nil"/>
            </w:tcBorders>
            <w:shd w:val="clear" w:color="auto" w:fill="auto"/>
          </w:tcPr>
          <w:p w14:paraId="1FB636C8" w14:textId="77777777" w:rsidR="00E266E6" w:rsidRPr="008F1125" w:rsidRDefault="00E266E6" w:rsidP="00577413">
            <w:pPr>
              <w:keepNext/>
              <w:keepLines/>
              <w:spacing w:before="20" w:after="20"/>
              <w:jc w:val="center"/>
              <w:rPr>
                <w:szCs w:val="22"/>
                <w:lang w:val="sr-Latn-RS"/>
              </w:rPr>
            </w:pPr>
          </w:p>
        </w:tc>
        <w:tc>
          <w:tcPr>
            <w:tcW w:w="1265" w:type="pct"/>
            <w:tcBorders>
              <w:top w:val="single" w:sz="4" w:space="0" w:color="auto"/>
              <w:bottom w:val="nil"/>
            </w:tcBorders>
            <w:shd w:val="clear" w:color="auto" w:fill="auto"/>
          </w:tcPr>
          <w:p w14:paraId="1FB636C9" w14:textId="77777777" w:rsidR="00E266E6" w:rsidRPr="008F1125" w:rsidRDefault="00E266E6" w:rsidP="00577413">
            <w:pPr>
              <w:keepNext/>
              <w:keepLines/>
              <w:spacing w:before="20" w:after="20"/>
              <w:jc w:val="center"/>
              <w:rPr>
                <w:szCs w:val="22"/>
                <w:lang w:val="sr-Latn-RS"/>
              </w:rPr>
            </w:pPr>
          </w:p>
        </w:tc>
      </w:tr>
      <w:tr w:rsidR="00F51581" w:rsidRPr="008F1125" w14:paraId="1FB636CE" w14:textId="77777777" w:rsidTr="001859BD">
        <w:trPr>
          <w:cantSplit/>
          <w:trHeight w:val="74"/>
          <w:jc w:val="center"/>
        </w:trPr>
        <w:tc>
          <w:tcPr>
            <w:tcW w:w="2424" w:type="pct"/>
            <w:tcBorders>
              <w:top w:val="nil"/>
            </w:tcBorders>
            <w:shd w:val="clear" w:color="auto" w:fill="auto"/>
          </w:tcPr>
          <w:p w14:paraId="1FB636CB" w14:textId="477838C9" w:rsidR="00E266E6" w:rsidRPr="008F1125" w:rsidRDefault="00926926" w:rsidP="00577413">
            <w:pPr>
              <w:keepNext/>
              <w:keepLines/>
              <w:spacing w:before="20" w:after="20"/>
              <w:rPr>
                <w:b/>
                <w:bCs/>
                <w:szCs w:val="22"/>
                <w:lang w:val="sr-Latn-RS"/>
              </w:rPr>
            </w:pPr>
            <w:r w:rsidRPr="008F1125">
              <w:rPr>
                <w:lang w:val="sr-Latn-RS" w:bidi="sr-Latn-RS"/>
              </w:rPr>
              <w:tab/>
              <w:t xml:space="preserve">Medijana, </w:t>
            </w:r>
            <w:r w:rsidR="00B27CC7" w:rsidRPr="008F1125">
              <w:rPr>
                <w:lang w:val="sr-Latn-RS" w:bidi="sr-Latn-RS"/>
              </w:rPr>
              <w:t>mjeseci</w:t>
            </w:r>
            <w:r w:rsidRPr="008F1125">
              <w:rPr>
                <w:lang w:val="sr-Latn-RS" w:bidi="sr-Latn-RS"/>
              </w:rPr>
              <w:t xml:space="preserve"> (95% CI)</w:t>
            </w:r>
          </w:p>
        </w:tc>
        <w:tc>
          <w:tcPr>
            <w:tcW w:w="1311" w:type="pct"/>
            <w:tcBorders>
              <w:top w:val="nil"/>
            </w:tcBorders>
            <w:shd w:val="clear" w:color="auto" w:fill="auto"/>
          </w:tcPr>
          <w:p w14:paraId="1FB636CC" w14:textId="77777777" w:rsidR="00E266E6" w:rsidRPr="008F1125" w:rsidRDefault="00926926" w:rsidP="00577413">
            <w:pPr>
              <w:keepNext/>
              <w:keepLines/>
              <w:spacing w:before="20" w:after="20"/>
              <w:jc w:val="center"/>
              <w:rPr>
                <w:szCs w:val="22"/>
                <w:lang w:val="sr-Latn-RS"/>
              </w:rPr>
            </w:pPr>
            <w:r w:rsidRPr="008F1125">
              <w:rPr>
                <w:lang w:val="sr-Latn-RS" w:bidi="sr-Latn-RS"/>
              </w:rPr>
              <w:t>18,5 (17,8; NE)</w:t>
            </w:r>
          </w:p>
        </w:tc>
        <w:tc>
          <w:tcPr>
            <w:tcW w:w="1265" w:type="pct"/>
            <w:tcBorders>
              <w:top w:val="nil"/>
            </w:tcBorders>
            <w:shd w:val="clear" w:color="auto" w:fill="auto"/>
          </w:tcPr>
          <w:p w14:paraId="1FB636CD" w14:textId="77777777" w:rsidR="00E266E6" w:rsidRPr="008F1125" w:rsidRDefault="00926926" w:rsidP="00577413">
            <w:pPr>
              <w:keepNext/>
              <w:keepLines/>
              <w:spacing w:before="20" w:after="20"/>
              <w:jc w:val="center"/>
              <w:rPr>
                <w:szCs w:val="22"/>
                <w:lang w:val="sr-Latn-RS"/>
              </w:rPr>
            </w:pPr>
            <w:r w:rsidRPr="008F1125">
              <w:rPr>
                <w:lang w:val="sr-Latn-RS" w:bidi="sr-Latn-RS"/>
              </w:rPr>
              <w:t>NE (16,4; NE)</w:t>
            </w:r>
          </w:p>
        </w:tc>
      </w:tr>
    </w:tbl>
    <w:p w14:paraId="1FB636CF" w14:textId="4F865E87" w:rsidR="005E38EB" w:rsidRPr="008F1125" w:rsidRDefault="00926926" w:rsidP="0058445B">
      <w:pPr>
        <w:keepNext/>
        <w:tabs>
          <w:tab w:val="clear" w:pos="567"/>
        </w:tabs>
        <w:jc w:val="both"/>
        <w:rPr>
          <w:rFonts w:eastAsia="SimSun"/>
          <w:sz w:val="20"/>
          <w:lang w:val="sr-Latn-RS" w:eastAsia="zh-CN"/>
        </w:rPr>
      </w:pPr>
      <w:r w:rsidRPr="008F1125">
        <w:rPr>
          <w:sz w:val="20"/>
          <w:lang w:val="sr-Latn-RS" w:bidi="sr-Latn-RS"/>
        </w:rPr>
        <w:t>BICR: Zasl</w:t>
      </w:r>
      <w:r w:rsidR="0058445B" w:rsidRPr="008F1125">
        <w:rPr>
          <w:sz w:val="20"/>
          <w:lang w:val="sr-Latn-RS" w:bidi="sr-Latn-RS"/>
        </w:rPr>
        <w:t>ij</w:t>
      </w:r>
      <w:r w:rsidRPr="008F1125">
        <w:rPr>
          <w:sz w:val="20"/>
          <w:lang w:val="sr-Latn-RS" w:bidi="sr-Latn-RS"/>
        </w:rPr>
        <w:t xml:space="preserve">epljena nezavisna centralna komisija (eng. </w:t>
      </w:r>
      <w:r w:rsidRPr="008F1125">
        <w:rPr>
          <w:i/>
          <w:sz w:val="20"/>
          <w:lang w:val="sr-Latn-RS" w:bidi="sr-Latn-RS"/>
        </w:rPr>
        <w:t>Blinded Independent Central Review</w:t>
      </w:r>
      <w:r w:rsidRPr="008F1125">
        <w:rPr>
          <w:sz w:val="20"/>
          <w:lang w:val="sr-Latn-RS" w:bidi="sr-Latn-RS"/>
        </w:rPr>
        <w:t xml:space="preserve">), CI: interval pouzdanosti; </w:t>
      </w:r>
      <w:r w:rsidR="00FC38A4" w:rsidRPr="008F1125">
        <w:rPr>
          <w:sz w:val="20"/>
          <w:lang w:val="sr-Latn-RS" w:bidi="sr-Latn-RS"/>
        </w:rPr>
        <w:t xml:space="preserve">K-M: </w:t>
      </w:r>
      <w:r w:rsidR="00FC38A4" w:rsidRPr="008F1125">
        <w:rPr>
          <w:i/>
          <w:sz w:val="20"/>
          <w:lang w:val="sr-Latn-RS" w:bidi="sr-Latn-RS"/>
        </w:rPr>
        <w:t>Kaplan-Meier</w:t>
      </w:r>
      <w:r w:rsidR="00FC38A4" w:rsidRPr="008F1125">
        <w:rPr>
          <w:sz w:val="20"/>
          <w:lang w:val="sr-Latn-RS" w:bidi="sr-Latn-RS"/>
        </w:rPr>
        <w:t xml:space="preserve">; </w:t>
      </w:r>
      <w:r w:rsidRPr="008F1125">
        <w:rPr>
          <w:sz w:val="20"/>
          <w:lang w:val="sr-Latn-RS" w:bidi="sr-Latn-RS"/>
        </w:rPr>
        <w:t xml:space="preserve">NE: nije moglo da se </w:t>
      </w:r>
      <w:r w:rsidR="00E74CD9" w:rsidRPr="008F1125">
        <w:rPr>
          <w:sz w:val="20"/>
          <w:lang w:val="sr-Latn-RS" w:bidi="sr-Latn-RS"/>
        </w:rPr>
        <w:t>proc</w:t>
      </w:r>
      <w:r w:rsidR="0058445B" w:rsidRPr="008F1125">
        <w:rPr>
          <w:sz w:val="20"/>
          <w:lang w:val="sr-Latn-RS" w:bidi="sr-Latn-RS"/>
        </w:rPr>
        <w:t>i</w:t>
      </w:r>
      <w:r w:rsidR="00E74CD9" w:rsidRPr="008F1125">
        <w:rPr>
          <w:sz w:val="20"/>
          <w:lang w:val="sr-Latn-RS" w:bidi="sr-Latn-RS"/>
        </w:rPr>
        <w:t>jeni</w:t>
      </w:r>
      <w:r w:rsidRPr="008F1125">
        <w:rPr>
          <w:sz w:val="20"/>
          <w:lang w:val="sr-Latn-RS" w:bidi="sr-Latn-RS"/>
        </w:rPr>
        <w:t>.</w:t>
      </w:r>
    </w:p>
    <w:p w14:paraId="1FB636D0" w14:textId="1A815B1D" w:rsidR="005E38EB" w:rsidRPr="008F1125" w:rsidRDefault="00926926" w:rsidP="0058445B">
      <w:pPr>
        <w:keepNext/>
        <w:tabs>
          <w:tab w:val="clear" w:pos="567"/>
        </w:tabs>
        <w:jc w:val="both"/>
        <w:rPr>
          <w:sz w:val="20"/>
          <w:lang w:val="sr-Latn-RS"/>
        </w:rPr>
      </w:pPr>
      <w:r w:rsidRPr="008F1125">
        <w:rPr>
          <w:sz w:val="20"/>
          <w:lang w:val="sr-Latn-RS" w:bidi="sr-Latn-RS"/>
        </w:rPr>
        <w:t>* jednostrana p-vr</w:t>
      </w:r>
      <w:r w:rsidR="0058445B" w:rsidRPr="008F1125">
        <w:rPr>
          <w:sz w:val="20"/>
          <w:lang w:val="sr-Latn-RS" w:bidi="sr-Latn-RS"/>
        </w:rPr>
        <w:t>ij</w:t>
      </w:r>
      <w:r w:rsidRPr="008F1125">
        <w:rPr>
          <w:sz w:val="20"/>
          <w:lang w:val="sr-Latn-RS" w:bidi="sr-Latn-RS"/>
        </w:rPr>
        <w:t>ednost na osnovu stratifikovanog log-ran</w:t>
      </w:r>
      <w:r w:rsidR="0058445B" w:rsidRPr="008F1125">
        <w:rPr>
          <w:sz w:val="20"/>
          <w:lang w:val="sr-Latn-RS" w:bidi="sr-Latn-RS"/>
        </w:rPr>
        <w:t>g</w:t>
      </w:r>
      <w:r w:rsidRPr="008F1125">
        <w:rPr>
          <w:sz w:val="20"/>
          <w:lang w:val="sr-Latn-RS" w:bidi="sr-Latn-RS"/>
        </w:rPr>
        <w:t xml:space="preserve"> testa.</w:t>
      </w:r>
    </w:p>
    <w:p w14:paraId="1FB636D1" w14:textId="6F91299F" w:rsidR="001D1A41" w:rsidRPr="008F1125" w:rsidRDefault="00926926" w:rsidP="0058445B">
      <w:pPr>
        <w:tabs>
          <w:tab w:val="clear" w:pos="567"/>
        </w:tabs>
        <w:jc w:val="both"/>
        <w:rPr>
          <w:sz w:val="20"/>
          <w:lang w:val="sr-Latn-RS"/>
        </w:rPr>
      </w:pPr>
      <w:r w:rsidRPr="008F1125">
        <w:rPr>
          <w:sz w:val="20"/>
          <w:lang w:val="sr-Latn-RS" w:bidi="sr-Latn-RS"/>
        </w:rPr>
        <w:t>** CI su dobijeni log-log transformacijom uz povratnu transformaciju u netransformisanu skalu</w:t>
      </w:r>
    </w:p>
    <w:p w14:paraId="1FB636D2" w14:textId="77777777" w:rsidR="005E38EB" w:rsidRPr="008F1125" w:rsidRDefault="005E38EB" w:rsidP="00577413">
      <w:pPr>
        <w:rPr>
          <w:szCs w:val="22"/>
          <w:lang w:val="sr-Latn-RS"/>
        </w:rPr>
      </w:pPr>
    </w:p>
    <w:p w14:paraId="1FB636D3" w14:textId="0585B81E" w:rsidR="005E38EB" w:rsidRPr="008F1125" w:rsidRDefault="00926926" w:rsidP="0058445B">
      <w:pPr>
        <w:pStyle w:val="Default"/>
        <w:keepNext/>
        <w:keepLines/>
        <w:jc w:val="both"/>
        <w:rPr>
          <w:b/>
          <w:i/>
          <w:color w:val="auto"/>
          <w:sz w:val="22"/>
          <w:szCs w:val="22"/>
          <w:lang w:val="sr-Latn-RS"/>
        </w:rPr>
      </w:pPr>
      <w:bookmarkStart w:id="19" w:name="_Ref527446916"/>
      <w:bookmarkStart w:id="20" w:name="_Ref531178981"/>
      <w:r w:rsidRPr="008F1125">
        <w:rPr>
          <w:b/>
          <w:color w:val="auto"/>
          <w:sz w:val="22"/>
          <w:lang w:val="sr-Latn-RS" w:bidi="sr-Latn-RS"/>
        </w:rPr>
        <w:t>Slika </w:t>
      </w:r>
      <w:bookmarkEnd w:id="19"/>
      <w:bookmarkEnd w:id="20"/>
      <w:r w:rsidR="000135AE" w:rsidRPr="008F1125">
        <w:rPr>
          <w:b/>
          <w:color w:val="auto"/>
          <w:sz w:val="22"/>
          <w:lang w:val="sr-Latn-RS" w:bidi="sr-Latn-RS"/>
        </w:rPr>
        <w:t>5</w:t>
      </w:r>
      <w:r w:rsidRPr="008F1125">
        <w:rPr>
          <w:b/>
          <w:color w:val="auto"/>
          <w:sz w:val="22"/>
          <w:lang w:val="sr-Latn-RS" w:bidi="sr-Latn-RS"/>
        </w:rPr>
        <w:t xml:space="preserve">: </w:t>
      </w:r>
      <w:r w:rsidRPr="008F1125">
        <w:rPr>
          <w:b/>
          <w:i/>
          <w:color w:val="auto"/>
          <w:sz w:val="22"/>
          <w:lang w:val="sr-Latn-RS" w:bidi="sr-Latn-RS"/>
        </w:rPr>
        <w:t>Kaplan-Meier</w:t>
      </w:r>
      <w:r w:rsidRPr="008F1125">
        <w:rPr>
          <w:b/>
          <w:color w:val="auto"/>
          <w:sz w:val="22"/>
          <w:lang w:val="sr-Latn-RS" w:bidi="sr-Latn-RS"/>
        </w:rPr>
        <w:t>-ove proc</w:t>
      </w:r>
      <w:r w:rsidR="0058445B" w:rsidRPr="008F1125">
        <w:rPr>
          <w:b/>
          <w:color w:val="auto"/>
          <w:sz w:val="22"/>
          <w:lang w:val="sr-Latn-RS" w:bidi="sr-Latn-RS"/>
        </w:rPr>
        <w:t>j</w:t>
      </w:r>
      <w:r w:rsidRPr="008F1125">
        <w:rPr>
          <w:b/>
          <w:color w:val="auto"/>
          <w:sz w:val="22"/>
          <w:lang w:val="sr-Latn-RS" w:bidi="sr-Latn-RS"/>
        </w:rPr>
        <w:t xml:space="preserve">ene preživljavanja bez progresije bolesti prema </w:t>
      </w:r>
      <w:r w:rsidR="00E74CD9" w:rsidRPr="008F1125">
        <w:rPr>
          <w:b/>
          <w:color w:val="auto"/>
          <w:sz w:val="22"/>
          <w:lang w:val="sr-Latn-RS" w:bidi="sr-Latn-RS"/>
        </w:rPr>
        <w:t>procjeni</w:t>
      </w:r>
      <w:r w:rsidRPr="008F1125">
        <w:rPr>
          <w:b/>
          <w:color w:val="auto"/>
          <w:sz w:val="22"/>
          <w:lang w:val="sr-Latn-RS" w:bidi="sr-Latn-RS"/>
        </w:rPr>
        <w:t xml:space="preserve"> BICR-a kod pacijenata nezavisno od ekspresije PD-L1</w:t>
      </w:r>
    </w:p>
    <w:p w14:paraId="1FB636D4" w14:textId="77777777" w:rsidR="005E38EB" w:rsidRPr="008F1125" w:rsidRDefault="005E38EB" w:rsidP="00577413">
      <w:pPr>
        <w:keepNext/>
        <w:keepLines/>
        <w:rPr>
          <w:szCs w:val="22"/>
          <w:lang w:val="sr-Latn-RS"/>
        </w:rPr>
      </w:pPr>
    </w:p>
    <w:p w14:paraId="4C90E16C" w14:textId="2EF69A8B" w:rsidR="005E38EB" w:rsidRDefault="005E38EB" w:rsidP="00227E4B">
      <w:pPr>
        <w:rPr>
          <w:szCs w:val="22"/>
          <w:lang w:val="sr-Latn-RS"/>
        </w:rPr>
      </w:pPr>
    </w:p>
    <w:p w14:paraId="09B6CC67" w14:textId="68604AA1" w:rsidR="00550471" w:rsidRPr="008A27BA" w:rsidRDefault="00EE51A1" w:rsidP="00227E4B">
      <w:pPr>
        <w:rPr>
          <w:szCs w:val="22"/>
          <w:lang w:val="en-US"/>
        </w:rPr>
      </w:pPr>
      <w:r>
        <w:rPr>
          <w:noProof/>
          <w:lang w:val="en-US"/>
        </w:rPr>
        <w:drawing>
          <wp:inline distT="0" distB="0" distL="0" distR="0" wp14:anchorId="511BF5F4" wp14:editId="6C795534">
            <wp:extent cx="5760085" cy="37452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085" cy="3745230"/>
                    </a:xfrm>
                    <a:prstGeom prst="rect">
                      <a:avLst/>
                    </a:prstGeom>
                  </pic:spPr>
                </pic:pic>
              </a:graphicData>
            </a:graphic>
          </wp:inline>
        </w:drawing>
      </w:r>
    </w:p>
    <w:p w14:paraId="1FB636D6" w14:textId="77777777" w:rsidR="005E38EB" w:rsidRPr="008F1125" w:rsidRDefault="005E38EB" w:rsidP="00577413">
      <w:pPr>
        <w:rPr>
          <w:szCs w:val="22"/>
          <w:lang w:val="sr-Latn-RS"/>
        </w:rPr>
      </w:pPr>
    </w:p>
    <w:p w14:paraId="1FB636D7" w14:textId="065330EA" w:rsidR="005E38EB" w:rsidRPr="008F1125" w:rsidRDefault="00926926" w:rsidP="00577413">
      <w:pPr>
        <w:rPr>
          <w:szCs w:val="22"/>
          <w:lang w:val="sr-Latn-RS"/>
        </w:rPr>
      </w:pPr>
      <w:r w:rsidRPr="008F1125">
        <w:rPr>
          <w:lang w:val="sr-Latn-RS" w:bidi="sr-Latn-RS"/>
        </w:rPr>
        <w:t>U unapr</w:t>
      </w:r>
      <w:r w:rsidR="00854AD7" w:rsidRPr="008F1125">
        <w:rPr>
          <w:lang w:val="sr-Latn-RS" w:bidi="sr-Latn-RS"/>
        </w:rPr>
        <w:t>ij</w:t>
      </w:r>
      <w:r w:rsidRPr="008F1125">
        <w:rPr>
          <w:lang w:val="sr-Latn-RS" w:bidi="sr-Latn-RS"/>
        </w:rPr>
        <w:t>ed definisanim podgrupama prim</w:t>
      </w:r>
      <w:r w:rsidR="00515B67" w:rsidRPr="008F1125">
        <w:rPr>
          <w:lang w:val="sr-Latn-RS" w:bidi="sr-Latn-RS"/>
        </w:rPr>
        <w:t>ij</w:t>
      </w:r>
      <w:r w:rsidRPr="008F1125">
        <w:rPr>
          <w:lang w:val="sr-Latn-RS" w:bidi="sr-Latn-RS"/>
        </w:rPr>
        <w:t>ećeno je poboljšanje preživljavanja bez progresije bolesti.</w:t>
      </w:r>
    </w:p>
    <w:p w14:paraId="1FB636D8" w14:textId="77777777" w:rsidR="00BE5B7E" w:rsidRPr="008F1125" w:rsidRDefault="00BE5B7E" w:rsidP="00577413">
      <w:pPr>
        <w:pStyle w:val="Default"/>
        <w:rPr>
          <w:color w:val="auto"/>
          <w:sz w:val="22"/>
          <w:szCs w:val="22"/>
          <w:lang w:val="sr-Latn-RS"/>
        </w:rPr>
      </w:pPr>
      <w:bookmarkStart w:id="21" w:name="_Ref1898664"/>
    </w:p>
    <w:p w14:paraId="69AF6480" w14:textId="77777777" w:rsidR="00AE57A4" w:rsidRDefault="00AE57A4" w:rsidP="00E70E35">
      <w:pPr>
        <w:pStyle w:val="Default"/>
        <w:keepNext/>
        <w:keepLines/>
        <w:jc w:val="both"/>
        <w:rPr>
          <w:b/>
          <w:color w:val="auto"/>
          <w:sz w:val="22"/>
          <w:lang w:val="sr-Latn-RS" w:bidi="sr-Latn-RS"/>
        </w:rPr>
      </w:pPr>
    </w:p>
    <w:p w14:paraId="6B5F664E" w14:textId="77777777" w:rsidR="006A6873" w:rsidRDefault="006A6873">
      <w:pPr>
        <w:tabs>
          <w:tab w:val="clear" w:pos="567"/>
        </w:tabs>
        <w:rPr>
          <w:rFonts w:eastAsia="SimSun"/>
          <w:b/>
          <w:szCs w:val="24"/>
          <w:lang w:val="sr-Latn-RS" w:eastAsia="en-GB" w:bidi="sr-Latn-RS"/>
        </w:rPr>
      </w:pPr>
      <w:r>
        <w:rPr>
          <w:b/>
          <w:lang w:val="sr-Latn-RS" w:bidi="sr-Latn-RS"/>
        </w:rPr>
        <w:br w:type="page"/>
      </w:r>
    </w:p>
    <w:p w14:paraId="1FB636D9" w14:textId="259BF6FF" w:rsidR="00BE5B7E" w:rsidRPr="008F1125" w:rsidRDefault="00926926" w:rsidP="00E70E35">
      <w:pPr>
        <w:pStyle w:val="Default"/>
        <w:keepNext/>
        <w:keepLines/>
        <w:jc w:val="both"/>
        <w:rPr>
          <w:b/>
          <w:color w:val="auto"/>
          <w:sz w:val="22"/>
          <w:szCs w:val="22"/>
          <w:lang w:val="sr-Latn-RS"/>
        </w:rPr>
      </w:pPr>
      <w:r w:rsidRPr="008F1125">
        <w:rPr>
          <w:b/>
          <w:color w:val="auto"/>
          <w:sz w:val="22"/>
          <w:lang w:val="sr-Latn-RS" w:bidi="sr-Latn-RS"/>
        </w:rPr>
        <w:lastRenderedPageBreak/>
        <w:t>Slika</w:t>
      </w:r>
      <w:bookmarkEnd w:id="21"/>
      <w:r w:rsidRPr="008F1125">
        <w:rPr>
          <w:b/>
          <w:color w:val="auto"/>
          <w:sz w:val="22"/>
          <w:lang w:val="sr-Latn-RS" w:bidi="sr-Latn-RS"/>
        </w:rPr>
        <w:t xml:space="preserve"> </w:t>
      </w:r>
      <w:r w:rsidR="00AD22EB" w:rsidRPr="008F1125">
        <w:rPr>
          <w:b/>
          <w:color w:val="auto"/>
          <w:sz w:val="22"/>
          <w:lang w:val="sr-Latn-RS" w:bidi="sr-Latn-RS"/>
        </w:rPr>
        <w:t>6</w:t>
      </w:r>
      <w:r w:rsidRPr="008F1125">
        <w:rPr>
          <w:b/>
          <w:color w:val="auto"/>
          <w:sz w:val="22"/>
          <w:lang w:val="sr-Latn-RS" w:bidi="sr-Latn-RS"/>
        </w:rPr>
        <w:t>: Grafikon raspona pouzdanosti za preživljavanj</w:t>
      </w:r>
      <w:r w:rsidR="00E70E35" w:rsidRPr="008F1125">
        <w:rPr>
          <w:b/>
          <w:color w:val="auto"/>
          <w:sz w:val="22"/>
          <w:lang w:val="sr-Latn-RS" w:bidi="sr-Latn-RS"/>
        </w:rPr>
        <w:t>e</w:t>
      </w:r>
      <w:r w:rsidRPr="008F1125">
        <w:rPr>
          <w:b/>
          <w:color w:val="auto"/>
          <w:sz w:val="22"/>
          <w:lang w:val="sr-Latn-RS" w:bidi="sr-Latn-RS"/>
        </w:rPr>
        <w:t xml:space="preserve"> bez progresije bolesti prema proc</w:t>
      </w:r>
      <w:r w:rsidR="003C0701" w:rsidRPr="008F1125">
        <w:rPr>
          <w:b/>
          <w:color w:val="auto"/>
          <w:sz w:val="22"/>
          <w:lang w:val="sr-Latn-RS" w:bidi="sr-Latn-RS"/>
        </w:rPr>
        <w:t>j</w:t>
      </w:r>
      <w:r w:rsidRPr="008F1125">
        <w:rPr>
          <w:b/>
          <w:color w:val="auto"/>
          <w:sz w:val="22"/>
          <w:lang w:val="sr-Latn-RS" w:bidi="sr-Latn-RS"/>
        </w:rPr>
        <w:t>eni BICR-a kod pacijenata nezavisno od ekspresije PD-L1</w:t>
      </w:r>
    </w:p>
    <w:p w14:paraId="1FB636DA" w14:textId="77777777" w:rsidR="00BE5B7E" w:rsidRPr="008F1125" w:rsidRDefault="00BE5B7E" w:rsidP="00577413">
      <w:pPr>
        <w:pStyle w:val="Default"/>
        <w:keepNext/>
        <w:keepLines/>
        <w:rPr>
          <w:color w:val="auto"/>
          <w:sz w:val="22"/>
          <w:szCs w:val="22"/>
          <w:lang w:val="sr-Latn-RS"/>
        </w:rPr>
      </w:pPr>
    </w:p>
    <w:p w14:paraId="2FA3EB7B" w14:textId="02593A45" w:rsidR="00BE5B7E" w:rsidRPr="008F1125" w:rsidRDefault="00BE5B7E" w:rsidP="000F6F96">
      <w:pPr>
        <w:pStyle w:val="BodyText"/>
        <w:rPr>
          <w:i w:val="0"/>
          <w:color w:val="auto"/>
          <w:szCs w:val="22"/>
          <w:lang w:val="sr-Latn-RS"/>
        </w:rPr>
      </w:pPr>
    </w:p>
    <w:p w14:paraId="1FB636DC" w14:textId="729430D0" w:rsidR="004D5998" w:rsidRPr="008F1125" w:rsidRDefault="00EE51A1" w:rsidP="00577413">
      <w:pPr>
        <w:rPr>
          <w:bCs/>
          <w:iCs/>
          <w:szCs w:val="22"/>
          <w:lang w:val="sr-Latn-RS"/>
        </w:rPr>
      </w:pPr>
      <w:r>
        <w:rPr>
          <w:noProof/>
          <w:lang w:val="en-US"/>
        </w:rPr>
        <w:drawing>
          <wp:inline distT="0" distB="0" distL="0" distR="0" wp14:anchorId="3A218A9B" wp14:editId="3BBB20E7">
            <wp:extent cx="5760085" cy="461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085" cy="4610100"/>
                    </a:xfrm>
                    <a:prstGeom prst="rect">
                      <a:avLst/>
                    </a:prstGeom>
                  </pic:spPr>
                </pic:pic>
              </a:graphicData>
            </a:graphic>
          </wp:inline>
        </w:drawing>
      </w:r>
    </w:p>
    <w:p w14:paraId="05A7DADD" w14:textId="77777777" w:rsidR="008A27BA" w:rsidRDefault="008A27BA" w:rsidP="00E70E35">
      <w:pPr>
        <w:keepNext/>
        <w:keepLines/>
        <w:jc w:val="both"/>
        <w:rPr>
          <w:u w:val="single"/>
          <w:lang w:val="sr-Latn-RS" w:bidi="sr-Latn-RS"/>
        </w:rPr>
      </w:pPr>
    </w:p>
    <w:p w14:paraId="1FB636DD" w14:textId="172F1E3D" w:rsidR="00821DBC" w:rsidRPr="008F1125" w:rsidRDefault="00926926" w:rsidP="00E70E35">
      <w:pPr>
        <w:keepNext/>
        <w:keepLines/>
        <w:jc w:val="both"/>
        <w:rPr>
          <w:bCs/>
          <w:iCs/>
          <w:szCs w:val="22"/>
          <w:lang w:val="sr-Latn-RS"/>
        </w:rPr>
      </w:pPr>
      <w:r w:rsidRPr="008F1125">
        <w:rPr>
          <w:u w:val="single"/>
          <w:lang w:val="sr-Latn-RS" w:bidi="sr-Latn-RS"/>
        </w:rPr>
        <w:t>Pedijatrijska populacija</w:t>
      </w:r>
    </w:p>
    <w:p w14:paraId="1D8BDA89" w14:textId="19461099" w:rsidR="00DF07CD" w:rsidRPr="00DF07CD" w:rsidRDefault="0097235F" w:rsidP="00DF07CD">
      <w:pPr>
        <w:keepNext/>
        <w:keepLines/>
        <w:jc w:val="both"/>
        <w:rPr>
          <w:lang w:val="sr-Latn-RS" w:bidi="sr-Latn-RS"/>
        </w:rPr>
      </w:pPr>
      <w:r>
        <w:rPr>
          <w:lang w:val="sr-Latn-RS" w:bidi="sr-Latn-RS"/>
        </w:rPr>
        <w:t>Ispitivanje</w:t>
      </w:r>
      <w:r w:rsidRPr="00DF07CD">
        <w:rPr>
          <w:lang w:val="sr-Latn-RS" w:bidi="sr-Latn-RS"/>
        </w:rPr>
        <w:t xml:space="preserve"> </w:t>
      </w:r>
      <w:r w:rsidR="00DF07CD" w:rsidRPr="00DF07CD">
        <w:rPr>
          <w:lang w:val="sr-Latn-RS" w:bidi="sr-Latn-RS"/>
        </w:rPr>
        <w:t>MS100070-</w:t>
      </w:r>
      <w:r w:rsidR="00435DC5">
        <w:rPr>
          <w:lang w:val="sr-Latn-RS" w:bidi="sr-Latn-RS"/>
        </w:rPr>
        <w:t>0</w:t>
      </w:r>
      <w:r w:rsidR="00DF07CD" w:rsidRPr="00DF07CD">
        <w:rPr>
          <w:lang w:val="sr-Latn-RS" w:bidi="sr-Latn-RS"/>
        </w:rPr>
        <w:t>306 je bil</w:t>
      </w:r>
      <w:r w:rsidR="00941CC3">
        <w:rPr>
          <w:lang w:val="sr-Latn-RS" w:bidi="sr-Latn-RS"/>
        </w:rPr>
        <w:t>o</w:t>
      </w:r>
      <w:r w:rsidR="00DF07CD" w:rsidRPr="00DF07CD">
        <w:rPr>
          <w:lang w:val="sr-Latn-RS" w:bidi="sr-Latn-RS"/>
        </w:rPr>
        <w:t xml:space="preserve"> multicentričn</w:t>
      </w:r>
      <w:r w:rsidR="00941CC3">
        <w:rPr>
          <w:lang w:val="sr-Latn-RS" w:bidi="sr-Latn-RS"/>
        </w:rPr>
        <w:t>o</w:t>
      </w:r>
      <w:r w:rsidR="00DF07CD" w:rsidRPr="00DF07CD">
        <w:rPr>
          <w:lang w:val="sr-Latn-RS" w:bidi="sr-Latn-RS"/>
        </w:rPr>
        <w:t xml:space="preserve">, </w:t>
      </w:r>
      <w:r>
        <w:rPr>
          <w:lang w:val="sr-Latn-RS" w:bidi="sr-Latn-RS"/>
        </w:rPr>
        <w:t>otvoreno ispitivanje</w:t>
      </w:r>
      <w:r w:rsidR="00DF07CD" w:rsidRPr="00DF07CD">
        <w:rPr>
          <w:lang w:val="sr-Latn-RS" w:bidi="sr-Latn-RS"/>
        </w:rPr>
        <w:t xml:space="preserve"> Faze I/II za procjenu doze, bezbjednosti i podnošljivosti, antitumorske aktivnosti, farmakokinetike i farmakodinamike avelumaba kod pedijatrijskih pacijenata </w:t>
      </w:r>
      <w:r>
        <w:rPr>
          <w:lang w:val="sr-Latn-RS" w:bidi="sr-Latn-RS"/>
        </w:rPr>
        <w:t xml:space="preserve">uzrasta </w:t>
      </w:r>
      <w:r w:rsidR="00DF07CD" w:rsidRPr="00DF07CD">
        <w:rPr>
          <w:lang w:val="sr-Latn-RS" w:bidi="sr-Latn-RS"/>
        </w:rPr>
        <w:t>od rođenja do manje od 18 godina sa refraktornim ili relaps</w:t>
      </w:r>
      <w:r w:rsidR="006E2A66">
        <w:rPr>
          <w:lang w:val="sr-Latn-RS" w:bidi="sr-Latn-RS"/>
        </w:rPr>
        <w:t xml:space="preserve">nim </w:t>
      </w:r>
      <w:r w:rsidR="00DF07CD" w:rsidRPr="00DF07CD">
        <w:rPr>
          <w:lang w:val="sr-Latn-RS" w:bidi="sr-Latn-RS"/>
        </w:rPr>
        <w:t xml:space="preserve">solidnim tumorima uključujući tumore centralnog nervnog sistema (CNS) i limfome za koje nije dostupna standardna terapija </w:t>
      </w:r>
      <w:r w:rsidR="00DF07CD" w:rsidRPr="00941CC3">
        <w:rPr>
          <w:lang w:val="sr-Latn-RS" w:bidi="sr-Latn-RS"/>
        </w:rPr>
        <w:t xml:space="preserve">ili za koje pacijent nije </w:t>
      </w:r>
      <w:r w:rsidR="00941CC3">
        <w:rPr>
          <w:lang w:val="sr-Latn-RS" w:bidi="sr-Latn-RS"/>
        </w:rPr>
        <w:t>pogodan za</w:t>
      </w:r>
      <w:r w:rsidR="00DF07CD" w:rsidRPr="00941CC3">
        <w:rPr>
          <w:lang w:val="sr-Latn-RS" w:bidi="sr-Latn-RS"/>
        </w:rPr>
        <w:t xml:space="preserve"> postojeću terapiju.</w:t>
      </w:r>
    </w:p>
    <w:p w14:paraId="194B695A" w14:textId="77777777" w:rsidR="00DF07CD" w:rsidRPr="00DF07CD" w:rsidRDefault="00DF07CD" w:rsidP="00DF07CD">
      <w:pPr>
        <w:keepNext/>
        <w:keepLines/>
        <w:jc w:val="both"/>
        <w:rPr>
          <w:lang w:val="sr-Latn-RS" w:bidi="sr-Latn-RS"/>
        </w:rPr>
      </w:pPr>
    </w:p>
    <w:p w14:paraId="7D156248" w14:textId="6FCB2EF7" w:rsidR="00DF07CD" w:rsidRPr="00DF07CD" w:rsidRDefault="00DF07CD" w:rsidP="00DF07CD">
      <w:pPr>
        <w:keepNext/>
        <w:keepLines/>
        <w:jc w:val="both"/>
        <w:rPr>
          <w:lang w:val="sr-Latn-RS" w:bidi="sr-Latn-RS"/>
        </w:rPr>
      </w:pPr>
      <w:r w:rsidRPr="00DF07CD">
        <w:rPr>
          <w:lang w:val="sr-Latn-RS" w:bidi="sr-Latn-RS"/>
        </w:rPr>
        <w:t xml:space="preserve">Studija je uključila 21 pedijatrijskog pacijenta </w:t>
      </w:r>
      <w:r w:rsidR="00336870">
        <w:rPr>
          <w:lang w:val="sr-Latn-RS" w:bidi="sr-Latn-RS"/>
        </w:rPr>
        <w:t>uzrasta</w:t>
      </w:r>
      <w:r w:rsidR="00336870" w:rsidRPr="00DF07CD">
        <w:rPr>
          <w:lang w:val="sr-Latn-RS" w:bidi="sr-Latn-RS"/>
        </w:rPr>
        <w:t xml:space="preserve"> </w:t>
      </w:r>
      <w:r w:rsidRPr="00DF07CD">
        <w:rPr>
          <w:lang w:val="sr-Latn-RS" w:bidi="sr-Latn-RS"/>
        </w:rPr>
        <w:t>od 3 do 17 godina (11 pacijenata ≤ 12 godina i 10 pacijenata &gt; 12 godina) koji su primali ili 10 mg/kg (N=6) ili 20 mg/kg (N=15) avelumaba intravenozno svake 2 nedjelje do potvrđene progresije, smrti ili neprihvatljive toksičnosti.</w:t>
      </w:r>
    </w:p>
    <w:p w14:paraId="38685406" w14:textId="77777777" w:rsidR="00DF07CD" w:rsidRPr="00DF07CD" w:rsidRDefault="00DF07CD" w:rsidP="00DF07CD">
      <w:pPr>
        <w:keepNext/>
        <w:keepLines/>
        <w:jc w:val="both"/>
        <w:rPr>
          <w:lang w:val="sr-Latn-RS" w:bidi="sr-Latn-RS"/>
        </w:rPr>
      </w:pPr>
    </w:p>
    <w:p w14:paraId="156C4B5D" w14:textId="60D5ACD2" w:rsidR="00DF07CD" w:rsidRPr="00DF07CD" w:rsidRDefault="00336870" w:rsidP="00DF07CD">
      <w:pPr>
        <w:keepNext/>
        <w:keepLines/>
        <w:jc w:val="both"/>
        <w:rPr>
          <w:lang w:val="sr-Latn-RS" w:bidi="sr-Latn-RS"/>
        </w:rPr>
      </w:pPr>
      <w:r>
        <w:rPr>
          <w:lang w:val="sr-Latn-RS" w:bidi="sr-Latn-RS"/>
        </w:rPr>
        <w:t>Kategorije primarnih tumora</w:t>
      </w:r>
      <w:r w:rsidR="00DF07CD" w:rsidRPr="00DF07CD">
        <w:rPr>
          <w:lang w:val="sr-Latn-RS" w:bidi="sr-Latn-RS"/>
        </w:rPr>
        <w:t xml:space="preserve"> bile su sarkom mekog tkiva/kosti (N=12), maligni tumori CNS-a (N=8) i karcinom gastro-intestinalnog trakta (GI) (N=1).</w:t>
      </w:r>
    </w:p>
    <w:p w14:paraId="7693F8D0" w14:textId="77777777" w:rsidR="00DF07CD" w:rsidRPr="00DF07CD" w:rsidRDefault="00DF07CD" w:rsidP="00DF07CD">
      <w:pPr>
        <w:keepNext/>
        <w:keepLines/>
        <w:jc w:val="both"/>
        <w:rPr>
          <w:lang w:val="sr-Latn-RS" w:bidi="sr-Latn-RS"/>
        </w:rPr>
      </w:pPr>
    </w:p>
    <w:p w14:paraId="37F0373A" w14:textId="0053CE22" w:rsidR="00DF07CD" w:rsidRDefault="00DF07CD" w:rsidP="00DF07CD">
      <w:pPr>
        <w:keepNext/>
        <w:keepLines/>
        <w:jc w:val="both"/>
        <w:rPr>
          <w:lang w:val="sr-Latn-RS" w:bidi="sr-Latn-RS"/>
        </w:rPr>
      </w:pPr>
      <w:r w:rsidRPr="00DF07CD">
        <w:rPr>
          <w:lang w:val="sr-Latn-RS" w:bidi="sr-Latn-RS"/>
        </w:rPr>
        <w:t>Nije bilo potpunog odgovora (CR) ili d</w:t>
      </w:r>
      <w:r w:rsidR="003648D4">
        <w:rPr>
          <w:lang w:val="sr-Latn-RS" w:bidi="sr-Latn-RS"/>
        </w:rPr>
        <w:t>j</w:t>
      </w:r>
      <w:r w:rsidRPr="00DF07CD">
        <w:rPr>
          <w:lang w:val="sr-Latn-RS" w:bidi="sr-Latn-RS"/>
        </w:rPr>
        <w:t xml:space="preserve">elimičnog odgovora (PR) u </w:t>
      </w:r>
      <w:r w:rsidR="00E635DC">
        <w:rPr>
          <w:lang w:val="sr-Latn-RS" w:bidi="sr-Latn-RS"/>
        </w:rPr>
        <w:t>ovom ispitivanju</w:t>
      </w:r>
      <w:r w:rsidRPr="00DF07CD">
        <w:rPr>
          <w:lang w:val="sr-Latn-RS" w:bidi="sr-Latn-RS"/>
        </w:rPr>
        <w:t xml:space="preserve"> kako je proc</w:t>
      </w:r>
      <w:r w:rsidR="00E635DC">
        <w:rPr>
          <w:lang w:val="sr-Latn-RS" w:bidi="sr-Latn-RS"/>
        </w:rPr>
        <w:t>i</w:t>
      </w:r>
      <w:r w:rsidRPr="00DF07CD">
        <w:rPr>
          <w:lang w:val="sr-Latn-RS" w:bidi="sr-Latn-RS"/>
        </w:rPr>
        <w:t>jenjeno prema RECIST 1.1.</w:t>
      </w:r>
    </w:p>
    <w:p w14:paraId="5603B7C0" w14:textId="77777777" w:rsidR="00DF07CD" w:rsidRDefault="00DF07CD" w:rsidP="00DF07CD">
      <w:pPr>
        <w:keepNext/>
        <w:keepLines/>
        <w:jc w:val="both"/>
        <w:rPr>
          <w:lang w:val="sr-Latn-RS" w:bidi="sr-Latn-RS"/>
        </w:rPr>
      </w:pPr>
    </w:p>
    <w:p w14:paraId="1FB636DE" w14:textId="7F493E83" w:rsidR="00821DBC" w:rsidRPr="008F1125" w:rsidRDefault="00926926" w:rsidP="00E70E35">
      <w:pPr>
        <w:keepNext/>
        <w:keepLines/>
        <w:jc w:val="both"/>
        <w:rPr>
          <w:iCs/>
          <w:szCs w:val="22"/>
          <w:lang w:val="sr-Latn-RS"/>
        </w:rPr>
      </w:pPr>
      <w:r w:rsidRPr="008F1125">
        <w:rPr>
          <w:lang w:val="sr-Latn-RS" w:bidi="sr-Latn-RS"/>
        </w:rPr>
        <w:t>Evropska agencija za l</w:t>
      </w:r>
      <w:r w:rsidR="0038574B" w:rsidRPr="008F1125">
        <w:rPr>
          <w:lang w:val="sr-Latn-RS" w:bidi="sr-Latn-RS"/>
        </w:rPr>
        <w:t>j</w:t>
      </w:r>
      <w:r w:rsidRPr="008F1125">
        <w:rPr>
          <w:lang w:val="sr-Latn-RS" w:bidi="sr-Latn-RS"/>
        </w:rPr>
        <w:t>ekove izuzela je obavez</w:t>
      </w:r>
      <w:r w:rsidR="00E70E35" w:rsidRPr="008F1125">
        <w:rPr>
          <w:lang w:val="sr-Latn-RS" w:bidi="sr-Latn-RS"/>
        </w:rPr>
        <w:t>u</w:t>
      </w:r>
      <w:r w:rsidRPr="008F1125">
        <w:rPr>
          <w:lang w:val="sr-Latn-RS" w:bidi="sr-Latn-RS"/>
        </w:rPr>
        <w:t xml:space="preserve"> podnošenj</w:t>
      </w:r>
      <w:r w:rsidR="00E70E35" w:rsidRPr="008F1125">
        <w:rPr>
          <w:lang w:val="sr-Latn-RS" w:bidi="sr-Latn-RS"/>
        </w:rPr>
        <w:t>a</w:t>
      </w:r>
      <w:r w:rsidRPr="008F1125">
        <w:rPr>
          <w:lang w:val="sr-Latn-RS" w:bidi="sr-Latn-RS"/>
        </w:rPr>
        <w:t xml:space="preserve"> rezultata </w:t>
      </w:r>
      <w:r w:rsidR="00E70E35" w:rsidRPr="008F1125">
        <w:rPr>
          <w:lang w:val="sr-Latn-RS" w:bidi="sr-Latn-RS"/>
        </w:rPr>
        <w:t xml:space="preserve">ispitivanja </w:t>
      </w:r>
      <w:r w:rsidRPr="008F1125">
        <w:rPr>
          <w:lang w:val="sr-Latn-RS" w:bidi="sr-Latn-RS"/>
        </w:rPr>
        <w:t>sa l</w:t>
      </w:r>
      <w:r w:rsidR="00515B67" w:rsidRPr="008F1125">
        <w:rPr>
          <w:lang w:val="sr-Latn-RS" w:bidi="sr-Latn-RS"/>
        </w:rPr>
        <w:t>ij</w:t>
      </w:r>
      <w:r w:rsidRPr="008F1125">
        <w:rPr>
          <w:lang w:val="sr-Latn-RS" w:bidi="sr-Latn-RS"/>
        </w:rPr>
        <w:t>ekom Bavencio u svim podgrupama pedijatrijske populacije za l</w:t>
      </w:r>
      <w:r w:rsidR="00515B67" w:rsidRPr="008F1125">
        <w:rPr>
          <w:lang w:val="sr-Latn-RS" w:bidi="sr-Latn-RS"/>
        </w:rPr>
        <w:t>ij</w:t>
      </w:r>
      <w:r w:rsidRPr="008F1125">
        <w:rPr>
          <w:lang w:val="sr-Latn-RS" w:bidi="sr-Latn-RS"/>
        </w:rPr>
        <w:t>ečen</w:t>
      </w:r>
      <w:r w:rsidR="00AD22EB" w:rsidRPr="008F1125">
        <w:rPr>
          <w:lang w:val="sr-Latn-RS" w:bidi="sr-Latn-RS"/>
        </w:rPr>
        <w:t>je karcinoma Merkelovih ćelija, urotelijalnog karcinoma i</w:t>
      </w:r>
      <w:r w:rsidRPr="008F1125">
        <w:rPr>
          <w:lang w:val="sr-Latn-RS" w:bidi="sr-Latn-RS"/>
        </w:rPr>
        <w:t xml:space="preserve"> </w:t>
      </w:r>
      <w:r w:rsidR="00AD22EB" w:rsidRPr="008F1125">
        <w:rPr>
          <w:lang w:val="sr-Latn-RS" w:bidi="sr-Latn-RS"/>
        </w:rPr>
        <w:t xml:space="preserve">karcinoma </w:t>
      </w:r>
      <w:r w:rsidRPr="008F1125">
        <w:rPr>
          <w:lang w:val="sr-Latn-RS" w:bidi="sr-Latn-RS"/>
        </w:rPr>
        <w:t>bubrežnih ćelija (</w:t>
      </w:r>
      <w:r w:rsidR="00DD502A" w:rsidRPr="008F1125">
        <w:rPr>
          <w:lang w:val="sr-Latn-RS" w:bidi="sr-Latn-RS"/>
        </w:rPr>
        <w:t>vidjeti dio</w:t>
      </w:r>
      <w:r w:rsidRPr="008F1125">
        <w:rPr>
          <w:lang w:val="sr-Latn-RS" w:bidi="sr-Latn-RS"/>
        </w:rPr>
        <w:t xml:space="preserve"> 4.2</w:t>
      </w:r>
      <w:r w:rsidR="00E70E35" w:rsidRPr="008F1125">
        <w:rPr>
          <w:lang w:val="sr-Latn-RS" w:bidi="sr-Latn-RS"/>
        </w:rPr>
        <w:t>.</w:t>
      </w:r>
      <w:r w:rsidRPr="008F1125">
        <w:rPr>
          <w:lang w:val="sr-Latn-RS" w:bidi="sr-Latn-RS"/>
        </w:rPr>
        <w:t xml:space="preserve"> za informacije o prim</w:t>
      </w:r>
      <w:r w:rsidR="00515B67" w:rsidRPr="008F1125">
        <w:rPr>
          <w:lang w:val="sr-Latn-RS" w:bidi="sr-Latn-RS"/>
        </w:rPr>
        <w:t>j</w:t>
      </w:r>
      <w:r w:rsidRPr="008F1125">
        <w:rPr>
          <w:lang w:val="sr-Latn-RS" w:bidi="sr-Latn-RS"/>
        </w:rPr>
        <w:t>eni kod pedijatrijske populacije).</w:t>
      </w:r>
    </w:p>
    <w:p w14:paraId="1FB636E2" w14:textId="77777777" w:rsidR="000E001A" w:rsidRPr="008F1125" w:rsidRDefault="000E001A" w:rsidP="00577413">
      <w:pPr>
        <w:numPr>
          <w:ilvl w:val="12"/>
          <w:numId w:val="0"/>
        </w:numPr>
        <w:rPr>
          <w:iCs/>
          <w:szCs w:val="22"/>
          <w:lang w:val="sr-Latn-RS"/>
        </w:rPr>
      </w:pPr>
    </w:p>
    <w:p w14:paraId="1FB636E3" w14:textId="43F7C525" w:rsidR="00821DBC" w:rsidRPr="008F1125" w:rsidRDefault="00926926" w:rsidP="00E70E35">
      <w:pPr>
        <w:keepNext/>
        <w:jc w:val="both"/>
        <w:rPr>
          <w:b/>
          <w:szCs w:val="22"/>
          <w:lang w:val="sr-Latn-RS"/>
        </w:rPr>
      </w:pPr>
      <w:r w:rsidRPr="008F1125">
        <w:rPr>
          <w:b/>
          <w:lang w:val="sr-Latn-RS" w:bidi="sr-Latn-RS"/>
        </w:rPr>
        <w:lastRenderedPageBreak/>
        <w:t>5.2.</w:t>
      </w:r>
      <w:r w:rsidRPr="008F1125">
        <w:rPr>
          <w:b/>
          <w:lang w:val="sr-Latn-RS" w:bidi="sr-Latn-RS"/>
        </w:rPr>
        <w:tab/>
        <w:t>Farmakokinetički podaci</w:t>
      </w:r>
    </w:p>
    <w:p w14:paraId="1FB636E4" w14:textId="77777777" w:rsidR="005E38EB" w:rsidRPr="008F1125" w:rsidRDefault="005E38EB" w:rsidP="00E70E35">
      <w:pPr>
        <w:keepNext/>
        <w:autoSpaceDE w:val="0"/>
        <w:autoSpaceDN w:val="0"/>
        <w:adjustRightInd w:val="0"/>
        <w:jc w:val="both"/>
        <w:rPr>
          <w:szCs w:val="22"/>
          <w:lang w:val="sr-Latn-RS" w:eastAsia="en-GB"/>
        </w:rPr>
      </w:pPr>
      <w:bookmarkStart w:id="22" w:name="_Hlk529354644"/>
    </w:p>
    <w:p w14:paraId="1FB636E5" w14:textId="1CA35D34" w:rsidR="005E38EB" w:rsidRPr="008F1125" w:rsidRDefault="00926926" w:rsidP="00E70E35">
      <w:pPr>
        <w:autoSpaceDE w:val="0"/>
        <w:autoSpaceDN w:val="0"/>
        <w:adjustRightInd w:val="0"/>
        <w:jc w:val="both"/>
        <w:rPr>
          <w:szCs w:val="22"/>
          <w:lang w:val="sr-Latn-RS"/>
        </w:rPr>
      </w:pPr>
      <w:r w:rsidRPr="008F1125">
        <w:rPr>
          <w:lang w:val="sr-Latn-RS" w:bidi="sr-Latn-RS"/>
        </w:rPr>
        <w:t>Farmakokinetika avelumaba u monoterapiji i avelumaba u kombinaciji sa aksitinibom proc</w:t>
      </w:r>
      <w:r w:rsidR="00E70E35" w:rsidRPr="008F1125">
        <w:rPr>
          <w:lang w:val="sr-Latn-RS" w:bidi="sr-Latn-RS"/>
        </w:rPr>
        <w:t>ij</w:t>
      </w:r>
      <w:r w:rsidRPr="008F1125">
        <w:rPr>
          <w:lang w:val="sr-Latn-RS" w:bidi="sr-Latn-RS"/>
        </w:rPr>
        <w:t>enjena je metodom populacione farmakokinetike.</w:t>
      </w:r>
    </w:p>
    <w:p w14:paraId="1FB636E6" w14:textId="77777777" w:rsidR="005E38EB" w:rsidRPr="008F1125" w:rsidRDefault="005E38EB" w:rsidP="00E70E35">
      <w:pPr>
        <w:autoSpaceDE w:val="0"/>
        <w:autoSpaceDN w:val="0"/>
        <w:adjustRightInd w:val="0"/>
        <w:jc w:val="both"/>
        <w:rPr>
          <w:szCs w:val="22"/>
          <w:lang w:val="sr-Latn-RS"/>
        </w:rPr>
      </w:pPr>
    </w:p>
    <w:p w14:paraId="1FB636E7" w14:textId="540E6FAE" w:rsidR="005E38EB" w:rsidRPr="008F1125" w:rsidRDefault="00926926" w:rsidP="00E70E35">
      <w:pPr>
        <w:autoSpaceDE w:val="0"/>
        <w:autoSpaceDN w:val="0"/>
        <w:adjustRightInd w:val="0"/>
        <w:jc w:val="both"/>
        <w:rPr>
          <w:szCs w:val="22"/>
          <w:lang w:val="sr-Latn-RS"/>
        </w:rPr>
      </w:pPr>
      <w:r w:rsidRPr="008F1125">
        <w:rPr>
          <w:lang w:val="sr-Latn-RS" w:bidi="sr-Latn-RS"/>
        </w:rPr>
        <w:t>Na osnovu analize populacione farmakokinetike avelumaba u monoterapiji i u kombinaciji sa aksitinibom nije bilo očekivanih klinički značajnih razlika u izloženosti avelumabu kad</w:t>
      </w:r>
      <w:r w:rsidR="00E70E35" w:rsidRPr="008F1125">
        <w:rPr>
          <w:lang w:val="sr-Latn-RS" w:bidi="sr-Latn-RS"/>
        </w:rPr>
        <w:t>a</w:t>
      </w:r>
      <w:r w:rsidRPr="008F1125">
        <w:rPr>
          <w:lang w:val="sr-Latn-RS" w:bidi="sr-Latn-RS"/>
        </w:rPr>
        <w:t xml:space="preserve"> se prim</w:t>
      </w:r>
      <w:r w:rsidR="00515B67" w:rsidRPr="008F1125">
        <w:rPr>
          <w:lang w:val="sr-Latn-RS" w:bidi="sr-Latn-RS"/>
        </w:rPr>
        <w:t>j</w:t>
      </w:r>
      <w:r w:rsidRPr="008F1125">
        <w:rPr>
          <w:lang w:val="sr-Latn-RS" w:bidi="sr-Latn-RS"/>
        </w:rPr>
        <w:t>enjivao na svake 2 ned</w:t>
      </w:r>
      <w:r w:rsidR="00E74CD9" w:rsidRPr="008F1125">
        <w:rPr>
          <w:lang w:val="sr-Latn-RS" w:bidi="sr-Latn-RS"/>
        </w:rPr>
        <w:t>j</w:t>
      </w:r>
      <w:r w:rsidRPr="008F1125">
        <w:rPr>
          <w:lang w:val="sr-Latn-RS" w:bidi="sr-Latn-RS"/>
        </w:rPr>
        <w:t>elje u dozi od 800 mg ili u dozi od 10 mg/kg.</w:t>
      </w:r>
    </w:p>
    <w:bookmarkEnd w:id="22"/>
    <w:p w14:paraId="1FB636E8" w14:textId="77777777" w:rsidR="00CB4183" w:rsidRPr="008F1125" w:rsidRDefault="00CB4183" w:rsidP="00E70E35">
      <w:pPr>
        <w:autoSpaceDE w:val="0"/>
        <w:autoSpaceDN w:val="0"/>
        <w:adjustRightInd w:val="0"/>
        <w:jc w:val="both"/>
        <w:rPr>
          <w:szCs w:val="22"/>
          <w:lang w:val="sr-Latn-RS"/>
        </w:rPr>
      </w:pPr>
    </w:p>
    <w:p w14:paraId="1FB636E9" w14:textId="77777777" w:rsidR="0082001B" w:rsidRPr="008F1125" w:rsidRDefault="00926926" w:rsidP="00E70E35">
      <w:pPr>
        <w:keepNext/>
        <w:keepLines/>
        <w:jc w:val="both"/>
        <w:rPr>
          <w:rFonts w:eastAsia="TimesNewRoman"/>
          <w:szCs w:val="22"/>
          <w:u w:val="single"/>
          <w:lang w:val="sr-Latn-RS" w:eastAsia="en-GB"/>
        </w:rPr>
      </w:pPr>
      <w:r w:rsidRPr="008F1125">
        <w:rPr>
          <w:u w:val="single"/>
          <w:lang w:val="sr-Latn-RS" w:bidi="sr-Latn-RS"/>
        </w:rPr>
        <w:t>Distribucija</w:t>
      </w:r>
    </w:p>
    <w:p w14:paraId="1FB636EA" w14:textId="7CCD75C1" w:rsidR="00D872A1" w:rsidRPr="008F1125" w:rsidRDefault="00926926" w:rsidP="00E70E35">
      <w:pPr>
        <w:pStyle w:val="BodyText"/>
        <w:keepNext/>
        <w:keepLines/>
        <w:jc w:val="both"/>
        <w:rPr>
          <w:i w:val="0"/>
          <w:color w:val="auto"/>
          <w:szCs w:val="22"/>
          <w:lang w:val="sr-Latn-RS"/>
        </w:rPr>
      </w:pPr>
      <w:r w:rsidRPr="008F1125">
        <w:rPr>
          <w:i w:val="0"/>
          <w:color w:val="auto"/>
          <w:lang w:val="sr-Latn-RS" w:bidi="sr-Latn-RS"/>
        </w:rPr>
        <w:t>Očekuje se da će se avelumab distribuirati u sistemsku cirkulaciju i u manjoj m</w:t>
      </w:r>
      <w:r w:rsidR="00E70E35" w:rsidRPr="008F1125">
        <w:rPr>
          <w:i w:val="0"/>
          <w:color w:val="auto"/>
          <w:lang w:val="sr-Latn-RS" w:bidi="sr-Latn-RS"/>
        </w:rPr>
        <w:t>j</w:t>
      </w:r>
      <w:r w:rsidRPr="008F1125">
        <w:rPr>
          <w:i w:val="0"/>
          <w:color w:val="auto"/>
          <w:lang w:val="sr-Latn-RS" w:bidi="sr-Latn-RS"/>
        </w:rPr>
        <w:t>eri u vanćelijski prostor. Volumen distribucije u stanju dinamičke ravnoteže iznosio je 4,72 L.</w:t>
      </w:r>
    </w:p>
    <w:p w14:paraId="1FB636EB" w14:textId="77777777" w:rsidR="00D872A1" w:rsidRPr="008F1125" w:rsidRDefault="00D872A1" w:rsidP="00E70E35">
      <w:pPr>
        <w:pStyle w:val="BodyText"/>
        <w:jc w:val="both"/>
        <w:rPr>
          <w:rFonts w:eastAsia="TimesNewRoman"/>
          <w:i w:val="0"/>
          <w:color w:val="auto"/>
          <w:szCs w:val="22"/>
          <w:lang w:val="sr-Latn-RS"/>
        </w:rPr>
      </w:pPr>
    </w:p>
    <w:p w14:paraId="1FB636EC" w14:textId="1A8BBEB1" w:rsidR="004625A3" w:rsidRPr="008F1125" w:rsidRDefault="00926926" w:rsidP="00E70E35">
      <w:pPr>
        <w:numPr>
          <w:ilvl w:val="12"/>
          <w:numId w:val="0"/>
        </w:numPr>
        <w:jc w:val="both"/>
        <w:rPr>
          <w:szCs w:val="22"/>
          <w:lang w:val="sr-Latn-RS"/>
        </w:rPr>
      </w:pPr>
      <w:r w:rsidRPr="008F1125">
        <w:rPr>
          <w:lang w:val="sr-Latn-RS" w:bidi="sr-Latn-RS"/>
        </w:rPr>
        <w:t>U skladu sa ograničenom ekstravaskularnom distribucijom, volumen distribucije avelumaba u stanju dinamičke ravnoteže je mali. Kao što se i očekuje za antit</w:t>
      </w:r>
      <w:r w:rsidR="00E74CD9" w:rsidRPr="008F1125">
        <w:rPr>
          <w:lang w:val="sr-Latn-RS" w:bidi="sr-Latn-RS"/>
        </w:rPr>
        <w:t>ij</w:t>
      </w:r>
      <w:r w:rsidRPr="008F1125">
        <w:rPr>
          <w:lang w:val="sr-Latn-RS" w:bidi="sr-Latn-RS"/>
        </w:rPr>
        <w:t>elo, avelumab se ne vezuje specifično za</w:t>
      </w:r>
      <w:r w:rsidRPr="008F1125">
        <w:rPr>
          <w:lang w:val="sr-Latn-RS" w:bidi="sr-Latn-RS"/>
        </w:rPr>
        <w:br/>
        <w:t>proteine plazme.</w:t>
      </w:r>
    </w:p>
    <w:p w14:paraId="1FB636ED" w14:textId="77777777" w:rsidR="00D872A1" w:rsidRPr="008F1125" w:rsidRDefault="00D872A1" w:rsidP="00E70E35">
      <w:pPr>
        <w:numPr>
          <w:ilvl w:val="12"/>
          <w:numId w:val="0"/>
        </w:numPr>
        <w:jc w:val="both"/>
        <w:rPr>
          <w:rFonts w:eastAsia="TimesNewRoman"/>
          <w:szCs w:val="22"/>
          <w:lang w:val="sr-Latn-RS"/>
        </w:rPr>
      </w:pPr>
    </w:p>
    <w:p w14:paraId="1FB636EE" w14:textId="77777777" w:rsidR="00A35391" w:rsidRPr="008F1125" w:rsidRDefault="00926926" w:rsidP="00AE57A4">
      <w:pPr>
        <w:keepNext/>
        <w:keepLines/>
        <w:jc w:val="both"/>
        <w:rPr>
          <w:rFonts w:eastAsia="TimesNewRoman"/>
          <w:szCs w:val="22"/>
          <w:u w:val="single"/>
          <w:lang w:val="sr-Latn-RS" w:eastAsia="en-GB"/>
        </w:rPr>
      </w:pPr>
      <w:r w:rsidRPr="008F1125">
        <w:rPr>
          <w:u w:val="single"/>
          <w:lang w:val="sr-Latn-RS" w:bidi="sr-Latn-RS"/>
        </w:rPr>
        <w:t>Eliminacija</w:t>
      </w:r>
    </w:p>
    <w:p w14:paraId="1FB636EF" w14:textId="46215745" w:rsidR="00D872A1" w:rsidRPr="008F1125" w:rsidRDefault="00926926" w:rsidP="00AE57A4">
      <w:pPr>
        <w:keepNext/>
        <w:keepLines/>
        <w:autoSpaceDE w:val="0"/>
        <w:autoSpaceDN w:val="0"/>
        <w:adjustRightInd w:val="0"/>
        <w:jc w:val="both"/>
        <w:rPr>
          <w:szCs w:val="22"/>
          <w:lang w:val="sr-Latn-RS"/>
        </w:rPr>
      </w:pPr>
      <w:r w:rsidRPr="008F1125">
        <w:rPr>
          <w:lang w:val="sr-Latn-RS" w:bidi="sr-Latn-RS"/>
        </w:rPr>
        <w:t>Na osnovu analize populacione farmakokinetike kod 1629 pacijenata, vr</w:t>
      </w:r>
      <w:r w:rsidR="00ED7E76" w:rsidRPr="008F1125">
        <w:rPr>
          <w:lang w:val="sr-Latn-RS" w:bidi="sr-Latn-RS"/>
        </w:rPr>
        <w:t>ij</w:t>
      </w:r>
      <w:r w:rsidRPr="008F1125">
        <w:rPr>
          <w:lang w:val="sr-Latn-RS" w:bidi="sr-Latn-RS"/>
        </w:rPr>
        <w:t>ednost ukupnog sistemskog klirensa je 0,59 L/dan. U dopunskoj analizi je utvrđeno da se sistemski klirens avelumaba vremenom smanjuje: najveća srednja vr</w:t>
      </w:r>
      <w:r w:rsidR="00ED7E76" w:rsidRPr="008F1125">
        <w:rPr>
          <w:lang w:val="sr-Latn-RS" w:bidi="sr-Latn-RS"/>
        </w:rPr>
        <w:t>ij</w:t>
      </w:r>
      <w:r w:rsidRPr="008F1125">
        <w:rPr>
          <w:lang w:val="sr-Latn-RS" w:bidi="sr-Latn-RS"/>
        </w:rPr>
        <w:t xml:space="preserve">ednost maksimalnog smanjenja (% koeficijenta varijacije) </w:t>
      </w:r>
      <w:r w:rsidR="00ED7E76" w:rsidRPr="008F1125">
        <w:rPr>
          <w:lang w:val="sr-Latn-RS" w:bidi="sr-Latn-RS"/>
        </w:rPr>
        <w:t xml:space="preserve">u odnosu na </w:t>
      </w:r>
      <w:r w:rsidRPr="008F1125">
        <w:rPr>
          <w:lang w:val="sr-Latn-RS" w:bidi="sr-Latn-RS"/>
        </w:rPr>
        <w:t>početn</w:t>
      </w:r>
      <w:r w:rsidR="00ED7E76" w:rsidRPr="008F1125">
        <w:rPr>
          <w:lang w:val="sr-Latn-RS" w:bidi="sr-Latn-RS"/>
        </w:rPr>
        <w:t>u</w:t>
      </w:r>
      <w:r w:rsidRPr="008F1125">
        <w:rPr>
          <w:lang w:val="sr-Latn-RS" w:bidi="sr-Latn-RS"/>
        </w:rPr>
        <w:t xml:space="preserve"> </w:t>
      </w:r>
      <w:r w:rsidR="003C0701" w:rsidRPr="008F1125">
        <w:rPr>
          <w:lang w:val="sr-Latn-RS" w:bidi="sr-Latn-RS"/>
        </w:rPr>
        <w:t>vrijednost</w:t>
      </w:r>
      <w:r w:rsidRPr="008F1125">
        <w:rPr>
          <w:lang w:val="sr-Latn-RS" w:bidi="sr-Latn-RS"/>
        </w:rPr>
        <w:t xml:space="preserve"> kod različitih vrsta tumora iznosila je približno 32,1% (koeficijent varijacije 36,2%).</w:t>
      </w:r>
    </w:p>
    <w:p w14:paraId="1FB636F0" w14:textId="77777777" w:rsidR="00D872A1" w:rsidRPr="008F1125" w:rsidRDefault="00D872A1" w:rsidP="00AE57A4">
      <w:pPr>
        <w:autoSpaceDE w:val="0"/>
        <w:autoSpaceDN w:val="0"/>
        <w:adjustRightInd w:val="0"/>
        <w:jc w:val="both"/>
        <w:rPr>
          <w:szCs w:val="22"/>
          <w:lang w:val="sr-Latn-RS"/>
        </w:rPr>
      </w:pPr>
    </w:p>
    <w:p w14:paraId="1FB636F1" w14:textId="2326EB4C" w:rsidR="00D872A1" w:rsidRPr="008F1125" w:rsidRDefault="00926926" w:rsidP="00AE57A4">
      <w:pPr>
        <w:autoSpaceDE w:val="0"/>
        <w:autoSpaceDN w:val="0"/>
        <w:adjustRightInd w:val="0"/>
        <w:jc w:val="both"/>
        <w:rPr>
          <w:szCs w:val="22"/>
          <w:lang w:val="sr-Latn-RS"/>
        </w:rPr>
      </w:pPr>
      <w:r w:rsidRPr="008F1125">
        <w:rPr>
          <w:lang w:val="sr-Latn-RS" w:bidi="sr-Latn-RS"/>
        </w:rPr>
        <w:t>Koncentracije avelumaba u stanju dinamičke ravnoteže postignute su posl</w:t>
      </w:r>
      <w:r w:rsidR="00ED7E76" w:rsidRPr="008F1125">
        <w:rPr>
          <w:lang w:val="sr-Latn-RS" w:bidi="sr-Latn-RS"/>
        </w:rPr>
        <w:t>ij</w:t>
      </w:r>
      <w:r w:rsidRPr="008F1125">
        <w:rPr>
          <w:lang w:val="sr-Latn-RS" w:bidi="sr-Latn-RS"/>
        </w:rPr>
        <w:t>e približno 4 do 6 ned</w:t>
      </w:r>
      <w:r w:rsidR="00ED7E76" w:rsidRPr="008F1125">
        <w:rPr>
          <w:lang w:val="sr-Latn-RS" w:bidi="sr-Latn-RS"/>
        </w:rPr>
        <w:t>j</w:t>
      </w:r>
      <w:r w:rsidRPr="008F1125">
        <w:rPr>
          <w:lang w:val="sr-Latn-RS" w:bidi="sr-Latn-RS"/>
        </w:rPr>
        <w:t>elja (2 do 3 ciklusa) ponavljane prim</w:t>
      </w:r>
      <w:r w:rsidR="00515B67" w:rsidRPr="008F1125">
        <w:rPr>
          <w:lang w:val="sr-Latn-RS" w:bidi="sr-Latn-RS"/>
        </w:rPr>
        <w:t>j</w:t>
      </w:r>
      <w:r w:rsidRPr="008F1125">
        <w:rPr>
          <w:lang w:val="sr-Latn-RS" w:bidi="sr-Latn-RS"/>
        </w:rPr>
        <w:t>ene doze od 10 mg/kg na svake 2 ned</w:t>
      </w:r>
      <w:r w:rsidR="00ED7E76" w:rsidRPr="008F1125">
        <w:rPr>
          <w:lang w:val="sr-Latn-RS" w:bidi="sr-Latn-RS"/>
        </w:rPr>
        <w:t>j</w:t>
      </w:r>
      <w:r w:rsidRPr="008F1125">
        <w:rPr>
          <w:lang w:val="sr-Latn-RS" w:bidi="sr-Latn-RS"/>
        </w:rPr>
        <w:t>elje, a sistemska akumulacija bila je oko 1,25 puta.</w:t>
      </w:r>
    </w:p>
    <w:p w14:paraId="1FB636F2" w14:textId="77777777" w:rsidR="00D872A1" w:rsidRPr="008F1125" w:rsidRDefault="00D872A1" w:rsidP="00AE57A4">
      <w:pPr>
        <w:autoSpaceDE w:val="0"/>
        <w:autoSpaceDN w:val="0"/>
        <w:adjustRightInd w:val="0"/>
        <w:jc w:val="both"/>
        <w:rPr>
          <w:szCs w:val="22"/>
          <w:lang w:val="sr-Latn-RS"/>
        </w:rPr>
      </w:pPr>
    </w:p>
    <w:p w14:paraId="1FB636F3" w14:textId="51876750" w:rsidR="00D872A1" w:rsidRPr="008F1125" w:rsidRDefault="00926926" w:rsidP="00AE57A4">
      <w:pPr>
        <w:autoSpaceDE w:val="0"/>
        <w:autoSpaceDN w:val="0"/>
        <w:adjustRightInd w:val="0"/>
        <w:jc w:val="both"/>
        <w:rPr>
          <w:szCs w:val="22"/>
          <w:lang w:val="sr-Latn-RS"/>
        </w:rPr>
      </w:pPr>
      <w:r w:rsidRPr="008F1125">
        <w:rPr>
          <w:lang w:val="sr-Latn-RS" w:bidi="sr-Latn-RS"/>
        </w:rPr>
        <w:t>Poluvr</w:t>
      </w:r>
      <w:r w:rsidR="003C0701" w:rsidRPr="008F1125">
        <w:rPr>
          <w:lang w:val="sr-Latn-RS" w:bidi="sr-Latn-RS"/>
        </w:rPr>
        <w:t>ij</w:t>
      </w:r>
      <w:r w:rsidRPr="008F1125">
        <w:rPr>
          <w:lang w:val="sr-Latn-RS" w:bidi="sr-Latn-RS"/>
        </w:rPr>
        <w:t>eme eliminacije (t</w:t>
      </w:r>
      <w:r w:rsidRPr="008F1125">
        <w:rPr>
          <w:vertAlign w:val="subscript"/>
          <w:lang w:val="sr-Latn-RS" w:bidi="sr-Latn-RS"/>
        </w:rPr>
        <w:t>½</w:t>
      </w:r>
      <w:r w:rsidRPr="008F1125">
        <w:rPr>
          <w:lang w:val="sr-Latn-RS" w:bidi="sr-Latn-RS"/>
        </w:rPr>
        <w:t xml:space="preserve">) pri preporučenoj dozi iznosi 6,1 dan na osnovu </w:t>
      </w:r>
      <w:r w:rsidR="00ED7E76" w:rsidRPr="008F1125">
        <w:rPr>
          <w:lang w:val="sr-Latn-RS" w:bidi="sr-Latn-RS"/>
        </w:rPr>
        <w:t xml:space="preserve">analize </w:t>
      </w:r>
      <w:r w:rsidRPr="008F1125">
        <w:rPr>
          <w:lang w:val="sr-Latn-RS" w:bidi="sr-Latn-RS"/>
        </w:rPr>
        <w:t>populacione farmakokinetike.</w:t>
      </w:r>
    </w:p>
    <w:p w14:paraId="1FB636F4" w14:textId="77777777" w:rsidR="00B107C3" w:rsidRPr="008F1125" w:rsidRDefault="00B107C3" w:rsidP="00AE57A4">
      <w:pPr>
        <w:numPr>
          <w:ilvl w:val="12"/>
          <w:numId w:val="0"/>
        </w:numPr>
        <w:jc w:val="both"/>
        <w:rPr>
          <w:rFonts w:eastAsia="TimesNewRoman"/>
          <w:iCs/>
          <w:szCs w:val="22"/>
          <w:lang w:val="sr-Latn-RS" w:eastAsia="en-GB"/>
        </w:rPr>
      </w:pPr>
    </w:p>
    <w:p w14:paraId="1FB636F5" w14:textId="77777777" w:rsidR="00A826BF" w:rsidRPr="008F1125" w:rsidRDefault="00926926" w:rsidP="00AE57A4">
      <w:pPr>
        <w:keepNext/>
        <w:keepLines/>
        <w:numPr>
          <w:ilvl w:val="12"/>
          <w:numId w:val="0"/>
        </w:numPr>
        <w:jc w:val="both"/>
        <w:rPr>
          <w:rFonts w:eastAsia="TimesNewRoman"/>
          <w:szCs w:val="22"/>
          <w:u w:val="single"/>
          <w:lang w:val="sr-Latn-RS" w:eastAsia="en-GB"/>
        </w:rPr>
      </w:pPr>
      <w:r w:rsidRPr="008F1125">
        <w:rPr>
          <w:i/>
          <w:u w:val="single"/>
          <w:lang w:val="sr-Latn-RS" w:bidi="sr-Latn-RS"/>
        </w:rPr>
        <w:t>Linearnost/nelinearnost</w:t>
      </w:r>
    </w:p>
    <w:p w14:paraId="1FB636F6" w14:textId="5E619FFB" w:rsidR="00E80CCF" w:rsidRPr="008F1125" w:rsidRDefault="00926926" w:rsidP="00AE57A4">
      <w:pPr>
        <w:keepNext/>
        <w:keepLines/>
        <w:numPr>
          <w:ilvl w:val="12"/>
          <w:numId w:val="0"/>
        </w:numPr>
        <w:jc w:val="both"/>
        <w:rPr>
          <w:szCs w:val="22"/>
          <w:lang w:val="sr-Latn-RS"/>
        </w:rPr>
      </w:pPr>
      <w:r w:rsidRPr="008F1125">
        <w:rPr>
          <w:lang w:val="sr-Latn-RS" w:bidi="sr-Latn-RS"/>
        </w:rPr>
        <w:t>Izloženost avelumabu povećavala se proporcionalno dozi u rasponu doza od 10 mg/kg do 20 mg/kg na svake 2 ned</w:t>
      </w:r>
      <w:r w:rsidR="003C0701" w:rsidRPr="008F1125">
        <w:rPr>
          <w:lang w:val="sr-Latn-RS" w:bidi="sr-Latn-RS"/>
        </w:rPr>
        <w:t>j</w:t>
      </w:r>
      <w:r w:rsidRPr="008F1125">
        <w:rPr>
          <w:lang w:val="sr-Latn-RS" w:bidi="sr-Latn-RS"/>
        </w:rPr>
        <w:t>elje.</w:t>
      </w:r>
    </w:p>
    <w:p w14:paraId="1FB636F7" w14:textId="77777777" w:rsidR="00655E6E" w:rsidRPr="008F1125" w:rsidRDefault="00655E6E" w:rsidP="00AE57A4">
      <w:pPr>
        <w:jc w:val="both"/>
        <w:rPr>
          <w:szCs w:val="22"/>
          <w:lang w:val="sr-Latn-RS"/>
        </w:rPr>
      </w:pPr>
    </w:p>
    <w:p w14:paraId="1FB636F8" w14:textId="6EA165F6" w:rsidR="00655E6E" w:rsidRPr="008F1125" w:rsidRDefault="00926926" w:rsidP="00AE57A4">
      <w:pPr>
        <w:jc w:val="both"/>
        <w:rPr>
          <w:szCs w:val="22"/>
          <w:lang w:val="sr-Latn-RS"/>
        </w:rPr>
      </w:pPr>
      <w:r w:rsidRPr="008F1125">
        <w:rPr>
          <w:lang w:val="sr-Latn-RS" w:bidi="sr-Latn-RS"/>
        </w:rPr>
        <w:t>Kad</w:t>
      </w:r>
      <w:r w:rsidR="00ED7E76" w:rsidRPr="008F1125">
        <w:rPr>
          <w:lang w:val="sr-Latn-RS" w:bidi="sr-Latn-RS"/>
        </w:rPr>
        <w:t>a</w:t>
      </w:r>
      <w:r w:rsidRPr="008F1125">
        <w:rPr>
          <w:lang w:val="sr-Latn-RS" w:bidi="sr-Latn-RS"/>
        </w:rPr>
        <w:t xml:space="preserve"> se avelumab u dozi od 10 mg/kg prim</w:t>
      </w:r>
      <w:r w:rsidR="00515B67" w:rsidRPr="008F1125">
        <w:rPr>
          <w:lang w:val="sr-Latn-RS" w:bidi="sr-Latn-RS"/>
        </w:rPr>
        <w:t>j</w:t>
      </w:r>
      <w:r w:rsidRPr="008F1125">
        <w:rPr>
          <w:lang w:val="sr-Latn-RS" w:bidi="sr-Latn-RS"/>
        </w:rPr>
        <w:t>enjivao u kombinaciji sa aksitinibom u dozi od 5 mg, izloženost avelumabu i aksitinibu ostala je neprom</w:t>
      </w:r>
      <w:r w:rsidR="00CB0FF3" w:rsidRPr="008F1125">
        <w:rPr>
          <w:lang w:val="sr-Latn-RS" w:bidi="sr-Latn-RS"/>
        </w:rPr>
        <w:t>ij</w:t>
      </w:r>
      <w:r w:rsidRPr="008F1125">
        <w:rPr>
          <w:lang w:val="sr-Latn-RS" w:bidi="sr-Latn-RS"/>
        </w:rPr>
        <w:t>enjena u poređenju sa izloženošću pri prim</w:t>
      </w:r>
      <w:r w:rsidR="00515B67" w:rsidRPr="008F1125">
        <w:rPr>
          <w:lang w:val="sr-Latn-RS" w:bidi="sr-Latn-RS"/>
        </w:rPr>
        <w:t>j</w:t>
      </w:r>
      <w:r w:rsidRPr="008F1125">
        <w:rPr>
          <w:lang w:val="sr-Latn-RS" w:bidi="sr-Latn-RS"/>
        </w:rPr>
        <w:t>eni u monoterapiji. Kod pacijenata sa uznapredovalim karcinomom bubrežnih ćelija nije bilo dokaza koji bi ukazivali na klinički važnu prom</w:t>
      </w:r>
      <w:r w:rsidR="00CB0FF3" w:rsidRPr="008F1125">
        <w:rPr>
          <w:lang w:val="sr-Latn-RS" w:bidi="sr-Latn-RS"/>
        </w:rPr>
        <w:t>j</w:t>
      </w:r>
      <w:r w:rsidRPr="008F1125">
        <w:rPr>
          <w:lang w:val="sr-Latn-RS" w:bidi="sr-Latn-RS"/>
        </w:rPr>
        <w:t>enu klirensa avelumaba tokom vremena.</w:t>
      </w:r>
    </w:p>
    <w:p w14:paraId="1FB636F9" w14:textId="77777777" w:rsidR="00655E6E" w:rsidRPr="008F1125" w:rsidRDefault="00655E6E" w:rsidP="00AE57A4">
      <w:pPr>
        <w:numPr>
          <w:ilvl w:val="12"/>
          <w:numId w:val="0"/>
        </w:numPr>
        <w:jc w:val="both"/>
        <w:rPr>
          <w:rFonts w:eastAsia="TimesNewRoman"/>
          <w:szCs w:val="22"/>
          <w:lang w:val="sr-Latn-RS" w:eastAsia="en-GB"/>
        </w:rPr>
      </w:pPr>
    </w:p>
    <w:p w14:paraId="1FB636FA" w14:textId="77777777" w:rsidR="0082001B" w:rsidRPr="008F1125" w:rsidRDefault="00926926" w:rsidP="00AE57A4">
      <w:pPr>
        <w:keepNext/>
        <w:keepLines/>
        <w:numPr>
          <w:ilvl w:val="12"/>
          <w:numId w:val="0"/>
        </w:numPr>
        <w:jc w:val="both"/>
        <w:rPr>
          <w:rFonts w:eastAsia="TimesNewRoman"/>
          <w:szCs w:val="22"/>
          <w:u w:val="single"/>
          <w:lang w:val="sr-Latn-RS" w:eastAsia="en-GB"/>
        </w:rPr>
      </w:pPr>
      <w:r w:rsidRPr="008F1125">
        <w:rPr>
          <w:u w:val="single"/>
          <w:lang w:val="sr-Latn-RS" w:bidi="sr-Latn-RS"/>
        </w:rPr>
        <w:t>Posebne populacije</w:t>
      </w:r>
    </w:p>
    <w:p w14:paraId="1FB636FB" w14:textId="3A05B06C" w:rsidR="00D872A1" w:rsidRPr="008F1125" w:rsidRDefault="00926926" w:rsidP="00AE57A4">
      <w:pPr>
        <w:keepNext/>
        <w:keepLines/>
        <w:jc w:val="both"/>
        <w:rPr>
          <w:szCs w:val="22"/>
          <w:lang w:val="sr-Latn-RS"/>
        </w:rPr>
      </w:pPr>
      <w:r w:rsidRPr="008F1125">
        <w:rPr>
          <w:lang w:val="sr-Latn-RS" w:bidi="sr-Latn-RS"/>
        </w:rPr>
        <w:t>Analiza populacione farmakokinetike pokazala je da nema razlike u ukupnom sistemskom klirensu avelumaba na osnovu starosti, pola, rase, PD-L1 statusa, tumorskog opterećenja, oštećenja funkcije bubrega i blagog ili um</w:t>
      </w:r>
      <w:r w:rsidR="00ED7E76" w:rsidRPr="008F1125">
        <w:rPr>
          <w:lang w:val="sr-Latn-RS" w:bidi="sr-Latn-RS"/>
        </w:rPr>
        <w:t>j</w:t>
      </w:r>
      <w:r w:rsidRPr="008F1125">
        <w:rPr>
          <w:lang w:val="sr-Latn-RS" w:bidi="sr-Latn-RS"/>
        </w:rPr>
        <w:t>erenog oštećenja funkcije jetre.</w:t>
      </w:r>
    </w:p>
    <w:p w14:paraId="1FB636FC" w14:textId="77777777" w:rsidR="00D872A1" w:rsidRPr="008F1125" w:rsidRDefault="00D872A1" w:rsidP="00AE57A4">
      <w:pPr>
        <w:jc w:val="both"/>
        <w:rPr>
          <w:szCs w:val="22"/>
          <w:lang w:val="sr-Latn-RS"/>
        </w:rPr>
      </w:pPr>
    </w:p>
    <w:p w14:paraId="1FB636FD" w14:textId="39FEA4A1" w:rsidR="00944EEF" w:rsidRPr="008F1125" w:rsidRDefault="00926926" w:rsidP="00AE57A4">
      <w:pPr>
        <w:jc w:val="both"/>
        <w:rPr>
          <w:szCs w:val="22"/>
          <w:lang w:val="sr-Latn-RS"/>
        </w:rPr>
      </w:pPr>
      <w:r w:rsidRPr="008F1125">
        <w:rPr>
          <w:lang w:val="sr-Latn-RS" w:bidi="sr-Latn-RS"/>
        </w:rPr>
        <w:t>Ukupni sistemski klirens povećava se sa t</w:t>
      </w:r>
      <w:r w:rsidR="00770F1F" w:rsidRPr="008F1125">
        <w:rPr>
          <w:lang w:val="sr-Latn-RS" w:bidi="sr-Latn-RS"/>
        </w:rPr>
        <w:t>j</w:t>
      </w:r>
      <w:r w:rsidRPr="008F1125">
        <w:rPr>
          <w:lang w:val="sr-Latn-RS" w:bidi="sr-Latn-RS"/>
        </w:rPr>
        <w:t>elesnom masom. Izloženost u stanju dinamičke ravnoteže bila je približno ujednačena u okviru širokog raspona t</w:t>
      </w:r>
      <w:r w:rsidR="00770F1F" w:rsidRPr="008F1125">
        <w:rPr>
          <w:lang w:val="sr-Latn-RS" w:bidi="sr-Latn-RS"/>
        </w:rPr>
        <w:t>j</w:t>
      </w:r>
      <w:r w:rsidRPr="008F1125">
        <w:rPr>
          <w:lang w:val="sr-Latn-RS" w:bidi="sr-Latn-RS"/>
        </w:rPr>
        <w:t>elesne mase (od 30 do 204 kg) kod doziranja normalizovanog prema t</w:t>
      </w:r>
      <w:r w:rsidR="00770F1F" w:rsidRPr="008F1125">
        <w:rPr>
          <w:lang w:val="sr-Latn-RS" w:bidi="sr-Latn-RS"/>
        </w:rPr>
        <w:t>j</w:t>
      </w:r>
      <w:r w:rsidRPr="008F1125">
        <w:rPr>
          <w:lang w:val="sr-Latn-RS" w:bidi="sr-Latn-RS"/>
        </w:rPr>
        <w:t>elesnoj masi.</w:t>
      </w:r>
    </w:p>
    <w:p w14:paraId="1FB636FE" w14:textId="77777777" w:rsidR="00B107C3" w:rsidRPr="008F1125" w:rsidRDefault="00B107C3" w:rsidP="00AE57A4">
      <w:pPr>
        <w:numPr>
          <w:ilvl w:val="12"/>
          <w:numId w:val="0"/>
        </w:numPr>
        <w:jc w:val="both"/>
        <w:rPr>
          <w:rFonts w:eastAsia="TimesNewRoman"/>
          <w:szCs w:val="22"/>
          <w:lang w:val="sr-Latn-RS" w:eastAsia="en-GB"/>
        </w:rPr>
      </w:pPr>
    </w:p>
    <w:p w14:paraId="1FB636FF" w14:textId="77777777" w:rsidR="0082001B" w:rsidRPr="008F1125" w:rsidRDefault="00926926" w:rsidP="00AE57A4">
      <w:pPr>
        <w:keepNext/>
        <w:keepLines/>
        <w:numPr>
          <w:ilvl w:val="12"/>
          <w:numId w:val="0"/>
        </w:numPr>
        <w:jc w:val="both"/>
        <w:rPr>
          <w:rFonts w:eastAsia="TimesNewRoman"/>
          <w:i/>
          <w:szCs w:val="22"/>
          <w:u w:val="single"/>
          <w:lang w:val="sr-Latn-RS" w:eastAsia="en-GB"/>
        </w:rPr>
      </w:pPr>
      <w:r w:rsidRPr="008F1125">
        <w:rPr>
          <w:i/>
          <w:u w:val="single"/>
          <w:lang w:val="sr-Latn-RS" w:bidi="sr-Latn-RS"/>
        </w:rPr>
        <w:t>Oštećenje funkcije bubrega</w:t>
      </w:r>
    </w:p>
    <w:p w14:paraId="1FB63700" w14:textId="44CD2075" w:rsidR="00930279" w:rsidRPr="008F1125" w:rsidRDefault="00926926" w:rsidP="00AE57A4">
      <w:pPr>
        <w:keepNext/>
        <w:keepLines/>
        <w:numPr>
          <w:ilvl w:val="12"/>
          <w:numId w:val="0"/>
        </w:numPr>
        <w:jc w:val="both"/>
        <w:rPr>
          <w:szCs w:val="22"/>
          <w:lang w:val="sr-Latn-RS"/>
        </w:rPr>
      </w:pPr>
      <w:r w:rsidRPr="008F1125">
        <w:rPr>
          <w:lang w:val="sr-Latn-RS" w:bidi="sr-Latn-RS"/>
        </w:rPr>
        <w:t>Ni</w:t>
      </w:r>
      <w:r w:rsidR="00770F1F" w:rsidRPr="008F1125">
        <w:rPr>
          <w:lang w:val="sr-Latn-RS" w:bidi="sr-Latn-RS"/>
        </w:rPr>
        <w:t>je</w:t>
      </w:r>
      <w:r w:rsidRPr="008F1125">
        <w:rPr>
          <w:lang w:val="sr-Latn-RS" w:bidi="sr-Latn-RS"/>
        </w:rPr>
        <w:t xml:space="preserve">su pronađene klinički važne razlike u klirensu avelumaba između pacijenata sa blagim oštećenjem funkcije bubrega (brzina glomerularne filtracije (GFR) od 60 do 89 </w:t>
      </w:r>
      <w:r w:rsidR="00E74CD9" w:rsidRPr="008F1125">
        <w:rPr>
          <w:lang w:val="sr-Latn-RS" w:bidi="sr-Latn-RS"/>
        </w:rPr>
        <w:t>ml</w:t>
      </w:r>
      <w:r w:rsidRPr="008F1125">
        <w:rPr>
          <w:lang w:val="sr-Latn-RS" w:bidi="sr-Latn-RS"/>
        </w:rPr>
        <w:t xml:space="preserve">/min, klirens kreatinina prema </w:t>
      </w:r>
      <w:r w:rsidRPr="008F1125">
        <w:rPr>
          <w:i/>
          <w:lang w:val="sr-Latn-RS" w:bidi="sr-Latn-RS"/>
        </w:rPr>
        <w:t>Cockcroft-Gault-</w:t>
      </w:r>
      <w:r w:rsidRPr="008F1125">
        <w:rPr>
          <w:lang w:val="sr-Latn-RS" w:bidi="sr-Latn-RS"/>
        </w:rPr>
        <w:t xml:space="preserve">ovoj formuli (CrCL); n=623), </w:t>
      </w:r>
      <w:r w:rsidR="00DD502A" w:rsidRPr="008F1125">
        <w:rPr>
          <w:lang w:val="sr-Latn-RS" w:bidi="sr-Latn-RS"/>
        </w:rPr>
        <w:t>umjerenim</w:t>
      </w:r>
      <w:r w:rsidRPr="008F1125">
        <w:rPr>
          <w:lang w:val="sr-Latn-RS" w:bidi="sr-Latn-RS"/>
        </w:rPr>
        <w:t xml:space="preserve"> oštećenjem funkcije bubrega (GFR od 30 do 59 </w:t>
      </w:r>
      <w:r w:rsidR="00E74CD9" w:rsidRPr="008F1125">
        <w:rPr>
          <w:lang w:val="sr-Latn-RS" w:bidi="sr-Latn-RS"/>
        </w:rPr>
        <w:t>ml</w:t>
      </w:r>
      <w:r w:rsidRPr="008F1125">
        <w:rPr>
          <w:lang w:val="sr-Latn-RS" w:bidi="sr-Latn-RS"/>
        </w:rPr>
        <w:t xml:space="preserve">/min, n=320) i pacijenata sa normalnom (GFR ≥ 90 </w:t>
      </w:r>
      <w:r w:rsidR="00E74CD9" w:rsidRPr="008F1125">
        <w:rPr>
          <w:lang w:val="sr-Latn-RS" w:bidi="sr-Latn-RS"/>
        </w:rPr>
        <w:t>ml</w:t>
      </w:r>
      <w:r w:rsidRPr="008F1125">
        <w:rPr>
          <w:lang w:val="sr-Latn-RS" w:bidi="sr-Latn-RS"/>
        </w:rPr>
        <w:t>/min, n=671) funkcijom bubrega.</w:t>
      </w:r>
    </w:p>
    <w:p w14:paraId="1FB63701" w14:textId="77777777" w:rsidR="00930279" w:rsidRPr="008F1125" w:rsidRDefault="00930279" w:rsidP="00AE57A4">
      <w:pPr>
        <w:numPr>
          <w:ilvl w:val="12"/>
          <w:numId w:val="0"/>
        </w:numPr>
        <w:jc w:val="both"/>
        <w:rPr>
          <w:szCs w:val="22"/>
          <w:lang w:val="sr-Latn-RS"/>
        </w:rPr>
      </w:pPr>
    </w:p>
    <w:p w14:paraId="6B24CC31" w14:textId="77777777" w:rsidR="004550F8" w:rsidRDefault="00926926" w:rsidP="004550F8">
      <w:pPr>
        <w:numPr>
          <w:ilvl w:val="12"/>
          <w:numId w:val="0"/>
        </w:numPr>
        <w:jc w:val="both"/>
        <w:rPr>
          <w:lang w:val="sr-Latn-RS" w:bidi="sr-Latn-RS"/>
        </w:rPr>
      </w:pPr>
      <w:r w:rsidRPr="008F1125">
        <w:rPr>
          <w:lang w:val="sr-Latn-RS" w:bidi="sr-Latn-RS"/>
        </w:rPr>
        <w:t xml:space="preserve">Avelumab nije ispitan kod pacijenata sa teškim oštećenjem funkcije bubrega (GFR od 15 do 29 </w:t>
      </w:r>
      <w:r w:rsidR="00E74CD9" w:rsidRPr="008F1125">
        <w:rPr>
          <w:lang w:val="sr-Latn-RS" w:bidi="sr-Latn-RS"/>
        </w:rPr>
        <w:t>ml</w:t>
      </w:r>
      <w:r w:rsidRPr="008F1125">
        <w:rPr>
          <w:lang w:val="sr-Latn-RS" w:bidi="sr-Latn-RS"/>
        </w:rPr>
        <w:t>/min).</w:t>
      </w:r>
    </w:p>
    <w:p w14:paraId="7062CE3E" w14:textId="77777777" w:rsidR="004550F8" w:rsidRDefault="004550F8" w:rsidP="004550F8">
      <w:pPr>
        <w:numPr>
          <w:ilvl w:val="12"/>
          <w:numId w:val="0"/>
        </w:numPr>
        <w:jc w:val="both"/>
        <w:rPr>
          <w:lang w:val="sr-Latn-RS" w:bidi="sr-Latn-RS"/>
        </w:rPr>
      </w:pPr>
    </w:p>
    <w:p w14:paraId="6E2CCD69" w14:textId="77777777" w:rsidR="004550F8" w:rsidRDefault="00926926" w:rsidP="004550F8">
      <w:pPr>
        <w:numPr>
          <w:ilvl w:val="12"/>
          <w:numId w:val="0"/>
        </w:numPr>
        <w:jc w:val="both"/>
        <w:rPr>
          <w:i/>
          <w:u w:val="single"/>
          <w:lang w:val="sr-Latn-RS" w:bidi="sr-Latn-RS"/>
        </w:rPr>
      </w:pPr>
      <w:r w:rsidRPr="008F1125">
        <w:rPr>
          <w:i/>
          <w:u w:val="single"/>
          <w:lang w:val="sr-Latn-RS" w:bidi="sr-Latn-RS"/>
        </w:rPr>
        <w:t>Oštećenje funkcije jetre</w:t>
      </w:r>
    </w:p>
    <w:p w14:paraId="1FB63705" w14:textId="0747F273" w:rsidR="00D872A1" w:rsidRPr="008F1125" w:rsidRDefault="00926926" w:rsidP="004550F8">
      <w:pPr>
        <w:numPr>
          <w:ilvl w:val="12"/>
          <w:numId w:val="0"/>
        </w:numPr>
        <w:jc w:val="both"/>
        <w:rPr>
          <w:i/>
          <w:szCs w:val="22"/>
          <w:lang w:val="sr-Latn-RS"/>
        </w:rPr>
      </w:pPr>
      <w:r w:rsidRPr="008F1125">
        <w:rPr>
          <w:lang w:val="sr-Latn-RS" w:bidi="sr-Latn-RS"/>
        </w:rPr>
        <w:lastRenderedPageBreak/>
        <w:t>Analizom populacione farmakokinetike ni</w:t>
      </w:r>
      <w:r w:rsidR="00746F6B" w:rsidRPr="008F1125">
        <w:rPr>
          <w:lang w:val="sr-Latn-RS" w:bidi="sr-Latn-RS"/>
        </w:rPr>
        <w:t>je</w:t>
      </w:r>
      <w:r w:rsidRPr="008F1125">
        <w:rPr>
          <w:lang w:val="sr-Latn-RS" w:bidi="sr-Latn-RS"/>
        </w:rPr>
        <w:t>su pronađene klinički važne razlike u klirensu avelumaba između pacijenata sa blagim oštećenjem funkcije jetre (bilirubin ≤ GGN i AST &gt; GGN ili bilirubin između 1 i 1,5 puta iznad GGN</w:t>
      </w:r>
      <w:r w:rsidR="00746F6B" w:rsidRPr="008F1125">
        <w:rPr>
          <w:lang w:val="sr-Latn-RS" w:bidi="sr-Latn-RS"/>
        </w:rPr>
        <w:t>,</w:t>
      </w:r>
      <w:r w:rsidRPr="008F1125">
        <w:rPr>
          <w:lang w:val="sr-Latn-RS" w:bidi="sr-Latn-RS"/>
        </w:rPr>
        <w:t xml:space="preserve"> n=217) i normalnom funkcijom jetre (bilirubin i AST ≤ GGN, n=1388). Oštećenje funkcije jetre bilo je definisano prema kriterijumima disfunkcije jetre Nacionalnog instituta za </w:t>
      </w:r>
      <w:r w:rsidR="00746F6B" w:rsidRPr="008F1125">
        <w:rPr>
          <w:lang w:val="sr-Latn-RS" w:bidi="sr-Latn-RS"/>
        </w:rPr>
        <w:t xml:space="preserve">karcinom </w:t>
      </w:r>
      <w:r w:rsidRPr="008F1125">
        <w:rPr>
          <w:lang w:val="sr-Latn-RS" w:bidi="sr-Latn-RS"/>
        </w:rPr>
        <w:t>(eng. National Cancer Institute, NCI).</w:t>
      </w:r>
    </w:p>
    <w:p w14:paraId="1FB63707" w14:textId="25C9E61F" w:rsidR="00944EEF" w:rsidRDefault="00926926" w:rsidP="003D55E0">
      <w:pPr>
        <w:rPr>
          <w:lang w:val="sr-Latn-RS" w:bidi="sr-Latn-RS"/>
        </w:rPr>
      </w:pPr>
      <w:r w:rsidRPr="008F1125">
        <w:rPr>
          <w:lang w:val="sr-Latn-RS" w:bidi="sr-Latn-RS"/>
        </w:rPr>
        <w:t xml:space="preserve">Avelumab nije ispitan kod pacijenata sa </w:t>
      </w:r>
      <w:r w:rsidR="00DD502A" w:rsidRPr="008F1125">
        <w:rPr>
          <w:lang w:val="sr-Latn-RS" w:bidi="sr-Latn-RS"/>
        </w:rPr>
        <w:t>umjerenim</w:t>
      </w:r>
      <w:r w:rsidRPr="008F1125">
        <w:rPr>
          <w:lang w:val="sr-Latn-RS" w:bidi="sr-Latn-RS"/>
        </w:rPr>
        <w:t xml:space="preserve"> oštećenjem funkcije jetre (bilirubin između 1,5 i 3 puta iznad GGN) ili teškim oštećenjem funkcije jetre (bilirubin &gt; 3 puta iznad GGN).</w:t>
      </w:r>
    </w:p>
    <w:p w14:paraId="4D22574A" w14:textId="77777777" w:rsidR="003648D4" w:rsidRDefault="003648D4" w:rsidP="003D55E0">
      <w:pPr>
        <w:rPr>
          <w:lang w:val="sr-Latn-RS" w:bidi="sr-Latn-RS"/>
        </w:rPr>
      </w:pPr>
    </w:p>
    <w:p w14:paraId="6B2D509D" w14:textId="77777777" w:rsidR="003648D4" w:rsidRPr="003648D4" w:rsidRDefault="003648D4" w:rsidP="000F1B2A">
      <w:pPr>
        <w:jc w:val="both"/>
        <w:rPr>
          <w:szCs w:val="22"/>
          <w:u w:val="single"/>
          <w:lang w:val="sr-Latn-RS"/>
        </w:rPr>
      </w:pPr>
      <w:r w:rsidRPr="003648D4">
        <w:rPr>
          <w:szCs w:val="22"/>
          <w:u w:val="single"/>
          <w:lang w:val="sr-Latn-RS"/>
        </w:rPr>
        <w:t>Pedijatrijska populacija</w:t>
      </w:r>
    </w:p>
    <w:p w14:paraId="447A99EF" w14:textId="54222BE1" w:rsidR="003648D4" w:rsidRPr="003648D4" w:rsidRDefault="003648D4" w:rsidP="000F1B2A">
      <w:pPr>
        <w:jc w:val="both"/>
        <w:rPr>
          <w:szCs w:val="22"/>
          <w:lang w:val="sr-Latn-RS"/>
        </w:rPr>
      </w:pPr>
      <w:r w:rsidRPr="003648D4">
        <w:rPr>
          <w:szCs w:val="22"/>
          <w:lang w:val="sr-Latn-RS"/>
        </w:rPr>
        <w:t>Farmakokinetika avelumaba proc</w:t>
      </w:r>
      <w:r w:rsidR="000F1B2A">
        <w:rPr>
          <w:szCs w:val="22"/>
          <w:lang w:val="sr-Latn-RS"/>
        </w:rPr>
        <w:t>i</w:t>
      </w:r>
      <w:r>
        <w:rPr>
          <w:szCs w:val="22"/>
          <w:lang w:val="sr-Latn-RS"/>
        </w:rPr>
        <w:t>j</w:t>
      </w:r>
      <w:r w:rsidRPr="003648D4">
        <w:rPr>
          <w:szCs w:val="22"/>
          <w:lang w:val="sr-Latn-RS"/>
        </w:rPr>
        <w:t>enjena je kod 21 d</w:t>
      </w:r>
      <w:r>
        <w:rPr>
          <w:szCs w:val="22"/>
          <w:lang w:val="sr-Latn-RS"/>
        </w:rPr>
        <w:t>j</w:t>
      </w:r>
      <w:r w:rsidRPr="003648D4">
        <w:rPr>
          <w:szCs w:val="22"/>
          <w:lang w:val="sr-Latn-RS"/>
        </w:rPr>
        <w:t xml:space="preserve">ece i adolescenata </w:t>
      </w:r>
      <w:r w:rsidR="000F1B2A">
        <w:rPr>
          <w:szCs w:val="22"/>
          <w:lang w:val="sr-Latn-RS"/>
        </w:rPr>
        <w:t xml:space="preserve">uzrasta </w:t>
      </w:r>
      <w:r w:rsidRPr="003648D4">
        <w:rPr>
          <w:szCs w:val="22"/>
          <w:lang w:val="sr-Latn-RS"/>
        </w:rPr>
        <w:t xml:space="preserve">od 3 godine do 17 godina u </w:t>
      </w:r>
      <w:r w:rsidR="000F1B2A">
        <w:rPr>
          <w:szCs w:val="22"/>
          <w:lang w:val="sr-Latn-RS"/>
        </w:rPr>
        <w:t xml:space="preserve">ispitivanju </w:t>
      </w:r>
      <w:r w:rsidRPr="003648D4">
        <w:rPr>
          <w:szCs w:val="22"/>
          <w:lang w:val="sr-Latn-RS"/>
        </w:rPr>
        <w:t>MS100070-</w:t>
      </w:r>
      <w:r w:rsidR="00435DC5">
        <w:rPr>
          <w:szCs w:val="22"/>
          <w:lang w:val="sr-Latn-RS"/>
        </w:rPr>
        <w:t>0</w:t>
      </w:r>
      <w:r w:rsidRPr="003648D4">
        <w:rPr>
          <w:szCs w:val="22"/>
          <w:lang w:val="sr-Latn-RS"/>
        </w:rPr>
        <w:t>306</w:t>
      </w:r>
      <w:r w:rsidR="00870BA8">
        <w:rPr>
          <w:szCs w:val="22"/>
          <w:lang w:val="sr-Latn-RS"/>
        </w:rPr>
        <w:t xml:space="preserve"> </w:t>
      </w:r>
      <w:r w:rsidRPr="003648D4">
        <w:rPr>
          <w:szCs w:val="22"/>
          <w:lang w:val="sr-Latn-RS"/>
        </w:rPr>
        <w:t>koja su primala ili 10 mg/kg (N=6) ili 20 mg/kg (N=15) avelumaba intravenski svake 2 ned</w:t>
      </w:r>
      <w:r>
        <w:rPr>
          <w:szCs w:val="22"/>
          <w:lang w:val="sr-Latn-RS"/>
        </w:rPr>
        <w:t>j</w:t>
      </w:r>
      <w:r w:rsidRPr="003648D4">
        <w:rPr>
          <w:szCs w:val="22"/>
          <w:lang w:val="sr-Latn-RS"/>
        </w:rPr>
        <w:t>elje dok se ne potvrdi napredak, smrt ili neprihvatljiva toksičnost.</w:t>
      </w:r>
    </w:p>
    <w:p w14:paraId="2E704C41" w14:textId="77777777" w:rsidR="003648D4" w:rsidRPr="003648D4" w:rsidRDefault="003648D4" w:rsidP="000F1B2A">
      <w:pPr>
        <w:jc w:val="both"/>
        <w:rPr>
          <w:szCs w:val="22"/>
          <w:lang w:val="sr-Latn-RS"/>
        </w:rPr>
      </w:pPr>
    </w:p>
    <w:p w14:paraId="252A18B4" w14:textId="0B76C5D0" w:rsidR="003648D4" w:rsidRPr="003648D4" w:rsidRDefault="003648D4" w:rsidP="000F1B2A">
      <w:pPr>
        <w:jc w:val="both"/>
        <w:rPr>
          <w:szCs w:val="22"/>
          <w:lang w:val="sr-Latn-RS"/>
        </w:rPr>
      </w:pPr>
      <w:r w:rsidRPr="003648D4">
        <w:rPr>
          <w:szCs w:val="22"/>
          <w:lang w:val="sr-Latn-RS"/>
        </w:rPr>
        <w:t xml:space="preserve">Pedijatrijski </w:t>
      </w:r>
      <w:r w:rsidR="0021028E">
        <w:rPr>
          <w:szCs w:val="22"/>
          <w:lang w:val="sr-Latn-RS"/>
        </w:rPr>
        <w:t>farmakokinetički parametri</w:t>
      </w:r>
      <w:r w:rsidRPr="003648D4">
        <w:rPr>
          <w:szCs w:val="22"/>
          <w:lang w:val="sr-Latn-RS"/>
        </w:rPr>
        <w:t xml:space="preserve"> i odgovarajući </w:t>
      </w:r>
      <w:r w:rsidR="0021028E">
        <w:rPr>
          <w:szCs w:val="22"/>
          <w:lang w:val="sr-Latn-RS"/>
        </w:rPr>
        <w:t>farmakokinetički</w:t>
      </w:r>
      <w:r w:rsidR="0021028E" w:rsidRPr="003648D4">
        <w:rPr>
          <w:szCs w:val="22"/>
          <w:lang w:val="sr-Latn-RS"/>
        </w:rPr>
        <w:t xml:space="preserve"> </w:t>
      </w:r>
      <w:r w:rsidRPr="003648D4">
        <w:rPr>
          <w:szCs w:val="22"/>
          <w:lang w:val="sr-Latn-RS"/>
        </w:rPr>
        <w:t>profili za sve pacijente su proc</w:t>
      </w:r>
      <w:r w:rsidR="000F1B2A">
        <w:rPr>
          <w:szCs w:val="22"/>
          <w:lang w:val="sr-Latn-RS"/>
        </w:rPr>
        <w:t>i</w:t>
      </w:r>
      <w:r>
        <w:rPr>
          <w:szCs w:val="22"/>
          <w:lang w:val="sr-Latn-RS"/>
        </w:rPr>
        <w:t>j</w:t>
      </w:r>
      <w:r w:rsidRPr="003648D4">
        <w:rPr>
          <w:szCs w:val="22"/>
          <w:lang w:val="sr-Latn-RS"/>
        </w:rPr>
        <w:t>enjeni prema doziranju i stratifikovani prema t</w:t>
      </w:r>
      <w:r>
        <w:rPr>
          <w:szCs w:val="22"/>
          <w:lang w:val="sr-Latn-RS"/>
        </w:rPr>
        <w:t>j</w:t>
      </w:r>
      <w:r w:rsidRPr="003648D4">
        <w:rPr>
          <w:szCs w:val="22"/>
          <w:lang w:val="sr-Latn-RS"/>
        </w:rPr>
        <w:t xml:space="preserve">elesnoj </w:t>
      </w:r>
      <w:r w:rsidR="006372AD">
        <w:rPr>
          <w:szCs w:val="22"/>
          <w:lang w:val="sr-Latn-RS"/>
        </w:rPr>
        <w:t>mas</w:t>
      </w:r>
      <w:r w:rsidRPr="003648D4">
        <w:rPr>
          <w:szCs w:val="22"/>
          <w:lang w:val="sr-Latn-RS"/>
        </w:rPr>
        <w:t>i.</w:t>
      </w:r>
    </w:p>
    <w:p w14:paraId="5B0288FB" w14:textId="77777777" w:rsidR="003648D4" w:rsidRPr="003648D4" w:rsidRDefault="003648D4" w:rsidP="000F1B2A">
      <w:pPr>
        <w:jc w:val="both"/>
        <w:rPr>
          <w:szCs w:val="22"/>
          <w:lang w:val="sr-Latn-RS"/>
        </w:rPr>
      </w:pPr>
    </w:p>
    <w:p w14:paraId="7CF44C67" w14:textId="3628B072" w:rsidR="003648D4" w:rsidRPr="008F1125" w:rsidRDefault="003648D4" w:rsidP="000F1B2A">
      <w:pPr>
        <w:jc w:val="both"/>
        <w:rPr>
          <w:szCs w:val="22"/>
          <w:lang w:val="sr-Latn-RS"/>
        </w:rPr>
      </w:pPr>
      <w:r w:rsidRPr="003648D4">
        <w:rPr>
          <w:szCs w:val="22"/>
          <w:lang w:val="sr-Latn-RS"/>
        </w:rPr>
        <w:t xml:space="preserve">Izloženost kod pedijatrijskih pacijenata koji su primali 20 mg/kg avelumaba bila je slična ili veća </w:t>
      </w:r>
      <w:r w:rsidR="0021028E">
        <w:rPr>
          <w:szCs w:val="22"/>
          <w:lang w:val="sr-Latn-RS"/>
        </w:rPr>
        <w:t xml:space="preserve">u odnosu na izloženost </w:t>
      </w:r>
      <w:r w:rsidRPr="003648D4">
        <w:rPr>
          <w:szCs w:val="22"/>
          <w:lang w:val="sr-Latn-RS"/>
        </w:rPr>
        <w:t xml:space="preserve">kod odraslih koji su primali 10 mg/kg ili 800 mg avelumaba. Kod pedijatrijskih pacijenata koji su primali 10 mg/kg avelumaba, izloženost je bila niža u poređenju sa </w:t>
      </w:r>
      <w:r w:rsidR="0021028E">
        <w:rPr>
          <w:szCs w:val="22"/>
          <w:lang w:val="sr-Latn-RS"/>
        </w:rPr>
        <w:t>onom</w:t>
      </w:r>
      <w:r w:rsidR="00870BA8" w:rsidRPr="003648D4">
        <w:rPr>
          <w:szCs w:val="22"/>
          <w:lang w:val="sr-Latn-RS"/>
        </w:rPr>
        <w:t xml:space="preserve"> </w:t>
      </w:r>
      <w:r w:rsidRPr="003648D4">
        <w:rPr>
          <w:szCs w:val="22"/>
          <w:lang w:val="sr-Latn-RS"/>
        </w:rPr>
        <w:t>kod odraslih.</w:t>
      </w:r>
    </w:p>
    <w:p w14:paraId="1FB63708" w14:textId="77777777" w:rsidR="00DB34E3" w:rsidRPr="008F1125" w:rsidRDefault="00DB34E3" w:rsidP="00E70E35">
      <w:pPr>
        <w:numPr>
          <w:ilvl w:val="12"/>
          <w:numId w:val="0"/>
        </w:numPr>
        <w:jc w:val="both"/>
        <w:rPr>
          <w:iCs/>
          <w:szCs w:val="22"/>
          <w:lang w:val="sr-Latn-RS"/>
        </w:rPr>
      </w:pPr>
    </w:p>
    <w:p w14:paraId="1FB63709" w14:textId="698259A5" w:rsidR="00821DBC" w:rsidRPr="008F1125" w:rsidRDefault="00926926" w:rsidP="00890EE2">
      <w:pPr>
        <w:keepNext/>
        <w:keepLines/>
        <w:jc w:val="both"/>
        <w:rPr>
          <w:b/>
          <w:szCs w:val="22"/>
          <w:lang w:val="sr-Latn-RS"/>
        </w:rPr>
      </w:pPr>
      <w:r w:rsidRPr="008F1125">
        <w:rPr>
          <w:b/>
          <w:lang w:val="sr-Latn-RS" w:bidi="sr-Latn-RS"/>
        </w:rPr>
        <w:t>5.3.</w:t>
      </w:r>
      <w:r w:rsidRPr="008F1125">
        <w:rPr>
          <w:b/>
          <w:lang w:val="sr-Latn-RS" w:bidi="sr-Latn-RS"/>
        </w:rPr>
        <w:tab/>
        <w:t xml:space="preserve">Pretklinički podaci o </w:t>
      </w:r>
      <w:r w:rsidR="00DD502A" w:rsidRPr="008F1125">
        <w:rPr>
          <w:b/>
          <w:lang w:val="sr-Latn-RS" w:bidi="sr-Latn-RS"/>
        </w:rPr>
        <w:t>bezbjednost</w:t>
      </w:r>
      <w:r w:rsidRPr="008F1125">
        <w:rPr>
          <w:b/>
          <w:lang w:val="sr-Latn-RS" w:bidi="sr-Latn-RS"/>
        </w:rPr>
        <w:t>i</w:t>
      </w:r>
    </w:p>
    <w:p w14:paraId="1FB6370A" w14:textId="77777777" w:rsidR="00821DBC" w:rsidRPr="008F1125" w:rsidRDefault="00821DBC" w:rsidP="00890EE2">
      <w:pPr>
        <w:keepNext/>
        <w:keepLines/>
        <w:jc w:val="both"/>
        <w:rPr>
          <w:szCs w:val="22"/>
          <w:lang w:val="sr-Latn-RS"/>
        </w:rPr>
      </w:pPr>
    </w:p>
    <w:p w14:paraId="1FB6370B" w14:textId="2A2B58C3" w:rsidR="00821DBC" w:rsidRPr="008F1125" w:rsidRDefault="00926926" w:rsidP="00890EE2">
      <w:pPr>
        <w:keepNext/>
        <w:keepLines/>
        <w:tabs>
          <w:tab w:val="clear" w:pos="567"/>
        </w:tabs>
        <w:autoSpaceDE w:val="0"/>
        <w:autoSpaceDN w:val="0"/>
        <w:adjustRightInd w:val="0"/>
        <w:jc w:val="both"/>
        <w:rPr>
          <w:szCs w:val="22"/>
          <w:lang w:val="sr-Latn-RS"/>
        </w:rPr>
      </w:pPr>
      <w:r w:rsidRPr="008F1125">
        <w:rPr>
          <w:lang w:val="sr-Latn-RS" w:bidi="sr-Latn-RS"/>
        </w:rPr>
        <w:t>Pretklinički podaci ne ukazuju na poseban rizik za ljude na osnovu konvencionalnih ispitivanja toksičnosti ponovljenih doza kod makaki majmuna kojima su intravenski bile primi</w:t>
      </w:r>
      <w:r w:rsidR="00515B67" w:rsidRPr="008F1125">
        <w:rPr>
          <w:lang w:val="sr-Latn-RS" w:bidi="sr-Latn-RS"/>
        </w:rPr>
        <w:t>j</w:t>
      </w:r>
      <w:r w:rsidRPr="008F1125">
        <w:rPr>
          <w:lang w:val="sr-Latn-RS" w:bidi="sr-Latn-RS"/>
        </w:rPr>
        <w:t>enjene doze od 20, 60 ili 140 mg/kg jedanput ned</w:t>
      </w:r>
      <w:r w:rsidR="00E74CD9" w:rsidRPr="008F1125">
        <w:rPr>
          <w:lang w:val="sr-Latn-RS" w:bidi="sr-Latn-RS"/>
        </w:rPr>
        <w:t>j</w:t>
      </w:r>
      <w:r w:rsidRPr="008F1125">
        <w:rPr>
          <w:lang w:val="sr-Latn-RS" w:bidi="sr-Latn-RS"/>
        </w:rPr>
        <w:t>eljno tokom 1 m</w:t>
      </w:r>
      <w:r w:rsidR="003C0701" w:rsidRPr="008F1125">
        <w:rPr>
          <w:lang w:val="sr-Latn-RS" w:bidi="sr-Latn-RS"/>
        </w:rPr>
        <w:t>j</w:t>
      </w:r>
      <w:r w:rsidRPr="008F1125">
        <w:rPr>
          <w:lang w:val="sr-Latn-RS" w:bidi="sr-Latn-RS"/>
        </w:rPr>
        <w:t>eseca i 3 m</w:t>
      </w:r>
      <w:r w:rsidR="00515B67" w:rsidRPr="008F1125">
        <w:rPr>
          <w:lang w:val="sr-Latn-RS" w:bidi="sr-Latn-RS"/>
        </w:rPr>
        <w:t>j</w:t>
      </w:r>
      <w:r w:rsidRPr="008F1125">
        <w:rPr>
          <w:lang w:val="sr-Latn-RS" w:bidi="sr-Latn-RS"/>
        </w:rPr>
        <w:t>eseca, nakon čega je usl</w:t>
      </w:r>
      <w:r w:rsidR="00890EE2" w:rsidRPr="008F1125">
        <w:rPr>
          <w:lang w:val="sr-Latn-RS" w:bidi="sr-Latn-RS"/>
        </w:rPr>
        <w:t>ij</w:t>
      </w:r>
      <w:r w:rsidRPr="008F1125">
        <w:rPr>
          <w:lang w:val="sr-Latn-RS" w:bidi="sr-Latn-RS"/>
        </w:rPr>
        <w:t>edio 2-m</w:t>
      </w:r>
      <w:r w:rsidR="003C0701" w:rsidRPr="008F1125">
        <w:rPr>
          <w:lang w:val="sr-Latn-RS" w:bidi="sr-Latn-RS"/>
        </w:rPr>
        <w:t>j</w:t>
      </w:r>
      <w:r w:rsidRPr="008F1125">
        <w:rPr>
          <w:lang w:val="sr-Latn-RS" w:bidi="sr-Latn-RS"/>
        </w:rPr>
        <w:t>esečni period oporavka nakon 3-m</w:t>
      </w:r>
      <w:r w:rsidR="00515B67" w:rsidRPr="008F1125">
        <w:rPr>
          <w:lang w:val="sr-Latn-RS" w:bidi="sr-Latn-RS"/>
        </w:rPr>
        <w:t>j</w:t>
      </w:r>
      <w:r w:rsidRPr="008F1125">
        <w:rPr>
          <w:lang w:val="sr-Latn-RS" w:bidi="sr-Latn-RS"/>
        </w:rPr>
        <w:t>esečnog perioda doziranja. Bilo je prim</w:t>
      </w:r>
      <w:r w:rsidR="00515B67" w:rsidRPr="008F1125">
        <w:rPr>
          <w:lang w:val="sr-Latn-RS" w:bidi="sr-Latn-RS"/>
        </w:rPr>
        <w:t>ij</w:t>
      </w:r>
      <w:r w:rsidRPr="008F1125">
        <w:rPr>
          <w:lang w:val="sr-Latn-RS" w:bidi="sr-Latn-RS"/>
        </w:rPr>
        <w:t>ećeno perivaskularno nakupljanje mononukleara u obliku manžetne u mozgu i kičmenoj moždini majmuna koji su primali avelumab u dozi od ≥ 20 mg/kg tokom 3 m</w:t>
      </w:r>
      <w:r w:rsidR="00515B67" w:rsidRPr="008F1125">
        <w:rPr>
          <w:lang w:val="sr-Latn-RS" w:bidi="sr-Latn-RS"/>
        </w:rPr>
        <w:t>j</w:t>
      </w:r>
      <w:r w:rsidRPr="008F1125">
        <w:rPr>
          <w:lang w:val="sr-Latn-RS" w:bidi="sr-Latn-RS"/>
        </w:rPr>
        <w:t>eseca. Iako nije bilo jasne povezanosti doze i odgovora, ne može se isključiti da je ovaj nalaz povezan sa terapijom avelumabom.</w:t>
      </w:r>
    </w:p>
    <w:p w14:paraId="1FB6370C" w14:textId="77777777" w:rsidR="00821DBC" w:rsidRPr="008F1125" w:rsidRDefault="00821DBC" w:rsidP="00890EE2">
      <w:pPr>
        <w:tabs>
          <w:tab w:val="clear" w:pos="567"/>
        </w:tabs>
        <w:autoSpaceDE w:val="0"/>
        <w:autoSpaceDN w:val="0"/>
        <w:adjustRightInd w:val="0"/>
        <w:jc w:val="both"/>
        <w:rPr>
          <w:iCs/>
          <w:szCs w:val="22"/>
          <w:lang w:val="sr-Latn-RS"/>
        </w:rPr>
      </w:pPr>
    </w:p>
    <w:p w14:paraId="1FB6370D" w14:textId="4D8DEA42" w:rsidR="00821DBC" w:rsidRPr="008F1125" w:rsidRDefault="00926926" w:rsidP="00890EE2">
      <w:pPr>
        <w:tabs>
          <w:tab w:val="clear" w:pos="567"/>
        </w:tabs>
        <w:autoSpaceDE w:val="0"/>
        <w:autoSpaceDN w:val="0"/>
        <w:adjustRightInd w:val="0"/>
        <w:jc w:val="both"/>
        <w:rPr>
          <w:szCs w:val="22"/>
          <w:lang w:val="sr-Latn-RS"/>
        </w:rPr>
      </w:pPr>
      <w:r w:rsidRPr="008F1125">
        <w:rPr>
          <w:lang w:val="sr-Latn-RS" w:bidi="sr-Latn-RS"/>
        </w:rPr>
        <w:t>Ni</w:t>
      </w:r>
      <w:r w:rsidR="00890EE2" w:rsidRPr="008F1125">
        <w:rPr>
          <w:lang w:val="sr-Latn-RS" w:bidi="sr-Latn-RS"/>
        </w:rPr>
        <w:t>je</w:t>
      </w:r>
      <w:r w:rsidRPr="008F1125">
        <w:rPr>
          <w:lang w:val="sr-Latn-RS" w:bidi="sr-Latn-RS"/>
        </w:rPr>
        <w:t>su sprovedena ispitivanja uticaja avelumaba na reprodukciju kod životinja. Smatra se da je put PD-1/PD-L1 uključen u održavanje tolerancije na fetus tokom trajanja trudnoće. Na mišjim modelima trudnoće pokazalo se da blokada PD-L1 signalizacije ometa toleranciju na fetus i dovodi do povećanog gubitka</w:t>
      </w:r>
      <w:r w:rsidR="00515B67" w:rsidRPr="008F1125">
        <w:rPr>
          <w:lang w:val="sr-Latn-RS" w:bidi="sr-Latn-RS"/>
        </w:rPr>
        <w:t xml:space="preserve"> </w:t>
      </w:r>
      <w:r w:rsidRPr="008F1125">
        <w:rPr>
          <w:lang w:val="sr-Latn-RS" w:bidi="sr-Latn-RS"/>
        </w:rPr>
        <w:t>fetusa. Ovi rezultati ukazuju na mogući rizik od štetnog d</w:t>
      </w:r>
      <w:r w:rsidR="00890EE2" w:rsidRPr="008F1125">
        <w:rPr>
          <w:lang w:val="sr-Latn-RS" w:bidi="sr-Latn-RS"/>
        </w:rPr>
        <w:t>j</w:t>
      </w:r>
      <w:r w:rsidRPr="008F1125">
        <w:rPr>
          <w:lang w:val="sr-Latn-RS" w:bidi="sr-Latn-RS"/>
        </w:rPr>
        <w:t xml:space="preserve">elovanja na fetus ako se avelumab </w:t>
      </w:r>
      <w:r w:rsidR="00DD502A" w:rsidRPr="008F1125">
        <w:rPr>
          <w:lang w:val="sr-Latn-RS" w:bidi="sr-Latn-RS"/>
        </w:rPr>
        <w:t>primjenjuje</w:t>
      </w:r>
      <w:r w:rsidRPr="008F1125">
        <w:rPr>
          <w:lang w:val="sr-Latn-RS" w:bidi="sr-Latn-RS"/>
        </w:rPr>
        <w:t xml:space="preserve"> u trudnoći, uključujući povećanje stope pobačaja ili mrtvorođenosti.</w:t>
      </w:r>
    </w:p>
    <w:p w14:paraId="1FB6370E" w14:textId="77777777" w:rsidR="00821DBC" w:rsidRPr="008F1125" w:rsidRDefault="00821DBC" w:rsidP="00890EE2">
      <w:pPr>
        <w:tabs>
          <w:tab w:val="clear" w:pos="567"/>
        </w:tabs>
        <w:autoSpaceDE w:val="0"/>
        <w:autoSpaceDN w:val="0"/>
        <w:adjustRightInd w:val="0"/>
        <w:jc w:val="both"/>
        <w:rPr>
          <w:iCs/>
          <w:szCs w:val="22"/>
          <w:lang w:val="sr-Latn-RS"/>
        </w:rPr>
      </w:pPr>
    </w:p>
    <w:p w14:paraId="1FB6370F" w14:textId="78A242B5" w:rsidR="00821DBC" w:rsidRPr="008F1125" w:rsidRDefault="00926926" w:rsidP="00890EE2">
      <w:pPr>
        <w:tabs>
          <w:tab w:val="clear" w:pos="567"/>
        </w:tabs>
        <w:autoSpaceDE w:val="0"/>
        <w:autoSpaceDN w:val="0"/>
        <w:adjustRightInd w:val="0"/>
        <w:jc w:val="both"/>
        <w:rPr>
          <w:i/>
          <w:szCs w:val="22"/>
          <w:lang w:val="sr-Latn-RS"/>
        </w:rPr>
      </w:pPr>
      <w:r w:rsidRPr="008F1125">
        <w:rPr>
          <w:lang w:val="sr-Latn-RS" w:bidi="sr-Latn-RS"/>
        </w:rPr>
        <w:t>Ni</w:t>
      </w:r>
      <w:r w:rsidR="00890EE2" w:rsidRPr="008F1125">
        <w:rPr>
          <w:lang w:val="sr-Latn-RS" w:bidi="sr-Latn-RS"/>
        </w:rPr>
        <w:t>je</w:t>
      </w:r>
      <w:r w:rsidRPr="008F1125">
        <w:rPr>
          <w:lang w:val="sr-Latn-RS" w:bidi="sr-Latn-RS"/>
        </w:rPr>
        <w:t>su sprovedena ispitivanja kojima bi se proc</w:t>
      </w:r>
      <w:r w:rsidR="00515B67" w:rsidRPr="008F1125">
        <w:rPr>
          <w:lang w:val="sr-Latn-RS" w:bidi="sr-Latn-RS"/>
        </w:rPr>
        <w:t>ij</w:t>
      </w:r>
      <w:r w:rsidRPr="008F1125">
        <w:rPr>
          <w:lang w:val="sr-Latn-RS" w:bidi="sr-Latn-RS"/>
        </w:rPr>
        <w:t>enili kancerogeni potencijal ili genotoksičnost avelumaba.</w:t>
      </w:r>
    </w:p>
    <w:p w14:paraId="1FB63710" w14:textId="77777777" w:rsidR="00821DBC" w:rsidRPr="008F1125" w:rsidRDefault="00821DBC" w:rsidP="00890EE2">
      <w:pPr>
        <w:tabs>
          <w:tab w:val="clear" w:pos="567"/>
        </w:tabs>
        <w:autoSpaceDE w:val="0"/>
        <w:autoSpaceDN w:val="0"/>
        <w:adjustRightInd w:val="0"/>
        <w:jc w:val="both"/>
        <w:rPr>
          <w:iCs/>
          <w:szCs w:val="22"/>
          <w:lang w:val="sr-Latn-RS"/>
        </w:rPr>
      </w:pPr>
    </w:p>
    <w:p w14:paraId="1FB63711" w14:textId="795AE25B" w:rsidR="00821DBC" w:rsidRPr="008F1125" w:rsidRDefault="00926926" w:rsidP="00890EE2">
      <w:pPr>
        <w:tabs>
          <w:tab w:val="clear" w:pos="567"/>
        </w:tabs>
        <w:autoSpaceDE w:val="0"/>
        <w:autoSpaceDN w:val="0"/>
        <w:adjustRightInd w:val="0"/>
        <w:jc w:val="both"/>
        <w:rPr>
          <w:szCs w:val="22"/>
          <w:lang w:val="sr-Latn-RS"/>
        </w:rPr>
      </w:pPr>
      <w:r w:rsidRPr="008F1125">
        <w:rPr>
          <w:lang w:val="sr-Latn-RS" w:bidi="sr-Latn-RS"/>
        </w:rPr>
        <w:t>Ni</w:t>
      </w:r>
      <w:r w:rsidR="00890EE2" w:rsidRPr="008F1125">
        <w:rPr>
          <w:lang w:val="sr-Latn-RS" w:bidi="sr-Latn-RS"/>
        </w:rPr>
        <w:t>je</w:t>
      </w:r>
      <w:r w:rsidRPr="008F1125">
        <w:rPr>
          <w:lang w:val="sr-Latn-RS" w:bidi="sr-Latn-RS"/>
        </w:rPr>
        <w:t>su sprovedena ispitivanja uticaja avelumaba na reprodukciju kod životinja. U 1-m</w:t>
      </w:r>
      <w:r w:rsidR="003C0701" w:rsidRPr="008F1125">
        <w:rPr>
          <w:lang w:val="sr-Latn-RS" w:bidi="sr-Latn-RS"/>
        </w:rPr>
        <w:t>j</w:t>
      </w:r>
      <w:r w:rsidRPr="008F1125">
        <w:rPr>
          <w:lang w:val="sr-Latn-RS" w:bidi="sr-Latn-RS"/>
        </w:rPr>
        <w:t>esečnom i 3-m</w:t>
      </w:r>
      <w:r w:rsidR="003C0701" w:rsidRPr="008F1125">
        <w:rPr>
          <w:lang w:val="sr-Latn-RS" w:bidi="sr-Latn-RS"/>
        </w:rPr>
        <w:t>j</w:t>
      </w:r>
      <w:r w:rsidRPr="008F1125">
        <w:rPr>
          <w:lang w:val="sr-Latn-RS" w:bidi="sr-Latn-RS"/>
        </w:rPr>
        <w:t>esečnom ispitivanju toksičnosti ponovljenih doza kod majmuna nije bilo prim</w:t>
      </w:r>
      <w:r w:rsidR="00515B67" w:rsidRPr="008F1125">
        <w:rPr>
          <w:lang w:val="sr-Latn-RS" w:bidi="sr-Latn-RS"/>
        </w:rPr>
        <w:t>j</w:t>
      </w:r>
      <w:r w:rsidRPr="008F1125">
        <w:rPr>
          <w:lang w:val="sr-Latn-RS" w:bidi="sr-Latn-RS"/>
        </w:rPr>
        <w:t>etnih efekata na ženske reproduktivne organe. Mnogi mužjaci majmuna u ovim ispitivanjima ni</w:t>
      </w:r>
      <w:r w:rsidR="00890EE2" w:rsidRPr="008F1125">
        <w:rPr>
          <w:lang w:val="sr-Latn-RS" w:bidi="sr-Latn-RS"/>
        </w:rPr>
        <w:t>je</w:t>
      </w:r>
      <w:r w:rsidRPr="008F1125">
        <w:rPr>
          <w:lang w:val="sr-Latn-RS" w:bidi="sr-Latn-RS"/>
        </w:rPr>
        <w:t>su bili seksualno zreli</w:t>
      </w:r>
      <w:r w:rsidR="00890EE2" w:rsidRPr="008F1125">
        <w:rPr>
          <w:lang w:val="sr-Latn-RS" w:bidi="sr-Latn-RS"/>
        </w:rPr>
        <w:t>,</w:t>
      </w:r>
      <w:r w:rsidRPr="008F1125">
        <w:rPr>
          <w:lang w:val="sr-Latn-RS" w:bidi="sr-Latn-RS"/>
        </w:rPr>
        <w:t xml:space="preserve"> pa se zato ne mogu don</w:t>
      </w:r>
      <w:r w:rsidR="00890EE2" w:rsidRPr="008F1125">
        <w:rPr>
          <w:lang w:val="sr-Latn-RS" w:bidi="sr-Latn-RS"/>
        </w:rPr>
        <w:t>ij</w:t>
      </w:r>
      <w:r w:rsidRPr="008F1125">
        <w:rPr>
          <w:lang w:val="sr-Latn-RS" w:bidi="sr-Latn-RS"/>
        </w:rPr>
        <w:t>eti nikakvi jasni zaključci o efektima na muške reproduktivne organe.</w:t>
      </w:r>
    </w:p>
    <w:p w14:paraId="1FB63712" w14:textId="5BB10AB4" w:rsidR="00821DBC" w:rsidRPr="008F1125" w:rsidRDefault="00821DBC" w:rsidP="00577413">
      <w:pPr>
        <w:tabs>
          <w:tab w:val="clear" w:pos="567"/>
        </w:tabs>
        <w:autoSpaceDE w:val="0"/>
        <w:autoSpaceDN w:val="0"/>
        <w:adjustRightInd w:val="0"/>
        <w:rPr>
          <w:szCs w:val="22"/>
          <w:lang w:val="sr-Latn-RS"/>
        </w:rPr>
      </w:pPr>
    </w:p>
    <w:p w14:paraId="1FB63713" w14:textId="77777777" w:rsidR="00821DBC" w:rsidRPr="008F1125" w:rsidRDefault="00821DBC" w:rsidP="00577413">
      <w:pPr>
        <w:rPr>
          <w:szCs w:val="22"/>
          <w:lang w:val="sr-Latn-RS"/>
        </w:rPr>
      </w:pPr>
    </w:p>
    <w:p w14:paraId="1FB63714" w14:textId="77777777" w:rsidR="00821DBC" w:rsidRPr="008F1125" w:rsidRDefault="00926926" w:rsidP="00577413">
      <w:pPr>
        <w:keepNext/>
        <w:keepLines/>
        <w:suppressAutoHyphens/>
        <w:rPr>
          <w:b/>
          <w:szCs w:val="22"/>
          <w:lang w:val="sr-Latn-RS"/>
        </w:rPr>
      </w:pPr>
      <w:r w:rsidRPr="008F1125">
        <w:rPr>
          <w:b/>
          <w:lang w:val="sr-Latn-RS" w:bidi="sr-Latn-RS"/>
        </w:rPr>
        <w:t>6.</w:t>
      </w:r>
      <w:r w:rsidRPr="008F1125">
        <w:rPr>
          <w:b/>
          <w:lang w:val="sr-Latn-RS" w:bidi="sr-Latn-RS"/>
        </w:rPr>
        <w:tab/>
        <w:t>FARMACEUTSKI PODACI</w:t>
      </w:r>
    </w:p>
    <w:p w14:paraId="1FB63715" w14:textId="77777777" w:rsidR="00821DBC" w:rsidRPr="008F1125" w:rsidRDefault="00821DBC" w:rsidP="00577413">
      <w:pPr>
        <w:keepNext/>
        <w:keepLines/>
        <w:rPr>
          <w:szCs w:val="22"/>
          <w:lang w:val="sr-Latn-RS"/>
        </w:rPr>
      </w:pPr>
    </w:p>
    <w:p w14:paraId="1FB63716" w14:textId="0A52AFA1" w:rsidR="00821DBC" w:rsidRPr="008F1125" w:rsidRDefault="00926926" w:rsidP="00577413">
      <w:pPr>
        <w:keepNext/>
        <w:keepLines/>
        <w:rPr>
          <w:b/>
          <w:szCs w:val="22"/>
          <w:lang w:val="sr-Latn-RS"/>
        </w:rPr>
      </w:pPr>
      <w:r w:rsidRPr="008F1125">
        <w:rPr>
          <w:b/>
          <w:lang w:val="sr-Latn-RS" w:bidi="sr-Latn-RS"/>
        </w:rPr>
        <w:t>6.1.</w:t>
      </w:r>
      <w:r w:rsidRPr="008F1125">
        <w:rPr>
          <w:b/>
          <w:lang w:val="sr-Latn-RS" w:bidi="sr-Latn-RS"/>
        </w:rPr>
        <w:tab/>
        <w:t>Lista pomoćnih supstanci</w:t>
      </w:r>
      <w:r w:rsidR="00E74CD9" w:rsidRPr="008F1125">
        <w:rPr>
          <w:b/>
          <w:lang w:val="sr-Latn-RS" w:bidi="sr-Latn-RS"/>
        </w:rPr>
        <w:t xml:space="preserve"> </w:t>
      </w:r>
      <w:r w:rsidR="00E74CD9" w:rsidRPr="00BC737B">
        <w:rPr>
          <w:b/>
          <w:bCs/>
          <w:szCs w:val="22"/>
          <w:lang w:val="pl-PL"/>
        </w:rPr>
        <w:t>(ekscipijenasa)</w:t>
      </w:r>
    </w:p>
    <w:p w14:paraId="1FB63717" w14:textId="77777777" w:rsidR="00821DBC" w:rsidRPr="008F1125" w:rsidRDefault="00821DBC" w:rsidP="00577413">
      <w:pPr>
        <w:keepNext/>
        <w:keepLines/>
        <w:rPr>
          <w:i/>
          <w:szCs w:val="22"/>
          <w:lang w:val="sr-Latn-RS"/>
        </w:rPr>
      </w:pPr>
    </w:p>
    <w:p w14:paraId="1FB63718" w14:textId="4A84734A" w:rsidR="00821DBC" w:rsidRPr="0035342A" w:rsidRDefault="00926926" w:rsidP="00577413">
      <w:pPr>
        <w:keepNext/>
        <w:keepLines/>
        <w:rPr>
          <w:szCs w:val="22"/>
          <w:lang w:val="sr-Latn-RS"/>
        </w:rPr>
      </w:pPr>
      <w:bookmarkStart w:id="23" w:name="_GoBack"/>
      <w:bookmarkEnd w:id="23"/>
      <w:r w:rsidRPr="0035342A">
        <w:rPr>
          <w:lang w:val="sr-Latn-RS" w:bidi="sr-Latn-RS"/>
        </w:rPr>
        <w:t>manitol</w:t>
      </w:r>
      <w:r w:rsidR="00851ABB" w:rsidRPr="0035342A">
        <w:rPr>
          <w:lang w:val="sr-Latn-RS"/>
        </w:rPr>
        <w:t xml:space="preserve"> (E421)</w:t>
      </w:r>
    </w:p>
    <w:p w14:paraId="1FB63719" w14:textId="77777777" w:rsidR="008161DB" w:rsidRPr="0035342A" w:rsidRDefault="00926926" w:rsidP="00577413">
      <w:pPr>
        <w:rPr>
          <w:szCs w:val="22"/>
          <w:lang w:val="sr-Latn-RS"/>
        </w:rPr>
      </w:pPr>
      <w:r w:rsidRPr="0035342A">
        <w:rPr>
          <w:lang w:val="sr-Latn-RS" w:bidi="sr-Latn-RS"/>
        </w:rPr>
        <w:t>sirćetna kiselina, glacijalna</w:t>
      </w:r>
    </w:p>
    <w:p w14:paraId="1FB6371A" w14:textId="087793E4" w:rsidR="00821DBC" w:rsidRPr="0035342A" w:rsidRDefault="00926926" w:rsidP="00577413">
      <w:pPr>
        <w:rPr>
          <w:szCs w:val="22"/>
          <w:lang w:val="sr-Latn-RS"/>
        </w:rPr>
      </w:pPr>
      <w:r w:rsidRPr="0035342A">
        <w:rPr>
          <w:lang w:val="sr-Latn-RS" w:bidi="sr-Latn-RS"/>
        </w:rPr>
        <w:t>polisorbat 20</w:t>
      </w:r>
      <w:r w:rsidR="00851ABB" w:rsidRPr="0035342A">
        <w:rPr>
          <w:lang w:val="sr-Latn-RS" w:bidi="sr-Latn-RS"/>
        </w:rPr>
        <w:t xml:space="preserve"> </w:t>
      </w:r>
      <w:r w:rsidR="00851ABB" w:rsidRPr="0035342A">
        <w:rPr>
          <w:lang w:val="sr-Latn-RS"/>
        </w:rPr>
        <w:t>(E432)</w:t>
      </w:r>
    </w:p>
    <w:p w14:paraId="1FB6371B" w14:textId="433FCAAF" w:rsidR="00821DBC" w:rsidRPr="008F1125" w:rsidRDefault="00926926" w:rsidP="00577413">
      <w:pPr>
        <w:rPr>
          <w:szCs w:val="22"/>
          <w:lang w:val="sr-Latn-RS"/>
        </w:rPr>
      </w:pPr>
      <w:r w:rsidRPr="0035342A">
        <w:rPr>
          <w:lang w:val="sr-Latn-RS" w:bidi="sr-Latn-RS"/>
        </w:rPr>
        <w:t>natrijum</w:t>
      </w:r>
      <w:r w:rsidR="00E74CD9" w:rsidRPr="0035342A">
        <w:rPr>
          <w:lang w:val="sr-Latn-RS" w:bidi="sr-Latn-RS"/>
        </w:rPr>
        <w:t xml:space="preserve"> </w:t>
      </w:r>
      <w:r w:rsidRPr="0035342A">
        <w:rPr>
          <w:lang w:val="sr-Latn-RS" w:bidi="sr-Latn-RS"/>
        </w:rPr>
        <w:t>hidroksid</w:t>
      </w:r>
    </w:p>
    <w:p w14:paraId="1FB6371C" w14:textId="77777777" w:rsidR="00821DBC" w:rsidRPr="008F1125" w:rsidRDefault="00926926" w:rsidP="00577413">
      <w:pPr>
        <w:rPr>
          <w:szCs w:val="22"/>
          <w:lang w:val="sr-Latn-RS"/>
        </w:rPr>
      </w:pPr>
      <w:r w:rsidRPr="008F1125">
        <w:rPr>
          <w:lang w:val="sr-Latn-RS" w:bidi="sr-Latn-RS"/>
        </w:rPr>
        <w:t>voda za injekcije</w:t>
      </w:r>
    </w:p>
    <w:p w14:paraId="1FB6371D" w14:textId="77777777" w:rsidR="00821DBC" w:rsidRPr="008F1125" w:rsidRDefault="00821DBC" w:rsidP="00577413">
      <w:pPr>
        <w:rPr>
          <w:szCs w:val="22"/>
          <w:lang w:val="sr-Latn-RS"/>
        </w:rPr>
      </w:pPr>
    </w:p>
    <w:p w14:paraId="1FB6371E" w14:textId="014F6A1A" w:rsidR="00821DBC" w:rsidRPr="008F1125" w:rsidRDefault="00926926" w:rsidP="00577413">
      <w:pPr>
        <w:keepNext/>
        <w:keepLines/>
        <w:rPr>
          <w:b/>
          <w:szCs w:val="22"/>
          <w:lang w:val="sr-Latn-RS"/>
        </w:rPr>
      </w:pPr>
      <w:r w:rsidRPr="008F1125">
        <w:rPr>
          <w:b/>
          <w:lang w:val="sr-Latn-RS" w:bidi="sr-Latn-RS"/>
        </w:rPr>
        <w:lastRenderedPageBreak/>
        <w:t>6.2.</w:t>
      </w:r>
      <w:r w:rsidRPr="008F1125">
        <w:rPr>
          <w:b/>
          <w:lang w:val="sr-Latn-RS" w:bidi="sr-Latn-RS"/>
        </w:rPr>
        <w:tab/>
        <w:t>Inkompatibilnost</w:t>
      </w:r>
      <w:r w:rsidR="00E74CD9" w:rsidRPr="008F1125">
        <w:rPr>
          <w:b/>
          <w:lang w:val="sr-Latn-RS" w:bidi="sr-Latn-RS"/>
        </w:rPr>
        <w:t>i</w:t>
      </w:r>
    </w:p>
    <w:p w14:paraId="1FB6371F" w14:textId="77777777" w:rsidR="00821DBC" w:rsidRPr="008F1125" w:rsidRDefault="00821DBC" w:rsidP="00577413">
      <w:pPr>
        <w:keepNext/>
        <w:keepLines/>
        <w:rPr>
          <w:szCs w:val="22"/>
          <w:lang w:val="sr-Latn-RS"/>
        </w:rPr>
      </w:pPr>
    </w:p>
    <w:p w14:paraId="1FB63720" w14:textId="6258101E" w:rsidR="00821DBC" w:rsidRPr="008F1125" w:rsidRDefault="00926926" w:rsidP="00AE57A4">
      <w:pPr>
        <w:keepNext/>
        <w:keepLines/>
        <w:jc w:val="both"/>
        <w:rPr>
          <w:szCs w:val="22"/>
          <w:lang w:val="sr-Latn-RS"/>
        </w:rPr>
      </w:pPr>
      <w:r w:rsidRPr="008F1125">
        <w:rPr>
          <w:lang w:val="sr-Latn-RS" w:bidi="sr-Latn-RS"/>
        </w:rPr>
        <w:t>Ovaj l</w:t>
      </w:r>
      <w:r w:rsidR="00515B67" w:rsidRPr="008F1125">
        <w:rPr>
          <w:lang w:val="sr-Latn-RS" w:bidi="sr-Latn-RS"/>
        </w:rPr>
        <w:t>ij</w:t>
      </w:r>
      <w:r w:rsidRPr="008F1125">
        <w:rPr>
          <w:lang w:val="sr-Latn-RS" w:bidi="sr-Latn-RS"/>
        </w:rPr>
        <w:t>ek se ne sm</w:t>
      </w:r>
      <w:r w:rsidR="00EE1B23">
        <w:rPr>
          <w:lang w:val="sr-Latn-RS" w:bidi="sr-Latn-RS"/>
        </w:rPr>
        <w:t>ij</w:t>
      </w:r>
      <w:r w:rsidRPr="008F1125">
        <w:rPr>
          <w:lang w:val="sr-Latn-RS" w:bidi="sr-Latn-RS"/>
        </w:rPr>
        <w:t>e m</w:t>
      </w:r>
      <w:r w:rsidR="00EE1B23">
        <w:rPr>
          <w:lang w:val="sr-Latn-RS" w:bidi="sr-Latn-RS"/>
        </w:rPr>
        <w:t>ij</w:t>
      </w:r>
      <w:r w:rsidRPr="008F1125">
        <w:rPr>
          <w:lang w:val="sr-Latn-RS" w:bidi="sr-Latn-RS"/>
        </w:rPr>
        <w:t>ešati sa drugim l</w:t>
      </w:r>
      <w:r w:rsidR="00515B67" w:rsidRPr="008F1125">
        <w:rPr>
          <w:lang w:val="sr-Latn-RS" w:bidi="sr-Latn-RS"/>
        </w:rPr>
        <w:t>j</w:t>
      </w:r>
      <w:r w:rsidRPr="008F1125">
        <w:rPr>
          <w:lang w:val="sr-Latn-RS" w:bidi="sr-Latn-RS"/>
        </w:rPr>
        <w:t xml:space="preserve">ekovima, osim sa onim koji su navedeni u </w:t>
      </w:r>
      <w:r w:rsidR="00515B67" w:rsidRPr="008F1125">
        <w:rPr>
          <w:lang w:val="sr-Latn-RS" w:bidi="sr-Latn-RS"/>
        </w:rPr>
        <w:t>dijelu</w:t>
      </w:r>
      <w:r w:rsidRPr="008F1125">
        <w:rPr>
          <w:lang w:val="sr-Latn-RS" w:bidi="sr-Latn-RS"/>
        </w:rPr>
        <w:t xml:space="preserve"> 6.6.</w:t>
      </w:r>
    </w:p>
    <w:p w14:paraId="1FB63721" w14:textId="77777777" w:rsidR="00821DBC" w:rsidRPr="008F1125" w:rsidRDefault="00821DBC" w:rsidP="00AE57A4">
      <w:pPr>
        <w:jc w:val="both"/>
        <w:rPr>
          <w:szCs w:val="22"/>
          <w:lang w:val="sr-Latn-RS"/>
        </w:rPr>
      </w:pPr>
    </w:p>
    <w:p w14:paraId="1FB63722" w14:textId="77777777" w:rsidR="00821DBC" w:rsidRPr="008F1125" w:rsidRDefault="00926926" w:rsidP="00AE57A4">
      <w:pPr>
        <w:keepNext/>
        <w:keepLines/>
        <w:jc w:val="both"/>
        <w:rPr>
          <w:b/>
          <w:szCs w:val="22"/>
          <w:lang w:val="sr-Latn-RS"/>
        </w:rPr>
      </w:pPr>
      <w:r w:rsidRPr="008F1125">
        <w:rPr>
          <w:b/>
          <w:lang w:val="sr-Latn-RS" w:bidi="sr-Latn-RS"/>
        </w:rPr>
        <w:t>6.3.</w:t>
      </w:r>
      <w:r w:rsidRPr="008F1125">
        <w:rPr>
          <w:b/>
          <w:lang w:val="sr-Latn-RS" w:bidi="sr-Latn-RS"/>
        </w:rPr>
        <w:tab/>
        <w:t>Rok upotrebe</w:t>
      </w:r>
    </w:p>
    <w:p w14:paraId="1FB63723" w14:textId="77777777" w:rsidR="00821DBC" w:rsidRPr="008F1125" w:rsidRDefault="00821DBC" w:rsidP="00AE57A4">
      <w:pPr>
        <w:keepNext/>
        <w:keepLines/>
        <w:jc w:val="both"/>
        <w:rPr>
          <w:szCs w:val="22"/>
          <w:lang w:val="sr-Latn-RS"/>
        </w:rPr>
      </w:pPr>
    </w:p>
    <w:p w14:paraId="1FB63724" w14:textId="77777777" w:rsidR="00821DBC" w:rsidRPr="008F1125" w:rsidRDefault="00926926" w:rsidP="00AE57A4">
      <w:pPr>
        <w:keepNext/>
        <w:keepLines/>
        <w:jc w:val="both"/>
        <w:rPr>
          <w:szCs w:val="22"/>
          <w:lang w:val="sr-Latn-RS"/>
        </w:rPr>
      </w:pPr>
      <w:r w:rsidRPr="008F1125">
        <w:rPr>
          <w:u w:val="single"/>
          <w:lang w:val="sr-Latn-RS" w:bidi="sr-Latn-RS"/>
        </w:rPr>
        <w:t>Neotvorena bočica</w:t>
      </w:r>
    </w:p>
    <w:p w14:paraId="1FB63725" w14:textId="07F0D011" w:rsidR="00821DBC" w:rsidRPr="008F1125" w:rsidRDefault="0058622A" w:rsidP="00AE57A4">
      <w:pPr>
        <w:jc w:val="both"/>
        <w:rPr>
          <w:szCs w:val="22"/>
          <w:lang w:val="sr-Latn-RS"/>
        </w:rPr>
      </w:pPr>
      <w:r w:rsidRPr="008F1125">
        <w:rPr>
          <w:lang w:val="sr-Latn-RS" w:bidi="sr-Latn-RS"/>
        </w:rPr>
        <w:t>3</w:t>
      </w:r>
      <w:r w:rsidR="00926926" w:rsidRPr="008F1125">
        <w:rPr>
          <w:lang w:val="sr-Latn-RS" w:bidi="sr-Latn-RS"/>
        </w:rPr>
        <w:t xml:space="preserve"> godine</w:t>
      </w:r>
    </w:p>
    <w:p w14:paraId="1FB63726" w14:textId="77777777" w:rsidR="00821DBC" w:rsidRPr="008F1125" w:rsidRDefault="00821DBC" w:rsidP="00AE57A4">
      <w:pPr>
        <w:jc w:val="both"/>
        <w:rPr>
          <w:szCs w:val="22"/>
          <w:lang w:val="sr-Latn-RS"/>
        </w:rPr>
      </w:pPr>
    </w:p>
    <w:p w14:paraId="1FB63727" w14:textId="77777777" w:rsidR="00C11852" w:rsidRPr="008F1125" w:rsidRDefault="00926926" w:rsidP="00AE57A4">
      <w:pPr>
        <w:keepNext/>
        <w:keepLines/>
        <w:tabs>
          <w:tab w:val="clear" w:pos="567"/>
        </w:tabs>
        <w:autoSpaceDE w:val="0"/>
        <w:autoSpaceDN w:val="0"/>
        <w:adjustRightInd w:val="0"/>
        <w:jc w:val="both"/>
        <w:rPr>
          <w:rFonts w:eastAsia="TimesNewRoman"/>
          <w:szCs w:val="22"/>
          <w:u w:val="single"/>
          <w:lang w:val="sr-Latn-RS" w:eastAsia="en-GB"/>
        </w:rPr>
      </w:pPr>
      <w:r w:rsidRPr="008F1125">
        <w:rPr>
          <w:u w:val="single"/>
          <w:lang w:val="sr-Latn-RS" w:bidi="sr-Latn-RS"/>
        </w:rPr>
        <w:t>Nakon otvaranja</w:t>
      </w:r>
    </w:p>
    <w:p w14:paraId="1FB63728" w14:textId="6F9B4FD7" w:rsidR="00C11852" w:rsidRPr="008F1125" w:rsidRDefault="00926926" w:rsidP="00AE57A4">
      <w:pPr>
        <w:keepNext/>
        <w:keepLines/>
        <w:tabs>
          <w:tab w:val="clear" w:pos="567"/>
        </w:tabs>
        <w:autoSpaceDE w:val="0"/>
        <w:autoSpaceDN w:val="0"/>
        <w:adjustRightInd w:val="0"/>
        <w:jc w:val="both"/>
        <w:rPr>
          <w:szCs w:val="22"/>
          <w:u w:val="single"/>
          <w:lang w:val="sr-Latn-RS"/>
        </w:rPr>
      </w:pPr>
      <w:r w:rsidRPr="008F1125">
        <w:rPr>
          <w:lang w:val="sr-Latn-RS" w:bidi="sr-Latn-RS"/>
        </w:rPr>
        <w:t>Sa mikrobiološke tačke gledišta, nakon otvaranja l</w:t>
      </w:r>
      <w:r w:rsidR="00515B67" w:rsidRPr="008F1125">
        <w:rPr>
          <w:lang w:val="sr-Latn-RS" w:bidi="sr-Latn-RS"/>
        </w:rPr>
        <w:t>ij</w:t>
      </w:r>
      <w:r w:rsidRPr="008F1125">
        <w:rPr>
          <w:lang w:val="sr-Latn-RS" w:bidi="sr-Latn-RS"/>
        </w:rPr>
        <w:t xml:space="preserve">ek treba odmah razblažiti i </w:t>
      </w:r>
      <w:r w:rsidR="00B27CC7" w:rsidRPr="008F1125">
        <w:rPr>
          <w:lang w:val="sr-Latn-RS" w:bidi="sr-Latn-RS"/>
        </w:rPr>
        <w:t>primijeniti</w:t>
      </w:r>
      <w:r w:rsidRPr="008F1125">
        <w:rPr>
          <w:lang w:val="sr-Latn-RS" w:bidi="sr-Latn-RS"/>
        </w:rPr>
        <w:t xml:space="preserve"> infuzijom.</w:t>
      </w:r>
    </w:p>
    <w:p w14:paraId="1FB63729" w14:textId="77777777" w:rsidR="00C11852" w:rsidRPr="008F1125" w:rsidRDefault="00C11852" w:rsidP="00AE57A4">
      <w:pPr>
        <w:jc w:val="both"/>
        <w:rPr>
          <w:szCs w:val="22"/>
          <w:lang w:val="sr-Latn-RS"/>
        </w:rPr>
      </w:pPr>
    </w:p>
    <w:p w14:paraId="1FB6372A" w14:textId="77777777" w:rsidR="00CB1CDB" w:rsidRPr="008F1125" w:rsidRDefault="00926926" w:rsidP="00AE57A4">
      <w:pPr>
        <w:keepNext/>
        <w:keepLines/>
        <w:jc w:val="both"/>
        <w:rPr>
          <w:szCs w:val="22"/>
          <w:u w:val="single"/>
          <w:lang w:val="sr-Latn-RS"/>
        </w:rPr>
      </w:pPr>
      <w:r w:rsidRPr="008F1125">
        <w:rPr>
          <w:u w:val="single"/>
          <w:lang w:val="sr-Latn-RS" w:bidi="sr-Latn-RS"/>
        </w:rPr>
        <w:t>Nakon pripreme infuzije</w:t>
      </w:r>
    </w:p>
    <w:p w14:paraId="20832154" w14:textId="6E7777E5" w:rsidR="00BC737B" w:rsidRDefault="00BC737B" w:rsidP="00AE57A4">
      <w:pPr>
        <w:jc w:val="both"/>
        <w:rPr>
          <w:lang w:val="sr-Latn-RS" w:bidi="sr-Latn-RS"/>
        </w:rPr>
      </w:pPr>
      <w:r w:rsidRPr="00BC737B">
        <w:rPr>
          <w:lang w:val="sr-Latn-RS" w:bidi="sr-Latn-RS"/>
        </w:rPr>
        <w:t>Hemijska i fizička stabilnost u upotrebi razblaženog rastvora prikazana je na sljedeći način:</w:t>
      </w:r>
    </w:p>
    <w:tbl>
      <w:tblPr>
        <w:tblStyle w:val="TableGrid1"/>
        <w:tblW w:w="9085" w:type="dxa"/>
        <w:tblLayout w:type="fixed"/>
        <w:tblLook w:val="04A0" w:firstRow="1" w:lastRow="0" w:firstColumn="1" w:lastColumn="0" w:noHBand="0" w:noVBand="1"/>
      </w:tblPr>
      <w:tblGrid>
        <w:gridCol w:w="2515"/>
        <w:gridCol w:w="3420"/>
        <w:gridCol w:w="3150"/>
      </w:tblGrid>
      <w:tr w:rsidR="008C48C1" w:rsidRPr="003D7D44" w14:paraId="7982ED3D" w14:textId="77777777" w:rsidTr="008C48C1">
        <w:tc>
          <w:tcPr>
            <w:tcW w:w="2515" w:type="dxa"/>
            <w:hideMark/>
          </w:tcPr>
          <w:p w14:paraId="321ACBBF" w14:textId="6AD82DF2" w:rsidR="008C48C1" w:rsidRDefault="008C48C1">
            <w:pPr>
              <w:rPr>
                <w:rFonts w:ascii="Times New Roman" w:hAnsi="Times New Roman" w:cs="Times New Roman"/>
                <w:b/>
                <w:bCs/>
                <w:lang w:val="sr-Latn-RS" w:eastAsia="en-US" w:bidi="sr-Latn-RS"/>
              </w:rPr>
            </w:pPr>
            <w:r>
              <w:rPr>
                <w:rFonts w:ascii="Times New Roman" w:hAnsi="Times New Roman" w:cs="Times New Roman"/>
                <w:b/>
                <w:bCs/>
                <w:lang w:val="sr-Latn-RS" w:eastAsia="en-US" w:bidi="sr-Latn-RS"/>
              </w:rPr>
              <w:t xml:space="preserve">Infuzioni </w:t>
            </w:r>
            <w:r w:rsidR="00851ABB">
              <w:rPr>
                <w:rFonts w:ascii="Times New Roman" w:hAnsi="Times New Roman" w:cs="Times New Roman"/>
                <w:b/>
                <w:bCs/>
                <w:lang w:val="sr-Latn-RS" w:eastAsia="en-US" w:bidi="sr-Latn-RS"/>
              </w:rPr>
              <w:t>preparat</w:t>
            </w:r>
          </w:p>
        </w:tc>
        <w:tc>
          <w:tcPr>
            <w:tcW w:w="3420" w:type="dxa"/>
            <w:hideMark/>
          </w:tcPr>
          <w:p w14:paraId="49071981" w14:textId="77777777" w:rsidR="008C48C1" w:rsidRDefault="008C48C1">
            <w:pPr>
              <w:rPr>
                <w:rFonts w:ascii="Times New Roman" w:hAnsi="Times New Roman" w:cs="Times New Roman"/>
                <w:b/>
                <w:bCs/>
                <w:lang w:val="sr-Latn-RS" w:eastAsia="en-US" w:bidi="sr-Latn-RS"/>
              </w:rPr>
            </w:pPr>
            <w:r>
              <w:rPr>
                <w:rFonts w:ascii="Times New Roman" w:eastAsia="Calibri" w:hAnsi="Times New Roman" w:cs="Times New Roman"/>
                <w:b/>
                <w:bCs/>
                <w:color w:val="000000"/>
                <w:szCs w:val="22"/>
                <w:lang w:val="sr-Latn-RS" w:eastAsia="en-US"/>
                <w14:ligatures w14:val="standardContextual"/>
              </w:rPr>
              <w:t>Čuvati na temperaturi od 2°C do 8°C zaštićeno od svjetlosti</w:t>
            </w:r>
          </w:p>
        </w:tc>
        <w:tc>
          <w:tcPr>
            <w:tcW w:w="3150" w:type="dxa"/>
            <w:hideMark/>
          </w:tcPr>
          <w:p w14:paraId="306A4FC4" w14:textId="77777777" w:rsidR="008C48C1" w:rsidRDefault="008C48C1">
            <w:pPr>
              <w:rPr>
                <w:rFonts w:ascii="Times New Roman" w:hAnsi="Times New Roman" w:cs="Times New Roman"/>
                <w:b/>
                <w:bCs/>
                <w:lang w:val="sr-Latn-RS" w:eastAsia="en-US" w:bidi="sr-Latn-RS"/>
              </w:rPr>
            </w:pPr>
            <w:r>
              <w:rPr>
                <w:rFonts w:ascii="Times New Roman" w:hAnsi="Times New Roman" w:cs="Times New Roman"/>
                <w:b/>
                <w:bCs/>
                <w:lang w:val="sr-Latn-RS" w:eastAsia="en-US" w:bidi="sr-Latn-RS"/>
              </w:rPr>
              <w:t>Čuvati na temperaturi od 20°C do 25°C uz sobno osvjetljenje</w:t>
            </w:r>
          </w:p>
        </w:tc>
      </w:tr>
      <w:tr w:rsidR="008C48C1" w14:paraId="56A9BA5D" w14:textId="77777777" w:rsidTr="008C48C1">
        <w:tc>
          <w:tcPr>
            <w:tcW w:w="2515" w:type="dxa"/>
            <w:hideMark/>
          </w:tcPr>
          <w:p w14:paraId="2ED4319A" w14:textId="2B449AC8" w:rsidR="008C48C1" w:rsidRDefault="008C48C1">
            <w:pPr>
              <w:rPr>
                <w:rFonts w:ascii="Times New Roman" w:hAnsi="Times New Roman" w:cs="Times New Roman"/>
                <w:lang w:val="sr-Latn-RS" w:eastAsia="en-US" w:bidi="sr-Latn-RS"/>
              </w:rPr>
            </w:pPr>
            <w:r>
              <w:rPr>
                <w:rFonts w:ascii="Times New Roman" w:eastAsia="Calibri" w:hAnsi="Times New Roman" w:cs="Times New Roman"/>
                <w:color w:val="000000"/>
                <w:szCs w:val="22"/>
                <w:lang w:val="sr-Latn-RS" w:eastAsia="en-US"/>
                <w14:ligatures w14:val="standardContextual"/>
              </w:rPr>
              <w:t xml:space="preserve">Natrijum hlorid 9 mg/mL (0,9%) </w:t>
            </w:r>
          </w:p>
        </w:tc>
        <w:tc>
          <w:tcPr>
            <w:tcW w:w="3420" w:type="dxa"/>
            <w:hideMark/>
          </w:tcPr>
          <w:p w14:paraId="1D7F9EEA" w14:textId="77777777" w:rsidR="008C48C1" w:rsidRDefault="008C48C1">
            <w:pPr>
              <w:rPr>
                <w:rFonts w:ascii="Times New Roman" w:hAnsi="Times New Roman" w:cs="Times New Roman"/>
                <w:lang w:val="sr-Latn-RS" w:eastAsia="en-US" w:bidi="sr-Latn-RS"/>
              </w:rPr>
            </w:pPr>
            <w:r>
              <w:rPr>
                <w:rFonts w:ascii="Times New Roman" w:hAnsi="Times New Roman" w:cs="Times New Roman"/>
                <w:lang w:val="sr-Latn-RS" w:eastAsia="en-US" w:bidi="sr-Latn-RS"/>
              </w:rPr>
              <w:t>96 sati</w:t>
            </w:r>
          </w:p>
        </w:tc>
        <w:tc>
          <w:tcPr>
            <w:tcW w:w="3150" w:type="dxa"/>
            <w:hideMark/>
          </w:tcPr>
          <w:p w14:paraId="440032CD" w14:textId="77777777" w:rsidR="008C48C1" w:rsidRDefault="008C48C1">
            <w:pPr>
              <w:rPr>
                <w:rFonts w:ascii="Times New Roman" w:hAnsi="Times New Roman" w:cs="Times New Roman"/>
                <w:lang w:val="sr-Latn-RS" w:eastAsia="en-US" w:bidi="sr-Latn-RS"/>
              </w:rPr>
            </w:pPr>
            <w:r>
              <w:rPr>
                <w:rFonts w:ascii="Times New Roman" w:hAnsi="Times New Roman" w:cs="Times New Roman"/>
                <w:lang w:val="sr-Latn-RS" w:eastAsia="en-US" w:bidi="sr-Latn-RS"/>
              </w:rPr>
              <w:t>72 sata</w:t>
            </w:r>
          </w:p>
        </w:tc>
      </w:tr>
      <w:tr w:rsidR="008C48C1" w14:paraId="31555C6B" w14:textId="77777777" w:rsidTr="008C48C1">
        <w:tc>
          <w:tcPr>
            <w:tcW w:w="2515" w:type="dxa"/>
            <w:hideMark/>
          </w:tcPr>
          <w:p w14:paraId="485F5E19" w14:textId="01F2BA89" w:rsidR="008C48C1" w:rsidRDefault="008C48C1">
            <w:pPr>
              <w:rPr>
                <w:rFonts w:ascii="Times New Roman" w:hAnsi="Times New Roman" w:cs="Times New Roman"/>
                <w:lang w:val="sr-Latn-RS" w:eastAsia="en-US" w:bidi="sr-Latn-RS"/>
              </w:rPr>
            </w:pPr>
            <w:r>
              <w:rPr>
                <w:rFonts w:ascii="Times New Roman" w:eastAsia="Calibri" w:hAnsi="Times New Roman" w:cs="Times New Roman"/>
                <w:color w:val="000000"/>
                <w:szCs w:val="22"/>
                <w:lang w:val="sr-Latn-RS" w:eastAsia="en-US"/>
                <w14:ligatures w14:val="standardContextual"/>
              </w:rPr>
              <w:t xml:space="preserve">Natrijum hlorid 4,5 mg/mL (0,45%) </w:t>
            </w:r>
          </w:p>
        </w:tc>
        <w:tc>
          <w:tcPr>
            <w:tcW w:w="3420" w:type="dxa"/>
            <w:hideMark/>
          </w:tcPr>
          <w:p w14:paraId="0DA9B688" w14:textId="77777777" w:rsidR="008C48C1" w:rsidRDefault="008C48C1">
            <w:pPr>
              <w:rPr>
                <w:rFonts w:ascii="Times New Roman" w:hAnsi="Times New Roman" w:cs="Times New Roman"/>
                <w:lang w:val="sr-Latn-RS" w:eastAsia="en-US" w:bidi="sr-Latn-RS"/>
              </w:rPr>
            </w:pPr>
            <w:r>
              <w:rPr>
                <w:rFonts w:ascii="Times New Roman" w:hAnsi="Times New Roman" w:cs="Times New Roman"/>
                <w:lang w:val="sr-Latn-RS" w:eastAsia="en-US" w:bidi="sr-Latn-RS"/>
              </w:rPr>
              <w:t>24 sata</w:t>
            </w:r>
          </w:p>
        </w:tc>
        <w:tc>
          <w:tcPr>
            <w:tcW w:w="3150" w:type="dxa"/>
            <w:hideMark/>
          </w:tcPr>
          <w:p w14:paraId="42CC43E4" w14:textId="77777777" w:rsidR="008C48C1" w:rsidRDefault="008C48C1">
            <w:pPr>
              <w:rPr>
                <w:rFonts w:ascii="Times New Roman" w:hAnsi="Times New Roman" w:cs="Times New Roman"/>
                <w:lang w:val="sr-Latn-RS" w:eastAsia="en-US" w:bidi="sr-Latn-RS"/>
              </w:rPr>
            </w:pPr>
            <w:r>
              <w:rPr>
                <w:rFonts w:ascii="Times New Roman" w:hAnsi="Times New Roman" w:cs="Times New Roman"/>
                <w:lang w:val="sr-Latn-RS" w:eastAsia="en-US" w:bidi="sr-Latn-RS"/>
              </w:rPr>
              <w:t>24 sata</w:t>
            </w:r>
          </w:p>
        </w:tc>
      </w:tr>
    </w:tbl>
    <w:p w14:paraId="532EB2EF" w14:textId="77777777" w:rsidR="00BC737B" w:rsidRDefault="00BC737B" w:rsidP="00AE57A4">
      <w:pPr>
        <w:jc w:val="both"/>
        <w:rPr>
          <w:lang w:val="sr-Latn-RS" w:bidi="sr-Latn-RS"/>
        </w:rPr>
      </w:pPr>
    </w:p>
    <w:p w14:paraId="1FB6372B" w14:textId="5C80C5BC" w:rsidR="00F77DC3" w:rsidRPr="008F1125" w:rsidRDefault="00926926" w:rsidP="00AE57A4">
      <w:pPr>
        <w:jc w:val="both"/>
        <w:rPr>
          <w:szCs w:val="22"/>
          <w:lang w:val="sr-Latn-RS"/>
        </w:rPr>
      </w:pPr>
      <w:r w:rsidRPr="008F1125">
        <w:rPr>
          <w:lang w:val="sr-Latn-RS" w:bidi="sr-Latn-RS"/>
        </w:rPr>
        <w:t>Sa mikrobiološke tačke gledišta, izuzev u slučaju da način razblaživanja isključuje rizik od mikrobiološke kontaminacije, razblaženi l</w:t>
      </w:r>
      <w:r w:rsidR="0038574B" w:rsidRPr="008F1125">
        <w:rPr>
          <w:lang w:val="sr-Latn-RS" w:bidi="sr-Latn-RS"/>
        </w:rPr>
        <w:t>ij</w:t>
      </w:r>
      <w:r w:rsidRPr="008F1125">
        <w:rPr>
          <w:lang w:val="sr-Latn-RS" w:bidi="sr-Latn-RS"/>
        </w:rPr>
        <w:t>ek treba upotr</w:t>
      </w:r>
      <w:r w:rsidR="0038574B" w:rsidRPr="008F1125">
        <w:rPr>
          <w:lang w:val="sr-Latn-RS" w:bidi="sr-Latn-RS"/>
        </w:rPr>
        <w:t>ij</w:t>
      </w:r>
      <w:r w:rsidRPr="008F1125">
        <w:rPr>
          <w:lang w:val="sr-Latn-RS" w:bidi="sr-Latn-RS"/>
        </w:rPr>
        <w:t>ebiti odmah. Ukoliko se ne upotr</w:t>
      </w:r>
      <w:r w:rsidR="0038574B" w:rsidRPr="008F1125">
        <w:rPr>
          <w:lang w:val="sr-Latn-RS" w:bidi="sr-Latn-RS"/>
        </w:rPr>
        <w:t>ij</w:t>
      </w:r>
      <w:r w:rsidRPr="008F1125">
        <w:rPr>
          <w:lang w:val="sr-Latn-RS" w:bidi="sr-Latn-RS"/>
        </w:rPr>
        <w:t>ebi odmah, vr</w:t>
      </w:r>
      <w:r w:rsidR="00515B67" w:rsidRPr="008F1125">
        <w:rPr>
          <w:lang w:val="sr-Latn-RS" w:bidi="sr-Latn-RS"/>
        </w:rPr>
        <w:t>ij</w:t>
      </w:r>
      <w:r w:rsidRPr="008F1125">
        <w:rPr>
          <w:lang w:val="sr-Latn-RS" w:bidi="sr-Latn-RS"/>
        </w:rPr>
        <w:t>eme i uslovi čuvanja rastvora su odgovornost korisnika.</w:t>
      </w:r>
    </w:p>
    <w:p w14:paraId="1FB6372C" w14:textId="77777777" w:rsidR="00C07B26" w:rsidRPr="008F1125" w:rsidRDefault="00C07B26" w:rsidP="00AE57A4">
      <w:pPr>
        <w:jc w:val="both"/>
        <w:rPr>
          <w:szCs w:val="22"/>
          <w:lang w:val="sr-Latn-RS"/>
        </w:rPr>
      </w:pPr>
    </w:p>
    <w:p w14:paraId="1FB6372D" w14:textId="2E78DA17" w:rsidR="00821DBC" w:rsidRPr="008F1125" w:rsidRDefault="00926926" w:rsidP="00577413">
      <w:pPr>
        <w:keepNext/>
        <w:keepLines/>
        <w:rPr>
          <w:b/>
          <w:szCs w:val="22"/>
          <w:lang w:val="sr-Latn-RS"/>
        </w:rPr>
      </w:pPr>
      <w:r w:rsidRPr="008F1125">
        <w:rPr>
          <w:b/>
          <w:lang w:val="sr-Latn-RS" w:bidi="sr-Latn-RS"/>
        </w:rPr>
        <w:t>6.4.</w:t>
      </w:r>
      <w:r w:rsidRPr="008F1125">
        <w:rPr>
          <w:b/>
          <w:lang w:val="sr-Latn-RS" w:bidi="sr-Latn-RS"/>
        </w:rPr>
        <w:tab/>
        <w:t>Posebne m</w:t>
      </w:r>
      <w:r w:rsidR="00515B67" w:rsidRPr="008F1125">
        <w:rPr>
          <w:b/>
          <w:lang w:val="sr-Latn-RS" w:bidi="sr-Latn-RS"/>
        </w:rPr>
        <w:t>j</w:t>
      </w:r>
      <w:r w:rsidRPr="008F1125">
        <w:rPr>
          <w:b/>
          <w:lang w:val="sr-Latn-RS" w:bidi="sr-Latn-RS"/>
        </w:rPr>
        <w:t xml:space="preserve">ere </w:t>
      </w:r>
      <w:r w:rsidR="00E74CD9" w:rsidRPr="008F1125">
        <w:rPr>
          <w:b/>
          <w:lang w:val="sr-Latn-RS" w:bidi="sr-Latn-RS"/>
        </w:rPr>
        <w:t>upozorenja</w:t>
      </w:r>
      <w:r w:rsidRPr="008F1125">
        <w:rPr>
          <w:b/>
          <w:lang w:val="sr-Latn-RS" w:bidi="sr-Latn-RS"/>
        </w:rPr>
        <w:t xml:space="preserve"> pri čuvanju</w:t>
      </w:r>
      <w:r w:rsidR="00515B67" w:rsidRPr="008F1125">
        <w:rPr>
          <w:b/>
          <w:lang w:val="sr-Latn-RS" w:bidi="sr-Latn-RS"/>
        </w:rPr>
        <w:t xml:space="preserve"> lijeka</w:t>
      </w:r>
    </w:p>
    <w:p w14:paraId="1FB6372E" w14:textId="77777777" w:rsidR="00821DBC" w:rsidRPr="008F1125" w:rsidRDefault="00821DBC" w:rsidP="00577413">
      <w:pPr>
        <w:keepNext/>
        <w:keepLines/>
        <w:rPr>
          <w:szCs w:val="22"/>
          <w:lang w:val="sr-Latn-RS"/>
        </w:rPr>
      </w:pPr>
    </w:p>
    <w:p w14:paraId="1FB6372F" w14:textId="77777777" w:rsidR="00821DBC" w:rsidRPr="008F1125" w:rsidRDefault="00926926" w:rsidP="00577413">
      <w:pPr>
        <w:keepNext/>
        <w:keepLines/>
        <w:rPr>
          <w:szCs w:val="22"/>
          <w:lang w:val="sr-Latn-RS"/>
        </w:rPr>
      </w:pPr>
      <w:r w:rsidRPr="008F1125">
        <w:rPr>
          <w:lang w:val="sr-Latn-RS" w:bidi="sr-Latn-RS"/>
        </w:rPr>
        <w:t>Čuvati u frižideru (2</w:t>
      </w:r>
      <w:r w:rsidRPr="008F1125">
        <w:rPr>
          <w:lang w:val="sr-Latn-RS" w:bidi="sr-Latn-RS"/>
        </w:rPr>
        <w:sym w:font="Symbol" w:char="F0B0"/>
      </w:r>
      <w:r w:rsidRPr="008F1125">
        <w:rPr>
          <w:lang w:val="sr-Latn-RS" w:bidi="sr-Latn-RS"/>
        </w:rPr>
        <w:t>C </w:t>
      </w:r>
      <w:r w:rsidR="00EE0104" w:rsidRPr="008F1125">
        <w:rPr>
          <w:lang w:val="sr-Latn-RS" w:bidi="sr-Latn-RS"/>
        </w:rPr>
        <w:noBreakHyphen/>
      </w:r>
      <w:r w:rsidRPr="008F1125">
        <w:rPr>
          <w:lang w:val="sr-Latn-RS" w:bidi="sr-Latn-RS"/>
        </w:rPr>
        <w:t> 8</w:t>
      </w:r>
      <w:r w:rsidRPr="008F1125">
        <w:rPr>
          <w:lang w:val="sr-Latn-RS" w:bidi="sr-Latn-RS"/>
        </w:rPr>
        <w:sym w:font="Symbol" w:char="F0B0"/>
      </w:r>
      <w:r w:rsidRPr="008F1125">
        <w:rPr>
          <w:lang w:val="sr-Latn-RS" w:bidi="sr-Latn-RS"/>
        </w:rPr>
        <w:t>C).</w:t>
      </w:r>
    </w:p>
    <w:p w14:paraId="1FB63730" w14:textId="77777777" w:rsidR="00821DBC" w:rsidRPr="008F1125" w:rsidRDefault="00926926" w:rsidP="00577413">
      <w:pPr>
        <w:rPr>
          <w:szCs w:val="22"/>
          <w:lang w:val="sr-Latn-RS"/>
        </w:rPr>
      </w:pPr>
      <w:r w:rsidRPr="008F1125">
        <w:rPr>
          <w:lang w:val="sr-Latn-RS" w:bidi="sr-Latn-RS"/>
        </w:rPr>
        <w:t>Ne zamrzavati.</w:t>
      </w:r>
    </w:p>
    <w:p w14:paraId="1FB63731" w14:textId="5855D17F" w:rsidR="00821DBC" w:rsidRPr="008F1125" w:rsidRDefault="00926926" w:rsidP="00577413">
      <w:pPr>
        <w:rPr>
          <w:szCs w:val="22"/>
          <w:lang w:val="sr-Latn-RS"/>
        </w:rPr>
      </w:pPr>
      <w:r w:rsidRPr="008F1125">
        <w:rPr>
          <w:lang w:val="sr-Latn-RS" w:bidi="sr-Latn-RS"/>
        </w:rPr>
        <w:t>Čuvati u originalnom pakovanju, radi zaštite od sv</w:t>
      </w:r>
      <w:r w:rsidR="00515B67" w:rsidRPr="008F1125">
        <w:rPr>
          <w:lang w:val="sr-Latn-RS" w:bidi="sr-Latn-RS"/>
        </w:rPr>
        <w:t>j</w:t>
      </w:r>
      <w:r w:rsidRPr="008F1125">
        <w:rPr>
          <w:lang w:val="sr-Latn-RS" w:bidi="sr-Latn-RS"/>
        </w:rPr>
        <w:t>etlosti.</w:t>
      </w:r>
    </w:p>
    <w:p w14:paraId="1FB63732" w14:textId="77777777" w:rsidR="00821DBC" w:rsidRPr="008F1125" w:rsidRDefault="00821DBC" w:rsidP="00577413">
      <w:pPr>
        <w:rPr>
          <w:szCs w:val="22"/>
          <w:lang w:val="sr-Latn-RS"/>
        </w:rPr>
      </w:pPr>
    </w:p>
    <w:p w14:paraId="1FB63733" w14:textId="2BFB0C92" w:rsidR="00821DBC" w:rsidRPr="008F1125" w:rsidRDefault="00926926" w:rsidP="00577413">
      <w:pPr>
        <w:rPr>
          <w:szCs w:val="22"/>
          <w:lang w:val="sr-Latn-RS"/>
        </w:rPr>
      </w:pPr>
      <w:r w:rsidRPr="008F1125">
        <w:rPr>
          <w:lang w:val="sr-Latn-RS" w:bidi="sr-Latn-RS"/>
        </w:rPr>
        <w:t>Za uslove čuvanja nakon razblaživanja l</w:t>
      </w:r>
      <w:r w:rsidR="00515B67" w:rsidRPr="008F1125">
        <w:rPr>
          <w:lang w:val="sr-Latn-RS" w:bidi="sr-Latn-RS"/>
        </w:rPr>
        <w:t>ij</w:t>
      </w:r>
      <w:r w:rsidRPr="008F1125">
        <w:rPr>
          <w:lang w:val="sr-Latn-RS" w:bidi="sr-Latn-RS"/>
        </w:rPr>
        <w:t xml:space="preserve">eka pogledati </w:t>
      </w:r>
      <w:r w:rsidR="00515B67" w:rsidRPr="008F1125">
        <w:rPr>
          <w:lang w:val="sr-Latn-RS" w:bidi="sr-Latn-RS"/>
        </w:rPr>
        <w:t>dio</w:t>
      </w:r>
      <w:r w:rsidRPr="008F1125">
        <w:rPr>
          <w:lang w:val="sr-Latn-RS" w:bidi="sr-Latn-RS"/>
        </w:rPr>
        <w:t xml:space="preserve"> 6.3.</w:t>
      </w:r>
    </w:p>
    <w:p w14:paraId="1FB63734" w14:textId="77777777" w:rsidR="00821DBC" w:rsidRPr="008F1125" w:rsidRDefault="00821DBC" w:rsidP="00577413">
      <w:pPr>
        <w:rPr>
          <w:szCs w:val="22"/>
          <w:lang w:val="sr-Latn-RS"/>
        </w:rPr>
      </w:pPr>
    </w:p>
    <w:p w14:paraId="1FB63735" w14:textId="1CE53DEC" w:rsidR="00821DBC" w:rsidRPr="008F1125" w:rsidRDefault="00926926" w:rsidP="00577413">
      <w:pPr>
        <w:keepNext/>
        <w:keepLines/>
        <w:rPr>
          <w:b/>
          <w:szCs w:val="22"/>
          <w:lang w:val="sr-Latn-RS"/>
        </w:rPr>
      </w:pPr>
      <w:r w:rsidRPr="008F1125">
        <w:rPr>
          <w:b/>
          <w:lang w:val="sr-Latn-RS" w:bidi="sr-Latn-RS"/>
        </w:rPr>
        <w:t>6.5.</w:t>
      </w:r>
      <w:r w:rsidRPr="008F1125">
        <w:rPr>
          <w:b/>
          <w:lang w:val="sr-Latn-RS" w:bidi="sr-Latn-RS"/>
        </w:rPr>
        <w:tab/>
      </w:r>
      <w:r w:rsidR="00515B67" w:rsidRPr="008F1125">
        <w:rPr>
          <w:b/>
          <w:lang w:val="sr-Latn-RS" w:bidi="sr-Latn-RS"/>
        </w:rPr>
        <w:t>Vrsta</w:t>
      </w:r>
      <w:r w:rsidRPr="008F1125">
        <w:rPr>
          <w:b/>
          <w:lang w:val="sr-Latn-RS" w:bidi="sr-Latn-RS"/>
        </w:rPr>
        <w:t xml:space="preserve"> i sadržaj pakovanja</w:t>
      </w:r>
    </w:p>
    <w:p w14:paraId="1FB63736" w14:textId="77777777" w:rsidR="00821DBC" w:rsidRPr="008F1125" w:rsidRDefault="00821DBC" w:rsidP="00577413">
      <w:pPr>
        <w:keepNext/>
        <w:keepLines/>
        <w:rPr>
          <w:szCs w:val="22"/>
          <w:lang w:val="sr-Latn-RS"/>
        </w:rPr>
      </w:pPr>
    </w:p>
    <w:p w14:paraId="1FB63737" w14:textId="7E2BE5F7" w:rsidR="00821DBC" w:rsidRPr="008F1125" w:rsidRDefault="00926926" w:rsidP="00577413">
      <w:pPr>
        <w:rPr>
          <w:szCs w:val="22"/>
          <w:lang w:val="sr-Latn-RS"/>
        </w:rPr>
      </w:pPr>
      <w:r w:rsidRPr="008F1125">
        <w:rPr>
          <w:lang w:val="sr-Latn-RS" w:bidi="sr-Latn-RS"/>
        </w:rPr>
        <w:t xml:space="preserve">10 </w:t>
      </w:r>
      <w:r w:rsidR="00E74CD9" w:rsidRPr="008F1125">
        <w:rPr>
          <w:lang w:val="sr-Latn-RS" w:bidi="sr-Latn-RS"/>
        </w:rPr>
        <w:t>ml</w:t>
      </w:r>
      <w:r w:rsidRPr="008F1125">
        <w:rPr>
          <w:lang w:val="sr-Latn-RS" w:bidi="sr-Latn-RS"/>
        </w:rPr>
        <w:t xml:space="preserve"> koncentrata u bočici (staklo tipa I) sa čepom od halobutil gume i aluminij</w:t>
      </w:r>
      <w:r w:rsidR="003536E9">
        <w:rPr>
          <w:lang w:val="sr-Latn-RS" w:bidi="sr-Latn-RS"/>
        </w:rPr>
        <w:t>um</w:t>
      </w:r>
      <w:r w:rsidRPr="008F1125">
        <w:rPr>
          <w:lang w:val="sr-Latn-RS" w:bidi="sr-Latn-RS"/>
        </w:rPr>
        <w:t>skim prstenom pokrivenim uklonjivim plastičnim zatvaračem.</w:t>
      </w:r>
    </w:p>
    <w:p w14:paraId="1FB63738" w14:textId="77777777" w:rsidR="00155C06" w:rsidRPr="008F1125" w:rsidRDefault="00155C06" w:rsidP="00577413">
      <w:pPr>
        <w:rPr>
          <w:szCs w:val="22"/>
          <w:lang w:val="sr-Latn-RS"/>
        </w:rPr>
      </w:pPr>
    </w:p>
    <w:p w14:paraId="1FB63739" w14:textId="77777777" w:rsidR="00821DBC" w:rsidRPr="008F1125" w:rsidRDefault="00926926" w:rsidP="00577413">
      <w:pPr>
        <w:rPr>
          <w:szCs w:val="22"/>
          <w:lang w:val="sr-Latn-RS"/>
        </w:rPr>
      </w:pPr>
      <w:r w:rsidRPr="008F1125">
        <w:rPr>
          <w:lang w:val="sr-Latn-RS" w:bidi="sr-Latn-RS"/>
        </w:rPr>
        <w:t>Veličina pakovanja od 1 bočice.</w:t>
      </w:r>
    </w:p>
    <w:p w14:paraId="1FB6373A" w14:textId="77777777" w:rsidR="00821DBC" w:rsidRPr="008F1125" w:rsidRDefault="00821DBC" w:rsidP="00577413">
      <w:pPr>
        <w:rPr>
          <w:szCs w:val="22"/>
          <w:lang w:val="sr-Latn-RS"/>
        </w:rPr>
      </w:pPr>
    </w:p>
    <w:p w14:paraId="1FB6373B" w14:textId="1BCFC79F" w:rsidR="00821DBC" w:rsidRPr="008F1125" w:rsidRDefault="00926926" w:rsidP="00C36877">
      <w:pPr>
        <w:keepNext/>
        <w:keepLines/>
        <w:jc w:val="both"/>
        <w:rPr>
          <w:b/>
          <w:szCs w:val="22"/>
          <w:lang w:val="sr-Latn-RS"/>
        </w:rPr>
      </w:pPr>
      <w:r w:rsidRPr="008F1125">
        <w:rPr>
          <w:b/>
          <w:lang w:val="sr-Latn-RS" w:bidi="sr-Latn-RS"/>
        </w:rPr>
        <w:t>6.6.</w:t>
      </w:r>
      <w:r w:rsidRPr="008F1125">
        <w:rPr>
          <w:b/>
          <w:lang w:val="sr-Latn-RS" w:bidi="sr-Latn-RS"/>
        </w:rPr>
        <w:tab/>
      </w:r>
      <w:r w:rsidR="00E74CD9" w:rsidRPr="00B34362">
        <w:rPr>
          <w:b/>
          <w:bCs/>
          <w:color w:val="000000"/>
          <w:szCs w:val="22"/>
          <w:lang w:val="sr-Latn-RS"/>
        </w:rPr>
        <w:t>Posebne mjere opreza pri odlaganju materijala koji treba odbaciti nakon primjene lijeka</w:t>
      </w:r>
      <w:r w:rsidR="00E74CD9" w:rsidRPr="00B34362">
        <w:rPr>
          <w:b/>
          <w:bCs/>
          <w:szCs w:val="22"/>
          <w:lang w:val="sr-Latn-RS"/>
        </w:rPr>
        <w:t xml:space="preserve"> (i druga uputstva za rukovanje lijekom)</w:t>
      </w:r>
    </w:p>
    <w:p w14:paraId="1FB6373C" w14:textId="77777777" w:rsidR="00821DBC" w:rsidRPr="008F1125" w:rsidRDefault="00821DBC" w:rsidP="00C36877">
      <w:pPr>
        <w:keepNext/>
        <w:keepLines/>
        <w:jc w:val="both"/>
        <w:rPr>
          <w:szCs w:val="22"/>
          <w:lang w:val="sr-Latn-RS"/>
        </w:rPr>
      </w:pPr>
    </w:p>
    <w:p w14:paraId="1FB6373D" w14:textId="02BB89CA" w:rsidR="00F77DC3" w:rsidRPr="008F1125" w:rsidRDefault="00DD502A" w:rsidP="00C36877">
      <w:pPr>
        <w:keepNext/>
        <w:keepLines/>
        <w:tabs>
          <w:tab w:val="clear" w:pos="567"/>
        </w:tabs>
        <w:contextualSpacing/>
        <w:jc w:val="both"/>
        <w:rPr>
          <w:szCs w:val="22"/>
          <w:lang w:val="sr-Latn-RS"/>
        </w:rPr>
      </w:pPr>
      <w:r w:rsidRPr="008F1125">
        <w:rPr>
          <w:lang w:val="sr-Latn-RS" w:bidi="sr-Latn-RS"/>
        </w:rPr>
        <w:t xml:space="preserve">Lijek Bavencio </w:t>
      </w:r>
      <w:r w:rsidR="00926926" w:rsidRPr="008F1125">
        <w:rPr>
          <w:lang w:val="sr-Latn-RS" w:bidi="sr-Latn-RS"/>
        </w:rPr>
        <w:t xml:space="preserve">je kompatibilan sa kesama </w:t>
      </w:r>
      <w:r w:rsidR="001946BB">
        <w:rPr>
          <w:lang w:val="sr-Latn-RS" w:bidi="sr-Latn-RS"/>
        </w:rPr>
        <w:t xml:space="preserve">za </w:t>
      </w:r>
      <w:r w:rsidR="00926926" w:rsidRPr="008F1125">
        <w:rPr>
          <w:lang w:val="sr-Latn-RS" w:bidi="sr-Latn-RS"/>
        </w:rPr>
        <w:t>infuzij</w:t>
      </w:r>
      <w:r w:rsidR="001946BB">
        <w:rPr>
          <w:lang w:val="sr-Latn-RS" w:bidi="sr-Latn-RS"/>
        </w:rPr>
        <w:t>u</w:t>
      </w:r>
      <w:r w:rsidR="00926926" w:rsidRPr="008F1125">
        <w:rPr>
          <w:lang w:val="sr-Latn-RS" w:bidi="sr-Latn-RS"/>
        </w:rPr>
        <w:t xml:space="preserve"> od polietilena, polipropilena i etilen</w:t>
      </w:r>
      <w:r w:rsidR="00C36877">
        <w:rPr>
          <w:lang w:val="sr-Latn-RS" w:bidi="sr-Latn-RS"/>
        </w:rPr>
        <w:t xml:space="preserve"> </w:t>
      </w:r>
      <w:r w:rsidR="00926926" w:rsidRPr="008F1125">
        <w:rPr>
          <w:lang w:val="sr-Latn-RS" w:bidi="sr-Latn-RS"/>
        </w:rPr>
        <w:t>vinil</w:t>
      </w:r>
      <w:r w:rsidR="00C36877">
        <w:rPr>
          <w:lang w:val="sr-Latn-RS" w:bidi="sr-Latn-RS"/>
        </w:rPr>
        <w:t xml:space="preserve"> </w:t>
      </w:r>
      <w:r w:rsidR="00926926" w:rsidRPr="008F1125">
        <w:rPr>
          <w:lang w:val="sr-Latn-RS" w:bidi="sr-Latn-RS"/>
        </w:rPr>
        <w:t>acetata, staklenim bocama, setovima za infuziju od polivinil</w:t>
      </w:r>
      <w:r w:rsidR="00C36877">
        <w:rPr>
          <w:lang w:val="sr-Latn-RS" w:bidi="sr-Latn-RS"/>
        </w:rPr>
        <w:t xml:space="preserve"> </w:t>
      </w:r>
      <w:r w:rsidR="00926926" w:rsidRPr="008F1125">
        <w:rPr>
          <w:lang w:val="sr-Latn-RS" w:bidi="sr-Latn-RS"/>
        </w:rPr>
        <w:t>hlorida i ugrađenim filterima sa poliet</w:t>
      </w:r>
      <w:r w:rsidR="00C36877">
        <w:rPr>
          <w:lang w:val="sr-Latn-RS" w:bidi="sr-Latn-RS"/>
        </w:rPr>
        <w:t>a</w:t>
      </w:r>
      <w:r w:rsidR="00926926" w:rsidRPr="008F1125">
        <w:rPr>
          <w:lang w:val="sr-Latn-RS" w:bidi="sr-Latn-RS"/>
        </w:rPr>
        <w:t>rsulfonskim membranama i veličinom pora od 0,2 mikrometra.</w:t>
      </w:r>
    </w:p>
    <w:p w14:paraId="1FB6373E" w14:textId="77777777" w:rsidR="00BD6FCA" w:rsidRPr="008F1125" w:rsidRDefault="00BD6FCA" w:rsidP="00C36877">
      <w:pPr>
        <w:tabs>
          <w:tab w:val="clear" w:pos="567"/>
        </w:tabs>
        <w:contextualSpacing/>
        <w:jc w:val="both"/>
        <w:rPr>
          <w:szCs w:val="22"/>
          <w:lang w:val="sr-Latn-RS"/>
        </w:rPr>
      </w:pPr>
    </w:p>
    <w:p w14:paraId="1FB6373F" w14:textId="6FA1C174" w:rsidR="00F77DC3" w:rsidRPr="008F1125" w:rsidRDefault="00926926" w:rsidP="00C36877">
      <w:pPr>
        <w:keepNext/>
        <w:jc w:val="both"/>
        <w:rPr>
          <w:szCs w:val="22"/>
          <w:u w:val="single"/>
          <w:lang w:val="sr-Latn-RS"/>
        </w:rPr>
      </w:pPr>
      <w:r w:rsidRPr="008F1125">
        <w:rPr>
          <w:u w:val="single"/>
          <w:lang w:val="sr-Latn-RS" w:bidi="sr-Latn-RS"/>
        </w:rPr>
        <w:t>Uputstv</w:t>
      </w:r>
      <w:r w:rsidR="00955FA4">
        <w:rPr>
          <w:u w:val="single"/>
          <w:lang w:val="sr-Latn-RS" w:bidi="sr-Latn-RS"/>
        </w:rPr>
        <w:t>o</w:t>
      </w:r>
      <w:r w:rsidRPr="008F1125">
        <w:rPr>
          <w:u w:val="single"/>
          <w:lang w:val="sr-Latn-RS" w:bidi="sr-Latn-RS"/>
        </w:rPr>
        <w:t xml:space="preserve"> za rukovanje</w:t>
      </w:r>
    </w:p>
    <w:p w14:paraId="1FB63740" w14:textId="2B876C64" w:rsidR="00DB34E3" w:rsidRPr="008F1125" w:rsidRDefault="00926926" w:rsidP="00C36877">
      <w:pPr>
        <w:keepNext/>
        <w:keepLines/>
        <w:jc w:val="both"/>
        <w:rPr>
          <w:rFonts w:eastAsia="Calibri"/>
          <w:szCs w:val="22"/>
          <w:lang w:val="sr-Latn-RS"/>
        </w:rPr>
      </w:pPr>
      <w:r w:rsidRPr="008F1125">
        <w:rPr>
          <w:lang w:val="sr-Latn-RS" w:bidi="sr-Latn-RS"/>
        </w:rPr>
        <w:t>Za pripremu rastvora za infuziju treba koristiti aseptič</w:t>
      </w:r>
      <w:r w:rsidR="00C36877">
        <w:rPr>
          <w:lang w:val="sr-Latn-RS" w:bidi="sr-Latn-RS"/>
        </w:rPr>
        <w:t>n</w:t>
      </w:r>
      <w:r w:rsidRPr="008F1125">
        <w:rPr>
          <w:lang w:val="sr-Latn-RS" w:bidi="sr-Latn-RS"/>
        </w:rPr>
        <w:t>u tehniku.</w:t>
      </w:r>
    </w:p>
    <w:p w14:paraId="1FB63741" w14:textId="77777777" w:rsidR="00217DEE" w:rsidRPr="008F1125" w:rsidRDefault="00217DEE" w:rsidP="00C36877">
      <w:pPr>
        <w:keepNext/>
        <w:keepLines/>
        <w:jc w:val="both"/>
        <w:rPr>
          <w:szCs w:val="22"/>
          <w:lang w:val="sr-Latn-RS"/>
        </w:rPr>
      </w:pPr>
    </w:p>
    <w:p w14:paraId="1FB63742" w14:textId="1969F88A" w:rsidR="00F44546" w:rsidRPr="008F1125" w:rsidRDefault="00926926" w:rsidP="00C36877">
      <w:pPr>
        <w:pStyle w:val="ListParagraph"/>
        <w:numPr>
          <w:ilvl w:val="0"/>
          <w:numId w:val="1"/>
        </w:numPr>
        <w:spacing w:line="240" w:lineRule="auto"/>
        <w:ind w:left="567" w:hanging="567"/>
        <w:jc w:val="both"/>
        <w:rPr>
          <w:lang w:val="sr-Latn-RS"/>
        </w:rPr>
      </w:pPr>
      <w:r w:rsidRPr="008F1125">
        <w:rPr>
          <w:lang w:val="sr-Latn-RS" w:bidi="sr-Latn-RS"/>
        </w:rPr>
        <w:t>Bočicu treba vizuelno pregledati na prisustvo čestica i prom</w:t>
      </w:r>
      <w:r w:rsidR="00CB0FF3" w:rsidRPr="008F1125">
        <w:rPr>
          <w:lang w:val="sr-Latn-RS" w:bidi="sr-Latn-RS"/>
        </w:rPr>
        <w:t>j</w:t>
      </w:r>
      <w:r w:rsidRPr="008F1125">
        <w:rPr>
          <w:lang w:val="sr-Latn-RS" w:bidi="sr-Latn-RS"/>
        </w:rPr>
        <w:t>enu boje. Bavencio je bistar, bezbojan do blago žut rastvor. Ako je rastvor zamućen, prom</w:t>
      </w:r>
      <w:r w:rsidR="00CB0FF3" w:rsidRPr="008F1125">
        <w:rPr>
          <w:lang w:val="sr-Latn-RS" w:bidi="sr-Latn-RS"/>
        </w:rPr>
        <w:t>ij</w:t>
      </w:r>
      <w:r w:rsidRPr="008F1125">
        <w:rPr>
          <w:lang w:val="sr-Latn-RS" w:bidi="sr-Latn-RS"/>
        </w:rPr>
        <w:t>enio boju ili sadrži čestice, bočicu treba baciti.</w:t>
      </w:r>
    </w:p>
    <w:p w14:paraId="1FB63743" w14:textId="2DD8679A" w:rsidR="00F44546" w:rsidRPr="008F1125" w:rsidRDefault="00926926" w:rsidP="00C36877">
      <w:pPr>
        <w:pStyle w:val="ListParagraph"/>
        <w:numPr>
          <w:ilvl w:val="0"/>
          <w:numId w:val="1"/>
        </w:numPr>
        <w:spacing w:line="240" w:lineRule="auto"/>
        <w:ind w:left="567" w:hanging="567"/>
        <w:jc w:val="both"/>
        <w:rPr>
          <w:iCs/>
          <w:u w:val="single"/>
          <w:lang w:val="sr-Latn-RS"/>
        </w:rPr>
      </w:pPr>
      <w:r w:rsidRPr="008F1125">
        <w:rPr>
          <w:lang w:val="sr-Latn-RS" w:bidi="sr-Latn-RS"/>
        </w:rPr>
        <w:t>Potrebno je upotr</w:t>
      </w:r>
      <w:r w:rsidR="00CB0FF3" w:rsidRPr="008F1125">
        <w:rPr>
          <w:lang w:val="sr-Latn-RS" w:bidi="sr-Latn-RS"/>
        </w:rPr>
        <w:t>ij</w:t>
      </w:r>
      <w:r w:rsidRPr="008F1125">
        <w:rPr>
          <w:lang w:val="sr-Latn-RS" w:bidi="sr-Latn-RS"/>
        </w:rPr>
        <w:t xml:space="preserve">ebiti kesu za infuziju odgovarajuće veličine (najbolje od 250 </w:t>
      </w:r>
      <w:r w:rsidR="00E74CD9" w:rsidRPr="008F1125">
        <w:rPr>
          <w:lang w:val="sr-Latn-RS" w:bidi="sr-Latn-RS"/>
        </w:rPr>
        <w:t>ml</w:t>
      </w:r>
      <w:r w:rsidRPr="008F1125">
        <w:rPr>
          <w:lang w:val="sr-Latn-RS" w:bidi="sr-Latn-RS"/>
        </w:rPr>
        <w:t>) koja sadrži natrijum</w:t>
      </w:r>
      <w:r w:rsidR="007B62D5" w:rsidRPr="008F1125">
        <w:rPr>
          <w:lang w:val="sr-Latn-RS" w:bidi="sr-Latn-RS"/>
        </w:rPr>
        <w:t xml:space="preserve"> </w:t>
      </w:r>
      <w:r w:rsidRPr="008F1125">
        <w:rPr>
          <w:lang w:val="sr-Latn-RS" w:bidi="sr-Latn-RS"/>
        </w:rPr>
        <w:t>hlorid od 9 mg/</w:t>
      </w:r>
      <w:r w:rsidR="00E74CD9" w:rsidRPr="008F1125">
        <w:rPr>
          <w:lang w:val="sr-Latn-RS" w:bidi="sr-Latn-RS"/>
        </w:rPr>
        <w:t>ml</w:t>
      </w:r>
      <w:r w:rsidRPr="008F1125">
        <w:rPr>
          <w:lang w:val="sr-Latn-RS" w:bidi="sr-Latn-RS"/>
        </w:rPr>
        <w:t xml:space="preserve"> (0,9%) ili natrijum</w:t>
      </w:r>
      <w:r w:rsidR="00C72CD4" w:rsidRPr="008F1125">
        <w:rPr>
          <w:lang w:val="sr-Latn-RS" w:bidi="sr-Latn-RS"/>
        </w:rPr>
        <w:t xml:space="preserve"> </w:t>
      </w:r>
      <w:r w:rsidRPr="008F1125">
        <w:rPr>
          <w:lang w:val="sr-Latn-RS" w:bidi="sr-Latn-RS"/>
        </w:rPr>
        <w:t>hlorid od 4,5 mg/</w:t>
      </w:r>
      <w:r w:rsidR="00E74CD9" w:rsidRPr="008F1125">
        <w:rPr>
          <w:lang w:val="sr-Latn-RS" w:bidi="sr-Latn-RS"/>
        </w:rPr>
        <w:t>ml</w:t>
      </w:r>
      <w:r w:rsidRPr="008F1125">
        <w:rPr>
          <w:lang w:val="sr-Latn-RS" w:bidi="sr-Latn-RS"/>
        </w:rPr>
        <w:t xml:space="preserve"> (0,45%). Iz bočice (bočica) </w:t>
      </w:r>
      <w:r w:rsidRPr="008F1125">
        <w:rPr>
          <w:lang w:val="sr-Latn-RS" w:bidi="sr-Latn-RS"/>
        </w:rPr>
        <w:lastRenderedPageBreak/>
        <w:t xml:space="preserve">treba izvući potreban volumen </w:t>
      </w:r>
      <w:r w:rsidR="00DD502A" w:rsidRPr="008F1125">
        <w:rPr>
          <w:lang w:val="sr-Latn-RS" w:bidi="sr-Latn-RS"/>
        </w:rPr>
        <w:t xml:space="preserve">lijeka Bavencio </w:t>
      </w:r>
      <w:r w:rsidRPr="008F1125">
        <w:rPr>
          <w:lang w:val="sr-Latn-RS" w:bidi="sr-Latn-RS"/>
        </w:rPr>
        <w:t>i dodati ga u kesu za infuziju. Sve d</w:t>
      </w:r>
      <w:r w:rsidR="00C72CD4" w:rsidRPr="008F1125">
        <w:rPr>
          <w:lang w:val="sr-Latn-RS" w:bidi="sr-Latn-RS"/>
        </w:rPr>
        <w:t>j</w:t>
      </w:r>
      <w:r w:rsidRPr="008F1125">
        <w:rPr>
          <w:lang w:val="sr-Latn-RS" w:bidi="sr-Latn-RS"/>
        </w:rPr>
        <w:t>elimično upotr</w:t>
      </w:r>
      <w:r w:rsidR="00CB0FF3" w:rsidRPr="008F1125">
        <w:rPr>
          <w:lang w:val="sr-Latn-RS" w:bidi="sr-Latn-RS"/>
        </w:rPr>
        <w:t>ij</w:t>
      </w:r>
      <w:r w:rsidRPr="008F1125">
        <w:rPr>
          <w:lang w:val="sr-Latn-RS" w:bidi="sr-Latn-RS"/>
        </w:rPr>
        <w:t>ebljene ili prazne bočice treba baciti.</w:t>
      </w:r>
    </w:p>
    <w:p w14:paraId="1FB63744" w14:textId="32A36243" w:rsidR="00F44546" w:rsidRPr="008F1125" w:rsidRDefault="00926926" w:rsidP="00C36877">
      <w:pPr>
        <w:pStyle w:val="ListParagraph"/>
        <w:numPr>
          <w:ilvl w:val="0"/>
          <w:numId w:val="1"/>
        </w:numPr>
        <w:spacing w:line="240" w:lineRule="auto"/>
        <w:ind w:left="567" w:hanging="567"/>
        <w:jc w:val="both"/>
        <w:rPr>
          <w:lang w:val="sr-Latn-RS"/>
        </w:rPr>
      </w:pPr>
      <w:r w:rsidRPr="008F1125">
        <w:rPr>
          <w:lang w:val="sr-Latn-RS" w:bidi="sr-Latn-RS"/>
        </w:rPr>
        <w:t>Razblaženi rastvor treba prom</w:t>
      </w:r>
      <w:r w:rsidR="00CB0FF3" w:rsidRPr="008F1125">
        <w:rPr>
          <w:lang w:val="sr-Latn-RS" w:bidi="sr-Latn-RS"/>
        </w:rPr>
        <w:t>ij</w:t>
      </w:r>
      <w:r w:rsidRPr="008F1125">
        <w:rPr>
          <w:lang w:val="sr-Latn-RS" w:bidi="sr-Latn-RS"/>
        </w:rPr>
        <w:t>ešati laganim okretanjem kese kako bi se izb</w:t>
      </w:r>
      <w:r w:rsidR="00C72CD4" w:rsidRPr="008F1125">
        <w:rPr>
          <w:lang w:val="sr-Latn-RS" w:bidi="sr-Latn-RS"/>
        </w:rPr>
        <w:t>j</w:t>
      </w:r>
      <w:r w:rsidRPr="008F1125">
        <w:rPr>
          <w:lang w:val="sr-Latn-RS" w:bidi="sr-Latn-RS"/>
        </w:rPr>
        <w:t>eglo stvaranje p</w:t>
      </w:r>
      <w:r w:rsidR="00C72CD4" w:rsidRPr="008F1125">
        <w:rPr>
          <w:lang w:val="sr-Latn-RS" w:bidi="sr-Latn-RS"/>
        </w:rPr>
        <w:t>j</w:t>
      </w:r>
      <w:r w:rsidRPr="008F1125">
        <w:rPr>
          <w:lang w:val="sr-Latn-RS" w:bidi="sr-Latn-RS"/>
        </w:rPr>
        <w:t>ene ili pret</w:t>
      </w:r>
      <w:r w:rsidR="00C72CD4" w:rsidRPr="008F1125">
        <w:rPr>
          <w:lang w:val="sr-Latn-RS" w:bidi="sr-Latn-RS"/>
        </w:rPr>
        <w:t>j</w:t>
      </w:r>
      <w:r w:rsidRPr="008F1125">
        <w:rPr>
          <w:lang w:val="sr-Latn-RS" w:bidi="sr-Latn-RS"/>
        </w:rPr>
        <w:t>erano trešenje rastvora.</w:t>
      </w:r>
    </w:p>
    <w:p w14:paraId="1FB63745" w14:textId="0555FC71" w:rsidR="00F44546" w:rsidRPr="008F1125" w:rsidRDefault="00926926" w:rsidP="00C36877">
      <w:pPr>
        <w:pStyle w:val="BodyText"/>
        <w:numPr>
          <w:ilvl w:val="0"/>
          <w:numId w:val="1"/>
        </w:numPr>
        <w:ind w:left="567" w:hanging="567"/>
        <w:jc w:val="both"/>
        <w:rPr>
          <w:i w:val="0"/>
          <w:color w:val="auto"/>
          <w:szCs w:val="22"/>
          <w:lang w:val="sr-Latn-RS"/>
        </w:rPr>
      </w:pPr>
      <w:r w:rsidRPr="008F1125">
        <w:rPr>
          <w:i w:val="0"/>
          <w:color w:val="auto"/>
          <w:lang w:val="sr-Latn-RS" w:bidi="sr-Latn-RS"/>
        </w:rPr>
        <w:t>Rastvor treba pregledati kako bi se prov</w:t>
      </w:r>
      <w:r w:rsidR="00C72CD4" w:rsidRPr="008F1125">
        <w:rPr>
          <w:i w:val="0"/>
          <w:color w:val="auto"/>
          <w:lang w:val="sr-Latn-RS" w:bidi="sr-Latn-RS"/>
        </w:rPr>
        <w:t>j</w:t>
      </w:r>
      <w:r w:rsidRPr="008F1125">
        <w:rPr>
          <w:i w:val="0"/>
          <w:color w:val="auto"/>
          <w:lang w:val="sr-Latn-RS" w:bidi="sr-Latn-RS"/>
        </w:rPr>
        <w:t xml:space="preserve">erilo da li </w:t>
      </w:r>
      <w:r w:rsidR="003A1958" w:rsidRPr="008F1125">
        <w:rPr>
          <w:i w:val="0"/>
          <w:color w:val="auto"/>
          <w:lang w:val="sr-Latn-RS" w:bidi="sr-Latn-RS"/>
        </w:rPr>
        <w:t xml:space="preserve">je </w:t>
      </w:r>
      <w:r w:rsidRPr="008F1125">
        <w:rPr>
          <w:i w:val="0"/>
          <w:color w:val="auto"/>
          <w:lang w:val="sr-Latn-RS" w:bidi="sr-Latn-RS"/>
        </w:rPr>
        <w:t xml:space="preserve">bistar, bezbojan i da ne sadrži vidljive čestice. Razblaženi rastvor treba </w:t>
      </w:r>
      <w:r w:rsidR="00B27CC7" w:rsidRPr="008F1125">
        <w:rPr>
          <w:i w:val="0"/>
          <w:color w:val="auto"/>
          <w:lang w:val="sr-Latn-RS" w:bidi="sr-Latn-RS"/>
        </w:rPr>
        <w:t>primijeniti</w:t>
      </w:r>
      <w:r w:rsidRPr="008F1125">
        <w:rPr>
          <w:i w:val="0"/>
          <w:color w:val="auto"/>
          <w:lang w:val="sr-Latn-RS" w:bidi="sr-Latn-RS"/>
        </w:rPr>
        <w:t xml:space="preserve"> odmah nakon pripreme.</w:t>
      </w:r>
    </w:p>
    <w:p w14:paraId="1FB63746" w14:textId="4EC232CC" w:rsidR="00F44546" w:rsidRPr="008F1125" w:rsidRDefault="00926926" w:rsidP="00C36877">
      <w:pPr>
        <w:pStyle w:val="ListParagraph"/>
        <w:numPr>
          <w:ilvl w:val="0"/>
          <w:numId w:val="1"/>
        </w:numPr>
        <w:spacing w:line="240" w:lineRule="auto"/>
        <w:ind w:left="567" w:hanging="567"/>
        <w:jc w:val="both"/>
        <w:rPr>
          <w:u w:val="single"/>
          <w:lang w:val="sr-Latn-RS"/>
        </w:rPr>
      </w:pPr>
      <w:r w:rsidRPr="008F1125">
        <w:rPr>
          <w:lang w:val="sr-Latn-RS" w:bidi="sr-Latn-RS"/>
        </w:rPr>
        <w:t>Nemojte istovremeno prim</w:t>
      </w:r>
      <w:r w:rsidR="00515B67" w:rsidRPr="008F1125">
        <w:rPr>
          <w:lang w:val="sr-Latn-RS" w:bidi="sr-Latn-RS"/>
        </w:rPr>
        <w:t>j</w:t>
      </w:r>
      <w:r w:rsidRPr="008F1125">
        <w:rPr>
          <w:lang w:val="sr-Latn-RS" w:bidi="sr-Latn-RS"/>
        </w:rPr>
        <w:t>enjivati druge l</w:t>
      </w:r>
      <w:r w:rsidR="0038574B" w:rsidRPr="008F1125">
        <w:rPr>
          <w:lang w:val="sr-Latn-RS" w:bidi="sr-Latn-RS"/>
        </w:rPr>
        <w:t>j</w:t>
      </w:r>
      <w:r w:rsidRPr="008F1125">
        <w:rPr>
          <w:lang w:val="sr-Latn-RS" w:bidi="sr-Latn-RS"/>
        </w:rPr>
        <w:t>ekove kroz istu intravensku liniju. Rastvor za infuziju prim</w:t>
      </w:r>
      <w:r w:rsidR="00515B67" w:rsidRPr="008F1125">
        <w:rPr>
          <w:lang w:val="sr-Latn-RS" w:bidi="sr-Latn-RS"/>
        </w:rPr>
        <w:t>ij</w:t>
      </w:r>
      <w:r w:rsidRPr="008F1125">
        <w:rPr>
          <w:lang w:val="sr-Latn-RS" w:bidi="sr-Latn-RS"/>
        </w:rPr>
        <w:t>enite kroz sterilni, nepirogeni filter sa niskim afinitetom vezivanja proteina, veličine pora 0,2 mikrometra</w:t>
      </w:r>
      <w:r w:rsidR="0057392D">
        <w:rPr>
          <w:lang w:val="sr-Latn-RS" w:bidi="sr-Latn-RS"/>
        </w:rPr>
        <w:t xml:space="preserve">, </w:t>
      </w:r>
      <w:r w:rsidRPr="008F1125">
        <w:rPr>
          <w:lang w:val="sr-Latn-RS" w:bidi="sr-Latn-RS"/>
        </w:rPr>
        <w:t xml:space="preserve">koji je ugrađen ili pričvršćen na liniju, kako je opisano u </w:t>
      </w:r>
      <w:r w:rsidR="00C72CD4" w:rsidRPr="008F1125">
        <w:rPr>
          <w:lang w:val="sr-Latn-RS" w:bidi="sr-Latn-RS"/>
        </w:rPr>
        <w:t xml:space="preserve">dijelu </w:t>
      </w:r>
      <w:r w:rsidRPr="008F1125">
        <w:rPr>
          <w:lang w:val="sr-Latn-RS" w:bidi="sr-Latn-RS"/>
        </w:rPr>
        <w:t>4.2.</w:t>
      </w:r>
    </w:p>
    <w:p w14:paraId="1FB63747" w14:textId="77777777" w:rsidR="00F44546" w:rsidRPr="008F1125" w:rsidRDefault="00F44546" w:rsidP="00C36877">
      <w:pPr>
        <w:jc w:val="both"/>
        <w:rPr>
          <w:szCs w:val="22"/>
          <w:lang w:val="sr-Latn-RS"/>
        </w:rPr>
      </w:pPr>
    </w:p>
    <w:p w14:paraId="1FB63748" w14:textId="6060B9B8" w:rsidR="00821DBC" w:rsidRPr="008F1125" w:rsidRDefault="00926926" w:rsidP="00C36877">
      <w:pPr>
        <w:jc w:val="both"/>
        <w:rPr>
          <w:szCs w:val="22"/>
          <w:lang w:val="sr-Latn-RS"/>
        </w:rPr>
      </w:pPr>
      <w:r w:rsidRPr="008F1125">
        <w:rPr>
          <w:lang w:val="sr-Latn-RS" w:bidi="sr-Latn-RS"/>
        </w:rPr>
        <w:t>Posl</w:t>
      </w:r>
      <w:r w:rsidR="003A1958">
        <w:rPr>
          <w:lang w:val="sr-Latn-RS" w:bidi="sr-Latn-RS"/>
        </w:rPr>
        <w:t>ij</w:t>
      </w:r>
      <w:r w:rsidRPr="008F1125">
        <w:rPr>
          <w:lang w:val="sr-Latn-RS" w:bidi="sr-Latn-RS"/>
        </w:rPr>
        <w:t>e prim</w:t>
      </w:r>
      <w:r w:rsidR="00515B67" w:rsidRPr="008F1125">
        <w:rPr>
          <w:lang w:val="sr-Latn-RS" w:bidi="sr-Latn-RS"/>
        </w:rPr>
        <w:t>j</w:t>
      </w:r>
      <w:r w:rsidRPr="008F1125">
        <w:rPr>
          <w:lang w:val="sr-Latn-RS" w:bidi="sr-Latn-RS"/>
        </w:rPr>
        <w:t>ene l</w:t>
      </w:r>
      <w:r w:rsidR="00515B67" w:rsidRPr="008F1125">
        <w:rPr>
          <w:lang w:val="sr-Latn-RS" w:bidi="sr-Latn-RS"/>
        </w:rPr>
        <w:t>ij</w:t>
      </w:r>
      <w:r w:rsidRPr="008F1125">
        <w:rPr>
          <w:lang w:val="sr-Latn-RS" w:bidi="sr-Latn-RS"/>
        </w:rPr>
        <w:t>eka Bavencio, liniju</w:t>
      </w:r>
      <w:r w:rsidR="0057392D">
        <w:rPr>
          <w:lang w:val="sr-Latn-RS" w:bidi="sr-Latn-RS"/>
        </w:rPr>
        <w:t xml:space="preserve"> treba </w:t>
      </w:r>
      <w:r w:rsidRPr="008F1125">
        <w:rPr>
          <w:lang w:val="sr-Latn-RS" w:bidi="sr-Latn-RS"/>
        </w:rPr>
        <w:t xml:space="preserve">isprati </w:t>
      </w:r>
      <w:r w:rsidR="00851ABB">
        <w:rPr>
          <w:lang w:val="sr-Latn-RS" w:bidi="sr-Latn-RS"/>
        </w:rPr>
        <w:t xml:space="preserve"> ili </w:t>
      </w:r>
      <w:r w:rsidRPr="008F1125">
        <w:rPr>
          <w:lang w:val="sr-Latn-RS" w:bidi="sr-Latn-RS"/>
        </w:rPr>
        <w:t>natrijum</w:t>
      </w:r>
      <w:r w:rsidR="00C72CD4" w:rsidRPr="008F1125">
        <w:rPr>
          <w:lang w:val="sr-Latn-RS" w:bidi="sr-Latn-RS"/>
        </w:rPr>
        <w:t xml:space="preserve"> </w:t>
      </w:r>
      <w:r w:rsidR="00851ABB" w:rsidRPr="008F1125">
        <w:rPr>
          <w:lang w:val="sr-Latn-RS" w:bidi="sr-Latn-RS"/>
        </w:rPr>
        <w:t>hlorid</w:t>
      </w:r>
      <w:r w:rsidR="00851ABB">
        <w:rPr>
          <w:lang w:val="sr-Latn-RS" w:bidi="sr-Latn-RS"/>
        </w:rPr>
        <w:t>om</w:t>
      </w:r>
      <w:r w:rsidR="00851ABB" w:rsidRPr="008F1125">
        <w:rPr>
          <w:lang w:val="sr-Latn-RS" w:bidi="sr-Latn-RS"/>
        </w:rPr>
        <w:t xml:space="preserve"> </w:t>
      </w:r>
      <w:r w:rsidRPr="008F1125">
        <w:rPr>
          <w:lang w:val="sr-Latn-RS" w:bidi="sr-Latn-RS"/>
        </w:rPr>
        <w:t>od 9 mg/</w:t>
      </w:r>
      <w:r w:rsidR="00E74CD9" w:rsidRPr="008F1125">
        <w:rPr>
          <w:lang w:val="sr-Latn-RS" w:bidi="sr-Latn-RS"/>
        </w:rPr>
        <w:t>ml</w:t>
      </w:r>
      <w:r w:rsidRPr="008F1125">
        <w:rPr>
          <w:lang w:val="sr-Latn-RS" w:bidi="sr-Latn-RS"/>
        </w:rPr>
        <w:t xml:space="preserve"> (0,9%) ili natrijum</w:t>
      </w:r>
      <w:r w:rsidR="00C72CD4" w:rsidRPr="008F1125">
        <w:rPr>
          <w:lang w:val="sr-Latn-RS" w:bidi="sr-Latn-RS"/>
        </w:rPr>
        <w:t xml:space="preserve"> </w:t>
      </w:r>
      <w:r w:rsidR="00851ABB" w:rsidRPr="008F1125">
        <w:rPr>
          <w:lang w:val="sr-Latn-RS" w:bidi="sr-Latn-RS"/>
        </w:rPr>
        <w:t>hlorid</w:t>
      </w:r>
      <w:r w:rsidR="00851ABB">
        <w:rPr>
          <w:lang w:val="sr-Latn-RS" w:bidi="sr-Latn-RS"/>
        </w:rPr>
        <w:t>om</w:t>
      </w:r>
      <w:r w:rsidR="00851ABB" w:rsidRPr="008F1125">
        <w:rPr>
          <w:lang w:val="sr-Latn-RS" w:bidi="sr-Latn-RS"/>
        </w:rPr>
        <w:t xml:space="preserve"> </w:t>
      </w:r>
      <w:r w:rsidRPr="008F1125">
        <w:rPr>
          <w:lang w:val="sr-Latn-RS" w:bidi="sr-Latn-RS"/>
        </w:rPr>
        <w:t>od 4,5 mg/</w:t>
      </w:r>
      <w:r w:rsidR="00E74CD9" w:rsidRPr="008F1125">
        <w:rPr>
          <w:lang w:val="sr-Latn-RS" w:bidi="sr-Latn-RS"/>
        </w:rPr>
        <w:t>ml</w:t>
      </w:r>
      <w:r w:rsidRPr="008F1125">
        <w:rPr>
          <w:lang w:val="sr-Latn-RS" w:bidi="sr-Latn-RS"/>
        </w:rPr>
        <w:t xml:space="preserve"> (0,45%).</w:t>
      </w:r>
    </w:p>
    <w:p w14:paraId="1FB63749" w14:textId="77777777" w:rsidR="00866B13" w:rsidRPr="008F1125" w:rsidRDefault="00866B13" w:rsidP="00C36877">
      <w:pPr>
        <w:jc w:val="both"/>
        <w:rPr>
          <w:szCs w:val="22"/>
          <w:lang w:val="sr-Latn-RS"/>
        </w:rPr>
      </w:pPr>
    </w:p>
    <w:p w14:paraId="1FB6374A" w14:textId="5DFFD646" w:rsidR="00866B13" w:rsidRPr="008F1125" w:rsidRDefault="00926926" w:rsidP="00C36877">
      <w:pPr>
        <w:jc w:val="both"/>
        <w:rPr>
          <w:szCs w:val="22"/>
          <w:lang w:val="sr-Latn-RS"/>
        </w:rPr>
      </w:pPr>
      <w:r w:rsidRPr="008F1125">
        <w:rPr>
          <w:lang w:val="sr-Latn-RS" w:bidi="sr-Latn-RS"/>
        </w:rPr>
        <w:t>Razblaženi rastvor ne zamrzavati niti tresti. Ako su kese sa razblaženim intravenskim rastvorom stajale u frižideru, sačekajte da pr</w:t>
      </w:r>
      <w:r w:rsidR="00E74CD9" w:rsidRPr="008F1125">
        <w:rPr>
          <w:lang w:val="sr-Latn-RS" w:bidi="sr-Latn-RS"/>
        </w:rPr>
        <w:t>ij</w:t>
      </w:r>
      <w:r w:rsidRPr="008F1125">
        <w:rPr>
          <w:lang w:val="sr-Latn-RS" w:bidi="sr-Latn-RS"/>
        </w:rPr>
        <w:t>e prim</w:t>
      </w:r>
      <w:r w:rsidR="00515B67" w:rsidRPr="008F1125">
        <w:rPr>
          <w:lang w:val="sr-Latn-RS" w:bidi="sr-Latn-RS"/>
        </w:rPr>
        <w:t>j</w:t>
      </w:r>
      <w:r w:rsidRPr="008F1125">
        <w:rPr>
          <w:lang w:val="sr-Latn-RS" w:bidi="sr-Latn-RS"/>
        </w:rPr>
        <w:t>ene dostignu sobnu temperaturu.</w:t>
      </w:r>
    </w:p>
    <w:p w14:paraId="1FB6374B" w14:textId="77777777" w:rsidR="00E54316" w:rsidRPr="008F1125" w:rsidRDefault="00E54316" w:rsidP="00C36877">
      <w:pPr>
        <w:jc w:val="both"/>
        <w:rPr>
          <w:iCs/>
          <w:szCs w:val="22"/>
          <w:lang w:val="sr-Latn-RS"/>
        </w:rPr>
      </w:pPr>
    </w:p>
    <w:p w14:paraId="1FB6374C" w14:textId="77777777" w:rsidR="00821DBC" w:rsidRPr="008F1125" w:rsidRDefault="00926926" w:rsidP="00C36877">
      <w:pPr>
        <w:keepNext/>
        <w:jc w:val="both"/>
        <w:rPr>
          <w:szCs w:val="22"/>
          <w:u w:val="single"/>
          <w:lang w:val="sr-Latn-RS"/>
        </w:rPr>
      </w:pPr>
      <w:r w:rsidRPr="008F1125">
        <w:rPr>
          <w:u w:val="single"/>
          <w:lang w:val="sr-Latn-RS" w:bidi="sr-Latn-RS"/>
        </w:rPr>
        <w:t>Odlaganje</w:t>
      </w:r>
    </w:p>
    <w:p w14:paraId="1FB6374D" w14:textId="700B53A3" w:rsidR="00821DBC" w:rsidRPr="008F1125" w:rsidRDefault="00926926" w:rsidP="00C36877">
      <w:pPr>
        <w:keepNext/>
        <w:jc w:val="both"/>
        <w:rPr>
          <w:i/>
          <w:szCs w:val="22"/>
          <w:lang w:val="sr-Latn-RS"/>
        </w:rPr>
      </w:pPr>
      <w:r w:rsidRPr="008F1125">
        <w:rPr>
          <w:lang w:val="sr-Latn-RS" w:bidi="sr-Latn-RS"/>
        </w:rPr>
        <w:t>Svu neiskorišćenu količinu l</w:t>
      </w:r>
      <w:r w:rsidR="0038574B" w:rsidRPr="008F1125">
        <w:rPr>
          <w:lang w:val="sr-Latn-RS" w:bidi="sr-Latn-RS"/>
        </w:rPr>
        <w:t>ij</w:t>
      </w:r>
      <w:r w:rsidRPr="008F1125">
        <w:rPr>
          <w:lang w:val="sr-Latn-RS" w:bidi="sr-Latn-RS"/>
        </w:rPr>
        <w:t>eka ili otpadnog materijala nakon upotrebe treba ukloniti u skladu sa važećim propisima.</w:t>
      </w:r>
    </w:p>
    <w:p w14:paraId="1FB6374E" w14:textId="77777777" w:rsidR="00821DBC" w:rsidRPr="008F1125" w:rsidRDefault="00821DBC" w:rsidP="00577413">
      <w:pPr>
        <w:rPr>
          <w:szCs w:val="22"/>
          <w:lang w:val="sr-Latn-RS"/>
        </w:rPr>
      </w:pPr>
    </w:p>
    <w:p w14:paraId="1FB6374F" w14:textId="77777777" w:rsidR="00821DBC" w:rsidRPr="008F1125" w:rsidRDefault="00821DBC" w:rsidP="00577413">
      <w:pPr>
        <w:rPr>
          <w:szCs w:val="22"/>
          <w:lang w:val="sr-Latn-RS"/>
        </w:rPr>
      </w:pPr>
    </w:p>
    <w:p w14:paraId="1FB63750" w14:textId="77777777" w:rsidR="00821DBC" w:rsidRPr="008F1125" w:rsidRDefault="00926926" w:rsidP="00577413">
      <w:pPr>
        <w:keepNext/>
        <w:rPr>
          <w:szCs w:val="22"/>
          <w:lang w:val="sr-Latn-RS"/>
        </w:rPr>
      </w:pPr>
      <w:r w:rsidRPr="008F1125">
        <w:rPr>
          <w:b/>
          <w:lang w:val="sr-Latn-RS" w:bidi="sr-Latn-RS"/>
        </w:rPr>
        <w:t>7.</w:t>
      </w:r>
      <w:r w:rsidRPr="008F1125">
        <w:rPr>
          <w:b/>
          <w:lang w:val="sr-Latn-RS" w:bidi="sr-Latn-RS"/>
        </w:rPr>
        <w:tab/>
        <w:t>NOSILAC DOZVOLE</w:t>
      </w:r>
    </w:p>
    <w:p w14:paraId="1FB63751" w14:textId="77777777" w:rsidR="00821DBC" w:rsidRPr="008F1125" w:rsidRDefault="00821DBC" w:rsidP="00577413">
      <w:pPr>
        <w:keepNext/>
        <w:rPr>
          <w:szCs w:val="22"/>
          <w:lang w:val="sr-Latn-RS"/>
        </w:rPr>
      </w:pPr>
    </w:p>
    <w:p w14:paraId="4CE32277" w14:textId="66598560" w:rsidR="0057392D" w:rsidRPr="00E152E2" w:rsidRDefault="001C14E9" w:rsidP="0057392D">
      <w:pPr>
        <w:tabs>
          <w:tab w:val="clear" w:pos="567"/>
          <w:tab w:val="left" w:pos="540"/>
          <w:tab w:val="left" w:pos="569"/>
        </w:tabs>
        <w:jc w:val="both"/>
        <w:rPr>
          <w:bCs/>
          <w:lang w:val="sr-Latn-ME"/>
        </w:rPr>
      </w:pPr>
      <w:r>
        <w:rPr>
          <w:bCs/>
          <w:lang w:val="sr-Latn-ME"/>
        </w:rPr>
        <w:t>„Merck“ d.o.o. Beograd -</w:t>
      </w:r>
      <w:r w:rsidR="0057392D" w:rsidRPr="00E152E2">
        <w:rPr>
          <w:bCs/>
          <w:lang w:val="sr-Latn-ME"/>
        </w:rPr>
        <w:t xml:space="preserve"> dio stranog društva u Podgorici</w:t>
      </w:r>
      <w:r w:rsidR="0057392D" w:rsidRPr="00E152E2" w:rsidDel="004810AA">
        <w:rPr>
          <w:bCs/>
          <w:lang w:val="sr-Latn-ME"/>
        </w:rPr>
        <w:t xml:space="preserve"> </w:t>
      </w:r>
    </w:p>
    <w:p w14:paraId="40AE06F9" w14:textId="77777777" w:rsidR="0057392D" w:rsidRPr="00E152E2" w:rsidRDefault="0057392D" w:rsidP="0057392D">
      <w:pPr>
        <w:tabs>
          <w:tab w:val="clear" w:pos="567"/>
          <w:tab w:val="left" w:pos="540"/>
          <w:tab w:val="left" w:pos="569"/>
        </w:tabs>
        <w:jc w:val="both"/>
        <w:rPr>
          <w:bCs/>
          <w:lang w:val="sr-Latn-ME"/>
        </w:rPr>
      </w:pPr>
      <w:r w:rsidRPr="00E152E2">
        <w:rPr>
          <w:bCs/>
          <w:lang w:val="sr-Latn-ME"/>
        </w:rPr>
        <w:t>Serdara Jola Piletića 8, 81 000 Podgorica, Crna Gora</w:t>
      </w:r>
    </w:p>
    <w:p w14:paraId="1FB63756" w14:textId="77777777" w:rsidR="00821DBC" w:rsidRPr="008F1125" w:rsidRDefault="00821DBC" w:rsidP="00577413">
      <w:pPr>
        <w:rPr>
          <w:szCs w:val="22"/>
          <w:lang w:val="sr-Latn-RS"/>
        </w:rPr>
      </w:pPr>
    </w:p>
    <w:p w14:paraId="1FB63757" w14:textId="77777777" w:rsidR="00821DBC" w:rsidRPr="008F1125" w:rsidRDefault="00821DBC" w:rsidP="00577413">
      <w:pPr>
        <w:rPr>
          <w:szCs w:val="22"/>
          <w:lang w:val="sr-Latn-RS"/>
        </w:rPr>
      </w:pPr>
    </w:p>
    <w:p w14:paraId="6DFB3B65" w14:textId="77777777" w:rsidR="0063413D" w:rsidRPr="00BC737B" w:rsidRDefault="0063413D" w:rsidP="0063413D">
      <w:pPr>
        <w:tabs>
          <w:tab w:val="clear" w:pos="567"/>
          <w:tab w:val="left" w:pos="540"/>
          <w:tab w:val="left" w:pos="569"/>
        </w:tabs>
        <w:rPr>
          <w:b/>
          <w:bCs/>
          <w:szCs w:val="22"/>
          <w:lang w:val="pl-PL"/>
        </w:rPr>
      </w:pPr>
      <w:r w:rsidRPr="00BC737B">
        <w:rPr>
          <w:b/>
          <w:bCs/>
          <w:szCs w:val="22"/>
          <w:lang w:val="pl-PL"/>
        </w:rPr>
        <w:t xml:space="preserve">8. </w:t>
      </w:r>
      <w:r w:rsidRPr="00BC737B">
        <w:rPr>
          <w:b/>
          <w:bCs/>
          <w:szCs w:val="22"/>
          <w:lang w:val="pl-PL"/>
        </w:rPr>
        <w:tab/>
        <w:t>BROJ DOZVOLE ZA STAVLJANJE LIJEKA U PROMET</w:t>
      </w:r>
    </w:p>
    <w:p w14:paraId="5A227532" w14:textId="77777777" w:rsidR="0063413D" w:rsidRPr="00BC737B" w:rsidRDefault="0063413D" w:rsidP="0063413D">
      <w:pPr>
        <w:tabs>
          <w:tab w:val="clear" w:pos="567"/>
          <w:tab w:val="left" w:pos="540"/>
          <w:tab w:val="left" w:pos="569"/>
        </w:tabs>
        <w:rPr>
          <w:bCs/>
          <w:szCs w:val="22"/>
          <w:lang w:val="pl-PL"/>
        </w:rPr>
      </w:pPr>
    </w:p>
    <w:p w14:paraId="76F6E164" w14:textId="0429F360" w:rsidR="0063413D" w:rsidRPr="00062A47" w:rsidRDefault="002B394A" w:rsidP="00062A47">
      <w:pPr>
        <w:tabs>
          <w:tab w:val="clear" w:pos="567"/>
          <w:tab w:val="left" w:pos="569"/>
        </w:tabs>
        <w:autoSpaceDE w:val="0"/>
        <w:autoSpaceDN w:val="0"/>
        <w:adjustRightInd w:val="0"/>
        <w:rPr>
          <w:bCs/>
          <w:lang w:val="sr-Latn-ME"/>
        </w:rPr>
      </w:pPr>
      <w:r w:rsidRPr="00BC737B">
        <w:rPr>
          <w:bCs/>
          <w:lang w:val="pl-PL"/>
        </w:rPr>
        <w:t>2030/21/1438 - 6413</w:t>
      </w:r>
    </w:p>
    <w:p w14:paraId="4E82B30D" w14:textId="77777777" w:rsidR="00AE57A4" w:rsidRPr="00BC737B" w:rsidRDefault="00AE57A4" w:rsidP="0063413D">
      <w:pPr>
        <w:tabs>
          <w:tab w:val="clear" w:pos="567"/>
          <w:tab w:val="left" w:pos="540"/>
          <w:tab w:val="left" w:pos="569"/>
        </w:tabs>
        <w:rPr>
          <w:b/>
          <w:bCs/>
          <w:szCs w:val="22"/>
          <w:lang w:val="pl-PL"/>
        </w:rPr>
      </w:pPr>
    </w:p>
    <w:p w14:paraId="0A0C50F0" w14:textId="77777777" w:rsidR="00AE57A4" w:rsidRPr="00BC737B" w:rsidRDefault="00AE57A4" w:rsidP="0063413D">
      <w:pPr>
        <w:tabs>
          <w:tab w:val="clear" w:pos="567"/>
          <w:tab w:val="left" w:pos="540"/>
          <w:tab w:val="left" w:pos="569"/>
        </w:tabs>
        <w:rPr>
          <w:b/>
          <w:bCs/>
          <w:szCs w:val="22"/>
          <w:lang w:val="pl-PL"/>
        </w:rPr>
      </w:pPr>
    </w:p>
    <w:p w14:paraId="7831BE8C" w14:textId="436B64F1" w:rsidR="0063413D" w:rsidRPr="00BC737B" w:rsidRDefault="0063413D" w:rsidP="0063413D">
      <w:pPr>
        <w:tabs>
          <w:tab w:val="clear" w:pos="567"/>
          <w:tab w:val="left" w:pos="540"/>
          <w:tab w:val="left" w:pos="569"/>
        </w:tabs>
        <w:rPr>
          <w:b/>
          <w:bCs/>
          <w:szCs w:val="22"/>
          <w:lang w:val="pl-PL"/>
        </w:rPr>
      </w:pPr>
      <w:r w:rsidRPr="00BC737B">
        <w:rPr>
          <w:b/>
          <w:bCs/>
          <w:szCs w:val="22"/>
          <w:lang w:val="pl-PL"/>
        </w:rPr>
        <w:t xml:space="preserve">9. </w:t>
      </w:r>
      <w:r w:rsidRPr="00BC737B">
        <w:rPr>
          <w:b/>
          <w:bCs/>
          <w:szCs w:val="22"/>
          <w:lang w:val="pl-PL"/>
        </w:rPr>
        <w:tab/>
        <w:t>DATUM PRVE DOZVOLE/OBNOVE DOZVOLE ZA STAVLJANJE LIJEKA U PROMET</w:t>
      </w:r>
    </w:p>
    <w:p w14:paraId="35F55CCA" w14:textId="77777777" w:rsidR="00062A47" w:rsidRPr="00BC737B" w:rsidRDefault="00062A47" w:rsidP="0063413D">
      <w:pPr>
        <w:tabs>
          <w:tab w:val="clear" w:pos="567"/>
          <w:tab w:val="left" w:pos="540"/>
          <w:tab w:val="left" w:pos="569"/>
        </w:tabs>
        <w:rPr>
          <w:b/>
          <w:bCs/>
          <w:szCs w:val="22"/>
          <w:lang w:val="pl-PL"/>
        </w:rPr>
      </w:pPr>
    </w:p>
    <w:p w14:paraId="4527D885" w14:textId="2CC6FF58" w:rsidR="00062A47" w:rsidRPr="00062A47" w:rsidRDefault="002B394A" w:rsidP="00062A47">
      <w:pPr>
        <w:tabs>
          <w:tab w:val="clear" w:pos="567"/>
          <w:tab w:val="left" w:pos="569"/>
        </w:tabs>
        <w:autoSpaceDE w:val="0"/>
        <w:autoSpaceDN w:val="0"/>
        <w:adjustRightInd w:val="0"/>
        <w:rPr>
          <w:bCs/>
          <w:lang w:val="sr-Latn-ME"/>
        </w:rPr>
      </w:pPr>
      <w:r>
        <w:rPr>
          <w:bCs/>
          <w:lang w:val="sr-Latn-ME"/>
        </w:rPr>
        <w:t>2</w:t>
      </w:r>
      <w:r w:rsidR="001C14E9">
        <w:rPr>
          <w:bCs/>
          <w:lang w:val="sr-Latn-ME"/>
        </w:rPr>
        <w:t>8</w:t>
      </w:r>
      <w:r>
        <w:rPr>
          <w:bCs/>
          <w:lang w:val="sr-Latn-ME"/>
        </w:rPr>
        <w:t>.12.2021. godine</w:t>
      </w:r>
    </w:p>
    <w:p w14:paraId="2767FF91" w14:textId="14F3AC6E" w:rsidR="0063413D" w:rsidRPr="00BC737B" w:rsidRDefault="0063413D" w:rsidP="0063413D">
      <w:pPr>
        <w:tabs>
          <w:tab w:val="clear" w:pos="567"/>
          <w:tab w:val="left" w:pos="540"/>
          <w:tab w:val="left" w:pos="569"/>
        </w:tabs>
        <w:rPr>
          <w:bCs/>
          <w:szCs w:val="22"/>
          <w:lang w:val="pl-PL"/>
        </w:rPr>
      </w:pPr>
    </w:p>
    <w:p w14:paraId="5BC41725" w14:textId="77777777" w:rsidR="0063413D" w:rsidRPr="00BC737B" w:rsidRDefault="0063413D" w:rsidP="0063413D">
      <w:pPr>
        <w:tabs>
          <w:tab w:val="clear" w:pos="567"/>
          <w:tab w:val="left" w:pos="540"/>
          <w:tab w:val="left" w:pos="569"/>
        </w:tabs>
        <w:rPr>
          <w:bCs/>
          <w:szCs w:val="22"/>
          <w:lang w:val="pl-PL"/>
        </w:rPr>
      </w:pPr>
    </w:p>
    <w:p w14:paraId="0CB8CC7F" w14:textId="77777777" w:rsidR="0063413D" w:rsidRPr="008F1125" w:rsidRDefault="0063413D" w:rsidP="0063413D">
      <w:pPr>
        <w:tabs>
          <w:tab w:val="clear" w:pos="567"/>
          <w:tab w:val="left" w:pos="540"/>
          <w:tab w:val="left" w:pos="569"/>
        </w:tabs>
        <w:ind w:left="540" w:hanging="540"/>
        <w:rPr>
          <w:bCs/>
          <w:szCs w:val="22"/>
        </w:rPr>
      </w:pPr>
      <w:r w:rsidRPr="008F1125">
        <w:rPr>
          <w:b/>
          <w:bCs/>
          <w:szCs w:val="22"/>
        </w:rPr>
        <w:t xml:space="preserve">10. </w:t>
      </w:r>
      <w:r w:rsidRPr="008F1125">
        <w:rPr>
          <w:b/>
          <w:bCs/>
          <w:szCs w:val="22"/>
        </w:rPr>
        <w:tab/>
        <w:t xml:space="preserve">DATUM REVIZIJE TEKSTA </w:t>
      </w:r>
    </w:p>
    <w:p w14:paraId="1FB63764" w14:textId="77777777" w:rsidR="00821DBC" w:rsidRPr="008F1125" w:rsidRDefault="00821DBC" w:rsidP="00577413">
      <w:pPr>
        <w:keepNext/>
        <w:keepLines/>
        <w:rPr>
          <w:szCs w:val="22"/>
          <w:lang w:val="sr-Latn-RS"/>
        </w:rPr>
      </w:pPr>
    </w:p>
    <w:p w14:paraId="1F2A6CB5" w14:textId="33E1ECF7" w:rsidR="001859BD" w:rsidRPr="00F51581" w:rsidRDefault="005E0C02" w:rsidP="00CB0FF3">
      <w:pPr>
        <w:numPr>
          <w:ilvl w:val="12"/>
          <w:numId w:val="0"/>
        </w:numPr>
        <w:ind w:right="-2"/>
        <w:rPr>
          <w:szCs w:val="22"/>
          <w:lang w:val="sr-Latn-RS"/>
        </w:rPr>
      </w:pPr>
      <w:r w:rsidRPr="006A6873">
        <w:rPr>
          <w:lang w:val="sr-Latn-RS" w:bidi="sr-Latn-RS"/>
        </w:rPr>
        <w:t>Decembar</w:t>
      </w:r>
      <w:r w:rsidR="00750E34">
        <w:rPr>
          <w:lang w:val="sr-Latn-RS" w:bidi="sr-Latn-RS"/>
        </w:rPr>
        <w:t>,</w:t>
      </w:r>
      <w:r w:rsidR="00435DC5">
        <w:rPr>
          <w:lang w:val="sr-Latn-RS" w:bidi="sr-Latn-RS"/>
        </w:rPr>
        <w:t xml:space="preserve"> 2024</w:t>
      </w:r>
      <w:r w:rsidR="00750E34">
        <w:rPr>
          <w:lang w:val="sr-Latn-RS" w:bidi="sr-Latn-RS"/>
        </w:rPr>
        <w:t>. godine</w:t>
      </w:r>
    </w:p>
    <w:sectPr w:rsidR="001859BD" w:rsidRPr="00F51581" w:rsidSect="006072D9">
      <w:footerReference w:type="default" r:id="rId25"/>
      <w:footerReference w:type="first" r:id="rId26"/>
      <w:endnotePr>
        <w:numFmt w:val="decimal"/>
      </w:endnotePr>
      <w:pgSz w:w="11907" w:h="16840" w:code="9"/>
      <w:pgMar w:top="1276"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B5EE" w14:textId="77777777" w:rsidR="00801B8C" w:rsidRDefault="00801B8C">
      <w:r>
        <w:separator/>
      </w:r>
    </w:p>
  </w:endnote>
  <w:endnote w:type="continuationSeparator" w:id="0">
    <w:p w14:paraId="7ADB76E0" w14:textId="77777777" w:rsidR="00801B8C" w:rsidRDefault="00801B8C">
      <w:r>
        <w:continuationSeparator/>
      </w:r>
    </w:p>
  </w:endnote>
  <w:endnote w:type="continuationNotice" w:id="1">
    <w:p w14:paraId="68FBE9CA" w14:textId="77777777" w:rsidR="00801B8C" w:rsidRDefault="00801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00000000" w:usb1="500078FF" w:usb2="00000021" w:usb3="00000000" w:csb0="000001BF" w:csb1="00000000"/>
  </w:font>
  <w:font w:name="MT Extra">
    <w:panose1 w:val="05050102010205020202"/>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NeueLTStd-Cn">
    <w:altName w:val="MS Gothic"/>
    <w:panose1 w:val="00000000000000000000"/>
    <w:charset w:val="80"/>
    <w:family w:val="swiss"/>
    <w:notTrueType/>
    <w:pitch w:val="default"/>
    <w:sig w:usb0="00000001" w:usb1="08070000" w:usb2="00000010" w:usb3="00000000" w:csb0="00020000" w:csb1="00000000"/>
  </w:font>
  <w:font w:name="TimesNewRoman,Bold">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39EC" w14:textId="0CE84841" w:rsidR="001302F7" w:rsidRPr="009C3A4F" w:rsidRDefault="001302F7" w:rsidP="009C3A4F">
    <w:pPr>
      <w:pStyle w:val="Footer"/>
      <w:jc w:val="center"/>
      <w:rPr>
        <w:rFonts w:ascii="Times New Roman" w:hAnsi="Times New Roman"/>
        <w:sz w:val="22"/>
        <w:szCs w:val="22"/>
        <w:lang w:val="en-US"/>
      </w:rPr>
    </w:pPr>
    <w:r>
      <w:rPr>
        <w:lang w:val="sr-Latn-RS" w:bidi="sr-Latn-RS"/>
      </w:rPr>
      <w:fldChar w:fldCharType="begin"/>
    </w:r>
    <w:r>
      <w:rPr>
        <w:lang w:val="sr-Latn-RS" w:bidi="sr-Latn-RS"/>
      </w:rPr>
      <w:instrText xml:space="preserve"> EQ </w:instrText>
    </w:r>
    <w:r>
      <w:rPr>
        <w:lang w:val="sr-Latn-RS" w:bidi="sr-Latn-RS"/>
      </w:rPr>
      <w:fldChar w:fldCharType="end"/>
    </w:r>
    <w:r w:rsidRPr="009C3A4F">
      <w:rPr>
        <w:rFonts w:ascii="Times New Roman" w:hAnsi="Times New Roman"/>
        <w:sz w:val="22"/>
        <w:szCs w:val="22"/>
        <w:lang w:val="en-US"/>
      </w:rPr>
      <w:fldChar w:fldCharType="begin"/>
    </w:r>
    <w:r w:rsidRPr="009C3A4F">
      <w:rPr>
        <w:rFonts w:ascii="Times New Roman" w:hAnsi="Times New Roman"/>
        <w:sz w:val="22"/>
        <w:szCs w:val="22"/>
        <w:lang w:val="en-US"/>
      </w:rPr>
      <w:instrText xml:space="preserve"> PAGE </w:instrText>
    </w:r>
    <w:r w:rsidRPr="009C3A4F">
      <w:rPr>
        <w:rFonts w:ascii="Times New Roman" w:hAnsi="Times New Roman"/>
        <w:sz w:val="22"/>
        <w:szCs w:val="22"/>
        <w:lang w:val="en-US"/>
      </w:rPr>
      <w:fldChar w:fldCharType="separate"/>
    </w:r>
    <w:r w:rsidR="0035342A">
      <w:rPr>
        <w:rFonts w:ascii="Times New Roman" w:hAnsi="Times New Roman"/>
        <w:sz w:val="22"/>
        <w:szCs w:val="22"/>
        <w:lang w:val="en-US"/>
      </w:rPr>
      <w:t>31</w:t>
    </w:r>
    <w:r w:rsidRPr="009C3A4F">
      <w:rPr>
        <w:rFonts w:ascii="Times New Roman" w:hAnsi="Times New Roman"/>
        <w:sz w:val="22"/>
        <w:szCs w:val="22"/>
        <w:lang w:val="en-US"/>
      </w:rPr>
      <w:fldChar w:fldCharType="end"/>
    </w:r>
    <w:r w:rsidRPr="009C3A4F">
      <w:rPr>
        <w:rFonts w:ascii="Times New Roman" w:hAnsi="Times New Roman"/>
        <w:sz w:val="22"/>
        <w:szCs w:val="22"/>
        <w:lang w:val="en-US"/>
      </w:rPr>
      <w:t xml:space="preserve"> / </w:t>
    </w:r>
    <w:r w:rsidRPr="009C3A4F">
      <w:rPr>
        <w:rFonts w:ascii="Times New Roman" w:hAnsi="Times New Roman"/>
        <w:sz w:val="22"/>
        <w:szCs w:val="22"/>
        <w:lang w:val="en-US"/>
      </w:rPr>
      <w:fldChar w:fldCharType="begin"/>
    </w:r>
    <w:r w:rsidRPr="009C3A4F">
      <w:rPr>
        <w:rFonts w:ascii="Times New Roman" w:hAnsi="Times New Roman"/>
        <w:sz w:val="22"/>
        <w:szCs w:val="22"/>
        <w:lang w:val="en-US"/>
      </w:rPr>
      <w:instrText xml:space="preserve"> NUMPAGES </w:instrText>
    </w:r>
    <w:r w:rsidRPr="009C3A4F">
      <w:rPr>
        <w:rFonts w:ascii="Times New Roman" w:hAnsi="Times New Roman"/>
        <w:sz w:val="22"/>
        <w:szCs w:val="22"/>
        <w:lang w:val="en-US"/>
      </w:rPr>
      <w:fldChar w:fldCharType="separate"/>
    </w:r>
    <w:r w:rsidR="0035342A">
      <w:rPr>
        <w:rFonts w:ascii="Times New Roman" w:hAnsi="Times New Roman"/>
        <w:sz w:val="22"/>
        <w:szCs w:val="22"/>
        <w:lang w:val="en-US"/>
      </w:rPr>
      <w:t>33</w:t>
    </w:r>
    <w:r w:rsidRPr="009C3A4F">
      <w:rPr>
        <w:rFonts w:ascii="Times New Roman" w:hAnsi="Times New Roman"/>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39ED" w14:textId="5B9AC952" w:rsidR="001302F7" w:rsidRPr="009C3A4F" w:rsidRDefault="001302F7" w:rsidP="009C3A4F">
    <w:pPr>
      <w:tabs>
        <w:tab w:val="clear" w:pos="567"/>
        <w:tab w:val="center" w:pos="4320"/>
        <w:tab w:val="right" w:pos="8640"/>
      </w:tabs>
      <w:jc w:val="center"/>
      <w:rPr>
        <w:szCs w:val="22"/>
        <w:lang w:val="en-US"/>
      </w:rPr>
    </w:pPr>
    <w:r w:rsidRPr="009C3A4F">
      <w:rPr>
        <w:szCs w:val="22"/>
        <w:lang w:val="en-US"/>
      </w:rPr>
      <w:fldChar w:fldCharType="begin"/>
    </w:r>
    <w:r w:rsidRPr="009C3A4F">
      <w:rPr>
        <w:szCs w:val="22"/>
        <w:lang w:val="en-US"/>
      </w:rPr>
      <w:instrText xml:space="preserve"> PAGE </w:instrText>
    </w:r>
    <w:r w:rsidRPr="009C3A4F">
      <w:rPr>
        <w:szCs w:val="22"/>
        <w:lang w:val="en-US"/>
      </w:rPr>
      <w:fldChar w:fldCharType="separate"/>
    </w:r>
    <w:r w:rsidR="0035342A">
      <w:rPr>
        <w:noProof/>
        <w:szCs w:val="22"/>
        <w:lang w:val="en-US"/>
      </w:rPr>
      <w:t>1</w:t>
    </w:r>
    <w:r w:rsidRPr="009C3A4F">
      <w:rPr>
        <w:szCs w:val="22"/>
        <w:lang w:val="en-US"/>
      </w:rPr>
      <w:fldChar w:fldCharType="end"/>
    </w:r>
    <w:r w:rsidRPr="009C3A4F">
      <w:rPr>
        <w:szCs w:val="22"/>
        <w:lang w:val="en-US"/>
      </w:rPr>
      <w:t xml:space="preserve"> / </w:t>
    </w:r>
    <w:r w:rsidRPr="009C3A4F">
      <w:rPr>
        <w:szCs w:val="22"/>
        <w:lang w:val="en-US"/>
      </w:rPr>
      <w:fldChar w:fldCharType="begin"/>
    </w:r>
    <w:r w:rsidRPr="009C3A4F">
      <w:rPr>
        <w:szCs w:val="22"/>
        <w:lang w:val="en-US"/>
      </w:rPr>
      <w:instrText xml:space="preserve"> NUMPAGES </w:instrText>
    </w:r>
    <w:r w:rsidRPr="009C3A4F">
      <w:rPr>
        <w:szCs w:val="22"/>
        <w:lang w:val="en-US"/>
      </w:rPr>
      <w:fldChar w:fldCharType="separate"/>
    </w:r>
    <w:r w:rsidR="0035342A">
      <w:rPr>
        <w:noProof/>
        <w:szCs w:val="22"/>
        <w:lang w:val="en-US"/>
      </w:rPr>
      <w:t>33</w:t>
    </w:r>
    <w:r w:rsidRPr="009C3A4F">
      <w:rPr>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E3A04" w14:textId="77777777" w:rsidR="00801B8C" w:rsidRDefault="00801B8C">
      <w:r>
        <w:separator/>
      </w:r>
    </w:p>
  </w:footnote>
  <w:footnote w:type="continuationSeparator" w:id="0">
    <w:p w14:paraId="464C4D2F" w14:textId="77777777" w:rsidR="00801B8C" w:rsidRDefault="00801B8C">
      <w:r>
        <w:continuationSeparator/>
      </w:r>
    </w:p>
  </w:footnote>
  <w:footnote w:type="continuationNotice" w:id="1">
    <w:p w14:paraId="5CA1C718" w14:textId="77777777" w:rsidR="00801B8C" w:rsidRDefault="00801B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761"/>
    <w:multiLevelType w:val="hybridMultilevel"/>
    <w:tmpl w:val="A928DD64"/>
    <w:lvl w:ilvl="0" w:tplc="C6F8CE70">
      <w:start w:val="1"/>
      <w:numFmt w:val="bullet"/>
      <w:lvlText w:val=""/>
      <w:lvlJc w:val="left"/>
      <w:pPr>
        <w:ind w:left="360" w:hanging="360"/>
      </w:pPr>
      <w:rPr>
        <w:rFonts w:ascii="Symbol" w:hAnsi="Symbol" w:hint="default"/>
      </w:rPr>
    </w:lvl>
    <w:lvl w:ilvl="1" w:tplc="5ADAC3EC" w:tentative="1">
      <w:start w:val="1"/>
      <w:numFmt w:val="bullet"/>
      <w:lvlText w:val="o"/>
      <w:lvlJc w:val="left"/>
      <w:pPr>
        <w:ind w:left="1440" w:hanging="360"/>
      </w:pPr>
      <w:rPr>
        <w:rFonts w:ascii="Courier New" w:hAnsi="Courier New" w:cs="Courier New" w:hint="default"/>
      </w:rPr>
    </w:lvl>
    <w:lvl w:ilvl="2" w:tplc="CFA81C62" w:tentative="1">
      <w:start w:val="1"/>
      <w:numFmt w:val="bullet"/>
      <w:lvlText w:val=""/>
      <w:lvlJc w:val="left"/>
      <w:pPr>
        <w:ind w:left="2160" w:hanging="360"/>
      </w:pPr>
      <w:rPr>
        <w:rFonts w:ascii="Wingdings" w:hAnsi="Wingdings" w:hint="default"/>
      </w:rPr>
    </w:lvl>
    <w:lvl w:ilvl="3" w:tplc="24C030E8" w:tentative="1">
      <w:start w:val="1"/>
      <w:numFmt w:val="bullet"/>
      <w:lvlText w:val=""/>
      <w:lvlJc w:val="left"/>
      <w:pPr>
        <w:ind w:left="2880" w:hanging="360"/>
      </w:pPr>
      <w:rPr>
        <w:rFonts w:ascii="Symbol" w:hAnsi="Symbol" w:hint="default"/>
      </w:rPr>
    </w:lvl>
    <w:lvl w:ilvl="4" w:tplc="7EEA571E" w:tentative="1">
      <w:start w:val="1"/>
      <w:numFmt w:val="bullet"/>
      <w:lvlText w:val="o"/>
      <w:lvlJc w:val="left"/>
      <w:pPr>
        <w:ind w:left="3600" w:hanging="360"/>
      </w:pPr>
      <w:rPr>
        <w:rFonts w:ascii="Courier New" w:hAnsi="Courier New" w:cs="Courier New" w:hint="default"/>
      </w:rPr>
    </w:lvl>
    <w:lvl w:ilvl="5" w:tplc="A8C65E0A" w:tentative="1">
      <w:start w:val="1"/>
      <w:numFmt w:val="bullet"/>
      <w:lvlText w:val=""/>
      <w:lvlJc w:val="left"/>
      <w:pPr>
        <w:ind w:left="4320" w:hanging="360"/>
      </w:pPr>
      <w:rPr>
        <w:rFonts w:ascii="Wingdings" w:hAnsi="Wingdings" w:hint="default"/>
      </w:rPr>
    </w:lvl>
    <w:lvl w:ilvl="6" w:tplc="F9E8EC64" w:tentative="1">
      <w:start w:val="1"/>
      <w:numFmt w:val="bullet"/>
      <w:lvlText w:val=""/>
      <w:lvlJc w:val="left"/>
      <w:pPr>
        <w:ind w:left="5040" w:hanging="360"/>
      </w:pPr>
      <w:rPr>
        <w:rFonts w:ascii="Symbol" w:hAnsi="Symbol" w:hint="default"/>
      </w:rPr>
    </w:lvl>
    <w:lvl w:ilvl="7" w:tplc="6B9CBA82" w:tentative="1">
      <w:start w:val="1"/>
      <w:numFmt w:val="bullet"/>
      <w:lvlText w:val="o"/>
      <w:lvlJc w:val="left"/>
      <w:pPr>
        <w:ind w:left="5760" w:hanging="360"/>
      </w:pPr>
      <w:rPr>
        <w:rFonts w:ascii="Courier New" w:hAnsi="Courier New" w:cs="Courier New" w:hint="default"/>
      </w:rPr>
    </w:lvl>
    <w:lvl w:ilvl="8" w:tplc="C5469B6E" w:tentative="1">
      <w:start w:val="1"/>
      <w:numFmt w:val="bullet"/>
      <w:lvlText w:val=""/>
      <w:lvlJc w:val="left"/>
      <w:pPr>
        <w:ind w:left="6480" w:hanging="360"/>
      </w:pPr>
      <w:rPr>
        <w:rFonts w:ascii="Wingdings" w:hAnsi="Wingdings" w:hint="default"/>
      </w:rPr>
    </w:lvl>
  </w:abstractNum>
  <w:abstractNum w:abstractNumId="1" w15:restartNumberingAfterBreak="0">
    <w:nsid w:val="01C8079F"/>
    <w:multiLevelType w:val="hybridMultilevel"/>
    <w:tmpl w:val="35C2AB12"/>
    <w:lvl w:ilvl="0" w:tplc="7F7057EE">
      <w:start w:val="1"/>
      <w:numFmt w:val="bullet"/>
      <w:lvlText w:val=""/>
      <w:lvlJc w:val="left"/>
      <w:pPr>
        <w:ind w:left="1080" w:hanging="360"/>
      </w:pPr>
      <w:rPr>
        <w:rFonts w:ascii="Symbol" w:hAnsi="Symbol" w:hint="default"/>
      </w:rPr>
    </w:lvl>
    <w:lvl w:ilvl="1" w:tplc="A0704F90">
      <w:start w:val="1"/>
      <w:numFmt w:val="bullet"/>
      <w:lvlText w:val="o"/>
      <w:lvlJc w:val="left"/>
      <w:pPr>
        <w:ind w:left="1800" w:hanging="360"/>
      </w:pPr>
      <w:rPr>
        <w:rFonts w:ascii="Courier New" w:hAnsi="Courier New" w:cs="Courier New" w:hint="default"/>
      </w:rPr>
    </w:lvl>
    <w:lvl w:ilvl="2" w:tplc="9F60B8CE">
      <w:start w:val="1"/>
      <w:numFmt w:val="bullet"/>
      <w:lvlText w:val=""/>
      <w:lvlJc w:val="left"/>
      <w:pPr>
        <w:ind w:left="2520" w:hanging="360"/>
      </w:pPr>
      <w:rPr>
        <w:rFonts w:ascii="Wingdings" w:hAnsi="Wingdings" w:hint="default"/>
      </w:rPr>
    </w:lvl>
    <w:lvl w:ilvl="3" w:tplc="397E225C">
      <w:start w:val="1"/>
      <w:numFmt w:val="bullet"/>
      <w:lvlText w:val=""/>
      <w:lvlJc w:val="left"/>
      <w:pPr>
        <w:ind w:left="3240" w:hanging="360"/>
      </w:pPr>
      <w:rPr>
        <w:rFonts w:ascii="Symbol" w:hAnsi="Symbol" w:hint="default"/>
      </w:rPr>
    </w:lvl>
    <w:lvl w:ilvl="4" w:tplc="95E01B72">
      <w:start w:val="1"/>
      <w:numFmt w:val="bullet"/>
      <w:lvlText w:val="o"/>
      <w:lvlJc w:val="left"/>
      <w:pPr>
        <w:ind w:left="3960" w:hanging="360"/>
      </w:pPr>
      <w:rPr>
        <w:rFonts w:ascii="Courier New" w:hAnsi="Courier New" w:cs="Courier New" w:hint="default"/>
      </w:rPr>
    </w:lvl>
    <w:lvl w:ilvl="5" w:tplc="69566094">
      <w:start w:val="1"/>
      <w:numFmt w:val="bullet"/>
      <w:lvlText w:val=""/>
      <w:lvlJc w:val="left"/>
      <w:pPr>
        <w:ind w:left="4680" w:hanging="360"/>
      </w:pPr>
      <w:rPr>
        <w:rFonts w:ascii="Wingdings" w:hAnsi="Wingdings" w:hint="default"/>
      </w:rPr>
    </w:lvl>
    <w:lvl w:ilvl="6" w:tplc="88FA87BC">
      <w:start w:val="1"/>
      <w:numFmt w:val="bullet"/>
      <w:lvlText w:val=""/>
      <w:lvlJc w:val="left"/>
      <w:pPr>
        <w:ind w:left="5400" w:hanging="360"/>
      </w:pPr>
      <w:rPr>
        <w:rFonts w:ascii="Symbol" w:hAnsi="Symbol" w:hint="default"/>
      </w:rPr>
    </w:lvl>
    <w:lvl w:ilvl="7" w:tplc="CD527D70">
      <w:start w:val="1"/>
      <w:numFmt w:val="bullet"/>
      <w:lvlText w:val="o"/>
      <w:lvlJc w:val="left"/>
      <w:pPr>
        <w:ind w:left="6120" w:hanging="360"/>
      </w:pPr>
      <w:rPr>
        <w:rFonts w:ascii="Courier New" w:hAnsi="Courier New" w:cs="Courier New" w:hint="default"/>
      </w:rPr>
    </w:lvl>
    <w:lvl w:ilvl="8" w:tplc="B366CD24">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426CA9B0">
      <w:start w:val="1"/>
      <w:numFmt w:val="bullet"/>
      <w:lvlText w:val=""/>
      <w:lvlJc w:val="left"/>
      <w:pPr>
        <w:tabs>
          <w:tab w:val="num" w:pos="720"/>
        </w:tabs>
        <w:ind w:left="720" w:hanging="360"/>
      </w:pPr>
      <w:rPr>
        <w:rFonts w:ascii="Symbol" w:hAnsi="Symbol" w:hint="default"/>
      </w:rPr>
    </w:lvl>
    <w:lvl w:ilvl="1" w:tplc="70480AA0" w:tentative="1">
      <w:start w:val="1"/>
      <w:numFmt w:val="bullet"/>
      <w:lvlText w:val="o"/>
      <w:lvlJc w:val="left"/>
      <w:pPr>
        <w:tabs>
          <w:tab w:val="num" w:pos="1440"/>
        </w:tabs>
        <w:ind w:left="1440" w:hanging="360"/>
      </w:pPr>
      <w:rPr>
        <w:rFonts w:ascii="Courier New" w:hAnsi="Courier New" w:cs="Courier New" w:hint="default"/>
      </w:rPr>
    </w:lvl>
    <w:lvl w:ilvl="2" w:tplc="076AA9A2" w:tentative="1">
      <w:start w:val="1"/>
      <w:numFmt w:val="bullet"/>
      <w:lvlText w:val=""/>
      <w:lvlJc w:val="left"/>
      <w:pPr>
        <w:tabs>
          <w:tab w:val="num" w:pos="2160"/>
        </w:tabs>
        <w:ind w:left="2160" w:hanging="360"/>
      </w:pPr>
      <w:rPr>
        <w:rFonts w:ascii="Wingdings" w:hAnsi="Wingdings" w:hint="default"/>
      </w:rPr>
    </w:lvl>
    <w:lvl w:ilvl="3" w:tplc="1D801654" w:tentative="1">
      <w:start w:val="1"/>
      <w:numFmt w:val="bullet"/>
      <w:lvlText w:val=""/>
      <w:lvlJc w:val="left"/>
      <w:pPr>
        <w:tabs>
          <w:tab w:val="num" w:pos="2880"/>
        </w:tabs>
        <w:ind w:left="2880" w:hanging="360"/>
      </w:pPr>
      <w:rPr>
        <w:rFonts w:ascii="Symbol" w:hAnsi="Symbol" w:hint="default"/>
      </w:rPr>
    </w:lvl>
    <w:lvl w:ilvl="4" w:tplc="06DEC6F6" w:tentative="1">
      <w:start w:val="1"/>
      <w:numFmt w:val="bullet"/>
      <w:lvlText w:val="o"/>
      <w:lvlJc w:val="left"/>
      <w:pPr>
        <w:tabs>
          <w:tab w:val="num" w:pos="3600"/>
        </w:tabs>
        <w:ind w:left="3600" w:hanging="360"/>
      </w:pPr>
      <w:rPr>
        <w:rFonts w:ascii="Courier New" w:hAnsi="Courier New" w:cs="Courier New" w:hint="default"/>
      </w:rPr>
    </w:lvl>
    <w:lvl w:ilvl="5" w:tplc="6F581674" w:tentative="1">
      <w:start w:val="1"/>
      <w:numFmt w:val="bullet"/>
      <w:lvlText w:val=""/>
      <w:lvlJc w:val="left"/>
      <w:pPr>
        <w:tabs>
          <w:tab w:val="num" w:pos="4320"/>
        </w:tabs>
        <w:ind w:left="4320" w:hanging="360"/>
      </w:pPr>
      <w:rPr>
        <w:rFonts w:ascii="Wingdings" w:hAnsi="Wingdings" w:hint="default"/>
      </w:rPr>
    </w:lvl>
    <w:lvl w:ilvl="6" w:tplc="A8929C10" w:tentative="1">
      <w:start w:val="1"/>
      <w:numFmt w:val="bullet"/>
      <w:lvlText w:val=""/>
      <w:lvlJc w:val="left"/>
      <w:pPr>
        <w:tabs>
          <w:tab w:val="num" w:pos="5040"/>
        </w:tabs>
        <w:ind w:left="5040" w:hanging="360"/>
      </w:pPr>
      <w:rPr>
        <w:rFonts w:ascii="Symbol" w:hAnsi="Symbol" w:hint="default"/>
      </w:rPr>
    </w:lvl>
    <w:lvl w:ilvl="7" w:tplc="BA6A13DC" w:tentative="1">
      <w:start w:val="1"/>
      <w:numFmt w:val="bullet"/>
      <w:lvlText w:val="o"/>
      <w:lvlJc w:val="left"/>
      <w:pPr>
        <w:tabs>
          <w:tab w:val="num" w:pos="5760"/>
        </w:tabs>
        <w:ind w:left="5760" w:hanging="360"/>
      </w:pPr>
      <w:rPr>
        <w:rFonts w:ascii="Courier New" w:hAnsi="Courier New" w:cs="Courier New" w:hint="default"/>
      </w:rPr>
    </w:lvl>
    <w:lvl w:ilvl="8" w:tplc="49687D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B0C27"/>
    <w:multiLevelType w:val="multilevel"/>
    <w:tmpl w:val="4BC65D4E"/>
    <w:lvl w:ilvl="0">
      <w:start w:val="1"/>
      <w:numFmt w:val="decimal"/>
      <w:pStyle w:val="Formatmall1"/>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3138BE"/>
    <w:multiLevelType w:val="hybridMultilevel"/>
    <w:tmpl w:val="13668292"/>
    <w:lvl w:ilvl="0" w:tplc="16F8A494">
      <w:start w:val="1"/>
      <w:numFmt w:val="bullet"/>
      <w:lvlText w:val=""/>
      <w:lvlJc w:val="left"/>
      <w:pPr>
        <w:ind w:left="720" w:hanging="360"/>
      </w:pPr>
      <w:rPr>
        <w:rFonts w:ascii="Symbol" w:hAnsi="Symbol" w:hint="default"/>
      </w:rPr>
    </w:lvl>
    <w:lvl w:ilvl="1" w:tplc="3002217A" w:tentative="1">
      <w:start w:val="1"/>
      <w:numFmt w:val="bullet"/>
      <w:lvlText w:val="o"/>
      <w:lvlJc w:val="left"/>
      <w:pPr>
        <w:ind w:left="1440" w:hanging="360"/>
      </w:pPr>
      <w:rPr>
        <w:rFonts w:ascii="Courier New" w:hAnsi="Courier New" w:cs="Courier New" w:hint="default"/>
      </w:rPr>
    </w:lvl>
    <w:lvl w:ilvl="2" w:tplc="C33A3758" w:tentative="1">
      <w:start w:val="1"/>
      <w:numFmt w:val="bullet"/>
      <w:lvlText w:val=""/>
      <w:lvlJc w:val="left"/>
      <w:pPr>
        <w:ind w:left="2160" w:hanging="360"/>
      </w:pPr>
      <w:rPr>
        <w:rFonts w:ascii="Wingdings" w:hAnsi="Wingdings" w:hint="default"/>
      </w:rPr>
    </w:lvl>
    <w:lvl w:ilvl="3" w:tplc="7EEA5A24" w:tentative="1">
      <w:start w:val="1"/>
      <w:numFmt w:val="bullet"/>
      <w:lvlText w:val=""/>
      <w:lvlJc w:val="left"/>
      <w:pPr>
        <w:ind w:left="2880" w:hanging="360"/>
      </w:pPr>
      <w:rPr>
        <w:rFonts w:ascii="Symbol" w:hAnsi="Symbol" w:hint="default"/>
      </w:rPr>
    </w:lvl>
    <w:lvl w:ilvl="4" w:tplc="6FEC0E88" w:tentative="1">
      <w:start w:val="1"/>
      <w:numFmt w:val="bullet"/>
      <w:lvlText w:val="o"/>
      <w:lvlJc w:val="left"/>
      <w:pPr>
        <w:ind w:left="3600" w:hanging="360"/>
      </w:pPr>
      <w:rPr>
        <w:rFonts w:ascii="Courier New" w:hAnsi="Courier New" w:cs="Courier New" w:hint="default"/>
      </w:rPr>
    </w:lvl>
    <w:lvl w:ilvl="5" w:tplc="EE3AB374" w:tentative="1">
      <w:start w:val="1"/>
      <w:numFmt w:val="bullet"/>
      <w:lvlText w:val=""/>
      <w:lvlJc w:val="left"/>
      <w:pPr>
        <w:ind w:left="4320" w:hanging="360"/>
      </w:pPr>
      <w:rPr>
        <w:rFonts w:ascii="Wingdings" w:hAnsi="Wingdings" w:hint="default"/>
      </w:rPr>
    </w:lvl>
    <w:lvl w:ilvl="6" w:tplc="E4681F9C" w:tentative="1">
      <w:start w:val="1"/>
      <w:numFmt w:val="bullet"/>
      <w:lvlText w:val=""/>
      <w:lvlJc w:val="left"/>
      <w:pPr>
        <w:ind w:left="5040" w:hanging="360"/>
      </w:pPr>
      <w:rPr>
        <w:rFonts w:ascii="Symbol" w:hAnsi="Symbol" w:hint="default"/>
      </w:rPr>
    </w:lvl>
    <w:lvl w:ilvl="7" w:tplc="005E51D6" w:tentative="1">
      <w:start w:val="1"/>
      <w:numFmt w:val="bullet"/>
      <w:lvlText w:val="o"/>
      <w:lvlJc w:val="left"/>
      <w:pPr>
        <w:ind w:left="5760" w:hanging="360"/>
      </w:pPr>
      <w:rPr>
        <w:rFonts w:ascii="Courier New" w:hAnsi="Courier New" w:cs="Courier New" w:hint="default"/>
      </w:rPr>
    </w:lvl>
    <w:lvl w:ilvl="8" w:tplc="E096907C" w:tentative="1">
      <w:start w:val="1"/>
      <w:numFmt w:val="bullet"/>
      <w:lvlText w:val=""/>
      <w:lvlJc w:val="left"/>
      <w:pPr>
        <w:ind w:left="6480" w:hanging="360"/>
      </w:pPr>
      <w:rPr>
        <w:rFonts w:ascii="Wingdings" w:hAnsi="Wingdings" w:hint="default"/>
      </w:rPr>
    </w:lvl>
  </w:abstractNum>
  <w:abstractNum w:abstractNumId="5" w15:restartNumberingAfterBreak="0">
    <w:nsid w:val="0E3E1552"/>
    <w:multiLevelType w:val="hybridMultilevel"/>
    <w:tmpl w:val="283613EC"/>
    <w:lvl w:ilvl="0" w:tplc="17406E78">
      <w:start w:val="1"/>
      <w:numFmt w:val="bullet"/>
      <w:lvlText w:val=""/>
      <w:lvlJc w:val="left"/>
      <w:pPr>
        <w:ind w:left="720" w:hanging="360"/>
      </w:pPr>
      <w:rPr>
        <w:rFonts w:ascii="Symbol" w:hAnsi="Symbol" w:hint="default"/>
      </w:rPr>
    </w:lvl>
    <w:lvl w:ilvl="1" w:tplc="80280FEA" w:tentative="1">
      <w:start w:val="1"/>
      <w:numFmt w:val="bullet"/>
      <w:lvlText w:val="o"/>
      <w:lvlJc w:val="left"/>
      <w:pPr>
        <w:ind w:left="1440" w:hanging="360"/>
      </w:pPr>
      <w:rPr>
        <w:rFonts w:ascii="Courier New" w:hAnsi="Courier New" w:cs="Courier New" w:hint="default"/>
      </w:rPr>
    </w:lvl>
    <w:lvl w:ilvl="2" w:tplc="E93E7DB6" w:tentative="1">
      <w:start w:val="1"/>
      <w:numFmt w:val="bullet"/>
      <w:lvlText w:val=""/>
      <w:lvlJc w:val="left"/>
      <w:pPr>
        <w:ind w:left="2160" w:hanging="360"/>
      </w:pPr>
      <w:rPr>
        <w:rFonts w:ascii="Wingdings" w:hAnsi="Wingdings" w:hint="default"/>
      </w:rPr>
    </w:lvl>
    <w:lvl w:ilvl="3" w:tplc="2E386382" w:tentative="1">
      <w:start w:val="1"/>
      <w:numFmt w:val="bullet"/>
      <w:lvlText w:val=""/>
      <w:lvlJc w:val="left"/>
      <w:pPr>
        <w:ind w:left="2880" w:hanging="360"/>
      </w:pPr>
      <w:rPr>
        <w:rFonts w:ascii="Symbol" w:hAnsi="Symbol" w:hint="default"/>
      </w:rPr>
    </w:lvl>
    <w:lvl w:ilvl="4" w:tplc="CD70C28A" w:tentative="1">
      <w:start w:val="1"/>
      <w:numFmt w:val="bullet"/>
      <w:lvlText w:val="o"/>
      <w:lvlJc w:val="left"/>
      <w:pPr>
        <w:ind w:left="3600" w:hanging="360"/>
      </w:pPr>
      <w:rPr>
        <w:rFonts w:ascii="Courier New" w:hAnsi="Courier New" w:cs="Courier New" w:hint="default"/>
      </w:rPr>
    </w:lvl>
    <w:lvl w:ilvl="5" w:tplc="BA8E897E" w:tentative="1">
      <w:start w:val="1"/>
      <w:numFmt w:val="bullet"/>
      <w:lvlText w:val=""/>
      <w:lvlJc w:val="left"/>
      <w:pPr>
        <w:ind w:left="4320" w:hanging="360"/>
      </w:pPr>
      <w:rPr>
        <w:rFonts w:ascii="Wingdings" w:hAnsi="Wingdings" w:hint="default"/>
      </w:rPr>
    </w:lvl>
    <w:lvl w:ilvl="6" w:tplc="3F8AEF88" w:tentative="1">
      <w:start w:val="1"/>
      <w:numFmt w:val="bullet"/>
      <w:lvlText w:val=""/>
      <w:lvlJc w:val="left"/>
      <w:pPr>
        <w:ind w:left="5040" w:hanging="360"/>
      </w:pPr>
      <w:rPr>
        <w:rFonts w:ascii="Symbol" w:hAnsi="Symbol" w:hint="default"/>
      </w:rPr>
    </w:lvl>
    <w:lvl w:ilvl="7" w:tplc="D2F2339A" w:tentative="1">
      <w:start w:val="1"/>
      <w:numFmt w:val="bullet"/>
      <w:lvlText w:val="o"/>
      <w:lvlJc w:val="left"/>
      <w:pPr>
        <w:ind w:left="5760" w:hanging="360"/>
      </w:pPr>
      <w:rPr>
        <w:rFonts w:ascii="Courier New" w:hAnsi="Courier New" w:cs="Courier New" w:hint="default"/>
      </w:rPr>
    </w:lvl>
    <w:lvl w:ilvl="8" w:tplc="1D92ECDE" w:tentative="1">
      <w:start w:val="1"/>
      <w:numFmt w:val="bullet"/>
      <w:lvlText w:val=""/>
      <w:lvlJc w:val="left"/>
      <w:pPr>
        <w:ind w:left="6480" w:hanging="360"/>
      </w:pPr>
      <w:rPr>
        <w:rFonts w:ascii="Wingdings" w:hAnsi="Wingdings" w:hint="default"/>
      </w:rPr>
    </w:lvl>
  </w:abstractNum>
  <w:abstractNum w:abstractNumId="6" w15:restartNumberingAfterBreak="0">
    <w:nsid w:val="10857AC7"/>
    <w:multiLevelType w:val="hybridMultilevel"/>
    <w:tmpl w:val="CCD45D78"/>
    <w:lvl w:ilvl="0" w:tplc="09D0C0EC">
      <w:start w:val="1"/>
      <w:numFmt w:val="bullet"/>
      <w:lvlText w:val=""/>
      <w:lvlJc w:val="left"/>
      <w:pPr>
        <w:ind w:left="1080" w:hanging="360"/>
      </w:pPr>
      <w:rPr>
        <w:rFonts w:ascii="Symbol" w:hAnsi="Symbol" w:hint="default"/>
      </w:rPr>
    </w:lvl>
    <w:lvl w:ilvl="1" w:tplc="B90A38AC">
      <w:start w:val="1"/>
      <w:numFmt w:val="bullet"/>
      <w:lvlText w:val="o"/>
      <w:lvlJc w:val="left"/>
      <w:pPr>
        <w:ind w:left="1800" w:hanging="360"/>
      </w:pPr>
      <w:rPr>
        <w:rFonts w:ascii="Courier New" w:hAnsi="Courier New" w:cs="Courier New" w:hint="default"/>
      </w:rPr>
    </w:lvl>
    <w:lvl w:ilvl="2" w:tplc="899CC676">
      <w:start w:val="1"/>
      <w:numFmt w:val="bullet"/>
      <w:lvlText w:val=""/>
      <w:lvlJc w:val="left"/>
      <w:pPr>
        <w:ind w:left="2520" w:hanging="360"/>
      </w:pPr>
      <w:rPr>
        <w:rFonts w:ascii="Wingdings" w:hAnsi="Wingdings" w:hint="default"/>
      </w:rPr>
    </w:lvl>
    <w:lvl w:ilvl="3" w:tplc="20444E4C">
      <w:start w:val="1"/>
      <w:numFmt w:val="bullet"/>
      <w:lvlText w:val=""/>
      <w:lvlJc w:val="left"/>
      <w:pPr>
        <w:ind w:left="3240" w:hanging="360"/>
      </w:pPr>
      <w:rPr>
        <w:rFonts w:ascii="Symbol" w:hAnsi="Symbol" w:hint="default"/>
      </w:rPr>
    </w:lvl>
    <w:lvl w:ilvl="4" w:tplc="335EFA32">
      <w:start w:val="1"/>
      <w:numFmt w:val="bullet"/>
      <w:lvlText w:val="o"/>
      <w:lvlJc w:val="left"/>
      <w:pPr>
        <w:ind w:left="3960" w:hanging="360"/>
      </w:pPr>
      <w:rPr>
        <w:rFonts w:ascii="Courier New" w:hAnsi="Courier New" w:cs="Courier New" w:hint="default"/>
      </w:rPr>
    </w:lvl>
    <w:lvl w:ilvl="5" w:tplc="E590524A">
      <w:start w:val="1"/>
      <w:numFmt w:val="bullet"/>
      <w:lvlText w:val=""/>
      <w:lvlJc w:val="left"/>
      <w:pPr>
        <w:ind w:left="4680" w:hanging="360"/>
      </w:pPr>
      <w:rPr>
        <w:rFonts w:ascii="Wingdings" w:hAnsi="Wingdings" w:hint="default"/>
      </w:rPr>
    </w:lvl>
    <w:lvl w:ilvl="6" w:tplc="3146A358">
      <w:start w:val="1"/>
      <w:numFmt w:val="bullet"/>
      <w:lvlText w:val=""/>
      <w:lvlJc w:val="left"/>
      <w:pPr>
        <w:ind w:left="5400" w:hanging="360"/>
      </w:pPr>
      <w:rPr>
        <w:rFonts w:ascii="Symbol" w:hAnsi="Symbol" w:hint="default"/>
      </w:rPr>
    </w:lvl>
    <w:lvl w:ilvl="7" w:tplc="DEB0C07C">
      <w:start w:val="1"/>
      <w:numFmt w:val="bullet"/>
      <w:lvlText w:val="o"/>
      <w:lvlJc w:val="left"/>
      <w:pPr>
        <w:ind w:left="6120" w:hanging="360"/>
      </w:pPr>
      <w:rPr>
        <w:rFonts w:ascii="Courier New" w:hAnsi="Courier New" w:cs="Courier New" w:hint="default"/>
      </w:rPr>
    </w:lvl>
    <w:lvl w:ilvl="8" w:tplc="114E2094">
      <w:start w:val="1"/>
      <w:numFmt w:val="bullet"/>
      <w:lvlText w:val=""/>
      <w:lvlJc w:val="left"/>
      <w:pPr>
        <w:ind w:left="6840" w:hanging="360"/>
      </w:pPr>
      <w:rPr>
        <w:rFonts w:ascii="Wingdings" w:hAnsi="Wingdings" w:hint="default"/>
      </w:rPr>
    </w:lvl>
  </w:abstractNum>
  <w:abstractNum w:abstractNumId="7" w15:restartNumberingAfterBreak="0">
    <w:nsid w:val="123C2D25"/>
    <w:multiLevelType w:val="hybridMultilevel"/>
    <w:tmpl w:val="65BAE7F8"/>
    <w:lvl w:ilvl="0" w:tplc="4AB0C892">
      <w:start w:val="1"/>
      <w:numFmt w:val="bullet"/>
      <w:lvlText w:val=""/>
      <w:lvlJc w:val="left"/>
      <w:pPr>
        <w:ind w:left="720" w:hanging="360"/>
      </w:pPr>
      <w:rPr>
        <w:rFonts w:ascii="Symbol" w:hAnsi="Symbol" w:hint="default"/>
      </w:rPr>
    </w:lvl>
    <w:lvl w:ilvl="1" w:tplc="36469E1A">
      <w:start w:val="1"/>
      <w:numFmt w:val="bullet"/>
      <w:lvlText w:val="o"/>
      <w:lvlJc w:val="left"/>
      <w:pPr>
        <w:ind w:left="1440" w:hanging="360"/>
      </w:pPr>
      <w:rPr>
        <w:rFonts w:ascii="Courier New" w:hAnsi="Courier New" w:cs="Courier New" w:hint="default"/>
      </w:rPr>
    </w:lvl>
    <w:lvl w:ilvl="2" w:tplc="C97C1462">
      <w:start w:val="1"/>
      <w:numFmt w:val="bullet"/>
      <w:lvlText w:val=""/>
      <w:lvlJc w:val="left"/>
      <w:pPr>
        <w:ind w:left="2160" w:hanging="360"/>
      </w:pPr>
      <w:rPr>
        <w:rFonts w:ascii="Wingdings" w:hAnsi="Wingdings" w:hint="default"/>
      </w:rPr>
    </w:lvl>
    <w:lvl w:ilvl="3" w:tplc="58BA4DE0">
      <w:start w:val="1"/>
      <w:numFmt w:val="bullet"/>
      <w:lvlText w:val=""/>
      <w:lvlJc w:val="left"/>
      <w:pPr>
        <w:ind w:left="2880" w:hanging="360"/>
      </w:pPr>
      <w:rPr>
        <w:rFonts w:ascii="Symbol" w:hAnsi="Symbol" w:hint="default"/>
      </w:rPr>
    </w:lvl>
    <w:lvl w:ilvl="4" w:tplc="F28C71CC">
      <w:start w:val="1"/>
      <w:numFmt w:val="bullet"/>
      <w:lvlText w:val="o"/>
      <w:lvlJc w:val="left"/>
      <w:pPr>
        <w:ind w:left="3600" w:hanging="360"/>
      </w:pPr>
      <w:rPr>
        <w:rFonts w:ascii="Courier New" w:hAnsi="Courier New" w:cs="Courier New" w:hint="default"/>
      </w:rPr>
    </w:lvl>
    <w:lvl w:ilvl="5" w:tplc="0F2A1A78">
      <w:start w:val="1"/>
      <w:numFmt w:val="bullet"/>
      <w:lvlText w:val=""/>
      <w:lvlJc w:val="left"/>
      <w:pPr>
        <w:ind w:left="4320" w:hanging="360"/>
      </w:pPr>
      <w:rPr>
        <w:rFonts w:ascii="Wingdings" w:hAnsi="Wingdings" w:hint="default"/>
      </w:rPr>
    </w:lvl>
    <w:lvl w:ilvl="6" w:tplc="E2C64220">
      <w:start w:val="1"/>
      <w:numFmt w:val="bullet"/>
      <w:lvlText w:val=""/>
      <w:lvlJc w:val="left"/>
      <w:pPr>
        <w:ind w:left="5040" w:hanging="360"/>
      </w:pPr>
      <w:rPr>
        <w:rFonts w:ascii="Symbol" w:hAnsi="Symbol" w:hint="default"/>
      </w:rPr>
    </w:lvl>
    <w:lvl w:ilvl="7" w:tplc="29BED33C">
      <w:start w:val="1"/>
      <w:numFmt w:val="bullet"/>
      <w:lvlText w:val="o"/>
      <w:lvlJc w:val="left"/>
      <w:pPr>
        <w:ind w:left="5760" w:hanging="360"/>
      </w:pPr>
      <w:rPr>
        <w:rFonts w:ascii="Courier New" w:hAnsi="Courier New" w:cs="Courier New" w:hint="default"/>
      </w:rPr>
    </w:lvl>
    <w:lvl w:ilvl="8" w:tplc="2DCEA9FA">
      <w:start w:val="1"/>
      <w:numFmt w:val="bullet"/>
      <w:lvlText w:val=""/>
      <w:lvlJc w:val="left"/>
      <w:pPr>
        <w:ind w:left="6480" w:hanging="360"/>
      </w:pPr>
      <w:rPr>
        <w:rFonts w:ascii="Wingdings" w:hAnsi="Wingdings" w:hint="default"/>
      </w:rPr>
    </w:lvl>
  </w:abstractNum>
  <w:abstractNum w:abstractNumId="8" w15:restartNumberingAfterBreak="0">
    <w:nsid w:val="14AD65ED"/>
    <w:multiLevelType w:val="hybridMultilevel"/>
    <w:tmpl w:val="E0DC12A2"/>
    <w:lvl w:ilvl="0" w:tplc="C5FC0836">
      <w:start w:val="1"/>
      <w:numFmt w:val="bullet"/>
      <w:lvlText w:val=""/>
      <w:lvlJc w:val="left"/>
      <w:pPr>
        <w:ind w:left="720" w:hanging="360"/>
      </w:pPr>
      <w:rPr>
        <w:rFonts w:ascii="Symbol" w:hAnsi="Symbol" w:hint="default"/>
      </w:rPr>
    </w:lvl>
    <w:lvl w:ilvl="1" w:tplc="70027468" w:tentative="1">
      <w:start w:val="1"/>
      <w:numFmt w:val="bullet"/>
      <w:lvlText w:val="o"/>
      <w:lvlJc w:val="left"/>
      <w:pPr>
        <w:ind w:left="1440" w:hanging="360"/>
      </w:pPr>
      <w:rPr>
        <w:rFonts w:ascii="Courier New" w:hAnsi="Courier New" w:cs="Courier New" w:hint="default"/>
      </w:rPr>
    </w:lvl>
    <w:lvl w:ilvl="2" w:tplc="31FAA996" w:tentative="1">
      <w:start w:val="1"/>
      <w:numFmt w:val="bullet"/>
      <w:lvlText w:val=""/>
      <w:lvlJc w:val="left"/>
      <w:pPr>
        <w:ind w:left="2160" w:hanging="360"/>
      </w:pPr>
      <w:rPr>
        <w:rFonts w:ascii="Wingdings" w:hAnsi="Wingdings" w:hint="default"/>
      </w:rPr>
    </w:lvl>
    <w:lvl w:ilvl="3" w:tplc="4EC200BC" w:tentative="1">
      <w:start w:val="1"/>
      <w:numFmt w:val="bullet"/>
      <w:lvlText w:val=""/>
      <w:lvlJc w:val="left"/>
      <w:pPr>
        <w:ind w:left="2880" w:hanging="360"/>
      </w:pPr>
      <w:rPr>
        <w:rFonts w:ascii="Symbol" w:hAnsi="Symbol" w:hint="default"/>
      </w:rPr>
    </w:lvl>
    <w:lvl w:ilvl="4" w:tplc="6F989630" w:tentative="1">
      <w:start w:val="1"/>
      <w:numFmt w:val="bullet"/>
      <w:lvlText w:val="o"/>
      <w:lvlJc w:val="left"/>
      <w:pPr>
        <w:ind w:left="3600" w:hanging="360"/>
      </w:pPr>
      <w:rPr>
        <w:rFonts w:ascii="Courier New" w:hAnsi="Courier New" w:cs="Courier New" w:hint="default"/>
      </w:rPr>
    </w:lvl>
    <w:lvl w:ilvl="5" w:tplc="558A2AC2" w:tentative="1">
      <w:start w:val="1"/>
      <w:numFmt w:val="bullet"/>
      <w:lvlText w:val=""/>
      <w:lvlJc w:val="left"/>
      <w:pPr>
        <w:ind w:left="4320" w:hanging="360"/>
      </w:pPr>
      <w:rPr>
        <w:rFonts w:ascii="Wingdings" w:hAnsi="Wingdings" w:hint="default"/>
      </w:rPr>
    </w:lvl>
    <w:lvl w:ilvl="6" w:tplc="CAA49434" w:tentative="1">
      <w:start w:val="1"/>
      <w:numFmt w:val="bullet"/>
      <w:lvlText w:val=""/>
      <w:lvlJc w:val="left"/>
      <w:pPr>
        <w:ind w:left="5040" w:hanging="360"/>
      </w:pPr>
      <w:rPr>
        <w:rFonts w:ascii="Symbol" w:hAnsi="Symbol" w:hint="default"/>
      </w:rPr>
    </w:lvl>
    <w:lvl w:ilvl="7" w:tplc="22F69FEA" w:tentative="1">
      <w:start w:val="1"/>
      <w:numFmt w:val="bullet"/>
      <w:lvlText w:val="o"/>
      <w:lvlJc w:val="left"/>
      <w:pPr>
        <w:ind w:left="5760" w:hanging="360"/>
      </w:pPr>
      <w:rPr>
        <w:rFonts w:ascii="Courier New" w:hAnsi="Courier New" w:cs="Courier New" w:hint="default"/>
      </w:rPr>
    </w:lvl>
    <w:lvl w:ilvl="8" w:tplc="5D10B13E" w:tentative="1">
      <w:start w:val="1"/>
      <w:numFmt w:val="bullet"/>
      <w:lvlText w:val=""/>
      <w:lvlJc w:val="left"/>
      <w:pPr>
        <w:ind w:left="6480" w:hanging="360"/>
      </w:pPr>
      <w:rPr>
        <w:rFonts w:ascii="Wingdings" w:hAnsi="Wingdings" w:hint="default"/>
      </w:rPr>
    </w:lvl>
  </w:abstractNum>
  <w:abstractNum w:abstractNumId="9" w15:restartNumberingAfterBreak="0">
    <w:nsid w:val="179848E8"/>
    <w:multiLevelType w:val="hybridMultilevel"/>
    <w:tmpl w:val="9FA2AB24"/>
    <w:lvl w:ilvl="0" w:tplc="25D4B236">
      <w:start w:val="1"/>
      <w:numFmt w:val="bullet"/>
      <w:lvlText w:val=""/>
      <w:lvlJc w:val="left"/>
      <w:pPr>
        <w:ind w:left="720" w:hanging="360"/>
      </w:pPr>
      <w:rPr>
        <w:rFonts w:ascii="Symbol" w:hAnsi="Symbol" w:hint="default"/>
      </w:rPr>
    </w:lvl>
    <w:lvl w:ilvl="1" w:tplc="432E87B2">
      <w:start w:val="1"/>
      <w:numFmt w:val="bullet"/>
      <w:lvlText w:val="o"/>
      <w:lvlJc w:val="left"/>
      <w:pPr>
        <w:ind w:left="1440" w:hanging="360"/>
      </w:pPr>
      <w:rPr>
        <w:rFonts w:ascii="Courier New" w:hAnsi="Courier New" w:cs="Courier New" w:hint="default"/>
      </w:rPr>
    </w:lvl>
    <w:lvl w:ilvl="2" w:tplc="55DAE94C">
      <w:start w:val="1"/>
      <w:numFmt w:val="bullet"/>
      <w:lvlText w:val=""/>
      <w:lvlJc w:val="left"/>
      <w:pPr>
        <w:ind w:left="2160" w:hanging="360"/>
      </w:pPr>
      <w:rPr>
        <w:rFonts w:ascii="Wingdings" w:hAnsi="Wingdings" w:hint="default"/>
      </w:rPr>
    </w:lvl>
    <w:lvl w:ilvl="3" w:tplc="BF32681C">
      <w:start w:val="1"/>
      <w:numFmt w:val="bullet"/>
      <w:lvlText w:val=""/>
      <w:lvlJc w:val="left"/>
      <w:pPr>
        <w:ind w:left="2880" w:hanging="360"/>
      </w:pPr>
      <w:rPr>
        <w:rFonts w:ascii="Symbol" w:hAnsi="Symbol" w:hint="default"/>
      </w:rPr>
    </w:lvl>
    <w:lvl w:ilvl="4" w:tplc="8C6456A0">
      <w:start w:val="1"/>
      <w:numFmt w:val="bullet"/>
      <w:lvlText w:val="o"/>
      <w:lvlJc w:val="left"/>
      <w:pPr>
        <w:ind w:left="3600" w:hanging="360"/>
      </w:pPr>
      <w:rPr>
        <w:rFonts w:ascii="Courier New" w:hAnsi="Courier New" w:cs="Courier New" w:hint="default"/>
      </w:rPr>
    </w:lvl>
    <w:lvl w:ilvl="5" w:tplc="8D240D4E">
      <w:start w:val="1"/>
      <w:numFmt w:val="bullet"/>
      <w:lvlText w:val=""/>
      <w:lvlJc w:val="left"/>
      <w:pPr>
        <w:ind w:left="4320" w:hanging="360"/>
      </w:pPr>
      <w:rPr>
        <w:rFonts w:ascii="Wingdings" w:hAnsi="Wingdings" w:hint="default"/>
      </w:rPr>
    </w:lvl>
    <w:lvl w:ilvl="6" w:tplc="E77E50AC">
      <w:start w:val="1"/>
      <w:numFmt w:val="bullet"/>
      <w:lvlText w:val=""/>
      <w:lvlJc w:val="left"/>
      <w:pPr>
        <w:ind w:left="5040" w:hanging="360"/>
      </w:pPr>
      <w:rPr>
        <w:rFonts w:ascii="Symbol" w:hAnsi="Symbol" w:hint="default"/>
      </w:rPr>
    </w:lvl>
    <w:lvl w:ilvl="7" w:tplc="63807DDC">
      <w:start w:val="1"/>
      <w:numFmt w:val="bullet"/>
      <w:lvlText w:val="o"/>
      <w:lvlJc w:val="left"/>
      <w:pPr>
        <w:ind w:left="5760" w:hanging="360"/>
      </w:pPr>
      <w:rPr>
        <w:rFonts w:ascii="Courier New" w:hAnsi="Courier New" w:cs="Courier New" w:hint="default"/>
      </w:rPr>
    </w:lvl>
    <w:lvl w:ilvl="8" w:tplc="DBA00880">
      <w:start w:val="1"/>
      <w:numFmt w:val="bullet"/>
      <w:lvlText w:val=""/>
      <w:lvlJc w:val="left"/>
      <w:pPr>
        <w:ind w:left="6480" w:hanging="360"/>
      </w:pPr>
      <w:rPr>
        <w:rFonts w:ascii="Wingdings" w:hAnsi="Wingdings" w:hint="default"/>
      </w:rPr>
    </w:lvl>
  </w:abstractNum>
  <w:abstractNum w:abstractNumId="10" w15:restartNumberingAfterBreak="0">
    <w:nsid w:val="23EF4024"/>
    <w:multiLevelType w:val="hybridMultilevel"/>
    <w:tmpl w:val="D53E5814"/>
    <w:lvl w:ilvl="0" w:tplc="952051BA">
      <w:start w:val="1"/>
      <w:numFmt w:val="bullet"/>
      <w:lvlText w:val=""/>
      <w:lvlJc w:val="left"/>
      <w:pPr>
        <w:ind w:left="720" w:hanging="360"/>
      </w:pPr>
      <w:rPr>
        <w:rFonts w:ascii="Symbol" w:hAnsi="Symbol" w:hint="default"/>
      </w:rPr>
    </w:lvl>
    <w:lvl w:ilvl="1" w:tplc="BC9AEA30" w:tentative="1">
      <w:start w:val="1"/>
      <w:numFmt w:val="bullet"/>
      <w:lvlText w:val="o"/>
      <w:lvlJc w:val="left"/>
      <w:pPr>
        <w:ind w:left="1440" w:hanging="360"/>
      </w:pPr>
      <w:rPr>
        <w:rFonts w:ascii="Courier New" w:hAnsi="Courier New" w:cs="Courier New" w:hint="default"/>
      </w:rPr>
    </w:lvl>
    <w:lvl w:ilvl="2" w:tplc="B38C8C9C" w:tentative="1">
      <w:start w:val="1"/>
      <w:numFmt w:val="bullet"/>
      <w:lvlText w:val=""/>
      <w:lvlJc w:val="left"/>
      <w:pPr>
        <w:ind w:left="2160" w:hanging="360"/>
      </w:pPr>
      <w:rPr>
        <w:rFonts w:ascii="Wingdings" w:hAnsi="Wingdings" w:hint="default"/>
      </w:rPr>
    </w:lvl>
    <w:lvl w:ilvl="3" w:tplc="A134D6E8" w:tentative="1">
      <w:start w:val="1"/>
      <w:numFmt w:val="bullet"/>
      <w:lvlText w:val=""/>
      <w:lvlJc w:val="left"/>
      <w:pPr>
        <w:ind w:left="2880" w:hanging="360"/>
      </w:pPr>
      <w:rPr>
        <w:rFonts w:ascii="Symbol" w:hAnsi="Symbol" w:hint="default"/>
      </w:rPr>
    </w:lvl>
    <w:lvl w:ilvl="4" w:tplc="2398BFB2" w:tentative="1">
      <w:start w:val="1"/>
      <w:numFmt w:val="bullet"/>
      <w:lvlText w:val="o"/>
      <w:lvlJc w:val="left"/>
      <w:pPr>
        <w:ind w:left="3600" w:hanging="360"/>
      </w:pPr>
      <w:rPr>
        <w:rFonts w:ascii="Courier New" w:hAnsi="Courier New" w:cs="Courier New" w:hint="default"/>
      </w:rPr>
    </w:lvl>
    <w:lvl w:ilvl="5" w:tplc="C43E3874" w:tentative="1">
      <w:start w:val="1"/>
      <w:numFmt w:val="bullet"/>
      <w:lvlText w:val=""/>
      <w:lvlJc w:val="left"/>
      <w:pPr>
        <w:ind w:left="4320" w:hanging="360"/>
      </w:pPr>
      <w:rPr>
        <w:rFonts w:ascii="Wingdings" w:hAnsi="Wingdings" w:hint="default"/>
      </w:rPr>
    </w:lvl>
    <w:lvl w:ilvl="6" w:tplc="473E9554" w:tentative="1">
      <w:start w:val="1"/>
      <w:numFmt w:val="bullet"/>
      <w:lvlText w:val=""/>
      <w:lvlJc w:val="left"/>
      <w:pPr>
        <w:ind w:left="5040" w:hanging="360"/>
      </w:pPr>
      <w:rPr>
        <w:rFonts w:ascii="Symbol" w:hAnsi="Symbol" w:hint="default"/>
      </w:rPr>
    </w:lvl>
    <w:lvl w:ilvl="7" w:tplc="1F2C5A98" w:tentative="1">
      <w:start w:val="1"/>
      <w:numFmt w:val="bullet"/>
      <w:lvlText w:val="o"/>
      <w:lvlJc w:val="left"/>
      <w:pPr>
        <w:ind w:left="5760" w:hanging="360"/>
      </w:pPr>
      <w:rPr>
        <w:rFonts w:ascii="Courier New" w:hAnsi="Courier New" w:cs="Courier New" w:hint="default"/>
      </w:rPr>
    </w:lvl>
    <w:lvl w:ilvl="8" w:tplc="03669C68" w:tentative="1">
      <w:start w:val="1"/>
      <w:numFmt w:val="bullet"/>
      <w:lvlText w:val=""/>
      <w:lvlJc w:val="left"/>
      <w:pPr>
        <w:ind w:left="6480" w:hanging="360"/>
      </w:pPr>
      <w:rPr>
        <w:rFonts w:ascii="Wingdings" w:hAnsi="Wingdings" w:hint="default"/>
      </w:rPr>
    </w:lvl>
  </w:abstractNum>
  <w:abstractNum w:abstractNumId="11" w15:restartNumberingAfterBreak="0">
    <w:nsid w:val="267D46FD"/>
    <w:multiLevelType w:val="hybridMultilevel"/>
    <w:tmpl w:val="72D01C90"/>
    <w:lvl w:ilvl="0" w:tplc="2C6ED08C">
      <w:start w:val="1"/>
      <w:numFmt w:val="bullet"/>
      <w:lvlText w:val=""/>
      <w:lvlJc w:val="left"/>
      <w:pPr>
        <w:ind w:left="720" w:hanging="360"/>
      </w:pPr>
      <w:rPr>
        <w:rFonts w:ascii="Symbol" w:hAnsi="Symbol" w:hint="default"/>
      </w:rPr>
    </w:lvl>
    <w:lvl w:ilvl="1" w:tplc="47260D1E" w:tentative="1">
      <w:start w:val="1"/>
      <w:numFmt w:val="bullet"/>
      <w:lvlText w:val="o"/>
      <w:lvlJc w:val="left"/>
      <w:pPr>
        <w:ind w:left="1440" w:hanging="360"/>
      </w:pPr>
      <w:rPr>
        <w:rFonts w:ascii="Courier New" w:hAnsi="Courier New" w:cs="Courier New" w:hint="default"/>
      </w:rPr>
    </w:lvl>
    <w:lvl w:ilvl="2" w:tplc="7894568A" w:tentative="1">
      <w:start w:val="1"/>
      <w:numFmt w:val="bullet"/>
      <w:lvlText w:val=""/>
      <w:lvlJc w:val="left"/>
      <w:pPr>
        <w:ind w:left="2160" w:hanging="360"/>
      </w:pPr>
      <w:rPr>
        <w:rFonts w:ascii="Wingdings" w:hAnsi="Wingdings" w:hint="default"/>
      </w:rPr>
    </w:lvl>
    <w:lvl w:ilvl="3" w:tplc="4E625604" w:tentative="1">
      <w:start w:val="1"/>
      <w:numFmt w:val="bullet"/>
      <w:lvlText w:val=""/>
      <w:lvlJc w:val="left"/>
      <w:pPr>
        <w:ind w:left="2880" w:hanging="360"/>
      </w:pPr>
      <w:rPr>
        <w:rFonts w:ascii="Symbol" w:hAnsi="Symbol" w:hint="default"/>
      </w:rPr>
    </w:lvl>
    <w:lvl w:ilvl="4" w:tplc="676AC210" w:tentative="1">
      <w:start w:val="1"/>
      <w:numFmt w:val="bullet"/>
      <w:lvlText w:val="o"/>
      <w:lvlJc w:val="left"/>
      <w:pPr>
        <w:ind w:left="3600" w:hanging="360"/>
      </w:pPr>
      <w:rPr>
        <w:rFonts w:ascii="Courier New" w:hAnsi="Courier New" w:cs="Courier New" w:hint="default"/>
      </w:rPr>
    </w:lvl>
    <w:lvl w:ilvl="5" w:tplc="7A64C73E" w:tentative="1">
      <w:start w:val="1"/>
      <w:numFmt w:val="bullet"/>
      <w:lvlText w:val=""/>
      <w:lvlJc w:val="left"/>
      <w:pPr>
        <w:ind w:left="4320" w:hanging="360"/>
      </w:pPr>
      <w:rPr>
        <w:rFonts w:ascii="Wingdings" w:hAnsi="Wingdings" w:hint="default"/>
      </w:rPr>
    </w:lvl>
    <w:lvl w:ilvl="6" w:tplc="31F85186" w:tentative="1">
      <w:start w:val="1"/>
      <w:numFmt w:val="bullet"/>
      <w:lvlText w:val=""/>
      <w:lvlJc w:val="left"/>
      <w:pPr>
        <w:ind w:left="5040" w:hanging="360"/>
      </w:pPr>
      <w:rPr>
        <w:rFonts w:ascii="Symbol" w:hAnsi="Symbol" w:hint="default"/>
      </w:rPr>
    </w:lvl>
    <w:lvl w:ilvl="7" w:tplc="18361452" w:tentative="1">
      <w:start w:val="1"/>
      <w:numFmt w:val="bullet"/>
      <w:lvlText w:val="o"/>
      <w:lvlJc w:val="left"/>
      <w:pPr>
        <w:ind w:left="5760" w:hanging="360"/>
      </w:pPr>
      <w:rPr>
        <w:rFonts w:ascii="Courier New" w:hAnsi="Courier New" w:cs="Courier New" w:hint="default"/>
      </w:rPr>
    </w:lvl>
    <w:lvl w:ilvl="8" w:tplc="164CAACC" w:tentative="1">
      <w:start w:val="1"/>
      <w:numFmt w:val="bullet"/>
      <w:lvlText w:val=""/>
      <w:lvlJc w:val="left"/>
      <w:pPr>
        <w:ind w:left="6480" w:hanging="360"/>
      </w:pPr>
      <w:rPr>
        <w:rFonts w:ascii="Wingdings" w:hAnsi="Wingdings" w:hint="default"/>
      </w:rPr>
    </w:lvl>
  </w:abstractNum>
  <w:abstractNum w:abstractNumId="12" w15:restartNumberingAfterBreak="0">
    <w:nsid w:val="2904456F"/>
    <w:multiLevelType w:val="hybridMultilevel"/>
    <w:tmpl w:val="BA98EC48"/>
    <w:lvl w:ilvl="0" w:tplc="A6B4CD62">
      <w:start w:val="1"/>
      <w:numFmt w:val="bullet"/>
      <w:lvlText w:val=""/>
      <w:lvlJc w:val="left"/>
      <w:pPr>
        <w:ind w:left="1080" w:hanging="360"/>
      </w:pPr>
      <w:rPr>
        <w:rFonts w:ascii="Symbol" w:hAnsi="Symbol" w:hint="default"/>
      </w:rPr>
    </w:lvl>
    <w:lvl w:ilvl="1" w:tplc="ACE698F0">
      <w:start w:val="1"/>
      <w:numFmt w:val="bullet"/>
      <w:lvlText w:val="o"/>
      <w:lvlJc w:val="left"/>
      <w:pPr>
        <w:ind w:left="1800" w:hanging="360"/>
      </w:pPr>
      <w:rPr>
        <w:rFonts w:ascii="Courier New" w:hAnsi="Courier New" w:cs="Courier New" w:hint="default"/>
      </w:rPr>
    </w:lvl>
    <w:lvl w:ilvl="2" w:tplc="CE9016BC">
      <w:start w:val="1"/>
      <w:numFmt w:val="bullet"/>
      <w:lvlText w:val=""/>
      <w:lvlJc w:val="left"/>
      <w:pPr>
        <w:ind w:left="2520" w:hanging="360"/>
      </w:pPr>
      <w:rPr>
        <w:rFonts w:ascii="Wingdings" w:hAnsi="Wingdings" w:hint="default"/>
      </w:rPr>
    </w:lvl>
    <w:lvl w:ilvl="3" w:tplc="935A84A0">
      <w:start w:val="1"/>
      <w:numFmt w:val="bullet"/>
      <w:lvlText w:val=""/>
      <w:lvlJc w:val="left"/>
      <w:pPr>
        <w:ind w:left="3240" w:hanging="360"/>
      </w:pPr>
      <w:rPr>
        <w:rFonts w:ascii="Symbol" w:hAnsi="Symbol" w:hint="default"/>
      </w:rPr>
    </w:lvl>
    <w:lvl w:ilvl="4" w:tplc="4BFC523C">
      <w:start w:val="1"/>
      <w:numFmt w:val="bullet"/>
      <w:lvlText w:val="o"/>
      <w:lvlJc w:val="left"/>
      <w:pPr>
        <w:ind w:left="3960" w:hanging="360"/>
      </w:pPr>
      <w:rPr>
        <w:rFonts w:ascii="Courier New" w:hAnsi="Courier New" w:cs="Courier New" w:hint="default"/>
      </w:rPr>
    </w:lvl>
    <w:lvl w:ilvl="5" w:tplc="20329410">
      <w:start w:val="1"/>
      <w:numFmt w:val="bullet"/>
      <w:lvlText w:val=""/>
      <w:lvlJc w:val="left"/>
      <w:pPr>
        <w:ind w:left="4680" w:hanging="360"/>
      </w:pPr>
      <w:rPr>
        <w:rFonts w:ascii="Wingdings" w:hAnsi="Wingdings" w:hint="default"/>
      </w:rPr>
    </w:lvl>
    <w:lvl w:ilvl="6" w:tplc="9DEAA5AC">
      <w:start w:val="1"/>
      <w:numFmt w:val="bullet"/>
      <w:lvlText w:val=""/>
      <w:lvlJc w:val="left"/>
      <w:pPr>
        <w:ind w:left="5400" w:hanging="360"/>
      </w:pPr>
      <w:rPr>
        <w:rFonts w:ascii="Symbol" w:hAnsi="Symbol" w:hint="default"/>
      </w:rPr>
    </w:lvl>
    <w:lvl w:ilvl="7" w:tplc="22766150">
      <w:start w:val="1"/>
      <w:numFmt w:val="bullet"/>
      <w:lvlText w:val="o"/>
      <w:lvlJc w:val="left"/>
      <w:pPr>
        <w:ind w:left="6120" w:hanging="360"/>
      </w:pPr>
      <w:rPr>
        <w:rFonts w:ascii="Courier New" w:hAnsi="Courier New" w:cs="Courier New" w:hint="default"/>
      </w:rPr>
    </w:lvl>
    <w:lvl w:ilvl="8" w:tplc="9AA8A62E">
      <w:start w:val="1"/>
      <w:numFmt w:val="bullet"/>
      <w:lvlText w:val=""/>
      <w:lvlJc w:val="left"/>
      <w:pPr>
        <w:ind w:left="6840" w:hanging="360"/>
      </w:pPr>
      <w:rPr>
        <w:rFonts w:ascii="Wingdings" w:hAnsi="Wingdings" w:hint="default"/>
      </w:rPr>
    </w:lvl>
  </w:abstractNum>
  <w:abstractNum w:abstractNumId="13" w15:restartNumberingAfterBreak="0">
    <w:nsid w:val="2AD27F40"/>
    <w:multiLevelType w:val="hybridMultilevel"/>
    <w:tmpl w:val="1B0E281E"/>
    <w:lvl w:ilvl="0" w:tplc="4A9840E8">
      <w:start w:val="1"/>
      <w:numFmt w:val="bullet"/>
      <w:lvlText w:val=""/>
      <w:lvlJc w:val="left"/>
      <w:pPr>
        <w:ind w:left="1080" w:hanging="360"/>
      </w:pPr>
      <w:rPr>
        <w:rFonts w:ascii="Symbol" w:hAnsi="Symbol" w:hint="default"/>
      </w:rPr>
    </w:lvl>
    <w:lvl w:ilvl="1" w:tplc="8EFCF38A">
      <w:start w:val="1"/>
      <w:numFmt w:val="bullet"/>
      <w:lvlText w:val="o"/>
      <w:lvlJc w:val="left"/>
      <w:pPr>
        <w:ind w:left="1800" w:hanging="360"/>
      </w:pPr>
      <w:rPr>
        <w:rFonts w:ascii="Courier New" w:hAnsi="Courier New" w:cs="Courier New" w:hint="default"/>
      </w:rPr>
    </w:lvl>
    <w:lvl w:ilvl="2" w:tplc="8654B330">
      <w:start w:val="1"/>
      <w:numFmt w:val="bullet"/>
      <w:lvlText w:val=""/>
      <w:lvlJc w:val="left"/>
      <w:pPr>
        <w:ind w:left="2520" w:hanging="360"/>
      </w:pPr>
      <w:rPr>
        <w:rFonts w:ascii="Wingdings" w:hAnsi="Wingdings" w:hint="default"/>
      </w:rPr>
    </w:lvl>
    <w:lvl w:ilvl="3" w:tplc="EA08D69C">
      <w:start w:val="1"/>
      <w:numFmt w:val="bullet"/>
      <w:lvlText w:val=""/>
      <w:lvlJc w:val="left"/>
      <w:pPr>
        <w:ind w:left="3240" w:hanging="360"/>
      </w:pPr>
      <w:rPr>
        <w:rFonts w:ascii="Symbol" w:hAnsi="Symbol" w:hint="default"/>
      </w:rPr>
    </w:lvl>
    <w:lvl w:ilvl="4" w:tplc="C88E7BFE">
      <w:start w:val="1"/>
      <w:numFmt w:val="bullet"/>
      <w:lvlText w:val="o"/>
      <w:lvlJc w:val="left"/>
      <w:pPr>
        <w:ind w:left="3960" w:hanging="360"/>
      </w:pPr>
      <w:rPr>
        <w:rFonts w:ascii="Courier New" w:hAnsi="Courier New" w:cs="Courier New" w:hint="default"/>
      </w:rPr>
    </w:lvl>
    <w:lvl w:ilvl="5" w:tplc="4F363BEA">
      <w:start w:val="1"/>
      <w:numFmt w:val="bullet"/>
      <w:lvlText w:val=""/>
      <w:lvlJc w:val="left"/>
      <w:pPr>
        <w:ind w:left="4680" w:hanging="360"/>
      </w:pPr>
      <w:rPr>
        <w:rFonts w:ascii="Wingdings" w:hAnsi="Wingdings" w:hint="default"/>
      </w:rPr>
    </w:lvl>
    <w:lvl w:ilvl="6" w:tplc="FDEA86E0">
      <w:start w:val="1"/>
      <w:numFmt w:val="bullet"/>
      <w:lvlText w:val=""/>
      <w:lvlJc w:val="left"/>
      <w:pPr>
        <w:ind w:left="5400" w:hanging="360"/>
      </w:pPr>
      <w:rPr>
        <w:rFonts w:ascii="Symbol" w:hAnsi="Symbol" w:hint="default"/>
      </w:rPr>
    </w:lvl>
    <w:lvl w:ilvl="7" w:tplc="A8568638">
      <w:start w:val="1"/>
      <w:numFmt w:val="bullet"/>
      <w:lvlText w:val="o"/>
      <w:lvlJc w:val="left"/>
      <w:pPr>
        <w:ind w:left="6120" w:hanging="360"/>
      </w:pPr>
      <w:rPr>
        <w:rFonts w:ascii="Courier New" w:hAnsi="Courier New" w:cs="Courier New" w:hint="default"/>
      </w:rPr>
    </w:lvl>
    <w:lvl w:ilvl="8" w:tplc="B1162220">
      <w:start w:val="1"/>
      <w:numFmt w:val="bullet"/>
      <w:lvlText w:val=""/>
      <w:lvlJc w:val="left"/>
      <w:pPr>
        <w:ind w:left="6840" w:hanging="360"/>
      </w:pPr>
      <w:rPr>
        <w:rFonts w:ascii="Wingdings" w:hAnsi="Wingdings" w:hint="default"/>
      </w:rPr>
    </w:lvl>
  </w:abstractNum>
  <w:abstractNum w:abstractNumId="14" w15:restartNumberingAfterBreak="0">
    <w:nsid w:val="2B035056"/>
    <w:multiLevelType w:val="hybridMultilevel"/>
    <w:tmpl w:val="5D1C79A8"/>
    <w:lvl w:ilvl="0" w:tplc="AB64AEEC">
      <w:start w:val="1"/>
      <w:numFmt w:val="bullet"/>
      <w:lvlText w:val=""/>
      <w:lvlJc w:val="left"/>
      <w:pPr>
        <w:ind w:left="720" w:hanging="360"/>
      </w:pPr>
      <w:rPr>
        <w:rFonts w:ascii="Symbol" w:hAnsi="Symbol" w:hint="default"/>
      </w:rPr>
    </w:lvl>
    <w:lvl w:ilvl="1" w:tplc="4828A5E4" w:tentative="1">
      <w:start w:val="1"/>
      <w:numFmt w:val="bullet"/>
      <w:lvlText w:val="o"/>
      <w:lvlJc w:val="left"/>
      <w:pPr>
        <w:ind w:left="1440" w:hanging="360"/>
      </w:pPr>
      <w:rPr>
        <w:rFonts w:ascii="Courier New" w:hAnsi="Courier New" w:cs="Courier New" w:hint="default"/>
      </w:rPr>
    </w:lvl>
    <w:lvl w:ilvl="2" w:tplc="C2D05B6C" w:tentative="1">
      <w:start w:val="1"/>
      <w:numFmt w:val="bullet"/>
      <w:lvlText w:val=""/>
      <w:lvlJc w:val="left"/>
      <w:pPr>
        <w:ind w:left="2160" w:hanging="360"/>
      </w:pPr>
      <w:rPr>
        <w:rFonts w:ascii="Wingdings" w:hAnsi="Wingdings" w:hint="default"/>
      </w:rPr>
    </w:lvl>
    <w:lvl w:ilvl="3" w:tplc="AA9CB418" w:tentative="1">
      <w:start w:val="1"/>
      <w:numFmt w:val="bullet"/>
      <w:lvlText w:val=""/>
      <w:lvlJc w:val="left"/>
      <w:pPr>
        <w:ind w:left="2880" w:hanging="360"/>
      </w:pPr>
      <w:rPr>
        <w:rFonts w:ascii="Symbol" w:hAnsi="Symbol" w:hint="default"/>
      </w:rPr>
    </w:lvl>
    <w:lvl w:ilvl="4" w:tplc="B4C6A83C" w:tentative="1">
      <w:start w:val="1"/>
      <w:numFmt w:val="bullet"/>
      <w:lvlText w:val="o"/>
      <w:lvlJc w:val="left"/>
      <w:pPr>
        <w:ind w:left="3600" w:hanging="360"/>
      </w:pPr>
      <w:rPr>
        <w:rFonts w:ascii="Courier New" w:hAnsi="Courier New" w:cs="Courier New" w:hint="default"/>
      </w:rPr>
    </w:lvl>
    <w:lvl w:ilvl="5" w:tplc="B488792A" w:tentative="1">
      <w:start w:val="1"/>
      <w:numFmt w:val="bullet"/>
      <w:lvlText w:val=""/>
      <w:lvlJc w:val="left"/>
      <w:pPr>
        <w:ind w:left="4320" w:hanging="360"/>
      </w:pPr>
      <w:rPr>
        <w:rFonts w:ascii="Wingdings" w:hAnsi="Wingdings" w:hint="default"/>
      </w:rPr>
    </w:lvl>
    <w:lvl w:ilvl="6" w:tplc="B510D354" w:tentative="1">
      <w:start w:val="1"/>
      <w:numFmt w:val="bullet"/>
      <w:lvlText w:val=""/>
      <w:lvlJc w:val="left"/>
      <w:pPr>
        <w:ind w:left="5040" w:hanging="360"/>
      </w:pPr>
      <w:rPr>
        <w:rFonts w:ascii="Symbol" w:hAnsi="Symbol" w:hint="default"/>
      </w:rPr>
    </w:lvl>
    <w:lvl w:ilvl="7" w:tplc="BF3A96F4" w:tentative="1">
      <w:start w:val="1"/>
      <w:numFmt w:val="bullet"/>
      <w:lvlText w:val="o"/>
      <w:lvlJc w:val="left"/>
      <w:pPr>
        <w:ind w:left="5760" w:hanging="360"/>
      </w:pPr>
      <w:rPr>
        <w:rFonts w:ascii="Courier New" w:hAnsi="Courier New" w:cs="Courier New" w:hint="default"/>
      </w:rPr>
    </w:lvl>
    <w:lvl w:ilvl="8" w:tplc="AA9CA4AA" w:tentative="1">
      <w:start w:val="1"/>
      <w:numFmt w:val="bullet"/>
      <w:lvlText w:val=""/>
      <w:lvlJc w:val="left"/>
      <w:pPr>
        <w:ind w:left="6480" w:hanging="360"/>
      </w:pPr>
      <w:rPr>
        <w:rFonts w:ascii="Wingdings" w:hAnsi="Wingdings" w:hint="default"/>
      </w:rPr>
    </w:lvl>
  </w:abstractNum>
  <w:abstractNum w:abstractNumId="15" w15:restartNumberingAfterBreak="0">
    <w:nsid w:val="3D535721"/>
    <w:multiLevelType w:val="hybridMultilevel"/>
    <w:tmpl w:val="A51CD228"/>
    <w:lvl w:ilvl="0" w:tplc="EDCEBA9C">
      <w:start w:val="1"/>
      <w:numFmt w:val="bullet"/>
      <w:lvlText w:val=""/>
      <w:lvlJc w:val="left"/>
      <w:pPr>
        <w:ind w:left="1080" w:hanging="360"/>
      </w:pPr>
      <w:rPr>
        <w:rFonts w:ascii="Symbol" w:hAnsi="Symbol" w:hint="default"/>
      </w:rPr>
    </w:lvl>
    <w:lvl w:ilvl="1" w:tplc="72FC9734">
      <w:start w:val="1"/>
      <w:numFmt w:val="bullet"/>
      <w:lvlText w:val="o"/>
      <w:lvlJc w:val="left"/>
      <w:pPr>
        <w:ind w:left="1800" w:hanging="360"/>
      </w:pPr>
      <w:rPr>
        <w:rFonts w:ascii="Courier New" w:hAnsi="Courier New" w:cs="Courier New" w:hint="default"/>
      </w:rPr>
    </w:lvl>
    <w:lvl w:ilvl="2" w:tplc="13807D2A">
      <w:start w:val="1"/>
      <w:numFmt w:val="bullet"/>
      <w:lvlText w:val=""/>
      <w:lvlJc w:val="left"/>
      <w:pPr>
        <w:ind w:left="2520" w:hanging="360"/>
      </w:pPr>
      <w:rPr>
        <w:rFonts w:ascii="Wingdings" w:hAnsi="Wingdings" w:hint="default"/>
      </w:rPr>
    </w:lvl>
    <w:lvl w:ilvl="3" w:tplc="14A44CC4">
      <w:start w:val="1"/>
      <w:numFmt w:val="bullet"/>
      <w:lvlText w:val=""/>
      <w:lvlJc w:val="left"/>
      <w:pPr>
        <w:ind w:left="3240" w:hanging="360"/>
      </w:pPr>
      <w:rPr>
        <w:rFonts w:ascii="Symbol" w:hAnsi="Symbol" w:hint="default"/>
      </w:rPr>
    </w:lvl>
    <w:lvl w:ilvl="4" w:tplc="863ADB62">
      <w:start w:val="1"/>
      <w:numFmt w:val="bullet"/>
      <w:lvlText w:val="o"/>
      <w:lvlJc w:val="left"/>
      <w:pPr>
        <w:ind w:left="3960" w:hanging="360"/>
      </w:pPr>
      <w:rPr>
        <w:rFonts w:ascii="Courier New" w:hAnsi="Courier New" w:cs="Courier New" w:hint="default"/>
      </w:rPr>
    </w:lvl>
    <w:lvl w:ilvl="5" w:tplc="D1DA3796">
      <w:start w:val="1"/>
      <w:numFmt w:val="bullet"/>
      <w:lvlText w:val=""/>
      <w:lvlJc w:val="left"/>
      <w:pPr>
        <w:ind w:left="4680" w:hanging="360"/>
      </w:pPr>
      <w:rPr>
        <w:rFonts w:ascii="Wingdings" w:hAnsi="Wingdings" w:hint="default"/>
      </w:rPr>
    </w:lvl>
    <w:lvl w:ilvl="6" w:tplc="E17A948C">
      <w:start w:val="1"/>
      <w:numFmt w:val="bullet"/>
      <w:lvlText w:val=""/>
      <w:lvlJc w:val="left"/>
      <w:pPr>
        <w:ind w:left="5400" w:hanging="360"/>
      </w:pPr>
      <w:rPr>
        <w:rFonts w:ascii="Symbol" w:hAnsi="Symbol" w:hint="default"/>
      </w:rPr>
    </w:lvl>
    <w:lvl w:ilvl="7" w:tplc="44FE19B0">
      <w:start w:val="1"/>
      <w:numFmt w:val="bullet"/>
      <w:lvlText w:val="o"/>
      <w:lvlJc w:val="left"/>
      <w:pPr>
        <w:ind w:left="6120" w:hanging="360"/>
      </w:pPr>
      <w:rPr>
        <w:rFonts w:ascii="Courier New" w:hAnsi="Courier New" w:cs="Courier New" w:hint="default"/>
      </w:rPr>
    </w:lvl>
    <w:lvl w:ilvl="8" w:tplc="FC88B29A">
      <w:start w:val="1"/>
      <w:numFmt w:val="bullet"/>
      <w:lvlText w:val=""/>
      <w:lvlJc w:val="left"/>
      <w:pPr>
        <w:ind w:left="6840" w:hanging="360"/>
      </w:pPr>
      <w:rPr>
        <w:rFonts w:ascii="Wingdings" w:hAnsi="Wingdings" w:hint="default"/>
      </w:rPr>
    </w:lvl>
  </w:abstractNum>
  <w:abstractNum w:abstractNumId="16" w15:restartNumberingAfterBreak="0">
    <w:nsid w:val="48826427"/>
    <w:multiLevelType w:val="hybridMultilevel"/>
    <w:tmpl w:val="E71A790E"/>
    <w:lvl w:ilvl="0" w:tplc="49CEBBC4">
      <w:start w:val="1"/>
      <w:numFmt w:val="bullet"/>
      <w:lvlText w:val=""/>
      <w:lvlJc w:val="left"/>
      <w:pPr>
        <w:ind w:left="720" w:hanging="360"/>
      </w:pPr>
      <w:rPr>
        <w:rFonts w:ascii="Symbol" w:hAnsi="Symbol" w:hint="default"/>
      </w:rPr>
    </w:lvl>
    <w:lvl w:ilvl="1" w:tplc="CD828CA0">
      <w:start w:val="1"/>
      <w:numFmt w:val="bullet"/>
      <w:lvlText w:val="o"/>
      <w:lvlJc w:val="left"/>
      <w:pPr>
        <w:ind w:left="1440" w:hanging="360"/>
      </w:pPr>
      <w:rPr>
        <w:rFonts w:ascii="Courier New" w:hAnsi="Courier New" w:cs="Courier New" w:hint="default"/>
      </w:rPr>
    </w:lvl>
    <w:lvl w:ilvl="2" w:tplc="4B8ED6C8">
      <w:start w:val="1"/>
      <w:numFmt w:val="bullet"/>
      <w:lvlText w:val=""/>
      <w:lvlJc w:val="left"/>
      <w:pPr>
        <w:ind w:left="2160" w:hanging="360"/>
      </w:pPr>
      <w:rPr>
        <w:rFonts w:ascii="Wingdings" w:hAnsi="Wingdings" w:hint="default"/>
      </w:rPr>
    </w:lvl>
    <w:lvl w:ilvl="3" w:tplc="2E90B4D2">
      <w:start w:val="1"/>
      <w:numFmt w:val="bullet"/>
      <w:lvlText w:val=""/>
      <w:lvlJc w:val="left"/>
      <w:pPr>
        <w:ind w:left="2880" w:hanging="360"/>
      </w:pPr>
      <w:rPr>
        <w:rFonts w:ascii="Symbol" w:hAnsi="Symbol" w:hint="default"/>
      </w:rPr>
    </w:lvl>
    <w:lvl w:ilvl="4" w:tplc="559001BC">
      <w:start w:val="1"/>
      <w:numFmt w:val="bullet"/>
      <w:lvlText w:val="o"/>
      <w:lvlJc w:val="left"/>
      <w:pPr>
        <w:ind w:left="3600" w:hanging="360"/>
      </w:pPr>
      <w:rPr>
        <w:rFonts w:ascii="Courier New" w:hAnsi="Courier New" w:cs="Courier New" w:hint="default"/>
      </w:rPr>
    </w:lvl>
    <w:lvl w:ilvl="5" w:tplc="CDD63520">
      <w:start w:val="1"/>
      <w:numFmt w:val="bullet"/>
      <w:lvlText w:val=""/>
      <w:lvlJc w:val="left"/>
      <w:pPr>
        <w:ind w:left="4320" w:hanging="360"/>
      </w:pPr>
      <w:rPr>
        <w:rFonts w:ascii="Wingdings" w:hAnsi="Wingdings" w:hint="default"/>
      </w:rPr>
    </w:lvl>
    <w:lvl w:ilvl="6" w:tplc="7AEE8D02">
      <w:start w:val="1"/>
      <w:numFmt w:val="bullet"/>
      <w:lvlText w:val=""/>
      <w:lvlJc w:val="left"/>
      <w:pPr>
        <w:ind w:left="5040" w:hanging="360"/>
      </w:pPr>
      <w:rPr>
        <w:rFonts w:ascii="Symbol" w:hAnsi="Symbol" w:hint="default"/>
      </w:rPr>
    </w:lvl>
    <w:lvl w:ilvl="7" w:tplc="F6BC1218">
      <w:start w:val="1"/>
      <w:numFmt w:val="bullet"/>
      <w:lvlText w:val="o"/>
      <w:lvlJc w:val="left"/>
      <w:pPr>
        <w:ind w:left="5760" w:hanging="360"/>
      </w:pPr>
      <w:rPr>
        <w:rFonts w:ascii="Courier New" w:hAnsi="Courier New" w:cs="Courier New" w:hint="default"/>
      </w:rPr>
    </w:lvl>
    <w:lvl w:ilvl="8" w:tplc="80BC4A7E">
      <w:start w:val="1"/>
      <w:numFmt w:val="bullet"/>
      <w:lvlText w:val=""/>
      <w:lvlJc w:val="left"/>
      <w:pPr>
        <w:ind w:left="6480" w:hanging="360"/>
      </w:pPr>
      <w:rPr>
        <w:rFonts w:ascii="Wingdings" w:hAnsi="Wingdings" w:hint="default"/>
      </w:rPr>
    </w:lvl>
  </w:abstractNum>
  <w:abstractNum w:abstractNumId="17" w15:restartNumberingAfterBreak="0">
    <w:nsid w:val="48A35B9B"/>
    <w:multiLevelType w:val="hybridMultilevel"/>
    <w:tmpl w:val="1E96BDF4"/>
    <w:lvl w:ilvl="0" w:tplc="371A5EFC">
      <w:start w:val="1"/>
      <w:numFmt w:val="bullet"/>
      <w:lvlText w:val=""/>
      <w:lvlJc w:val="left"/>
      <w:pPr>
        <w:ind w:left="1080" w:hanging="360"/>
      </w:pPr>
      <w:rPr>
        <w:rFonts w:ascii="Symbol" w:hAnsi="Symbol" w:hint="default"/>
      </w:rPr>
    </w:lvl>
    <w:lvl w:ilvl="1" w:tplc="79A2AE2C">
      <w:start w:val="1"/>
      <w:numFmt w:val="bullet"/>
      <w:lvlText w:val="o"/>
      <w:lvlJc w:val="left"/>
      <w:pPr>
        <w:ind w:left="1800" w:hanging="360"/>
      </w:pPr>
      <w:rPr>
        <w:rFonts w:ascii="Courier New" w:hAnsi="Courier New" w:cs="Courier New" w:hint="default"/>
      </w:rPr>
    </w:lvl>
    <w:lvl w:ilvl="2" w:tplc="5058D9D4">
      <w:start w:val="1"/>
      <w:numFmt w:val="bullet"/>
      <w:lvlText w:val=""/>
      <w:lvlJc w:val="left"/>
      <w:pPr>
        <w:ind w:left="2520" w:hanging="360"/>
      </w:pPr>
      <w:rPr>
        <w:rFonts w:ascii="Wingdings" w:hAnsi="Wingdings" w:hint="default"/>
      </w:rPr>
    </w:lvl>
    <w:lvl w:ilvl="3" w:tplc="3DB25B70">
      <w:start w:val="1"/>
      <w:numFmt w:val="bullet"/>
      <w:lvlText w:val=""/>
      <w:lvlJc w:val="left"/>
      <w:pPr>
        <w:ind w:left="3240" w:hanging="360"/>
      </w:pPr>
      <w:rPr>
        <w:rFonts w:ascii="Symbol" w:hAnsi="Symbol" w:hint="default"/>
      </w:rPr>
    </w:lvl>
    <w:lvl w:ilvl="4" w:tplc="6E7E3340">
      <w:start w:val="1"/>
      <w:numFmt w:val="bullet"/>
      <w:lvlText w:val="o"/>
      <w:lvlJc w:val="left"/>
      <w:pPr>
        <w:ind w:left="3960" w:hanging="360"/>
      </w:pPr>
      <w:rPr>
        <w:rFonts w:ascii="Courier New" w:hAnsi="Courier New" w:cs="Courier New" w:hint="default"/>
      </w:rPr>
    </w:lvl>
    <w:lvl w:ilvl="5" w:tplc="8FF6354A">
      <w:start w:val="1"/>
      <w:numFmt w:val="bullet"/>
      <w:lvlText w:val=""/>
      <w:lvlJc w:val="left"/>
      <w:pPr>
        <w:ind w:left="4680" w:hanging="360"/>
      </w:pPr>
      <w:rPr>
        <w:rFonts w:ascii="Wingdings" w:hAnsi="Wingdings" w:hint="default"/>
      </w:rPr>
    </w:lvl>
    <w:lvl w:ilvl="6" w:tplc="A816F464">
      <w:start w:val="1"/>
      <w:numFmt w:val="bullet"/>
      <w:lvlText w:val=""/>
      <w:lvlJc w:val="left"/>
      <w:pPr>
        <w:ind w:left="5400" w:hanging="360"/>
      </w:pPr>
      <w:rPr>
        <w:rFonts w:ascii="Symbol" w:hAnsi="Symbol" w:hint="default"/>
      </w:rPr>
    </w:lvl>
    <w:lvl w:ilvl="7" w:tplc="4D0C4C2E">
      <w:start w:val="1"/>
      <w:numFmt w:val="bullet"/>
      <w:lvlText w:val="o"/>
      <w:lvlJc w:val="left"/>
      <w:pPr>
        <w:ind w:left="6120" w:hanging="360"/>
      </w:pPr>
      <w:rPr>
        <w:rFonts w:ascii="Courier New" w:hAnsi="Courier New" w:cs="Courier New" w:hint="default"/>
      </w:rPr>
    </w:lvl>
    <w:lvl w:ilvl="8" w:tplc="E7949E0C">
      <w:start w:val="1"/>
      <w:numFmt w:val="bullet"/>
      <w:lvlText w:val=""/>
      <w:lvlJc w:val="left"/>
      <w:pPr>
        <w:ind w:left="6840" w:hanging="360"/>
      </w:pPr>
      <w:rPr>
        <w:rFonts w:ascii="Wingdings" w:hAnsi="Wingdings" w:hint="default"/>
      </w:rPr>
    </w:lvl>
  </w:abstractNum>
  <w:abstractNum w:abstractNumId="18" w15:restartNumberingAfterBreak="0">
    <w:nsid w:val="48C86FB1"/>
    <w:multiLevelType w:val="hybridMultilevel"/>
    <w:tmpl w:val="3758BB0E"/>
    <w:lvl w:ilvl="0" w:tplc="DED63126">
      <w:start w:val="1"/>
      <w:numFmt w:val="bullet"/>
      <w:lvlText w:val=""/>
      <w:lvlJc w:val="left"/>
      <w:pPr>
        <w:ind w:left="720" w:hanging="360"/>
      </w:pPr>
      <w:rPr>
        <w:rFonts w:ascii="Symbol" w:hAnsi="Symbol" w:hint="default"/>
      </w:rPr>
    </w:lvl>
    <w:lvl w:ilvl="1" w:tplc="CBD68EDA" w:tentative="1">
      <w:start w:val="1"/>
      <w:numFmt w:val="bullet"/>
      <w:lvlText w:val="o"/>
      <w:lvlJc w:val="left"/>
      <w:pPr>
        <w:ind w:left="1440" w:hanging="360"/>
      </w:pPr>
      <w:rPr>
        <w:rFonts w:ascii="Courier New" w:hAnsi="Courier New" w:cs="Courier New" w:hint="default"/>
      </w:rPr>
    </w:lvl>
    <w:lvl w:ilvl="2" w:tplc="B15EEC06" w:tentative="1">
      <w:start w:val="1"/>
      <w:numFmt w:val="bullet"/>
      <w:lvlText w:val=""/>
      <w:lvlJc w:val="left"/>
      <w:pPr>
        <w:ind w:left="2160" w:hanging="360"/>
      </w:pPr>
      <w:rPr>
        <w:rFonts w:ascii="Wingdings" w:hAnsi="Wingdings" w:hint="default"/>
      </w:rPr>
    </w:lvl>
    <w:lvl w:ilvl="3" w:tplc="329E5CEC" w:tentative="1">
      <w:start w:val="1"/>
      <w:numFmt w:val="bullet"/>
      <w:lvlText w:val=""/>
      <w:lvlJc w:val="left"/>
      <w:pPr>
        <w:ind w:left="2880" w:hanging="360"/>
      </w:pPr>
      <w:rPr>
        <w:rFonts w:ascii="Symbol" w:hAnsi="Symbol" w:hint="default"/>
      </w:rPr>
    </w:lvl>
    <w:lvl w:ilvl="4" w:tplc="31226AE4" w:tentative="1">
      <w:start w:val="1"/>
      <w:numFmt w:val="bullet"/>
      <w:lvlText w:val="o"/>
      <w:lvlJc w:val="left"/>
      <w:pPr>
        <w:ind w:left="3600" w:hanging="360"/>
      </w:pPr>
      <w:rPr>
        <w:rFonts w:ascii="Courier New" w:hAnsi="Courier New" w:cs="Courier New" w:hint="default"/>
      </w:rPr>
    </w:lvl>
    <w:lvl w:ilvl="5" w:tplc="032E68D0" w:tentative="1">
      <w:start w:val="1"/>
      <w:numFmt w:val="bullet"/>
      <w:lvlText w:val=""/>
      <w:lvlJc w:val="left"/>
      <w:pPr>
        <w:ind w:left="4320" w:hanging="360"/>
      </w:pPr>
      <w:rPr>
        <w:rFonts w:ascii="Wingdings" w:hAnsi="Wingdings" w:hint="default"/>
      </w:rPr>
    </w:lvl>
    <w:lvl w:ilvl="6" w:tplc="6A408170" w:tentative="1">
      <w:start w:val="1"/>
      <w:numFmt w:val="bullet"/>
      <w:lvlText w:val=""/>
      <w:lvlJc w:val="left"/>
      <w:pPr>
        <w:ind w:left="5040" w:hanging="360"/>
      </w:pPr>
      <w:rPr>
        <w:rFonts w:ascii="Symbol" w:hAnsi="Symbol" w:hint="default"/>
      </w:rPr>
    </w:lvl>
    <w:lvl w:ilvl="7" w:tplc="1D36F162" w:tentative="1">
      <w:start w:val="1"/>
      <w:numFmt w:val="bullet"/>
      <w:lvlText w:val="o"/>
      <w:lvlJc w:val="left"/>
      <w:pPr>
        <w:ind w:left="5760" w:hanging="360"/>
      </w:pPr>
      <w:rPr>
        <w:rFonts w:ascii="Courier New" w:hAnsi="Courier New" w:cs="Courier New" w:hint="default"/>
      </w:rPr>
    </w:lvl>
    <w:lvl w:ilvl="8" w:tplc="E320F64A" w:tentative="1">
      <w:start w:val="1"/>
      <w:numFmt w:val="bullet"/>
      <w:lvlText w:val=""/>
      <w:lvlJc w:val="left"/>
      <w:pPr>
        <w:ind w:left="6480" w:hanging="360"/>
      </w:pPr>
      <w:rPr>
        <w:rFonts w:ascii="Wingdings" w:hAnsi="Wingdings" w:hint="default"/>
      </w:rPr>
    </w:lvl>
  </w:abstractNum>
  <w:abstractNum w:abstractNumId="19" w15:restartNumberingAfterBreak="0">
    <w:nsid w:val="491A37A7"/>
    <w:multiLevelType w:val="hybridMultilevel"/>
    <w:tmpl w:val="909296EC"/>
    <w:lvl w:ilvl="0" w:tplc="79D0A4CC">
      <w:start w:val="1"/>
      <w:numFmt w:val="bullet"/>
      <w:lvlText w:val=""/>
      <w:lvlJc w:val="left"/>
      <w:pPr>
        <w:ind w:left="360" w:hanging="360"/>
      </w:pPr>
      <w:rPr>
        <w:rFonts w:ascii="Symbol" w:hAnsi="Symbol" w:hint="default"/>
      </w:rPr>
    </w:lvl>
    <w:lvl w:ilvl="1" w:tplc="B7D63F50" w:tentative="1">
      <w:start w:val="1"/>
      <w:numFmt w:val="bullet"/>
      <w:lvlText w:val="o"/>
      <w:lvlJc w:val="left"/>
      <w:pPr>
        <w:ind w:left="1080" w:hanging="360"/>
      </w:pPr>
      <w:rPr>
        <w:rFonts w:ascii="Courier New" w:hAnsi="Courier New" w:cs="Courier New" w:hint="default"/>
      </w:rPr>
    </w:lvl>
    <w:lvl w:ilvl="2" w:tplc="4D0047CC" w:tentative="1">
      <w:start w:val="1"/>
      <w:numFmt w:val="bullet"/>
      <w:lvlText w:val=""/>
      <w:lvlJc w:val="left"/>
      <w:pPr>
        <w:ind w:left="1800" w:hanging="360"/>
      </w:pPr>
      <w:rPr>
        <w:rFonts w:ascii="Wingdings" w:hAnsi="Wingdings" w:hint="default"/>
      </w:rPr>
    </w:lvl>
    <w:lvl w:ilvl="3" w:tplc="B3846616" w:tentative="1">
      <w:start w:val="1"/>
      <w:numFmt w:val="bullet"/>
      <w:lvlText w:val=""/>
      <w:lvlJc w:val="left"/>
      <w:pPr>
        <w:ind w:left="2520" w:hanging="360"/>
      </w:pPr>
      <w:rPr>
        <w:rFonts w:ascii="Symbol" w:hAnsi="Symbol" w:hint="default"/>
      </w:rPr>
    </w:lvl>
    <w:lvl w:ilvl="4" w:tplc="F4ECA996" w:tentative="1">
      <w:start w:val="1"/>
      <w:numFmt w:val="bullet"/>
      <w:lvlText w:val="o"/>
      <w:lvlJc w:val="left"/>
      <w:pPr>
        <w:ind w:left="3240" w:hanging="360"/>
      </w:pPr>
      <w:rPr>
        <w:rFonts w:ascii="Courier New" w:hAnsi="Courier New" w:cs="Courier New" w:hint="default"/>
      </w:rPr>
    </w:lvl>
    <w:lvl w:ilvl="5" w:tplc="61080018" w:tentative="1">
      <w:start w:val="1"/>
      <w:numFmt w:val="bullet"/>
      <w:lvlText w:val=""/>
      <w:lvlJc w:val="left"/>
      <w:pPr>
        <w:ind w:left="3960" w:hanging="360"/>
      </w:pPr>
      <w:rPr>
        <w:rFonts w:ascii="Wingdings" w:hAnsi="Wingdings" w:hint="default"/>
      </w:rPr>
    </w:lvl>
    <w:lvl w:ilvl="6" w:tplc="FECCA44E" w:tentative="1">
      <w:start w:val="1"/>
      <w:numFmt w:val="bullet"/>
      <w:lvlText w:val=""/>
      <w:lvlJc w:val="left"/>
      <w:pPr>
        <w:ind w:left="4680" w:hanging="360"/>
      </w:pPr>
      <w:rPr>
        <w:rFonts w:ascii="Symbol" w:hAnsi="Symbol" w:hint="default"/>
      </w:rPr>
    </w:lvl>
    <w:lvl w:ilvl="7" w:tplc="BF6AC208" w:tentative="1">
      <w:start w:val="1"/>
      <w:numFmt w:val="bullet"/>
      <w:lvlText w:val="o"/>
      <w:lvlJc w:val="left"/>
      <w:pPr>
        <w:ind w:left="5400" w:hanging="360"/>
      </w:pPr>
      <w:rPr>
        <w:rFonts w:ascii="Courier New" w:hAnsi="Courier New" w:cs="Courier New" w:hint="default"/>
      </w:rPr>
    </w:lvl>
    <w:lvl w:ilvl="8" w:tplc="2D1E1D42" w:tentative="1">
      <w:start w:val="1"/>
      <w:numFmt w:val="bullet"/>
      <w:lvlText w:val=""/>
      <w:lvlJc w:val="left"/>
      <w:pPr>
        <w:ind w:left="6120" w:hanging="360"/>
      </w:pPr>
      <w:rPr>
        <w:rFonts w:ascii="Wingdings" w:hAnsi="Wingdings" w:hint="default"/>
      </w:rPr>
    </w:lvl>
  </w:abstractNum>
  <w:abstractNum w:abstractNumId="20" w15:restartNumberingAfterBreak="0">
    <w:nsid w:val="4D6025F0"/>
    <w:multiLevelType w:val="hybridMultilevel"/>
    <w:tmpl w:val="B5A27E04"/>
    <w:lvl w:ilvl="0" w:tplc="91141E94">
      <w:start w:val="1"/>
      <w:numFmt w:val="bullet"/>
      <w:lvlText w:val=""/>
      <w:lvlJc w:val="left"/>
      <w:pPr>
        <w:ind w:left="720" w:hanging="360"/>
      </w:pPr>
      <w:rPr>
        <w:rFonts w:ascii="Symbol" w:hAnsi="Symbol" w:hint="default"/>
      </w:rPr>
    </w:lvl>
    <w:lvl w:ilvl="1" w:tplc="6FAC9D90" w:tentative="1">
      <w:start w:val="1"/>
      <w:numFmt w:val="bullet"/>
      <w:lvlText w:val="o"/>
      <w:lvlJc w:val="left"/>
      <w:pPr>
        <w:ind w:left="1440" w:hanging="360"/>
      </w:pPr>
      <w:rPr>
        <w:rFonts w:ascii="Courier New" w:hAnsi="Courier New" w:cs="Courier New" w:hint="default"/>
      </w:rPr>
    </w:lvl>
    <w:lvl w:ilvl="2" w:tplc="17E02F06" w:tentative="1">
      <w:start w:val="1"/>
      <w:numFmt w:val="bullet"/>
      <w:lvlText w:val=""/>
      <w:lvlJc w:val="left"/>
      <w:pPr>
        <w:ind w:left="2160" w:hanging="360"/>
      </w:pPr>
      <w:rPr>
        <w:rFonts w:ascii="Wingdings" w:hAnsi="Wingdings" w:hint="default"/>
      </w:rPr>
    </w:lvl>
    <w:lvl w:ilvl="3" w:tplc="46F48B90" w:tentative="1">
      <w:start w:val="1"/>
      <w:numFmt w:val="bullet"/>
      <w:lvlText w:val=""/>
      <w:lvlJc w:val="left"/>
      <w:pPr>
        <w:ind w:left="2880" w:hanging="360"/>
      </w:pPr>
      <w:rPr>
        <w:rFonts w:ascii="Symbol" w:hAnsi="Symbol" w:hint="default"/>
      </w:rPr>
    </w:lvl>
    <w:lvl w:ilvl="4" w:tplc="BDF01042" w:tentative="1">
      <w:start w:val="1"/>
      <w:numFmt w:val="bullet"/>
      <w:lvlText w:val="o"/>
      <w:lvlJc w:val="left"/>
      <w:pPr>
        <w:ind w:left="3600" w:hanging="360"/>
      </w:pPr>
      <w:rPr>
        <w:rFonts w:ascii="Courier New" w:hAnsi="Courier New" w:cs="Courier New" w:hint="default"/>
      </w:rPr>
    </w:lvl>
    <w:lvl w:ilvl="5" w:tplc="0DA6F030" w:tentative="1">
      <w:start w:val="1"/>
      <w:numFmt w:val="bullet"/>
      <w:lvlText w:val=""/>
      <w:lvlJc w:val="left"/>
      <w:pPr>
        <w:ind w:left="4320" w:hanging="360"/>
      </w:pPr>
      <w:rPr>
        <w:rFonts w:ascii="Wingdings" w:hAnsi="Wingdings" w:hint="default"/>
      </w:rPr>
    </w:lvl>
    <w:lvl w:ilvl="6" w:tplc="0DF6133E" w:tentative="1">
      <w:start w:val="1"/>
      <w:numFmt w:val="bullet"/>
      <w:lvlText w:val=""/>
      <w:lvlJc w:val="left"/>
      <w:pPr>
        <w:ind w:left="5040" w:hanging="360"/>
      </w:pPr>
      <w:rPr>
        <w:rFonts w:ascii="Symbol" w:hAnsi="Symbol" w:hint="default"/>
      </w:rPr>
    </w:lvl>
    <w:lvl w:ilvl="7" w:tplc="7B784A2A" w:tentative="1">
      <w:start w:val="1"/>
      <w:numFmt w:val="bullet"/>
      <w:lvlText w:val="o"/>
      <w:lvlJc w:val="left"/>
      <w:pPr>
        <w:ind w:left="5760" w:hanging="360"/>
      </w:pPr>
      <w:rPr>
        <w:rFonts w:ascii="Courier New" w:hAnsi="Courier New" w:cs="Courier New" w:hint="default"/>
      </w:rPr>
    </w:lvl>
    <w:lvl w:ilvl="8" w:tplc="A394E626" w:tentative="1">
      <w:start w:val="1"/>
      <w:numFmt w:val="bullet"/>
      <w:lvlText w:val=""/>
      <w:lvlJc w:val="left"/>
      <w:pPr>
        <w:ind w:left="6480" w:hanging="360"/>
      </w:pPr>
      <w:rPr>
        <w:rFonts w:ascii="Wingdings" w:hAnsi="Wingdings" w:hint="default"/>
      </w:rPr>
    </w:lvl>
  </w:abstractNum>
  <w:abstractNum w:abstractNumId="21" w15:restartNumberingAfterBreak="0">
    <w:nsid w:val="602231B1"/>
    <w:multiLevelType w:val="hybridMultilevel"/>
    <w:tmpl w:val="3BD60208"/>
    <w:lvl w:ilvl="0" w:tplc="DC728AEA">
      <w:start w:val="1"/>
      <w:numFmt w:val="bullet"/>
      <w:lvlText w:val="o"/>
      <w:lvlJc w:val="left"/>
      <w:pPr>
        <w:ind w:left="1440" w:hanging="360"/>
      </w:pPr>
      <w:rPr>
        <w:rFonts w:ascii="Courier New" w:hAnsi="Courier New" w:cs="Courier New" w:hint="default"/>
      </w:rPr>
    </w:lvl>
    <w:lvl w:ilvl="1" w:tplc="BEA40E26">
      <w:start w:val="1"/>
      <w:numFmt w:val="bullet"/>
      <w:lvlText w:val="o"/>
      <w:lvlJc w:val="left"/>
      <w:pPr>
        <w:ind w:left="2160" w:hanging="360"/>
      </w:pPr>
      <w:rPr>
        <w:rFonts w:ascii="Courier New" w:hAnsi="Courier New" w:cs="Courier New" w:hint="default"/>
      </w:rPr>
    </w:lvl>
    <w:lvl w:ilvl="2" w:tplc="4B74F898">
      <w:start w:val="1"/>
      <w:numFmt w:val="bullet"/>
      <w:lvlText w:val=""/>
      <w:lvlJc w:val="left"/>
      <w:pPr>
        <w:ind w:left="2880" w:hanging="360"/>
      </w:pPr>
      <w:rPr>
        <w:rFonts w:ascii="Wingdings" w:hAnsi="Wingdings" w:hint="default"/>
      </w:rPr>
    </w:lvl>
    <w:lvl w:ilvl="3" w:tplc="7F6AA16C">
      <w:start w:val="1"/>
      <w:numFmt w:val="bullet"/>
      <w:lvlText w:val=""/>
      <w:lvlJc w:val="left"/>
      <w:pPr>
        <w:ind w:left="3600" w:hanging="360"/>
      </w:pPr>
      <w:rPr>
        <w:rFonts w:ascii="Symbol" w:hAnsi="Symbol" w:hint="default"/>
      </w:rPr>
    </w:lvl>
    <w:lvl w:ilvl="4" w:tplc="2032A4D6">
      <w:start w:val="1"/>
      <w:numFmt w:val="bullet"/>
      <w:lvlText w:val="o"/>
      <w:lvlJc w:val="left"/>
      <w:pPr>
        <w:ind w:left="4320" w:hanging="360"/>
      </w:pPr>
      <w:rPr>
        <w:rFonts w:ascii="Courier New" w:hAnsi="Courier New" w:cs="Courier New" w:hint="default"/>
      </w:rPr>
    </w:lvl>
    <w:lvl w:ilvl="5" w:tplc="2822F980">
      <w:start w:val="1"/>
      <w:numFmt w:val="bullet"/>
      <w:lvlText w:val=""/>
      <w:lvlJc w:val="left"/>
      <w:pPr>
        <w:ind w:left="5040" w:hanging="360"/>
      </w:pPr>
      <w:rPr>
        <w:rFonts w:ascii="Wingdings" w:hAnsi="Wingdings" w:hint="default"/>
      </w:rPr>
    </w:lvl>
    <w:lvl w:ilvl="6" w:tplc="67EA063A">
      <w:start w:val="1"/>
      <w:numFmt w:val="bullet"/>
      <w:lvlText w:val=""/>
      <w:lvlJc w:val="left"/>
      <w:pPr>
        <w:ind w:left="5760" w:hanging="360"/>
      </w:pPr>
      <w:rPr>
        <w:rFonts w:ascii="Symbol" w:hAnsi="Symbol" w:hint="default"/>
      </w:rPr>
    </w:lvl>
    <w:lvl w:ilvl="7" w:tplc="1E087EB8">
      <w:start w:val="1"/>
      <w:numFmt w:val="bullet"/>
      <w:lvlText w:val="o"/>
      <w:lvlJc w:val="left"/>
      <w:pPr>
        <w:ind w:left="6480" w:hanging="360"/>
      </w:pPr>
      <w:rPr>
        <w:rFonts w:ascii="Courier New" w:hAnsi="Courier New" w:cs="Courier New" w:hint="default"/>
      </w:rPr>
    </w:lvl>
    <w:lvl w:ilvl="8" w:tplc="D2E65922">
      <w:start w:val="1"/>
      <w:numFmt w:val="bullet"/>
      <w:lvlText w:val=""/>
      <w:lvlJc w:val="left"/>
      <w:pPr>
        <w:ind w:left="7200" w:hanging="360"/>
      </w:pPr>
      <w:rPr>
        <w:rFonts w:ascii="Wingdings" w:hAnsi="Wingdings" w:hint="default"/>
      </w:rPr>
    </w:lvl>
  </w:abstractNum>
  <w:abstractNum w:abstractNumId="22" w15:restartNumberingAfterBreak="0">
    <w:nsid w:val="60392BE5"/>
    <w:multiLevelType w:val="hybridMultilevel"/>
    <w:tmpl w:val="6676134C"/>
    <w:lvl w:ilvl="0" w:tplc="61F43C04">
      <w:start w:val="1"/>
      <w:numFmt w:val="bullet"/>
      <w:lvlText w:val=""/>
      <w:lvlJc w:val="left"/>
      <w:pPr>
        <w:ind w:left="720" w:hanging="360"/>
      </w:pPr>
      <w:rPr>
        <w:rFonts w:ascii="Symbol" w:hAnsi="Symbol" w:hint="default"/>
      </w:rPr>
    </w:lvl>
    <w:lvl w:ilvl="1" w:tplc="DAE876AC" w:tentative="1">
      <w:start w:val="1"/>
      <w:numFmt w:val="bullet"/>
      <w:lvlText w:val="o"/>
      <w:lvlJc w:val="left"/>
      <w:pPr>
        <w:ind w:left="1440" w:hanging="360"/>
      </w:pPr>
      <w:rPr>
        <w:rFonts w:ascii="Courier New" w:hAnsi="Courier New" w:cs="Courier New" w:hint="default"/>
      </w:rPr>
    </w:lvl>
    <w:lvl w:ilvl="2" w:tplc="2EA287EC" w:tentative="1">
      <w:start w:val="1"/>
      <w:numFmt w:val="bullet"/>
      <w:lvlText w:val=""/>
      <w:lvlJc w:val="left"/>
      <w:pPr>
        <w:ind w:left="2160" w:hanging="360"/>
      </w:pPr>
      <w:rPr>
        <w:rFonts w:ascii="Wingdings" w:hAnsi="Wingdings" w:hint="default"/>
      </w:rPr>
    </w:lvl>
    <w:lvl w:ilvl="3" w:tplc="0D98F550" w:tentative="1">
      <w:start w:val="1"/>
      <w:numFmt w:val="bullet"/>
      <w:lvlText w:val=""/>
      <w:lvlJc w:val="left"/>
      <w:pPr>
        <w:ind w:left="2880" w:hanging="360"/>
      </w:pPr>
      <w:rPr>
        <w:rFonts w:ascii="Symbol" w:hAnsi="Symbol" w:hint="default"/>
      </w:rPr>
    </w:lvl>
    <w:lvl w:ilvl="4" w:tplc="A8040BD6" w:tentative="1">
      <w:start w:val="1"/>
      <w:numFmt w:val="bullet"/>
      <w:lvlText w:val="o"/>
      <w:lvlJc w:val="left"/>
      <w:pPr>
        <w:ind w:left="3600" w:hanging="360"/>
      </w:pPr>
      <w:rPr>
        <w:rFonts w:ascii="Courier New" w:hAnsi="Courier New" w:cs="Courier New" w:hint="default"/>
      </w:rPr>
    </w:lvl>
    <w:lvl w:ilvl="5" w:tplc="528AFA1A" w:tentative="1">
      <w:start w:val="1"/>
      <w:numFmt w:val="bullet"/>
      <w:lvlText w:val=""/>
      <w:lvlJc w:val="left"/>
      <w:pPr>
        <w:ind w:left="4320" w:hanging="360"/>
      </w:pPr>
      <w:rPr>
        <w:rFonts w:ascii="Wingdings" w:hAnsi="Wingdings" w:hint="default"/>
      </w:rPr>
    </w:lvl>
    <w:lvl w:ilvl="6" w:tplc="713221FC" w:tentative="1">
      <w:start w:val="1"/>
      <w:numFmt w:val="bullet"/>
      <w:lvlText w:val=""/>
      <w:lvlJc w:val="left"/>
      <w:pPr>
        <w:ind w:left="5040" w:hanging="360"/>
      </w:pPr>
      <w:rPr>
        <w:rFonts w:ascii="Symbol" w:hAnsi="Symbol" w:hint="default"/>
      </w:rPr>
    </w:lvl>
    <w:lvl w:ilvl="7" w:tplc="485AFD88" w:tentative="1">
      <w:start w:val="1"/>
      <w:numFmt w:val="bullet"/>
      <w:lvlText w:val="o"/>
      <w:lvlJc w:val="left"/>
      <w:pPr>
        <w:ind w:left="5760" w:hanging="360"/>
      </w:pPr>
      <w:rPr>
        <w:rFonts w:ascii="Courier New" w:hAnsi="Courier New" w:cs="Courier New" w:hint="default"/>
      </w:rPr>
    </w:lvl>
    <w:lvl w:ilvl="8" w:tplc="F3605354" w:tentative="1">
      <w:start w:val="1"/>
      <w:numFmt w:val="bullet"/>
      <w:lvlText w:val=""/>
      <w:lvlJc w:val="left"/>
      <w:pPr>
        <w:ind w:left="6480" w:hanging="360"/>
      </w:pPr>
      <w:rPr>
        <w:rFonts w:ascii="Wingdings" w:hAnsi="Wingdings" w:hint="default"/>
      </w:rPr>
    </w:lvl>
  </w:abstractNum>
  <w:abstractNum w:abstractNumId="23" w15:restartNumberingAfterBreak="0">
    <w:nsid w:val="671D1E5B"/>
    <w:multiLevelType w:val="hybridMultilevel"/>
    <w:tmpl w:val="A29224F6"/>
    <w:lvl w:ilvl="0" w:tplc="184805A8">
      <w:start w:val="1"/>
      <w:numFmt w:val="bullet"/>
      <w:lvlText w:val=""/>
      <w:lvlJc w:val="left"/>
      <w:pPr>
        <w:ind w:left="720" w:hanging="360"/>
      </w:pPr>
      <w:rPr>
        <w:rFonts w:ascii="Symbol" w:hAnsi="Symbol" w:hint="default"/>
      </w:rPr>
    </w:lvl>
    <w:lvl w:ilvl="1" w:tplc="41F6E952" w:tentative="1">
      <w:start w:val="1"/>
      <w:numFmt w:val="bullet"/>
      <w:lvlText w:val="o"/>
      <w:lvlJc w:val="left"/>
      <w:pPr>
        <w:ind w:left="1440" w:hanging="360"/>
      </w:pPr>
      <w:rPr>
        <w:rFonts w:ascii="Courier New" w:hAnsi="Courier New" w:cs="Courier New" w:hint="default"/>
      </w:rPr>
    </w:lvl>
    <w:lvl w:ilvl="2" w:tplc="8A52ECEA" w:tentative="1">
      <w:start w:val="1"/>
      <w:numFmt w:val="bullet"/>
      <w:lvlText w:val=""/>
      <w:lvlJc w:val="left"/>
      <w:pPr>
        <w:ind w:left="2160" w:hanging="360"/>
      </w:pPr>
      <w:rPr>
        <w:rFonts w:ascii="Wingdings" w:hAnsi="Wingdings" w:hint="default"/>
      </w:rPr>
    </w:lvl>
    <w:lvl w:ilvl="3" w:tplc="85BE6EAE" w:tentative="1">
      <w:start w:val="1"/>
      <w:numFmt w:val="bullet"/>
      <w:lvlText w:val=""/>
      <w:lvlJc w:val="left"/>
      <w:pPr>
        <w:ind w:left="2880" w:hanging="360"/>
      </w:pPr>
      <w:rPr>
        <w:rFonts w:ascii="Symbol" w:hAnsi="Symbol" w:hint="default"/>
      </w:rPr>
    </w:lvl>
    <w:lvl w:ilvl="4" w:tplc="831C27C6" w:tentative="1">
      <w:start w:val="1"/>
      <w:numFmt w:val="bullet"/>
      <w:lvlText w:val="o"/>
      <w:lvlJc w:val="left"/>
      <w:pPr>
        <w:ind w:left="3600" w:hanging="360"/>
      </w:pPr>
      <w:rPr>
        <w:rFonts w:ascii="Courier New" w:hAnsi="Courier New" w:cs="Courier New" w:hint="default"/>
      </w:rPr>
    </w:lvl>
    <w:lvl w:ilvl="5" w:tplc="647092FC" w:tentative="1">
      <w:start w:val="1"/>
      <w:numFmt w:val="bullet"/>
      <w:lvlText w:val=""/>
      <w:lvlJc w:val="left"/>
      <w:pPr>
        <w:ind w:left="4320" w:hanging="360"/>
      </w:pPr>
      <w:rPr>
        <w:rFonts w:ascii="Wingdings" w:hAnsi="Wingdings" w:hint="default"/>
      </w:rPr>
    </w:lvl>
    <w:lvl w:ilvl="6" w:tplc="58A8909A" w:tentative="1">
      <w:start w:val="1"/>
      <w:numFmt w:val="bullet"/>
      <w:lvlText w:val=""/>
      <w:lvlJc w:val="left"/>
      <w:pPr>
        <w:ind w:left="5040" w:hanging="360"/>
      </w:pPr>
      <w:rPr>
        <w:rFonts w:ascii="Symbol" w:hAnsi="Symbol" w:hint="default"/>
      </w:rPr>
    </w:lvl>
    <w:lvl w:ilvl="7" w:tplc="E5383B70" w:tentative="1">
      <w:start w:val="1"/>
      <w:numFmt w:val="bullet"/>
      <w:lvlText w:val="o"/>
      <w:lvlJc w:val="left"/>
      <w:pPr>
        <w:ind w:left="5760" w:hanging="360"/>
      </w:pPr>
      <w:rPr>
        <w:rFonts w:ascii="Courier New" w:hAnsi="Courier New" w:cs="Courier New" w:hint="default"/>
      </w:rPr>
    </w:lvl>
    <w:lvl w:ilvl="8" w:tplc="8FAAD930" w:tentative="1">
      <w:start w:val="1"/>
      <w:numFmt w:val="bullet"/>
      <w:lvlText w:val=""/>
      <w:lvlJc w:val="left"/>
      <w:pPr>
        <w:ind w:left="6480" w:hanging="360"/>
      </w:pPr>
      <w:rPr>
        <w:rFonts w:ascii="Wingdings" w:hAnsi="Wingdings" w:hint="default"/>
      </w:rPr>
    </w:lvl>
  </w:abstractNum>
  <w:abstractNum w:abstractNumId="24" w15:restartNumberingAfterBreak="0">
    <w:nsid w:val="67894AD2"/>
    <w:multiLevelType w:val="hybridMultilevel"/>
    <w:tmpl w:val="22F2F6DC"/>
    <w:lvl w:ilvl="0" w:tplc="84BECDD6">
      <w:start w:val="1"/>
      <w:numFmt w:val="bullet"/>
      <w:lvlText w:val=""/>
      <w:lvlJc w:val="left"/>
      <w:pPr>
        <w:ind w:left="720" w:hanging="360"/>
      </w:pPr>
      <w:rPr>
        <w:rFonts w:ascii="Symbol" w:hAnsi="Symbol" w:hint="default"/>
      </w:rPr>
    </w:lvl>
    <w:lvl w:ilvl="1" w:tplc="10B66336" w:tentative="1">
      <w:start w:val="1"/>
      <w:numFmt w:val="bullet"/>
      <w:lvlText w:val="o"/>
      <w:lvlJc w:val="left"/>
      <w:pPr>
        <w:ind w:left="1440" w:hanging="360"/>
      </w:pPr>
      <w:rPr>
        <w:rFonts w:ascii="Courier New" w:hAnsi="Courier New" w:cs="Courier New" w:hint="default"/>
      </w:rPr>
    </w:lvl>
    <w:lvl w:ilvl="2" w:tplc="ADDAFED8" w:tentative="1">
      <w:start w:val="1"/>
      <w:numFmt w:val="bullet"/>
      <w:lvlText w:val=""/>
      <w:lvlJc w:val="left"/>
      <w:pPr>
        <w:ind w:left="2160" w:hanging="360"/>
      </w:pPr>
      <w:rPr>
        <w:rFonts w:ascii="Wingdings" w:hAnsi="Wingdings" w:hint="default"/>
      </w:rPr>
    </w:lvl>
    <w:lvl w:ilvl="3" w:tplc="38B01D0C" w:tentative="1">
      <w:start w:val="1"/>
      <w:numFmt w:val="bullet"/>
      <w:lvlText w:val=""/>
      <w:lvlJc w:val="left"/>
      <w:pPr>
        <w:ind w:left="2880" w:hanging="360"/>
      </w:pPr>
      <w:rPr>
        <w:rFonts w:ascii="Symbol" w:hAnsi="Symbol" w:hint="default"/>
      </w:rPr>
    </w:lvl>
    <w:lvl w:ilvl="4" w:tplc="94502530" w:tentative="1">
      <w:start w:val="1"/>
      <w:numFmt w:val="bullet"/>
      <w:lvlText w:val="o"/>
      <w:lvlJc w:val="left"/>
      <w:pPr>
        <w:ind w:left="3600" w:hanging="360"/>
      </w:pPr>
      <w:rPr>
        <w:rFonts w:ascii="Courier New" w:hAnsi="Courier New" w:cs="Courier New" w:hint="default"/>
      </w:rPr>
    </w:lvl>
    <w:lvl w:ilvl="5" w:tplc="E40677C2" w:tentative="1">
      <w:start w:val="1"/>
      <w:numFmt w:val="bullet"/>
      <w:lvlText w:val=""/>
      <w:lvlJc w:val="left"/>
      <w:pPr>
        <w:ind w:left="4320" w:hanging="360"/>
      </w:pPr>
      <w:rPr>
        <w:rFonts w:ascii="Wingdings" w:hAnsi="Wingdings" w:hint="default"/>
      </w:rPr>
    </w:lvl>
    <w:lvl w:ilvl="6" w:tplc="E1B686C2" w:tentative="1">
      <w:start w:val="1"/>
      <w:numFmt w:val="bullet"/>
      <w:lvlText w:val=""/>
      <w:lvlJc w:val="left"/>
      <w:pPr>
        <w:ind w:left="5040" w:hanging="360"/>
      </w:pPr>
      <w:rPr>
        <w:rFonts w:ascii="Symbol" w:hAnsi="Symbol" w:hint="default"/>
      </w:rPr>
    </w:lvl>
    <w:lvl w:ilvl="7" w:tplc="37DC63D0" w:tentative="1">
      <w:start w:val="1"/>
      <w:numFmt w:val="bullet"/>
      <w:lvlText w:val="o"/>
      <w:lvlJc w:val="left"/>
      <w:pPr>
        <w:ind w:left="5760" w:hanging="360"/>
      </w:pPr>
      <w:rPr>
        <w:rFonts w:ascii="Courier New" w:hAnsi="Courier New" w:cs="Courier New" w:hint="default"/>
      </w:rPr>
    </w:lvl>
    <w:lvl w:ilvl="8" w:tplc="9BAC7AD0" w:tentative="1">
      <w:start w:val="1"/>
      <w:numFmt w:val="bullet"/>
      <w:lvlText w:val=""/>
      <w:lvlJc w:val="left"/>
      <w:pPr>
        <w:ind w:left="6480" w:hanging="360"/>
      </w:pPr>
      <w:rPr>
        <w:rFonts w:ascii="Wingdings" w:hAnsi="Wingdings" w:hint="default"/>
      </w:rPr>
    </w:lvl>
  </w:abstractNum>
  <w:abstractNum w:abstractNumId="25" w15:restartNumberingAfterBreak="0">
    <w:nsid w:val="689E4E8F"/>
    <w:multiLevelType w:val="hybridMultilevel"/>
    <w:tmpl w:val="142429F0"/>
    <w:lvl w:ilvl="0" w:tplc="7FD218C8">
      <w:start w:val="1"/>
      <w:numFmt w:val="bullet"/>
      <w:lvlText w:val=""/>
      <w:lvlJc w:val="left"/>
      <w:pPr>
        <w:ind w:left="720" w:hanging="360"/>
      </w:pPr>
      <w:rPr>
        <w:rFonts w:ascii="Symbol" w:hAnsi="Symbol" w:hint="default"/>
      </w:rPr>
    </w:lvl>
    <w:lvl w:ilvl="1" w:tplc="03CE60CE" w:tentative="1">
      <w:start w:val="1"/>
      <w:numFmt w:val="bullet"/>
      <w:lvlText w:val="o"/>
      <w:lvlJc w:val="left"/>
      <w:pPr>
        <w:ind w:left="1440" w:hanging="360"/>
      </w:pPr>
      <w:rPr>
        <w:rFonts w:ascii="Courier New" w:hAnsi="Courier New" w:cs="Courier New" w:hint="default"/>
      </w:rPr>
    </w:lvl>
    <w:lvl w:ilvl="2" w:tplc="4EEC08C6" w:tentative="1">
      <w:start w:val="1"/>
      <w:numFmt w:val="bullet"/>
      <w:lvlText w:val=""/>
      <w:lvlJc w:val="left"/>
      <w:pPr>
        <w:ind w:left="2160" w:hanging="360"/>
      </w:pPr>
      <w:rPr>
        <w:rFonts w:ascii="Wingdings" w:hAnsi="Wingdings" w:hint="default"/>
      </w:rPr>
    </w:lvl>
    <w:lvl w:ilvl="3" w:tplc="0302B7B8" w:tentative="1">
      <w:start w:val="1"/>
      <w:numFmt w:val="bullet"/>
      <w:lvlText w:val=""/>
      <w:lvlJc w:val="left"/>
      <w:pPr>
        <w:ind w:left="2880" w:hanging="360"/>
      </w:pPr>
      <w:rPr>
        <w:rFonts w:ascii="Symbol" w:hAnsi="Symbol" w:hint="default"/>
      </w:rPr>
    </w:lvl>
    <w:lvl w:ilvl="4" w:tplc="87927CEE" w:tentative="1">
      <w:start w:val="1"/>
      <w:numFmt w:val="bullet"/>
      <w:lvlText w:val="o"/>
      <w:lvlJc w:val="left"/>
      <w:pPr>
        <w:ind w:left="3600" w:hanging="360"/>
      </w:pPr>
      <w:rPr>
        <w:rFonts w:ascii="Courier New" w:hAnsi="Courier New" w:cs="Courier New" w:hint="default"/>
      </w:rPr>
    </w:lvl>
    <w:lvl w:ilvl="5" w:tplc="28000004" w:tentative="1">
      <w:start w:val="1"/>
      <w:numFmt w:val="bullet"/>
      <w:lvlText w:val=""/>
      <w:lvlJc w:val="left"/>
      <w:pPr>
        <w:ind w:left="4320" w:hanging="360"/>
      </w:pPr>
      <w:rPr>
        <w:rFonts w:ascii="Wingdings" w:hAnsi="Wingdings" w:hint="default"/>
      </w:rPr>
    </w:lvl>
    <w:lvl w:ilvl="6" w:tplc="E3524906" w:tentative="1">
      <w:start w:val="1"/>
      <w:numFmt w:val="bullet"/>
      <w:lvlText w:val=""/>
      <w:lvlJc w:val="left"/>
      <w:pPr>
        <w:ind w:left="5040" w:hanging="360"/>
      </w:pPr>
      <w:rPr>
        <w:rFonts w:ascii="Symbol" w:hAnsi="Symbol" w:hint="default"/>
      </w:rPr>
    </w:lvl>
    <w:lvl w:ilvl="7" w:tplc="00F2C6D8" w:tentative="1">
      <w:start w:val="1"/>
      <w:numFmt w:val="bullet"/>
      <w:lvlText w:val="o"/>
      <w:lvlJc w:val="left"/>
      <w:pPr>
        <w:ind w:left="5760" w:hanging="360"/>
      </w:pPr>
      <w:rPr>
        <w:rFonts w:ascii="Courier New" w:hAnsi="Courier New" w:cs="Courier New" w:hint="default"/>
      </w:rPr>
    </w:lvl>
    <w:lvl w:ilvl="8" w:tplc="C19E5750" w:tentative="1">
      <w:start w:val="1"/>
      <w:numFmt w:val="bullet"/>
      <w:lvlText w:val=""/>
      <w:lvlJc w:val="left"/>
      <w:pPr>
        <w:ind w:left="6480" w:hanging="360"/>
      </w:pPr>
      <w:rPr>
        <w:rFonts w:ascii="Wingdings" w:hAnsi="Wingdings" w:hint="default"/>
      </w:rPr>
    </w:lvl>
  </w:abstractNum>
  <w:abstractNum w:abstractNumId="26" w15:restartNumberingAfterBreak="0">
    <w:nsid w:val="69E95A54"/>
    <w:multiLevelType w:val="hybridMultilevel"/>
    <w:tmpl w:val="93BE8EFA"/>
    <w:lvl w:ilvl="0" w:tplc="0E787806">
      <w:start w:val="1"/>
      <w:numFmt w:val="bullet"/>
      <w:lvlText w:val=""/>
      <w:lvlJc w:val="left"/>
      <w:pPr>
        <w:tabs>
          <w:tab w:val="num" w:pos="397"/>
        </w:tabs>
        <w:ind w:left="397" w:hanging="397"/>
      </w:pPr>
      <w:rPr>
        <w:rFonts w:ascii="Symbol" w:hAnsi="Symbol" w:hint="default"/>
      </w:rPr>
    </w:lvl>
    <w:lvl w:ilvl="1" w:tplc="0B46DAB6">
      <w:start w:val="1"/>
      <w:numFmt w:val="bullet"/>
      <w:lvlText w:val="o"/>
      <w:lvlJc w:val="left"/>
      <w:pPr>
        <w:tabs>
          <w:tab w:val="num" w:pos="1440"/>
        </w:tabs>
        <w:ind w:left="1440" w:hanging="360"/>
      </w:pPr>
      <w:rPr>
        <w:rFonts w:ascii="Courier New" w:hAnsi="Courier New" w:cs="Courier New" w:hint="default"/>
      </w:rPr>
    </w:lvl>
    <w:lvl w:ilvl="2" w:tplc="348E820E">
      <w:start w:val="1"/>
      <w:numFmt w:val="bullet"/>
      <w:lvlText w:val=""/>
      <w:lvlJc w:val="left"/>
      <w:pPr>
        <w:tabs>
          <w:tab w:val="num" w:pos="2160"/>
        </w:tabs>
        <w:ind w:left="2160" w:hanging="360"/>
      </w:pPr>
      <w:rPr>
        <w:rFonts w:ascii="Wingdings" w:hAnsi="Wingdings" w:hint="default"/>
      </w:rPr>
    </w:lvl>
    <w:lvl w:ilvl="3" w:tplc="E110AC54">
      <w:start w:val="1"/>
      <w:numFmt w:val="bullet"/>
      <w:lvlText w:val=""/>
      <w:lvlJc w:val="left"/>
      <w:pPr>
        <w:tabs>
          <w:tab w:val="num" w:pos="2880"/>
        </w:tabs>
        <w:ind w:left="2880" w:hanging="360"/>
      </w:pPr>
      <w:rPr>
        <w:rFonts w:ascii="Symbol" w:hAnsi="Symbol" w:hint="default"/>
      </w:rPr>
    </w:lvl>
    <w:lvl w:ilvl="4" w:tplc="C4964DE0" w:tentative="1">
      <w:start w:val="1"/>
      <w:numFmt w:val="bullet"/>
      <w:lvlText w:val="o"/>
      <w:lvlJc w:val="left"/>
      <w:pPr>
        <w:tabs>
          <w:tab w:val="num" w:pos="3600"/>
        </w:tabs>
        <w:ind w:left="3600" w:hanging="360"/>
      </w:pPr>
      <w:rPr>
        <w:rFonts w:ascii="Courier New" w:hAnsi="Courier New" w:cs="Courier New" w:hint="default"/>
      </w:rPr>
    </w:lvl>
    <w:lvl w:ilvl="5" w:tplc="F266BDB0" w:tentative="1">
      <w:start w:val="1"/>
      <w:numFmt w:val="bullet"/>
      <w:lvlText w:val=""/>
      <w:lvlJc w:val="left"/>
      <w:pPr>
        <w:tabs>
          <w:tab w:val="num" w:pos="4320"/>
        </w:tabs>
        <w:ind w:left="4320" w:hanging="360"/>
      </w:pPr>
      <w:rPr>
        <w:rFonts w:ascii="Wingdings" w:hAnsi="Wingdings" w:hint="default"/>
      </w:rPr>
    </w:lvl>
    <w:lvl w:ilvl="6" w:tplc="8056D2D8" w:tentative="1">
      <w:start w:val="1"/>
      <w:numFmt w:val="bullet"/>
      <w:lvlText w:val=""/>
      <w:lvlJc w:val="left"/>
      <w:pPr>
        <w:tabs>
          <w:tab w:val="num" w:pos="5040"/>
        </w:tabs>
        <w:ind w:left="5040" w:hanging="360"/>
      </w:pPr>
      <w:rPr>
        <w:rFonts w:ascii="Symbol" w:hAnsi="Symbol" w:hint="default"/>
      </w:rPr>
    </w:lvl>
    <w:lvl w:ilvl="7" w:tplc="4DD8ACF4" w:tentative="1">
      <w:start w:val="1"/>
      <w:numFmt w:val="bullet"/>
      <w:lvlText w:val="o"/>
      <w:lvlJc w:val="left"/>
      <w:pPr>
        <w:tabs>
          <w:tab w:val="num" w:pos="5760"/>
        </w:tabs>
        <w:ind w:left="5760" w:hanging="360"/>
      </w:pPr>
      <w:rPr>
        <w:rFonts w:ascii="Courier New" w:hAnsi="Courier New" w:cs="Courier New" w:hint="default"/>
      </w:rPr>
    </w:lvl>
    <w:lvl w:ilvl="8" w:tplc="A6E41B3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DBC81606">
      <w:start w:val="1"/>
      <w:numFmt w:val="bullet"/>
      <w:lvlText w:val=""/>
      <w:lvlJc w:val="left"/>
      <w:pPr>
        <w:tabs>
          <w:tab w:val="num" w:pos="720"/>
        </w:tabs>
        <w:ind w:left="720" w:hanging="360"/>
      </w:pPr>
      <w:rPr>
        <w:rFonts w:ascii="Symbol" w:hAnsi="Symbol" w:hint="default"/>
      </w:rPr>
    </w:lvl>
    <w:lvl w:ilvl="1" w:tplc="378AF884" w:tentative="1">
      <w:start w:val="1"/>
      <w:numFmt w:val="bullet"/>
      <w:lvlText w:val="o"/>
      <w:lvlJc w:val="left"/>
      <w:pPr>
        <w:tabs>
          <w:tab w:val="num" w:pos="1440"/>
        </w:tabs>
        <w:ind w:left="1440" w:hanging="360"/>
      </w:pPr>
      <w:rPr>
        <w:rFonts w:ascii="Courier New" w:hAnsi="Courier New" w:cs="Courier New" w:hint="default"/>
      </w:rPr>
    </w:lvl>
    <w:lvl w:ilvl="2" w:tplc="97D2FC4A" w:tentative="1">
      <w:start w:val="1"/>
      <w:numFmt w:val="bullet"/>
      <w:lvlText w:val=""/>
      <w:lvlJc w:val="left"/>
      <w:pPr>
        <w:tabs>
          <w:tab w:val="num" w:pos="2160"/>
        </w:tabs>
        <w:ind w:left="2160" w:hanging="360"/>
      </w:pPr>
      <w:rPr>
        <w:rFonts w:ascii="Wingdings" w:hAnsi="Wingdings" w:hint="default"/>
      </w:rPr>
    </w:lvl>
    <w:lvl w:ilvl="3" w:tplc="4BC4FFD8" w:tentative="1">
      <w:start w:val="1"/>
      <w:numFmt w:val="bullet"/>
      <w:lvlText w:val=""/>
      <w:lvlJc w:val="left"/>
      <w:pPr>
        <w:tabs>
          <w:tab w:val="num" w:pos="2880"/>
        </w:tabs>
        <w:ind w:left="2880" w:hanging="360"/>
      </w:pPr>
      <w:rPr>
        <w:rFonts w:ascii="Symbol" w:hAnsi="Symbol" w:hint="default"/>
      </w:rPr>
    </w:lvl>
    <w:lvl w:ilvl="4" w:tplc="B8D8CB24" w:tentative="1">
      <w:start w:val="1"/>
      <w:numFmt w:val="bullet"/>
      <w:lvlText w:val="o"/>
      <w:lvlJc w:val="left"/>
      <w:pPr>
        <w:tabs>
          <w:tab w:val="num" w:pos="3600"/>
        </w:tabs>
        <w:ind w:left="3600" w:hanging="360"/>
      </w:pPr>
      <w:rPr>
        <w:rFonts w:ascii="Courier New" w:hAnsi="Courier New" w:cs="Courier New" w:hint="default"/>
      </w:rPr>
    </w:lvl>
    <w:lvl w:ilvl="5" w:tplc="D2583546" w:tentative="1">
      <w:start w:val="1"/>
      <w:numFmt w:val="bullet"/>
      <w:lvlText w:val=""/>
      <w:lvlJc w:val="left"/>
      <w:pPr>
        <w:tabs>
          <w:tab w:val="num" w:pos="4320"/>
        </w:tabs>
        <w:ind w:left="4320" w:hanging="360"/>
      </w:pPr>
      <w:rPr>
        <w:rFonts w:ascii="Wingdings" w:hAnsi="Wingdings" w:hint="default"/>
      </w:rPr>
    </w:lvl>
    <w:lvl w:ilvl="6" w:tplc="2ACC50F0" w:tentative="1">
      <w:start w:val="1"/>
      <w:numFmt w:val="bullet"/>
      <w:lvlText w:val=""/>
      <w:lvlJc w:val="left"/>
      <w:pPr>
        <w:tabs>
          <w:tab w:val="num" w:pos="5040"/>
        </w:tabs>
        <w:ind w:left="5040" w:hanging="360"/>
      </w:pPr>
      <w:rPr>
        <w:rFonts w:ascii="Symbol" w:hAnsi="Symbol" w:hint="default"/>
      </w:rPr>
    </w:lvl>
    <w:lvl w:ilvl="7" w:tplc="6DE08D4C" w:tentative="1">
      <w:start w:val="1"/>
      <w:numFmt w:val="bullet"/>
      <w:lvlText w:val="o"/>
      <w:lvlJc w:val="left"/>
      <w:pPr>
        <w:tabs>
          <w:tab w:val="num" w:pos="5760"/>
        </w:tabs>
        <w:ind w:left="5760" w:hanging="360"/>
      </w:pPr>
      <w:rPr>
        <w:rFonts w:ascii="Courier New" w:hAnsi="Courier New" w:cs="Courier New" w:hint="default"/>
      </w:rPr>
    </w:lvl>
    <w:lvl w:ilvl="8" w:tplc="0D6078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1641E0"/>
    <w:multiLevelType w:val="hybridMultilevel"/>
    <w:tmpl w:val="D0A01CA6"/>
    <w:lvl w:ilvl="0" w:tplc="A536B91E">
      <w:start w:val="1"/>
      <w:numFmt w:val="bullet"/>
      <w:lvlText w:val="o"/>
      <w:lvlJc w:val="left"/>
      <w:pPr>
        <w:ind w:left="1440" w:hanging="360"/>
      </w:pPr>
      <w:rPr>
        <w:rFonts w:ascii="Courier New" w:hAnsi="Courier New" w:cs="Courier New" w:hint="default"/>
      </w:rPr>
    </w:lvl>
    <w:lvl w:ilvl="1" w:tplc="668463C0">
      <w:start w:val="1"/>
      <w:numFmt w:val="bullet"/>
      <w:lvlText w:val="o"/>
      <w:lvlJc w:val="left"/>
      <w:pPr>
        <w:ind w:left="2160" w:hanging="360"/>
      </w:pPr>
      <w:rPr>
        <w:rFonts w:ascii="Courier New" w:hAnsi="Courier New" w:cs="Courier New" w:hint="default"/>
      </w:rPr>
    </w:lvl>
    <w:lvl w:ilvl="2" w:tplc="34309F96">
      <w:start w:val="1"/>
      <w:numFmt w:val="bullet"/>
      <w:lvlText w:val=""/>
      <w:lvlJc w:val="left"/>
      <w:pPr>
        <w:ind w:left="2880" w:hanging="360"/>
      </w:pPr>
      <w:rPr>
        <w:rFonts w:ascii="Wingdings" w:hAnsi="Wingdings" w:hint="default"/>
      </w:rPr>
    </w:lvl>
    <w:lvl w:ilvl="3" w:tplc="C7D84F92">
      <w:start w:val="1"/>
      <w:numFmt w:val="bullet"/>
      <w:lvlText w:val=""/>
      <w:lvlJc w:val="left"/>
      <w:pPr>
        <w:ind w:left="3600" w:hanging="360"/>
      </w:pPr>
      <w:rPr>
        <w:rFonts w:ascii="Symbol" w:hAnsi="Symbol" w:hint="default"/>
      </w:rPr>
    </w:lvl>
    <w:lvl w:ilvl="4" w:tplc="F7006302">
      <w:start w:val="1"/>
      <w:numFmt w:val="bullet"/>
      <w:lvlText w:val="o"/>
      <w:lvlJc w:val="left"/>
      <w:pPr>
        <w:ind w:left="4320" w:hanging="360"/>
      </w:pPr>
      <w:rPr>
        <w:rFonts w:ascii="Courier New" w:hAnsi="Courier New" w:cs="Courier New" w:hint="default"/>
      </w:rPr>
    </w:lvl>
    <w:lvl w:ilvl="5" w:tplc="B428D52E">
      <w:start w:val="1"/>
      <w:numFmt w:val="bullet"/>
      <w:lvlText w:val=""/>
      <w:lvlJc w:val="left"/>
      <w:pPr>
        <w:ind w:left="5040" w:hanging="360"/>
      </w:pPr>
      <w:rPr>
        <w:rFonts w:ascii="Wingdings" w:hAnsi="Wingdings" w:hint="default"/>
      </w:rPr>
    </w:lvl>
    <w:lvl w:ilvl="6" w:tplc="C634436E">
      <w:start w:val="1"/>
      <w:numFmt w:val="bullet"/>
      <w:lvlText w:val=""/>
      <w:lvlJc w:val="left"/>
      <w:pPr>
        <w:ind w:left="5760" w:hanging="360"/>
      </w:pPr>
      <w:rPr>
        <w:rFonts w:ascii="Symbol" w:hAnsi="Symbol" w:hint="default"/>
      </w:rPr>
    </w:lvl>
    <w:lvl w:ilvl="7" w:tplc="322E6B96">
      <w:start w:val="1"/>
      <w:numFmt w:val="bullet"/>
      <w:lvlText w:val="o"/>
      <w:lvlJc w:val="left"/>
      <w:pPr>
        <w:ind w:left="6480" w:hanging="360"/>
      </w:pPr>
      <w:rPr>
        <w:rFonts w:ascii="Courier New" w:hAnsi="Courier New" w:cs="Courier New" w:hint="default"/>
      </w:rPr>
    </w:lvl>
    <w:lvl w:ilvl="8" w:tplc="F5683320">
      <w:start w:val="1"/>
      <w:numFmt w:val="bullet"/>
      <w:lvlText w:val=""/>
      <w:lvlJc w:val="left"/>
      <w:pPr>
        <w:ind w:left="7200" w:hanging="360"/>
      </w:pPr>
      <w:rPr>
        <w:rFonts w:ascii="Wingdings" w:hAnsi="Wingdings" w:hint="default"/>
      </w:rPr>
    </w:lvl>
  </w:abstractNum>
  <w:abstractNum w:abstractNumId="29" w15:restartNumberingAfterBreak="0">
    <w:nsid w:val="7EB94DD4"/>
    <w:multiLevelType w:val="hybridMultilevel"/>
    <w:tmpl w:val="E6EA4EBE"/>
    <w:lvl w:ilvl="0" w:tplc="099034AA">
      <w:start w:val="1"/>
      <w:numFmt w:val="bullet"/>
      <w:lvlText w:val=""/>
      <w:lvlJc w:val="left"/>
      <w:pPr>
        <w:ind w:left="1080" w:hanging="360"/>
      </w:pPr>
      <w:rPr>
        <w:rFonts w:ascii="Symbol" w:hAnsi="Symbol" w:hint="default"/>
      </w:rPr>
    </w:lvl>
    <w:lvl w:ilvl="1" w:tplc="E14E29FE">
      <w:start w:val="1"/>
      <w:numFmt w:val="bullet"/>
      <w:lvlText w:val="o"/>
      <w:lvlJc w:val="left"/>
      <w:pPr>
        <w:ind w:left="1800" w:hanging="360"/>
      </w:pPr>
      <w:rPr>
        <w:rFonts w:ascii="Courier New" w:hAnsi="Courier New" w:cs="Courier New" w:hint="default"/>
      </w:rPr>
    </w:lvl>
    <w:lvl w:ilvl="2" w:tplc="7F16E17E">
      <w:start w:val="1"/>
      <w:numFmt w:val="bullet"/>
      <w:lvlText w:val=""/>
      <w:lvlJc w:val="left"/>
      <w:pPr>
        <w:ind w:left="2520" w:hanging="360"/>
      </w:pPr>
      <w:rPr>
        <w:rFonts w:ascii="Wingdings" w:hAnsi="Wingdings" w:hint="default"/>
      </w:rPr>
    </w:lvl>
    <w:lvl w:ilvl="3" w:tplc="3208B740">
      <w:start w:val="1"/>
      <w:numFmt w:val="bullet"/>
      <w:lvlText w:val=""/>
      <w:lvlJc w:val="left"/>
      <w:pPr>
        <w:ind w:left="3240" w:hanging="360"/>
      </w:pPr>
      <w:rPr>
        <w:rFonts w:ascii="Symbol" w:hAnsi="Symbol" w:hint="default"/>
      </w:rPr>
    </w:lvl>
    <w:lvl w:ilvl="4" w:tplc="842AA54E">
      <w:start w:val="1"/>
      <w:numFmt w:val="bullet"/>
      <w:lvlText w:val="o"/>
      <w:lvlJc w:val="left"/>
      <w:pPr>
        <w:ind w:left="3960" w:hanging="360"/>
      </w:pPr>
      <w:rPr>
        <w:rFonts w:ascii="Courier New" w:hAnsi="Courier New" w:cs="Courier New" w:hint="default"/>
      </w:rPr>
    </w:lvl>
    <w:lvl w:ilvl="5" w:tplc="32A8E3A0">
      <w:start w:val="1"/>
      <w:numFmt w:val="bullet"/>
      <w:lvlText w:val=""/>
      <w:lvlJc w:val="left"/>
      <w:pPr>
        <w:ind w:left="4680" w:hanging="360"/>
      </w:pPr>
      <w:rPr>
        <w:rFonts w:ascii="Wingdings" w:hAnsi="Wingdings" w:hint="default"/>
      </w:rPr>
    </w:lvl>
    <w:lvl w:ilvl="6" w:tplc="1FBCB180">
      <w:start w:val="1"/>
      <w:numFmt w:val="bullet"/>
      <w:lvlText w:val=""/>
      <w:lvlJc w:val="left"/>
      <w:pPr>
        <w:ind w:left="5400" w:hanging="360"/>
      </w:pPr>
      <w:rPr>
        <w:rFonts w:ascii="Symbol" w:hAnsi="Symbol" w:hint="default"/>
      </w:rPr>
    </w:lvl>
    <w:lvl w:ilvl="7" w:tplc="1090B9DA">
      <w:start w:val="1"/>
      <w:numFmt w:val="bullet"/>
      <w:lvlText w:val="o"/>
      <w:lvlJc w:val="left"/>
      <w:pPr>
        <w:ind w:left="6120" w:hanging="360"/>
      </w:pPr>
      <w:rPr>
        <w:rFonts w:ascii="Courier New" w:hAnsi="Courier New" w:cs="Courier New" w:hint="default"/>
      </w:rPr>
    </w:lvl>
    <w:lvl w:ilvl="8" w:tplc="8DC8A2D0">
      <w:start w:val="1"/>
      <w:numFmt w:val="bullet"/>
      <w:lvlText w:val=""/>
      <w:lvlJc w:val="left"/>
      <w:pPr>
        <w:ind w:left="6840" w:hanging="360"/>
      </w:pPr>
      <w:rPr>
        <w:rFonts w:ascii="Wingdings" w:hAnsi="Wingdings" w:hint="default"/>
      </w:rPr>
    </w:lvl>
  </w:abstractNum>
  <w:num w:numId="1">
    <w:abstractNumId w:val="22"/>
  </w:num>
  <w:num w:numId="2">
    <w:abstractNumId w:val="18"/>
  </w:num>
  <w:num w:numId="3">
    <w:abstractNumId w:val="8"/>
  </w:num>
  <w:num w:numId="4">
    <w:abstractNumId w:val="11"/>
  </w:num>
  <w:num w:numId="5">
    <w:abstractNumId w:val="19"/>
  </w:num>
  <w:num w:numId="6">
    <w:abstractNumId w:val="3"/>
  </w:num>
  <w:num w:numId="7">
    <w:abstractNumId w:val="14"/>
  </w:num>
  <w:num w:numId="8">
    <w:abstractNumId w:val="4"/>
  </w:num>
  <w:num w:numId="9">
    <w:abstractNumId w:val="5"/>
  </w:num>
  <w:num w:numId="10">
    <w:abstractNumId w:val="10"/>
  </w:num>
  <w:num w:numId="11">
    <w:abstractNumId w:val="24"/>
  </w:num>
  <w:num w:numId="12">
    <w:abstractNumId w:val="2"/>
  </w:num>
  <w:num w:numId="13">
    <w:abstractNumId w:val="27"/>
  </w:num>
  <w:num w:numId="14">
    <w:abstractNumId w:val="7"/>
  </w:num>
  <w:num w:numId="15">
    <w:abstractNumId w:val="1"/>
  </w:num>
  <w:num w:numId="16">
    <w:abstractNumId w:val="29"/>
  </w:num>
  <w:num w:numId="17">
    <w:abstractNumId w:val="12"/>
  </w:num>
  <w:num w:numId="18">
    <w:abstractNumId w:val="13"/>
  </w:num>
  <w:num w:numId="19">
    <w:abstractNumId w:val="17"/>
  </w:num>
  <w:num w:numId="20">
    <w:abstractNumId w:val="21"/>
  </w:num>
  <w:num w:numId="21">
    <w:abstractNumId w:val="6"/>
  </w:num>
  <w:num w:numId="22">
    <w:abstractNumId w:val="28"/>
  </w:num>
  <w:num w:numId="23">
    <w:abstractNumId w:val="15"/>
  </w:num>
  <w:num w:numId="24">
    <w:abstractNumId w:val="26"/>
  </w:num>
  <w:num w:numId="25">
    <w:abstractNumId w:val="20"/>
  </w:num>
  <w:num w:numId="26">
    <w:abstractNumId w:val="0"/>
  </w:num>
  <w:num w:numId="27">
    <w:abstractNumId w:val="25"/>
  </w:num>
  <w:num w:numId="28">
    <w:abstractNumId w:val="9"/>
  </w:num>
  <w:num w:numId="29">
    <w:abstractNumId w:val="16"/>
  </w:num>
  <w:num w:numId="3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BF3CDE-5070-4C8A-9118-174FCC5D8645}"/>
    <w:docVar w:name="dgnword-eventsink" w:val="305063352"/>
    <w:docVar w:name="Registered" w:val="-1"/>
    <w:docVar w:name="Version" w:val="0"/>
  </w:docVars>
  <w:rsids>
    <w:rsidRoot w:val="00812D16"/>
    <w:rsid w:val="00000105"/>
    <w:rsid w:val="00000912"/>
    <w:rsid w:val="000009E6"/>
    <w:rsid w:val="00000D62"/>
    <w:rsid w:val="000011C3"/>
    <w:rsid w:val="00001587"/>
    <w:rsid w:val="00001EA7"/>
    <w:rsid w:val="00002248"/>
    <w:rsid w:val="000027EA"/>
    <w:rsid w:val="00002B58"/>
    <w:rsid w:val="00002C09"/>
    <w:rsid w:val="0000362A"/>
    <w:rsid w:val="00003898"/>
    <w:rsid w:val="00003DCC"/>
    <w:rsid w:val="00004DF0"/>
    <w:rsid w:val="00005701"/>
    <w:rsid w:val="000057D0"/>
    <w:rsid w:val="00005F1A"/>
    <w:rsid w:val="00006492"/>
    <w:rsid w:val="00006B53"/>
    <w:rsid w:val="00007005"/>
    <w:rsid w:val="00007195"/>
    <w:rsid w:val="00007357"/>
    <w:rsid w:val="00007528"/>
    <w:rsid w:val="00007786"/>
    <w:rsid w:val="000101B2"/>
    <w:rsid w:val="0001034C"/>
    <w:rsid w:val="00010F17"/>
    <w:rsid w:val="0001164F"/>
    <w:rsid w:val="000135AE"/>
    <w:rsid w:val="000141A8"/>
    <w:rsid w:val="0001447C"/>
    <w:rsid w:val="00014869"/>
    <w:rsid w:val="00014D35"/>
    <w:rsid w:val="00014E1C"/>
    <w:rsid w:val="000150D3"/>
    <w:rsid w:val="000166C1"/>
    <w:rsid w:val="000169A8"/>
    <w:rsid w:val="00016A1E"/>
    <w:rsid w:val="00017CE4"/>
    <w:rsid w:val="00017F12"/>
    <w:rsid w:val="00017F46"/>
    <w:rsid w:val="0002006B"/>
    <w:rsid w:val="0002032D"/>
    <w:rsid w:val="00020AE8"/>
    <w:rsid w:val="000212BB"/>
    <w:rsid w:val="000214F8"/>
    <w:rsid w:val="00021B7D"/>
    <w:rsid w:val="00021C6B"/>
    <w:rsid w:val="00021E5A"/>
    <w:rsid w:val="00021EAF"/>
    <w:rsid w:val="00021EEE"/>
    <w:rsid w:val="000223E8"/>
    <w:rsid w:val="000233CA"/>
    <w:rsid w:val="000236A1"/>
    <w:rsid w:val="00023A2C"/>
    <w:rsid w:val="000241A9"/>
    <w:rsid w:val="00025B9D"/>
    <w:rsid w:val="00025EBE"/>
    <w:rsid w:val="000266A2"/>
    <w:rsid w:val="00026A00"/>
    <w:rsid w:val="00026BF2"/>
    <w:rsid w:val="000271F6"/>
    <w:rsid w:val="000273D0"/>
    <w:rsid w:val="00027798"/>
    <w:rsid w:val="000279E6"/>
    <w:rsid w:val="00030445"/>
    <w:rsid w:val="00030C11"/>
    <w:rsid w:val="00030D7F"/>
    <w:rsid w:val="00031403"/>
    <w:rsid w:val="000318C7"/>
    <w:rsid w:val="00031AC1"/>
    <w:rsid w:val="00031B81"/>
    <w:rsid w:val="0003236E"/>
    <w:rsid w:val="0003254E"/>
    <w:rsid w:val="00032624"/>
    <w:rsid w:val="00032A56"/>
    <w:rsid w:val="00032B35"/>
    <w:rsid w:val="00033BEC"/>
    <w:rsid w:val="00033D26"/>
    <w:rsid w:val="00033FDB"/>
    <w:rsid w:val="000344F6"/>
    <w:rsid w:val="00034FFE"/>
    <w:rsid w:val="0003547D"/>
    <w:rsid w:val="00035531"/>
    <w:rsid w:val="0003582A"/>
    <w:rsid w:val="00035A7A"/>
    <w:rsid w:val="00035C56"/>
    <w:rsid w:val="000367A4"/>
    <w:rsid w:val="00036C73"/>
    <w:rsid w:val="00037121"/>
    <w:rsid w:val="000379AE"/>
    <w:rsid w:val="00037A56"/>
    <w:rsid w:val="00037ED3"/>
    <w:rsid w:val="000404D2"/>
    <w:rsid w:val="00040C1D"/>
    <w:rsid w:val="00041217"/>
    <w:rsid w:val="00042263"/>
    <w:rsid w:val="0004297A"/>
    <w:rsid w:val="00042A66"/>
    <w:rsid w:val="00042E6A"/>
    <w:rsid w:val="0004302F"/>
    <w:rsid w:val="000433F3"/>
    <w:rsid w:val="00043505"/>
    <w:rsid w:val="00043C70"/>
    <w:rsid w:val="00043D3C"/>
    <w:rsid w:val="00043D55"/>
    <w:rsid w:val="00043E88"/>
    <w:rsid w:val="00044042"/>
    <w:rsid w:val="00044DBD"/>
    <w:rsid w:val="00045278"/>
    <w:rsid w:val="00045396"/>
    <w:rsid w:val="00045E11"/>
    <w:rsid w:val="000474D2"/>
    <w:rsid w:val="0004753B"/>
    <w:rsid w:val="000479C5"/>
    <w:rsid w:val="00047F84"/>
    <w:rsid w:val="00050DFD"/>
    <w:rsid w:val="00050EA5"/>
    <w:rsid w:val="0005186F"/>
    <w:rsid w:val="00051BBE"/>
    <w:rsid w:val="00052676"/>
    <w:rsid w:val="00052AE7"/>
    <w:rsid w:val="00052BEF"/>
    <w:rsid w:val="00052F93"/>
    <w:rsid w:val="00053809"/>
    <w:rsid w:val="00053914"/>
    <w:rsid w:val="00053C90"/>
    <w:rsid w:val="00053EEE"/>
    <w:rsid w:val="0005459F"/>
    <w:rsid w:val="00054756"/>
    <w:rsid w:val="000553FF"/>
    <w:rsid w:val="00055B59"/>
    <w:rsid w:val="000560C5"/>
    <w:rsid w:val="00056347"/>
    <w:rsid w:val="000564F4"/>
    <w:rsid w:val="00056643"/>
    <w:rsid w:val="000569A6"/>
    <w:rsid w:val="00056C49"/>
    <w:rsid w:val="00056FE0"/>
    <w:rsid w:val="0005729E"/>
    <w:rsid w:val="000572E2"/>
    <w:rsid w:val="00057858"/>
    <w:rsid w:val="0005786A"/>
    <w:rsid w:val="00057CA6"/>
    <w:rsid w:val="000600CF"/>
    <w:rsid w:val="000603C8"/>
    <w:rsid w:val="000607CA"/>
    <w:rsid w:val="000608A4"/>
    <w:rsid w:val="000608F6"/>
    <w:rsid w:val="00060AA1"/>
    <w:rsid w:val="00060C86"/>
    <w:rsid w:val="00060F0A"/>
    <w:rsid w:val="000617F3"/>
    <w:rsid w:val="000622E5"/>
    <w:rsid w:val="00062A47"/>
    <w:rsid w:val="000630D4"/>
    <w:rsid w:val="000631FD"/>
    <w:rsid w:val="000643D3"/>
    <w:rsid w:val="000645FD"/>
    <w:rsid w:val="00064731"/>
    <w:rsid w:val="00064C29"/>
    <w:rsid w:val="00064C30"/>
    <w:rsid w:val="0006533B"/>
    <w:rsid w:val="000656D1"/>
    <w:rsid w:val="00066746"/>
    <w:rsid w:val="00066D0D"/>
    <w:rsid w:val="00067B16"/>
    <w:rsid w:val="00070674"/>
    <w:rsid w:val="00070792"/>
    <w:rsid w:val="00070979"/>
    <w:rsid w:val="000716E8"/>
    <w:rsid w:val="00071F8A"/>
    <w:rsid w:val="00072104"/>
    <w:rsid w:val="000739EA"/>
    <w:rsid w:val="00073BD3"/>
    <w:rsid w:val="00073D51"/>
    <w:rsid w:val="00073E04"/>
    <w:rsid w:val="0007401B"/>
    <w:rsid w:val="00074100"/>
    <w:rsid w:val="00074488"/>
    <w:rsid w:val="00074FC5"/>
    <w:rsid w:val="0007505A"/>
    <w:rsid w:val="00075910"/>
    <w:rsid w:val="00075F10"/>
    <w:rsid w:val="0007628D"/>
    <w:rsid w:val="00076B39"/>
    <w:rsid w:val="00076DA6"/>
    <w:rsid w:val="000772CB"/>
    <w:rsid w:val="0007765B"/>
    <w:rsid w:val="00080099"/>
    <w:rsid w:val="00080747"/>
    <w:rsid w:val="00080EAB"/>
    <w:rsid w:val="000810CA"/>
    <w:rsid w:val="00081177"/>
    <w:rsid w:val="0008138A"/>
    <w:rsid w:val="00081DAB"/>
    <w:rsid w:val="0008258D"/>
    <w:rsid w:val="000828F9"/>
    <w:rsid w:val="00083634"/>
    <w:rsid w:val="00083A34"/>
    <w:rsid w:val="00085470"/>
    <w:rsid w:val="00085473"/>
    <w:rsid w:val="000854E5"/>
    <w:rsid w:val="000859F5"/>
    <w:rsid w:val="00086C21"/>
    <w:rsid w:val="0008751C"/>
    <w:rsid w:val="00087DF9"/>
    <w:rsid w:val="000904DE"/>
    <w:rsid w:val="0009062E"/>
    <w:rsid w:val="0009065B"/>
    <w:rsid w:val="00091DD9"/>
    <w:rsid w:val="00091EAB"/>
    <w:rsid w:val="00092566"/>
    <w:rsid w:val="0009270F"/>
    <w:rsid w:val="00092829"/>
    <w:rsid w:val="00092B09"/>
    <w:rsid w:val="00092B92"/>
    <w:rsid w:val="0009351E"/>
    <w:rsid w:val="00093B17"/>
    <w:rsid w:val="00094520"/>
    <w:rsid w:val="0009479A"/>
    <w:rsid w:val="00094AD6"/>
    <w:rsid w:val="00094DD5"/>
    <w:rsid w:val="000956CF"/>
    <w:rsid w:val="00095D61"/>
    <w:rsid w:val="00095E44"/>
    <w:rsid w:val="00095F47"/>
    <w:rsid w:val="00096A75"/>
    <w:rsid w:val="00096D8D"/>
    <w:rsid w:val="00097201"/>
    <w:rsid w:val="0009755A"/>
    <w:rsid w:val="000975BC"/>
    <w:rsid w:val="000A03D5"/>
    <w:rsid w:val="000A0F9E"/>
    <w:rsid w:val="000A1179"/>
    <w:rsid w:val="000A1232"/>
    <w:rsid w:val="000A1880"/>
    <w:rsid w:val="000A2C6B"/>
    <w:rsid w:val="000A30E5"/>
    <w:rsid w:val="000A36DE"/>
    <w:rsid w:val="000A3876"/>
    <w:rsid w:val="000A40D0"/>
    <w:rsid w:val="000A40FD"/>
    <w:rsid w:val="000A5A02"/>
    <w:rsid w:val="000A6355"/>
    <w:rsid w:val="000A64A7"/>
    <w:rsid w:val="000A7AC1"/>
    <w:rsid w:val="000A7BCA"/>
    <w:rsid w:val="000A7BCC"/>
    <w:rsid w:val="000A7F1D"/>
    <w:rsid w:val="000B0097"/>
    <w:rsid w:val="000B05E9"/>
    <w:rsid w:val="000B0BCF"/>
    <w:rsid w:val="000B101F"/>
    <w:rsid w:val="000B188D"/>
    <w:rsid w:val="000B1A51"/>
    <w:rsid w:val="000B1B21"/>
    <w:rsid w:val="000B1F4B"/>
    <w:rsid w:val="000B2B62"/>
    <w:rsid w:val="000B2BBF"/>
    <w:rsid w:val="000B2F27"/>
    <w:rsid w:val="000B2F58"/>
    <w:rsid w:val="000B37A8"/>
    <w:rsid w:val="000B37F9"/>
    <w:rsid w:val="000B4E51"/>
    <w:rsid w:val="000B51D9"/>
    <w:rsid w:val="000B529C"/>
    <w:rsid w:val="000B742B"/>
    <w:rsid w:val="000C019C"/>
    <w:rsid w:val="000C03FB"/>
    <w:rsid w:val="000C0C80"/>
    <w:rsid w:val="000C0DC2"/>
    <w:rsid w:val="000C0F76"/>
    <w:rsid w:val="000C13A0"/>
    <w:rsid w:val="000C1420"/>
    <w:rsid w:val="000C21FF"/>
    <w:rsid w:val="000C308F"/>
    <w:rsid w:val="000C3306"/>
    <w:rsid w:val="000C33BC"/>
    <w:rsid w:val="000C37BE"/>
    <w:rsid w:val="000C387D"/>
    <w:rsid w:val="000C412F"/>
    <w:rsid w:val="000C4BEA"/>
    <w:rsid w:val="000C507E"/>
    <w:rsid w:val="000C5A4E"/>
    <w:rsid w:val="000C5E12"/>
    <w:rsid w:val="000C5EA0"/>
    <w:rsid w:val="000C635D"/>
    <w:rsid w:val="000C655E"/>
    <w:rsid w:val="000C6795"/>
    <w:rsid w:val="000C6861"/>
    <w:rsid w:val="000C6BDF"/>
    <w:rsid w:val="000C7C04"/>
    <w:rsid w:val="000C7F49"/>
    <w:rsid w:val="000D01B4"/>
    <w:rsid w:val="000D0534"/>
    <w:rsid w:val="000D0C6C"/>
    <w:rsid w:val="000D1AEE"/>
    <w:rsid w:val="000D1F4F"/>
    <w:rsid w:val="000D24C9"/>
    <w:rsid w:val="000D2645"/>
    <w:rsid w:val="000D27C6"/>
    <w:rsid w:val="000D3178"/>
    <w:rsid w:val="000D43CB"/>
    <w:rsid w:val="000D4D07"/>
    <w:rsid w:val="000D5199"/>
    <w:rsid w:val="000D5264"/>
    <w:rsid w:val="000D5820"/>
    <w:rsid w:val="000D59FE"/>
    <w:rsid w:val="000D6BB8"/>
    <w:rsid w:val="000D726A"/>
    <w:rsid w:val="000D7535"/>
    <w:rsid w:val="000E001A"/>
    <w:rsid w:val="000E058D"/>
    <w:rsid w:val="000E07CF"/>
    <w:rsid w:val="000E165D"/>
    <w:rsid w:val="000E180F"/>
    <w:rsid w:val="000E1BAF"/>
    <w:rsid w:val="000E1F76"/>
    <w:rsid w:val="000E223E"/>
    <w:rsid w:val="000E2491"/>
    <w:rsid w:val="000E2EA9"/>
    <w:rsid w:val="000E348E"/>
    <w:rsid w:val="000E46A3"/>
    <w:rsid w:val="000E46E8"/>
    <w:rsid w:val="000E4AEC"/>
    <w:rsid w:val="000E4CAE"/>
    <w:rsid w:val="000E4E88"/>
    <w:rsid w:val="000E5726"/>
    <w:rsid w:val="000E6C94"/>
    <w:rsid w:val="000E7DE5"/>
    <w:rsid w:val="000F1807"/>
    <w:rsid w:val="000F182F"/>
    <w:rsid w:val="000F1B2A"/>
    <w:rsid w:val="000F1BB2"/>
    <w:rsid w:val="000F217A"/>
    <w:rsid w:val="000F2208"/>
    <w:rsid w:val="000F3A76"/>
    <w:rsid w:val="000F3EDD"/>
    <w:rsid w:val="000F3F94"/>
    <w:rsid w:val="000F5235"/>
    <w:rsid w:val="000F584B"/>
    <w:rsid w:val="000F5B21"/>
    <w:rsid w:val="000F5E23"/>
    <w:rsid w:val="000F67B1"/>
    <w:rsid w:val="000F6D65"/>
    <w:rsid w:val="000F6E88"/>
    <w:rsid w:val="000F6F96"/>
    <w:rsid w:val="000F7971"/>
    <w:rsid w:val="000F7F32"/>
    <w:rsid w:val="0010045A"/>
    <w:rsid w:val="00101F5F"/>
    <w:rsid w:val="001026B0"/>
    <w:rsid w:val="0010320F"/>
    <w:rsid w:val="00103501"/>
    <w:rsid w:val="00103B2D"/>
    <w:rsid w:val="00103CD2"/>
    <w:rsid w:val="00103E15"/>
    <w:rsid w:val="00104061"/>
    <w:rsid w:val="0010438D"/>
    <w:rsid w:val="00105D95"/>
    <w:rsid w:val="001063DC"/>
    <w:rsid w:val="00107236"/>
    <w:rsid w:val="001076A6"/>
    <w:rsid w:val="001077CE"/>
    <w:rsid w:val="001078A7"/>
    <w:rsid w:val="001100F0"/>
    <w:rsid w:val="001101A2"/>
    <w:rsid w:val="001106F7"/>
    <w:rsid w:val="001108A9"/>
    <w:rsid w:val="001119BC"/>
    <w:rsid w:val="001119FB"/>
    <w:rsid w:val="00112EDA"/>
    <w:rsid w:val="00113904"/>
    <w:rsid w:val="00114174"/>
    <w:rsid w:val="001151D2"/>
    <w:rsid w:val="001156D7"/>
    <w:rsid w:val="00116BDE"/>
    <w:rsid w:val="00116E14"/>
    <w:rsid w:val="00116ED6"/>
    <w:rsid w:val="00117486"/>
    <w:rsid w:val="00117C1D"/>
    <w:rsid w:val="00117DAD"/>
    <w:rsid w:val="00121035"/>
    <w:rsid w:val="0012112B"/>
    <w:rsid w:val="00121916"/>
    <w:rsid w:val="00121AFB"/>
    <w:rsid w:val="0012237B"/>
    <w:rsid w:val="0012278A"/>
    <w:rsid w:val="00123688"/>
    <w:rsid w:val="0012380A"/>
    <w:rsid w:val="00124380"/>
    <w:rsid w:val="001243C8"/>
    <w:rsid w:val="00124C89"/>
    <w:rsid w:val="001252AB"/>
    <w:rsid w:val="00125E63"/>
    <w:rsid w:val="00125E87"/>
    <w:rsid w:val="00125FA2"/>
    <w:rsid w:val="0012787C"/>
    <w:rsid w:val="0012793C"/>
    <w:rsid w:val="00127F47"/>
    <w:rsid w:val="001300D6"/>
    <w:rsid w:val="001302F7"/>
    <w:rsid w:val="00130C38"/>
    <w:rsid w:val="001310CF"/>
    <w:rsid w:val="00131360"/>
    <w:rsid w:val="0013197D"/>
    <w:rsid w:val="00131D87"/>
    <w:rsid w:val="00132FED"/>
    <w:rsid w:val="00133572"/>
    <w:rsid w:val="00133AF1"/>
    <w:rsid w:val="00133B7D"/>
    <w:rsid w:val="0013407B"/>
    <w:rsid w:val="001341F9"/>
    <w:rsid w:val="00135978"/>
    <w:rsid w:val="00135AC0"/>
    <w:rsid w:val="001364FB"/>
    <w:rsid w:val="001365F2"/>
    <w:rsid w:val="0013684A"/>
    <w:rsid w:val="00136891"/>
    <w:rsid w:val="00136A58"/>
    <w:rsid w:val="00136D7A"/>
    <w:rsid w:val="00137368"/>
    <w:rsid w:val="001374C5"/>
    <w:rsid w:val="00140AF5"/>
    <w:rsid w:val="00141470"/>
    <w:rsid w:val="00141540"/>
    <w:rsid w:val="00143655"/>
    <w:rsid w:val="0014377E"/>
    <w:rsid w:val="00143901"/>
    <w:rsid w:val="00143F3F"/>
    <w:rsid w:val="001449DF"/>
    <w:rsid w:val="00144BFC"/>
    <w:rsid w:val="00145280"/>
    <w:rsid w:val="0014569B"/>
    <w:rsid w:val="00145B6C"/>
    <w:rsid w:val="00145CFD"/>
    <w:rsid w:val="0014659F"/>
    <w:rsid w:val="00146F3E"/>
    <w:rsid w:val="00146F51"/>
    <w:rsid w:val="001470E0"/>
    <w:rsid w:val="00147741"/>
    <w:rsid w:val="00147D25"/>
    <w:rsid w:val="00147FD3"/>
    <w:rsid w:val="00150060"/>
    <w:rsid w:val="0015264B"/>
    <w:rsid w:val="00152D11"/>
    <w:rsid w:val="001531C1"/>
    <w:rsid w:val="00154C69"/>
    <w:rsid w:val="00154E75"/>
    <w:rsid w:val="001552D1"/>
    <w:rsid w:val="00155C06"/>
    <w:rsid w:val="00156894"/>
    <w:rsid w:val="0015704C"/>
    <w:rsid w:val="00157143"/>
    <w:rsid w:val="00157895"/>
    <w:rsid w:val="00157EE1"/>
    <w:rsid w:val="00160131"/>
    <w:rsid w:val="00160585"/>
    <w:rsid w:val="001614E6"/>
    <w:rsid w:val="001615FC"/>
    <w:rsid w:val="00161701"/>
    <w:rsid w:val="00161C2F"/>
    <w:rsid w:val="00161E87"/>
    <w:rsid w:val="001629CD"/>
    <w:rsid w:val="001630A5"/>
    <w:rsid w:val="0016388F"/>
    <w:rsid w:val="001638F1"/>
    <w:rsid w:val="00163B75"/>
    <w:rsid w:val="00164E42"/>
    <w:rsid w:val="0016540E"/>
    <w:rsid w:val="0016566C"/>
    <w:rsid w:val="0016709D"/>
    <w:rsid w:val="001671D5"/>
    <w:rsid w:val="00167920"/>
    <w:rsid w:val="00167ADB"/>
    <w:rsid w:val="00167C0E"/>
    <w:rsid w:val="00170104"/>
    <w:rsid w:val="00170339"/>
    <w:rsid w:val="001727F0"/>
    <w:rsid w:val="00172B06"/>
    <w:rsid w:val="0017347E"/>
    <w:rsid w:val="001745CD"/>
    <w:rsid w:val="001752D8"/>
    <w:rsid w:val="00175931"/>
    <w:rsid w:val="001759B8"/>
    <w:rsid w:val="00175AB3"/>
    <w:rsid w:val="001761BF"/>
    <w:rsid w:val="0017650A"/>
    <w:rsid w:val="00176B25"/>
    <w:rsid w:val="00176D95"/>
    <w:rsid w:val="00180D72"/>
    <w:rsid w:val="0018235E"/>
    <w:rsid w:val="0018238B"/>
    <w:rsid w:val="00183419"/>
    <w:rsid w:val="0018394A"/>
    <w:rsid w:val="00183DAF"/>
    <w:rsid w:val="00184407"/>
    <w:rsid w:val="00184845"/>
    <w:rsid w:val="00184DCC"/>
    <w:rsid w:val="001855CD"/>
    <w:rsid w:val="001859BD"/>
    <w:rsid w:val="00185B29"/>
    <w:rsid w:val="00186726"/>
    <w:rsid w:val="00186A9D"/>
    <w:rsid w:val="00187268"/>
    <w:rsid w:val="001874A6"/>
    <w:rsid w:val="0018765B"/>
    <w:rsid w:val="00190096"/>
    <w:rsid w:val="0019043B"/>
    <w:rsid w:val="0019082B"/>
    <w:rsid w:val="00190913"/>
    <w:rsid w:val="001914E9"/>
    <w:rsid w:val="00191988"/>
    <w:rsid w:val="0019236A"/>
    <w:rsid w:val="001923AA"/>
    <w:rsid w:val="001927DD"/>
    <w:rsid w:val="00193793"/>
    <w:rsid w:val="00193AC2"/>
    <w:rsid w:val="00193B21"/>
    <w:rsid w:val="00193DD3"/>
    <w:rsid w:val="001946BB"/>
    <w:rsid w:val="001948AA"/>
    <w:rsid w:val="001948FE"/>
    <w:rsid w:val="00194BB3"/>
    <w:rsid w:val="00194F91"/>
    <w:rsid w:val="0019521F"/>
    <w:rsid w:val="0019551E"/>
    <w:rsid w:val="00195A17"/>
    <w:rsid w:val="00195BEC"/>
    <w:rsid w:val="00195F65"/>
    <w:rsid w:val="00196B6A"/>
    <w:rsid w:val="00196CF3"/>
    <w:rsid w:val="00197D0B"/>
    <w:rsid w:val="001A05EF"/>
    <w:rsid w:val="001A07E2"/>
    <w:rsid w:val="001A0987"/>
    <w:rsid w:val="001A0A5D"/>
    <w:rsid w:val="001A152B"/>
    <w:rsid w:val="001A1740"/>
    <w:rsid w:val="001A1AC3"/>
    <w:rsid w:val="001A1F94"/>
    <w:rsid w:val="001A2018"/>
    <w:rsid w:val="001A222B"/>
    <w:rsid w:val="001A3849"/>
    <w:rsid w:val="001A38D9"/>
    <w:rsid w:val="001A4100"/>
    <w:rsid w:val="001A50BB"/>
    <w:rsid w:val="001A50BD"/>
    <w:rsid w:val="001A56F1"/>
    <w:rsid w:val="001A5C37"/>
    <w:rsid w:val="001A5D0E"/>
    <w:rsid w:val="001A6020"/>
    <w:rsid w:val="001A76B9"/>
    <w:rsid w:val="001A7A0A"/>
    <w:rsid w:val="001A7D3A"/>
    <w:rsid w:val="001B01C8"/>
    <w:rsid w:val="001B06FC"/>
    <w:rsid w:val="001B0B52"/>
    <w:rsid w:val="001B109A"/>
    <w:rsid w:val="001B13F6"/>
    <w:rsid w:val="001B1747"/>
    <w:rsid w:val="001B2493"/>
    <w:rsid w:val="001B2548"/>
    <w:rsid w:val="001B2D44"/>
    <w:rsid w:val="001B33FD"/>
    <w:rsid w:val="001B3459"/>
    <w:rsid w:val="001B490F"/>
    <w:rsid w:val="001B5566"/>
    <w:rsid w:val="001B5EED"/>
    <w:rsid w:val="001B6010"/>
    <w:rsid w:val="001B6101"/>
    <w:rsid w:val="001B62E0"/>
    <w:rsid w:val="001B752A"/>
    <w:rsid w:val="001B76DC"/>
    <w:rsid w:val="001C04A1"/>
    <w:rsid w:val="001C04AD"/>
    <w:rsid w:val="001C12FB"/>
    <w:rsid w:val="001C1417"/>
    <w:rsid w:val="001C14E9"/>
    <w:rsid w:val="001C17D7"/>
    <w:rsid w:val="001C20CF"/>
    <w:rsid w:val="001C22D8"/>
    <w:rsid w:val="001C2650"/>
    <w:rsid w:val="001C2DB4"/>
    <w:rsid w:val="001C2F0D"/>
    <w:rsid w:val="001C3228"/>
    <w:rsid w:val="001C35E9"/>
    <w:rsid w:val="001C36BD"/>
    <w:rsid w:val="001C3733"/>
    <w:rsid w:val="001C42BE"/>
    <w:rsid w:val="001C42F6"/>
    <w:rsid w:val="001C44B0"/>
    <w:rsid w:val="001C4645"/>
    <w:rsid w:val="001C49B3"/>
    <w:rsid w:val="001C5240"/>
    <w:rsid w:val="001C5B30"/>
    <w:rsid w:val="001C5B65"/>
    <w:rsid w:val="001C5C40"/>
    <w:rsid w:val="001C6985"/>
    <w:rsid w:val="001C71E5"/>
    <w:rsid w:val="001C7443"/>
    <w:rsid w:val="001C7BA6"/>
    <w:rsid w:val="001C7E17"/>
    <w:rsid w:val="001D0AEF"/>
    <w:rsid w:val="001D0F3D"/>
    <w:rsid w:val="001D19E9"/>
    <w:rsid w:val="001D1A41"/>
    <w:rsid w:val="001D1CF4"/>
    <w:rsid w:val="001D1DEC"/>
    <w:rsid w:val="001D2892"/>
    <w:rsid w:val="001D2953"/>
    <w:rsid w:val="001D3C05"/>
    <w:rsid w:val="001D3CA8"/>
    <w:rsid w:val="001D3DD6"/>
    <w:rsid w:val="001D3FED"/>
    <w:rsid w:val="001D4309"/>
    <w:rsid w:val="001D4C25"/>
    <w:rsid w:val="001D4E18"/>
    <w:rsid w:val="001D4E35"/>
    <w:rsid w:val="001D4EFE"/>
    <w:rsid w:val="001D5EB8"/>
    <w:rsid w:val="001D611E"/>
    <w:rsid w:val="001D6AF4"/>
    <w:rsid w:val="001D7D36"/>
    <w:rsid w:val="001E031A"/>
    <w:rsid w:val="001E066E"/>
    <w:rsid w:val="001E0B0A"/>
    <w:rsid w:val="001E0C32"/>
    <w:rsid w:val="001E0CC1"/>
    <w:rsid w:val="001E1C10"/>
    <w:rsid w:val="001E3470"/>
    <w:rsid w:val="001E36B2"/>
    <w:rsid w:val="001E3968"/>
    <w:rsid w:val="001E3CC0"/>
    <w:rsid w:val="001E487D"/>
    <w:rsid w:val="001E50C5"/>
    <w:rsid w:val="001E5763"/>
    <w:rsid w:val="001E5FCB"/>
    <w:rsid w:val="001E61FA"/>
    <w:rsid w:val="001E6560"/>
    <w:rsid w:val="001E66E7"/>
    <w:rsid w:val="001E717D"/>
    <w:rsid w:val="001E7221"/>
    <w:rsid w:val="001E77C3"/>
    <w:rsid w:val="001F090B"/>
    <w:rsid w:val="001F0D33"/>
    <w:rsid w:val="001F180A"/>
    <w:rsid w:val="001F1A28"/>
    <w:rsid w:val="001F1AD0"/>
    <w:rsid w:val="001F2B47"/>
    <w:rsid w:val="001F34AF"/>
    <w:rsid w:val="001F35E8"/>
    <w:rsid w:val="001F384F"/>
    <w:rsid w:val="001F4014"/>
    <w:rsid w:val="001F445E"/>
    <w:rsid w:val="001F4FA7"/>
    <w:rsid w:val="001F5E9C"/>
    <w:rsid w:val="001F6423"/>
    <w:rsid w:val="001F752F"/>
    <w:rsid w:val="001F76A3"/>
    <w:rsid w:val="001F795C"/>
    <w:rsid w:val="001F7BE8"/>
    <w:rsid w:val="002005E3"/>
    <w:rsid w:val="00200AA9"/>
    <w:rsid w:val="00201213"/>
    <w:rsid w:val="0020165E"/>
    <w:rsid w:val="002023AD"/>
    <w:rsid w:val="0020271A"/>
    <w:rsid w:val="0020272E"/>
    <w:rsid w:val="00202E50"/>
    <w:rsid w:val="00203277"/>
    <w:rsid w:val="0020470D"/>
    <w:rsid w:val="00204AAB"/>
    <w:rsid w:val="00204BBC"/>
    <w:rsid w:val="00204ED9"/>
    <w:rsid w:val="00205180"/>
    <w:rsid w:val="00205393"/>
    <w:rsid w:val="00205B3E"/>
    <w:rsid w:val="00206B5B"/>
    <w:rsid w:val="00206BE3"/>
    <w:rsid w:val="00206D69"/>
    <w:rsid w:val="0020781E"/>
    <w:rsid w:val="00207A42"/>
    <w:rsid w:val="00207F81"/>
    <w:rsid w:val="0021028E"/>
    <w:rsid w:val="002102F4"/>
    <w:rsid w:val="002109F4"/>
    <w:rsid w:val="00210A5C"/>
    <w:rsid w:val="00211FA6"/>
    <w:rsid w:val="00211FDA"/>
    <w:rsid w:val="00212771"/>
    <w:rsid w:val="00212CF0"/>
    <w:rsid w:val="00212EB4"/>
    <w:rsid w:val="002133A6"/>
    <w:rsid w:val="002136EA"/>
    <w:rsid w:val="00213791"/>
    <w:rsid w:val="002143AF"/>
    <w:rsid w:val="00214ACA"/>
    <w:rsid w:val="00214D9A"/>
    <w:rsid w:val="00215B4D"/>
    <w:rsid w:val="00215FDA"/>
    <w:rsid w:val="002160C2"/>
    <w:rsid w:val="00216639"/>
    <w:rsid w:val="00216C4A"/>
    <w:rsid w:val="00217066"/>
    <w:rsid w:val="00217383"/>
    <w:rsid w:val="00217859"/>
    <w:rsid w:val="00217A2F"/>
    <w:rsid w:val="00217DEE"/>
    <w:rsid w:val="0022101B"/>
    <w:rsid w:val="00221D40"/>
    <w:rsid w:val="00222231"/>
    <w:rsid w:val="002225AB"/>
    <w:rsid w:val="00222BB9"/>
    <w:rsid w:val="002236B8"/>
    <w:rsid w:val="0022450B"/>
    <w:rsid w:val="002249E0"/>
    <w:rsid w:val="00224EED"/>
    <w:rsid w:val="00225680"/>
    <w:rsid w:val="00225703"/>
    <w:rsid w:val="002258D6"/>
    <w:rsid w:val="002260BF"/>
    <w:rsid w:val="00226862"/>
    <w:rsid w:val="002274FB"/>
    <w:rsid w:val="00227E4B"/>
    <w:rsid w:val="002309D2"/>
    <w:rsid w:val="00230EB0"/>
    <w:rsid w:val="002310D2"/>
    <w:rsid w:val="00231B61"/>
    <w:rsid w:val="00231F9D"/>
    <w:rsid w:val="00232190"/>
    <w:rsid w:val="002323C4"/>
    <w:rsid w:val="00232AA0"/>
    <w:rsid w:val="00232D39"/>
    <w:rsid w:val="0023315B"/>
    <w:rsid w:val="002339D1"/>
    <w:rsid w:val="00233A84"/>
    <w:rsid w:val="002347FE"/>
    <w:rsid w:val="00234895"/>
    <w:rsid w:val="00235864"/>
    <w:rsid w:val="00235C4F"/>
    <w:rsid w:val="00235DC5"/>
    <w:rsid w:val="0023644A"/>
    <w:rsid w:val="0023674D"/>
    <w:rsid w:val="0023684F"/>
    <w:rsid w:val="002368D3"/>
    <w:rsid w:val="00237379"/>
    <w:rsid w:val="0023756B"/>
    <w:rsid w:val="002379F2"/>
    <w:rsid w:val="00237D81"/>
    <w:rsid w:val="00240045"/>
    <w:rsid w:val="0024178D"/>
    <w:rsid w:val="00241B0C"/>
    <w:rsid w:val="00242BB2"/>
    <w:rsid w:val="00242CA5"/>
    <w:rsid w:val="002434C3"/>
    <w:rsid w:val="00243737"/>
    <w:rsid w:val="0024392B"/>
    <w:rsid w:val="00243F14"/>
    <w:rsid w:val="002450C6"/>
    <w:rsid w:val="00245DCF"/>
    <w:rsid w:val="00246756"/>
    <w:rsid w:val="00246C65"/>
    <w:rsid w:val="0024721F"/>
    <w:rsid w:val="00250D1F"/>
    <w:rsid w:val="0025140A"/>
    <w:rsid w:val="00251A10"/>
    <w:rsid w:val="00251E3F"/>
    <w:rsid w:val="00251FA2"/>
    <w:rsid w:val="002523D4"/>
    <w:rsid w:val="00252BFF"/>
    <w:rsid w:val="00252E07"/>
    <w:rsid w:val="00252E60"/>
    <w:rsid w:val="002530E5"/>
    <w:rsid w:val="00253732"/>
    <w:rsid w:val="002537DA"/>
    <w:rsid w:val="002542A8"/>
    <w:rsid w:val="00254660"/>
    <w:rsid w:val="00254C37"/>
    <w:rsid w:val="002551CF"/>
    <w:rsid w:val="00256108"/>
    <w:rsid w:val="0025694E"/>
    <w:rsid w:val="0025738C"/>
    <w:rsid w:val="00257A87"/>
    <w:rsid w:val="00260A11"/>
    <w:rsid w:val="00260B59"/>
    <w:rsid w:val="0026169A"/>
    <w:rsid w:val="00261F33"/>
    <w:rsid w:val="0026205E"/>
    <w:rsid w:val="002623E3"/>
    <w:rsid w:val="00262763"/>
    <w:rsid w:val="00263F71"/>
    <w:rsid w:val="00264018"/>
    <w:rsid w:val="00264375"/>
    <w:rsid w:val="00264902"/>
    <w:rsid w:val="00264BEA"/>
    <w:rsid w:val="002659D4"/>
    <w:rsid w:val="002662CA"/>
    <w:rsid w:val="002668C8"/>
    <w:rsid w:val="00266A94"/>
    <w:rsid w:val="0026762E"/>
    <w:rsid w:val="00267850"/>
    <w:rsid w:val="0026789F"/>
    <w:rsid w:val="00267E43"/>
    <w:rsid w:val="00267F49"/>
    <w:rsid w:val="00271032"/>
    <w:rsid w:val="002711B8"/>
    <w:rsid w:val="00271504"/>
    <w:rsid w:val="0027166F"/>
    <w:rsid w:val="00272809"/>
    <w:rsid w:val="00272E8F"/>
    <w:rsid w:val="0027303F"/>
    <w:rsid w:val="00273BB8"/>
    <w:rsid w:val="00273E3E"/>
    <w:rsid w:val="00274147"/>
    <w:rsid w:val="002745AD"/>
    <w:rsid w:val="00274CF9"/>
    <w:rsid w:val="00274F17"/>
    <w:rsid w:val="00275189"/>
    <w:rsid w:val="00275522"/>
    <w:rsid w:val="002756DC"/>
    <w:rsid w:val="00276412"/>
    <w:rsid w:val="00276437"/>
    <w:rsid w:val="0027671A"/>
    <w:rsid w:val="00276F6B"/>
    <w:rsid w:val="00280053"/>
    <w:rsid w:val="002804D8"/>
    <w:rsid w:val="0028063F"/>
    <w:rsid w:val="00280740"/>
    <w:rsid w:val="00280850"/>
    <w:rsid w:val="002808A4"/>
    <w:rsid w:val="00282652"/>
    <w:rsid w:val="00282B55"/>
    <w:rsid w:val="00283999"/>
    <w:rsid w:val="00283A6B"/>
    <w:rsid w:val="00283B02"/>
    <w:rsid w:val="00283C5D"/>
    <w:rsid w:val="002844B0"/>
    <w:rsid w:val="00285058"/>
    <w:rsid w:val="00285069"/>
    <w:rsid w:val="00285674"/>
    <w:rsid w:val="00286322"/>
    <w:rsid w:val="00286E5C"/>
    <w:rsid w:val="00286F96"/>
    <w:rsid w:val="002878F8"/>
    <w:rsid w:val="00290BE3"/>
    <w:rsid w:val="00291191"/>
    <w:rsid w:val="0029140E"/>
    <w:rsid w:val="00292212"/>
    <w:rsid w:val="00292767"/>
    <w:rsid w:val="00292C31"/>
    <w:rsid w:val="00292C3C"/>
    <w:rsid w:val="00293598"/>
    <w:rsid w:val="00293E0C"/>
    <w:rsid w:val="00294C97"/>
    <w:rsid w:val="00295F45"/>
    <w:rsid w:val="00296B03"/>
    <w:rsid w:val="00296BFF"/>
    <w:rsid w:val="00296C1F"/>
    <w:rsid w:val="0029715F"/>
    <w:rsid w:val="00297181"/>
    <w:rsid w:val="0029728E"/>
    <w:rsid w:val="002A065B"/>
    <w:rsid w:val="002A0BEE"/>
    <w:rsid w:val="002A170A"/>
    <w:rsid w:val="002A41E6"/>
    <w:rsid w:val="002A44C8"/>
    <w:rsid w:val="002A4609"/>
    <w:rsid w:val="002A4C0B"/>
    <w:rsid w:val="002A5E48"/>
    <w:rsid w:val="002A5E4A"/>
    <w:rsid w:val="002A6BBB"/>
    <w:rsid w:val="002A7321"/>
    <w:rsid w:val="002A79F5"/>
    <w:rsid w:val="002B0059"/>
    <w:rsid w:val="002B0455"/>
    <w:rsid w:val="002B0468"/>
    <w:rsid w:val="002B1CD5"/>
    <w:rsid w:val="002B249C"/>
    <w:rsid w:val="002B261C"/>
    <w:rsid w:val="002B2BEE"/>
    <w:rsid w:val="002B3497"/>
    <w:rsid w:val="002B35C5"/>
    <w:rsid w:val="002B3935"/>
    <w:rsid w:val="002B394A"/>
    <w:rsid w:val="002B39F3"/>
    <w:rsid w:val="002B3E7E"/>
    <w:rsid w:val="002B402B"/>
    <w:rsid w:val="002B406A"/>
    <w:rsid w:val="002B41D4"/>
    <w:rsid w:val="002B462E"/>
    <w:rsid w:val="002B4ECC"/>
    <w:rsid w:val="002B4EE7"/>
    <w:rsid w:val="002B543F"/>
    <w:rsid w:val="002B5794"/>
    <w:rsid w:val="002B59FE"/>
    <w:rsid w:val="002B5F52"/>
    <w:rsid w:val="002B6165"/>
    <w:rsid w:val="002B61AB"/>
    <w:rsid w:val="002B658D"/>
    <w:rsid w:val="002B6B51"/>
    <w:rsid w:val="002B6F98"/>
    <w:rsid w:val="002B7B93"/>
    <w:rsid w:val="002B7D73"/>
    <w:rsid w:val="002B7ED7"/>
    <w:rsid w:val="002C06E3"/>
    <w:rsid w:val="002C0801"/>
    <w:rsid w:val="002C0F08"/>
    <w:rsid w:val="002C145F"/>
    <w:rsid w:val="002C1A23"/>
    <w:rsid w:val="002C1E7B"/>
    <w:rsid w:val="002C277D"/>
    <w:rsid w:val="002C33B3"/>
    <w:rsid w:val="002C366D"/>
    <w:rsid w:val="002C3CB7"/>
    <w:rsid w:val="002C3FE7"/>
    <w:rsid w:val="002C44B0"/>
    <w:rsid w:val="002C4E07"/>
    <w:rsid w:val="002C67EA"/>
    <w:rsid w:val="002C6D72"/>
    <w:rsid w:val="002D0010"/>
    <w:rsid w:val="002D0586"/>
    <w:rsid w:val="002D0982"/>
    <w:rsid w:val="002D1023"/>
    <w:rsid w:val="002D1459"/>
    <w:rsid w:val="002D1470"/>
    <w:rsid w:val="002D21CF"/>
    <w:rsid w:val="002D29E9"/>
    <w:rsid w:val="002D2E97"/>
    <w:rsid w:val="002D3434"/>
    <w:rsid w:val="002D399A"/>
    <w:rsid w:val="002D3DB7"/>
    <w:rsid w:val="002D40E1"/>
    <w:rsid w:val="002D40FD"/>
    <w:rsid w:val="002D4705"/>
    <w:rsid w:val="002D49C0"/>
    <w:rsid w:val="002D542A"/>
    <w:rsid w:val="002D54B4"/>
    <w:rsid w:val="002D5753"/>
    <w:rsid w:val="002D5B65"/>
    <w:rsid w:val="002D5D3C"/>
    <w:rsid w:val="002D6396"/>
    <w:rsid w:val="002D6FEA"/>
    <w:rsid w:val="002D7E5E"/>
    <w:rsid w:val="002E07BA"/>
    <w:rsid w:val="002E07EF"/>
    <w:rsid w:val="002E0878"/>
    <w:rsid w:val="002E0D06"/>
    <w:rsid w:val="002E151E"/>
    <w:rsid w:val="002E1810"/>
    <w:rsid w:val="002E1AAA"/>
    <w:rsid w:val="002E21C3"/>
    <w:rsid w:val="002E3500"/>
    <w:rsid w:val="002E3722"/>
    <w:rsid w:val="002E3AA9"/>
    <w:rsid w:val="002E3E0B"/>
    <w:rsid w:val="002E4647"/>
    <w:rsid w:val="002E466F"/>
    <w:rsid w:val="002E4E94"/>
    <w:rsid w:val="002E52CA"/>
    <w:rsid w:val="002E5506"/>
    <w:rsid w:val="002E5667"/>
    <w:rsid w:val="002E60E5"/>
    <w:rsid w:val="002E6919"/>
    <w:rsid w:val="002E6CC2"/>
    <w:rsid w:val="002E7FAA"/>
    <w:rsid w:val="002F0FB1"/>
    <w:rsid w:val="002F10C8"/>
    <w:rsid w:val="002F10E7"/>
    <w:rsid w:val="002F1337"/>
    <w:rsid w:val="002F1D36"/>
    <w:rsid w:val="002F1F28"/>
    <w:rsid w:val="002F251A"/>
    <w:rsid w:val="002F27F3"/>
    <w:rsid w:val="002F2B2C"/>
    <w:rsid w:val="002F40D0"/>
    <w:rsid w:val="002F43CA"/>
    <w:rsid w:val="002F57AA"/>
    <w:rsid w:val="002F5BA4"/>
    <w:rsid w:val="002F5E4E"/>
    <w:rsid w:val="002F6AC1"/>
    <w:rsid w:val="002F6EF7"/>
    <w:rsid w:val="002F714C"/>
    <w:rsid w:val="002F77BF"/>
    <w:rsid w:val="002F790F"/>
    <w:rsid w:val="00300349"/>
    <w:rsid w:val="003004A2"/>
    <w:rsid w:val="003006E5"/>
    <w:rsid w:val="00300752"/>
    <w:rsid w:val="003008BD"/>
    <w:rsid w:val="00301440"/>
    <w:rsid w:val="00301480"/>
    <w:rsid w:val="00301A9B"/>
    <w:rsid w:val="00302177"/>
    <w:rsid w:val="003024D0"/>
    <w:rsid w:val="0030283F"/>
    <w:rsid w:val="00302F29"/>
    <w:rsid w:val="003031FD"/>
    <w:rsid w:val="0030366C"/>
    <w:rsid w:val="00303DD5"/>
    <w:rsid w:val="0030447E"/>
    <w:rsid w:val="003046DF"/>
    <w:rsid w:val="003046E1"/>
    <w:rsid w:val="003048AA"/>
    <w:rsid w:val="00306EF2"/>
    <w:rsid w:val="00307224"/>
    <w:rsid w:val="003072BF"/>
    <w:rsid w:val="003076F5"/>
    <w:rsid w:val="00307B74"/>
    <w:rsid w:val="00310764"/>
    <w:rsid w:val="00310924"/>
    <w:rsid w:val="00311BFD"/>
    <w:rsid w:val="00312AA9"/>
    <w:rsid w:val="0031312B"/>
    <w:rsid w:val="00313228"/>
    <w:rsid w:val="003133B9"/>
    <w:rsid w:val="0031470A"/>
    <w:rsid w:val="00314718"/>
    <w:rsid w:val="0031488A"/>
    <w:rsid w:val="00314997"/>
    <w:rsid w:val="00314E0C"/>
    <w:rsid w:val="00315236"/>
    <w:rsid w:val="003156EF"/>
    <w:rsid w:val="003159AD"/>
    <w:rsid w:val="00315D41"/>
    <w:rsid w:val="0031659E"/>
    <w:rsid w:val="00316ABA"/>
    <w:rsid w:val="003170C7"/>
    <w:rsid w:val="003173D4"/>
    <w:rsid w:val="003175E1"/>
    <w:rsid w:val="00320203"/>
    <w:rsid w:val="00320491"/>
    <w:rsid w:val="0032100B"/>
    <w:rsid w:val="00321104"/>
    <w:rsid w:val="00321917"/>
    <w:rsid w:val="00321CF2"/>
    <w:rsid w:val="00322002"/>
    <w:rsid w:val="003221CD"/>
    <w:rsid w:val="0032240F"/>
    <w:rsid w:val="003225D0"/>
    <w:rsid w:val="003228A3"/>
    <w:rsid w:val="003229CB"/>
    <w:rsid w:val="0032334D"/>
    <w:rsid w:val="00323486"/>
    <w:rsid w:val="003238D9"/>
    <w:rsid w:val="003247B0"/>
    <w:rsid w:val="00324A9C"/>
    <w:rsid w:val="00324D4D"/>
    <w:rsid w:val="00325CD2"/>
    <w:rsid w:val="00325E81"/>
    <w:rsid w:val="00326074"/>
    <w:rsid w:val="00326948"/>
    <w:rsid w:val="00326A68"/>
    <w:rsid w:val="00327052"/>
    <w:rsid w:val="00327322"/>
    <w:rsid w:val="0032783D"/>
    <w:rsid w:val="00327FB4"/>
    <w:rsid w:val="0033039B"/>
    <w:rsid w:val="00330CED"/>
    <w:rsid w:val="0033102C"/>
    <w:rsid w:val="0033152E"/>
    <w:rsid w:val="00332D0E"/>
    <w:rsid w:val="003333F9"/>
    <w:rsid w:val="00333CF8"/>
    <w:rsid w:val="0033486D"/>
    <w:rsid w:val="00334CD2"/>
    <w:rsid w:val="00334EE7"/>
    <w:rsid w:val="00334F97"/>
    <w:rsid w:val="00335228"/>
    <w:rsid w:val="0033578C"/>
    <w:rsid w:val="003358AC"/>
    <w:rsid w:val="003361EE"/>
    <w:rsid w:val="003367C4"/>
    <w:rsid w:val="00336870"/>
    <w:rsid w:val="003369E5"/>
    <w:rsid w:val="00336D8E"/>
    <w:rsid w:val="003376B3"/>
    <w:rsid w:val="00337DFA"/>
    <w:rsid w:val="0034006D"/>
    <w:rsid w:val="00340DF1"/>
    <w:rsid w:val="00341AB9"/>
    <w:rsid w:val="00342172"/>
    <w:rsid w:val="003423C5"/>
    <w:rsid w:val="00343026"/>
    <w:rsid w:val="00343BC1"/>
    <w:rsid w:val="00345726"/>
    <w:rsid w:val="00345B27"/>
    <w:rsid w:val="00345E80"/>
    <w:rsid w:val="00345F9C"/>
    <w:rsid w:val="0034664E"/>
    <w:rsid w:val="003471CB"/>
    <w:rsid w:val="00347776"/>
    <w:rsid w:val="00347892"/>
    <w:rsid w:val="00350267"/>
    <w:rsid w:val="003509DA"/>
    <w:rsid w:val="00350B2C"/>
    <w:rsid w:val="00351A06"/>
    <w:rsid w:val="00351A91"/>
    <w:rsid w:val="003520C4"/>
    <w:rsid w:val="003522A8"/>
    <w:rsid w:val="003533AE"/>
    <w:rsid w:val="0035342A"/>
    <w:rsid w:val="003536E9"/>
    <w:rsid w:val="00353A8D"/>
    <w:rsid w:val="00353F8B"/>
    <w:rsid w:val="003540F4"/>
    <w:rsid w:val="00354391"/>
    <w:rsid w:val="00354690"/>
    <w:rsid w:val="003558DB"/>
    <w:rsid w:val="00355BFD"/>
    <w:rsid w:val="00355E14"/>
    <w:rsid w:val="00357C5E"/>
    <w:rsid w:val="00357D45"/>
    <w:rsid w:val="00360445"/>
    <w:rsid w:val="003608BD"/>
    <w:rsid w:val="00361280"/>
    <w:rsid w:val="003612A4"/>
    <w:rsid w:val="003615F1"/>
    <w:rsid w:val="00361A6E"/>
    <w:rsid w:val="003621F8"/>
    <w:rsid w:val="003626AF"/>
    <w:rsid w:val="0036283D"/>
    <w:rsid w:val="00362A78"/>
    <w:rsid w:val="00362E1B"/>
    <w:rsid w:val="00362E78"/>
    <w:rsid w:val="00362F7A"/>
    <w:rsid w:val="0036394C"/>
    <w:rsid w:val="00363D7F"/>
    <w:rsid w:val="003647A5"/>
    <w:rsid w:val="003648D4"/>
    <w:rsid w:val="00364932"/>
    <w:rsid w:val="003651CB"/>
    <w:rsid w:val="0036604B"/>
    <w:rsid w:val="0036655E"/>
    <w:rsid w:val="00366611"/>
    <w:rsid w:val="00367C66"/>
    <w:rsid w:val="003700B2"/>
    <w:rsid w:val="00371C9D"/>
    <w:rsid w:val="00371D67"/>
    <w:rsid w:val="0037233D"/>
    <w:rsid w:val="00372948"/>
    <w:rsid w:val="00372B03"/>
    <w:rsid w:val="003736EF"/>
    <w:rsid w:val="003737E3"/>
    <w:rsid w:val="003740EA"/>
    <w:rsid w:val="0037440E"/>
    <w:rsid w:val="003744F6"/>
    <w:rsid w:val="003750DF"/>
    <w:rsid w:val="0037683E"/>
    <w:rsid w:val="00377757"/>
    <w:rsid w:val="00377874"/>
    <w:rsid w:val="00377BE7"/>
    <w:rsid w:val="00377CF5"/>
    <w:rsid w:val="00380806"/>
    <w:rsid w:val="00380A1A"/>
    <w:rsid w:val="00380BC4"/>
    <w:rsid w:val="00380D80"/>
    <w:rsid w:val="00380DFF"/>
    <w:rsid w:val="0038188D"/>
    <w:rsid w:val="00381A56"/>
    <w:rsid w:val="00381C95"/>
    <w:rsid w:val="00382360"/>
    <w:rsid w:val="0038236E"/>
    <w:rsid w:val="00383A73"/>
    <w:rsid w:val="00384B31"/>
    <w:rsid w:val="00384F0F"/>
    <w:rsid w:val="0038500E"/>
    <w:rsid w:val="0038574B"/>
    <w:rsid w:val="003860A7"/>
    <w:rsid w:val="0038613B"/>
    <w:rsid w:val="00386D18"/>
    <w:rsid w:val="0038735D"/>
    <w:rsid w:val="0038761D"/>
    <w:rsid w:val="00390235"/>
    <w:rsid w:val="003902D4"/>
    <w:rsid w:val="003906F8"/>
    <w:rsid w:val="003907E3"/>
    <w:rsid w:val="003917D1"/>
    <w:rsid w:val="0039215A"/>
    <w:rsid w:val="003935EE"/>
    <w:rsid w:val="00393EE9"/>
    <w:rsid w:val="0039408A"/>
    <w:rsid w:val="003945F5"/>
    <w:rsid w:val="00395111"/>
    <w:rsid w:val="003953D2"/>
    <w:rsid w:val="0039673D"/>
    <w:rsid w:val="00397157"/>
    <w:rsid w:val="003975DA"/>
    <w:rsid w:val="00397893"/>
    <w:rsid w:val="00397FB3"/>
    <w:rsid w:val="003A00FA"/>
    <w:rsid w:val="003A0B08"/>
    <w:rsid w:val="003A0C26"/>
    <w:rsid w:val="003A12D0"/>
    <w:rsid w:val="003A139A"/>
    <w:rsid w:val="003A1958"/>
    <w:rsid w:val="003A2407"/>
    <w:rsid w:val="003A280F"/>
    <w:rsid w:val="003A2CF0"/>
    <w:rsid w:val="003A33D3"/>
    <w:rsid w:val="003A3880"/>
    <w:rsid w:val="003A4043"/>
    <w:rsid w:val="003A4B52"/>
    <w:rsid w:val="003A5AD4"/>
    <w:rsid w:val="003A5BC5"/>
    <w:rsid w:val="003A5D55"/>
    <w:rsid w:val="003A5E15"/>
    <w:rsid w:val="003A6940"/>
    <w:rsid w:val="003A70F7"/>
    <w:rsid w:val="003A75E6"/>
    <w:rsid w:val="003A77E6"/>
    <w:rsid w:val="003A7B58"/>
    <w:rsid w:val="003B0AFE"/>
    <w:rsid w:val="003B1276"/>
    <w:rsid w:val="003B1343"/>
    <w:rsid w:val="003B255B"/>
    <w:rsid w:val="003B3317"/>
    <w:rsid w:val="003B3A87"/>
    <w:rsid w:val="003B3AD4"/>
    <w:rsid w:val="003B4127"/>
    <w:rsid w:val="003B42F4"/>
    <w:rsid w:val="003B475C"/>
    <w:rsid w:val="003B4B2F"/>
    <w:rsid w:val="003B4C50"/>
    <w:rsid w:val="003B52D4"/>
    <w:rsid w:val="003B5B2E"/>
    <w:rsid w:val="003B5B4E"/>
    <w:rsid w:val="003B5DDC"/>
    <w:rsid w:val="003B62B9"/>
    <w:rsid w:val="003B77E8"/>
    <w:rsid w:val="003C0701"/>
    <w:rsid w:val="003C1301"/>
    <w:rsid w:val="003C1CA5"/>
    <w:rsid w:val="003C1CC1"/>
    <w:rsid w:val="003C1EC7"/>
    <w:rsid w:val="003C2302"/>
    <w:rsid w:val="003C2EF4"/>
    <w:rsid w:val="003C3186"/>
    <w:rsid w:val="003C34D4"/>
    <w:rsid w:val="003C365F"/>
    <w:rsid w:val="003C3716"/>
    <w:rsid w:val="003C3BA4"/>
    <w:rsid w:val="003C3D8E"/>
    <w:rsid w:val="003C3E44"/>
    <w:rsid w:val="003C42CE"/>
    <w:rsid w:val="003C465F"/>
    <w:rsid w:val="003C4ABC"/>
    <w:rsid w:val="003C4E93"/>
    <w:rsid w:val="003C51BD"/>
    <w:rsid w:val="003C5296"/>
    <w:rsid w:val="003C5E61"/>
    <w:rsid w:val="003C6434"/>
    <w:rsid w:val="003C64A0"/>
    <w:rsid w:val="003C6CE6"/>
    <w:rsid w:val="003C6D10"/>
    <w:rsid w:val="003C6DFB"/>
    <w:rsid w:val="003C6F0B"/>
    <w:rsid w:val="003C717E"/>
    <w:rsid w:val="003C7308"/>
    <w:rsid w:val="003C741E"/>
    <w:rsid w:val="003C763E"/>
    <w:rsid w:val="003C7737"/>
    <w:rsid w:val="003C7BA3"/>
    <w:rsid w:val="003D0776"/>
    <w:rsid w:val="003D1D22"/>
    <w:rsid w:val="003D2C12"/>
    <w:rsid w:val="003D32D6"/>
    <w:rsid w:val="003D3400"/>
    <w:rsid w:val="003D3474"/>
    <w:rsid w:val="003D3642"/>
    <w:rsid w:val="003D3F07"/>
    <w:rsid w:val="003D4E9C"/>
    <w:rsid w:val="003D507E"/>
    <w:rsid w:val="003D55E0"/>
    <w:rsid w:val="003D5EE8"/>
    <w:rsid w:val="003D5F50"/>
    <w:rsid w:val="003D6DE3"/>
    <w:rsid w:val="003D6E2A"/>
    <w:rsid w:val="003D7B5A"/>
    <w:rsid w:val="003D7D44"/>
    <w:rsid w:val="003E0110"/>
    <w:rsid w:val="003E0945"/>
    <w:rsid w:val="003E0D78"/>
    <w:rsid w:val="003E14EB"/>
    <w:rsid w:val="003E1BB5"/>
    <w:rsid w:val="003E1CB1"/>
    <w:rsid w:val="003E1E9A"/>
    <w:rsid w:val="003E245C"/>
    <w:rsid w:val="003E24F1"/>
    <w:rsid w:val="003E26D0"/>
    <w:rsid w:val="003E2C25"/>
    <w:rsid w:val="003E3627"/>
    <w:rsid w:val="003E368A"/>
    <w:rsid w:val="003E3A1D"/>
    <w:rsid w:val="003E48DC"/>
    <w:rsid w:val="003E49C0"/>
    <w:rsid w:val="003E4B32"/>
    <w:rsid w:val="003E540E"/>
    <w:rsid w:val="003E57A7"/>
    <w:rsid w:val="003E5ED7"/>
    <w:rsid w:val="003E6CA0"/>
    <w:rsid w:val="003E6D82"/>
    <w:rsid w:val="003E7E1C"/>
    <w:rsid w:val="003F0D48"/>
    <w:rsid w:val="003F1E37"/>
    <w:rsid w:val="003F1F41"/>
    <w:rsid w:val="003F2FDE"/>
    <w:rsid w:val="003F330B"/>
    <w:rsid w:val="003F3FB0"/>
    <w:rsid w:val="003F45C1"/>
    <w:rsid w:val="003F4CB0"/>
    <w:rsid w:val="003F6ACD"/>
    <w:rsid w:val="003F6FDF"/>
    <w:rsid w:val="003F742D"/>
    <w:rsid w:val="003F7D07"/>
    <w:rsid w:val="003F7F17"/>
    <w:rsid w:val="00400841"/>
    <w:rsid w:val="00400ADC"/>
    <w:rsid w:val="00400E5A"/>
    <w:rsid w:val="00401182"/>
    <w:rsid w:val="0040168F"/>
    <w:rsid w:val="004016F5"/>
    <w:rsid w:val="00401E75"/>
    <w:rsid w:val="00402F8A"/>
    <w:rsid w:val="004045AA"/>
    <w:rsid w:val="004045BF"/>
    <w:rsid w:val="0040499B"/>
    <w:rsid w:val="0040549A"/>
    <w:rsid w:val="00405AE4"/>
    <w:rsid w:val="00405CC9"/>
    <w:rsid w:val="0040711E"/>
    <w:rsid w:val="0040732F"/>
    <w:rsid w:val="004073CD"/>
    <w:rsid w:val="00407600"/>
    <w:rsid w:val="00407D67"/>
    <w:rsid w:val="00407F29"/>
    <w:rsid w:val="004102D9"/>
    <w:rsid w:val="00410302"/>
    <w:rsid w:val="004107B4"/>
    <w:rsid w:val="00410D93"/>
    <w:rsid w:val="00411AD1"/>
    <w:rsid w:val="00412450"/>
    <w:rsid w:val="004130D0"/>
    <w:rsid w:val="0041327B"/>
    <w:rsid w:val="004138DE"/>
    <w:rsid w:val="00413966"/>
    <w:rsid w:val="00413B39"/>
    <w:rsid w:val="004141FB"/>
    <w:rsid w:val="00414B2F"/>
    <w:rsid w:val="00415196"/>
    <w:rsid w:val="004159F2"/>
    <w:rsid w:val="00415D11"/>
    <w:rsid w:val="00415DEA"/>
    <w:rsid w:val="00415DF5"/>
    <w:rsid w:val="00415E58"/>
    <w:rsid w:val="00416231"/>
    <w:rsid w:val="0041676D"/>
    <w:rsid w:val="0041730B"/>
    <w:rsid w:val="004206D4"/>
    <w:rsid w:val="004208AB"/>
    <w:rsid w:val="00420D00"/>
    <w:rsid w:val="004219EF"/>
    <w:rsid w:val="00421A72"/>
    <w:rsid w:val="00421EEB"/>
    <w:rsid w:val="0042292E"/>
    <w:rsid w:val="00422FB8"/>
    <w:rsid w:val="00423A80"/>
    <w:rsid w:val="00424348"/>
    <w:rsid w:val="004264D4"/>
    <w:rsid w:val="00426CD9"/>
    <w:rsid w:val="00426FE5"/>
    <w:rsid w:val="004273F0"/>
    <w:rsid w:val="00430B63"/>
    <w:rsid w:val="00430C5A"/>
    <w:rsid w:val="00430FEB"/>
    <w:rsid w:val="004310EE"/>
    <w:rsid w:val="00431525"/>
    <w:rsid w:val="00431AF3"/>
    <w:rsid w:val="00431CFD"/>
    <w:rsid w:val="004330DA"/>
    <w:rsid w:val="00433243"/>
    <w:rsid w:val="0043342F"/>
    <w:rsid w:val="00433677"/>
    <w:rsid w:val="00433971"/>
    <w:rsid w:val="00433F0E"/>
    <w:rsid w:val="004340D5"/>
    <w:rsid w:val="004341DF"/>
    <w:rsid w:val="0043424F"/>
    <w:rsid w:val="00434880"/>
    <w:rsid w:val="00434A21"/>
    <w:rsid w:val="0043513C"/>
    <w:rsid w:val="0043526D"/>
    <w:rsid w:val="00435DC5"/>
    <w:rsid w:val="00437603"/>
    <w:rsid w:val="00437BE5"/>
    <w:rsid w:val="00437FD9"/>
    <w:rsid w:val="00441310"/>
    <w:rsid w:val="00441C48"/>
    <w:rsid w:val="00441F23"/>
    <w:rsid w:val="004433E7"/>
    <w:rsid w:val="00443EF5"/>
    <w:rsid w:val="004445B4"/>
    <w:rsid w:val="00445DD5"/>
    <w:rsid w:val="004460E9"/>
    <w:rsid w:val="00447264"/>
    <w:rsid w:val="00447697"/>
    <w:rsid w:val="0044796A"/>
    <w:rsid w:val="00447B6F"/>
    <w:rsid w:val="00451FFA"/>
    <w:rsid w:val="00452A41"/>
    <w:rsid w:val="00452A8A"/>
    <w:rsid w:val="00452BD9"/>
    <w:rsid w:val="00452C29"/>
    <w:rsid w:val="0045351B"/>
    <w:rsid w:val="00453623"/>
    <w:rsid w:val="00453831"/>
    <w:rsid w:val="00453C11"/>
    <w:rsid w:val="00453EF8"/>
    <w:rsid w:val="00454123"/>
    <w:rsid w:val="004546CF"/>
    <w:rsid w:val="004550F8"/>
    <w:rsid w:val="004557B0"/>
    <w:rsid w:val="00455A17"/>
    <w:rsid w:val="00455F26"/>
    <w:rsid w:val="004567E8"/>
    <w:rsid w:val="00456ADE"/>
    <w:rsid w:val="00456FDD"/>
    <w:rsid w:val="0045714E"/>
    <w:rsid w:val="00457876"/>
    <w:rsid w:val="00457946"/>
    <w:rsid w:val="0045798E"/>
    <w:rsid w:val="00457BC5"/>
    <w:rsid w:val="00457D8B"/>
    <w:rsid w:val="004604EE"/>
    <w:rsid w:val="00460995"/>
    <w:rsid w:val="00460A17"/>
    <w:rsid w:val="0046128F"/>
    <w:rsid w:val="004623D0"/>
    <w:rsid w:val="004625A3"/>
    <w:rsid w:val="004626A0"/>
    <w:rsid w:val="00462907"/>
    <w:rsid w:val="004629A2"/>
    <w:rsid w:val="00462F79"/>
    <w:rsid w:val="00463438"/>
    <w:rsid w:val="00463ECE"/>
    <w:rsid w:val="00465388"/>
    <w:rsid w:val="004662FF"/>
    <w:rsid w:val="0046650C"/>
    <w:rsid w:val="004669F4"/>
    <w:rsid w:val="004670E6"/>
    <w:rsid w:val="004677C9"/>
    <w:rsid w:val="0047010D"/>
    <w:rsid w:val="00470CB5"/>
    <w:rsid w:val="0047188C"/>
    <w:rsid w:val="00471EAB"/>
    <w:rsid w:val="004723EE"/>
    <w:rsid w:val="00472AA9"/>
    <w:rsid w:val="00472D7B"/>
    <w:rsid w:val="00474C94"/>
    <w:rsid w:val="00475646"/>
    <w:rsid w:val="0047578B"/>
    <w:rsid w:val="00475A92"/>
    <w:rsid w:val="0047611F"/>
    <w:rsid w:val="004772DE"/>
    <w:rsid w:val="00477BB9"/>
    <w:rsid w:val="00480372"/>
    <w:rsid w:val="00481A8E"/>
    <w:rsid w:val="00482210"/>
    <w:rsid w:val="00482925"/>
    <w:rsid w:val="00482A54"/>
    <w:rsid w:val="00482B99"/>
    <w:rsid w:val="00484E33"/>
    <w:rsid w:val="004859EE"/>
    <w:rsid w:val="00485C2C"/>
    <w:rsid w:val="004865A7"/>
    <w:rsid w:val="004866BC"/>
    <w:rsid w:val="00486BF8"/>
    <w:rsid w:val="00487079"/>
    <w:rsid w:val="00487366"/>
    <w:rsid w:val="004873E4"/>
    <w:rsid w:val="004875C2"/>
    <w:rsid w:val="004902C7"/>
    <w:rsid w:val="0049068D"/>
    <w:rsid w:val="0049072C"/>
    <w:rsid w:val="004908F8"/>
    <w:rsid w:val="00490C52"/>
    <w:rsid w:val="00490FD1"/>
    <w:rsid w:val="004911E6"/>
    <w:rsid w:val="004916F7"/>
    <w:rsid w:val="0049190D"/>
    <w:rsid w:val="00491AD2"/>
    <w:rsid w:val="004923A6"/>
    <w:rsid w:val="004924A9"/>
    <w:rsid w:val="00492B93"/>
    <w:rsid w:val="004935C0"/>
    <w:rsid w:val="00493B43"/>
    <w:rsid w:val="00494891"/>
    <w:rsid w:val="00494EB1"/>
    <w:rsid w:val="00494F6C"/>
    <w:rsid w:val="0049514F"/>
    <w:rsid w:val="004962B2"/>
    <w:rsid w:val="00496414"/>
    <w:rsid w:val="00496998"/>
    <w:rsid w:val="004978AF"/>
    <w:rsid w:val="00497A38"/>
    <w:rsid w:val="00497B2B"/>
    <w:rsid w:val="004A28CC"/>
    <w:rsid w:val="004A2961"/>
    <w:rsid w:val="004A41F9"/>
    <w:rsid w:val="004A45BD"/>
    <w:rsid w:val="004A4656"/>
    <w:rsid w:val="004A4B90"/>
    <w:rsid w:val="004A52B9"/>
    <w:rsid w:val="004A5E35"/>
    <w:rsid w:val="004A65AE"/>
    <w:rsid w:val="004A6996"/>
    <w:rsid w:val="004A72EA"/>
    <w:rsid w:val="004A77B0"/>
    <w:rsid w:val="004B08A9"/>
    <w:rsid w:val="004B1553"/>
    <w:rsid w:val="004B1CED"/>
    <w:rsid w:val="004B2CFA"/>
    <w:rsid w:val="004B2F8F"/>
    <w:rsid w:val="004B34A7"/>
    <w:rsid w:val="004B3677"/>
    <w:rsid w:val="004B3B06"/>
    <w:rsid w:val="004B3C74"/>
    <w:rsid w:val="004B3ED5"/>
    <w:rsid w:val="004B4643"/>
    <w:rsid w:val="004B4C49"/>
    <w:rsid w:val="004B6AE0"/>
    <w:rsid w:val="004B738B"/>
    <w:rsid w:val="004B744C"/>
    <w:rsid w:val="004B7F67"/>
    <w:rsid w:val="004C06BE"/>
    <w:rsid w:val="004C0938"/>
    <w:rsid w:val="004C0B0A"/>
    <w:rsid w:val="004C0CED"/>
    <w:rsid w:val="004C1994"/>
    <w:rsid w:val="004C1D07"/>
    <w:rsid w:val="004C1FF4"/>
    <w:rsid w:val="004C21F0"/>
    <w:rsid w:val="004C2C0A"/>
    <w:rsid w:val="004C3022"/>
    <w:rsid w:val="004C32DC"/>
    <w:rsid w:val="004C37F2"/>
    <w:rsid w:val="004C4908"/>
    <w:rsid w:val="004C4940"/>
    <w:rsid w:val="004C649A"/>
    <w:rsid w:val="004C70FC"/>
    <w:rsid w:val="004C75DE"/>
    <w:rsid w:val="004D1D51"/>
    <w:rsid w:val="004D2675"/>
    <w:rsid w:val="004D4080"/>
    <w:rsid w:val="004D4E79"/>
    <w:rsid w:val="004D5998"/>
    <w:rsid w:val="004D61E7"/>
    <w:rsid w:val="004D65B7"/>
    <w:rsid w:val="004D6A15"/>
    <w:rsid w:val="004E02B7"/>
    <w:rsid w:val="004E034D"/>
    <w:rsid w:val="004E05FD"/>
    <w:rsid w:val="004E1533"/>
    <w:rsid w:val="004E16D4"/>
    <w:rsid w:val="004E1A0D"/>
    <w:rsid w:val="004E1FAE"/>
    <w:rsid w:val="004E23F5"/>
    <w:rsid w:val="004E2834"/>
    <w:rsid w:val="004E28CE"/>
    <w:rsid w:val="004E3638"/>
    <w:rsid w:val="004E38F2"/>
    <w:rsid w:val="004E38FF"/>
    <w:rsid w:val="004E3D4D"/>
    <w:rsid w:val="004E51A6"/>
    <w:rsid w:val="004E5418"/>
    <w:rsid w:val="004E59B0"/>
    <w:rsid w:val="004E5AFC"/>
    <w:rsid w:val="004E63E5"/>
    <w:rsid w:val="004E675F"/>
    <w:rsid w:val="004E6B76"/>
    <w:rsid w:val="004E6C72"/>
    <w:rsid w:val="004E71BF"/>
    <w:rsid w:val="004E7F79"/>
    <w:rsid w:val="004F1437"/>
    <w:rsid w:val="004F187C"/>
    <w:rsid w:val="004F1F8B"/>
    <w:rsid w:val="004F22E1"/>
    <w:rsid w:val="004F28F9"/>
    <w:rsid w:val="004F29BE"/>
    <w:rsid w:val="004F2FF9"/>
    <w:rsid w:val="004F34EB"/>
    <w:rsid w:val="004F3540"/>
    <w:rsid w:val="004F3556"/>
    <w:rsid w:val="004F38D0"/>
    <w:rsid w:val="004F51AC"/>
    <w:rsid w:val="004F52DB"/>
    <w:rsid w:val="004F5624"/>
    <w:rsid w:val="004F5AA9"/>
    <w:rsid w:val="004F5DA4"/>
    <w:rsid w:val="004F62B2"/>
    <w:rsid w:val="004F6424"/>
    <w:rsid w:val="004F67DA"/>
    <w:rsid w:val="004F6845"/>
    <w:rsid w:val="004F7F07"/>
    <w:rsid w:val="005004A3"/>
    <w:rsid w:val="00500C85"/>
    <w:rsid w:val="005020DC"/>
    <w:rsid w:val="00502635"/>
    <w:rsid w:val="0050278F"/>
    <w:rsid w:val="00502927"/>
    <w:rsid w:val="00503508"/>
    <w:rsid w:val="00503C08"/>
    <w:rsid w:val="005040CD"/>
    <w:rsid w:val="00505229"/>
    <w:rsid w:val="005055D3"/>
    <w:rsid w:val="005059A5"/>
    <w:rsid w:val="00506021"/>
    <w:rsid w:val="00506867"/>
    <w:rsid w:val="00507F98"/>
    <w:rsid w:val="00510046"/>
    <w:rsid w:val="005108A3"/>
    <w:rsid w:val="00510D2E"/>
    <w:rsid w:val="00510DB5"/>
    <w:rsid w:val="00510F6E"/>
    <w:rsid w:val="00510FF6"/>
    <w:rsid w:val="005112EB"/>
    <w:rsid w:val="00511422"/>
    <w:rsid w:val="005118AE"/>
    <w:rsid w:val="00511AD0"/>
    <w:rsid w:val="005121BF"/>
    <w:rsid w:val="00512395"/>
    <w:rsid w:val="005128B1"/>
    <w:rsid w:val="00512C7A"/>
    <w:rsid w:val="00513310"/>
    <w:rsid w:val="005134C6"/>
    <w:rsid w:val="0051369C"/>
    <w:rsid w:val="00514119"/>
    <w:rsid w:val="005141EB"/>
    <w:rsid w:val="005145A6"/>
    <w:rsid w:val="00514740"/>
    <w:rsid w:val="0051587A"/>
    <w:rsid w:val="005158FA"/>
    <w:rsid w:val="0051593F"/>
    <w:rsid w:val="00515B67"/>
    <w:rsid w:val="00515CB2"/>
    <w:rsid w:val="00516238"/>
    <w:rsid w:val="005163D1"/>
    <w:rsid w:val="00516953"/>
    <w:rsid w:val="005169AD"/>
    <w:rsid w:val="00517355"/>
    <w:rsid w:val="005208B9"/>
    <w:rsid w:val="005212FC"/>
    <w:rsid w:val="005217B3"/>
    <w:rsid w:val="0052203B"/>
    <w:rsid w:val="005221F0"/>
    <w:rsid w:val="00522584"/>
    <w:rsid w:val="005229E9"/>
    <w:rsid w:val="00523892"/>
    <w:rsid w:val="005243DA"/>
    <w:rsid w:val="005247D2"/>
    <w:rsid w:val="00524807"/>
    <w:rsid w:val="005252FE"/>
    <w:rsid w:val="00525FF9"/>
    <w:rsid w:val="0052661A"/>
    <w:rsid w:val="00526648"/>
    <w:rsid w:val="00526DF0"/>
    <w:rsid w:val="0052771A"/>
    <w:rsid w:val="00527976"/>
    <w:rsid w:val="0053034D"/>
    <w:rsid w:val="00530BA8"/>
    <w:rsid w:val="00531913"/>
    <w:rsid w:val="00532023"/>
    <w:rsid w:val="005320F0"/>
    <w:rsid w:val="00532C41"/>
    <w:rsid w:val="00532D3F"/>
    <w:rsid w:val="00532E08"/>
    <w:rsid w:val="00532E26"/>
    <w:rsid w:val="00533080"/>
    <w:rsid w:val="0053386D"/>
    <w:rsid w:val="005341F2"/>
    <w:rsid w:val="00534700"/>
    <w:rsid w:val="005350A1"/>
    <w:rsid w:val="00535698"/>
    <w:rsid w:val="00536292"/>
    <w:rsid w:val="00536BD2"/>
    <w:rsid w:val="00536F7A"/>
    <w:rsid w:val="00537150"/>
    <w:rsid w:val="005373C4"/>
    <w:rsid w:val="0053791F"/>
    <w:rsid w:val="00540529"/>
    <w:rsid w:val="0054099D"/>
    <w:rsid w:val="00540C82"/>
    <w:rsid w:val="00541B78"/>
    <w:rsid w:val="00542161"/>
    <w:rsid w:val="005422F5"/>
    <w:rsid w:val="005428E3"/>
    <w:rsid w:val="00542F04"/>
    <w:rsid w:val="005437E3"/>
    <w:rsid w:val="00544E6D"/>
    <w:rsid w:val="00545064"/>
    <w:rsid w:val="00545519"/>
    <w:rsid w:val="00545D18"/>
    <w:rsid w:val="00546622"/>
    <w:rsid w:val="00546AB5"/>
    <w:rsid w:val="00547538"/>
    <w:rsid w:val="005500BC"/>
    <w:rsid w:val="00550471"/>
    <w:rsid w:val="00550D6B"/>
    <w:rsid w:val="005518C0"/>
    <w:rsid w:val="00551EB0"/>
    <w:rsid w:val="00552A37"/>
    <w:rsid w:val="00552C10"/>
    <w:rsid w:val="00552ED7"/>
    <w:rsid w:val="00553BFA"/>
    <w:rsid w:val="00553E12"/>
    <w:rsid w:val="00553FBA"/>
    <w:rsid w:val="00554164"/>
    <w:rsid w:val="00554D05"/>
    <w:rsid w:val="005556A1"/>
    <w:rsid w:val="005567A4"/>
    <w:rsid w:val="00556936"/>
    <w:rsid w:val="00556D49"/>
    <w:rsid w:val="0056077E"/>
    <w:rsid w:val="00560C4A"/>
    <w:rsid w:val="00560EDA"/>
    <w:rsid w:val="005612AF"/>
    <w:rsid w:val="00561B75"/>
    <w:rsid w:val="005629EE"/>
    <w:rsid w:val="00562ECC"/>
    <w:rsid w:val="005635E8"/>
    <w:rsid w:val="00563B6F"/>
    <w:rsid w:val="005648FA"/>
    <w:rsid w:val="00564D50"/>
    <w:rsid w:val="00565CA9"/>
    <w:rsid w:val="005660CD"/>
    <w:rsid w:val="0056636A"/>
    <w:rsid w:val="005667DB"/>
    <w:rsid w:val="005668D0"/>
    <w:rsid w:val="00566F9E"/>
    <w:rsid w:val="00567346"/>
    <w:rsid w:val="0056740F"/>
    <w:rsid w:val="00567B07"/>
    <w:rsid w:val="00570C1D"/>
    <w:rsid w:val="005711A5"/>
    <w:rsid w:val="0057132E"/>
    <w:rsid w:val="005719DB"/>
    <w:rsid w:val="00571FF3"/>
    <w:rsid w:val="0057209A"/>
    <w:rsid w:val="005720D5"/>
    <w:rsid w:val="00572818"/>
    <w:rsid w:val="0057288B"/>
    <w:rsid w:val="005731EC"/>
    <w:rsid w:val="0057371B"/>
    <w:rsid w:val="0057392D"/>
    <w:rsid w:val="00573955"/>
    <w:rsid w:val="00573B58"/>
    <w:rsid w:val="00573F68"/>
    <w:rsid w:val="00573F99"/>
    <w:rsid w:val="00574226"/>
    <w:rsid w:val="005752EC"/>
    <w:rsid w:val="005754EB"/>
    <w:rsid w:val="005756F0"/>
    <w:rsid w:val="00575A61"/>
    <w:rsid w:val="00575EB8"/>
    <w:rsid w:val="00575F05"/>
    <w:rsid w:val="0057613A"/>
    <w:rsid w:val="00577413"/>
    <w:rsid w:val="00577A68"/>
    <w:rsid w:val="0058072E"/>
    <w:rsid w:val="0058104E"/>
    <w:rsid w:val="00581D6F"/>
    <w:rsid w:val="0058204E"/>
    <w:rsid w:val="00582A9B"/>
    <w:rsid w:val="00582C49"/>
    <w:rsid w:val="005832AB"/>
    <w:rsid w:val="005836D2"/>
    <w:rsid w:val="00583D5E"/>
    <w:rsid w:val="00583E55"/>
    <w:rsid w:val="00584182"/>
    <w:rsid w:val="0058437C"/>
    <w:rsid w:val="0058445B"/>
    <w:rsid w:val="0058492B"/>
    <w:rsid w:val="00584BC9"/>
    <w:rsid w:val="00584F1D"/>
    <w:rsid w:val="0058586D"/>
    <w:rsid w:val="0058622A"/>
    <w:rsid w:val="00586634"/>
    <w:rsid w:val="0058727D"/>
    <w:rsid w:val="00587F28"/>
    <w:rsid w:val="00590E2A"/>
    <w:rsid w:val="0059119C"/>
    <w:rsid w:val="005912B0"/>
    <w:rsid w:val="00591908"/>
    <w:rsid w:val="00591F09"/>
    <w:rsid w:val="0059318D"/>
    <w:rsid w:val="00593213"/>
    <w:rsid w:val="005935F4"/>
    <w:rsid w:val="00593C18"/>
    <w:rsid w:val="00593E0A"/>
    <w:rsid w:val="00594478"/>
    <w:rsid w:val="0059468C"/>
    <w:rsid w:val="00594E18"/>
    <w:rsid w:val="0059510E"/>
    <w:rsid w:val="005951AB"/>
    <w:rsid w:val="00595439"/>
    <w:rsid w:val="00595F18"/>
    <w:rsid w:val="00596736"/>
    <w:rsid w:val="005968AF"/>
    <w:rsid w:val="00597868"/>
    <w:rsid w:val="00597D2C"/>
    <w:rsid w:val="005A042F"/>
    <w:rsid w:val="005A0633"/>
    <w:rsid w:val="005A0AC6"/>
    <w:rsid w:val="005A0C87"/>
    <w:rsid w:val="005A133F"/>
    <w:rsid w:val="005A14F8"/>
    <w:rsid w:val="005A167F"/>
    <w:rsid w:val="005A1E0D"/>
    <w:rsid w:val="005A2AFE"/>
    <w:rsid w:val="005A2C1F"/>
    <w:rsid w:val="005A346E"/>
    <w:rsid w:val="005A37BD"/>
    <w:rsid w:val="005A39DF"/>
    <w:rsid w:val="005A3DBD"/>
    <w:rsid w:val="005A4A6E"/>
    <w:rsid w:val="005A4B1D"/>
    <w:rsid w:val="005A4B1F"/>
    <w:rsid w:val="005A60E8"/>
    <w:rsid w:val="005A6CF2"/>
    <w:rsid w:val="005A6EE5"/>
    <w:rsid w:val="005A73CF"/>
    <w:rsid w:val="005A7725"/>
    <w:rsid w:val="005B071E"/>
    <w:rsid w:val="005B0F86"/>
    <w:rsid w:val="005B175B"/>
    <w:rsid w:val="005B2898"/>
    <w:rsid w:val="005B2DBD"/>
    <w:rsid w:val="005B3F6F"/>
    <w:rsid w:val="005B44C9"/>
    <w:rsid w:val="005B51AB"/>
    <w:rsid w:val="005B5F10"/>
    <w:rsid w:val="005B638A"/>
    <w:rsid w:val="005B6C00"/>
    <w:rsid w:val="005B6EA6"/>
    <w:rsid w:val="005B798B"/>
    <w:rsid w:val="005B7E30"/>
    <w:rsid w:val="005B7F59"/>
    <w:rsid w:val="005C0AF0"/>
    <w:rsid w:val="005C10AB"/>
    <w:rsid w:val="005C160B"/>
    <w:rsid w:val="005C17ED"/>
    <w:rsid w:val="005C1C89"/>
    <w:rsid w:val="005C1FAE"/>
    <w:rsid w:val="005C2921"/>
    <w:rsid w:val="005C2AEC"/>
    <w:rsid w:val="005C3243"/>
    <w:rsid w:val="005C3667"/>
    <w:rsid w:val="005C39E8"/>
    <w:rsid w:val="005C4638"/>
    <w:rsid w:val="005C5660"/>
    <w:rsid w:val="005C5F02"/>
    <w:rsid w:val="005C66D9"/>
    <w:rsid w:val="005C72E3"/>
    <w:rsid w:val="005D0258"/>
    <w:rsid w:val="005D0F5E"/>
    <w:rsid w:val="005D11B2"/>
    <w:rsid w:val="005D1318"/>
    <w:rsid w:val="005D2666"/>
    <w:rsid w:val="005D27B7"/>
    <w:rsid w:val="005D2DD0"/>
    <w:rsid w:val="005D3A09"/>
    <w:rsid w:val="005D4B68"/>
    <w:rsid w:val="005D4EC0"/>
    <w:rsid w:val="005D5396"/>
    <w:rsid w:val="005D6BCE"/>
    <w:rsid w:val="005D6E01"/>
    <w:rsid w:val="005D7220"/>
    <w:rsid w:val="005D7E2F"/>
    <w:rsid w:val="005E0000"/>
    <w:rsid w:val="005E01AA"/>
    <w:rsid w:val="005E0466"/>
    <w:rsid w:val="005E095D"/>
    <w:rsid w:val="005E0C02"/>
    <w:rsid w:val="005E0CDB"/>
    <w:rsid w:val="005E1000"/>
    <w:rsid w:val="005E11C1"/>
    <w:rsid w:val="005E1460"/>
    <w:rsid w:val="005E1544"/>
    <w:rsid w:val="005E2563"/>
    <w:rsid w:val="005E2724"/>
    <w:rsid w:val="005E2B43"/>
    <w:rsid w:val="005E31E2"/>
    <w:rsid w:val="005E38EB"/>
    <w:rsid w:val="005E394C"/>
    <w:rsid w:val="005E42BF"/>
    <w:rsid w:val="005E446A"/>
    <w:rsid w:val="005E48CE"/>
    <w:rsid w:val="005E4D0B"/>
    <w:rsid w:val="005E4E70"/>
    <w:rsid w:val="005E507C"/>
    <w:rsid w:val="005E5670"/>
    <w:rsid w:val="005E628B"/>
    <w:rsid w:val="005E629F"/>
    <w:rsid w:val="005E65BB"/>
    <w:rsid w:val="005E6A0A"/>
    <w:rsid w:val="005E7C85"/>
    <w:rsid w:val="005F0DA0"/>
    <w:rsid w:val="005F10B3"/>
    <w:rsid w:val="005F1B74"/>
    <w:rsid w:val="005F2767"/>
    <w:rsid w:val="005F3840"/>
    <w:rsid w:val="005F3928"/>
    <w:rsid w:val="005F4914"/>
    <w:rsid w:val="005F5505"/>
    <w:rsid w:val="005F55AF"/>
    <w:rsid w:val="005F5ACA"/>
    <w:rsid w:val="005F6140"/>
    <w:rsid w:val="005F62B7"/>
    <w:rsid w:val="005F6869"/>
    <w:rsid w:val="005F68CC"/>
    <w:rsid w:val="005F6B15"/>
    <w:rsid w:val="005F6BB9"/>
    <w:rsid w:val="005F6C98"/>
    <w:rsid w:val="005F6D1B"/>
    <w:rsid w:val="005F7378"/>
    <w:rsid w:val="005F7C97"/>
    <w:rsid w:val="0060084B"/>
    <w:rsid w:val="006016F7"/>
    <w:rsid w:val="006017A3"/>
    <w:rsid w:val="00602319"/>
    <w:rsid w:val="0060293D"/>
    <w:rsid w:val="00602D33"/>
    <w:rsid w:val="00603148"/>
    <w:rsid w:val="006036E3"/>
    <w:rsid w:val="00603959"/>
    <w:rsid w:val="006040AC"/>
    <w:rsid w:val="00604221"/>
    <w:rsid w:val="0060497A"/>
    <w:rsid w:val="006059F9"/>
    <w:rsid w:val="00605DA6"/>
    <w:rsid w:val="006064D7"/>
    <w:rsid w:val="00606D7E"/>
    <w:rsid w:val="00606FC7"/>
    <w:rsid w:val="006072D9"/>
    <w:rsid w:val="00607A30"/>
    <w:rsid w:val="0061043E"/>
    <w:rsid w:val="00610456"/>
    <w:rsid w:val="0061068A"/>
    <w:rsid w:val="0061089A"/>
    <w:rsid w:val="00611473"/>
    <w:rsid w:val="006116E5"/>
    <w:rsid w:val="00611B36"/>
    <w:rsid w:val="00611F8E"/>
    <w:rsid w:val="00611FA7"/>
    <w:rsid w:val="00612434"/>
    <w:rsid w:val="00612498"/>
    <w:rsid w:val="00612A43"/>
    <w:rsid w:val="00613423"/>
    <w:rsid w:val="006136B9"/>
    <w:rsid w:val="00613899"/>
    <w:rsid w:val="006138B4"/>
    <w:rsid w:val="006138E0"/>
    <w:rsid w:val="00613978"/>
    <w:rsid w:val="006139E5"/>
    <w:rsid w:val="00613A34"/>
    <w:rsid w:val="0061414F"/>
    <w:rsid w:val="00615ADA"/>
    <w:rsid w:val="00615C88"/>
    <w:rsid w:val="00615C8B"/>
    <w:rsid w:val="006161B4"/>
    <w:rsid w:val="00616AB1"/>
    <w:rsid w:val="006200B3"/>
    <w:rsid w:val="00620FC6"/>
    <w:rsid w:val="00621C0D"/>
    <w:rsid w:val="006221CD"/>
    <w:rsid w:val="006225C7"/>
    <w:rsid w:val="006230FD"/>
    <w:rsid w:val="0062340E"/>
    <w:rsid w:val="006236B9"/>
    <w:rsid w:val="00624074"/>
    <w:rsid w:val="006245A1"/>
    <w:rsid w:val="00624BD8"/>
    <w:rsid w:val="00624D20"/>
    <w:rsid w:val="006252C2"/>
    <w:rsid w:val="006253C0"/>
    <w:rsid w:val="00625942"/>
    <w:rsid w:val="006266A9"/>
    <w:rsid w:val="00630426"/>
    <w:rsid w:val="006304DF"/>
    <w:rsid w:val="006305A8"/>
    <w:rsid w:val="00630C2F"/>
    <w:rsid w:val="00630CBD"/>
    <w:rsid w:val="006316C1"/>
    <w:rsid w:val="00631ED4"/>
    <w:rsid w:val="006328B8"/>
    <w:rsid w:val="00633BC7"/>
    <w:rsid w:val="00633DC7"/>
    <w:rsid w:val="0063413D"/>
    <w:rsid w:val="006349D5"/>
    <w:rsid w:val="00634C39"/>
    <w:rsid w:val="00634E16"/>
    <w:rsid w:val="00634F93"/>
    <w:rsid w:val="006351D6"/>
    <w:rsid w:val="00635AC7"/>
    <w:rsid w:val="00635BEE"/>
    <w:rsid w:val="00635E9C"/>
    <w:rsid w:val="006367FC"/>
    <w:rsid w:val="006372AD"/>
    <w:rsid w:val="0063753F"/>
    <w:rsid w:val="00637B41"/>
    <w:rsid w:val="0064088D"/>
    <w:rsid w:val="006414EE"/>
    <w:rsid w:val="00641B20"/>
    <w:rsid w:val="00642524"/>
    <w:rsid w:val="00642D0A"/>
    <w:rsid w:val="00642F06"/>
    <w:rsid w:val="00643357"/>
    <w:rsid w:val="006434B0"/>
    <w:rsid w:val="006435FD"/>
    <w:rsid w:val="0064376A"/>
    <w:rsid w:val="00644BFF"/>
    <w:rsid w:val="00645620"/>
    <w:rsid w:val="00645828"/>
    <w:rsid w:val="0064630E"/>
    <w:rsid w:val="00646334"/>
    <w:rsid w:val="00646FDC"/>
    <w:rsid w:val="00646FE1"/>
    <w:rsid w:val="00647075"/>
    <w:rsid w:val="00647220"/>
    <w:rsid w:val="00647491"/>
    <w:rsid w:val="00647A3C"/>
    <w:rsid w:val="00647B1C"/>
    <w:rsid w:val="00650489"/>
    <w:rsid w:val="00650B95"/>
    <w:rsid w:val="00650F0E"/>
    <w:rsid w:val="006531CA"/>
    <w:rsid w:val="006539A2"/>
    <w:rsid w:val="006541E1"/>
    <w:rsid w:val="00654EE9"/>
    <w:rsid w:val="00655361"/>
    <w:rsid w:val="0065581D"/>
    <w:rsid w:val="00655B10"/>
    <w:rsid w:val="00655C18"/>
    <w:rsid w:val="00655C2F"/>
    <w:rsid w:val="00655E6E"/>
    <w:rsid w:val="0065602B"/>
    <w:rsid w:val="00656A33"/>
    <w:rsid w:val="00656BA4"/>
    <w:rsid w:val="00656E87"/>
    <w:rsid w:val="00660236"/>
    <w:rsid w:val="00660403"/>
    <w:rsid w:val="00660675"/>
    <w:rsid w:val="00661140"/>
    <w:rsid w:val="00662702"/>
    <w:rsid w:val="00662C88"/>
    <w:rsid w:val="00663890"/>
    <w:rsid w:val="00663B76"/>
    <w:rsid w:val="00663DA7"/>
    <w:rsid w:val="00664573"/>
    <w:rsid w:val="0066477E"/>
    <w:rsid w:val="00664AA2"/>
    <w:rsid w:val="00664B85"/>
    <w:rsid w:val="0066545D"/>
    <w:rsid w:val="00665BEA"/>
    <w:rsid w:val="006669AB"/>
    <w:rsid w:val="00667CF1"/>
    <w:rsid w:val="00670043"/>
    <w:rsid w:val="00670A43"/>
    <w:rsid w:val="00670C00"/>
    <w:rsid w:val="00670FD3"/>
    <w:rsid w:val="006710DD"/>
    <w:rsid w:val="0067147A"/>
    <w:rsid w:val="00671FC9"/>
    <w:rsid w:val="00673200"/>
    <w:rsid w:val="00673572"/>
    <w:rsid w:val="006735B2"/>
    <w:rsid w:val="006737CA"/>
    <w:rsid w:val="00673872"/>
    <w:rsid w:val="006741F7"/>
    <w:rsid w:val="00674688"/>
    <w:rsid w:val="00674F49"/>
    <w:rsid w:val="00674F5D"/>
    <w:rsid w:val="0067501E"/>
    <w:rsid w:val="00675231"/>
    <w:rsid w:val="006756F4"/>
    <w:rsid w:val="00675748"/>
    <w:rsid w:val="0067690D"/>
    <w:rsid w:val="006773D2"/>
    <w:rsid w:val="00680581"/>
    <w:rsid w:val="00680BB8"/>
    <w:rsid w:val="00680F00"/>
    <w:rsid w:val="00681209"/>
    <w:rsid w:val="00681A41"/>
    <w:rsid w:val="00681AC1"/>
    <w:rsid w:val="006821B2"/>
    <w:rsid w:val="0068264C"/>
    <w:rsid w:val="00682EAE"/>
    <w:rsid w:val="00683253"/>
    <w:rsid w:val="006837AC"/>
    <w:rsid w:val="006838C0"/>
    <w:rsid w:val="00683CA4"/>
    <w:rsid w:val="00685901"/>
    <w:rsid w:val="00685BB9"/>
    <w:rsid w:val="00686261"/>
    <w:rsid w:val="00690127"/>
    <w:rsid w:val="006914DB"/>
    <w:rsid w:val="00691BFF"/>
    <w:rsid w:val="00691F32"/>
    <w:rsid w:val="00692451"/>
    <w:rsid w:val="00692BE5"/>
    <w:rsid w:val="00692F17"/>
    <w:rsid w:val="00693421"/>
    <w:rsid w:val="00693D87"/>
    <w:rsid w:val="006948FB"/>
    <w:rsid w:val="006953C1"/>
    <w:rsid w:val="00696E47"/>
    <w:rsid w:val="00696EB2"/>
    <w:rsid w:val="00696F93"/>
    <w:rsid w:val="006973BC"/>
    <w:rsid w:val="006A1185"/>
    <w:rsid w:val="006A1550"/>
    <w:rsid w:val="006A157B"/>
    <w:rsid w:val="006A16E9"/>
    <w:rsid w:val="006A302F"/>
    <w:rsid w:val="006A34E5"/>
    <w:rsid w:val="006A36B5"/>
    <w:rsid w:val="006A4DD2"/>
    <w:rsid w:val="006A5450"/>
    <w:rsid w:val="006A56B9"/>
    <w:rsid w:val="006A5A68"/>
    <w:rsid w:val="006A5B92"/>
    <w:rsid w:val="006A6873"/>
    <w:rsid w:val="006A6A40"/>
    <w:rsid w:val="006A6F4B"/>
    <w:rsid w:val="006A72AC"/>
    <w:rsid w:val="006B0199"/>
    <w:rsid w:val="006B06A6"/>
    <w:rsid w:val="006B0A32"/>
    <w:rsid w:val="006B0BD8"/>
    <w:rsid w:val="006B0D6F"/>
    <w:rsid w:val="006B1138"/>
    <w:rsid w:val="006B2E53"/>
    <w:rsid w:val="006B32D4"/>
    <w:rsid w:val="006B36E7"/>
    <w:rsid w:val="006B3D30"/>
    <w:rsid w:val="006B4385"/>
    <w:rsid w:val="006B4557"/>
    <w:rsid w:val="006B4693"/>
    <w:rsid w:val="006B4738"/>
    <w:rsid w:val="006B4AE5"/>
    <w:rsid w:val="006B5563"/>
    <w:rsid w:val="006B5C2B"/>
    <w:rsid w:val="006B5C62"/>
    <w:rsid w:val="006C0251"/>
    <w:rsid w:val="006C05CA"/>
    <w:rsid w:val="006C07F6"/>
    <w:rsid w:val="006C09A9"/>
    <w:rsid w:val="006C0AB4"/>
    <w:rsid w:val="006C148D"/>
    <w:rsid w:val="006C1543"/>
    <w:rsid w:val="006C283B"/>
    <w:rsid w:val="006C2B9A"/>
    <w:rsid w:val="006C2E92"/>
    <w:rsid w:val="006C38E1"/>
    <w:rsid w:val="006C39BB"/>
    <w:rsid w:val="006C3B30"/>
    <w:rsid w:val="006C4502"/>
    <w:rsid w:val="006C46BF"/>
    <w:rsid w:val="006C57CB"/>
    <w:rsid w:val="006C6114"/>
    <w:rsid w:val="006C695A"/>
    <w:rsid w:val="006C6BD5"/>
    <w:rsid w:val="006C70CE"/>
    <w:rsid w:val="006C724D"/>
    <w:rsid w:val="006C7D47"/>
    <w:rsid w:val="006D018F"/>
    <w:rsid w:val="006D03FA"/>
    <w:rsid w:val="006D0AEB"/>
    <w:rsid w:val="006D0FBE"/>
    <w:rsid w:val="006D2288"/>
    <w:rsid w:val="006D22A1"/>
    <w:rsid w:val="006D2EF1"/>
    <w:rsid w:val="006D320A"/>
    <w:rsid w:val="006D33E9"/>
    <w:rsid w:val="006D33EF"/>
    <w:rsid w:val="006D4464"/>
    <w:rsid w:val="006D5E91"/>
    <w:rsid w:val="006D639A"/>
    <w:rsid w:val="006D6AC1"/>
    <w:rsid w:val="006D6CB4"/>
    <w:rsid w:val="006D7E87"/>
    <w:rsid w:val="006E021F"/>
    <w:rsid w:val="006E0A18"/>
    <w:rsid w:val="006E0A48"/>
    <w:rsid w:val="006E14E6"/>
    <w:rsid w:val="006E1AEE"/>
    <w:rsid w:val="006E2A66"/>
    <w:rsid w:val="006E2B10"/>
    <w:rsid w:val="006E2EC6"/>
    <w:rsid w:val="006E2F52"/>
    <w:rsid w:val="006E32A9"/>
    <w:rsid w:val="006E3B9C"/>
    <w:rsid w:val="006E3BFB"/>
    <w:rsid w:val="006E51A2"/>
    <w:rsid w:val="006E6D0F"/>
    <w:rsid w:val="006E79E7"/>
    <w:rsid w:val="006E7B69"/>
    <w:rsid w:val="006E7B8D"/>
    <w:rsid w:val="006F04ED"/>
    <w:rsid w:val="006F0DE2"/>
    <w:rsid w:val="006F0EF3"/>
    <w:rsid w:val="006F0F90"/>
    <w:rsid w:val="006F11BD"/>
    <w:rsid w:val="006F142A"/>
    <w:rsid w:val="006F25B4"/>
    <w:rsid w:val="006F26E2"/>
    <w:rsid w:val="006F32C7"/>
    <w:rsid w:val="006F3337"/>
    <w:rsid w:val="006F3392"/>
    <w:rsid w:val="006F3420"/>
    <w:rsid w:val="006F3495"/>
    <w:rsid w:val="006F3510"/>
    <w:rsid w:val="006F417D"/>
    <w:rsid w:val="006F4224"/>
    <w:rsid w:val="006F4E62"/>
    <w:rsid w:val="006F53EE"/>
    <w:rsid w:val="006F55FF"/>
    <w:rsid w:val="006F5786"/>
    <w:rsid w:val="006F59E1"/>
    <w:rsid w:val="006F5C83"/>
    <w:rsid w:val="006F65FF"/>
    <w:rsid w:val="006F67CC"/>
    <w:rsid w:val="006F68D4"/>
    <w:rsid w:val="006F6B89"/>
    <w:rsid w:val="006F7125"/>
    <w:rsid w:val="006F7126"/>
    <w:rsid w:val="007004E5"/>
    <w:rsid w:val="00701C2D"/>
    <w:rsid w:val="00701D35"/>
    <w:rsid w:val="00702162"/>
    <w:rsid w:val="0070227D"/>
    <w:rsid w:val="00703930"/>
    <w:rsid w:val="00704138"/>
    <w:rsid w:val="007041D8"/>
    <w:rsid w:val="007042AF"/>
    <w:rsid w:val="00704322"/>
    <w:rsid w:val="00704946"/>
    <w:rsid w:val="00704BBF"/>
    <w:rsid w:val="00704CB1"/>
    <w:rsid w:val="007051B2"/>
    <w:rsid w:val="00705393"/>
    <w:rsid w:val="00705EDD"/>
    <w:rsid w:val="0070610E"/>
    <w:rsid w:val="007062ED"/>
    <w:rsid w:val="007067C8"/>
    <w:rsid w:val="00706C49"/>
    <w:rsid w:val="007076BA"/>
    <w:rsid w:val="00707759"/>
    <w:rsid w:val="00707F01"/>
    <w:rsid w:val="00710053"/>
    <w:rsid w:val="00710081"/>
    <w:rsid w:val="00710B0D"/>
    <w:rsid w:val="00711802"/>
    <w:rsid w:val="00711A13"/>
    <w:rsid w:val="00711B1B"/>
    <w:rsid w:val="007120F4"/>
    <w:rsid w:val="0071257D"/>
    <w:rsid w:val="00712EE9"/>
    <w:rsid w:val="00713CB5"/>
    <w:rsid w:val="00713F83"/>
    <w:rsid w:val="00713FC0"/>
    <w:rsid w:val="00714E3F"/>
    <w:rsid w:val="0071558B"/>
    <w:rsid w:val="00715A66"/>
    <w:rsid w:val="00715E39"/>
    <w:rsid w:val="00717421"/>
    <w:rsid w:val="0071776A"/>
    <w:rsid w:val="00720B55"/>
    <w:rsid w:val="00720BA8"/>
    <w:rsid w:val="00721189"/>
    <w:rsid w:val="0072177B"/>
    <w:rsid w:val="00721892"/>
    <w:rsid w:val="00721FF5"/>
    <w:rsid w:val="007221C3"/>
    <w:rsid w:val="007227E4"/>
    <w:rsid w:val="0072282C"/>
    <w:rsid w:val="00722F2C"/>
    <w:rsid w:val="00723D8C"/>
    <w:rsid w:val="00723F1C"/>
    <w:rsid w:val="00724AD8"/>
    <w:rsid w:val="00724B96"/>
    <w:rsid w:val="007254D1"/>
    <w:rsid w:val="00725B32"/>
    <w:rsid w:val="00725B3C"/>
    <w:rsid w:val="00725D7F"/>
    <w:rsid w:val="0072737C"/>
    <w:rsid w:val="00730675"/>
    <w:rsid w:val="0073165C"/>
    <w:rsid w:val="00731F12"/>
    <w:rsid w:val="00732300"/>
    <w:rsid w:val="00732713"/>
    <w:rsid w:val="00732B09"/>
    <w:rsid w:val="00732C1E"/>
    <w:rsid w:val="00733D54"/>
    <w:rsid w:val="007350C8"/>
    <w:rsid w:val="007367FE"/>
    <w:rsid w:val="00736A4F"/>
    <w:rsid w:val="00736DDF"/>
    <w:rsid w:val="00737026"/>
    <w:rsid w:val="00737753"/>
    <w:rsid w:val="00737768"/>
    <w:rsid w:val="00737D90"/>
    <w:rsid w:val="00740087"/>
    <w:rsid w:val="00740BB8"/>
    <w:rsid w:val="00740CE9"/>
    <w:rsid w:val="00740FA9"/>
    <w:rsid w:val="00741375"/>
    <w:rsid w:val="00741E96"/>
    <w:rsid w:val="0074228D"/>
    <w:rsid w:val="00742303"/>
    <w:rsid w:val="007426E5"/>
    <w:rsid w:val="0074279F"/>
    <w:rsid w:val="007428E3"/>
    <w:rsid w:val="0074394E"/>
    <w:rsid w:val="007439F5"/>
    <w:rsid w:val="0074422D"/>
    <w:rsid w:val="0074439E"/>
    <w:rsid w:val="00745101"/>
    <w:rsid w:val="00746156"/>
    <w:rsid w:val="007464A2"/>
    <w:rsid w:val="00746F6B"/>
    <w:rsid w:val="007501E7"/>
    <w:rsid w:val="007505CF"/>
    <w:rsid w:val="0075061E"/>
    <w:rsid w:val="00750656"/>
    <w:rsid w:val="00750D0A"/>
    <w:rsid w:val="00750E34"/>
    <w:rsid w:val="0075172D"/>
    <w:rsid w:val="0075195E"/>
    <w:rsid w:val="00751CDB"/>
    <w:rsid w:val="00751D7A"/>
    <w:rsid w:val="00751D93"/>
    <w:rsid w:val="00751FEC"/>
    <w:rsid w:val="00752273"/>
    <w:rsid w:val="00752300"/>
    <w:rsid w:val="0075276A"/>
    <w:rsid w:val="00752EEC"/>
    <w:rsid w:val="00753BF5"/>
    <w:rsid w:val="00754354"/>
    <w:rsid w:val="007546F8"/>
    <w:rsid w:val="00754AF2"/>
    <w:rsid w:val="0075579B"/>
    <w:rsid w:val="007557C7"/>
    <w:rsid w:val="00755909"/>
    <w:rsid w:val="00755BAB"/>
    <w:rsid w:val="007560F2"/>
    <w:rsid w:val="00756B38"/>
    <w:rsid w:val="007572C4"/>
    <w:rsid w:val="0075768B"/>
    <w:rsid w:val="0076080E"/>
    <w:rsid w:val="0076093C"/>
    <w:rsid w:val="00760CDE"/>
    <w:rsid w:val="00760E2A"/>
    <w:rsid w:val="007616C7"/>
    <w:rsid w:val="0076186E"/>
    <w:rsid w:val="007627F2"/>
    <w:rsid w:val="007632BD"/>
    <w:rsid w:val="007636F0"/>
    <w:rsid w:val="0076411D"/>
    <w:rsid w:val="00764655"/>
    <w:rsid w:val="00764A5E"/>
    <w:rsid w:val="0076599A"/>
    <w:rsid w:val="007665A6"/>
    <w:rsid w:val="00766BC0"/>
    <w:rsid w:val="007670F8"/>
    <w:rsid w:val="007671D4"/>
    <w:rsid w:val="00770A85"/>
    <w:rsid w:val="00770AEC"/>
    <w:rsid w:val="00770F1F"/>
    <w:rsid w:val="00770F30"/>
    <w:rsid w:val="00771643"/>
    <w:rsid w:val="00771A4D"/>
    <w:rsid w:val="00772053"/>
    <w:rsid w:val="007720D5"/>
    <w:rsid w:val="007725E9"/>
    <w:rsid w:val="0077267A"/>
    <w:rsid w:val="00773C54"/>
    <w:rsid w:val="00773DC9"/>
    <w:rsid w:val="00774338"/>
    <w:rsid w:val="007744A6"/>
    <w:rsid w:val="00774E7A"/>
    <w:rsid w:val="0077525C"/>
    <w:rsid w:val="00775632"/>
    <w:rsid w:val="0077572E"/>
    <w:rsid w:val="00775E2C"/>
    <w:rsid w:val="007767DB"/>
    <w:rsid w:val="007776C9"/>
    <w:rsid w:val="00777BE4"/>
    <w:rsid w:val="0078031B"/>
    <w:rsid w:val="007803C0"/>
    <w:rsid w:val="00782C69"/>
    <w:rsid w:val="007836B5"/>
    <w:rsid w:val="00784259"/>
    <w:rsid w:val="00784C94"/>
    <w:rsid w:val="00784F44"/>
    <w:rsid w:val="007850BA"/>
    <w:rsid w:val="00785F97"/>
    <w:rsid w:val="00786259"/>
    <w:rsid w:val="00786628"/>
    <w:rsid w:val="00786672"/>
    <w:rsid w:val="00786967"/>
    <w:rsid w:val="007869A6"/>
    <w:rsid w:val="007872CF"/>
    <w:rsid w:val="00790106"/>
    <w:rsid w:val="00790752"/>
    <w:rsid w:val="00790D41"/>
    <w:rsid w:val="007913B9"/>
    <w:rsid w:val="00791885"/>
    <w:rsid w:val="0079201C"/>
    <w:rsid w:val="00792DC1"/>
    <w:rsid w:val="00792F47"/>
    <w:rsid w:val="0079307F"/>
    <w:rsid w:val="007932AD"/>
    <w:rsid w:val="00793352"/>
    <w:rsid w:val="00793467"/>
    <w:rsid w:val="00793B54"/>
    <w:rsid w:val="00793F95"/>
    <w:rsid w:val="007940C5"/>
    <w:rsid w:val="007947B3"/>
    <w:rsid w:val="007947C4"/>
    <w:rsid w:val="00794ACB"/>
    <w:rsid w:val="00795812"/>
    <w:rsid w:val="00795C29"/>
    <w:rsid w:val="00795CE1"/>
    <w:rsid w:val="0079606F"/>
    <w:rsid w:val="00796335"/>
    <w:rsid w:val="007A0586"/>
    <w:rsid w:val="007A0646"/>
    <w:rsid w:val="007A06AC"/>
    <w:rsid w:val="007A12E5"/>
    <w:rsid w:val="007A169E"/>
    <w:rsid w:val="007A173C"/>
    <w:rsid w:val="007A1764"/>
    <w:rsid w:val="007A1B2F"/>
    <w:rsid w:val="007A1B73"/>
    <w:rsid w:val="007A21DB"/>
    <w:rsid w:val="007A2441"/>
    <w:rsid w:val="007A2B15"/>
    <w:rsid w:val="007A31EF"/>
    <w:rsid w:val="007A4636"/>
    <w:rsid w:val="007A5733"/>
    <w:rsid w:val="007A5986"/>
    <w:rsid w:val="007A6AA9"/>
    <w:rsid w:val="007A6C04"/>
    <w:rsid w:val="007A701C"/>
    <w:rsid w:val="007B0A50"/>
    <w:rsid w:val="007B1014"/>
    <w:rsid w:val="007B103F"/>
    <w:rsid w:val="007B1484"/>
    <w:rsid w:val="007B17EE"/>
    <w:rsid w:val="007B1A10"/>
    <w:rsid w:val="007B288C"/>
    <w:rsid w:val="007B2BD9"/>
    <w:rsid w:val="007B2FDF"/>
    <w:rsid w:val="007B302A"/>
    <w:rsid w:val="007B31AB"/>
    <w:rsid w:val="007B3268"/>
    <w:rsid w:val="007B37F1"/>
    <w:rsid w:val="007B4152"/>
    <w:rsid w:val="007B42D3"/>
    <w:rsid w:val="007B46D9"/>
    <w:rsid w:val="007B4F92"/>
    <w:rsid w:val="007B62D5"/>
    <w:rsid w:val="007B6659"/>
    <w:rsid w:val="007B66D0"/>
    <w:rsid w:val="007B6A43"/>
    <w:rsid w:val="007B6A88"/>
    <w:rsid w:val="007B6B15"/>
    <w:rsid w:val="007B6C39"/>
    <w:rsid w:val="007B76AB"/>
    <w:rsid w:val="007B777F"/>
    <w:rsid w:val="007B7DBD"/>
    <w:rsid w:val="007B7DF0"/>
    <w:rsid w:val="007B7F7B"/>
    <w:rsid w:val="007C136F"/>
    <w:rsid w:val="007C21B0"/>
    <w:rsid w:val="007C21BA"/>
    <w:rsid w:val="007C264B"/>
    <w:rsid w:val="007C2654"/>
    <w:rsid w:val="007C2C75"/>
    <w:rsid w:val="007C3514"/>
    <w:rsid w:val="007C3A47"/>
    <w:rsid w:val="007C3F0D"/>
    <w:rsid w:val="007C4151"/>
    <w:rsid w:val="007C45D3"/>
    <w:rsid w:val="007C4D3D"/>
    <w:rsid w:val="007C4D60"/>
    <w:rsid w:val="007C597B"/>
    <w:rsid w:val="007C5AC2"/>
    <w:rsid w:val="007C68CB"/>
    <w:rsid w:val="007C7042"/>
    <w:rsid w:val="007C72A3"/>
    <w:rsid w:val="007C760C"/>
    <w:rsid w:val="007C7CCA"/>
    <w:rsid w:val="007D08FD"/>
    <w:rsid w:val="007D0A37"/>
    <w:rsid w:val="007D1584"/>
    <w:rsid w:val="007D160B"/>
    <w:rsid w:val="007D1848"/>
    <w:rsid w:val="007D1B61"/>
    <w:rsid w:val="007D2044"/>
    <w:rsid w:val="007D294F"/>
    <w:rsid w:val="007D29FE"/>
    <w:rsid w:val="007D3185"/>
    <w:rsid w:val="007D3C8D"/>
    <w:rsid w:val="007D4906"/>
    <w:rsid w:val="007D4F33"/>
    <w:rsid w:val="007D538F"/>
    <w:rsid w:val="007D554B"/>
    <w:rsid w:val="007D5737"/>
    <w:rsid w:val="007D57EE"/>
    <w:rsid w:val="007D57F4"/>
    <w:rsid w:val="007D5A8E"/>
    <w:rsid w:val="007D5CBF"/>
    <w:rsid w:val="007D65C7"/>
    <w:rsid w:val="007D74D2"/>
    <w:rsid w:val="007D77B1"/>
    <w:rsid w:val="007D79B5"/>
    <w:rsid w:val="007D7B1E"/>
    <w:rsid w:val="007D7E68"/>
    <w:rsid w:val="007E0360"/>
    <w:rsid w:val="007E038E"/>
    <w:rsid w:val="007E09EF"/>
    <w:rsid w:val="007E0C98"/>
    <w:rsid w:val="007E0F74"/>
    <w:rsid w:val="007E15B1"/>
    <w:rsid w:val="007E2334"/>
    <w:rsid w:val="007E23CE"/>
    <w:rsid w:val="007E2541"/>
    <w:rsid w:val="007E2CE7"/>
    <w:rsid w:val="007E35DC"/>
    <w:rsid w:val="007E43D0"/>
    <w:rsid w:val="007E4857"/>
    <w:rsid w:val="007E4BE6"/>
    <w:rsid w:val="007E4EB7"/>
    <w:rsid w:val="007E4F00"/>
    <w:rsid w:val="007E4FDD"/>
    <w:rsid w:val="007E54F8"/>
    <w:rsid w:val="007E5987"/>
    <w:rsid w:val="007E5BD8"/>
    <w:rsid w:val="007E5C2F"/>
    <w:rsid w:val="007E7BF9"/>
    <w:rsid w:val="007E7FC5"/>
    <w:rsid w:val="007F02BC"/>
    <w:rsid w:val="007F0407"/>
    <w:rsid w:val="007F0BDD"/>
    <w:rsid w:val="007F11C4"/>
    <w:rsid w:val="007F1976"/>
    <w:rsid w:val="007F19B7"/>
    <w:rsid w:val="007F19C6"/>
    <w:rsid w:val="007F1D17"/>
    <w:rsid w:val="007F1F0F"/>
    <w:rsid w:val="007F20D7"/>
    <w:rsid w:val="007F2465"/>
    <w:rsid w:val="007F260A"/>
    <w:rsid w:val="007F292F"/>
    <w:rsid w:val="007F2C57"/>
    <w:rsid w:val="007F2E65"/>
    <w:rsid w:val="007F3185"/>
    <w:rsid w:val="007F34A7"/>
    <w:rsid w:val="007F43BA"/>
    <w:rsid w:val="007F44B5"/>
    <w:rsid w:val="007F45D1"/>
    <w:rsid w:val="007F48F7"/>
    <w:rsid w:val="007F4D4F"/>
    <w:rsid w:val="007F5407"/>
    <w:rsid w:val="007F59A9"/>
    <w:rsid w:val="007F5C2C"/>
    <w:rsid w:val="007F648D"/>
    <w:rsid w:val="007F64BE"/>
    <w:rsid w:val="007F66C3"/>
    <w:rsid w:val="007F690D"/>
    <w:rsid w:val="007F6DC3"/>
    <w:rsid w:val="007F743B"/>
    <w:rsid w:val="007F79AB"/>
    <w:rsid w:val="007F7FC6"/>
    <w:rsid w:val="008006B4"/>
    <w:rsid w:val="00800AEE"/>
    <w:rsid w:val="008015B6"/>
    <w:rsid w:val="00801625"/>
    <w:rsid w:val="00801B8C"/>
    <w:rsid w:val="00802856"/>
    <w:rsid w:val="00803FD4"/>
    <w:rsid w:val="0080481C"/>
    <w:rsid w:val="00804C54"/>
    <w:rsid w:val="00805568"/>
    <w:rsid w:val="008056DD"/>
    <w:rsid w:val="00806958"/>
    <w:rsid w:val="00806B6B"/>
    <w:rsid w:val="00807240"/>
    <w:rsid w:val="00807B60"/>
    <w:rsid w:val="0081104C"/>
    <w:rsid w:val="0081192F"/>
    <w:rsid w:val="00811C08"/>
    <w:rsid w:val="008121F2"/>
    <w:rsid w:val="00812D16"/>
    <w:rsid w:val="008131D9"/>
    <w:rsid w:val="008134BE"/>
    <w:rsid w:val="00813679"/>
    <w:rsid w:val="00813E17"/>
    <w:rsid w:val="00813ECE"/>
    <w:rsid w:val="0081429A"/>
    <w:rsid w:val="00815BE0"/>
    <w:rsid w:val="008161DB"/>
    <w:rsid w:val="0081668B"/>
    <w:rsid w:val="008167D9"/>
    <w:rsid w:val="00816C51"/>
    <w:rsid w:val="00816DE2"/>
    <w:rsid w:val="00816EAB"/>
    <w:rsid w:val="0081723D"/>
    <w:rsid w:val="0081767C"/>
    <w:rsid w:val="0082001B"/>
    <w:rsid w:val="008200EA"/>
    <w:rsid w:val="008201DB"/>
    <w:rsid w:val="0082047F"/>
    <w:rsid w:val="0082060E"/>
    <w:rsid w:val="00821865"/>
    <w:rsid w:val="00821BC2"/>
    <w:rsid w:val="00821DBC"/>
    <w:rsid w:val="00821FB7"/>
    <w:rsid w:val="00821FE9"/>
    <w:rsid w:val="008223EC"/>
    <w:rsid w:val="008225EB"/>
    <w:rsid w:val="0082280F"/>
    <w:rsid w:val="00822E73"/>
    <w:rsid w:val="00823164"/>
    <w:rsid w:val="0082327D"/>
    <w:rsid w:val="0082433D"/>
    <w:rsid w:val="00824C43"/>
    <w:rsid w:val="00824FF5"/>
    <w:rsid w:val="008258AD"/>
    <w:rsid w:val="008264CD"/>
    <w:rsid w:val="00826509"/>
    <w:rsid w:val="00826795"/>
    <w:rsid w:val="00826904"/>
    <w:rsid w:val="00827797"/>
    <w:rsid w:val="00827C71"/>
    <w:rsid w:val="00827E5B"/>
    <w:rsid w:val="0083137C"/>
    <w:rsid w:val="00831A4C"/>
    <w:rsid w:val="00832236"/>
    <w:rsid w:val="00832B73"/>
    <w:rsid w:val="00832DA3"/>
    <w:rsid w:val="0083354D"/>
    <w:rsid w:val="0083454F"/>
    <w:rsid w:val="00835264"/>
    <w:rsid w:val="0083561B"/>
    <w:rsid w:val="00836462"/>
    <w:rsid w:val="008365AA"/>
    <w:rsid w:val="00836661"/>
    <w:rsid w:val="00836743"/>
    <w:rsid w:val="00836DA5"/>
    <w:rsid w:val="00836EF7"/>
    <w:rsid w:val="00837D78"/>
    <w:rsid w:val="008409FB"/>
    <w:rsid w:val="00840D79"/>
    <w:rsid w:val="008411DC"/>
    <w:rsid w:val="008421B4"/>
    <w:rsid w:val="008424F5"/>
    <w:rsid w:val="00842A21"/>
    <w:rsid w:val="00842EBE"/>
    <w:rsid w:val="008430F3"/>
    <w:rsid w:val="00843BC8"/>
    <w:rsid w:val="00843F4E"/>
    <w:rsid w:val="008447DB"/>
    <w:rsid w:val="0084551A"/>
    <w:rsid w:val="00845B6C"/>
    <w:rsid w:val="00845DAD"/>
    <w:rsid w:val="008466BC"/>
    <w:rsid w:val="00846B41"/>
    <w:rsid w:val="008512EA"/>
    <w:rsid w:val="00851377"/>
    <w:rsid w:val="00851830"/>
    <w:rsid w:val="00851ABB"/>
    <w:rsid w:val="00851E7A"/>
    <w:rsid w:val="00851EA7"/>
    <w:rsid w:val="0085219C"/>
    <w:rsid w:val="00852647"/>
    <w:rsid w:val="00852EF1"/>
    <w:rsid w:val="00853725"/>
    <w:rsid w:val="00853730"/>
    <w:rsid w:val="0085437C"/>
    <w:rsid w:val="00854AD7"/>
    <w:rsid w:val="00854B2F"/>
    <w:rsid w:val="008553A8"/>
    <w:rsid w:val="00855481"/>
    <w:rsid w:val="008554CC"/>
    <w:rsid w:val="00855D53"/>
    <w:rsid w:val="008562D3"/>
    <w:rsid w:val="00856354"/>
    <w:rsid w:val="00856722"/>
    <w:rsid w:val="008568E1"/>
    <w:rsid w:val="00856BE9"/>
    <w:rsid w:val="00856E9F"/>
    <w:rsid w:val="00856F2C"/>
    <w:rsid w:val="008574F9"/>
    <w:rsid w:val="008578F8"/>
    <w:rsid w:val="00860204"/>
    <w:rsid w:val="0086039A"/>
    <w:rsid w:val="00860566"/>
    <w:rsid w:val="008605E9"/>
    <w:rsid w:val="00861364"/>
    <w:rsid w:val="0086165C"/>
    <w:rsid w:val="00861B26"/>
    <w:rsid w:val="0086214B"/>
    <w:rsid w:val="008621D6"/>
    <w:rsid w:val="0086286A"/>
    <w:rsid w:val="008629B5"/>
    <w:rsid w:val="00862BDB"/>
    <w:rsid w:val="00862C5E"/>
    <w:rsid w:val="00862EED"/>
    <w:rsid w:val="0086326E"/>
    <w:rsid w:val="0086335E"/>
    <w:rsid w:val="00863E55"/>
    <w:rsid w:val="008641DE"/>
    <w:rsid w:val="008643FC"/>
    <w:rsid w:val="008649B9"/>
    <w:rsid w:val="00864DD1"/>
    <w:rsid w:val="00865108"/>
    <w:rsid w:val="00866B13"/>
    <w:rsid w:val="0086756E"/>
    <w:rsid w:val="0086784F"/>
    <w:rsid w:val="00870394"/>
    <w:rsid w:val="0087073B"/>
    <w:rsid w:val="00870A57"/>
    <w:rsid w:val="00870BA8"/>
    <w:rsid w:val="00871F15"/>
    <w:rsid w:val="0087206D"/>
    <w:rsid w:val="00872140"/>
    <w:rsid w:val="008721CE"/>
    <w:rsid w:val="00872581"/>
    <w:rsid w:val="0087291A"/>
    <w:rsid w:val="00873967"/>
    <w:rsid w:val="00873D8E"/>
    <w:rsid w:val="008740C1"/>
    <w:rsid w:val="008743BB"/>
    <w:rsid w:val="008760AF"/>
    <w:rsid w:val="0087706B"/>
    <w:rsid w:val="008770D4"/>
    <w:rsid w:val="008800E5"/>
    <w:rsid w:val="00880F31"/>
    <w:rsid w:val="0088127F"/>
    <w:rsid w:val="008815EF"/>
    <w:rsid w:val="008816D6"/>
    <w:rsid w:val="00882843"/>
    <w:rsid w:val="00883895"/>
    <w:rsid w:val="0088396D"/>
    <w:rsid w:val="00883ED5"/>
    <w:rsid w:val="00884308"/>
    <w:rsid w:val="00884FB0"/>
    <w:rsid w:val="00885273"/>
    <w:rsid w:val="008854FC"/>
    <w:rsid w:val="00885F2C"/>
    <w:rsid w:val="00886386"/>
    <w:rsid w:val="008867FD"/>
    <w:rsid w:val="00886A8E"/>
    <w:rsid w:val="00886F51"/>
    <w:rsid w:val="0088701C"/>
    <w:rsid w:val="008874EC"/>
    <w:rsid w:val="00890393"/>
    <w:rsid w:val="00890DBA"/>
    <w:rsid w:val="00890EE2"/>
    <w:rsid w:val="00890F24"/>
    <w:rsid w:val="00892459"/>
    <w:rsid w:val="008924A6"/>
    <w:rsid w:val="008927B8"/>
    <w:rsid w:val="008929AA"/>
    <w:rsid w:val="00892AA5"/>
    <w:rsid w:val="008945A4"/>
    <w:rsid w:val="0089479D"/>
    <w:rsid w:val="0089499B"/>
    <w:rsid w:val="00894ACA"/>
    <w:rsid w:val="00894EC5"/>
    <w:rsid w:val="00895A76"/>
    <w:rsid w:val="008962C1"/>
    <w:rsid w:val="00896658"/>
    <w:rsid w:val="008967B5"/>
    <w:rsid w:val="0089780B"/>
    <w:rsid w:val="008A03AC"/>
    <w:rsid w:val="008A1008"/>
    <w:rsid w:val="008A23BA"/>
    <w:rsid w:val="008A27BA"/>
    <w:rsid w:val="008A3004"/>
    <w:rsid w:val="008A345A"/>
    <w:rsid w:val="008A3DB9"/>
    <w:rsid w:val="008A3E78"/>
    <w:rsid w:val="008A3EA7"/>
    <w:rsid w:val="008A44FE"/>
    <w:rsid w:val="008A5129"/>
    <w:rsid w:val="008A5442"/>
    <w:rsid w:val="008A56EF"/>
    <w:rsid w:val="008A6151"/>
    <w:rsid w:val="008A6A5C"/>
    <w:rsid w:val="008A6BA3"/>
    <w:rsid w:val="008A7016"/>
    <w:rsid w:val="008A7130"/>
    <w:rsid w:val="008A7316"/>
    <w:rsid w:val="008A7CB3"/>
    <w:rsid w:val="008B0239"/>
    <w:rsid w:val="008B0898"/>
    <w:rsid w:val="008B0BB8"/>
    <w:rsid w:val="008B1C34"/>
    <w:rsid w:val="008B1C44"/>
    <w:rsid w:val="008B3232"/>
    <w:rsid w:val="008B3989"/>
    <w:rsid w:val="008B3A3D"/>
    <w:rsid w:val="008B4615"/>
    <w:rsid w:val="008B4A1C"/>
    <w:rsid w:val="008B4E63"/>
    <w:rsid w:val="008B500A"/>
    <w:rsid w:val="008B5283"/>
    <w:rsid w:val="008B64F3"/>
    <w:rsid w:val="008C090B"/>
    <w:rsid w:val="008C1610"/>
    <w:rsid w:val="008C20AE"/>
    <w:rsid w:val="008C2C53"/>
    <w:rsid w:val="008C2F1E"/>
    <w:rsid w:val="008C30E0"/>
    <w:rsid w:val="008C30E5"/>
    <w:rsid w:val="008C3B5B"/>
    <w:rsid w:val="008C3BA1"/>
    <w:rsid w:val="008C409F"/>
    <w:rsid w:val="008C48C1"/>
    <w:rsid w:val="008C4C6C"/>
    <w:rsid w:val="008C525C"/>
    <w:rsid w:val="008C5EBD"/>
    <w:rsid w:val="008C5FF5"/>
    <w:rsid w:val="008C602D"/>
    <w:rsid w:val="008C6551"/>
    <w:rsid w:val="008C6681"/>
    <w:rsid w:val="008C6780"/>
    <w:rsid w:val="008C6BCC"/>
    <w:rsid w:val="008D0057"/>
    <w:rsid w:val="008D098D"/>
    <w:rsid w:val="008D0FA3"/>
    <w:rsid w:val="008D135A"/>
    <w:rsid w:val="008D1519"/>
    <w:rsid w:val="008D170F"/>
    <w:rsid w:val="008D191A"/>
    <w:rsid w:val="008D1D4D"/>
    <w:rsid w:val="008D1E72"/>
    <w:rsid w:val="008D2205"/>
    <w:rsid w:val="008D2331"/>
    <w:rsid w:val="008D2CF9"/>
    <w:rsid w:val="008D2F00"/>
    <w:rsid w:val="008D2FF4"/>
    <w:rsid w:val="008D347F"/>
    <w:rsid w:val="008D35AD"/>
    <w:rsid w:val="008D36CD"/>
    <w:rsid w:val="008D4079"/>
    <w:rsid w:val="008D4380"/>
    <w:rsid w:val="008D48D1"/>
    <w:rsid w:val="008D5409"/>
    <w:rsid w:val="008D5493"/>
    <w:rsid w:val="008D5833"/>
    <w:rsid w:val="008D5A97"/>
    <w:rsid w:val="008D636B"/>
    <w:rsid w:val="008D64C8"/>
    <w:rsid w:val="008D6BE8"/>
    <w:rsid w:val="008D6CB6"/>
    <w:rsid w:val="008D7487"/>
    <w:rsid w:val="008D748C"/>
    <w:rsid w:val="008E0E53"/>
    <w:rsid w:val="008E249B"/>
    <w:rsid w:val="008E2693"/>
    <w:rsid w:val="008E27E9"/>
    <w:rsid w:val="008E2F8B"/>
    <w:rsid w:val="008E348E"/>
    <w:rsid w:val="008E42DE"/>
    <w:rsid w:val="008E43E0"/>
    <w:rsid w:val="008E470F"/>
    <w:rsid w:val="008E605B"/>
    <w:rsid w:val="008E6B4C"/>
    <w:rsid w:val="008E7248"/>
    <w:rsid w:val="008E7274"/>
    <w:rsid w:val="008F1125"/>
    <w:rsid w:val="008F149B"/>
    <w:rsid w:val="008F1D3B"/>
    <w:rsid w:val="008F2C49"/>
    <w:rsid w:val="008F35BA"/>
    <w:rsid w:val="008F36F0"/>
    <w:rsid w:val="008F46E2"/>
    <w:rsid w:val="008F4B2D"/>
    <w:rsid w:val="008F639E"/>
    <w:rsid w:val="008F66BC"/>
    <w:rsid w:val="008F6CA3"/>
    <w:rsid w:val="008F7941"/>
    <w:rsid w:val="008F7CFF"/>
    <w:rsid w:val="008F7ED1"/>
    <w:rsid w:val="00900176"/>
    <w:rsid w:val="009001AB"/>
    <w:rsid w:val="00900FE0"/>
    <w:rsid w:val="00901C8D"/>
    <w:rsid w:val="00901CE9"/>
    <w:rsid w:val="00901E25"/>
    <w:rsid w:val="009020CF"/>
    <w:rsid w:val="0090369F"/>
    <w:rsid w:val="009043AD"/>
    <w:rsid w:val="00904A4D"/>
    <w:rsid w:val="00905643"/>
    <w:rsid w:val="00905E8E"/>
    <w:rsid w:val="00905EE9"/>
    <w:rsid w:val="009061A5"/>
    <w:rsid w:val="0090624F"/>
    <w:rsid w:val="0090628A"/>
    <w:rsid w:val="0090635F"/>
    <w:rsid w:val="009065F4"/>
    <w:rsid w:val="00906EA5"/>
    <w:rsid w:val="009071F9"/>
    <w:rsid w:val="009075A7"/>
    <w:rsid w:val="00907DFB"/>
    <w:rsid w:val="00910128"/>
    <w:rsid w:val="00910624"/>
    <w:rsid w:val="00910FBA"/>
    <w:rsid w:val="009114FB"/>
    <w:rsid w:val="00911D39"/>
    <w:rsid w:val="00912A22"/>
    <w:rsid w:val="00912B9F"/>
    <w:rsid w:val="00912D0C"/>
    <w:rsid w:val="00913FB7"/>
    <w:rsid w:val="00914280"/>
    <w:rsid w:val="00915845"/>
    <w:rsid w:val="00915B27"/>
    <w:rsid w:val="00916037"/>
    <w:rsid w:val="00916DBA"/>
    <w:rsid w:val="009176DF"/>
    <w:rsid w:val="00917C0F"/>
    <w:rsid w:val="0092002A"/>
    <w:rsid w:val="0092040E"/>
    <w:rsid w:val="00920572"/>
    <w:rsid w:val="00920C6C"/>
    <w:rsid w:val="00921479"/>
    <w:rsid w:val="00921897"/>
    <w:rsid w:val="00921C6D"/>
    <w:rsid w:val="009227D9"/>
    <w:rsid w:val="00922FED"/>
    <w:rsid w:val="0092376D"/>
    <w:rsid w:val="00923C44"/>
    <w:rsid w:val="00925E72"/>
    <w:rsid w:val="00925FEF"/>
    <w:rsid w:val="00926926"/>
    <w:rsid w:val="00927182"/>
    <w:rsid w:val="00927791"/>
    <w:rsid w:val="00927DA3"/>
    <w:rsid w:val="00930279"/>
    <w:rsid w:val="00930607"/>
    <w:rsid w:val="00930D0A"/>
    <w:rsid w:val="009311AE"/>
    <w:rsid w:val="00931C54"/>
    <w:rsid w:val="009329BA"/>
    <w:rsid w:val="0093304D"/>
    <w:rsid w:val="00933379"/>
    <w:rsid w:val="00933554"/>
    <w:rsid w:val="00933AB5"/>
    <w:rsid w:val="0093472A"/>
    <w:rsid w:val="00936939"/>
    <w:rsid w:val="00936F13"/>
    <w:rsid w:val="009374BD"/>
    <w:rsid w:val="0094053B"/>
    <w:rsid w:val="00941013"/>
    <w:rsid w:val="00941806"/>
    <w:rsid w:val="00941CC3"/>
    <w:rsid w:val="00941D41"/>
    <w:rsid w:val="00942040"/>
    <w:rsid w:val="00942347"/>
    <w:rsid w:val="00942BE4"/>
    <w:rsid w:val="00942C9F"/>
    <w:rsid w:val="0094354A"/>
    <w:rsid w:val="00943D96"/>
    <w:rsid w:val="00943F98"/>
    <w:rsid w:val="00944EEF"/>
    <w:rsid w:val="00945631"/>
    <w:rsid w:val="00945634"/>
    <w:rsid w:val="00945A7C"/>
    <w:rsid w:val="00945B2E"/>
    <w:rsid w:val="00946154"/>
    <w:rsid w:val="00946C7C"/>
    <w:rsid w:val="0094733E"/>
    <w:rsid w:val="00947549"/>
    <w:rsid w:val="00947CF3"/>
    <w:rsid w:val="0095030B"/>
    <w:rsid w:val="0095065B"/>
    <w:rsid w:val="0095171E"/>
    <w:rsid w:val="00951ECD"/>
    <w:rsid w:val="009521A8"/>
    <w:rsid w:val="00952411"/>
    <w:rsid w:val="009538D9"/>
    <w:rsid w:val="009539AF"/>
    <w:rsid w:val="00953A9A"/>
    <w:rsid w:val="00953FE6"/>
    <w:rsid w:val="009548AC"/>
    <w:rsid w:val="009557CF"/>
    <w:rsid w:val="00955FA4"/>
    <w:rsid w:val="009562E2"/>
    <w:rsid w:val="009563E7"/>
    <w:rsid w:val="0095793C"/>
    <w:rsid w:val="00957A54"/>
    <w:rsid w:val="00960145"/>
    <w:rsid w:val="00960272"/>
    <w:rsid w:val="00960665"/>
    <w:rsid w:val="00960E2A"/>
    <w:rsid w:val="0096108F"/>
    <w:rsid w:val="0096111E"/>
    <w:rsid w:val="00961125"/>
    <w:rsid w:val="00961F2A"/>
    <w:rsid w:val="00961FF1"/>
    <w:rsid w:val="009622D4"/>
    <w:rsid w:val="009623D8"/>
    <w:rsid w:val="00962894"/>
    <w:rsid w:val="00962DCF"/>
    <w:rsid w:val="00963362"/>
    <w:rsid w:val="009637BF"/>
    <w:rsid w:val="00963BD1"/>
    <w:rsid w:val="00964053"/>
    <w:rsid w:val="009648AA"/>
    <w:rsid w:val="00965DC3"/>
    <w:rsid w:val="00965FB6"/>
    <w:rsid w:val="00966B1F"/>
    <w:rsid w:val="00966C99"/>
    <w:rsid w:val="00966EE6"/>
    <w:rsid w:val="00966FD1"/>
    <w:rsid w:val="0096711C"/>
    <w:rsid w:val="00970A7E"/>
    <w:rsid w:val="00970C03"/>
    <w:rsid w:val="00971056"/>
    <w:rsid w:val="0097116E"/>
    <w:rsid w:val="00971376"/>
    <w:rsid w:val="00971771"/>
    <w:rsid w:val="00971BEE"/>
    <w:rsid w:val="0097235F"/>
    <w:rsid w:val="00972E57"/>
    <w:rsid w:val="009735ED"/>
    <w:rsid w:val="00974518"/>
    <w:rsid w:val="009748E9"/>
    <w:rsid w:val="00974B27"/>
    <w:rsid w:val="00974B7C"/>
    <w:rsid w:val="00975094"/>
    <w:rsid w:val="00975C44"/>
    <w:rsid w:val="0097696A"/>
    <w:rsid w:val="00976E55"/>
    <w:rsid w:val="00977086"/>
    <w:rsid w:val="00980183"/>
    <w:rsid w:val="009804BA"/>
    <w:rsid w:val="00980D83"/>
    <w:rsid w:val="00980FE0"/>
    <w:rsid w:val="009839DF"/>
    <w:rsid w:val="00984BAD"/>
    <w:rsid w:val="0098500E"/>
    <w:rsid w:val="009850D1"/>
    <w:rsid w:val="0098573B"/>
    <w:rsid w:val="009857D8"/>
    <w:rsid w:val="00985F8B"/>
    <w:rsid w:val="00986038"/>
    <w:rsid w:val="00986515"/>
    <w:rsid w:val="00986549"/>
    <w:rsid w:val="00986A82"/>
    <w:rsid w:val="00986DB2"/>
    <w:rsid w:val="009878A2"/>
    <w:rsid w:val="00990429"/>
    <w:rsid w:val="0099063A"/>
    <w:rsid w:val="00990926"/>
    <w:rsid w:val="00990C3B"/>
    <w:rsid w:val="0099129E"/>
    <w:rsid w:val="00991CBD"/>
    <w:rsid w:val="00991F30"/>
    <w:rsid w:val="009921E6"/>
    <w:rsid w:val="009926AD"/>
    <w:rsid w:val="009928B7"/>
    <w:rsid w:val="00992A49"/>
    <w:rsid w:val="0099321A"/>
    <w:rsid w:val="00994319"/>
    <w:rsid w:val="009947E8"/>
    <w:rsid w:val="009954D4"/>
    <w:rsid w:val="009960B7"/>
    <w:rsid w:val="00996F08"/>
    <w:rsid w:val="009971EB"/>
    <w:rsid w:val="009972FE"/>
    <w:rsid w:val="009976B2"/>
    <w:rsid w:val="0099781B"/>
    <w:rsid w:val="00997A13"/>
    <w:rsid w:val="009A0AEF"/>
    <w:rsid w:val="009A1537"/>
    <w:rsid w:val="009A1F78"/>
    <w:rsid w:val="009A2454"/>
    <w:rsid w:val="009A2F88"/>
    <w:rsid w:val="009A3590"/>
    <w:rsid w:val="009A411B"/>
    <w:rsid w:val="009A47CB"/>
    <w:rsid w:val="009A4BCE"/>
    <w:rsid w:val="009A54A3"/>
    <w:rsid w:val="009A568A"/>
    <w:rsid w:val="009A702A"/>
    <w:rsid w:val="009A796E"/>
    <w:rsid w:val="009B2003"/>
    <w:rsid w:val="009B2782"/>
    <w:rsid w:val="009B36B2"/>
    <w:rsid w:val="009B4D35"/>
    <w:rsid w:val="009B4E95"/>
    <w:rsid w:val="009B536C"/>
    <w:rsid w:val="009B56D3"/>
    <w:rsid w:val="009B5BA6"/>
    <w:rsid w:val="009B5C19"/>
    <w:rsid w:val="009B6496"/>
    <w:rsid w:val="009B6A44"/>
    <w:rsid w:val="009B6B78"/>
    <w:rsid w:val="009B6FA0"/>
    <w:rsid w:val="009C01DA"/>
    <w:rsid w:val="009C07A7"/>
    <w:rsid w:val="009C09A0"/>
    <w:rsid w:val="009C0C2A"/>
    <w:rsid w:val="009C0C65"/>
    <w:rsid w:val="009C0DF4"/>
    <w:rsid w:val="009C12C4"/>
    <w:rsid w:val="009C14FE"/>
    <w:rsid w:val="009C1528"/>
    <w:rsid w:val="009C16C9"/>
    <w:rsid w:val="009C1D0B"/>
    <w:rsid w:val="009C20CC"/>
    <w:rsid w:val="009C2B5E"/>
    <w:rsid w:val="009C2BDF"/>
    <w:rsid w:val="009C32D0"/>
    <w:rsid w:val="009C33F7"/>
    <w:rsid w:val="009C3558"/>
    <w:rsid w:val="009C3569"/>
    <w:rsid w:val="009C3720"/>
    <w:rsid w:val="009C3A4F"/>
    <w:rsid w:val="009C450C"/>
    <w:rsid w:val="009C562E"/>
    <w:rsid w:val="009C5D18"/>
    <w:rsid w:val="009C5E44"/>
    <w:rsid w:val="009C70F4"/>
    <w:rsid w:val="009C7517"/>
    <w:rsid w:val="009C7531"/>
    <w:rsid w:val="009C7A0F"/>
    <w:rsid w:val="009D0437"/>
    <w:rsid w:val="009D1158"/>
    <w:rsid w:val="009D1567"/>
    <w:rsid w:val="009D15CD"/>
    <w:rsid w:val="009D220C"/>
    <w:rsid w:val="009D221F"/>
    <w:rsid w:val="009D3681"/>
    <w:rsid w:val="009D44E3"/>
    <w:rsid w:val="009D4978"/>
    <w:rsid w:val="009D5B2F"/>
    <w:rsid w:val="009D6795"/>
    <w:rsid w:val="009D76BB"/>
    <w:rsid w:val="009D7BC4"/>
    <w:rsid w:val="009D7D64"/>
    <w:rsid w:val="009E09F0"/>
    <w:rsid w:val="009E1781"/>
    <w:rsid w:val="009E19E8"/>
    <w:rsid w:val="009E2019"/>
    <w:rsid w:val="009E377C"/>
    <w:rsid w:val="009E411C"/>
    <w:rsid w:val="009E4219"/>
    <w:rsid w:val="009E458A"/>
    <w:rsid w:val="009E4857"/>
    <w:rsid w:val="009E4DA3"/>
    <w:rsid w:val="009E4E0D"/>
    <w:rsid w:val="009E519B"/>
    <w:rsid w:val="009E5316"/>
    <w:rsid w:val="009E56B9"/>
    <w:rsid w:val="009E56F6"/>
    <w:rsid w:val="009E5786"/>
    <w:rsid w:val="009E5878"/>
    <w:rsid w:val="009E587F"/>
    <w:rsid w:val="009E59CF"/>
    <w:rsid w:val="009E5AC1"/>
    <w:rsid w:val="009E5D7C"/>
    <w:rsid w:val="009E5DFC"/>
    <w:rsid w:val="009E62DC"/>
    <w:rsid w:val="009E6451"/>
    <w:rsid w:val="009E68F1"/>
    <w:rsid w:val="009E6C9E"/>
    <w:rsid w:val="009E6DC8"/>
    <w:rsid w:val="009E7F78"/>
    <w:rsid w:val="009F04C7"/>
    <w:rsid w:val="009F094A"/>
    <w:rsid w:val="009F14B5"/>
    <w:rsid w:val="009F1789"/>
    <w:rsid w:val="009F1E1A"/>
    <w:rsid w:val="009F2E3B"/>
    <w:rsid w:val="009F2E68"/>
    <w:rsid w:val="009F3349"/>
    <w:rsid w:val="009F3465"/>
    <w:rsid w:val="009F36D2"/>
    <w:rsid w:val="009F39E9"/>
    <w:rsid w:val="009F3A8C"/>
    <w:rsid w:val="009F3B6B"/>
    <w:rsid w:val="009F3D19"/>
    <w:rsid w:val="009F4504"/>
    <w:rsid w:val="009F4B3D"/>
    <w:rsid w:val="009F502C"/>
    <w:rsid w:val="009F58D9"/>
    <w:rsid w:val="009F5F8A"/>
    <w:rsid w:val="009F603B"/>
    <w:rsid w:val="009F6987"/>
    <w:rsid w:val="009F6E7B"/>
    <w:rsid w:val="009F714F"/>
    <w:rsid w:val="009F720F"/>
    <w:rsid w:val="009F7E38"/>
    <w:rsid w:val="00A00CC2"/>
    <w:rsid w:val="00A00E50"/>
    <w:rsid w:val="00A010E7"/>
    <w:rsid w:val="00A0153F"/>
    <w:rsid w:val="00A016AF"/>
    <w:rsid w:val="00A01A17"/>
    <w:rsid w:val="00A01A60"/>
    <w:rsid w:val="00A01B28"/>
    <w:rsid w:val="00A02065"/>
    <w:rsid w:val="00A02B74"/>
    <w:rsid w:val="00A03912"/>
    <w:rsid w:val="00A03985"/>
    <w:rsid w:val="00A03E49"/>
    <w:rsid w:val="00A041CB"/>
    <w:rsid w:val="00A043A3"/>
    <w:rsid w:val="00A046E4"/>
    <w:rsid w:val="00A04975"/>
    <w:rsid w:val="00A054B2"/>
    <w:rsid w:val="00A06551"/>
    <w:rsid w:val="00A06E6E"/>
    <w:rsid w:val="00A076F9"/>
    <w:rsid w:val="00A07774"/>
    <w:rsid w:val="00A07997"/>
    <w:rsid w:val="00A07AEE"/>
    <w:rsid w:val="00A07F87"/>
    <w:rsid w:val="00A10738"/>
    <w:rsid w:val="00A120F6"/>
    <w:rsid w:val="00A1242A"/>
    <w:rsid w:val="00A12F1E"/>
    <w:rsid w:val="00A13659"/>
    <w:rsid w:val="00A137AC"/>
    <w:rsid w:val="00A14AA2"/>
    <w:rsid w:val="00A153FD"/>
    <w:rsid w:val="00A15566"/>
    <w:rsid w:val="00A158C0"/>
    <w:rsid w:val="00A15C57"/>
    <w:rsid w:val="00A1637F"/>
    <w:rsid w:val="00A16463"/>
    <w:rsid w:val="00A16538"/>
    <w:rsid w:val="00A16F50"/>
    <w:rsid w:val="00A17820"/>
    <w:rsid w:val="00A17D56"/>
    <w:rsid w:val="00A206ED"/>
    <w:rsid w:val="00A20806"/>
    <w:rsid w:val="00A20C7F"/>
    <w:rsid w:val="00A20FD0"/>
    <w:rsid w:val="00A21149"/>
    <w:rsid w:val="00A21C7F"/>
    <w:rsid w:val="00A21CAF"/>
    <w:rsid w:val="00A21D41"/>
    <w:rsid w:val="00A22DBA"/>
    <w:rsid w:val="00A22E51"/>
    <w:rsid w:val="00A22EB5"/>
    <w:rsid w:val="00A2328E"/>
    <w:rsid w:val="00A2329D"/>
    <w:rsid w:val="00A2359C"/>
    <w:rsid w:val="00A2490E"/>
    <w:rsid w:val="00A25442"/>
    <w:rsid w:val="00A2559E"/>
    <w:rsid w:val="00A25BFF"/>
    <w:rsid w:val="00A2657C"/>
    <w:rsid w:val="00A26648"/>
    <w:rsid w:val="00A26E57"/>
    <w:rsid w:val="00A26F79"/>
    <w:rsid w:val="00A27152"/>
    <w:rsid w:val="00A27522"/>
    <w:rsid w:val="00A27B18"/>
    <w:rsid w:val="00A30AE9"/>
    <w:rsid w:val="00A3136F"/>
    <w:rsid w:val="00A316CF"/>
    <w:rsid w:val="00A31A88"/>
    <w:rsid w:val="00A33F69"/>
    <w:rsid w:val="00A34D0C"/>
    <w:rsid w:val="00A34D76"/>
    <w:rsid w:val="00A34F74"/>
    <w:rsid w:val="00A35391"/>
    <w:rsid w:val="00A35396"/>
    <w:rsid w:val="00A365D0"/>
    <w:rsid w:val="00A37AE5"/>
    <w:rsid w:val="00A37D68"/>
    <w:rsid w:val="00A402B8"/>
    <w:rsid w:val="00A4043E"/>
    <w:rsid w:val="00A409F7"/>
    <w:rsid w:val="00A4172E"/>
    <w:rsid w:val="00A4259F"/>
    <w:rsid w:val="00A426D8"/>
    <w:rsid w:val="00A42CF2"/>
    <w:rsid w:val="00A437D9"/>
    <w:rsid w:val="00A43A09"/>
    <w:rsid w:val="00A43C16"/>
    <w:rsid w:val="00A4405D"/>
    <w:rsid w:val="00A443A6"/>
    <w:rsid w:val="00A44B88"/>
    <w:rsid w:val="00A44CF9"/>
    <w:rsid w:val="00A45737"/>
    <w:rsid w:val="00A45A1A"/>
    <w:rsid w:val="00A45E61"/>
    <w:rsid w:val="00A46A6A"/>
    <w:rsid w:val="00A47694"/>
    <w:rsid w:val="00A47F32"/>
    <w:rsid w:val="00A47F96"/>
    <w:rsid w:val="00A52124"/>
    <w:rsid w:val="00A522ED"/>
    <w:rsid w:val="00A52740"/>
    <w:rsid w:val="00A52820"/>
    <w:rsid w:val="00A52939"/>
    <w:rsid w:val="00A5315D"/>
    <w:rsid w:val="00A53220"/>
    <w:rsid w:val="00A538E6"/>
    <w:rsid w:val="00A5410A"/>
    <w:rsid w:val="00A542FD"/>
    <w:rsid w:val="00A54514"/>
    <w:rsid w:val="00A545C9"/>
    <w:rsid w:val="00A54976"/>
    <w:rsid w:val="00A54A6A"/>
    <w:rsid w:val="00A54BA5"/>
    <w:rsid w:val="00A55143"/>
    <w:rsid w:val="00A55672"/>
    <w:rsid w:val="00A558FB"/>
    <w:rsid w:val="00A55952"/>
    <w:rsid w:val="00A559B4"/>
    <w:rsid w:val="00A55A9B"/>
    <w:rsid w:val="00A56102"/>
    <w:rsid w:val="00A56800"/>
    <w:rsid w:val="00A56D7E"/>
    <w:rsid w:val="00A57404"/>
    <w:rsid w:val="00A575A2"/>
    <w:rsid w:val="00A575BD"/>
    <w:rsid w:val="00A5792D"/>
    <w:rsid w:val="00A60BF8"/>
    <w:rsid w:val="00A60EEC"/>
    <w:rsid w:val="00A61230"/>
    <w:rsid w:val="00A6149E"/>
    <w:rsid w:val="00A61857"/>
    <w:rsid w:val="00A61C9C"/>
    <w:rsid w:val="00A61CF8"/>
    <w:rsid w:val="00A62076"/>
    <w:rsid w:val="00A62165"/>
    <w:rsid w:val="00A6229D"/>
    <w:rsid w:val="00A627BB"/>
    <w:rsid w:val="00A62C5C"/>
    <w:rsid w:val="00A638A8"/>
    <w:rsid w:val="00A63A86"/>
    <w:rsid w:val="00A63B83"/>
    <w:rsid w:val="00A63E42"/>
    <w:rsid w:val="00A64027"/>
    <w:rsid w:val="00A6457A"/>
    <w:rsid w:val="00A6489B"/>
    <w:rsid w:val="00A64A0E"/>
    <w:rsid w:val="00A654DA"/>
    <w:rsid w:val="00A65BD9"/>
    <w:rsid w:val="00A665CC"/>
    <w:rsid w:val="00A66718"/>
    <w:rsid w:val="00A671EF"/>
    <w:rsid w:val="00A706E1"/>
    <w:rsid w:val="00A70B31"/>
    <w:rsid w:val="00A720FA"/>
    <w:rsid w:val="00A7230D"/>
    <w:rsid w:val="00A724E9"/>
    <w:rsid w:val="00A72832"/>
    <w:rsid w:val="00A728AE"/>
    <w:rsid w:val="00A73045"/>
    <w:rsid w:val="00A732E2"/>
    <w:rsid w:val="00A7369F"/>
    <w:rsid w:val="00A73A74"/>
    <w:rsid w:val="00A7423D"/>
    <w:rsid w:val="00A74985"/>
    <w:rsid w:val="00A74A52"/>
    <w:rsid w:val="00A74B94"/>
    <w:rsid w:val="00A759FE"/>
    <w:rsid w:val="00A75A90"/>
    <w:rsid w:val="00A75FE1"/>
    <w:rsid w:val="00A76475"/>
    <w:rsid w:val="00A76BE8"/>
    <w:rsid w:val="00A76D22"/>
    <w:rsid w:val="00A76D67"/>
    <w:rsid w:val="00A76EA7"/>
    <w:rsid w:val="00A77562"/>
    <w:rsid w:val="00A776AC"/>
    <w:rsid w:val="00A776B8"/>
    <w:rsid w:val="00A777B6"/>
    <w:rsid w:val="00A77AC8"/>
    <w:rsid w:val="00A77C15"/>
    <w:rsid w:val="00A80F5C"/>
    <w:rsid w:val="00A81C9D"/>
    <w:rsid w:val="00A81EB6"/>
    <w:rsid w:val="00A826BF"/>
    <w:rsid w:val="00A827A4"/>
    <w:rsid w:val="00A82A82"/>
    <w:rsid w:val="00A82CE7"/>
    <w:rsid w:val="00A83581"/>
    <w:rsid w:val="00A837FE"/>
    <w:rsid w:val="00A83EE4"/>
    <w:rsid w:val="00A8441C"/>
    <w:rsid w:val="00A84A8E"/>
    <w:rsid w:val="00A85237"/>
    <w:rsid w:val="00A85357"/>
    <w:rsid w:val="00A86954"/>
    <w:rsid w:val="00A870FC"/>
    <w:rsid w:val="00A871E5"/>
    <w:rsid w:val="00A87369"/>
    <w:rsid w:val="00A87F1F"/>
    <w:rsid w:val="00A87F4F"/>
    <w:rsid w:val="00A902DD"/>
    <w:rsid w:val="00A90E11"/>
    <w:rsid w:val="00A91359"/>
    <w:rsid w:val="00A91617"/>
    <w:rsid w:val="00A9248C"/>
    <w:rsid w:val="00A93AF3"/>
    <w:rsid w:val="00A93AFF"/>
    <w:rsid w:val="00A94B21"/>
    <w:rsid w:val="00A95304"/>
    <w:rsid w:val="00A95521"/>
    <w:rsid w:val="00A95C6C"/>
    <w:rsid w:val="00A9658F"/>
    <w:rsid w:val="00A96981"/>
    <w:rsid w:val="00A96B7B"/>
    <w:rsid w:val="00A96CBA"/>
    <w:rsid w:val="00A96FA8"/>
    <w:rsid w:val="00A9770A"/>
    <w:rsid w:val="00AA02E7"/>
    <w:rsid w:val="00AA0A43"/>
    <w:rsid w:val="00AA0DD3"/>
    <w:rsid w:val="00AA1B7D"/>
    <w:rsid w:val="00AA1C07"/>
    <w:rsid w:val="00AA301A"/>
    <w:rsid w:val="00AA3658"/>
    <w:rsid w:val="00AA3688"/>
    <w:rsid w:val="00AA4FA9"/>
    <w:rsid w:val="00AA50E4"/>
    <w:rsid w:val="00AA5887"/>
    <w:rsid w:val="00AA67BD"/>
    <w:rsid w:val="00AA6E94"/>
    <w:rsid w:val="00AA7648"/>
    <w:rsid w:val="00AA7DD6"/>
    <w:rsid w:val="00AA7E16"/>
    <w:rsid w:val="00AB06CA"/>
    <w:rsid w:val="00AB1490"/>
    <w:rsid w:val="00AB178B"/>
    <w:rsid w:val="00AB19F8"/>
    <w:rsid w:val="00AB1C53"/>
    <w:rsid w:val="00AB1D6B"/>
    <w:rsid w:val="00AB27A2"/>
    <w:rsid w:val="00AB2A61"/>
    <w:rsid w:val="00AB3A12"/>
    <w:rsid w:val="00AB3A2E"/>
    <w:rsid w:val="00AB3BCF"/>
    <w:rsid w:val="00AB3DF4"/>
    <w:rsid w:val="00AB4ACC"/>
    <w:rsid w:val="00AB4E9F"/>
    <w:rsid w:val="00AB5188"/>
    <w:rsid w:val="00AB55B7"/>
    <w:rsid w:val="00AB5A8D"/>
    <w:rsid w:val="00AB644D"/>
    <w:rsid w:val="00AB6642"/>
    <w:rsid w:val="00AB7036"/>
    <w:rsid w:val="00AB7146"/>
    <w:rsid w:val="00AC05EB"/>
    <w:rsid w:val="00AC1192"/>
    <w:rsid w:val="00AC178D"/>
    <w:rsid w:val="00AC1851"/>
    <w:rsid w:val="00AC1AAE"/>
    <w:rsid w:val="00AC2208"/>
    <w:rsid w:val="00AC26A9"/>
    <w:rsid w:val="00AC27AA"/>
    <w:rsid w:val="00AC29AD"/>
    <w:rsid w:val="00AC2EFE"/>
    <w:rsid w:val="00AC33A9"/>
    <w:rsid w:val="00AC3930"/>
    <w:rsid w:val="00AC3AB1"/>
    <w:rsid w:val="00AC40F3"/>
    <w:rsid w:val="00AC4882"/>
    <w:rsid w:val="00AC5AC9"/>
    <w:rsid w:val="00AC5E18"/>
    <w:rsid w:val="00AC68C6"/>
    <w:rsid w:val="00AC7302"/>
    <w:rsid w:val="00AC79C1"/>
    <w:rsid w:val="00AC7CA4"/>
    <w:rsid w:val="00AC7F25"/>
    <w:rsid w:val="00AD218C"/>
    <w:rsid w:val="00AD22EB"/>
    <w:rsid w:val="00AD2D54"/>
    <w:rsid w:val="00AD3422"/>
    <w:rsid w:val="00AD3504"/>
    <w:rsid w:val="00AD352F"/>
    <w:rsid w:val="00AD3775"/>
    <w:rsid w:val="00AD379B"/>
    <w:rsid w:val="00AD493B"/>
    <w:rsid w:val="00AD4983"/>
    <w:rsid w:val="00AD4A64"/>
    <w:rsid w:val="00AD4D4E"/>
    <w:rsid w:val="00AD4E94"/>
    <w:rsid w:val="00AD51FB"/>
    <w:rsid w:val="00AD5394"/>
    <w:rsid w:val="00AD5636"/>
    <w:rsid w:val="00AD598F"/>
    <w:rsid w:val="00AD6218"/>
    <w:rsid w:val="00AD6315"/>
    <w:rsid w:val="00AD6D09"/>
    <w:rsid w:val="00AD6F2F"/>
    <w:rsid w:val="00AD7242"/>
    <w:rsid w:val="00AD7560"/>
    <w:rsid w:val="00AD7E78"/>
    <w:rsid w:val="00AD7ECF"/>
    <w:rsid w:val="00AE024E"/>
    <w:rsid w:val="00AE07DA"/>
    <w:rsid w:val="00AE098E"/>
    <w:rsid w:val="00AE0BBA"/>
    <w:rsid w:val="00AE0D0F"/>
    <w:rsid w:val="00AE0DF0"/>
    <w:rsid w:val="00AE1E74"/>
    <w:rsid w:val="00AE2291"/>
    <w:rsid w:val="00AE25C8"/>
    <w:rsid w:val="00AE27E1"/>
    <w:rsid w:val="00AE2EE6"/>
    <w:rsid w:val="00AE30CD"/>
    <w:rsid w:val="00AE4003"/>
    <w:rsid w:val="00AE4113"/>
    <w:rsid w:val="00AE4380"/>
    <w:rsid w:val="00AE47E3"/>
    <w:rsid w:val="00AE4FAC"/>
    <w:rsid w:val="00AE50BD"/>
    <w:rsid w:val="00AE5525"/>
    <w:rsid w:val="00AE57A4"/>
    <w:rsid w:val="00AE62BE"/>
    <w:rsid w:val="00AE6371"/>
    <w:rsid w:val="00AE6381"/>
    <w:rsid w:val="00AE656F"/>
    <w:rsid w:val="00AE6592"/>
    <w:rsid w:val="00AE6632"/>
    <w:rsid w:val="00AE7D78"/>
    <w:rsid w:val="00AF15D1"/>
    <w:rsid w:val="00AF22FA"/>
    <w:rsid w:val="00AF24EC"/>
    <w:rsid w:val="00AF2D8A"/>
    <w:rsid w:val="00AF2DE9"/>
    <w:rsid w:val="00AF3281"/>
    <w:rsid w:val="00AF3792"/>
    <w:rsid w:val="00AF3CD6"/>
    <w:rsid w:val="00AF41F6"/>
    <w:rsid w:val="00AF429A"/>
    <w:rsid w:val="00AF438E"/>
    <w:rsid w:val="00AF45CA"/>
    <w:rsid w:val="00AF4728"/>
    <w:rsid w:val="00AF49E8"/>
    <w:rsid w:val="00AF5CEE"/>
    <w:rsid w:val="00AF6B3F"/>
    <w:rsid w:val="00AF6F67"/>
    <w:rsid w:val="00AF70A5"/>
    <w:rsid w:val="00AF7506"/>
    <w:rsid w:val="00AF7644"/>
    <w:rsid w:val="00AF7BA5"/>
    <w:rsid w:val="00AF7F2B"/>
    <w:rsid w:val="00B007DD"/>
    <w:rsid w:val="00B0098A"/>
    <w:rsid w:val="00B00E6F"/>
    <w:rsid w:val="00B01016"/>
    <w:rsid w:val="00B0146E"/>
    <w:rsid w:val="00B02160"/>
    <w:rsid w:val="00B0227B"/>
    <w:rsid w:val="00B0252E"/>
    <w:rsid w:val="00B0274A"/>
    <w:rsid w:val="00B027CB"/>
    <w:rsid w:val="00B0352B"/>
    <w:rsid w:val="00B03C0F"/>
    <w:rsid w:val="00B05C57"/>
    <w:rsid w:val="00B0680D"/>
    <w:rsid w:val="00B0709D"/>
    <w:rsid w:val="00B07386"/>
    <w:rsid w:val="00B073CF"/>
    <w:rsid w:val="00B073E6"/>
    <w:rsid w:val="00B074F8"/>
    <w:rsid w:val="00B1017A"/>
    <w:rsid w:val="00B10347"/>
    <w:rsid w:val="00B1062F"/>
    <w:rsid w:val="00B107C3"/>
    <w:rsid w:val="00B108CA"/>
    <w:rsid w:val="00B108CF"/>
    <w:rsid w:val="00B117A9"/>
    <w:rsid w:val="00B11A3D"/>
    <w:rsid w:val="00B120E9"/>
    <w:rsid w:val="00B121B0"/>
    <w:rsid w:val="00B13015"/>
    <w:rsid w:val="00B136BA"/>
    <w:rsid w:val="00B13B87"/>
    <w:rsid w:val="00B140C5"/>
    <w:rsid w:val="00B144DE"/>
    <w:rsid w:val="00B1470B"/>
    <w:rsid w:val="00B148AF"/>
    <w:rsid w:val="00B14A4C"/>
    <w:rsid w:val="00B14E80"/>
    <w:rsid w:val="00B15001"/>
    <w:rsid w:val="00B15238"/>
    <w:rsid w:val="00B15582"/>
    <w:rsid w:val="00B15A5D"/>
    <w:rsid w:val="00B1629F"/>
    <w:rsid w:val="00B17338"/>
    <w:rsid w:val="00B17841"/>
    <w:rsid w:val="00B17FAB"/>
    <w:rsid w:val="00B204DC"/>
    <w:rsid w:val="00B20604"/>
    <w:rsid w:val="00B2097A"/>
    <w:rsid w:val="00B22271"/>
    <w:rsid w:val="00B22AA7"/>
    <w:rsid w:val="00B22BF1"/>
    <w:rsid w:val="00B22C5F"/>
    <w:rsid w:val="00B2349F"/>
    <w:rsid w:val="00B23687"/>
    <w:rsid w:val="00B2378B"/>
    <w:rsid w:val="00B239C3"/>
    <w:rsid w:val="00B24388"/>
    <w:rsid w:val="00B243E7"/>
    <w:rsid w:val="00B24665"/>
    <w:rsid w:val="00B25020"/>
    <w:rsid w:val="00B256EE"/>
    <w:rsid w:val="00B25710"/>
    <w:rsid w:val="00B25FE4"/>
    <w:rsid w:val="00B26EC4"/>
    <w:rsid w:val="00B27B03"/>
    <w:rsid w:val="00B27CC7"/>
    <w:rsid w:val="00B30024"/>
    <w:rsid w:val="00B3177D"/>
    <w:rsid w:val="00B317B5"/>
    <w:rsid w:val="00B31B62"/>
    <w:rsid w:val="00B3208E"/>
    <w:rsid w:val="00B33023"/>
    <w:rsid w:val="00B331AB"/>
    <w:rsid w:val="00B33711"/>
    <w:rsid w:val="00B34033"/>
    <w:rsid w:val="00B34083"/>
    <w:rsid w:val="00B340A9"/>
    <w:rsid w:val="00B34362"/>
    <w:rsid w:val="00B3481D"/>
    <w:rsid w:val="00B34889"/>
    <w:rsid w:val="00B3491A"/>
    <w:rsid w:val="00B34998"/>
    <w:rsid w:val="00B35BC7"/>
    <w:rsid w:val="00B35D8C"/>
    <w:rsid w:val="00B36CA3"/>
    <w:rsid w:val="00B372D8"/>
    <w:rsid w:val="00B37550"/>
    <w:rsid w:val="00B402C6"/>
    <w:rsid w:val="00B40569"/>
    <w:rsid w:val="00B40651"/>
    <w:rsid w:val="00B41DC1"/>
    <w:rsid w:val="00B42E3E"/>
    <w:rsid w:val="00B42F69"/>
    <w:rsid w:val="00B43106"/>
    <w:rsid w:val="00B431C4"/>
    <w:rsid w:val="00B434B0"/>
    <w:rsid w:val="00B4377C"/>
    <w:rsid w:val="00B44753"/>
    <w:rsid w:val="00B45655"/>
    <w:rsid w:val="00B46B0B"/>
    <w:rsid w:val="00B46D29"/>
    <w:rsid w:val="00B46EC7"/>
    <w:rsid w:val="00B474E8"/>
    <w:rsid w:val="00B479D9"/>
    <w:rsid w:val="00B506BF"/>
    <w:rsid w:val="00B50961"/>
    <w:rsid w:val="00B50A91"/>
    <w:rsid w:val="00B5160B"/>
    <w:rsid w:val="00B51761"/>
    <w:rsid w:val="00B51871"/>
    <w:rsid w:val="00B52022"/>
    <w:rsid w:val="00B52187"/>
    <w:rsid w:val="00B533A8"/>
    <w:rsid w:val="00B53481"/>
    <w:rsid w:val="00B53864"/>
    <w:rsid w:val="00B539B1"/>
    <w:rsid w:val="00B539EC"/>
    <w:rsid w:val="00B53F2D"/>
    <w:rsid w:val="00B54691"/>
    <w:rsid w:val="00B54ACC"/>
    <w:rsid w:val="00B54E9B"/>
    <w:rsid w:val="00B553C5"/>
    <w:rsid w:val="00B55542"/>
    <w:rsid w:val="00B55743"/>
    <w:rsid w:val="00B55F3E"/>
    <w:rsid w:val="00B5638F"/>
    <w:rsid w:val="00B566A4"/>
    <w:rsid w:val="00B56DC0"/>
    <w:rsid w:val="00B56F02"/>
    <w:rsid w:val="00B57105"/>
    <w:rsid w:val="00B57AEE"/>
    <w:rsid w:val="00B57AF1"/>
    <w:rsid w:val="00B60CCD"/>
    <w:rsid w:val="00B61BFD"/>
    <w:rsid w:val="00B61E4C"/>
    <w:rsid w:val="00B62854"/>
    <w:rsid w:val="00B62EF1"/>
    <w:rsid w:val="00B63373"/>
    <w:rsid w:val="00B63619"/>
    <w:rsid w:val="00B638E9"/>
    <w:rsid w:val="00B63A9A"/>
    <w:rsid w:val="00B63E91"/>
    <w:rsid w:val="00B640CC"/>
    <w:rsid w:val="00B6425D"/>
    <w:rsid w:val="00B645B6"/>
    <w:rsid w:val="00B64B2F"/>
    <w:rsid w:val="00B64E3F"/>
    <w:rsid w:val="00B65272"/>
    <w:rsid w:val="00B65BF1"/>
    <w:rsid w:val="00B65FE2"/>
    <w:rsid w:val="00B667BF"/>
    <w:rsid w:val="00B66C7F"/>
    <w:rsid w:val="00B674D6"/>
    <w:rsid w:val="00B6797D"/>
    <w:rsid w:val="00B67C16"/>
    <w:rsid w:val="00B7008F"/>
    <w:rsid w:val="00B71A52"/>
    <w:rsid w:val="00B7245B"/>
    <w:rsid w:val="00B72992"/>
    <w:rsid w:val="00B72A75"/>
    <w:rsid w:val="00B7357A"/>
    <w:rsid w:val="00B735B8"/>
    <w:rsid w:val="00B74858"/>
    <w:rsid w:val="00B74E10"/>
    <w:rsid w:val="00B752EB"/>
    <w:rsid w:val="00B75811"/>
    <w:rsid w:val="00B76610"/>
    <w:rsid w:val="00B7684D"/>
    <w:rsid w:val="00B76B16"/>
    <w:rsid w:val="00B776B8"/>
    <w:rsid w:val="00B77BE4"/>
    <w:rsid w:val="00B77DE2"/>
    <w:rsid w:val="00B80906"/>
    <w:rsid w:val="00B80A64"/>
    <w:rsid w:val="00B80DAA"/>
    <w:rsid w:val="00B80F6E"/>
    <w:rsid w:val="00B812BE"/>
    <w:rsid w:val="00B813D5"/>
    <w:rsid w:val="00B81849"/>
    <w:rsid w:val="00B819AE"/>
    <w:rsid w:val="00B81D7C"/>
    <w:rsid w:val="00B8258D"/>
    <w:rsid w:val="00B825B4"/>
    <w:rsid w:val="00B827BE"/>
    <w:rsid w:val="00B82E41"/>
    <w:rsid w:val="00B83025"/>
    <w:rsid w:val="00B83C66"/>
    <w:rsid w:val="00B83F4B"/>
    <w:rsid w:val="00B8423E"/>
    <w:rsid w:val="00B84B2B"/>
    <w:rsid w:val="00B84E7E"/>
    <w:rsid w:val="00B858C2"/>
    <w:rsid w:val="00B85A92"/>
    <w:rsid w:val="00B85DB3"/>
    <w:rsid w:val="00B86608"/>
    <w:rsid w:val="00B869DF"/>
    <w:rsid w:val="00B87847"/>
    <w:rsid w:val="00B90477"/>
    <w:rsid w:val="00B904E2"/>
    <w:rsid w:val="00B90C6D"/>
    <w:rsid w:val="00B90E32"/>
    <w:rsid w:val="00B9179E"/>
    <w:rsid w:val="00B92727"/>
    <w:rsid w:val="00B92AA5"/>
    <w:rsid w:val="00B92D7E"/>
    <w:rsid w:val="00B92DD4"/>
    <w:rsid w:val="00B93904"/>
    <w:rsid w:val="00B955FE"/>
    <w:rsid w:val="00B957DF"/>
    <w:rsid w:val="00B95828"/>
    <w:rsid w:val="00B96234"/>
    <w:rsid w:val="00B96744"/>
    <w:rsid w:val="00B97B67"/>
    <w:rsid w:val="00B97CAA"/>
    <w:rsid w:val="00BA0B9F"/>
    <w:rsid w:val="00BA2968"/>
    <w:rsid w:val="00BA2D23"/>
    <w:rsid w:val="00BA3287"/>
    <w:rsid w:val="00BA43A5"/>
    <w:rsid w:val="00BA45E4"/>
    <w:rsid w:val="00BA4613"/>
    <w:rsid w:val="00BA469C"/>
    <w:rsid w:val="00BA53DC"/>
    <w:rsid w:val="00BA5E04"/>
    <w:rsid w:val="00BA622F"/>
    <w:rsid w:val="00BA6419"/>
    <w:rsid w:val="00BA6550"/>
    <w:rsid w:val="00BA6DF1"/>
    <w:rsid w:val="00BA6EC6"/>
    <w:rsid w:val="00BA71E8"/>
    <w:rsid w:val="00BB0E4C"/>
    <w:rsid w:val="00BB0EC4"/>
    <w:rsid w:val="00BB3642"/>
    <w:rsid w:val="00BB3F4B"/>
    <w:rsid w:val="00BB4A3B"/>
    <w:rsid w:val="00BB57E7"/>
    <w:rsid w:val="00BB59F6"/>
    <w:rsid w:val="00BB5C47"/>
    <w:rsid w:val="00BB5EF0"/>
    <w:rsid w:val="00BB66AB"/>
    <w:rsid w:val="00BB7493"/>
    <w:rsid w:val="00BB760E"/>
    <w:rsid w:val="00BB7AF0"/>
    <w:rsid w:val="00BB7BBA"/>
    <w:rsid w:val="00BC0338"/>
    <w:rsid w:val="00BC0657"/>
    <w:rsid w:val="00BC0AA0"/>
    <w:rsid w:val="00BC0AD6"/>
    <w:rsid w:val="00BC0ED8"/>
    <w:rsid w:val="00BC1186"/>
    <w:rsid w:val="00BC122E"/>
    <w:rsid w:val="00BC2797"/>
    <w:rsid w:val="00BC2991"/>
    <w:rsid w:val="00BC2A31"/>
    <w:rsid w:val="00BC2BDB"/>
    <w:rsid w:val="00BC316F"/>
    <w:rsid w:val="00BC3584"/>
    <w:rsid w:val="00BC427B"/>
    <w:rsid w:val="00BC5181"/>
    <w:rsid w:val="00BC5838"/>
    <w:rsid w:val="00BC6D75"/>
    <w:rsid w:val="00BC6DC2"/>
    <w:rsid w:val="00BC70BF"/>
    <w:rsid w:val="00BC737B"/>
    <w:rsid w:val="00BC7A4F"/>
    <w:rsid w:val="00BD030C"/>
    <w:rsid w:val="00BD0506"/>
    <w:rsid w:val="00BD0A61"/>
    <w:rsid w:val="00BD0C03"/>
    <w:rsid w:val="00BD1554"/>
    <w:rsid w:val="00BD21D8"/>
    <w:rsid w:val="00BD2DC7"/>
    <w:rsid w:val="00BD36ED"/>
    <w:rsid w:val="00BD40C5"/>
    <w:rsid w:val="00BD6FCA"/>
    <w:rsid w:val="00BE0237"/>
    <w:rsid w:val="00BE03BF"/>
    <w:rsid w:val="00BE106F"/>
    <w:rsid w:val="00BE1414"/>
    <w:rsid w:val="00BE1666"/>
    <w:rsid w:val="00BE18B6"/>
    <w:rsid w:val="00BE1952"/>
    <w:rsid w:val="00BE1DBC"/>
    <w:rsid w:val="00BE2432"/>
    <w:rsid w:val="00BE2929"/>
    <w:rsid w:val="00BE2F05"/>
    <w:rsid w:val="00BE3514"/>
    <w:rsid w:val="00BE426D"/>
    <w:rsid w:val="00BE4A26"/>
    <w:rsid w:val="00BE4BB5"/>
    <w:rsid w:val="00BE4E7D"/>
    <w:rsid w:val="00BE4ED6"/>
    <w:rsid w:val="00BE54F3"/>
    <w:rsid w:val="00BE5597"/>
    <w:rsid w:val="00BE5B7E"/>
    <w:rsid w:val="00BE5E63"/>
    <w:rsid w:val="00BE5F67"/>
    <w:rsid w:val="00BE61E8"/>
    <w:rsid w:val="00BE6626"/>
    <w:rsid w:val="00BE7920"/>
    <w:rsid w:val="00BE7C25"/>
    <w:rsid w:val="00BF0501"/>
    <w:rsid w:val="00BF0B20"/>
    <w:rsid w:val="00BF1009"/>
    <w:rsid w:val="00BF13FD"/>
    <w:rsid w:val="00BF1850"/>
    <w:rsid w:val="00BF1E46"/>
    <w:rsid w:val="00BF1F14"/>
    <w:rsid w:val="00BF2A3A"/>
    <w:rsid w:val="00BF2CD1"/>
    <w:rsid w:val="00BF2DFD"/>
    <w:rsid w:val="00BF3202"/>
    <w:rsid w:val="00BF36E0"/>
    <w:rsid w:val="00BF3CC9"/>
    <w:rsid w:val="00BF3D8A"/>
    <w:rsid w:val="00BF4B6A"/>
    <w:rsid w:val="00BF4E55"/>
    <w:rsid w:val="00BF5135"/>
    <w:rsid w:val="00BF54FE"/>
    <w:rsid w:val="00BF6AEA"/>
    <w:rsid w:val="00BF6BD2"/>
    <w:rsid w:val="00BF7728"/>
    <w:rsid w:val="00C00312"/>
    <w:rsid w:val="00C00828"/>
    <w:rsid w:val="00C009F5"/>
    <w:rsid w:val="00C0107D"/>
    <w:rsid w:val="00C01121"/>
    <w:rsid w:val="00C01129"/>
    <w:rsid w:val="00C02239"/>
    <w:rsid w:val="00C022E1"/>
    <w:rsid w:val="00C02708"/>
    <w:rsid w:val="00C0398D"/>
    <w:rsid w:val="00C0417F"/>
    <w:rsid w:val="00C042D9"/>
    <w:rsid w:val="00C05C3D"/>
    <w:rsid w:val="00C069FA"/>
    <w:rsid w:val="00C06F32"/>
    <w:rsid w:val="00C071AC"/>
    <w:rsid w:val="00C07B26"/>
    <w:rsid w:val="00C07F88"/>
    <w:rsid w:val="00C1042B"/>
    <w:rsid w:val="00C109A2"/>
    <w:rsid w:val="00C10C02"/>
    <w:rsid w:val="00C10D87"/>
    <w:rsid w:val="00C11852"/>
    <w:rsid w:val="00C11CA5"/>
    <w:rsid w:val="00C11E4C"/>
    <w:rsid w:val="00C11E8C"/>
    <w:rsid w:val="00C11F61"/>
    <w:rsid w:val="00C13D61"/>
    <w:rsid w:val="00C14549"/>
    <w:rsid w:val="00C146CB"/>
    <w:rsid w:val="00C14954"/>
    <w:rsid w:val="00C1505E"/>
    <w:rsid w:val="00C15B45"/>
    <w:rsid w:val="00C15FE9"/>
    <w:rsid w:val="00C16ACE"/>
    <w:rsid w:val="00C16CC4"/>
    <w:rsid w:val="00C17063"/>
    <w:rsid w:val="00C179B0"/>
    <w:rsid w:val="00C200E2"/>
    <w:rsid w:val="00C20245"/>
    <w:rsid w:val="00C20CA6"/>
    <w:rsid w:val="00C21126"/>
    <w:rsid w:val="00C214C4"/>
    <w:rsid w:val="00C220DC"/>
    <w:rsid w:val="00C226F9"/>
    <w:rsid w:val="00C22C77"/>
    <w:rsid w:val="00C23183"/>
    <w:rsid w:val="00C23398"/>
    <w:rsid w:val="00C23B23"/>
    <w:rsid w:val="00C23B58"/>
    <w:rsid w:val="00C24240"/>
    <w:rsid w:val="00C2428B"/>
    <w:rsid w:val="00C24BCC"/>
    <w:rsid w:val="00C24DB4"/>
    <w:rsid w:val="00C2511A"/>
    <w:rsid w:val="00C25965"/>
    <w:rsid w:val="00C25D8E"/>
    <w:rsid w:val="00C2640F"/>
    <w:rsid w:val="00C26C22"/>
    <w:rsid w:val="00C27076"/>
    <w:rsid w:val="00C27388"/>
    <w:rsid w:val="00C275EB"/>
    <w:rsid w:val="00C27725"/>
    <w:rsid w:val="00C27B03"/>
    <w:rsid w:val="00C30396"/>
    <w:rsid w:val="00C3089B"/>
    <w:rsid w:val="00C310E3"/>
    <w:rsid w:val="00C31371"/>
    <w:rsid w:val="00C31598"/>
    <w:rsid w:val="00C316C6"/>
    <w:rsid w:val="00C319A8"/>
    <w:rsid w:val="00C3216F"/>
    <w:rsid w:val="00C32FAC"/>
    <w:rsid w:val="00C33172"/>
    <w:rsid w:val="00C333BC"/>
    <w:rsid w:val="00C344FB"/>
    <w:rsid w:val="00C34B40"/>
    <w:rsid w:val="00C34D39"/>
    <w:rsid w:val="00C34F08"/>
    <w:rsid w:val="00C35836"/>
    <w:rsid w:val="00C35CA1"/>
    <w:rsid w:val="00C36672"/>
    <w:rsid w:val="00C367B8"/>
    <w:rsid w:val="00C36877"/>
    <w:rsid w:val="00C4007B"/>
    <w:rsid w:val="00C40291"/>
    <w:rsid w:val="00C40A51"/>
    <w:rsid w:val="00C40A98"/>
    <w:rsid w:val="00C4166A"/>
    <w:rsid w:val="00C41BF6"/>
    <w:rsid w:val="00C41CD3"/>
    <w:rsid w:val="00C43095"/>
    <w:rsid w:val="00C43438"/>
    <w:rsid w:val="00C43D72"/>
    <w:rsid w:val="00C44264"/>
    <w:rsid w:val="00C442E1"/>
    <w:rsid w:val="00C44912"/>
    <w:rsid w:val="00C44AC0"/>
    <w:rsid w:val="00C45249"/>
    <w:rsid w:val="00C45320"/>
    <w:rsid w:val="00C45577"/>
    <w:rsid w:val="00C45AC9"/>
    <w:rsid w:val="00C46236"/>
    <w:rsid w:val="00C46251"/>
    <w:rsid w:val="00C467DC"/>
    <w:rsid w:val="00C46BD0"/>
    <w:rsid w:val="00C46C32"/>
    <w:rsid w:val="00C46ECC"/>
    <w:rsid w:val="00C4790F"/>
    <w:rsid w:val="00C47B59"/>
    <w:rsid w:val="00C47E3C"/>
    <w:rsid w:val="00C47FC0"/>
    <w:rsid w:val="00C50437"/>
    <w:rsid w:val="00C50E22"/>
    <w:rsid w:val="00C514C4"/>
    <w:rsid w:val="00C5189F"/>
    <w:rsid w:val="00C528CC"/>
    <w:rsid w:val="00C52BEC"/>
    <w:rsid w:val="00C539EE"/>
    <w:rsid w:val="00C53ABD"/>
    <w:rsid w:val="00C53AD3"/>
    <w:rsid w:val="00C53C94"/>
    <w:rsid w:val="00C541FD"/>
    <w:rsid w:val="00C544E9"/>
    <w:rsid w:val="00C54E9F"/>
    <w:rsid w:val="00C5504C"/>
    <w:rsid w:val="00C5569D"/>
    <w:rsid w:val="00C55971"/>
    <w:rsid w:val="00C56C07"/>
    <w:rsid w:val="00C57741"/>
    <w:rsid w:val="00C577E2"/>
    <w:rsid w:val="00C57BDA"/>
    <w:rsid w:val="00C60612"/>
    <w:rsid w:val="00C6074F"/>
    <w:rsid w:val="00C613FB"/>
    <w:rsid w:val="00C61EEF"/>
    <w:rsid w:val="00C62568"/>
    <w:rsid w:val="00C627F0"/>
    <w:rsid w:val="00C62C0D"/>
    <w:rsid w:val="00C63465"/>
    <w:rsid w:val="00C6370A"/>
    <w:rsid w:val="00C63822"/>
    <w:rsid w:val="00C64143"/>
    <w:rsid w:val="00C6434D"/>
    <w:rsid w:val="00C652E5"/>
    <w:rsid w:val="00C65941"/>
    <w:rsid w:val="00C66F7F"/>
    <w:rsid w:val="00C670AC"/>
    <w:rsid w:val="00C67446"/>
    <w:rsid w:val="00C67C9C"/>
    <w:rsid w:val="00C67D04"/>
    <w:rsid w:val="00C7083B"/>
    <w:rsid w:val="00C70962"/>
    <w:rsid w:val="00C71674"/>
    <w:rsid w:val="00C72013"/>
    <w:rsid w:val="00C72CD4"/>
    <w:rsid w:val="00C74059"/>
    <w:rsid w:val="00C741DF"/>
    <w:rsid w:val="00C74D56"/>
    <w:rsid w:val="00C75D0D"/>
    <w:rsid w:val="00C75EFE"/>
    <w:rsid w:val="00C76426"/>
    <w:rsid w:val="00C76484"/>
    <w:rsid w:val="00C7697F"/>
    <w:rsid w:val="00C76A80"/>
    <w:rsid w:val="00C775D6"/>
    <w:rsid w:val="00C77E0A"/>
    <w:rsid w:val="00C80CC0"/>
    <w:rsid w:val="00C81357"/>
    <w:rsid w:val="00C8136C"/>
    <w:rsid w:val="00C824EE"/>
    <w:rsid w:val="00C82FAC"/>
    <w:rsid w:val="00C82FFA"/>
    <w:rsid w:val="00C83228"/>
    <w:rsid w:val="00C8374A"/>
    <w:rsid w:val="00C8416E"/>
    <w:rsid w:val="00C84408"/>
    <w:rsid w:val="00C8491A"/>
    <w:rsid w:val="00C849B3"/>
    <w:rsid w:val="00C84A1B"/>
    <w:rsid w:val="00C854F3"/>
    <w:rsid w:val="00C85521"/>
    <w:rsid w:val="00C856C0"/>
    <w:rsid w:val="00C85D05"/>
    <w:rsid w:val="00C85F06"/>
    <w:rsid w:val="00C863EE"/>
    <w:rsid w:val="00C86BE5"/>
    <w:rsid w:val="00C86EA2"/>
    <w:rsid w:val="00C86F0A"/>
    <w:rsid w:val="00C87413"/>
    <w:rsid w:val="00C901CF"/>
    <w:rsid w:val="00C9075C"/>
    <w:rsid w:val="00C90F03"/>
    <w:rsid w:val="00C91A1B"/>
    <w:rsid w:val="00C91E2A"/>
    <w:rsid w:val="00C92646"/>
    <w:rsid w:val="00C9316A"/>
    <w:rsid w:val="00C933BD"/>
    <w:rsid w:val="00C93652"/>
    <w:rsid w:val="00C93B5E"/>
    <w:rsid w:val="00C93D44"/>
    <w:rsid w:val="00C93FC4"/>
    <w:rsid w:val="00C95285"/>
    <w:rsid w:val="00C95D8D"/>
    <w:rsid w:val="00C95F7C"/>
    <w:rsid w:val="00C97094"/>
    <w:rsid w:val="00C97C7F"/>
    <w:rsid w:val="00CA04FD"/>
    <w:rsid w:val="00CA0A39"/>
    <w:rsid w:val="00CA0B70"/>
    <w:rsid w:val="00CA20B6"/>
    <w:rsid w:val="00CA2283"/>
    <w:rsid w:val="00CA2405"/>
    <w:rsid w:val="00CA2AEF"/>
    <w:rsid w:val="00CA2CA3"/>
    <w:rsid w:val="00CA325F"/>
    <w:rsid w:val="00CA33B8"/>
    <w:rsid w:val="00CA3CCE"/>
    <w:rsid w:val="00CA436D"/>
    <w:rsid w:val="00CA46CF"/>
    <w:rsid w:val="00CA4EFD"/>
    <w:rsid w:val="00CA59BC"/>
    <w:rsid w:val="00CA66C1"/>
    <w:rsid w:val="00CB030F"/>
    <w:rsid w:val="00CB0FF3"/>
    <w:rsid w:val="00CB140B"/>
    <w:rsid w:val="00CB1582"/>
    <w:rsid w:val="00CB1CDB"/>
    <w:rsid w:val="00CB2264"/>
    <w:rsid w:val="00CB22B7"/>
    <w:rsid w:val="00CB29B1"/>
    <w:rsid w:val="00CB31DA"/>
    <w:rsid w:val="00CB32BD"/>
    <w:rsid w:val="00CB4183"/>
    <w:rsid w:val="00CB4774"/>
    <w:rsid w:val="00CB4A3D"/>
    <w:rsid w:val="00CB4CCC"/>
    <w:rsid w:val="00CB4F4B"/>
    <w:rsid w:val="00CB5032"/>
    <w:rsid w:val="00CB56AD"/>
    <w:rsid w:val="00CB6513"/>
    <w:rsid w:val="00CB6AE6"/>
    <w:rsid w:val="00CB6C97"/>
    <w:rsid w:val="00CB789A"/>
    <w:rsid w:val="00CB79C2"/>
    <w:rsid w:val="00CB7DF6"/>
    <w:rsid w:val="00CC0246"/>
    <w:rsid w:val="00CC04B9"/>
    <w:rsid w:val="00CC070B"/>
    <w:rsid w:val="00CC0A87"/>
    <w:rsid w:val="00CC0C25"/>
    <w:rsid w:val="00CC1386"/>
    <w:rsid w:val="00CC2596"/>
    <w:rsid w:val="00CC2602"/>
    <w:rsid w:val="00CC303F"/>
    <w:rsid w:val="00CC3C96"/>
    <w:rsid w:val="00CC56B1"/>
    <w:rsid w:val="00CC6169"/>
    <w:rsid w:val="00CC655B"/>
    <w:rsid w:val="00CC6C5B"/>
    <w:rsid w:val="00CC6F5D"/>
    <w:rsid w:val="00CC72AA"/>
    <w:rsid w:val="00CC7999"/>
    <w:rsid w:val="00CD02CE"/>
    <w:rsid w:val="00CD050E"/>
    <w:rsid w:val="00CD077C"/>
    <w:rsid w:val="00CD0864"/>
    <w:rsid w:val="00CD12E6"/>
    <w:rsid w:val="00CD1D7B"/>
    <w:rsid w:val="00CD2640"/>
    <w:rsid w:val="00CD291A"/>
    <w:rsid w:val="00CD29D6"/>
    <w:rsid w:val="00CD3232"/>
    <w:rsid w:val="00CD342A"/>
    <w:rsid w:val="00CD34D0"/>
    <w:rsid w:val="00CD351B"/>
    <w:rsid w:val="00CD3940"/>
    <w:rsid w:val="00CD4E07"/>
    <w:rsid w:val="00CD56EC"/>
    <w:rsid w:val="00CD5E04"/>
    <w:rsid w:val="00CD617F"/>
    <w:rsid w:val="00CD63C2"/>
    <w:rsid w:val="00CD6BED"/>
    <w:rsid w:val="00CD7640"/>
    <w:rsid w:val="00CD772E"/>
    <w:rsid w:val="00CD7F94"/>
    <w:rsid w:val="00CE0011"/>
    <w:rsid w:val="00CE0170"/>
    <w:rsid w:val="00CE031A"/>
    <w:rsid w:val="00CE09CC"/>
    <w:rsid w:val="00CE0B27"/>
    <w:rsid w:val="00CE0B70"/>
    <w:rsid w:val="00CE2F14"/>
    <w:rsid w:val="00CE3413"/>
    <w:rsid w:val="00CE3A29"/>
    <w:rsid w:val="00CE3C75"/>
    <w:rsid w:val="00CE3E72"/>
    <w:rsid w:val="00CE4982"/>
    <w:rsid w:val="00CE49BB"/>
    <w:rsid w:val="00CE50D0"/>
    <w:rsid w:val="00CE52AF"/>
    <w:rsid w:val="00CE52B8"/>
    <w:rsid w:val="00CE52D5"/>
    <w:rsid w:val="00CE530E"/>
    <w:rsid w:val="00CE551F"/>
    <w:rsid w:val="00CE6A0B"/>
    <w:rsid w:val="00CE7261"/>
    <w:rsid w:val="00CE74E6"/>
    <w:rsid w:val="00CE7670"/>
    <w:rsid w:val="00CE7BF6"/>
    <w:rsid w:val="00CE7E9F"/>
    <w:rsid w:val="00CF0635"/>
    <w:rsid w:val="00CF0950"/>
    <w:rsid w:val="00CF0D3B"/>
    <w:rsid w:val="00CF1191"/>
    <w:rsid w:val="00CF1C46"/>
    <w:rsid w:val="00CF2153"/>
    <w:rsid w:val="00CF22CD"/>
    <w:rsid w:val="00CF2891"/>
    <w:rsid w:val="00CF33D4"/>
    <w:rsid w:val="00CF3520"/>
    <w:rsid w:val="00CF3B07"/>
    <w:rsid w:val="00CF4C13"/>
    <w:rsid w:val="00CF4CF2"/>
    <w:rsid w:val="00CF5C35"/>
    <w:rsid w:val="00CF5E41"/>
    <w:rsid w:val="00CF6249"/>
    <w:rsid w:val="00CF62E0"/>
    <w:rsid w:val="00CF6384"/>
    <w:rsid w:val="00CF6900"/>
    <w:rsid w:val="00CF6902"/>
    <w:rsid w:val="00CF78E9"/>
    <w:rsid w:val="00CF794B"/>
    <w:rsid w:val="00CF7FE4"/>
    <w:rsid w:val="00D007C8"/>
    <w:rsid w:val="00D00B9D"/>
    <w:rsid w:val="00D02355"/>
    <w:rsid w:val="00D02B8F"/>
    <w:rsid w:val="00D03381"/>
    <w:rsid w:val="00D04984"/>
    <w:rsid w:val="00D05817"/>
    <w:rsid w:val="00D059B6"/>
    <w:rsid w:val="00D0622B"/>
    <w:rsid w:val="00D06E88"/>
    <w:rsid w:val="00D10EFA"/>
    <w:rsid w:val="00D11826"/>
    <w:rsid w:val="00D11F90"/>
    <w:rsid w:val="00D12E63"/>
    <w:rsid w:val="00D13527"/>
    <w:rsid w:val="00D13C20"/>
    <w:rsid w:val="00D14651"/>
    <w:rsid w:val="00D1514A"/>
    <w:rsid w:val="00D158E3"/>
    <w:rsid w:val="00D15E4E"/>
    <w:rsid w:val="00D16577"/>
    <w:rsid w:val="00D17601"/>
    <w:rsid w:val="00D202BA"/>
    <w:rsid w:val="00D20A3C"/>
    <w:rsid w:val="00D20AF9"/>
    <w:rsid w:val="00D20D6E"/>
    <w:rsid w:val="00D21300"/>
    <w:rsid w:val="00D22B0D"/>
    <w:rsid w:val="00D22F7B"/>
    <w:rsid w:val="00D230DC"/>
    <w:rsid w:val="00D23128"/>
    <w:rsid w:val="00D2375F"/>
    <w:rsid w:val="00D23E87"/>
    <w:rsid w:val="00D24E1F"/>
    <w:rsid w:val="00D24E60"/>
    <w:rsid w:val="00D2656D"/>
    <w:rsid w:val="00D26C9A"/>
    <w:rsid w:val="00D26E8F"/>
    <w:rsid w:val="00D30197"/>
    <w:rsid w:val="00D303E8"/>
    <w:rsid w:val="00D31207"/>
    <w:rsid w:val="00D313BB"/>
    <w:rsid w:val="00D3175F"/>
    <w:rsid w:val="00D31858"/>
    <w:rsid w:val="00D31BA6"/>
    <w:rsid w:val="00D321FF"/>
    <w:rsid w:val="00D322AC"/>
    <w:rsid w:val="00D3234A"/>
    <w:rsid w:val="00D32BE2"/>
    <w:rsid w:val="00D32CC4"/>
    <w:rsid w:val="00D32D24"/>
    <w:rsid w:val="00D335E1"/>
    <w:rsid w:val="00D3398F"/>
    <w:rsid w:val="00D33DCB"/>
    <w:rsid w:val="00D34492"/>
    <w:rsid w:val="00D3506E"/>
    <w:rsid w:val="00D35089"/>
    <w:rsid w:val="00D350E4"/>
    <w:rsid w:val="00D3545E"/>
    <w:rsid w:val="00D35543"/>
    <w:rsid w:val="00D35FEA"/>
    <w:rsid w:val="00D366E4"/>
    <w:rsid w:val="00D3719C"/>
    <w:rsid w:val="00D37491"/>
    <w:rsid w:val="00D40D18"/>
    <w:rsid w:val="00D41735"/>
    <w:rsid w:val="00D4208D"/>
    <w:rsid w:val="00D420B9"/>
    <w:rsid w:val="00D423AC"/>
    <w:rsid w:val="00D43C4A"/>
    <w:rsid w:val="00D43F0E"/>
    <w:rsid w:val="00D44681"/>
    <w:rsid w:val="00D44B12"/>
    <w:rsid w:val="00D44B15"/>
    <w:rsid w:val="00D44DC6"/>
    <w:rsid w:val="00D451C2"/>
    <w:rsid w:val="00D45287"/>
    <w:rsid w:val="00D45470"/>
    <w:rsid w:val="00D45F10"/>
    <w:rsid w:val="00D47318"/>
    <w:rsid w:val="00D47653"/>
    <w:rsid w:val="00D476EA"/>
    <w:rsid w:val="00D50EC6"/>
    <w:rsid w:val="00D514E5"/>
    <w:rsid w:val="00D51575"/>
    <w:rsid w:val="00D5348A"/>
    <w:rsid w:val="00D53589"/>
    <w:rsid w:val="00D539D5"/>
    <w:rsid w:val="00D53FCA"/>
    <w:rsid w:val="00D544AE"/>
    <w:rsid w:val="00D544D5"/>
    <w:rsid w:val="00D551DF"/>
    <w:rsid w:val="00D5566F"/>
    <w:rsid w:val="00D55C5D"/>
    <w:rsid w:val="00D55C72"/>
    <w:rsid w:val="00D55F9A"/>
    <w:rsid w:val="00D5614D"/>
    <w:rsid w:val="00D564C6"/>
    <w:rsid w:val="00D56E1D"/>
    <w:rsid w:val="00D5778F"/>
    <w:rsid w:val="00D57897"/>
    <w:rsid w:val="00D602DE"/>
    <w:rsid w:val="00D6096A"/>
    <w:rsid w:val="00D60ABE"/>
    <w:rsid w:val="00D60CE5"/>
    <w:rsid w:val="00D60F9C"/>
    <w:rsid w:val="00D61099"/>
    <w:rsid w:val="00D6134E"/>
    <w:rsid w:val="00D61811"/>
    <w:rsid w:val="00D61D0B"/>
    <w:rsid w:val="00D620E3"/>
    <w:rsid w:val="00D629A9"/>
    <w:rsid w:val="00D63B05"/>
    <w:rsid w:val="00D63CF0"/>
    <w:rsid w:val="00D63F9F"/>
    <w:rsid w:val="00D6442A"/>
    <w:rsid w:val="00D646D3"/>
    <w:rsid w:val="00D647A5"/>
    <w:rsid w:val="00D64A71"/>
    <w:rsid w:val="00D64BCF"/>
    <w:rsid w:val="00D64CCF"/>
    <w:rsid w:val="00D662F2"/>
    <w:rsid w:val="00D66301"/>
    <w:rsid w:val="00D665F1"/>
    <w:rsid w:val="00D670B5"/>
    <w:rsid w:val="00D6711E"/>
    <w:rsid w:val="00D67A1E"/>
    <w:rsid w:val="00D7073A"/>
    <w:rsid w:val="00D71176"/>
    <w:rsid w:val="00D717BB"/>
    <w:rsid w:val="00D71843"/>
    <w:rsid w:val="00D72ABF"/>
    <w:rsid w:val="00D7306F"/>
    <w:rsid w:val="00D73B08"/>
    <w:rsid w:val="00D73F70"/>
    <w:rsid w:val="00D74B0C"/>
    <w:rsid w:val="00D74BC3"/>
    <w:rsid w:val="00D757C6"/>
    <w:rsid w:val="00D75CFF"/>
    <w:rsid w:val="00D75D3B"/>
    <w:rsid w:val="00D764EA"/>
    <w:rsid w:val="00D76666"/>
    <w:rsid w:val="00D76722"/>
    <w:rsid w:val="00D76969"/>
    <w:rsid w:val="00D80127"/>
    <w:rsid w:val="00D804E2"/>
    <w:rsid w:val="00D804F8"/>
    <w:rsid w:val="00D805D1"/>
    <w:rsid w:val="00D81027"/>
    <w:rsid w:val="00D81B0B"/>
    <w:rsid w:val="00D81BDF"/>
    <w:rsid w:val="00D81FB3"/>
    <w:rsid w:val="00D825E3"/>
    <w:rsid w:val="00D82FD7"/>
    <w:rsid w:val="00D83F76"/>
    <w:rsid w:val="00D84DA5"/>
    <w:rsid w:val="00D84ED9"/>
    <w:rsid w:val="00D84FA6"/>
    <w:rsid w:val="00D84FA8"/>
    <w:rsid w:val="00D852B9"/>
    <w:rsid w:val="00D85C5F"/>
    <w:rsid w:val="00D85ECC"/>
    <w:rsid w:val="00D8648B"/>
    <w:rsid w:val="00D864C7"/>
    <w:rsid w:val="00D86536"/>
    <w:rsid w:val="00D8656D"/>
    <w:rsid w:val="00D86855"/>
    <w:rsid w:val="00D868FD"/>
    <w:rsid w:val="00D86B5A"/>
    <w:rsid w:val="00D86EB7"/>
    <w:rsid w:val="00D872A1"/>
    <w:rsid w:val="00D87DA9"/>
    <w:rsid w:val="00D903F7"/>
    <w:rsid w:val="00D9144F"/>
    <w:rsid w:val="00D91E9F"/>
    <w:rsid w:val="00D92B5E"/>
    <w:rsid w:val="00D92BA8"/>
    <w:rsid w:val="00D92C7D"/>
    <w:rsid w:val="00D93388"/>
    <w:rsid w:val="00D93CFF"/>
    <w:rsid w:val="00D94984"/>
    <w:rsid w:val="00D950FA"/>
    <w:rsid w:val="00D95249"/>
    <w:rsid w:val="00D952FB"/>
    <w:rsid w:val="00D95457"/>
    <w:rsid w:val="00D96903"/>
    <w:rsid w:val="00D974FE"/>
    <w:rsid w:val="00D97A7B"/>
    <w:rsid w:val="00D97F50"/>
    <w:rsid w:val="00DA0D97"/>
    <w:rsid w:val="00DA1259"/>
    <w:rsid w:val="00DA1AAD"/>
    <w:rsid w:val="00DA1E08"/>
    <w:rsid w:val="00DA26FD"/>
    <w:rsid w:val="00DA2F14"/>
    <w:rsid w:val="00DA3024"/>
    <w:rsid w:val="00DA3229"/>
    <w:rsid w:val="00DA3B1B"/>
    <w:rsid w:val="00DA3D9E"/>
    <w:rsid w:val="00DA4154"/>
    <w:rsid w:val="00DA4199"/>
    <w:rsid w:val="00DA4A52"/>
    <w:rsid w:val="00DA4FBC"/>
    <w:rsid w:val="00DA58E9"/>
    <w:rsid w:val="00DA5D4E"/>
    <w:rsid w:val="00DA5F74"/>
    <w:rsid w:val="00DA61B9"/>
    <w:rsid w:val="00DA67D2"/>
    <w:rsid w:val="00DA7457"/>
    <w:rsid w:val="00DA79B5"/>
    <w:rsid w:val="00DB0A5E"/>
    <w:rsid w:val="00DB0B54"/>
    <w:rsid w:val="00DB1083"/>
    <w:rsid w:val="00DB1B31"/>
    <w:rsid w:val="00DB1DEA"/>
    <w:rsid w:val="00DB2995"/>
    <w:rsid w:val="00DB2ED0"/>
    <w:rsid w:val="00DB34E3"/>
    <w:rsid w:val="00DB38F0"/>
    <w:rsid w:val="00DB3EC8"/>
    <w:rsid w:val="00DB3EE8"/>
    <w:rsid w:val="00DB4701"/>
    <w:rsid w:val="00DB4962"/>
    <w:rsid w:val="00DB4CB8"/>
    <w:rsid w:val="00DB4E76"/>
    <w:rsid w:val="00DB59C0"/>
    <w:rsid w:val="00DB5A31"/>
    <w:rsid w:val="00DB5BDE"/>
    <w:rsid w:val="00DB65FA"/>
    <w:rsid w:val="00DB67BE"/>
    <w:rsid w:val="00DB6B30"/>
    <w:rsid w:val="00DB7492"/>
    <w:rsid w:val="00DC0146"/>
    <w:rsid w:val="00DC03EE"/>
    <w:rsid w:val="00DC14C5"/>
    <w:rsid w:val="00DC1511"/>
    <w:rsid w:val="00DC1753"/>
    <w:rsid w:val="00DC18C1"/>
    <w:rsid w:val="00DC18E0"/>
    <w:rsid w:val="00DC2665"/>
    <w:rsid w:val="00DC2B8F"/>
    <w:rsid w:val="00DC36B8"/>
    <w:rsid w:val="00DC53F2"/>
    <w:rsid w:val="00DC5410"/>
    <w:rsid w:val="00DC54A6"/>
    <w:rsid w:val="00DC5A40"/>
    <w:rsid w:val="00DC6B01"/>
    <w:rsid w:val="00DC7189"/>
    <w:rsid w:val="00DC7797"/>
    <w:rsid w:val="00DC7E53"/>
    <w:rsid w:val="00DD078A"/>
    <w:rsid w:val="00DD08B3"/>
    <w:rsid w:val="00DD0E3D"/>
    <w:rsid w:val="00DD163A"/>
    <w:rsid w:val="00DD1737"/>
    <w:rsid w:val="00DD18D9"/>
    <w:rsid w:val="00DD240D"/>
    <w:rsid w:val="00DD29CB"/>
    <w:rsid w:val="00DD2A4D"/>
    <w:rsid w:val="00DD34E1"/>
    <w:rsid w:val="00DD39E2"/>
    <w:rsid w:val="00DD3E78"/>
    <w:rsid w:val="00DD45E7"/>
    <w:rsid w:val="00DD4F16"/>
    <w:rsid w:val="00DD4F51"/>
    <w:rsid w:val="00DD502A"/>
    <w:rsid w:val="00DD5667"/>
    <w:rsid w:val="00DD5B6B"/>
    <w:rsid w:val="00DD5EF0"/>
    <w:rsid w:val="00DD6612"/>
    <w:rsid w:val="00DD6C09"/>
    <w:rsid w:val="00DD6CFA"/>
    <w:rsid w:val="00DD71F6"/>
    <w:rsid w:val="00DD7491"/>
    <w:rsid w:val="00DD7667"/>
    <w:rsid w:val="00DD777C"/>
    <w:rsid w:val="00DD77CE"/>
    <w:rsid w:val="00DE0458"/>
    <w:rsid w:val="00DE08E2"/>
    <w:rsid w:val="00DE0D2F"/>
    <w:rsid w:val="00DE0D75"/>
    <w:rsid w:val="00DE0EDB"/>
    <w:rsid w:val="00DE13FD"/>
    <w:rsid w:val="00DE19EB"/>
    <w:rsid w:val="00DE2167"/>
    <w:rsid w:val="00DE38CA"/>
    <w:rsid w:val="00DE3FE1"/>
    <w:rsid w:val="00DE4558"/>
    <w:rsid w:val="00DE485C"/>
    <w:rsid w:val="00DE497A"/>
    <w:rsid w:val="00DE5B0F"/>
    <w:rsid w:val="00DE7128"/>
    <w:rsid w:val="00DE75B6"/>
    <w:rsid w:val="00DE7BC6"/>
    <w:rsid w:val="00DF0261"/>
    <w:rsid w:val="00DF0699"/>
    <w:rsid w:val="00DF07CD"/>
    <w:rsid w:val="00DF07DA"/>
    <w:rsid w:val="00DF089D"/>
    <w:rsid w:val="00DF0FAF"/>
    <w:rsid w:val="00DF0FE3"/>
    <w:rsid w:val="00DF2013"/>
    <w:rsid w:val="00DF2CB1"/>
    <w:rsid w:val="00DF315D"/>
    <w:rsid w:val="00DF3B4B"/>
    <w:rsid w:val="00DF4841"/>
    <w:rsid w:val="00DF4EEF"/>
    <w:rsid w:val="00DF613A"/>
    <w:rsid w:val="00DF6543"/>
    <w:rsid w:val="00DF69F9"/>
    <w:rsid w:val="00DF78E1"/>
    <w:rsid w:val="00DF7930"/>
    <w:rsid w:val="00DF7A21"/>
    <w:rsid w:val="00E00797"/>
    <w:rsid w:val="00E012AF"/>
    <w:rsid w:val="00E01C2D"/>
    <w:rsid w:val="00E02579"/>
    <w:rsid w:val="00E02B50"/>
    <w:rsid w:val="00E03C55"/>
    <w:rsid w:val="00E04B3F"/>
    <w:rsid w:val="00E04D72"/>
    <w:rsid w:val="00E053E5"/>
    <w:rsid w:val="00E060C1"/>
    <w:rsid w:val="00E06B1E"/>
    <w:rsid w:val="00E07787"/>
    <w:rsid w:val="00E07E47"/>
    <w:rsid w:val="00E104B1"/>
    <w:rsid w:val="00E10AAF"/>
    <w:rsid w:val="00E10E16"/>
    <w:rsid w:val="00E10FE7"/>
    <w:rsid w:val="00E119F6"/>
    <w:rsid w:val="00E11D49"/>
    <w:rsid w:val="00E11DB6"/>
    <w:rsid w:val="00E12444"/>
    <w:rsid w:val="00E12717"/>
    <w:rsid w:val="00E13396"/>
    <w:rsid w:val="00E1340B"/>
    <w:rsid w:val="00E13574"/>
    <w:rsid w:val="00E139FB"/>
    <w:rsid w:val="00E147D5"/>
    <w:rsid w:val="00E14A30"/>
    <w:rsid w:val="00E14C0E"/>
    <w:rsid w:val="00E14C60"/>
    <w:rsid w:val="00E14E00"/>
    <w:rsid w:val="00E14E61"/>
    <w:rsid w:val="00E152C4"/>
    <w:rsid w:val="00E163D9"/>
    <w:rsid w:val="00E16642"/>
    <w:rsid w:val="00E16F36"/>
    <w:rsid w:val="00E173CE"/>
    <w:rsid w:val="00E1787C"/>
    <w:rsid w:val="00E2005A"/>
    <w:rsid w:val="00E206AE"/>
    <w:rsid w:val="00E21E7F"/>
    <w:rsid w:val="00E2249E"/>
    <w:rsid w:val="00E22797"/>
    <w:rsid w:val="00E228CC"/>
    <w:rsid w:val="00E22B76"/>
    <w:rsid w:val="00E22CEB"/>
    <w:rsid w:val="00E234F1"/>
    <w:rsid w:val="00E23DC0"/>
    <w:rsid w:val="00E241ED"/>
    <w:rsid w:val="00E24418"/>
    <w:rsid w:val="00E24CF5"/>
    <w:rsid w:val="00E24E3A"/>
    <w:rsid w:val="00E250B1"/>
    <w:rsid w:val="00E25717"/>
    <w:rsid w:val="00E25AF8"/>
    <w:rsid w:val="00E25CAF"/>
    <w:rsid w:val="00E25F86"/>
    <w:rsid w:val="00E266E6"/>
    <w:rsid w:val="00E26B57"/>
    <w:rsid w:val="00E26C55"/>
    <w:rsid w:val="00E26F6C"/>
    <w:rsid w:val="00E27119"/>
    <w:rsid w:val="00E27D52"/>
    <w:rsid w:val="00E30891"/>
    <w:rsid w:val="00E31BD0"/>
    <w:rsid w:val="00E326D2"/>
    <w:rsid w:val="00E32FA2"/>
    <w:rsid w:val="00E33216"/>
    <w:rsid w:val="00E33C3C"/>
    <w:rsid w:val="00E34457"/>
    <w:rsid w:val="00E34CA3"/>
    <w:rsid w:val="00E351AE"/>
    <w:rsid w:val="00E35389"/>
    <w:rsid w:val="00E357C6"/>
    <w:rsid w:val="00E3584B"/>
    <w:rsid w:val="00E35C4A"/>
    <w:rsid w:val="00E36336"/>
    <w:rsid w:val="00E36923"/>
    <w:rsid w:val="00E37A0F"/>
    <w:rsid w:val="00E37DA6"/>
    <w:rsid w:val="00E37FE3"/>
    <w:rsid w:val="00E40053"/>
    <w:rsid w:val="00E40911"/>
    <w:rsid w:val="00E40EB7"/>
    <w:rsid w:val="00E4129A"/>
    <w:rsid w:val="00E418A8"/>
    <w:rsid w:val="00E418FB"/>
    <w:rsid w:val="00E41F81"/>
    <w:rsid w:val="00E420E2"/>
    <w:rsid w:val="00E426AD"/>
    <w:rsid w:val="00E426F9"/>
    <w:rsid w:val="00E42944"/>
    <w:rsid w:val="00E42AA9"/>
    <w:rsid w:val="00E43AAA"/>
    <w:rsid w:val="00E44295"/>
    <w:rsid w:val="00E44620"/>
    <w:rsid w:val="00E44A60"/>
    <w:rsid w:val="00E44AB1"/>
    <w:rsid w:val="00E44C62"/>
    <w:rsid w:val="00E45517"/>
    <w:rsid w:val="00E457E9"/>
    <w:rsid w:val="00E4663A"/>
    <w:rsid w:val="00E468DE"/>
    <w:rsid w:val="00E502A4"/>
    <w:rsid w:val="00E502B7"/>
    <w:rsid w:val="00E50971"/>
    <w:rsid w:val="00E50EFF"/>
    <w:rsid w:val="00E51021"/>
    <w:rsid w:val="00E517FD"/>
    <w:rsid w:val="00E523E3"/>
    <w:rsid w:val="00E52B0F"/>
    <w:rsid w:val="00E52B28"/>
    <w:rsid w:val="00E5387C"/>
    <w:rsid w:val="00E538F9"/>
    <w:rsid w:val="00E53B43"/>
    <w:rsid w:val="00E54054"/>
    <w:rsid w:val="00E54316"/>
    <w:rsid w:val="00E54E02"/>
    <w:rsid w:val="00E54EF2"/>
    <w:rsid w:val="00E567BE"/>
    <w:rsid w:val="00E5728D"/>
    <w:rsid w:val="00E60007"/>
    <w:rsid w:val="00E6045C"/>
    <w:rsid w:val="00E60DC5"/>
    <w:rsid w:val="00E61146"/>
    <w:rsid w:val="00E61294"/>
    <w:rsid w:val="00E61A1B"/>
    <w:rsid w:val="00E61AAA"/>
    <w:rsid w:val="00E62182"/>
    <w:rsid w:val="00E621A6"/>
    <w:rsid w:val="00E62435"/>
    <w:rsid w:val="00E628C9"/>
    <w:rsid w:val="00E63055"/>
    <w:rsid w:val="00E6315D"/>
    <w:rsid w:val="00E63559"/>
    <w:rsid w:val="00E635DC"/>
    <w:rsid w:val="00E646EE"/>
    <w:rsid w:val="00E652EA"/>
    <w:rsid w:val="00E65505"/>
    <w:rsid w:val="00E6636B"/>
    <w:rsid w:val="00E663C3"/>
    <w:rsid w:val="00E666E5"/>
    <w:rsid w:val="00E67180"/>
    <w:rsid w:val="00E676E2"/>
    <w:rsid w:val="00E7012D"/>
    <w:rsid w:val="00E70351"/>
    <w:rsid w:val="00E70E35"/>
    <w:rsid w:val="00E7199B"/>
    <w:rsid w:val="00E720E3"/>
    <w:rsid w:val="00E736B3"/>
    <w:rsid w:val="00E744D2"/>
    <w:rsid w:val="00E74CD9"/>
    <w:rsid w:val="00E74CE5"/>
    <w:rsid w:val="00E74FA5"/>
    <w:rsid w:val="00E7515A"/>
    <w:rsid w:val="00E751A6"/>
    <w:rsid w:val="00E75289"/>
    <w:rsid w:val="00E756A8"/>
    <w:rsid w:val="00E75AF4"/>
    <w:rsid w:val="00E76032"/>
    <w:rsid w:val="00E768F2"/>
    <w:rsid w:val="00E77773"/>
    <w:rsid w:val="00E77E9E"/>
    <w:rsid w:val="00E77F6D"/>
    <w:rsid w:val="00E80149"/>
    <w:rsid w:val="00E80561"/>
    <w:rsid w:val="00E8058D"/>
    <w:rsid w:val="00E80CCF"/>
    <w:rsid w:val="00E81D09"/>
    <w:rsid w:val="00E81DED"/>
    <w:rsid w:val="00E82316"/>
    <w:rsid w:val="00E825B3"/>
    <w:rsid w:val="00E827BB"/>
    <w:rsid w:val="00E849DE"/>
    <w:rsid w:val="00E84BC8"/>
    <w:rsid w:val="00E8519A"/>
    <w:rsid w:val="00E854CC"/>
    <w:rsid w:val="00E85600"/>
    <w:rsid w:val="00E856CE"/>
    <w:rsid w:val="00E85948"/>
    <w:rsid w:val="00E85F67"/>
    <w:rsid w:val="00E86536"/>
    <w:rsid w:val="00E868BE"/>
    <w:rsid w:val="00E86DFF"/>
    <w:rsid w:val="00E8790B"/>
    <w:rsid w:val="00E87F1D"/>
    <w:rsid w:val="00E90CDC"/>
    <w:rsid w:val="00E9167E"/>
    <w:rsid w:val="00E918B1"/>
    <w:rsid w:val="00E91E88"/>
    <w:rsid w:val="00E91F55"/>
    <w:rsid w:val="00E922A4"/>
    <w:rsid w:val="00E923DC"/>
    <w:rsid w:val="00E925CE"/>
    <w:rsid w:val="00E92E0A"/>
    <w:rsid w:val="00E93F3F"/>
    <w:rsid w:val="00E93F9A"/>
    <w:rsid w:val="00E9438A"/>
    <w:rsid w:val="00E94DFE"/>
    <w:rsid w:val="00E95CD0"/>
    <w:rsid w:val="00E97310"/>
    <w:rsid w:val="00E97E70"/>
    <w:rsid w:val="00EA05D9"/>
    <w:rsid w:val="00EA1104"/>
    <w:rsid w:val="00EA1733"/>
    <w:rsid w:val="00EA1C6C"/>
    <w:rsid w:val="00EA1CF4"/>
    <w:rsid w:val="00EA2D28"/>
    <w:rsid w:val="00EA2ED0"/>
    <w:rsid w:val="00EA3312"/>
    <w:rsid w:val="00EA33E9"/>
    <w:rsid w:val="00EA3761"/>
    <w:rsid w:val="00EA3D3B"/>
    <w:rsid w:val="00EA3E9C"/>
    <w:rsid w:val="00EA3EFC"/>
    <w:rsid w:val="00EA4861"/>
    <w:rsid w:val="00EA5257"/>
    <w:rsid w:val="00EA59B6"/>
    <w:rsid w:val="00EA59BC"/>
    <w:rsid w:val="00EA5ACC"/>
    <w:rsid w:val="00EA6739"/>
    <w:rsid w:val="00EA7415"/>
    <w:rsid w:val="00EB0433"/>
    <w:rsid w:val="00EB1B8B"/>
    <w:rsid w:val="00EB24EC"/>
    <w:rsid w:val="00EB337C"/>
    <w:rsid w:val="00EB3B7B"/>
    <w:rsid w:val="00EB3C54"/>
    <w:rsid w:val="00EB3E94"/>
    <w:rsid w:val="00EB4161"/>
    <w:rsid w:val="00EB4951"/>
    <w:rsid w:val="00EB5733"/>
    <w:rsid w:val="00EB595B"/>
    <w:rsid w:val="00EB5A61"/>
    <w:rsid w:val="00EB64BB"/>
    <w:rsid w:val="00EB6D98"/>
    <w:rsid w:val="00EB74EC"/>
    <w:rsid w:val="00EB7827"/>
    <w:rsid w:val="00EC098E"/>
    <w:rsid w:val="00EC0BCB"/>
    <w:rsid w:val="00EC0E71"/>
    <w:rsid w:val="00EC112E"/>
    <w:rsid w:val="00EC183E"/>
    <w:rsid w:val="00EC18F3"/>
    <w:rsid w:val="00EC218E"/>
    <w:rsid w:val="00EC3AEE"/>
    <w:rsid w:val="00EC3BAC"/>
    <w:rsid w:val="00EC40A0"/>
    <w:rsid w:val="00EC4A54"/>
    <w:rsid w:val="00EC4DA2"/>
    <w:rsid w:val="00EC4E54"/>
    <w:rsid w:val="00EC4E68"/>
    <w:rsid w:val="00EC52CA"/>
    <w:rsid w:val="00EC533F"/>
    <w:rsid w:val="00EC5806"/>
    <w:rsid w:val="00EC64EE"/>
    <w:rsid w:val="00EC68C3"/>
    <w:rsid w:val="00EC7878"/>
    <w:rsid w:val="00ED1521"/>
    <w:rsid w:val="00ED15CB"/>
    <w:rsid w:val="00ED3F92"/>
    <w:rsid w:val="00ED4497"/>
    <w:rsid w:val="00ED51C2"/>
    <w:rsid w:val="00ED613A"/>
    <w:rsid w:val="00ED6798"/>
    <w:rsid w:val="00ED696F"/>
    <w:rsid w:val="00ED6CFA"/>
    <w:rsid w:val="00ED6D53"/>
    <w:rsid w:val="00ED72FE"/>
    <w:rsid w:val="00ED7AA5"/>
    <w:rsid w:val="00ED7B00"/>
    <w:rsid w:val="00ED7E76"/>
    <w:rsid w:val="00EE0104"/>
    <w:rsid w:val="00EE0321"/>
    <w:rsid w:val="00EE106D"/>
    <w:rsid w:val="00EE1855"/>
    <w:rsid w:val="00EE1AA2"/>
    <w:rsid w:val="00EE1B23"/>
    <w:rsid w:val="00EE2B68"/>
    <w:rsid w:val="00EE2F5D"/>
    <w:rsid w:val="00EE32C5"/>
    <w:rsid w:val="00EE3733"/>
    <w:rsid w:val="00EE395E"/>
    <w:rsid w:val="00EE3DF4"/>
    <w:rsid w:val="00EE51A1"/>
    <w:rsid w:val="00EE5262"/>
    <w:rsid w:val="00EE5630"/>
    <w:rsid w:val="00EE6D70"/>
    <w:rsid w:val="00EF0855"/>
    <w:rsid w:val="00EF10D7"/>
    <w:rsid w:val="00EF1386"/>
    <w:rsid w:val="00EF155E"/>
    <w:rsid w:val="00EF1A56"/>
    <w:rsid w:val="00EF2047"/>
    <w:rsid w:val="00EF2491"/>
    <w:rsid w:val="00EF256B"/>
    <w:rsid w:val="00EF27BD"/>
    <w:rsid w:val="00EF2D4F"/>
    <w:rsid w:val="00EF2E12"/>
    <w:rsid w:val="00EF3180"/>
    <w:rsid w:val="00EF35D4"/>
    <w:rsid w:val="00EF3E64"/>
    <w:rsid w:val="00EF4307"/>
    <w:rsid w:val="00EF4B11"/>
    <w:rsid w:val="00EF4C13"/>
    <w:rsid w:val="00EF5277"/>
    <w:rsid w:val="00EF5319"/>
    <w:rsid w:val="00EF5758"/>
    <w:rsid w:val="00EF5C52"/>
    <w:rsid w:val="00EF5CAD"/>
    <w:rsid w:val="00EF5FF3"/>
    <w:rsid w:val="00EF611F"/>
    <w:rsid w:val="00EF65DF"/>
    <w:rsid w:val="00EF6725"/>
    <w:rsid w:val="00EF6752"/>
    <w:rsid w:val="00EF6990"/>
    <w:rsid w:val="00EF76E1"/>
    <w:rsid w:val="00EF7A2B"/>
    <w:rsid w:val="00F01166"/>
    <w:rsid w:val="00F01D6F"/>
    <w:rsid w:val="00F02083"/>
    <w:rsid w:val="00F02216"/>
    <w:rsid w:val="00F02851"/>
    <w:rsid w:val="00F029AF"/>
    <w:rsid w:val="00F037E1"/>
    <w:rsid w:val="00F03DC0"/>
    <w:rsid w:val="00F03E16"/>
    <w:rsid w:val="00F04099"/>
    <w:rsid w:val="00F047A7"/>
    <w:rsid w:val="00F049F6"/>
    <w:rsid w:val="00F05B66"/>
    <w:rsid w:val="00F06B99"/>
    <w:rsid w:val="00F07221"/>
    <w:rsid w:val="00F0761E"/>
    <w:rsid w:val="00F1030E"/>
    <w:rsid w:val="00F10925"/>
    <w:rsid w:val="00F10F81"/>
    <w:rsid w:val="00F11960"/>
    <w:rsid w:val="00F11C86"/>
    <w:rsid w:val="00F12F6C"/>
    <w:rsid w:val="00F1329F"/>
    <w:rsid w:val="00F13A8C"/>
    <w:rsid w:val="00F13DAE"/>
    <w:rsid w:val="00F13DB7"/>
    <w:rsid w:val="00F15428"/>
    <w:rsid w:val="00F157D8"/>
    <w:rsid w:val="00F1619F"/>
    <w:rsid w:val="00F1654E"/>
    <w:rsid w:val="00F166D2"/>
    <w:rsid w:val="00F171E6"/>
    <w:rsid w:val="00F1721E"/>
    <w:rsid w:val="00F178CB"/>
    <w:rsid w:val="00F201AD"/>
    <w:rsid w:val="00F20815"/>
    <w:rsid w:val="00F21481"/>
    <w:rsid w:val="00F21B21"/>
    <w:rsid w:val="00F222BB"/>
    <w:rsid w:val="00F22F52"/>
    <w:rsid w:val="00F23C23"/>
    <w:rsid w:val="00F23C42"/>
    <w:rsid w:val="00F24242"/>
    <w:rsid w:val="00F24246"/>
    <w:rsid w:val="00F2491A"/>
    <w:rsid w:val="00F24EF6"/>
    <w:rsid w:val="00F25085"/>
    <w:rsid w:val="00F254E4"/>
    <w:rsid w:val="00F257F3"/>
    <w:rsid w:val="00F2589D"/>
    <w:rsid w:val="00F2637F"/>
    <w:rsid w:val="00F26F5D"/>
    <w:rsid w:val="00F27284"/>
    <w:rsid w:val="00F27F3A"/>
    <w:rsid w:val="00F300C8"/>
    <w:rsid w:val="00F305DA"/>
    <w:rsid w:val="00F305FA"/>
    <w:rsid w:val="00F309B8"/>
    <w:rsid w:val="00F31033"/>
    <w:rsid w:val="00F3137F"/>
    <w:rsid w:val="00F315C6"/>
    <w:rsid w:val="00F31FF2"/>
    <w:rsid w:val="00F329F3"/>
    <w:rsid w:val="00F335A9"/>
    <w:rsid w:val="00F3398B"/>
    <w:rsid w:val="00F34C92"/>
    <w:rsid w:val="00F34CE3"/>
    <w:rsid w:val="00F35D19"/>
    <w:rsid w:val="00F36399"/>
    <w:rsid w:val="00F36E98"/>
    <w:rsid w:val="00F36ECD"/>
    <w:rsid w:val="00F377AE"/>
    <w:rsid w:val="00F37CFC"/>
    <w:rsid w:val="00F402FD"/>
    <w:rsid w:val="00F40B98"/>
    <w:rsid w:val="00F41269"/>
    <w:rsid w:val="00F41319"/>
    <w:rsid w:val="00F41D7D"/>
    <w:rsid w:val="00F4234F"/>
    <w:rsid w:val="00F42570"/>
    <w:rsid w:val="00F428A6"/>
    <w:rsid w:val="00F428B9"/>
    <w:rsid w:val="00F42B2D"/>
    <w:rsid w:val="00F43494"/>
    <w:rsid w:val="00F43794"/>
    <w:rsid w:val="00F43BFA"/>
    <w:rsid w:val="00F44546"/>
    <w:rsid w:val="00F447B7"/>
    <w:rsid w:val="00F44B13"/>
    <w:rsid w:val="00F45BE7"/>
    <w:rsid w:val="00F45FCE"/>
    <w:rsid w:val="00F4609C"/>
    <w:rsid w:val="00F463D7"/>
    <w:rsid w:val="00F47477"/>
    <w:rsid w:val="00F47C08"/>
    <w:rsid w:val="00F47C51"/>
    <w:rsid w:val="00F5005E"/>
    <w:rsid w:val="00F50163"/>
    <w:rsid w:val="00F50D1C"/>
    <w:rsid w:val="00F50EF7"/>
    <w:rsid w:val="00F510E2"/>
    <w:rsid w:val="00F51129"/>
    <w:rsid w:val="00F51581"/>
    <w:rsid w:val="00F515F1"/>
    <w:rsid w:val="00F52564"/>
    <w:rsid w:val="00F5273A"/>
    <w:rsid w:val="00F52D6B"/>
    <w:rsid w:val="00F52E18"/>
    <w:rsid w:val="00F535E2"/>
    <w:rsid w:val="00F540A4"/>
    <w:rsid w:val="00F54250"/>
    <w:rsid w:val="00F546FB"/>
    <w:rsid w:val="00F54844"/>
    <w:rsid w:val="00F549E3"/>
    <w:rsid w:val="00F54B93"/>
    <w:rsid w:val="00F54E42"/>
    <w:rsid w:val="00F5527E"/>
    <w:rsid w:val="00F55335"/>
    <w:rsid w:val="00F554BA"/>
    <w:rsid w:val="00F55CF7"/>
    <w:rsid w:val="00F565BD"/>
    <w:rsid w:val="00F571D3"/>
    <w:rsid w:val="00F57AF4"/>
    <w:rsid w:val="00F57D1C"/>
    <w:rsid w:val="00F57EE2"/>
    <w:rsid w:val="00F6086A"/>
    <w:rsid w:val="00F6090B"/>
    <w:rsid w:val="00F609DE"/>
    <w:rsid w:val="00F60EC3"/>
    <w:rsid w:val="00F61216"/>
    <w:rsid w:val="00F61250"/>
    <w:rsid w:val="00F6169B"/>
    <w:rsid w:val="00F623AF"/>
    <w:rsid w:val="00F62824"/>
    <w:rsid w:val="00F62D7C"/>
    <w:rsid w:val="00F63159"/>
    <w:rsid w:val="00F633F8"/>
    <w:rsid w:val="00F634C8"/>
    <w:rsid w:val="00F6354C"/>
    <w:rsid w:val="00F63F0B"/>
    <w:rsid w:val="00F64483"/>
    <w:rsid w:val="00F64856"/>
    <w:rsid w:val="00F64B21"/>
    <w:rsid w:val="00F65DD1"/>
    <w:rsid w:val="00F6611C"/>
    <w:rsid w:val="00F66740"/>
    <w:rsid w:val="00F66AB2"/>
    <w:rsid w:val="00F66BFE"/>
    <w:rsid w:val="00F66F99"/>
    <w:rsid w:val="00F66FD8"/>
    <w:rsid w:val="00F67155"/>
    <w:rsid w:val="00F67509"/>
    <w:rsid w:val="00F67800"/>
    <w:rsid w:val="00F700CD"/>
    <w:rsid w:val="00F7058F"/>
    <w:rsid w:val="00F70ACE"/>
    <w:rsid w:val="00F70D21"/>
    <w:rsid w:val="00F70DC6"/>
    <w:rsid w:val="00F70DCD"/>
    <w:rsid w:val="00F70FEF"/>
    <w:rsid w:val="00F717B7"/>
    <w:rsid w:val="00F722C6"/>
    <w:rsid w:val="00F723FD"/>
    <w:rsid w:val="00F72E0C"/>
    <w:rsid w:val="00F72F08"/>
    <w:rsid w:val="00F73DF5"/>
    <w:rsid w:val="00F73F06"/>
    <w:rsid w:val="00F74159"/>
    <w:rsid w:val="00F7424C"/>
    <w:rsid w:val="00F74E6F"/>
    <w:rsid w:val="00F74F3A"/>
    <w:rsid w:val="00F75805"/>
    <w:rsid w:val="00F75C02"/>
    <w:rsid w:val="00F76689"/>
    <w:rsid w:val="00F7702F"/>
    <w:rsid w:val="00F77050"/>
    <w:rsid w:val="00F77DC3"/>
    <w:rsid w:val="00F77ECB"/>
    <w:rsid w:val="00F77F00"/>
    <w:rsid w:val="00F8147B"/>
    <w:rsid w:val="00F81A47"/>
    <w:rsid w:val="00F81A8D"/>
    <w:rsid w:val="00F81B14"/>
    <w:rsid w:val="00F81BF8"/>
    <w:rsid w:val="00F81C7A"/>
    <w:rsid w:val="00F81C8B"/>
    <w:rsid w:val="00F81E47"/>
    <w:rsid w:val="00F824EF"/>
    <w:rsid w:val="00F83945"/>
    <w:rsid w:val="00F84408"/>
    <w:rsid w:val="00F84852"/>
    <w:rsid w:val="00F8485F"/>
    <w:rsid w:val="00F85701"/>
    <w:rsid w:val="00F85A70"/>
    <w:rsid w:val="00F85D28"/>
    <w:rsid w:val="00F862C5"/>
    <w:rsid w:val="00F86474"/>
    <w:rsid w:val="00F868B4"/>
    <w:rsid w:val="00F8720A"/>
    <w:rsid w:val="00F8730A"/>
    <w:rsid w:val="00F87A0C"/>
    <w:rsid w:val="00F9016F"/>
    <w:rsid w:val="00F90601"/>
    <w:rsid w:val="00F90695"/>
    <w:rsid w:val="00F9169D"/>
    <w:rsid w:val="00F924AC"/>
    <w:rsid w:val="00F9293F"/>
    <w:rsid w:val="00F931D0"/>
    <w:rsid w:val="00F93703"/>
    <w:rsid w:val="00F93993"/>
    <w:rsid w:val="00F93ED0"/>
    <w:rsid w:val="00F95624"/>
    <w:rsid w:val="00F957BE"/>
    <w:rsid w:val="00F95803"/>
    <w:rsid w:val="00F9607E"/>
    <w:rsid w:val="00F96F2D"/>
    <w:rsid w:val="00F97803"/>
    <w:rsid w:val="00F97E6C"/>
    <w:rsid w:val="00F97F39"/>
    <w:rsid w:val="00FA08B5"/>
    <w:rsid w:val="00FA09F1"/>
    <w:rsid w:val="00FA2EDF"/>
    <w:rsid w:val="00FA3C77"/>
    <w:rsid w:val="00FA4346"/>
    <w:rsid w:val="00FA4AFA"/>
    <w:rsid w:val="00FA4C9A"/>
    <w:rsid w:val="00FA4D36"/>
    <w:rsid w:val="00FA5EB4"/>
    <w:rsid w:val="00FA5ECE"/>
    <w:rsid w:val="00FA61F6"/>
    <w:rsid w:val="00FA6FE5"/>
    <w:rsid w:val="00FA753F"/>
    <w:rsid w:val="00FA78FD"/>
    <w:rsid w:val="00FA7E8B"/>
    <w:rsid w:val="00FB07DC"/>
    <w:rsid w:val="00FB0DDB"/>
    <w:rsid w:val="00FB11BE"/>
    <w:rsid w:val="00FB1357"/>
    <w:rsid w:val="00FB148B"/>
    <w:rsid w:val="00FB1799"/>
    <w:rsid w:val="00FB18E5"/>
    <w:rsid w:val="00FB1B56"/>
    <w:rsid w:val="00FB1E5E"/>
    <w:rsid w:val="00FB2183"/>
    <w:rsid w:val="00FB22D3"/>
    <w:rsid w:val="00FB2616"/>
    <w:rsid w:val="00FB27F1"/>
    <w:rsid w:val="00FB29B9"/>
    <w:rsid w:val="00FB2BA6"/>
    <w:rsid w:val="00FB3287"/>
    <w:rsid w:val="00FB397A"/>
    <w:rsid w:val="00FB4C6F"/>
    <w:rsid w:val="00FB5B33"/>
    <w:rsid w:val="00FB5B69"/>
    <w:rsid w:val="00FB648C"/>
    <w:rsid w:val="00FB71F6"/>
    <w:rsid w:val="00FB7E4E"/>
    <w:rsid w:val="00FC00C7"/>
    <w:rsid w:val="00FC087D"/>
    <w:rsid w:val="00FC22DE"/>
    <w:rsid w:val="00FC23C3"/>
    <w:rsid w:val="00FC36CC"/>
    <w:rsid w:val="00FC38A4"/>
    <w:rsid w:val="00FC5E76"/>
    <w:rsid w:val="00FC69CF"/>
    <w:rsid w:val="00FC7214"/>
    <w:rsid w:val="00FC73FB"/>
    <w:rsid w:val="00FC7DEC"/>
    <w:rsid w:val="00FD058F"/>
    <w:rsid w:val="00FD0B70"/>
    <w:rsid w:val="00FD11B8"/>
    <w:rsid w:val="00FD1440"/>
    <w:rsid w:val="00FD1489"/>
    <w:rsid w:val="00FD17D7"/>
    <w:rsid w:val="00FD2DA9"/>
    <w:rsid w:val="00FD32FD"/>
    <w:rsid w:val="00FD35FA"/>
    <w:rsid w:val="00FD3D35"/>
    <w:rsid w:val="00FD4DF7"/>
    <w:rsid w:val="00FD59F1"/>
    <w:rsid w:val="00FD5E16"/>
    <w:rsid w:val="00FD6941"/>
    <w:rsid w:val="00FD6C60"/>
    <w:rsid w:val="00FD6FE2"/>
    <w:rsid w:val="00FD734B"/>
    <w:rsid w:val="00FD74CB"/>
    <w:rsid w:val="00FD7543"/>
    <w:rsid w:val="00FD787F"/>
    <w:rsid w:val="00FD7BF5"/>
    <w:rsid w:val="00FD7F1A"/>
    <w:rsid w:val="00FE036E"/>
    <w:rsid w:val="00FE08C7"/>
    <w:rsid w:val="00FE0ED5"/>
    <w:rsid w:val="00FE132E"/>
    <w:rsid w:val="00FE185C"/>
    <w:rsid w:val="00FE19C4"/>
    <w:rsid w:val="00FE3216"/>
    <w:rsid w:val="00FE3257"/>
    <w:rsid w:val="00FE3C5F"/>
    <w:rsid w:val="00FE401B"/>
    <w:rsid w:val="00FE41CC"/>
    <w:rsid w:val="00FE4705"/>
    <w:rsid w:val="00FE4853"/>
    <w:rsid w:val="00FE4C45"/>
    <w:rsid w:val="00FE5202"/>
    <w:rsid w:val="00FE557C"/>
    <w:rsid w:val="00FE7427"/>
    <w:rsid w:val="00FF0B33"/>
    <w:rsid w:val="00FF0B6A"/>
    <w:rsid w:val="00FF0B91"/>
    <w:rsid w:val="00FF0BE1"/>
    <w:rsid w:val="00FF0C88"/>
    <w:rsid w:val="00FF218F"/>
    <w:rsid w:val="00FF3F3A"/>
    <w:rsid w:val="00FF401F"/>
    <w:rsid w:val="00FF4722"/>
    <w:rsid w:val="00FF4C3A"/>
    <w:rsid w:val="00FF54AA"/>
    <w:rsid w:val="00FF5507"/>
    <w:rsid w:val="00FF57C5"/>
    <w:rsid w:val="00FF62F4"/>
    <w:rsid w:val="00FF6519"/>
    <w:rsid w:val="00FF6D02"/>
    <w:rsid w:val="00FF7E5C"/>
    <w:rsid w:val="00FF7F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71CB0"/>
  <w15:docId w15:val="{B0AFD50E-F9A1-4C55-81C7-B221284B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DFF"/>
    <w:pPr>
      <w:tabs>
        <w:tab w:val="left" w:pos="567"/>
      </w:tabs>
    </w:pPr>
    <w:rPr>
      <w:rFonts w:eastAsia="Times New Roman"/>
      <w:sz w:val="22"/>
      <w:lang w:val="en-GB"/>
    </w:rPr>
  </w:style>
  <w:style w:type="paragraph" w:styleId="Heading1">
    <w:name w:val="heading 1"/>
    <w:basedOn w:val="Normal"/>
    <w:next w:val="Normal"/>
    <w:link w:val="Heading1Char"/>
    <w:qFormat/>
    <w:rsid w:val="00EE3DF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060C86"/>
    <w:pPr>
      <w:keepNext/>
      <w:keepLines/>
      <w:spacing w:before="40"/>
      <w:outlineLvl w:val="2"/>
    </w:pPr>
    <w:rPr>
      <w:rFonts w:ascii="Calibri Light" w:eastAsia="MS Gothic" w:hAnsi="Calibri Light"/>
      <w:color w:val="1F4D78"/>
      <w:sz w:val="24"/>
      <w:szCs w:val="24"/>
    </w:rPr>
  </w:style>
  <w:style w:type="paragraph" w:styleId="Heading4">
    <w:name w:val="heading 4"/>
    <w:basedOn w:val="Normal"/>
    <w:next w:val="Normal"/>
    <w:link w:val="Heading4Char"/>
    <w:semiHidden/>
    <w:unhideWhenUsed/>
    <w:qFormat/>
    <w:rsid w:val="00060C86"/>
    <w:pPr>
      <w:keepNext/>
      <w:keepLines/>
      <w:spacing w:before="40"/>
      <w:outlineLvl w:val="3"/>
    </w:pPr>
    <w:rPr>
      <w:rFonts w:ascii="Calibri Light" w:eastAsia="MS Gothic" w:hAnsi="Calibri Light"/>
      <w:i/>
      <w:iCs/>
      <w:color w:val="2E74B5"/>
    </w:rPr>
  </w:style>
  <w:style w:type="paragraph" w:styleId="Heading5">
    <w:name w:val="heading 5"/>
    <w:basedOn w:val="Normal"/>
    <w:next w:val="Normal"/>
    <w:link w:val="Heading5Char"/>
    <w:semiHidden/>
    <w:unhideWhenUsed/>
    <w:qFormat/>
    <w:rsid w:val="00060C86"/>
    <w:pPr>
      <w:keepNext/>
      <w:keepLines/>
      <w:spacing w:before="40"/>
      <w:outlineLvl w:val="4"/>
    </w:pPr>
    <w:rPr>
      <w:rFonts w:ascii="Calibri Light" w:eastAsia="MS Gothic" w:hAnsi="Calibri Light"/>
      <w:color w:val="2E74B5"/>
    </w:rPr>
  </w:style>
  <w:style w:type="paragraph" w:styleId="Heading6">
    <w:name w:val="heading 6"/>
    <w:basedOn w:val="Normal"/>
    <w:next w:val="Normal"/>
    <w:link w:val="Heading6Char"/>
    <w:semiHidden/>
    <w:unhideWhenUsed/>
    <w:qFormat/>
    <w:rsid w:val="00060C86"/>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7E38"/>
    <w:pPr>
      <w:tabs>
        <w:tab w:val="center" w:pos="4536"/>
        <w:tab w:val="right" w:pos="8306"/>
      </w:tabs>
    </w:pPr>
    <w:rPr>
      <w:rFonts w:ascii="Arial" w:hAnsi="Arial"/>
      <w:noProof/>
      <w:sz w:val="16"/>
    </w:rPr>
  </w:style>
  <w:style w:type="paragraph" w:styleId="Header">
    <w:name w:val="header"/>
    <w:basedOn w:val="Normal"/>
    <w:rsid w:val="009F7E38"/>
    <w:pPr>
      <w:tabs>
        <w:tab w:val="center" w:pos="4153"/>
        <w:tab w:val="right" w:pos="8306"/>
      </w:tabs>
    </w:pPr>
    <w:rPr>
      <w:rFonts w:ascii="Arial" w:hAnsi="Arial"/>
      <w:sz w:val="20"/>
    </w:rPr>
  </w:style>
  <w:style w:type="paragraph" w:customStyle="1" w:styleId="MemoHeaderStyle">
    <w:name w:val="MemoHeaderStyle"/>
    <w:basedOn w:val="Normal"/>
    <w:next w:val="Normal"/>
    <w:rsid w:val="009F7E38"/>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iberation Serif" w:hAnsi="Liberation Serif"/>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table" w:styleId="TableGrid">
    <w:name w:val="Table Grid"/>
    <w:basedOn w:val="TableNormal"/>
    <w:rsid w:val="0072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E72"/>
    <w:pPr>
      <w:autoSpaceDE w:val="0"/>
      <w:autoSpaceDN w:val="0"/>
      <w:adjustRightInd w:val="0"/>
    </w:pPr>
    <w:rPr>
      <w:color w:val="000000"/>
      <w:sz w:val="24"/>
      <w:szCs w:val="24"/>
      <w:lang w:val="en-GB" w:eastAsia="en-GB"/>
    </w:rPr>
  </w:style>
  <w:style w:type="paragraph" w:styleId="NormalIndent">
    <w:name w:val="Normal Indent"/>
    <w:basedOn w:val="Normal"/>
    <w:uiPriority w:val="99"/>
    <w:rsid w:val="002B4EE7"/>
    <w:pPr>
      <w:tabs>
        <w:tab w:val="clear" w:pos="567"/>
      </w:tabs>
      <w:ind w:left="1134"/>
    </w:pPr>
  </w:style>
  <w:style w:type="paragraph" w:customStyle="1" w:styleId="SPCHeading2">
    <w:name w:val="SPC_Heading2"/>
    <w:basedOn w:val="Normal"/>
    <w:rsid w:val="00F77DC3"/>
    <w:pPr>
      <w:keepNext/>
      <w:tabs>
        <w:tab w:val="clear" w:pos="567"/>
      </w:tabs>
      <w:ind w:left="567" w:hanging="567"/>
    </w:pPr>
    <w:rPr>
      <w:b/>
    </w:rPr>
  </w:style>
  <w:style w:type="paragraph" w:styleId="ListParagraph">
    <w:name w:val="List Paragraph"/>
    <w:basedOn w:val="Normal"/>
    <w:uiPriority w:val="34"/>
    <w:qFormat/>
    <w:rsid w:val="00F77DC3"/>
    <w:pPr>
      <w:tabs>
        <w:tab w:val="clear" w:pos="567"/>
      </w:tabs>
      <w:spacing w:line="240" w:lineRule="atLeast"/>
      <w:ind w:left="720"/>
      <w:contextualSpacing/>
    </w:pPr>
    <w:rPr>
      <w:rFonts w:eastAsia="Calibri"/>
      <w:szCs w:val="22"/>
    </w:rPr>
  </w:style>
  <w:style w:type="paragraph" w:customStyle="1" w:styleId="TableParagraph">
    <w:name w:val="Table Paragraph"/>
    <w:basedOn w:val="Normal"/>
    <w:uiPriority w:val="1"/>
    <w:qFormat/>
    <w:rsid w:val="002D29E9"/>
    <w:pPr>
      <w:tabs>
        <w:tab w:val="clear" w:pos="567"/>
      </w:tabs>
      <w:autoSpaceDE w:val="0"/>
      <w:autoSpaceDN w:val="0"/>
      <w:adjustRightInd w:val="0"/>
    </w:pPr>
    <w:rPr>
      <w:rFonts w:eastAsia="SimSun"/>
      <w:sz w:val="24"/>
      <w:szCs w:val="24"/>
      <w:lang w:eastAsia="en-GB"/>
    </w:rPr>
  </w:style>
  <w:style w:type="paragraph" w:styleId="NormalWeb">
    <w:name w:val="Normal (Web)"/>
    <w:basedOn w:val="Normal"/>
    <w:uiPriority w:val="99"/>
    <w:unhideWhenUsed/>
    <w:rsid w:val="00ED6798"/>
    <w:pPr>
      <w:tabs>
        <w:tab w:val="clear" w:pos="567"/>
      </w:tabs>
      <w:spacing w:before="100" w:beforeAutospacing="1" w:after="100" w:afterAutospacing="1"/>
    </w:pPr>
    <w:rPr>
      <w:sz w:val="24"/>
      <w:szCs w:val="24"/>
      <w:lang w:eastAsia="en-GB"/>
    </w:rPr>
  </w:style>
  <w:style w:type="character" w:customStyle="1" w:styleId="Heading1Char">
    <w:name w:val="Heading 1 Char"/>
    <w:link w:val="Heading1"/>
    <w:rsid w:val="00EE3DF4"/>
    <w:rPr>
      <w:rFonts w:ascii="Calibri Light" w:eastAsia="Times New Roman" w:hAnsi="Calibri Light" w:cs="Times New Roman"/>
      <w:b/>
      <w:bCs/>
      <w:kern w:val="32"/>
      <w:sz w:val="32"/>
      <w:szCs w:val="32"/>
      <w:lang w:eastAsia="en-US"/>
    </w:rPr>
  </w:style>
  <w:style w:type="paragraph" w:customStyle="1" w:styleId="SPCHeading1">
    <w:name w:val="SPC_Heading1"/>
    <w:basedOn w:val="Normal"/>
    <w:rsid w:val="00F61250"/>
    <w:pPr>
      <w:keepNext/>
      <w:tabs>
        <w:tab w:val="clear" w:pos="567"/>
      </w:tabs>
      <w:ind w:left="567" w:hanging="567"/>
    </w:pPr>
    <w:rPr>
      <w:b/>
      <w:caps/>
    </w:rPr>
  </w:style>
  <w:style w:type="paragraph" w:styleId="Revision">
    <w:name w:val="Revision"/>
    <w:hidden/>
    <w:uiPriority w:val="99"/>
    <w:semiHidden/>
    <w:rsid w:val="00B85DB3"/>
    <w:rPr>
      <w:rFonts w:eastAsia="Times New Roman"/>
      <w:sz w:val="22"/>
      <w:lang w:val="en-GB"/>
    </w:rPr>
  </w:style>
  <w:style w:type="paragraph" w:styleId="Caption">
    <w:name w:val="caption"/>
    <w:aliases w:val="Alexion Caption,Bayer Caption,Caption Char Char Char Char,Caption Char Char Char Char Char Char,Caption Char1 Char Char,Caption Char1 Char Char Char Char,Caption Char2 Char,Char,IOT,L?gende_Legend,Légende_Legend,Table Caption,c,wcp_Caption"/>
    <w:basedOn w:val="BodyText"/>
    <w:next w:val="BodyText"/>
    <w:link w:val="CaptionChar"/>
    <w:qFormat/>
    <w:rsid w:val="009F58D9"/>
    <w:pPr>
      <w:keepNext/>
      <w:keepLines/>
      <w:tabs>
        <w:tab w:val="left" w:pos="2016"/>
      </w:tabs>
      <w:spacing w:before="240" w:after="240"/>
      <w:ind w:left="851" w:hanging="851"/>
      <w:jc w:val="both"/>
    </w:pPr>
    <w:rPr>
      <w:rFonts w:eastAsia="Calibri"/>
      <w:b/>
      <w:i w:val="0"/>
      <w:color w:val="auto"/>
      <w:sz w:val="24"/>
      <w:szCs w:val="22"/>
    </w:rPr>
  </w:style>
  <w:style w:type="character" w:customStyle="1" w:styleId="CaptionChar">
    <w:name w:val="Caption Char"/>
    <w:aliases w:val="Alexion Caption Char,Bayer Caption Char,Caption Char Char Char Char Char,Caption Char Char Char Char Char Char Char,Caption Char1 Char Char Char,Caption Char1 Char Char Char Char Char,Caption Char2 Char Char,Char Char,IOT Char,c Char"/>
    <w:link w:val="Caption"/>
    <w:locked/>
    <w:rsid w:val="009F58D9"/>
    <w:rPr>
      <w:rFonts w:eastAsia="Calibri" w:cs="Times New Roman"/>
      <w:b/>
      <w:sz w:val="24"/>
      <w:szCs w:val="22"/>
      <w:lang w:eastAsia="en-US"/>
    </w:rPr>
  </w:style>
  <w:style w:type="paragraph" w:styleId="FootnoteText">
    <w:name w:val="footnote text"/>
    <w:basedOn w:val="Normal"/>
    <w:link w:val="FootnoteTextChar"/>
    <w:uiPriority w:val="99"/>
    <w:unhideWhenUsed/>
    <w:rsid w:val="00DD6612"/>
    <w:pPr>
      <w:tabs>
        <w:tab w:val="clear" w:pos="567"/>
      </w:tabs>
    </w:pPr>
    <w:rPr>
      <w:rFonts w:eastAsia="Calibri"/>
      <w:sz w:val="20"/>
    </w:rPr>
  </w:style>
  <w:style w:type="character" w:customStyle="1" w:styleId="FootnoteTextChar">
    <w:name w:val="Footnote Text Char"/>
    <w:link w:val="FootnoteText"/>
    <w:uiPriority w:val="99"/>
    <w:rsid w:val="00DD6612"/>
    <w:rPr>
      <w:rFonts w:eastAsia="Calibri" w:cs="Times New Roman"/>
      <w:lang w:eastAsia="en-US"/>
    </w:rPr>
  </w:style>
  <w:style w:type="character" w:styleId="FootnoteReference">
    <w:name w:val="footnote reference"/>
    <w:unhideWhenUsed/>
    <w:rsid w:val="00DD6612"/>
    <w:rPr>
      <w:vertAlign w:val="superscript"/>
    </w:rPr>
  </w:style>
  <w:style w:type="character" w:customStyle="1" w:styleId="Heading4Char">
    <w:name w:val="Heading 4 Char"/>
    <w:link w:val="Heading4"/>
    <w:semiHidden/>
    <w:rsid w:val="00C72013"/>
    <w:rPr>
      <w:rFonts w:ascii="Calibri Light" w:eastAsia="MS Gothic" w:hAnsi="Calibri Light" w:cs="Times New Roman"/>
      <w:i/>
      <w:iCs/>
      <w:color w:val="2E74B5"/>
      <w:sz w:val="22"/>
      <w:lang w:eastAsia="en-US"/>
    </w:rPr>
  </w:style>
  <w:style w:type="table" w:customStyle="1" w:styleId="TableGrid8">
    <w:name w:val="Table Grid8"/>
    <w:basedOn w:val="TableNormal"/>
    <w:next w:val="TableGrid"/>
    <w:uiPriority w:val="39"/>
    <w:rsid w:val="00DE3FE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3Char">
    <w:name w:val="Heading 3 Char"/>
    <w:link w:val="Heading3"/>
    <w:semiHidden/>
    <w:rsid w:val="00A95C6C"/>
    <w:rPr>
      <w:rFonts w:ascii="Calibri Light" w:eastAsia="MS Gothic" w:hAnsi="Calibri Light" w:cs="Times New Roman"/>
      <w:color w:val="1F4D78"/>
      <w:sz w:val="24"/>
      <w:szCs w:val="24"/>
      <w:lang w:eastAsia="en-US"/>
    </w:rPr>
  </w:style>
  <w:style w:type="character" w:customStyle="1" w:styleId="Heading5Char">
    <w:name w:val="Heading 5 Char"/>
    <w:link w:val="Heading5"/>
    <w:semiHidden/>
    <w:rsid w:val="00B107C3"/>
    <w:rPr>
      <w:rFonts w:ascii="Calibri Light" w:eastAsia="MS Gothic" w:hAnsi="Calibri Light" w:cs="Times New Roman"/>
      <w:color w:val="2E74B5"/>
      <w:sz w:val="22"/>
      <w:lang w:eastAsia="en-US"/>
    </w:rPr>
  </w:style>
  <w:style w:type="paragraph" w:customStyle="1" w:styleId="Tabletext">
    <w:name w:val="Table text"/>
    <w:basedOn w:val="BodyText"/>
    <w:link w:val="TabletextZchn"/>
    <w:qFormat/>
    <w:rsid w:val="009562E2"/>
    <w:pPr>
      <w:keepLines/>
      <w:spacing w:before="40" w:after="40"/>
      <w:jc w:val="both"/>
    </w:pPr>
    <w:rPr>
      <w:rFonts w:ascii="Arial" w:eastAsia="Calibri" w:hAnsi="Arial"/>
      <w:i w:val="0"/>
      <w:color w:val="auto"/>
      <w:sz w:val="18"/>
      <w:szCs w:val="22"/>
    </w:rPr>
  </w:style>
  <w:style w:type="character" w:customStyle="1" w:styleId="TabletextZchn">
    <w:name w:val="Table text Zchn"/>
    <w:link w:val="Tabletext"/>
    <w:locked/>
    <w:rsid w:val="009562E2"/>
    <w:rPr>
      <w:rFonts w:ascii="Arial" w:eastAsia="Calibri" w:hAnsi="Arial" w:cs="Times New Roman"/>
      <w:sz w:val="18"/>
      <w:szCs w:val="22"/>
      <w:lang w:eastAsia="en-US"/>
    </w:rPr>
  </w:style>
  <w:style w:type="character" w:styleId="FollowedHyperlink">
    <w:name w:val="FollowedHyperlink"/>
    <w:rsid w:val="00060C86"/>
    <w:rPr>
      <w:color w:val="954F72"/>
      <w:u w:val="single"/>
    </w:rPr>
  </w:style>
  <w:style w:type="paragraph" w:styleId="ListBullet">
    <w:name w:val="List Bullet"/>
    <w:basedOn w:val="Normal"/>
    <w:rsid w:val="005660CD"/>
    <w:pPr>
      <w:tabs>
        <w:tab w:val="num" w:pos="360"/>
      </w:tabs>
      <w:ind w:left="360" w:hanging="360"/>
      <w:contextualSpacing/>
    </w:pPr>
  </w:style>
  <w:style w:type="paragraph" w:customStyle="1" w:styleId="Tableheading">
    <w:name w:val="Table heading"/>
    <w:basedOn w:val="Tabletext"/>
    <w:link w:val="TableheadingChar"/>
    <w:qFormat/>
    <w:rsid w:val="00732300"/>
    <w:pPr>
      <w:keepNext/>
      <w:spacing w:before="80" w:after="80"/>
      <w:jc w:val="center"/>
    </w:pPr>
    <w:rPr>
      <w:b/>
    </w:rPr>
  </w:style>
  <w:style w:type="character" w:customStyle="1" w:styleId="TableheadingChar">
    <w:name w:val="Table heading Char"/>
    <w:link w:val="Tableheading"/>
    <w:locked/>
    <w:rsid w:val="00732300"/>
    <w:rPr>
      <w:rFonts w:ascii="Arial" w:eastAsia="Calibri" w:hAnsi="Arial" w:cs="Times New Roman"/>
      <w:b/>
      <w:sz w:val="18"/>
      <w:szCs w:val="22"/>
      <w:lang w:eastAsia="en-US"/>
    </w:rPr>
  </w:style>
  <w:style w:type="paragraph" w:customStyle="1" w:styleId="Formatmall1">
    <w:name w:val="Formatmall1"/>
    <w:basedOn w:val="ListParagraph"/>
    <w:qFormat/>
    <w:rsid w:val="00BA43A5"/>
    <w:pPr>
      <w:numPr>
        <w:numId w:val="6"/>
      </w:numPr>
      <w:spacing w:after="140" w:line="280" w:lineRule="atLeast"/>
      <w:contextualSpacing w:val="0"/>
      <w:jc w:val="both"/>
    </w:pPr>
    <w:rPr>
      <w:rFonts w:ascii="Verdana" w:eastAsia="Times New Roman" w:hAnsi="Verdana" w:cs="Verdana"/>
      <w:sz w:val="18"/>
      <w:szCs w:val="18"/>
      <w:lang w:bidi="en-US"/>
    </w:rPr>
  </w:style>
  <w:style w:type="paragraph" w:styleId="TableofFigures">
    <w:name w:val="table of figures"/>
    <w:basedOn w:val="TOC1"/>
    <w:next w:val="BodyText"/>
    <w:semiHidden/>
    <w:rsid w:val="002F10E7"/>
    <w:pPr>
      <w:tabs>
        <w:tab w:val="left" w:pos="1872"/>
        <w:tab w:val="right" w:leader="dot" w:pos="8640"/>
      </w:tabs>
      <w:spacing w:before="120" w:after="0"/>
      <w:ind w:left="1872" w:right="1080" w:hanging="1872"/>
    </w:pPr>
    <w:rPr>
      <w:noProof/>
      <w:sz w:val="24"/>
      <w:lang w:val="en-US"/>
    </w:rPr>
  </w:style>
  <w:style w:type="paragraph" w:styleId="TOC1">
    <w:name w:val="toc 1"/>
    <w:basedOn w:val="Normal"/>
    <w:next w:val="Normal"/>
    <w:autoRedefine/>
    <w:semiHidden/>
    <w:unhideWhenUsed/>
    <w:rsid w:val="002F10E7"/>
    <w:pPr>
      <w:tabs>
        <w:tab w:val="clear" w:pos="567"/>
      </w:tabs>
      <w:spacing w:after="100"/>
    </w:pPr>
  </w:style>
  <w:style w:type="paragraph" w:customStyle="1" w:styleId="Bodytext-keepwithnext">
    <w:name w:val="Body text - keep with next"/>
    <w:basedOn w:val="BodyText"/>
    <w:next w:val="BodyText"/>
    <w:rsid w:val="00681209"/>
    <w:pPr>
      <w:keepNext/>
      <w:spacing w:before="240"/>
      <w:jc w:val="both"/>
    </w:pPr>
    <w:rPr>
      <w:i w:val="0"/>
      <w:color w:val="auto"/>
      <w:sz w:val="24"/>
      <w:lang w:val="en-US"/>
    </w:rPr>
  </w:style>
  <w:style w:type="paragraph" w:customStyle="1" w:styleId="List1withoutbullet">
    <w:name w:val="List 1 without bullet"/>
    <w:basedOn w:val="BodyText"/>
    <w:next w:val="BodyText"/>
    <w:rsid w:val="00DC5410"/>
    <w:pPr>
      <w:tabs>
        <w:tab w:val="left" w:pos="284"/>
      </w:tabs>
      <w:spacing w:before="120"/>
      <w:ind w:left="284"/>
      <w:jc w:val="both"/>
    </w:pPr>
    <w:rPr>
      <w:i w:val="0"/>
      <w:color w:val="auto"/>
      <w:sz w:val="24"/>
      <w:lang w:val="en-US"/>
    </w:rPr>
  </w:style>
  <w:style w:type="character" w:customStyle="1" w:styleId="BalloonTextChar">
    <w:name w:val="Balloon Text Char"/>
    <w:link w:val="BalloonText"/>
    <w:semiHidden/>
    <w:rsid w:val="00D321FF"/>
    <w:rPr>
      <w:rFonts w:ascii="Tahoma" w:eastAsia="Times New Roman" w:hAnsi="Tahoma" w:cs="Tahoma"/>
      <w:sz w:val="16"/>
      <w:szCs w:val="16"/>
      <w:lang w:eastAsia="en-US"/>
    </w:rPr>
  </w:style>
  <w:style w:type="paragraph" w:styleId="TOC7">
    <w:name w:val="toc 7"/>
    <w:basedOn w:val="Normal"/>
    <w:next w:val="Normal"/>
    <w:semiHidden/>
    <w:rsid w:val="00D321FF"/>
    <w:pPr>
      <w:tabs>
        <w:tab w:val="clear" w:pos="567"/>
      </w:tabs>
      <w:spacing w:before="240"/>
      <w:ind w:left="1440"/>
      <w:jc w:val="both"/>
    </w:pPr>
    <w:rPr>
      <w:rFonts w:ascii="Symbol" w:hAnsi="Symbol"/>
      <w:color w:val="00FF00"/>
      <w:sz w:val="24"/>
      <w:lang w:val="en-US"/>
    </w:rPr>
  </w:style>
  <w:style w:type="paragraph" w:customStyle="1" w:styleId="Heading1unnumbered">
    <w:name w:val="Heading 1 unnumbered"/>
    <w:basedOn w:val="Heading1"/>
    <w:next w:val="BodyText"/>
    <w:rsid w:val="0086039A"/>
    <w:pPr>
      <w:keepLines/>
      <w:tabs>
        <w:tab w:val="clear" w:pos="567"/>
      </w:tabs>
      <w:spacing w:after="0"/>
      <w:jc w:val="both"/>
    </w:pPr>
    <w:rPr>
      <w:rFonts w:ascii="Times New Roman" w:hAnsi="Times New Roman"/>
      <w:bCs w:val="0"/>
      <w:kern w:val="0"/>
      <w:sz w:val="28"/>
      <w:szCs w:val="20"/>
      <w:lang w:val="en-US"/>
    </w:rPr>
  </w:style>
  <w:style w:type="character" w:customStyle="1" w:styleId="aComments">
    <w:name w:val="a_Comments"/>
    <w:rsid w:val="0086039A"/>
    <w:rPr>
      <w:rFonts w:ascii="Arial" w:hAnsi="Arial"/>
      <w:i/>
      <w:color w:val="FF0000"/>
      <w:sz w:val="24"/>
    </w:rPr>
  </w:style>
  <w:style w:type="character" w:customStyle="1" w:styleId="Heading6Char">
    <w:name w:val="Heading 6 Char"/>
    <w:link w:val="Heading6"/>
    <w:semiHidden/>
    <w:rsid w:val="00060C86"/>
    <w:rPr>
      <w:rFonts w:ascii="Calibri" w:eastAsia="Times New Roman" w:hAnsi="Calibri"/>
      <w:b/>
      <w:bCs/>
      <w:sz w:val="22"/>
      <w:szCs w:val="22"/>
      <w:lang w:eastAsia="en-US"/>
    </w:rPr>
  </w:style>
  <w:style w:type="paragraph" w:customStyle="1" w:styleId="BodytextEMA">
    <w:name w:val="Body text (EMA)"/>
    <w:basedOn w:val="Normal"/>
    <w:rsid w:val="000E001A"/>
    <w:pPr>
      <w:tabs>
        <w:tab w:val="clear" w:pos="567"/>
      </w:tabs>
      <w:spacing w:after="140" w:line="280" w:lineRule="atLeast"/>
    </w:pPr>
    <w:rPr>
      <w:rFonts w:ascii="Verdana" w:hAnsi="Verdana"/>
      <w:sz w:val="18"/>
      <w:szCs w:val="18"/>
      <w:lang w:eastAsia="en-GB"/>
    </w:rPr>
  </w:style>
  <w:style w:type="character" w:customStyle="1" w:styleId="No-numheading3AgencyChar">
    <w:name w:val="No-num heading 3 (Agency) Char"/>
    <w:link w:val="No-numheading3Agency"/>
    <w:locked/>
    <w:rsid w:val="00C4524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C45249"/>
    <w:pPr>
      <w:keepNext/>
      <w:tabs>
        <w:tab w:val="clear" w:pos="567"/>
      </w:tabs>
      <w:spacing w:before="280" w:after="220"/>
      <w:outlineLvl w:val="2"/>
    </w:pPr>
    <w:rPr>
      <w:rFonts w:ascii="Verdana" w:eastAsia="Verdana" w:hAnsi="Verdana" w:cs="Arial"/>
      <w:b/>
      <w:bCs/>
      <w:kern w:val="32"/>
      <w:szCs w:val="22"/>
      <w:lang w:val="de-DE" w:eastAsia="de-DE"/>
    </w:rPr>
  </w:style>
  <w:style w:type="paragraph" w:customStyle="1" w:styleId="first">
    <w:name w:val="first"/>
    <w:basedOn w:val="Normal"/>
    <w:rsid w:val="00945B2E"/>
    <w:pPr>
      <w:tabs>
        <w:tab w:val="clear" w:pos="567"/>
      </w:tabs>
      <w:spacing w:before="100" w:beforeAutospacing="1" w:after="100" w:afterAutospacing="1"/>
    </w:pPr>
    <w:rPr>
      <w:sz w:val="24"/>
      <w:szCs w:val="24"/>
      <w:lang w:eastAsia="en-GB"/>
    </w:rPr>
  </w:style>
  <w:style w:type="character" w:customStyle="1" w:styleId="BlueText">
    <w:name w:val="Blue Text"/>
    <w:rsid w:val="005E38EB"/>
    <w:rPr>
      <w:color w:val="0000FF"/>
    </w:rPr>
  </w:style>
  <w:style w:type="paragraph" w:customStyle="1" w:styleId="Paragraph">
    <w:name w:val="Paragraph"/>
    <w:link w:val="ParagraphChar"/>
    <w:qFormat/>
    <w:rsid w:val="00AC40F3"/>
    <w:pPr>
      <w:spacing w:after="240"/>
    </w:pPr>
    <w:rPr>
      <w:rFonts w:eastAsia="Times New Roman"/>
      <w:sz w:val="24"/>
      <w:szCs w:val="24"/>
    </w:rPr>
  </w:style>
  <w:style w:type="character" w:customStyle="1" w:styleId="ParagraphChar">
    <w:name w:val="Paragraph Char"/>
    <w:link w:val="Paragraph"/>
    <w:rsid w:val="00AC40F3"/>
    <w:rPr>
      <w:rFonts w:eastAsia="Times New Roman"/>
      <w:sz w:val="24"/>
      <w:szCs w:val="24"/>
      <w:lang w:val="en-US" w:eastAsia="en-US"/>
    </w:rPr>
  </w:style>
  <w:style w:type="character" w:customStyle="1" w:styleId="underline">
    <w:name w:val="underline"/>
    <w:rsid w:val="000C0C80"/>
  </w:style>
  <w:style w:type="paragraph" w:styleId="NoSpacing">
    <w:name w:val="No Spacing"/>
    <w:uiPriority w:val="1"/>
    <w:qFormat/>
    <w:rsid w:val="00B27CC7"/>
    <w:rPr>
      <w:rFonts w:eastAsia="Times New Roman"/>
      <w:sz w:val="24"/>
      <w:szCs w:val="24"/>
      <w:lang w:val="en-US"/>
    </w:rPr>
  </w:style>
  <w:style w:type="table" w:customStyle="1" w:styleId="TableGrid1">
    <w:name w:val="Table Grid1"/>
    <w:basedOn w:val="TableNormal"/>
    <w:next w:val="TableGrid"/>
    <w:rsid w:val="00BC737B"/>
    <w:rPr>
      <w:rFonts w:ascii="MT Extra" w:eastAsia="MT Extra" w:hAnsi="MT Extra" w:cs="MT Extra"/>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058">
      <w:bodyDiv w:val="1"/>
      <w:marLeft w:val="0"/>
      <w:marRight w:val="0"/>
      <w:marTop w:val="0"/>
      <w:marBottom w:val="0"/>
      <w:divBdr>
        <w:top w:val="none" w:sz="0" w:space="0" w:color="auto"/>
        <w:left w:val="none" w:sz="0" w:space="0" w:color="auto"/>
        <w:bottom w:val="none" w:sz="0" w:space="0" w:color="auto"/>
        <w:right w:val="none" w:sz="0" w:space="0" w:color="auto"/>
      </w:divBdr>
    </w:div>
    <w:div w:id="158236452">
      <w:bodyDiv w:val="1"/>
      <w:marLeft w:val="0"/>
      <w:marRight w:val="0"/>
      <w:marTop w:val="0"/>
      <w:marBottom w:val="0"/>
      <w:divBdr>
        <w:top w:val="none" w:sz="0" w:space="0" w:color="auto"/>
        <w:left w:val="none" w:sz="0" w:space="0" w:color="auto"/>
        <w:bottom w:val="none" w:sz="0" w:space="0" w:color="auto"/>
        <w:right w:val="none" w:sz="0" w:space="0" w:color="auto"/>
      </w:divBdr>
    </w:div>
    <w:div w:id="238439662">
      <w:bodyDiv w:val="1"/>
      <w:marLeft w:val="0"/>
      <w:marRight w:val="0"/>
      <w:marTop w:val="0"/>
      <w:marBottom w:val="0"/>
      <w:divBdr>
        <w:top w:val="none" w:sz="0" w:space="0" w:color="auto"/>
        <w:left w:val="none" w:sz="0" w:space="0" w:color="auto"/>
        <w:bottom w:val="none" w:sz="0" w:space="0" w:color="auto"/>
        <w:right w:val="none" w:sz="0" w:space="0" w:color="auto"/>
      </w:divBdr>
    </w:div>
    <w:div w:id="720447513">
      <w:bodyDiv w:val="1"/>
      <w:marLeft w:val="0"/>
      <w:marRight w:val="0"/>
      <w:marTop w:val="0"/>
      <w:marBottom w:val="0"/>
      <w:divBdr>
        <w:top w:val="none" w:sz="0" w:space="0" w:color="auto"/>
        <w:left w:val="none" w:sz="0" w:space="0" w:color="auto"/>
        <w:bottom w:val="none" w:sz="0" w:space="0" w:color="auto"/>
        <w:right w:val="none" w:sz="0" w:space="0" w:color="auto"/>
      </w:divBdr>
    </w:div>
    <w:div w:id="1272667095">
      <w:bodyDiv w:val="1"/>
      <w:marLeft w:val="0"/>
      <w:marRight w:val="0"/>
      <w:marTop w:val="0"/>
      <w:marBottom w:val="0"/>
      <w:divBdr>
        <w:top w:val="none" w:sz="0" w:space="0" w:color="auto"/>
        <w:left w:val="none" w:sz="0" w:space="0" w:color="auto"/>
        <w:bottom w:val="none" w:sz="0" w:space="0" w:color="auto"/>
        <w:right w:val="none" w:sz="0" w:space="0" w:color="auto"/>
      </w:divBdr>
    </w:div>
    <w:div w:id="1349520651">
      <w:bodyDiv w:val="1"/>
      <w:marLeft w:val="0"/>
      <w:marRight w:val="0"/>
      <w:marTop w:val="0"/>
      <w:marBottom w:val="0"/>
      <w:divBdr>
        <w:top w:val="none" w:sz="0" w:space="0" w:color="auto"/>
        <w:left w:val="none" w:sz="0" w:space="0" w:color="auto"/>
        <w:bottom w:val="none" w:sz="0" w:space="0" w:color="auto"/>
        <w:right w:val="none" w:sz="0" w:space="0" w:color="auto"/>
      </w:divBdr>
    </w:div>
    <w:div w:id="1523056672">
      <w:bodyDiv w:val="1"/>
      <w:marLeft w:val="0"/>
      <w:marRight w:val="0"/>
      <w:marTop w:val="0"/>
      <w:marBottom w:val="0"/>
      <w:divBdr>
        <w:top w:val="none" w:sz="0" w:space="0" w:color="auto"/>
        <w:left w:val="none" w:sz="0" w:space="0" w:color="auto"/>
        <w:bottom w:val="none" w:sz="0" w:space="0" w:color="auto"/>
        <w:right w:val="none" w:sz="0" w:space="0" w:color="auto"/>
      </w:divBdr>
    </w:div>
    <w:div w:id="1559709964">
      <w:bodyDiv w:val="1"/>
      <w:marLeft w:val="0"/>
      <w:marRight w:val="0"/>
      <w:marTop w:val="0"/>
      <w:marBottom w:val="0"/>
      <w:divBdr>
        <w:top w:val="none" w:sz="0" w:space="0" w:color="auto"/>
        <w:left w:val="none" w:sz="0" w:space="0" w:color="auto"/>
        <w:bottom w:val="none" w:sz="0" w:space="0" w:color="auto"/>
        <w:right w:val="none" w:sz="0" w:space="0" w:color="auto"/>
      </w:divBdr>
    </w:div>
    <w:div w:id="16056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yperlink" Target="https://primaryreporting.who-umc.org/ME"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0C62D6EE39942BD2979DD447DF487" ma:contentTypeVersion="0" ma:contentTypeDescription="Create a new document." ma:contentTypeScope="" ma:versionID="22adc43d121c1e825f257efa677649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D1C8B14A384F94D8DF6934A2740F322" ma:contentTypeVersion="4" ma:contentTypeDescription="Create a new document." ma:contentTypeScope="" ma:versionID="1d70f2a4524be616e8d9a3c1d302d2f5">
  <xsd:schema xmlns:xsd="http://www.w3.org/2001/XMLSchema" xmlns:xs="http://www.w3.org/2001/XMLSchema" xmlns:p="http://schemas.microsoft.com/office/2006/metadata/properties" xmlns:ns2="a71da03f-87ed-46c7-9cbf-317e5dcbe346" xmlns:ns3="dfb993cf-ba35-4c9a-bf74-e6a6ffc8659a" targetNamespace="http://schemas.microsoft.com/office/2006/metadata/properties" ma:root="true" ma:fieldsID="5c0ff279c63bbfd0c198b8dc83b6aa3a" ns2:_="" ns3:_="">
    <xsd:import namespace="a71da03f-87ed-46c7-9cbf-317e5dcbe346"/>
    <xsd:import namespace="dfb993cf-ba35-4c9a-bf74-e6a6ffc865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da03f-87ed-46c7-9cbf-317e5dcbe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993cf-ba35-4c9a-bf74-e6a6ffc86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298E9-9BCF-4123-9B20-A99DA7539E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FC0860-5749-49BB-BAE4-9BA9214C8698}">
  <ds:schemaRefs>
    <ds:schemaRef ds:uri="http://schemas.microsoft.com/sharepoint/v3/contenttype/forms"/>
  </ds:schemaRefs>
</ds:datastoreItem>
</file>

<file path=customXml/itemProps3.xml><?xml version="1.0" encoding="utf-8"?>
<ds:datastoreItem xmlns:ds="http://schemas.openxmlformats.org/officeDocument/2006/customXml" ds:itemID="{4AA8D307-0CA7-4E19-9475-5CE5B331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CF8B08-FBD5-4565-B285-F285EF02604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0D5C7E-3B35-4023-AEEA-7D0DDAAF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da03f-87ed-46c7-9cbf-317e5dcbe346"/>
    <ds:schemaRef ds:uri="dfb993cf-ba35-4c9a-bf74-e6a6ffc8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1C7825-D5E6-4305-BF95-712674EF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13213</Words>
  <Characters>75315</Characters>
  <Application>Microsoft Office Word</Application>
  <DocSecurity>0</DocSecurity>
  <Lines>627</Lines>
  <Paragraphs>176</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Titolo</vt:lpstr>
      </vt:variant>
      <vt:variant>
        <vt:i4>1</vt:i4>
      </vt:variant>
    </vt:vector>
  </HeadingPairs>
  <TitlesOfParts>
    <vt:vector size="4" baseType="lpstr">
      <vt:lpstr>Bavencio, INN-avelumab</vt:lpstr>
      <vt:lpstr>Bavencio, INN-avelumab</vt:lpstr>
      <vt:lpstr>EN Baven D140 Lab review with rapp and co-rapp comments</vt:lpstr>
      <vt:lpstr>EN Baven D140 Lab review</vt:lpstr>
    </vt:vector>
  </TitlesOfParts>
  <Company/>
  <LinksUpToDate>false</LinksUpToDate>
  <CharactersWithSpaces>88352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Bavencio, INN-avelumab</dc:title>
  <dc:subject>EPAR</dc:subject>
  <dc:creator>CHMP</dc:creator>
  <cp:keywords>Bavencio, INN-avelumab</cp:keywords>
  <cp:lastModifiedBy>Berina Ljuca</cp:lastModifiedBy>
  <cp:revision>6</cp:revision>
  <cp:lastPrinted>2018-06-08T15:46:00Z</cp:lastPrinted>
  <dcterms:created xsi:type="dcterms:W3CDTF">2024-12-20T13:07:00Z</dcterms:created>
  <dcterms:modified xsi:type="dcterms:W3CDTF">2024-12-24T13:48:00Z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0x0101003B90C62D6EE39942BD2979DD447DF487</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05/07/2017 15:14:49</vt:lpwstr>
  </property>
  <property fmtid="{D5CDD505-2E9C-101B-9397-08002B2CF9AE}" pid="6" name="DM_Creator_Name">
    <vt:lpwstr>Masarykova Jana</vt:lpwstr>
  </property>
  <property fmtid="{D5CDD505-2E9C-101B-9397-08002B2CF9AE}" pid="7" name="DM_DocRefId">
    <vt:lpwstr>EMA/430639/2017</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EMA/430639/2017</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Masarykova Jana</vt:lpwstr>
  </property>
  <property fmtid="{D5CDD505-2E9C-101B-9397-08002B2CF9AE}" pid="33" name="DM_Modified_Date">
    <vt:lpwstr>05/07/2017 15:14:49</vt:lpwstr>
  </property>
  <property fmtid="{D5CDD505-2E9C-101B-9397-08002B2CF9AE}" pid="34" name="DM_Modifier_Name">
    <vt:lpwstr>Masarykova Jana</vt:lpwstr>
  </property>
  <property fmtid="{D5CDD505-2E9C-101B-9397-08002B2CF9AE}" pid="35" name="DM_Modify_Date">
    <vt:lpwstr>05/07/2017 15:14:49</vt:lpwstr>
  </property>
  <property fmtid="{D5CDD505-2E9C-101B-9397-08002B2CF9AE}" pid="36" name="DM_Name">
    <vt:lpwstr>Bavencio (avelumab) PI</vt:lpwstr>
  </property>
  <property fmtid="{D5CDD505-2E9C-101B-9397-08002B2CF9AE}" pid="37" name="DM_Owner">
    <vt:lpwstr>Espinasse Claire</vt:lpwstr>
  </property>
  <property fmtid="{D5CDD505-2E9C-101B-9397-08002B2CF9AE}" pid="38" name="DM_Path">
    <vt:lpwstr>/01. Evaluation of Medicines/H-C/A-C/Bavencio (previously MSB0010718C) - 004338/03 Evaluation/Day 121- 210/04 CHMP-PRAC JAR (05.07.2017)</vt:lpwstr>
  </property>
  <property fmtid="{D5CDD505-2E9C-101B-9397-08002B2CF9AE}" pid="39" name="DM_Status">
    <vt:lpwstr/>
  </property>
  <property fmtid="{D5CDD505-2E9C-101B-9397-08002B2CF9AE}" pid="40" name="DM_Subject">
    <vt:lpwstr>General-EMA/423415/2010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CURRENT,1.0</vt:lpwstr>
  </property>
  <property fmtid="{D5CDD505-2E9C-101B-9397-08002B2CF9AE}" pid="44" name="Order">
    <vt:r8>200</vt:r8>
  </property>
  <property fmtid="{D5CDD505-2E9C-101B-9397-08002B2CF9AE}" pid="45" name="_CopySource">
    <vt:lpwstr>http://localhost/site/document</vt:lpwstr>
  </property>
</Properties>
</file>