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B14D5" w14:textId="77777777" w:rsidR="001A5518" w:rsidRPr="002128D6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C2B14D6" w14:textId="77777777" w:rsidR="00F91C7B" w:rsidRPr="002128D6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C2B14D7" w14:textId="77777777" w:rsidR="002510A5" w:rsidRPr="002128D6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2128D6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6C2B14D8" w14:textId="77777777" w:rsidR="002510A5" w:rsidRPr="002128D6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C2B14DB" w14:textId="77777777" w:rsidR="003C17AB" w:rsidRPr="002128D6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6C2B14DC" w14:textId="77777777" w:rsidR="00C37FD7" w:rsidRPr="002128D6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4DD" w14:textId="77777777" w:rsidR="00411B4B" w:rsidRPr="002128D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>1.</w:t>
      </w:r>
      <w:r w:rsidR="00F5167F" w:rsidRPr="002128D6">
        <w:rPr>
          <w:b/>
          <w:bCs/>
          <w:sz w:val="22"/>
          <w:szCs w:val="22"/>
          <w:lang w:val="sr-Latn-ME"/>
        </w:rPr>
        <w:tab/>
      </w:r>
      <w:r w:rsidR="002846DB" w:rsidRPr="002128D6">
        <w:rPr>
          <w:b/>
          <w:bCs/>
          <w:sz w:val="22"/>
          <w:szCs w:val="22"/>
          <w:lang w:val="sr-Latn-ME"/>
        </w:rPr>
        <w:t xml:space="preserve">NAZIV </w:t>
      </w:r>
      <w:r w:rsidRPr="002128D6">
        <w:rPr>
          <w:b/>
          <w:bCs/>
          <w:sz w:val="22"/>
          <w:szCs w:val="22"/>
          <w:lang w:val="sr-Latn-ME"/>
        </w:rPr>
        <w:t>LIJEKA</w:t>
      </w:r>
    </w:p>
    <w:p w14:paraId="6C2B14DE" w14:textId="77777777" w:rsidR="00EC2532" w:rsidRPr="002128D6" w:rsidRDefault="00EC2532">
      <w:pPr>
        <w:rPr>
          <w:sz w:val="22"/>
          <w:szCs w:val="22"/>
          <w:lang w:val="sr-Latn-ME"/>
        </w:rPr>
      </w:pPr>
    </w:p>
    <w:p w14:paraId="07F5EBC2" w14:textId="5EC99C29" w:rsidR="002A413F" w:rsidRPr="002128D6" w:rsidRDefault="002A413F" w:rsidP="002A413F">
      <w:pPr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Mycocur, 250 mg, tableta</w:t>
      </w:r>
    </w:p>
    <w:p w14:paraId="00623969" w14:textId="77777777" w:rsidR="002A413F" w:rsidRPr="002128D6" w:rsidRDefault="002A413F" w:rsidP="002A413F">
      <w:pPr>
        <w:rPr>
          <w:sz w:val="22"/>
          <w:szCs w:val="22"/>
          <w:lang w:val="sr-Latn-ME"/>
        </w:rPr>
      </w:pPr>
    </w:p>
    <w:p w14:paraId="6C2B14E2" w14:textId="53413301" w:rsidR="006D20A5" w:rsidRPr="002128D6" w:rsidRDefault="002A413F" w:rsidP="002A413F">
      <w:pPr>
        <w:rPr>
          <w:bCs/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INN: terbinafin</w:t>
      </w:r>
    </w:p>
    <w:p w14:paraId="6C2B14E3" w14:textId="477D1177" w:rsidR="00530BD7" w:rsidRPr="002128D6" w:rsidRDefault="00530BD7">
      <w:pPr>
        <w:rPr>
          <w:bCs/>
          <w:sz w:val="22"/>
          <w:szCs w:val="22"/>
          <w:lang w:val="sr-Latn-ME"/>
        </w:rPr>
      </w:pPr>
    </w:p>
    <w:p w14:paraId="2413DBC6" w14:textId="77777777" w:rsidR="00DF4DDC" w:rsidRPr="002128D6" w:rsidRDefault="00DF4DDC">
      <w:pPr>
        <w:rPr>
          <w:bCs/>
          <w:sz w:val="22"/>
          <w:szCs w:val="22"/>
          <w:lang w:val="sr-Latn-ME"/>
        </w:rPr>
      </w:pPr>
    </w:p>
    <w:p w14:paraId="6C2B14E4" w14:textId="77777777" w:rsidR="00411B4B" w:rsidRPr="002128D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2. </w:t>
      </w:r>
      <w:r w:rsidR="00F5167F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KVALITATIVNI I KVANTITATIVNI SASTAV</w:t>
      </w:r>
    </w:p>
    <w:p w14:paraId="6C2B14E5" w14:textId="77777777" w:rsidR="005A0B2E" w:rsidRPr="002128D6" w:rsidRDefault="005A0B2E">
      <w:pPr>
        <w:rPr>
          <w:sz w:val="22"/>
          <w:szCs w:val="22"/>
          <w:lang w:val="sr-Latn-ME"/>
        </w:rPr>
      </w:pPr>
    </w:p>
    <w:p w14:paraId="6F7FB74E" w14:textId="7778BCF0" w:rsidR="003569AF" w:rsidRPr="002128D6" w:rsidRDefault="003569AF">
      <w:pPr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Jedna tableta sadrži 250 mg terbinafina u obliku 281,25 mg terbinafin</w:t>
      </w:r>
      <w:r w:rsidR="00DF4DDC" w:rsidRPr="002128D6">
        <w:rPr>
          <w:sz w:val="22"/>
          <w:szCs w:val="22"/>
          <w:lang w:val="sr-Latn-ME"/>
        </w:rPr>
        <w:t xml:space="preserve"> </w:t>
      </w:r>
      <w:r w:rsidRPr="002128D6">
        <w:rPr>
          <w:sz w:val="22"/>
          <w:szCs w:val="22"/>
          <w:lang w:val="sr-Latn-ME"/>
        </w:rPr>
        <w:t>hidrohlorida.</w:t>
      </w:r>
    </w:p>
    <w:p w14:paraId="7C3C17A2" w14:textId="77777777" w:rsidR="003569AF" w:rsidRPr="002128D6" w:rsidRDefault="003569AF">
      <w:pPr>
        <w:rPr>
          <w:sz w:val="22"/>
          <w:szCs w:val="22"/>
          <w:lang w:val="sr-Latn-ME"/>
        </w:rPr>
      </w:pPr>
    </w:p>
    <w:p w14:paraId="6C2B14E6" w14:textId="11A82FBD" w:rsidR="0003793F" w:rsidRPr="002128D6" w:rsidRDefault="0003793F">
      <w:pPr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Za spisak svih ekscipijenasa, pogledati dio 6.1.</w:t>
      </w:r>
    </w:p>
    <w:p w14:paraId="6C2B14E7" w14:textId="77777777" w:rsidR="0003793F" w:rsidRPr="002128D6" w:rsidRDefault="0003793F">
      <w:pPr>
        <w:rPr>
          <w:sz w:val="22"/>
          <w:szCs w:val="22"/>
          <w:lang w:val="sr-Latn-ME"/>
        </w:rPr>
      </w:pPr>
    </w:p>
    <w:p w14:paraId="6C2B14E8" w14:textId="77777777" w:rsidR="00C37FD7" w:rsidRPr="002128D6" w:rsidRDefault="00C37FD7">
      <w:pPr>
        <w:rPr>
          <w:sz w:val="22"/>
          <w:szCs w:val="22"/>
          <w:lang w:val="sr-Latn-ME"/>
        </w:rPr>
      </w:pPr>
    </w:p>
    <w:p w14:paraId="6C2B14E9" w14:textId="77777777" w:rsidR="00411B4B" w:rsidRPr="002128D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3. </w:t>
      </w:r>
      <w:r w:rsidR="00F5167F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FARMACEUTSKI OBLIK</w:t>
      </w:r>
      <w:r w:rsidR="009F2D23" w:rsidRPr="002128D6">
        <w:rPr>
          <w:b/>
          <w:bCs/>
          <w:sz w:val="22"/>
          <w:szCs w:val="22"/>
          <w:lang w:val="sr-Latn-ME"/>
        </w:rPr>
        <w:t xml:space="preserve"> </w:t>
      </w:r>
    </w:p>
    <w:p w14:paraId="6C2B14EA" w14:textId="4BE58E27" w:rsidR="00411B4B" w:rsidRPr="002128D6" w:rsidRDefault="00411B4B">
      <w:pPr>
        <w:rPr>
          <w:bCs/>
          <w:sz w:val="22"/>
          <w:szCs w:val="22"/>
          <w:lang w:val="sr-Latn-ME"/>
        </w:rPr>
      </w:pPr>
    </w:p>
    <w:p w14:paraId="09CBD22A" w14:textId="77777777" w:rsidR="000949BF" w:rsidRPr="002128D6" w:rsidRDefault="000949BF" w:rsidP="000949BF">
      <w:pPr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Tableta.</w:t>
      </w:r>
    </w:p>
    <w:p w14:paraId="6B4A5A0A" w14:textId="77777777" w:rsidR="000949BF" w:rsidRPr="002128D6" w:rsidRDefault="000949BF" w:rsidP="000949BF">
      <w:pPr>
        <w:rPr>
          <w:bCs/>
          <w:sz w:val="22"/>
          <w:szCs w:val="22"/>
          <w:lang w:val="sr-Latn-ME"/>
        </w:rPr>
      </w:pPr>
    </w:p>
    <w:p w14:paraId="1E6D2819" w14:textId="5C0CA737" w:rsidR="000949BF" w:rsidRPr="002128D6" w:rsidRDefault="000949BF" w:rsidP="000949BF">
      <w:pPr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Okrugle tablete bijele boje, sa podionom crtom na jednoj strani.</w:t>
      </w:r>
    </w:p>
    <w:p w14:paraId="5CA8014D" w14:textId="77777777" w:rsidR="000949BF" w:rsidRPr="002128D6" w:rsidRDefault="000949BF" w:rsidP="000949BF">
      <w:pPr>
        <w:rPr>
          <w:bCs/>
          <w:sz w:val="22"/>
          <w:szCs w:val="22"/>
          <w:lang w:val="sr-Latn-ME"/>
        </w:rPr>
      </w:pPr>
    </w:p>
    <w:p w14:paraId="408B4024" w14:textId="61F3E406" w:rsidR="000949BF" w:rsidRPr="002128D6" w:rsidRDefault="000949BF" w:rsidP="000949BF">
      <w:pPr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Tableta se može pod</w:t>
      </w:r>
      <w:r w:rsidR="00357FF4" w:rsidRPr="002128D6">
        <w:rPr>
          <w:bCs/>
          <w:sz w:val="22"/>
          <w:szCs w:val="22"/>
          <w:lang w:val="sr-Latn-ME"/>
        </w:rPr>
        <w:t>ij</w:t>
      </w:r>
      <w:r w:rsidRPr="002128D6">
        <w:rPr>
          <w:bCs/>
          <w:sz w:val="22"/>
          <w:szCs w:val="22"/>
          <w:lang w:val="sr-Latn-ME"/>
        </w:rPr>
        <w:t>eliti na jednake doze.</w:t>
      </w:r>
    </w:p>
    <w:p w14:paraId="6C2B14EB" w14:textId="7B44F4E1" w:rsidR="00EC2532" w:rsidRPr="002128D6" w:rsidRDefault="00EC2532">
      <w:pPr>
        <w:rPr>
          <w:bCs/>
          <w:sz w:val="22"/>
          <w:szCs w:val="22"/>
          <w:lang w:val="sr-Latn-ME"/>
        </w:rPr>
      </w:pPr>
    </w:p>
    <w:p w14:paraId="1F735174" w14:textId="77777777" w:rsidR="00DF4DDC" w:rsidRPr="002128D6" w:rsidRDefault="00DF4DDC">
      <w:pPr>
        <w:rPr>
          <w:bCs/>
          <w:sz w:val="22"/>
          <w:szCs w:val="22"/>
          <w:lang w:val="sr-Latn-ME"/>
        </w:rPr>
      </w:pPr>
    </w:p>
    <w:p w14:paraId="6C2B14EC" w14:textId="77777777" w:rsidR="00411B4B" w:rsidRPr="002128D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4.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KLINIČKI PODACI</w:t>
      </w:r>
    </w:p>
    <w:p w14:paraId="6C2B14ED" w14:textId="77777777" w:rsidR="00CD6F02" w:rsidRPr="002128D6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4EE" w14:textId="77777777" w:rsidR="00411B4B" w:rsidRPr="002128D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4.1.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Terapijske indikacije</w:t>
      </w:r>
    </w:p>
    <w:p w14:paraId="6C2B14EF" w14:textId="323E1248" w:rsidR="00411B4B" w:rsidRPr="002128D6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20F2CC" w14:textId="77777777" w:rsidR="004A22E5" w:rsidRPr="002128D6" w:rsidRDefault="004A22E5" w:rsidP="004A22E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 xml:space="preserve">Gljivične infekcije kože i noktiju izazvane sojevima </w:t>
      </w:r>
      <w:r w:rsidRPr="002128D6">
        <w:rPr>
          <w:i/>
          <w:iCs/>
          <w:sz w:val="22"/>
          <w:szCs w:val="22"/>
          <w:lang w:val="sr-Latn-ME"/>
        </w:rPr>
        <w:t>Trichophyton</w:t>
      </w:r>
      <w:r w:rsidRPr="002128D6">
        <w:rPr>
          <w:sz w:val="22"/>
          <w:szCs w:val="22"/>
          <w:lang w:val="sr-Latn-ME"/>
        </w:rPr>
        <w:t xml:space="preserve"> (npr. </w:t>
      </w:r>
      <w:r w:rsidRPr="002128D6">
        <w:rPr>
          <w:i/>
          <w:iCs/>
          <w:sz w:val="22"/>
          <w:szCs w:val="22"/>
          <w:lang w:val="sr-Latn-ME"/>
        </w:rPr>
        <w:t>T.rubrum</w:t>
      </w:r>
      <w:r w:rsidRPr="002128D6">
        <w:rPr>
          <w:sz w:val="22"/>
          <w:szCs w:val="22"/>
          <w:lang w:val="sr-Latn-ME"/>
        </w:rPr>
        <w:t xml:space="preserve">, </w:t>
      </w:r>
      <w:r w:rsidRPr="002128D6">
        <w:rPr>
          <w:i/>
          <w:iCs/>
          <w:sz w:val="22"/>
          <w:szCs w:val="22"/>
          <w:lang w:val="sr-Latn-ME"/>
        </w:rPr>
        <w:t>T.mentagrophytes</w:t>
      </w:r>
      <w:r w:rsidRPr="002128D6">
        <w:rPr>
          <w:sz w:val="22"/>
          <w:szCs w:val="22"/>
          <w:lang w:val="sr-Latn-ME"/>
        </w:rPr>
        <w:t xml:space="preserve">, </w:t>
      </w:r>
      <w:r w:rsidRPr="002128D6">
        <w:rPr>
          <w:i/>
          <w:iCs/>
          <w:sz w:val="22"/>
          <w:szCs w:val="22"/>
          <w:lang w:val="sr-Latn-ME"/>
        </w:rPr>
        <w:t>T.verrucosum</w:t>
      </w:r>
      <w:r w:rsidRPr="002128D6">
        <w:rPr>
          <w:sz w:val="22"/>
          <w:szCs w:val="22"/>
          <w:lang w:val="sr-Latn-ME"/>
        </w:rPr>
        <w:t xml:space="preserve">, </w:t>
      </w:r>
      <w:r w:rsidRPr="002128D6">
        <w:rPr>
          <w:i/>
          <w:iCs/>
          <w:sz w:val="22"/>
          <w:szCs w:val="22"/>
          <w:lang w:val="sr-Latn-ME"/>
        </w:rPr>
        <w:t>T.violaceum</w:t>
      </w:r>
      <w:r w:rsidRPr="002128D6">
        <w:rPr>
          <w:sz w:val="22"/>
          <w:szCs w:val="22"/>
          <w:lang w:val="sr-Latn-ME"/>
        </w:rPr>
        <w:t xml:space="preserve">), </w:t>
      </w:r>
      <w:r w:rsidRPr="002128D6">
        <w:rPr>
          <w:i/>
          <w:iCs/>
          <w:sz w:val="22"/>
          <w:szCs w:val="22"/>
          <w:lang w:val="sr-Latn-ME"/>
        </w:rPr>
        <w:t>Microsporum canis</w:t>
      </w:r>
      <w:r w:rsidRPr="002128D6">
        <w:rPr>
          <w:sz w:val="22"/>
          <w:szCs w:val="22"/>
          <w:lang w:val="sr-Latn-ME"/>
        </w:rPr>
        <w:t xml:space="preserve"> i </w:t>
      </w:r>
      <w:r w:rsidRPr="002128D6">
        <w:rPr>
          <w:i/>
          <w:iCs/>
          <w:sz w:val="22"/>
          <w:szCs w:val="22"/>
          <w:lang w:val="sr-Latn-ME"/>
        </w:rPr>
        <w:t>Epidermophyton floccosum</w:t>
      </w:r>
      <w:r w:rsidRPr="002128D6">
        <w:rPr>
          <w:sz w:val="22"/>
          <w:szCs w:val="22"/>
          <w:lang w:val="sr-Latn-ME"/>
        </w:rPr>
        <w:t>.</w:t>
      </w:r>
    </w:p>
    <w:p w14:paraId="2D0F3F9F" w14:textId="77777777" w:rsidR="004A22E5" w:rsidRPr="002128D6" w:rsidRDefault="004A22E5" w:rsidP="004A22E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D08837D" w14:textId="28CD56BA" w:rsidR="004A22E5" w:rsidRPr="002128D6" w:rsidRDefault="004A22E5" w:rsidP="004A22E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1.</w:t>
      </w:r>
      <w:r w:rsidRPr="002128D6">
        <w:rPr>
          <w:sz w:val="22"/>
          <w:szCs w:val="22"/>
          <w:lang w:val="sr-Latn-ME"/>
        </w:rPr>
        <w:tab/>
        <w:t>L</w:t>
      </w:r>
      <w:r w:rsidR="00147856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 Myco</w:t>
      </w:r>
      <w:r w:rsidR="00147856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 xml:space="preserve"> je indikovan za l</w:t>
      </w:r>
      <w:r w:rsidR="00147856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ečenje tinee (</w:t>
      </w:r>
      <w:r w:rsidRPr="002128D6">
        <w:rPr>
          <w:i/>
          <w:sz w:val="22"/>
          <w:szCs w:val="22"/>
          <w:lang w:val="sr-Latn-ME"/>
        </w:rPr>
        <w:t>tinea corporis, tinea cruris i tinea pedis</w:t>
      </w:r>
      <w:r w:rsidRPr="002128D6">
        <w:rPr>
          <w:sz w:val="22"/>
          <w:szCs w:val="22"/>
          <w:lang w:val="sr-Latn-ME"/>
        </w:rPr>
        <w:t>) kada se oralna terapija smatra odgovarajućom usl</w:t>
      </w:r>
      <w:r w:rsidR="00337C1D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ed lokacije, težine ili stepena gljivične infekcije.</w:t>
      </w:r>
    </w:p>
    <w:p w14:paraId="0AA92C41" w14:textId="77777777" w:rsidR="004A22E5" w:rsidRPr="002128D6" w:rsidRDefault="004A22E5" w:rsidP="004A22E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71364ED" w14:textId="73D362C9" w:rsidR="004A22E5" w:rsidRPr="002128D6" w:rsidRDefault="004A22E5" w:rsidP="004A22E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2.</w:t>
      </w:r>
      <w:r w:rsidRPr="002128D6">
        <w:rPr>
          <w:sz w:val="22"/>
          <w:szCs w:val="22"/>
          <w:lang w:val="sr-Latn-ME"/>
        </w:rPr>
        <w:tab/>
        <w:t>L</w:t>
      </w:r>
      <w:r w:rsidR="00337C1D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 Myco</w:t>
      </w:r>
      <w:r w:rsidR="00337C1D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 xml:space="preserve"> je indikovan za l</w:t>
      </w:r>
      <w:r w:rsidR="00337C1D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ečenje onihomikoza.</w:t>
      </w:r>
    </w:p>
    <w:p w14:paraId="125011C0" w14:textId="24C5B211" w:rsidR="00890C34" w:rsidRPr="002128D6" w:rsidRDefault="00890C3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F4CFC4F" w14:textId="77777777" w:rsidR="00890C34" w:rsidRPr="002128D6" w:rsidRDefault="00890C3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4F0" w14:textId="77777777" w:rsidR="00411B4B" w:rsidRPr="002128D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4.2.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Doziranje i način primjene</w:t>
      </w:r>
    </w:p>
    <w:p w14:paraId="6C2B14F1" w14:textId="77777777" w:rsidR="0072020E" w:rsidRPr="002128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4F2" w14:textId="77777777" w:rsidR="00452E9D" w:rsidRPr="002128D6" w:rsidRDefault="00452E9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u w:val="single"/>
          <w:lang w:val="sr-Latn-ME"/>
        </w:rPr>
      </w:pPr>
      <w:r w:rsidRPr="002128D6">
        <w:rPr>
          <w:b/>
          <w:bCs/>
          <w:sz w:val="22"/>
          <w:szCs w:val="22"/>
          <w:u w:val="single"/>
          <w:lang w:val="sr-Latn-ME"/>
        </w:rPr>
        <w:t>Doziranje</w:t>
      </w:r>
    </w:p>
    <w:p w14:paraId="6C2B14F3" w14:textId="4C1A4A7D" w:rsidR="00452E9D" w:rsidRPr="002128D6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23AD7EB1" w14:textId="77777777" w:rsidR="005929D4" w:rsidRPr="002128D6" w:rsidRDefault="005929D4" w:rsidP="005929D4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2128D6">
        <w:rPr>
          <w:b/>
          <w:sz w:val="22"/>
          <w:szCs w:val="22"/>
          <w:u w:val="single"/>
          <w:lang w:val="sr-Latn-ME"/>
        </w:rPr>
        <w:t>Odrasli</w:t>
      </w:r>
    </w:p>
    <w:p w14:paraId="51E2041F" w14:textId="77777777" w:rsidR="005929D4" w:rsidRPr="002128D6" w:rsidRDefault="005929D4" w:rsidP="005929D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6C4FF76" w14:textId="77777777" w:rsidR="005929D4" w:rsidRPr="002128D6" w:rsidRDefault="005929D4" w:rsidP="005929D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250 mg jednom dnevno.</w:t>
      </w:r>
    </w:p>
    <w:p w14:paraId="2E8948C8" w14:textId="77777777" w:rsidR="005929D4" w:rsidRPr="002128D6" w:rsidRDefault="005929D4" w:rsidP="005929D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Trajanje terapije varira u zavisnosti od indikacije i težine infekcije.</w:t>
      </w:r>
    </w:p>
    <w:p w14:paraId="63B9DE3F" w14:textId="77777777" w:rsidR="005929D4" w:rsidRPr="002128D6" w:rsidRDefault="005929D4" w:rsidP="005929D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C8FFC90" w14:textId="231CD5AC" w:rsidR="005929D4" w:rsidRPr="002128D6" w:rsidRDefault="005929D4" w:rsidP="005929D4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2128D6">
        <w:rPr>
          <w:b/>
          <w:sz w:val="22"/>
          <w:szCs w:val="22"/>
          <w:u w:val="single"/>
          <w:lang w:val="sr-Latn-ME"/>
        </w:rPr>
        <w:t>Infekcije kože</w:t>
      </w:r>
    </w:p>
    <w:p w14:paraId="243DF63C" w14:textId="77777777" w:rsidR="009A5925" w:rsidRPr="002128D6" w:rsidRDefault="009A5925" w:rsidP="005929D4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</w:p>
    <w:p w14:paraId="6AD90CCE" w14:textId="77777777" w:rsidR="005929D4" w:rsidRPr="002128D6" w:rsidRDefault="005929D4" w:rsidP="005929D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Očekivano trajanje terapije:</w:t>
      </w:r>
    </w:p>
    <w:p w14:paraId="23CD3BA4" w14:textId="0F1DBFB3" w:rsidR="005929D4" w:rsidRPr="002128D6" w:rsidRDefault="005929D4" w:rsidP="005929D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-</w:t>
      </w:r>
      <w:r w:rsidRPr="002128D6">
        <w:rPr>
          <w:sz w:val="22"/>
          <w:szCs w:val="22"/>
          <w:lang w:val="sr-Latn-ME"/>
        </w:rPr>
        <w:tab/>
      </w:r>
      <w:r w:rsidRPr="002128D6">
        <w:rPr>
          <w:i/>
          <w:sz w:val="22"/>
          <w:szCs w:val="22"/>
          <w:lang w:val="sr-Latn-ME"/>
        </w:rPr>
        <w:t>Tinea pedis</w:t>
      </w:r>
      <w:r w:rsidR="009A5925" w:rsidRPr="002128D6">
        <w:rPr>
          <w:i/>
          <w:sz w:val="22"/>
          <w:szCs w:val="22"/>
          <w:lang w:val="sr-Latn-ME"/>
        </w:rPr>
        <w:t>:</w:t>
      </w:r>
      <w:r w:rsidRPr="002128D6">
        <w:rPr>
          <w:sz w:val="22"/>
          <w:szCs w:val="22"/>
          <w:lang w:val="sr-Latn-ME"/>
        </w:rPr>
        <w:t xml:space="preserve"> (interdigitalna, plantarna/atletsko stopalo): 2-6 </w:t>
      </w:r>
      <w:r w:rsidR="008A2DE3" w:rsidRPr="002128D6">
        <w:rPr>
          <w:sz w:val="22"/>
          <w:szCs w:val="22"/>
          <w:lang w:val="sr-Latn-ME"/>
        </w:rPr>
        <w:t>nedjelj</w:t>
      </w:r>
      <w:r w:rsidRPr="002128D6">
        <w:rPr>
          <w:sz w:val="22"/>
          <w:szCs w:val="22"/>
          <w:lang w:val="sr-Latn-ME"/>
        </w:rPr>
        <w:t>a</w:t>
      </w:r>
    </w:p>
    <w:p w14:paraId="1375BF59" w14:textId="1673A892" w:rsidR="005929D4" w:rsidRPr="002128D6" w:rsidRDefault="005929D4" w:rsidP="005929D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-</w:t>
      </w:r>
      <w:r w:rsidRPr="002128D6">
        <w:rPr>
          <w:sz w:val="22"/>
          <w:szCs w:val="22"/>
          <w:lang w:val="sr-Latn-ME"/>
        </w:rPr>
        <w:tab/>
      </w:r>
      <w:r w:rsidRPr="002128D6">
        <w:rPr>
          <w:i/>
          <w:sz w:val="22"/>
          <w:szCs w:val="22"/>
          <w:lang w:val="sr-Latn-ME"/>
        </w:rPr>
        <w:t>Tinea corporis</w:t>
      </w:r>
      <w:r w:rsidRPr="002128D6">
        <w:rPr>
          <w:sz w:val="22"/>
          <w:szCs w:val="22"/>
          <w:lang w:val="sr-Latn-ME"/>
        </w:rPr>
        <w:t xml:space="preserve">: 4 </w:t>
      </w:r>
      <w:r w:rsidR="008A2DE3" w:rsidRPr="002128D6">
        <w:rPr>
          <w:sz w:val="22"/>
          <w:szCs w:val="22"/>
          <w:lang w:val="sr-Latn-ME"/>
        </w:rPr>
        <w:t>nedjelj</w:t>
      </w:r>
      <w:r w:rsidRPr="002128D6">
        <w:rPr>
          <w:sz w:val="22"/>
          <w:szCs w:val="22"/>
          <w:lang w:val="sr-Latn-ME"/>
        </w:rPr>
        <w:t>e</w:t>
      </w:r>
    </w:p>
    <w:p w14:paraId="273A78B9" w14:textId="77312695" w:rsidR="005929D4" w:rsidRPr="002128D6" w:rsidRDefault="005929D4" w:rsidP="005929D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-</w:t>
      </w:r>
      <w:r w:rsidRPr="002128D6">
        <w:rPr>
          <w:sz w:val="22"/>
          <w:szCs w:val="22"/>
          <w:lang w:val="sr-Latn-ME"/>
        </w:rPr>
        <w:tab/>
      </w:r>
      <w:r w:rsidRPr="002128D6">
        <w:rPr>
          <w:i/>
          <w:sz w:val="22"/>
          <w:szCs w:val="22"/>
          <w:lang w:val="sr-Latn-ME"/>
        </w:rPr>
        <w:t>Tinea cruris</w:t>
      </w:r>
      <w:r w:rsidRPr="002128D6">
        <w:rPr>
          <w:sz w:val="22"/>
          <w:szCs w:val="22"/>
          <w:lang w:val="sr-Latn-ME"/>
        </w:rPr>
        <w:t xml:space="preserve">: 2-4 </w:t>
      </w:r>
      <w:r w:rsidR="008A2DE3" w:rsidRPr="002128D6">
        <w:rPr>
          <w:sz w:val="22"/>
          <w:szCs w:val="22"/>
          <w:lang w:val="sr-Latn-ME"/>
        </w:rPr>
        <w:t>nedjelj</w:t>
      </w:r>
      <w:r w:rsidRPr="002128D6">
        <w:rPr>
          <w:sz w:val="22"/>
          <w:szCs w:val="22"/>
          <w:lang w:val="sr-Latn-ME"/>
        </w:rPr>
        <w:t>e</w:t>
      </w:r>
    </w:p>
    <w:p w14:paraId="09361E50" w14:textId="77777777" w:rsidR="005929D4" w:rsidRPr="002128D6" w:rsidRDefault="005929D4" w:rsidP="005929D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C359303" w14:textId="77777777" w:rsidR="005929D4" w:rsidRPr="002128D6" w:rsidRDefault="005929D4" w:rsidP="005929D4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2128D6">
        <w:rPr>
          <w:b/>
          <w:sz w:val="22"/>
          <w:szCs w:val="22"/>
          <w:u w:val="single"/>
          <w:lang w:val="sr-Latn-ME"/>
        </w:rPr>
        <w:t>Onihomikoze</w:t>
      </w:r>
    </w:p>
    <w:p w14:paraId="478A36F9" w14:textId="1DB18F34" w:rsidR="00E825D1" w:rsidRPr="002128D6" w:rsidRDefault="005929D4" w:rsidP="00FE3D2C">
      <w:pPr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 xml:space="preserve">Trajanje terapije kod većine pacijenata je između 6 </w:t>
      </w:r>
      <w:r w:rsidR="008A2DE3" w:rsidRPr="002128D6">
        <w:rPr>
          <w:sz w:val="22"/>
          <w:szCs w:val="22"/>
          <w:lang w:val="sr-Latn-ME"/>
        </w:rPr>
        <w:t>nedjelj</w:t>
      </w:r>
      <w:r w:rsidRPr="002128D6">
        <w:rPr>
          <w:sz w:val="22"/>
          <w:szCs w:val="22"/>
          <w:lang w:val="sr-Latn-ME"/>
        </w:rPr>
        <w:t>a i 3 m</w:t>
      </w:r>
      <w:r w:rsidR="00E825D1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eseca. L</w:t>
      </w:r>
      <w:r w:rsidR="00E825D1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ečenje kraće od 3 m</w:t>
      </w:r>
      <w:r w:rsidR="00FE3D2C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eseca se može očekivati kod pacijenata sa infekcijom nokta ruke, nokta stopala osim nokta palca ili kod mlađih pacijenata. Kod l</w:t>
      </w:r>
      <w:r w:rsidR="00D720EA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ečenja infekcije nokta stopala, l</w:t>
      </w:r>
      <w:r w:rsidR="00D720EA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ečenje od 3 m</w:t>
      </w:r>
      <w:r w:rsidR="00D720EA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eseca je obično dovoljno dugo ali kod nekih pacijenata</w:t>
      </w:r>
      <w:r w:rsidR="00E825D1" w:rsidRPr="002128D6">
        <w:rPr>
          <w:sz w:val="22"/>
          <w:szCs w:val="22"/>
          <w:lang w:val="sr-Latn-ME"/>
        </w:rPr>
        <w:t xml:space="preserve"> može da traje 6 m</w:t>
      </w:r>
      <w:r w:rsidR="00F257E4" w:rsidRPr="002128D6">
        <w:rPr>
          <w:sz w:val="22"/>
          <w:szCs w:val="22"/>
          <w:lang w:val="sr-Latn-ME"/>
        </w:rPr>
        <w:t>j</w:t>
      </w:r>
      <w:r w:rsidR="00E825D1" w:rsidRPr="002128D6">
        <w:rPr>
          <w:sz w:val="22"/>
          <w:szCs w:val="22"/>
          <w:lang w:val="sr-Latn-ME"/>
        </w:rPr>
        <w:t xml:space="preserve">eseci pa i duže. Slab rast nokta tokom prvih </w:t>
      </w:r>
      <w:r w:rsidR="008A2DE3" w:rsidRPr="002128D6">
        <w:rPr>
          <w:sz w:val="22"/>
          <w:szCs w:val="22"/>
          <w:lang w:val="sr-Latn-ME"/>
        </w:rPr>
        <w:t>nedjelj</w:t>
      </w:r>
      <w:r w:rsidR="00E825D1" w:rsidRPr="002128D6">
        <w:rPr>
          <w:sz w:val="22"/>
          <w:szCs w:val="22"/>
          <w:lang w:val="sr-Latn-ME"/>
        </w:rPr>
        <w:t>a l</w:t>
      </w:r>
      <w:r w:rsidR="00F257E4" w:rsidRPr="002128D6">
        <w:rPr>
          <w:sz w:val="22"/>
          <w:szCs w:val="22"/>
          <w:lang w:val="sr-Latn-ME"/>
        </w:rPr>
        <w:t>ij</w:t>
      </w:r>
      <w:r w:rsidR="00E825D1" w:rsidRPr="002128D6">
        <w:rPr>
          <w:sz w:val="22"/>
          <w:szCs w:val="22"/>
          <w:lang w:val="sr-Latn-ME"/>
        </w:rPr>
        <w:t>ečenja može da ukazuje na pacijenta kod koga će l</w:t>
      </w:r>
      <w:r w:rsidR="00F257E4" w:rsidRPr="002128D6">
        <w:rPr>
          <w:sz w:val="22"/>
          <w:szCs w:val="22"/>
          <w:lang w:val="sr-Latn-ME"/>
        </w:rPr>
        <w:t>ij</w:t>
      </w:r>
      <w:r w:rsidR="00E825D1" w:rsidRPr="002128D6">
        <w:rPr>
          <w:sz w:val="22"/>
          <w:szCs w:val="22"/>
          <w:lang w:val="sr-Latn-ME"/>
        </w:rPr>
        <w:t>ečenje duže trajati.</w:t>
      </w:r>
    </w:p>
    <w:p w14:paraId="1C6BD928" w14:textId="77777777" w:rsidR="00E825D1" w:rsidRPr="002128D6" w:rsidRDefault="00E825D1" w:rsidP="00FE3D2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076A02E" w14:textId="14C40EBF" w:rsidR="00E825D1" w:rsidRPr="002128D6" w:rsidRDefault="00E825D1" w:rsidP="00FE3D2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 xml:space="preserve">Potpuni nestanak znakova i simptoma infekcije se može javiti tek nakon nekoliko </w:t>
      </w:r>
      <w:r w:rsidR="008A2DE3" w:rsidRPr="002128D6">
        <w:rPr>
          <w:sz w:val="22"/>
          <w:szCs w:val="22"/>
          <w:lang w:val="sr-Latn-ME"/>
        </w:rPr>
        <w:t>nedjelj</w:t>
      </w:r>
      <w:r w:rsidRPr="002128D6">
        <w:rPr>
          <w:sz w:val="22"/>
          <w:szCs w:val="22"/>
          <w:lang w:val="sr-Latn-ME"/>
        </w:rPr>
        <w:t>a antigljivične terapije.</w:t>
      </w:r>
    </w:p>
    <w:p w14:paraId="11EBFDF3" w14:textId="77777777" w:rsidR="00E825D1" w:rsidRPr="002128D6" w:rsidRDefault="00E825D1" w:rsidP="00FE3D2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57A02DC" w14:textId="77777777" w:rsidR="00E825D1" w:rsidRPr="002128D6" w:rsidRDefault="00E825D1" w:rsidP="00FE3D2C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2128D6">
        <w:rPr>
          <w:b/>
          <w:sz w:val="22"/>
          <w:szCs w:val="22"/>
          <w:u w:val="single"/>
          <w:lang w:val="sr-Latn-ME"/>
        </w:rPr>
        <w:t>Dodatne informacije o posebnim grupama pacijenata</w:t>
      </w:r>
    </w:p>
    <w:p w14:paraId="54CC7282" w14:textId="77777777" w:rsidR="00E825D1" w:rsidRPr="002128D6" w:rsidRDefault="00E825D1" w:rsidP="00FE3D2C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4251D518" w14:textId="77777777" w:rsidR="00E825D1" w:rsidRPr="002128D6" w:rsidRDefault="00E825D1" w:rsidP="00FE3D2C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2128D6">
        <w:rPr>
          <w:b/>
          <w:sz w:val="22"/>
          <w:szCs w:val="22"/>
          <w:u w:val="single"/>
          <w:lang w:val="sr-Latn-ME"/>
        </w:rPr>
        <w:t>Pacijenti sa oštećenjem funkcije jetre:</w:t>
      </w:r>
    </w:p>
    <w:p w14:paraId="5868DAD3" w14:textId="7592C56B" w:rsidR="00E825D1" w:rsidRPr="002128D6" w:rsidRDefault="00E825D1" w:rsidP="00FE3D2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L</w:t>
      </w:r>
      <w:r w:rsidR="00F257E4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 Myco</w:t>
      </w:r>
      <w:r w:rsidR="00F257E4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 xml:space="preserve"> je kontraindikovan kod pacijenata sa hroničnim ili aktivnim oboljenjem jetre (vid</w:t>
      </w:r>
      <w:r w:rsidR="00D448BC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 xml:space="preserve">eti </w:t>
      </w:r>
      <w:r w:rsidR="00D448BC" w:rsidRPr="002128D6">
        <w:rPr>
          <w:sz w:val="22"/>
          <w:szCs w:val="22"/>
          <w:lang w:val="sr-Latn-ME"/>
        </w:rPr>
        <w:t>dio</w:t>
      </w:r>
      <w:r w:rsidRPr="002128D6">
        <w:rPr>
          <w:sz w:val="22"/>
          <w:szCs w:val="22"/>
          <w:lang w:val="sr-Latn-ME"/>
        </w:rPr>
        <w:t xml:space="preserve"> 4.3 Kontraindikacije i 4.4 Posebna upozorenja i m</w:t>
      </w:r>
      <w:r w:rsidR="00382EC0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ere opreza pri upotrebi l</w:t>
      </w:r>
      <w:r w:rsidR="00382EC0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eka).</w:t>
      </w:r>
    </w:p>
    <w:p w14:paraId="499FBA14" w14:textId="77777777" w:rsidR="00E825D1" w:rsidRPr="002128D6" w:rsidRDefault="00E825D1" w:rsidP="00FE3D2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FB25A8C" w14:textId="77777777" w:rsidR="00E825D1" w:rsidRPr="002128D6" w:rsidRDefault="00E825D1" w:rsidP="00FE3D2C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2128D6">
        <w:rPr>
          <w:b/>
          <w:sz w:val="22"/>
          <w:szCs w:val="22"/>
          <w:u w:val="single"/>
          <w:lang w:val="sr-Latn-ME"/>
        </w:rPr>
        <w:t>Pacijenti sa oštećenjem bubrega:</w:t>
      </w:r>
    </w:p>
    <w:p w14:paraId="48487910" w14:textId="2EBAAD5A" w:rsidR="00E825D1" w:rsidRPr="002128D6" w:rsidRDefault="00E825D1" w:rsidP="00FE3D2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Prim</w:t>
      </w:r>
      <w:r w:rsidR="00382EC0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ena l</w:t>
      </w:r>
      <w:r w:rsidR="00382EC0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eka Myco</w:t>
      </w:r>
      <w:r w:rsidR="00382EC0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 xml:space="preserve"> kod pacijenata sa oštećenjem funkcije bubrega  nije dovoljno ispitivana i zato se njegova prim</w:t>
      </w:r>
      <w:r w:rsidR="00382EC0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ena kod ove populacije pacijenata ne preporučuje (vid</w:t>
      </w:r>
      <w:r w:rsidR="00382EC0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eti d</w:t>
      </w:r>
      <w:r w:rsidR="00382EC0" w:rsidRPr="002128D6">
        <w:rPr>
          <w:sz w:val="22"/>
          <w:szCs w:val="22"/>
          <w:lang w:val="sr-Latn-ME"/>
        </w:rPr>
        <w:t>i</w:t>
      </w:r>
      <w:r w:rsidRPr="002128D6">
        <w:rPr>
          <w:sz w:val="22"/>
          <w:szCs w:val="22"/>
          <w:lang w:val="sr-Latn-ME"/>
        </w:rPr>
        <w:t>o 4.4 Posebna upozorenja i m</w:t>
      </w:r>
      <w:r w:rsidR="00382EC0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ere opreza pri upotrebi l</w:t>
      </w:r>
      <w:r w:rsidR="00382EC0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eka i deo 5.2 Farmakokinetički podaci).</w:t>
      </w:r>
    </w:p>
    <w:p w14:paraId="1F592A3D" w14:textId="77777777" w:rsidR="00E825D1" w:rsidRPr="002128D6" w:rsidRDefault="00E825D1" w:rsidP="00FE3D2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B62E51" w14:textId="4A990EB7" w:rsidR="00E825D1" w:rsidRPr="002128D6" w:rsidRDefault="00E825D1" w:rsidP="00FE3D2C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2128D6">
        <w:rPr>
          <w:b/>
          <w:sz w:val="22"/>
          <w:szCs w:val="22"/>
          <w:u w:val="single"/>
          <w:lang w:val="sr-Latn-ME"/>
        </w:rPr>
        <w:t>D</w:t>
      </w:r>
      <w:r w:rsidR="00382EC0" w:rsidRPr="002128D6">
        <w:rPr>
          <w:b/>
          <w:sz w:val="22"/>
          <w:szCs w:val="22"/>
          <w:u w:val="single"/>
          <w:lang w:val="sr-Latn-ME"/>
        </w:rPr>
        <w:t>j</w:t>
      </w:r>
      <w:r w:rsidRPr="002128D6">
        <w:rPr>
          <w:b/>
          <w:sz w:val="22"/>
          <w:szCs w:val="22"/>
          <w:u w:val="single"/>
          <w:lang w:val="sr-Latn-ME"/>
        </w:rPr>
        <w:t>eca</w:t>
      </w:r>
    </w:p>
    <w:p w14:paraId="7A1BB031" w14:textId="6DF54C01" w:rsidR="00E825D1" w:rsidRPr="002128D6" w:rsidRDefault="00E825D1" w:rsidP="00FE3D2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Ispitivanje bezb</w:t>
      </w:r>
      <w:r w:rsidR="00546507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ednosti oralne prim</w:t>
      </w:r>
      <w:r w:rsidR="00546507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ene terbinafina kod d</w:t>
      </w:r>
      <w:r w:rsidR="00546507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ece u Velikoj Britaniji (post-marketinško posmatranje oralne prim</w:t>
      </w:r>
      <w:r w:rsidR="00546507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 xml:space="preserve">ene terbinafina izvođeno </w:t>
      </w:r>
      <w:r w:rsidR="009A5925" w:rsidRPr="002128D6">
        <w:rPr>
          <w:sz w:val="22"/>
          <w:szCs w:val="22"/>
          <w:lang w:val="sr-Latn-ME"/>
        </w:rPr>
        <w:t>kod</w:t>
      </w:r>
      <w:r w:rsidRPr="002128D6">
        <w:rPr>
          <w:sz w:val="22"/>
          <w:szCs w:val="22"/>
          <w:lang w:val="sr-Latn-ME"/>
        </w:rPr>
        <w:t xml:space="preserve"> 314 pacijenta) pokazalo je da je profil neželjenih događaja kod d</w:t>
      </w:r>
      <w:r w:rsidR="00546507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ece sličan onom kod odraslih. Ne postoje dokazi o pojavi novih, neobičnih ili teških neželjenih reakcija kod d</w:t>
      </w:r>
      <w:r w:rsidR="00546507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ece u odnosu na odraslu populaciju. Međutim zbog ograničenog broja podataka prim</w:t>
      </w:r>
      <w:r w:rsidR="00546507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ena Myco</w:t>
      </w:r>
      <w:r w:rsidR="00546507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 xml:space="preserve"> tableta se ne preporučuje kod d</w:t>
      </w:r>
      <w:r w:rsidR="00546507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ece.</w:t>
      </w:r>
    </w:p>
    <w:p w14:paraId="13432EAE" w14:textId="77777777" w:rsidR="00E825D1" w:rsidRPr="002128D6" w:rsidRDefault="00E825D1" w:rsidP="00FE3D2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3628BD3" w14:textId="77777777" w:rsidR="00E825D1" w:rsidRPr="002128D6" w:rsidRDefault="00E825D1" w:rsidP="00FE3D2C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2128D6">
        <w:rPr>
          <w:b/>
          <w:sz w:val="22"/>
          <w:szCs w:val="22"/>
          <w:u w:val="single"/>
          <w:lang w:val="sr-Latn-ME"/>
        </w:rPr>
        <w:t>Starija populacija</w:t>
      </w:r>
    </w:p>
    <w:p w14:paraId="469AE37C" w14:textId="7671B646" w:rsidR="00E825D1" w:rsidRPr="002128D6" w:rsidRDefault="00E825D1" w:rsidP="00FE3D2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 xml:space="preserve">Ne postoje dokazi koji pokazuju da </w:t>
      </w:r>
      <w:r w:rsidR="009A5925" w:rsidRPr="002128D6">
        <w:rPr>
          <w:sz w:val="22"/>
          <w:szCs w:val="22"/>
          <w:lang w:val="sr-Latn-ME"/>
        </w:rPr>
        <w:t xml:space="preserve">je </w:t>
      </w:r>
      <w:r w:rsidRPr="002128D6">
        <w:rPr>
          <w:sz w:val="22"/>
          <w:szCs w:val="22"/>
          <w:lang w:val="sr-Latn-ME"/>
        </w:rPr>
        <w:t>stariji</w:t>
      </w:r>
      <w:r w:rsidR="009A5925" w:rsidRPr="002128D6">
        <w:rPr>
          <w:sz w:val="22"/>
          <w:szCs w:val="22"/>
          <w:lang w:val="sr-Latn-ME"/>
        </w:rPr>
        <w:t>m</w:t>
      </w:r>
      <w:r w:rsidRPr="002128D6">
        <w:rPr>
          <w:sz w:val="22"/>
          <w:szCs w:val="22"/>
          <w:lang w:val="sr-Latn-ME"/>
        </w:rPr>
        <w:t xml:space="preserve"> pacijenti</w:t>
      </w:r>
      <w:r w:rsidR="009A5925" w:rsidRPr="002128D6">
        <w:rPr>
          <w:sz w:val="22"/>
          <w:szCs w:val="22"/>
          <w:lang w:val="sr-Latn-ME"/>
        </w:rPr>
        <w:t>ma</w:t>
      </w:r>
      <w:r w:rsidRPr="002128D6">
        <w:rPr>
          <w:sz w:val="22"/>
          <w:szCs w:val="22"/>
          <w:lang w:val="sr-Latn-ME"/>
        </w:rPr>
        <w:t xml:space="preserve"> (65 godina starosti i više) </w:t>
      </w:r>
      <w:r w:rsidR="009A5925" w:rsidRPr="002128D6">
        <w:rPr>
          <w:sz w:val="22"/>
          <w:szCs w:val="22"/>
          <w:lang w:val="sr-Latn-ME"/>
        </w:rPr>
        <w:t>potrebno</w:t>
      </w:r>
      <w:r w:rsidRPr="002128D6">
        <w:rPr>
          <w:sz w:val="22"/>
          <w:szCs w:val="22"/>
          <w:lang w:val="sr-Latn-ME"/>
        </w:rPr>
        <w:t xml:space="preserve"> različito doziranje ili </w:t>
      </w:r>
      <w:r w:rsidR="009A5925" w:rsidRPr="002128D6">
        <w:rPr>
          <w:sz w:val="22"/>
          <w:szCs w:val="22"/>
          <w:lang w:val="sr-Latn-ME"/>
        </w:rPr>
        <w:t xml:space="preserve">da </w:t>
      </w:r>
      <w:r w:rsidRPr="002128D6">
        <w:rPr>
          <w:sz w:val="22"/>
          <w:szCs w:val="22"/>
          <w:lang w:val="sr-Latn-ME"/>
        </w:rPr>
        <w:t>doživljavaju neželjene reakcije koje se razlikuju od onih kod mlađih pacijenata. Kod ove populacije treba uzeti u obzir moguće postojanje insuficijencije jetre ili bubrega (vid</w:t>
      </w:r>
      <w:r w:rsidR="003723A5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eti Upozorenja).</w:t>
      </w:r>
    </w:p>
    <w:p w14:paraId="3F15F0FA" w14:textId="77777777" w:rsidR="00E825D1" w:rsidRPr="002128D6" w:rsidRDefault="00E825D1" w:rsidP="00FE3D2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CA73FF" w14:textId="3CE6677C" w:rsidR="00E825D1" w:rsidRPr="002128D6" w:rsidRDefault="00E825D1" w:rsidP="00FE3D2C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2128D6">
        <w:rPr>
          <w:b/>
          <w:sz w:val="22"/>
          <w:szCs w:val="22"/>
          <w:u w:val="single"/>
          <w:lang w:val="sr-Latn-ME"/>
        </w:rPr>
        <w:t>Način prim</w:t>
      </w:r>
      <w:r w:rsidR="003723A5" w:rsidRPr="002128D6">
        <w:rPr>
          <w:b/>
          <w:sz w:val="22"/>
          <w:szCs w:val="22"/>
          <w:u w:val="single"/>
          <w:lang w:val="sr-Latn-ME"/>
        </w:rPr>
        <w:t>j</w:t>
      </w:r>
      <w:r w:rsidRPr="002128D6">
        <w:rPr>
          <w:b/>
          <w:sz w:val="22"/>
          <w:szCs w:val="22"/>
          <w:u w:val="single"/>
          <w:lang w:val="sr-Latn-ME"/>
        </w:rPr>
        <w:t>ene</w:t>
      </w:r>
    </w:p>
    <w:p w14:paraId="0D1997D7" w14:textId="7FDD8790" w:rsidR="00F311B3" w:rsidRPr="002128D6" w:rsidRDefault="00E825D1" w:rsidP="00FE3D2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Tablete se prim</w:t>
      </w:r>
      <w:r w:rsidR="003723A5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enjuju oralno sa vodom. Po mogućstvu tablete prim</w:t>
      </w:r>
      <w:r w:rsidR="003723A5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eniti svakog dana u isto vr</w:t>
      </w:r>
      <w:r w:rsidR="009A5925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eme. Tablete se mogu koristiti na prazan stomak ili posle obroka.</w:t>
      </w:r>
    </w:p>
    <w:p w14:paraId="6C2B14F5" w14:textId="77777777" w:rsidR="00452E9D" w:rsidRPr="002128D6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4F6" w14:textId="77777777" w:rsidR="00411B4B" w:rsidRPr="002128D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4.3.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Kontraindikacije</w:t>
      </w:r>
    </w:p>
    <w:p w14:paraId="6C2B14F7" w14:textId="74DE6300" w:rsidR="0072020E" w:rsidRPr="002128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CE5F5A" w14:textId="62D3474C" w:rsidR="009E3AFD" w:rsidRPr="002128D6" w:rsidRDefault="009E3AFD" w:rsidP="009E3AF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Poznata preosjetljivost na terbinafin ili bilo koji drugi sastojak lijeka</w:t>
      </w:r>
      <w:r w:rsidR="009A5925" w:rsidRPr="002128D6">
        <w:rPr>
          <w:bCs/>
          <w:sz w:val="22"/>
          <w:szCs w:val="22"/>
          <w:lang w:val="sr-Latn-ME"/>
        </w:rPr>
        <w:t xml:space="preserve"> koji su navedeni u dijelu 6.1</w:t>
      </w:r>
      <w:r w:rsidRPr="002128D6">
        <w:rPr>
          <w:bCs/>
          <w:sz w:val="22"/>
          <w:szCs w:val="22"/>
          <w:lang w:val="sr-Latn-ME"/>
        </w:rPr>
        <w:t>.</w:t>
      </w:r>
    </w:p>
    <w:p w14:paraId="292CC528" w14:textId="77777777" w:rsidR="009E3AFD" w:rsidRPr="002128D6" w:rsidRDefault="009E3AFD" w:rsidP="009E3AF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88F1E3" w14:textId="3594519E" w:rsidR="009E3AFD" w:rsidRPr="002128D6" w:rsidRDefault="009E3AFD" w:rsidP="009E3AF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Hronična ili aktivna bolest jetre.</w:t>
      </w:r>
    </w:p>
    <w:p w14:paraId="6024AA77" w14:textId="77777777" w:rsidR="009E3AFD" w:rsidRPr="002128D6" w:rsidRDefault="009E3AF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4F8" w14:textId="77777777" w:rsidR="00411B4B" w:rsidRPr="002128D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4.4.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C2B14F9" w14:textId="1AC9FA28" w:rsidR="0072020E" w:rsidRPr="002128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6819EB" w14:textId="77777777" w:rsidR="007C6849" w:rsidRPr="002128D6" w:rsidRDefault="007C6849" w:rsidP="007C6849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>Funkcija jetre</w:t>
      </w:r>
    </w:p>
    <w:p w14:paraId="32B709D0" w14:textId="77777777" w:rsidR="007C6849" w:rsidRPr="002128D6" w:rsidRDefault="007C6849" w:rsidP="007C684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300484E" w14:textId="0257A44B" w:rsidR="007C6849" w:rsidRPr="002128D6" w:rsidRDefault="007C6849" w:rsidP="007C684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L</w:t>
      </w:r>
      <w:r w:rsidR="00D84A31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 Myco</w:t>
      </w:r>
      <w:r w:rsidR="00F033D5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 xml:space="preserve"> se ne preporučuje pacijentima sa hroničnim ili aktivnim oboljenjem jetre. Pre nego što se l</w:t>
      </w:r>
      <w:r w:rsidR="001C41C0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 Myco</w:t>
      </w:r>
      <w:r w:rsidR="001C41C0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 xml:space="preserve"> propiše pacijentu potrebno je izvršiti testove funkcije jetre i proc</w:t>
      </w:r>
      <w:r w:rsidR="00851AF9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eniti postojanje bilo kog oboljenja jetre.</w:t>
      </w:r>
    </w:p>
    <w:p w14:paraId="2CE2A6B6" w14:textId="77777777" w:rsidR="007C6849" w:rsidRPr="002128D6" w:rsidRDefault="007C6849" w:rsidP="007C684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E226DCF" w14:textId="6881B170" w:rsidR="007C6849" w:rsidRPr="002128D6" w:rsidRDefault="007C6849" w:rsidP="007C684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Do hepatotoksičnog d</w:t>
      </w:r>
      <w:r w:rsidR="00851AF9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 xml:space="preserve">elovanja može doći kako kod osoba koje </w:t>
      </w:r>
      <w:r w:rsidR="009A5925" w:rsidRPr="002128D6">
        <w:rPr>
          <w:sz w:val="22"/>
          <w:szCs w:val="22"/>
          <w:lang w:val="sr-Latn-ME"/>
        </w:rPr>
        <w:t xml:space="preserve">već </w:t>
      </w:r>
      <w:r w:rsidRPr="002128D6">
        <w:rPr>
          <w:sz w:val="22"/>
          <w:szCs w:val="22"/>
          <w:lang w:val="sr-Latn-ME"/>
        </w:rPr>
        <w:t>imaju poremećaj funkcije jetre, tako i kod onih koji prethodno ni</w:t>
      </w:r>
      <w:r w:rsidR="009A5925" w:rsidRPr="002128D6">
        <w:rPr>
          <w:sz w:val="22"/>
          <w:szCs w:val="22"/>
          <w:lang w:val="sr-Latn-ME"/>
        </w:rPr>
        <w:t>je</w:t>
      </w:r>
      <w:r w:rsidRPr="002128D6">
        <w:rPr>
          <w:sz w:val="22"/>
          <w:szCs w:val="22"/>
          <w:lang w:val="sr-Latn-ME"/>
        </w:rPr>
        <w:t xml:space="preserve">su imali poremećaj funkcije jetre, zbog toga se preporučuje periodično kontrolisanje funkcije jetre (nakon 4 do 6 </w:t>
      </w:r>
      <w:r w:rsidR="008A2DE3" w:rsidRPr="002128D6">
        <w:rPr>
          <w:sz w:val="22"/>
          <w:szCs w:val="22"/>
          <w:lang w:val="sr-Latn-ME"/>
        </w:rPr>
        <w:t>nedjelj</w:t>
      </w:r>
      <w:r w:rsidRPr="002128D6">
        <w:rPr>
          <w:sz w:val="22"/>
          <w:szCs w:val="22"/>
          <w:lang w:val="sr-Latn-ME"/>
        </w:rPr>
        <w:t>a terapije). Upotrebu l</w:t>
      </w:r>
      <w:r w:rsidR="00851AF9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eka Myco</w:t>
      </w:r>
      <w:r w:rsidR="005D0035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 xml:space="preserve"> treba odmah prekinuti u slučaju uvećanih vr</w:t>
      </w:r>
      <w:r w:rsidR="005D0035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ednosti testova funkcije jetre.</w:t>
      </w:r>
    </w:p>
    <w:p w14:paraId="59DB61EF" w14:textId="77777777" w:rsidR="007C6849" w:rsidRPr="002128D6" w:rsidRDefault="007C6849" w:rsidP="007C684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048EF75" w14:textId="78C0E118" w:rsidR="007C6849" w:rsidRPr="002128D6" w:rsidRDefault="007C6849" w:rsidP="007C684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lastRenderedPageBreak/>
        <w:t>Kod pacijenata l</w:t>
      </w:r>
      <w:r w:rsidR="005D0035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ečenih terbinafinom, veoma r</w:t>
      </w:r>
      <w:r w:rsidR="005D0035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etko su prijavljeni slučajevi teške insuficijencije jetre (neki sa fatalnim ishodom ili potrebom za transplantaciju jetre). U većini slučajeva insuficijencije jetre, pacijenti su već imali ozbiljno postojeće sistemsko oboljenje, tako da uzročna veza sa prim</w:t>
      </w:r>
      <w:r w:rsidR="007E0DAF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enom terbinafina se ne može utvrditi sa sigurnošću (vid</w:t>
      </w:r>
      <w:r w:rsidR="007E0DAF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eti 4.3 Kontraindikacije i 4.8 Neželjeni efekti).</w:t>
      </w:r>
    </w:p>
    <w:p w14:paraId="17587CD3" w14:textId="38B97728" w:rsidR="007C6849" w:rsidRPr="002128D6" w:rsidRDefault="007C6849" w:rsidP="007C684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AAF2B7B" w14:textId="338D37D4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Pacijentima kojima je propisan l</w:t>
      </w:r>
      <w:r w:rsidR="007E0DAF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 Myco</w:t>
      </w:r>
      <w:r w:rsidR="007E0DAF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 xml:space="preserve"> treba posav</w:t>
      </w:r>
      <w:r w:rsidR="007E0DAF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etovati da se odmah jave l</w:t>
      </w:r>
      <w:r w:rsidR="00C25188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ekaru ako se pojave simptomi koji ukazuju na disfunkciju jetre: pruritus, neobjašnjiva uporna mučnina, smanjen apetit, anoreksija, žutica, povraćanje, zamor, bol u gornjem desnom d</w:t>
      </w:r>
      <w:r w:rsidR="00C25188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elu abdomena, tamna mokraća, bl</w:t>
      </w:r>
      <w:r w:rsidR="009A5925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ede stolice. Pacijenti sa ovim simptomima treba da prekinu oralnu terapiju terbinafinom i potrebno je odmah ispitati funkciju njihove jetre.</w:t>
      </w:r>
    </w:p>
    <w:p w14:paraId="5D240EDC" w14:textId="77777777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B5AED75" w14:textId="036A9BA3" w:rsidR="00D84A31" w:rsidRPr="002128D6" w:rsidRDefault="009A5925" w:rsidP="00D84A3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>Dermatološki efekti</w:t>
      </w:r>
    </w:p>
    <w:p w14:paraId="7A546BAE" w14:textId="77777777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3B3EBAC" w14:textId="26619915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Veoma r</w:t>
      </w:r>
      <w:r w:rsidR="00C25188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etko su bile zab</w:t>
      </w:r>
      <w:r w:rsidR="00987BA4" w:rsidRPr="002128D6">
        <w:rPr>
          <w:sz w:val="22"/>
          <w:szCs w:val="22"/>
          <w:lang w:val="sr-Latn-ME"/>
        </w:rPr>
        <w:t>i</w:t>
      </w:r>
      <w:r w:rsidRPr="002128D6">
        <w:rPr>
          <w:sz w:val="22"/>
          <w:szCs w:val="22"/>
          <w:lang w:val="sr-Latn-ME"/>
        </w:rPr>
        <w:t>l</w:t>
      </w:r>
      <w:r w:rsidR="00987BA4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ežene ozbiljne kožne reakcije (npr. Steves-Johnsonov sindrom, toksična epidermalna nekroliza, osip koji je praćen eozinofilijom i sistemskim siptomima) kod pacijenata koji uzimaju tablete terbinafina. Ako se pojavi progresivni osip na koži, potrebno je prekinuti terapiju l</w:t>
      </w:r>
      <w:r w:rsidR="00987BA4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ekom Myco</w:t>
      </w:r>
      <w:r w:rsidR="00987BA4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>.</w:t>
      </w:r>
    </w:p>
    <w:p w14:paraId="7864E9E4" w14:textId="77777777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6DC9D0" w14:textId="0FC939E5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L</w:t>
      </w:r>
      <w:r w:rsidR="00987BA4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 Myco</w:t>
      </w:r>
      <w:r w:rsidR="00987BA4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 xml:space="preserve"> treba sa oprezom koristiti kod pacijenata sa već postojećom psorijazom, jer su prijavljeni veoma r</w:t>
      </w:r>
      <w:r w:rsidR="003C3D9A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etki slučajevi egzacerbacije psorijaze.</w:t>
      </w:r>
    </w:p>
    <w:p w14:paraId="58E3FF50" w14:textId="77777777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DC6763B" w14:textId="2BE1679A" w:rsidR="00D84A31" w:rsidRPr="002128D6" w:rsidRDefault="009A5925" w:rsidP="00D84A3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>Hematološki efekti</w:t>
      </w:r>
    </w:p>
    <w:p w14:paraId="01B28AEE" w14:textId="77777777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88899A" w14:textId="71915B73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Veoma r</w:t>
      </w:r>
      <w:r w:rsidR="003C3D9A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etki slučajevi krvne diskrazije (neutropenija, agranulocitoza, trombocitopenija, pancitopenija) su zab</w:t>
      </w:r>
      <w:r w:rsidR="003C3D9A" w:rsidRPr="002128D6">
        <w:rPr>
          <w:sz w:val="22"/>
          <w:szCs w:val="22"/>
          <w:lang w:val="sr-Latn-ME"/>
        </w:rPr>
        <w:t>i</w:t>
      </w:r>
      <w:r w:rsidRPr="002128D6">
        <w:rPr>
          <w:sz w:val="22"/>
          <w:szCs w:val="22"/>
          <w:lang w:val="sr-Latn-ME"/>
        </w:rPr>
        <w:t>l</w:t>
      </w:r>
      <w:r w:rsidR="003C3D9A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eženi kod pacijenata koji su l</w:t>
      </w:r>
      <w:r w:rsidR="00847104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ečeni terbinafinom za oralnu upotrebu. Potrebno je proc</w:t>
      </w:r>
      <w:r w:rsidR="00847104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eniti etiologiju bilo koje krvne diskrazije koja se javila kod pacijenata l</w:t>
      </w:r>
      <w:r w:rsidR="00847104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ečenih terbinafinom i uzeti u obzir mogućnost prom</w:t>
      </w:r>
      <w:r w:rsidR="00847104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ene režima l</w:t>
      </w:r>
      <w:r w:rsidR="00847104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ečenja, uključujući i prekid terapije terbinafinom.</w:t>
      </w:r>
    </w:p>
    <w:p w14:paraId="4613BB2E" w14:textId="77777777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E00A335" w14:textId="77777777" w:rsidR="00D84A31" w:rsidRPr="002128D6" w:rsidRDefault="00D84A31" w:rsidP="00D84A3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>Insuficijencija bubrega</w:t>
      </w:r>
    </w:p>
    <w:p w14:paraId="79821DBD" w14:textId="77777777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FBBD4AC" w14:textId="7DA53FA7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Kod pacijenata sa oštećenjem funkcije bubrega (vr</w:t>
      </w:r>
      <w:r w:rsidR="00847104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ednost klirensa kreatinina je manja od 50 m</w:t>
      </w:r>
      <w:r w:rsidR="009A5925" w:rsidRPr="002128D6">
        <w:rPr>
          <w:sz w:val="22"/>
          <w:szCs w:val="22"/>
          <w:lang w:val="sr-Latn-ME"/>
        </w:rPr>
        <w:t>l</w:t>
      </w:r>
      <w:r w:rsidRPr="002128D6">
        <w:rPr>
          <w:sz w:val="22"/>
          <w:szCs w:val="22"/>
          <w:lang w:val="sr-Latn-ME"/>
        </w:rPr>
        <w:t>/min ili vr</w:t>
      </w:r>
      <w:r w:rsidR="00BF61B8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ednost serumskog kreatinina je veća od 300 mikromol/</w:t>
      </w:r>
      <w:r w:rsidR="009A5925" w:rsidRPr="002128D6">
        <w:rPr>
          <w:sz w:val="22"/>
          <w:szCs w:val="22"/>
          <w:lang w:val="sr-Latn-ME"/>
        </w:rPr>
        <w:t>l</w:t>
      </w:r>
      <w:r w:rsidRPr="002128D6">
        <w:rPr>
          <w:sz w:val="22"/>
          <w:szCs w:val="22"/>
          <w:lang w:val="sr-Latn-ME"/>
        </w:rPr>
        <w:t>) nije adekvatno ispitivana prim</w:t>
      </w:r>
      <w:r w:rsidR="00BF61B8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ena terbinafina tableta i zato se i ne preporučuje njegova prim</w:t>
      </w:r>
      <w:r w:rsidR="0034594B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ena kod ove populacije pacijenata (vid</w:t>
      </w:r>
      <w:r w:rsidR="00D0142E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eti d</w:t>
      </w:r>
      <w:r w:rsidR="00D0142E" w:rsidRPr="002128D6">
        <w:rPr>
          <w:sz w:val="22"/>
          <w:szCs w:val="22"/>
          <w:lang w:val="sr-Latn-ME"/>
        </w:rPr>
        <w:t>i</w:t>
      </w:r>
      <w:r w:rsidRPr="002128D6">
        <w:rPr>
          <w:sz w:val="22"/>
          <w:szCs w:val="22"/>
          <w:lang w:val="sr-Latn-ME"/>
        </w:rPr>
        <w:t>o 5.2 Farmakokinetički podaci).</w:t>
      </w:r>
    </w:p>
    <w:p w14:paraId="33DA8B73" w14:textId="77777777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22480C2" w14:textId="77777777" w:rsidR="00D84A31" w:rsidRPr="002128D6" w:rsidRDefault="00D84A31" w:rsidP="00D84A3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>Ostalo</w:t>
      </w:r>
    </w:p>
    <w:p w14:paraId="2D6C8558" w14:textId="77777777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74445E7" w14:textId="2104CAB3" w:rsidR="00D84A31" w:rsidRPr="002128D6" w:rsidRDefault="00D84A31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L</w:t>
      </w:r>
      <w:r w:rsidR="00D0142E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 Myco</w:t>
      </w:r>
      <w:r w:rsidR="00D0142E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 xml:space="preserve"> tablete, treba sa oprezom prim</w:t>
      </w:r>
      <w:r w:rsidR="00D0142E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enjivati kod pacijenata sa eritemskim lupusom, jer su prijavljeni veoma r</w:t>
      </w:r>
      <w:r w:rsidR="00D0142E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etki slučajevi eritemskog lupusa.</w:t>
      </w:r>
    </w:p>
    <w:p w14:paraId="4FE0FDEF" w14:textId="3F24D6AA" w:rsidR="00F311B3" w:rsidRPr="002128D6" w:rsidRDefault="00F311B3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34C0251" w14:textId="44C8951D" w:rsidR="00F311B3" w:rsidRPr="002128D6" w:rsidRDefault="00F311B3" w:rsidP="00D84A3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Ovaj lijek sadrži manje od 1 mmol (23 mg) natrijuma po tableti, odnosno suštinski je bez natrijuma.</w:t>
      </w:r>
    </w:p>
    <w:p w14:paraId="6C2B14FB" w14:textId="77777777" w:rsidR="00057E35" w:rsidRPr="002128D6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4FC" w14:textId="77777777" w:rsidR="00411B4B" w:rsidRPr="002128D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>4.5.</w:t>
      </w:r>
      <w:r w:rsidR="000D60CC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C2B14FD" w14:textId="615A2441" w:rsidR="0072020E" w:rsidRPr="002128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7979EE" w14:textId="3AC92FA5" w:rsidR="00E16E00" w:rsidRPr="002128D6" w:rsidRDefault="00E16E00" w:rsidP="00E16E00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2128D6">
        <w:rPr>
          <w:b/>
          <w:sz w:val="22"/>
          <w:szCs w:val="22"/>
          <w:u w:val="single"/>
          <w:lang w:val="sr-Latn-ME"/>
        </w:rPr>
        <w:t>Uticaj drugih ljekova na terbinafin</w:t>
      </w:r>
    </w:p>
    <w:p w14:paraId="72478D87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E0D6DCD" w14:textId="4787DC29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Plazma klirens terbinafina mogu ubrzati l</w:t>
      </w:r>
      <w:r w:rsidR="00487471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ekovi koji indukuju metabolizam, a inhibirati l</w:t>
      </w:r>
      <w:r w:rsidR="00487471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ekovi koji inhibi</w:t>
      </w:r>
      <w:r w:rsidR="009A5925" w:rsidRPr="002128D6">
        <w:rPr>
          <w:sz w:val="22"/>
          <w:szCs w:val="22"/>
          <w:lang w:val="sr-Latn-ME"/>
        </w:rPr>
        <w:t>raju</w:t>
      </w:r>
      <w:r w:rsidRPr="002128D6">
        <w:rPr>
          <w:sz w:val="22"/>
          <w:szCs w:val="22"/>
          <w:lang w:val="sr-Latn-ME"/>
        </w:rPr>
        <w:t xml:space="preserve"> citohrom P450. Kada je neophodna istovremena prim</w:t>
      </w:r>
      <w:r w:rsidR="00487471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ena ovih l</w:t>
      </w:r>
      <w:r w:rsidR="00487471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ekova sa l</w:t>
      </w:r>
      <w:r w:rsidR="00487471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ekom Myco</w:t>
      </w:r>
      <w:r w:rsidR="00487471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>, potrebno je prilagoditi doziranje l</w:t>
      </w:r>
      <w:r w:rsidR="00487471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eka Myco</w:t>
      </w:r>
      <w:r w:rsidR="00FD5215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>.</w:t>
      </w:r>
    </w:p>
    <w:p w14:paraId="243A31C2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93A29C" w14:textId="4215E4E4" w:rsidR="00E16E00" w:rsidRPr="002128D6" w:rsidRDefault="00E16E00" w:rsidP="00E16E0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>Sl</w:t>
      </w:r>
      <w:r w:rsidR="009A5925" w:rsidRPr="002128D6">
        <w:rPr>
          <w:b/>
          <w:bCs/>
          <w:sz w:val="22"/>
          <w:szCs w:val="22"/>
          <w:lang w:val="sr-Latn-ME"/>
        </w:rPr>
        <w:t>j</w:t>
      </w:r>
      <w:r w:rsidRPr="002128D6">
        <w:rPr>
          <w:b/>
          <w:bCs/>
          <w:sz w:val="22"/>
          <w:szCs w:val="22"/>
          <w:lang w:val="sr-Latn-ME"/>
        </w:rPr>
        <w:t>edeći l</w:t>
      </w:r>
      <w:r w:rsidR="005C2F52" w:rsidRPr="002128D6">
        <w:rPr>
          <w:b/>
          <w:bCs/>
          <w:sz w:val="22"/>
          <w:szCs w:val="22"/>
          <w:lang w:val="sr-Latn-ME"/>
        </w:rPr>
        <w:t>j</w:t>
      </w:r>
      <w:r w:rsidRPr="002128D6">
        <w:rPr>
          <w:b/>
          <w:bCs/>
          <w:sz w:val="22"/>
          <w:szCs w:val="22"/>
          <w:lang w:val="sr-Latn-ME"/>
        </w:rPr>
        <w:t>ekovi mogu da povećaju dejstvo ili plazma koncentraciju terbinafina</w:t>
      </w:r>
    </w:p>
    <w:p w14:paraId="25D23149" w14:textId="616D4CFC" w:rsidR="00E16E00" w:rsidRPr="002128D6" w:rsidRDefault="00E16E00" w:rsidP="00E16E00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cimetidin smanjuje klirens terbinafina za 30%</w:t>
      </w:r>
    </w:p>
    <w:p w14:paraId="392F55B6" w14:textId="77777777" w:rsidR="00693503" w:rsidRPr="002128D6" w:rsidRDefault="00693503" w:rsidP="005357CF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ME"/>
        </w:rPr>
      </w:pPr>
    </w:p>
    <w:p w14:paraId="0BB9859B" w14:textId="5CFACA0E" w:rsidR="00E16E00" w:rsidRPr="002128D6" w:rsidRDefault="00E16E00" w:rsidP="00E16E00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flukonazol povećava Cmax i PIK terbinafina za 52% i 69% usl</w:t>
      </w:r>
      <w:r w:rsidR="00841867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ed inhibicije i CYP2C9 i CYP3A4 enzima. Slično povećanje u izloženosti se može javiti i kada se drugi l</w:t>
      </w:r>
      <w:r w:rsidR="00B07DB1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ekovi koji inhibiraju i CYP2C9 i CYP3A4 kao što su ketokonazol i am</w:t>
      </w:r>
      <w:r w:rsidR="00693503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odaron koriste istovremeno sa terbinafinom.</w:t>
      </w:r>
    </w:p>
    <w:p w14:paraId="674734BE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BF4806" w14:textId="73280067" w:rsidR="00E16E00" w:rsidRPr="002128D6" w:rsidRDefault="00E16E00" w:rsidP="00E16E0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>Sl</w:t>
      </w:r>
      <w:r w:rsidR="00B07DB1" w:rsidRPr="002128D6">
        <w:rPr>
          <w:b/>
          <w:bCs/>
          <w:sz w:val="22"/>
          <w:szCs w:val="22"/>
          <w:lang w:val="sr-Latn-ME"/>
        </w:rPr>
        <w:t>j</w:t>
      </w:r>
      <w:r w:rsidRPr="002128D6">
        <w:rPr>
          <w:b/>
          <w:bCs/>
          <w:sz w:val="22"/>
          <w:szCs w:val="22"/>
          <w:lang w:val="sr-Latn-ME"/>
        </w:rPr>
        <w:t>edeći l</w:t>
      </w:r>
      <w:r w:rsidR="00B07DB1" w:rsidRPr="002128D6">
        <w:rPr>
          <w:b/>
          <w:bCs/>
          <w:sz w:val="22"/>
          <w:szCs w:val="22"/>
          <w:lang w:val="sr-Latn-ME"/>
        </w:rPr>
        <w:t>j</w:t>
      </w:r>
      <w:r w:rsidRPr="002128D6">
        <w:rPr>
          <w:b/>
          <w:bCs/>
          <w:sz w:val="22"/>
          <w:szCs w:val="22"/>
          <w:lang w:val="sr-Latn-ME"/>
        </w:rPr>
        <w:t>ekovi mogu da smanje dejstvo ili plazma koncentraciju terbinafina</w:t>
      </w:r>
    </w:p>
    <w:p w14:paraId="123AD058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8B4E4D1" w14:textId="77777777" w:rsidR="00693503" w:rsidRPr="002128D6" w:rsidRDefault="00E16E00" w:rsidP="00E16E00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 xml:space="preserve">rifampicin povećava klirens terbinafina za 100%. </w:t>
      </w:r>
    </w:p>
    <w:p w14:paraId="7557825A" w14:textId="1C266304" w:rsidR="00E16E00" w:rsidRPr="002128D6" w:rsidRDefault="00E16E00" w:rsidP="005357CF">
      <w:pPr>
        <w:tabs>
          <w:tab w:val="left" w:pos="284"/>
        </w:tabs>
        <w:contextualSpacing/>
        <w:jc w:val="both"/>
        <w:rPr>
          <w:b/>
          <w:sz w:val="22"/>
          <w:szCs w:val="22"/>
          <w:lang w:val="sr-Latn-ME"/>
        </w:rPr>
      </w:pPr>
      <w:r w:rsidRPr="002128D6">
        <w:rPr>
          <w:b/>
          <w:sz w:val="22"/>
          <w:szCs w:val="22"/>
          <w:lang w:val="sr-Latn-ME"/>
        </w:rPr>
        <w:t>Uticaj terbinafina na druge l</w:t>
      </w:r>
      <w:r w:rsidR="004337A1" w:rsidRPr="002128D6">
        <w:rPr>
          <w:b/>
          <w:sz w:val="22"/>
          <w:szCs w:val="22"/>
          <w:lang w:val="sr-Latn-ME"/>
        </w:rPr>
        <w:t>j</w:t>
      </w:r>
      <w:r w:rsidRPr="002128D6">
        <w:rPr>
          <w:b/>
          <w:sz w:val="22"/>
          <w:szCs w:val="22"/>
          <w:lang w:val="sr-Latn-ME"/>
        </w:rPr>
        <w:t>ekove</w:t>
      </w:r>
    </w:p>
    <w:p w14:paraId="3930B45A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C83ABB3" w14:textId="7775EF53" w:rsidR="00E16E00" w:rsidRPr="002128D6" w:rsidRDefault="00E16E00" w:rsidP="00E16E0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>Terbinafin može da poveća dejstvo ili plazma koncentraciju sl</w:t>
      </w:r>
      <w:r w:rsidR="00693503" w:rsidRPr="002128D6">
        <w:rPr>
          <w:b/>
          <w:bCs/>
          <w:sz w:val="22"/>
          <w:szCs w:val="22"/>
          <w:lang w:val="sr-Latn-ME"/>
        </w:rPr>
        <w:t>j</w:t>
      </w:r>
      <w:r w:rsidRPr="002128D6">
        <w:rPr>
          <w:b/>
          <w:bCs/>
          <w:sz w:val="22"/>
          <w:szCs w:val="22"/>
          <w:lang w:val="sr-Latn-ME"/>
        </w:rPr>
        <w:t>edećih l</w:t>
      </w:r>
      <w:r w:rsidR="004337A1" w:rsidRPr="002128D6">
        <w:rPr>
          <w:b/>
          <w:bCs/>
          <w:sz w:val="22"/>
          <w:szCs w:val="22"/>
          <w:lang w:val="sr-Latn-ME"/>
        </w:rPr>
        <w:t>j</w:t>
      </w:r>
      <w:r w:rsidRPr="002128D6">
        <w:rPr>
          <w:b/>
          <w:bCs/>
          <w:sz w:val="22"/>
          <w:szCs w:val="22"/>
          <w:lang w:val="sr-Latn-ME"/>
        </w:rPr>
        <w:t>ekova</w:t>
      </w:r>
    </w:p>
    <w:p w14:paraId="025EC50D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8BA4118" w14:textId="55A13F14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Kofein - terbinafin smanjuje klirens intravenski prim</w:t>
      </w:r>
      <w:r w:rsidR="00693503" w:rsidRPr="002128D6">
        <w:rPr>
          <w:sz w:val="22"/>
          <w:szCs w:val="22"/>
          <w:lang w:val="sr-Latn-ME"/>
        </w:rPr>
        <w:t>i</w:t>
      </w:r>
      <w:r w:rsidR="004337A1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enjenog kofeina za 21%.</w:t>
      </w:r>
    </w:p>
    <w:p w14:paraId="6C5FE021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5263B7B" w14:textId="07B14176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 xml:space="preserve">Jedinjenja koja se pretežno metabolišu putem CYP2D6 - </w:t>
      </w:r>
      <w:r w:rsidRPr="002128D6">
        <w:rPr>
          <w:i/>
          <w:iCs/>
          <w:sz w:val="22"/>
          <w:szCs w:val="22"/>
          <w:lang w:val="sr-Latn-ME"/>
        </w:rPr>
        <w:t>In vitro</w:t>
      </w:r>
      <w:r w:rsidRPr="002128D6">
        <w:rPr>
          <w:sz w:val="22"/>
          <w:szCs w:val="22"/>
          <w:lang w:val="sr-Latn-ME"/>
        </w:rPr>
        <w:t xml:space="preserve"> i </w:t>
      </w:r>
      <w:r w:rsidRPr="002128D6">
        <w:rPr>
          <w:i/>
          <w:iCs/>
          <w:sz w:val="22"/>
          <w:szCs w:val="22"/>
          <w:lang w:val="sr-Latn-ME"/>
        </w:rPr>
        <w:t>in vivo</w:t>
      </w:r>
      <w:r w:rsidRPr="002128D6">
        <w:rPr>
          <w:sz w:val="22"/>
          <w:szCs w:val="22"/>
          <w:lang w:val="sr-Latn-ME"/>
        </w:rPr>
        <w:t xml:space="preserve"> ispitivanja pokazuju da terbinafin inhibi</w:t>
      </w:r>
      <w:r w:rsidR="00693503" w:rsidRPr="002128D6">
        <w:rPr>
          <w:sz w:val="22"/>
          <w:szCs w:val="22"/>
          <w:lang w:val="sr-Latn-ME"/>
        </w:rPr>
        <w:t>ra</w:t>
      </w:r>
      <w:r w:rsidRPr="002128D6">
        <w:rPr>
          <w:sz w:val="22"/>
          <w:szCs w:val="22"/>
          <w:lang w:val="sr-Latn-ME"/>
        </w:rPr>
        <w:t xml:space="preserve"> CYP2D6 posredovan metabolizam. Ovo može biti od kliničkog značaja za pacijente koji uzimaju l</w:t>
      </w:r>
      <w:r w:rsidR="006B5C1F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ekove koji se prvenstveno metabolišu preko CYP2D6 (npr. triciklični antidepresivi, beta blokatori, selektivni inhibitori ponovnog preuzimanja serotonina, antiaritmici (uključujući klasu 1A,1B i 1C) i inhibitori monoamino oksidaze tipa B), naročito ako imaju usku terapijsku širinu (vid</w:t>
      </w:r>
      <w:r w:rsidR="006B5C1F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eti d</w:t>
      </w:r>
      <w:r w:rsidR="006B5C1F" w:rsidRPr="002128D6">
        <w:rPr>
          <w:sz w:val="22"/>
          <w:szCs w:val="22"/>
          <w:lang w:val="sr-Latn-ME"/>
        </w:rPr>
        <w:t>i</w:t>
      </w:r>
      <w:r w:rsidRPr="002128D6">
        <w:rPr>
          <w:sz w:val="22"/>
          <w:szCs w:val="22"/>
          <w:lang w:val="sr-Latn-ME"/>
        </w:rPr>
        <w:t>o 4.4).</w:t>
      </w:r>
    </w:p>
    <w:p w14:paraId="16C49ECD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00CCC08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Terbinafin smanjuje klirens desipramina za 82%.</w:t>
      </w:r>
    </w:p>
    <w:p w14:paraId="55FC132A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2781E4E" w14:textId="1AA85ECC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U ispitivanjima kod zdravih ispitanika za koje se smatra da intenzivno metabolišu dekstrometorfan (antitusik i CYP2D6 probni supstrat), terbinafin je povećao dekstrometorfan/dekstrorfan metabolički odnos u urinu u pros</w:t>
      </w:r>
      <w:r w:rsidR="006B5C1F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eku za 16 do 97 puta. Tako da terbinafin može prevesti status onih koji su okarakterisani kao intezivni CYP2D6 metabolizeri (genotip) u slabe (fenotip).</w:t>
      </w:r>
    </w:p>
    <w:p w14:paraId="152F6D55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78204EF" w14:textId="3D790BD9" w:rsidR="00E16E00" w:rsidRPr="002128D6" w:rsidRDefault="00E16E00" w:rsidP="00E16E0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>L</w:t>
      </w:r>
      <w:r w:rsidR="00B277CD" w:rsidRPr="002128D6">
        <w:rPr>
          <w:b/>
          <w:bCs/>
          <w:sz w:val="22"/>
          <w:szCs w:val="22"/>
          <w:lang w:val="sr-Latn-ME"/>
        </w:rPr>
        <w:t>j</w:t>
      </w:r>
      <w:r w:rsidRPr="002128D6">
        <w:rPr>
          <w:b/>
          <w:bCs/>
          <w:sz w:val="22"/>
          <w:szCs w:val="22"/>
          <w:lang w:val="sr-Latn-ME"/>
        </w:rPr>
        <w:t>ekovi kod kojih se ne javlja ili se javlja neznatna interakcija sa terbinafinom</w:t>
      </w:r>
    </w:p>
    <w:p w14:paraId="3204215D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380ACC6" w14:textId="3628F76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 xml:space="preserve">Ispitivanja vršena </w:t>
      </w:r>
      <w:r w:rsidRPr="002128D6">
        <w:rPr>
          <w:i/>
          <w:iCs/>
          <w:sz w:val="22"/>
          <w:szCs w:val="22"/>
          <w:lang w:val="sr-Latn-ME"/>
        </w:rPr>
        <w:t>in vitro</w:t>
      </w:r>
      <w:r w:rsidRPr="002128D6">
        <w:rPr>
          <w:sz w:val="22"/>
          <w:szCs w:val="22"/>
          <w:lang w:val="sr-Latn-ME"/>
        </w:rPr>
        <w:t xml:space="preserve"> </w:t>
      </w:r>
      <w:r w:rsidR="00693503" w:rsidRPr="002128D6">
        <w:rPr>
          <w:sz w:val="22"/>
          <w:szCs w:val="22"/>
          <w:lang w:val="sr-Latn-ME"/>
        </w:rPr>
        <w:t xml:space="preserve">i </w:t>
      </w:r>
      <w:r w:rsidRPr="002128D6">
        <w:rPr>
          <w:sz w:val="22"/>
          <w:szCs w:val="22"/>
          <w:lang w:val="sr-Latn-ME"/>
        </w:rPr>
        <w:t>kod zdravih dobrovoljaca pokazuju da terbinafin zanemarljivo inhibi</w:t>
      </w:r>
      <w:r w:rsidR="00693503" w:rsidRPr="002128D6">
        <w:rPr>
          <w:sz w:val="22"/>
          <w:szCs w:val="22"/>
          <w:lang w:val="sr-Latn-ME"/>
        </w:rPr>
        <w:t>ra</w:t>
      </w:r>
      <w:r w:rsidRPr="002128D6">
        <w:rPr>
          <w:sz w:val="22"/>
          <w:szCs w:val="22"/>
          <w:lang w:val="sr-Latn-ME"/>
        </w:rPr>
        <w:t xml:space="preserve"> ili indukuje klirens </w:t>
      </w:r>
      <w:r w:rsidR="00693503" w:rsidRPr="002128D6">
        <w:rPr>
          <w:sz w:val="22"/>
          <w:szCs w:val="22"/>
          <w:lang w:val="sr-Latn-ME"/>
        </w:rPr>
        <w:t xml:space="preserve">većine </w:t>
      </w:r>
      <w:r w:rsidRPr="002128D6">
        <w:rPr>
          <w:sz w:val="22"/>
          <w:szCs w:val="22"/>
          <w:lang w:val="sr-Latn-ME"/>
        </w:rPr>
        <w:t>l</w:t>
      </w:r>
      <w:r w:rsidR="00B277CD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ekova koji se metabolišu putem citohrom P450 enzima (npr. tolbutamin, terfenadin, triazolam, oralni kontraceptivi) sa izuzetkom onih koji se metabolišu preko CYP2D6 (vid</w:t>
      </w:r>
      <w:r w:rsidR="00AA6BBD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eti u nastavku).</w:t>
      </w:r>
    </w:p>
    <w:p w14:paraId="5A71066A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D0FEC38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Terbinafin ne utiče na klirens antipirina ili digoksina.</w:t>
      </w:r>
    </w:p>
    <w:p w14:paraId="26E606C6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9E9905" w14:textId="3C1F735E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Terbinafin nema dejstvo na farmakokinetiku flukonazola. Takođe nije bilo klinički značajne interakcije između terbinafina i potencijalne istovremene prim</w:t>
      </w:r>
      <w:r w:rsidR="00AA6BBD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ene kotrimoksazola (trimetoprim i sulfametoksazol), zidovudina ili teofilina.</w:t>
      </w:r>
    </w:p>
    <w:p w14:paraId="1C612C69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6F17895" w14:textId="1D99A1C9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Prijavljeno je nekoliko slučajeva menstrualnih poremećaja (probojno krvarenje i neregularni ciklus) tokom istovremene prim</w:t>
      </w:r>
      <w:r w:rsidR="00AA6BBD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ene terbinafina i oralnih kontraceptiva, mada učestalost pojavljivanja ovih poremećaja ostaje iza učestalosti kod pacijentkinja koje koriste oralne kontraceptive kao monoterapiju.</w:t>
      </w:r>
    </w:p>
    <w:p w14:paraId="08ABCE10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20CFECC" w14:textId="228F802B" w:rsidR="00E16E00" w:rsidRPr="002128D6" w:rsidRDefault="00E16E00" w:rsidP="00E16E0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>Terbinafin može da smanji dejstvo ili plazma koncentraciju sl</w:t>
      </w:r>
      <w:r w:rsidR="00693503" w:rsidRPr="002128D6">
        <w:rPr>
          <w:b/>
          <w:bCs/>
          <w:sz w:val="22"/>
          <w:szCs w:val="22"/>
          <w:lang w:val="sr-Latn-ME"/>
        </w:rPr>
        <w:t>J</w:t>
      </w:r>
      <w:r w:rsidRPr="002128D6">
        <w:rPr>
          <w:b/>
          <w:bCs/>
          <w:sz w:val="22"/>
          <w:szCs w:val="22"/>
          <w:lang w:val="sr-Latn-ME"/>
        </w:rPr>
        <w:t>edećih l</w:t>
      </w:r>
      <w:r w:rsidR="00346D71" w:rsidRPr="002128D6">
        <w:rPr>
          <w:b/>
          <w:bCs/>
          <w:sz w:val="22"/>
          <w:szCs w:val="22"/>
          <w:lang w:val="sr-Latn-ME"/>
        </w:rPr>
        <w:t>j</w:t>
      </w:r>
      <w:r w:rsidRPr="002128D6">
        <w:rPr>
          <w:b/>
          <w:bCs/>
          <w:sz w:val="22"/>
          <w:szCs w:val="22"/>
          <w:lang w:val="sr-Latn-ME"/>
        </w:rPr>
        <w:t>ekova</w:t>
      </w:r>
    </w:p>
    <w:p w14:paraId="0797C0CA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3CBAF57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Terbinafin povećava klirens ciklosporina za 15%.</w:t>
      </w:r>
    </w:p>
    <w:p w14:paraId="18129205" w14:textId="777777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B78957F" w14:textId="0C1F6077" w:rsidR="00E16E00" w:rsidRPr="002128D6" w:rsidRDefault="00E16E00" w:rsidP="00E16E0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R</w:t>
      </w:r>
      <w:r w:rsidR="00346D71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etki su slučajevi prom</w:t>
      </w:r>
      <w:r w:rsidR="00346D71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ene u INR vr</w:t>
      </w:r>
      <w:r w:rsidR="00346D71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ednosti i/ili protrombinskog vr</w:t>
      </w:r>
      <w:r w:rsidR="00FC26D1" w:rsidRPr="002128D6">
        <w:rPr>
          <w:sz w:val="22"/>
          <w:szCs w:val="22"/>
          <w:lang w:val="sr-Latn-ME"/>
        </w:rPr>
        <w:t>ije</w:t>
      </w:r>
      <w:r w:rsidRPr="002128D6">
        <w:rPr>
          <w:sz w:val="22"/>
          <w:szCs w:val="22"/>
          <w:lang w:val="sr-Latn-ME"/>
        </w:rPr>
        <w:t>mena tokom istovremene prim</w:t>
      </w:r>
      <w:r w:rsidR="00FC26D1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ene terbinafina i varfarina.</w:t>
      </w:r>
    </w:p>
    <w:p w14:paraId="0A162050" w14:textId="77777777" w:rsidR="00E16E00" w:rsidRPr="002128D6" w:rsidRDefault="00E16E0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4FE" w14:textId="77777777" w:rsidR="0072020E" w:rsidRPr="002128D6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4.6.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="006D20A5" w:rsidRPr="002128D6">
        <w:rPr>
          <w:b/>
          <w:sz w:val="22"/>
          <w:szCs w:val="22"/>
          <w:lang w:val="sr-Latn-ME"/>
        </w:rPr>
        <w:t>Plodnost, trudnoća i dojenje</w:t>
      </w:r>
    </w:p>
    <w:p w14:paraId="6C2B14FF" w14:textId="77777777" w:rsidR="002031B3" w:rsidRPr="002128D6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6C2B1500" w14:textId="77777777" w:rsidR="002031B3" w:rsidRPr="002128D6" w:rsidRDefault="002031B3" w:rsidP="002031B3">
      <w:pPr>
        <w:tabs>
          <w:tab w:val="left" w:pos="540"/>
          <w:tab w:val="left" w:pos="569"/>
        </w:tabs>
        <w:rPr>
          <w:b/>
          <w:sz w:val="22"/>
          <w:szCs w:val="22"/>
          <w:u w:val="single"/>
          <w:lang w:val="sr-Latn-ME"/>
        </w:rPr>
      </w:pPr>
      <w:r w:rsidRPr="002128D6">
        <w:rPr>
          <w:b/>
          <w:sz w:val="22"/>
          <w:szCs w:val="22"/>
          <w:u w:val="single"/>
          <w:lang w:val="sr-Latn-ME"/>
        </w:rPr>
        <w:t>Plodnost</w:t>
      </w:r>
    </w:p>
    <w:p w14:paraId="6C2B1501" w14:textId="5198C490" w:rsidR="002031B3" w:rsidRPr="002128D6" w:rsidRDefault="002031B3" w:rsidP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602FD74" w14:textId="5DADF29C" w:rsidR="004F11F8" w:rsidRPr="002128D6" w:rsidRDefault="004F11F8" w:rsidP="004F11F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Studije fetalne toksičnosti i fertiliteta kod životinja ni</w:t>
      </w:r>
      <w:r w:rsidR="00394115" w:rsidRPr="002128D6">
        <w:rPr>
          <w:sz w:val="22"/>
          <w:szCs w:val="22"/>
          <w:lang w:val="sr-Latn-ME"/>
        </w:rPr>
        <w:t>je</w:t>
      </w:r>
      <w:r w:rsidRPr="002128D6">
        <w:rPr>
          <w:sz w:val="22"/>
          <w:szCs w:val="22"/>
          <w:lang w:val="sr-Latn-ME"/>
        </w:rPr>
        <w:t>su pokazale postojanje neželjenih dejstava.</w:t>
      </w:r>
    </w:p>
    <w:p w14:paraId="413EFE97" w14:textId="77777777" w:rsidR="004F11F8" w:rsidRPr="002128D6" w:rsidRDefault="004F11F8" w:rsidP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6C2B1502" w14:textId="77777777" w:rsidR="007A3ECB" w:rsidRPr="002128D6" w:rsidRDefault="007A3ECB" w:rsidP="00480FB1">
      <w:pPr>
        <w:tabs>
          <w:tab w:val="left" w:pos="540"/>
          <w:tab w:val="left" w:pos="569"/>
        </w:tabs>
        <w:rPr>
          <w:b/>
          <w:sz w:val="22"/>
          <w:szCs w:val="22"/>
          <w:u w:val="single"/>
          <w:lang w:val="sr-Latn-ME"/>
        </w:rPr>
      </w:pPr>
      <w:r w:rsidRPr="002128D6">
        <w:rPr>
          <w:b/>
          <w:sz w:val="22"/>
          <w:szCs w:val="22"/>
          <w:u w:val="single"/>
          <w:lang w:val="sr-Latn-ME"/>
        </w:rPr>
        <w:t>Trudnoća</w:t>
      </w:r>
    </w:p>
    <w:p w14:paraId="6C2B1503" w14:textId="75EA382B" w:rsidR="002031B3" w:rsidRPr="002128D6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2B4F53F9" w14:textId="5AB8FB86" w:rsidR="00A05A74" w:rsidRPr="002128D6" w:rsidRDefault="00A05A74" w:rsidP="00A05A7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Studije fetalne toksičnosti i fertiliteta kod životinja ni</w:t>
      </w:r>
      <w:r w:rsidR="00693503" w:rsidRPr="002128D6">
        <w:rPr>
          <w:sz w:val="22"/>
          <w:szCs w:val="22"/>
          <w:lang w:val="sr-Latn-ME"/>
        </w:rPr>
        <w:t>je</w:t>
      </w:r>
      <w:r w:rsidRPr="002128D6">
        <w:rPr>
          <w:sz w:val="22"/>
          <w:szCs w:val="22"/>
          <w:lang w:val="sr-Latn-ME"/>
        </w:rPr>
        <w:t>su pokazale postojanje neželjenih dejstava.</w:t>
      </w:r>
    </w:p>
    <w:p w14:paraId="1D554E00" w14:textId="77777777" w:rsidR="00A05A74" w:rsidRPr="002128D6" w:rsidRDefault="00A05A74" w:rsidP="00A05A7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C9E27F8" w14:textId="49683AC5" w:rsidR="00A05A74" w:rsidRPr="002128D6" w:rsidRDefault="00A05A74" w:rsidP="00A05A7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lastRenderedPageBreak/>
        <w:t>Ne postoje klinička iskustva vezana za primjenu terbinafina kod trudnica, zbog toga l</w:t>
      </w:r>
      <w:r w:rsidR="00010BB1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 Myco</w:t>
      </w:r>
      <w:r w:rsidR="00010BB1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 xml:space="preserve"> ne treba da koriste trudnice osim ako kliničko stanje ne zaht</w:t>
      </w:r>
      <w:r w:rsidR="00693503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eva prim</w:t>
      </w:r>
      <w:r w:rsidR="00010BB1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enu oralne terapije terbinafinom i ukoliko potencijalna korist za majku ne premašuje potencijalni rizik za fetus.</w:t>
      </w:r>
    </w:p>
    <w:p w14:paraId="432D4417" w14:textId="77777777" w:rsidR="00A05A74" w:rsidRPr="002128D6" w:rsidRDefault="00A05A74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6C2B1504" w14:textId="77777777" w:rsidR="0072020E" w:rsidRPr="002128D6" w:rsidRDefault="007A3EC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sz w:val="22"/>
          <w:szCs w:val="22"/>
          <w:u w:val="single"/>
          <w:lang w:val="sr-Latn-ME"/>
        </w:rPr>
        <w:t xml:space="preserve">Dojenje </w:t>
      </w:r>
    </w:p>
    <w:p w14:paraId="6C2B1505" w14:textId="6D8A7203" w:rsidR="00227BDB" w:rsidRPr="002128D6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1E91330A" w14:textId="695D00A6" w:rsidR="009E7EFB" w:rsidRPr="002128D6" w:rsidRDefault="009E7EFB" w:rsidP="009E7EF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Terbinafin se izlučuje u majčino ml</w:t>
      </w:r>
      <w:r w:rsidR="006C0A70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eko i zbog toga majke koje doje ne smiju da koriste lijek Mycocur.</w:t>
      </w:r>
    </w:p>
    <w:p w14:paraId="7344DAD1" w14:textId="77777777" w:rsidR="009E7EFB" w:rsidRPr="002128D6" w:rsidRDefault="009E7EF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6C2B1506" w14:textId="268819FF" w:rsidR="0072020E" w:rsidRPr="002128D6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4.7.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 xml:space="preserve">Uticaj na </w:t>
      </w:r>
      <w:r w:rsidR="002031B3" w:rsidRPr="002128D6">
        <w:rPr>
          <w:b/>
          <w:bCs/>
          <w:sz w:val="22"/>
          <w:szCs w:val="22"/>
          <w:lang w:val="sr-Latn-ME"/>
        </w:rPr>
        <w:t xml:space="preserve">sposobnost </w:t>
      </w:r>
      <w:r w:rsidR="00F34554" w:rsidRPr="002128D6">
        <w:rPr>
          <w:b/>
          <w:bCs/>
          <w:sz w:val="22"/>
          <w:szCs w:val="22"/>
          <w:lang w:val="sr-Latn-ME"/>
        </w:rPr>
        <w:t>upravljanja vozili</w:t>
      </w:r>
      <w:r w:rsidRPr="002128D6">
        <w:rPr>
          <w:b/>
          <w:bCs/>
          <w:sz w:val="22"/>
          <w:szCs w:val="22"/>
          <w:lang w:val="sr-Latn-ME"/>
        </w:rPr>
        <w:t>m</w:t>
      </w:r>
      <w:r w:rsidR="00F34554" w:rsidRPr="002128D6">
        <w:rPr>
          <w:b/>
          <w:bCs/>
          <w:sz w:val="22"/>
          <w:szCs w:val="22"/>
          <w:lang w:val="sr-Latn-ME"/>
        </w:rPr>
        <w:t>a</w:t>
      </w:r>
      <w:r w:rsidRPr="002128D6">
        <w:rPr>
          <w:b/>
          <w:bCs/>
          <w:sz w:val="22"/>
          <w:szCs w:val="22"/>
          <w:lang w:val="sr-Latn-ME"/>
        </w:rPr>
        <w:t xml:space="preserve"> i </w:t>
      </w:r>
      <w:r w:rsidR="000D3449" w:rsidRPr="002128D6">
        <w:rPr>
          <w:b/>
          <w:bCs/>
          <w:sz w:val="22"/>
          <w:szCs w:val="22"/>
          <w:lang w:val="sr-Latn-ME"/>
        </w:rPr>
        <w:t xml:space="preserve">rukovanje </w:t>
      </w:r>
      <w:r w:rsidRPr="002128D6">
        <w:rPr>
          <w:b/>
          <w:bCs/>
          <w:sz w:val="22"/>
          <w:szCs w:val="22"/>
          <w:lang w:val="sr-Latn-ME"/>
        </w:rPr>
        <w:t>mašinama</w:t>
      </w:r>
    </w:p>
    <w:p w14:paraId="6C2B1507" w14:textId="4DB24A1F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977A89C" w14:textId="44E3FE7F" w:rsidR="008A2CF0" w:rsidRPr="002128D6" w:rsidRDefault="008A2CF0" w:rsidP="008A2C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Ni</w:t>
      </w:r>
      <w:r w:rsidR="00581A8A" w:rsidRPr="002128D6">
        <w:rPr>
          <w:sz w:val="22"/>
          <w:szCs w:val="22"/>
          <w:lang w:val="sr-Latn-ME"/>
        </w:rPr>
        <w:t>je</w:t>
      </w:r>
      <w:r w:rsidRPr="002128D6">
        <w:rPr>
          <w:sz w:val="22"/>
          <w:szCs w:val="22"/>
          <w:lang w:val="sr-Latn-ME"/>
        </w:rPr>
        <w:t>su izvođena ispitivanja uticaja terbinafina na psihofizičke sposobnosti prilikom upravljanja vozilima i rukovanja mašinama. Pacijenti kod kojih se javlja vrtoglavica kao neželjeno dejstvo treba da izbjegavaju upravljanje vozilom ili rukovanje mašinama.</w:t>
      </w:r>
    </w:p>
    <w:p w14:paraId="66F35262" w14:textId="77777777" w:rsidR="008A2CF0" w:rsidRPr="002128D6" w:rsidRDefault="008A2CF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2B1508" w14:textId="77777777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4.8.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Neželjena dejstva</w:t>
      </w:r>
    </w:p>
    <w:p w14:paraId="6C2B1509" w14:textId="4ADB5326" w:rsidR="004E70AD" w:rsidRPr="002128D6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328FF52" w14:textId="6727A03D" w:rsidR="009708A5" w:rsidRPr="002128D6" w:rsidRDefault="009708A5" w:rsidP="009708A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128D6">
        <w:rPr>
          <w:noProof/>
          <w:sz w:val="22"/>
          <w:szCs w:val="22"/>
          <w:lang w:val="sr-Latn-ME"/>
        </w:rPr>
        <w:t>Neželjena dejstva su uglavnom blaga do umjerena i prolazna. Navedena neželjena dejstva zapažena su u kliničkim ispitivanjima i u postmarketinškom iskustvu.</w:t>
      </w:r>
    </w:p>
    <w:p w14:paraId="66D7D0BE" w14:textId="77777777" w:rsidR="009708A5" w:rsidRPr="002128D6" w:rsidRDefault="009708A5" w:rsidP="009708A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06FEEB5" w14:textId="1135B79F" w:rsidR="009708A5" w:rsidRPr="002128D6" w:rsidRDefault="009708A5" w:rsidP="009708A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128D6">
        <w:rPr>
          <w:noProof/>
          <w:sz w:val="22"/>
          <w:szCs w:val="22"/>
          <w:lang w:val="sr-Latn-ME"/>
        </w:rPr>
        <w:t>Neželjena dejstva rangirana su prema opadajućoj učestalosti, koristeći sljedeću konvenciju: veoma česta (</w:t>
      </w:r>
      <w:bookmarkStart w:id="0" w:name="_Hlk62465671"/>
      <w:r w:rsidRPr="002128D6">
        <w:rPr>
          <w:noProof/>
          <w:sz w:val="22"/>
          <w:szCs w:val="22"/>
          <w:lang w:val="sr-Latn-ME"/>
        </w:rPr>
        <w:t>≥</w:t>
      </w:r>
      <w:bookmarkEnd w:id="0"/>
      <w:r w:rsidRPr="002128D6">
        <w:rPr>
          <w:noProof/>
          <w:sz w:val="22"/>
          <w:szCs w:val="22"/>
          <w:lang w:val="sr-Latn-ME"/>
        </w:rPr>
        <w:t>1/10), česta (≥1/100, &lt;1/10), povremena (≥1/1000, &lt;1/100), r</w:t>
      </w:r>
      <w:r w:rsidR="001C36BB" w:rsidRPr="002128D6">
        <w:rPr>
          <w:noProof/>
          <w:sz w:val="22"/>
          <w:szCs w:val="22"/>
          <w:lang w:val="sr-Latn-ME"/>
        </w:rPr>
        <w:t>ij</w:t>
      </w:r>
      <w:r w:rsidRPr="002128D6">
        <w:rPr>
          <w:noProof/>
          <w:sz w:val="22"/>
          <w:szCs w:val="22"/>
          <w:lang w:val="sr-Latn-ME"/>
        </w:rPr>
        <w:t>etka (≥1/10000 &lt;1/1000), veoma r</w:t>
      </w:r>
      <w:r w:rsidR="001C36BB" w:rsidRPr="002128D6">
        <w:rPr>
          <w:noProof/>
          <w:sz w:val="22"/>
          <w:szCs w:val="22"/>
          <w:lang w:val="sr-Latn-ME"/>
        </w:rPr>
        <w:t>ij</w:t>
      </w:r>
      <w:r w:rsidRPr="002128D6">
        <w:rPr>
          <w:noProof/>
          <w:sz w:val="22"/>
          <w:szCs w:val="22"/>
          <w:lang w:val="sr-Latn-ME"/>
        </w:rPr>
        <w:t>etka (&lt;1/10000), nepoznata (učestalost se ne može proc</w:t>
      </w:r>
      <w:r w:rsidR="00581A8A" w:rsidRPr="002128D6">
        <w:rPr>
          <w:noProof/>
          <w:sz w:val="22"/>
          <w:szCs w:val="22"/>
          <w:lang w:val="sr-Latn-ME"/>
        </w:rPr>
        <w:t>ij</w:t>
      </w:r>
      <w:r w:rsidRPr="002128D6">
        <w:rPr>
          <w:noProof/>
          <w:sz w:val="22"/>
          <w:szCs w:val="22"/>
          <w:lang w:val="sr-Latn-ME"/>
        </w:rPr>
        <w:t>eniti iz dostupnih podataka) uključujući izolovane slučajeve.</w:t>
      </w:r>
    </w:p>
    <w:p w14:paraId="5B11A694" w14:textId="4D5FEFFB" w:rsidR="009708A5" w:rsidRPr="002128D6" w:rsidRDefault="009708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2"/>
        <w:gridCol w:w="5511"/>
      </w:tblGrid>
      <w:tr w:rsidR="00FA597B" w:rsidRPr="002128D6" w14:paraId="3561EB41" w14:textId="77777777" w:rsidTr="0024698E">
        <w:tc>
          <w:tcPr>
            <w:tcW w:w="9855" w:type="dxa"/>
            <w:gridSpan w:val="2"/>
          </w:tcPr>
          <w:p w14:paraId="37904989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Poremećaj krvi i limfnog sistema</w:t>
            </w:r>
          </w:p>
        </w:tc>
      </w:tr>
      <w:tr w:rsidR="00FA597B" w:rsidRPr="002128D6" w14:paraId="0C500939" w14:textId="77777777" w:rsidTr="0024698E">
        <w:tc>
          <w:tcPr>
            <w:tcW w:w="3794" w:type="dxa"/>
          </w:tcPr>
          <w:p w14:paraId="088AF854" w14:textId="7536125C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Veoma rijetko</w:t>
            </w:r>
          </w:p>
        </w:tc>
        <w:tc>
          <w:tcPr>
            <w:tcW w:w="6061" w:type="dxa"/>
          </w:tcPr>
          <w:p w14:paraId="56656E94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Neutropenija, agranulocitoza, trombocitopenija</w:t>
            </w:r>
          </w:p>
        </w:tc>
      </w:tr>
      <w:tr w:rsidR="00FA597B" w:rsidRPr="002128D6" w14:paraId="5BD3D70E" w14:textId="77777777" w:rsidTr="0024698E">
        <w:tc>
          <w:tcPr>
            <w:tcW w:w="3794" w:type="dxa"/>
          </w:tcPr>
          <w:p w14:paraId="757E80EF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6061" w:type="dxa"/>
          </w:tcPr>
          <w:p w14:paraId="112537A1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Anemija, pancitopenija</w:t>
            </w:r>
          </w:p>
        </w:tc>
      </w:tr>
      <w:tr w:rsidR="00FA597B" w:rsidRPr="002128D6" w14:paraId="11EC1401" w14:textId="77777777" w:rsidTr="0024698E">
        <w:tc>
          <w:tcPr>
            <w:tcW w:w="9855" w:type="dxa"/>
            <w:gridSpan w:val="2"/>
          </w:tcPr>
          <w:p w14:paraId="68EE1D6F" w14:textId="18A46A54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Poremećaji imunog sistema</w:t>
            </w:r>
          </w:p>
        </w:tc>
      </w:tr>
      <w:tr w:rsidR="00FA597B" w:rsidRPr="002128D6" w14:paraId="5A762D91" w14:textId="77777777" w:rsidTr="0024698E">
        <w:tc>
          <w:tcPr>
            <w:tcW w:w="3794" w:type="dxa"/>
          </w:tcPr>
          <w:p w14:paraId="28C81453" w14:textId="47C7E2B9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Veoma r</w:t>
            </w:r>
            <w:r w:rsidR="00445922" w:rsidRPr="002128D6">
              <w:rPr>
                <w:noProof/>
                <w:sz w:val="22"/>
                <w:szCs w:val="22"/>
                <w:lang w:val="sr-Latn-ME"/>
              </w:rPr>
              <w:t>ij</w:t>
            </w:r>
            <w:r w:rsidRPr="002128D6">
              <w:rPr>
                <w:noProof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6061" w:type="dxa"/>
          </w:tcPr>
          <w:p w14:paraId="1EC08334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Anafilaktoidne reakcije  (uključujući  i  angioedem),  kožni  i  sistemski eritemski lupus</w:t>
            </w:r>
          </w:p>
        </w:tc>
      </w:tr>
      <w:tr w:rsidR="00FA597B" w:rsidRPr="002128D6" w14:paraId="08F047F0" w14:textId="77777777" w:rsidTr="0024698E">
        <w:tc>
          <w:tcPr>
            <w:tcW w:w="3794" w:type="dxa"/>
          </w:tcPr>
          <w:p w14:paraId="02BEFF0D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6061" w:type="dxa"/>
          </w:tcPr>
          <w:p w14:paraId="744B545C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Anafilaktičke reakcije, reakcija slična serumskoj bolesti</w:t>
            </w:r>
          </w:p>
        </w:tc>
      </w:tr>
      <w:tr w:rsidR="00FA597B" w:rsidRPr="002128D6" w14:paraId="14BBA81C" w14:textId="77777777" w:rsidTr="0024698E">
        <w:tc>
          <w:tcPr>
            <w:tcW w:w="9855" w:type="dxa"/>
            <w:gridSpan w:val="2"/>
          </w:tcPr>
          <w:p w14:paraId="050465A2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Poremećaji metabolizma i ishrane</w:t>
            </w:r>
          </w:p>
        </w:tc>
      </w:tr>
      <w:tr w:rsidR="00FA597B" w:rsidRPr="002128D6" w14:paraId="741BBBAB" w14:textId="77777777" w:rsidTr="0024698E">
        <w:tc>
          <w:tcPr>
            <w:tcW w:w="3794" w:type="dxa"/>
          </w:tcPr>
          <w:p w14:paraId="7E2CECBF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6061" w:type="dxa"/>
          </w:tcPr>
          <w:p w14:paraId="1C834C88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Smanjen apetit</w:t>
            </w:r>
          </w:p>
        </w:tc>
      </w:tr>
      <w:tr w:rsidR="00FA597B" w:rsidRPr="002128D6" w14:paraId="5B62D8B9" w14:textId="77777777" w:rsidTr="0024698E">
        <w:tc>
          <w:tcPr>
            <w:tcW w:w="9855" w:type="dxa"/>
            <w:gridSpan w:val="2"/>
          </w:tcPr>
          <w:p w14:paraId="66FB8D26" w14:textId="77777777" w:rsidR="00FA597B" w:rsidRPr="002128D6" w:rsidRDefault="00FA597B" w:rsidP="00FA597B">
            <w:pPr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Psihijatrijski poremećaji</w:t>
            </w:r>
          </w:p>
        </w:tc>
      </w:tr>
      <w:tr w:rsidR="00FA597B" w:rsidRPr="002128D6" w14:paraId="0C9EF13E" w14:textId="77777777" w:rsidTr="0024698E">
        <w:tc>
          <w:tcPr>
            <w:tcW w:w="3794" w:type="dxa"/>
          </w:tcPr>
          <w:p w14:paraId="7A211CF3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6061" w:type="dxa"/>
          </w:tcPr>
          <w:p w14:paraId="63609E1F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 xml:space="preserve">Anksioznost i simptomi </w:t>
            </w:r>
          </w:p>
        </w:tc>
      </w:tr>
      <w:tr w:rsidR="00FA597B" w:rsidRPr="002128D6" w14:paraId="46AFA293" w14:textId="77777777" w:rsidTr="0024698E">
        <w:tc>
          <w:tcPr>
            <w:tcW w:w="9855" w:type="dxa"/>
            <w:gridSpan w:val="2"/>
          </w:tcPr>
          <w:p w14:paraId="4899932B" w14:textId="77777777" w:rsidR="00FA597B" w:rsidRPr="002128D6" w:rsidRDefault="00FA597B" w:rsidP="00FA597B">
            <w:pPr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Poremećaji nervnog sistema</w:t>
            </w:r>
          </w:p>
        </w:tc>
      </w:tr>
      <w:tr w:rsidR="00FA597B" w:rsidRPr="002128D6" w14:paraId="5F177CEB" w14:textId="77777777" w:rsidTr="0024698E">
        <w:tc>
          <w:tcPr>
            <w:tcW w:w="3794" w:type="dxa"/>
          </w:tcPr>
          <w:p w14:paraId="5AFCC5F4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6061" w:type="dxa"/>
          </w:tcPr>
          <w:p w14:paraId="2E4318B4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Glavobolja</w:t>
            </w:r>
          </w:p>
        </w:tc>
      </w:tr>
      <w:tr w:rsidR="00FA597B" w:rsidRPr="002128D6" w14:paraId="261A3507" w14:textId="77777777" w:rsidTr="0024698E">
        <w:tc>
          <w:tcPr>
            <w:tcW w:w="3794" w:type="dxa"/>
          </w:tcPr>
          <w:p w14:paraId="232020CF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6061" w:type="dxa"/>
          </w:tcPr>
          <w:p w14:paraId="22976C15" w14:textId="7E5339A1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Poremećaj čula ukusa,  uključujući i  gubitak os</w:t>
            </w:r>
            <w:r w:rsidR="00F91A4A" w:rsidRPr="002128D6">
              <w:rPr>
                <w:noProof/>
                <w:sz w:val="22"/>
                <w:szCs w:val="22"/>
                <w:lang w:val="sr-Latn-ME"/>
              </w:rPr>
              <w:t>j</w:t>
            </w:r>
            <w:r w:rsidRPr="002128D6">
              <w:rPr>
                <w:noProof/>
                <w:sz w:val="22"/>
                <w:szCs w:val="22"/>
                <w:lang w:val="sr-Latn-ME"/>
              </w:rPr>
              <w:t xml:space="preserve">ećaja za ukus  koji se obično polako vraća nekoliko </w:t>
            </w:r>
            <w:r w:rsidR="008A2DE3" w:rsidRPr="002128D6">
              <w:rPr>
                <w:noProof/>
                <w:sz w:val="22"/>
                <w:szCs w:val="22"/>
                <w:lang w:val="sr-Latn-ME"/>
              </w:rPr>
              <w:t>nedjelj</w:t>
            </w:r>
            <w:r w:rsidRPr="002128D6">
              <w:rPr>
                <w:noProof/>
                <w:sz w:val="22"/>
                <w:szCs w:val="22"/>
                <w:lang w:val="sr-Latn-ME"/>
              </w:rPr>
              <w:t>a nakon prestanka uzimanja l</w:t>
            </w:r>
            <w:r w:rsidR="00F91A4A" w:rsidRPr="002128D6">
              <w:rPr>
                <w:noProof/>
                <w:sz w:val="22"/>
                <w:szCs w:val="22"/>
                <w:lang w:val="sr-Latn-ME"/>
              </w:rPr>
              <w:t>ij</w:t>
            </w:r>
            <w:r w:rsidRPr="002128D6">
              <w:rPr>
                <w:noProof/>
                <w:sz w:val="22"/>
                <w:szCs w:val="22"/>
                <w:lang w:val="sr-Latn-ME"/>
              </w:rPr>
              <w:t>eka. Prijavljeni su izolovani slučajevi dužeg poremećaja čula ukusa</w:t>
            </w:r>
            <w:r w:rsidR="00F91A4A" w:rsidRPr="002128D6">
              <w:rPr>
                <w:noProof/>
                <w:sz w:val="22"/>
                <w:szCs w:val="22"/>
                <w:lang w:val="sr-Latn-ME"/>
              </w:rPr>
              <w:t>.</w:t>
            </w:r>
            <w:r w:rsidRPr="002128D6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FA597B" w:rsidRPr="002128D6" w14:paraId="1B6B3382" w14:textId="77777777" w:rsidTr="0024698E">
        <w:tc>
          <w:tcPr>
            <w:tcW w:w="3794" w:type="dxa"/>
          </w:tcPr>
          <w:p w14:paraId="56710763" w14:textId="170F230B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R</w:t>
            </w:r>
            <w:r w:rsidR="00F91A4A" w:rsidRPr="002128D6">
              <w:rPr>
                <w:noProof/>
                <w:sz w:val="22"/>
                <w:szCs w:val="22"/>
                <w:lang w:val="sr-Latn-ME"/>
              </w:rPr>
              <w:t>ij</w:t>
            </w:r>
            <w:r w:rsidRPr="002128D6">
              <w:rPr>
                <w:noProof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6061" w:type="dxa"/>
          </w:tcPr>
          <w:p w14:paraId="4935437F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Parestezija, hipoestezija, vrtoglavica</w:t>
            </w:r>
          </w:p>
        </w:tc>
      </w:tr>
      <w:tr w:rsidR="00FA597B" w:rsidRPr="002128D6" w14:paraId="6113C9AE" w14:textId="77777777" w:rsidTr="0024698E">
        <w:tc>
          <w:tcPr>
            <w:tcW w:w="3794" w:type="dxa"/>
          </w:tcPr>
          <w:p w14:paraId="7AA3C9EE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6061" w:type="dxa"/>
          </w:tcPr>
          <w:p w14:paraId="7886A924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Anosmija uključujući trajnu anosmiju i hiposmiju</w:t>
            </w:r>
          </w:p>
        </w:tc>
      </w:tr>
      <w:tr w:rsidR="00FA597B" w:rsidRPr="002128D6" w14:paraId="0C3D1827" w14:textId="77777777" w:rsidTr="0024698E">
        <w:tc>
          <w:tcPr>
            <w:tcW w:w="9855" w:type="dxa"/>
            <w:gridSpan w:val="2"/>
          </w:tcPr>
          <w:p w14:paraId="4F2CFEF0" w14:textId="77777777" w:rsidR="00FA597B" w:rsidRPr="002128D6" w:rsidRDefault="00FA597B" w:rsidP="00FA597B">
            <w:pPr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Poremećaji oka</w:t>
            </w:r>
          </w:p>
        </w:tc>
      </w:tr>
      <w:tr w:rsidR="00FA597B" w:rsidRPr="002128D6" w14:paraId="4D99D9C7" w14:textId="77777777" w:rsidTr="0024698E">
        <w:tc>
          <w:tcPr>
            <w:tcW w:w="3794" w:type="dxa"/>
          </w:tcPr>
          <w:p w14:paraId="1ED45747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6061" w:type="dxa"/>
          </w:tcPr>
          <w:p w14:paraId="532500BB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Poremećaj vida, zamućeni vid, smanjena oštrina vida</w:t>
            </w:r>
          </w:p>
        </w:tc>
      </w:tr>
      <w:tr w:rsidR="00FA597B" w:rsidRPr="002128D6" w14:paraId="3A935615" w14:textId="77777777" w:rsidTr="0024698E">
        <w:tc>
          <w:tcPr>
            <w:tcW w:w="9855" w:type="dxa"/>
            <w:gridSpan w:val="2"/>
          </w:tcPr>
          <w:p w14:paraId="22448AF3" w14:textId="77777777" w:rsidR="00FA597B" w:rsidRPr="002128D6" w:rsidRDefault="00FA597B" w:rsidP="00FA597B">
            <w:pPr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Poremećaji uha i labirinta</w:t>
            </w:r>
          </w:p>
        </w:tc>
      </w:tr>
      <w:tr w:rsidR="00FA597B" w:rsidRPr="002128D6" w14:paraId="73C49ECB" w14:textId="77777777" w:rsidTr="0024698E">
        <w:tc>
          <w:tcPr>
            <w:tcW w:w="3794" w:type="dxa"/>
          </w:tcPr>
          <w:p w14:paraId="415A3A3F" w14:textId="01256B98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Veoma r</w:t>
            </w:r>
            <w:r w:rsidR="00F65010" w:rsidRPr="002128D6">
              <w:rPr>
                <w:noProof/>
                <w:sz w:val="22"/>
                <w:szCs w:val="22"/>
                <w:lang w:val="sr-Latn-ME"/>
              </w:rPr>
              <w:t>ij</w:t>
            </w:r>
            <w:r w:rsidRPr="002128D6">
              <w:rPr>
                <w:noProof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6061" w:type="dxa"/>
          </w:tcPr>
          <w:p w14:paraId="3D795BD4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Vertigo</w:t>
            </w:r>
          </w:p>
        </w:tc>
      </w:tr>
      <w:tr w:rsidR="00FA597B" w:rsidRPr="002128D6" w14:paraId="39709FFE" w14:textId="77777777" w:rsidTr="0024698E">
        <w:tc>
          <w:tcPr>
            <w:tcW w:w="3794" w:type="dxa"/>
          </w:tcPr>
          <w:p w14:paraId="590CB639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6061" w:type="dxa"/>
          </w:tcPr>
          <w:p w14:paraId="57B798E0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Hipoakuzija, oštećenje sluha, tinitus</w:t>
            </w:r>
          </w:p>
        </w:tc>
      </w:tr>
      <w:tr w:rsidR="00FA597B" w:rsidRPr="002128D6" w14:paraId="6AF984C2" w14:textId="77777777" w:rsidTr="0024698E">
        <w:tc>
          <w:tcPr>
            <w:tcW w:w="9855" w:type="dxa"/>
            <w:gridSpan w:val="2"/>
          </w:tcPr>
          <w:p w14:paraId="30B6AC37" w14:textId="77777777" w:rsidR="00FA597B" w:rsidRPr="002128D6" w:rsidRDefault="00FA597B" w:rsidP="00FA597B">
            <w:pPr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Vaskularni poremećaji</w:t>
            </w:r>
          </w:p>
        </w:tc>
      </w:tr>
      <w:tr w:rsidR="00FA597B" w:rsidRPr="002128D6" w14:paraId="7FB715D0" w14:textId="77777777" w:rsidTr="0024698E">
        <w:tc>
          <w:tcPr>
            <w:tcW w:w="3794" w:type="dxa"/>
          </w:tcPr>
          <w:p w14:paraId="0166EAF6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6061" w:type="dxa"/>
          </w:tcPr>
          <w:p w14:paraId="645082CE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Vaskulitis</w:t>
            </w:r>
          </w:p>
        </w:tc>
      </w:tr>
      <w:tr w:rsidR="00FA597B" w:rsidRPr="002128D6" w14:paraId="55D25959" w14:textId="77777777" w:rsidTr="0024698E">
        <w:tc>
          <w:tcPr>
            <w:tcW w:w="3794" w:type="dxa"/>
          </w:tcPr>
          <w:p w14:paraId="2DCCD755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6061" w:type="dxa"/>
          </w:tcPr>
          <w:p w14:paraId="266D9AA4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FA597B" w:rsidRPr="002128D6" w14:paraId="7BE05044" w14:textId="77777777" w:rsidTr="0024698E">
        <w:tc>
          <w:tcPr>
            <w:tcW w:w="3794" w:type="dxa"/>
          </w:tcPr>
          <w:p w14:paraId="01BA8806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6061" w:type="dxa"/>
          </w:tcPr>
          <w:p w14:paraId="6C00F5BD" w14:textId="139D640A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Gastrointestinalni  simptomi  (abdominalna  distenzija  sa  os</w:t>
            </w:r>
            <w:r w:rsidR="00F65010" w:rsidRPr="002128D6">
              <w:rPr>
                <w:noProof/>
                <w:sz w:val="22"/>
                <w:szCs w:val="22"/>
                <w:lang w:val="sr-Latn-ME"/>
              </w:rPr>
              <w:t>j</w:t>
            </w:r>
            <w:r w:rsidRPr="002128D6">
              <w:rPr>
                <w:noProof/>
                <w:sz w:val="22"/>
                <w:szCs w:val="22"/>
                <w:lang w:val="sr-Latn-ME"/>
              </w:rPr>
              <w:t>ećajem punoće u stomaku, dispepsija, mučnina, bol u abdomenu, dijareja)</w:t>
            </w:r>
          </w:p>
        </w:tc>
      </w:tr>
      <w:tr w:rsidR="00FA597B" w:rsidRPr="002128D6" w14:paraId="1E5F597E" w14:textId="77777777" w:rsidTr="0024698E">
        <w:tc>
          <w:tcPr>
            <w:tcW w:w="3794" w:type="dxa"/>
          </w:tcPr>
          <w:p w14:paraId="6774342A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6061" w:type="dxa"/>
          </w:tcPr>
          <w:p w14:paraId="70022C03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Pankreatitis</w:t>
            </w:r>
          </w:p>
        </w:tc>
      </w:tr>
      <w:tr w:rsidR="00FA597B" w:rsidRPr="002128D6" w14:paraId="49D7EF94" w14:textId="77777777" w:rsidTr="0024698E">
        <w:tc>
          <w:tcPr>
            <w:tcW w:w="9855" w:type="dxa"/>
            <w:gridSpan w:val="2"/>
          </w:tcPr>
          <w:p w14:paraId="4AF8E78D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Hepatobilijarni poremećaji</w:t>
            </w:r>
          </w:p>
        </w:tc>
      </w:tr>
      <w:tr w:rsidR="00FA597B" w:rsidRPr="002128D6" w14:paraId="5AF2699F" w14:textId="77777777" w:rsidTr="0024698E">
        <w:tc>
          <w:tcPr>
            <w:tcW w:w="3794" w:type="dxa"/>
          </w:tcPr>
          <w:p w14:paraId="7C0ED50E" w14:textId="3F5B840C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lastRenderedPageBreak/>
              <w:t>R</w:t>
            </w:r>
            <w:r w:rsidR="00F65010" w:rsidRPr="002128D6">
              <w:rPr>
                <w:noProof/>
                <w:sz w:val="22"/>
                <w:szCs w:val="22"/>
                <w:lang w:val="sr-Latn-ME"/>
              </w:rPr>
              <w:t>ij</w:t>
            </w:r>
            <w:r w:rsidRPr="002128D6">
              <w:rPr>
                <w:noProof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6061" w:type="dxa"/>
          </w:tcPr>
          <w:p w14:paraId="6010878D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Slučajevi  teške  disfunkcije  jetre,  uključujući  insuficijenciju  jetre, povećanje enzima jetre, žuticu, holestazu i hepatitis.</w:t>
            </w:r>
          </w:p>
          <w:p w14:paraId="752D03A9" w14:textId="30114570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Ako se javi disfunkcija jetre, terapiju l</w:t>
            </w:r>
            <w:r w:rsidR="00F65010" w:rsidRPr="002128D6">
              <w:rPr>
                <w:noProof/>
                <w:sz w:val="22"/>
                <w:szCs w:val="22"/>
                <w:lang w:val="sr-Latn-ME"/>
              </w:rPr>
              <w:t>ij</w:t>
            </w:r>
            <w:r w:rsidRPr="002128D6">
              <w:rPr>
                <w:noProof/>
                <w:sz w:val="22"/>
                <w:szCs w:val="22"/>
                <w:lang w:val="sr-Latn-ME"/>
              </w:rPr>
              <w:t>ekom Myco</w:t>
            </w:r>
            <w:r w:rsidR="00F65010" w:rsidRPr="002128D6">
              <w:rPr>
                <w:noProof/>
                <w:sz w:val="22"/>
                <w:szCs w:val="22"/>
                <w:lang w:val="sr-Latn-ME"/>
              </w:rPr>
              <w:t>cur</w:t>
            </w:r>
            <w:r w:rsidRPr="002128D6">
              <w:rPr>
                <w:noProof/>
                <w:sz w:val="22"/>
                <w:szCs w:val="22"/>
                <w:lang w:val="sr-Latn-ME"/>
              </w:rPr>
              <w:t xml:space="preserve"> treba prekinuti (vid</w:t>
            </w:r>
            <w:r w:rsidR="00F65010" w:rsidRPr="002128D6">
              <w:rPr>
                <w:noProof/>
                <w:sz w:val="22"/>
                <w:szCs w:val="22"/>
                <w:lang w:val="sr-Latn-ME"/>
              </w:rPr>
              <w:t>j</w:t>
            </w:r>
            <w:r w:rsidRPr="002128D6">
              <w:rPr>
                <w:noProof/>
                <w:sz w:val="22"/>
                <w:szCs w:val="22"/>
                <w:lang w:val="sr-Latn-ME"/>
              </w:rPr>
              <w:t xml:space="preserve">eti </w:t>
            </w:r>
            <w:r w:rsidR="00F65010" w:rsidRPr="002128D6">
              <w:rPr>
                <w:noProof/>
                <w:sz w:val="22"/>
                <w:szCs w:val="22"/>
                <w:lang w:val="sr-Latn-ME"/>
              </w:rPr>
              <w:t>dio</w:t>
            </w:r>
            <w:r w:rsidRPr="002128D6">
              <w:rPr>
                <w:noProof/>
                <w:sz w:val="22"/>
                <w:szCs w:val="22"/>
                <w:lang w:val="sr-Latn-ME"/>
              </w:rPr>
              <w:t xml:space="preserve">  4.4).  Prijavljivani  su  veoma  r</w:t>
            </w:r>
            <w:r w:rsidR="00F65010" w:rsidRPr="002128D6">
              <w:rPr>
                <w:noProof/>
                <w:sz w:val="22"/>
                <w:szCs w:val="22"/>
                <w:lang w:val="sr-Latn-ME"/>
              </w:rPr>
              <w:t>ij</w:t>
            </w:r>
            <w:r w:rsidRPr="002128D6">
              <w:rPr>
                <w:noProof/>
                <w:sz w:val="22"/>
                <w:szCs w:val="22"/>
                <w:lang w:val="sr-Latn-ME"/>
              </w:rPr>
              <w:t>etki  slučajevi  teške insuficijencije jetre (ponekad sa fatalnim ishodom, odnosno sa potrebom transplantacije jetre). U većini slučajeva  insuficijencije jetre pacijenti imaju  postojeće  sistemsko  oboljenje,  tako  da  uzročna  veza  sa uzimanjem l</w:t>
            </w:r>
            <w:r w:rsidR="009273DA" w:rsidRPr="002128D6">
              <w:rPr>
                <w:noProof/>
                <w:sz w:val="22"/>
                <w:szCs w:val="22"/>
                <w:lang w:val="sr-Latn-ME"/>
              </w:rPr>
              <w:t>ij</w:t>
            </w:r>
            <w:r w:rsidRPr="002128D6">
              <w:rPr>
                <w:noProof/>
                <w:sz w:val="22"/>
                <w:szCs w:val="22"/>
                <w:lang w:val="sr-Latn-ME"/>
              </w:rPr>
              <w:t>eka Myco</w:t>
            </w:r>
            <w:r w:rsidR="009273DA" w:rsidRPr="002128D6">
              <w:rPr>
                <w:noProof/>
                <w:sz w:val="22"/>
                <w:szCs w:val="22"/>
                <w:lang w:val="sr-Latn-ME"/>
              </w:rPr>
              <w:t>cur</w:t>
            </w:r>
            <w:r w:rsidRPr="002128D6">
              <w:rPr>
                <w:noProof/>
                <w:sz w:val="22"/>
                <w:szCs w:val="22"/>
                <w:lang w:val="sr-Latn-ME"/>
              </w:rPr>
              <w:t xml:space="preserve"> nije sigurna.</w:t>
            </w:r>
          </w:p>
        </w:tc>
      </w:tr>
      <w:tr w:rsidR="00FA597B" w:rsidRPr="002128D6" w14:paraId="2276932B" w14:textId="77777777" w:rsidTr="0024698E">
        <w:tc>
          <w:tcPr>
            <w:tcW w:w="9855" w:type="dxa"/>
            <w:gridSpan w:val="2"/>
          </w:tcPr>
          <w:p w14:paraId="20CAE316" w14:textId="77777777" w:rsidR="00FA597B" w:rsidRPr="002128D6" w:rsidRDefault="00FA597B" w:rsidP="00FA597B">
            <w:pPr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/>
              </w:rPr>
            </w:pPr>
            <w:bookmarkStart w:id="1" w:name="_Hlk59710317"/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Poremećaji kože i potkožnog tkiva</w:t>
            </w:r>
          </w:p>
        </w:tc>
      </w:tr>
      <w:tr w:rsidR="00FA597B" w:rsidRPr="002128D6" w14:paraId="431F499B" w14:textId="77777777" w:rsidTr="0024698E">
        <w:tc>
          <w:tcPr>
            <w:tcW w:w="3794" w:type="dxa"/>
          </w:tcPr>
          <w:p w14:paraId="39F899BC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6061" w:type="dxa"/>
          </w:tcPr>
          <w:p w14:paraId="112E9538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Osip, urtikarija</w:t>
            </w:r>
          </w:p>
        </w:tc>
      </w:tr>
      <w:tr w:rsidR="00FA597B" w:rsidRPr="002128D6" w14:paraId="274C5781" w14:textId="77777777" w:rsidTr="0024698E">
        <w:tc>
          <w:tcPr>
            <w:tcW w:w="3794" w:type="dxa"/>
          </w:tcPr>
          <w:p w14:paraId="225784FE" w14:textId="50E1B133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Veoma r</w:t>
            </w:r>
            <w:r w:rsidR="009273DA" w:rsidRPr="002128D6">
              <w:rPr>
                <w:noProof/>
                <w:sz w:val="22"/>
                <w:szCs w:val="22"/>
                <w:lang w:val="sr-Latn-ME"/>
              </w:rPr>
              <w:t>ij</w:t>
            </w:r>
            <w:r w:rsidRPr="002128D6">
              <w:rPr>
                <w:noProof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6061" w:type="dxa"/>
          </w:tcPr>
          <w:p w14:paraId="1295DB45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Stevens-Johnsonov sindrom, toksična epidermalna nekroliza, multiformni  eritem,  toksična  kožna  erupcija,  eksfolijativni dermatitis, bulozni dermatitis.</w:t>
            </w:r>
          </w:p>
          <w:p w14:paraId="1A099520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Reakcije fotosenzitivnosti</w:t>
            </w:r>
          </w:p>
          <w:p w14:paraId="7CAAA2CB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Alopecija</w:t>
            </w:r>
          </w:p>
          <w:p w14:paraId="39345276" w14:textId="684B4918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 xml:space="preserve">Ako se javi progresivan osip na koži, prekinuti terapiju </w:t>
            </w:r>
            <w:r w:rsidR="009273DA" w:rsidRPr="002128D6">
              <w:rPr>
                <w:noProof/>
                <w:sz w:val="22"/>
                <w:szCs w:val="22"/>
                <w:lang w:val="sr-Latn-ME"/>
              </w:rPr>
              <w:t xml:space="preserve">lijekom </w:t>
            </w:r>
            <w:r w:rsidRPr="002128D6">
              <w:rPr>
                <w:noProof/>
                <w:sz w:val="22"/>
                <w:szCs w:val="22"/>
                <w:lang w:val="sr-Latn-ME"/>
              </w:rPr>
              <w:t>Myco</w:t>
            </w:r>
            <w:r w:rsidR="009273DA" w:rsidRPr="002128D6">
              <w:rPr>
                <w:noProof/>
                <w:sz w:val="22"/>
                <w:szCs w:val="22"/>
                <w:lang w:val="sr-Latn-ME"/>
              </w:rPr>
              <w:t>cur</w:t>
            </w:r>
          </w:p>
        </w:tc>
      </w:tr>
      <w:tr w:rsidR="00FA597B" w:rsidRPr="002128D6" w14:paraId="3C407F15" w14:textId="77777777" w:rsidTr="0024698E">
        <w:tc>
          <w:tcPr>
            <w:tcW w:w="3794" w:type="dxa"/>
          </w:tcPr>
          <w:p w14:paraId="36C5B326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6061" w:type="dxa"/>
          </w:tcPr>
          <w:p w14:paraId="597696FD" w14:textId="2564B656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Psorijaziformne erupcije ili egzarcebacije psorijaze. Ozbiljne reakcije na koži (na prim</w:t>
            </w:r>
            <w:r w:rsidR="00F43540" w:rsidRPr="002128D6">
              <w:rPr>
                <w:noProof/>
                <w:sz w:val="22"/>
                <w:szCs w:val="22"/>
                <w:lang w:val="sr-Latn-ME"/>
              </w:rPr>
              <w:t>j</w:t>
            </w:r>
            <w:r w:rsidRPr="002128D6">
              <w:rPr>
                <w:noProof/>
                <w:sz w:val="22"/>
                <w:szCs w:val="22"/>
                <w:lang w:val="sr-Latn-ME"/>
              </w:rPr>
              <w:t xml:space="preserve">er akutna generalizovana egzantematozna pustuloza (AGEP). </w:t>
            </w:r>
          </w:p>
          <w:p w14:paraId="358B4E1D" w14:textId="0E6252AF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Osip usl</w:t>
            </w:r>
            <w:r w:rsidR="00F43540" w:rsidRPr="002128D6">
              <w:rPr>
                <w:noProof/>
                <w:sz w:val="22"/>
                <w:szCs w:val="22"/>
                <w:lang w:val="sr-Latn-ME"/>
              </w:rPr>
              <w:t>j</w:t>
            </w:r>
            <w:r w:rsidRPr="002128D6">
              <w:rPr>
                <w:noProof/>
                <w:sz w:val="22"/>
                <w:szCs w:val="22"/>
                <w:lang w:val="sr-Latn-ME"/>
              </w:rPr>
              <w:t>ed prim</w:t>
            </w:r>
            <w:r w:rsidR="00F43540" w:rsidRPr="002128D6">
              <w:rPr>
                <w:noProof/>
                <w:sz w:val="22"/>
                <w:szCs w:val="22"/>
                <w:lang w:val="sr-Latn-ME"/>
              </w:rPr>
              <w:t>j</w:t>
            </w:r>
            <w:r w:rsidRPr="002128D6">
              <w:rPr>
                <w:noProof/>
                <w:sz w:val="22"/>
                <w:szCs w:val="22"/>
                <w:lang w:val="sr-Latn-ME"/>
              </w:rPr>
              <w:t>ene l</w:t>
            </w:r>
            <w:r w:rsidR="00F43540" w:rsidRPr="002128D6">
              <w:rPr>
                <w:noProof/>
                <w:sz w:val="22"/>
                <w:szCs w:val="22"/>
                <w:lang w:val="sr-Latn-ME"/>
              </w:rPr>
              <w:t>ij</w:t>
            </w:r>
            <w:r w:rsidRPr="002128D6">
              <w:rPr>
                <w:noProof/>
                <w:sz w:val="22"/>
                <w:szCs w:val="22"/>
                <w:lang w:val="sr-Latn-ME"/>
              </w:rPr>
              <w:t xml:space="preserve">eka praćen eozinofilijom i sistemskim simptomima. </w:t>
            </w:r>
          </w:p>
        </w:tc>
      </w:tr>
      <w:tr w:rsidR="00FA597B" w:rsidRPr="002128D6" w14:paraId="7EB335CE" w14:textId="77777777" w:rsidTr="0024698E">
        <w:tc>
          <w:tcPr>
            <w:tcW w:w="9855" w:type="dxa"/>
            <w:gridSpan w:val="2"/>
          </w:tcPr>
          <w:p w14:paraId="11582C96" w14:textId="77777777" w:rsidR="00FA597B" w:rsidRPr="002128D6" w:rsidRDefault="00FA597B" w:rsidP="00FA597B">
            <w:pPr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</w:tr>
      <w:tr w:rsidR="00FA597B" w:rsidRPr="002128D6" w14:paraId="08F84D7C" w14:textId="77777777" w:rsidTr="0024698E">
        <w:tc>
          <w:tcPr>
            <w:tcW w:w="3794" w:type="dxa"/>
          </w:tcPr>
          <w:p w14:paraId="3C240C55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6061" w:type="dxa"/>
          </w:tcPr>
          <w:p w14:paraId="4DF9F351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Mišićnoskeletne reakcije (artralgija, mijalgija)</w:t>
            </w:r>
          </w:p>
        </w:tc>
      </w:tr>
      <w:bookmarkEnd w:id="1"/>
      <w:tr w:rsidR="00FA597B" w:rsidRPr="002128D6" w14:paraId="021239DF" w14:textId="77777777" w:rsidTr="0024698E">
        <w:tc>
          <w:tcPr>
            <w:tcW w:w="3794" w:type="dxa"/>
          </w:tcPr>
          <w:p w14:paraId="38C14678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6061" w:type="dxa"/>
          </w:tcPr>
          <w:p w14:paraId="69B93AD0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Rabdomioliza</w:t>
            </w:r>
          </w:p>
        </w:tc>
      </w:tr>
      <w:tr w:rsidR="00FA597B" w:rsidRPr="002128D6" w14:paraId="70AF3D73" w14:textId="77777777" w:rsidTr="0024698E">
        <w:tc>
          <w:tcPr>
            <w:tcW w:w="9855" w:type="dxa"/>
            <w:gridSpan w:val="2"/>
          </w:tcPr>
          <w:p w14:paraId="1042E09A" w14:textId="053C8D4B" w:rsidR="00FA597B" w:rsidRPr="002128D6" w:rsidRDefault="00FA597B" w:rsidP="00FA597B">
            <w:pPr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Opšti poremećaji i reakcije na m</w:t>
            </w:r>
            <w:r w:rsidR="00F43540"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je</w:t>
            </w: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stu prim</w:t>
            </w:r>
            <w:r w:rsidR="00F43540"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j</w:t>
            </w: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ene</w:t>
            </w:r>
          </w:p>
        </w:tc>
      </w:tr>
      <w:tr w:rsidR="00FA597B" w:rsidRPr="002128D6" w14:paraId="768158A0" w14:textId="77777777" w:rsidTr="0024698E">
        <w:tc>
          <w:tcPr>
            <w:tcW w:w="3794" w:type="dxa"/>
          </w:tcPr>
          <w:p w14:paraId="0DD55CE4" w14:textId="014CF058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R</w:t>
            </w:r>
            <w:r w:rsidR="00F43540" w:rsidRPr="002128D6">
              <w:rPr>
                <w:noProof/>
                <w:sz w:val="22"/>
                <w:szCs w:val="22"/>
                <w:lang w:val="sr-Latn-ME"/>
              </w:rPr>
              <w:t>ij</w:t>
            </w:r>
            <w:r w:rsidRPr="002128D6">
              <w:rPr>
                <w:noProof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6061" w:type="dxa"/>
          </w:tcPr>
          <w:p w14:paraId="4D5950E6" w14:textId="7FAD11A5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Opšti os</w:t>
            </w:r>
            <w:r w:rsidR="00F43540" w:rsidRPr="002128D6">
              <w:rPr>
                <w:noProof/>
                <w:sz w:val="22"/>
                <w:szCs w:val="22"/>
                <w:lang w:val="sr-Latn-ME"/>
              </w:rPr>
              <w:t>j</w:t>
            </w:r>
            <w:r w:rsidRPr="002128D6">
              <w:rPr>
                <w:noProof/>
                <w:sz w:val="22"/>
                <w:szCs w:val="22"/>
                <w:lang w:val="sr-Latn-ME"/>
              </w:rPr>
              <w:t>ećaj slabosti</w:t>
            </w:r>
          </w:p>
        </w:tc>
      </w:tr>
      <w:tr w:rsidR="00FA597B" w:rsidRPr="002128D6" w14:paraId="3B2C42B8" w14:textId="77777777" w:rsidTr="0024698E">
        <w:tc>
          <w:tcPr>
            <w:tcW w:w="3794" w:type="dxa"/>
          </w:tcPr>
          <w:p w14:paraId="5B31E07E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6061" w:type="dxa"/>
          </w:tcPr>
          <w:p w14:paraId="237E310B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Zamor, Oboljenje slično gripu, pireksija</w:t>
            </w:r>
          </w:p>
        </w:tc>
      </w:tr>
      <w:tr w:rsidR="00FA597B" w:rsidRPr="002128D6" w14:paraId="5ADF07A8" w14:textId="77777777" w:rsidTr="0024698E">
        <w:tc>
          <w:tcPr>
            <w:tcW w:w="9855" w:type="dxa"/>
            <w:gridSpan w:val="2"/>
          </w:tcPr>
          <w:p w14:paraId="2C0870E0" w14:textId="77777777" w:rsidR="00FA597B" w:rsidRPr="002128D6" w:rsidRDefault="00FA597B" w:rsidP="00FA597B">
            <w:pPr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2128D6">
              <w:rPr>
                <w:b/>
                <w:bCs/>
                <w:noProof/>
                <w:sz w:val="22"/>
                <w:szCs w:val="22"/>
                <w:lang w:val="sr-Latn-ME"/>
              </w:rPr>
              <w:t>Laboratorijska ispitivanja</w:t>
            </w:r>
          </w:p>
        </w:tc>
      </w:tr>
      <w:tr w:rsidR="00FA597B" w:rsidRPr="002128D6" w14:paraId="0F52F6C1" w14:textId="77777777" w:rsidTr="0024698E">
        <w:tc>
          <w:tcPr>
            <w:tcW w:w="3794" w:type="dxa"/>
          </w:tcPr>
          <w:p w14:paraId="3935A068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6061" w:type="dxa"/>
          </w:tcPr>
          <w:p w14:paraId="59579098" w14:textId="1557D2C6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Smanjenje tjelesne mase usl</w:t>
            </w:r>
            <w:r w:rsidR="006905FC" w:rsidRPr="002128D6">
              <w:rPr>
                <w:noProof/>
                <w:sz w:val="22"/>
                <w:szCs w:val="22"/>
                <w:lang w:val="sr-Latn-ME"/>
              </w:rPr>
              <w:t>j</w:t>
            </w:r>
            <w:r w:rsidRPr="002128D6">
              <w:rPr>
                <w:noProof/>
                <w:sz w:val="22"/>
                <w:szCs w:val="22"/>
                <w:lang w:val="sr-Latn-ME"/>
              </w:rPr>
              <w:t>ed disgeuzije</w:t>
            </w:r>
          </w:p>
        </w:tc>
      </w:tr>
      <w:tr w:rsidR="00FA597B" w:rsidRPr="002128D6" w14:paraId="4D247861" w14:textId="77777777" w:rsidTr="0024698E">
        <w:tc>
          <w:tcPr>
            <w:tcW w:w="3794" w:type="dxa"/>
          </w:tcPr>
          <w:p w14:paraId="7CD1144A" w14:textId="77777777" w:rsidR="00FA597B" w:rsidRPr="002128D6" w:rsidRDefault="00FA597B" w:rsidP="00FA597B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6061" w:type="dxa"/>
          </w:tcPr>
          <w:p w14:paraId="7C045457" w14:textId="77777777" w:rsidR="00FA597B" w:rsidRPr="002128D6" w:rsidRDefault="00FA597B" w:rsidP="00FA597B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2128D6">
              <w:rPr>
                <w:noProof/>
                <w:sz w:val="22"/>
                <w:szCs w:val="22"/>
                <w:lang w:val="sr-Latn-ME"/>
              </w:rPr>
              <w:t>Porast kreatin fosfokinaze u krvi</w:t>
            </w:r>
          </w:p>
        </w:tc>
      </w:tr>
    </w:tbl>
    <w:p w14:paraId="7486599B" w14:textId="77777777" w:rsidR="00FA597B" w:rsidRPr="002128D6" w:rsidRDefault="00FA597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F700908" w14:textId="77777777" w:rsidR="009708A5" w:rsidRPr="002128D6" w:rsidRDefault="009708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2B150A" w14:textId="77777777" w:rsidR="005A23D2" w:rsidRPr="002128D6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2128D6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6C2B150B" w14:textId="77777777" w:rsidR="005A23D2" w:rsidRPr="002128D6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2128D6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2128D6">
        <w:rPr>
          <w:rFonts w:eastAsia="Calibri"/>
          <w:sz w:val="22"/>
          <w:szCs w:val="22"/>
          <w:lang w:val="sr-Latn-ME"/>
        </w:rPr>
        <w:t>inuirano praćenje odnosa korist</w:t>
      </w:r>
      <w:r w:rsidRPr="002128D6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2128D6">
        <w:rPr>
          <w:rFonts w:eastAsia="Calibri"/>
          <w:sz w:val="22"/>
          <w:szCs w:val="22"/>
          <w:lang w:val="sr-Latn-ME"/>
        </w:rPr>
        <w:t xml:space="preserve"> </w:t>
      </w:r>
      <w:r w:rsidRPr="002128D6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2128D6">
        <w:rPr>
          <w:rFonts w:eastAsia="Calibri"/>
          <w:sz w:val="22"/>
          <w:szCs w:val="22"/>
          <w:lang w:val="sr-Latn-ME"/>
        </w:rPr>
        <w:t>Institutu</w:t>
      </w:r>
      <w:r w:rsidRPr="002128D6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2128D6">
        <w:rPr>
          <w:rFonts w:eastAsia="Calibri"/>
          <w:sz w:val="22"/>
          <w:szCs w:val="22"/>
          <w:lang w:val="sr-Latn-ME"/>
        </w:rPr>
        <w:t xml:space="preserve"> </w:t>
      </w:r>
      <w:r w:rsidRPr="002128D6">
        <w:rPr>
          <w:rFonts w:eastAsia="Calibri"/>
          <w:sz w:val="22"/>
          <w:szCs w:val="22"/>
          <w:lang w:val="sr-Latn-ME"/>
        </w:rPr>
        <w:t>(</w:t>
      </w:r>
      <w:r w:rsidR="004E70AD" w:rsidRPr="002128D6">
        <w:rPr>
          <w:rFonts w:eastAsia="Calibri"/>
          <w:sz w:val="22"/>
          <w:szCs w:val="22"/>
          <w:lang w:val="sr-Latn-ME"/>
        </w:rPr>
        <w:t>CInMED</w:t>
      </w:r>
      <w:r w:rsidRPr="002128D6">
        <w:rPr>
          <w:rFonts w:eastAsia="Calibri"/>
          <w:sz w:val="22"/>
          <w:szCs w:val="22"/>
          <w:lang w:val="sr-Latn-ME"/>
        </w:rPr>
        <w:t>):</w:t>
      </w:r>
    </w:p>
    <w:p w14:paraId="6C2B150C" w14:textId="77777777" w:rsidR="005A23D2" w:rsidRPr="002128D6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128D6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2128D6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6C2B150D" w14:textId="77777777" w:rsidR="005A23D2" w:rsidRPr="002128D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128D6">
        <w:rPr>
          <w:rFonts w:eastAsia="Calibri"/>
          <w:sz w:val="22"/>
          <w:szCs w:val="22"/>
          <w:lang w:val="sr-Latn-ME"/>
        </w:rPr>
        <w:t>Odjeljenje za farmakovigilancu</w:t>
      </w:r>
    </w:p>
    <w:p w14:paraId="6C2B150E" w14:textId="77777777" w:rsidR="00EA5765" w:rsidRPr="002128D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128D6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C2B150F" w14:textId="77777777" w:rsidR="00EA5765" w:rsidRPr="002128D6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6C2B1510" w14:textId="77777777" w:rsidR="005A23D2" w:rsidRPr="002128D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128D6">
        <w:rPr>
          <w:rFonts w:eastAsia="Calibri"/>
          <w:sz w:val="22"/>
          <w:szCs w:val="22"/>
          <w:lang w:val="sr-Latn-ME"/>
        </w:rPr>
        <w:t>tel: +382 (0) 20 310 280</w:t>
      </w:r>
    </w:p>
    <w:p w14:paraId="6C2B1511" w14:textId="77777777" w:rsidR="00EA5765" w:rsidRPr="002128D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128D6">
        <w:rPr>
          <w:rFonts w:eastAsia="Calibri"/>
          <w:sz w:val="22"/>
          <w:szCs w:val="22"/>
          <w:lang w:val="sr-Latn-ME"/>
        </w:rPr>
        <w:t>fax:</w:t>
      </w:r>
      <w:r w:rsidR="00EA5765" w:rsidRPr="002128D6">
        <w:rPr>
          <w:rFonts w:eastAsia="Calibri"/>
          <w:sz w:val="22"/>
          <w:szCs w:val="22"/>
          <w:lang w:val="sr-Latn-ME"/>
        </w:rPr>
        <w:t xml:space="preserve"> </w:t>
      </w:r>
      <w:r w:rsidRPr="002128D6">
        <w:rPr>
          <w:rFonts w:eastAsia="Calibri"/>
          <w:sz w:val="22"/>
          <w:szCs w:val="22"/>
          <w:lang w:val="sr-Latn-ME"/>
        </w:rPr>
        <w:t>+382 (0) 20 310 581</w:t>
      </w:r>
    </w:p>
    <w:p w14:paraId="6C2B1512" w14:textId="77777777" w:rsidR="005A23D2" w:rsidRPr="002128D6" w:rsidRDefault="00900BA4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2128D6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C2B1513" w14:textId="77777777" w:rsidR="00EA5765" w:rsidRPr="002128D6" w:rsidRDefault="00900BA4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2128D6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C2B1514" w14:textId="61E993E9" w:rsidR="005A23D2" w:rsidRPr="002128D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128D6">
        <w:rPr>
          <w:rFonts w:eastAsia="Calibri"/>
          <w:sz w:val="22"/>
          <w:szCs w:val="22"/>
          <w:lang w:val="sr-Latn-ME"/>
        </w:rPr>
        <w:t>putem IS zdravstvene zaštite</w:t>
      </w:r>
    </w:p>
    <w:p w14:paraId="25B58F12" w14:textId="77777777" w:rsidR="006905FC" w:rsidRPr="002128D6" w:rsidRDefault="006905FC" w:rsidP="006905FC">
      <w:pPr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QR kod za online prijavu sumnje na neželjeno dejstvo lijeka:</w:t>
      </w:r>
    </w:p>
    <w:p w14:paraId="413E6FA5" w14:textId="77777777" w:rsidR="006905FC" w:rsidRPr="002128D6" w:rsidRDefault="006905FC" w:rsidP="006905FC">
      <w:pPr>
        <w:rPr>
          <w:sz w:val="22"/>
          <w:szCs w:val="22"/>
          <w:lang w:val="sr-Latn-ME"/>
        </w:rPr>
      </w:pPr>
    </w:p>
    <w:p w14:paraId="134DD912" w14:textId="77777777" w:rsidR="006905FC" w:rsidRPr="002128D6" w:rsidRDefault="006905FC" w:rsidP="006905FC">
      <w:pPr>
        <w:rPr>
          <w:sz w:val="22"/>
          <w:szCs w:val="22"/>
          <w:lang w:val="sr-Latn-ME"/>
        </w:rPr>
      </w:pPr>
      <w:r w:rsidRPr="002128D6">
        <w:rPr>
          <w:b/>
          <w:bCs/>
          <w:noProof/>
          <w:sz w:val="22"/>
          <w:szCs w:val="22"/>
          <w:lang w:val="sr-Latn-ME"/>
        </w:rPr>
        <w:lastRenderedPageBreak/>
        <w:drawing>
          <wp:inline distT="0" distB="0" distL="0" distR="0" wp14:anchorId="2C8D4FFF" wp14:editId="5C2240B6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DC458F" w14:textId="77777777" w:rsidR="006905FC" w:rsidRPr="002128D6" w:rsidRDefault="006905FC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C2B1515" w14:textId="77777777" w:rsidR="00836B35" w:rsidRPr="002128D6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2B1516" w14:textId="77777777" w:rsidR="00CD6F02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4.9.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Predoziranje</w:t>
      </w:r>
      <w:r w:rsidR="002846DB" w:rsidRPr="002128D6">
        <w:rPr>
          <w:b/>
          <w:bCs/>
          <w:sz w:val="22"/>
          <w:szCs w:val="22"/>
          <w:lang w:val="sr-Latn-ME"/>
        </w:rPr>
        <w:t xml:space="preserve"> </w:t>
      </w:r>
    </w:p>
    <w:p w14:paraId="04B1DA3D" w14:textId="77777777" w:rsidR="00394115" w:rsidRPr="002128D6" w:rsidRDefault="00394115" w:rsidP="0032476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8A3DB67" w14:textId="11DA7471" w:rsidR="0032476B" w:rsidRPr="002128D6" w:rsidRDefault="0032476B" w:rsidP="0032476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Prijavljeno je nekoliko slučajeva predoziranja (do 5 g) kod kojih se javila glavobolja, mučnina, bol u epigastrijumu i vrtoglavica.</w:t>
      </w:r>
    </w:p>
    <w:p w14:paraId="412500CB" w14:textId="77777777" w:rsidR="0032476B" w:rsidRPr="002128D6" w:rsidRDefault="0032476B" w:rsidP="0032476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39C47AF" w14:textId="582B5420" w:rsidR="0032476B" w:rsidRPr="002128D6" w:rsidRDefault="0032476B" w:rsidP="0032476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Preporučena terapija predoziranja sastoji se u eliminisanju l</w:t>
      </w:r>
      <w:r w:rsidR="004C4A6E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eka primarno prim</w:t>
      </w:r>
      <w:r w:rsidR="004C4A6E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enom aktivnog uglja i davanjem simptomatske suportivne terapije, ako je potrebno.</w:t>
      </w:r>
    </w:p>
    <w:p w14:paraId="6C2B1518" w14:textId="69E911A7" w:rsidR="00227BDB" w:rsidRPr="002128D6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D5729FB" w14:textId="77777777" w:rsidR="00DF4DDC" w:rsidRPr="002128D6" w:rsidRDefault="00DF4DD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2B1519" w14:textId="77777777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5.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FARMAKOLOŠK</w:t>
      </w:r>
      <w:r w:rsidR="000D425A" w:rsidRPr="002128D6">
        <w:rPr>
          <w:b/>
          <w:bCs/>
          <w:sz w:val="22"/>
          <w:szCs w:val="22"/>
          <w:lang w:val="sr-Latn-ME"/>
        </w:rPr>
        <w:t>I</w:t>
      </w:r>
      <w:r w:rsidRPr="002128D6">
        <w:rPr>
          <w:b/>
          <w:bCs/>
          <w:sz w:val="22"/>
          <w:szCs w:val="22"/>
          <w:lang w:val="sr-Latn-ME"/>
        </w:rPr>
        <w:t xml:space="preserve"> PODACI</w:t>
      </w:r>
    </w:p>
    <w:p w14:paraId="6C2B151A" w14:textId="77777777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2B151B" w14:textId="77777777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5.1.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Farmakodinamski podaci</w:t>
      </w:r>
      <w:r w:rsidR="003A7059" w:rsidRPr="002128D6">
        <w:rPr>
          <w:b/>
          <w:bCs/>
          <w:sz w:val="22"/>
          <w:szCs w:val="22"/>
          <w:lang w:val="sr-Latn-ME"/>
        </w:rPr>
        <w:t xml:space="preserve"> </w:t>
      </w:r>
    </w:p>
    <w:p w14:paraId="6C2B151C" w14:textId="77777777" w:rsidR="00F45F77" w:rsidRPr="002128D6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2B151D" w14:textId="602B6633" w:rsidR="0072020E" w:rsidRPr="002128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Farmakoterapijska grupa:</w:t>
      </w:r>
      <w:r w:rsidR="009E5AD5" w:rsidRPr="002128D6">
        <w:rPr>
          <w:bCs/>
          <w:sz w:val="22"/>
          <w:szCs w:val="22"/>
          <w:lang w:val="sr-Latn-ME"/>
        </w:rPr>
        <w:t xml:space="preserve"> Antimikotici za sistemsku prim</w:t>
      </w:r>
      <w:r w:rsidR="006905FC" w:rsidRPr="002128D6">
        <w:rPr>
          <w:bCs/>
          <w:sz w:val="22"/>
          <w:szCs w:val="22"/>
          <w:lang w:val="sr-Latn-ME"/>
        </w:rPr>
        <w:t>j</w:t>
      </w:r>
      <w:r w:rsidR="009E5AD5" w:rsidRPr="002128D6">
        <w:rPr>
          <w:bCs/>
          <w:sz w:val="22"/>
          <w:szCs w:val="22"/>
          <w:lang w:val="sr-Latn-ME"/>
        </w:rPr>
        <w:t>enu</w:t>
      </w:r>
    </w:p>
    <w:p w14:paraId="6C2B151E" w14:textId="77777777" w:rsidR="0072020E" w:rsidRPr="002128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51F" w14:textId="36964351" w:rsidR="0072020E" w:rsidRPr="002128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ATC kod:</w:t>
      </w:r>
      <w:r w:rsidR="008E732C" w:rsidRPr="002128D6">
        <w:rPr>
          <w:bCs/>
          <w:sz w:val="22"/>
          <w:szCs w:val="22"/>
          <w:lang w:val="sr-Latn-ME"/>
        </w:rPr>
        <w:t xml:space="preserve"> D01BA02</w:t>
      </w:r>
    </w:p>
    <w:p w14:paraId="6C2B1520" w14:textId="17FF31AA" w:rsidR="002E37A5" w:rsidRPr="002128D6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E9446B9" w14:textId="3FEBD2AE" w:rsidR="001A2131" w:rsidRPr="002128D6" w:rsidRDefault="001A2131" w:rsidP="001A213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Terbinafin je alilamin koji ima širok antigljivični spektar dejstva. Pri niskim koncentracijama terbinafin djeluje fungicidno na dermatofite, pl</w:t>
      </w:r>
      <w:r w:rsidR="006905FC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esni i neke dimorfične gljivice. Terbinafin djeluje fungicidno ili fungistatsk</w:t>
      </w:r>
      <w:r w:rsidR="006905FC" w:rsidRPr="002128D6">
        <w:rPr>
          <w:sz w:val="22"/>
          <w:szCs w:val="22"/>
          <w:lang w:val="sr-Latn-ME"/>
        </w:rPr>
        <w:t>i</w:t>
      </w:r>
      <w:r w:rsidRPr="002128D6">
        <w:rPr>
          <w:sz w:val="22"/>
          <w:szCs w:val="22"/>
          <w:lang w:val="sr-Latn-ME"/>
        </w:rPr>
        <w:t xml:space="preserve"> u zavisnosti od vrste gljivica.</w:t>
      </w:r>
    </w:p>
    <w:p w14:paraId="496A22D7" w14:textId="722160E6" w:rsidR="001A2131" w:rsidRPr="002128D6" w:rsidRDefault="001A2131" w:rsidP="001A213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Terbinafin ometa rani stadijum biosinteze gljivičnih sterola. Rezultat tog d</w:t>
      </w:r>
      <w:r w:rsidR="00E045EE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elovanja je deficit ergosterola i intraćelijska akumulacija skvalena što dovodi do smrti ćelije gljivica. Terbinafin d</w:t>
      </w:r>
      <w:r w:rsidR="00E045EE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eluje tako što inhibira skvalen-epoksidazu u ćelijskoj membrani glijvica. Enzim skvalen epokzidaza nije vezan za sistem citohroma P450. Kada se daje oralno, l</w:t>
      </w:r>
      <w:r w:rsidR="00E045EE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 se nagomilava u koži u koncentracijama koje imaju fungicidnu aktivnost.</w:t>
      </w:r>
    </w:p>
    <w:p w14:paraId="185E407B" w14:textId="77777777" w:rsidR="001A2131" w:rsidRPr="002128D6" w:rsidRDefault="001A213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2B1521" w14:textId="77777777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5.2.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Farmakokinetički podaci</w:t>
      </w:r>
      <w:r w:rsidR="003A7059" w:rsidRPr="002128D6">
        <w:rPr>
          <w:b/>
          <w:bCs/>
          <w:sz w:val="22"/>
          <w:szCs w:val="22"/>
          <w:lang w:val="sr-Latn-ME"/>
        </w:rPr>
        <w:t xml:space="preserve"> </w:t>
      </w:r>
    </w:p>
    <w:p w14:paraId="6C2B1522" w14:textId="06881C34" w:rsidR="0072020E" w:rsidRPr="002128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48AAA12" w14:textId="0E2FD000" w:rsidR="008D6DE5" w:rsidRPr="002128D6" w:rsidRDefault="008D6DE5" w:rsidP="008D6DE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 xml:space="preserve">Nakon oralne primjene, terbinafin se dobro resorbuje (&gt; 70%) i ukupna bioraspoloživost terbinafina iz tableta lijeka Mycocur je oko 50% </w:t>
      </w:r>
      <w:r w:rsidR="006905FC" w:rsidRPr="002128D6">
        <w:rPr>
          <w:sz w:val="22"/>
          <w:szCs w:val="22"/>
          <w:lang w:val="sr-Latn-ME"/>
        </w:rPr>
        <w:t xml:space="preserve">kao rezultat metabolizma </w:t>
      </w:r>
      <w:r w:rsidRPr="002128D6">
        <w:rPr>
          <w:sz w:val="22"/>
          <w:szCs w:val="22"/>
          <w:lang w:val="sr-Latn-ME"/>
        </w:rPr>
        <w:t>prvog prolaska. Pojedinačna oralna doza od 250 mg terbinafina dovodi do srednje maksimalne koncentracije l</w:t>
      </w:r>
      <w:r w:rsidR="0073308A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eka u plazmi od 1,30 mikrograma/m</w:t>
      </w:r>
      <w:r w:rsidR="006905FC" w:rsidRPr="002128D6">
        <w:rPr>
          <w:sz w:val="22"/>
          <w:szCs w:val="22"/>
          <w:lang w:val="sr-Latn-ME"/>
        </w:rPr>
        <w:t>l</w:t>
      </w:r>
      <w:r w:rsidRPr="002128D6">
        <w:rPr>
          <w:sz w:val="22"/>
          <w:szCs w:val="22"/>
          <w:lang w:val="sr-Latn-ME"/>
        </w:rPr>
        <w:t xml:space="preserve"> u toku 1,5 h posl</w:t>
      </w:r>
      <w:r w:rsidR="006905FC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 prim</w:t>
      </w:r>
      <w:r w:rsidR="0073308A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ene. Koncentracije u plazmi trofazno opadaju, sa poluvremenom eliminacije od 16,5 dana. Kada je postign</w:t>
      </w:r>
      <w:r w:rsidR="006905FC" w:rsidRPr="002128D6">
        <w:rPr>
          <w:sz w:val="22"/>
          <w:szCs w:val="22"/>
          <w:lang w:val="sr-Latn-ME"/>
        </w:rPr>
        <w:t>uto</w:t>
      </w:r>
      <w:r w:rsidRPr="002128D6">
        <w:rPr>
          <w:sz w:val="22"/>
          <w:szCs w:val="22"/>
          <w:lang w:val="sr-Latn-ME"/>
        </w:rPr>
        <w:t xml:space="preserve"> ravnotežno stanje u obimu od oko 70 %, 28. dana, maksimalne koncetracije terbinafina su u pros</w:t>
      </w:r>
      <w:r w:rsidR="0073308A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eku 25% veće u poređenju sa pojedinačnom dozom, a PIK u plazmi povećao se za faktor 2,3. Na osnovu porasta PIK-a u plazmi može se izračunati efektivno poluvreme eliminacije od ~30h. Hrana utiče um</w:t>
      </w:r>
      <w:r w:rsidR="00201FCF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ereno na bioraspoloživost terbinafina (porast PIK-a manji od 20%) ali ne dovoljno da bi se zaht</w:t>
      </w:r>
      <w:r w:rsidR="00201FCF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evala prom</w:t>
      </w:r>
      <w:r w:rsidR="00201FCF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ena doze.</w:t>
      </w:r>
    </w:p>
    <w:p w14:paraId="26AB417E" w14:textId="77777777" w:rsidR="008D6DE5" w:rsidRPr="002128D6" w:rsidRDefault="008D6DE5" w:rsidP="008D6DE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2FC4728" w14:textId="1ED13B81" w:rsidR="008D6DE5" w:rsidRPr="002128D6" w:rsidRDefault="008D6DE5" w:rsidP="008D6DE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Terbinafin se snažno vezuje za proteine plazme. On brzo prolazi kroz kožu i nagomilava sa u lipofilnom stratus korneumu. Terbinafin se takođe izlučuje u sebumu, pa se tako postižu visoke koncentracije u folikulu dlake, dlaci i seboroičnoj koži. Postoji takođe dokaz o distribuciji terbinafina u nokatnu ploču u toku prvih nekoliko ned</w:t>
      </w:r>
      <w:r w:rsidR="008A2DE3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elja posl</w:t>
      </w:r>
      <w:r w:rsidR="008A2DE3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 početka terapije.</w:t>
      </w:r>
    </w:p>
    <w:p w14:paraId="73428ED6" w14:textId="77777777" w:rsidR="008D6DE5" w:rsidRPr="002128D6" w:rsidRDefault="008D6DE5" w:rsidP="008D6DE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B6EA89E" w14:textId="36ECFA7F" w:rsidR="008D6DE5" w:rsidRPr="002128D6" w:rsidRDefault="008D6DE5" w:rsidP="008D6DE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Terbinafin se brzo i intenzivno metaboliše pomoću najmanje sedam CYP izoenzima, pri čemu najveći doprinos daju CYP2C9, CYP1A2, CYP3A4, CYP2C8 i CYP2C19. Rezultat biotransformacije su metaboliti koji nemaju antigljivično d</w:t>
      </w:r>
      <w:r w:rsidR="006B622D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elovanje i koji se prvenstveno izlučuju u urinu.</w:t>
      </w:r>
    </w:p>
    <w:p w14:paraId="3F479F6C" w14:textId="77777777" w:rsidR="008D6DE5" w:rsidRPr="002128D6" w:rsidRDefault="008D6DE5" w:rsidP="008D6DE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BBCCE6" w14:textId="2EA8A80C" w:rsidR="008D6DE5" w:rsidRPr="002128D6" w:rsidRDefault="008D6DE5" w:rsidP="008D6DE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lastRenderedPageBreak/>
        <w:t>Ni</w:t>
      </w:r>
      <w:r w:rsidR="00E60064" w:rsidRPr="002128D6">
        <w:rPr>
          <w:sz w:val="22"/>
          <w:szCs w:val="22"/>
          <w:lang w:val="sr-Latn-ME"/>
        </w:rPr>
        <w:t>je</w:t>
      </w:r>
      <w:r w:rsidRPr="002128D6">
        <w:rPr>
          <w:sz w:val="22"/>
          <w:szCs w:val="22"/>
          <w:lang w:val="sr-Latn-ME"/>
        </w:rPr>
        <w:t>su zab</w:t>
      </w:r>
      <w:r w:rsidR="006B622D" w:rsidRPr="002128D6">
        <w:rPr>
          <w:sz w:val="22"/>
          <w:szCs w:val="22"/>
          <w:lang w:val="sr-Latn-ME"/>
        </w:rPr>
        <w:t>i</w:t>
      </w:r>
      <w:r w:rsidRPr="002128D6">
        <w:rPr>
          <w:sz w:val="22"/>
          <w:szCs w:val="22"/>
          <w:lang w:val="sr-Latn-ME"/>
        </w:rPr>
        <w:t>l</w:t>
      </w:r>
      <w:r w:rsidR="006B622D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ežene klinički značajne prom</w:t>
      </w:r>
      <w:r w:rsidR="006B622D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ene u farmakokinetici u odnosu na starost pacijenta, ali se nivo izlučivanja može smanjiti kod pacijenata sa poremećajem funkcije bubrega ili jetre, što dovodi do povišenog nivoa terbinafina u krvi.</w:t>
      </w:r>
    </w:p>
    <w:p w14:paraId="74B06526" w14:textId="77777777" w:rsidR="008D6DE5" w:rsidRPr="002128D6" w:rsidRDefault="008D6DE5" w:rsidP="008D6DE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E255B97" w14:textId="1A7F07A3" w:rsidR="008D6DE5" w:rsidRPr="002128D6" w:rsidRDefault="008D6DE5" w:rsidP="008D6DE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Farmakokinetičke studije pojedinačnih doza kod pacijenata sa poremećajem funkcije bubrega (klirens kreatinina &lt;50ml/min) ili kod onih sa postojećim oboljenjem jetre, pokazale su da klirens l</w:t>
      </w:r>
      <w:r w:rsidR="002E06B2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eka Myco</w:t>
      </w:r>
      <w:r w:rsidR="002E06B2" w:rsidRPr="002128D6">
        <w:rPr>
          <w:sz w:val="22"/>
          <w:szCs w:val="22"/>
          <w:lang w:val="sr-Latn-ME"/>
        </w:rPr>
        <w:t>cur</w:t>
      </w:r>
      <w:r w:rsidRPr="002128D6">
        <w:rPr>
          <w:sz w:val="22"/>
          <w:szCs w:val="22"/>
          <w:lang w:val="sr-Latn-ME"/>
        </w:rPr>
        <w:t xml:space="preserve"> može da se smanji za oko 50%.</w:t>
      </w:r>
    </w:p>
    <w:p w14:paraId="1B9E06EC" w14:textId="77777777" w:rsidR="008D6DE5" w:rsidRPr="002128D6" w:rsidRDefault="008D6DE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523" w14:textId="77777777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5.3.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6C2B1524" w14:textId="77777777" w:rsidR="00836B35" w:rsidRPr="002128D6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567C4A6" w14:textId="3D2EBBC2" w:rsidR="002342B2" w:rsidRPr="002128D6" w:rsidRDefault="002342B2" w:rsidP="00234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U dugoročnim studijama (koje su trajale do 1 godinu) sprovedenim kod pacova i pasa, ni</w:t>
      </w:r>
      <w:r w:rsidR="00E60064" w:rsidRPr="002128D6">
        <w:rPr>
          <w:sz w:val="22"/>
          <w:szCs w:val="22"/>
          <w:lang w:val="sr-Latn-ME"/>
        </w:rPr>
        <w:t>je</w:t>
      </w:r>
      <w:r w:rsidRPr="002128D6">
        <w:rPr>
          <w:sz w:val="22"/>
          <w:szCs w:val="22"/>
          <w:lang w:val="sr-Latn-ME"/>
        </w:rPr>
        <w:t>su viđeni značajni toksični efekti ni kod jedne vrste sa oralnim dozama od oko 100 mg/kg dnevno. Pri visokim oralnim dozama, kao potencijalni ciljni organi označeni su jetra, a moguće i bubrezi.</w:t>
      </w:r>
    </w:p>
    <w:p w14:paraId="68EFEB5F" w14:textId="77777777" w:rsidR="002342B2" w:rsidRPr="002128D6" w:rsidRDefault="002342B2" w:rsidP="00234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72577E6" w14:textId="575FB7BE" w:rsidR="002342B2" w:rsidRPr="002128D6" w:rsidRDefault="002342B2" w:rsidP="00234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U dvogodišnjoj studiji oralne kancerogenosti kod miševa nije nađena neoplastična aktivnost niti drugi nalazi koji bi se mogli pripisati terapiji sa dozama do 130 (mužjaci) i 156 (ženke) mg/kg dnevno. U dvogodišnjoj studiji oralne kancerogenosti kod pacova zapažen je porast pojave tumora jetre kod mužjaka pri najvećim dozama od 69 mg/kg na dan. Dokazano je da su prom</w:t>
      </w:r>
      <w:r w:rsidR="008F38C9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ene, koje se mogu povezati sa proliferacijom peroksizoma, specifične za vrstu jer ni</w:t>
      </w:r>
      <w:r w:rsidR="00E60064" w:rsidRPr="002128D6">
        <w:rPr>
          <w:sz w:val="22"/>
          <w:szCs w:val="22"/>
          <w:lang w:val="sr-Latn-ME"/>
        </w:rPr>
        <w:t>je</w:t>
      </w:r>
      <w:r w:rsidRPr="002128D6">
        <w:rPr>
          <w:sz w:val="22"/>
          <w:szCs w:val="22"/>
          <w:lang w:val="sr-Latn-ME"/>
        </w:rPr>
        <w:t>su viđene u studijama kancerogenosti kod miševa, pasa ili majmuna.</w:t>
      </w:r>
    </w:p>
    <w:p w14:paraId="53758AF8" w14:textId="77777777" w:rsidR="002342B2" w:rsidRPr="002128D6" w:rsidRDefault="002342B2" w:rsidP="00234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F6132D2" w14:textId="6C57C758" w:rsidR="002342B2" w:rsidRPr="002128D6" w:rsidRDefault="002342B2" w:rsidP="00234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U toku ispitivanja visokih doza kod majmuna, zapažene su refraktarne nepravilnosti retine pri visokim dozama (netoksične doze od 50 mg/kg). Ove nepravilnosti povezuju se sa prisustvom metabolita terbinafina u tkivu oka, a nestaju posl</w:t>
      </w:r>
      <w:r w:rsidR="00E60064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 obustavljanja prim</w:t>
      </w:r>
      <w:r w:rsidR="00B029DC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ene l</w:t>
      </w:r>
      <w:r w:rsidR="00B029DC" w:rsidRPr="002128D6">
        <w:rPr>
          <w:sz w:val="22"/>
          <w:szCs w:val="22"/>
          <w:lang w:val="sr-Latn-ME"/>
        </w:rPr>
        <w:t>ij</w:t>
      </w:r>
      <w:r w:rsidRPr="002128D6">
        <w:rPr>
          <w:sz w:val="22"/>
          <w:szCs w:val="22"/>
          <w:lang w:val="sr-Latn-ME"/>
        </w:rPr>
        <w:t>eka. One ni</w:t>
      </w:r>
      <w:r w:rsidR="00E60064" w:rsidRPr="002128D6">
        <w:rPr>
          <w:sz w:val="22"/>
          <w:szCs w:val="22"/>
          <w:lang w:val="sr-Latn-ME"/>
        </w:rPr>
        <w:t>je</w:t>
      </w:r>
      <w:r w:rsidRPr="002128D6">
        <w:rPr>
          <w:sz w:val="22"/>
          <w:szCs w:val="22"/>
          <w:lang w:val="sr-Latn-ME"/>
        </w:rPr>
        <w:t>su povezane sa histološkim prom</w:t>
      </w:r>
      <w:r w:rsidR="00B029DC" w:rsidRPr="002128D6">
        <w:rPr>
          <w:sz w:val="22"/>
          <w:szCs w:val="22"/>
          <w:lang w:val="sr-Latn-ME"/>
        </w:rPr>
        <w:t>j</w:t>
      </w:r>
      <w:r w:rsidRPr="002128D6">
        <w:rPr>
          <w:sz w:val="22"/>
          <w:szCs w:val="22"/>
          <w:lang w:val="sr-Latn-ME"/>
        </w:rPr>
        <w:t>enama.</w:t>
      </w:r>
    </w:p>
    <w:p w14:paraId="2EE77D41" w14:textId="77777777" w:rsidR="002342B2" w:rsidRPr="002128D6" w:rsidRDefault="002342B2" w:rsidP="00234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1BCEDB9" w14:textId="7173F079" w:rsidR="002342B2" w:rsidRPr="002128D6" w:rsidRDefault="002342B2" w:rsidP="00234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Standardn</w:t>
      </w:r>
      <w:r w:rsidR="00E60064" w:rsidRPr="002128D6">
        <w:rPr>
          <w:sz w:val="22"/>
          <w:szCs w:val="22"/>
          <w:lang w:val="sr-Latn-ME"/>
        </w:rPr>
        <w:t xml:space="preserve">i skup </w:t>
      </w:r>
      <w:r w:rsidRPr="002128D6">
        <w:rPr>
          <w:i/>
          <w:iCs/>
          <w:sz w:val="22"/>
          <w:szCs w:val="22"/>
          <w:lang w:val="sr-Latn-ME"/>
        </w:rPr>
        <w:t>in vivo</w:t>
      </w:r>
      <w:r w:rsidRPr="002128D6">
        <w:rPr>
          <w:sz w:val="22"/>
          <w:szCs w:val="22"/>
          <w:lang w:val="sr-Latn-ME"/>
        </w:rPr>
        <w:t xml:space="preserve"> i </w:t>
      </w:r>
      <w:r w:rsidRPr="002128D6">
        <w:rPr>
          <w:i/>
          <w:iCs/>
          <w:sz w:val="22"/>
          <w:szCs w:val="22"/>
          <w:lang w:val="sr-Latn-ME"/>
        </w:rPr>
        <w:t>in vitro</w:t>
      </w:r>
      <w:r w:rsidRPr="002128D6">
        <w:rPr>
          <w:sz w:val="22"/>
          <w:szCs w:val="22"/>
          <w:lang w:val="sr-Latn-ME"/>
        </w:rPr>
        <w:t xml:space="preserve"> testova genotoksičnosti nije otkrila dokaze o mutagenosti ni klastogenom potencijalu.</w:t>
      </w:r>
    </w:p>
    <w:p w14:paraId="47F89425" w14:textId="77777777" w:rsidR="002342B2" w:rsidRPr="002128D6" w:rsidRDefault="002342B2" w:rsidP="002342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58234A" w14:textId="77777777" w:rsidR="002342B2" w:rsidRPr="002128D6" w:rsidRDefault="002342B2" w:rsidP="002342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Nije bilo neželjenih dejstava na fertilitet i ostale reproduktivne parametre u ispitivanjima ni na pacovima ni na kunićima.</w:t>
      </w:r>
    </w:p>
    <w:p w14:paraId="6C2B1525" w14:textId="61D7D8CC" w:rsidR="00396DFD" w:rsidRPr="002128D6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A4FB8D" w14:textId="77777777" w:rsidR="002342B2" w:rsidRPr="002128D6" w:rsidRDefault="002342B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2B1526" w14:textId="77777777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6.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FARMACEUTSKI PODACI</w:t>
      </w:r>
    </w:p>
    <w:p w14:paraId="6C2B1527" w14:textId="77777777" w:rsidR="00836B35" w:rsidRPr="002128D6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528" w14:textId="3225D8C0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6.1.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Lista pomoćnih supstanci</w:t>
      </w:r>
      <w:r w:rsidR="002E0135" w:rsidRPr="002128D6">
        <w:rPr>
          <w:b/>
          <w:bCs/>
          <w:sz w:val="22"/>
          <w:szCs w:val="22"/>
          <w:lang w:val="sr-Latn-ME"/>
        </w:rPr>
        <w:t xml:space="preserve"> (ekscipijenasa)</w:t>
      </w:r>
    </w:p>
    <w:p w14:paraId="70F91650" w14:textId="77777777" w:rsidR="00DF4DDC" w:rsidRPr="002128D6" w:rsidRDefault="00DF4DD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505220" w14:textId="77777777" w:rsidR="004F6F1E" w:rsidRPr="002128D6" w:rsidRDefault="004F6F1E" w:rsidP="004F6F1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Hipromeloza (Methocel E15 LV);</w:t>
      </w:r>
    </w:p>
    <w:p w14:paraId="056B819A" w14:textId="07DD413B" w:rsidR="004F6F1E" w:rsidRPr="002128D6" w:rsidRDefault="004F6F1E" w:rsidP="004F6F1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Kroskarmeloza</w:t>
      </w:r>
      <w:r w:rsidR="00DF4DDC" w:rsidRPr="002128D6">
        <w:rPr>
          <w:sz w:val="22"/>
          <w:szCs w:val="22"/>
          <w:lang w:val="sr-Latn-ME"/>
        </w:rPr>
        <w:t xml:space="preserve"> </w:t>
      </w:r>
      <w:r w:rsidRPr="002128D6">
        <w:rPr>
          <w:sz w:val="22"/>
          <w:szCs w:val="22"/>
          <w:lang w:val="sr-Latn-ME"/>
        </w:rPr>
        <w:t>natrijum;</w:t>
      </w:r>
    </w:p>
    <w:p w14:paraId="08579A9C" w14:textId="77777777" w:rsidR="004F6F1E" w:rsidRPr="002128D6" w:rsidRDefault="004F6F1E" w:rsidP="004F6F1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Celuloza, mikrokristalna (PH-101);</w:t>
      </w:r>
    </w:p>
    <w:p w14:paraId="23D305DA" w14:textId="77777777" w:rsidR="004F6F1E" w:rsidRPr="002128D6" w:rsidRDefault="004F6F1E" w:rsidP="004F6F1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Celuloza, mikrokristalna (PH-102);</w:t>
      </w:r>
    </w:p>
    <w:p w14:paraId="719431FE" w14:textId="27B2B8A6" w:rsidR="004F6F1E" w:rsidRPr="002128D6" w:rsidRDefault="004F6F1E" w:rsidP="004F6F1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Silicijum</w:t>
      </w:r>
      <w:r w:rsidR="00DF4DDC" w:rsidRPr="002128D6">
        <w:rPr>
          <w:sz w:val="22"/>
          <w:szCs w:val="22"/>
          <w:lang w:val="sr-Latn-ME"/>
        </w:rPr>
        <w:t xml:space="preserve"> </w:t>
      </w:r>
      <w:r w:rsidRPr="002128D6">
        <w:rPr>
          <w:sz w:val="22"/>
          <w:szCs w:val="22"/>
          <w:lang w:val="sr-Latn-ME"/>
        </w:rPr>
        <w:t>dioksid, koloidni bezvodni;</w:t>
      </w:r>
    </w:p>
    <w:p w14:paraId="5D4EC725" w14:textId="0E627A78" w:rsidR="004F6F1E" w:rsidRPr="002128D6" w:rsidRDefault="004F6F1E" w:rsidP="004F6F1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Magnezijum</w:t>
      </w:r>
      <w:r w:rsidR="00DF4DDC" w:rsidRPr="002128D6">
        <w:rPr>
          <w:sz w:val="22"/>
          <w:szCs w:val="22"/>
          <w:lang w:val="sr-Latn-ME"/>
        </w:rPr>
        <w:t xml:space="preserve"> </w:t>
      </w:r>
      <w:r w:rsidRPr="002128D6">
        <w:rPr>
          <w:sz w:val="22"/>
          <w:szCs w:val="22"/>
          <w:lang w:val="sr-Latn-ME"/>
        </w:rPr>
        <w:t>stearat.</w:t>
      </w:r>
    </w:p>
    <w:p w14:paraId="6F99FF52" w14:textId="77777777" w:rsidR="004F6F1E" w:rsidRPr="002128D6" w:rsidRDefault="004F6F1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52A" w14:textId="77777777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6.2.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Inkompatibilnost</w:t>
      </w:r>
      <w:r w:rsidR="002846DB" w:rsidRPr="002128D6">
        <w:rPr>
          <w:b/>
          <w:bCs/>
          <w:sz w:val="22"/>
          <w:szCs w:val="22"/>
          <w:lang w:val="sr-Latn-ME"/>
        </w:rPr>
        <w:t>i</w:t>
      </w:r>
    </w:p>
    <w:p w14:paraId="6C2B152B" w14:textId="10957472" w:rsidR="0072020E" w:rsidRPr="002128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A102FE" w14:textId="73010FFA" w:rsidR="004F6F1E" w:rsidRPr="002128D6" w:rsidRDefault="00DF4DD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Nije primjenljivo</w:t>
      </w:r>
      <w:r w:rsidR="004F6F1E" w:rsidRPr="002128D6">
        <w:rPr>
          <w:bCs/>
          <w:sz w:val="22"/>
          <w:szCs w:val="22"/>
          <w:lang w:val="sr-Latn-ME"/>
        </w:rPr>
        <w:t>.</w:t>
      </w:r>
    </w:p>
    <w:p w14:paraId="3852E5A3" w14:textId="77777777" w:rsidR="004F6F1E" w:rsidRPr="002128D6" w:rsidRDefault="004F6F1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52C" w14:textId="77777777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>6.3.</w:t>
      </w:r>
      <w:r w:rsidR="00C05DF8" w:rsidRPr="002128D6">
        <w:rPr>
          <w:b/>
          <w:bCs/>
          <w:sz w:val="22"/>
          <w:szCs w:val="22"/>
          <w:lang w:val="sr-Latn-ME"/>
        </w:rPr>
        <w:t xml:space="preserve">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Rok upotrebe</w:t>
      </w:r>
    </w:p>
    <w:p w14:paraId="6C2B152D" w14:textId="17961796" w:rsidR="0072020E" w:rsidRPr="002128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13878B" w14:textId="4CC28AB7" w:rsidR="004F6F1E" w:rsidRPr="002128D6" w:rsidRDefault="004F6F1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3 godine.</w:t>
      </w:r>
    </w:p>
    <w:p w14:paraId="3F1853BF" w14:textId="77777777" w:rsidR="004F6F1E" w:rsidRPr="002128D6" w:rsidRDefault="004F6F1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52E" w14:textId="77777777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6.4.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2128D6">
        <w:rPr>
          <w:b/>
          <w:bCs/>
          <w:sz w:val="22"/>
          <w:szCs w:val="22"/>
          <w:lang w:val="sr-Latn-ME"/>
        </w:rPr>
        <w:t xml:space="preserve"> lijeka</w:t>
      </w:r>
    </w:p>
    <w:p w14:paraId="6C2B152F" w14:textId="2959DF47" w:rsidR="00EC2532" w:rsidRPr="002128D6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D762F5" w14:textId="7D5A3528" w:rsidR="00815BB8" w:rsidRPr="002128D6" w:rsidRDefault="00815BB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Čuvati na temperaturi do 25°C, u originalnom pakovanju.</w:t>
      </w:r>
    </w:p>
    <w:p w14:paraId="15F25985" w14:textId="77777777" w:rsidR="00815BB8" w:rsidRPr="002128D6" w:rsidRDefault="00815BB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262274B" w14:textId="77777777" w:rsidR="002128D6" w:rsidRDefault="002128D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2B1530" w14:textId="6B27D6A3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bookmarkStart w:id="2" w:name="_GoBack"/>
      <w:bookmarkEnd w:id="2"/>
      <w:r w:rsidRPr="002128D6">
        <w:rPr>
          <w:b/>
          <w:bCs/>
          <w:sz w:val="22"/>
          <w:szCs w:val="22"/>
          <w:lang w:val="sr-Latn-ME"/>
        </w:rPr>
        <w:lastRenderedPageBreak/>
        <w:t xml:space="preserve">6.5.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="002846DB" w:rsidRPr="002128D6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2128D6">
        <w:rPr>
          <w:b/>
          <w:bCs/>
          <w:sz w:val="22"/>
          <w:szCs w:val="22"/>
          <w:lang w:val="sr-Latn-ME"/>
        </w:rPr>
        <w:t>pakovanja</w:t>
      </w:r>
      <w:r w:rsidR="00C06864" w:rsidRPr="002128D6">
        <w:rPr>
          <w:b/>
          <w:bCs/>
          <w:sz w:val="22"/>
          <w:szCs w:val="22"/>
          <w:lang w:val="sr-Latn-ME"/>
        </w:rPr>
        <w:t xml:space="preserve"> </w:t>
      </w:r>
    </w:p>
    <w:p w14:paraId="6C2B1531" w14:textId="7B8B9113" w:rsidR="0072020E" w:rsidRPr="002128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3A1D8D" w14:textId="77777777" w:rsidR="00347E0C" w:rsidRPr="002128D6" w:rsidRDefault="00347E0C" w:rsidP="00347E0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Unutrašnje pakovanje je PVC/PE/PVDC/Al blister koji sadrži 14 tableta.</w:t>
      </w:r>
    </w:p>
    <w:p w14:paraId="358C6664" w14:textId="1EA62CED" w:rsidR="00347E0C" w:rsidRPr="002128D6" w:rsidRDefault="00347E0C" w:rsidP="00347E0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Spoljašnje pakovanje je složiva kartonska kutija u kojoj se nalazi 1 blister (ukupno 14 tableta) i Uputstvo za lijek.</w:t>
      </w:r>
    </w:p>
    <w:p w14:paraId="235A5E1C" w14:textId="77777777" w:rsidR="00347E0C" w:rsidRPr="002128D6" w:rsidRDefault="00347E0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532" w14:textId="77777777" w:rsidR="002846DB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6.6.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2128D6">
        <w:rPr>
          <w:b/>
          <w:bCs/>
          <w:sz w:val="22"/>
          <w:szCs w:val="22"/>
          <w:lang w:val="sr-Latn-ME"/>
        </w:rPr>
        <w:t xml:space="preserve"> </w:t>
      </w:r>
      <w:r w:rsidR="00310F03" w:rsidRPr="002128D6">
        <w:rPr>
          <w:b/>
          <w:bCs/>
          <w:sz w:val="22"/>
          <w:szCs w:val="22"/>
          <w:lang w:val="sr-Latn-ME"/>
        </w:rPr>
        <w:t>(i druga uputs</w:t>
      </w:r>
      <w:r w:rsidR="004109FA" w:rsidRPr="002128D6">
        <w:rPr>
          <w:b/>
          <w:bCs/>
          <w:sz w:val="22"/>
          <w:szCs w:val="22"/>
          <w:lang w:val="sr-Latn-ME"/>
        </w:rPr>
        <w:t>t</w:t>
      </w:r>
      <w:r w:rsidR="00310F03" w:rsidRPr="002128D6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C2B1533" w14:textId="4F89AC58" w:rsidR="00B66A70" w:rsidRPr="002128D6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3C231C2" w14:textId="492F5840" w:rsidR="00F00EF7" w:rsidRPr="002128D6" w:rsidRDefault="00F00EF7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128D6">
        <w:rPr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5FFAAF83" w14:textId="03F65B44" w:rsidR="00F00EF7" w:rsidRPr="002128D6" w:rsidRDefault="00F00EF7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D17F188" w14:textId="77777777" w:rsidR="00DF4DDC" w:rsidRPr="002128D6" w:rsidRDefault="00DF4DDC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C2B1535" w14:textId="77777777" w:rsidR="00F8570A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7.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NOSILAC DOZVOLE</w:t>
      </w:r>
      <w:r w:rsidR="00483928" w:rsidRPr="002128D6">
        <w:rPr>
          <w:b/>
          <w:bCs/>
          <w:sz w:val="22"/>
          <w:szCs w:val="22"/>
          <w:lang w:val="sr-Latn-ME"/>
        </w:rPr>
        <w:t xml:space="preserve"> </w:t>
      </w:r>
    </w:p>
    <w:p w14:paraId="6C2B1536" w14:textId="5B75BD6F" w:rsidR="00C61BE0" w:rsidRPr="002128D6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BF5F107" w14:textId="77777777" w:rsidR="002E2367" w:rsidRPr="002128D6" w:rsidRDefault="002E2367" w:rsidP="002E236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 xml:space="preserve">“NOBEL’’ D.O.O. PODGORICA </w:t>
      </w:r>
    </w:p>
    <w:p w14:paraId="4EF12B02" w14:textId="752C4DFD" w:rsidR="002E2367" w:rsidRPr="002128D6" w:rsidRDefault="002E2367" w:rsidP="002E236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Aerodromska b.b., Podgorica, Crna Gora</w:t>
      </w:r>
    </w:p>
    <w:p w14:paraId="6C2B1537" w14:textId="37646F31" w:rsidR="00C37FD7" w:rsidRPr="002128D6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30A871D" w14:textId="77777777" w:rsidR="00DF4DDC" w:rsidRPr="002128D6" w:rsidRDefault="00DF4DD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538" w14:textId="77777777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8.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>BROJ DOZVOLE</w:t>
      </w:r>
      <w:r w:rsidR="008A6D43" w:rsidRPr="002128D6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C2B1539" w14:textId="6FE52612" w:rsidR="0072020E" w:rsidRPr="002128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4F28157" w14:textId="1A6C2F33" w:rsidR="002128D6" w:rsidRPr="002128D6" w:rsidRDefault="002128D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 xml:space="preserve">2030/24/6940 – 6155 </w:t>
      </w:r>
    </w:p>
    <w:p w14:paraId="435B7DCF" w14:textId="77777777" w:rsidR="002128D6" w:rsidRPr="002128D6" w:rsidRDefault="002128D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53A" w14:textId="77777777" w:rsidR="00F45F77" w:rsidRPr="002128D6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53B" w14:textId="77777777" w:rsidR="0072020E" w:rsidRPr="002128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9.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Pr="002128D6">
        <w:rPr>
          <w:b/>
          <w:bCs/>
          <w:sz w:val="22"/>
          <w:szCs w:val="22"/>
          <w:lang w:val="sr-Latn-ME"/>
        </w:rPr>
        <w:t xml:space="preserve">DATUM </w:t>
      </w:r>
      <w:r w:rsidR="00C05DF8" w:rsidRPr="002128D6">
        <w:rPr>
          <w:b/>
          <w:bCs/>
          <w:sz w:val="22"/>
          <w:szCs w:val="22"/>
          <w:lang w:val="sr-Latn-ME"/>
        </w:rPr>
        <w:t xml:space="preserve">PRVE </w:t>
      </w:r>
      <w:r w:rsidR="008A6D43" w:rsidRPr="002128D6">
        <w:rPr>
          <w:b/>
          <w:bCs/>
          <w:sz w:val="22"/>
          <w:szCs w:val="22"/>
          <w:lang w:val="sr-Latn-ME"/>
        </w:rPr>
        <w:t>DOZVOLE</w:t>
      </w:r>
      <w:r w:rsidR="00C05DF8" w:rsidRPr="002128D6">
        <w:rPr>
          <w:b/>
          <w:bCs/>
          <w:sz w:val="22"/>
          <w:szCs w:val="22"/>
          <w:lang w:val="sr-Latn-ME"/>
        </w:rPr>
        <w:t>/OBNOVE DOZVOLE</w:t>
      </w:r>
      <w:r w:rsidR="008A6D43" w:rsidRPr="002128D6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C2B153C" w14:textId="0BC1D70F" w:rsidR="0072020E" w:rsidRPr="002128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C2EF8CA" w14:textId="1FC55C7F" w:rsidR="00DF4DDC" w:rsidRPr="002128D6" w:rsidRDefault="00DF4DDC" w:rsidP="00426FC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Datum prve dozvole</w:t>
      </w:r>
      <w:r w:rsidR="00426FC4" w:rsidRPr="002128D6">
        <w:rPr>
          <w:bCs/>
          <w:sz w:val="22"/>
          <w:szCs w:val="22"/>
          <w:lang w:val="sr-Latn-ME"/>
        </w:rPr>
        <w:t>: 10.07.2017. godine</w:t>
      </w:r>
    </w:p>
    <w:p w14:paraId="717A486E" w14:textId="708C5C44" w:rsidR="002128D6" w:rsidRPr="002128D6" w:rsidRDefault="002128D6" w:rsidP="00426FC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Datum poslednje obnove dozvole: 26.12.2024. godine</w:t>
      </w:r>
    </w:p>
    <w:p w14:paraId="26641CEA" w14:textId="77777777" w:rsidR="00426FC4" w:rsidRPr="002128D6" w:rsidRDefault="00426FC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53D" w14:textId="77777777" w:rsidR="00836B35" w:rsidRPr="002128D6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2B153E" w14:textId="77777777" w:rsidR="003F6A59" w:rsidRPr="002128D6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2128D6">
        <w:rPr>
          <w:b/>
          <w:bCs/>
          <w:sz w:val="22"/>
          <w:szCs w:val="22"/>
          <w:lang w:val="sr-Latn-ME"/>
        </w:rPr>
        <w:t xml:space="preserve">10. </w:t>
      </w:r>
      <w:r w:rsidR="00480FB1" w:rsidRPr="002128D6">
        <w:rPr>
          <w:b/>
          <w:bCs/>
          <w:sz w:val="22"/>
          <w:szCs w:val="22"/>
          <w:lang w:val="sr-Latn-ME"/>
        </w:rPr>
        <w:tab/>
      </w:r>
      <w:r w:rsidR="002846DB" w:rsidRPr="002128D6">
        <w:rPr>
          <w:b/>
          <w:bCs/>
          <w:sz w:val="22"/>
          <w:szCs w:val="22"/>
          <w:lang w:val="sr-Latn-ME"/>
        </w:rPr>
        <w:t>D</w:t>
      </w:r>
      <w:r w:rsidR="00EC2532" w:rsidRPr="002128D6">
        <w:rPr>
          <w:b/>
          <w:bCs/>
          <w:sz w:val="22"/>
          <w:szCs w:val="22"/>
          <w:lang w:val="sr-Latn-ME"/>
        </w:rPr>
        <w:t xml:space="preserve">ATUM REVIZIJE TEKSTA </w:t>
      </w:r>
    </w:p>
    <w:p w14:paraId="6C2B153F" w14:textId="0C096A26" w:rsidR="003F6A59" w:rsidRPr="002128D6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039ED0C" w14:textId="54B5CA40" w:rsidR="002128D6" w:rsidRPr="002128D6" w:rsidRDefault="002128D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8D6">
        <w:rPr>
          <w:bCs/>
          <w:sz w:val="22"/>
          <w:szCs w:val="22"/>
          <w:lang w:val="sr-Latn-ME"/>
        </w:rPr>
        <w:t>Decembar, 2024. godine</w:t>
      </w:r>
    </w:p>
    <w:p w14:paraId="6C2B1547" w14:textId="77777777" w:rsidR="003F6A59" w:rsidRPr="002128D6" w:rsidRDefault="003F6A59" w:rsidP="00DE3F5C">
      <w:pPr>
        <w:rPr>
          <w:sz w:val="22"/>
          <w:szCs w:val="22"/>
          <w:lang w:val="sr-Latn-ME"/>
        </w:rPr>
      </w:pPr>
    </w:p>
    <w:sectPr w:rsidR="003F6A59" w:rsidRPr="002128D6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862FE" w14:textId="77777777" w:rsidR="00900BA4" w:rsidRDefault="00900BA4">
      <w:r>
        <w:separator/>
      </w:r>
    </w:p>
  </w:endnote>
  <w:endnote w:type="continuationSeparator" w:id="0">
    <w:p w14:paraId="31357F93" w14:textId="77777777" w:rsidR="00900BA4" w:rsidRDefault="0090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B154E" w14:textId="0DDA385A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2128D6">
      <w:rPr>
        <w:noProof/>
        <w:sz w:val="22"/>
        <w:szCs w:val="22"/>
      </w:rPr>
      <w:t>9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2128D6">
      <w:rPr>
        <w:noProof/>
        <w:sz w:val="22"/>
        <w:szCs w:val="22"/>
      </w:rPr>
      <w:t>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FA447" w14:textId="77777777" w:rsidR="00900BA4" w:rsidRDefault="00900BA4">
      <w:r>
        <w:separator/>
      </w:r>
    </w:p>
  </w:footnote>
  <w:footnote w:type="continuationSeparator" w:id="0">
    <w:p w14:paraId="6AC1F19B" w14:textId="77777777" w:rsidR="00900BA4" w:rsidRDefault="0090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6pt;height:13.8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31D28"/>
    <w:multiLevelType w:val="hybridMultilevel"/>
    <w:tmpl w:val="C728D660"/>
    <w:lvl w:ilvl="0" w:tplc="3C1C69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0BB1"/>
    <w:rsid w:val="000162F4"/>
    <w:rsid w:val="000176CA"/>
    <w:rsid w:val="00036FA0"/>
    <w:rsid w:val="0003793F"/>
    <w:rsid w:val="00057E35"/>
    <w:rsid w:val="00076726"/>
    <w:rsid w:val="00080303"/>
    <w:rsid w:val="000949BF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47856"/>
    <w:rsid w:val="001536CC"/>
    <w:rsid w:val="001863D6"/>
    <w:rsid w:val="001A2131"/>
    <w:rsid w:val="001A3FBA"/>
    <w:rsid w:val="001A5518"/>
    <w:rsid w:val="001B1C6A"/>
    <w:rsid w:val="001C1263"/>
    <w:rsid w:val="001C1417"/>
    <w:rsid w:val="001C36BB"/>
    <w:rsid w:val="001C41C0"/>
    <w:rsid w:val="001E390B"/>
    <w:rsid w:val="001F42FB"/>
    <w:rsid w:val="001F719A"/>
    <w:rsid w:val="00201FCF"/>
    <w:rsid w:val="002031B3"/>
    <w:rsid w:val="002128D6"/>
    <w:rsid w:val="00215931"/>
    <w:rsid w:val="00224C91"/>
    <w:rsid w:val="00227BDB"/>
    <w:rsid w:val="00232810"/>
    <w:rsid w:val="002342B2"/>
    <w:rsid w:val="00234CB1"/>
    <w:rsid w:val="002352F8"/>
    <w:rsid w:val="002510A5"/>
    <w:rsid w:val="00254A0A"/>
    <w:rsid w:val="00266046"/>
    <w:rsid w:val="002846DB"/>
    <w:rsid w:val="00284CCD"/>
    <w:rsid w:val="002A413F"/>
    <w:rsid w:val="002C6637"/>
    <w:rsid w:val="002E0135"/>
    <w:rsid w:val="002E06B2"/>
    <w:rsid w:val="002E2367"/>
    <w:rsid w:val="002E37A5"/>
    <w:rsid w:val="00310F03"/>
    <w:rsid w:val="0032476B"/>
    <w:rsid w:val="003247D2"/>
    <w:rsid w:val="00337C1D"/>
    <w:rsid w:val="003445C1"/>
    <w:rsid w:val="0034594B"/>
    <w:rsid w:val="00346D71"/>
    <w:rsid w:val="00347E0C"/>
    <w:rsid w:val="00355B61"/>
    <w:rsid w:val="003569AF"/>
    <w:rsid w:val="00357FF4"/>
    <w:rsid w:val="00362686"/>
    <w:rsid w:val="00371510"/>
    <w:rsid w:val="003723A5"/>
    <w:rsid w:val="00382EC0"/>
    <w:rsid w:val="00394115"/>
    <w:rsid w:val="00396DFD"/>
    <w:rsid w:val="003A7059"/>
    <w:rsid w:val="003B7A36"/>
    <w:rsid w:val="003C17AB"/>
    <w:rsid w:val="003C3D9A"/>
    <w:rsid w:val="003C7823"/>
    <w:rsid w:val="003E1DCC"/>
    <w:rsid w:val="003E2B54"/>
    <w:rsid w:val="003F11A1"/>
    <w:rsid w:val="003F6A59"/>
    <w:rsid w:val="004065C8"/>
    <w:rsid w:val="004109FA"/>
    <w:rsid w:val="00411B4B"/>
    <w:rsid w:val="00415BEE"/>
    <w:rsid w:val="00426FC4"/>
    <w:rsid w:val="00427F85"/>
    <w:rsid w:val="004337A1"/>
    <w:rsid w:val="00436F42"/>
    <w:rsid w:val="004378B4"/>
    <w:rsid w:val="00445922"/>
    <w:rsid w:val="00451314"/>
    <w:rsid w:val="00452E9D"/>
    <w:rsid w:val="004534C7"/>
    <w:rsid w:val="004671AA"/>
    <w:rsid w:val="00480FB1"/>
    <w:rsid w:val="00483928"/>
    <w:rsid w:val="00487471"/>
    <w:rsid w:val="004A22E5"/>
    <w:rsid w:val="004C331F"/>
    <w:rsid w:val="004C4A6E"/>
    <w:rsid w:val="004D6103"/>
    <w:rsid w:val="004E3BCE"/>
    <w:rsid w:val="004E70AD"/>
    <w:rsid w:val="004F0E97"/>
    <w:rsid w:val="004F11F8"/>
    <w:rsid w:val="004F6F1E"/>
    <w:rsid w:val="00501DD1"/>
    <w:rsid w:val="00515C21"/>
    <w:rsid w:val="00530BD7"/>
    <w:rsid w:val="005357CF"/>
    <w:rsid w:val="00545CD2"/>
    <w:rsid w:val="00546507"/>
    <w:rsid w:val="005476F3"/>
    <w:rsid w:val="00572527"/>
    <w:rsid w:val="00573E40"/>
    <w:rsid w:val="00576348"/>
    <w:rsid w:val="00581A8A"/>
    <w:rsid w:val="005929D4"/>
    <w:rsid w:val="005A0B2E"/>
    <w:rsid w:val="005A23D2"/>
    <w:rsid w:val="005A36CB"/>
    <w:rsid w:val="005B243D"/>
    <w:rsid w:val="005B49B8"/>
    <w:rsid w:val="005C0741"/>
    <w:rsid w:val="005C2F52"/>
    <w:rsid w:val="005C5EF4"/>
    <w:rsid w:val="005D0035"/>
    <w:rsid w:val="005E2E0B"/>
    <w:rsid w:val="005E7A7D"/>
    <w:rsid w:val="00602457"/>
    <w:rsid w:val="00644FC3"/>
    <w:rsid w:val="00646BD1"/>
    <w:rsid w:val="006561C2"/>
    <w:rsid w:val="00671CB3"/>
    <w:rsid w:val="00674BAF"/>
    <w:rsid w:val="00682200"/>
    <w:rsid w:val="006905FC"/>
    <w:rsid w:val="00692BF6"/>
    <w:rsid w:val="00693503"/>
    <w:rsid w:val="006A1497"/>
    <w:rsid w:val="006B0BD1"/>
    <w:rsid w:val="006B5404"/>
    <w:rsid w:val="006B5C1F"/>
    <w:rsid w:val="006B622D"/>
    <w:rsid w:val="006C0A70"/>
    <w:rsid w:val="006D20A5"/>
    <w:rsid w:val="006D37BF"/>
    <w:rsid w:val="006F7168"/>
    <w:rsid w:val="00702E22"/>
    <w:rsid w:val="0072020E"/>
    <w:rsid w:val="0073308A"/>
    <w:rsid w:val="00786071"/>
    <w:rsid w:val="007A3ECB"/>
    <w:rsid w:val="007C1692"/>
    <w:rsid w:val="007C6849"/>
    <w:rsid w:val="007D7BB3"/>
    <w:rsid w:val="007E0DAF"/>
    <w:rsid w:val="00815BB8"/>
    <w:rsid w:val="00824AB9"/>
    <w:rsid w:val="00836B35"/>
    <w:rsid w:val="00841867"/>
    <w:rsid w:val="00843BDE"/>
    <w:rsid w:val="00847104"/>
    <w:rsid w:val="00851AF9"/>
    <w:rsid w:val="0087588C"/>
    <w:rsid w:val="00890C34"/>
    <w:rsid w:val="0089705C"/>
    <w:rsid w:val="008A2CF0"/>
    <w:rsid w:val="008A2DE3"/>
    <w:rsid w:val="008A4EFB"/>
    <w:rsid w:val="008A6D43"/>
    <w:rsid w:val="008B491E"/>
    <w:rsid w:val="008C1A28"/>
    <w:rsid w:val="008C2E98"/>
    <w:rsid w:val="008D6DE5"/>
    <w:rsid w:val="008E49BD"/>
    <w:rsid w:val="008E53E9"/>
    <w:rsid w:val="008E5771"/>
    <w:rsid w:val="008E732C"/>
    <w:rsid w:val="008F38C9"/>
    <w:rsid w:val="008F4ACF"/>
    <w:rsid w:val="00900BA4"/>
    <w:rsid w:val="00924166"/>
    <w:rsid w:val="009273DA"/>
    <w:rsid w:val="00940B9B"/>
    <w:rsid w:val="0095676E"/>
    <w:rsid w:val="00956983"/>
    <w:rsid w:val="00963CF0"/>
    <w:rsid w:val="00964BB1"/>
    <w:rsid w:val="009708A5"/>
    <w:rsid w:val="009775D9"/>
    <w:rsid w:val="00987BA4"/>
    <w:rsid w:val="00997175"/>
    <w:rsid w:val="009A1847"/>
    <w:rsid w:val="009A5925"/>
    <w:rsid w:val="009B062A"/>
    <w:rsid w:val="009E3AFD"/>
    <w:rsid w:val="009E5AD5"/>
    <w:rsid w:val="009E7C6F"/>
    <w:rsid w:val="009E7EFB"/>
    <w:rsid w:val="009F1793"/>
    <w:rsid w:val="009F2D23"/>
    <w:rsid w:val="00A01D69"/>
    <w:rsid w:val="00A02335"/>
    <w:rsid w:val="00A05A74"/>
    <w:rsid w:val="00A46C9A"/>
    <w:rsid w:val="00A619F3"/>
    <w:rsid w:val="00A62A73"/>
    <w:rsid w:val="00A87FF6"/>
    <w:rsid w:val="00AA0A3B"/>
    <w:rsid w:val="00AA2763"/>
    <w:rsid w:val="00AA33B6"/>
    <w:rsid w:val="00AA6BBD"/>
    <w:rsid w:val="00AB50CA"/>
    <w:rsid w:val="00AB6D64"/>
    <w:rsid w:val="00AC53CE"/>
    <w:rsid w:val="00AD2193"/>
    <w:rsid w:val="00AF2AC7"/>
    <w:rsid w:val="00AF74CE"/>
    <w:rsid w:val="00B029DC"/>
    <w:rsid w:val="00B07DB1"/>
    <w:rsid w:val="00B208DB"/>
    <w:rsid w:val="00B23F69"/>
    <w:rsid w:val="00B277CD"/>
    <w:rsid w:val="00B60619"/>
    <w:rsid w:val="00B66A70"/>
    <w:rsid w:val="00B67366"/>
    <w:rsid w:val="00B80EE1"/>
    <w:rsid w:val="00B84135"/>
    <w:rsid w:val="00BF61B8"/>
    <w:rsid w:val="00C04D34"/>
    <w:rsid w:val="00C05DF8"/>
    <w:rsid w:val="00C06864"/>
    <w:rsid w:val="00C10F54"/>
    <w:rsid w:val="00C23D8D"/>
    <w:rsid w:val="00C25188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D4F85"/>
    <w:rsid w:val="00CD6F02"/>
    <w:rsid w:val="00CE246D"/>
    <w:rsid w:val="00CF07A0"/>
    <w:rsid w:val="00CF3E03"/>
    <w:rsid w:val="00D0082A"/>
    <w:rsid w:val="00D0142E"/>
    <w:rsid w:val="00D21455"/>
    <w:rsid w:val="00D448BC"/>
    <w:rsid w:val="00D47634"/>
    <w:rsid w:val="00D509E4"/>
    <w:rsid w:val="00D709B3"/>
    <w:rsid w:val="00D720EA"/>
    <w:rsid w:val="00D84A31"/>
    <w:rsid w:val="00DA2ED6"/>
    <w:rsid w:val="00DB76B8"/>
    <w:rsid w:val="00DC2EA1"/>
    <w:rsid w:val="00DD6AAF"/>
    <w:rsid w:val="00DE3F5C"/>
    <w:rsid w:val="00DF1D20"/>
    <w:rsid w:val="00DF4DDC"/>
    <w:rsid w:val="00E045EE"/>
    <w:rsid w:val="00E16E00"/>
    <w:rsid w:val="00E21324"/>
    <w:rsid w:val="00E246B9"/>
    <w:rsid w:val="00E31FEA"/>
    <w:rsid w:val="00E45169"/>
    <w:rsid w:val="00E47787"/>
    <w:rsid w:val="00E51C30"/>
    <w:rsid w:val="00E60064"/>
    <w:rsid w:val="00E64180"/>
    <w:rsid w:val="00E74AEE"/>
    <w:rsid w:val="00E825D1"/>
    <w:rsid w:val="00E868E5"/>
    <w:rsid w:val="00E9237A"/>
    <w:rsid w:val="00E939FA"/>
    <w:rsid w:val="00EA5765"/>
    <w:rsid w:val="00EC2532"/>
    <w:rsid w:val="00ED7812"/>
    <w:rsid w:val="00EF3B86"/>
    <w:rsid w:val="00F00EF7"/>
    <w:rsid w:val="00F033D5"/>
    <w:rsid w:val="00F257E4"/>
    <w:rsid w:val="00F311B3"/>
    <w:rsid w:val="00F317E9"/>
    <w:rsid w:val="00F34554"/>
    <w:rsid w:val="00F43540"/>
    <w:rsid w:val="00F45F77"/>
    <w:rsid w:val="00F5167F"/>
    <w:rsid w:val="00F52258"/>
    <w:rsid w:val="00F65010"/>
    <w:rsid w:val="00F8570A"/>
    <w:rsid w:val="00F91A4A"/>
    <w:rsid w:val="00F91C7B"/>
    <w:rsid w:val="00FA597B"/>
    <w:rsid w:val="00FC26D1"/>
    <w:rsid w:val="00FD5215"/>
    <w:rsid w:val="00FE3D2C"/>
    <w:rsid w:val="00FF0709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B14D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FA597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57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0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EF798-3E11-48FF-B8EF-6E529E00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20752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Jonić-Popović</cp:lastModifiedBy>
  <cp:revision>2</cp:revision>
  <dcterms:created xsi:type="dcterms:W3CDTF">2024-12-26T09:00:00Z</dcterms:created>
  <dcterms:modified xsi:type="dcterms:W3CDTF">2024-12-26T09:00:00Z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