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844" w:rsidRPr="00AD2361" w:rsidRDefault="004529E0" w:rsidP="00AD2361">
      <w:pPr>
        <w:widowControl w:val="0"/>
        <w:spacing w:line="240" w:lineRule="auto"/>
        <w:jc w:val="center"/>
        <w:rPr>
          <w:b/>
          <w:bCs/>
          <w:iCs/>
          <w:szCs w:val="22"/>
          <w:u w:val="single"/>
          <w:lang w:val="sr-Latn-ME"/>
        </w:rPr>
      </w:pPr>
      <w:r w:rsidRPr="00AD2361">
        <w:rPr>
          <w:b/>
          <w:bCs/>
          <w:iCs/>
          <w:szCs w:val="22"/>
          <w:u w:val="single"/>
          <w:lang w:val="sr-Latn-ME"/>
        </w:rPr>
        <w:t>SAŽETAK KARAKTERISTIKA LIJEKA</w:t>
      </w:r>
    </w:p>
    <w:p w:rsidR="00381844" w:rsidRPr="00AD2361" w:rsidRDefault="00381844" w:rsidP="00AD2361">
      <w:pPr>
        <w:widowControl w:val="0"/>
        <w:spacing w:line="240" w:lineRule="auto"/>
        <w:rPr>
          <w:szCs w:val="22"/>
          <w:lang w:val="sr-Latn-ME"/>
        </w:rPr>
      </w:pP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1.</w:t>
      </w:r>
      <w:r w:rsidRPr="00AD2361">
        <w:rPr>
          <w:b/>
          <w:bCs/>
          <w:szCs w:val="22"/>
          <w:lang w:val="sr-Latn-ME"/>
        </w:rPr>
        <w:tab/>
        <w:t>NAZIV LIJEKA</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rPr>
          <w:iCs/>
          <w:szCs w:val="22"/>
          <w:lang w:val="sr-Latn-ME"/>
        </w:rPr>
      </w:pPr>
      <w:r w:rsidRPr="00AD2361">
        <w:rPr>
          <w:bCs/>
          <w:szCs w:val="22"/>
          <w:lang w:val="sr-Latn-ME"/>
        </w:rPr>
        <w:t>Dagrafors,</w:t>
      </w:r>
      <w:r w:rsidRPr="00AD2361">
        <w:rPr>
          <w:szCs w:val="22"/>
          <w:lang w:val="sr-Latn-ME"/>
        </w:rPr>
        <w:t xml:space="preserve"> 5 mg, film tableta</w:t>
      </w:r>
    </w:p>
    <w:p w:rsidR="00381844" w:rsidRPr="00AD2361" w:rsidRDefault="004529E0" w:rsidP="00AD2361">
      <w:pPr>
        <w:widowControl w:val="0"/>
        <w:spacing w:line="240" w:lineRule="auto"/>
        <w:rPr>
          <w:iCs/>
          <w:szCs w:val="22"/>
          <w:lang w:val="sr-Latn-ME"/>
        </w:rPr>
      </w:pPr>
      <w:r w:rsidRPr="00AD2361">
        <w:rPr>
          <w:bCs/>
          <w:color w:val="000000"/>
          <w:szCs w:val="22"/>
          <w:lang w:val="sr-Latn-ME"/>
        </w:rPr>
        <w:t>Dagrafors,</w:t>
      </w:r>
      <w:r w:rsidRPr="00AD2361">
        <w:rPr>
          <w:szCs w:val="22"/>
          <w:lang w:val="sr-Latn-ME"/>
        </w:rPr>
        <w:t xml:space="preserve"> 10 mg, film tableta</w:t>
      </w:r>
    </w:p>
    <w:p w:rsidR="00381844" w:rsidRPr="00AD2361" w:rsidRDefault="00381844" w:rsidP="00AD2361">
      <w:pPr>
        <w:widowControl w:val="0"/>
        <w:spacing w:line="240" w:lineRule="auto"/>
        <w:rPr>
          <w:bCs/>
          <w:szCs w:val="22"/>
          <w:lang w:val="sr-Latn-ME"/>
        </w:rPr>
      </w:pPr>
    </w:p>
    <w:p w:rsidR="00381844" w:rsidRPr="00AD2361" w:rsidRDefault="004529E0" w:rsidP="00AD2361">
      <w:pPr>
        <w:widowControl w:val="0"/>
        <w:spacing w:line="240" w:lineRule="auto"/>
        <w:rPr>
          <w:szCs w:val="22"/>
          <w:lang w:val="sr-Latn-ME"/>
        </w:rPr>
      </w:pPr>
      <w:r w:rsidRPr="00AD2361">
        <w:rPr>
          <w:szCs w:val="22"/>
          <w:lang w:val="sr-Latn-ME"/>
        </w:rPr>
        <w:t xml:space="preserve">INN: </w:t>
      </w:r>
      <w:r w:rsidRPr="00AD2361">
        <w:rPr>
          <w:bCs/>
          <w:color w:val="000000"/>
          <w:szCs w:val="22"/>
          <w:lang w:val="sr-Latn-ME"/>
        </w:rPr>
        <w:t>dapagliflozin</w:t>
      </w:r>
    </w:p>
    <w:p w:rsidR="00381844" w:rsidRPr="00AD2361" w:rsidRDefault="00381844" w:rsidP="00AD2361">
      <w:pPr>
        <w:widowControl w:val="0"/>
        <w:spacing w:line="240" w:lineRule="auto"/>
        <w:rPr>
          <w:bCs/>
          <w:szCs w:val="22"/>
          <w:lang w:val="sr-Latn-ME"/>
        </w:rPr>
      </w:pPr>
    </w:p>
    <w:p w:rsidR="00381844" w:rsidRPr="00AD2361" w:rsidRDefault="00381844" w:rsidP="00AD2361">
      <w:pPr>
        <w:widowControl w:val="0"/>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2. </w:t>
      </w:r>
      <w:r w:rsidRPr="00AD2361">
        <w:rPr>
          <w:b/>
          <w:bCs/>
          <w:szCs w:val="22"/>
          <w:lang w:val="sr-Latn-ME"/>
        </w:rPr>
        <w:tab/>
        <w:t>KVALITATIVNI I KVANTITATIVNI SASTAV</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rPr>
          <w:iCs/>
          <w:szCs w:val="22"/>
          <w:u w:val="single"/>
          <w:lang w:val="sr-Latn-ME"/>
        </w:rPr>
      </w:pPr>
      <w:r w:rsidRPr="00AD2361">
        <w:rPr>
          <w:bCs/>
          <w:szCs w:val="22"/>
          <w:u w:val="single"/>
          <w:lang w:val="sr-Latn-ME"/>
        </w:rPr>
        <w:t>Dagrafors,</w:t>
      </w:r>
      <w:r w:rsidRPr="00AD2361">
        <w:rPr>
          <w:szCs w:val="22"/>
          <w:u w:val="single"/>
          <w:lang w:val="sr-Latn-ME"/>
        </w:rPr>
        <w:t xml:space="preserve"> 5 mg, film tableta</w:t>
      </w:r>
    </w:p>
    <w:p w:rsidR="00381844" w:rsidRPr="00AD2361" w:rsidRDefault="004529E0" w:rsidP="00AD2361">
      <w:pPr>
        <w:widowControl w:val="0"/>
        <w:autoSpaceDE w:val="0"/>
        <w:autoSpaceDN w:val="0"/>
        <w:adjustRightInd w:val="0"/>
        <w:spacing w:line="240" w:lineRule="auto"/>
        <w:rPr>
          <w:szCs w:val="22"/>
          <w:lang w:val="sr-Latn-ME"/>
        </w:rPr>
      </w:pPr>
      <w:r w:rsidRPr="00AD2361">
        <w:rPr>
          <w:szCs w:val="22"/>
          <w:lang w:val="sr-Latn-ME"/>
        </w:rPr>
        <w:t xml:space="preserve">Svaka film tableta sadrži 5 mg </w:t>
      </w:r>
      <w:r w:rsidRPr="00AD2361">
        <w:rPr>
          <w:bCs/>
          <w:szCs w:val="22"/>
          <w:lang w:val="sr-Latn-ME"/>
        </w:rPr>
        <w:t>dapagliflozina</w:t>
      </w:r>
      <w:r w:rsidRPr="00AD2361">
        <w:rPr>
          <w:szCs w:val="22"/>
          <w:lang w:val="sr-Latn-ME"/>
        </w:rPr>
        <w:t>.</w:t>
      </w:r>
    </w:p>
    <w:p w:rsidR="00381844" w:rsidRPr="00AD2361" w:rsidRDefault="00381844" w:rsidP="00AD2361">
      <w:pPr>
        <w:widowControl w:val="0"/>
        <w:spacing w:line="240" w:lineRule="auto"/>
        <w:rPr>
          <w:szCs w:val="22"/>
          <w:u w:val="single"/>
          <w:lang w:val="sr-Latn-ME"/>
        </w:rPr>
      </w:pPr>
    </w:p>
    <w:p w:rsidR="00381844" w:rsidRPr="00AD2361" w:rsidRDefault="004529E0" w:rsidP="00AD2361">
      <w:pPr>
        <w:widowControl w:val="0"/>
        <w:spacing w:line="240" w:lineRule="auto"/>
        <w:rPr>
          <w:iCs/>
          <w:szCs w:val="22"/>
          <w:u w:val="single"/>
          <w:lang w:val="sr-Latn-ME"/>
        </w:rPr>
      </w:pPr>
      <w:r w:rsidRPr="00AD2361">
        <w:rPr>
          <w:bCs/>
          <w:szCs w:val="22"/>
          <w:u w:val="single"/>
          <w:lang w:val="sr-Latn-ME"/>
        </w:rPr>
        <w:t>Dagrafors,</w:t>
      </w:r>
      <w:r w:rsidRPr="00AD2361">
        <w:rPr>
          <w:szCs w:val="22"/>
          <w:u w:val="single"/>
          <w:lang w:val="sr-Latn-ME"/>
        </w:rPr>
        <w:t xml:space="preserve"> 10 mg, film tableta</w:t>
      </w:r>
    </w:p>
    <w:p w:rsidR="00381844" w:rsidRPr="00AD2361" w:rsidRDefault="004529E0" w:rsidP="00AD2361">
      <w:pPr>
        <w:widowControl w:val="0"/>
        <w:autoSpaceDE w:val="0"/>
        <w:autoSpaceDN w:val="0"/>
        <w:adjustRightInd w:val="0"/>
        <w:spacing w:line="240" w:lineRule="auto"/>
        <w:rPr>
          <w:szCs w:val="22"/>
          <w:lang w:val="sr-Latn-ME"/>
        </w:rPr>
      </w:pPr>
      <w:r w:rsidRPr="00AD2361">
        <w:rPr>
          <w:szCs w:val="22"/>
          <w:lang w:val="sr-Latn-ME"/>
        </w:rPr>
        <w:t xml:space="preserve">Svaka film tableta sadrži 10 mg </w:t>
      </w:r>
      <w:r w:rsidRPr="00AD2361">
        <w:rPr>
          <w:bCs/>
          <w:szCs w:val="22"/>
          <w:lang w:val="sr-Latn-ME"/>
        </w:rPr>
        <w:t>dapagliflozina</w:t>
      </w:r>
      <w:r w:rsidRPr="00AD2361">
        <w:rPr>
          <w:szCs w:val="22"/>
          <w:lang w:val="sr-Latn-ME"/>
        </w:rPr>
        <w:t>.</w:t>
      </w:r>
    </w:p>
    <w:p w:rsidR="00381844" w:rsidRPr="00AD2361" w:rsidRDefault="00381844" w:rsidP="00AD2361">
      <w:pPr>
        <w:widowControl w:val="0"/>
        <w:autoSpaceDE w:val="0"/>
        <w:autoSpaceDN w:val="0"/>
        <w:adjustRightInd w:val="0"/>
        <w:spacing w:line="240" w:lineRule="auto"/>
        <w:rPr>
          <w:bCs/>
          <w:szCs w:val="22"/>
          <w:lang w:val="sr-Latn-ME"/>
        </w:rPr>
      </w:pPr>
    </w:p>
    <w:p w:rsidR="00381844" w:rsidRPr="00AD2361" w:rsidRDefault="004529E0" w:rsidP="00AD2361">
      <w:pPr>
        <w:widowControl w:val="0"/>
        <w:autoSpaceDE w:val="0"/>
        <w:autoSpaceDN w:val="0"/>
        <w:adjustRightInd w:val="0"/>
        <w:spacing w:line="240" w:lineRule="auto"/>
        <w:rPr>
          <w:bCs/>
          <w:szCs w:val="22"/>
          <w:lang w:val="sr-Latn-ME"/>
        </w:rPr>
      </w:pPr>
      <w:r w:rsidRPr="00AD2361">
        <w:rPr>
          <w:bCs/>
          <w:szCs w:val="22"/>
          <w:lang w:val="sr-Latn-ME"/>
        </w:rPr>
        <w:t>Pomoćna supstanca sa potvrđenim dejstvom:</w:t>
      </w:r>
    </w:p>
    <w:p w:rsidR="00381844" w:rsidRPr="00AD2361" w:rsidRDefault="00381844" w:rsidP="00AD2361">
      <w:pPr>
        <w:widowControl w:val="0"/>
        <w:spacing w:line="240" w:lineRule="auto"/>
        <w:rPr>
          <w:bCs/>
          <w:i/>
          <w:iCs/>
          <w:szCs w:val="22"/>
          <w:lang w:val="sr-Latn-ME"/>
        </w:rPr>
      </w:pPr>
    </w:p>
    <w:p w:rsidR="00381844" w:rsidRPr="00AD2361" w:rsidRDefault="004529E0" w:rsidP="00AD2361">
      <w:pPr>
        <w:widowControl w:val="0"/>
        <w:spacing w:line="240" w:lineRule="auto"/>
        <w:rPr>
          <w:iCs/>
          <w:szCs w:val="22"/>
          <w:u w:val="single"/>
          <w:lang w:val="sr-Latn-ME"/>
        </w:rPr>
      </w:pPr>
      <w:r w:rsidRPr="00AD2361">
        <w:rPr>
          <w:bCs/>
          <w:iCs/>
          <w:szCs w:val="22"/>
          <w:u w:val="single"/>
          <w:lang w:val="sr-Latn-ME"/>
        </w:rPr>
        <w:t>Dagrafors,</w:t>
      </w:r>
      <w:r w:rsidRPr="00AD2361">
        <w:rPr>
          <w:iCs/>
          <w:szCs w:val="22"/>
          <w:u w:val="single"/>
          <w:lang w:val="sr-Latn-ME"/>
        </w:rPr>
        <w:t xml:space="preserve"> 5 mg, film tableta</w:t>
      </w:r>
    </w:p>
    <w:p w:rsidR="00381844" w:rsidRPr="00AD2361" w:rsidRDefault="004529E0" w:rsidP="00AD2361">
      <w:pPr>
        <w:widowControl w:val="0"/>
        <w:spacing w:line="240" w:lineRule="auto"/>
        <w:rPr>
          <w:iCs/>
          <w:szCs w:val="22"/>
          <w:lang w:val="sr-Latn-ME"/>
        </w:rPr>
      </w:pPr>
      <w:r w:rsidRPr="00AD2361">
        <w:rPr>
          <w:szCs w:val="22"/>
          <w:lang w:val="sr-Latn-ME"/>
        </w:rPr>
        <w:t>Svaka film tableta sadrži 48,69 mg laktoze.</w:t>
      </w:r>
    </w:p>
    <w:p w:rsidR="00381844" w:rsidRPr="00AD2361" w:rsidRDefault="00381844" w:rsidP="00AD2361">
      <w:pPr>
        <w:widowControl w:val="0"/>
        <w:spacing w:line="240" w:lineRule="auto"/>
        <w:rPr>
          <w:i/>
          <w:szCs w:val="22"/>
          <w:lang w:val="sr-Latn-ME"/>
        </w:rPr>
      </w:pPr>
    </w:p>
    <w:p w:rsidR="00381844" w:rsidRPr="00AD2361" w:rsidRDefault="004529E0" w:rsidP="00AD2361">
      <w:pPr>
        <w:widowControl w:val="0"/>
        <w:spacing w:line="240" w:lineRule="auto"/>
        <w:rPr>
          <w:iCs/>
          <w:szCs w:val="22"/>
          <w:u w:val="single"/>
          <w:lang w:val="sr-Latn-ME"/>
        </w:rPr>
      </w:pPr>
      <w:r w:rsidRPr="00AD2361">
        <w:rPr>
          <w:bCs/>
          <w:iCs/>
          <w:szCs w:val="22"/>
          <w:u w:val="single"/>
          <w:lang w:val="sr-Latn-ME"/>
        </w:rPr>
        <w:t>Dagrafors,</w:t>
      </w:r>
      <w:r w:rsidRPr="00AD2361">
        <w:rPr>
          <w:iCs/>
          <w:szCs w:val="22"/>
          <w:u w:val="single"/>
          <w:lang w:val="sr-Latn-ME"/>
        </w:rPr>
        <w:t xml:space="preserve"> 10 mg, film tableta</w:t>
      </w:r>
    </w:p>
    <w:p w:rsidR="00381844" w:rsidRPr="00AD2361" w:rsidRDefault="004529E0" w:rsidP="00AD2361">
      <w:pPr>
        <w:widowControl w:val="0"/>
        <w:spacing w:line="240" w:lineRule="auto"/>
        <w:rPr>
          <w:iCs/>
          <w:szCs w:val="22"/>
          <w:lang w:val="sr-Latn-ME"/>
        </w:rPr>
      </w:pPr>
      <w:r w:rsidRPr="00AD2361">
        <w:rPr>
          <w:szCs w:val="22"/>
          <w:lang w:val="sr-Latn-ME"/>
        </w:rPr>
        <w:t>Svaka film tableta sadrži 97,38 mg laktoze.</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rPr>
          <w:szCs w:val="22"/>
          <w:lang w:val="sr-Latn-ME"/>
        </w:rPr>
      </w:pPr>
      <w:r w:rsidRPr="00AD2361">
        <w:rPr>
          <w:szCs w:val="22"/>
          <w:lang w:val="sr-Latn-ME"/>
        </w:rPr>
        <w:t>Za spisak svih ekscipijenasa, pogledati dio 6.1.</w:t>
      </w:r>
    </w:p>
    <w:p w:rsidR="00381844" w:rsidRPr="00AD2361" w:rsidRDefault="00381844" w:rsidP="00AD2361">
      <w:pPr>
        <w:widowControl w:val="0"/>
        <w:spacing w:line="240" w:lineRule="auto"/>
        <w:rPr>
          <w:szCs w:val="22"/>
          <w:lang w:val="sr-Latn-ME"/>
        </w:rPr>
      </w:pP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3. </w:t>
      </w:r>
      <w:r w:rsidRPr="00AD2361">
        <w:rPr>
          <w:b/>
          <w:bCs/>
          <w:szCs w:val="22"/>
          <w:lang w:val="sr-Latn-ME"/>
        </w:rPr>
        <w:tab/>
        <w:t xml:space="preserve">FARMACEUTSKI OBLIK </w:t>
      </w:r>
    </w:p>
    <w:p w:rsidR="00381844" w:rsidRPr="00AD2361" w:rsidRDefault="00381844" w:rsidP="00AD2361">
      <w:pPr>
        <w:widowControl w:val="0"/>
        <w:spacing w:line="240" w:lineRule="auto"/>
        <w:rPr>
          <w:bCs/>
          <w:szCs w:val="22"/>
          <w:lang w:val="sr-Latn-ME"/>
        </w:rPr>
      </w:pPr>
    </w:p>
    <w:p w:rsidR="00381844" w:rsidRPr="00AD2361" w:rsidRDefault="004529E0" w:rsidP="00AD2361">
      <w:pPr>
        <w:widowControl w:val="0"/>
        <w:spacing w:line="240" w:lineRule="auto"/>
        <w:rPr>
          <w:szCs w:val="22"/>
          <w:lang w:val="sr-Latn-ME"/>
        </w:rPr>
      </w:pPr>
      <w:r w:rsidRPr="00AD2361">
        <w:rPr>
          <w:szCs w:val="22"/>
          <w:lang w:val="sr-Latn-ME"/>
        </w:rPr>
        <w:t xml:space="preserve">Film tableta </w:t>
      </w:r>
    </w:p>
    <w:p w:rsidR="00381844" w:rsidRPr="00AD2361" w:rsidRDefault="00381844" w:rsidP="00AD2361">
      <w:pPr>
        <w:widowControl w:val="0"/>
        <w:spacing w:line="240" w:lineRule="auto"/>
        <w:rPr>
          <w:szCs w:val="22"/>
          <w:highlight w:val="yellow"/>
          <w:lang w:val="sr-Latn-ME"/>
        </w:rPr>
      </w:pPr>
    </w:p>
    <w:p w:rsidR="00381844" w:rsidRPr="00AD2361" w:rsidRDefault="004529E0" w:rsidP="00AD2361">
      <w:pPr>
        <w:widowControl w:val="0"/>
        <w:spacing w:line="240" w:lineRule="auto"/>
        <w:rPr>
          <w:szCs w:val="22"/>
          <w:u w:val="single"/>
          <w:lang w:val="sr-Latn-ME"/>
        </w:rPr>
      </w:pPr>
      <w:r w:rsidRPr="00AD2361">
        <w:rPr>
          <w:bCs/>
          <w:szCs w:val="22"/>
          <w:u w:val="single"/>
          <w:lang w:val="sr-Latn-ME"/>
        </w:rPr>
        <w:t>Dagrafors,</w:t>
      </w:r>
      <w:r w:rsidRPr="00AD2361">
        <w:rPr>
          <w:szCs w:val="22"/>
          <w:u w:val="single"/>
          <w:lang w:val="sr-Latn-ME"/>
        </w:rPr>
        <w:t xml:space="preserve"> 5 mg, film tableta:</w:t>
      </w:r>
    </w:p>
    <w:p w:rsidR="00381844" w:rsidRPr="00AD2361" w:rsidRDefault="004529E0" w:rsidP="00AD2361">
      <w:pPr>
        <w:widowControl w:val="0"/>
        <w:spacing w:line="240" w:lineRule="auto"/>
        <w:jc w:val="both"/>
        <w:rPr>
          <w:szCs w:val="22"/>
          <w:lang w:val="sr-Latn-ME"/>
        </w:rPr>
      </w:pPr>
      <w:r w:rsidRPr="00AD2361">
        <w:rPr>
          <w:szCs w:val="22"/>
          <w:lang w:val="sr-Latn-ME"/>
        </w:rPr>
        <w:t>Svijetlosmeđe-žuta, okrugla, bikonveksna film tableta, prečnika oko 7 mm,  sa oznakom 5 na jednoj strani.</w:t>
      </w:r>
    </w:p>
    <w:p w:rsidR="00381844" w:rsidRPr="00AD2361" w:rsidRDefault="00381844" w:rsidP="00AD2361">
      <w:pPr>
        <w:widowControl w:val="0"/>
        <w:spacing w:line="240" w:lineRule="auto"/>
        <w:rPr>
          <w:szCs w:val="22"/>
          <w:highlight w:val="yellow"/>
          <w:lang w:val="sr-Latn-ME"/>
        </w:rPr>
      </w:pPr>
    </w:p>
    <w:p w:rsidR="00381844" w:rsidRPr="00AD2361" w:rsidRDefault="004529E0" w:rsidP="00AD2361">
      <w:pPr>
        <w:widowControl w:val="0"/>
        <w:spacing w:line="240" w:lineRule="auto"/>
        <w:rPr>
          <w:szCs w:val="22"/>
          <w:u w:val="single"/>
          <w:lang w:val="sr-Latn-ME"/>
        </w:rPr>
      </w:pPr>
      <w:r w:rsidRPr="00AD2361">
        <w:rPr>
          <w:bCs/>
          <w:szCs w:val="22"/>
          <w:u w:val="single"/>
          <w:lang w:val="sr-Latn-ME"/>
        </w:rPr>
        <w:t>Dagrafors,</w:t>
      </w:r>
      <w:r w:rsidRPr="00AD2361">
        <w:rPr>
          <w:szCs w:val="22"/>
          <w:u w:val="single"/>
          <w:lang w:val="sr-Latn-ME"/>
        </w:rPr>
        <w:t xml:space="preserve"> 10 mg, film tableta:</w:t>
      </w:r>
    </w:p>
    <w:p w:rsidR="00381844" w:rsidRPr="00AD2361" w:rsidRDefault="004529E0" w:rsidP="00AD2361">
      <w:pPr>
        <w:widowControl w:val="0"/>
        <w:spacing w:line="240" w:lineRule="auto"/>
        <w:jc w:val="both"/>
        <w:rPr>
          <w:szCs w:val="22"/>
          <w:lang w:val="sr-Latn-ME"/>
        </w:rPr>
      </w:pPr>
      <w:r w:rsidRPr="00AD2361">
        <w:rPr>
          <w:szCs w:val="22"/>
          <w:lang w:val="sr-Latn-ME"/>
        </w:rPr>
        <w:t xml:space="preserve">Svijetlosmeđe-žuta, ovalna, bikonveksna film tableta, dimenzija oko 13 x 6,5 mm, sa podionom crtom na jednoj strani. Sa jedne strane podione crte nalazi se oznaka 1, a sa druge strane oznaka 0. </w:t>
      </w:r>
    </w:p>
    <w:p w:rsidR="00381844" w:rsidRPr="00AD2361" w:rsidRDefault="004529E0" w:rsidP="00AD2361">
      <w:pPr>
        <w:widowControl w:val="0"/>
        <w:spacing w:line="240" w:lineRule="auto"/>
        <w:jc w:val="both"/>
        <w:rPr>
          <w:szCs w:val="22"/>
          <w:lang w:val="sr-Latn-ME"/>
        </w:rPr>
      </w:pPr>
      <w:r w:rsidRPr="00AD2361">
        <w:rPr>
          <w:szCs w:val="22"/>
          <w:lang w:val="sr-Latn-ME"/>
        </w:rPr>
        <w:t xml:space="preserve">Tableta se može podijeliti na jednake doze. </w:t>
      </w:r>
    </w:p>
    <w:p w:rsidR="00381844" w:rsidRPr="00AD2361" w:rsidRDefault="00381844" w:rsidP="00AD2361">
      <w:pPr>
        <w:widowControl w:val="0"/>
        <w:spacing w:line="240" w:lineRule="auto"/>
        <w:rPr>
          <w:bCs/>
          <w:szCs w:val="22"/>
          <w:lang w:val="sr-Latn-ME"/>
        </w:rPr>
      </w:pPr>
    </w:p>
    <w:p w:rsidR="00381844" w:rsidRPr="00AD2361" w:rsidRDefault="00381844" w:rsidP="00AD2361">
      <w:pPr>
        <w:widowControl w:val="0"/>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4. </w:t>
      </w:r>
      <w:r w:rsidRPr="00AD2361">
        <w:rPr>
          <w:b/>
          <w:bCs/>
          <w:szCs w:val="22"/>
          <w:lang w:val="sr-Latn-ME"/>
        </w:rPr>
        <w:tab/>
        <w:t>KLINIČKI PODACI</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4.1. </w:t>
      </w:r>
      <w:r w:rsidRPr="00AD2361">
        <w:rPr>
          <w:b/>
          <w:bCs/>
          <w:szCs w:val="22"/>
          <w:lang w:val="sr-Latn-ME"/>
        </w:rPr>
        <w:tab/>
        <w:t>Terapijske indikacije</w:t>
      </w:r>
    </w:p>
    <w:p w:rsidR="00381844" w:rsidRPr="00AD2361" w:rsidRDefault="00381844" w:rsidP="00AD2361">
      <w:pPr>
        <w:widowControl w:val="0"/>
        <w:tabs>
          <w:tab w:val="clear" w:pos="567"/>
          <w:tab w:val="left" w:pos="540"/>
          <w:tab w:val="left" w:pos="569"/>
        </w:tabs>
        <w:spacing w:line="240" w:lineRule="auto"/>
        <w:rPr>
          <w:bCs/>
          <w:szCs w:val="22"/>
          <w:u w:val="single"/>
          <w:lang w:val="sr-Latn-ME"/>
        </w:rPr>
      </w:pP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u w:val="single"/>
          <w:lang w:val="sr-Latn-ME"/>
        </w:rPr>
        <w:t>Dijabetes melitus tip 2</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Lijek Dagrafors je indikovan kod odraslih i djece uzrasta 10 godina i više za terapiju nedovoljno dobro</w:t>
      </w:r>
    </w:p>
    <w:p w:rsidR="00381844" w:rsidRPr="00AD2361" w:rsidRDefault="004529E0" w:rsidP="00AD2361">
      <w:pPr>
        <w:widowControl w:val="0"/>
        <w:tabs>
          <w:tab w:val="left" w:pos="540"/>
        </w:tabs>
        <w:spacing w:line="240" w:lineRule="auto"/>
        <w:rPr>
          <w:bCs/>
          <w:szCs w:val="22"/>
          <w:lang w:val="sr-Latn-ME"/>
        </w:rPr>
      </w:pPr>
      <w:r w:rsidRPr="00AD2361">
        <w:rPr>
          <w:bCs/>
          <w:szCs w:val="22"/>
          <w:lang w:val="sr-Latn-ME"/>
        </w:rPr>
        <w:t>kontrolisanog dijabetes melitusa tip 2, uz pravilnu ishranu i vježbanje</w:t>
      </w:r>
    </w:p>
    <w:p w:rsidR="00381844" w:rsidRPr="00AD2361" w:rsidRDefault="004529E0" w:rsidP="00AD2361">
      <w:pPr>
        <w:widowControl w:val="0"/>
        <w:tabs>
          <w:tab w:val="left" w:pos="540"/>
        </w:tabs>
        <w:spacing w:line="240" w:lineRule="auto"/>
        <w:rPr>
          <w:bCs/>
          <w:szCs w:val="22"/>
          <w:lang w:val="sr-Latn-ME"/>
        </w:rPr>
      </w:pPr>
      <w:r w:rsidRPr="00AD2361">
        <w:rPr>
          <w:bCs/>
          <w:szCs w:val="22"/>
          <w:lang w:val="sr-Latn-ME"/>
        </w:rPr>
        <w:tab/>
        <w:t>-</w:t>
      </w:r>
      <w:r w:rsidRPr="00AD2361">
        <w:rPr>
          <w:bCs/>
          <w:szCs w:val="22"/>
          <w:lang w:val="sr-Latn-ME"/>
        </w:rPr>
        <w:tab/>
        <w:t>kao monoterapija kada se primjena metformina ne smatra prikladnom zbog intolerancije.</w:t>
      </w:r>
    </w:p>
    <w:p w:rsidR="00381844" w:rsidRPr="00AD2361" w:rsidRDefault="004529E0" w:rsidP="00AD2361">
      <w:pPr>
        <w:widowControl w:val="0"/>
        <w:tabs>
          <w:tab w:val="left" w:pos="540"/>
        </w:tabs>
        <w:spacing w:line="240" w:lineRule="auto"/>
        <w:rPr>
          <w:bCs/>
          <w:szCs w:val="22"/>
          <w:lang w:val="sr-Latn-ME"/>
        </w:rPr>
      </w:pPr>
      <w:r w:rsidRPr="00AD2361">
        <w:rPr>
          <w:bCs/>
          <w:szCs w:val="22"/>
          <w:lang w:val="sr-Latn-ME"/>
        </w:rPr>
        <w:tab/>
        <w:t xml:space="preserve">- </w:t>
      </w:r>
      <w:r w:rsidRPr="00AD2361">
        <w:rPr>
          <w:bCs/>
          <w:szCs w:val="22"/>
          <w:lang w:val="sr-Latn-ME"/>
        </w:rPr>
        <w:tab/>
        <w:t>kao dodatna terapija drugim ljekovima za liječenje dijabetes melitusa tip 2.</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jc w:val="both"/>
        <w:rPr>
          <w:bCs/>
          <w:szCs w:val="22"/>
          <w:lang w:val="sr-Latn-ME"/>
        </w:rPr>
      </w:pPr>
      <w:r w:rsidRPr="00AD2361">
        <w:rPr>
          <w:bCs/>
          <w:szCs w:val="22"/>
          <w:lang w:val="sr-Latn-ME"/>
        </w:rPr>
        <w:t xml:space="preserve">Za rezultate ispitivanja koji se odnose na primjenu u kombinaciji sa drugim ljekovima, dejstva na kontrolu glikemije, kardiovaskularne i bubrežne događaje, kao i ispitivane populacije, vidjeti djelove </w:t>
      </w:r>
      <w:r w:rsidRPr="00AD2361">
        <w:rPr>
          <w:bCs/>
          <w:szCs w:val="22"/>
          <w:lang w:val="sr-Latn-ME"/>
        </w:rPr>
        <w:lastRenderedPageBreak/>
        <w:t>4.4, 4.5 i 5.1.</w:t>
      </w:r>
    </w:p>
    <w:p w:rsidR="00381844" w:rsidRPr="00AD2361" w:rsidRDefault="00381844" w:rsidP="00AD2361">
      <w:pPr>
        <w:widowControl w:val="0"/>
        <w:tabs>
          <w:tab w:val="clear" w:pos="567"/>
          <w:tab w:val="left" w:pos="540"/>
          <w:tab w:val="left" w:pos="569"/>
        </w:tabs>
        <w:spacing w:line="240" w:lineRule="auto"/>
        <w:rPr>
          <w:bCs/>
          <w:szCs w:val="22"/>
          <w:u w:val="single"/>
          <w:lang w:val="sr-Latn-ME"/>
        </w:rPr>
      </w:pP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u w:val="single"/>
          <w:lang w:val="sr-Latn-ME"/>
        </w:rPr>
        <w:t>Srčana insuficijencija</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jc w:val="both"/>
        <w:rPr>
          <w:bCs/>
          <w:szCs w:val="22"/>
          <w:lang w:val="sr-Latn-ME"/>
        </w:rPr>
      </w:pPr>
      <w:r w:rsidRPr="00AD2361">
        <w:rPr>
          <w:bCs/>
          <w:szCs w:val="22"/>
          <w:lang w:val="sr-Latn-ME"/>
        </w:rPr>
        <w:t>Lijek Dagrafors j</w:t>
      </w:r>
      <w:r w:rsidRPr="00AD2361">
        <w:rPr>
          <w:szCs w:val="22"/>
          <w:lang w:val="sr-Latn-ME"/>
        </w:rPr>
        <w:t>e indikovan kod odraslih osoba za terapiju simptomatske hronične srčane insuficijencije.</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u w:val="single"/>
          <w:lang w:val="sr-Latn-ME"/>
        </w:rPr>
        <w:t>Hronična bolest bubrega</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jc w:val="both"/>
        <w:rPr>
          <w:bCs/>
          <w:szCs w:val="22"/>
          <w:lang w:val="sr-Latn-ME"/>
        </w:rPr>
      </w:pPr>
      <w:r w:rsidRPr="00AD2361">
        <w:rPr>
          <w:bCs/>
          <w:szCs w:val="22"/>
          <w:lang w:val="sr-Latn-ME"/>
        </w:rPr>
        <w:t>Lijek Dagrafors je indikovan kod odraslih osoba za terapiju hronične bolesti bubrega.</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4.2. </w:t>
      </w:r>
      <w:r w:rsidRPr="00AD2361">
        <w:rPr>
          <w:b/>
          <w:bCs/>
          <w:szCs w:val="22"/>
          <w:lang w:val="sr-Latn-ME"/>
        </w:rPr>
        <w:tab/>
        <w:t>Doziranje i način primjene</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Cs/>
          <w:szCs w:val="22"/>
          <w:u w:val="single"/>
          <w:lang w:val="sr-Latn-ME"/>
        </w:rPr>
      </w:pPr>
      <w:r w:rsidRPr="00AD2361">
        <w:rPr>
          <w:bCs/>
          <w:szCs w:val="22"/>
          <w:u w:val="single"/>
          <w:lang w:val="sr-Latn-ME"/>
        </w:rPr>
        <w:t>Doziranje</w:t>
      </w:r>
    </w:p>
    <w:p w:rsidR="00381844" w:rsidRPr="00AD2361" w:rsidRDefault="00381844" w:rsidP="00AD2361">
      <w:pPr>
        <w:widowControl w:val="0"/>
        <w:tabs>
          <w:tab w:val="clear" w:pos="567"/>
          <w:tab w:val="left" w:pos="540"/>
          <w:tab w:val="left" w:pos="569"/>
        </w:tabs>
        <w:spacing w:line="240" w:lineRule="auto"/>
        <w:rPr>
          <w:bCs/>
          <w:i/>
          <w:szCs w:val="22"/>
          <w:lang w:val="sr-Latn-ME"/>
        </w:rPr>
      </w:pPr>
    </w:p>
    <w:p w:rsidR="00381844" w:rsidRPr="00AD2361" w:rsidRDefault="004529E0" w:rsidP="00AD2361">
      <w:pPr>
        <w:widowControl w:val="0"/>
        <w:tabs>
          <w:tab w:val="clear" w:pos="567"/>
          <w:tab w:val="left" w:pos="540"/>
          <w:tab w:val="left" w:pos="569"/>
        </w:tabs>
        <w:spacing w:line="240" w:lineRule="auto"/>
        <w:rPr>
          <w:bCs/>
          <w:i/>
          <w:szCs w:val="22"/>
          <w:u w:val="single"/>
          <w:lang w:val="sr-Latn-ME"/>
        </w:rPr>
      </w:pPr>
      <w:r w:rsidRPr="00AD2361">
        <w:rPr>
          <w:bCs/>
          <w:i/>
          <w:szCs w:val="22"/>
          <w:u w:val="single"/>
          <w:lang w:val="sr-Latn-ME"/>
        </w:rPr>
        <w:t>Dijabetes melitus tip 2</w:t>
      </w: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lang w:val="sr-Latn-ME"/>
        </w:rPr>
        <w:t>Preporučena doza je 10 mg dapagliflozina jednom dnevno.</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jc w:val="both"/>
        <w:rPr>
          <w:bCs/>
          <w:szCs w:val="22"/>
          <w:lang w:val="sr-Latn-ME"/>
        </w:rPr>
      </w:pPr>
      <w:r w:rsidRPr="00AD2361">
        <w:rPr>
          <w:szCs w:val="22"/>
          <w:lang w:val="sr-Latn-ME"/>
        </w:rPr>
        <w:t>Kada se dapagliflozin koristi u kombinaciji sa insulinom ili sekretagogom insulina, kao što je sulfonilurea, može se razmotriti manja doza insulina ili sekretagoga insulina kako bi se smanjio rizik od hipoglikemije (vidjeti djelovedjelove 4.5. i 4.8).</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Cs/>
          <w:i/>
          <w:szCs w:val="22"/>
          <w:u w:val="single"/>
          <w:lang w:val="sr-Latn-ME"/>
        </w:rPr>
      </w:pPr>
      <w:r w:rsidRPr="00AD2361">
        <w:rPr>
          <w:bCs/>
          <w:i/>
          <w:szCs w:val="22"/>
          <w:u w:val="single"/>
          <w:lang w:val="sr-Latn-ME"/>
        </w:rPr>
        <w:t>Srčana insuficijencija</w:t>
      </w: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lang w:val="sr-Latn-ME"/>
        </w:rPr>
        <w:t>Preporučena doza je 10 mg dapagliflozina jendom dnevno.</w:t>
      </w:r>
    </w:p>
    <w:p w:rsidR="00381844" w:rsidRPr="00AD2361" w:rsidRDefault="00381844" w:rsidP="00AD2361">
      <w:pPr>
        <w:widowControl w:val="0"/>
        <w:tabs>
          <w:tab w:val="clear" w:pos="567"/>
          <w:tab w:val="left" w:pos="540"/>
          <w:tab w:val="left" w:pos="569"/>
        </w:tabs>
        <w:spacing w:line="240" w:lineRule="auto"/>
        <w:jc w:val="both"/>
        <w:rPr>
          <w:bCs/>
          <w:szCs w:val="22"/>
          <w:lang w:val="sr-Latn-ME"/>
        </w:rPr>
      </w:pPr>
    </w:p>
    <w:p w:rsidR="00381844" w:rsidRPr="00AD2361" w:rsidRDefault="004529E0" w:rsidP="00AD2361">
      <w:pPr>
        <w:widowControl w:val="0"/>
        <w:tabs>
          <w:tab w:val="clear" w:pos="567"/>
          <w:tab w:val="left" w:pos="540"/>
          <w:tab w:val="left" w:pos="569"/>
        </w:tabs>
        <w:spacing w:line="240" w:lineRule="auto"/>
        <w:rPr>
          <w:bCs/>
          <w:i/>
          <w:szCs w:val="22"/>
          <w:u w:val="single"/>
          <w:lang w:val="sr-Latn-ME"/>
        </w:rPr>
      </w:pPr>
      <w:r w:rsidRPr="00AD2361">
        <w:rPr>
          <w:bCs/>
          <w:i/>
          <w:szCs w:val="22"/>
          <w:u w:val="single"/>
          <w:lang w:val="sr-Latn-ME"/>
        </w:rPr>
        <w:t>Hronična bolest bubrega</w:t>
      </w: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lang w:val="sr-Latn-ME"/>
        </w:rPr>
        <w:t>Preporučena doza je 10 mg dapagliflozina jednom dnevno.</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Cs/>
          <w:i/>
          <w:szCs w:val="22"/>
          <w:u w:val="single"/>
          <w:lang w:val="sr-Latn-ME"/>
        </w:rPr>
      </w:pPr>
      <w:r w:rsidRPr="00AD2361">
        <w:rPr>
          <w:bCs/>
          <w:i/>
          <w:szCs w:val="22"/>
          <w:u w:val="single"/>
          <w:lang w:val="sr-Latn-ME"/>
        </w:rPr>
        <w:t>Posebne populacije</w:t>
      </w:r>
    </w:p>
    <w:p w:rsidR="00381844" w:rsidRPr="00AD2361" w:rsidRDefault="004529E0" w:rsidP="00AD2361">
      <w:pPr>
        <w:widowControl w:val="0"/>
        <w:tabs>
          <w:tab w:val="clear" w:pos="567"/>
          <w:tab w:val="left" w:pos="540"/>
          <w:tab w:val="left" w:pos="569"/>
        </w:tabs>
        <w:spacing w:line="240" w:lineRule="auto"/>
        <w:rPr>
          <w:bCs/>
          <w:i/>
          <w:szCs w:val="22"/>
          <w:lang w:val="sr-Latn-ME"/>
        </w:rPr>
      </w:pPr>
      <w:r w:rsidRPr="00AD2361">
        <w:rPr>
          <w:bCs/>
          <w:i/>
          <w:szCs w:val="22"/>
          <w:lang w:val="sr-Latn-ME"/>
        </w:rPr>
        <w:t>Oštećenje funkcije bubrega</w:t>
      </w: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lang w:val="sr-Latn-ME"/>
        </w:rPr>
        <w:t>Nije potrebno prilagođavanje doze na osnovu funkcije bubrega.</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jc w:val="both"/>
        <w:rPr>
          <w:szCs w:val="22"/>
          <w:lang w:val="sr-Latn-ME"/>
        </w:rPr>
      </w:pPr>
      <w:r w:rsidRPr="00AD2361">
        <w:rPr>
          <w:szCs w:val="22"/>
          <w:lang w:val="sr-Latn-ME"/>
        </w:rPr>
        <w:t xml:space="preserve">Zbog ograničenog iskustva, kod pacijenata kod kojih je brzina glomerularne filtracije (eng. </w:t>
      </w:r>
      <w:r w:rsidRPr="00AD2361">
        <w:rPr>
          <w:i/>
          <w:szCs w:val="22"/>
          <w:lang w:val="sr-Latn-ME"/>
        </w:rPr>
        <w:t>glomerular filtration rate</w:t>
      </w:r>
      <w:r w:rsidRPr="00AD2361">
        <w:rPr>
          <w:szCs w:val="22"/>
          <w:lang w:val="sr-Latn-ME"/>
        </w:rPr>
        <w:t xml:space="preserve">, GFR) &lt; 25 ml/min ne preporučuje se uvođenje terapije dapagliflozinom. </w:t>
      </w:r>
    </w:p>
    <w:p w:rsidR="00381844" w:rsidRPr="00AD2361" w:rsidRDefault="00381844" w:rsidP="00AD2361">
      <w:pPr>
        <w:widowControl w:val="0"/>
        <w:tabs>
          <w:tab w:val="clear" w:pos="567"/>
          <w:tab w:val="left" w:pos="540"/>
          <w:tab w:val="left" w:pos="569"/>
        </w:tabs>
        <w:spacing w:line="240" w:lineRule="auto"/>
        <w:jc w:val="both"/>
        <w:rPr>
          <w:szCs w:val="22"/>
          <w:lang w:val="sr-Latn-ME"/>
        </w:rPr>
      </w:pPr>
    </w:p>
    <w:p w:rsidR="00381844" w:rsidRPr="00AD2361" w:rsidRDefault="004529E0" w:rsidP="00AD2361">
      <w:pPr>
        <w:widowControl w:val="0"/>
        <w:tabs>
          <w:tab w:val="clear" w:pos="567"/>
          <w:tab w:val="left" w:pos="540"/>
          <w:tab w:val="left" w:pos="569"/>
        </w:tabs>
        <w:spacing w:line="240" w:lineRule="auto"/>
        <w:jc w:val="both"/>
        <w:rPr>
          <w:bCs/>
          <w:szCs w:val="22"/>
          <w:lang w:val="sr-Latn-ME"/>
        </w:rPr>
      </w:pPr>
      <w:r w:rsidRPr="00AD2361">
        <w:rPr>
          <w:szCs w:val="22"/>
          <w:lang w:val="sr-Latn-ME"/>
        </w:rPr>
        <w:t>Kod pacijenata sa dijabetes melitusom tip 2 efikasnost dapagliflozina u snižavanju nivoa glukoze je smanjena kada je GFR &lt; 45 ml/min, a kod pacijenata sa teškim oštećenjem bubrežne funkcije će vjerovatno u potpunosti izostati. Stoga, ako vrijednosti GFR padnu ispod 45 ml/min, treba razmotriti dodatnu terapiju za snižavanje nivoa glukoze kod pacijenata sa dijabetes melitusom tip 2 u slučaju potrebe za dodatnom regulacijom glikemije (vidjeti djelove 4.4, 4.8, 5.1 i 5.2).</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Cs/>
          <w:i/>
          <w:szCs w:val="22"/>
          <w:lang w:val="sr-Latn-ME"/>
        </w:rPr>
      </w:pPr>
      <w:r w:rsidRPr="00AD2361">
        <w:rPr>
          <w:bCs/>
          <w:i/>
          <w:szCs w:val="22"/>
          <w:lang w:val="sr-Latn-ME"/>
        </w:rPr>
        <w:t>Oštećenje funkcije jetre</w:t>
      </w:r>
    </w:p>
    <w:p w:rsidR="00381844" w:rsidRPr="00AD2361" w:rsidRDefault="004529E0" w:rsidP="00AD2361">
      <w:pPr>
        <w:widowControl w:val="0"/>
        <w:tabs>
          <w:tab w:val="clear" w:pos="567"/>
          <w:tab w:val="left" w:pos="540"/>
          <w:tab w:val="left" w:pos="569"/>
        </w:tabs>
        <w:spacing w:line="240" w:lineRule="auto"/>
        <w:jc w:val="both"/>
        <w:rPr>
          <w:bCs/>
          <w:szCs w:val="22"/>
          <w:lang w:val="sr-Latn-ME"/>
        </w:rPr>
      </w:pPr>
      <w:r w:rsidRPr="00AD2361">
        <w:rPr>
          <w:szCs w:val="22"/>
          <w:lang w:val="sr-Latn-ME"/>
        </w:rPr>
        <w:t>Nije potrebno prilagođavanje doze kod pacijenata sa blagim do umjerenim oštećenjem funkcije jetre. Kod pacijenata sa teškim oštećenjem funkcije jetre preporučuje se početna doza od 5 mg. Ukoliko se dobro podnosi, doza se može povećati na 10 mg (vidjeti djelove 4.4 i 5.2).</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Cs/>
          <w:i/>
          <w:szCs w:val="22"/>
          <w:lang w:val="sr-Latn-ME"/>
        </w:rPr>
      </w:pPr>
      <w:r w:rsidRPr="00AD2361">
        <w:rPr>
          <w:bCs/>
          <w:i/>
          <w:szCs w:val="22"/>
          <w:lang w:val="sr-Latn-ME"/>
        </w:rPr>
        <w:t>Starije osobe (≥ 65 godina)</w:t>
      </w: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lang w:val="sr-Latn-ME"/>
        </w:rPr>
        <w:t>Ne preporučuje se prilagođavanje doze na osnovu godina starosti.</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Cs/>
          <w:i/>
          <w:szCs w:val="22"/>
          <w:lang w:val="sr-Latn-ME"/>
        </w:rPr>
      </w:pPr>
      <w:r w:rsidRPr="00AD2361">
        <w:rPr>
          <w:bCs/>
          <w:i/>
          <w:szCs w:val="22"/>
          <w:lang w:val="sr-Latn-ME"/>
        </w:rPr>
        <w:t>Pedijatrijska populacija</w:t>
      </w:r>
    </w:p>
    <w:p w:rsidR="00381844" w:rsidRPr="00AD2361" w:rsidRDefault="004529E0" w:rsidP="00AD2361">
      <w:pPr>
        <w:widowControl w:val="0"/>
        <w:tabs>
          <w:tab w:val="clear" w:pos="567"/>
          <w:tab w:val="left" w:pos="540"/>
          <w:tab w:val="left" w:pos="569"/>
        </w:tabs>
        <w:spacing w:line="240" w:lineRule="auto"/>
        <w:jc w:val="both"/>
        <w:rPr>
          <w:bCs/>
          <w:szCs w:val="22"/>
          <w:lang w:val="sr-Latn-ME"/>
        </w:rPr>
      </w:pPr>
      <w:r w:rsidRPr="00AD2361">
        <w:rPr>
          <w:bCs/>
          <w:szCs w:val="22"/>
          <w:lang w:val="sr-Latn-ME"/>
        </w:rPr>
        <w:t xml:space="preserve">Nije potrebno prilagođavanje doze u liječenju dijabetes melitusa tip 2 kod djece uzrasta 10 godina i više (vidjeti djelove 5.1 i 5.2). Nema dostupnih podataka za djecu mlađu od 10 godina. </w:t>
      </w:r>
    </w:p>
    <w:p w:rsidR="00381844" w:rsidRPr="00AD2361" w:rsidRDefault="004529E0" w:rsidP="00AD2361">
      <w:pPr>
        <w:widowControl w:val="0"/>
        <w:tabs>
          <w:tab w:val="clear" w:pos="567"/>
          <w:tab w:val="left" w:pos="540"/>
          <w:tab w:val="left" w:pos="569"/>
        </w:tabs>
        <w:spacing w:line="240" w:lineRule="auto"/>
        <w:jc w:val="both"/>
        <w:rPr>
          <w:bCs/>
          <w:szCs w:val="22"/>
          <w:lang w:val="sr-Latn-ME"/>
        </w:rPr>
      </w:pPr>
      <w:r w:rsidRPr="00AD2361">
        <w:rPr>
          <w:bCs/>
          <w:szCs w:val="22"/>
          <w:lang w:val="sr-Latn-ME"/>
        </w:rPr>
        <w:t>Bezbjednost i efikasnost dapagliflozina u liječenju srčane insuficijencije ili u liječenju hronične bolesti bubrega kod djece uzrasta &lt; 18 godina nijesu utvrđene. Nema dostupnih podataka.</w:t>
      </w:r>
    </w:p>
    <w:p w:rsidR="00381844" w:rsidRPr="00AD2361" w:rsidRDefault="00381844" w:rsidP="00AD2361">
      <w:pPr>
        <w:widowControl w:val="0"/>
        <w:tabs>
          <w:tab w:val="clear" w:pos="567"/>
          <w:tab w:val="left" w:pos="540"/>
          <w:tab w:val="left" w:pos="569"/>
        </w:tabs>
        <w:spacing w:line="240" w:lineRule="auto"/>
        <w:rPr>
          <w:bCs/>
          <w:szCs w:val="22"/>
          <w:u w:val="single"/>
          <w:lang w:val="sr-Latn-ME"/>
        </w:rPr>
      </w:pPr>
    </w:p>
    <w:p w:rsidR="00381844" w:rsidRPr="00AD2361" w:rsidRDefault="004529E0" w:rsidP="00AD2361">
      <w:pPr>
        <w:widowControl w:val="0"/>
        <w:tabs>
          <w:tab w:val="clear" w:pos="567"/>
          <w:tab w:val="left" w:pos="540"/>
          <w:tab w:val="left" w:pos="569"/>
        </w:tabs>
        <w:spacing w:line="240" w:lineRule="auto"/>
        <w:rPr>
          <w:bCs/>
          <w:szCs w:val="22"/>
          <w:u w:val="single"/>
          <w:lang w:val="sr-Latn-ME"/>
        </w:rPr>
      </w:pPr>
      <w:r w:rsidRPr="00AD2361">
        <w:rPr>
          <w:bCs/>
          <w:szCs w:val="22"/>
          <w:u w:val="single"/>
          <w:lang w:val="sr-Latn-ME"/>
        </w:rPr>
        <w:t>Način primjene</w:t>
      </w:r>
    </w:p>
    <w:p w:rsidR="00381844" w:rsidRPr="00AD2361" w:rsidRDefault="004529E0" w:rsidP="00AD2361">
      <w:pPr>
        <w:widowControl w:val="0"/>
        <w:tabs>
          <w:tab w:val="clear" w:pos="567"/>
          <w:tab w:val="left" w:pos="540"/>
          <w:tab w:val="left" w:pos="569"/>
        </w:tabs>
        <w:spacing w:line="240" w:lineRule="auto"/>
        <w:jc w:val="both"/>
        <w:rPr>
          <w:bCs/>
          <w:szCs w:val="22"/>
          <w:lang w:val="sr-Latn-ME"/>
        </w:rPr>
      </w:pPr>
      <w:r w:rsidRPr="00AD2361">
        <w:rPr>
          <w:szCs w:val="22"/>
          <w:lang w:val="sr-Latn-ME"/>
        </w:rPr>
        <w:t xml:space="preserve">Dapagliflozin se primjenjuje oralno, jednom dnevno, u bilo koje doba dana, sa ili bez hrane.  Tablete </w:t>
      </w:r>
      <w:r w:rsidRPr="00AD2361">
        <w:rPr>
          <w:szCs w:val="22"/>
          <w:lang w:val="sr-Latn-ME"/>
        </w:rPr>
        <w:lastRenderedPageBreak/>
        <w:t>treba progutati sa pola čaše vode. Tableta od 10 mg se može podijeliti na jednake doze radi lakšeg gutanja.</w:t>
      </w: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4.3. </w:t>
      </w:r>
      <w:r w:rsidRPr="00AD2361">
        <w:rPr>
          <w:b/>
          <w:bCs/>
          <w:szCs w:val="22"/>
          <w:lang w:val="sr-Latn-ME"/>
        </w:rPr>
        <w:tab/>
        <w:t>Kontraindikacije</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Cs/>
          <w:szCs w:val="22"/>
          <w:lang w:val="sr-Latn-ME"/>
        </w:rPr>
        <w:t>Preosjetljivost na aktivnu supstancu ili bilo koju od pomoćnih supstanci navedenih u dijelu 6.1.</w:t>
      </w: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4.4. </w:t>
      </w:r>
      <w:r w:rsidRPr="00AD2361">
        <w:rPr>
          <w:b/>
          <w:bCs/>
          <w:szCs w:val="22"/>
          <w:lang w:val="sr-Latn-ME"/>
        </w:rPr>
        <w:tab/>
        <w:t>Posebna upozorenja i mjere opreza pri upotrebi lijeka</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spacing w:line="240" w:lineRule="auto"/>
        <w:rPr>
          <w:szCs w:val="22"/>
          <w:u w:val="single"/>
          <w:lang w:val="sr-Latn-ME"/>
        </w:rPr>
      </w:pPr>
      <w:r w:rsidRPr="00AD2361">
        <w:rPr>
          <w:szCs w:val="22"/>
          <w:u w:val="single"/>
          <w:lang w:val="sr-Latn-ME"/>
        </w:rPr>
        <w:t>Opšte</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Dapagliflozin nije namijenjen za primjenu kod pacijenata sa dijabetes melitusom tip 1 (vidjeti „Dijabetesna ketoacidoza” u dijelu 4.4)</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u w:val="single"/>
          <w:lang w:val="sr-Latn-ME"/>
        </w:rPr>
        <w:t>Oštećenje funkcije bubrega</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 xml:space="preserve">Zbog ograničenog iskustva kod pacijenata kod kojih je GFR &lt; 25 ml/min ne preporučuje se uvođenje terapije dapagliflozinom. </w:t>
      </w:r>
    </w:p>
    <w:p w:rsidR="00381844" w:rsidRPr="00AD2361" w:rsidRDefault="00381844" w:rsidP="00AD2361">
      <w:pPr>
        <w:widowControl w:val="0"/>
        <w:tabs>
          <w:tab w:val="left" w:pos="540"/>
        </w:tabs>
        <w:spacing w:line="240" w:lineRule="auto"/>
        <w:jc w:val="both"/>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 xml:space="preserve">Efikasnost dapagliflozina u snižavanju nivoa glukoze zavisi od funkcije bubrega i smanjena je kod pacijenata sa GFR &lt; 45 ml/min, a kod pacijenata sa teškim oštećenjem funkcije bubrega će vjerovatno u potpunosti izostati (vidjeti djelove 4.2, 5.1 i 5.2). </w:t>
      </w:r>
    </w:p>
    <w:p w:rsidR="00381844" w:rsidRPr="00AD2361" w:rsidRDefault="00381844" w:rsidP="00AD2361">
      <w:pPr>
        <w:widowControl w:val="0"/>
        <w:tabs>
          <w:tab w:val="left" w:pos="540"/>
        </w:tabs>
        <w:spacing w:line="240" w:lineRule="auto"/>
        <w:jc w:val="both"/>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U jednoj studiji sa pacijentima koji su imali dijabetes melitus tip 2 sa umjerenim oštećenjem funkcije bubrega (GFR &lt; 60 ml/min), veći udio pacijenata liječenih dapagliflozinom je imao neželjene reakcije u vidu povećanja vrijednosti kreatinina, fosfora, paratireoidnog hormona (PTH) kao i hipotenzije, u odnosu na pacijente koji su primali placebo.</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u w:val="single"/>
          <w:lang w:val="sr-Latn-ME"/>
        </w:rPr>
        <w:t>Oštećenje funkcije jetre</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Iskustva iz kliničkih ispitivanja kod pacijenata sa oštećenjem funkcije jetre su ograničena. Izloženost dapagliflozinu je povećana kod pacijenata sa teškim oštećenjem funkcije jetre (vidjeti djelove 4.2 i 5.2).</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u w:val="single"/>
          <w:lang w:val="sr-Latn-ME"/>
        </w:rPr>
        <w:t>Primjena kod pacijenata kod kojih postoji rizik od smanjenja zapremine tečnosti i/ili hipotenzije</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Zbog svog mehanizma djelovanja dapagliflozin pojačava diurezu, što može dovesti do umjerenog sniženja krvnog pritiska, koje je uočeno u kliničkim ispitivanjima (vidjeti dio 5.1). Taj efekat može biti izraženiji kod pacijenata sa veoma visokim koncentracijama glukoze u krvi.</w:t>
      </w:r>
    </w:p>
    <w:p w:rsidR="00381844" w:rsidRPr="00AD2361" w:rsidRDefault="00381844" w:rsidP="00AD2361">
      <w:pPr>
        <w:widowControl w:val="0"/>
        <w:tabs>
          <w:tab w:val="left" w:pos="540"/>
        </w:tabs>
        <w:spacing w:line="240" w:lineRule="auto"/>
        <w:jc w:val="both"/>
        <w:rPr>
          <w:szCs w:val="22"/>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lang w:val="sr-Latn-ME"/>
        </w:rPr>
        <w:t>Potreban je oprez kod pacijenata kod kojih sniženje krvnog pritiska izazvano dapagliflozinom može da</w:t>
      </w: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predstavlja rizik, kao što su to pacijenti na antihipertenzivnoj terapiji koji u anamnezi imaju hipotenziju ili stariji pacijenti.</w:t>
      </w:r>
    </w:p>
    <w:p w:rsidR="00381844" w:rsidRPr="00AD2361" w:rsidRDefault="00381844" w:rsidP="00AD2361">
      <w:pPr>
        <w:widowControl w:val="0"/>
        <w:tabs>
          <w:tab w:val="left" w:pos="540"/>
        </w:tabs>
        <w:spacing w:line="240" w:lineRule="auto"/>
        <w:jc w:val="both"/>
        <w:rPr>
          <w:szCs w:val="22"/>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lang w:val="sr-Latn-ME"/>
        </w:rPr>
        <w:t>Kod pacijenata kod kojih su istovremeno prisutna stanja koja mogu da dovedu do smanjenja volumena</w:t>
      </w: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tečnosti (npr. gastrointestinalne bolesti), preporučuje se pažljivo praćenje stanja volumena (npr. fizikalni pregled, mjerenje krvnog pritiska, laboratorijske analize uključujući određivanje vrijednosti hematokrita i elektrolita). Kod pacijenata kod kojih se razvije deplecija volumena preporučuje se privremeni prekid terapije dapagliflozinom dok se deplecija ne koriguje (vidjeti dio 4.8).</w:t>
      </w:r>
      <w:r w:rsidRPr="00AD2361">
        <w:rPr>
          <w:szCs w:val="22"/>
          <w:lang w:val="sr-Latn-ME"/>
        </w:rPr>
        <w:cr/>
      </w:r>
    </w:p>
    <w:p w:rsidR="00381844" w:rsidRPr="00AD2361" w:rsidRDefault="004529E0" w:rsidP="00AD2361">
      <w:pPr>
        <w:widowControl w:val="0"/>
        <w:tabs>
          <w:tab w:val="left" w:pos="540"/>
        </w:tabs>
        <w:spacing w:line="240" w:lineRule="auto"/>
        <w:rPr>
          <w:szCs w:val="22"/>
          <w:lang w:val="sr-Latn-ME"/>
        </w:rPr>
      </w:pPr>
      <w:r w:rsidRPr="00AD2361">
        <w:rPr>
          <w:szCs w:val="22"/>
          <w:u w:val="single"/>
          <w:lang w:val="sr-Latn-ME"/>
        </w:rPr>
        <w:t>Dijabetesna ketoacidoza</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 xml:space="preserve">Kod pacijenata liječenih </w:t>
      </w:r>
      <w:bookmarkStart w:id="0" w:name="_Hlk146864736"/>
      <w:r w:rsidRPr="00AD2361">
        <w:rPr>
          <w:szCs w:val="22"/>
          <w:lang w:val="sr-Latn-ME"/>
        </w:rPr>
        <w:t xml:space="preserve">inhibitorima natrijum-glukoznog kotransportera 2 </w:t>
      </w:r>
      <w:bookmarkEnd w:id="0"/>
      <w:r w:rsidRPr="00AD2361">
        <w:rPr>
          <w:szCs w:val="22"/>
          <w:lang w:val="sr-Latn-ME"/>
        </w:rPr>
        <w:t xml:space="preserve">(eng. </w:t>
      </w:r>
      <w:r w:rsidRPr="00AD2361">
        <w:rPr>
          <w:i/>
          <w:szCs w:val="22"/>
          <w:lang w:val="sr-Latn-ME"/>
        </w:rPr>
        <w:t>sodium-glucose cotransporter 2</w:t>
      </w:r>
      <w:r w:rsidRPr="00AD2361">
        <w:rPr>
          <w:szCs w:val="22"/>
          <w:lang w:val="sr-Latn-ME"/>
        </w:rPr>
        <w:t>, SGLT2), uključujući i dapagliflozin, prijavljeni su rijetki slučajevi dijabetesne ketoacidoze (DKA), uključujući slučajeve opasne po život i smrtne slučajeve. Kod određenog broja ovih slučajeva manifestacija stanja je bila atipična, sa samo umjereno povećanim koncentracijama glukoze u krvi, ispod 14 mmol/l (250 mg/dl).</w:t>
      </w:r>
    </w:p>
    <w:p w:rsidR="00381844" w:rsidRPr="00AD2361" w:rsidRDefault="00381844" w:rsidP="00AD2361">
      <w:pPr>
        <w:widowControl w:val="0"/>
        <w:tabs>
          <w:tab w:val="left" w:pos="540"/>
        </w:tabs>
        <w:spacing w:line="240" w:lineRule="auto"/>
        <w:jc w:val="both"/>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lastRenderedPageBreak/>
        <w:t>U slučaju pojave nespecifičnih simptoma kao što su mučnina, povraćanje, anoreksija, bol u abdomenu,</w:t>
      </w: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prekomjerna žeđ, otežano disanje, stanje konfuzije, neuobičajen zamor ili pospanost, mora se razmotriti rizik od dijabetesne ketoacidoze. Ako se ovi simptomi pojave, potrebno je odmah provjeriti da li se kod pacijenta radi o ketoacidozi, bez obzira na koncentraciju glukoze u krvi.</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Kod pacijenata gdje postoji sumnja na DKA ili je ta dijagnoza postavljena, terapiju dapagliflozinom treba odmah prekinuti.</w:t>
      </w:r>
    </w:p>
    <w:p w:rsidR="00381844" w:rsidRPr="00AD2361" w:rsidRDefault="00381844" w:rsidP="00AD2361">
      <w:pPr>
        <w:widowControl w:val="0"/>
        <w:tabs>
          <w:tab w:val="left" w:pos="540"/>
        </w:tabs>
        <w:spacing w:line="240" w:lineRule="auto"/>
        <w:jc w:val="both"/>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Liječenje treba privremeno prekinuti kod pacijenata koji su hospitalizovani zbog velikih hirurških zahvata ili akutnih ozbiljnih bolesti. Kod tih pacijenata preporučuje se praćenje koncentracije ketona. Prednost se daje mjerenju koncentracije ketona u krvi u odnosu na urin. Liječenje dapagliflozinom se može ponovo započeti nakon što se koncentracije ketona vrate na normalne vrijednosti i stanje pacijenta stabilizuje.</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Prije početka terapije dapagliflozinom potrebno je razmotriti moguće predisponirajuće faktore za ketoacidozu u anamnezi pacijenta.</w:t>
      </w:r>
      <w:r w:rsidRPr="00AD2361">
        <w:rPr>
          <w:szCs w:val="22"/>
          <w:lang w:val="sr-Latn-ME"/>
        </w:rPr>
        <w:cr/>
      </w: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 xml:space="preserve">Pacijenti koji mogu biti pod većim rizikom od DKA uključuju pacijente sa niskom rezervom funkcije beta-ćelija pankreasa (npr. pacijenti sa dijabetesom tip 2 koji imaju nizak nivo C-peptida ili pacijenti sa latentnim autoimunim dijabetesom kod odraslih (eng. </w:t>
      </w:r>
      <w:r w:rsidRPr="00AD2361">
        <w:rPr>
          <w:i/>
          <w:szCs w:val="22"/>
          <w:lang w:val="sr-Latn-ME"/>
        </w:rPr>
        <w:t>latent autoimmune diabetes in adults</w:t>
      </w:r>
      <w:r w:rsidRPr="00AD2361">
        <w:rPr>
          <w:szCs w:val="22"/>
          <w:lang w:val="sr-Latn-ME"/>
        </w:rPr>
        <w:t>, LADA) ili pacijenti sa pankreatitisom u anamnezi), pacijente sa stanjima koja dovode do ograničenog unosa hrane ili teške dehidratacije, pacijente kojima su snižene doze insulina i pacijente sa povećanim potrebama za insulinom zbog akutne bolesti, hirurškog zahvata ili prekomjernog konzumiranja alkohola. Kod ovih pacijenata inhibitore SGLT2 treba koristiti sa oprezom.</w:t>
      </w:r>
    </w:p>
    <w:p w:rsidR="00381844" w:rsidRPr="00AD2361" w:rsidRDefault="00381844" w:rsidP="00AD2361">
      <w:pPr>
        <w:widowControl w:val="0"/>
        <w:tabs>
          <w:tab w:val="left" w:pos="540"/>
        </w:tabs>
        <w:spacing w:line="240" w:lineRule="auto"/>
        <w:jc w:val="both"/>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Ponovno uvođenje liječenja SGLT2 inhibitorima kod pacijenata koji su doživjeli DKA tokom liječenja SGLT2 inhibitorima se ne preporučuje, osim ako nije identifikovan i razriješen drugi jasan precipitirajući faktor.</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U ispitivanjima dapagliflozina kod dijabetes melitusa tip 1 prijavljen je veći broj događaja DKA sa čestom učestalošću. Dapagliflozin ne treba koristiti u terapiji pacijenata sa dijabetes melitusom tip 1.</w:t>
      </w:r>
      <w:r w:rsidRPr="00AD2361">
        <w:rPr>
          <w:szCs w:val="22"/>
          <w:lang w:val="sr-Latn-ME"/>
        </w:rPr>
        <w:cr/>
      </w:r>
    </w:p>
    <w:p w:rsidR="00381844" w:rsidRPr="00AD2361" w:rsidRDefault="004529E0" w:rsidP="00AD2361">
      <w:pPr>
        <w:widowControl w:val="0"/>
        <w:tabs>
          <w:tab w:val="left" w:pos="540"/>
        </w:tabs>
        <w:spacing w:line="240" w:lineRule="auto"/>
        <w:rPr>
          <w:szCs w:val="22"/>
          <w:lang w:val="sr-Latn-ME"/>
        </w:rPr>
      </w:pPr>
      <w:r w:rsidRPr="00AD2361">
        <w:rPr>
          <w:szCs w:val="22"/>
          <w:u w:val="single"/>
          <w:lang w:val="sr-Latn-ME"/>
        </w:rPr>
        <w:t>Nekrotizirajući fasciitis perineuma (Furnierova gangrena)</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Nakon stavljanja lijeka u promet prijavljeni su slučajevi nekrotizirajućeg fasciitisa perineuma (što je poznato i kao Furnierova gangrena) kod žena i muškaraca koji uzimaju SGLT2 inhibitore (vidjeti dio 4.8). To je rijetko, ali ozbiljno i potencijalno životno-ugrožavajuće neželjeno dejstvo koje zahtijeva hitnu hiruršku intervenciju i liječenje antibioticima.</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Pacijentima treba savjetovati da potraže medicinsku pomoć ako uoče kombinaciju simptoma bola, osjetljivosti (na dodir), eritema ili oticanja u genitalnom ili perinealnom području, sa groznicom ili slabošću. Potrebno je imati na umu da nektrotizirajućem fasciitisu mogu prethoditi urogenitalna infekcija ili perinealni apsces. Ako se sumnja na Furnierovu gangrenu, treba prekinuti uzimanje dapaglifozina i hitno započeti liječenje (uključujući antibiotike i hirurški debridman).</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u w:val="single"/>
          <w:lang w:val="sr-Latn-ME"/>
        </w:rPr>
        <w:t>Infekcije urinarnog trakta</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Izlučivanje glukoze urinom može biti povezano sa povećanim rizikom od infekcije urinarnog trakta; stoga, kod liječenja pijelonefritisa ili urosepse treba razmotriti privremeni prekid terapije dapagliflozinom.</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u w:val="single"/>
          <w:lang w:val="sr-Latn-ME"/>
        </w:rPr>
        <w:t>Starije osobe (≥ 65 godina)</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Kod starijih pacijenata može biti povećan rizik od deplecije volumena i veća je vjerovatnoća da se liječe diureticima.</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 xml:space="preserve">Kod starijih pacijenata postoji veća vjerovatnoća oštećene funkcije bubrega i/ili liječenja </w:t>
      </w:r>
      <w:r w:rsidRPr="00AD2361">
        <w:rPr>
          <w:szCs w:val="22"/>
          <w:lang w:val="sr-Latn-ME"/>
        </w:rPr>
        <w:lastRenderedPageBreak/>
        <w:t xml:space="preserve">antihipertenzivnim ljekovima koji mogu da izmijene funkciju bubrega, kao što su inhibitori angiotenzin-konvertujućeg enzima (ACE inhibitori) i blokatori receptora angiotenzina II tip 1. </w:t>
      </w: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U slučaju oštećenja funkcije bubrega za starije pacijente važe iste preporuke kao i za sve ostale pacijente (vidjeti djelove 4.2, 4.4, 4.8 i 5.1).</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u w:val="single"/>
          <w:lang w:val="sr-Latn-ME"/>
        </w:rPr>
        <w:t>Srčana insuficijencija</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lang w:val="sr-Latn-ME"/>
        </w:rPr>
        <w:t>Iskustvo sa dapagliflozinom pri NYHA klasi IV je ograničeno.</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spacing w:line="240" w:lineRule="auto"/>
        <w:rPr>
          <w:szCs w:val="22"/>
          <w:u w:val="single"/>
          <w:lang w:val="sr-Latn-ME"/>
        </w:rPr>
      </w:pPr>
      <w:r w:rsidRPr="00AD2361">
        <w:rPr>
          <w:szCs w:val="22"/>
          <w:u w:val="single"/>
          <w:lang w:val="sr-Latn-ME"/>
        </w:rPr>
        <w:t>Infiltrativna kardiomiopatija</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Ni</w:t>
      </w:r>
      <w:r w:rsidR="00684F3A" w:rsidRPr="00AD2361">
        <w:rPr>
          <w:szCs w:val="22"/>
          <w:lang w:val="sr-Latn-ME"/>
        </w:rPr>
        <w:t>je</w:t>
      </w:r>
      <w:r w:rsidRPr="00AD2361">
        <w:rPr>
          <w:szCs w:val="22"/>
          <w:lang w:val="sr-Latn-ME"/>
        </w:rPr>
        <w:t>su rađena ispitivanja na pacijentima sa infiltrativnom kardiomiopatijom.</w:t>
      </w:r>
    </w:p>
    <w:p w:rsidR="00381844" w:rsidRPr="00AD2361" w:rsidRDefault="00381844" w:rsidP="00AD2361">
      <w:pPr>
        <w:widowControl w:val="0"/>
        <w:tabs>
          <w:tab w:val="left" w:pos="540"/>
        </w:tabs>
        <w:spacing w:line="240" w:lineRule="auto"/>
        <w:rPr>
          <w:szCs w:val="22"/>
          <w:u w:val="single"/>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u w:val="single"/>
          <w:lang w:val="sr-Latn-ME"/>
        </w:rPr>
        <w:t>Hronična bolest bubrega</w:t>
      </w:r>
    </w:p>
    <w:p w:rsidR="00381844" w:rsidRPr="00AD2361" w:rsidRDefault="00381844" w:rsidP="00AD2361">
      <w:pPr>
        <w:widowControl w:val="0"/>
        <w:tabs>
          <w:tab w:val="left" w:pos="540"/>
        </w:tabs>
        <w:spacing w:line="240" w:lineRule="auto"/>
        <w:jc w:val="both"/>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Nema iskustva sa primjenom dapagliflozina u liječenju hronične bolesti bubrega kod pacijenata bez dijabetes melitusa koji nemaju albuminuriju. Pacijenti sa albuminurijom mogu imati veću korist od liječenja dapagliflozinom.</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rPr>
          <w:szCs w:val="22"/>
          <w:u w:val="single"/>
          <w:lang w:val="sr-Latn-ME"/>
        </w:rPr>
      </w:pPr>
      <w:bookmarkStart w:id="1" w:name="_Hlk182212452"/>
      <w:r w:rsidRPr="00AD2361">
        <w:rPr>
          <w:szCs w:val="22"/>
          <w:u w:val="single"/>
          <w:lang w:val="sr-Latn-ME"/>
        </w:rPr>
        <w:t>Povećan hematokrit</w:t>
      </w:r>
    </w:p>
    <w:p w:rsidR="00381844" w:rsidRPr="00AD2361" w:rsidRDefault="00381844" w:rsidP="00AD2361">
      <w:pPr>
        <w:widowControl w:val="0"/>
        <w:tabs>
          <w:tab w:val="left" w:pos="540"/>
        </w:tabs>
        <w:spacing w:line="240" w:lineRule="auto"/>
        <w:rPr>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Uočeno je povećanje hematokrita kod liječenja dapagliflozinom (vidjeti dio 4.8). Pacijente sa izraženim povišenjem hematokrita treba pratiti i ispitati radi otkrivanja osnovne hematološke bolesti.</w:t>
      </w:r>
    </w:p>
    <w:bookmarkEnd w:id="1"/>
    <w:p w:rsidR="00381844" w:rsidRPr="00AD2361" w:rsidRDefault="00381844" w:rsidP="00AD2361">
      <w:pPr>
        <w:widowControl w:val="0"/>
        <w:tabs>
          <w:tab w:val="left" w:pos="540"/>
        </w:tabs>
        <w:spacing w:line="240" w:lineRule="auto"/>
        <w:rPr>
          <w:szCs w:val="22"/>
          <w:u w:val="single"/>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u w:val="single"/>
          <w:lang w:val="sr-Latn-ME"/>
        </w:rPr>
        <w:t>Amputacije donjih ekstremiteta</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U dugoročnim kliničkim ispitivanjima primjene SGLT2 inhibitora kod dijabetes melitusa tip 2 zapaženo je povećanje broja slučajeva amputacije donjih ekstremiteta (prvenstveno nožnog prsta). Nije poznato da li ovo predstavlja klasni efekat. Važno je savjetovati pacijente sa dijabetesom o rutinskoj, preventivnoj njezi stopala.</w:t>
      </w:r>
      <w:r w:rsidRPr="00AD2361">
        <w:rPr>
          <w:szCs w:val="22"/>
          <w:lang w:val="sr-Latn-ME"/>
        </w:rPr>
        <w:cr/>
      </w:r>
    </w:p>
    <w:p w:rsidR="00381844" w:rsidRPr="00AD2361" w:rsidRDefault="004529E0" w:rsidP="00AD2361">
      <w:pPr>
        <w:widowControl w:val="0"/>
        <w:tabs>
          <w:tab w:val="left" w:pos="540"/>
        </w:tabs>
        <w:spacing w:line="240" w:lineRule="auto"/>
        <w:rPr>
          <w:szCs w:val="22"/>
          <w:lang w:val="sr-Latn-ME"/>
        </w:rPr>
      </w:pPr>
      <w:r w:rsidRPr="00AD2361">
        <w:rPr>
          <w:szCs w:val="22"/>
          <w:u w:val="single"/>
          <w:lang w:val="sr-Latn-ME"/>
        </w:rPr>
        <w:t>Laboratorijske analize urina</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clear" w:pos="567"/>
          <w:tab w:val="left" w:pos="540"/>
          <w:tab w:val="left" w:pos="569"/>
        </w:tabs>
        <w:spacing w:line="240" w:lineRule="auto"/>
        <w:jc w:val="both"/>
        <w:rPr>
          <w:szCs w:val="22"/>
          <w:lang w:val="sr-Latn-ME"/>
        </w:rPr>
      </w:pPr>
      <w:r w:rsidRPr="00AD2361">
        <w:rPr>
          <w:szCs w:val="22"/>
          <w:lang w:val="sr-Latn-ME"/>
        </w:rPr>
        <w:t>Zbog mehanizma djelovanja lijeka pacijenti koji uzimaju dapagliflozin imaće pozitivan nalaz testa glukoze u urinu.</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spacing w:line="240" w:lineRule="auto"/>
        <w:rPr>
          <w:bCs/>
          <w:color w:val="000000"/>
          <w:szCs w:val="22"/>
          <w:u w:val="single"/>
          <w:lang w:val="sr-Latn-ME"/>
        </w:rPr>
      </w:pPr>
      <w:r w:rsidRPr="00AD2361">
        <w:rPr>
          <w:bCs/>
          <w:color w:val="000000"/>
          <w:szCs w:val="22"/>
          <w:u w:val="single"/>
          <w:lang w:val="sr-Latn-ME"/>
        </w:rPr>
        <w:t>Pomoćne supstance</w:t>
      </w:r>
    </w:p>
    <w:p w:rsidR="00381844" w:rsidRPr="00AD2361" w:rsidRDefault="00381844" w:rsidP="00AD2361">
      <w:pPr>
        <w:widowControl w:val="0"/>
        <w:spacing w:line="240" w:lineRule="auto"/>
        <w:rPr>
          <w:bCs/>
          <w:color w:val="000000"/>
          <w:szCs w:val="22"/>
          <w:u w:val="single"/>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Lijek Dagrafors sadrži laktozu. Pacijenti sa rijetkim nasljednim oboljenjem intolerancije na galaktozu, potpunim nedostatkom laktaze ili glukozno-galaktoznom malapsorcijom, ne treba da uzimaju ovaj lijek.</w:t>
      </w: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szCs w:val="22"/>
          <w:lang w:val="sr-Latn-ME"/>
        </w:rPr>
        <w:t>Ovaj lijek sadrži manje od 1 mmol natrijuma (23 mg) po tableti, tj. zanemarljive količine natrijuma.</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4.5.</w:t>
      </w:r>
      <w:r w:rsidRPr="00AD2361">
        <w:rPr>
          <w:b/>
          <w:bCs/>
          <w:szCs w:val="22"/>
          <w:lang w:val="sr-Latn-ME"/>
        </w:rPr>
        <w:tab/>
        <w:t>Interakcije sa drugim ljekovima i druge vrste interakcija</w:t>
      </w:r>
    </w:p>
    <w:p w:rsidR="00381844" w:rsidRPr="00AD2361" w:rsidRDefault="00381844" w:rsidP="00AD2361">
      <w:pPr>
        <w:widowControl w:val="0"/>
        <w:tabs>
          <w:tab w:val="left" w:pos="540"/>
        </w:tabs>
        <w:spacing w:line="240" w:lineRule="auto"/>
        <w:rPr>
          <w:bCs/>
          <w:szCs w:val="22"/>
          <w:u w:val="single"/>
          <w:lang w:val="sr-Latn-ME"/>
        </w:rPr>
      </w:pPr>
    </w:p>
    <w:p w:rsidR="00381844" w:rsidRPr="00AD2361" w:rsidRDefault="004529E0" w:rsidP="00AD2361">
      <w:pPr>
        <w:widowControl w:val="0"/>
        <w:tabs>
          <w:tab w:val="left" w:pos="540"/>
        </w:tabs>
        <w:spacing w:line="240" w:lineRule="auto"/>
        <w:rPr>
          <w:bCs/>
          <w:szCs w:val="22"/>
          <w:lang w:val="sr-Latn-ME"/>
        </w:rPr>
      </w:pPr>
      <w:r w:rsidRPr="00AD2361">
        <w:rPr>
          <w:bCs/>
          <w:szCs w:val="22"/>
          <w:u w:val="single"/>
          <w:lang w:val="sr-Latn-ME"/>
        </w:rPr>
        <w:t>Farmakodinamske interakcije</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rPr>
          <w:bCs/>
          <w:i/>
          <w:szCs w:val="22"/>
          <w:lang w:val="sr-Latn-ME"/>
        </w:rPr>
      </w:pPr>
      <w:r w:rsidRPr="00AD2361">
        <w:rPr>
          <w:bCs/>
          <w:i/>
          <w:szCs w:val="22"/>
          <w:lang w:val="sr-Latn-ME"/>
        </w:rPr>
        <w:t>Diuretici</w:t>
      </w: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Dapagliflozin može da pojača diuretičko dejstvo tiazida i diuretika Henleove petlje i može da poveća rizik od dehidratacije i hipotenzije (vidjeti dio 4.4).</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rPr>
          <w:bCs/>
          <w:i/>
          <w:szCs w:val="22"/>
          <w:lang w:val="sr-Latn-ME"/>
        </w:rPr>
      </w:pPr>
      <w:r w:rsidRPr="00AD2361">
        <w:rPr>
          <w:bCs/>
          <w:i/>
          <w:szCs w:val="22"/>
          <w:lang w:val="sr-Latn-ME"/>
        </w:rPr>
        <w:t>Insulin i sekretagozi insulina</w:t>
      </w: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Insulin i sekretagozi insulina, poput sulfoniluree, izazivaju hipoglikemiju. Iz tog razloga mogu biti potrebne manje doze insulina ili nekog sekretagoga insulina kako bi se smanjio rizik od hipoglikemije, kada se navedeni ljekovi primjenjuju u kombinaciji sa dapagliflozinom kod pacijenata sa dijabetes melitusom tip 2 (vidjeti djelove 4.2 i 4.8).</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rPr>
          <w:bCs/>
          <w:szCs w:val="22"/>
          <w:lang w:val="sr-Latn-ME"/>
        </w:rPr>
      </w:pPr>
      <w:r w:rsidRPr="00AD2361">
        <w:rPr>
          <w:bCs/>
          <w:szCs w:val="22"/>
          <w:u w:val="single"/>
          <w:lang w:val="sr-Latn-ME"/>
        </w:rPr>
        <w:t>Farmakokinetičke interakcije</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Metabolizam dapagliflozina primarno se odvija putem glukuronidne konjugacije koja je posredovana UDP glukuronoziltransferazom 1A9 (UGT1A9).</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 xml:space="preserve">U in vitro studijama dapagliflozin nije inhibirao citohrom P450 (CYP) 1A2, CYP2A6, CYP2B6, CYP2C8, CYP2C9, CYP2C19, CYP2D6, CYP3A4, niti je indukovao CYP1A2, CYP2B6 ili CYP3A4. </w:t>
      </w: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Stoga se ne očekuje da bi dapagliflozin mogao da izmijeni metabolički klirens istovremeno primijenjenih ljekova koje navedeni enzimi metabolišu.</w:t>
      </w:r>
    </w:p>
    <w:p w:rsidR="00381844" w:rsidRPr="00AD2361" w:rsidRDefault="00381844" w:rsidP="00AD2361">
      <w:pPr>
        <w:widowControl w:val="0"/>
        <w:tabs>
          <w:tab w:val="left" w:pos="540"/>
        </w:tabs>
        <w:spacing w:line="240" w:lineRule="auto"/>
        <w:rPr>
          <w:bCs/>
          <w:szCs w:val="22"/>
          <w:u w:val="single"/>
          <w:lang w:val="sr-Latn-ME"/>
        </w:rPr>
      </w:pPr>
    </w:p>
    <w:p w:rsidR="00381844" w:rsidRPr="00AD2361" w:rsidRDefault="004529E0" w:rsidP="00AD2361">
      <w:pPr>
        <w:widowControl w:val="0"/>
        <w:tabs>
          <w:tab w:val="left" w:pos="540"/>
        </w:tabs>
        <w:spacing w:line="240" w:lineRule="auto"/>
        <w:rPr>
          <w:bCs/>
          <w:szCs w:val="22"/>
          <w:lang w:val="sr-Latn-ME"/>
        </w:rPr>
      </w:pPr>
      <w:r w:rsidRPr="00AD2361">
        <w:rPr>
          <w:bCs/>
          <w:szCs w:val="22"/>
          <w:u w:val="single"/>
          <w:lang w:val="sr-Latn-ME"/>
        </w:rPr>
        <w:t>Uticaj drugih ljekova na dapagliflozin</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Ispitivanja interakcija sprovedena na zdravim ispitanicima, uglavnom sa primjenom jedne doze, ukazuju na to da metformin, pioglitazon, sitagliptin, glimepirid, vogliboz, hidrohlortiazid, bumetanid, valsartan ili simvastatin ne mijenjaju farmakokinetiku dapagliflozina.</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Nakon istovremene primjene dapagliflozina sa rifampicinom (induktorom različitih aktivnih transportera i enzima koji metabolišu ljekove) primijećeno je smanjenje sistemske izloženosti (PIK) dapagliflozinu od 22%, ali bez klinički značajnog dejstva na 24-časovno izlučivanje glukoze urinom. Ne preporučuje se prilagođavanje doze. Ne očekuje se klinički značajan uticaj sa drugim induktorima (npr. karbamazepinom, fenitoinom, fenobarbitalom).</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Nakon istovremene primjene dapagliflozina sa mefenaminskom kiselinom (inhibitor UGT1A9), zabilježeno je povećanje sistemske izloženosti dapagliflozinu od 55%, ali bez klinički značajnog dejstva na 24-časovno izlučivanje glukoze urinom. Ne preporučuje se prilagođavanje doze.</w:t>
      </w:r>
      <w:r w:rsidRPr="00AD2361">
        <w:rPr>
          <w:bCs/>
          <w:szCs w:val="22"/>
          <w:lang w:val="sr-Latn-ME"/>
        </w:rPr>
        <w:cr/>
      </w:r>
    </w:p>
    <w:p w:rsidR="00381844" w:rsidRPr="00AD2361" w:rsidRDefault="004529E0" w:rsidP="00AD2361">
      <w:pPr>
        <w:widowControl w:val="0"/>
        <w:tabs>
          <w:tab w:val="left" w:pos="540"/>
        </w:tabs>
        <w:spacing w:line="240" w:lineRule="auto"/>
        <w:rPr>
          <w:bCs/>
          <w:szCs w:val="22"/>
          <w:lang w:val="sr-Latn-ME"/>
        </w:rPr>
      </w:pPr>
      <w:r w:rsidRPr="00AD2361">
        <w:rPr>
          <w:bCs/>
          <w:szCs w:val="22"/>
          <w:u w:val="single"/>
          <w:lang w:val="sr-Latn-ME"/>
        </w:rPr>
        <w:t>Uticaj dapagliflozina na druge ljekove</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Dapagliflozin može da poveća izlučivanje litijuma putem bubrega i nivo litijuma u krvi može da bude snižen. Koncentraciju litijuma u serumu treba češće pratiti nakon uvođenja dapagliflozina i promjena doze. Molimo Vas da uputite pacijenta ljekaru koji je propisao litijum kako bi se pratila koncentracija litijuma u serumu.</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U ispitivanjima interakcija sprovedenim sa zdravim ispitanicima, uglavnom sa primjenom jedne doze, dapagliflozin nije izmijenio farmakokinetiku metformina, pioglitazona, sitagliptina, glimepirida, hidrohlortiazida, bumetanida, valsartana, digoksina (supstrata P-gp) ni varfarina (S-varfarina, supstrata CYP2C9), kao ni antikoagulantni efekat varfarina mjeren INR-om. Kombinacija jedne doze dapagliflozina od 20 mg i simvastatina (supstrata CYP3A4) dovela je do povećanja PIK-a simvastatina za 19% i povećanja PIK-a simvastatinske kiseline za 31%. Povećanje izloženosti simvastatinu i simvastatinskoj kiselini ne smatra se klinički značajnim.</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rPr>
          <w:bCs/>
          <w:szCs w:val="22"/>
          <w:u w:val="single"/>
          <w:lang w:val="sr-Latn-ME"/>
        </w:rPr>
      </w:pPr>
      <w:r w:rsidRPr="00AD2361">
        <w:rPr>
          <w:bCs/>
          <w:szCs w:val="22"/>
          <w:u w:val="single"/>
          <w:lang w:val="sr-Latn-ME"/>
        </w:rPr>
        <w:t>Interferencija sa 1,5-anhidroglucitol (1,5-AG) testom</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Ne preporučuje se praćenje regulacije glikemije sa 1,5-AG testom jer su mjerenja sa 1,5-AG nepouzdana za procjenu regulacije glikemije kod pacijenata koji uzimaju SGLT2 inhibitore. Preporučuje se primjena alternativnih metoda za praćenje regulacije glikemije.</w:t>
      </w:r>
      <w:r w:rsidRPr="00AD2361">
        <w:rPr>
          <w:bCs/>
          <w:szCs w:val="22"/>
          <w:lang w:val="sr-Latn-ME"/>
        </w:rPr>
        <w:cr/>
      </w:r>
    </w:p>
    <w:p w:rsidR="00381844" w:rsidRPr="00AD2361" w:rsidRDefault="004529E0" w:rsidP="00AD2361">
      <w:pPr>
        <w:widowControl w:val="0"/>
        <w:tabs>
          <w:tab w:val="left" w:pos="540"/>
        </w:tabs>
        <w:spacing w:line="240" w:lineRule="auto"/>
        <w:rPr>
          <w:bCs/>
          <w:szCs w:val="22"/>
          <w:lang w:val="sr-Latn-ME"/>
        </w:rPr>
      </w:pPr>
      <w:r w:rsidRPr="00AD2361">
        <w:rPr>
          <w:bCs/>
          <w:szCs w:val="22"/>
          <w:u w:val="single"/>
          <w:lang w:val="sr-Latn-ME"/>
        </w:rPr>
        <w:t>Pedijatrijska populacija</w:t>
      </w:r>
    </w:p>
    <w:p w:rsidR="00381844" w:rsidRPr="00AD2361" w:rsidRDefault="004529E0" w:rsidP="00AD2361">
      <w:pPr>
        <w:widowControl w:val="0"/>
        <w:tabs>
          <w:tab w:val="left" w:pos="540"/>
        </w:tabs>
        <w:spacing w:line="240" w:lineRule="auto"/>
        <w:rPr>
          <w:bCs/>
          <w:szCs w:val="22"/>
          <w:lang w:val="sr-Latn-ME"/>
        </w:rPr>
      </w:pPr>
      <w:r w:rsidRPr="00AD2361">
        <w:rPr>
          <w:bCs/>
          <w:szCs w:val="22"/>
          <w:lang w:val="sr-Latn-ME"/>
        </w:rPr>
        <w:t>Ispitivanja interakcija su sprovedena samo kod odraslih.</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szCs w:val="22"/>
          <w:lang w:val="sr-Latn-ME"/>
        </w:rPr>
      </w:pPr>
      <w:r w:rsidRPr="00AD2361">
        <w:rPr>
          <w:b/>
          <w:bCs/>
          <w:szCs w:val="22"/>
          <w:lang w:val="sr-Latn-ME"/>
        </w:rPr>
        <w:t xml:space="preserve">4.6. </w:t>
      </w:r>
      <w:r w:rsidRPr="00AD2361">
        <w:rPr>
          <w:b/>
          <w:bCs/>
          <w:szCs w:val="22"/>
          <w:lang w:val="sr-Latn-ME"/>
        </w:rPr>
        <w:tab/>
      </w:r>
      <w:r w:rsidRPr="00AD2361">
        <w:rPr>
          <w:b/>
          <w:szCs w:val="22"/>
          <w:lang w:val="sr-Latn-ME"/>
        </w:rPr>
        <w:t>Plodnost, trudnoća i dojenje</w:t>
      </w:r>
    </w:p>
    <w:p w:rsidR="00381844" w:rsidRPr="00AD2361" w:rsidRDefault="00381844" w:rsidP="00AD2361">
      <w:pPr>
        <w:widowControl w:val="0"/>
        <w:tabs>
          <w:tab w:val="clear" w:pos="567"/>
          <w:tab w:val="left" w:pos="540"/>
          <w:tab w:val="left" w:pos="569"/>
        </w:tabs>
        <w:spacing w:line="240" w:lineRule="auto"/>
        <w:rPr>
          <w:szCs w:val="22"/>
          <w:u w:val="single"/>
          <w:lang w:val="sr-Latn-ME"/>
        </w:rPr>
      </w:pPr>
    </w:p>
    <w:p w:rsidR="00381844" w:rsidRPr="00AD2361" w:rsidRDefault="004529E0" w:rsidP="00AD2361">
      <w:pPr>
        <w:widowControl w:val="0"/>
        <w:tabs>
          <w:tab w:val="clear" w:pos="567"/>
          <w:tab w:val="left" w:pos="540"/>
          <w:tab w:val="left" w:pos="569"/>
        </w:tabs>
        <w:spacing w:line="240" w:lineRule="auto"/>
        <w:rPr>
          <w:szCs w:val="22"/>
          <w:u w:val="single"/>
          <w:lang w:val="sr-Latn-ME"/>
        </w:rPr>
      </w:pPr>
      <w:r w:rsidRPr="00AD2361">
        <w:rPr>
          <w:szCs w:val="22"/>
          <w:u w:val="single"/>
          <w:lang w:val="sr-Latn-ME"/>
        </w:rPr>
        <w:t>Trudnoća</w:t>
      </w:r>
    </w:p>
    <w:p w:rsidR="00381844" w:rsidRPr="00AD2361" w:rsidRDefault="004529E0" w:rsidP="00AD2361">
      <w:pPr>
        <w:widowControl w:val="0"/>
        <w:tabs>
          <w:tab w:val="left" w:pos="540"/>
        </w:tabs>
        <w:spacing w:line="240" w:lineRule="auto"/>
        <w:jc w:val="both"/>
        <w:rPr>
          <w:szCs w:val="22"/>
          <w:lang w:val="sr-Latn-ME"/>
        </w:rPr>
      </w:pPr>
      <w:r w:rsidRPr="00AD2361">
        <w:rPr>
          <w:szCs w:val="22"/>
          <w:lang w:val="sr-Latn-ME"/>
        </w:rPr>
        <w:t>Nema podataka o primjeni dapagliflozina kod trudnica. Ispitivanja na pacovima su pokazala toksično dejstvo na bubreg u razvoju u vremenskom periodu koji odgovara drugom i trećem trimestru trudnoće kod ljudi (vidjeti dio 5.3). Stoga se upotreba dapagliflozina ne preporučuje tokom drugog i trećeg trimestra trudnoće.</w:t>
      </w:r>
    </w:p>
    <w:p w:rsidR="00381844" w:rsidRPr="00AD2361" w:rsidRDefault="00381844" w:rsidP="00AD2361">
      <w:pPr>
        <w:widowControl w:val="0"/>
        <w:tabs>
          <w:tab w:val="left" w:pos="540"/>
        </w:tabs>
        <w:spacing w:line="240" w:lineRule="auto"/>
        <w:rPr>
          <w:szCs w:val="22"/>
          <w:lang w:val="sr-Latn-ME"/>
        </w:rPr>
      </w:pPr>
    </w:p>
    <w:p w:rsidR="00381844" w:rsidRPr="00AD2361" w:rsidRDefault="004529E0" w:rsidP="00AD2361">
      <w:pPr>
        <w:widowControl w:val="0"/>
        <w:tabs>
          <w:tab w:val="left" w:pos="540"/>
        </w:tabs>
        <w:spacing w:line="240" w:lineRule="auto"/>
        <w:rPr>
          <w:szCs w:val="22"/>
          <w:lang w:val="sr-Latn-ME"/>
        </w:rPr>
      </w:pPr>
      <w:r w:rsidRPr="00AD2361">
        <w:rPr>
          <w:szCs w:val="22"/>
          <w:lang w:val="sr-Latn-ME"/>
        </w:rPr>
        <w:lastRenderedPageBreak/>
        <w:t>Kada se utvrdi trudnoća, terapiju dapagliflozinom treba prekinuti.</w:t>
      </w:r>
    </w:p>
    <w:p w:rsidR="00381844" w:rsidRPr="00AD2361" w:rsidRDefault="00381844" w:rsidP="00AD2361">
      <w:pPr>
        <w:widowControl w:val="0"/>
        <w:tabs>
          <w:tab w:val="clear" w:pos="567"/>
          <w:tab w:val="left" w:pos="540"/>
          <w:tab w:val="left" w:pos="569"/>
        </w:tabs>
        <w:spacing w:line="240" w:lineRule="auto"/>
        <w:rPr>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szCs w:val="22"/>
          <w:u w:val="single"/>
          <w:lang w:val="sr-Latn-ME"/>
        </w:rPr>
        <w:t xml:space="preserve">Dojenje </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Nije poznato da li se dapagliflozin i/ili njegovi metaboliti izlučuju u majčino mlijeko. Dostupni farmakodinamski/toksikološki podaci dobijeni kod životinja pokazali su da dolazi do izlučivanja dapagliflozina/metabolita u mlijeko, kao i do farmakološki posredovanih dejstava lijeka kod dojenih mladunaca (vidjeti dio 5.3). Rizik za novorođenčad/odojčad se ne može isključiti. Dapagliflozin ne treba koristiti tokom dojenja.</w:t>
      </w:r>
    </w:p>
    <w:p w:rsidR="00381844" w:rsidRPr="00AD2361" w:rsidRDefault="00381844" w:rsidP="00AD2361">
      <w:pPr>
        <w:widowControl w:val="0"/>
        <w:tabs>
          <w:tab w:val="clear" w:pos="567"/>
          <w:tab w:val="left" w:pos="540"/>
          <w:tab w:val="left" w:pos="569"/>
        </w:tabs>
        <w:spacing w:line="240" w:lineRule="auto"/>
        <w:rPr>
          <w:szCs w:val="22"/>
          <w:u w:val="single"/>
          <w:lang w:val="sr-Latn-ME"/>
        </w:rPr>
      </w:pPr>
    </w:p>
    <w:p w:rsidR="00381844" w:rsidRPr="00AD2361" w:rsidRDefault="004529E0" w:rsidP="00AD2361">
      <w:pPr>
        <w:widowControl w:val="0"/>
        <w:tabs>
          <w:tab w:val="clear" w:pos="567"/>
          <w:tab w:val="left" w:pos="540"/>
          <w:tab w:val="left" w:pos="569"/>
        </w:tabs>
        <w:spacing w:line="240" w:lineRule="auto"/>
        <w:rPr>
          <w:szCs w:val="22"/>
          <w:u w:val="single"/>
          <w:lang w:val="sr-Latn-ME"/>
        </w:rPr>
      </w:pPr>
      <w:r w:rsidRPr="00AD2361">
        <w:rPr>
          <w:szCs w:val="22"/>
          <w:u w:val="single"/>
          <w:lang w:val="sr-Latn-ME"/>
        </w:rPr>
        <w:t>Plodnost</w:t>
      </w:r>
    </w:p>
    <w:p w:rsidR="00381844" w:rsidRPr="00AD2361" w:rsidRDefault="004529E0" w:rsidP="00AD2361">
      <w:pPr>
        <w:widowControl w:val="0"/>
        <w:tabs>
          <w:tab w:val="clear" w:pos="567"/>
          <w:tab w:val="left" w:pos="540"/>
          <w:tab w:val="left" w:pos="569"/>
        </w:tabs>
        <w:spacing w:line="240" w:lineRule="auto"/>
        <w:jc w:val="both"/>
        <w:rPr>
          <w:szCs w:val="22"/>
          <w:lang w:val="sr-Latn-ME"/>
        </w:rPr>
      </w:pPr>
      <w:r w:rsidRPr="00AD2361">
        <w:rPr>
          <w:szCs w:val="22"/>
          <w:lang w:val="sr-Latn-ME"/>
        </w:rPr>
        <w:t>Nije ispitivan uticaj dapagliflozina na plodnost ljudi. Kod mužjaka i ženki pacova dapagliflozin nije ispoljio nikakav uticaj na plodnost pri bilo kojoj ispitivanoj dozi.</w:t>
      </w: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4529E0" w:rsidP="00AD2361">
      <w:pPr>
        <w:widowControl w:val="0"/>
        <w:tabs>
          <w:tab w:val="clear" w:pos="567"/>
          <w:tab w:val="left" w:pos="540"/>
          <w:tab w:val="left" w:pos="569"/>
        </w:tabs>
        <w:spacing w:line="240" w:lineRule="auto"/>
        <w:ind w:left="540" w:hanging="540"/>
        <w:rPr>
          <w:b/>
          <w:bCs/>
          <w:szCs w:val="22"/>
          <w:lang w:val="sr-Latn-ME"/>
        </w:rPr>
      </w:pPr>
      <w:r w:rsidRPr="00AD2361">
        <w:rPr>
          <w:b/>
          <w:bCs/>
          <w:szCs w:val="22"/>
          <w:lang w:val="sr-Latn-ME"/>
        </w:rPr>
        <w:t xml:space="preserve">4.7. </w:t>
      </w:r>
      <w:r w:rsidRPr="00AD2361">
        <w:rPr>
          <w:b/>
          <w:bCs/>
          <w:szCs w:val="22"/>
          <w:lang w:val="sr-Latn-ME"/>
        </w:rPr>
        <w:tab/>
        <w:t>Uticaj na sposobnost upravljanja vozilima i rukovanje mašinama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Dapagliflozin nema ili ima zanemarljiv uticaj na sposobnost upravljanja vozilima i rukovanja mašinama. Pacijente treba upozoriti na rizik od hipoglikemije kada se dapagliflozin koristi u kombinaciji sa sulfonilureom ili insulinom.</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4.8. </w:t>
      </w:r>
      <w:r w:rsidRPr="00AD2361">
        <w:rPr>
          <w:b/>
          <w:bCs/>
          <w:szCs w:val="22"/>
          <w:lang w:val="sr-Latn-ME"/>
        </w:rPr>
        <w:tab/>
        <w:t>Neželjena dejstva</w:t>
      </w:r>
    </w:p>
    <w:p w:rsidR="00381844" w:rsidRPr="00AD2361" w:rsidRDefault="00381844" w:rsidP="00AD2361">
      <w:pPr>
        <w:widowControl w:val="0"/>
        <w:tabs>
          <w:tab w:val="clear" w:pos="567"/>
          <w:tab w:val="left" w:pos="0"/>
        </w:tabs>
        <w:spacing w:line="240" w:lineRule="auto"/>
        <w:rPr>
          <w:szCs w:val="22"/>
          <w:u w:val="single"/>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u w:val="single"/>
          <w:lang w:val="sr-Latn-ME"/>
        </w:rPr>
        <w:t>Sažetak bezbjednosnog profila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t>Dijabetes melitus tip 2</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kliničkim studijama kod dijabetesa tip 2, dapagliflozinom je liječeno više od 15000 pacijenata.</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Primarna procjena bezbjednosti i podnošljivosti sprovedena je u sklopu prethodno definisane analize objedinjenih podataka iz 13 kratkoročnih (do 24 nedjelje) placebom-kontrolisanih ispitivanja, u kojima je 2360 ispitanika liječeno dapagliflozinom u dozi od 10 mg, dok je njih 2295 primalo placebo.</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studiji kardiovaskularnih ishoda kod primjene dapagliflozina za liječenje dijabetes melitusa tip 2 (DECLARE studija, vidjeti dio 5.1) 8574 pacijenta primalo je dapagliflozin u dozi od 10 mg, a njih 8569 primalo je placebo tokom medijane izloženosti od 48 mjeseci. Izloženost dapagliflozinu iznosila je ukupno 30623 pacijent-godina.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Najčešće prijavljivane neželjene reakcije u svim kliničkim ispitivanjima bile su genitalne infekcije.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t>Srčana insuficijencija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U studiji kardiovaskularnih ishoda kod primjene dapagliflozina, sprovedenoj kod pacijenata sa srčanom insuficijencijom i smanjenom ejekcionom frakcijom (DAPA-HF studija) 2368 pacijenta je liječeno dapagliflozinom u dozi od 10 mg, dok je 2368 pacijenata primalo placebo, tokom medijane izloženosti od 18 mjeseci. Populacija pacijenata je uključivala pacijente sa dijabetes melitusom tip 2 i pacijente bez dijabetesa, kao i pacijente kojima je procijenjena brzina glomerularne filtracije (eng. </w:t>
      </w:r>
      <w:r w:rsidRPr="00AD2361">
        <w:rPr>
          <w:i/>
          <w:szCs w:val="22"/>
          <w:lang w:val="sr-Latn-ME"/>
        </w:rPr>
        <w:t>estimated glomerular filtration rate</w:t>
      </w:r>
      <w:r w:rsidRPr="00AD2361">
        <w:rPr>
          <w:szCs w:val="22"/>
          <w:lang w:val="sr-Latn-ME"/>
        </w:rPr>
        <w:t>, eGFR) bila ≥ 30 ml/min/1,73 m</w:t>
      </w:r>
      <w:r w:rsidRPr="00AD2361">
        <w:rPr>
          <w:szCs w:val="22"/>
          <w:vertAlign w:val="superscript"/>
          <w:lang w:val="sr-Latn-ME"/>
        </w:rPr>
        <w:t>2</w:t>
      </w:r>
      <w:r w:rsidRPr="00AD2361">
        <w:rPr>
          <w:szCs w:val="22"/>
          <w:lang w:val="sr-Latn-ME"/>
        </w:rPr>
        <w:t>. U studiji kardiovaskularnog ishoda dapagliflozina kod pacijenata sa srčanom insuficijencijom sa ejekcionom frakcijom lijeve komore &gt; 40% (DELIVER), 3126 pacijenata je liječeno dapagliflozinom od 10 mg i 3127 pacijenata sa placebom u srednjem vremenu izlaganja od 27 mjeseci. Populacija pacijenata uključivala je pacijente sa dijabetes melitusom tipa 2 i bez dijabetesa, kao i pacijente sa eGFR ≥ 25 mL/min/1,73 m</w:t>
      </w:r>
      <w:r w:rsidRPr="00AD2361">
        <w:rPr>
          <w:szCs w:val="22"/>
          <w:vertAlign w:val="superscript"/>
          <w:lang w:val="sr-Latn-ME"/>
        </w:rPr>
        <w:t>2</w:t>
      </w:r>
      <w:r w:rsidRPr="00AD2361">
        <w:rPr>
          <w:szCs w:val="22"/>
          <w:lang w:val="sr-Latn-ME"/>
        </w:rPr>
        <w:t>.</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Sveukupni bezbjednosni profil dapagliflozina kod pacijenata sa srčanom insuficijencijom bio je u skladu sa poznatim bezbjednosnim profilom dapagliflozina.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t>Hronična bolest bubrega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U studiji bubrežnih ishoda kod primjene dapagliflozina, sprovedenoj kod pacijenata sa hroničnom bolešću bubrega (DAPA-CKD) 2149 pacijenata je liječeno dapagliflozinom u dozi od 10 mg, dok je 2149 pacijenata primalo placebo, tokom medijane izloženosti od 27 mjeseci. Populacija pacijenata je uključivala pacijente sa dijabetes melitusom tip 2 i pacijente bez dijabetesa, a koji su imali eGFR ≥ 25 </w:t>
      </w:r>
      <w:r w:rsidRPr="00AD2361">
        <w:rPr>
          <w:szCs w:val="22"/>
          <w:lang w:val="sr-Latn-ME"/>
        </w:rPr>
        <w:lastRenderedPageBreak/>
        <w:t>do ≤ 75 ml/min/1,73 m</w:t>
      </w:r>
      <w:r w:rsidRPr="00AD2361">
        <w:rPr>
          <w:szCs w:val="22"/>
          <w:vertAlign w:val="superscript"/>
          <w:lang w:val="sr-Latn-ME"/>
        </w:rPr>
        <w:t>2</w:t>
      </w:r>
      <w:r w:rsidRPr="00AD2361">
        <w:rPr>
          <w:szCs w:val="22"/>
          <w:lang w:val="sr-Latn-ME"/>
        </w:rPr>
        <w:t xml:space="preserve"> i albuminuriju (odnos albumina i kreatinina u urinu (eng. </w:t>
      </w:r>
      <w:r w:rsidRPr="00AD2361">
        <w:rPr>
          <w:i/>
          <w:szCs w:val="22"/>
          <w:lang w:val="sr-Latn-ME"/>
        </w:rPr>
        <w:t>urine albumin creatinine ratio</w:t>
      </w:r>
      <w:r w:rsidRPr="00AD2361">
        <w:rPr>
          <w:szCs w:val="22"/>
          <w:lang w:val="sr-Latn-ME"/>
        </w:rPr>
        <w:t>, UACR) ≥ 200 i ≤ 5000 mg/g). Liječenje se nastavljalo ako je eGFR pala na nivoe ispod 25 ml/min/1,73 m</w:t>
      </w:r>
      <w:r w:rsidRPr="00AD2361">
        <w:rPr>
          <w:szCs w:val="22"/>
          <w:vertAlign w:val="superscript"/>
          <w:lang w:val="sr-Latn-ME"/>
        </w:rPr>
        <w:t>2</w:t>
      </w:r>
      <w:r w:rsidRPr="00AD2361">
        <w:rPr>
          <w:szCs w:val="22"/>
          <w:lang w:val="sr-Latn-ME"/>
        </w:rPr>
        <w:t>.</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Sveukupni bezbjednosni profil dapagliflozina kod pacijenata sa hroničnom bolešću bubrega bio je u skladu sa poznatim bezbjednosnim profilom dapagliflozina.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u w:val="single"/>
          <w:lang w:val="sr-Latn-ME"/>
        </w:rPr>
        <w:t>Tabelarni prikaz neželjenih reakcija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Sljedeće neželjene reakcije primijećene su u placebom-kontrolisanim kliničkim ispitivanjima i praćenju nakon stavljanja lijeka u promet. Nijedna od njih nije bila povezana sa dozom. Neželjene reakcije koje se navode u nastavku klasifikovane su prema učestalosti i klasi sistema organa. Kategorije učestalosti definisane su na sljedeći način: veoma često (≥ 1/10), često (od ≥ 1/100 do &lt;1/10), povremeno (od ≥ 1/1000 do &lt; 1/100), rijetko (od ≥ 1/10000 do &lt; 1/1000), veoma rijetko (&lt; 1/10000) i nepoznata učestalost (ne može se procijeniti na osnovu dostupnih podataka).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b/>
          <w:bCs/>
          <w:szCs w:val="22"/>
          <w:lang w:val="sr-Latn-ME"/>
        </w:rPr>
      </w:pPr>
      <w:r w:rsidRPr="00AD2361">
        <w:rPr>
          <w:b/>
          <w:bCs/>
          <w:szCs w:val="22"/>
          <w:lang w:val="sr-Latn-ME"/>
        </w:rPr>
        <w:t>Tabela 1. Neželjene reakcije u placebo-kontrolisanim kliničkim studijama</w:t>
      </w:r>
      <w:r w:rsidRPr="00AD2361">
        <w:rPr>
          <w:b/>
          <w:bCs/>
          <w:szCs w:val="22"/>
          <w:vertAlign w:val="superscript"/>
          <w:lang w:val="sr-Latn-ME"/>
        </w:rPr>
        <w:t>a</w:t>
      </w:r>
      <w:r w:rsidRPr="00AD2361">
        <w:rPr>
          <w:b/>
          <w:bCs/>
          <w:szCs w:val="22"/>
          <w:lang w:val="sr-Latn-ME"/>
        </w:rPr>
        <w:t xml:space="preserve"> i iskustvu nakon stavljanja lijeka u promet</w:t>
      </w:r>
    </w:p>
    <w:p w:rsidR="00381844" w:rsidRPr="00AD2361" w:rsidRDefault="00381844" w:rsidP="00AD2361">
      <w:pPr>
        <w:widowControl w:val="0"/>
        <w:tabs>
          <w:tab w:val="clear" w:pos="567"/>
          <w:tab w:val="left" w:pos="0"/>
        </w:tabs>
        <w:spacing w:line="240" w:lineRule="auto"/>
        <w:rPr>
          <w:b/>
          <w:bCs/>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7"/>
        <w:gridCol w:w="1384"/>
        <w:gridCol w:w="1468"/>
        <w:gridCol w:w="1474"/>
        <w:gridCol w:w="1181"/>
        <w:gridCol w:w="1867"/>
      </w:tblGrid>
      <w:tr w:rsidR="00381844" w:rsidRPr="00AD2361">
        <w:trPr>
          <w:trHeight w:val="460"/>
        </w:trPr>
        <w:tc>
          <w:tcPr>
            <w:tcW w:w="883" w:type="pct"/>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Klasa sistema organa</w:t>
            </w:r>
          </w:p>
        </w:tc>
        <w:tc>
          <w:tcPr>
            <w:tcW w:w="845" w:type="pct"/>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Veoma često</w:t>
            </w:r>
          </w:p>
        </w:tc>
        <w:tc>
          <w:tcPr>
            <w:tcW w:w="846" w:type="pct"/>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Često</w:t>
            </w:r>
            <w:r w:rsidRPr="00AD2361">
              <w:rPr>
                <w:b/>
                <w:szCs w:val="22"/>
                <w:vertAlign w:val="superscript"/>
                <w:lang w:val="sr-Latn-ME"/>
              </w:rPr>
              <w:t>*</w:t>
            </w:r>
          </w:p>
        </w:tc>
        <w:tc>
          <w:tcPr>
            <w:tcW w:w="809" w:type="pct"/>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Povremeno</w:t>
            </w:r>
            <w:r w:rsidRPr="00AD2361">
              <w:rPr>
                <w:b/>
                <w:szCs w:val="22"/>
                <w:vertAlign w:val="superscript"/>
                <w:lang w:val="sr-Latn-ME"/>
              </w:rPr>
              <w:t>**</w:t>
            </w:r>
          </w:p>
        </w:tc>
        <w:tc>
          <w:tcPr>
            <w:tcW w:w="809" w:type="pct"/>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Rijetko</w:t>
            </w:r>
          </w:p>
        </w:tc>
        <w:tc>
          <w:tcPr>
            <w:tcW w:w="809" w:type="pct"/>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Veoma rijetko</w:t>
            </w:r>
          </w:p>
        </w:tc>
      </w:tr>
      <w:tr w:rsidR="00381844" w:rsidRPr="00AD2361">
        <w:trPr>
          <w:trHeight w:val="1497"/>
        </w:trPr>
        <w:tc>
          <w:tcPr>
            <w:tcW w:w="883" w:type="pct"/>
          </w:tcPr>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Infekcije i infestacije</w:t>
            </w:r>
          </w:p>
        </w:tc>
        <w:tc>
          <w:tcPr>
            <w:tcW w:w="845" w:type="pct"/>
          </w:tcPr>
          <w:p w:rsidR="00381844" w:rsidRPr="00AD2361" w:rsidRDefault="00381844" w:rsidP="00AD2361">
            <w:pPr>
              <w:widowControl w:val="0"/>
              <w:tabs>
                <w:tab w:val="clear" w:pos="567"/>
                <w:tab w:val="left" w:pos="0"/>
              </w:tabs>
              <w:spacing w:line="240" w:lineRule="auto"/>
              <w:rPr>
                <w:szCs w:val="22"/>
                <w:lang w:val="sr-Latn-ME"/>
              </w:rPr>
            </w:pPr>
          </w:p>
        </w:tc>
        <w:tc>
          <w:tcPr>
            <w:tcW w:w="846"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Vulvovaginitis, balanitis i srodne genitalne infekcije</w:t>
            </w:r>
            <w:r w:rsidRPr="00AD2361">
              <w:rPr>
                <w:szCs w:val="22"/>
                <w:vertAlign w:val="superscript"/>
                <w:lang w:val="sr-Latn-ME"/>
              </w:rPr>
              <w:t>*,b,c</w:t>
            </w:r>
            <w:r w:rsidRPr="00AD2361">
              <w:rPr>
                <w:szCs w:val="22"/>
                <w:lang w:val="sr-Latn-ME"/>
              </w:rPr>
              <w:t xml:space="preserve"> Infekcije urinarnog trakta</w:t>
            </w:r>
            <w:r w:rsidRPr="00AD2361">
              <w:rPr>
                <w:szCs w:val="22"/>
                <w:vertAlign w:val="superscript"/>
                <w:lang w:val="sr-Latn-ME"/>
              </w:rPr>
              <w:t>*,b,d</w:t>
            </w:r>
          </w:p>
        </w:tc>
        <w:tc>
          <w:tcPr>
            <w:tcW w:w="809"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Gljivične infekcije</w:t>
            </w:r>
            <w:r w:rsidRPr="00AD2361">
              <w:rPr>
                <w:szCs w:val="22"/>
                <w:vertAlign w:val="superscript"/>
                <w:lang w:val="sr-Latn-ME"/>
              </w:rPr>
              <w:t>**</w:t>
            </w: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Nekrotizirajući fasciitis perineuma (Furnierova gangrena)</w:t>
            </w:r>
            <w:r w:rsidRPr="00AD2361">
              <w:rPr>
                <w:szCs w:val="22"/>
                <w:vertAlign w:val="superscript"/>
                <w:lang w:val="sr-Latn-ME"/>
              </w:rPr>
              <w:t>b,i</w:t>
            </w:r>
          </w:p>
        </w:tc>
      </w:tr>
      <w:tr w:rsidR="00381844" w:rsidRPr="00AD2361">
        <w:trPr>
          <w:trHeight w:val="1151"/>
        </w:trPr>
        <w:tc>
          <w:tcPr>
            <w:tcW w:w="883" w:type="pct"/>
          </w:tcPr>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Poremećaji metabolizma i ishrane</w:t>
            </w:r>
          </w:p>
        </w:tc>
        <w:tc>
          <w:tcPr>
            <w:tcW w:w="845"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Hipoglikemija (kada se primjenjuje sa sulfonilureom ili insulinom)</w:t>
            </w:r>
            <w:r w:rsidRPr="00AD2361">
              <w:rPr>
                <w:szCs w:val="22"/>
                <w:vertAlign w:val="superscript"/>
                <w:lang w:val="sr-Latn-ME"/>
              </w:rPr>
              <w:t>b</w:t>
            </w:r>
          </w:p>
        </w:tc>
        <w:tc>
          <w:tcPr>
            <w:tcW w:w="846"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Deplecija volumena</w:t>
            </w:r>
            <w:r w:rsidRPr="00AD2361">
              <w:rPr>
                <w:szCs w:val="22"/>
                <w:vertAlign w:val="superscript"/>
                <w:lang w:val="sr-Latn-ME"/>
              </w:rPr>
              <w:t>b,e</w:t>
            </w:r>
            <w:r w:rsidRPr="00AD2361">
              <w:rPr>
                <w:szCs w:val="22"/>
                <w:lang w:val="sr-Latn-ME"/>
              </w:rPr>
              <w:t xml:space="preserve"> Žeđ</w:t>
            </w:r>
            <w:r w:rsidRPr="00AD2361">
              <w:rPr>
                <w:szCs w:val="22"/>
                <w:vertAlign w:val="superscript"/>
                <w:lang w:val="sr-Latn-ME"/>
              </w:rPr>
              <w:t>**</w:t>
            </w:r>
          </w:p>
        </w:tc>
        <w:tc>
          <w:tcPr>
            <w:tcW w:w="809"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Dijabetesna ketoacidoza (kada se primjenjuje kod dijabetes melitusa tip 2)</w:t>
            </w:r>
            <w:r w:rsidRPr="00AD2361">
              <w:rPr>
                <w:szCs w:val="22"/>
                <w:vertAlign w:val="superscript"/>
                <w:lang w:val="sr-Latn-ME"/>
              </w:rPr>
              <w:t>b,i,k</w:t>
            </w: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r>
      <w:tr w:rsidR="00381844" w:rsidRPr="00AD2361">
        <w:trPr>
          <w:trHeight w:val="580"/>
        </w:trPr>
        <w:tc>
          <w:tcPr>
            <w:tcW w:w="883" w:type="pct"/>
          </w:tcPr>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Poremećaji nervnog sistema</w:t>
            </w:r>
          </w:p>
        </w:tc>
        <w:tc>
          <w:tcPr>
            <w:tcW w:w="845" w:type="pct"/>
          </w:tcPr>
          <w:p w:rsidR="00381844" w:rsidRPr="00AD2361" w:rsidRDefault="00381844" w:rsidP="00AD2361">
            <w:pPr>
              <w:widowControl w:val="0"/>
              <w:tabs>
                <w:tab w:val="clear" w:pos="567"/>
                <w:tab w:val="left" w:pos="0"/>
              </w:tabs>
              <w:spacing w:line="240" w:lineRule="auto"/>
              <w:rPr>
                <w:szCs w:val="22"/>
                <w:lang w:val="sr-Latn-ME"/>
              </w:rPr>
            </w:pPr>
          </w:p>
        </w:tc>
        <w:tc>
          <w:tcPr>
            <w:tcW w:w="846"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Vrtoglavica</w:t>
            </w: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r>
      <w:tr w:rsidR="00381844" w:rsidRPr="00AD2361">
        <w:trPr>
          <w:trHeight w:val="580"/>
        </w:trPr>
        <w:tc>
          <w:tcPr>
            <w:tcW w:w="883" w:type="pct"/>
          </w:tcPr>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Gastrointestinalni poremećaji</w:t>
            </w:r>
          </w:p>
        </w:tc>
        <w:tc>
          <w:tcPr>
            <w:tcW w:w="845" w:type="pct"/>
          </w:tcPr>
          <w:p w:rsidR="00381844" w:rsidRPr="00AD2361" w:rsidRDefault="00381844" w:rsidP="00AD2361">
            <w:pPr>
              <w:widowControl w:val="0"/>
              <w:tabs>
                <w:tab w:val="clear" w:pos="567"/>
                <w:tab w:val="left" w:pos="0"/>
              </w:tabs>
              <w:spacing w:line="240" w:lineRule="auto"/>
              <w:rPr>
                <w:szCs w:val="22"/>
                <w:lang w:val="sr-Latn-ME"/>
              </w:rPr>
            </w:pPr>
          </w:p>
        </w:tc>
        <w:tc>
          <w:tcPr>
            <w:tcW w:w="846"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Konstipacija</w:t>
            </w:r>
            <w:r w:rsidRPr="00AD2361">
              <w:rPr>
                <w:szCs w:val="22"/>
                <w:vertAlign w:val="superscript"/>
                <w:lang w:val="sr-Latn-ME"/>
              </w:rPr>
              <w:t>**</w:t>
            </w:r>
            <w:r w:rsidRPr="00AD2361">
              <w:rPr>
                <w:szCs w:val="22"/>
                <w:lang w:val="sr-Latn-ME"/>
              </w:rPr>
              <w:t xml:space="preserve"> Suva usta</w:t>
            </w:r>
            <w:r w:rsidRPr="00AD2361">
              <w:rPr>
                <w:szCs w:val="22"/>
                <w:vertAlign w:val="superscript"/>
                <w:lang w:val="sr-Latn-ME"/>
              </w:rPr>
              <w:t>**</w:t>
            </w: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r>
      <w:tr w:rsidR="00381844" w:rsidRPr="00AD2361">
        <w:trPr>
          <w:trHeight w:val="806"/>
        </w:trPr>
        <w:tc>
          <w:tcPr>
            <w:tcW w:w="883" w:type="pct"/>
          </w:tcPr>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Poremećaji kože i potkožnih tkiva</w:t>
            </w:r>
          </w:p>
        </w:tc>
        <w:tc>
          <w:tcPr>
            <w:tcW w:w="845" w:type="pct"/>
          </w:tcPr>
          <w:p w:rsidR="00381844" w:rsidRPr="00AD2361" w:rsidRDefault="00381844" w:rsidP="00AD2361">
            <w:pPr>
              <w:widowControl w:val="0"/>
              <w:tabs>
                <w:tab w:val="clear" w:pos="567"/>
                <w:tab w:val="left" w:pos="0"/>
              </w:tabs>
              <w:spacing w:line="240" w:lineRule="auto"/>
              <w:rPr>
                <w:szCs w:val="22"/>
                <w:lang w:val="sr-Latn-ME"/>
              </w:rPr>
            </w:pPr>
          </w:p>
        </w:tc>
        <w:tc>
          <w:tcPr>
            <w:tcW w:w="846"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Osip</w:t>
            </w:r>
            <w:r w:rsidRPr="00AD2361">
              <w:rPr>
                <w:szCs w:val="22"/>
                <w:vertAlign w:val="superscript"/>
                <w:lang w:val="sr-Latn-ME"/>
              </w:rPr>
              <w:t>j</w:t>
            </w: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Angioedem</w:t>
            </w:r>
          </w:p>
        </w:tc>
      </w:tr>
      <w:tr w:rsidR="00381844" w:rsidRPr="00AD2361">
        <w:trPr>
          <w:trHeight w:val="810"/>
        </w:trPr>
        <w:tc>
          <w:tcPr>
            <w:tcW w:w="883" w:type="pct"/>
          </w:tcPr>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Poremećaji mišićno-koštanog sistema i vezivnog tkiva</w:t>
            </w:r>
          </w:p>
        </w:tc>
        <w:tc>
          <w:tcPr>
            <w:tcW w:w="845" w:type="pct"/>
          </w:tcPr>
          <w:p w:rsidR="00381844" w:rsidRPr="00AD2361" w:rsidRDefault="00381844" w:rsidP="00AD2361">
            <w:pPr>
              <w:widowControl w:val="0"/>
              <w:tabs>
                <w:tab w:val="clear" w:pos="567"/>
                <w:tab w:val="left" w:pos="0"/>
              </w:tabs>
              <w:spacing w:line="240" w:lineRule="auto"/>
              <w:rPr>
                <w:szCs w:val="22"/>
                <w:lang w:val="sr-Latn-ME"/>
              </w:rPr>
            </w:pPr>
          </w:p>
        </w:tc>
        <w:tc>
          <w:tcPr>
            <w:tcW w:w="846"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Bol u leđima</w:t>
            </w:r>
            <w:r w:rsidRPr="00AD2361">
              <w:rPr>
                <w:szCs w:val="22"/>
                <w:vertAlign w:val="superscript"/>
                <w:lang w:val="sr-Latn-ME"/>
              </w:rPr>
              <w:t>*</w:t>
            </w: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r>
      <w:tr w:rsidR="00381844" w:rsidRPr="00AD2361">
        <w:trPr>
          <w:trHeight w:val="810"/>
        </w:trPr>
        <w:tc>
          <w:tcPr>
            <w:tcW w:w="883" w:type="pct"/>
          </w:tcPr>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Poremećaji bubrega i urinarnog sistema</w:t>
            </w:r>
          </w:p>
        </w:tc>
        <w:tc>
          <w:tcPr>
            <w:tcW w:w="845" w:type="pct"/>
          </w:tcPr>
          <w:p w:rsidR="00381844" w:rsidRPr="00AD2361" w:rsidRDefault="00381844" w:rsidP="00AD2361">
            <w:pPr>
              <w:widowControl w:val="0"/>
              <w:tabs>
                <w:tab w:val="clear" w:pos="567"/>
                <w:tab w:val="left" w:pos="0"/>
              </w:tabs>
              <w:spacing w:line="240" w:lineRule="auto"/>
              <w:rPr>
                <w:szCs w:val="22"/>
                <w:lang w:val="sr-Latn-ME"/>
              </w:rPr>
            </w:pPr>
          </w:p>
        </w:tc>
        <w:tc>
          <w:tcPr>
            <w:tcW w:w="846"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Dizurija Poliurija</w:t>
            </w:r>
            <w:r w:rsidRPr="00AD2361">
              <w:rPr>
                <w:szCs w:val="22"/>
                <w:vertAlign w:val="superscript"/>
                <w:lang w:val="sr-Latn-ME"/>
              </w:rPr>
              <w:t>*,f</w:t>
            </w:r>
          </w:p>
        </w:tc>
        <w:tc>
          <w:tcPr>
            <w:tcW w:w="809"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Nokturija</w:t>
            </w:r>
            <w:r w:rsidRPr="00AD2361">
              <w:rPr>
                <w:szCs w:val="22"/>
                <w:vertAlign w:val="superscript"/>
                <w:lang w:val="sr-Latn-ME"/>
              </w:rPr>
              <w:t>**</w:t>
            </w: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Tubulointersticijalni nefritis</w:t>
            </w:r>
          </w:p>
        </w:tc>
      </w:tr>
      <w:tr w:rsidR="00381844" w:rsidRPr="00AD2361">
        <w:trPr>
          <w:trHeight w:val="1041"/>
        </w:trPr>
        <w:tc>
          <w:tcPr>
            <w:tcW w:w="883" w:type="pct"/>
          </w:tcPr>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lastRenderedPageBreak/>
              <w:t>Poremećaji reproduktivnog sistema i dojki</w:t>
            </w:r>
          </w:p>
        </w:tc>
        <w:tc>
          <w:tcPr>
            <w:tcW w:w="845" w:type="pct"/>
          </w:tcPr>
          <w:p w:rsidR="00381844" w:rsidRPr="00AD2361" w:rsidRDefault="00381844" w:rsidP="00AD2361">
            <w:pPr>
              <w:widowControl w:val="0"/>
              <w:tabs>
                <w:tab w:val="clear" w:pos="567"/>
                <w:tab w:val="left" w:pos="0"/>
              </w:tabs>
              <w:spacing w:line="240" w:lineRule="auto"/>
              <w:rPr>
                <w:szCs w:val="22"/>
                <w:lang w:val="sr-Latn-ME"/>
              </w:rPr>
            </w:pPr>
          </w:p>
        </w:tc>
        <w:tc>
          <w:tcPr>
            <w:tcW w:w="846"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Vulvovaginalni pruritus</w:t>
            </w:r>
            <w:r w:rsidRPr="00AD2361">
              <w:rPr>
                <w:szCs w:val="22"/>
                <w:vertAlign w:val="superscript"/>
                <w:lang w:val="sr-Latn-ME"/>
              </w:rPr>
              <w:t>**</w:t>
            </w:r>
            <w:r w:rsidRPr="00AD2361">
              <w:rPr>
                <w:szCs w:val="22"/>
                <w:lang w:val="sr-Latn-ME"/>
              </w:rPr>
              <w:t xml:space="preserve"> Genitalni pruritus</w:t>
            </w:r>
            <w:r w:rsidRPr="00AD2361">
              <w:rPr>
                <w:szCs w:val="22"/>
                <w:vertAlign w:val="superscript"/>
                <w:lang w:val="sr-Latn-ME"/>
              </w:rPr>
              <w:t>**</w:t>
            </w: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r>
      <w:tr w:rsidR="00381844" w:rsidRPr="00AD2361">
        <w:trPr>
          <w:trHeight w:val="2188"/>
        </w:trPr>
        <w:tc>
          <w:tcPr>
            <w:tcW w:w="883" w:type="pct"/>
          </w:tcPr>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Ispitivanja</w:t>
            </w:r>
          </w:p>
        </w:tc>
        <w:tc>
          <w:tcPr>
            <w:tcW w:w="845" w:type="pct"/>
          </w:tcPr>
          <w:p w:rsidR="00381844" w:rsidRPr="00AD2361" w:rsidRDefault="00381844" w:rsidP="00AD2361">
            <w:pPr>
              <w:widowControl w:val="0"/>
              <w:tabs>
                <w:tab w:val="clear" w:pos="567"/>
                <w:tab w:val="left" w:pos="0"/>
              </w:tabs>
              <w:spacing w:line="240" w:lineRule="auto"/>
              <w:rPr>
                <w:szCs w:val="22"/>
                <w:lang w:val="sr-Latn-ME"/>
              </w:rPr>
            </w:pPr>
          </w:p>
        </w:tc>
        <w:tc>
          <w:tcPr>
            <w:tcW w:w="846" w:type="pct"/>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Povećan hematokrit</w:t>
            </w:r>
            <w:r w:rsidRPr="00AD2361">
              <w:rPr>
                <w:szCs w:val="22"/>
                <w:vertAlign w:val="superscript"/>
                <w:lang w:val="sr-Latn-ME"/>
              </w:rPr>
              <w:t>g</w:t>
            </w:r>
            <w:r w:rsidRPr="00AD2361">
              <w:rPr>
                <w:szCs w:val="22"/>
                <w:lang w:val="sr-Latn-ME"/>
              </w:rPr>
              <w:t xml:space="preserve"> Smanjen renalni klirens kreatinina tokom inicijalne terapije</w:t>
            </w:r>
            <w:r w:rsidRPr="00AD2361">
              <w:rPr>
                <w:szCs w:val="22"/>
                <w:vertAlign w:val="superscript"/>
                <w:lang w:val="sr-Latn-ME"/>
              </w:rPr>
              <w:t>b</w:t>
            </w:r>
            <w:r w:rsidRPr="00AD2361">
              <w:rPr>
                <w:szCs w:val="22"/>
                <w:lang w:val="sr-Latn-ME"/>
              </w:rPr>
              <w:t xml:space="preserve"> Dislipidemija</w:t>
            </w:r>
            <w:r w:rsidRPr="00AD2361">
              <w:rPr>
                <w:szCs w:val="22"/>
                <w:vertAlign w:val="superscript"/>
                <w:lang w:val="sr-Latn-ME"/>
              </w:rPr>
              <w:t>h</w:t>
            </w:r>
          </w:p>
        </w:tc>
        <w:tc>
          <w:tcPr>
            <w:tcW w:w="809" w:type="pct"/>
          </w:tcPr>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szCs w:val="22"/>
                <w:lang w:val="sr-Latn-ME"/>
              </w:rPr>
              <w:t>Povećana vrijednost kreatinina u krvi tokom inicijalne terapije</w:t>
            </w:r>
            <w:r w:rsidRPr="00AD2361">
              <w:rPr>
                <w:szCs w:val="22"/>
                <w:vertAlign w:val="superscript"/>
                <w:lang w:val="sr-Latn-ME"/>
              </w:rPr>
              <w:t>**,b</w:t>
            </w:r>
            <w:r w:rsidRPr="00AD2361">
              <w:rPr>
                <w:szCs w:val="22"/>
                <w:lang w:val="sr-Latn-ME"/>
              </w:rPr>
              <w:t xml:space="preserve"> Povećana vrijednost uree u krvi</w:t>
            </w:r>
            <w:r w:rsidRPr="00AD2361">
              <w:rPr>
                <w:szCs w:val="22"/>
                <w:vertAlign w:val="superscript"/>
                <w:lang w:val="sr-Latn-ME"/>
              </w:rPr>
              <w:t xml:space="preserve">** </w:t>
            </w:r>
          </w:p>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szCs w:val="22"/>
                <w:lang w:val="sr-Latn-ME"/>
              </w:rPr>
              <w:t>Smanjena tjelesna masa</w:t>
            </w:r>
            <w:r w:rsidRPr="00AD2361">
              <w:rPr>
                <w:szCs w:val="22"/>
                <w:vertAlign w:val="superscript"/>
                <w:lang w:val="sr-Latn-ME"/>
              </w:rPr>
              <w:t>**</w:t>
            </w: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c>
          <w:tcPr>
            <w:tcW w:w="809" w:type="pct"/>
          </w:tcPr>
          <w:p w:rsidR="00381844" w:rsidRPr="00AD2361" w:rsidRDefault="00381844" w:rsidP="00AD2361">
            <w:pPr>
              <w:widowControl w:val="0"/>
              <w:tabs>
                <w:tab w:val="clear" w:pos="567"/>
                <w:tab w:val="left" w:pos="0"/>
              </w:tabs>
              <w:spacing w:line="240" w:lineRule="auto"/>
              <w:rPr>
                <w:szCs w:val="22"/>
                <w:lang w:val="sr-Latn-ME"/>
              </w:rPr>
            </w:pPr>
          </w:p>
        </w:tc>
      </w:tr>
    </w:tbl>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a</w:t>
      </w:r>
      <w:r w:rsidRPr="00AD2361">
        <w:rPr>
          <w:sz w:val="18"/>
          <w:szCs w:val="22"/>
          <w:lang w:val="sr-Latn-ME"/>
        </w:rPr>
        <w:t xml:space="preserve"> Tabela prikazuje podatke do 24 nedjelje liječenja (kratkoročni podaci) bez obzira na terapiju za hitnu regulaciju neregulisane glikemije.</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b</w:t>
      </w:r>
      <w:r w:rsidRPr="00AD2361">
        <w:rPr>
          <w:sz w:val="18"/>
          <w:szCs w:val="22"/>
          <w:lang w:val="sr-Latn-ME"/>
        </w:rPr>
        <w:t xml:space="preserve"> Za dodatne informacije vidjeti odgovarajući poddio u nastavku.</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c</w:t>
      </w:r>
      <w:r w:rsidRPr="00AD2361">
        <w:rPr>
          <w:sz w:val="18"/>
          <w:szCs w:val="22"/>
          <w:lang w:val="sr-Latn-ME"/>
        </w:rPr>
        <w:t xml:space="preserve"> Vulvovaginitis, balanitis i srodne genitalne infekcije uključuju npr. prethodno definisane preporučene termine: vulvovaginalna gljivična infekcija, vaginalna infekcija, balanitis, genitalna gljivična infekcija, vulvovaginalna kandidijaza, vulvovaginitis, kandidijalni balanitis, genitalna kandidijaza, genitalna infekcija, genitalna infekcija kod osoba muškog pola, infekcija penisa, vulvitis, bakterijski vaginitis, apsces vulve.</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 xml:space="preserve">d </w:t>
      </w:r>
      <w:r w:rsidRPr="00AD2361">
        <w:rPr>
          <w:sz w:val="18"/>
          <w:szCs w:val="22"/>
          <w:lang w:val="sr-Latn-ME"/>
        </w:rPr>
        <w:t>Infekcije urinarnog trakta uključuju sljedeće preporučene termine, navedene prema redosljedu učestalosti: infekcija urinarnog trakta, cistitis, infekcija urinarnog trakta čiji je uzročnik Escherichia, infekcija genitourinarnog trakta, pijelonefritis, trigonitis, uretritis, infekcija bubrega i prostatitis.</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 xml:space="preserve">e </w:t>
      </w:r>
      <w:r w:rsidRPr="00AD2361">
        <w:rPr>
          <w:sz w:val="18"/>
          <w:szCs w:val="22"/>
          <w:lang w:val="sr-Latn-ME"/>
        </w:rPr>
        <w:t>Deplecija volumena uključuje, npr. unaprijed određene preporučene termine: dehidratacija, hipovolemija, hipotenzija.</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f</w:t>
      </w:r>
      <w:r w:rsidRPr="00AD2361">
        <w:rPr>
          <w:sz w:val="18"/>
          <w:szCs w:val="22"/>
          <w:lang w:val="sr-Latn-ME"/>
        </w:rPr>
        <w:t xml:space="preserve"> Poliurija uključuje preporučene termine: polakiurija, poliurija, povećano izlučivanje urina.</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g</w:t>
      </w:r>
      <w:r w:rsidRPr="00AD2361">
        <w:rPr>
          <w:sz w:val="18"/>
          <w:szCs w:val="22"/>
          <w:lang w:val="sr-Latn-ME"/>
        </w:rPr>
        <w:t xml:space="preserve"> Srednja promjena vrijednosti hematokrita u odnosu na početnu vrijednost bila je 2,30% pri primjeni dapagliflozina u dozi od 10 mg u odnosu na -0,33% kod primjene placeba. Vrijednosti hematokrita &gt;55% prijavljene su kod 1,3% ispitanika liječenih dapagliflozinom u dozi od 10 mg u odnosu na 0,4% ispitanika koji su primali placebo.</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h</w:t>
      </w:r>
      <w:r w:rsidRPr="00AD2361">
        <w:rPr>
          <w:sz w:val="18"/>
          <w:szCs w:val="22"/>
          <w:lang w:val="sr-Latn-ME"/>
        </w:rPr>
        <w:t xml:space="preserve"> Srednja promjena procentualne vrijednosti u odnosu na početnu vrijednost kod primjene dapagliflozina u dozi od 10 mg u odnosu na placebo iznosila je: ukupni holesterol 2,5% u odnosu na 0,0%; HDL holesterol 6,0% u odnosu na 2,7%; LDL holesterol 2,9% u odnosu na -1,0%; trigliceridi -2,7% u odnosu na -0,7%.</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i</w:t>
      </w:r>
      <w:r w:rsidRPr="00AD2361">
        <w:rPr>
          <w:sz w:val="18"/>
          <w:szCs w:val="22"/>
          <w:lang w:val="sr-Latn-ME"/>
        </w:rPr>
        <w:t xml:space="preserve"> Vidjeti dio 4.4.</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j</w:t>
      </w:r>
      <w:r w:rsidRPr="00AD2361">
        <w:rPr>
          <w:sz w:val="18"/>
          <w:szCs w:val="22"/>
          <w:lang w:val="sr-Latn-ME"/>
        </w:rPr>
        <w:t xml:space="preserve"> Neželjena reakcija primijećena je tokom praćenja nakon stavljanja lijeka u promet. Osip uključuje sljedeće preporučene termine, navedene prema redosljedu učestalosti u kliničkim studijama: osip, generalizovani osip, osip sa pruritisom, makularni osip, makulopapularni osip, pustularni osip, vezikularni osip i eritematozni osip. U kliničkim ispitivanjima kontrolisanim aktivnim lijekom i placebom (dapagliflozin, N=5936, sve kontrole, N=3403), učestalost osipa bila je slična za dapagliflozin (1,4%) i za sve kontrole (1,4%).</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k</w:t>
      </w:r>
      <w:r w:rsidRPr="00AD2361">
        <w:rPr>
          <w:sz w:val="18"/>
          <w:szCs w:val="22"/>
          <w:lang w:val="sr-Latn-ME"/>
        </w:rPr>
        <w:t xml:space="preserve"> Prijavljeno u ispitivanju kardiovaskularnih ishoda sprovedenom kod pacijenata sa dijabetes melitusom tip 2 (DECLARE). Učestalost se zasniva na godišnjoj stopi.</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 xml:space="preserve">* </w:t>
      </w:r>
      <w:r w:rsidRPr="00AD2361">
        <w:rPr>
          <w:sz w:val="18"/>
          <w:szCs w:val="22"/>
          <w:lang w:val="sr-Latn-ME"/>
        </w:rPr>
        <w:t>Prijavljeno kod ≥ 2% ispitanika koji su primjenjivali 10 mg dapagliflozina i ≥ 1% češće i kod najmanje 3 ispitanika više nego kod primjene placeba.</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 xml:space="preserve">** </w:t>
      </w:r>
      <w:r w:rsidRPr="00AD2361">
        <w:rPr>
          <w:sz w:val="18"/>
          <w:szCs w:val="22"/>
          <w:lang w:val="sr-Latn-ME"/>
        </w:rPr>
        <w:t>Prijavljeno od strane istraživača kao moguće povezano, vjerovatno povezano ili povezano sa ispitivanom terapijom i prijavljeno kod ≥ 0,2% ispitanika i ≥ 0,1% češće, odnosno kod najmanje 3 ispitanika više liječenih dapagliflozinom u dozi od 10 mg, u poređenju sa placebom.</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u w:val="single"/>
          <w:lang w:val="sr-Latn-ME"/>
        </w:rPr>
        <w:t>Opis odabranih neželjenih reakcija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Vulvovaginitis, balanitis i srodne genitalne infekcije</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objedinjenim podacima o bezbjednosti iz 13 studija, vulvovaginitis, balanitis i srodne genitalne infekcije prijavljene su kod 5,5% ispitanika koji su primali dapagliflozin u dozi od 10 mg i kod 0,6% ispitanika koji su primali placebo. Infekcije su većinom bile blage do umjerene, ispitanici su odgovorili na početni ciklus standardnog liječenja i rijetko su morali da prekinu liječenje dapagliflozinom. Navedene infekcije su bile češće kod žena (kod 8,4% onih liječenih dapagliflozinom i kod 1,2% onih koje su primale placebo), dok je kod ispitanika sa infekcijom u anamnezi postojala veća vjerovatnoća ponovnog razvoja infekcije.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DECLARE studiji broj pacijenata sa ozbiljnim neželjenim događajima genitalnih infekcija bio je mali i uravnotežen: po 2 pacijenta u grupi koja je primala dapagliflozin i u onoj koja je primala placebo.</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U DAPA-HF studiji nijedan pacijent nije prijavio ozbiljan neželjeni događaj genitalnih infekcija u </w:t>
      </w:r>
      <w:r w:rsidRPr="00AD2361">
        <w:rPr>
          <w:szCs w:val="22"/>
          <w:lang w:val="sr-Latn-ME"/>
        </w:rPr>
        <w:lastRenderedPageBreak/>
        <w:t>dapagliflozin grupi, dok ga je prijavio jedan pacijent u placebo grupi. U dapagliflozin grupi je bilo 7 (0,3%) pacijenata sa neželjenim događajima koji su doveli do prekida liječenja usljed genitalnih infekcija i nijedan u placebo grupi. U studiji DELIVER jedan (&lt; 0,1%) pacijent u svakoj liječenoj grupi prijavio je ozbiljan neželjeni događaj genitalnih infekcija. U grupi koja je primala dapagliflozin bilo je 3 (0,1%) pacijenata sa neželjenim događajima koji su doveli do prekida liječenja zbog genitalne infekcije i nijedan u placebo grupi.</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DAPA-CKD studiji bilo je 3 (0,1%) pacijenta sa ozbiljnim neželjenim događajima genitalnih infekcija u dapagliflozin grupi i nijedan u placebo grupi. U dapagliflozin grupi je bilo 3 (0,1%) pacijenta sa neželjenim događajima koji su doveli do prekida liječenja usljed genitalnih infekcija i nijedan u placebo grupi. Kod pacijenata bez dijabetes melitusa nije bilo prijavljenih ozbiljnih neželjenih događaja genitalnih infekcija ili neželjenih događaja koji su doveli do prekida liječenja usljed genitalnih infekcija.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spacing w:line="240" w:lineRule="auto"/>
        <w:rPr>
          <w:szCs w:val="22"/>
          <w:lang w:val="sr-Latn-ME"/>
        </w:rPr>
      </w:pPr>
      <w:r w:rsidRPr="00AD2361">
        <w:rPr>
          <w:szCs w:val="22"/>
          <w:lang w:val="sr-Latn-ME"/>
        </w:rPr>
        <w:t>Slučajevi fimoze / stečene fimoze prijavljeni su istovremeno sa genitalnim infekcijama, a u nekim slučajevima bilo je potrebno obrezivanje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Nekrotizirajući fasciitis perineuma (Furnierova gangrena)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Nakon stavljanja lijeka u promet prijavljeni su slučajevi Furnierove gangrene kod pacijenata koji uzimaju SGLT2 inhibitore, uključujući dapagliflozin (vidjeti dio 4.4).</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DECLARE studiji sprovedenoj kod 17160 pacijenata sa dijabetes melitusom tip 2 i sa medijanom izloženosti lijeku od 48 mjeseci ukupno je prijavljeno 6 slučajeva Furnierove gangrene, jedan slučaj u grupi koja je liječena dapagliflozinom i pet slučajeva u grupi koji je primala placebo.</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Hipoglikemija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Učestalost hipoglikemije zavisila je od vrste osnovnog liječenja koje se primjenjivalo u kliničkim studijama kod dijabetes melitusa.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studijama u kojima je dapagliflozin primijenjen kao monoterapija, kao dodatak terapiji metforminom ili kao dodatak terapiji sitagliptinom (sa metforminom ili bez njega), učestalost blažih epizoda hipoglikemije bila je slična (&lt; 5%) u svim terapijskim grupama, uključujući i onu koja je primala placebo do 102 nedjelje liječenja. U svim studijama ozbiljni događaji hipoglikemije su bili povremeni i uporedivi između grupa koje su primale dapagliflozin ili placebo. U studijama lijeka kao dodatka terapiji sulfonilureom, odnosno kao dodatak terapiji insulinom, zabilježene su veće stope hipoglikemije (vidjeti dio 4.5).</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studiji lijeka kao dodatka glimepiridu u 24. i 48. nedjelji, blaže epizode hipoglikemije češće su prijavljivane u grupi koja je primala dapagliflozin u dozi od 10 mg i glimepirid (6,0% odnosno 7,9%) nego u grupi koja je primala placebo i glimepirid (2,1% odnosno 2,1%).</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 xml:space="preserve">U studiji lijeka kao dodatka insulinu, zabilježene su veće epizode hipoglikemije kod 0.5% odnosno 1.0% ispitanika tretiranih dapagliflozin 10 mg plus insulin posle 24 odnosno 104 nedjelje kao i kod 0.5% ispitanika tretiranih placebom plus insulin posle 24 odnosno 104 nedjelje. Posle 24 odnosno 104 nedjelje zabilježene su manje epizode hipoglikemije kod 40.3% odnosno 53.1% ispitanika koji su dobijali dapagliflozin 10 mg plus insulin i kod 34.0% odnosno 41.6% ispitanika koji su dobijali placebo plus insulin. </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studiji lijeka kao dodatka metforminu i sulfonilurei, u trajanju do 24 nedjelje, nijesu prijavljene epizode ozbiljne hipoglikemije. Blaže epizode hipoglikemije su prijavljene kod 12,8% ispitanika koji su primili dapagliflozin u dozi od 10 mg u kombinaciji sa metforminom i sulfonilureom i kod 3,7% ispitanika koji su primili placebo u kombinaciji sa metforminom i sulfonilureom.</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DECLARE studiji nije zapažen povećan rizik od ozbiljne hipoglikemije uz terapiju dapagliflozinom u poređenju sa placebom. Ozbiljni događaji hipoglikemije su prijavljeni kod 58 (0,7%) pacijenata liječenih dapagliflozinom i kod 83 (1,0%) pacijenta koji su primali placebo.</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U DAPA-HF studiji ozbiljni događaji hipoglikemije su prijavljeni kod 4 (0,2%) pacijenta i u </w:t>
      </w:r>
      <w:r w:rsidRPr="00AD2361">
        <w:rPr>
          <w:szCs w:val="22"/>
          <w:lang w:val="sr-Latn-ME"/>
        </w:rPr>
        <w:lastRenderedPageBreak/>
        <w:t>dapagliflozin terapijskoj grupi i u placebo terapijskoj grupi. U studiji DELIVER ozbiljni događaji hipoglikemije prijavljeni su kod 6 (0,2%) pacijenata u grupi koja je primala dapagliflozin i 7 (0,2%) u grupi koja je primala placebo. Ozbiljni događaji hipoglikemije primijećeni su samo kod pacijenata sa dijabetes melitusom tipa 2.</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DAPA-CKD studiji ozbiljni događaji hipoglikemije prijavljeni su kod 14 (0,7%) pacijenata u dapagliflozin grupi i kod 28 (1,3%) pacijenata u placebo grupi, a uočeni su samo kod pacijenata sa dijabetes melitusom tip 2.</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t>Deplecija volumena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objedinjenim podacima o bezbjednosti iz 13 studija reakcije koje ukazuju na depleciju volumena (uključujući prijave dehidratacije, hipovolemije ili hipotenzije) prijavljene su kod 1,1% ispitanika koji su primili dapagliflozin u dozi od 10 mg, odnosno kod 0,7% ispitanika koji su primili placebo; ozbiljne reakcije javile su se kod &lt; 0,2% ispitanika, podjednako među onima koji su primali dapagliflozin u dozi od 10 mg i onih koji su primali placebo (vidjeti dio 4.4).</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DECLARE studiji broj pacijenata sa događajima koji ukazuju na depleciju volumena bio je ujednačen među terapijskim grupama: 213 (2,5%) u dapagliflozin grupi i 207 (2,4%) u placebo grupi. Ozbiljni neželjeni događaji prijavljeni su kod 81 (0,9%) pacijenta u dapagliflozin grupi i kod 70 (0,8%) pacijenata u placebo grupi. Među terapijskim grupama događaji su generalno bili ujednačeni u podgrupama prema uzrastu, primjeni diuretika, krvnom pritisku i primjeni inhibitora angiotenzin-konvertujućeg enzima (ACE-inhibitora)/blokatora angiotenzin II receptora tip 1 (ARB). Među pacijentima koji su na početku ispitivanja imali eGFR &lt; 60 ml/min/1,73 m</w:t>
      </w:r>
      <w:r w:rsidRPr="00AD2361">
        <w:rPr>
          <w:szCs w:val="22"/>
          <w:vertAlign w:val="superscript"/>
          <w:lang w:val="sr-Latn-ME"/>
        </w:rPr>
        <w:t>2</w:t>
      </w:r>
      <w:r w:rsidRPr="00AD2361">
        <w:rPr>
          <w:szCs w:val="22"/>
          <w:lang w:val="sr-Latn-ME"/>
        </w:rPr>
        <w:t xml:space="preserve"> zabilježeno je 19 ozbiljnih neželjenih događaja koji su ukazivali na depleciju volumena u dapaglifozin grupi i 13 događaja u placebo grupi.</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U DAPA-HF studiji broj pacijenata sa događajima koji ukazuju na depleciju volumena bio je 170 (7,2%) u dapagliflozin grupi i 153 (6,5%) u placebo grupi. Bilo je manje pacijenata sa ozbiljnim događajima simptoma koji ukazuju na depleciju volumena u dapagliflozin grupi (23 [1,0%]) u poređenju sa placebo grupom (38 [1,6%]). Rezultati su bili slični bez obzira na prisustvo dijabetesa na početku studije i početnu eGFR vrijednost. U studiji DELIVER broj pacijenata sa ozbiljnim događajima simptoma koji ukazuju na smanjenje volumena bio je 35 (1,1%) u grupi koja je primala dapagliflozin i 31 (1,0%) u grupi koja je primala placebo.</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DAPA-CKD studiji broj pacijenata sa događajima koji ukazuju na depleciju volumena bio je 120 (5,6%) u dapagliflozin grupi i 84 (3,9%) u placebo grupi. U dapagliflozin grupi je bilo 16 (0,7%) pacijenata sa ozbiljnim događajima simptoma koji ukazuju na depleciju volumena, dok ih je u placebo grupi bilo 15 (0,7%).</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t>Dijabetesna ketoacidoza kod pacijenata sa dijabetes melitusom tip 2</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DECLARE studiji, u kojoj je medijana izloženosti lijeku iznosila 48 mjeseci, događaji DKA prijavljeni su kod 27 pacijenata u grupi koja je primala dapagliflozin u dozi od 10 mg i kod 12 pacijenata u grupi koja je primala placebo. Ti događaji su bili ravnomjerno raspoređeni tokom cjelokupnog perioda trajanja studije. Od 27 pacijenata sa događajem DKA u dapagliflozin grupi njih 22 su u trenutku nastupanja događaja istovremeno primali insulinsku terapiju. Precipitirajući faktori za razvoj DKA bili su u skladu sa očekivanima za populaciju pacijenata sa dijabetes melitusom tip 2 (vidjeti dio 4.4).</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DAPA-HF studiji događaji DKA prijavljeni su kod 3 pacijenta sa dijabetes melitusom tip 2 u dapagliflozin grupi, a nije ih bilo u placebo grupi. U studiji DELIVER događaji DKA prijavljeni su kod 2 pacijenta sa dijabetes melitusom tipa 2 u grupi koja je primala dapagliflozin i nijednom u placebo grupi.</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DAPA-CKD studiji događaji DKA nijesu prijavljeni ni kod jednog pacijenta u dapagliflozin grupi, dok su u placebo grupi prijavljeni kod 2 pacijenta sa dijabetes melitusom tip 2.</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t>Infekcije urinarnog trakta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U objedinjenim podacima o bezbjednosti iz 13 studija infekcije urinarnog trakta češće su prijavljivane kod primjene dapagliflozina u dozi od 10 mg u poređenju sa placebom (4,7% u odnosu na 3,5%; vidjeti </w:t>
      </w:r>
      <w:r w:rsidRPr="00AD2361">
        <w:rPr>
          <w:szCs w:val="22"/>
          <w:lang w:val="sr-Latn-ME"/>
        </w:rPr>
        <w:lastRenderedPageBreak/>
        <w:t>dio 4.4). Infekcije su većinom bile blage do umjerene, ispitanici su odgovorili na početni ciklus standardnog liječenja i rijetko su morali da prekinu liječenje dapagliflozinom. Navedene infekcije su bile češće kod žena, dok je kod ispitanika sa infekcijom u anamnezi postojala veća vjerovatnoća ponovnog razvoja infekcije.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DECLARE studiji ozbiljni događaji infekcija urinarnog trakta prijavljeni su rjeđe pri primjeni dapagliflozina u dozi od 10 mg u poređenju sa placebom: 79 (0,9%) događaja u odnosu na 109 (1,3%) događaja.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DAPA-HF studiji broj pacijenata sa ozbiljnim neželjenim događajima infekcija urinarnog trakta bio je 14 (0,6%) u dapagliflozin grupi i 17 (0,7%) u placebo grupi. I u dapagliflozin grupi i u placebo grupi je bilo po 5 (0,2%) pacijenata sa neželjenim događajima koji su doveli do prekida liječenja usljed infekcija urinarnog trakta. U studiji DELIVER broj pacijenata sa ozbiljnim neželjenim događajima infekcija urinarnog trakta bio je 41 (1,3%) u grupi koja je primala dapagliflozin i 37 (1,2%) u grupi koja je primala placebo. U grupi koja je primala dapagliflozin bilo je 13 (0,4%) pacijenata sa neželjenim događajima koji su doveli do prekida liječenja zbog infekcija urinarnog trakta i 9 (0,3%) u placebo grupi.</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DAPA-CKD studiji broj pacijenata sa ozbiljnim neželjenim događajima infekcija urinarnog trakta bio je 29 (1,3%) u dapagliflozin grupi i 18 (0,8%) u placebo grupi. U dapagliflozin grupi je bilo 8 (0,4%) pacijenata sa neželjenim događajima koji su doveli do prekida liječenja usljed infekcije urinarnog trakta, dok ih je u placebo grupi bilo 3 (0,1%). Broj pacijenata bez dijabetesa koji su prijavili ozbiljne neželjene događaje infekcija urinarnog trakta ili neželjene događaje koji su doveli do prekida liječenja usljed infekcija urinarnog trakta je bio sličan između terapijskih grupa (6 [0,9%] u dapagliflozin grupi u odnosu na 4 [0,6%] u placebo grupi za ozbiljne neželjene događaje i 1 [0,1%] u dapagliflozin grupi u odnosu na 0 u placebo grupi za neželjene događaje koji su doveli do prekida liječenja).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t>Povećane vrijednosti kreatinina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Neželjene reakcije povezane sa povećanim vrijednostima kreatinina su grupisane (npr. smanjen bubrežni klirens kreatinina, oštećenje funkcije bubrega, povećan nivo kreatinina u krvi i smanjena brzina glomerularne filtracije). Prema objedinjenim podacima o bezbjednosti iz 13 studija ovako grupisane reakcije prijavljene su kod 3,2% pacijenata koji su primali dapagliflozin u dozi od 10 mg, odnosno kod 1,8% pacijenata koji su primali placebo. Kod pacijenata sa normalnom funkcijom bubrega ili blagim oštećenjem funkcije bubrega (početna vrijednost eGFR ≥ 60 ml/min/1,73 m</w:t>
      </w:r>
      <w:r w:rsidRPr="00AD2361">
        <w:rPr>
          <w:szCs w:val="22"/>
          <w:vertAlign w:val="superscript"/>
          <w:lang w:val="sr-Latn-ME"/>
        </w:rPr>
        <w:t>2</w:t>
      </w:r>
      <w:r w:rsidRPr="00AD2361">
        <w:rPr>
          <w:szCs w:val="22"/>
          <w:lang w:val="sr-Latn-ME"/>
        </w:rPr>
        <w:t>), ovako grupisane reakcije prijavljene su kod 1,3% pacijenata koji su primali dapagliflozin u dozi od 10 mg i kod 0,8% pacijenata koji su primali placebo. Navedene reakcije su imale veću učestalost kod pacijenata sa početnom vrijednošću eGFR ≥ 30 i &lt; 60 ml/min/1,73 m</w:t>
      </w:r>
      <w:r w:rsidRPr="00AD2361">
        <w:rPr>
          <w:szCs w:val="22"/>
          <w:vertAlign w:val="superscript"/>
          <w:lang w:val="sr-Latn-ME"/>
        </w:rPr>
        <w:t>2</w:t>
      </w:r>
      <w:r w:rsidRPr="00AD2361">
        <w:rPr>
          <w:szCs w:val="22"/>
          <w:lang w:val="sr-Latn-ME"/>
        </w:rPr>
        <w:t xml:space="preserve"> (18,5% onih koji su primali dapagliflozin u dozi od 10 mg u odnosu na 9,3% onih koji su primali placebo). </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Dalja procjena pacijenata kod kojih su se javili neželjeni događaji povezani sa bubrezima pokazala je da su se kod većine njih vrijednosti kreatinina u serumu promijenile za ≤ 44 mikromol/L (≤ 0,5 mg/dl) u odnosu na početne vrijednosti. Porast nivoa kreatinina je, generalno, bio prolazan tokom kontinuiranog liječenja ili reverzibilan nakon prekida liječenja.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DECLARE studiji, koje je uključivala starije pacijente i pacijente sa oštećenjem funkcije bubrega (eGFR manji od 60 ml/min/1,73 m</w:t>
      </w:r>
      <w:r w:rsidRPr="00AD2361">
        <w:rPr>
          <w:szCs w:val="22"/>
          <w:vertAlign w:val="superscript"/>
          <w:lang w:val="sr-Latn-ME"/>
        </w:rPr>
        <w:t>2</w:t>
      </w:r>
      <w:r w:rsidRPr="00AD2361">
        <w:rPr>
          <w:szCs w:val="22"/>
          <w:lang w:val="sr-Latn-ME"/>
        </w:rPr>
        <w:t>), eGFR se u obje terapijske grupe smanjivala tokom vremena. Nakon godinu dana srednja vrijednost eGFR bila je nešto niža, a nakon 4 godine nešto viša u dapagliflozin grupi u poređenju sa placebo grupom.</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DAPA-HF i DELIVER studijama eGFR se smanjivala tokom vremena i u dapagliflozin grupi i u placebo grupi. U DAPA-HF studiji početno smanjenje srednje vrijednosti eGFR iznosilo je -4,3 ml/min/1,73 m</w:t>
      </w:r>
      <w:r w:rsidRPr="00AD2361">
        <w:rPr>
          <w:szCs w:val="22"/>
          <w:vertAlign w:val="superscript"/>
          <w:lang w:val="sr-Latn-ME"/>
        </w:rPr>
        <w:t>2</w:t>
      </w:r>
      <w:r w:rsidRPr="00AD2361">
        <w:rPr>
          <w:szCs w:val="22"/>
          <w:lang w:val="sr-Latn-ME"/>
        </w:rPr>
        <w:t xml:space="preserve"> u dapagliflozin grupi, odnosno -1,1 ml/min/1,73 m</w:t>
      </w:r>
      <w:r w:rsidRPr="00AD2361">
        <w:rPr>
          <w:szCs w:val="22"/>
          <w:vertAlign w:val="superscript"/>
          <w:lang w:val="sr-Latn-ME"/>
        </w:rPr>
        <w:t>2</w:t>
      </w:r>
      <w:r w:rsidRPr="00AD2361">
        <w:rPr>
          <w:szCs w:val="22"/>
          <w:lang w:val="sr-Latn-ME"/>
        </w:rPr>
        <w:t xml:space="preserve"> u placebo grupi. Promjena vrijednosti eGFR od početka ispitivanja do 20. mjeseca bila je slična u obje terapijske grupe: -5,3 ml/min/1,73 m</w:t>
      </w:r>
      <w:r w:rsidRPr="00AD2361">
        <w:rPr>
          <w:szCs w:val="22"/>
          <w:vertAlign w:val="superscript"/>
          <w:lang w:val="sr-Latn-ME"/>
        </w:rPr>
        <w:t>2</w:t>
      </w:r>
      <w:r w:rsidRPr="00AD2361">
        <w:rPr>
          <w:szCs w:val="22"/>
          <w:lang w:val="sr-Latn-ME"/>
        </w:rPr>
        <w:t xml:space="preserve"> u dapagliflozin grupi i -4,5 ml/min/1,73 m</w:t>
      </w:r>
      <w:r w:rsidRPr="00AD2361">
        <w:rPr>
          <w:szCs w:val="22"/>
          <w:vertAlign w:val="superscript"/>
          <w:lang w:val="sr-Latn-ME"/>
        </w:rPr>
        <w:t>2</w:t>
      </w:r>
      <w:r w:rsidRPr="00AD2361">
        <w:rPr>
          <w:szCs w:val="22"/>
          <w:lang w:val="sr-Latn-ME"/>
        </w:rPr>
        <w:t xml:space="preserve"> u placebo grupi. U DELIVER studiji smanjenje srednjeg eGFR-a u jednom mjesecu bilo je -3,7 mL/min/1,73 m</w:t>
      </w:r>
      <w:r w:rsidRPr="00AD2361">
        <w:rPr>
          <w:szCs w:val="22"/>
          <w:vertAlign w:val="superscript"/>
          <w:lang w:val="sr-Latn-ME"/>
        </w:rPr>
        <w:t>2</w:t>
      </w:r>
      <w:r w:rsidRPr="00AD2361">
        <w:rPr>
          <w:szCs w:val="22"/>
          <w:lang w:val="sr-Latn-ME"/>
        </w:rPr>
        <w:t xml:space="preserve"> u grupi koja je primala dapagliflozin i -0,4 mL/min/1,73 m</w:t>
      </w:r>
      <w:r w:rsidRPr="00AD2361">
        <w:rPr>
          <w:szCs w:val="22"/>
          <w:vertAlign w:val="superscript"/>
          <w:lang w:val="sr-Latn-ME"/>
        </w:rPr>
        <w:t>2</w:t>
      </w:r>
      <w:r w:rsidRPr="00AD2361">
        <w:rPr>
          <w:szCs w:val="22"/>
          <w:lang w:val="sr-Latn-ME"/>
        </w:rPr>
        <w:t xml:space="preserve"> u placebo grupi. Nakon 24 mjeseca promjena eGFR-a u odnosu na početnu vrijednost bila je slična između tretiranih grupa: -4,2 mL/min/1,73 m</w:t>
      </w:r>
      <w:r w:rsidRPr="00AD2361">
        <w:rPr>
          <w:szCs w:val="22"/>
          <w:vertAlign w:val="superscript"/>
          <w:lang w:val="sr-Latn-ME"/>
        </w:rPr>
        <w:t>2</w:t>
      </w:r>
      <w:r w:rsidRPr="00AD2361">
        <w:rPr>
          <w:szCs w:val="22"/>
          <w:lang w:val="sr-Latn-ME"/>
        </w:rPr>
        <w:t xml:space="preserve"> u grupi koja je primala dapagliflozin i -3,2 mL/min/1,73 m</w:t>
      </w:r>
      <w:r w:rsidRPr="00AD2361">
        <w:rPr>
          <w:szCs w:val="22"/>
          <w:vertAlign w:val="superscript"/>
          <w:lang w:val="sr-Latn-ME"/>
        </w:rPr>
        <w:t>2</w:t>
      </w:r>
      <w:r w:rsidRPr="00AD2361">
        <w:rPr>
          <w:szCs w:val="22"/>
          <w:lang w:val="sr-Latn-ME"/>
        </w:rPr>
        <w:t xml:space="preserve"> u placebo grupi.</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DAPA-CKD studiji eGFR se smanjivala tokom vremena i u dapagliflozin grupi i u placebo grupi. Početno (14. dan) smanjenje srednje vrijednosti eGFR iznosilo je -4,0 ml/min/1,73 m</w:t>
      </w:r>
      <w:r w:rsidRPr="00AD2361">
        <w:rPr>
          <w:szCs w:val="22"/>
          <w:vertAlign w:val="superscript"/>
          <w:lang w:val="sr-Latn-ME"/>
        </w:rPr>
        <w:t>2</w:t>
      </w:r>
      <w:r w:rsidRPr="00AD2361">
        <w:rPr>
          <w:szCs w:val="22"/>
          <w:lang w:val="sr-Latn-ME"/>
        </w:rPr>
        <w:t xml:space="preserve"> u dapagliflozin grupi, odnosno -0,8 ml/min/1,73 m</w:t>
      </w:r>
      <w:r w:rsidRPr="00AD2361">
        <w:rPr>
          <w:szCs w:val="22"/>
          <w:vertAlign w:val="superscript"/>
          <w:lang w:val="sr-Latn-ME"/>
        </w:rPr>
        <w:t>2</w:t>
      </w:r>
      <w:r w:rsidRPr="00AD2361">
        <w:rPr>
          <w:szCs w:val="22"/>
          <w:lang w:val="sr-Latn-ME"/>
        </w:rPr>
        <w:t xml:space="preserve"> u placebo grupi. U 28. mjesecu promjena u odnosu na početne vrijednosti eGFR je iznosila -7,4 ml/min/1,73 m</w:t>
      </w:r>
      <w:r w:rsidRPr="00AD2361">
        <w:rPr>
          <w:szCs w:val="22"/>
          <w:vertAlign w:val="superscript"/>
          <w:lang w:val="sr-Latn-ME"/>
        </w:rPr>
        <w:t>2</w:t>
      </w:r>
      <w:r w:rsidRPr="00AD2361">
        <w:rPr>
          <w:szCs w:val="22"/>
          <w:lang w:val="sr-Latn-ME"/>
        </w:rPr>
        <w:t xml:space="preserve"> u dapagliflozin grupi i -8,6 ml/min/1,73 m</w:t>
      </w:r>
      <w:r w:rsidRPr="00AD2361">
        <w:rPr>
          <w:szCs w:val="22"/>
          <w:vertAlign w:val="superscript"/>
          <w:lang w:val="sr-Latn-ME"/>
        </w:rPr>
        <w:t>2</w:t>
      </w:r>
      <w:r w:rsidRPr="00AD2361">
        <w:rPr>
          <w:szCs w:val="22"/>
          <w:lang w:val="sr-Latn-ME"/>
        </w:rPr>
        <w:t xml:space="preserve"> u placebo grupi.</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u w:val="single"/>
          <w:lang w:val="sr-Latn-ME"/>
        </w:rPr>
        <w:t>Pedijatrijska populacija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Bezbjednosni profil dapagliflozina uočen u kliničkoj studiji kod djece uzrasta 10 godina i više sa dijabetes melitusom tip 2 (vidjeti dio 5.1) bio je sličan onom uočenom u studijama kod odraslih.</w:t>
      </w:r>
      <w:r w:rsidRPr="00AD2361">
        <w:rPr>
          <w:szCs w:val="22"/>
          <w:lang w:val="sr-Latn-ME"/>
        </w:rPr>
        <w:cr/>
      </w:r>
    </w:p>
    <w:p w:rsidR="00381844" w:rsidRPr="00AD2361" w:rsidRDefault="004529E0" w:rsidP="00AD2361">
      <w:pPr>
        <w:widowControl w:val="0"/>
        <w:spacing w:after="200" w:line="240" w:lineRule="auto"/>
        <w:rPr>
          <w:rFonts w:eastAsia="Calibri"/>
          <w:szCs w:val="22"/>
          <w:u w:val="single"/>
          <w:lang w:val="sr-Latn-ME"/>
        </w:rPr>
      </w:pPr>
      <w:r w:rsidRPr="00AD2361">
        <w:rPr>
          <w:rFonts w:eastAsia="Calibri"/>
          <w:szCs w:val="22"/>
          <w:u w:val="single"/>
          <w:lang w:val="sr-Latn-ME"/>
        </w:rPr>
        <w:t>Prijavljivanje sumnji na neželjena dejstva</w:t>
      </w:r>
    </w:p>
    <w:p w:rsidR="00381844" w:rsidRPr="00AD2361" w:rsidRDefault="004529E0" w:rsidP="00AD2361">
      <w:pPr>
        <w:widowControl w:val="0"/>
        <w:spacing w:after="200" w:line="240" w:lineRule="auto"/>
        <w:jc w:val="both"/>
        <w:rPr>
          <w:rFonts w:eastAsia="Calibri"/>
          <w:szCs w:val="22"/>
          <w:lang w:val="sr-Latn-ME"/>
        </w:rPr>
      </w:pPr>
      <w:r w:rsidRPr="00AD2361">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381844" w:rsidRPr="00AD2361" w:rsidRDefault="004529E0" w:rsidP="00AD2361">
      <w:pPr>
        <w:pStyle w:val="NoSpacing"/>
        <w:widowControl w:val="0"/>
        <w:jc w:val="both"/>
        <w:rPr>
          <w:rFonts w:eastAsia="Calibri"/>
          <w:sz w:val="22"/>
          <w:szCs w:val="22"/>
          <w:lang w:val="sr-Latn-ME"/>
        </w:rPr>
      </w:pPr>
      <w:r w:rsidRPr="00AD2361">
        <w:rPr>
          <w:rFonts w:eastAsia="Calibri"/>
          <w:sz w:val="22"/>
          <w:szCs w:val="22"/>
          <w:lang w:val="sr-Latn-ME"/>
        </w:rPr>
        <w:t xml:space="preserve">Institut za ljekove i medicinska sredstva </w:t>
      </w:r>
    </w:p>
    <w:p w:rsidR="00381844" w:rsidRPr="00AD2361" w:rsidRDefault="004529E0" w:rsidP="00AD2361">
      <w:pPr>
        <w:pStyle w:val="NoSpacing"/>
        <w:widowControl w:val="0"/>
        <w:jc w:val="both"/>
        <w:rPr>
          <w:rFonts w:eastAsia="Calibri"/>
          <w:sz w:val="22"/>
          <w:szCs w:val="22"/>
          <w:lang w:val="sr-Latn-ME"/>
        </w:rPr>
      </w:pPr>
      <w:r w:rsidRPr="00AD2361">
        <w:rPr>
          <w:rFonts w:eastAsia="Calibri"/>
          <w:sz w:val="22"/>
          <w:szCs w:val="22"/>
          <w:lang w:val="sr-Latn-ME"/>
        </w:rPr>
        <w:t>Odjeljenje za farmakovigilancu</w:t>
      </w:r>
    </w:p>
    <w:p w:rsidR="00381844" w:rsidRPr="00AD2361" w:rsidRDefault="004529E0" w:rsidP="00AD2361">
      <w:pPr>
        <w:pStyle w:val="NoSpacing"/>
        <w:widowControl w:val="0"/>
        <w:jc w:val="both"/>
        <w:rPr>
          <w:rFonts w:eastAsia="Calibri"/>
          <w:sz w:val="22"/>
          <w:szCs w:val="22"/>
          <w:lang w:val="sr-Latn-ME"/>
        </w:rPr>
      </w:pPr>
      <w:r w:rsidRPr="00AD2361">
        <w:rPr>
          <w:rFonts w:eastAsia="Calibri"/>
          <w:sz w:val="22"/>
          <w:szCs w:val="22"/>
          <w:lang w:val="sr-Latn-ME"/>
        </w:rPr>
        <w:t>Bulevar Ivana Crnojevića 64a, 81000 Podgorica</w:t>
      </w:r>
    </w:p>
    <w:p w:rsidR="00381844" w:rsidRPr="00AD2361" w:rsidRDefault="00381844" w:rsidP="00AD2361">
      <w:pPr>
        <w:pStyle w:val="NoSpacing"/>
        <w:widowControl w:val="0"/>
        <w:rPr>
          <w:rFonts w:eastAsia="Calibri"/>
          <w:sz w:val="22"/>
          <w:szCs w:val="22"/>
          <w:lang w:val="sr-Latn-ME"/>
        </w:rPr>
      </w:pPr>
    </w:p>
    <w:p w:rsidR="00381844" w:rsidRPr="00AD2361" w:rsidRDefault="004529E0" w:rsidP="00AD2361">
      <w:pPr>
        <w:pStyle w:val="NoSpacing"/>
        <w:widowControl w:val="0"/>
        <w:jc w:val="both"/>
        <w:rPr>
          <w:rFonts w:eastAsia="Calibri"/>
          <w:sz w:val="22"/>
          <w:szCs w:val="22"/>
          <w:lang w:val="sr-Latn-ME"/>
        </w:rPr>
      </w:pPr>
      <w:r w:rsidRPr="00AD2361">
        <w:rPr>
          <w:rFonts w:eastAsia="Calibri"/>
          <w:sz w:val="22"/>
          <w:szCs w:val="22"/>
          <w:lang w:val="sr-Latn-ME"/>
        </w:rPr>
        <w:t>tel: +382 (0) 20 310 280</w:t>
      </w:r>
    </w:p>
    <w:p w:rsidR="00381844" w:rsidRPr="00AD2361" w:rsidRDefault="004529E0" w:rsidP="00AD2361">
      <w:pPr>
        <w:pStyle w:val="NoSpacing"/>
        <w:widowControl w:val="0"/>
        <w:tabs>
          <w:tab w:val="left" w:pos="6720"/>
        </w:tabs>
        <w:jc w:val="both"/>
        <w:rPr>
          <w:rFonts w:eastAsia="Calibri"/>
          <w:sz w:val="22"/>
          <w:szCs w:val="22"/>
          <w:lang w:val="sr-Latn-ME"/>
        </w:rPr>
      </w:pPr>
      <w:r w:rsidRPr="00AD2361">
        <w:rPr>
          <w:rFonts w:eastAsia="Calibri"/>
          <w:sz w:val="22"/>
          <w:szCs w:val="22"/>
          <w:lang w:val="sr-Latn-ME"/>
        </w:rPr>
        <w:t>fax: +382 (0) 20 310 581</w:t>
      </w:r>
      <w:r w:rsidRPr="00AD2361">
        <w:rPr>
          <w:rFonts w:eastAsia="Calibri"/>
          <w:sz w:val="22"/>
          <w:szCs w:val="22"/>
          <w:lang w:val="sr-Latn-ME"/>
        </w:rPr>
        <w:tab/>
      </w:r>
    </w:p>
    <w:p w:rsidR="00381844" w:rsidRPr="00AD2361" w:rsidRDefault="00AD2361" w:rsidP="00AD2361">
      <w:pPr>
        <w:pStyle w:val="NoSpacing"/>
        <w:widowControl w:val="0"/>
        <w:jc w:val="both"/>
        <w:rPr>
          <w:rFonts w:eastAsia="Calibri"/>
          <w:sz w:val="22"/>
          <w:szCs w:val="22"/>
          <w:lang w:val="sr-Latn-ME"/>
        </w:rPr>
      </w:pPr>
      <w:hyperlink r:id="rId8" w:history="1">
        <w:r w:rsidR="004529E0" w:rsidRPr="00AD2361">
          <w:rPr>
            <w:rStyle w:val="Hyperlink"/>
            <w:rFonts w:eastAsia="Calibri"/>
            <w:sz w:val="22"/>
            <w:szCs w:val="22"/>
            <w:lang w:val="sr-Latn-ME"/>
          </w:rPr>
          <w:t>www.cinmed.me</w:t>
        </w:r>
      </w:hyperlink>
    </w:p>
    <w:p w:rsidR="00381844" w:rsidRPr="00AD2361" w:rsidRDefault="00AD2361" w:rsidP="00AD2361">
      <w:pPr>
        <w:pStyle w:val="NoSpacing"/>
        <w:widowControl w:val="0"/>
        <w:jc w:val="both"/>
        <w:rPr>
          <w:rFonts w:eastAsia="Calibri"/>
          <w:color w:val="0000FF"/>
          <w:sz w:val="22"/>
          <w:szCs w:val="22"/>
          <w:u w:val="single"/>
          <w:lang w:val="sr-Latn-ME"/>
        </w:rPr>
      </w:pPr>
      <w:hyperlink r:id="rId9" w:history="1">
        <w:r w:rsidR="004529E0" w:rsidRPr="00AD2361">
          <w:rPr>
            <w:rStyle w:val="Hyperlink"/>
            <w:rFonts w:eastAsia="Calibri"/>
            <w:sz w:val="22"/>
            <w:szCs w:val="22"/>
            <w:lang w:val="sr-Latn-ME"/>
          </w:rPr>
          <w:t>nezeljenadejstva@cinmed.me</w:t>
        </w:r>
      </w:hyperlink>
    </w:p>
    <w:p w:rsidR="00381844" w:rsidRPr="00AD2361" w:rsidRDefault="004529E0" w:rsidP="00AD2361">
      <w:pPr>
        <w:pStyle w:val="NoSpacing"/>
        <w:widowControl w:val="0"/>
        <w:jc w:val="both"/>
        <w:rPr>
          <w:rFonts w:eastAsia="Calibri"/>
          <w:sz w:val="22"/>
          <w:szCs w:val="22"/>
          <w:lang w:val="sr-Latn-ME"/>
        </w:rPr>
      </w:pPr>
      <w:r w:rsidRPr="00AD2361">
        <w:rPr>
          <w:rFonts w:eastAsia="Calibri"/>
          <w:sz w:val="22"/>
          <w:szCs w:val="22"/>
          <w:lang w:val="sr-Latn-ME"/>
        </w:rPr>
        <w:t>putem IS zdravstvene zaštite</w:t>
      </w:r>
    </w:p>
    <w:p w:rsidR="00381844" w:rsidRPr="00AD2361" w:rsidRDefault="004529E0" w:rsidP="00AD2361">
      <w:pPr>
        <w:pStyle w:val="NoSpacing"/>
        <w:widowControl w:val="0"/>
        <w:jc w:val="both"/>
        <w:rPr>
          <w:rFonts w:eastAsia="Calibri"/>
          <w:sz w:val="22"/>
          <w:szCs w:val="22"/>
          <w:lang w:val="sr-Latn-ME"/>
        </w:rPr>
      </w:pPr>
      <w:r w:rsidRPr="00AD2361">
        <w:rPr>
          <w:rFonts w:eastAsia="Calibri"/>
          <w:sz w:val="22"/>
          <w:szCs w:val="22"/>
          <w:lang w:val="sr-Latn-ME"/>
        </w:rPr>
        <w:t>QR kod za online prijavu sumnje na neželjeno dejstvo lijeka:</w:t>
      </w:r>
    </w:p>
    <w:p w:rsidR="00381844" w:rsidRPr="00AD2361" w:rsidRDefault="00381844" w:rsidP="00AD2361">
      <w:pPr>
        <w:pStyle w:val="NoSpacing"/>
        <w:widowControl w:val="0"/>
        <w:jc w:val="both"/>
        <w:rPr>
          <w:rFonts w:eastAsia="Calibri"/>
          <w:sz w:val="22"/>
          <w:szCs w:val="22"/>
          <w:lang w:val="sr-Latn-ME"/>
        </w:rPr>
      </w:pPr>
    </w:p>
    <w:p w:rsidR="00381844" w:rsidRPr="00AD2361" w:rsidRDefault="004529E0" w:rsidP="00AD2361">
      <w:pPr>
        <w:pStyle w:val="NoSpacing"/>
        <w:widowControl w:val="0"/>
        <w:rPr>
          <w:rFonts w:eastAsia="Calibri"/>
          <w:sz w:val="22"/>
          <w:szCs w:val="22"/>
          <w:lang w:val="sr-Latn-ME"/>
        </w:rPr>
      </w:pPr>
      <w:r w:rsidRPr="00AD2361">
        <w:rPr>
          <w:b/>
          <w:bCs/>
          <w:szCs w:val="22"/>
          <w:lang w:val="sr-Latn-ME"/>
        </w:rPr>
        <w:drawing>
          <wp:anchor distT="0" distB="0" distL="114300" distR="114300" simplePos="0" relativeHeight="251667456" behindDoc="0" locked="0" layoutInCell="1" allowOverlap="1">
            <wp:simplePos x="0" y="0"/>
            <wp:positionH relativeFrom="column">
              <wp:posOffset>0</wp:posOffset>
            </wp:positionH>
            <wp:positionV relativeFrom="paragraph">
              <wp:posOffset>-635</wp:posOffset>
            </wp:positionV>
            <wp:extent cx="980440" cy="971550"/>
            <wp:effectExtent l="0" t="0" r="0" b="0"/>
            <wp:wrapNone/>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anchor>
        </w:drawing>
      </w: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4.9. </w:t>
      </w:r>
      <w:r w:rsidRPr="00AD2361">
        <w:rPr>
          <w:b/>
          <w:bCs/>
          <w:szCs w:val="22"/>
          <w:lang w:val="sr-Latn-ME"/>
        </w:rPr>
        <w:tab/>
        <w:t xml:space="preserve">Predoziranje </w:t>
      </w:r>
    </w:p>
    <w:p w:rsidR="00381844" w:rsidRPr="00AD2361" w:rsidRDefault="00381844" w:rsidP="00AD2361">
      <w:pPr>
        <w:widowControl w:val="0"/>
        <w:tabs>
          <w:tab w:val="clear" w:pos="567"/>
          <w:tab w:val="left" w:pos="0"/>
        </w:tabs>
        <w:spacing w:line="240" w:lineRule="auto"/>
        <w:rPr>
          <w:b/>
          <w:bCs/>
          <w:iCs/>
          <w:szCs w:val="22"/>
          <w:u w:val="single"/>
          <w:lang w:val="sr-Latn-ME"/>
        </w:rPr>
      </w:pPr>
    </w:p>
    <w:p w:rsidR="00381844" w:rsidRPr="00AD2361" w:rsidRDefault="004529E0" w:rsidP="00AD2361">
      <w:pPr>
        <w:widowControl w:val="0"/>
        <w:tabs>
          <w:tab w:val="clear" w:pos="567"/>
          <w:tab w:val="left" w:pos="0"/>
        </w:tabs>
        <w:spacing w:line="240" w:lineRule="auto"/>
        <w:rPr>
          <w:iCs/>
          <w:szCs w:val="22"/>
          <w:u w:val="single"/>
          <w:lang w:val="sr-Latn-ME"/>
        </w:rPr>
      </w:pPr>
      <w:r w:rsidRPr="00AD2361">
        <w:rPr>
          <w:iCs/>
          <w:szCs w:val="22"/>
          <w:u w:val="single"/>
          <w:lang w:val="sr-Latn-ME"/>
        </w:rPr>
        <w:t>Simptomi</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Dapagliflozin nije imao toksičnih efekata kod zdravih ispitanika pri primjeni pojedinačnih oralnih doza do 500 mg (50 puta većih od maksimalne preporučene doze kod ljudi). Kod ovih ispitanika se glukoza mogla utvrditi u urinu u vremenskom periodu koji je zavisio od doze (najmanje 5 dana za dozu od 500 mg), bez izvještaja o dehidrataciji, hipotenziji ili disbalansu elektrolita, kao i bez klinički značajnog uticaja na QTc interval. Incidenca hipoglikemije bila je slična kao kod primjene placeba. U kliničkim ispitivanjima u kojima su doze do 100 mg (10 puta veće od maksimalne preporučene doze za ljude), primjenjivane tokom 2 nedjelje kod zdravih ispitanika i ispitanika sa dijabetesom tip 2, incidenca hipoglikemije bila je nešto viša nego kod ispitanika koji su primali placebo i nije bila povezana sa dozom. Stope neželjenih događaja, uključujući dehidrataciju ili hipotenziju, bile su slične kao kod ispitanika koji su primali placebo, i nijesu primijećene klinički značajne promjene laboratorijskih parametara povezane sa dozom, uključujući vrijednosti elektrolita u serumu i biohemijske markere funkcije bubrega.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Cs/>
          <w:szCs w:val="22"/>
          <w:u w:val="single"/>
          <w:lang w:val="sr-Latn-ME"/>
        </w:rPr>
      </w:pPr>
      <w:r w:rsidRPr="00AD2361">
        <w:rPr>
          <w:iCs/>
          <w:szCs w:val="22"/>
          <w:u w:val="single"/>
          <w:lang w:val="sr-Latn-ME"/>
        </w:rPr>
        <w:t>Preduzimanje neophodnih mjera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slučaju predoziranja treba uvesti odgovarajuću suportivnu terapiju u skladu sa kliničkim statusom pacijenta. Uklanjanje dapagliflozina hemodijalizom nije ispitivano.</w:t>
      </w: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5. </w:t>
      </w:r>
      <w:r w:rsidRPr="00AD2361">
        <w:rPr>
          <w:b/>
          <w:bCs/>
          <w:szCs w:val="22"/>
          <w:lang w:val="sr-Latn-ME"/>
        </w:rPr>
        <w:tab/>
        <w:t>FARMAKOLOŠKI PODACI</w:t>
      </w: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5.1. </w:t>
      </w:r>
      <w:r w:rsidRPr="00AD2361">
        <w:rPr>
          <w:b/>
          <w:bCs/>
          <w:szCs w:val="22"/>
          <w:lang w:val="sr-Latn-ME"/>
        </w:rPr>
        <w:tab/>
        <w:t xml:space="preserve">Farmakodinamski podaci </w:t>
      </w: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4529E0" w:rsidP="00AD2361">
      <w:pPr>
        <w:widowControl w:val="0"/>
        <w:tabs>
          <w:tab w:val="clear" w:pos="567"/>
          <w:tab w:val="left" w:pos="540"/>
          <w:tab w:val="left" w:pos="569"/>
        </w:tabs>
        <w:spacing w:line="240" w:lineRule="auto"/>
        <w:rPr>
          <w:szCs w:val="22"/>
          <w:lang w:val="sr-Latn-ME"/>
        </w:rPr>
      </w:pPr>
      <w:r w:rsidRPr="00AD2361">
        <w:rPr>
          <w:bCs/>
          <w:szCs w:val="22"/>
          <w:lang w:val="sr-Latn-ME"/>
        </w:rPr>
        <w:t xml:space="preserve">Farmakoterapijska grupa: </w:t>
      </w:r>
      <w:r w:rsidRPr="00AD2361">
        <w:rPr>
          <w:szCs w:val="22"/>
          <w:lang w:val="sr-Latn-ME"/>
        </w:rPr>
        <w:t xml:space="preserve">Ljekovi koji se upotrebljavaju u dijabetesu, inhibitori natrijum-glukoznog kotransportera 2 </w:t>
      </w:r>
    </w:p>
    <w:p w:rsidR="00381844" w:rsidRPr="00AD2361" w:rsidRDefault="00381844" w:rsidP="00AD2361">
      <w:pPr>
        <w:widowControl w:val="0"/>
        <w:tabs>
          <w:tab w:val="clear" w:pos="567"/>
          <w:tab w:val="left" w:pos="540"/>
          <w:tab w:val="left" w:pos="569"/>
        </w:tabs>
        <w:spacing w:line="240" w:lineRule="auto"/>
        <w:rPr>
          <w:szCs w:val="22"/>
          <w:lang w:val="sr-Latn-ME"/>
        </w:rPr>
      </w:pP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lang w:val="sr-Latn-ME"/>
        </w:rPr>
        <w:t>ATC kod: A10BK01</w:t>
      </w:r>
    </w:p>
    <w:p w:rsidR="00381844" w:rsidRPr="00AD2361" w:rsidRDefault="00381844" w:rsidP="00AD2361">
      <w:pPr>
        <w:widowControl w:val="0"/>
        <w:tabs>
          <w:tab w:val="clear" w:pos="567"/>
          <w:tab w:val="left" w:pos="0"/>
        </w:tabs>
        <w:spacing w:line="240" w:lineRule="auto"/>
        <w:rPr>
          <w:szCs w:val="22"/>
          <w:u w:val="single"/>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u w:val="single"/>
          <w:lang w:val="sr-Latn-ME"/>
        </w:rPr>
        <w:t>Mehanizam dejstva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Dapagliflozin predstavlja vrlo snažan (Ki: 0,55 nM), selektivan i reverzibilan inhibitor SGLT2.</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Inhibicija SGLT2 od strane dapagliflozina smanjuje reapsorpciju glukoze iz glomerularnog filtrata u proksimalnim tubulama bubrega, sa istovremenim smanjenjem reapsorpcije natrijuma, što vodi do izlučivanja glukoze urinom i osmotske diureze. Dapagliflozin dakle povećava količinu natrijuma koja pristiže u distalne tubule, koji povećava tubuloglomerularnu povratnu spregu i smanjuje  intraglomerularni pritisak. Ovo u kombinaciji sa osmotskom diurezom vodi ka smanjenom preopterećenju volumenom, sniženom krvnom pritisku, i nižem predopterećenju i naknadnom opterećenju, što može povoljno da djeluje na remodelovanje srca i dijastolnu funkciju, i na očuvanje funkcije bubrega. Povoljno dejstvo dapagliflozina na srce i bubrege ne zavisi samo od efekta snižavanja koncentracije glukoze u krvi i nije ograničeno na pacijente sa dijabetesom, kao što je pokazano u DAPA-HF, DELIVER i DAPA-CKD studijama. Drugi efekti uključuju povećanje hematokrita i smanjenje tjelesne mase.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Dapagliflozin poboljšava koncentraciju glukoze u plazmi, kako natašte, tako i postprandijalno, smanjujući reapsorpciju glukoze u bubrezima, što dovodi do izlučivanja glukoze urinom. Ovakvo izlučivanje glukoze (glukozurično dejstvo) je vidljivo poslije prve doze, traje tokom 24-časovnog doznog intervala i održava se tokom trajanja terapije. Količina glukoze koja se uklanja putem bubrega pomoću ovog mehanizma zavisi od koncentracije glukoze u krvi i od GFR. Tako, kod osoba sa normalnom vrijednošću glukoze u krvi dapagliflozin ima nisku sklonost da dovede do hipoglikemije. Dapagliflozin ne ometa normalnu endogenu proizvodnju glukoze koja predstavlja odgovor na hipoglikemiju. Dapagliflozin djeluje nezavisno od sekrecije insulina i dejstva insulina. U kliničkim studijama sa dapagliflozinom, uočeno je poboljšanje procjene modela homeostaze za funkciju beta- ćelija (HOMA beta-cell).</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SGLT2 je selektivno eksprimiran u bubregu. Dapagliflozin ne inhibira druge transportere glukoze koji su važni za transport glukoze u periferna tkiva i on je &gt; 1400 puta selektivniji za SGLT2 u odnosu na SGLT1, glavni transporter u crijevima odgovoran za resorpciju glukoze.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u w:val="single"/>
          <w:lang w:val="sr-Latn-ME"/>
        </w:rPr>
        <w:t>Farmakodinamska dejstva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Kod zdravih ispitanika i ispitanika sa dijabetes melitusom tip 2 nakon primjene dapagliflozina primijećeno je povećanje količine glukoze izlučene urinom. Kod ispitanika sa dijabetes melitusom tip 2 koji su tokom 12 nedjelja primali dapagliflozin u dozi od 10 mg dnevno, u urin je izlučivano približno 70 g glukoze dnevno (što odgovara 280 kcal/dan). Znaci održivog izlučivanja glukoze zabilježeni su kod ispitanika sa dijabetes melitusom tip 2 koji su primali dapagliflozin u dozi od 10 mg dnevno u trajanju do 2 godine. </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Ovo izlučivanje glukoze urinom, podstaknuto dapagliflozinom, dovodi i do osmotske diureze i povećanja volumena urina kod ispitanika sa dijabetes melitusom tip 2. Povećanje volumena urina kod ispitanika sa dijabetes melitusom tip 2 liječenih dapagliflozinom u dozi od 10 mg održavalo se 12 nedjelja i iznosilo je približno 375 ml/dan. Povećanje volumena urina bilo je povezano sa blagim i prolaznim povećanjem izlučivanja natrijuma putem urina koje nije bilo udruženo sa promjenama koncentracija natrijuma u serumu.</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Izlučivanje mokraćne kiseline putem urina takođe se privremeno povećalo (tokom 3-7 dana), a bilo je praćeno trajnim smanjenjem koncentracije mokraćne kiseline u serumu. U 24. nedjelji smanjenje </w:t>
      </w:r>
      <w:r w:rsidRPr="00AD2361">
        <w:rPr>
          <w:szCs w:val="22"/>
          <w:lang w:val="sr-Latn-ME"/>
        </w:rPr>
        <w:lastRenderedPageBreak/>
        <w:t>koncentracije mokraćne kiseline u serumu se kretalo od -48,3 do -18,3 mikromola/l (od -0,87 do -0,33</w:t>
      </w:r>
    </w:p>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mg/dl).</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u w:val="single"/>
          <w:lang w:val="sr-Latn-ME"/>
        </w:rPr>
        <w:t>Klinička efikasnost i bezbjednost</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Dijabetes melitus tip 2</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Sastavne djelove terapije dijabetes melitusa tip 2 čine poboljšanje kontrole glikemije i smanjenje kardiovaskularnog i bubrežnog morbiditeta i mortaliteta.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Kako bi se utvrdila glikemijska efikasnost i bezbjednost dapagliflozina, sprovedeno je četrnaest dvostruko-slijepih, randomizovanih, kontrolisanih kliničkih studija sa 7056 odraslih ispitanika sa dijabetes melitusom tip 2; 4737 ispitanika u tim studijama liječeno je dapagliflozinom. U dvanaest studija liječenje je trajalo 24 nedjelje, 8 je bilo sa dugoročnim produžecima u rasponu od 24 do 80 nedjelja (do ukupnog trajanja studije od 104 nedjelje), u jednoj studiji liječenje je trajalo 28 nedjelja, dok je jedna studija trajala 52 nedjelje sa dugoročnim produžecima od 52 i 104 nedjelje (ukupno trajanje studije 208 nedjelja). Srednja vrijednost trajanja dijabetesa bila je u rasponu od 1,4 do 16,9 godina. Pedeset procenata (50%) imalo je blago oštećenje funkcije bubrega, a 11% umjereno oštećenje funkcije bubrega. Među ispitanicima je bio pedeset i jedan procenat (51%) osoba muškog pola, 84% bijelaca, 8% azijatskog porijekla, 4% osoba crne rase i 4% pripadnika drugih rasnih grupa. Osamdeset i jedan procenat (81%) ispitanika imao je indeks tjelesne mase (eng. </w:t>
      </w:r>
      <w:r w:rsidRPr="00AD2361">
        <w:rPr>
          <w:i/>
          <w:szCs w:val="22"/>
          <w:lang w:val="sr-Latn-ME"/>
        </w:rPr>
        <w:t>body mass index</w:t>
      </w:r>
      <w:r w:rsidRPr="00AD2361">
        <w:rPr>
          <w:szCs w:val="22"/>
          <w:lang w:val="sr-Latn-ME"/>
        </w:rPr>
        <w:t>, BMI) ≥ 27.</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Osim toga, dvije 12-nedjeljne, placebom-kontrolisane studije sprovedene su kod pacijenata sa neadekvatno kontrolisanim dijabetesom melitusom tip 2 i hipertenzijom.</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studiji kardiovaskularnih ishoda (DECLARE) primjena dapagliflozina u dozi od 10 mg poređena je sa placebom kod 17160 pacijenata sa dijabetes melitusom tip 2 sa ustanovljenim kardiovaskularnim oboljenjem ili bez njega, radi procjene dejstva na kardiovaskularne i bubrežne događaje.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t>Glikemijska kontrola</w:t>
      </w: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Monoterapija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cilju procjene bezbjednosti i efikasnosti monoterapije dapagliflozinom, kod ispitanika sa neadekvatno kontrolisanim dijabetes melitusom tip 2 sprovedena je dvostruko-slijepa, placebom-kontrolisana studija u trajanju od 24 nedjelje (uz dodatni period produžetka studije). Terapija dapagliflozinom jednom dnevno dovela je do statistički značajnih (p &lt; 0,0001) smanjenja HbA1c u poređenju sa placebom (Tabela 2).</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periodu produžetka studije smanjenja HbA1c održala su se do 102. nedjelje (prilagođena srednja vrijednost promjene u odnosu na početnu vrijednost iznosila je -0,61% kod primjene dapagliflozina u dozi od 10 mg, odnosno -0,17% za placebo).</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bCs/>
          <w:szCs w:val="22"/>
          <w:lang w:val="sr-Latn-ME"/>
        </w:rPr>
      </w:pPr>
      <w:r w:rsidRPr="00AD2361">
        <w:rPr>
          <w:b/>
          <w:bCs/>
          <w:szCs w:val="22"/>
          <w:lang w:val="sr-Latn-ME"/>
        </w:rPr>
        <w:t>Tabela 2. Rezultati u 24. nedjelji (LOCF</w:t>
      </w:r>
      <w:r w:rsidRPr="00AD2361">
        <w:rPr>
          <w:b/>
          <w:bCs/>
          <w:szCs w:val="22"/>
          <w:vertAlign w:val="superscript"/>
          <w:lang w:val="sr-Latn-ME"/>
        </w:rPr>
        <w:t>a</w:t>
      </w:r>
      <w:r w:rsidRPr="00AD2361">
        <w:rPr>
          <w:b/>
          <w:bCs/>
          <w:szCs w:val="22"/>
          <w:lang w:val="sr-Latn-ME"/>
        </w:rPr>
        <w:t>) placebom-kontrolisane studije dapagliflozina kao monoterapije</w:t>
      </w:r>
    </w:p>
    <w:p w:rsidR="00381844" w:rsidRPr="00AD2361" w:rsidRDefault="00381844" w:rsidP="00AD2361">
      <w:pPr>
        <w:widowControl w:val="0"/>
        <w:tabs>
          <w:tab w:val="clear" w:pos="567"/>
          <w:tab w:val="left" w:pos="0"/>
        </w:tabs>
        <w:spacing w:line="240" w:lineRule="auto"/>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1"/>
      </w:tblGrid>
      <w:tr w:rsidR="00381844" w:rsidRPr="00AD2361">
        <w:tc>
          <w:tcPr>
            <w:tcW w:w="9061" w:type="dxa"/>
            <w:gridSpan w:val="3"/>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Monoterapija</w:t>
            </w:r>
          </w:p>
        </w:tc>
      </w:tr>
      <w:tr w:rsidR="00381844" w:rsidRPr="00AD2361">
        <w:tc>
          <w:tcPr>
            <w:tcW w:w="3020" w:type="dxa"/>
            <w:tcBorders>
              <w:top w:val="single" w:sz="4" w:space="0" w:color="auto"/>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3020"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Dapagliflozin</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10 mg</w:t>
            </w:r>
          </w:p>
        </w:tc>
        <w:tc>
          <w:tcPr>
            <w:tcW w:w="3021"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Placebo</w:t>
            </w:r>
          </w:p>
        </w:tc>
      </w:tr>
      <w:tr w:rsidR="00381844" w:rsidRPr="00AD2361">
        <w:tc>
          <w:tcPr>
            <w:tcW w:w="3020"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szCs w:val="22"/>
                <w:lang w:val="sr-Latn-ME"/>
              </w:rPr>
              <w:t>N</w:t>
            </w:r>
            <w:r w:rsidRPr="00AD2361">
              <w:rPr>
                <w:szCs w:val="22"/>
                <w:vertAlign w:val="superscript"/>
                <w:lang w:val="sr-Latn-ME"/>
              </w:rPr>
              <w:t>b</w:t>
            </w:r>
          </w:p>
        </w:tc>
        <w:tc>
          <w:tcPr>
            <w:tcW w:w="3020"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70</w:t>
            </w:r>
          </w:p>
        </w:tc>
        <w:tc>
          <w:tcPr>
            <w:tcW w:w="3021"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75</w:t>
            </w:r>
          </w:p>
        </w:tc>
      </w:tr>
      <w:tr w:rsidR="00381844" w:rsidRPr="00AD2361">
        <w:tc>
          <w:tcPr>
            <w:tcW w:w="3020"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 xml:space="preserve">HbA1c (%) </w:t>
            </w:r>
          </w:p>
          <w:p w:rsidR="00381844" w:rsidRPr="00AD2361" w:rsidRDefault="004529E0" w:rsidP="00AD2361">
            <w:pPr>
              <w:widowControl w:val="0"/>
              <w:tabs>
                <w:tab w:val="clear" w:pos="567"/>
                <w:tab w:val="left" w:pos="0"/>
              </w:tabs>
              <w:spacing w:line="240" w:lineRule="auto"/>
              <w:rPr>
                <w:bCs/>
                <w:szCs w:val="22"/>
                <w:lang w:val="sr-Latn-ME"/>
              </w:rPr>
            </w:pPr>
            <w:r w:rsidRPr="00AD2361">
              <w:rPr>
                <w:bCs/>
                <w:szCs w:val="22"/>
                <w:lang w:val="sr-Latn-ME"/>
              </w:rPr>
              <w:t xml:space="preserve">Početna vrijednost (srednja) </w:t>
            </w:r>
          </w:p>
        </w:tc>
        <w:tc>
          <w:tcPr>
            <w:tcW w:w="3020"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8,01</w:t>
            </w:r>
          </w:p>
        </w:tc>
        <w:tc>
          <w:tcPr>
            <w:tcW w:w="3021"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7,79</w:t>
            </w:r>
          </w:p>
        </w:tc>
      </w:tr>
      <w:tr w:rsidR="00381844" w:rsidRPr="00AD2361">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-0,89</w:t>
            </w:r>
          </w:p>
        </w:tc>
        <w:tc>
          <w:tcPr>
            <w:tcW w:w="3021"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-0,23</w:t>
            </w:r>
          </w:p>
        </w:tc>
      </w:tr>
      <w:tr w:rsidR="00381844" w:rsidRPr="00AD2361">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placebo</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-0,66*</w:t>
            </w:r>
          </w:p>
        </w:tc>
        <w:tc>
          <w:tcPr>
            <w:tcW w:w="3021"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020"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3020"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(-0,96, -0,36)</w:t>
            </w:r>
          </w:p>
        </w:tc>
        <w:tc>
          <w:tcPr>
            <w:tcW w:w="3021"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020"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 xml:space="preserve">Ispitanici (%) kod kojih je postignut: </w:t>
            </w:r>
          </w:p>
          <w:p w:rsidR="00381844" w:rsidRPr="00AD2361" w:rsidRDefault="004529E0" w:rsidP="00AD2361">
            <w:pPr>
              <w:widowControl w:val="0"/>
              <w:tabs>
                <w:tab w:val="clear" w:pos="567"/>
                <w:tab w:val="left" w:pos="0"/>
              </w:tabs>
              <w:spacing w:line="240" w:lineRule="auto"/>
              <w:rPr>
                <w:szCs w:val="22"/>
                <w:lang w:val="sr-Latn-ME"/>
              </w:rPr>
            </w:pPr>
            <w:r w:rsidRPr="00AD2361">
              <w:rPr>
                <w:b/>
                <w:szCs w:val="22"/>
                <w:lang w:val="sr-Latn-ME"/>
              </w:rPr>
              <w:t>HbA1c &lt; 7%</w:t>
            </w:r>
          </w:p>
        </w:tc>
        <w:tc>
          <w:tcPr>
            <w:tcW w:w="3020" w:type="dxa"/>
            <w:tcBorders>
              <w:top w:val="single" w:sz="4" w:space="0" w:color="auto"/>
              <w:left w:val="nil"/>
              <w:bottom w:val="nil"/>
              <w:right w:val="nil"/>
            </w:tcBorders>
            <w:shd w:val="clear" w:color="auto" w:fill="auto"/>
            <w:vAlign w:val="bottom"/>
          </w:tcPr>
          <w:p w:rsidR="00381844" w:rsidRPr="00AD2361" w:rsidRDefault="00381844" w:rsidP="00AD2361">
            <w:pPr>
              <w:widowControl w:val="0"/>
              <w:tabs>
                <w:tab w:val="clear" w:pos="567"/>
                <w:tab w:val="left" w:pos="0"/>
              </w:tabs>
              <w:spacing w:line="240" w:lineRule="auto"/>
              <w:jc w:val="center"/>
              <w:rPr>
                <w:szCs w:val="22"/>
                <w:lang w:val="sr-Latn-ME"/>
              </w:rPr>
            </w:pPr>
          </w:p>
        </w:tc>
        <w:tc>
          <w:tcPr>
            <w:tcW w:w="3021" w:type="dxa"/>
            <w:tcBorders>
              <w:top w:val="single" w:sz="4" w:space="0" w:color="auto"/>
              <w:left w:val="nil"/>
              <w:bottom w:val="nil"/>
              <w:right w:val="nil"/>
            </w:tcBorders>
            <w:shd w:val="clear" w:color="auto" w:fill="auto"/>
            <w:vAlign w:val="bottom"/>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020"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Prilagođeno za početnu vrijednost</w:t>
            </w:r>
          </w:p>
        </w:tc>
        <w:tc>
          <w:tcPr>
            <w:tcW w:w="3020"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50,8</w:t>
            </w:r>
            <w:r w:rsidRPr="00AD2361">
              <w:rPr>
                <w:szCs w:val="22"/>
                <w:vertAlign w:val="superscript"/>
                <w:lang w:val="sr-Latn-ME"/>
              </w:rPr>
              <w:t>§</w:t>
            </w:r>
          </w:p>
        </w:tc>
        <w:tc>
          <w:tcPr>
            <w:tcW w:w="3021"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31,6</w:t>
            </w:r>
          </w:p>
        </w:tc>
      </w:tr>
      <w:tr w:rsidR="00381844" w:rsidRPr="00AD2361">
        <w:tc>
          <w:tcPr>
            <w:tcW w:w="3020"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b/>
                <w:szCs w:val="22"/>
                <w:lang w:val="sr-Latn-ME"/>
              </w:rPr>
              <w:lastRenderedPageBreak/>
              <w:t>Tjelesna masa (kg)</w:t>
            </w:r>
          </w:p>
        </w:tc>
        <w:tc>
          <w:tcPr>
            <w:tcW w:w="3020"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3021"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Početna vrijednost (srednja)</w:t>
            </w:r>
          </w:p>
        </w:tc>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94,13</w:t>
            </w:r>
          </w:p>
        </w:tc>
        <w:tc>
          <w:tcPr>
            <w:tcW w:w="3021"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88,77</w:t>
            </w:r>
          </w:p>
        </w:tc>
      </w:tr>
      <w:tr w:rsidR="00381844" w:rsidRPr="00AD2361">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-3,16</w:t>
            </w:r>
          </w:p>
        </w:tc>
        <w:tc>
          <w:tcPr>
            <w:tcW w:w="3021"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-2,19</w:t>
            </w:r>
          </w:p>
        </w:tc>
      </w:tr>
      <w:tr w:rsidR="00381844" w:rsidRPr="00AD2361">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placebo</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-0,97</w:t>
            </w:r>
          </w:p>
        </w:tc>
        <w:tc>
          <w:tcPr>
            <w:tcW w:w="3021"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020"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3020"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(-2,20; 0,25)</w:t>
            </w:r>
          </w:p>
        </w:tc>
        <w:tc>
          <w:tcPr>
            <w:tcW w:w="3021"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bl>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a</w:t>
      </w:r>
      <w:r w:rsidRPr="00AD2361">
        <w:rPr>
          <w:sz w:val="18"/>
          <w:szCs w:val="22"/>
          <w:lang w:val="sr-Latn-ME"/>
        </w:rPr>
        <w:t xml:space="preserve"> LOCF (eng. </w:t>
      </w:r>
      <w:r w:rsidRPr="00AD2361">
        <w:rPr>
          <w:i/>
          <w:sz w:val="18"/>
          <w:szCs w:val="22"/>
          <w:lang w:val="sr-Latn-ME"/>
        </w:rPr>
        <w:t>Last Observation Carried Forward</w:t>
      </w:r>
      <w:r w:rsidRPr="00AD2361">
        <w:rPr>
          <w:sz w:val="18"/>
          <w:szCs w:val="22"/>
          <w:lang w:val="sr-Latn-ME"/>
        </w:rPr>
        <w:t>): Prenos posljednjih zabilježenih vrijednosti (prije primjene terapije za hitnu regulaciju neregulisane glikemije kod ispitanika kod kojih je ista primijenjena)</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b</w:t>
      </w:r>
      <w:r w:rsidRPr="00AD2361">
        <w:rPr>
          <w:sz w:val="18"/>
          <w:szCs w:val="22"/>
          <w:lang w:val="sr-Latn-ME"/>
        </w:rPr>
        <w:t xml:space="preserve"> Svi randomizovani ispitanici koji su uzeli najmanje jednu dozu lijeka iz dvostruko-slijepe studije tokom kratkotrajnog dvostruko-slijepog perioda</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c</w:t>
      </w:r>
      <w:r w:rsidRPr="00AD2361">
        <w:rPr>
          <w:sz w:val="18"/>
          <w:szCs w:val="22"/>
          <w:lang w:val="sr-Latn-ME"/>
        </w:rPr>
        <w:t xml:space="preserve"> Srednja vrijednost najmanjih kvadrata prilagođena za početnu vrijednost</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w:t>
      </w:r>
      <w:r w:rsidRPr="00AD2361">
        <w:rPr>
          <w:sz w:val="18"/>
          <w:szCs w:val="22"/>
          <w:lang w:val="sr-Latn-ME"/>
        </w:rPr>
        <w:t xml:space="preserve"> p-vrijednost &lt;0,0001 u odnosu na placebo</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w:t>
      </w:r>
      <w:r w:rsidRPr="00AD2361">
        <w:rPr>
          <w:sz w:val="18"/>
          <w:szCs w:val="22"/>
          <w:lang w:val="sr-Latn-ME"/>
        </w:rPr>
        <w:t xml:space="preserve"> Nije procijenjeno u pogledu statističke značajnosti zbog postupka sekvencijalnog testiranja za sekundarne parametre praćenja</w:t>
      </w:r>
    </w:p>
    <w:p w:rsidR="00381844" w:rsidRPr="00AD2361" w:rsidRDefault="00381844" w:rsidP="00AD2361">
      <w:pPr>
        <w:widowControl w:val="0"/>
        <w:tabs>
          <w:tab w:val="clear" w:pos="567"/>
          <w:tab w:val="left" w:pos="0"/>
        </w:tabs>
        <w:spacing w:line="240" w:lineRule="auto"/>
        <w:rPr>
          <w:i/>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Dodatak terapiji (kombinovana terapija)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aktivno-kontrolisanoj studiji neinferiornosti koja je trajala 52 nedjelje (sa produžecima od 52 i 104 nedjelje), dapagliflozin je procjenjivan kao dodatak terapiji metforminom u poređenju sa sulfonilureom (glipizidom) kao dodatka terapiji metforminu, kod ispitanika sa neadekvatnom kontrolom glikemije (HbA1c &gt; 6,5% i ≤ 10%). Rezultati su pokazali slično srednje smanjenje HbA1c od početnih vrijednosti do 52. nedjelje u poređenju sa glipizidom, na taj način pokazujući neinferiornost (tabela 3). U 104. nedjelji prilagođena srednja promjena HbA1c u odnosu na početnu vrijednost bila je -0,32% za dapagliflozin i -0,14% za glipizid. U 208. nedjelji prilagođena srednja promjena HbA1c u odnosu na početnu vrijednost bila je -0,10% za dapagliflozin i 0,20% za glipizid. U 52, 104. i 208. nedjelji značajno manji udio ispitanika u grupi liječenoj dapagliflozinom (3,5%, 4,3%, odnosno 5,0%) je imao najmanje jedan događaj hipoglikemije u poređenju sa grupom liječenom glipizidom (40,8%, 47,0%, odnosno 50,0%). U 104. i 208. nedjelji udio ispitanika koji je ostao u studiji bio je 56,2%, odnosno 39,7% u grupi liječenoj dapagliflozinom i 50,0%, odnosno 34,6% u grupi liječenoj glipizidom.</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b/>
          <w:szCs w:val="22"/>
          <w:lang w:val="sr-Latn-ME"/>
        </w:rPr>
      </w:pPr>
      <w:r w:rsidRPr="00AD2361">
        <w:rPr>
          <w:b/>
          <w:szCs w:val="22"/>
          <w:lang w:val="sr-Latn-ME"/>
        </w:rPr>
        <w:t>Tabela 3. Rezultati u 52. nedjelji (LOCF</w:t>
      </w:r>
      <w:r w:rsidRPr="00AD2361">
        <w:rPr>
          <w:b/>
          <w:szCs w:val="22"/>
          <w:vertAlign w:val="superscript"/>
          <w:lang w:val="sr-Latn-ME"/>
        </w:rPr>
        <w:t>a</w:t>
      </w:r>
      <w:r w:rsidRPr="00AD2361">
        <w:rPr>
          <w:b/>
          <w:szCs w:val="22"/>
          <w:lang w:val="sr-Latn-ME"/>
        </w:rPr>
        <w:t>) u aktivno-kontrolisanoj studiji u kojoj su poređeni dapagliflozin i glipizid kao dodatak liječenju metforminom</w:t>
      </w:r>
    </w:p>
    <w:p w:rsidR="00381844" w:rsidRPr="00AD2361" w:rsidRDefault="00381844" w:rsidP="00AD2361">
      <w:pPr>
        <w:widowControl w:val="0"/>
        <w:tabs>
          <w:tab w:val="clear" w:pos="567"/>
          <w:tab w:val="left" w:pos="0"/>
        </w:tabs>
        <w:spacing w:line="240" w:lineRule="auto"/>
        <w:rPr>
          <w:b/>
          <w:szCs w:val="22"/>
          <w:lang w:val="sr-Latn-ME"/>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020"/>
        <w:gridCol w:w="2508"/>
      </w:tblGrid>
      <w:tr w:rsidR="00381844" w:rsidRPr="00AD2361">
        <w:tc>
          <w:tcPr>
            <w:tcW w:w="3686"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Parametar</w:t>
            </w:r>
          </w:p>
        </w:tc>
        <w:tc>
          <w:tcPr>
            <w:tcW w:w="3020"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Dapagliflozin + metformin</w:t>
            </w:r>
          </w:p>
        </w:tc>
        <w:tc>
          <w:tcPr>
            <w:tcW w:w="2508"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Glipizid + metformin</w:t>
            </w:r>
          </w:p>
        </w:tc>
      </w:tr>
      <w:tr w:rsidR="00381844" w:rsidRPr="00AD2361">
        <w:tc>
          <w:tcPr>
            <w:tcW w:w="3686"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szCs w:val="22"/>
                <w:lang w:val="sr-Latn-ME"/>
              </w:rPr>
              <w:t>N</w:t>
            </w:r>
            <w:r w:rsidRPr="00AD2361">
              <w:rPr>
                <w:szCs w:val="22"/>
                <w:vertAlign w:val="superscript"/>
                <w:lang w:val="sr-Latn-ME"/>
              </w:rPr>
              <w:t>b</w:t>
            </w:r>
          </w:p>
        </w:tc>
        <w:tc>
          <w:tcPr>
            <w:tcW w:w="3020"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400</w:t>
            </w:r>
          </w:p>
        </w:tc>
        <w:tc>
          <w:tcPr>
            <w:tcW w:w="2508"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401</w:t>
            </w:r>
          </w:p>
        </w:tc>
      </w:tr>
      <w:tr w:rsidR="00381844" w:rsidRPr="00AD2361">
        <w:tc>
          <w:tcPr>
            <w:tcW w:w="3686"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 xml:space="preserve">HbA1c (%) </w:t>
            </w:r>
          </w:p>
          <w:p w:rsidR="00381844" w:rsidRPr="00AD2361" w:rsidRDefault="004529E0" w:rsidP="00AD2361">
            <w:pPr>
              <w:widowControl w:val="0"/>
              <w:tabs>
                <w:tab w:val="clear" w:pos="567"/>
                <w:tab w:val="left" w:pos="0"/>
              </w:tabs>
              <w:spacing w:line="240" w:lineRule="auto"/>
              <w:rPr>
                <w:bCs/>
                <w:szCs w:val="22"/>
                <w:lang w:val="sr-Latn-ME"/>
              </w:rPr>
            </w:pPr>
            <w:r w:rsidRPr="00AD2361">
              <w:rPr>
                <w:bCs/>
                <w:szCs w:val="22"/>
                <w:lang w:val="sr-Latn-ME"/>
              </w:rPr>
              <w:t>Početna vrijednost (srednja)</w:t>
            </w:r>
          </w:p>
        </w:tc>
        <w:tc>
          <w:tcPr>
            <w:tcW w:w="3020"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7,69</w:t>
            </w:r>
          </w:p>
        </w:tc>
        <w:tc>
          <w:tcPr>
            <w:tcW w:w="2508"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7,74</w:t>
            </w:r>
          </w:p>
        </w:tc>
      </w:tr>
      <w:tr w:rsidR="00381844" w:rsidRPr="00AD2361">
        <w:tc>
          <w:tcPr>
            <w:tcW w:w="3686"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-0,52</w:t>
            </w:r>
          </w:p>
        </w:tc>
        <w:tc>
          <w:tcPr>
            <w:tcW w:w="2508"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-0,52</w:t>
            </w:r>
          </w:p>
        </w:tc>
      </w:tr>
      <w:tr w:rsidR="00381844" w:rsidRPr="00AD2361">
        <w:tc>
          <w:tcPr>
            <w:tcW w:w="3686"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glipizid+metformin</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-0,00</w:t>
            </w:r>
            <w:r w:rsidRPr="00AD2361">
              <w:rPr>
                <w:szCs w:val="22"/>
                <w:vertAlign w:val="superscript"/>
                <w:lang w:val="sr-Latn-ME"/>
              </w:rPr>
              <w:t>d</w:t>
            </w:r>
          </w:p>
        </w:tc>
        <w:tc>
          <w:tcPr>
            <w:tcW w:w="2508"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686"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3020"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(-0,11; 0,11)</w:t>
            </w:r>
          </w:p>
        </w:tc>
        <w:tc>
          <w:tcPr>
            <w:tcW w:w="2508"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686"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b/>
                <w:szCs w:val="22"/>
                <w:lang w:val="sr-Latn-ME"/>
              </w:rPr>
              <w:t>Tjelesna masa (kg)</w:t>
            </w:r>
          </w:p>
        </w:tc>
        <w:tc>
          <w:tcPr>
            <w:tcW w:w="3020"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2508"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686"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Početna vrijednost (srednja)</w:t>
            </w:r>
          </w:p>
        </w:tc>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88,44</w:t>
            </w:r>
          </w:p>
        </w:tc>
        <w:tc>
          <w:tcPr>
            <w:tcW w:w="2508"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87,60</w:t>
            </w:r>
          </w:p>
        </w:tc>
      </w:tr>
      <w:tr w:rsidR="00381844" w:rsidRPr="00AD2361">
        <w:tc>
          <w:tcPr>
            <w:tcW w:w="3686"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-3,22</w:t>
            </w:r>
          </w:p>
        </w:tc>
        <w:tc>
          <w:tcPr>
            <w:tcW w:w="2508"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1,44</w:t>
            </w:r>
          </w:p>
        </w:tc>
      </w:tr>
      <w:tr w:rsidR="00381844" w:rsidRPr="00AD2361">
        <w:tc>
          <w:tcPr>
            <w:tcW w:w="3686"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glipizid+metformin</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-4,65</w:t>
            </w:r>
            <w:r w:rsidRPr="00AD2361">
              <w:rPr>
                <w:szCs w:val="22"/>
                <w:vertAlign w:val="superscript"/>
                <w:lang w:val="sr-Latn-ME"/>
              </w:rPr>
              <w:t>*</w:t>
            </w:r>
          </w:p>
        </w:tc>
        <w:tc>
          <w:tcPr>
            <w:tcW w:w="2508"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686"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3020"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(-5,14; -4,17)</w:t>
            </w:r>
          </w:p>
        </w:tc>
        <w:tc>
          <w:tcPr>
            <w:tcW w:w="2508"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bl>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a</w:t>
      </w:r>
      <w:r w:rsidRPr="00AD2361">
        <w:rPr>
          <w:sz w:val="18"/>
          <w:szCs w:val="22"/>
          <w:lang w:val="sr-Latn-ME"/>
        </w:rPr>
        <w:t xml:space="preserve"> LOCF (eng. </w:t>
      </w:r>
      <w:r w:rsidRPr="00AD2361">
        <w:rPr>
          <w:i/>
          <w:sz w:val="18"/>
          <w:szCs w:val="22"/>
          <w:lang w:val="sr-Latn-ME"/>
        </w:rPr>
        <w:t>Last Observation Carried Forward</w:t>
      </w:r>
      <w:r w:rsidRPr="00AD2361">
        <w:rPr>
          <w:sz w:val="18"/>
          <w:szCs w:val="22"/>
          <w:lang w:val="sr-Latn-ME"/>
        </w:rPr>
        <w:t>): Prenos posljednjih zabilježenih vrijednosti</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b</w:t>
      </w:r>
      <w:r w:rsidRPr="00AD2361">
        <w:rPr>
          <w:sz w:val="18"/>
          <w:szCs w:val="22"/>
          <w:lang w:val="sr-Latn-ME"/>
        </w:rPr>
        <w:t xml:space="preserve"> Randomizovani i liječeni ispitanici kod kojih je sprovedeno mjerenje efikasnosti na početku studije i</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lang w:val="sr-Latn-ME"/>
        </w:rPr>
        <w:t>najmanje jedno mjerenje nakon početka studije</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c</w:t>
      </w:r>
      <w:r w:rsidRPr="00AD2361">
        <w:rPr>
          <w:sz w:val="18"/>
          <w:szCs w:val="22"/>
          <w:lang w:val="sr-Latn-ME"/>
        </w:rPr>
        <w:t xml:space="preserve"> Srednja vrijednost najmanjih kvadrata prilagođena za početnu vrijednost</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d</w:t>
      </w:r>
      <w:r w:rsidRPr="00AD2361">
        <w:rPr>
          <w:sz w:val="18"/>
          <w:szCs w:val="22"/>
          <w:lang w:val="sr-Latn-ME"/>
        </w:rPr>
        <w:t xml:space="preserve"> Neinferiornost u odnosu na glipizid + metformin</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w:t>
      </w:r>
      <w:r w:rsidRPr="00AD2361">
        <w:rPr>
          <w:sz w:val="18"/>
          <w:szCs w:val="22"/>
          <w:lang w:val="sr-Latn-ME"/>
        </w:rPr>
        <w:t xml:space="preserve"> p-vrijednost &lt; 0,0001</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Dapagliflozin kao dodatak terapiji metforminom, glimepiridom, metforminom i sulfonilureom, sitagliptinom (sa metforminom ili bez njega) ili insulinom doveo je do statistički značajnog smanjenja HbA1c u 24. nedjelji u poređenju sa ispitanicima koji su primali placebo (p &lt; 0,0001; tabele 4, 5 i 6).</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Smanjenja HbA1c zabilježena u 24. nedjelji održala su se u studijama lijeka kao dodatka u </w:t>
      </w:r>
      <w:r w:rsidRPr="00AD2361">
        <w:rPr>
          <w:szCs w:val="22"/>
          <w:lang w:val="sr-Latn-ME"/>
        </w:rPr>
        <w:lastRenderedPageBreak/>
        <w:t>kombinovanoj terapiji (glimepiridom i insulinom) tokom 48 nedjelja (glimepirid) i 104 nedjelje (insulin). Kao dodatak terapiji sitagliptinom (sa metforminom ili bez njega), u 48. nedjelji prilagođena srednja promjena u odnosu na početnu vrijednost bila je -0,30% za dapagliflozin u dozi od 10 mg, odnosno 0,38% za placebo. U studiji lijeka kao dodatka terapiji metforminom smanjenja HbA1c održala su se do 102. nedjelje (prilagođena srednja promjena u odnosu na početnu vrijednost iznosila je -0,78% za dapagliflozin u dozi od 10 mg, odnosno 0,02% za placebo). U 104. nedjelji za insulin (sa dodatnim oralnim ljekovima za smanjenje koncentracije glukoze ili bez njih), smanjenje HbA1c, kao prilagođena srednja promjena u odnosu na početnu vrijednost, iznosilo je -0,71% za primjenu dapagliflozina u dozi od 10 mg odnosno -0,06% za placebo. Kod ispitanika liječenih primjenom dapagliflozinom u dozi od 10 mg u 48. i 104. nedjelji doza insulina ostala je stabilna u poređenju sa početnom vrijednošću, uz prosječnu dozu od 76 i.j./dan. U grupi koja je primala placebo, u 48. nedjelji zabilježeno je srednje povećanje od 10,5 i.j./dan u poređenju sa početnom vrijednošću (srednja vrijednost prosječne doze 84 i.j./dan), a u 104. nedjelji zabilježeno je srednje povećanje od 18,3 i.j./dan u poređenju sa početnom vrijednošću (srednja vrijednost prosječne doze 92 i.j./dan). Udio ispitanika koji je ostao u studiji u 104. nedjelji bio je 72,4% u grupi koja je primala dapagliflozin u dozi od 10 mg i 54,8% u grupi koja je primala placebo.</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b/>
          <w:bCs/>
          <w:szCs w:val="22"/>
          <w:lang w:val="sr-Latn-ME"/>
        </w:rPr>
      </w:pPr>
      <w:r w:rsidRPr="00AD2361">
        <w:rPr>
          <w:b/>
          <w:bCs/>
          <w:szCs w:val="22"/>
          <w:lang w:val="sr-Latn-ME"/>
        </w:rPr>
        <w:t>Tabela 4. Rezultati 24-nedjeljne (LOCF</w:t>
      </w:r>
      <w:r w:rsidRPr="00AD2361">
        <w:rPr>
          <w:b/>
          <w:bCs/>
          <w:szCs w:val="22"/>
          <w:vertAlign w:val="superscript"/>
          <w:lang w:val="sr-Latn-ME"/>
        </w:rPr>
        <w:t>a</w:t>
      </w:r>
      <w:r w:rsidRPr="00AD2361">
        <w:rPr>
          <w:b/>
          <w:bCs/>
          <w:szCs w:val="22"/>
          <w:lang w:val="sr-Latn-ME"/>
        </w:rPr>
        <w:t>) placebom-kontrolisane studije dapagliflozina kao dodatka u kombinovanom liječenju metforminom ili sitagliptinom (sa metforminom ili bez njega)</w:t>
      </w:r>
    </w:p>
    <w:p w:rsidR="00381844" w:rsidRPr="00AD2361" w:rsidRDefault="00381844" w:rsidP="00AD2361">
      <w:pPr>
        <w:widowControl w:val="0"/>
        <w:tabs>
          <w:tab w:val="clear" w:pos="567"/>
          <w:tab w:val="left" w:pos="0"/>
        </w:tabs>
        <w:spacing w:line="240" w:lineRule="auto"/>
        <w:rPr>
          <w:szCs w:val="22"/>
          <w:lang w:val="sr-Latn-ME"/>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75"/>
        <w:gridCol w:w="289"/>
        <w:gridCol w:w="1309"/>
        <w:gridCol w:w="1956"/>
        <w:gridCol w:w="1973"/>
      </w:tblGrid>
      <w:tr w:rsidR="00381844" w:rsidRPr="00AD2361">
        <w:tc>
          <w:tcPr>
            <w:tcW w:w="2552" w:type="dxa"/>
            <w:tcBorders>
              <w:top w:val="single" w:sz="4" w:space="0" w:color="auto"/>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rPr>
                <w:b/>
                <w:szCs w:val="22"/>
                <w:lang w:val="sr-Latn-ME"/>
              </w:rPr>
            </w:pPr>
          </w:p>
        </w:tc>
        <w:tc>
          <w:tcPr>
            <w:tcW w:w="1764" w:type="dxa"/>
            <w:gridSpan w:val="2"/>
            <w:tcBorders>
              <w:top w:val="single" w:sz="4" w:space="0" w:color="auto"/>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rPr>
                <w:b/>
                <w:szCs w:val="22"/>
                <w:lang w:val="sr-Latn-ME"/>
              </w:rPr>
            </w:pPr>
          </w:p>
        </w:tc>
        <w:tc>
          <w:tcPr>
            <w:tcW w:w="5238" w:type="dxa"/>
            <w:gridSpan w:val="3"/>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 xml:space="preserve"> Dodatak u kombinovanoj terapiji</w:t>
            </w:r>
          </w:p>
        </w:tc>
      </w:tr>
      <w:tr w:rsidR="00381844" w:rsidRPr="00AD2361">
        <w:tc>
          <w:tcPr>
            <w:tcW w:w="2552" w:type="dxa"/>
            <w:tcBorders>
              <w:top w:val="single" w:sz="4" w:space="0" w:color="auto"/>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3073" w:type="dxa"/>
            <w:gridSpan w:val="3"/>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Metformin</w:t>
            </w:r>
            <w:r w:rsidRPr="00AD2361">
              <w:rPr>
                <w:szCs w:val="22"/>
                <w:vertAlign w:val="superscript"/>
                <w:lang w:val="sr-Latn-ME"/>
              </w:rPr>
              <w:t>1</w:t>
            </w:r>
          </w:p>
        </w:tc>
        <w:tc>
          <w:tcPr>
            <w:tcW w:w="3929" w:type="dxa"/>
            <w:gridSpan w:val="2"/>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DPP-4 inhibitor</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(sitagliptin</w:t>
            </w:r>
            <w:r w:rsidRPr="00AD2361">
              <w:rPr>
                <w:szCs w:val="22"/>
                <w:vertAlign w:val="superscript"/>
                <w:lang w:val="sr-Latn-ME"/>
              </w:rPr>
              <w:t>2</w:t>
            </w:r>
            <w:r w:rsidRPr="00AD2361">
              <w:rPr>
                <w:b/>
                <w:szCs w:val="22"/>
                <w:lang w:val="sr-Latn-ME"/>
              </w:rPr>
              <w:t>) ± metformin</w:t>
            </w:r>
            <w:r w:rsidRPr="00AD2361">
              <w:rPr>
                <w:szCs w:val="22"/>
                <w:vertAlign w:val="superscript"/>
                <w:lang w:val="sr-Latn-ME"/>
              </w:rPr>
              <w:t>1</w:t>
            </w:r>
          </w:p>
        </w:tc>
      </w:tr>
      <w:tr w:rsidR="00381844" w:rsidRPr="00AD2361">
        <w:tc>
          <w:tcPr>
            <w:tcW w:w="2552" w:type="dxa"/>
            <w:tcBorders>
              <w:top w:val="single" w:sz="4" w:space="0" w:color="auto"/>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475"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Dapagliflozin</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10 mg</w:t>
            </w:r>
          </w:p>
        </w:tc>
        <w:tc>
          <w:tcPr>
            <w:tcW w:w="1598" w:type="dxa"/>
            <w:gridSpan w:val="2"/>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Placebo</w:t>
            </w:r>
          </w:p>
        </w:tc>
        <w:tc>
          <w:tcPr>
            <w:tcW w:w="1956"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Dapagliflozin</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10 mg</w:t>
            </w:r>
          </w:p>
        </w:tc>
        <w:tc>
          <w:tcPr>
            <w:tcW w:w="1973"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Placebo</w:t>
            </w:r>
          </w:p>
        </w:tc>
      </w:tr>
      <w:tr w:rsidR="00381844" w:rsidRPr="00AD2361">
        <w:tc>
          <w:tcPr>
            <w:tcW w:w="2552"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b/>
                <w:szCs w:val="22"/>
                <w:lang w:val="sr-Latn-ME"/>
              </w:rPr>
              <w:t>N</w:t>
            </w:r>
            <w:r w:rsidRPr="00AD2361">
              <w:rPr>
                <w:szCs w:val="22"/>
                <w:vertAlign w:val="superscript"/>
                <w:lang w:val="sr-Latn-ME"/>
              </w:rPr>
              <w:t>b</w:t>
            </w:r>
          </w:p>
        </w:tc>
        <w:tc>
          <w:tcPr>
            <w:tcW w:w="1475"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135</w:t>
            </w:r>
          </w:p>
        </w:tc>
        <w:tc>
          <w:tcPr>
            <w:tcW w:w="1598" w:type="dxa"/>
            <w:gridSpan w:val="2"/>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137</w:t>
            </w:r>
          </w:p>
        </w:tc>
        <w:tc>
          <w:tcPr>
            <w:tcW w:w="1956"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223</w:t>
            </w:r>
          </w:p>
        </w:tc>
        <w:tc>
          <w:tcPr>
            <w:tcW w:w="1973"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224</w:t>
            </w:r>
          </w:p>
        </w:tc>
      </w:tr>
      <w:tr w:rsidR="00381844" w:rsidRPr="00AD2361">
        <w:tc>
          <w:tcPr>
            <w:tcW w:w="2552"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HbA1c (%)</w:t>
            </w:r>
          </w:p>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Početna vrijednost (srednja)</w:t>
            </w:r>
          </w:p>
        </w:tc>
        <w:tc>
          <w:tcPr>
            <w:tcW w:w="1475"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7,92</w:t>
            </w:r>
          </w:p>
        </w:tc>
        <w:tc>
          <w:tcPr>
            <w:tcW w:w="1598" w:type="dxa"/>
            <w:gridSpan w:val="2"/>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8,11</w:t>
            </w:r>
          </w:p>
        </w:tc>
        <w:tc>
          <w:tcPr>
            <w:tcW w:w="1956"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7,90</w:t>
            </w:r>
          </w:p>
        </w:tc>
        <w:tc>
          <w:tcPr>
            <w:tcW w:w="1973"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7,97</w:t>
            </w:r>
          </w:p>
        </w:tc>
      </w:tr>
      <w:tr w:rsidR="00381844" w:rsidRPr="00AD2361">
        <w:tc>
          <w:tcPr>
            <w:tcW w:w="2552"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1475"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-0,84</w:t>
            </w:r>
          </w:p>
        </w:tc>
        <w:tc>
          <w:tcPr>
            <w:tcW w:w="1598" w:type="dxa"/>
            <w:gridSpan w:val="2"/>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-0,30</w:t>
            </w:r>
          </w:p>
        </w:tc>
        <w:tc>
          <w:tcPr>
            <w:tcW w:w="1956"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-0,45</w:t>
            </w:r>
          </w:p>
        </w:tc>
        <w:tc>
          <w:tcPr>
            <w:tcW w:w="1973"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0,04</w:t>
            </w:r>
          </w:p>
        </w:tc>
      </w:tr>
      <w:tr w:rsidR="00381844" w:rsidRPr="00AD2361">
        <w:tc>
          <w:tcPr>
            <w:tcW w:w="2552"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placebo</w:t>
            </w:r>
            <w:r w:rsidRPr="00AD2361">
              <w:rPr>
                <w:szCs w:val="22"/>
                <w:vertAlign w:val="superscript"/>
                <w:lang w:val="sr-Latn-ME"/>
              </w:rPr>
              <w:t>c</w:t>
            </w:r>
          </w:p>
        </w:tc>
        <w:tc>
          <w:tcPr>
            <w:tcW w:w="1475"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-0,54</w:t>
            </w:r>
            <w:r w:rsidRPr="00AD2361">
              <w:rPr>
                <w:szCs w:val="22"/>
                <w:vertAlign w:val="superscript"/>
                <w:lang w:val="sr-Latn-ME"/>
              </w:rPr>
              <w:t>*</w:t>
            </w:r>
          </w:p>
        </w:tc>
        <w:tc>
          <w:tcPr>
            <w:tcW w:w="1598" w:type="dxa"/>
            <w:gridSpan w:val="2"/>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56"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-0,48</w:t>
            </w:r>
            <w:r w:rsidRPr="00AD2361">
              <w:rPr>
                <w:szCs w:val="22"/>
                <w:vertAlign w:val="superscript"/>
                <w:lang w:val="sr-Latn-ME"/>
              </w:rPr>
              <w:t>*</w:t>
            </w:r>
          </w:p>
        </w:tc>
        <w:tc>
          <w:tcPr>
            <w:tcW w:w="1973"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552"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1475"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(-0,74; -0,34)</w:t>
            </w:r>
          </w:p>
        </w:tc>
        <w:tc>
          <w:tcPr>
            <w:tcW w:w="1598" w:type="dxa"/>
            <w:gridSpan w:val="2"/>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56"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(-0,62; -0,34)</w:t>
            </w:r>
          </w:p>
        </w:tc>
        <w:tc>
          <w:tcPr>
            <w:tcW w:w="1973"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552"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Ispitanici (%) kod kojih je postignut:</w:t>
            </w:r>
          </w:p>
          <w:p w:rsidR="00381844" w:rsidRPr="00AD2361" w:rsidRDefault="004529E0" w:rsidP="00AD2361">
            <w:pPr>
              <w:widowControl w:val="0"/>
              <w:tabs>
                <w:tab w:val="clear" w:pos="567"/>
                <w:tab w:val="left" w:pos="0"/>
              </w:tabs>
              <w:spacing w:line="240" w:lineRule="auto"/>
              <w:rPr>
                <w:szCs w:val="22"/>
                <w:lang w:val="sr-Latn-ME"/>
              </w:rPr>
            </w:pPr>
            <w:r w:rsidRPr="00AD2361">
              <w:rPr>
                <w:b/>
                <w:szCs w:val="22"/>
                <w:lang w:val="sr-Latn-ME"/>
              </w:rPr>
              <w:t>HbA1c &lt; 7%</w:t>
            </w:r>
          </w:p>
        </w:tc>
        <w:tc>
          <w:tcPr>
            <w:tcW w:w="1475"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598" w:type="dxa"/>
            <w:gridSpan w:val="2"/>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56" w:type="dxa"/>
            <w:tcBorders>
              <w:top w:val="single" w:sz="4" w:space="0" w:color="auto"/>
              <w:left w:val="nil"/>
              <w:bottom w:val="nil"/>
              <w:right w:val="nil"/>
            </w:tcBorders>
            <w:shd w:val="clear" w:color="auto" w:fill="auto"/>
            <w:vAlign w:val="bottom"/>
          </w:tcPr>
          <w:p w:rsidR="00381844" w:rsidRPr="00AD2361" w:rsidRDefault="00381844" w:rsidP="00AD2361">
            <w:pPr>
              <w:widowControl w:val="0"/>
              <w:tabs>
                <w:tab w:val="clear" w:pos="567"/>
                <w:tab w:val="left" w:pos="0"/>
              </w:tabs>
              <w:spacing w:line="240" w:lineRule="auto"/>
              <w:jc w:val="center"/>
              <w:rPr>
                <w:szCs w:val="22"/>
                <w:lang w:val="sr-Latn-ME"/>
              </w:rPr>
            </w:pPr>
          </w:p>
        </w:tc>
        <w:tc>
          <w:tcPr>
            <w:tcW w:w="1973" w:type="dxa"/>
            <w:tcBorders>
              <w:top w:val="single" w:sz="4" w:space="0" w:color="auto"/>
              <w:left w:val="nil"/>
              <w:bottom w:val="nil"/>
              <w:right w:val="nil"/>
            </w:tcBorders>
            <w:shd w:val="clear" w:color="auto" w:fill="auto"/>
            <w:vAlign w:val="bottom"/>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552"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Prilagođeno za početnu vrijednost</w:t>
            </w:r>
          </w:p>
        </w:tc>
        <w:tc>
          <w:tcPr>
            <w:tcW w:w="1475"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40,6</w:t>
            </w:r>
            <w:r w:rsidRPr="00AD2361">
              <w:rPr>
                <w:szCs w:val="22"/>
                <w:vertAlign w:val="superscript"/>
                <w:lang w:val="sr-Latn-ME"/>
              </w:rPr>
              <w:t>**</w:t>
            </w:r>
          </w:p>
        </w:tc>
        <w:tc>
          <w:tcPr>
            <w:tcW w:w="1598" w:type="dxa"/>
            <w:gridSpan w:val="2"/>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25,9</w:t>
            </w:r>
          </w:p>
        </w:tc>
        <w:tc>
          <w:tcPr>
            <w:tcW w:w="1956"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73"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552"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b/>
                <w:szCs w:val="22"/>
                <w:lang w:val="sr-Latn-ME"/>
              </w:rPr>
              <w:t>Tjelesna masa (kg)</w:t>
            </w:r>
          </w:p>
        </w:tc>
        <w:tc>
          <w:tcPr>
            <w:tcW w:w="1475"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598" w:type="dxa"/>
            <w:gridSpan w:val="2"/>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56"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73"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552"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Početna vrijednost (srednja)</w:t>
            </w:r>
          </w:p>
        </w:tc>
        <w:tc>
          <w:tcPr>
            <w:tcW w:w="1475"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86,28</w:t>
            </w:r>
          </w:p>
        </w:tc>
        <w:tc>
          <w:tcPr>
            <w:tcW w:w="1598" w:type="dxa"/>
            <w:gridSpan w:val="2"/>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87,74</w:t>
            </w:r>
          </w:p>
        </w:tc>
        <w:tc>
          <w:tcPr>
            <w:tcW w:w="1956"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91,02</w:t>
            </w:r>
          </w:p>
        </w:tc>
        <w:tc>
          <w:tcPr>
            <w:tcW w:w="1973"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89,23</w:t>
            </w:r>
          </w:p>
        </w:tc>
      </w:tr>
      <w:tr w:rsidR="00381844" w:rsidRPr="00AD2361">
        <w:tc>
          <w:tcPr>
            <w:tcW w:w="2552"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1475"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-2,86</w:t>
            </w:r>
          </w:p>
        </w:tc>
        <w:tc>
          <w:tcPr>
            <w:tcW w:w="1598" w:type="dxa"/>
            <w:gridSpan w:val="2"/>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-0,89</w:t>
            </w:r>
          </w:p>
        </w:tc>
        <w:tc>
          <w:tcPr>
            <w:tcW w:w="1956"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-2,14</w:t>
            </w:r>
          </w:p>
        </w:tc>
        <w:tc>
          <w:tcPr>
            <w:tcW w:w="1973"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-0,26</w:t>
            </w:r>
          </w:p>
        </w:tc>
      </w:tr>
      <w:tr w:rsidR="00381844" w:rsidRPr="00AD2361">
        <w:tc>
          <w:tcPr>
            <w:tcW w:w="2552"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placebo</w:t>
            </w:r>
            <w:r w:rsidRPr="00AD2361">
              <w:rPr>
                <w:szCs w:val="22"/>
                <w:vertAlign w:val="superscript"/>
                <w:lang w:val="sr-Latn-ME"/>
              </w:rPr>
              <w:t>c</w:t>
            </w:r>
          </w:p>
        </w:tc>
        <w:tc>
          <w:tcPr>
            <w:tcW w:w="1475"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-1,97</w:t>
            </w:r>
            <w:r w:rsidRPr="00AD2361">
              <w:rPr>
                <w:szCs w:val="22"/>
                <w:vertAlign w:val="superscript"/>
                <w:lang w:val="sr-Latn-ME"/>
              </w:rPr>
              <w:t>*</w:t>
            </w:r>
          </w:p>
        </w:tc>
        <w:tc>
          <w:tcPr>
            <w:tcW w:w="1598" w:type="dxa"/>
            <w:gridSpan w:val="2"/>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56"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-1,89</w:t>
            </w:r>
            <w:r w:rsidRPr="00AD2361">
              <w:rPr>
                <w:szCs w:val="22"/>
                <w:vertAlign w:val="superscript"/>
                <w:lang w:val="sr-Latn-ME"/>
              </w:rPr>
              <w:t>*</w:t>
            </w:r>
          </w:p>
        </w:tc>
        <w:tc>
          <w:tcPr>
            <w:tcW w:w="1973"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552"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1475"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(-2,63; -1,31)</w:t>
            </w:r>
          </w:p>
        </w:tc>
        <w:tc>
          <w:tcPr>
            <w:tcW w:w="1598" w:type="dxa"/>
            <w:gridSpan w:val="2"/>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56"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(-2,37; -1,40)</w:t>
            </w:r>
          </w:p>
        </w:tc>
        <w:tc>
          <w:tcPr>
            <w:tcW w:w="1973"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bl>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1</w:t>
      </w:r>
      <w:r w:rsidRPr="00AD2361">
        <w:rPr>
          <w:sz w:val="18"/>
          <w:szCs w:val="22"/>
          <w:lang w:val="sr-Latn-ME"/>
        </w:rPr>
        <w:t xml:space="preserve"> Metformin ≥ 1500 mg dnevno</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2</w:t>
      </w:r>
      <w:r w:rsidRPr="00AD2361">
        <w:rPr>
          <w:sz w:val="18"/>
          <w:szCs w:val="22"/>
          <w:lang w:val="sr-Latn-ME"/>
        </w:rPr>
        <w:t xml:space="preserve"> Sitagliptin 100 mg dnevno</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a</w:t>
      </w:r>
      <w:r w:rsidRPr="00AD2361">
        <w:rPr>
          <w:sz w:val="18"/>
          <w:szCs w:val="22"/>
          <w:lang w:val="sr-Latn-ME"/>
        </w:rPr>
        <w:t xml:space="preserve"> LOCF (eng. </w:t>
      </w:r>
      <w:r w:rsidRPr="00AD2361">
        <w:rPr>
          <w:i/>
          <w:sz w:val="18"/>
          <w:szCs w:val="22"/>
          <w:lang w:val="sr-Latn-ME"/>
        </w:rPr>
        <w:t>Last Observation Carried Forward</w:t>
      </w:r>
      <w:r w:rsidRPr="00AD2361">
        <w:rPr>
          <w:sz w:val="18"/>
          <w:szCs w:val="22"/>
          <w:lang w:val="sr-Latn-ME"/>
        </w:rPr>
        <w:t>): Prenos posljednjih zabilježenih vrijednosti (prije primjene terapije za hitnu regulaciju neregulisane glikemije kod ispitanika kod kojih je ista primijenjena)</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b</w:t>
      </w:r>
      <w:r w:rsidRPr="00AD2361">
        <w:rPr>
          <w:sz w:val="18"/>
          <w:szCs w:val="22"/>
          <w:lang w:val="sr-Latn-ME"/>
        </w:rPr>
        <w:t xml:space="preserve"> Svi randomizovani ispitanici koji su uzeli najmanje jednu dozu lijeka iz dvostruko-slijepe studije tokom kratkotrajnog dvostruko-slijepog perioda</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c</w:t>
      </w:r>
      <w:r w:rsidRPr="00AD2361">
        <w:rPr>
          <w:sz w:val="18"/>
          <w:szCs w:val="22"/>
          <w:lang w:val="sr-Latn-ME"/>
        </w:rPr>
        <w:t xml:space="preserve"> Srednja vrijednost najmanjih kvadrata prilagođena za početnu vrijednost</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w:t>
      </w:r>
      <w:r w:rsidRPr="00AD2361">
        <w:rPr>
          <w:sz w:val="18"/>
          <w:szCs w:val="22"/>
          <w:lang w:val="sr-Latn-ME"/>
        </w:rPr>
        <w:t xml:space="preserve"> p-vrijednost &lt; 0,0001 u odnosu na placebo + oralni lijek za smanjenje koncentracije glukoze</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w:t>
      </w:r>
      <w:r w:rsidRPr="00AD2361">
        <w:rPr>
          <w:sz w:val="18"/>
          <w:szCs w:val="22"/>
          <w:lang w:val="sr-Latn-ME"/>
        </w:rPr>
        <w:t xml:space="preserve"> p-vrijednost &lt; 0,05 u odnosu na placebo + oralni lijek za smanjenje koncentracije glukoze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b/>
          <w:bCs/>
          <w:szCs w:val="22"/>
          <w:lang w:val="sr-Latn-ME"/>
        </w:rPr>
      </w:pPr>
      <w:r w:rsidRPr="00AD2361">
        <w:rPr>
          <w:b/>
          <w:bCs/>
          <w:szCs w:val="22"/>
          <w:lang w:val="sr-Latn-ME"/>
        </w:rPr>
        <w:t>Tabela 5. Rezultati 24-nedjeljne placebom-kontrolisane studije dapagliflozina kao dodatka u kombinovanoj terapiji sa sulfonilureom (glimepiridom) ili metforminom i sulfonilureom</w:t>
      </w:r>
    </w:p>
    <w:p w:rsidR="00381844" w:rsidRPr="00AD2361" w:rsidRDefault="00381844" w:rsidP="00AD2361">
      <w:pPr>
        <w:widowControl w:val="0"/>
        <w:tabs>
          <w:tab w:val="clear" w:pos="567"/>
          <w:tab w:val="left" w:pos="0"/>
        </w:tabs>
        <w:spacing w:line="240" w:lineRule="auto"/>
        <w:rPr>
          <w:szCs w:val="22"/>
          <w:lang w:val="sr-Latn-ME"/>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75"/>
        <w:gridCol w:w="288"/>
        <w:gridCol w:w="1285"/>
        <w:gridCol w:w="1937"/>
        <w:gridCol w:w="1933"/>
      </w:tblGrid>
      <w:tr w:rsidR="00381844" w:rsidRPr="00AD2361">
        <w:tc>
          <w:tcPr>
            <w:tcW w:w="2835" w:type="dxa"/>
            <w:tcBorders>
              <w:top w:val="single" w:sz="4" w:space="0" w:color="auto"/>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rPr>
                <w:b/>
                <w:szCs w:val="22"/>
                <w:lang w:val="sr-Latn-ME"/>
              </w:rPr>
            </w:pPr>
          </w:p>
        </w:tc>
        <w:tc>
          <w:tcPr>
            <w:tcW w:w="1763" w:type="dxa"/>
            <w:gridSpan w:val="2"/>
            <w:tcBorders>
              <w:top w:val="single" w:sz="4" w:space="0" w:color="auto"/>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rPr>
                <w:b/>
                <w:szCs w:val="22"/>
                <w:lang w:val="sr-Latn-ME"/>
              </w:rPr>
            </w:pPr>
          </w:p>
        </w:tc>
        <w:tc>
          <w:tcPr>
            <w:tcW w:w="5155" w:type="dxa"/>
            <w:gridSpan w:val="3"/>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 xml:space="preserve"> Dodatak u kombinovanoj terapiji</w:t>
            </w:r>
          </w:p>
        </w:tc>
      </w:tr>
      <w:tr w:rsidR="00381844" w:rsidRPr="00AD2361">
        <w:tc>
          <w:tcPr>
            <w:tcW w:w="2835" w:type="dxa"/>
            <w:tcBorders>
              <w:top w:val="single" w:sz="4" w:space="0" w:color="auto"/>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3048" w:type="dxa"/>
            <w:gridSpan w:val="3"/>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vertAlign w:val="superscript"/>
                <w:lang w:val="sr-Latn-ME"/>
              </w:rPr>
            </w:pPr>
            <w:r w:rsidRPr="00AD2361">
              <w:rPr>
                <w:b/>
                <w:szCs w:val="22"/>
                <w:lang w:val="sr-Latn-ME"/>
              </w:rPr>
              <w:t>Sulfonilurea</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(glimepirid</w:t>
            </w:r>
            <w:r w:rsidRPr="00AD2361">
              <w:rPr>
                <w:szCs w:val="22"/>
                <w:vertAlign w:val="superscript"/>
                <w:lang w:val="sr-Latn-ME"/>
              </w:rPr>
              <w:t>1</w:t>
            </w:r>
            <w:r w:rsidRPr="00AD2361">
              <w:rPr>
                <w:b/>
                <w:szCs w:val="22"/>
                <w:lang w:val="sr-Latn-ME"/>
              </w:rPr>
              <w:t>)</w:t>
            </w:r>
          </w:p>
        </w:tc>
        <w:tc>
          <w:tcPr>
            <w:tcW w:w="3870" w:type="dxa"/>
            <w:gridSpan w:val="2"/>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Sulfonilurea</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 metformin</w:t>
            </w:r>
            <w:r w:rsidRPr="00AD2361">
              <w:rPr>
                <w:szCs w:val="22"/>
                <w:vertAlign w:val="superscript"/>
                <w:lang w:val="sr-Latn-ME"/>
              </w:rPr>
              <w:t>2</w:t>
            </w:r>
          </w:p>
        </w:tc>
      </w:tr>
      <w:tr w:rsidR="00381844" w:rsidRPr="00AD2361">
        <w:tc>
          <w:tcPr>
            <w:tcW w:w="2835" w:type="dxa"/>
            <w:tcBorders>
              <w:top w:val="single" w:sz="4" w:space="0" w:color="auto"/>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rPr>
                <w:szCs w:val="22"/>
                <w:lang w:val="sr-Latn-ME"/>
              </w:rPr>
            </w:pPr>
          </w:p>
        </w:tc>
        <w:tc>
          <w:tcPr>
            <w:tcW w:w="1475"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Dapagliflozin</w:t>
            </w:r>
          </w:p>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10 mg</w:t>
            </w:r>
          </w:p>
        </w:tc>
        <w:tc>
          <w:tcPr>
            <w:tcW w:w="1573" w:type="dxa"/>
            <w:gridSpan w:val="2"/>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Placebo</w:t>
            </w:r>
          </w:p>
        </w:tc>
        <w:tc>
          <w:tcPr>
            <w:tcW w:w="1937"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Dapagliflozin</w:t>
            </w:r>
          </w:p>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10 mg</w:t>
            </w:r>
          </w:p>
        </w:tc>
        <w:tc>
          <w:tcPr>
            <w:tcW w:w="1933"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Placebo</w:t>
            </w:r>
          </w:p>
        </w:tc>
      </w:tr>
      <w:tr w:rsidR="00381844" w:rsidRPr="00AD2361">
        <w:tc>
          <w:tcPr>
            <w:tcW w:w="2835"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b/>
                <w:szCs w:val="22"/>
                <w:lang w:val="sr-Latn-ME"/>
              </w:rPr>
              <w:t>N</w:t>
            </w:r>
            <w:r w:rsidRPr="00AD2361">
              <w:rPr>
                <w:szCs w:val="22"/>
                <w:vertAlign w:val="superscript"/>
                <w:lang w:val="sr-Latn-ME"/>
              </w:rPr>
              <w:t>a</w:t>
            </w:r>
          </w:p>
        </w:tc>
        <w:tc>
          <w:tcPr>
            <w:tcW w:w="1475"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151</w:t>
            </w:r>
          </w:p>
        </w:tc>
        <w:tc>
          <w:tcPr>
            <w:tcW w:w="1573" w:type="dxa"/>
            <w:gridSpan w:val="2"/>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145</w:t>
            </w:r>
          </w:p>
        </w:tc>
        <w:tc>
          <w:tcPr>
            <w:tcW w:w="1937"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108</w:t>
            </w:r>
          </w:p>
        </w:tc>
        <w:tc>
          <w:tcPr>
            <w:tcW w:w="1933"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108</w:t>
            </w:r>
          </w:p>
        </w:tc>
      </w:tr>
      <w:tr w:rsidR="00381844" w:rsidRPr="00AD2361">
        <w:tc>
          <w:tcPr>
            <w:tcW w:w="2835"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HbA1c (%)</w:t>
            </w:r>
            <w:r w:rsidRPr="00AD2361">
              <w:rPr>
                <w:szCs w:val="22"/>
                <w:vertAlign w:val="superscript"/>
                <w:lang w:val="sr-Latn-ME"/>
              </w:rPr>
              <w:t>b</w:t>
            </w:r>
          </w:p>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Početna vrijednost (srednja)</w:t>
            </w:r>
          </w:p>
        </w:tc>
        <w:tc>
          <w:tcPr>
            <w:tcW w:w="1475"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8,07</w:t>
            </w:r>
          </w:p>
        </w:tc>
        <w:tc>
          <w:tcPr>
            <w:tcW w:w="1573" w:type="dxa"/>
            <w:gridSpan w:val="2"/>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8,15</w:t>
            </w:r>
          </w:p>
        </w:tc>
        <w:tc>
          <w:tcPr>
            <w:tcW w:w="1937"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8,08</w:t>
            </w:r>
          </w:p>
        </w:tc>
        <w:tc>
          <w:tcPr>
            <w:tcW w:w="1933"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8,24</w:t>
            </w:r>
          </w:p>
        </w:tc>
      </w:tr>
      <w:tr w:rsidR="00381844" w:rsidRPr="00AD2361">
        <w:trPr>
          <w:trHeight w:val="332"/>
        </w:trPr>
        <w:tc>
          <w:tcPr>
            <w:tcW w:w="2835"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1475"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-0,82</w:t>
            </w:r>
          </w:p>
        </w:tc>
        <w:tc>
          <w:tcPr>
            <w:tcW w:w="1573" w:type="dxa"/>
            <w:gridSpan w:val="2"/>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-0,13</w:t>
            </w:r>
          </w:p>
        </w:tc>
        <w:tc>
          <w:tcPr>
            <w:tcW w:w="1937"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-0,86</w:t>
            </w:r>
          </w:p>
        </w:tc>
        <w:tc>
          <w:tcPr>
            <w:tcW w:w="1933"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-0,17</w:t>
            </w:r>
          </w:p>
        </w:tc>
      </w:tr>
      <w:tr w:rsidR="00381844" w:rsidRPr="00AD2361">
        <w:trPr>
          <w:trHeight w:val="254"/>
        </w:trPr>
        <w:tc>
          <w:tcPr>
            <w:tcW w:w="2835"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placebo</w:t>
            </w:r>
            <w:r w:rsidRPr="00AD2361">
              <w:rPr>
                <w:szCs w:val="22"/>
                <w:vertAlign w:val="superscript"/>
                <w:lang w:val="sr-Latn-ME"/>
              </w:rPr>
              <w:t>c</w:t>
            </w:r>
          </w:p>
        </w:tc>
        <w:tc>
          <w:tcPr>
            <w:tcW w:w="1475"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-0,68</w:t>
            </w:r>
            <w:r w:rsidRPr="00AD2361">
              <w:rPr>
                <w:szCs w:val="22"/>
                <w:vertAlign w:val="superscript"/>
                <w:lang w:val="sr-Latn-ME"/>
              </w:rPr>
              <w:t>*</w:t>
            </w:r>
          </w:p>
        </w:tc>
        <w:tc>
          <w:tcPr>
            <w:tcW w:w="1573" w:type="dxa"/>
            <w:gridSpan w:val="2"/>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37"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-0,69</w:t>
            </w:r>
            <w:r w:rsidRPr="00AD2361">
              <w:rPr>
                <w:szCs w:val="22"/>
                <w:vertAlign w:val="superscript"/>
                <w:lang w:val="sr-Latn-ME"/>
              </w:rPr>
              <w:t>*</w:t>
            </w:r>
          </w:p>
        </w:tc>
        <w:tc>
          <w:tcPr>
            <w:tcW w:w="1933"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835"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1475"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(-0,86; -0,51)</w:t>
            </w:r>
          </w:p>
        </w:tc>
        <w:tc>
          <w:tcPr>
            <w:tcW w:w="1573" w:type="dxa"/>
            <w:gridSpan w:val="2"/>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37"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(-0,89; -0,49)</w:t>
            </w:r>
          </w:p>
        </w:tc>
        <w:tc>
          <w:tcPr>
            <w:tcW w:w="1933"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835"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Ispitanici (%) kod kojih je postignut:</w:t>
            </w:r>
          </w:p>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b/>
                <w:szCs w:val="22"/>
                <w:lang w:val="sr-Latn-ME"/>
              </w:rPr>
              <w:t>HbA1c &lt; 7% (LOCF)</w:t>
            </w:r>
            <w:r w:rsidRPr="00AD2361">
              <w:rPr>
                <w:szCs w:val="22"/>
                <w:vertAlign w:val="superscript"/>
                <w:lang w:val="sr-Latn-ME"/>
              </w:rPr>
              <w:t>d</w:t>
            </w:r>
          </w:p>
        </w:tc>
        <w:tc>
          <w:tcPr>
            <w:tcW w:w="1475"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573" w:type="dxa"/>
            <w:gridSpan w:val="2"/>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37" w:type="dxa"/>
            <w:tcBorders>
              <w:top w:val="single" w:sz="4" w:space="0" w:color="auto"/>
              <w:left w:val="nil"/>
              <w:bottom w:val="nil"/>
              <w:right w:val="nil"/>
            </w:tcBorders>
            <w:shd w:val="clear" w:color="auto" w:fill="auto"/>
            <w:vAlign w:val="bottom"/>
          </w:tcPr>
          <w:p w:rsidR="00381844" w:rsidRPr="00AD2361" w:rsidRDefault="00381844" w:rsidP="00AD2361">
            <w:pPr>
              <w:widowControl w:val="0"/>
              <w:tabs>
                <w:tab w:val="clear" w:pos="567"/>
                <w:tab w:val="left" w:pos="0"/>
              </w:tabs>
              <w:spacing w:line="240" w:lineRule="auto"/>
              <w:jc w:val="center"/>
              <w:rPr>
                <w:szCs w:val="22"/>
                <w:lang w:val="sr-Latn-ME"/>
              </w:rPr>
            </w:pPr>
          </w:p>
        </w:tc>
        <w:tc>
          <w:tcPr>
            <w:tcW w:w="1933" w:type="dxa"/>
            <w:tcBorders>
              <w:top w:val="single" w:sz="4" w:space="0" w:color="auto"/>
              <w:left w:val="nil"/>
              <w:bottom w:val="nil"/>
              <w:right w:val="nil"/>
            </w:tcBorders>
            <w:shd w:val="clear" w:color="auto" w:fill="auto"/>
            <w:vAlign w:val="bottom"/>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835"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Prilagođeno za početnu vrijednost</w:t>
            </w:r>
          </w:p>
        </w:tc>
        <w:tc>
          <w:tcPr>
            <w:tcW w:w="1475"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31,7</w:t>
            </w:r>
            <w:r w:rsidRPr="00AD2361">
              <w:rPr>
                <w:szCs w:val="22"/>
                <w:vertAlign w:val="superscript"/>
                <w:lang w:val="sr-Latn-ME"/>
              </w:rPr>
              <w:t>*</w:t>
            </w:r>
          </w:p>
        </w:tc>
        <w:tc>
          <w:tcPr>
            <w:tcW w:w="1573" w:type="dxa"/>
            <w:gridSpan w:val="2"/>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13,0</w:t>
            </w:r>
          </w:p>
        </w:tc>
        <w:tc>
          <w:tcPr>
            <w:tcW w:w="1937"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31,8</w:t>
            </w:r>
            <w:r w:rsidRPr="00AD2361">
              <w:rPr>
                <w:szCs w:val="22"/>
                <w:vertAlign w:val="superscript"/>
                <w:lang w:val="sr-Latn-ME"/>
              </w:rPr>
              <w:t>*</w:t>
            </w:r>
          </w:p>
        </w:tc>
        <w:tc>
          <w:tcPr>
            <w:tcW w:w="1933"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11,1</w:t>
            </w:r>
          </w:p>
        </w:tc>
      </w:tr>
      <w:tr w:rsidR="00381844" w:rsidRPr="00AD2361">
        <w:tc>
          <w:tcPr>
            <w:tcW w:w="2835"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b/>
                <w:szCs w:val="22"/>
                <w:lang w:val="sr-Latn-ME"/>
              </w:rPr>
              <w:t>Tjelesna masa (kg) (LOCF)</w:t>
            </w:r>
            <w:r w:rsidRPr="00AD2361">
              <w:rPr>
                <w:b/>
                <w:szCs w:val="22"/>
                <w:vertAlign w:val="superscript"/>
                <w:lang w:val="sr-Latn-ME"/>
              </w:rPr>
              <w:t>d</w:t>
            </w:r>
          </w:p>
        </w:tc>
        <w:tc>
          <w:tcPr>
            <w:tcW w:w="1475"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573" w:type="dxa"/>
            <w:gridSpan w:val="2"/>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37"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33"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835"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Početna vrijednost (srednja)</w:t>
            </w:r>
          </w:p>
        </w:tc>
        <w:tc>
          <w:tcPr>
            <w:tcW w:w="1475"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80,56</w:t>
            </w:r>
          </w:p>
        </w:tc>
        <w:tc>
          <w:tcPr>
            <w:tcW w:w="1573" w:type="dxa"/>
            <w:gridSpan w:val="2"/>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80,94</w:t>
            </w:r>
          </w:p>
        </w:tc>
        <w:tc>
          <w:tcPr>
            <w:tcW w:w="1937"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88,57</w:t>
            </w:r>
          </w:p>
        </w:tc>
        <w:tc>
          <w:tcPr>
            <w:tcW w:w="1933"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90,07</w:t>
            </w:r>
          </w:p>
        </w:tc>
      </w:tr>
      <w:tr w:rsidR="00381844" w:rsidRPr="00AD2361">
        <w:tc>
          <w:tcPr>
            <w:tcW w:w="2835"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1475"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-2,26</w:t>
            </w:r>
          </w:p>
        </w:tc>
        <w:tc>
          <w:tcPr>
            <w:tcW w:w="1573" w:type="dxa"/>
            <w:gridSpan w:val="2"/>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-0,72</w:t>
            </w:r>
          </w:p>
        </w:tc>
        <w:tc>
          <w:tcPr>
            <w:tcW w:w="1937"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-2,65</w:t>
            </w:r>
          </w:p>
        </w:tc>
        <w:tc>
          <w:tcPr>
            <w:tcW w:w="1933"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-0,58</w:t>
            </w:r>
          </w:p>
        </w:tc>
      </w:tr>
      <w:tr w:rsidR="00381844" w:rsidRPr="00AD2361">
        <w:tc>
          <w:tcPr>
            <w:tcW w:w="2835"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placebo</w:t>
            </w:r>
            <w:r w:rsidRPr="00AD2361">
              <w:rPr>
                <w:szCs w:val="22"/>
                <w:vertAlign w:val="superscript"/>
                <w:lang w:val="sr-Latn-ME"/>
              </w:rPr>
              <w:t>c</w:t>
            </w:r>
          </w:p>
        </w:tc>
        <w:tc>
          <w:tcPr>
            <w:tcW w:w="1475"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-1,54</w:t>
            </w:r>
            <w:r w:rsidRPr="00AD2361">
              <w:rPr>
                <w:szCs w:val="22"/>
                <w:vertAlign w:val="superscript"/>
                <w:lang w:val="sr-Latn-ME"/>
              </w:rPr>
              <w:t>*</w:t>
            </w:r>
          </w:p>
        </w:tc>
        <w:tc>
          <w:tcPr>
            <w:tcW w:w="1573" w:type="dxa"/>
            <w:gridSpan w:val="2"/>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37"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-2,07</w:t>
            </w:r>
            <w:r w:rsidRPr="00AD2361">
              <w:rPr>
                <w:szCs w:val="22"/>
                <w:vertAlign w:val="superscript"/>
                <w:lang w:val="sr-Latn-ME"/>
              </w:rPr>
              <w:t>*</w:t>
            </w:r>
          </w:p>
        </w:tc>
        <w:tc>
          <w:tcPr>
            <w:tcW w:w="1933"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835"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1475"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(-2,17; -0,92)</w:t>
            </w:r>
          </w:p>
        </w:tc>
        <w:tc>
          <w:tcPr>
            <w:tcW w:w="1573" w:type="dxa"/>
            <w:gridSpan w:val="2"/>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937"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(-2,79; -1,35)</w:t>
            </w:r>
          </w:p>
        </w:tc>
        <w:tc>
          <w:tcPr>
            <w:tcW w:w="1933"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bl>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1</w:t>
      </w:r>
      <w:r w:rsidRPr="00AD2361">
        <w:rPr>
          <w:sz w:val="18"/>
          <w:szCs w:val="22"/>
          <w:lang w:val="sr-Latn-ME"/>
        </w:rPr>
        <w:t xml:space="preserve"> Glimepirid 4 mg/dan</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2</w:t>
      </w:r>
      <w:r w:rsidRPr="00AD2361">
        <w:rPr>
          <w:sz w:val="18"/>
          <w:szCs w:val="22"/>
          <w:lang w:val="sr-Latn-ME"/>
        </w:rPr>
        <w:t xml:space="preserve"> Metformin (formulacije sa trenutnim ili produženim dejstvom) ≥1500 mg dnevno u kombinaciji sa maksimalnom podnošljivom dozom sulfoniluree, koja mora iznositi najmanje pola maksimalne doze, u periodu od najmanje 8 nedjelja prije uključivanja</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a</w:t>
      </w:r>
      <w:r w:rsidRPr="00AD2361">
        <w:rPr>
          <w:sz w:val="18"/>
          <w:szCs w:val="22"/>
          <w:lang w:val="sr-Latn-ME"/>
        </w:rPr>
        <w:t xml:space="preserve"> Randomizovani i liječeni ispitanici kod kojih je sprovedeno mjerenje efikasnosti na početku studije i najmanje jedno mjerenje nakon početka studije</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b</w:t>
      </w:r>
      <w:r w:rsidRPr="00AD2361">
        <w:rPr>
          <w:sz w:val="18"/>
          <w:szCs w:val="22"/>
          <w:lang w:val="sr-Latn-ME"/>
        </w:rPr>
        <w:t xml:space="preserve"> Kolone 1 i 2, HbA1c analiziran pomoću LOCF (vidjeti fusnotu d); kolone 3 i 4, HbA1c analiziran pomoću LRM (vidjeti fusnotu e)</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c</w:t>
      </w:r>
      <w:r w:rsidRPr="00AD2361">
        <w:rPr>
          <w:sz w:val="18"/>
          <w:szCs w:val="22"/>
          <w:lang w:val="sr-Latn-ME"/>
        </w:rPr>
        <w:t xml:space="preserve"> Srednja vrijednost najmanjih kvadrata prilagođena za početnu vrijednost</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d</w:t>
      </w:r>
      <w:r w:rsidRPr="00AD2361">
        <w:rPr>
          <w:sz w:val="18"/>
          <w:szCs w:val="22"/>
          <w:lang w:val="sr-Latn-ME"/>
        </w:rPr>
        <w:t xml:space="preserve"> LOCF (eng. </w:t>
      </w:r>
      <w:r w:rsidRPr="00AD2361">
        <w:rPr>
          <w:i/>
          <w:sz w:val="18"/>
          <w:szCs w:val="22"/>
          <w:lang w:val="sr-Latn-ME"/>
        </w:rPr>
        <w:t>Last Observation Carried Forward</w:t>
      </w:r>
      <w:r w:rsidRPr="00AD2361">
        <w:rPr>
          <w:sz w:val="18"/>
          <w:szCs w:val="22"/>
          <w:lang w:val="sr-Latn-ME"/>
        </w:rPr>
        <w:t>): Prenos posljednjih zabilježenih vrijednosti (prije primjene terapije za hitnu regulaciju neregulisane glikemije kod ispitanika kod kojih je ista primijenjena)</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e</w:t>
      </w:r>
      <w:r w:rsidRPr="00AD2361">
        <w:rPr>
          <w:sz w:val="18"/>
          <w:szCs w:val="22"/>
          <w:lang w:val="sr-Latn-ME"/>
        </w:rPr>
        <w:t xml:space="preserve"> LRM (eng. </w:t>
      </w:r>
      <w:r w:rsidRPr="00AD2361">
        <w:rPr>
          <w:i/>
          <w:sz w:val="18"/>
          <w:szCs w:val="22"/>
          <w:lang w:val="sr-Latn-ME"/>
        </w:rPr>
        <w:t>Longitudinal Repeated Measures</w:t>
      </w:r>
      <w:r w:rsidRPr="00AD2361">
        <w:rPr>
          <w:sz w:val="18"/>
          <w:szCs w:val="22"/>
          <w:lang w:val="sr-Latn-ME"/>
        </w:rPr>
        <w:t>): Longitudinalna analiza ponovljenih mjerenja</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w:t>
      </w:r>
      <w:r w:rsidRPr="00AD2361">
        <w:rPr>
          <w:sz w:val="18"/>
          <w:szCs w:val="22"/>
          <w:lang w:val="sr-Latn-ME"/>
        </w:rPr>
        <w:t xml:space="preserve"> p-vrijednost &lt; 0,0001 u odnosu na placebo + oralni lijek za smanjivanje koncentracije glukoze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b/>
          <w:szCs w:val="22"/>
          <w:lang w:val="sr-Latn-ME"/>
        </w:rPr>
      </w:pPr>
      <w:r w:rsidRPr="00AD2361">
        <w:rPr>
          <w:b/>
          <w:szCs w:val="22"/>
          <w:lang w:val="sr-Latn-ME"/>
        </w:rPr>
        <w:t>Tabela 6. Rezultati u 24. nedjelji (LOCF</w:t>
      </w:r>
      <w:r w:rsidRPr="00AD2361">
        <w:rPr>
          <w:b/>
          <w:szCs w:val="22"/>
          <w:vertAlign w:val="superscript"/>
          <w:lang w:val="sr-Latn-ME"/>
        </w:rPr>
        <w:t>a</w:t>
      </w:r>
      <w:r w:rsidRPr="00AD2361">
        <w:rPr>
          <w:b/>
          <w:szCs w:val="22"/>
          <w:lang w:val="sr-Latn-ME"/>
        </w:rPr>
        <w:t>) placebom-kontrolisane studije dapagliflozina u kombinaciji sa insulinom (samostalno ili sa oralnim ljekovima za smanjivanje koncentracije glukoze)</w:t>
      </w:r>
    </w:p>
    <w:p w:rsidR="00381844" w:rsidRPr="00AD2361" w:rsidRDefault="00381844" w:rsidP="00AD2361">
      <w:pPr>
        <w:widowControl w:val="0"/>
        <w:tabs>
          <w:tab w:val="clear" w:pos="567"/>
          <w:tab w:val="left" w:pos="0"/>
        </w:tabs>
        <w:spacing w:line="240" w:lineRule="auto"/>
        <w:rPr>
          <w:b/>
          <w:szCs w:val="22"/>
          <w:lang w:val="sr-Latn-ME"/>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020"/>
        <w:gridCol w:w="3021"/>
      </w:tblGrid>
      <w:tr w:rsidR="00381844" w:rsidRPr="00AD2361">
        <w:tc>
          <w:tcPr>
            <w:tcW w:w="3261"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Parametar</w:t>
            </w:r>
          </w:p>
        </w:tc>
        <w:tc>
          <w:tcPr>
            <w:tcW w:w="3020"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Dapagliflozin 10 mg</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 insulin</w:t>
            </w:r>
          </w:p>
          <w:p w:rsidR="00381844" w:rsidRPr="00AD2361" w:rsidRDefault="004529E0" w:rsidP="00AD2361">
            <w:pPr>
              <w:widowControl w:val="0"/>
              <w:tabs>
                <w:tab w:val="clear" w:pos="567"/>
                <w:tab w:val="left" w:pos="0"/>
              </w:tabs>
              <w:spacing w:line="240" w:lineRule="auto"/>
              <w:jc w:val="center"/>
              <w:rPr>
                <w:b/>
                <w:szCs w:val="22"/>
                <w:vertAlign w:val="superscript"/>
                <w:lang w:val="sr-Latn-ME"/>
              </w:rPr>
            </w:pPr>
            <w:r w:rsidRPr="00AD2361">
              <w:rPr>
                <w:b/>
                <w:szCs w:val="22"/>
                <w:lang w:val="sr-Latn-ME"/>
              </w:rPr>
              <w:t>± oralni ljekovi za smanjivanje koncentracije glukoze</w:t>
            </w:r>
            <w:r w:rsidRPr="00AD2361">
              <w:rPr>
                <w:szCs w:val="22"/>
                <w:vertAlign w:val="superscript"/>
                <w:lang w:val="sr-Latn-ME"/>
              </w:rPr>
              <w:t>2</w:t>
            </w:r>
          </w:p>
        </w:tc>
        <w:tc>
          <w:tcPr>
            <w:tcW w:w="3021"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Placebo</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 insulin</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 oralni ljekovi za smanjivanje koncentracije glukoze</w:t>
            </w:r>
            <w:r w:rsidRPr="00AD2361">
              <w:rPr>
                <w:szCs w:val="22"/>
                <w:vertAlign w:val="superscript"/>
                <w:lang w:val="sr-Latn-ME"/>
              </w:rPr>
              <w:t>2</w:t>
            </w:r>
          </w:p>
        </w:tc>
      </w:tr>
      <w:tr w:rsidR="00381844" w:rsidRPr="00AD2361">
        <w:tc>
          <w:tcPr>
            <w:tcW w:w="3261"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szCs w:val="22"/>
                <w:lang w:val="sr-Latn-ME"/>
              </w:rPr>
              <w:t>N</w:t>
            </w:r>
            <w:r w:rsidRPr="00AD2361">
              <w:rPr>
                <w:szCs w:val="22"/>
                <w:vertAlign w:val="superscript"/>
                <w:lang w:val="sr-Latn-ME"/>
              </w:rPr>
              <w:t>b</w:t>
            </w:r>
          </w:p>
        </w:tc>
        <w:tc>
          <w:tcPr>
            <w:tcW w:w="3020"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194</w:t>
            </w:r>
          </w:p>
        </w:tc>
        <w:tc>
          <w:tcPr>
            <w:tcW w:w="3021" w:type="dxa"/>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193</w:t>
            </w:r>
          </w:p>
        </w:tc>
      </w:tr>
      <w:tr w:rsidR="00381844" w:rsidRPr="00AD2361">
        <w:tc>
          <w:tcPr>
            <w:tcW w:w="3261"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 xml:space="preserve">HbA1c (%) </w:t>
            </w:r>
          </w:p>
          <w:p w:rsidR="00381844" w:rsidRPr="00AD2361" w:rsidRDefault="004529E0" w:rsidP="00AD2361">
            <w:pPr>
              <w:widowControl w:val="0"/>
              <w:tabs>
                <w:tab w:val="clear" w:pos="567"/>
                <w:tab w:val="left" w:pos="0"/>
              </w:tabs>
              <w:spacing w:line="240" w:lineRule="auto"/>
              <w:rPr>
                <w:b/>
                <w:szCs w:val="22"/>
                <w:lang w:val="sr-Latn-ME"/>
              </w:rPr>
            </w:pPr>
            <w:r w:rsidRPr="00AD2361">
              <w:rPr>
                <w:szCs w:val="22"/>
                <w:lang w:val="sr-Latn-ME"/>
              </w:rPr>
              <w:t>Početna vrijednost (srednja)</w:t>
            </w:r>
          </w:p>
        </w:tc>
        <w:tc>
          <w:tcPr>
            <w:tcW w:w="3020"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8,58</w:t>
            </w:r>
          </w:p>
        </w:tc>
        <w:tc>
          <w:tcPr>
            <w:tcW w:w="3021"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8,46</w:t>
            </w:r>
          </w:p>
        </w:tc>
      </w:tr>
      <w:tr w:rsidR="00381844" w:rsidRPr="00AD2361">
        <w:tc>
          <w:tcPr>
            <w:tcW w:w="3261"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-0,90</w:t>
            </w:r>
          </w:p>
        </w:tc>
        <w:tc>
          <w:tcPr>
            <w:tcW w:w="3021"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-0,30</w:t>
            </w:r>
          </w:p>
        </w:tc>
      </w:tr>
      <w:tr w:rsidR="00381844" w:rsidRPr="00AD2361">
        <w:tc>
          <w:tcPr>
            <w:tcW w:w="3261"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placebo</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-0,60*</w:t>
            </w:r>
          </w:p>
        </w:tc>
        <w:tc>
          <w:tcPr>
            <w:tcW w:w="3021"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261"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3020"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(-0,74; -0,45)</w:t>
            </w:r>
          </w:p>
        </w:tc>
        <w:tc>
          <w:tcPr>
            <w:tcW w:w="3021"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261"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b/>
                <w:szCs w:val="22"/>
                <w:lang w:val="sr-Latn-ME"/>
              </w:rPr>
              <w:t>Tjelesna masa (kg)</w:t>
            </w:r>
          </w:p>
        </w:tc>
        <w:tc>
          <w:tcPr>
            <w:tcW w:w="3020"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3021"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261"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lastRenderedPageBreak/>
              <w:t>Početna vrijednost (srednja)</w:t>
            </w:r>
          </w:p>
        </w:tc>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94,63</w:t>
            </w:r>
          </w:p>
        </w:tc>
        <w:tc>
          <w:tcPr>
            <w:tcW w:w="3021"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94,21</w:t>
            </w:r>
          </w:p>
        </w:tc>
      </w:tr>
      <w:tr w:rsidR="00381844" w:rsidRPr="00AD2361">
        <w:tc>
          <w:tcPr>
            <w:tcW w:w="3261"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-1,67</w:t>
            </w:r>
          </w:p>
        </w:tc>
        <w:tc>
          <w:tcPr>
            <w:tcW w:w="3021"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-0,02</w:t>
            </w:r>
          </w:p>
        </w:tc>
      </w:tr>
      <w:tr w:rsidR="00381844" w:rsidRPr="00AD2361">
        <w:tc>
          <w:tcPr>
            <w:tcW w:w="3261"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placebo</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-1,68</w:t>
            </w:r>
            <w:r w:rsidRPr="00AD2361">
              <w:rPr>
                <w:szCs w:val="22"/>
                <w:vertAlign w:val="superscript"/>
                <w:lang w:val="sr-Latn-ME"/>
              </w:rPr>
              <w:t>*</w:t>
            </w:r>
          </w:p>
        </w:tc>
        <w:tc>
          <w:tcPr>
            <w:tcW w:w="3021"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261"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3020"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(-2,19; -1,18)</w:t>
            </w:r>
          </w:p>
        </w:tc>
        <w:tc>
          <w:tcPr>
            <w:tcW w:w="3021"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261" w:type="dxa"/>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b/>
                <w:szCs w:val="22"/>
                <w:lang w:val="sr-Latn-ME"/>
              </w:rPr>
              <w:t>Srednja dnevna doza insulina (i.j.)</w:t>
            </w:r>
            <w:r w:rsidRPr="00AD2361">
              <w:rPr>
                <w:szCs w:val="22"/>
                <w:vertAlign w:val="superscript"/>
                <w:lang w:val="sr-Latn-ME"/>
              </w:rPr>
              <w:t>1</w:t>
            </w:r>
          </w:p>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Početna vrijednost (srednja)</w:t>
            </w:r>
          </w:p>
        </w:tc>
        <w:tc>
          <w:tcPr>
            <w:tcW w:w="3020"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77,96</w:t>
            </w:r>
          </w:p>
        </w:tc>
        <w:tc>
          <w:tcPr>
            <w:tcW w:w="3021" w:type="dxa"/>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73,96</w:t>
            </w:r>
          </w:p>
        </w:tc>
      </w:tr>
      <w:tr w:rsidR="00381844" w:rsidRPr="00AD2361">
        <w:tc>
          <w:tcPr>
            <w:tcW w:w="3261"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3020"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-1,16</w:t>
            </w:r>
          </w:p>
        </w:tc>
        <w:tc>
          <w:tcPr>
            <w:tcW w:w="3021"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5,08</w:t>
            </w:r>
          </w:p>
        </w:tc>
      </w:tr>
      <w:tr w:rsidR="00381844" w:rsidRPr="00AD2361">
        <w:tc>
          <w:tcPr>
            <w:tcW w:w="3261"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placebo</w:t>
            </w:r>
            <w:r w:rsidRPr="00AD2361">
              <w:rPr>
                <w:szCs w:val="22"/>
                <w:vertAlign w:val="superscript"/>
                <w:lang w:val="sr-Latn-ME"/>
              </w:rPr>
              <w:t>c</w:t>
            </w:r>
            <w:r w:rsidRPr="00AD2361">
              <w:rPr>
                <w:szCs w:val="22"/>
                <w:lang w:val="sr-Latn-ME"/>
              </w:rPr>
              <w:t xml:space="preserve"> (95% CI)</w:t>
            </w:r>
          </w:p>
        </w:tc>
        <w:tc>
          <w:tcPr>
            <w:tcW w:w="3020" w:type="dxa"/>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vertAlign w:val="superscript"/>
                <w:lang w:val="sr-Latn-ME"/>
              </w:rPr>
            </w:pPr>
            <w:r w:rsidRPr="00AD2361">
              <w:rPr>
                <w:szCs w:val="22"/>
                <w:lang w:val="sr-Latn-ME"/>
              </w:rPr>
              <w:t>-6,23</w:t>
            </w:r>
            <w:r w:rsidRPr="00AD2361">
              <w:rPr>
                <w:szCs w:val="22"/>
                <w:vertAlign w:val="superscript"/>
                <w:lang w:val="sr-Latn-ME"/>
              </w:rPr>
              <w:t>*</w:t>
            </w: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(-8,84; -3,63)</w:t>
            </w:r>
          </w:p>
        </w:tc>
        <w:tc>
          <w:tcPr>
            <w:tcW w:w="3021" w:type="dxa"/>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3261" w:type="dxa"/>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Ispitanici sa srednjim smanjenjem dnevne doze insulina od najmanje 10% (%)</w:t>
            </w:r>
          </w:p>
        </w:tc>
        <w:tc>
          <w:tcPr>
            <w:tcW w:w="3020"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19,7</w:t>
            </w:r>
            <w:r w:rsidRPr="00AD2361">
              <w:rPr>
                <w:szCs w:val="22"/>
                <w:vertAlign w:val="superscript"/>
                <w:lang w:val="sr-Latn-ME"/>
              </w:rPr>
              <w:t>**</w:t>
            </w:r>
          </w:p>
        </w:tc>
        <w:tc>
          <w:tcPr>
            <w:tcW w:w="3021" w:type="dxa"/>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11,0</w:t>
            </w:r>
          </w:p>
        </w:tc>
      </w:tr>
    </w:tbl>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a</w:t>
      </w:r>
      <w:r w:rsidRPr="00AD2361">
        <w:rPr>
          <w:sz w:val="18"/>
          <w:szCs w:val="22"/>
          <w:lang w:val="sr-Latn-ME"/>
        </w:rPr>
        <w:t xml:space="preserve"> LOCF (eng. </w:t>
      </w:r>
      <w:r w:rsidRPr="00AD2361">
        <w:rPr>
          <w:i/>
          <w:sz w:val="18"/>
          <w:szCs w:val="22"/>
          <w:lang w:val="sr-Latn-ME"/>
        </w:rPr>
        <w:t>Last Observation Carried Forward</w:t>
      </w:r>
      <w:r w:rsidRPr="00AD2361">
        <w:rPr>
          <w:sz w:val="18"/>
          <w:szCs w:val="22"/>
          <w:lang w:val="sr-Latn-ME"/>
        </w:rPr>
        <w:t>): Prenos posljednjih zabilježenih vrijednosti (prije ili na dan prvog povećanja doze insulina, ukoliko je potrebno)</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b</w:t>
      </w:r>
      <w:r w:rsidRPr="00AD2361">
        <w:rPr>
          <w:sz w:val="18"/>
          <w:szCs w:val="22"/>
          <w:lang w:val="sr-Latn-ME"/>
        </w:rPr>
        <w:t xml:space="preserve"> Svi randomizovani ispitanici koji su uzeli najmanje jednu dozu lijeka iz dvostruko-slijepe studije tokom kratkotrajnog dvostruko-slijepog perioda</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c</w:t>
      </w:r>
      <w:r w:rsidRPr="00AD2361">
        <w:rPr>
          <w:sz w:val="18"/>
          <w:szCs w:val="22"/>
          <w:lang w:val="sr-Latn-ME"/>
        </w:rPr>
        <w:t xml:space="preserve"> Srednja vrijednost najmanjih kvadrata prilagođena za početnu vrijednost i prisustvo oralnog lijeka za smanjivanje koncentracije glukoze</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w:t>
      </w:r>
      <w:r w:rsidRPr="00AD2361">
        <w:rPr>
          <w:sz w:val="18"/>
          <w:szCs w:val="22"/>
          <w:lang w:val="sr-Latn-ME"/>
        </w:rPr>
        <w:t xml:space="preserve"> p-vrijednost &lt; 0,0001 u odnosu na placebo + insulin ± oralni lijek za smanjivanje koncentracije glukoze</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w:t>
      </w:r>
      <w:r w:rsidRPr="00AD2361">
        <w:rPr>
          <w:sz w:val="18"/>
          <w:szCs w:val="22"/>
          <w:lang w:val="sr-Latn-ME"/>
        </w:rPr>
        <w:t xml:space="preserve"> p-vrijednost &lt; 0,05 u odnosu na placebo + insulin ± oralni lijek za smanjivanje koncentracije glukoze</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+1</w:t>
      </w:r>
      <w:r w:rsidRPr="00AD2361">
        <w:rPr>
          <w:sz w:val="18"/>
          <w:szCs w:val="22"/>
          <w:lang w:val="sr-Latn-ME"/>
        </w:rPr>
        <w:t xml:space="preserve"> Povećanje doze insulina (uključujući kratkodjelujući, srednjedugodjelujući i bazalni insulin) bilo je dozvoljeno samo ukoliko su ispitanici ispunili prethodno definisane kriterijume za glukozu u plazmi natašte.</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2</w:t>
      </w:r>
      <w:r w:rsidRPr="00AD2361">
        <w:rPr>
          <w:sz w:val="18"/>
          <w:szCs w:val="22"/>
          <w:lang w:val="sr-Latn-ME"/>
        </w:rPr>
        <w:t xml:space="preserve"> Pedeset procenata ispitanika je na početku primalo monoterapiju insulinom; 50% ih je uz insulin primalo 1 ili 2 oralna lijeka za smanjivanje koncentracije glukoze: u posljednje navedenoj grupi 80% ispitanika je primalo samo metformin, njih 12% dobijalo je metformin u kombinaciji sa sulfonilureom, dok su ostali primali druge oralne ljekove za smanjivanje koncentracije glukoze.</w:t>
      </w:r>
    </w:p>
    <w:p w:rsidR="00381844" w:rsidRPr="00AD2361" w:rsidRDefault="00381844" w:rsidP="00AD2361">
      <w:pPr>
        <w:widowControl w:val="0"/>
        <w:tabs>
          <w:tab w:val="clear" w:pos="567"/>
          <w:tab w:val="left" w:pos="0"/>
        </w:tabs>
        <w:spacing w:line="240" w:lineRule="auto"/>
        <w:rPr>
          <w:sz w:val="18"/>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U kombinaciji sa metforminom kod pacijenata koji prethodno nijesu liječeni</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Ukupno 1236 pacijenata sa neadekvatno kontrolisanim dijabetes melitusom tip 2 (HbA1c ≥7,5% i ≤12%) koji prethodno nijesu liječeni učestvovalo je u dvije aktivno-kontrolisane studije u trajanju od 24 nedjelje, u cilju procjene efikasnosti i bezbjednosti dapagliflozina (5 mg ili 10 mg), u kombinaciji sa metforminom kod pacijenata koji prethodno nijesu liječeni, u poređenju sa terapijom pojedinačnim komponentama.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Terapija dapagliflozinom u dozi od 10 mg u kombinaciji sa metforminom (do 2000 mg dnevno) pružila je značajna poboljšanja HbA1c u poređenju sa pojedinačnim komponentama (tabela 7) i dovela do većih smanjenja glukoze u plazmi natašte (eng. </w:t>
      </w:r>
      <w:r w:rsidRPr="00AD2361">
        <w:rPr>
          <w:i/>
          <w:szCs w:val="22"/>
          <w:lang w:val="sr-Latn-ME"/>
        </w:rPr>
        <w:t>fasting plasma glucose</w:t>
      </w:r>
      <w:r w:rsidRPr="00AD2361">
        <w:rPr>
          <w:szCs w:val="22"/>
          <w:lang w:val="sr-Latn-ME"/>
        </w:rPr>
        <w:t>, FPG) (u poređenju sa individualnim komponentama) i tjelesne mase (u poređenju sa metforminom).</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b/>
          <w:bCs/>
          <w:szCs w:val="22"/>
          <w:lang w:val="sr-Latn-ME"/>
        </w:rPr>
      </w:pPr>
      <w:r w:rsidRPr="00AD2361">
        <w:rPr>
          <w:b/>
          <w:bCs/>
          <w:szCs w:val="22"/>
          <w:lang w:val="sr-Latn-ME"/>
        </w:rPr>
        <w:t>Tabela 7. Rezultati u 24. nedjelji (LOCF</w:t>
      </w:r>
      <w:r w:rsidRPr="00AD2361">
        <w:rPr>
          <w:b/>
          <w:bCs/>
          <w:szCs w:val="22"/>
          <w:vertAlign w:val="superscript"/>
          <w:lang w:val="sr-Latn-ME"/>
        </w:rPr>
        <w:t>a</w:t>
      </w:r>
      <w:r w:rsidRPr="00AD2361">
        <w:rPr>
          <w:b/>
          <w:bCs/>
          <w:szCs w:val="22"/>
          <w:lang w:val="sr-Latn-ME"/>
        </w:rPr>
        <w:t>) u aktivno-kontrolisanoj studiji kombinovane terapije dapagliflozina i metformina kod pacijenata koji prethodno nijesu liječeni</w:t>
      </w:r>
    </w:p>
    <w:p w:rsidR="00381844" w:rsidRPr="00AD2361" w:rsidRDefault="00381844" w:rsidP="00AD2361">
      <w:pPr>
        <w:widowControl w:val="0"/>
        <w:tabs>
          <w:tab w:val="clear" w:pos="567"/>
          <w:tab w:val="left" w:pos="0"/>
        </w:tabs>
        <w:spacing w:line="240" w:lineRule="auto"/>
        <w:rPr>
          <w:b/>
          <w:bCs/>
          <w:szCs w:val="22"/>
          <w:lang w:val="sr-Latn-ME"/>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2239"/>
        <w:gridCol w:w="2239"/>
        <w:gridCol w:w="1857"/>
      </w:tblGrid>
      <w:tr w:rsidR="00381844" w:rsidRPr="00AD2361">
        <w:tc>
          <w:tcPr>
            <w:tcW w:w="1599"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Parametar</w:t>
            </w:r>
          </w:p>
        </w:tc>
        <w:tc>
          <w:tcPr>
            <w:tcW w:w="1202"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Dapagliflozin 10 mg + metformin</w:t>
            </w:r>
          </w:p>
        </w:tc>
        <w:tc>
          <w:tcPr>
            <w:tcW w:w="1202"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Dapagliflozin 10 mg</w:t>
            </w:r>
          </w:p>
        </w:tc>
        <w:tc>
          <w:tcPr>
            <w:tcW w:w="998"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Metformin</w:t>
            </w:r>
          </w:p>
        </w:tc>
      </w:tr>
      <w:tr w:rsidR="00381844" w:rsidRPr="00AD2361">
        <w:tc>
          <w:tcPr>
            <w:tcW w:w="1599"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szCs w:val="22"/>
                <w:lang w:val="sr-Latn-ME"/>
              </w:rPr>
              <w:t>N</w:t>
            </w:r>
            <w:r w:rsidRPr="00AD2361">
              <w:rPr>
                <w:szCs w:val="22"/>
                <w:vertAlign w:val="superscript"/>
                <w:lang w:val="sr-Latn-ME"/>
              </w:rPr>
              <w:t>b</w:t>
            </w:r>
          </w:p>
        </w:tc>
        <w:tc>
          <w:tcPr>
            <w:tcW w:w="1202"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211</w:t>
            </w:r>
            <w:r w:rsidRPr="00AD2361">
              <w:rPr>
                <w:szCs w:val="22"/>
                <w:vertAlign w:val="superscript"/>
                <w:lang w:val="sr-Latn-ME"/>
              </w:rPr>
              <w:t>b</w:t>
            </w:r>
          </w:p>
        </w:tc>
        <w:tc>
          <w:tcPr>
            <w:tcW w:w="1202"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219</w:t>
            </w:r>
            <w:r w:rsidRPr="00AD2361">
              <w:rPr>
                <w:szCs w:val="22"/>
                <w:vertAlign w:val="superscript"/>
                <w:lang w:val="sr-Latn-ME"/>
              </w:rPr>
              <w:t>b</w:t>
            </w:r>
          </w:p>
        </w:tc>
        <w:tc>
          <w:tcPr>
            <w:tcW w:w="998"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208</w:t>
            </w:r>
            <w:r w:rsidRPr="00AD2361">
              <w:rPr>
                <w:szCs w:val="22"/>
                <w:vertAlign w:val="superscript"/>
                <w:lang w:val="sr-Latn-ME"/>
              </w:rPr>
              <w:t>b</w:t>
            </w:r>
          </w:p>
        </w:tc>
      </w:tr>
      <w:tr w:rsidR="00381844" w:rsidRPr="00AD2361">
        <w:tc>
          <w:tcPr>
            <w:tcW w:w="1599" w:type="pct"/>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 xml:space="preserve">HbA1c (%) </w:t>
            </w:r>
          </w:p>
          <w:p w:rsidR="00381844" w:rsidRPr="00AD2361" w:rsidRDefault="004529E0" w:rsidP="00AD2361">
            <w:pPr>
              <w:widowControl w:val="0"/>
              <w:tabs>
                <w:tab w:val="clear" w:pos="567"/>
                <w:tab w:val="left" w:pos="0"/>
              </w:tabs>
              <w:spacing w:line="240" w:lineRule="auto"/>
              <w:rPr>
                <w:b/>
                <w:szCs w:val="22"/>
                <w:lang w:val="sr-Latn-ME"/>
              </w:rPr>
            </w:pPr>
            <w:r w:rsidRPr="00AD2361">
              <w:rPr>
                <w:szCs w:val="22"/>
                <w:lang w:val="sr-Latn-ME"/>
              </w:rPr>
              <w:t>Početna vrijednost (srednja)</w:t>
            </w:r>
          </w:p>
        </w:tc>
        <w:tc>
          <w:tcPr>
            <w:tcW w:w="1202"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9,10</w:t>
            </w:r>
          </w:p>
        </w:tc>
        <w:tc>
          <w:tcPr>
            <w:tcW w:w="1202"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9,03</w:t>
            </w:r>
          </w:p>
        </w:tc>
        <w:tc>
          <w:tcPr>
            <w:tcW w:w="998"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9,03</w:t>
            </w:r>
          </w:p>
        </w:tc>
      </w:tr>
      <w:tr w:rsidR="00381844" w:rsidRPr="00AD2361">
        <w:tc>
          <w:tcPr>
            <w:tcW w:w="1599"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c</w:t>
            </w:r>
          </w:p>
        </w:tc>
        <w:tc>
          <w:tcPr>
            <w:tcW w:w="1202"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-1,98</w:t>
            </w:r>
          </w:p>
        </w:tc>
        <w:tc>
          <w:tcPr>
            <w:tcW w:w="1202"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-1,45</w:t>
            </w:r>
          </w:p>
        </w:tc>
        <w:tc>
          <w:tcPr>
            <w:tcW w:w="998"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-1,44</w:t>
            </w:r>
          </w:p>
        </w:tc>
      </w:tr>
      <w:tr w:rsidR="00381844" w:rsidRPr="00AD2361">
        <w:tc>
          <w:tcPr>
            <w:tcW w:w="1599"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dapagliflozin</w:t>
            </w:r>
            <w:r w:rsidRPr="00AD2361">
              <w:rPr>
                <w:szCs w:val="22"/>
                <w:vertAlign w:val="superscript"/>
                <w:lang w:val="sr-Latn-ME"/>
              </w:rPr>
              <w:t>c</w:t>
            </w:r>
          </w:p>
        </w:tc>
        <w:tc>
          <w:tcPr>
            <w:tcW w:w="1202"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-0,53</w:t>
            </w:r>
            <w:r w:rsidRPr="00AD2361">
              <w:rPr>
                <w:szCs w:val="22"/>
                <w:vertAlign w:val="superscript"/>
                <w:lang w:val="sr-Latn-ME"/>
              </w:rPr>
              <w:t>*</w:t>
            </w:r>
          </w:p>
        </w:tc>
        <w:tc>
          <w:tcPr>
            <w:tcW w:w="1202"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998"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1599"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1202"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(-0,74; -0,32)</w:t>
            </w:r>
          </w:p>
        </w:tc>
        <w:tc>
          <w:tcPr>
            <w:tcW w:w="1202"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998"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1599"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metformin</w:t>
            </w:r>
            <w:r w:rsidRPr="00AD2361">
              <w:rPr>
                <w:szCs w:val="22"/>
                <w:vertAlign w:val="superscript"/>
                <w:lang w:val="sr-Latn-ME"/>
              </w:rPr>
              <w:t>c</w:t>
            </w:r>
          </w:p>
        </w:tc>
        <w:tc>
          <w:tcPr>
            <w:tcW w:w="1202"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-0,54</w:t>
            </w:r>
            <w:r w:rsidRPr="00AD2361">
              <w:rPr>
                <w:szCs w:val="22"/>
                <w:vertAlign w:val="superscript"/>
                <w:lang w:val="sr-Latn-ME"/>
              </w:rPr>
              <w:t>*</w:t>
            </w:r>
          </w:p>
        </w:tc>
        <w:tc>
          <w:tcPr>
            <w:tcW w:w="1202"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-0,01</w:t>
            </w:r>
          </w:p>
        </w:tc>
        <w:tc>
          <w:tcPr>
            <w:tcW w:w="998"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1599"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1202"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(-0,75; -0,33)</w:t>
            </w:r>
          </w:p>
        </w:tc>
        <w:tc>
          <w:tcPr>
            <w:tcW w:w="1202"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(-0,22; 0,20)</w:t>
            </w:r>
          </w:p>
        </w:tc>
        <w:tc>
          <w:tcPr>
            <w:tcW w:w="998" w:type="pct"/>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bl>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a</w:t>
      </w:r>
      <w:r w:rsidRPr="00AD2361">
        <w:rPr>
          <w:sz w:val="18"/>
          <w:szCs w:val="22"/>
          <w:lang w:val="sr-Latn-ME"/>
        </w:rPr>
        <w:t xml:space="preserve"> LOCF (eng. </w:t>
      </w:r>
      <w:r w:rsidRPr="00AD2361">
        <w:rPr>
          <w:i/>
          <w:sz w:val="18"/>
          <w:szCs w:val="22"/>
          <w:lang w:val="sr-Latn-ME"/>
        </w:rPr>
        <w:t>Last Observation Carried Forward</w:t>
      </w:r>
      <w:r w:rsidRPr="00AD2361">
        <w:rPr>
          <w:sz w:val="18"/>
          <w:szCs w:val="22"/>
          <w:lang w:val="sr-Latn-ME"/>
        </w:rPr>
        <w:t>): Prenos posljednjih zabelježenih vrijednosti (prije primjene terapije za hitnu regulaciju neregulisane glikemije ispitanika kod kojih je ista primijenjena).</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lastRenderedPageBreak/>
        <w:t>b</w:t>
      </w:r>
      <w:r w:rsidRPr="00AD2361">
        <w:rPr>
          <w:sz w:val="18"/>
          <w:szCs w:val="22"/>
          <w:lang w:val="sr-Latn-ME"/>
        </w:rPr>
        <w:t xml:space="preserve"> Svi randomizovani pacijenti koji su uzeli najmanje jednu dozu lijeka iz dvostruko-slijepe studije tokom kratkotrajnog dvostruko-slijepog perioda.</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c</w:t>
      </w:r>
      <w:r w:rsidRPr="00AD2361">
        <w:rPr>
          <w:sz w:val="18"/>
          <w:szCs w:val="22"/>
          <w:lang w:val="sr-Latn-ME"/>
        </w:rPr>
        <w:t xml:space="preserve"> Srednja vrijednost najmanjih kvadrata prilagođena za početnu vrijednost.</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w:t>
      </w:r>
      <w:r w:rsidRPr="00AD2361">
        <w:rPr>
          <w:sz w:val="18"/>
          <w:szCs w:val="22"/>
          <w:lang w:val="sr-Latn-ME"/>
        </w:rPr>
        <w:t xml:space="preserve"> p-vrijednost &lt; 0,0001.</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Kombinovana terapija sa eksenatidom sa produženim oslobađanjem</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dvostruko-slijepoj studiji kontrolisanoj aktivnim komparatorom u trajanju od 28 nedjelja, kombinacija dapagliflozina i eksenatida sa produženim oslobađanjem (agonist GLP-1 receptora) poređena je sa samo dapagliflozinom i samo eksenatidom sa produženim oslobađanjem kod ispitanika sa neadekvatnom kontrolom glikemije kod liječenja samo metforminom (HbA1c ≥ 8% i ≤ 12%). Sve terapijske grupe imale su smanjenje HbA1c u poređenju sa početnom vrijednošću. Kombinovano liječenje u grupi koja je primala dapagliflozin u dozi od 10 mg i eksenatid sa produženim oslobađanjem pokazalo je superiorna smanjenja HbA1c u odnosu na početne vrijednosti u poređenju sa samo dapagliflozinom i samo eksenatidom sa produženim oslobađanjem (tabela 8).</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b/>
          <w:szCs w:val="22"/>
          <w:lang w:val="sr-Latn-ME"/>
        </w:rPr>
      </w:pPr>
      <w:r w:rsidRPr="00AD2361">
        <w:rPr>
          <w:b/>
          <w:szCs w:val="22"/>
          <w:lang w:val="sr-Latn-ME"/>
        </w:rPr>
        <w:t>Tabela 8. Rezultati 28-nedjeljne studije dapagliflozina i eksenatida sa produženim oslobađanjem u poređenju sa samo dapagliflozinom i samo eksenatidom sa produženim oslobađanjem, u kombinaciji sa metforminom (</w:t>
      </w:r>
      <w:r w:rsidRPr="00AD2361">
        <w:rPr>
          <w:b/>
          <w:i/>
          <w:szCs w:val="22"/>
          <w:lang w:val="sr-Latn-ME"/>
        </w:rPr>
        <w:t>intent to treat</w:t>
      </w:r>
      <w:r w:rsidRPr="00AD2361">
        <w:rPr>
          <w:b/>
          <w:szCs w:val="22"/>
          <w:lang w:val="sr-Latn-ME"/>
        </w:rPr>
        <w:t xml:space="preserve"> pacijenti)</w:t>
      </w:r>
    </w:p>
    <w:p w:rsidR="00381844" w:rsidRPr="00AD2361" w:rsidRDefault="00381844" w:rsidP="00AD2361">
      <w:pPr>
        <w:widowControl w:val="0"/>
        <w:tabs>
          <w:tab w:val="clear" w:pos="567"/>
          <w:tab w:val="left" w:pos="0"/>
        </w:tabs>
        <w:spacing w:line="240" w:lineRule="auto"/>
        <w:rPr>
          <w:b/>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128"/>
        <w:gridCol w:w="2246"/>
        <w:gridCol w:w="1976"/>
      </w:tblGrid>
      <w:tr w:rsidR="00381844" w:rsidRPr="00AD2361">
        <w:tc>
          <w:tcPr>
            <w:tcW w:w="1500"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Parametar</w:t>
            </w:r>
          </w:p>
        </w:tc>
        <w:tc>
          <w:tcPr>
            <w:tcW w:w="1173"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Dapagliflozin 10 mg jednom dnevno</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Eksenatid sa produženim oslobađanjem 2 mg jednom nedjeljno</w:t>
            </w:r>
          </w:p>
        </w:tc>
        <w:tc>
          <w:tcPr>
            <w:tcW w:w="1238"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Dapagliflozin 10 mg jednom dnevno</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Placebo jednom nedjeljno</w:t>
            </w:r>
          </w:p>
        </w:tc>
        <w:tc>
          <w:tcPr>
            <w:tcW w:w="1089"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Eksenatid sa produženim oslobađanjem 2 mg jednom nedjeljno</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Placebo jednom dnevno</w:t>
            </w:r>
          </w:p>
        </w:tc>
      </w:tr>
      <w:tr w:rsidR="00381844" w:rsidRPr="00AD2361">
        <w:tc>
          <w:tcPr>
            <w:tcW w:w="1500"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szCs w:val="22"/>
                <w:lang w:val="sr-Latn-ME"/>
              </w:rPr>
              <w:t>N</w:t>
            </w:r>
          </w:p>
        </w:tc>
        <w:tc>
          <w:tcPr>
            <w:tcW w:w="1173"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228</w:t>
            </w:r>
          </w:p>
        </w:tc>
        <w:tc>
          <w:tcPr>
            <w:tcW w:w="1238"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230</w:t>
            </w:r>
          </w:p>
        </w:tc>
        <w:tc>
          <w:tcPr>
            <w:tcW w:w="1089"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227</w:t>
            </w:r>
          </w:p>
        </w:tc>
      </w:tr>
      <w:tr w:rsidR="00381844" w:rsidRPr="00AD2361">
        <w:tc>
          <w:tcPr>
            <w:tcW w:w="1500" w:type="pct"/>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 xml:space="preserve">HbA1c (%) </w:t>
            </w:r>
          </w:p>
          <w:p w:rsidR="00381844" w:rsidRPr="00AD2361" w:rsidRDefault="004529E0" w:rsidP="00AD2361">
            <w:pPr>
              <w:widowControl w:val="0"/>
              <w:tabs>
                <w:tab w:val="clear" w:pos="567"/>
                <w:tab w:val="left" w:pos="0"/>
              </w:tabs>
              <w:spacing w:line="240" w:lineRule="auto"/>
              <w:rPr>
                <w:b/>
                <w:szCs w:val="22"/>
                <w:lang w:val="sr-Latn-ME"/>
              </w:rPr>
            </w:pPr>
            <w:r w:rsidRPr="00AD2361">
              <w:rPr>
                <w:szCs w:val="22"/>
                <w:lang w:val="sr-Latn-ME"/>
              </w:rPr>
              <w:t>Početna vrijednost (srednja)</w:t>
            </w:r>
          </w:p>
        </w:tc>
        <w:tc>
          <w:tcPr>
            <w:tcW w:w="1173"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9,29</w:t>
            </w:r>
          </w:p>
        </w:tc>
        <w:tc>
          <w:tcPr>
            <w:tcW w:w="1238"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9,25</w:t>
            </w:r>
          </w:p>
        </w:tc>
        <w:tc>
          <w:tcPr>
            <w:tcW w:w="1089"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9,26</w:t>
            </w:r>
          </w:p>
        </w:tc>
      </w:tr>
      <w:tr w:rsidR="00381844" w:rsidRPr="00AD2361">
        <w:tc>
          <w:tcPr>
            <w:tcW w:w="1500"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a</w:t>
            </w:r>
          </w:p>
        </w:tc>
        <w:tc>
          <w:tcPr>
            <w:tcW w:w="1173"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-1,98</w:t>
            </w:r>
          </w:p>
        </w:tc>
        <w:tc>
          <w:tcPr>
            <w:tcW w:w="1238"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-1,39</w:t>
            </w:r>
          </w:p>
        </w:tc>
        <w:tc>
          <w:tcPr>
            <w:tcW w:w="1089"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-1,60</w:t>
            </w:r>
          </w:p>
        </w:tc>
      </w:tr>
      <w:tr w:rsidR="00381844" w:rsidRPr="00AD2361">
        <w:tc>
          <w:tcPr>
            <w:tcW w:w="1500"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Srednja razlika u promjeni u</w:t>
            </w:r>
          </w:p>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odnosu na početnu vrijednost između kombinacije i jednog</w:t>
            </w:r>
          </w:p>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lijeka</w:t>
            </w:r>
          </w:p>
        </w:tc>
        <w:tc>
          <w:tcPr>
            <w:tcW w:w="1173"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238" w:type="pct"/>
            <w:tcBorders>
              <w:top w:val="nil"/>
              <w:left w:val="nil"/>
              <w:bottom w:val="nil"/>
              <w:right w:val="nil"/>
            </w:tcBorders>
            <w:shd w:val="clear" w:color="auto" w:fill="auto"/>
            <w:vAlign w:val="center"/>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-0,59</w:t>
            </w:r>
            <w:r w:rsidRPr="00AD2361">
              <w:rPr>
                <w:szCs w:val="22"/>
                <w:vertAlign w:val="superscript"/>
                <w:lang w:val="sr-Latn-ME"/>
              </w:rPr>
              <w:t>*</w:t>
            </w:r>
          </w:p>
        </w:tc>
        <w:tc>
          <w:tcPr>
            <w:tcW w:w="1089" w:type="pct"/>
            <w:tcBorders>
              <w:top w:val="nil"/>
              <w:left w:val="nil"/>
              <w:bottom w:val="nil"/>
              <w:right w:val="nil"/>
            </w:tcBorders>
            <w:shd w:val="clear" w:color="auto" w:fill="auto"/>
            <w:vAlign w:val="center"/>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-0,38</w:t>
            </w:r>
            <w:r w:rsidRPr="00AD2361">
              <w:rPr>
                <w:szCs w:val="22"/>
                <w:vertAlign w:val="superscript"/>
                <w:lang w:val="sr-Latn-ME"/>
              </w:rPr>
              <w:t>**</w:t>
            </w:r>
          </w:p>
        </w:tc>
      </w:tr>
      <w:tr w:rsidR="00381844" w:rsidRPr="00AD2361">
        <w:tc>
          <w:tcPr>
            <w:tcW w:w="1500"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1173" w:type="pct"/>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238"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(-0,84; -0,34)</w:t>
            </w:r>
          </w:p>
        </w:tc>
        <w:tc>
          <w:tcPr>
            <w:tcW w:w="1089"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(-0,63; -0,13)</w:t>
            </w:r>
          </w:p>
        </w:tc>
      </w:tr>
      <w:tr w:rsidR="00381844" w:rsidRPr="00AD2361">
        <w:tc>
          <w:tcPr>
            <w:tcW w:w="1500" w:type="pct"/>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b/>
                <w:szCs w:val="22"/>
                <w:lang w:val="sr-Latn-ME"/>
              </w:rPr>
              <w:t>Ispitanici (%) kod kojih je postignut: HbA1c &lt; 7%</w:t>
            </w:r>
          </w:p>
        </w:tc>
        <w:tc>
          <w:tcPr>
            <w:tcW w:w="1173" w:type="pct"/>
            <w:tcBorders>
              <w:top w:val="single" w:sz="4" w:space="0" w:color="auto"/>
              <w:left w:val="nil"/>
              <w:bottom w:val="nil"/>
              <w:right w:val="nil"/>
            </w:tcBorders>
            <w:shd w:val="clear" w:color="auto" w:fill="auto"/>
            <w:vAlign w:val="center"/>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44,7</w:t>
            </w:r>
          </w:p>
        </w:tc>
        <w:tc>
          <w:tcPr>
            <w:tcW w:w="1238" w:type="pct"/>
            <w:tcBorders>
              <w:top w:val="single" w:sz="4" w:space="0" w:color="auto"/>
              <w:left w:val="nil"/>
              <w:bottom w:val="nil"/>
              <w:right w:val="nil"/>
            </w:tcBorders>
            <w:shd w:val="clear" w:color="auto" w:fill="auto"/>
            <w:vAlign w:val="center"/>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19,1</w:t>
            </w:r>
          </w:p>
        </w:tc>
        <w:tc>
          <w:tcPr>
            <w:tcW w:w="1089" w:type="pct"/>
            <w:tcBorders>
              <w:top w:val="single" w:sz="4" w:space="0" w:color="auto"/>
              <w:left w:val="nil"/>
              <w:bottom w:val="nil"/>
              <w:right w:val="nil"/>
            </w:tcBorders>
            <w:shd w:val="clear" w:color="auto" w:fill="auto"/>
            <w:vAlign w:val="center"/>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26,9</w:t>
            </w:r>
          </w:p>
        </w:tc>
      </w:tr>
      <w:tr w:rsidR="00381844" w:rsidRPr="00AD2361">
        <w:tc>
          <w:tcPr>
            <w:tcW w:w="1500" w:type="pct"/>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b/>
                <w:szCs w:val="22"/>
                <w:lang w:val="sr-Latn-ME"/>
              </w:rPr>
              <w:t>Tjelesna masa (kg)</w:t>
            </w:r>
          </w:p>
        </w:tc>
        <w:tc>
          <w:tcPr>
            <w:tcW w:w="1173"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238"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089"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1500"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Početna vrijednost (srednja)</w:t>
            </w:r>
          </w:p>
        </w:tc>
        <w:tc>
          <w:tcPr>
            <w:tcW w:w="1173"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92,13</w:t>
            </w:r>
          </w:p>
        </w:tc>
        <w:tc>
          <w:tcPr>
            <w:tcW w:w="1238"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90,87</w:t>
            </w:r>
          </w:p>
        </w:tc>
        <w:tc>
          <w:tcPr>
            <w:tcW w:w="1089"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89,12</w:t>
            </w:r>
          </w:p>
        </w:tc>
      </w:tr>
      <w:tr w:rsidR="00381844" w:rsidRPr="00AD2361">
        <w:tc>
          <w:tcPr>
            <w:tcW w:w="1500"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a</w:t>
            </w:r>
          </w:p>
        </w:tc>
        <w:tc>
          <w:tcPr>
            <w:tcW w:w="1173"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-3,55</w:t>
            </w:r>
          </w:p>
        </w:tc>
        <w:tc>
          <w:tcPr>
            <w:tcW w:w="1238"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-2,22</w:t>
            </w:r>
          </w:p>
        </w:tc>
        <w:tc>
          <w:tcPr>
            <w:tcW w:w="1089"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-1,56</w:t>
            </w:r>
          </w:p>
        </w:tc>
      </w:tr>
      <w:tr w:rsidR="00381844" w:rsidRPr="00AD2361">
        <w:tc>
          <w:tcPr>
            <w:tcW w:w="1500"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Srednja razlika u promjeni u</w:t>
            </w:r>
          </w:p>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odnosu na početnu vrijednost između kombinacije i jednog</w:t>
            </w:r>
          </w:p>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lijeka</w:t>
            </w:r>
          </w:p>
        </w:tc>
        <w:tc>
          <w:tcPr>
            <w:tcW w:w="1173" w:type="pct"/>
            <w:tcBorders>
              <w:top w:val="nil"/>
              <w:left w:val="nil"/>
              <w:bottom w:val="nil"/>
              <w:right w:val="nil"/>
            </w:tcBorders>
            <w:shd w:val="clear" w:color="auto" w:fill="auto"/>
            <w:vAlign w:val="center"/>
          </w:tcPr>
          <w:p w:rsidR="00381844" w:rsidRPr="00AD2361" w:rsidRDefault="00381844" w:rsidP="00AD2361">
            <w:pPr>
              <w:widowControl w:val="0"/>
              <w:tabs>
                <w:tab w:val="clear" w:pos="567"/>
                <w:tab w:val="left" w:pos="0"/>
              </w:tabs>
              <w:spacing w:line="240" w:lineRule="auto"/>
              <w:jc w:val="center"/>
              <w:rPr>
                <w:szCs w:val="22"/>
                <w:lang w:val="sr-Latn-ME"/>
              </w:rPr>
            </w:pPr>
          </w:p>
        </w:tc>
        <w:tc>
          <w:tcPr>
            <w:tcW w:w="1238" w:type="pct"/>
            <w:tcBorders>
              <w:top w:val="nil"/>
              <w:left w:val="nil"/>
              <w:bottom w:val="nil"/>
              <w:right w:val="nil"/>
            </w:tcBorders>
            <w:shd w:val="clear" w:color="auto" w:fill="auto"/>
            <w:vAlign w:val="center"/>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-1,33</w:t>
            </w:r>
            <w:r w:rsidRPr="00AD2361">
              <w:rPr>
                <w:szCs w:val="22"/>
                <w:vertAlign w:val="superscript"/>
                <w:lang w:val="sr-Latn-ME"/>
              </w:rPr>
              <w:t>*</w:t>
            </w:r>
          </w:p>
        </w:tc>
        <w:tc>
          <w:tcPr>
            <w:tcW w:w="1089" w:type="pct"/>
            <w:tcBorders>
              <w:top w:val="nil"/>
              <w:left w:val="nil"/>
              <w:bottom w:val="nil"/>
              <w:right w:val="nil"/>
            </w:tcBorders>
            <w:shd w:val="clear" w:color="auto" w:fill="auto"/>
            <w:vAlign w:val="center"/>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-2,00</w:t>
            </w:r>
            <w:r w:rsidRPr="00AD2361">
              <w:rPr>
                <w:szCs w:val="22"/>
                <w:vertAlign w:val="superscript"/>
                <w:lang w:val="sr-Latn-ME"/>
              </w:rPr>
              <w:t>*</w:t>
            </w:r>
          </w:p>
        </w:tc>
      </w:tr>
      <w:tr w:rsidR="00381844" w:rsidRPr="00AD2361">
        <w:tc>
          <w:tcPr>
            <w:tcW w:w="1500"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1173" w:type="pct"/>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238"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(-2,12; -0,55)</w:t>
            </w:r>
          </w:p>
        </w:tc>
        <w:tc>
          <w:tcPr>
            <w:tcW w:w="1089"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(-2,79; -1,20)</w:t>
            </w:r>
          </w:p>
        </w:tc>
      </w:tr>
    </w:tbl>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lang w:val="sr-Latn-ME"/>
        </w:rPr>
        <w:t>N = broj pacijenata, CI = interval pouzdanosti.</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a</w:t>
      </w:r>
      <w:r w:rsidRPr="00AD2361">
        <w:rPr>
          <w:sz w:val="18"/>
          <w:szCs w:val="22"/>
          <w:lang w:val="sr-Latn-ME"/>
        </w:rPr>
        <w:t xml:space="preserve"> Prilagođena srednja vrijednost dobijena metodom najmanjih kvadrata i razlika između terapijskih grupa u promjeni od početnih vrijednosti u 28. nedjelji dobijene su primjenom mješovitog modela sa ponovljenim mjerenjima (eng. </w:t>
      </w:r>
      <w:r w:rsidRPr="00AD2361">
        <w:rPr>
          <w:i/>
          <w:sz w:val="18"/>
          <w:szCs w:val="22"/>
          <w:lang w:val="sr-Latn-ME"/>
        </w:rPr>
        <w:t>mixed model with repeated measures</w:t>
      </w:r>
      <w:r w:rsidRPr="00AD2361">
        <w:rPr>
          <w:sz w:val="18"/>
          <w:szCs w:val="22"/>
          <w:lang w:val="sr-Latn-ME"/>
        </w:rPr>
        <w:t>, MMRM), uključujući liječenje, region, početni HbA1c stratum (&lt; 9,0% ili ≥ 9,0%), nedjelju i interakciju liječenja po nedjeljama kao fiksne faktore i početnu vrijednost kao kovarijantu.</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w:t>
      </w:r>
      <w:r w:rsidRPr="00AD2361">
        <w:rPr>
          <w:sz w:val="18"/>
          <w:szCs w:val="22"/>
          <w:lang w:val="sr-Latn-ME"/>
        </w:rPr>
        <w:t xml:space="preserve"> p &lt; 0,001; **p &lt; 0,01.</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lang w:val="sr-Latn-ME"/>
        </w:rPr>
        <w:t>P-vrijednosti su sve p-vrijednosti prilagođene za multiplicitet.</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lang w:val="sr-Latn-ME"/>
        </w:rPr>
        <w:t>Analize isključuju mjerenja nakon primjene terapije za hitnu regulaciju neregulisane glikemije i nakon prijevremenog prekida primjene ispitivanog lijeka.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u w:val="single"/>
          <w:lang w:val="sr-Latn-ME"/>
        </w:rPr>
      </w:pPr>
      <w:r w:rsidRPr="00AD2361">
        <w:rPr>
          <w:i/>
          <w:szCs w:val="22"/>
          <w:u w:val="single"/>
          <w:lang w:val="sr-Latn-ME"/>
        </w:rPr>
        <w:t>Glukoza u plazmi natašte</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Terapija primjenom dapagliflozina u dozi od 10 mg kao monoterapije ili kao dodatka terapiji metforminom, glimepiridom, metforminom i sulfonilureom, sitagliptinom (sa metforminom ili bez njega) ili insulinom dovela je do statistički značajnih smanjenja koncentracije glukoze u plazmi natašte, FPG (-1,90 do -1,20 mmol/l [ -34,2 do -21,7 mg/dl]) u poređenju sa placebom (-0,33 do 0,21 mmol/l [-6,0 do 3,8 mg/dl]). Ovaj efekat je uočen u prvoj nedjelji terapije i održao se u studijama produženim do 104. nedjelje.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Kombinovana terapija dapagliflozinom u dozi od 10 mg i eksenatidom sa produženim oslobađanjem dovela je do značajno većeg smanjenja glukoze u plazmi natašte, FPG u 28. nedjelji: -3,66 mmol/l (-65,8 mg/dl), u poređenju sa -2,73 mmol/l (-49,2 mg/dl) za samo dapagliflozin (p&lt;0,001) i -2,54 mmol/l (-45,8 mg/dl) za samo eksenatid (p &lt; 0,001).</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posebnoj studiji kod pacijenata sa dijabetes melitusom koji su imali eGFR ≥ 45 do &lt; 60 ml/min/1,73 m</w:t>
      </w:r>
      <w:r w:rsidRPr="00AD2361">
        <w:rPr>
          <w:szCs w:val="22"/>
          <w:vertAlign w:val="superscript"/>
          <w:lang w:val="sr-Latn-ME"/>
        </w:rPr>
        <w:t>2</w:t>
      </w:r>
      <w:r w:rsidRPr="00AD2361">
        <w:rPr>
          <w:szCs w:val="22"/>
          <w:lang w:val="sr-Latn-ME"/>
        </w:rPr>
        <w:t>, terapija dapagliflozinom pokazala je smanjenje FPG u 24. nedjelji: -1,19 mmol/l (-21,46 mg/dl), u poređenju sa -0,27 mmol/l (-4,87 mg/dl) za placebo (p = 0,001).</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t>Postprandijalne koncentracije glukoze</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Terapija primjenom dapagliflozina u dozi od 10 mg kao dodatka terapiji glimepiridom u 24. nedjelji je dovela do statistički značajnih smanjenja koncentracije glukoze 2 sata nakon obroka, što se održalo do 48. nedjelje.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Terapija primjenom dapagliflozina u dozi od 10 mg kao dodatka terapiji sitagliptinom (sa metforminom ili bez njega), u 24. nedjelji je dovela do smanjenja koncentracije glukoze 2 sata nakon obroka, što se održalo do 48. nedjelje.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Kombinovana terapija dapagliflozinom u dozi od 10 mg i eksenatidom sa produženim oslobađanjem dovela je do značajno većeg smanjenja nivoa glukoze 2 sata nakon obroka u 28. nedjelji u poređenju sa bilo kojim od dva lijeka kada se primjenjuju zasebno.</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t>Tjelesna masa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Primjena dapagliflozina u dozi od 10 mg kao dodatka terapiji metforminom, glimepiridom, metforminom i sulfonilureom, sitagliptinom (sa metforminom ili bez njega) ili insulinom dovela je do statistički značajnog smanjenja tjelesne mase u 24. nedjelji (p &lt; 0,0001, tabele 4 i 5). Navedena dejstva održana su u dugoročnim studijama. U 48. nedjelji razlika za dapagliflozin kao dodatak sitagliptinu (sa metforminom ili bez njega) u poređenju sa placebom bila je -2,22 kg. U 102. nedjelji razlika za dapagliflozin kao dodatak metforminu u poređenju sa placebom bila je -2,14 kg, a razlika za dapagliflozin kao dodatak insulinu u poređenju sa placebom bila je -2,88 kg.</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Kao dodatak terapiji metforminom u aktivno-kontrolisanoj studiji neinferiornosti primjena dapagliflozina je u poređenju sa glipizidom dovela do statistički značajnog smanjenja tjelesne mase od -4,65 kg u 52. nedjelji (p &lt; 0,0001; tabela 3), što se održalo tokom 104 (-5,06 kg) i 208 nedjelja (</w:t>
      </w:r>
      <w:r w:rsidRPr="00AD2361">
        <w:rPr>
          <w:szCs w:val="22"/>
          <w:lang w:val="sr-Latn-ME"/>
        </w:rPr>
        <w:noBreakHyphen/>
        <w:t xml:space="preserve">4,38 kg). </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Kombinacija dapagliflozina u dozi od 10 mg i eksenatida sa produženim oslobađanjem pokazala je značajno veća smanjenja tjelesne mase u poređenju sa bilo kojim od dva lijeka kada se primjenjuju zasebno (tabela 8). </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U 24-nedjeljnoj studiji sprovedenoj kod 182 ispitanika sa dijabetesom, čiji je tjelesni sastav procijenjen dvoenergetskom rendgenskom apsorpciometrijom (eng. </w:t>
      </w:r>
      <w:r w:rsidRPr="00AD2361">
        <w:rPr>
          <w:i/>
          <w:szCs w:val="22"/>
          <w:lang w:val="sr-Latn-ME"/>
        </w:rPr>
        <w:t>dual energy X-ray absorptiometry</w:t>
      </w:r>
      <w:r w:rsidRPr="00AD2361">
        <w:rPr>
          <w:szCs w:val="22"/>
          <w:lang w:val="sr-Latn-ME"/>
        </w:rPr>
        <w:t>, DXA), pokazalo se da kod primjene dapagliflozina u dozi od 10 mg i metformina u poređenju sa placebom i metforminom dolazi do smanjenja tjelesne mase i mase masnog tkiva izmjerenog putem DXA, a ne do smanjenja mase nemasnog tkiva ili gubitka tečnosti. U podstudiji u kojoj je primijenjeno snimanje magnetnom rezonancom terapija dapagliflozinom i metforminom dovela je do smanjenja brojčane vrijednosti visceralnog masnog tkiva u odnosu na liječenje placebom i metforminom.</w:t>
      </w:r>
    </w:p>
    <w:p w:rsidR="00381844" w:rsidRPr="00AD2361" w:rsidRDefault="00381844" w:rsidP="00AD2361">
      <w:pPr>
        <w:widowControl w:val="0"/>
        <w:tabs>
          <w:tab w:val="clear" w:pos="567"/>
          <w:tab w:val="left" w:pos="0"/>
        </w:tabs>
        <w:spacing w:line="240" w:lineRule="auto"/>
        <w:rPr>
          <w:i/>
          <w:szCs w:val="22"/>
          <w:u w:val="single"/>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lastRenderedPageBreak/>
        <w:t>Krvni pritisak</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prethodno definisanoj analizi objedinjenih podataka iz 13 placebom-kontrolisanih studija u 24. nedjelji je terapija dapagliflozinom u dozi od 10 mg dovela do smanjenja sistolnog krvnog pritiska od -3,7 mmHg u odnosu na početnu vrijednost, a dijastolnog od -1,8 mmHg u poređenju sa -0,5 mmHg za sistolni i -0,5 mmHg za dijastolni krvni pritisak u grupi koja je primala placebo. Slična smanjenja primijećena su do 104 nedjelje.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Kombinovana terapija dapagliflozinom u dozi od 10 mg i eksenatidom sa produženim oslobađanjem dovela je do značajno većeg smanjenja sistolnog krvnog pritiska u 28. nedjelji (-4,3 mmHg), u poređenju sa samo dapagliflozinom (-1,8 mmHg; p &lt; 0,05) i samo eksenatidom sa produženim oslobađanjem (-1,2 mmHg; p &lt; 0,01).</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dvije 12-nedjeljne, placebom-kontrolisane studije su ukupno 1062 ispitanika sa neadekvatno kontrolisanim dijabetes melitusom tip 2 i hipertenzijom (uprkos prethodnoj stabilnoj terapiji ACE-inhibitorima ili ARB u jednoj studiji i ACE- inhibitorima ili ARB uz još jedan dodatni antihipertenziv u drugoj studiji) primala dapagliflozin u dozi od 10 mg ili placebo. U 12. nedjelji u obje studije, primjena dapagliflozina u dozi od 10 mg i uobičajene antidijabetesne terapije dovela je do poboljšanja HbA1c u prosjeku za 3,1 i smanjila placebom korigovan sistolni krvni pritisak u prosjeku za 4,3 mmHg.</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posebnoj studiji kod pacijenata sa dijabetes melitusom koji su imali eGFR ≥ 45 do &lt; 60 ml/min/1,73 m</w:t>
      </w:r>
      <w:r w:rsidRPr="00AD2361">
        <w:rPr>
          <w:szCs w:val="22"/>
          <w:vertAlign w:val="superscript"/>
          <w:lang w:val="sr-Latn-ME"/>
        </w:rPr>
        <w:t>2</w:t>
      </w:r>
      <w:r w:rsidRPr="00AD2361">
        <w:rPr>
          <w:szCs w:val="22"/>
          <w:lang w:val="sr-Latn-ME"/>
        </w:rPr>
        <w:t xml:space="preserve"> terapija dapagliflozinom pokazala je smanjenje sistolnog krvnog pritiska u sjedećem položaju u 24. nedjelji: -4,8 mmHg u poređenju sa -1,7 mmHg za placebo (p &lt; 0,05).</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i/>
          <w:szCs w:val="22"/>
          <w:u w:val="single"/>
          <w:lang w:val="sr-Latn-ME"/>
        </w:rPr>
      </w:pPr>
      <w:r w:rsidRPr="00AD2361">
        <w:rPr>
          <w:i/>
          <w:szCs w:val="22"/>
          <w:u w:val="single"/>
          <w:lang w:val="sr-Latn-ME"/>
        </w:rPr>
        <w:t>Kontrola glikemije kod pacijenata sa umjerenim oštećenjem funkcije bubrega CKD 3A</w:t>
      </w:r>
    </w:p>
    <w:p w:rsidR="00381844" w:rsidRPr="00AD2361" w:rsidRDefault="004529E0" w:rsidP="00AD2361">
      <w:pPr>
        <w:widowControl w:val="0"/>
        <w:tabs>
          <w:tab w:val="clear" w:pos="567"/>
          <w:tab w:val="left" w:pos="0"/>
        </w:tabs>
        <w:spacing w:line="240" w:lineRule="auto"/>
        <w:rPr>
          <w:i/>
          <w:szCs w:val="22"/>
          <w:u w:val="single"/>
          <w:lang w:val="sr-Latn-ME"/>
        </w:rPr>
      </w:pPr>
      <w:r w:rsidRPr="00AD2361">
        <w:rPr>
          <w:i/>
          <w:szCs w:val="22"/>
          <w:u w:val="single"/>
          <w:lang w:val="sr-Latn-ME"/>
        </w:rPr>
        <w:t>(eGFR ≥ 45 do &lt; 60 ml/min/1,73 m</w:t>
      </w:r>
      <w:r w:rsidRPr="00AD2361">
        <w:rPr>
          <w:i/>
          <w:szCs w:val="22"/>
          <w:u w:val="single"/>
          <w:vertAlign w:val="superscript"/>
          <w:lang w:val="sr-Latn-ME"/>
        </w:rPr>
        <w:t>2</w:t>
      </w:r>
      <w:r w:rsidRPr="00AD2361">
        <w:rPr>
          <w:i/>
          <w:szCs w:val="22"/>
          <w:u w:val="single"/>
          <w:lang w:val="sr-Latn-ME"/>
        </w:rPr>
        <w:t>)</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Efikasnost dapagliflozina procjenjivana je u posebnoj studiji kod pacijenata sa dijabetesom koji su imali eGFR ≥ 45 do &lt; 60 ml/min/1,73 m2 i neadekvatnu kontrolu glikemije u okviru uobičajene zdravstvene njege. Terapija dapagliflozinom dovela je do smanjenja HbA1c i tjelesne mase u poređenju sa placebom (tabela 9).</w:t>
      </w:r>
    </w:p>
    <w:p w:rsidR="00381844" w:rsidRPr="00AD2361" w:rsidRDefault="00381844" w:rsidP="00AD2361">
      <w:pPr>
        <w:widowControl w:val="0"/>
        <w:tabs>
          <w:tab w:val="clear" w:pos="567"/>
          <w:tab w:val="left" w:pos="0"/>
        </w:tabs>
        <w:spacing w:line="240" w:lineRule="auto"/>
        <w:rPr>
          <w:b/>
          <w:bCs/>
          <w:szCs w:val="22"/>
          <w:lang w:val="sr-Latn-ME"/>
        </w:rPr>
      </w:pPr>
    </w:p>
    <w:p w:rsidR="00381844" w:rsidRPr="00AD2361" w:rsidRDefault="004529E0" w:rsidP="00AD2361">
      <w:pPr>
        <w:widowControl w:val="0"/>
        <w:tabs>
          <w:tab w:val="clear" w:pos="567"/>
          <w:tab w:val="left" w:pos="0"/>
        </w:tabs>
        <w:spacing w:line="240" w:lineRule="auto"/>
        <w:rPr>
          <w:b/>
          <w:bCs/>
          <w:szCs w:val="22"/>
          <w:lang w:val="sr-Latn-ME"/>
        </w:rPr>
      </w:pPr>
      <w:r w:rsidRPr="00AD2361">
        <w:rPr>
          <w:b/>
          <w:bCs/>
          <w:szCs w:val="22"/>
          <w:lang w:val="sr-Latn-ME"/>
        </w:rPr>
        <w:t>Tabela 9. Rezultati u 24. nedjelji placebom-kontrolisane studije dapagliflozina kod pacijenata sa</w:t>
      </w:r>
    </w:p>
    <w:p w:rsidR="00381844" w:rsidRPr="00AD2361" w:rsidRDefault="004529E0" w:rsidP="00AD2361">
      <w:pPr>
        <w:widowControl w:val="0"/>
        <w:tabs>
          <w:tab w:val="clear" w:pos="567"/>
          <w:tab w:val="left" w:pos="0"/>
        </w:tabs>
        <w:spacing w:line="240" w:lineRule="auto"/>
        <w:rPr>
          <w:b/>
          <w:bCs/>
          <w:szCs w:val="22"/>
          <w:vertAlign w:val="superscript"/>
          <w:lang w:val="sr-Latn-ME"/>
        </w:rPr>
      </w:pPr>
      <w:r w:rsidRPr="00AD2361">
        <w:rPr>
          <w:b/>
          <w:bCs/>
          <w:szCs w:val="22"/>
          <w:lang w:val="sr-Latn-ME"/>
        </w:rPr>
        <w:t>dijabetesom koji su imali eGFR ≥ 45 do &lt; 60 ml/min/1,73 m</w:t>
      </w:r>
      <w:r w:rsidRPr="00AD2361">
        <w:rPr>
          <w:b/>
          <w:bCs/>
          <w:szCs w:val="22"/>
          <w:vertAlign w:val="superscript"/>
          <w:lang w:val="sr-Latn-ME"/>
        </w:rPr>
        <w:t>2</w:t>
      </w:r>
    </w:p>
    <w:p w:rsidR="00381844" w:rsidRPr="00AD2361" w:rsidRDefault="00381844" w:rsidP="00AD2361">
      <w:pPr>
        <w:widowControl w:val="0"/>
        <w:tabs>
          <w:tab w:val="clear" w:pos="567"/>
          <w:tab w:val="left" w:pos="0"/>
        </w:tabs>
        <w:spacing w:line="240" w:lineRule="auto"/>
        <w:rPr>
          <w:b/>
          <w:bCs/>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2843"/>
        <w:gridCol w:w="2360"/>
      </w:tblGrid>
      <w:tr w:rsidR="00381844" w:rsidRPr="00AD2361">
        <w:tc>
          <w:tcPr>
            <w:tcW w:w="2132" w:type="pct"/>
            <w:tcBorders>
              <w:top w:val="single" w:sz="4" w:space="0" w:color="auto"/>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rPr>
                <w:szCs w:val="22"/>
                <w:lang w:val="sr-Latn-ME"/>
              </w:rPr>
            </w:pPr>
          </w:p>
        </w:tc>
        <w:tc>
          <w:tcPr>
            <w:tcW w:w="1567"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Dapagliflozin 10 mg</w:t>
            </w:r>
            <w:r w:rsidRPr="00AD2361">
              <w:rPr>
                <w:szCs w:val="22"/>
                <w:vertAlign w:val="superscript"/>
                <w:lang w:val="sr-Latn-ME"/>
              </w:rPr>
              <w:t>a</w:t>
            </w:r>
          </w:p>
        </w:tc>
        <w:tc>
          <w:tcPr>
            <w:tcW w:w="1301"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Placebo</w:t>
            </w:r>
            <w:r w:rsidRPr="00AD2361">
              <w:rPr>
                <w:szCs w:val="22"/>
                <w:vertAlign w:val="superscript"/>
                <w:lang w:val="sr-Latn-ME"/>
              </w:rPr>
              <w:t>a</w:t>
            </w:r>
          </w:p>
        </w:tc>
      </w:tr>
      <w:tr w:rsidR="00381844" w:rsidRPr="00AD2361">
        <w:tc>
          <w:tcPr>
            <w:tcW w:w="2132"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vertAlign w:val="superscript"/>
                <w:lang w:val="sr-Latn-ME"/>
              </w:rPr>
            </w:pPr>
            <w:r w:rsidRPr="00AD2361">
              <w:rPr>
                <w:szCs w:val="22"/>
                <w:lang w:val="sr-Latn-ME"/>
              </w:rPr>
              <w:t>N</w:t>
            </w:r>
            <w:r w:rsidRPr="00AD2361">
              <w:rPr>
                <w:szCs w:val="22"/>
                <w:vertAlign w:val="superscript"/>
                <w:lang w:val="sr-Latn-ME"/>
              </w:rPr>
              <w:t>b</w:t>
            </w:r>
          </w:p>
        </w:tc>
        <w:tc>
          <w:tcPr>
            <w:tcW w:w="1567"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159</w:t>
            </w:r>
          </w:p>
        </w:tc>
        <w:tc>
          <w:tcPr>
            <w:tcW w:w="1301" w:type="pct"/>
            <w:tcBorders>
              <w:top w:val="single" w:sz="4" w:space="0" w:color="auto"/>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161</w:t>
            </w:r>
          </w:p>
        </w:tc>
      </w:tr>
      <w:tr w:rsidR="00381844" w:rsidRPr="00AD2361">
        <w:tc>
          <w:tcPr>
            <w:tcW w:w="2132" w:type="pct"/>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b/>
                <w:szCs w:val="22"/>
                <w:lang w:val="sr-Latn-ME"/>
              </w:rPr>
            </w:pPr>
            <w:r w:rsidRPr="00AD2361">
              <w:rPr>
                <w:b/>
                <w:szCs w:val="22"/>
                <w:lang w:val="sr-Latn-ME"/>
              </w:rPr>
              <w:t xml:space="preserve">HbA1c (%) </w:t>
            </w:r>
          </w:p>
          <w:p w:rsidR="00381844" w:rsidRPr="00AD2361" w:rsidRDefault="004529E0" w:rsidP="00AD2361">
            <w:pPr>
              <w:widowControl w:val="0"/>
              <w:tabs>
                <w:tab w:val="clear" w:pos="567"/>
                <w:tab w:val="left" w:pos="0"/>
              </w:tabs>
              <w:spacing w:line="240" w:lineRule="auto"/>
              <w:rPr>
                <w:b/>
                <w:szCs w:val="22"/>
                <w:lang w:val="sr-Latn-ME"/>
              </w:rPr>
            </w:pPr>
            <w:r w:rsidRPr="00AD2361">
              <w:rPr>
                <w:szCs w:val="22"/>
                <w:lang w:val="sr-Latn-ME"/>
              </w:rPr>
              <w:t>Početna vrijednost (srednja)</w:t>
            </w:r>
          </w:p>
        </w:tc>
        <w:tc>
          <w:tcPr>
            <w:tcW w:w="1567"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8,35</w:t>
            </w:r>
          </w:p>
        </w:tc>
        <w:tc>
          <w:tcPr>
            <w:tcW w:w="1301"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8,03</w:t>
            </w:r>
          </w:p>
        </w:tc>
      </w:tr>
      <w:tr w:rsidR="00381844" w:rsidRPr="00AD2361">
        <w:tc>
          <w:tcPr>
            <w:tcW w:w="2132"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Promjena u odnosu na početnu vrijednost</w:t>
            </w:r>
            <w:r w:rsidRPr="00AD2361">
              <w:rPr>
                <w:szCs w:val="22"/>
                <w:vertAlign w:val="superscript"/>
                <w:lang w:val="sr-Latn-ME"/>
              </w:rPr>
              <w:t>b</w:t>
            </w:r>
          </w:p>
        </w:tc>
        <w:tc>
          <w:tcPr>
            <w:tcW w:w="1567"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-0,37</w:t>
            </w:r>
          </w:p>
        </w:tc>
        <w:tc>
          <w:tcPr>
            <w:tcW w:w="1301"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-0,03</w:t>
            </w:r>
          </w:p>
        </w:tc>
      </w:tr>
      <w:tr w:rsidR="00381844" w:rsidRPr="00AD2361">
        <w:tc>
          <w:tcPr>
            <w:tcW w:w="2132"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odnosu na placebo</w:t>
            </w:r>
            <w:r w:rsidRPr="00AD2361">
              <w:rPr>
                <w:szCs w:val="22"/>
                <w:vertAlign w:val="superscript"/>
                <w:lang w:val="sr-Latn-ME"/>
              </w:rPr>
              <w:t>b</w:t>
            </w:r>
          </w:p>
        </w:tc>
        <w:tc>
          <w:tcPr>
            <w:tcW w:w="1567"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-0,34</w:t>
            </w:r>
            <w:r w:rsidRPr="00AD2361">
              <w:rPr>
                <w:szCs w:val="22"/>
                <w:vertAlign w:val="superscript"/>
                <w:lang w:val="sr-Latn-ME"/>
              </w:rPr>
              <w:t>*</w:t>
            </w:r>
          </w:p>
        </w:tc>
        <w:tc>
          <w:tcPr>
            <w:tcW w:w="1301"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132"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1567"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(-0,53; -0,15)</w:t>
            </w:r>
          </w:p>
        </w:tc>
        <w:tc>
          <w:tcPr>
            <w:tcW w:w="1301" w:type="pct"/>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132" w:type="pct"/>
            <w:tcBorders>
              <w:top w:val="single" w:sz="4" w:space="0" w:color="auto"/>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b/>
                <w:szCs w:val="22"/>
                <w:lang w:val="sr-Latn-ME"/>
              </w:rPr>
              <w:t>Tjelesna masa (kg)</w:t>
            </w:r>
          </w:p>
        </w:tc>
        <w:tc>
          <w:tcPr>
            <w:tcW w:w="1567"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c>
          <w:tcPr>
            <w:tcW w:w="1301" w:type="pct"/>
            <w:tcBorders>
              <w:top w:val="single" w:sz="4" w:space="0" w:color="auto"/>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132"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Početna vrijednost (srednja)</w:t>
            </w:r>
          </w:p>
        </w:tc>
        <w:tc>
          <w:tcPr>
            <w:tcW w:w="1567"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92,51</w:t>
            </w:r>
          </w:p>
        </w:tc>
        <w:tc>
          <w:tcPr>
            <w:tcW w:w="1301"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88,30</w:t>
            </w:r>
          </w:p>
        </w:tc>
      </w:tr>
      <w:tr w:rsidR="00381844" w:rsidRPr="00AD2361">
        <w:tc>
          <w:tcPr>
            <w:tcW w:w="2132"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Procentulna promjena u odnosu na početnu vrijednost</w:t>
            </w:r>
            <w:r w:rsidRPr="00AD2361">
              <w:rPr>
                <w:szCs w:val="22"/>
                <w:vertAlign w:val="superscript"/>
                <w:lang w:val="sr-Latn-ME"/>
              </w:rPr>
              <w:t>c</w:t>
            </w:r>
          </w:p>
        </w:tc>
        <w:tc>
          <w:tcPr>
            <w:tcW w:w="1567"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-3,42</w:t>
            </w:r>
          </w:p>
        </w:tc>
        <w:tc>
          <w:tcPr>
            <w:tcW w:w="1301"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-2,02</w:t>
            </w:r>
          </w:p>
        </w:tc>
      </w:tr>
      <w:tr w:rsidR="00381844" w:rsidRPr="00AD2361">
        <w:tc>
          <w:tcPr>
            <w:tcW w:w="2132" w:type="pct"/>
            <w:tcBorders>
              <w:top w:val="nil"/>
              <w:left w:val="nil"/>
              <w:bottom w:val="nil"/>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Razlika u procentualnoj promjenu u odnosu na placebo</w:t>
            </w:r>
            <w:r w:rsidRPr="00AD2361">
              <w:rPr>
                <w:szCs w:val="22"/>
                <w:vertAlign w:val="superscript"/>
                <w:lang w:val="sr-Latn-ME"/>
              </w:rPr>
              <w:t>c</w:t>
            </w:r>
          </w:p>
        </w:tc>
        <w:tc>
          <w:tcPr>
            <w:tcW w:w="1567" w:type="pct"/>
            <w:tcBorders>
              <w:top w:val="nil"/>
              <w:left w:val="nil"/>
              <w:bottom w:val="nil"/>
              <w:right w:val="nil"/>
            </w:tcBorders>
            <w:shd w:val="clear" w:color="auto" w:fill="auto"/>
            <w:vAlign w:val="center"/>
          </w:tcPr>
          <w:p w:rsidR="00381844" w:rsidRPr="00AD2361" w:rsidRDefault="00381844" w:rsidP="00AD2361">
            <w:pPr>
              <w:widowControl w:val="0"/>
              <w:tabs>
                <w:tab w:val="clear" w:pos="567"/>
                <w:tab w:val="left" w:pos="0"/>
              </w:tabs>
              <w:spacing w:line="240" w:lineRule="auto"/>
              <w:jc w:val="center"/>
              <w:rPr>
                <w:szCs w:val="22"/>
                <w:lang w:val="sr-Latn-ME"/>
              </w:rPr>
            </w:pP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-1,43</w:t>
            </w:r>
            <w:r w:rsidRPr="00AD2361">
              <w:rPr>
                <w:szCs w:val="22"/>
                <w:vertAlign w:val="superscript"/>
                <w:lang w:val="sr-Latn-ME"/>
              </w:rPr>
              <w:t>*</w:t>
            </w:r>
          </w:p>
        </w:tc>
        <w:tc>
          <w:tcPr>
            <w:tcW w:w="1301" w:type="pct"/>
            <w:tcBorders>
              <w:top w:val="nil"/>
              <w:left w:val="nil"/>
              <w:bottom w:val="nil"/>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132"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(95% CI)</w:t>
            </w:r>
          </w:p>
        </w:tc>
        <w:tc>
          <w:tcPr>
            <w:tcW w:w="1567" w:type="pct"/>
            <w:tcBorders>
              <w:top w:val="nil"/>
              <w:left w:val="nil"/>
              <w:bottom w:val="single" w:sz="4" w:space="0" w:color="auto"/>
              <w:right w:val="nil"/>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(-2,15; -0,69)</w:t>
            </w:r>
          </w:p>
        </w:tc>
        <w:tc>
          <w:tcPr>
            <w:tcW w:w="1301" w:type="pct"/>
            <w:tcBorders>
              <w:top w:val="nil"/>
              <w:left w:val="nil"/>
              <w:bottom w:val="single" w:sz="4" w:space="0" w:color="auto"/>
              <w:right w:val="nil"/>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bl>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a</w:t>
      </w:r>
      <w:r w:rsidRPr="00AD2361">
        <w:rPr>
          <w:sz w:val="18"/>
          <w:szCs w:val="22"/>
          <w:lang w:val="sr-Latn-ME"/>
        </w:rPr>
        <w:t xml:space="preserve"> Metformin ili metformin-hidrohlorid bili su dio uobičajene zdravstvene njege kod 69,4% pacijenata u grupi koja je primala dapagliflozin i 64,0% pacijenata u grupi koja je primala placebo.</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b</w:t>
      </w:r>
      <w:r w:rsidRPr="00AD2361">
        <w:rPr>
          <w:sz w:val="18"/>
          <w:szCs w:val="22"/>
          <w:lang w:val="sr-Latn-ME"/>
        </w:rPr>
        <w:t xml:space="preserve"> Srednja vrijednost najmanjih kvadrata prilagođena za početnu vrijednost.</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c</w:t>
      </w:r>
      <w:r w:rsidRPr="00AD2361">
        <w:rPr>
          <w:sz w:val="18"/>
          <w:szCs w:val="22"/>
          <w:lang w:val="sr-Latn-ME"/>
        </w:rPr>
        <w:t xml:space="preserve"> Izvedeno iz srednje vrijednosti najmanjih kvadrata prilagođene za početnu vrijednost.</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w:t>
      </w:r>
      <w:r w:rsidRPr="00AD2361">
        <w:rPr>
          <w:sz w:val="18"/>
          <w:szCs w:val="22"/>
          <w:lang w:val="sr-Latn-ME"/>
        </w:rPr>
        <w:t xml:space="preserve"> p &lt; 0,001.</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u w:val="single"/>
          <w:lang w:val="sr-Latn-ME"/>
        </w:rPr>
      </w:pPr>
      <w:r w:rsidRPr="00AD2361">
        <w:rPr>
          <w:i/>
          <w:szCs w:val="22"/>
          <w:u w:val="single"/>
          <w:lang w:val="sr-Latn-ME"/>
        </w:rPr>
        <w:t>Pacijenti sa početnim HbA1c ≥ 9%</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U prethodno definisanoj analizi ispitanika sa početnim HbA1c ≥ 9,0% terapija dapagliflozinom u dozi od 10 mg dovela je do statistički značajnih smanjenja HbA1c u 24. nedjelji, kao monoterapija (prilagođena srednja promjena u odnosu na početnu vrijednost: -2,04% za dapagliflozin u dozi od 10 </w:t>
      </w:r>
      <w:r w:rsidRPr="00AD2361">
        <w:rPr>
          <w:szCs w:val="22"/>
          <w:lang w:val="sr-Latn-ME"/>
        </w:rPr>
        <w:lastRenderedPageBreak/>
        <w:t>mg i 0,19% za placebo) i kao dodatak metforminu (prilagođena srednja promjena u odnosu na početnu vrijednost: -1,32% za dapagliflozin i -0,53% za placebo).</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u w:val="single"/>
          <w:lang w:val="sr-Latn-ME"/>
        </w:rPr>
      </w:pPr>
      <w:r w:rsidRPr="00AD2361">
        <w:rPr>
          <w:i/>
          <w:szCs w:val="22"/>
          <w:u w:val="single"/>
          <w:lang w:val="sr-Latn-ME"/>
        </w:rPr>
        <w:t>Kardiovaskularni i bubrežni ishodi</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DECLARE (eng. </w:t>
      </w:r>
      <w:r w:rsidRPr="00AD2361">
        <w:rPr>
          <w:i/>
          <w:szCs w:val="22"/>
          <w:lang w:val="sr-Latn-ME"/>
        </w:rPr>
        <w:t>Dapagliflozin Effect on Cardiovascular Events</w:t>
      </w:r>
      <w:r w:rsidRPr="00AD2361">
        <w:rPr>
          <w:szCs w:val="22"/>
          <w:lang w:val="sr-Latn-ME"/>
        </w:rPr>
        <w:t>) studija je bila internacionalna, multicentrična, randomizovana, dvostruko-slijepa, placebom-kontrolisana klinička studija sprovedena u cilju utvrđivanja dejstva dapagliflozina u poređenju sa placebom na kardiovaskularne ishode, kada se primjenjuju kao dodatak postojećoj osnovnoj terapiji. Svi pacijenti su imali dijabetes melitus tip 2 i najmanje dva dodatna kardiovaskularna faktora rizika (starost ≥ 55 kod muškaraca ili ≥ 60 godina kod žena i jedno ili više od sljedećeg: dislipidemija, hipertenzija ili aktivno pušenje) ili ustanovljeno kardiovaskularno oboljenje.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Od 17160 randomizovanih pacijenata 6974 (40,6%) je imalo ustanovljeno kardiovaskularno oboljenje, a 10186 (59,4%) nije imalo ustanovljeno kardiovaskularno oboljenje. Ukupno 8582 pacijenta su bila randomizovana da primaju dapagliflozin u dozi od 10 mg, a 8578 da primaju placebo i praćeni su tokom medijane od 4,2 godine.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Srednja vrijednost starosne dobi ispitivane populacije je bila 63,9 godina, a 37,4% pacijenata je bilo ženskog pola. Ukupno je 22,4% imalo dijabetes ≤ 5 godina, a srednje trajanje dijabetesa bilo je 11,9 godina. Srednja vrijednost HbA1c bila je 8,3%, a srednja vrijednost BMI 32,1 kg/m</w:t>
      </w:r>
      <w:r w:rsidRPr="00AD2361">
        <w:rPr>
          <w:szCs w:val="22"/>
          <w:vertAlign w:val="superscript"/>
          <w:lang w:val="sr-Latn-ME"/>
        </w:rPr>
        <w:t>2</w:t>
      </w:r>
      <w:r w:rsidRPr="00AD2361">
        <w:rPr>
          <w:szCs w:val="22"/>
          <w:lang w:val="sr-Latn-ME"/>
        </w:rPr>
        <w:t>.</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Na početku studije, 10,0% pacijenata je imalo srčanu insuficijenciju u anamnezi. Srednja vrijednost eGFR bila je 85,2 ml/min/1,73 m</w:t>
      </w:r>
      <w:r w:rsidRPr="00AD2361">
        <w:rPr>
          <w:szCs w:val="22"/>
          <w:vertAlign w:val="superscript"/>
          <w:lang w:val="sr-Latn-ME"/>
        </w:rPr>
        <w:t>2</w:t>
      </w:r>
      <w:r w:rsidRPr="00AD2361">
        <w:rPr>
          <w:szCs w:val="22"/>
          <w:lang w:val="sr-Latn-ME"/>
        </w:rPr>
        <w:t>, 7,4% pacijenata imalo je eGFR &lt; 60 ml/min/1,73 m</w:t>
      </w:r>
      <w:r w:rsidRPr="00AD2361">
        <w:rPr>
          <w:szCs w:val="22"/>
          <w:vertAlign w:val="superscript"/>
          <w:lang w:val="sr-Latn-ME"/>
        </w:rPr>
        <w:t>2</w:t>
      </w:r>
      <w:r w:rsidRPr="00AD2361">
        <w:rPr>
          <w:szCs w:val="22"/>
          <w:lang w:val="sr-Latn-ME"/>
        </w:rPr>
        <w:t>, a 30,3% pacijenata imalo je mikro ili makroalbuminuriju (UACR ≥ 30 do ≤ 300 mg/g, odnosno &gt; 300 mg/g).</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Većina pacijenata (98%) je na početku studije koristila jedan ili više antidijabetika, uključujući metformin (82%), insulin (41%) i sulfonilureu (43%).</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Primarni parametri praćenja bili su vrijeme do prve pojave velikog kardiovaskularnog neželjenog događaja (eng. </w:t>
      </w:r>
      <w:r w:rsidRPr="00AD2361">
        <w:rPr>
          <w:i/>
          <w:szCs w:val="22"/>
          <w:lang w:val="sr-Latn-ME"/>
        </w:rPr>
        <w:t>major adverse cardiovascular event</w:t>
      </w:r>
      <w:r w:rsidRPr="00AD2361">
        <w:rPr>
          <w:szCs w:val="22"/>
          <w:lang w:val="sr-Latn-ME"/>
        </w:rPr>
        <w:t>, MACE), koga čine smrt zbog kardiovaskularnog uzroka, infarkt miokarda ili ishemijski moždani udar, i vrijeme do prve pojave događaja koga čine hospitalizacija zbog srčane insuficijencije ili smrt zbog kardiovaskularnog uzroka. Sekundarni parametri praćenja bili su renalni kompozitni parametar praćenja i smrtnost zbog bilo kog uzroka.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Veliki kardiovaskularni neželjeni događaji</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Dapagliflozin u dozi od 10 mg pokazao je neinferiornost u odnosu na placebo u pogledu događaja koji se sastojao od smrti zbog kardiovaskularnog uzroka, infarkta miokarda ili ishemijskog moždanog udara (jednostrani p &lt; 0,001).</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Srčana insuficijencija ili smrt zbog kardiovaskularnog uzroka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Dapagliflozin u dozi od 10 mg pokazao je superiornost u odnosu na placebo u prevenciji događaja koji se sastojao od hospitalizacija zbog srčane insuficijencije ili smrti zbog kardiovaskularnog uzroka. Razlika u terapijskom dejstvu rezultat je hospitalizacije zbog srčane insuficijencije, dok nije bilo razlike u pogledu smrti zbog kardiovaskularnog uzroka.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Terapijska korist dapagliflozina u odnosu na placebo uočena je i kod pacijenata sa ustanovljenim kardiovaskularnim oboljenjem i bez njega, kod pacijenata sa srčanom insuficijencijom na početku studije i bez nje, i bila je konzistentna u svim ključnim podgrupama, uključujući one prema starosti, polu, funkciji bubrega (eGFR) i regionu.</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spacing w:line="240" w:lineRule="auto"/>
        <w:rPr>
          <w:b/>
          <w:bCs/>
          <w:szCs w:val="22"/>
          <w:lang w:val="sr-Latn-ME"/>
        </w:rPr>
      </w:pPr>
      <w:r w:rsidRPr="00AD2361">
        <w:rPr>
          <w:b/>
          <w:bCs/>
          <w:szCs w:val="22"/>
          <w:lang w:val="sr-Latn-ME"/>
        </w:rPr>
        <w:t>Slika 1: Vrijeme do pojave prve hospitalizacije usled srčane insuficijencije ili smrti zbog kardiovaskularnog uzroka</w:t>
      </w:r>
    </w:p>
    <w:p w:rsidR="00381844" w:rsidRPr="00AD2361" w:rsidRDefault="00AD2361" w:rsidP="00AD2361">
      <w:pPr>
        <w:widowControl w:val="0"/>
        <w:spacing w:line="240" w:lineRule="auto"/>
        <w:rPr>
          <w:b/>
          <w:bCs/>
          <w:szCs w:val="22"/>
          <w:lang w:val="sr-Latn-ME"/>
        </w:rPr>
      </w:pPr>
      <w:r>
        <w:rPr>
          <w:b/>
          <w:bCs/>
          <w:noProof/>
          <w:szCs w:val="22"/>
          <w:lang w:val="en-US"/>
        </w:rPr>
        <w:lastRenderedPageBreak/>
        <w:drawing>
          <wp:inline distT="0" distB="0" distL="0" distR="0" wp14:anchorId="560D99A7">
            <wp:extent cx="5566410" cy="3615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r="2762"/>
                    <a:stretch/>
                  </pic:blipFill>
                  <pic:spPr bwMode="auto">
                    <a:xfrm>
                      <a:off x="0" y="0"/>
                      <a:ext cx="5566410" cy="3615055"/>
                    </a:xfrm>
                    <a:prstGeom prst="rect">
                      <a:avLst/>
                    </a:prstGeom>
                    <a:noFill/>
                    <a:ln>
                      <a:noFill/>
                    </a:ln>
                    <a:extLst>
                      <a:ext uri="{53640926-AAD7-44D8-BBD7-CCE9431645EC}">
                        <a14:shadowObscured xmlns:a14="http://schemas.microsoft.com/office/drawing/2010/main"/>
                      </a:ext>
                    </a:extLst>
                  </pic:spPr>
                </pic:pic>
              </a:graphicData>
            </a:graphic>
          </wp:inline>
        </w:drawing>
      </w:r>
    </w:p>
    <w:p w:rsidR="00381844" w:rsidRPr="00AD2361" w:rsidRDefault="004529E0" w:rsidP="00AD2361">
      <w:pPr>
        <w:widowControl w:val="0"/>
        <w:spacing w:line="240" w:lineRule="auto"/>
        <w:rPr>
          <w:sz w:val="18"/>
          <w:szCs w:val="22"/>
          <w:lang w:val="sr-Latn-ME"/>
        </w:rPr>
      </w:pPr>
      <w:r w:rsidRPr="00AD2361">
        <w:rPr>
          <w:sz w:val="18"/>
          <w:szCs w:val="22"/>
          <w:lang w:val="sr-Latn-ME"/>
        </w:rPr>
        <w:t>Pacijenti pod rizikom odnose se na broj pacijenata kod kojih je postojao rizik na početku intervala.</w:t>
      </w:r>
    </w:p>
    <w:p w:rsidR="00381844" w:rsidRPr="00AD2361" w:rsidRDefault="004529E0" w:rsidP="00AD2361">
      <w:pPr>
        <w:widowControl w:val="0"/>
        <w:spacing w:line="240" w:lineRule="auto"/>
        <w:rPr>
          <w:sz w:val="18"/>
          <w:szCs w:val="22"/>
          <w:lang w:val="sr-Latn-ME"/>
        </w:rPr>
      </w:pPr>
      <w:r w:rsidRPr="00AD2361">
        <w:rPr>
          <w:sz w:val="18"/>
          <w:szCs w:val="22"/>
          <w:lang w:val="sr-Latn-ME"/>
        </w:rPr>
        <w:t xml:space="preserve">HR = odnos rizika; CI = interval pouzdanosti. </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Rezultati za primarne i sekundarne parametre praćenja prikazani su na Slici 2. Superiornost dapagliflozina nad placebom nije pokazana za MACE (p = 0,172). Stoga se renalni kompozitni parametar praćenja i smrtnost zbog bilo kog uzroka nisu testirali u sklopu postupka potvrdnog testiranja.</w:t>
      </w:r>
    </w:p>
    <w:p w:rsidR="00381844" w:rsidRPr="00AD2361" w:rsidRDefault="00381844" w:rsidP="00AD2361">
      <w:pPr>
        <w:widowControl w:val="0"/>
        <w:spacing w:line="240" w:lineRule="auto"/>
        <w:jc w:val="both"/>
        <w:rPr>
          <w:szCs w:val="22"/>
          <w:lang w:val="sr-Latn-ME"/>
        </w:rPr>
      </w:pPr>
    </w:p>
    <w:p w:rsidR="00381844" w:rsidRDefault="004529E0" w:rsidP="00AD2361">
      <w:pPr>
        <w:widowControl w:val="0"/>
        <w:spacing w:line="240" w:lineRule="auto"/>
        <w:rPr>
          <w:b/>
          <w:bCs/>
          <w:szCs w:val="22"/>
          <w:lang w:val="sr-Latn-ME"/>
        </w:rPr>
      </w:pPr>
      <w:r w:rsidRPr="00AD2361">
        <w:rPr>
          <w:b/>
          <w:bCs/>
          <w:szCs w:val="22"/>
          <w:lang w:val="sr-Latn-ME"/>
        </w:rPr>
        <w:t>Slika 2: Efekti liječenja na primarne objedinjene parametre praćenja i njihove komponente, kao i na sekundarne parametre praćenja i njihove komponente</w:t>
      </w:r>
    </w:p>
    <w:p w:rsidR="00AD2361" w:rsidRPr="00AD2361" w:rsidRDefault="00AD2361" w:rsidP="00AD2361">
      <w:pPr>
        <w:widowControl w:val="0"/>
        <w:spacing w:line="240" w:lineRule="auto"/>
        <w:rPr>
          <w:b/>
          <w:bCs/>
          <w:szCs w:val="22"/>
          <w:lang w:val="sr-Latn-ME"/>
        </w:rPr>
      </w:pPr>
      <w:r>
        <w:rPr>
          <w:b/>
          <w:bCs/>
          <w:noProof/>
          <w:szCs w:val="22"/>
          <w:lang w:val="en-US"/>
        </w:rPr>
        <w:drawing>
          <wp:inline distT="0" distB="0" distL="0" distR="0" wp14:anchorId="4783754F">
            <wp:extent cx="5566410" cy="3017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6410" cy="3017520"/>
                    </a:xfrm>
                    <a:prstGeom prst="rect">
                      <a:avLst/>
                    </a:prstGeom>
                    <a:noFill/>
                  </pic:spPr>
                </pic:pic>
              </a:graphicData>
            </a:graphic>
          </wp:inline>
        </w:drawing>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lang w:val="sr-Latn-ME"/>
        </w:rPr>
        <w:t>Objedinjena mjera bubrežnih ishoda definiše se kao: održano potvrđeno smanjenje eGFR-a za ≥ 40% do vrijednosti eGFR-a &lt; 60 ml/min/1,73 m</w:t>
      </w:r>
      <w:r w:rsidRPr="00AD2361">
        <w:rPr>
          <w:sz w:val="18"/>
          <w:szCs w:val="22"/>
          <w:vertAlign w:val="superscript"/>
          <w:lang w:val="sr-Latn-ME"/>
        </w:rPr>
        <w:t>2</w:t>
      </w:r>
      <w:r w:rsidRPr="00AD2361">
        <w:rPr>
          <w:sz w:val="18"/>
          <w:szCs w:val="22"/>
          <w:lang w:val="sr-Latn-ME"/>
        </w:rPr>
        <w:t xml:space="preserve"> i/ili završni stadijum bubrežne bolesti (dijaliza ≥ 90 dana ili presađivanje bubrega, održan potvrđen eGFR &lt; 15 ml/min/1,73 m</w:t>
      </w:r>
      <w:r w:rsidRPr="00AD2361">
        <w:rPr>
          <w:sz w:val="18"/>
          <w:szCs w:val="22"/>
          <w:vertAlign w:val="superscript"/>
          <w:lang w:val="sr-Latn-ME"/>
        </w:rPr>
        <w:t>2</w:t>
      </w:r>
      <w:r w:rsidRPr="00AD2361">
        <w:rPr>
          <w:sz w:val="18"/>
          <w:szCs w:val="22"/>
          <w:lang w:val="sr-Latn-ME"/>
        </w:rPr>
        <w:t xml:space="preserve"> ) i/ili smrt zbog bubrežnog ili kardiovaskularnog uzroka.</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lang w:val="sr-Latn-ME"/>
        </w:rPr>
        <w:t xml:space="preserve">p-vrijednosti su dvostrane. p-vrijednosti za sekundarne parametre praćenja i pojedinačne komponente su nominalne. Vrijeme do prvog događaja analiziralo se upotrebom Cox-ovog modela proporcionalnih rizika. Broj prvih događaja za pojedinačne komponente označava stvaran broj prvih događaja za svaku pojedinačnu komponentu i njihov zbir ne odgovara broju događaja objedinjenog parametra praćenja. </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lang w:val="sr-Latn-ME"/>
        </w:rPr>
        <w:t>CI = interval pouzdanosti.</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Nefropatija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Dapagliflozin je smanjio incidencu događaja kompozitnog parametra praćenja koji je obuhvatao potvrđeno održivo smanjenje eGFR, završni stadijum bolesti bubrega i smrt zbog bubrežnog ili kardiovaskularnog uzroka. Razlika između grupa proizilazi iz smanjenog broja događaja renalnih komponenti: održivog smanjenja eGFR, završnog stadijuma bolesti bubrega i smrti zbog bubrežnog uzroka.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Odnos hazarda (eng. </w:t>
      </w:r>
      <w:r w:rsidRPr="00AD2361">
        <w:rPr>
          <w:i/>
          <w:szCs w:val="22"/>
          <w:lang w:val="sr-Latn-ME"/>
        </w:rPr>
        <w:t>Hazard Ratio</w:t>
      </w:r>
      <w:r w:rsidRPr="00AD2361">
        <w:rPr>
          <w:szCs w:val="22"/>
          <w:lang w:val="sr-Latn-ME"/>
        </w:rPr>
        <w:t>, HR) za vrijeme do nefropatije (održivo smanjenje eGFR, završni stadijum bolesti bubrega i smrt zbog bubrežnog uzroka) bio je 0,53 (95% CI 0,43; 0,66) za dapagliflozin u odnosu na placebo.</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Osim toga, dapagliflozin je smanjio nove pojave održive albuminurije (HR 0,79 [95% CI 0,72; 0,87]) i</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doveo do veće regresije makroalbuminurije (HR 1,82 [95% CI 1,51; 2,20]) u poređenju sa placebom.</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szCs w:val="22"/>
          <w:u w:val="single"/>
          <w:lang w:val="sr-Latn-ME"/>
        </w:rPr>
      </w:pPr>
      <w:r w:rsidRPr="00AD2361">
        <w:rPr>
          <w:szCs w:val="22"/>
          <w:u w:val="single"/>
          <w:lang w:val="sr-Latn-ME"/>
        </w:rPr>
        <w:t>Srčana insuficijencija</w:t>
      </w:r>
    </w:p>
    <w:p w:rsidR="00381844" w:rsidRPr="00AD2361" w:rsidRDefault="00381844" w:rsidP="00AD2361">
      <w:pPr>
        <w:widowControl w:val="0"/>
        <w:tabs>
          <w:tab w:val="clear" w:pos="567"/>
          <w:tab w:val="left" w:pos="0"/>
        </w:tabs>
        <w:spacing w:line="240" w:lineRule="auto"/>
        <w:rPr>
          <w:szCs w:val="22"/>
          <w:u w:val="single"/>
          <w:lang w:val="sr-Latn-ME"/>
        </w:rPr>
      </w:pPr>
    </w:p>
    <w:p w:rsidR="00381844" w:rsidRPr="00AD2361" w:rsidRDefault="004529E0" w:rsidP="00AD2361">
      <w:pPr>
        <w:widowControl w:val="0"/>
        <w:tabs>
          <w:tab w:val="clear" w:pos="567"/>
          <w:tab w:val="left" w:pos="0"/>
        </w:tabs>
        <w:spacing w:line="240" w:lineRule="auto"/>
        <w:rPr>
          <w:i/>
          <w:szCs w:val="22"/>
          <w:u w:val="single"/>
          <w:lang w:val="sr-Latn-ME"/>
        </w:rPr>
      </w:pPr>
      <w:r w:rsidRPr="00AD2361">
        <w:rPr>
          <w:i/>
          <w:szCs w:val="22"/>
          <w:u w:val="single"/>
          <w:lang w:val="sr-Latn-ME"/>
        </w:rPr>
        <w:t>DAPA-HF studija: Srčana insuficijencija sa smanjenom ejekcionom frakcijom (LVEF ≤ 40%)</w:t>
      </w:r>
    </w:p>
    <w:p w:rsidR="00381844" w:rsidRPr="00AD2361" w:rsidRDefault="00381844" w:rsidP="00AD2361">
      <w:pPr>
        <w:widowControl w:val="0"/>
        <w:tabs>
          <w:tab w:val="clear" w:pos="567"/>
          <w:tab w:val="left" w:pos="0"/>
        </w:tabs>
        <w:spacing w:line="240" w:lineRule="auto"/>
        <w:rPr>
          <w:szCs w:val="22"/>
          <w:u w:val="single"/>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i/>
          <w:iCs/>
          <w:szCs w:val="22"/>
          <w:lang w:val="sr-Latn-ME"/>
        </w:rPr>
        <w:t>Dapagliflozin And Prevention of Adverse outcomes in Heart Failure</w:t>
      </w:r>
      <w:r w:rsidRPr="00AD2361">
        <w:rPr>
          <w:szCs w:val="22"/>
          <w:lang w:val="sr-Latn-ME"/>
        </w:rPr>
        <w:t xml:space="preserve"> (DAPA-HF) studija je bila internacionalna, multicentrična, randomizovana, dvostruko-slijepa, placebom-kontrolisana studija kod pacijenata sa srčanom insuficijencijom (</w:t>
      </w:r>
      <w:r w:rsidRPr="00AD2361">
        <w:rPr>
          <w:i/>
          <w:szCs w:val="22"/>
          <w:lang w:val="sr-Latn-ME"/>
        </w:rPr>
        <w:t>New York Heart Association</w:t>
      </w:r>
      <w:r w:rsidRPr="00AD2361">
        <w:rPr>
          <w:szCs w:val="22"/>
          <w:lang w:val="sr-Latn-ME"/>
        </w:rPr>
        <w:t xml:space="preserve"> [NYHA] funkcionalne klase II – IV) sa smanjenom ejekcionom frakcijom (ejekciona frakcija lijeve komore [eng. </w:t>
      </w:r>
      <w:r w:rsidRPr="00AD2361">
        <w:rPr>
          <w:i/>
          <w:szCs w:val="22"/>
          <w:lang w:val="sr-Latn-ME"/>
        </w:rPr>
        <w:t>left ventricular ejection fraction</w:t>
      </w:r>
      <w:r w:rsidRPr="00AD2361">
        <w:rPr>
          <w:szCs w:val="22"/>
          <w:lang w:val="sr-Latn-ME"/>
        </w:rPr>
        <w:t>, LVEF] ≤ 40%), sa ciljem da se odredi efekat dapagliflozina u poređenju sa placebom, kada se doda na postojeću standardnu terapiju, na incidencu smrti zbog kardiovaskularnog uzroka i pogoršanja srčane insuficijencije.</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Od 4744 pacijenata 2373 je randomizovano da prima dapagliflozin u dozi od 10 mg i 2371 da prima placebo, a medijana praćenja iznosila je 18 mjeseci. Srednja vrijednost starosne dobi ispitivane populacije je bila 66 godina, a 77% pacijenata je bilo muškog pola.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Na početku studije, 67,5% pacijenata je klasifikovano u NYHA klasu II, 31,6% klasu III i 0,9% klasu IV, medijana vrijednosti LVEF je bila 32%; 56% srčanih insuficijencija je bilo ishemijske etiologije, 36% neishemijske, a 8% nepoznate. U svakoj terapijskoj grupi 42% pacijenata je imalo dijabetes melitus tip 2 u anamnezi, a dodatnih 3% pacijenata u svakoj grupi je klasifikovano kao pacijenti koji imaju dijabetes melitus tip 2 na osnovu vrijednosti HbA1c ≥ 6,5% i prilikom uključivanja u studiju i prilikom randomizacije. Pacijenti su bili na standardnoj terapiji; 94% pacijenata je liječeno ACE-inhibitorima, ARB ili inhibitorima angiotenzinskog receptora i neprilizina (eng. </w:t>
      </w:r>
      <w:r w:rsidRPr="00AD2361">
        <w:rPr>
          <w:i/>
          <w:szCs w:val="22"/>
          <w:lang w:val="sr-Latn-ME"/>
        </w:rPr>
        <w:t>angiotensin receptor-neprilysin inhibitor</w:t>
      </w:r>
      <w:r w:rsidRPr="00AD2361">
        <w:rPr>
          <w:szCs w:val="22"/>
          <w:lang w:val="sr-Latn-ME"/>
        </w:rPr>
        <w:t xml:space="preserve">, ARNI, 11%), 96% beta-blokatorima, 71% antagonistima mineralokortikoidnih receptora (eng. </w:t>
      </w:r>
      <w:r w:rsidRPr="00AD2361">
        <w:rPr>
          <w:i/>
          <w:szCs w:val="22"/>
          <w:lang w:val="sr-Latn-ME"/>
        </w:rPr>
        <w:t>mineralocorticoid receptor antagonist</w:t>
      </w:r>
      <w:r w:rsidRPr="00AD2361">
        <w:rPr>
          <w:szCs w:val="22"/>
          <w:lang w:val="sr-Latn-ME"/>
        </w:rPr>
        <w:t xml:space="preserve">, MRA), 93% diureticima, a 26% je imalo implantabilno medicinsko sredstvo (sa funkcijom defibrilatora). </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studiju su uključeni pacijenti kojima je eGFR u trenutku uključivanja iznosila ≥ 30 ml/min/1,73 m</w:t>
      </w:r>
      <w:r w:rsidRPr="00AD2361">
        <w:rPr>
          <w:szCs w:val="22"/>
          <w:vertAlign w:val="superscript"/>
          <w:lang w:val="sr-Latn-ME"/>
        </w:rPr>
        <w:t>2</w:t>
      </w:r>
      <w:r w:rsidRPr="00AD2361">
        <w:rPr>
          <w:szCs w:val="22"/>
          <w:lang w:val="sr-Latn-ME"/>
        </w:rPr>
        <w:t>. Srednja vrijednost eGFR je bila 66 ml/min/1,73 m</w:t>
      </w:r>
      <w:r w:rsidRPr="00AD2361">
        <w:rPr>
          <w:szCs w:val="22"/>
          <w:vertAlign w:val="superscript"/>
          <w:lang w:val="sr-Latn-ME"/>
        </w:rPr>
        <w:t>2</w:t>
      </w:r>
      <w:r w:rsidRPr="00AD2361">
        <w:rPr>
          <w:szCs w:val="22"/>
          <w:lang w:val="sr-Latn-ME"/>
        </w:rPr>
        <w:t>, 41% pacijenata je imalo eGFR &lt; 60ml/min/1,73 m</w:t>
      </w:r>
      <w:r w:rsidRPr="00AD2361">
        <w:rPr>
          <w:szCs w:val="22"/>
          <w:vertAlign w:val="superscript"/>
          <w:lang w:val="sr-Latn-ME"/>
        </w:rPr>
        <w:t>2</w:t>
      </w:r>
      <w:r w:rsidRPr="00AD2361">
        <w:rPr>
          <w:szCs w:val="22"/>
          <w:lang w:val="sr-Latn-ME"/>
        </w:rPr>
        <w:t>, a 15% je imalo eGFR &lt; 45 ml/min/1,73 m</w:t>
      </w:r>
      <w:r w:rsidRPr="00AD2361">
        <w:rPr>
          <w:szCs w:val="22"/>
          <w:vertAlign w:val="superscript"/>
          <w:lang w:val="sr-Latn-ME"/>
        </w:rPr>
        <w:t>2</w:t>
      </w:r>
      <w:r w:rsidRPr="00AD2361">
        <w:rPr>
          <w:szCs w:val="22"/>
          <w:lang w:val="sr-Latn-ME"/>
        </w:rPr>
        <w:t>.</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Smrt zbog kardiovaskularnog uzroka i pogoršanje srčane insuficijencije</w:t>
      </w:r>
    </w:p>
    <w:p w:rsidR="00381844" w:rsidRPr="00AD2361" w:rsidRDefault="004529E0" w:rsidP="00AD2361">
      <w:pPr>
        <w:widowControl w:val="0"/>
        <w:spacing w:line="240" w:lineRule="auto"/>
        <w:rPr>
          <w:szCs w:val="22"/>
          <w:lang w:val="sr-Latn-ME"/>
        </w:rPr>
      </w:pPr>
      <w:r w:rsidRPr="00AD2361">
        <w:rPr>
          <w:szCs w:val="22"/>
          <w:lang w:val="sr-Latn-ME"/>
        </w:rPr>
        <w:t>Dapagliflozin je bio superioran u odnosu na placebo u prevenciji primarnog kompozitnog parametra praćenja smrti zbog kardiovaskularnog uzroka, hospitalizacije zbog srčane insuficijencije ili hitne posjete zbog srčane insuficijencije (HR 0,74 [95% CI 0,65; 0,85], p &lt; 0,0001). Efekat je uočen rano i održao se tokom trajanja studije (Slika 3).</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rPr>
          <w:b/>
          <w:bCs/>
          <w:szCs w:val="22"/>
          <w:lang w:val="sr-Latn-ME"/>
        </w:rPr>
      </w:pPr>
      <w:r w:rsidRPr="00AD2361">
        <w:rPr>
          <w:b/>
          <w:bCs/>
          <w:szCs w:val="22"/>
          <w:lang w:val="sr-Latn-ME"/>
        </w:rPr>
        <w:t>Slika 3: Vrijeme do pojave prvog nastupa događaja iz objedinjenog parametra praćenja koji je obuhvatao smrt zbog kardiovaskularnog uzroka, hospitalizaciju zbog srčane insuficijencije ili hitnu posjetu ljekaru zbog srčane insuficijencije</w:t>
      </w:r>
    </w:p>
    <w:p w:rsidR="00381844" w:rsidRPr="00AD2361" w:rsidRDefault="00AD2361" w:rsidP="00AD2361">
      <w:pPr>
        <w:widowControl w:val="0"/>
        <w:spacing w:line="240" w:lineRule="auto"/>
        <w:rPr>
          <w:szCs w:val="22"/>
          <w:lang w:val="sr-Latn-ME"/>
        </w:rPr>
      </w:pPr>
      <w:r>
        <w:rPr>
          <w:noProof/>
          <w:sz w:val="18"/>
          <w:szCs w:val="22"/>
          <w:lang w:val="en-US"/>
        </w:rPr>
        <w:lastRenderedPageBreak/>
        <w:drawing>
          <wp:inline distT="0" distB="0" distL="0" distR="0" wp14:anchorId="00E79F9D" wp14:editId="50E2FB1D">
            <wp:extent cx="5114925" cy="37922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4925" cy="3792220"/>
                    </a:xfrm>
                    <a:prstGeom prst="rect">
                      <a:avLst/>
                    </a:prstGeom>
                    <a:noFill/>
                  </pic:spPr>
                </pic:pic>
              </a:graphicData>
            </a:graphic>
          </wp:inline>
        </w:drawing>
      </w:r>
    </w:p>
    <w:p w:rsidR="00381844" w:rsidRPr="00AD2361" w:rsidRDefault="004529E0" w:rsidP="00AD2361">
      <w:pPr>
        <w:widowControl w:val="0"/>
        <w:spacing w:line="240" w:lineRule="auto"/>
        <w:jc w:val="both"/>
        <w:rPr>
          <w:sz w:val="18"/>
          <w:szCs w:val="22"/>
          <w:lang w:val="sr-Latn-ME"/>
        </w:rPr>
      </w:pPr>
      <w:r w:rsidRPr="00AD2361">
        <w:rPr>
          <w:sz w:val="18"/>
          <w:szCs w:val="22"/>
          <w:lang w:val="sr-Latn-ME"/>
        </w:rPr>
        <w:t xml:space="preserve">Hitna posjeta ljekaru zbog srčane insuficijencije definiše se kao hitna i neplanirana ocjena ljekara, npr. u hitnoj službi, koja je zahtijevala liječenje zbog pogoršanja srčane insuficijencije (osim liječenja koje se odnosi samo na povećanje doze oralnih diuretika). </w:t>
      </w:r>
    </w:p>
    <w:p w:rsidR="00381844" w:rsidRDefault="004529E0" w:rsidP="00AD2361">
      <w:pPr>
        <w:widowControl w:val="0"/>
        <w:tabs>
          <w:tab w:val="clear" w:pos="567"/>
          <w:tab w:val="left" w:pos="0"/>
        </w:tabs>
        <w:spacing w:line="240" w:lineRule="auto"/>
        <w:jc w:val="both"/>
        <w:rPr>
          <w:sz w:val="18"/>
          <w:szCs w:val="22"/>
          <w:lang w:val="sr-Latn-ME"/>
        </w:rPr>
      </w:pPr>
      <w:r w:rsidRPr="00AD2361">
        <w:rPr>
          <w:sz w:val="18"/>
          <w:szCs w:val="22"/>
          <w:lang w:val="sr-Latn-ME"/>
        </w:rPr>
        <w:t>Pojam „pacijenti pod rizikom“ odnosi se na broj pacijenata izloženih riziku na početku pojedinačnog intervala.</w:t>
      </w:r>
    </w:p>
    <w:p w:rsidR="00AD2361" w:rsidRDefault="00AD2361"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Sve tri komponente primarnog kompozitnog parametra praćenja su pojedinačno doprinosile efektu liječenja (Slika 4). Broj hitnih posjeta zbog srčane insuficijencije je bio mali.</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spacing w:line="240" w:lineRule="auto"/>
        <w:rPr>
          <w:b/>
          <w:bCs/>
          <w:szCs w:val="22"/>
          <w:lang w:val="sr-Latn-ME"/>
        </w:rPr>
      </w:pPr>
      <w:r w:rsidRPr="00AD2361">
        <w:rPr>
          <w:b/>
          <w:bCs/>
          <w:szCs w:val="22"/>
          <w:lang w:val="sr-Latn-ME"/>
        </w:rPr>
        <w:t>Slika 4: Terapijski efekti za primarni objedinjeni parameter praćenja, njegove komponente i smrtnost zbog bilo kojeg uzroka</w:t>
      </w:r>
    </w:p>
    <w:p w:rsidR="00381844" w:rsidRPr="00AD2361" w:rsidRDefault="00AD2361" w:rsidP="00AD2361">
      <w:pPr>
        <w:widowControl w:val="0"/>
        <w:spacing w:line="240" w:lineRule="auto"/>
        <w:jc w:val="center"/>
        <w:rPr>
          <w:b/>
          <w:bCs/>
          <w:szCs w:val="22"/>
          <w:lang w:val="sr-Latn-ME"/>
        </w:rPr>
      </w:pPr>
      <w:r>
        <w:rPr>
          <w:b/>
          <w:bCs/>
          <w:noProof/>
          <w:szCs w:val="22"/>
          <w:lang w:val="en-US"/>
        </w:rPr>
        <w:drawing>
          <wp:inline distT="0" distB="0" distL="0" distR="0" wp14:anchorId="3E5BFE4A">
            <wp:extent cx="5334486" cy="3762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7388" cy="3771475"/>
                    </a:xfrm>
                    <a:prstGeom prst="rect">
                      <a:avLst/>
                    </a:prstGeom>
                    <a:noFill/>
                  </pic:spPr>
                </pic:pic>
              </a:graphicData>
            </a:graphic>
          </wp:inline>
        </w:drawing>
      </w:r>
    </w:p>
    <w:p w:rsidR="00381844" w:rsidRPr="00AD2361" w:rsidRDefault="00381844" w:rsidP="00AD2361">
      <w:pPr>
        <w:widowControl w:val="0"/>
        <w:spacing w:line="240" w:lineRule="auto"/>
        <w:rPr>
          <w:b/>
          <w:bCs/>
          <w:szCs w:val="22"/>
          <w:lang w:val="sr-Latn-ME"/>
        </w:rPr>
      </w:pP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spacing w:line="240" w:lineRule="auto"/>
        <w:jc w:val="both"/>
        <w:rPr>
          <w:sz w:val="18"/>
          <w:szCs w:val="22"/>
          <w:lang w:val="sr-Latn-ME"/>
        </w:rPr>
      </w:pPr>
      <w:r w:rsidRPr="00AD2361">
        <w:rPr>
          <w:sz w:val="18"/>
          <w:szCs w:val="22"/>
          <w:lang w:val="sr-Latn-ME"/>
        </w:rPr>
        <w:t xml:space="preserve">Hitna posjeta ljekaru zbog srčane insuficijencije definiše se kao hitna i neplanirana ocjena ljekara, npr. u hitnoj službi, koja je zahtijevala liječenje zbog pogoršanja srčane insuficijencije (osim liječenja koje se odnosi samo na povećanje doze oralnih diuretika). </w:t>
      </w:r>
    </w:p>
    <w:p w:rsidR="00381844" w:rsidRPr="00AD2361" w:rsidRDefault="004529E0" w:rsidP="00AD2361">
      <w:pPr>
        <w:widowControl w:val="0"/>
        <w:spacing w:line="240" w:lineRule="auto"/>
        <w:jc w:val="both"/>
        <w:rPr>
          <w:sz w:val="18"/>
          <w:szCs w:val="22"/>
          <w:lang w:val="sr-Latn-ME"/>
        </w:rPr>
      </w:pPr>
      <w:r w:rsidRPr="00AD2361">
        <w:rPr>
          <w:sz w:val="18"/>
          <w:szCs w:val="22"/>
          <w:lang w:val="sr-Latn-ME"/>
        </w:rPr>
        <w:t xml:space="preserve">Broj prvih događaja za pojedinačne komponente označava stvaran broj prvih događaja za svaku pojedinačnu komponentu i njihov zbir ne odgovara broju događaja objedinjenog parametra praćenja. </w:t>
      </w:r>
    </w:p>
    <w:p w:rsidR="00381844" w:rsidRPr="00AD2361" w:rsidRDefault="004529E0" w:rsidP="00AD2361">
      <w:pPr>
        <w:widowControl w:val="0"/>
        <w:spacing w:line="240" w:lineRule="auto"/>
        <w:jc w:val="both"/>
        <w:rPr>
          <w:sz w:val="18"/>
          <w:szCs w:val="22"/>
          <w:lang w:val="sr-Latn-ME"/>
        </w:rPr>
      </w:pPr>
      <w:r w:rsidRPr="00AD2361">
        <w:rPr>
          <w:sz w:val="18"/>
          <w:szCs w:val="22"/>
          <w:lang w:val="sr-Latn-ME"/>
        </w:rPr>
        <w:t>Stope događaja navedene su kao broj ispitanika s događajem na 100 pacijent-godina praćenja. p-vrijednosti za pojedinačne komponente i smrtnost zbog bilo kojeg uzroka nominalne su vrijednosti.</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Dapagliflozin je takođe smanjio ukupan broj događaja hospitalizacije zbog srčane insuficijencije (prve i ponavljane) i smrti zbog kardiovaskularnog uzroka; bilo je 567 događaja u dapagliflozin grupi u odnosu na 742 događaja u placebo grupi (odnos stopa (eng. </w:t>
      </w:r>
      <w:r w:rsidRPr="00AD2361">
        <w:rPr>
          <w:i/>
          <w:szCs w:val="22"/>
          <w:lang w:val="sr-Latn-ME"/>
        </w:rPr>
        <w:t>Rate Ratio</w:t>
      </w:r>
      <w:r w:rsidRPr="00AD2361">
        <w:rPr>
          <w:szCs w:val="22"/>
          <w:lang w:val="sr-Latn-ME"/>
        </w:rPr>
        <w:t>) 0,75 [95% CI 0,65; 0,88]; p=0,0002).</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Terapijska korist dapagliflozina je uočena kod pacijenata sa srčanom insuficijencijom i kod pacijenata sa dijabetes melitusom tip 2 i kod onih bez dijabetesa. Dapagliflozin je smanjio primarni kompozitni parametar praćenja učestalosti smrti zbog kardiovaskularnog uzroka i pogoršanja srčane insuficijencije uz HR od 0,75 (95% CI 0,63; 0,90) kod pacijenata sa dijabetesom i 0,73 (95% CI 0,60; 0,88) kod pacijenata bez dijabetesa.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Terapijska korist dapagliflozina u odnosu na placebo, a u pogledu primarnog parametra praćenja je takođe bila konzistentna kroz ostale ključne podgrupe, uključujući istovremeno primjenjivanu terapiju za srčanu insuficijenciju, funkciju bubrega (eGFR), starost, pol i region.</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Ishodi prema prijavama pacijenata – simptomi srčane insuficijencije</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Efekti liječenja dapagliflozinom na simptome srčane insuficijencije su procjenjivani ukupnim skorom za simptome u upitniku o kardiomiopatiji Kanzas Sitija (eng. </w:t>
      </w:r>
      <w:r w:rsidRPr="00AD2361">
        <w:rPr>
          <w:i/>
          <w:szCs w:val="22"/>
          <w:lang w:val="sr-Latn-ME"/>
        </w:rPr>
        <w:t>Total Symptom Score of the Kansas City Cardiomyopathy Questionnaire</w:t>
      </w:r>
      <w:r w:rsidRPr="00AD2361">
        <w:rPr>
          <w:szCs w:val="22"/>
          <w:lang w:val="sr-Latn-ME"/>
        </w:rPr>
        <w:t>, KCCQ-TSS) koji kvantifikuje učestalost i težinu simptoma srčane insuficijencije, uključujući zamaranje, periferni edem, dispneu i ortopneu. Skor je u rasponu od 0 do 100, pri čemu veći skor predstavlja bolji zdravstveni status.</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Liječenje dapagliflozinom je dovelo do statistički i klinički značajne koristi u odnosu na placebo, kod simptoma srčane insuficijencije, što je mjereno promjenom vrijednosti KCCQ-TSS u 8. mjesecu u odnosu na početne vrijednosti (</w:t>
      </w:r>
      <w:r w:rsidRPr="00AD2361">
        <w:rPr>
          <w:i/>
          <w:szCs w:val="22"/>
          <w:lang w:val="sr-Latn-ME"/>
        </w:rPr>
        <w:t>Win Ratio</w:t>
      </w:r>
      <w:r w:rsidRPr="00AD2361">
        <w:rPr>
          <w:szCs w:val="22"/>
          <w:lang w:val="sr-Latn-ME"/>
        </w:rPr>
        <w:t xml:space="preserve"> 1,18 [95% CI 1,11; 1,26]; p &lt; 0,0001). Rezultatima su doprinijeli i učestalost simptoma i opterećenje simptomima. Korist je uočena i u poboljšanju simptoma srčane insuficijencije i u prevenciji pogoršanja simptoma srčane insuficijencije.</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U analizama pacijenata sa odgovorom udio pacijenata sa klinički značajnim poboljšanjem u KCCQ-TSS (definisano kao 5 ili više poena) u 8. mjesecu u odnosu na početne vrijednosti je bio veći u grupi koja je primala dapagliflozin u poređenju sa placebom. Udio pacijenata sa klinički značajnim pogoršanjem (definisano kao 5 ili više poena) je bio manji u grupi koja je primala dapagliflozin u poređenju sa placebom. Koristi uočene sa dapagliflozinom su se zadržale i kod primjene konzervativnijih graničnih vrijednosti koje podrazumevaju veću razliku za klinički značaj (tabela 10).</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b/>
          <w:bCs/>
          <w:szCs w:val="22"/>
          <w:lang w:val="sr-Latn-ME"/>
        </w:rPr>
      </w:pPr>
      <w:r w:rsidRPr="00AD2361">
        <w:rPr>
          <w:b/>
          <w:bCs/>
          <w:szCs w:val="22"/>
          <w:lang w:val="sr-Latn-ME"/>
        </w:rPr>
        <w:t>Tabela 10. Broj i procenat pacijenata sa klinički značajnim poboljšanjem i pogoršanjem u KCCQ-TSS u 8. mjesecu</w:t>
      </w:r>
    </w:p>
    <w:p w:rsidR="00381844" w:rsidRPr="00AD2361" w:rsidRDefault="00381844" w:rsidP="00AD2361">
      <w:pPr>
        <w:widowControl w:val="0"/>
        <w:tabs>
          <w:tab w:val="clear" w:pos="567"/>
          <w:tab w:val="left" w:pos="0"/>
        </w:tabs>
        <w:spacing w:line="240" w:lineRule="auto"/>
        <w:rPr>
          <w:szCs w:val="22"/>
          <w:lang w:val="sr-Latn-ME"/>
        </w:rPr>
      </w:pPr>
    </w:p>
    <w:tbl>
      <w:tblPr>
        <w:tblW w:w="8789" w:type="dxa"/>
        <w:tblLook w:val="04A0" w:firstRow="1" w:lastRow="0" w:firstColumn="1" w:lastColumn="0" w:noHBand="0" w:noVBand="1"/>
      </w:tblPr>
      <w:tblGrid>
        <w:gridCol w:w="2410"/>
        <w:gridCol w:w="1701"/>
        <w:gridCol w:w="1701"/>
        <w:gridCol w:w="1701"/>
        <w:gridCol w:w="1276"/>
      </w:tblGrid>
      <w:tr w:rsidR="00381844" w:rsidRPr="00AD2361">
        <w:tc>
          <w:tcPr>
            <w:tcW w:w="2410"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b/>
                <w:szCs w:val="22"/>
                <w:lang w:val="sr-Latn-ME"/>
              </w:rPr>
              <w:t>Promjena u 8 mjesecu u odnosu na početnu vrijednost:</w:t>
            </w:r>
          </w:p>
        </w:tc>
        <w:tc>
          <w:tcPr>
            <w:tcW w:w="1701"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Dapagliflozin 10 mg</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N</w:t>
            </w:r>
            <w:r w:rsidRPr="00AD2361">
              <w:rPr>
                <w:b/>
                <w:szCs w:val="22"/>
                <w:vertAlign w:val="superscript"/>
                <w:lang w:val="sr-Latn-ME"/>
              </w:rPr>
              <w:t>a</w:t>
            </w:r>
            <w:r w:rsidRPr="00AD2361">
              <w:rPr>
                <w:b/>
                <w:szCs w:val="22"/>
                <w:lang w:val="sr-Latn-ME"/>
              </w:rPr>
              <w:t>=2086</w:t>
            </w:r>
          </w:p>
        </w:tc>
        <w:tc>
          <w:tcPr>
            <w:tcW w:w="1701"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Placebo</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N</w:t>
            </w:r>
            <w:r w:rsidRPr="00AD2361">
              <w:rPr>
                <w:b/>
                <w:szCs w:val="22"/>
                <w:vertAlign w:val="superscript"/>
                <w:lang w:val="sr-Latn-ME"/>
              </w:rPr>
              <w:t>a</w:t>
            </w:r>
            <w:r w:rsidRPr="00AD2361">
              <w:rPr>
                <w:b/>
                <w:szCs w:val="22"/>
                <w:lang w:val="sr-Latn-ME"/>
              </w:rPr>
              <w:t>=2062</w:t>
            </w:r>
          </w:p>
        </w:tc>
        <w:tc>
          <w:tcPr>
            <w:tcW w:w="2977" w:type="dxa"/>
            <w:gridSpan w:val="2"/>
            <w:tcBorders>
              <w:top w:val="single" w:sz="4" w:space="0" w:color="auto"/>
              <w:bottom w:val="single" w:sz="4" w:space="0" w:color="auto"/>
            </w:tcBorders>
            <w:shd w:val="clear" w:color="auto" w:fill="auto"/>
          </w:tcPr>
          <w:p w:rsidR="00381844" w:rsidRPr="00AD2361" w:rsidRDefault="00381844" w:rsidP="00AD2361">
            <w:pPr>
              <w:widowControl w:val="0"/>
              <w:tabs>
                <w:tab w:val="clear" w:pos="567"/>
                <w:tab w:val="left" w:pos="0"/>
              </w:tabs>
              <w:spacing w:line="240" w:lineRule="auto"/>
              <w:jc w:val="center"/>
              <w:rPr>
                <w:szCs w:val="22"/>
                <w:lang w:val="sr-Latn-ME"/>
              </w:rPr>
            </w:pPr>
          </w:p>
        </w:tc>
      </w:tr>
      <w:tr w:rsidR="00381844" w:rsidRPr="00AD2361">
        <w:tc>
          <w:tcPr>
            <w:tcW w:w="2410"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rPr>
                <w:b/>
                <w:i/>
                <w:szCs w:val="22"/>
                <w:lang w:val="sr-Latn-ME"/>
              </w:rPr>
            </w:pPr>
            <w:r w:rsidRPr="00AD2361">
              <w:rPr>
                <w:b/>
                <w:i/>
                <w:szCs w:val="22"/>
                <w:lang w:val="sr-Latn-ME"/>
              </w:rPr>
              <w:t>Poboljšanje</w:t>
            </w:r>
          </w:p>
        </w:tc>
        <w:tc>
          <w:tcPr>
            <w:tcW w:w="1701"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N (%) sa poboljšanjem</w:t>
            </w:r>
            <w:r w:rsidRPr="00AD2361">
              <w:rPr>
                <w:b/>
                <w:szCs w:val="22"/>
                <w:vertAlign w:val="superscript"/>
                <w:lang w:val="sr-Latn-ME"/>
              </w:rPr>
              <w:t>b</w:t>
            </w:r>
          </w:p>
        </w:tc>
        <w:tc>
          <w:tcPr>
            <w:tcW w:w="1701"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N (%) sa poboljšanjem</w:t>
            </w:r>
            <w:r w:rsidRPr="00AD2361">
              <w:rPr>
                <w:b/>
                <w:szCs w:val="22"/>
                <w:vertAlign w:val="superscript"/>
                <w:lang w:val="sr-Latn-ME"/>
              </w:rPr>
              <w:t>b</w:t>
            </w:r>
          </w:p>
        </w:tc>
        <w:tc>
          <w:tcPr>
            <w:tcW w:w="1701"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b/>
                <w:szCs w:val="22"/>
                <w:vertAlign w:val="superscript"/>
                <w:lang w:val="sr-Latn-ME"/>
              </w:rPr>
            </w:pPr>
            <w:r w:rsidRPr="00AD2361">
              <w:rPr>
                <w:b/>
                <w:i/>
                <w:szCs w:val="22"/>
                <w:lang w:val="sr-Latn-ME"/>
              </w:rPr>
              <w:t>Odds</w:t>
            </w:r>
            <w:r w:rsidRPr="00AD2361">
              <w:rPr>
                <w:b/>
                <w:szCs w:val="22"/>
                <w:lang w:val="sr-Latn-ME"/>
              </w:rPr>
              <w:t xml:space="preserve"> </w:t>
            </w:r>
            <w:r w:rsidRPr="00AD2361">
              <w:rPr>
                <w:b/>
                <w:i/>
                <w:szCs w:val="22"/>
                <w:lang w:val="sr-Latn-ME"/>
              </w:rPr>
              <w:t>ratio</w:t>
            </w:r>
            <w:r w:rsidRPr="00AD2361">
              <w:rPr>
                <w:b/>
                <w:szCs w:val="22"/>
                <w:vertAlign w:val="superscript"/>
                <w:lang w:val="sr-Latn-ME"/>
              </w:rPr>
              <w:t>c</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(95% CI)</w:t>
            </w:r>
          </w:p>
        </w:tc>
        <w:tc>
          <w:tcPr>
            <w:tcW w:w="1276"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p-vrijednost</w:t>
            </w:r>
            <w:r w:rsidRPr="00AD2361">
              <w:rPr>
                <w:b/>
                <w:szCs w:val="22"/>
                <w:vertAlign w:val="superscript"/>
                <w:lang w:val="sr-Latn-ME"/>
              </w:rPr>
              <w:t>f</w:t>
            </w:r>
          </w:p>
        </w:tc>
      </w:tr>
      <w:tr w:rsidR="00381844" w:rsidRPr="00AD2361">
        <w:tc>
          <w:tcPr>
            <w:tcW w:w="2410" w:type="dxa"/>
            <w:tcBorders>
              <w:top w:val="single" w:sz="4" w:space="0" w:color="auto"/>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 5 poena</w:t>
            </w:r>
          </w:p>
        </w:tc>
        <w:tc>
          <w:tcPr>
            <w:tcW w:w="1701" w:type="dxa"/>
            <w:tcBorders>
              <w:top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933 (44,7)</w:t>
            </w:r>
          </w:p>
        </w:tc>
        <w:tc>
          <w:tcPr>
            <w:tcW w:w="1701" w:type="dxa"/>
            <w:tcBorders>
              <w:top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794 (38,5)</w:t>
            </w:r>
          </w:p>
        </w:tc>
        <w:tc>
          <w:tcPr>
            <w:tcW w:w="1701" w:type="dxa"/>
            <w:tcBorders>
              <w:top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1,14</w:t>
            </w: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(1,06; 1,22)</w:t>
            </w:r>
          </w:p>
        </w:tc>
        <w:tc>
          <w:tcPr>
            <w:tcW w:w="1276" w:type="dxa"/>
            <w:tcBorders>
              <w:top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0,0002</w:t>
            </w:r>
          </w:p>
        </w:tc>
      </w:tr>
      <w:tr w:rsidR="00381844" w:rsidRPr="00AD2361">
        <w:tc>
          <w:tcPr>
            <w:tcW w:w="2410" w:type="dxa"/>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 10 poena</w:t>
            </w:r>
          </w:p>
        </w:tc>
        <w:tc>
          <w:tcPr>
            <w:tcW w:w="1701" w:type="dxa"/>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689 (33,0)</w:t>
            </w:r>
          </w:p>
        </w:tc>
        <w:tc>
          <w:tcPr>
            <w:tcW w:w="1701" w:type="dxa"/>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579 (28,1)</w:t>
            </w:r>
          </w:p>
        </w:tc>
        <w:tc>
          <w:tcPr>
            <w:tcW w:w="1701" w:type="dxa"/>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1,13</w:t>
            </w: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(1,05; 1,22)</w:t>
            </w:r>
          </w:p>
        </w:tc>
        <w:tc>
          <w:tcPr>
            <w:tcW w:w="1276" w:type="dxa"/>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0,0018</w:t>
            </w:r>
          </w:p>
        </w:tc>
      </w:tr>
      <w:tr w:rsidR="00381844" w:rsidRPr="00AD2361">
        <w:tc>
          <w:tcPr>
            <w:tcW w:w="2410" w:type="dxa"/>
            <w:tcBorders>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 15 poena</w:t>
            </w:r>
          </w:p>
        </w:tc>
        <w:tc>
          <w:tcPr>
            <w:tcW w:w="1701" w:type="dxa"/>
            <w:tcBorders>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474 (22,7)</w:t>
            </w:r>
          </w:p>
        </w:tc>
        <w:tc>
          <w:tcPr>
            <w:tcW w:w="1701" w:type="dxa"/>
            <w:tcBorders>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406 (19,7)</w:t>
            </w:r>
          </w:p>
        </w:tc>
        <w:tc>
          <w:tcPr>
            <w:tcW w:w="1701" w:type="dxa"/>
            <w:tcBorders>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1,10</w:t>
            </w: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(1,01; 1,19)</w:t>
            </w:r>
          </w:p>
        </w:tc>
        <w:tc>
          <w:tcPr>
            <w:tcW w:w="1276" w:type="dxa"/>
            <w:tcBorders>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0,0300</w:t>
            </w:r>
          </w:p>
        </w:tc>
      </w:tr>
      <w:tr w:rsidR="00381844" w:rsidRPr="00AD2361">
        <w:tc>
          <w:tcPr>
            <w:tcW w:w="2410"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rPr>
                <w:b/>
                <w:i/>
                <w:szCs w:val="22"/>
                <w:lang w:val="sr-Latn-ME"/>
              </w:rPr>
            </w:pPr>
            <w:r w:rsidRPr="00AD2361">
              <w:rPr>
                <w:b/>
                <w:i/>
                <w:szCs w:val="22"/>
                <w:lang w:val="sr-Latn-ME"/>
              </w:rPr>
              <w:t>Pogoršanje</w:t>
            </w:r>
          </w:p>
        </w:tc>
        <w:tc>
          <w:tcPr>
            <w:tcW w:w="1701"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N (%) sa pogoršanjem</w:t>
            </w:r>
            <w:r w:rsidRPr="00AD2361">
              <w:rPr>
                <w:b/>
                <w:szCs w:val="22"/>
                <w:vertAlign w:val="superscript"/>
                <w:lang w:val="sr-Latn-ME"/>
              </w:rPr>
              <w:t>d</w:t>
            </w:r>
          </w:p>
        </w:tc>
        <w:tc>
          <w:tcPr>
            <w:tcW w:w="1701"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N (%) sa pogoršanjem</w:t>
            </w:r>
            <w:r w:rsidRPr="00AD2361">
              <w:rPr>
                <w:b/>
                <w:szCs w:val="22"/>
                <w:vertAlign w:val="superscript"/>
                <w:lang w:val="sr-Latn-ME"/>
              </w:rPr>
              <w:t>d</w:t>
            </w:r>
          </w:p>
        </w:tc>
        <w:tc>
          <w:tcPr>
            <w:tcW w:w="1701"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i/>
                <w:szCs w:val="22"/>
                <w:lang w:val="sr-Latn-ME"/>
              </w:rPr>
              <w:t>Odds ratio</w:t>
            </w:r>
            <w:r w:rsidRPr="00AD2361">
              <w:rPr>
                <w:b/>
                <w:szCs w:val="22"/>
                <w:vertAlign w:val="superscript"/>
                <w:lang w:val="sr-Latn-ME"/>
              </w:rPr>
              <w:t>e</w:t>
            </w:r>
          </w:p>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(95% CI)</w:t>
            </w:r>
          </w:p>
        </w:tc>
        <w:tc>
          <w:tcPr>
            <w:tcW w:w="1276" w:type="dxa"/>
            <w:tcBorders>
              <w:top w:val="single" w:sz="4" w:space="0" w:color="auto"/>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b/>
                <w:szCs w:val="22"/>
                <w:lang w:val="sr-Latn-ME"/>
              </w:rPr>
            </w:pPr>
            <w:r w:rsidRPr="00AD2361">
              <w:rPr>
                <w:b/>
                <w:szCs w:val="22"/>
                <w:lang w:val="sr-Latn-ME"/>
              </w:rPr>
              <w:t>p-vrijednost</w:t>
            </w:r>
            <w:r w:rsidRPr="00AD2361">
              <w:rPr>
                <w:b/>
                <w:szCs w:val="22"/>
                <w:vertAlign w:val="superscript"/>
                <w:lang w:val="sr-Latn-ME"/>
              </w:rPr>
              <w:t>f</w:t>
            </w:r>
          </w:p>
        </w:tc>
      </w:tr>
      <w:tr w:rsidR="00381844" w:rsidRPr="00AD2361">
        <w:tc>
          <w:tcPr>
            <w:tcW w:w="2410" w:type="dxa"/>
            <w:tcBorders>
              <w:top w:val="single" w:sz="4" w:space="0" w:color="auto"/>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lastRenderedPageBreak/>
              <w:t>≥ 5 poena</w:t>
            </w:r>
          </w:p>
        </w:tc>
        <w:tc>
          <w:tcPr>
            <w:tcW w:w="1701" w:type="dxa"/>
            <w:tcBorders>
              <w:top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537 (25,7)</w:t>
            </w:r>
          </w:p>
        </w:tc>
        <w:tc>
          <w:tcPr>
            <w:tcW w:w="1701" w:type="dxa"/>
            <w:tcBorders>
              <w:top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693 (33,6)</w:t>
            </w:r>
          </w:p>
        </w:tc>
        <w:tc>
          <w:tcPr>
            <w:tcW w:w="1701" w:type="dxa"/>
            <w:tcBorders>
              <w:top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0,84</w:t>
            </w: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(0,78; 0,89)</w:t>
            </w:r>
          </w:p>
        </w:tc>
        <w:tc>
          <w:tcPr>
            <w:tcW w:w="1276" w:type="dxa"/>
            <w:tcBorders>
              <w:top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&lt;0,0001</w:t>
            </w:r>
          </w:p>
        </w:tc>
      </w:tr>
      <w:tr w:rsidR="00381844" w:rsidRPr="00AD2361">
        <w:tc>
          <w:tcPr>
            <w:tcW w:w="2410" w:type="dxa"/>
            <w:tcBorders>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rPr>
                <w:szCs w:val="22"/>
                <w:lang w:val="sr-Latn-ME"/>
              </w:rPr>
            </w:pPr>
            <w:r w:rsidRPr="00AD2361">
              <w:rPr>
                <w:szCs w:val="22"/>
                <w:lang w:val="sr-Latn-ME"/>
              </w:rPr>
              <w:t>≥ 10 poena</w:t>
            </w:r>
          </w:p>
        </w:tc>
        <w:tc>
          <w:tcPr>
            <w:tcW w:w="1701" w:type="dxa"/>
            <w:tcBorders>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395 (18,9)</w:t>
            </w:r>
          </w:p>
        </w:tc>
        <w:tc>
          <w:tcPr>
            <w:tcW w:w="1701" w:type="dxa"/>
            <w:tcBorders>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506 (24,5)</w:t>
            </w:r>
          </w:p>
        </w:tc>
        <w:tc>
          <w:tcPr>
            <w:tcW w:w="1701" w:type="dxa"/>
            <w:tcBorders>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0,85</w:t>
            </w:r>
          </w:p>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(0,79; 0,92)</w:t>
            </w:r>
          </w:p>
        </w:tc>
        <w:tc>
          <w:tcPr>
            <w:tcW w:w="1276" w:type="dxa"/>
            <w:tcBorders>
              <w:bottom w:val="single" w:sz="4" w:space="0" w:color="auto"/>
            </w:tcBorders>
            <w:shd w:val="clear" w:color="auto" w:fill="auto"/>
          </w:tcPr>
          <w:p w:rsidR="00381844" w:rsidRPr="00AD2361" w:rsidRDefault="004529E0" w:rsidP="00AD2361">
            <w:pPr>
              <w:widowControl w:val="0"/>
              <w:tabs>
                <w:tab w:val="clear" w:pos="567"/>
                <w:tab w:val="left" w:pos="0"/>
              </w:tabs>
              <w:spacing w:line="240" w:lineRule="auto"/>
              <w:jc w:val="center"/>
              <w:rPr>
                <w:szCs w:val="22"/>
                <w:lang w:val="sr-Latn-ME"/>
              </w:rPr>
            </w:pPr>
            <w:r w:rsidRPr="00AD2361">
              <w:rPr>
                <w:szCs w:val="22"/>
                <w:lang w:val="sr-Latn-ME"/>
              </w:rPr>
              <w:t>&lt;0,0001</w:t>
            </w:r>
          </w:p>
        </w:tc>
      </w:tr>
    </w:tbl>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a</w:t>
      </w:r>
      <w:r w:rsidRPr="00AD2361">
        <w:rPr>
          <w:sz w:val="18"/>
          <w:szCs w:val="22"/>
          <w:lang w:val="sr-Latn-ME"/>
        </w:rPr>
        <w:t xml:space="preserve"> Broj pacijenata sa određenim KCCQ-TSS ili koji su preminuli prije 8. mjeseca.</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b</w:t>
      </w:r>
      <w:r w:rsidRPr="00AD2361">
        <w:rPr>
          <w:sz w:val="18"/>
          <w:szCs w:val="22"/>
          <w:lang w:val="sr-Latn-ME"/>
        </w:rPr>
        <w:t xml:space="preserve"> Broj pacijenata kod kojih je uočeno poboljšanje od najmanje 5, 10 ili 15 poena u odnosu na početne vrijednosti. Pacijenti koji su preminuli prije određenog trenutka presjeka se broje u pacijente bez poboljšanja.</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c</w:t>
      </w:r>
      <w:r w:rsidRPr="00AD2361">
        <w:rPr>
          <w:sz w:val="18"/>
          <w:szCs w:val="22"/>
          <w:lang w:val="sr-Latn-ME"/>
        </w:rPr>
        <w:t xml:space="preserve"> Za poboljšanje, </w:t>
      </w:r>
      <w:r w:rsidRPr="00AD2361">
        <w:rPr>
          <w:i/>
          <w:sz w:val="18"/>
          <w:szCs w:val="22"/>
          <w:lang w:val="sr-Latn-ME"/>
        </w:rPr>
        <w:t>Odds ratio</w:t>
      </w:r>
      <w:r w:rsidRPr="00AD2361">
        <w:rPr>
          <w:sz w:val="18"/>
          <w:szCs w:val="22"/>
          <w:lang w:val="sr-Latn-ME"/>
        </w:rPr>
        <w:t xml:space="preserve"> &gt; 1 pokazuje prednost dapagliflozina u dozi od 10 mg.</w:t>
      </w:r>
    </w:p>
    <w:p w:rsidR="00381844" w:rsidRPr="00AD2361" w:rsidRDefault="004529E0" w:rsidP="00AD2361">
      <w:pPr>
        <w:widowControl w:val="0"/>
        <w:tabs>
          <w:tab w:val="clear" w:pos="567"/>
          <w:tab w:val="left" w:pos="0"/>
        </w:tabs>
        <w:spacing w:line="240" w:lineRule="auto"/>
        <w:jc w:val="both"/>
        <w:rPr>
          <w:sz w:val="18"/>
          <w:szCs w:val="22"/>
          <w:lang w:val="sr-Latn-ME"/>
        </w:rPr>
      </w:pPr>
      <w:r w:rsidRPr="00AD2361">
        <w:rPr>
          <w:sz w:val="18"/>
          <w:szCs w:val="22"/>
          <w:vertAlign w:val="superscript"/>
          <w:lang w:val="sr-Latn-ME"/>
        </w:rPr>
        <w:t>d</w:t>
      </w:r>
      <w:r w:rsidRPr="00AD2361">
        <w:rPr>
          <w:sz w:val="18"/>
          <w:szCs w:val="22"/>
          <w:lang w:val="sr-Latn-ME"/>
        </w:rPr>
        <w:t xml:space="preserve"> Broj pacijenata kod kojih je uočeno pogoršanje od najmanje 5 ili 10 poena u odnosu na početne vrijednosti. Pacijenti koji su preminuli prije određenog trenutka presjeka se broje u pacijente sa pogoršanjem.</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e</w:t>
      </w:r>
      <w:r w:rsidRPr="00AD2361">
        <w:rPr>
          <w:sz w:val="18"/>
          <w:szCs w:val="22"/>
          <w:lang w:val="sr-Latn-ME"/>
        </w:rPr>
        <w:t xml:space="preserve"> Za pogoršanje, </w:t>
      </w:r>
      <w:r w:rsidRPr="00AD2361">
        <w:rPr>
          <w:i/>
          <w:sz w:val="18"/>
          <w:szCs w:val="22"/>
          <w:lang w:val="sr-Latn-ME"/>
        </w:rPr>
        <w:t>Odds ratio</w:t>
      </w:r>
      <w:r w:rsidRPr="00AD2361">
        <w:rPr>
          <w:sz w:val="18"/>
          <w:szCs w:val="22"/>
          <w:lang w:val="sr-Latn-ME"/>
        </w:rPr>
        <w:t xml:space="preserve"> &lt; 1 pokazuje prednost dapagliflozina u dozi od 10 mg.</w:t>
      </w:r>
    </w:p>
    <w:p w:rsidR="00381844" w:rsidRPr="00AD2361" w:rsidRDefault="004529E0" w:rsidP="00AD2361">
      <w:pPr>
        <w:widowControl w:val="0"/>
        <w:tabs>
          <w:tab w:val="clear" w:pos="567"/>
          <w:tab w:val="left" w:pos="0"/>
        </w:tabs>
        <w:spacing w:line="240" w:lineRule="auto"/>
        <w:rPr>
          <w:sz w:val="18"/>
          <w:szCs w:val="22"/>
          <w:lang w:val="sr-Latn-ME"/>
        </w:rPr>
      </w:pPr>
      <w:r w:rsidRPr="00AD2361">
        <w:rPr>
          <w:sz w:val="18"/>
          <w:szCs w:val="22"/>
          <w:vertAlign w:val="superscript"/>
          <w:lang w:val="sr-Latn-ME"/>
        </w:rPr>
        <w:t>f</w:t>
      </w:r>
      <w:r w:rsidRPr="00AD2361">
        <w:rPr>
          <w:sz w:val="18"/>
          <w:szCs w:val="22"/>
          <w:lang w:val="sr-Latn-ME"/>
        </w:rPr>
        <w:t xml:space="preserve"> p-vrijednosti su nominalne.</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lang w:val="sr-Latn-ME"/>
        </w:rPr>
        <w:t>Nefropatija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Bilo je nekoliko događaja renalnog kompozitnog parametra praćenja (potvrđeno održivo sniženje eGFR ≥ 50%, završni stadijum bolesti bubrega, ili smrt zbog bubrežnog uzroka); incidenca je bila 1,2% u dapagliflozin grupi i 1,6% u placebo grupi.</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spacing w:line="240" w:lineRule="auto"/>
        <w:rPr>
          <w:i/>
          <w:szCs w:val="22"/>
          <w:lang w:val="sr-Latn-ME"/>
        </w:rPr>
      </w:pPr>
      <w:r w:rsidRPr="00AD2361">
        <w:rPr>
          <w:i/>
          <w:szCs w:val="22"/>
          <w:u w:val="single"/>
          <w:lang w:val="sr-Latn-ME"/>
        </w:rPr>
        <w:t>DELIVER studija: Srčana insuficijencija sa ejekcionom frakcijom lijeve komore &gt; 40%</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Dapagliflozin Evaluation to Improve the LIVEs of Patients with PReserved Ejection Fraction Heart Insufiance (DELIVER) bila je međunarodna, multicentrična, randomizovana, dvostruko slijepa, placebo-kontrolisana studija na pacijentima starosti ≥ 40 godina sa srčanom insuficijencijom (NYHA klasa II-IV) sa LVEF &gt; 40% i dokazom o strukturnoj srčanoj bolesti, kako bi se odredio efekat dapagliflozina u poređenju sa placebom na incidencu kardiovaskularne smrti i pogoršanja srčane insuficijencije.</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Od 6263 pacijenta 3131 je randomizovano na dapagliflozin od 10 mg, a 3132 na placebo i praćeno je sa medijanom od 28 mjeseci. Studija je uključila 654 (10%) pacijenata sa subakutnom srčanom insuficijencijom (definisani kao randomizovani tokom hospitalizacije zbog srčane insuficijencije ili unutar 30 dana nakon otpuštanja). Prosječna starost ispitivane populacije bila je 72 godine, a 56% su bili muškarci.</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Na početku 75% pacijenata je klasifikovano kao NYHA klasa II, 24% kao klasa III i 0,3% kao klasa IV. Vrijednost medijane LVEF je bila 54%, 34% pacijenata je imalo LVEF ≤ 49%, 36% je imalo LVEF 50-59%, a 30% je imalo LVEF ≥ 60%. U svakoj liječenoj grupi 45% je imalo u anamnezi dijabetes melitus tipa 2. Osnovna terapija uključivala je ACEi/ARB/ARNI (77%), beta-blokatore (83%) diuretike (98%) i MRA (43%).</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Prosječna vrijednosti eGFR je bila 61 mL/min/1,73 m</w:t>
      </w:r>
      <w:r w:rsidRPr="00AD2361">
        <w:rPr>
          <w:szCs w:val="22"/>
          <w:vertAlign w:val="superscript"/>
          <w:lang w:val="sr-Latn-ME"/>
        </w:rPr>
        <w:t>2</w:t>
      </w:r>
      <w:r w:rsidRPr="00AD2361">
        <w:rPr>
          <w:szCs w:val="22"/>
          <w:lang w:val="sr-Latn-ME"/>
        </w:rPr>
        <w:t>, 49% pacijenata je imalo eGFR &lt; 60mL/min/1,73 m</w:t>
      </w:r>
      <w:r w:rsidRPr="00AD2361">
        <w:rPr>
          <w:szCs w:val="22"/>
          <w:vertAlign w:val="superscript"/>
          <w:lang w:val="sr-Latn-ME"/>
        </w:rPr>
        <w:t>2</w:t>
      </w:r>
      <w:r w:rsidRPr="00AD2361">
        <w:rPr>
          <w:szCs w:val="22"/>
          <w:lang w:val="sr-Latn-ME"/>
        </w:rPr>
        <w:t>, 23% je imalo eGFR &lt; 45 mL/min/1,73 m</w:t>
      </w:r>
      <w:r w:rsidRPr="00AD2361">
        <w:rPr>
          <w:szCs w:val="22"/>
          <w:vertAlign w:val="superscript"/>
          <w:lang w:val="sr-Latn-ME"/>
        </w:rPr>
        <w:t>2</w:t>
      </w:r>
      <w:r w:rsidRPr="00AD2361">
        <w:rPr>
          <w:szCs w:val="22"/>
          <w:lang w:val="sr-Latn-ME"/>
        </w:rPr>
        <w:t>, a 3% je imalo eGFR &lt; 30 mL/min 1,73 m</w:t>
      </w:r>
      <w:r w:rsidRPr="00AD2361">
        <w:rPr>
          <w:szCs w:val="22"/>
          <w:vertAlign w:val="superscript"/>
          <w:lang w:val="sr-Latn-ME"/>
        </w:rPr>
        <w:t>2</w:t>
      </w:r>
      <w:r w:rsidRPr="00AD2361">
        <w:rPr>
          <w:szCs w:val="22"/>
          <w:lang w:val="sr-Latn-ME"/>
        </w:rPr>
        <w:t>.</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Dapagliflozin je bio superiorniji u odnosu na placebo u smanjenju incidencije primarne kompozitne krajnje tačke kardiovaskularne smrti, hospitalizacije zbog srčane insuficijencije ili hitne posjete usljed zatajenja srca (HR 0,82 [95% CI 0,73, 0,92]; p=0,0008) (Slika 5).</w:t>
      </w:r>
    </w:p>
    <w:p w:rsidR="00381844" w:rsidRPr="00AD2361" w:rsidRDefault="00381844" w:rsidP="00AD2361">
      <w:pPr>
        <w:widowControl w:val="0"/>
        <w:spacing w:line="240" w:lineRule="auto"/>
        <w:rPr>
          <w:szCs w:val="22"/>
          <w:lang w:val="sr-Latn-ME"/>
        </w:rPr>
      </w:pPr>
    </w:p>
    <w:p w:rsidR="00381844" w:rsidRDefault="004529E0" w:rsidP="00AD2361">
      <w:pPr>
        <w:widowControl w:val="0"/>
        <w:spacing w:line="240" w:lineRule="auto"/>
        <w:jc w:val="both"/>
        <w:rPr>
          <w:b/>
          <w:bCs/>
          <w:szCs w:val="22"/>
          <w:lang w:val="sr-Latn-ME"/>
        </w:rPr>
      </w:pPr>
      <w:r w:rsidRPr="00AD2361">
        <w:rPr>
          <w:b/>
          <w:bCs/>
          <w:szCs w:val="22"/>
          <w:lang w:val="sr-Latn-ME"/>
        </w:rPr>
        <w:t>Slika 5: Vrijeme do prvog pojavljivanja kompozita kardiovaskularne smrti, hospitalizacije zbog zatajenja srca ili hitne posjete zbog zatajenja srca</w:t>
      </w:r>
    </w:p>
    <w:p w:rsidR="00381844" w:rsidRPr="00AD2361" w:rsidRDefault="00AD2361" w:rsidP="00AD2361">
      <w:pPr>
        <w:widowControl w:val="0"/>
        <w:spacing w:line="240" w:lineRule="auto"/>
        <w:jc w:val="both"/>
        <w:rPr>
          <w:b/>
          <w:bCs/>
          <w:szCs w:val="22"/>
          <w:lang w:val="sr-Latn-ME"/>
        </w:rPr>
      </w:pPr>
      <w:r w:rsidRPr="00AD2361">
        <w:rPr>
          <w:b/>
          <w:lang w:val="sr-Latn-ME"/>
        </w:rPr>
        <w:lastRenderedPageBreak/>
        <mc:AlternateContent>
          <mc:Choice Requires="wps">
            <w:drawing>
              <wp:anchor distT="0" distB="0" distL="114300" distR="114300" simplePos="0" relativeHeight="251664384" behindDoc="0" locked="0" layoutInCell="1" allowOverlap="1">
                <wp:simplePos x="0" y="0"/>
                <wp:positionH relativeFrom="page">
                  <wp:posOffset>1133475</wp:posOffset>
                </wp:positionH>
                <wp:positionV relativeFrom="paragraph">
                  <wp:posOffset>280670</wp:posOffset>
                </wp:positionV>
                <wp:extent cx="197511" cy="1270711"/>
                <wp:effectExtent l="0" t="0" r="12065" b="5715"/>
                <wp:wrapNone/>
                <wp:docPr id="9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11" cy="1270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361" w:rsidRDefault="00AD2361">
                            <w:pPr>
                              <w:spacing w:before="11"/>
                              <w:ind w:left="20"/>
                              <w:rPr>
                                <w:b/>
                                <w:sz w:val="16"/>
                              </w:rPr>
                            </w:pPr>
                            <w:r>
                              <w:rPr>
                                <w:b/>
                                <w:sz w:val="16"/>
                              </w:rPr>
                              <w:t xml:space="preserve">Pacijenti </w:t>
                            </w:r>
                            <w:proofErr w:type="gramStart"/>
                            <w:r>
                              <w:rPr>
                                <w:b/>
                                <w:sz w:val="16"/>
                              </w:rPr>
                              <w:t>sa</w:t>
                            </w:r>
                            <w:proofErr w:type="gramEnd"/>
                            <w:r>
                              <w:rPr>
                                <w:b/>
                                <w:sz w:val="16"/>
                              </w:rPr>
                              <w:t xml:space="preserve"> događajem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89.25pt;margin-top:22.1pt;width:15.55pt;height:100.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" filled="f" stroked="f">
                <v:textbox style="layout-flow:vertical;mso-layout-flow-alt:bottom-to-top" inset="0,0,0,0">
                  <w:txbxContent>
                    <w:p w:rsidR="00AD2361" w:rsidRDefault="00AD2361">
                      <w:pPr>
                        <w:spacing w:before="11"/>
                        <w:ind w:left="20"/>
                        <w:rPr>
                          <w:b/>
                          <w:sz w:val="16"/>
                        </w:rPr>
                      </w:pPr>
                      <w:r>
                        <w:rPr>
                          <w:b/>
                          <w:sz w:val="16"/>
                        </w:rPr>
                        <w:t xml:space="preserve">Pacijenti </w:t>
                      </w:r>
                      <w:proofErr w:type="gramStart"/>
                      <w:r>
                        <w:rPr>
                          <w:b/>
                          <w:sz w:val="16"/>
                        </w:rPr>
                        <w:t>sa</w:t>
                      </w:r>
                      <w:proofErr w:type="gramEnd"/>
                      <w:r>
                        <w:rPr>
                          <w:b/>
                          <w:sz w:val="16"/>
                        </w:rPr>
                        <w:t xml:space="preserve"> događajem (%)</w:t>
                      </w:r>
                    </w:p>
                  </w:txbxContent>
                </v:textbox>
                <w10:wrap anchorx="page"/>
              </v:shape>
            </w:pict>
          </mc:Fallback>
        </mc:AlternateContent>
      </w:r>
      <w:bookmarkStart w:id="2" w:name="_GoBack"/>
      <w:r>
        <w:rPr>
          <w:b/>
          <w:bCs/>
          <w:noProof/>
          <w:szCs w:val="22"/>
          <w:lang w:val="en-US"/>
        </w:rPr>
        <w:drawing>
          <wp:inline distT="0" distB="0" distL="0" distR="0" wp14:anchorId="10D4AEA2">
            <wp:extent cx="5763260" cy="3048635"/>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3260" cy="3048635"/>
                    </a:xfrm>
                    <a:prstGeom prst="rect">
                      <a:avLst/>
                    </a:prstGeom>
                    <a:noFill/>
                  </pic:spPr>
                </pic:pic>
              </a:graphicData>
            </a:graphic>
          </wp:inline>
        </w:drawing>
      </w:r>
      <w:bookmarkEnd w:id="2"/>
    </w:p>
    <w:p w:rsidR="00381844" w:rsidRPr="00AD2361" w:rsidRDefault="00381844" w:rsidP="00AD2361">
      <w:pPr>
        <w:widowControl w:val="0"/>
        <w:spacing w:line="240" w:lineRule="auto"/>
        <w:rPr>
          <w:sz w:val="18"/>
          <w:szCs w:val="18"/>
          <w:u w:val="single"/>
          <w:lang w:val="sr-Latn-ME"/>
        </w:rPr>
      </w:pPr>
    </w:p>
    <w:p w:rsidR="00381844" w:rsidRPr="00AD2361" w:rsidRDefault="004529E0" w:rsidP="00AD2361">
      <w:pPr>
        <w:widowControl w:val="0"/>
        <w:spacing w:line="240" w:lineRule="auto"/>
        <w:jc w:val="both"/>
        <w:rPr>
          <w:sz w:val="18"/>
          <w:szCs w:val="18"/>
          <w:lang w:val="sr-Latn-ME"/>
        </w:rPr>
      </w:pPr>
      <w:r w:rsidRPr="00AD2361">
        <w:rPr>
          <w:sz w:val="18"/>
          <w:szCs w:val="18"/>
          <w:lang w:val="sr-Latn-ME"/>
        </w:rPr>
        <w:t>Hitna posjeta zbog srčane insuficijencije definisana je kao hitna, neplanirana procjena od strane ljekara, npr. u hitnoj pomoći, i zahtijeva liječenje pogoršanja srčane insuficijencije (osim samog povećanja oralnih diuretika).</w:t>
      </w:r>
    </w:p>
    <w:p w:rsidR="00381844" w:rsidRPr="00AD2361" w:rsidRDefault="004529E0" w:rsidP="00AD2361">
      <w:pPr>
        <w:widowControl w:val="0"/>
        <w:spacing w:line="240" w:lineRule="auto"/>
        <w:rPr>
          <w:sz w:val="18"/>
          <w:szCs w:val="18"/>
          <w:lang w:val="sr-Latn-ME"/>
        </w:rPr>
      </w:pPr>
      <w:r w:rsidRPr="00AD2361">
        <w:rPr>
          <w:sz w:val="18"/>
          <w:szCs w:val="18"/>
          <w:lang w:val="sr-Latn-ME"/>
        </w:rPr>
        <w:t>„Pacijenti pod rizikom” predstavljaju broj pacijenata sa rizikom na početku perioda.</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Slika 6 predstavlja doprinos tri komponente primarne kompozitne krajnje tačke učinku liječenja.</w:t>
      </w:r>
    </w:p>
    <w:p w:rsidR="00AD2361" w:rsidRPr="00AD2361" w:rsidRDefault="00AD2361" w:rsidP="00AD2361">
      <w:pPr>
        <w:widowControl w:val="0"/>
        <w:spacing w:line="240" w:lineRule="auto"/>
        <w:rPr>
          <w:szCs w:val="22"/>
          <w:u w:val="single"/>
          <w:lang w:val="sr-Latn-ME"/>
        </w:rPr>
      </w:pPr>
    </w:p>
    <w:p w:rsidR="00381844" w:rsidRPr="00AD2361" w:rsidRDefault="004529E0" w:rsidP="00AD2361">
      <w:pPr>
        <w:widowControl w:val="0"/>
        <w:spacing w:line="240" w:lineRule="auto"/>
        <w:rPr>
          <w:b/>
          <w:bCs/>
          <w:szCs w:val="22"/>
          <w:lang w:val="sr-Latn-ME"/>
        </w:rPr>
      </w:pPr>
      <w:r w:rsidRPr="00AD2361">
        <w:rPr>
          <w:b/>
          <w:bCs/>
          <w:szCs w:val="22"/>
          <w:lang w:val="sr-Latn-ME"/>
        </w:rPr>
        <w:t>Slika 6: Efekti liječenja na primarnu kompozitnu krajnju tačku i njene komponente</w:t>
      </w:r>
    </w:p>
    <w:p w:rsidR="00381844" w:rsidRPr="00AD2361" w:rsidRDefault="00381844" w:rsidP="00AD2361">
      <w:pPr>
        <w:widowControl w:val="0"/>
        <w:spacing w:line="240" w:lineRule="auto"/>
        <w:rPr>
          <w:b/>
          <w:szCs w:val="22"/>
          <w:u w:val="single"/>
          <w:lang w:val="sr-Latn-ME"/>
        </w:rPr>
      </w:pPr>
    </w:p>
    <w:p w:rsidR="00381844" w:rsidRPr="00AD2361" w:rsidRDefault="004529E0" w:rsidP="00AD2361">
      <w:pPr>
        <w:widowControl w:val="0"/>
        <w:spacing w:line="240" w:lineRule="auto"/>
        <w:rPr>
          <w:sz w:val="16"/>
          <w:szCs w:val="22"/>
          <w:lang w:val="sr-Latn-ME"/>
        </w:rPr>
      </w:pPr>
      <w:r w:rsidRPr="00AD2361">
        <w:rPr>
          <w:sz w:val="16"/>
          <w:szCs w:val="22"/>
          <w:lang w:val="sr-Latn-ME"/>
        </w:rPr>
        <w:t>Karakteristike                                                                                   Odnos rizika                         Subjekti sa događajima             Odnos rizika</w:t>
      </w:r>
    </w:p>
    <w:p w:rsidR="00381844" w:rsidRPr="00AD2361" w:rsidRDefault="004529E0" w:rsidP="00AD2361">
      <w:pPr>
        <w:widowControl w:val="0"/>
        <w:spacing w:line="240" w:lineRule="auto"/>
        <w:rPr>
          <w:sz w:val="16"/>
          <w:szCs w:val="22"/>
          <w:lang w:val="sr-Latn-ME"/>
        </w:rPr>
      </w:pPr>
      <w:r w:rsidRPr="00AD2361">
        <w:rPr>
          <w:sz w:val="16"/>
          <w:szCs w:val="22"/>
          <w:lang w:val="sr-Latn-ME"/>
        </w:rPr>
        <w:t xml:space="preserve">                                                                                                             (95% CI)                              (učestalost događaja)                 (95% CI)</w:t>
      </w:r>
    </w:p>
    <w:p w:rsidR="00381844" w:rsidRPr="00AD2361" w:rsidRDefault="00AD2361" w:rsidP="00AD2361">
      <w:pPr>
        <w:widowControl w:val="0"/>
        <w:spacing w:line="240" w:lineRule="auto"/>
        <w:rPr>
          <w:sz w:val="16"/>
          <w:szCs w:val="22"/>
          <w:lang w:val="sr-Latn-ME"/>
        </w:rPr>
      </w:pPr>
      <w:r w:rsidRPr="00AD2361">
        <w:rPr>
          <w:b/>
          <w:szCs w:val="22"/>
          <w:u w:val="single"/>
          <w:lang w:val="sr-Latn-ME"/>
        </w:rPr>
        <w:drawing>
          <wp:anchor distT="0" distB="0" distL="114300" distR="114300" simplePos="0" relativeHeight="251668480" behindDoc="0" locked="0" layoutInCell="1" allowOverlap="1">
            <wp:simplePos x="0" y="0"/>
            <wp:positionH relativeFrom="margin">
              <wp:posOffset>2128520</wp:posOffset>
            </wp:positionH>
            <wp:positionV relativeFrom="paragraph">
              <wp:posOffset>55880</wp:posOffset>
            </wp:positionV>
            <wp:extent cx="1571625" cy="185728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754" b="4280"/>
                    <a:stretch/>
                  </pic:blipFill>
                  <pic:spPr bwMode="auto">
                    <a:xfrm>
                      <a:off x="0" y="0"/>
                      <a:ext cx="1571625" cy="18572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29E0" w:rsidRPr="00AD2361">
        <w:rPr>
          <w:sz w:val="16"/>
          <w:szCs w:val="22"/>
          <w:lang w:val="sr-Latn-ME"/>
        </w:rPr>
        <w:t xml:space="preserve">                                                                                                                                                       Dapagliflozin     Placebo</w:t>
      </w:r>
    </w:p>
    <w:p w:rsidR="00381844" w:rsidRPr="00AD2361" w:rsidRDefault="004529E0" w:rsidP="00AD2361">
      <w:pPr>
        <w:widowControl w:val="0"/>
        <w:spacing w:line="240" w:lineRule="auto"/>
        <w:rPr>
          <w:sz w:val="16"/>
          <w:szCs w:val="22"/>
          <w:lang w:val="sr-Latn-ME"/>
        </w:rPr>
      </w:pPr>
      <w:r w:rsidRPr="00AD2361">
        <w:rPr>
          <w:sz w:val="16"/>
          <w:szCs w:val="22"/>
          <w:lang w:val="sr-Latn-ME"/>
        </w:rPr>
        <w:t xml:space="preserve">                                                                                                                                                          (N=3131)       (N=3132)</w:t>
      </w:r>
    </w:p>
    <w:p w:rsidR="00381844" w:rsidRPr="00AD2361" w:rsidRDefault="00381844" w:rsidP="00AD2361">
      <w:pPr>
        <w:widowControl w:val="0"/>
        <w:spacing w:line="240" w:lineRule="auto"/>
        <w:rPr>
          <w:sz w:val="16"/>
          <w:szCs w:val="22"/>
          <w:lang w:val="sr-Latn-ME"/>
        </w:rPr>
      </w:pPr>
    </w:p>
    <w:p w:rsidR="00381844" w:rsidRPr="00AD2361" w:rsidRDefault="004529E0" w:rsidP="00AD2361">
      <w:pPr>
        <w:widowControl w:val="0"/>
        <w:spacing w:line="240" w:lineRule="auto"/>
        <w:rPr>
          <w:sz w:val="16"/>
          <w:szCs w:val="22"/>
          <w:lang w:val="sr-Latn-ME"/>
        </w:rPr>
      </w:pPr>
      <w:r w:rsidRPr="00AD2361">
        <w:rPr>
          <w:sz w:val="16"/>
          <w:szCs w:val="22"/>
          <w:lang w:val="sr-Latn-ME"/>
        </w:rPr>
        <w:t xml:space="preserve">Kompozit kardivoaskularne smrti,                        </w:t>
      </w:r>
    </w:p>
    <w:p w:rsidR="00381844" w:rsidRPr="00AD2361" w:rsidRDefault="004529E0" w:rsidP="00AD2361">
      <w:pPr>
        <w:widowControl w:val="0"/>
        <w:spacing w:line="240" w:lineRule="auto"/>
        <w:rPr>
          <w:bCs/>
          <w:sz w:val="16"/>
          <w:szCs w:val="22"/>
          <w:lang w:val="sr-Latn-ME"/>
        </w:rPr>
      </w:pPr>
      <w:r w:rsidRPr="00AD2361">
        <w:rPr>
          <w:sz w:val="16"/>
          <w:szCs w:val="22"/>
          <w:lang w:val="sr-Latn-ME"/>
        </w:rPr>
        <w:t>hospitalizacije zbo</w:t>
      </w:r>
      <w:r w:rsidRPr="00AD2361">
        <w:rPr>
          <w:bCs/>
          <w:sz w:val="16"/>
          <w:szCs w:val="22"/>
          <w:lang w:val="sr-Latn-ME"/>
        </w:rPr>
        <w:t>g zatajenja srca ili                                                                                                512 (7,8)        610 (9,6)       0,82 (0,73, 0,92)</w:t>
      </w:r>
    </w:p>
    <w:p w:rsidR="00381844" w:rsidRPr="00AD2361" w:rsidRDefault="004529E0" w:rsidP="00AD2361">
      <w:pPr>
        <w:widowControl w:val="0"/>
        <w:spacing w:line="240" w:lineRule="auto"/>
        <w:rPr>
          <w:bCs/>
          <w:sz w:val="16"/>
          <w:szCs w:val="22"/>
          <w:lang w:val="sr-Latn-ME"/>
        </w:rPr>
      </w:pPr>
      <w:r w:rsidRPr="00AD2361">
        <w:rPr>
          <w:bCs/>
          <w:sz w:val="16"/>
          <w:szCs w:val="22"/>
          <w:lang w:val="sr-Latn-ME"/>
        </w:rPr>
        <w:t>hitne posjete zbog zatajenja srca</w:t>
      </w:r>
    </w:p>
    <w:p w:rsidR="00381844" w:rsidRPr="00AD2361" w:rsidRDefault="00381844" w:rsidP="00AD2361">
      <w:pPr>
        <w:widowControl w:val="0"/>
        <w:spacing w:line="240" w:lineRule="auto"/>
        <w:rPr>
          <w:bCs/>
          <w:sz w:val="16"/>
          <w:szCs w:val="22"/>
          <w:lang w:val="sr-Latn-ME"/>
        </w:rPr>
      </w:pPr>
    </w:p>
    <w:p w:rsidR="00381844" w:rsidRPr="00AD2361" w:rsidRDefault="004529E0" w:rsidP="00AD2361">
      <w:pPr>
        <w:widowControl w:val="0"/>
        <w:spacing w:line="240" w:lineRule="auto"/>
        <w:rPr>
          <w:sz w:val="16"/>
          <w:szCs w:val="22"/>
          <w:lang w:val="sr-Latn-ME"/>
        </w:rPr>
      </w:pPr>
      <w:r w:rsidRPr="00AD2361">
        <w:rPr>
          <w:bCs/>
          <w:sz w:val="16"/>
          <w:szCs w:val="22"/>
          <w:lang w:val="sr-Latn-ME"/>
        </w:rPr>
        <w:t xml:space="preserve">Hospitalizacija zbog zatajenja srca                                                                                                    329 (5,0)        418 (6,5)      0,77 (0,67, 0,89)  </w:t>
      </w:r>
    </w:p>
    <w:p w:rsidR="00381844" w:rsidRPr="00AD2361" w:rsidRDefault="00381844" w:rsidP="00AD2361">
      <w:pPr>
        <w:widowControl w:val="0"/>
        <w:spacing w:line="240" w:lineRule="auto"/>
        <w:rPr>
          <w:b/>
          <w:szCs w:val="22"/>
          <w:u w:val="single"/>
          <w:lang w:val="sr-Latn-ME"/>
        </w:rPr>
      </w:pPr>
    </w:p>
    <w:p w:rsidR="00381844" w:rsidRPr="00AD2361" w:rsidRDefault="004529E0" w:rsidP="00AD2361">
      <w:pPr>
        <w:widowControl w:val="0"/>
        <w:spacing w:line="240" w:lineRule="auto"/>
        <w:rPr>
          <w:sz w:val="16"/>
          <w:szCs w:val="22"/>
          <w:lang w:val="sr-Latn-ME"/>
        </w:rPr>
      </w:pPr>
      <w:r w:rsidRPr="00AD2361">
        <w:rPr>
          <w:sz w:val="16"/>
          <w:szCs w:val="22"/>
          <w:lang w:val="sr-Latn-ME"/>
        </w:rPr>
        <w:t xml:space="preserve">Hitna posjeta zbog zatajenja srca                                                                                                        60 (0,9)          78 (1,1)       0,76 (0,55, 1,07)     </w:t>
      </w:r>
    </w:p>
    <w:p w:rsidR="00381844" w:rsidRPr="00AD2361" w:rsidRDefault="00381844" w:rsidP="00AD2361">
      <w:pPr>
        <w:widowControl w:val="0"/>
        <w:spacing w:line="240" w:lineRule="auto"/>
        <w:rPr>
          <w:sz w:val="16"/>
          <w:szCs w:val="22"/>
          <w:lang w:val="sr-Latn-ME"/>
        </w:rPr>
      </w:pPr>
    </w:p>
    <w:p w:rsidR="00381844" w:rsidRPr="00AD2361" w:rsidRDefault="00381844" w:rsidP="00AD2361">
      <w:pPr>
        <w:widowControl w:val="0"/>
        <w:spacing w:line="240" w:lineRule="auto"/>
        <w:rPr>
          <w:sz w:val="16"/>
          <w:szCs w:val="22"/>
          <w:lang w:val="sr-Latn-ME"/>
        </w:rPr>
      </w:pPr>
    </w:p>
    <w:p w:rsidR="00381844" w:rsidRPr="00AD2361" w:rsidRDefault="004529E0" w:rsidP="00AD2361">
      <w:pPr>
        <w:widowControl w:val="0"/>
        <w:spacing w:line="240" w:lineRule="auto"/>
        <w:rPr>
          <w:sz w:val="16"/>
          <w:szCs w:val="22"/>
          <w:lang w:val="sr-Latn-ME"/>
        </w:rPr>
      </w:pPr>
      <w:r w:rsidRPr="00AD2361">
        <w:rPr>
          <w:sz w:val="16"/>
          <w:szCs w:val="22"/>
          <w:lang w:val="sr-Latn-ME"/>
        </w:rPr>
        <w:t xml:space="preserve">Kardiovaskularna smrt                                                                                                                      231 (3,3)         261 (3,8)      0,88 (0,74, 1,05)   </w:t>
      </w:r>
    </w:p>
    <w:p w:rsidR="00381844" w:rsidRPr="00AD2361" w:rsidRDefault="00381844" w:rsidP="00AD2361">
      <w:pPr>
        <w:widowControl w:val="0"/>
        <w:spacing w:line="240" w:lineRule="auto"/>
        <w:rPr>
          <w:b/>
          <w:szCs w:val="22"/>
          <w:u w:val="single"/>
          <w:lang w:val="sr-Latn-ME"/>
        </w:rPr>
      </w:pPr>
    </w:p>
    <w:p w:rsidR="00381844" w:rsidRPr="00AD2361" w:rsidRDefault="00381844" w:rsidP="00AD2361">
      <w:pPr>
        <w:widowControl w:val="0"/>
        <w:spacing w:line="240" w:lineRule="auto"/>
        <w:rPr>
          <w:b/>
          <w:szCs w:val="22"/>
          <w:u w:val="single"/>
          <w:lang w:val="sr-Latn-ME"/>
        </w:rPr>
      </w:pPr>
    </w:p>
    <w:p w:rsidR="00381844" w:rsidRPr="00AD2361" w:rsidRDefault="00381844" w:rsidP="00AD2361">
      <w:pPr>
        <w:widowControl w:val="0"/>
        <w:spacing w:line="240" w:lineRule="auto"/>
        <w:rPr>
          <w:b/>
          <w:szCs w:val="22"/>
          <w:u w:val="single"/>
          <w:lang w:val="sr-Latn-ME"/>
        </w:rPr>
      </w:pPr>
    </w:p>
    <w:p w:rsidR="00381844" w:rsidRPr="00AD2361" w:rsidRDefault="004529E0" w:rsidP="00AD2361">
      <w:pPr>
        <w:widowControl w:val="0"/>
        <w:spacing w:line="240" w:lineRule="auto"/>
        <w:rPr>
          <w:szCs w:val="22"/>
          <w:lang w:val="sr-Latn-ME"/>
        </w:rPr>
      </w:pPr>
      <w:r w:rsidRPr="00AD2361">
        <w:rPr>
          <w:szCs w:val="22"/>
          <w:lang w:val="sr-Latn-ME"/>
        </w:rPr>
        <w:t xml:space="preserve">                                                        </w:t>
      </w:r>
      <w:r w:rsidRPr="00AD2361">
        <w:rPr>
          <w:sz w:val="16"/>
          <w:szCs w:val="22"/>
          <w:lang w:val="sr-Latn-ME"/>
        </w:rPr>
        <w:t xml:space="preserve">Bolji dapagliflozin       </w:t>
      </w:r>
      <w:r w:rsidRPr="00AD2361">
        <w:rPr>
          <w:sz w:val="16"/>
          <w:szCs w:val="22"/>
          <w:lang w:val="sr-Latn-ME"/>
        </w:rPr>
        <w:sym w:font="Symbol" w:char="F0BD"/>
      </w:r>
      <w:r w:rsidRPr="00AD2361">
        <w:rPr>
          <w:sz w:val="16"/>
          <w:szCs w:val="22"/>
          <w:lang w:val="sr-Latn-ME"/>
        </w:rPr>
        <w:t xml:space="preserve">             Bolji placebo</w:t>
      </w:r>
    </w:p>
    <w:p w:rsidR="00381844" w:rsidRPr="00AD2361" w:rsidRDefault="00381844" w:rsidP="00AD2361">
      <w:pPr>
        <w:widowControl w:val="0"/>
        <w:spacing w:line="240" w:lineRule="auto"/>
        <w:jc w:val="both"/>
        <w:rPr>
          <w:sz w:val="18"/>
          <w:szCs w:val="18"/>
          <w:lang w:val="sr-Latn-ME"/>
        </w:rPr>
      </w:pPr>
    </w:p>
    <w:p w:rsidR="00381844" w:rsidRPr="00AD2361" w:rsidRDefault="004529E0" w:rsidP="00AD2361">
      <w:pPr>
        <w:widowControl w:val="0"/>
        <w:spacing w:line="240" w:lineRule="auto"/>
        <w:jc w:val="both"/>
        <w:rPr>
          <w:sz w:val="18"/>
          <w:szCs w:val="22"/>
          <w:lang w:val="sr-Latn-ME"/>
        </w:rPr>
      </w:pPr>
      <w:r w:rsidRPr="00AD2361">
        <w:rPr>
          <w:sz w:val="18"/>
          <w:szCs w:val="22"/>
          <w:lang w:val="sr-Latn-ME"/>
        </w:rPr>
        <w:t>Hitna posjeta zbog srčane insuficijencije definisana je kao hitna, neplanirana procjena od strane ljekara, npr. u hitnoj pomoći, i zahtijeva liječenje pogoršanja srčane insuficijencije (osim samog povećanja oralnih diuretika).</w:t>
      </w:r>
    </w:p>
    <w:p w:rsidR="00381844" w:rsidRPr="00AD2361" w:rsidRDefault="004529E0" w:rsidP="00AD2361">
      <w:pPr>
        <w:widowControl w:val="0"/>
        <w:spacing w:line="240" w:lineRule="auto"/>
        <w:jc w:val="both"/>
        <w:rPr>
          <w:sz w:val="18"/>
          <w:szCs w:val="22"/>
          <w:lang w:val="sr-Latn-ME"/>
        </w:rPr>
      </w:pPr>
      <w:r w:rsidRPr="00AD2361">
        <w:rPr>
          <w:sz w:val="18"/>
          <w:szCs w:val="22"/>
          <w:lang w:val="sr-Latn-ME"/>
        </w:rPr>
        <w:t>Broj prvih događaja za pojedinačne komponente je stvarni broj prvih događaja za svaku komponentu i ne dodaje se broju događaja u složenoj krajnjoj tački.</w:t>
      </w:r>
    </w:p>
    <w:p w:rsidR="00381844" w:rsidRPr="00AD2361" w:rsidRDefault="004529E0" w:rsidP="00AD2361">
      <w:pPr>
        <w:widowControl w:val="0"/>
        <w:spacing w:line="240" w:lineRule="auto"/>
        <w:jc w:val="both"/>
        <w:rPr>
          <w:sz w:val="18"/>
          <w:szCs w:val="22"/>
          <w:lang w:val="sr-Latn-ME"/>
        </w:rPr>
      </w:pPr>
      <w:r w:rsidRPr="00AD2361">
        <w:rPr>
          <w:sz w:val="18"/>
          <w:szCs w:val="22"/>
          <w:lang w:val="sr-Latn-ME"/>
        </w:rPr>
        <w:t>Stope događaja su predstavljene kao broj subjekata sa događajem na 100 pacijent-godina praćenja.</w:t>
      </w:r>
    </w:p>
    <w:p w:rsidR="00381844" w:rsidRPr="00AD2361" w:rsidRDefault="004529E0" w:rsidP="00AD2361">
      <w:pPr>
        <w:widowControl w:val="0"/>
        <w:spacing w:line="240" w:lineRule="auto"/>
        <w:jc w:val="both"/>
        <w:rPr>
          <w:sz w:val="18"/>
          <w:szCs w:val="22"/>
          <w:lang w:val="sr-Latn-ME"/>
        </w:rPr>
      </w:pPr>
      <w:r w:rsidRPr="00AD2361">
        <w:rPr>
          <w:sz w:val="18"/>
          <w:szCs w:val="22"/>
          <w:lang w:val="sr-Latn-ME"/>
        </w:rPr>
        <w:t>Kardiovaskularna smrt, ovdje predstavljena kao komponenta primarne krajnje tačke, takođe je ispitivana pod formalnom kontrolom greške tipa 1 kao sekundarna krajnja tačka.</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Dapagliflozin je bio superiorniji od placeba u smanjenju ukupnog broja događaja zatajenja srca (definisanih kao prva i ponovljena hospitalizacija zbog srčane insuficijencije ili hitne posjete zbog zatajenja srca) i kardiovaskularne smrti; bilo je 815 događaja u grupi koja je primala dapagliflozin naspram 1057 događaja u placebo grupi (</w:t>
      </w:r>
      <w:r w:rsidRPr="00AD2361">
        <w:rPr>
          <w:i/>
          <w:szCs w:val="22"/>
          <w:lang w:val="sr-Latn-ME"/>
        </w:rPr>
        <w:t>rate ratio</w:t>
      </w:r>
      <w:r w:rsidRPr="00AD2361">
        <w:rPr>
          <w:szCs w:val="22"/>
          <w:lang w:val="sr-Latn-ME"/>
        </w:rPr>
        <w:t xml:space="preserve"> 0,77 [95% CI 0,67, 0,89]; p=0,0003).</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 xml:space="preserve">Prednost terapije dapagliflozinom u odnosu na placebo na primarnoj krajnjoj tački uočena je u podgrupama pacijenata sa LVEF ≤ 49%, 50–59% i ≥ 60%. Efekti su takođe bili konzistentni u drugim </w:t>
      </w:r>
      <w:r w:rsidRPr="00AD2361">
        <w:rPr>
          <w:szCs w:val="22"/>
          <w:lang w:val="sr-Latn-ME"/>
        </w:rPr>
        <w:lastRenderedPageBreak/>
        <w:t>ključnim podgrupama kategorizovanim prema npr. starosti, polu, NYHA klasi, nivou NT-proBNP, subakutnom statusu i statusu dijabetes melitusa tipa 2.</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rPr>
          <w:szCs w:val="22"/>
          <w:lang w:val="sr-Latn-ME"/>
        </w:rPr>
      </w:pPr>
      <w:r w:rsidRPr="00AD2361">
        <w:rPr>
          <w:i/>
          <w:szCs w:val="22"/>
          <w:lang w:val="sr-Latn-ME"/>
        </w:rPr>
        <w:t>Pacijent je prijavio ishod – simptomi zatajenja srca</w:t>
      </w:r>
    </w:p>
    <w:p w:rsidR="00381844" w:rsidRPr="00AD2361" w:rsidRDefault="004529E0" w:rsidP="00AD2361">
      <w:pPr>
        <w:widowControl w:val="0"/>
        <w:spacing w:line="240" w:lineRule="auto"/>
        <w:jc w:val="both"/>
        <w:rPr>
          <w:szCs w:val="22"/>
          <w:lang w:val="sr-Latn-ME"/>
        </w:rPr>
      </w:pPr>
      <w:r w:rsidRPr="00AD2361">
        <w:rPr>
          <w:szCs w:val="22"/>
          <w:lang w:val="sr-Latn-ME"/>
        </w:rPr>
        <w:t>Liječenje dapagliflozinom je rezultiralo statistički značajnom prednosti u odnosu na placebo u simptomima srčane insuficijencije, mjereno promjenom u odnosu na početnu vrijednost u 8. mjesecu u KCCQ-TSS, (</w:t>
      </w:r>
      <w:r w:rsidRPr="00AD2361">
        <w:rPr>
          <w:i/>
          <w:szCs w:val="22"/>
          <w:lang w:val="sr-Latn-ME"/>
        </w:rPr>
        <w:t>win ratio</w:t>
      </w:r>
      <w:r w:rsidRPr="00AD2361">
        <w:rPr>
          <w:szCs w:val="22"/>
          <w:lang w:val="sr-Latn-ME"/>
        </w:rPr>
        <w:t xml:space="preserve"> 1,11 [95% CI 1,03, 1,21]; p=0,0086). I učestalost simptoma i opterećenje simptomima doprinijeli su rezultatima.</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U analizama odgovora udio pacijenata koji su doživjeli umjereno (≥ 5 bodova) ili veliko (≥ 14 bodova) pogoršanje KCCQ-TSS u odnosu na početnu vrijednost nakon 8 mjeseci bio je manji u grupi koja je primala dapagliflozin; 24,1% pacijenata na dapagliflozinu naspram 29,1% na placebu doživjelo je umjereno pogoršanje (</w:t>
      </w:r>
      <w:r w:rsidRPr="00AD2361">
        <w:rPr>
          <w:i/>
          <w:szCs w:val="22"/>
          <w:lang w:val="sr-Latn-ME"/>
        </w:rPr>
        <w:t>odds ratio</w:t>
      </w:r>
      <w:r w:rsidRPr="00AD2361">
        <w:rPr>
          <w:szCs w:val="22"/>
          <w:lang w:val="sr-Latn-ME"/>
        </w:rPr>
        <w:t xml:space="preserve"> 0,78 [95% CI 0,64, 0,95]), a 13,5% pacijenata na dapagliflozinu naspram 18,4% pacijenata na placebu imalo je veliko pogoršanje (</w:t>
      </w:r>
      <w:r w:rsidRPr="00AD2361">
        <w:rPr>
          <w:i/>
          <w:szCs w:val="22"/>
          <w:lang w:val="sr-Latn-ME"/>
        </w:rPr>
        <w:t>odds ratio</w:t>
      </w:r>
      <w:r w:rsidRPr="00AD2361">
        <w:rPr>
          <w:szCs w:val="22"/>
          <w:lang w:val="sr-Latn-ME"/>
        </w:rPr>
        <w:t xml:space="preserve"> 0,70 [95% CI 0,55, 0,88]). Udio pacijenata sa malim do umjerenim poboljšanjem (≥ 13 bodova) ili velikim poboljšanjem (≥ 17 bodova) nije se razlikovao između liječenih grupa.</w:t>
      </w:r>
    </w:p>
    <w:p w:rsidR="00381844" w:rsidRPr="00AD2361" w:rsidRDefault="00381844" w:rsidP="00AD2361">
      <w:pPr>
        <w:widowControl w:val="0"/>
        <w:spacing w:line="240" w:lineRule="auto"/>
        <w:rPr>
          <w:szCs w:val="22"/>
          <w:u w:val="single"/>
          <w:lang w:val="sr-Latn-ME"/>
        </w:rPr>
      </w:pPr>
    </w:p>
    <w:p w:rsidR="00381844" w:rsidRPr="00AD2361" w:rsidRDefault="004529E0" w:rsidP="00AD2361">
      <w:pPr>
        <w:widowControl w:val="0"/>
        <w:spacing w:line="240" w:lineRule="auto"/>
        <w:rPr>
          <w:i/>
          <w:szCs w:val="22"/>
          <w:u w:val="single"/>
          <w:lang w:val="sr-Latn-ME"/>
        </w:rPr>
      </w:pPr>
      <w:r w:rsidRPr="00AD2361">
        <w:rPr>
          <w:i/>
          <w:szCs w:val="22"/>
          <w:u w:val="single"/>
          <w:lang w:val="sr-Latn-ME"/>
        </w:rPr>
        <w:t>Zatajenje srca u DAPA-HF i DELIVER studijama</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rPr>
          <w:szCs w:val="22"/>
          <w:lang w:val="sr-Latn-ME"/>
        </w:rPr>
      </w:pPr>
      <w:r w:rsidRPr="00AD2361">
        <w:rPr>
          <w:szCs w:val="22"/>
          <w:lang w:val="sr-Latn-ME"/>
        </w:rPr>
        <w:t>U objedinjenoj analizi DAPA-HF i DELIVER vrijednost HR za dapagliflozin naspram placeba na kompozitnoj krajnjoj tački kardiovaskularne smrti, hospitalizacije zbog srčane insuficijencije ili hitne posjete zbog srčane insuficijencije bila je 0,78 (95% CI 0,72, 0,85), p &lt; 0,0001. Efekat liječenja bio je konzistentan u čitavom opsegu LVEF-a, bez slabljenja efekta od strane LVEF-a.</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U prethodno određenoj objedinjenoj analizi nivoa ispitanika DAPA-HF i DELIVER studija dapagliflozin je u poređenju sa placebom smanjio rizik od kardiovaskularne smrti (HR 0,85 [95% CI 0,75, 0,96], p=0,0115). Ob</w:t>
      </w:r>
      <w:r w:rsidR="00F1798F" w:rsidRPr="00AD2361">
        <w:rPr>
          <w:szCs w:val="22"/>
          <w:lang w:val="sr-Latn-ME"/>
        </w:rPr>
        <w:t>i</w:t>
      </w:r>
      <w:r w:rsidRPr="00AD2361">
        <w:rPr>
          <w:szCs w:val="22"/>
          <w:lang w:val="sr-Latn-ME"/>
        </w:rPr>
        <w:t>je studije su doprinijele efektu.</w:t>
      </w:r>
    </w:p>
    <w:p w:rsidR="00381844" w:rsidRPr="00AD2361" w:rsidRDefault="00381844" w:rsidP="00AD2361">
      <w:pPr>
        <w:widowControl w:val="0"/>
        <w:tabs>
          <w:tab w:val="clear" w:pos="567"/>
          <w:tab w:val="left" w:pos="0"/>
        </w:tabs>
        <w:spacing w:line="240" w:lineRule="auto"/>
        <w:rPr>
          <w:szCs w:val="22"/>
          <w:u w:val="single"/>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u w:val="single"/>
          <w:lang w:val="sr-Latn-ME"/>
        </w:rPr>
        <w:t>Hronična bolest bubrega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Studija za procjenu efekata dapagliflozina na bubrežne ishode i mortalitet zbog kardiovaskularnog uzroka kod pacijenata sa hroničnom bolešću bubrega (eng. </w:t>
      </w:r>
      <w:r w:rsidRPr="00AD2361">
        <w:rPr>
          <w:i/>
          <w:szCs w:val="22"/>
          <w:lang w:val="sr-Latn-ME"/>
        </w:rPr>
        <w:t>The Study to Evaluate the Effect of Dapagliflozin on Renal Outcomes and Cardiovascular Mortality in Patients with Chronic Kidney Disease</w:t>
      </w:r>
      <w:r w:rsidRPr="00AD2361">
        <w:rPr>
          <w:szCs w:val="22"/>
          <w:lang w:val="sr-Latn-ME"/>
        </w:rPr>
        <w:t xml:space="preserve">, DAPA-CKD) je bila internacionalna, multicentrična, randomizovana, dvostruko-slijepa, placebom-kontrolisana studija kod pacijenata sa hroničnom bolešću bubrega (eng. </w:t>
      </w:r>
      <w:r w:rsidRPr="00AD2361">
        <w:rPr>
          <w:i/>
          <w:szCs w:val="22"/>
          <w:lang w:val="sr-Latn-ME"/>
        </w:rPr>
        <w:t>Chronic Kidney Disease</w:t>
      </w:r>
      <w:r w:rsidRPr="00AD2361">
        <w:rPr>
          <w:szCs w:val="22"/>
          <w:lang w:val="sr-Latn-ME"/>
        </w:rPr>
        <w:t>, CKD) koji su imali eGFR ≥ 25 do ≤ 75 ml/min/1,73 m</w:t>
      </w:r>
      <w:r w:rsidRPr="00AD2361">
        <w:rPr>
          <w:szCs w:val="22"/>
          <w:vertAlign w:val="superscript"/>
          <w:lang w:val="sr-Latn-ME"/>
        </w:rPr>
        <w:t>2</w:t>
      </w:r>
      <w:r w:rsidRPr="00AD2361">
        <w:rPr>
          <w:szCs w:val="22"/>
          <w:lang w:val="sr-Latn-ME"/>
        </w:rPr>
        <w:t xml:space="preserve"> i albuminuriju (UACR ≥ 200 i ≤ 5000 mg/g), sa ciljem da se odredi efekat dapagliflozina u poređenju sa placebom, kada se doda na postojeću standardnu terapiju, na incidencu kompozitnog parametra praćenja održivog smanjenja vrijednosti eGFR za ≥ 50%, završnog stadijuma bolesti bubrega (definisan kao održiva eGFR &lt; 15 ml/min/1,73 m</w:t>
      </w:r>
      <w:r w:rsidRPr="00AD2361">
        <w:rPr>
          <w:szCs w:val="22"/>
          <w:vertAlign w:val="superscript"/>
          <w:lang w:val="sr-Latn-ME"/>
        </w:rPr>
        <w:t>2</w:t>
      </w:r>
      <w:r w:rsidRPr="00AD2361">
        <w:rPr>
          <w:szCs w:val="22"/>
          <w:lang w:val="sr-Latn-ME"/>
        </w:rPr>
        <w:t>, hronična dijaliza ili transplantacija bubrega) i smrti zbog kardiovaskularnog ili bubrežnog uzroka.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Od 4304 pacijenata 2152 je randomizovano da prima dapagliflozin u dozi od 10 mg i 2152 da prima placebo, a medijana praćenja iznosila je 28,5 mjeseci. Liječenje se nastavljalo ako je tokom studije eGFR pala na nivoe ispod 25 ml/min/1,73 m2 i moglo se nastaviti u slučajevima kada je bila potrebna dijaliza.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Srednja vrijednost starosne dobi ispitivane populacije je bila 61,8 godina, a 66,9% pacijenata je bilo muškog pola. Srednja vrijednost eGFR na početku studije iznosila je 43,1 ml/min/1,73 m</w:t>
      </w:r>
      <w:r w:rsidRPr="00AD2361">
        <w:rPr>
          <w:szCs w:val="22"/>
          <w:vertAlign w:val="superscript"/>
          <w:lang w:val="sr-Latn-ME"/>
        </w:rPr>
        <w:t>2</w:t>
      </w:r>
      <w:r w:rsidRPr="00AD2361">
        <w:rPr>
          <w:szCs w:val="22"/>
          <w:lang w:val="sr-Latn-ME"/>
        </w:rPr>
        <w:t>, a medijana vrijednosti UACR 949,3 mg/g; 44,1% pacijenata je imalo eGFR 30 do &lt; 45 ml/min/1,73 m</w:t>
      </w:r>
      <w:r w:rsidRPr="00AD2361">
        <w:rPr>
          <w:szCs w:val="22"/>
          <w:vertAlign w:val="superscript"/>
          <w:lang w:val="sr-Latn-ME"/>
        </w:rPr>
        <w:t>2</w:t>
      </w:r>
      <w:r w:rsidRPr="00AD2361">
        <w:rPr>
          <w:szCs w:val="22"/>
          <w:lang w:val="sr-Latn-ME"/>
        </w:rPr>
        <w:t>, a njih 14,5% eGFR &lt; 30 ml/min/1,73 m</w:t>
      </w:r>
      <w:r w:rsidRPr="00AD2361">
        <w:rPr>
          <w:szCs w:val="22"/>
          <w:vertAlign w:val="superscript"/>
          <w:lang w:val="sr-Latn-ME"/>
        </w:rPr>
        <w:t>2</w:t>
      </w:r>
      <w:r w:rsidRPr="00AD2361">
        <w:rPr>
          <w:szCs w:val="22"/>
          <w:lang w:val="sr-Latn-ME"/>
        </w:rPr>
        <w:t xml:space="preserve">. Dijabetes melitus tip 2 imalo je 67,5% pacijenata. Pacijeni su liječeni standardnom terapijom (eng. </w:t>
      </w:r>
      <w:r w:rsidRPr="00AD2361">
        <w:rPr>
          <w:i/>
          <w:szCs w:val="22"/>
          <w:lang w:val="sr-Latn-ME"/>
        </w:rPr>
        <w:t>standard of care</w:t>
      </w:r>
      <w:r w:rsidRPr="00AD2361">
        <w:rPr>
          <w:szCs w:val="22"/>
          <w:lang w:val="sr-Latn-ME"/>
        </w:rPr>
        <w:t xml:space="preserve">, SOC); 97,0% pacijenata je liječeno inhibitorom angiotenzin-konvertujućeg enzima (ACE-inhibitorom) ili blokatorima receptora angiotenzina (eng. </w:t>
      </w:r>
      <w:r w:rsidRPr="00AD2361">
        <w:rPr>
          <w:i/>
          <w:szCs w:val="22"/>
          <w:lang w:val="sr-Latn-ME"/>
        </w:rPr>
        <w:t>angiotensin receptor blocker</w:t>
      </w:r>
      <w:r w:rsidRPr="00AD2361">
        <w:rPr>
          <w:szCs w:val="22"/>
          <w:lang w:val="sr-Latn-ME"/>
        </w:rPr>
        <w:t>, ARB).</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Na osnovu preporuke nezavisnog odbora za praćenje podataka studija je zbog efikasnosti prekinuta prije planirane analize. Dapagliflozin je bio superioran u odnosu na placebo u prevenciji primarnog kompozitnog parametra praćenja održivog smanjenja vrijednosti eGFR za ≥ 50%, dostizanja završnog stadijuma bolesti bubrega i smrti zbog kardiovaskularnog ili bubrežnog uzroka. Na osnovu Kaplan-</w:t>
      </w:r>
      <w:r w:rsidRPr="00AD2361">
        <w:rPr>
          <w:szCs w:val="22"/>
          <w:lang w:val="sr-Latn-ME"/>
        </w:rPr>
        <w:lastRenderedPageBreak/>
        <w:t>Meier-ove krive za vrijeme do prve pojave primarnog kompozitnog parametra praćenja, efekat terapije je bio vidljiv počev od 4. mjeseca i održao se do kraja studije (Slika 7).</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Default="004529E0" w:rsidP="00AD2361">
      <w:pPr>
        <w:widowControl w:val="0"/>
        <w:tabs>
          <w:tab w:val="clear" w:pos="567"/>
          <w:tab w:val="left" w:pos="0"/>
        </w:tabs>
        <w:spacing w:line="240" w:lineRule="auto"/>
        <w:jc w:val="both"/>
        <w:rPr>
          <w:b/>
          <w:bCs/>
          <w:szCs w:val="22"/>
          <w:lang w:val="sr-Latn-ME"/>
        </w:rPr>
      </w:pPr>
      <w:r w:rsidRPr="00AD2361">
        <w:rPr>
          <w:b/>
          <w:bCs/>
          <w:szCs w:val="22"/>
          <w:lang w:val="sr-Latn-ME"/>
        </w:rPr>
        <w:t>Slika 7: Vrijeme do pojave prvog nastupa događaja iz primarnog objedinjenog parametra praćenja, održano smanjenje vrijednosti eGFR-a za ≥ 50%, završni stadijum bubrežne bolesti i smrt zbog kardiovaskularnog ili bubrežnog uzroka</w:t>
      </w:r>
    </w:p>
    <w:p w:rsidR="00381844" w:rsidRPr="00AD2361" w:rsidRDefault="00DF6FD6" w:rsidP="00DF6FD6">
      <w:pPr>
        <w:widowControl w:val="0"/>
        <w:tabs>
          <w:tab w:val="clear" w:pos="567"/>
          <w:tab w:val="left" w:pos="0"/>
        </w:tabs>
        <w:spacing w:line="240" w:lineRule="auto"/>
        <w:jc w:val="center"/>
        <w:rPr>
          <w:b/>
          <w:bCs/>
          <w:szCs w:val="22"/>
          <w:lang w:val="sr-Latn-ME"/>
        </w:rPr>
      </w:pPr>
      <w:r>
        <w:rPr>
          <w:b/>
          <w:bCs/>
          <w:noProof/>
          <w:szCs w:val="22"/>
          <w:lang w:val="en-US"/>
        </w:rPr>
        <w:drawing>
          <wp:inline distT="0" distB="0" distL="0" distR="0" wp14:anchorId="2F3B4D16">
            <wp:extent cx="4933950" cy="2700655"/>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28A0092B-C50C-407E-A947-70E740481C1C}">
                          <a14:useLocalDpi xmlns:a14="http://schemas.microsoft.com/office/drawing/2010/main" val="0"/>
                        </a:ext>
                      </a:extLst>
                    </a:blip>
                    <a:srcRect l="1157" r="13205"/>
                    <a:stretch/>
                  </pic:blipFill>
                  <pic:spPr bwMode="auto">
                    <a:xfrm>
                      <a:off x="0" y="0"/>
                      <a:ext cx="4933950" cy="2700655"/>
                    </a:xfrm>
                    <a:prstGeom prst="rect">
                      <a:avLst/>
                    </a:prstGeom>
                    <a:noFill/>
                    <a:ln>
                      <a:noFill/>
                    </a:ln>
                    <a:extLst>
                      <a:ext uri="{53640926-AAD7-44D8-BBD7-CCE9431645EC}">
                        <a14:shadowObscured xmlns:a14="http://schemas.microsoft.com/office/drawing/2010/main"/>
                      </a:ext>
                    </a:extLst>
                  </pic:spPr>
                </pic:pic>
              </a:graphicData>
            </a:graphic>
          </wp:inline>
        </w:drawing>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spacing w:line="240" w:lineRule="auto"/>
        <w:rPr>
          <w:sz w:val="18"/>
          <w:szCs w:val="22"/>
          <w:lang w:val="sr-Latn-ME"/>
        </w:rPr>
      </w:pPr>
      <w:r w:rsidRPr="00AD2361">
        <w:rPr>
          <w:sz w:val="18"/>
          <w:szCs w:val="22"/>
          <w:lang w:val="sr-Latn-ME"/>
        </w:rPr>
        <w:t>Pojam „pacijenti pod rizikom“ odnosi se na broj pacijenata izloženih riziku na početku pojedinačnog intervala.</w:t>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Sve četiri komponente primarnog kompozitnog parametra praćenja su pojedinačno doprinijele efektu terapije. Dapagliflozin je smanjio i incidencu kompozitnog parametra praćenja održivog smanjenja vrijednosti eGFR za ≥ 50%, završnog stadijuma bolesti bubrega ili smrti zbog bubrežnog uzroka kao i kompozitnog parametara praćenja smrti zbog kardiovaskularnog uzroka i hospitalizacije zbog srčane insuficijencije. Liječenje dapagliflozinom je poboljšalo ukupno preživljavanje kod pacijenata sa hroničnom bolešću bubrega uz značajno smanjenje smrtnosti zbog bilo kog uzroka (Slika 8).</w:t>
      </w:r>
    </w:p>
    <w:p w:rsidR="00381844" w:rsidRPr="00AD2361" w:rsidRDefault="00381844" w:rsidP="00AD2361">
      <w:pPr>
        <w:widowControl w:val="0"/>
        <w:tabs>
          <w:tab w:val="clear" w:pos="567"/>
          <w:tab w:val="left" w:pos="0"/>
        </w:tabs>
        <w:spacing w:line="240" w:lineRule="auto"/>
        <w:jc w:val="both"/>
        <w:rPr>
          <w:b/>
          <w:bCs/>
          <w:szCs w:val="22"/>
          <w:lang w:val="sr-Latn-ME"/>
        </w:rPr>
      </w:pPr>
    </w:p>
    <w:p w:rsidR="00381844" w:rsidRDefault="004529E0" w:rsidP="00AD2361">
      <w:pPr>
        <w:widowControl w:val="0"/>
        <w:tabs>
          <w:tab w:val="clear" w:pos="567"/>
          <w:tab w:val="left" w:pos="0"/>
        </w:tabs>
        <w:spacing w:line="240" w:lineRule="auto"/>
        <w:jc w:val="both"/>
        <w:rPr>
          <w:b/>
          <w:bCs/>
          <w:szCs w:val="22"/>
          <w:lang w:val="sr-Latn-ME"/>
        </w:rPr>
      </w:pPr>
      <w:r w:rsidRPr="00AD2361">
        <w:rPr>
          <w:b/>
          <w:bCs/>
          <w:szCs w:val="22"/>
          <w:lang w:val="sr-Latn-ME"/>
        </w:rPr>
        <w:t>Slika 8: Terapijski efekti na primarne i sekundarne objedinjene parametre praćenja, njihove pojedinačne komponente i smrtnost zbog bilo kojeg uzroka</w:t>
      </w:r>
    </w:p>
    <w:p w:rsidR="00DF6FD6" w:rsidRPr="00AD2361" w:rsidRDefault="00DF6FD6" w:rsidP="00AD2361">
      <w:pPr>
        <w:widowControl w:val="0"/>
        <w:tabs>
          <w:tab w:val="clear" w:pos="567"/>
          <w:tab w:val="left" w:pos="0"/>
        </w:tabs>
        <w:spacing w:line="240" w:lineRule="auto"/>
        <w:jc w:val="both"/>
        <w:rPr>
          <w:b/>
          <w:bCs/>
          <w:szCs w:val="22"/>
          <w:lang w:val="sr-Latn-ME"/>
        </w:rPr>
      </w:pPr>
      <w:r>
        <w:rPr>
          <w:b/>
          <w:bCs/>
          <w:noProof/>
          <w:szCs w:val="22"/>
          <w:lang w:val="en-US"/>
        </w:rPr>
        <w:lastRenderedPageBreak/>
        <w:drawing>
          <wp:inline distT="0" distB="0" distL="0" distR="0" wp14:anchorId="25AB0847">
            <wp:extent cx="4543425" cy="5292090"/>
            <wp:effectExtent l="0" t="0" r="9525"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a:extLst>
                        <a:ext uri="{28A0092B-C50C-407E-A947-70E740481C1C}">
                          <a14:useLocalDpi xmlns:a14="http://schemas.microsoft.com/office/drawing/2010/main" val="0"/>
                        </a:ext>
                      </a:extLst>
                    </a:blip>
                    <a:srcRect r="15024"/>
                    <a:stretch/>
                  </pic:blipFill>
                  <pic:spPr bwMode="auto">
                    <a:xfrm>
                      <a:off x="0" y="0"/>
                      <a:ext cx="4544394" cy="5293219"/>
                    </a:xfrm>
                    <a:prstGeom prst="rect">
                      <a:avLst/>
                    </a:prstGeom>
                    <a:noFill/>
                    <a:ln>
                      <a:noFill/>
                    </a:ln>
                    <a:extLst>
                      <a:ext uri="{53640926-AAD7-44D8-BBD7-CCE9431645EC}">
                        <a14:shadowObscured xmlns:a14="http://schemas.microsoft.com/office/drawing/2010/main"/>
                      </a:ext>
                    </a:extLst>
                  </pic:spPr>
                </pic:pic>
              </a:graphicData>
            </a:graphic>
          </wp:inline>
        </w:drawing>
      </w:r>
    </w:p>
    <w:p w:rsidR="00381844" w:rsidRPr="00AD2361" w:rsidRDefault="00381844" w:rsidP="00AD2361">
      <w:pPr>
        <w:widowControl w:val="0"/>
        <w:tabs>
          <w:tab w:val="clear" w:pos="567"/>
          <w:tab w:val="left" w:pos="0"/>
        </w:tabs>
        <w:spacing w:line="240" w:lineRule="auto"/>
        <w:jc w:val="both"/>
        <w:rPr>
          <w:szCs w:val="22"/>
          <w:lang w:val="sr-Latn-ME"/>
        </w:rPr>
      </w:pPr>
    </w:p>
    <w:p w:rsidR="00381844" w:rsidRPr="00AD2361" w:rsidRDefault="004529E0" w:rsidP="00AD2361">
      <w:pPr>
        <w:widowControl w:val="0"/>
        <w:spacing w:line="240" w:lineRule="auto"/>
        <w:jc w:val="both"/>
        <w:rPr>
          <w:sz w:val="18"/>
          <w:szCs w:val="22"/>
          <w:lang w:val="sr-Latn-ME"/>
        </w:rPr>
      </w:pPr>
      <w:r w:rsidRPr="00AD2361">
        <w:rPr>
          <w:sz w:val="18"/>
          <w:szCs w:val="22"/>
          <w:lang w:val="sr-Latn-ME"/>
        </w:rPr>
        <w:t xml:space="preserve">Broj prvih događaja za pojedinačne komponente označava stvaran broj prvih događaja za svaku pojedinačnu komponentu i njihov zbir ne odgovara broju događaja objedinjene parametre praćenja. </w:t>
      </w:r>
    </w:p>
    <w:p w:rsidR="00381844" w:rsidRPr="00AD2361" w:rsidRDefault="004529E0" w:rsidP="00AD2361">
      <w:pPr>
        <w:widowControl w:val="0"/>
        <w:spacing w:line="240" w:lineRule="auto"/>
        <w:jc w:val="both"/>
        <w:rPr>
          <w:sz w:val="18"/>
          <w:szCs w:val="22"/>
          <w:lang w:val="sr-Latn-ME"/>
        </w:rPr>
      </w:pPr>
      <w:r w:rsidRPr="00AD2361">
        <w:rPr>
          <w:sz w:val="18"/>
          <w:szCs w:val="22"/>
          <w:lang w:val="sr-Latn-ME"/>
        </w:rPr>
        <w:t>Stope događaja navedene su kao broj ispitanika sa događajem na 100 pacijent-godina praćenja.</w:t>
      </w:r>
    </w:p>
    <w:p w:rsidR="00381844" w:rsidRPr="00AD2361" w:rsidRDefault="004529E0" w:rsidP="00AD2361">
      <w:pPr>
        <w:widowControl w:val="0"/>
        <w:spacing w:line="240" w:lineRule="auto"/>
        <w:jc w:val="both"/>
        <w:rPr>
          <w:sz w:val="18"/>
          <w:szCs w:val="22"/>
          <w:lang w:val="sr-Latn-ME"/>
        </w:rPr>
      </w:pPr>
      <w:r w:rsidRPr="00AD2361">
        <w:rPr>
          <w:sz w:val="18"/>
          <w:szCs w:val="22"/>
          <w:lang w:val="sr-Latn-ME"/>
        </w:rPr>
        <w:t>Procjene odnosa rizika nijesu navedene za podgrupe sa manje od ukupno 15 događaja u obje liječene grupe zajedno.</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Terapijska korist dapagliflozina je bila konzistentna kod pacijenata sa hroničnom bolešću bubrega sa dijabetes melitusom tip 2 i kod onih bez dijabetesa. Dapagliflozin je smanjio primarni kompozitni parametar praćenja održivog smanjenja vrijednosti eGFR za ≥ 50%, dostizanja završnog stadijuma bolesti bubrega ili smrti zbog kardiovaskularnog ili bubrežnog uzroka, uz HR od 0,64 (95% CI 0,52; 0,79) kod pacijenata sa dijabetes melitusom tip 2 i 0,50 (95% CI 0,35; 0,72) kod pacijenata bez dijabetesa.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Terapijska korist dapagliflozina u odnosu na placebo, a u pogledu primarnog parametra praćenja, je takođe bila konzistentna kroz ostale ključne podgrupe, uključujući podgrupe prema vrijednosti eGFR, starosti, polu i regionu.</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szCs w:val="22"/>
          <w:lang w:val="sr-Latn-ME"/>
        </w:rPr>
      </w:pPr>
      <w:r w:rsidRPr="00AD2361">
        <w:rPr>
          <w:szCs w:val="22"/>
          <w:u w:val="single"/>
          <w:lang w:val="sr-Latn-ME"/>
        </w:rPr>
        <w:t>Pedijatrijska populacija</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lang w:val="sr-Latn-ME"/>
        </w:rPr>
      </w:pPr>
      <w:r w:rsidRPr="00AD2361">
        <w:rPr>
          <w:i/>
          <w:szCs w:val="22"/>
          <w:u w:val="single"/>
          <w:lang w:val="sr-Latn-ME"/>
        </w:rPr>
        <w:t>Dijabetes melitus tip 2</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 xml:space="preserve">U kliničkoj studiji sprovedenoj kod djece i adolescenata uzrasta od 10 do 24 godine sa dijabetes melitusom tip 2 39 pacijenata bilo je randomizovano da prima dapagliflozin u dozi od 10 mg, a 33 pacijenta da prima placebo, kao dodatak terapiji metforminom, insulinom ili kombinacijom metformina i insulina. U trenutku randomizacije 74% pacijenata bilo je uzrasta &lt; 18 godina. Prilagođena srednja promjena vrijednosti HbA1c za dapagliflozin u odnosu na placebo, od početne vrijednosti do 24. </w:t>
      </w:r>
      <w:r w:rsidRPr="00AD2361">
        <w:rPr>
          <w:szCs w:val="22"/>
          <w:lang w:val="sr-Latn-ME"/>
        </w:rPr>
        <w:lastRenderedPageBreak/>
        <w:t>nedjelje, iznosila je -0,75% (95% CI -1,65; 0,15). U uzrasnoj grupi &lt; 18 godina prilagođena srednja promjena vrijednosti HbA1c za dapagliflozin u odnosu na placebo iznosila je -0,59% (95% CI -1,66; 0,48). U uzrasnoj grupi ≥18 godina srednja promjena vrijednosti HbA1c u odnosu na početnu vrijednost iznosila je -1,52% u grupi koja je primala dapagliflozin (n=9) i 0,17% u grupi koja je primala placebo (n=6). Efikasnost i bezbjednost bile su slične onima uočenim kod odrasle populacije koja je primala dapagliflozin. Bezbjednost i podnošljivost dodatno su potvrđene u 28-nedjeljnom produžetku studije radi praćenja bezbjednosti.</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0"/>
        </w:tabs>
        <w:spacing w:line="240" w:lineRule="auto"/>
        <w:rPr>
          <w:i/>
          <w:szCs w:val="22"/>
          <w:u w:val="single"/>
          <w:lang w:val="sr-Latn-ME"/>
        </w:rPr>
      </w:pPr>
      <w:r w:rsidRPr="00AD2361">
        <w:rPr>
          <w:i/>
          <w:szCs w:val="22"/>
          <w:u w:val="single"/>
          <w:lang w:val="sr-Latn-ME"/>
        </w:rPr>
        <w:t>Srčana insuficijencija i hronična bolest bubrega</w:t>
      </w:r>
    </w:p>
    <w:p w:rsidR="00381844" w:rsidRPr="00AD2361" w:rsidRDefault="004529E0" w:rsidP="00AD2361">
      <w:pPr>
        <w:widowControl w:val="0"/>
        <w:tabs>
          <w:tab w:val="clear" w:pos="567"/>
          <w:tab w:val="left" w:pos="0"/>
        </w:tabs>
        <w:spacing w:line="240" w:lineRule="auto"/>
        <w:jc w:val="both"/>
        <w:rPr>
          <w:szCs w:val="22"/>
          <w:lang w:val="sr-Latn-ME"/>
        </w:rPr>
      </w:pPr>
      <w:r w:rsidRPr="00AD2361">
        <w:rPr>
          <w:szCs w:val="22"/>
          <w:lang w:val="sr-Latn-ME"/>
        </w:rPr>
        <w:t>Evropska agencija za ljekove je izuzela od obaveze podnošenja rezultata studija sa dapagliflozinom u svim podgrupama pedijatrijske populacije u prevenciji kardiovaskularnih događaja kod pacijenata sa hroničnom srčanom insuficijencijom i terapiji hronične bolesti bubrega (vidjeti dio 4.2 za informacije o upotrebi u pedijatrijskoj populaciji).</w:t>
      </w:r>
    </w:p>
    <w:p w:rsidR="00381844" w:rsidRPr="00AD2361" w:rsidRDefault="00381844" w:rsidP="00AD2361">
      <w:pPr>
        <w:widowControl w:val="0"/>
        <w:tabs>
          <w:tab w:val="clear" w:pos="567"/>
          <w:tab w:val="left" w:pos="0"/>
        </w:tabs>
        <w:spacing w:line="240" w:lineRule="auto"/>
        <w:rPr>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5.2. </w:t>
      </w:r>
      <w:r w:rsidRPr="00AD2361">
        <w:rPr>
          <w:b/>
          <w:bCs/>
          <w:szCs w:val="22"/>
          <w:lang w:val="sr-Latn-ME"/>
        </w:rPr>
        <w:tab/>
        <w:t xml:space="preserve">Farmakokinetički podaci </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rPr>
          <w:bCs/>
          <w:iCs/>
          <w:szCs w:val="22"/>
          <w:u w:val="single"/>
          <w:lang w:val="sr-Latn-ME"/>
        </w:rPr>
      </w:pPr>
      <w:r w:rsidRPr="00AD2361">
        <w:rPr>
          <w:bCs/>
          <w:iCs/>
          <w:szCs w:val="22"/>
          <w:u w:val="single"/>
          <w:lang w:val="sr-Latn-ME"/>
        </w:rPr>
        <w:t>Resorpcija</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jc w:val="both"/>
        <w:rPr>
          <w:bCs/>
          <w:iCs/>
          <w:szCs w:val="22"/>
          <w:lang w:val="sr-Latn-ME"/>
        </w:rPr>
      </w:pPr>
      <w:r w:rsidRPr="00AD2361">
        <w:rPr>
          <w:bCs/>
          <w:iCs/>
          <w:szCs w:val="22"/>
          <w:lang w:val="sr-Latn-ME"/>
        </w:rPr>
        <w:t>Dapagliflozin se brzo i dobro resorbuje nakon oralne primjene. Maksimalne koncentracije dapagliflozina u plazmi (C</w:t>
      </w:r>
      <w:r w:rsidRPr="00AD2361">
        <w:rPr>
          <w:bCs/>
          <w:iCs/>
          <w:szCs w:val="22"/>
          <w:vertAlign w:val="subscript"/>
          <w:lang w:val="sr-Latn-ME"/>
        </w:rPr>
        <w:t>max</w:t>
      </w:r>
      <w:r w:rsidRPr="00AD2361">
        <w:rPr>
          <w:bCs/>
          <w:iCs/>
          <w:szCs w:val="22"/>
          <w:lang w:val="sr-Latn-ME"/>
        </w:rPr>
        <w:t>) se obično postižu u roku od 2 sata nakon primjene lijeka natašte. Geometrijske srednje vrijednosti C</w:t>
      </w:r>
      <w:r w:rsidRPr="00AD2361">
        <w:rPr>
          <w:bCs/>
          <w:iCs/>
          <w:szCs w:val="22"/>
          <w:vertAlign w:val="subscript"/>
          <w:lang w:val="sr-Latn-ME"/>
        </w:rPr>
        <w:t>max</w:t>
      </w:r>
      <w:r w:rsidRPr="00AD2361">
        <w:rPr>
          <w:bCs/>
          <w:iCs/>
          <w:szCs w:val="22"/>
          <w:lang w:val="sr-Latn-ME"/>
        </w:rPr>
        <w:t xml:space="preserve"> i PIK</w:t>
      </w:r>
      <w:r w:rsidRPr="00AD2361">
        <w:rPr>
          <w:bCs/>
          <w:iCs/>
          <w:szCs w:val="22"/>
          <w:vertAlign w:val="subscript"/>
          <w:lang w:val="sr-Latn-ME"/>
        </w:rPr>
        <w:t>τ</w:t>
      </w:r>
      <w:r w:rsidRPr="00AD2361">
        <w:rPr>
          <w:bCs/>
          <w:iCs/>
          <w:szCs w:val="22"/>
          <w:lang w:val="sr-Latn-ME"/>
        </w:rPr>
        <w:t xml:space="preserve"> u stanju ravnoteže nakon primjene dapagliflozina u dozi od 10 mg jednom dnevno iznosile su 158 ng/ml, odnosno 628 ng h/ml. Apsolutna oralna bioraspoloživost dapagliflozina nakon primjene doze od 10 mg iznosi 78%. Primjena lijeka uz obrok sa visokim sadržajem masti smanjila je vrijednost C</w:t>
      </w:r>
      <w:r w:rsidRPr="00AD2361">
        <w:rPr>
          <w:bCs/>
          <w:iCs/>
          <w:szCs w:val="22"/>
          <w:vertAlign w:val="subscript"/>
          <w:lang w:val="sr-Latn-ME"/>
        </w:rPr>
        <w:t>max</w:t>
      </w:r>
      <w:r w:rsidRPr="00AD2361">
        <w:rPr>
          <w:bCs/>
          <w:iCs/>
          <w:szCs w:val="22"/>
          <w:lang w:val="sr-Latn-ME"/>
        </w:rPr>
        <w:t xml:space="preserve"> dapagliflozina do 50% i produžila T</w:t>
      </w:r>
      <w:r w:rsidRPr="00AD2361">
        <w:rPr>
          <w:bCs/>
          <w:iCs/>
          <w:szCs w:val="22"/>
          <w:vertAlign w:val="subscript"/>
          <w:lang w:val="sr-Latn-ME"/>
        </w:rPr>
        <w:t>max</w:t>
      </w:r>
      <w:r w:rsidRPr="00AD2361">
        <w:rPr>
          <w:bCs/>
          <w:iCs/>
          <w:szCs w:val="22"/>
          <w:lang w:val="sr-Latn-ME"/>
        </w:rPr>
        <w:t xml:space="preserve"> za približno 1 sat, ali nije dovela do promjene vrijednosti PIK u poređenju sa vrijednošću dobijenom natašte. Ove promjene se ne smatraju klinički značajnim. Stoga, dapagliflozin se može uzimati sa hranom ili bez nje.</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rPr>
          <w:bCs/>
          <w:iCs/>
          <w:szCs w:val="22"/>
          <w:u w:val="single"/>
          <w:lang w:val="sr-Latn-ME"/>
        </w:rPr>
      </w:pPr>
      <w:r w:rsidRPr="00AD2361">
        <w:rPr>
          <w:bCs/>
          <w:iCs/>
          <w:szCs w:val="22"/>
          <w:u w:val="single"/>
          <w:lang w:val="sr-Latn-ME"/>
        </w:rPr>
        <w:t>Distribucija</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jc w:val="both"/>
        <w:rPr>
          <w:bCs/>
          <w:iCs/>
          <w:szCs w:val="22"/>
          <w:lang w:val="sr-Latn-ME"/>
        </w:rPr>
      </w:pPr>
      <w:r w:rsidRPr="00AD2361">
        <w:rPr>
          <w:bCs/>
          <w:iCs/>
          <w:szCs w:val="22"/>
          <w:lang w:val="sr-Latn-ME"/>
        </w:rPr>
        <w:t>Približno 91% dapagliflozina se veže za proteine. Vezivanje za proteine nije se izmijenilo kod različitih bolesti (npr. oštećenja funkcije jetre ili bubrega). Srednja vrijednost volumena distribucije dapagliflozina u stanju ravnoteže iznosila je 118 litara.</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rPr>
          <w:bCs/>
          <w:iCs/>
          <w:szCs w:val="22"/>
          <w:u w:val="single"/>
          <w:lang w:val="sr-Latn-ME"/>
        </w:rPr>
      </w:pPr>
      <w:r w:rsidRPr="00AD2361">
        <w:rPr>
          <w:iCs/>
          <w:szCs w:val="22"/>
          <w:u w:val="single"/>
          <w:lang w:val="sr-Latn-ME"/>
        </w:rPr>
        <w:t>Metabolizam</w:t>
      </w:r>
    </w:p>
    <w:p w:rsidR="00381844" w:rsidRPr="00AD2361" w:rsidRDefault="004529E0" w:rsidP="00AD2361">
      <w:pPr>
        <w:widowControl w:val="0"/>
        <w:tabs>
          <w:tab w:val="left" w:pos="540"/>
        </w:tabs>
        <w:spacing w:line="240" w:lineRule="auto"/>
        <w:jc w:val="both"/>
        <w:rPr>
          <w:bCs/>
          <w:iCs/>
          <w:szCs w:val="22"/>
          <w:u w:val="single"/>
          <w:lang w:val="sr-Latn-ME"/>
        </w:rPr>
      </w:pPr>
      <w:r w:rsidRPr="00AD2361">
        <w:rPr>
          <w:bCs/>
          <w:iCs/>
          <w:szCs w:val="22"/>
          <w:lang w:val="sr-Latn-ME"/>
        </w:rPr>
        <w:t>Dapagliflozin se u velikoj mjeri metaboliše, pri čemu se prvenstveno stvara dapagliflozin 3-O-glukuronid koji je neaktivan metabolit. Ni dapagliflozin 3-O-glukuronid ni drugi metaboliti ne doprinose efektu smanjenja koncentracije glukoze. Stvaranje dapagliflozin 3-O-glukuronida je posredovano UGT1A9, enzimom koji je prisutan u jetri i bubrezima, dok metabolizam posredovan CYP izoenzimima predstavlja malo zastupljen put klirensa kod ljudi.</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rPr>
          <w:bCs/>
          <w:iCs/>
          <w:szCs w:val="22"/>
          <w:u w:val="single"/>
          <w:lang w:val="sr-Latn-ME"/>
        </w:rPr>
      </w:pPr>
      <w:r w:rsidRPr="00AD2361">
        <w:rPr>
          <w:bCs/>
          <w:iCs/>
          <w:szCs w:val="22"/>
          <w:u w:val="single"/>
          <w:lang w:val="sr-Latn-ME"/>
        </w:rPr>
        <w:t>Izlučivanje</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jc w:val="both"/>
        <w:rPr>
          <w:bCs/>
          <w:iCs/>
          <w:szCs w:val="22"/>
          <w:lang w:val="sr-Latn-ME"/>
        </w:rPr>
      </w:pPr>
      <w:r w:rsidRPr="00AD2361">
        <w:rPr>
          <w:bCs/>
          <w:iCs/>
          <w:szCs w:val="22"/>
          <w:lang w:val="sr-Latn-ME"/>
        </w:rPr>
        <w:t>Nakon jedne oralne doze od 10 mg dapagliflozina kod zdravih ispitanika srednja vrijednost terminalnog poluvremena eliminacije (t</w:t>
      </w:r>
      <w:r w:rsidRPr="00AD2361">
        <w:rPr>
          <w:bCs/>
          <w:iCs/>
          <w:szCs w:val="22"/>
          <w:vertAlign w:val="subscript"/>
          <w:lang w:val="sr-Latn-ME"/>
        </w:rPr>
        <w:t>1/2</w:t>
      </w:r>
      <w:r w:rsidRPr="00AD2361">
        <w:rPr>
          <w:bCs/>
          <w:iCs/>
          <w:szCs w:val="22"/>
          <w:lang w:val="sr-Latn-ME"/>
        </w:rPr>
        <w:t>) dapagliflozina iz plazme iznosila je 12,9 sati. Srednja vrijednost ukupnog sistemskog klirensa dapagliflozina nakon intravenske primjene iznosila je 207 ml/min. Dapagliflozin i srodni metaboliti prvenstveno se eliminišu putem urina, od čega manje od 2% kao dapagliflozin u neizmijenjenom obliku. Nakon primjene [</w:t>
      </w:r>
      <w:r w:rsidRPr="00AD2361">
        <w:rPr>
          <w:bCs/>
          <w:iCs/>
          <w:szCs w:val="22"/>
          <w:vertAlign w:val="superscript"/>
          <w:lang w:val="sr-Latn-ME"/>
        </w:rPr>
        <w:t>14</w:t>
      </w:r>
      <w:r w:rsidRPr="00AD2361">
        <w:rPr>
          <w:bCs/>
          <w:iCs/>
          <w:szCs w:val="22"/>
          <w:lang w:val="sr-Latn-ME"/>
        </w:rPr>
        <w:t>C]-dapagliflozina u dozi od 50 mg izlučeno je 96% lijeka, od čega 75% u urinu i 21% u fecesu. U fecesu je približno 15% doze izlučeno u obliku neizmijenjenog lijeka.</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rPr>
          <w:bCs/>
          <w:iCs/>
          <w:szCs w:val="22"/>
          <w:u w:val="single"/>
          <w:lang w:val="sr-Latn-ME"/>
        </w:rPr>
      </w:pPr>
      <w:r w:rsidRPr="00AD2361">
        <w:rPr>
          <w:bCs/>
          <w:iCs/>
          <w:szCs w:val="22"/>
          <w:u w:val="single"/>
          <w:lang w:val="sr-Latn-ME"/>
        </w:rPr>
        <w:t>Linearnost</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jc w:val="both"/>
        <w:rPr>
          <w:bCs/>
          <w:iCs/>
          <w:szCs w:val="22"/>
          <w:lang w:val="sr-Latn-ME"/>
        </w:rPr>
      </w:pPr>
      <w:r w:rsidRPr="00AD2361">
        <w:rPr>
          <w:bCs/>
          <w:iCs/>
          <w:szCs w:val="22"/>
          <w:lang w:val="sr-Latn-ME"/>
        </w:rPr>
        <w:t>Izloženost dapagliflozinu povećavala se proporcionalno povećanju doze dapagliflozina u rasponu doza od 0,1 do 500 mg i njegova farmakokinetika se nije mijenjala sa vremenom nakon ponovljenih dnevnih doza primjenjivanih tokom perioda do 24 nedjelje.</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rPr>
          <w:bCs/>
          <w:iCs/>
          <w:szCs w:val="22"/>
          <w:u w:val="single"/>
          <w:lang w:val="sr-Latn-ME"/>
        </w:rPr>
      </w:pPr>
      <w:r w:rsidRPr="00AD2361">
        <w:rPr>
          <w:bCs/>
          <w:iCs/>
          <w:szCs w:val="22"/>
          <w:u w:val="single"/>
          <w:lang w:val="sr-Latn-ME"/>
        </w:rPr>
        <w:t>Posebne populacije</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rPr>
          <w:bCs/>
          <w:i/>
          <w:iCs/>
          <w:szCs w:val="22"/>
          <w:lang w:val="sr-Latn-ME"/>
        </w:rPr>
      </w:pPr>
      <w:r w:rsidRPr="00AD2361">
        <w:rPr>
          <w:bCs/>
          <w:i/>
          <w:iCs/>
          <w:szCs w:val="22"/>
          <w:lang w:val="sr-Latn-ME"/>
        </w:rPr>
        <w:t>Oštećenje funkcije bubrega</w:t>
      </w:r>
    </w:p>
    <w:p w:rsidR="00381844" w:rsidRPr="00AD2361" w:rsidRDefault="004529E0" w:rsidP="00AD2361">
      <w:pPr>
        <w:widowControl w:val="0"/>
        <w:tabs>
          <w:tab w:val="left" w:pos="540"/>
        </w:tabs>
        <w:spacing w:line="240" w:lineRule="auto"/>
        <w:jc w:val="both"/>
        <w:rPr>
          <w:bCs/>
          <w:iCs/>
          <w:szCs w:val="22"/>
          <w:lang w:val="sr-Latn-ME"/>
        </w:rPr>
      </w:pPr>
      <w:r w:rsidRPr="00AD2361">
        <w:rPr>
          <w:bCs/>
          <w:iCs/>
          <w:szCs w:val="22"/>
          <w:lang w:val="sr-Latn-ME"/>
        </w:rPr>
        <w:t>U stanju ravnoteže (20 mg dapagliflozina jednom dnevno tokom 7 dana) kod ispitanika sa dijabetes melitusom tip 2 i blagim, umjerenim ili teškim oštećenjem funkcije bubrega (određeno klirensom joheksola iz plazme) srednja vrijednost sistemske izloženosti dapagliflozinu bila je 32%, 60%, odnosno 87% viša nego kod ispitanika sa dijabetes melitusom tip 2 i normalnom funkcijom bubrega. Izlučivanje glukoze putem urina u stanju ravnoteže tokom 24 sata je u velikoj mjeri zavisilo od funkcije bubrega, pa se kod ispitanika sa dijabetes melitusom tip 2 izlučivalo 85 g glukoze na dan kod normalne funkcije bubrega, 52 g kod blagog oštećenja funkcije bubrega, 18 g kod umjerenog oštećenja funkcije bubrega i 11 g kod teškog oštećenja funkcije bubrega. Uticaj hemodijalize na izloženost dapagliflozinu nije poznat. Efekat smanjene funkcije bubrega na sistemsku izloženost procjenjivan je u populacionom farmakokinetičkom modelu. U skladu sa prethodnim rezultatima PIK predviđena tim modelom je bila veća kod pacijenata sa hroničnom bolešću bubrega nego kod pacijenata sa normalnom funkcijom bubrega i nije se značajno razlikovala kod pacijenata sa hroničnom bolešću bubrega koji su imali dijabetes melitus tip 2 i pacijenata bez dijabetesa.</w:t>
      </w:r>
    </w:p>
    <w:p w:rsidR="00381844" w:rsidRPr="00AD2361" w:rsidRDefault="00381844" w:rsidP="00AD2361">
      <w:pPr>
        <w:widowControl w:val="0"/>
        <w:tabs>
          <w:tab w:val="left" w:pos="540"/>
        </w:tabs>
        <w:spacing w:line="240" w:lineRule="auto"/>
        <w:rPr>
          <w:bCs/>
          <w:iCs/>
          <w:szCs w:val="22"/>
          <w:u w:val="single"/>
          <w:lang w:val="sr-Latn-ME"/>
        </w:rPr>
      </w:pPr>
    </w:p>
    <w:p w:rsidR="00381844" w:rsidRPr="00AD2361" w:rsidRDefault="004529E0" w:rsidP="00AD2361">
      <w:pPr>
        <w:widowControl w:val="0"/>
        <w:tabs>
          <w:tab w:val="left" w:pos="540"/>
        </w:tabs>
        <w:spacing w:line="240" w:lineRule="auto"/>
        <w:rPr>
          <w:bCs/>
          <w:i/>
          <w:iCs/>
          <w:szCs w:val="22"/>
          <w:lang w:val="sr-Latn-ME"/>
        </w:rPr>
      </w:pPr>
      <w:r w:rsidRPr="00AD2361">
        <w:rPr>
          <w:bCs/>
          <w:i/>
          <w:iCs/>
          <w:szCs w:val="22"/>
          <w:lang w:val="sr-Latn-ME"/>
        </w:rPr>
        <w:t>Oštećenje funkcije jetre</w:t>
      </w:r>
    </w:p>
    <w:p w:rsidR="00381844" w:rsidRPr="00AD2361" w:rsidRDefault="004529E0" w:rsidP="00AD2361">
      <w:pPr>
        <w:widowControl w:val="0"/>
        <w:tabs>
          <w:tab w:val="left" w:pos="540"/>
        </w:tabs>
        <w:spacing w:line="240" w:lineRule="auto"/>
        <w:jc w:val="both"/>
        <w:rPr>
          <w:bCs/>
          <w:iCs/>
          <w:szCs w:val="22"/>
          <w:lang w:val="sr-Latn-ME"/>
        </w:rPr>
      </w:pPr>
      <w:r w:rsidRPr="00AD2361">
        <w:rPr>
          <w:bCs/>
          <w:iCs/>
          <w:szCs w:val="22"/>
          <w:lang w:val="sr-Latn-ME"/>
        </w:rPr>
        <w:t>Kod ispitanika sa blagim ili umjerenim oštećenjem funkcije jetre (Child-Pugh klase A i B) srednja vrijednost C</w:t>
      </w:r>
      <w:r w:rsidRPr="00AD2361">
        <w:rPr>
          <w:bCs/>
          <w:iCs/>
          <w:szCs w:val="22"/>
          <w:vertAlign w:val="subscript"/>
          <w:lang w:val="sr-Latn-ME"/>
        </w:rPr>
        <w:t>max</w:t>
      </w:r>
      <w:r w:rsidRPr="00AD2361">
        <w:rPr>
          <w:bCs/>
          <w:iCs/>
          <w:szCs w:val="22"/>
          <w:lang w:val="sr-Latn-ME"/>
        </w:rPr>
        <w:t xml:space="preserve"> dapagliflozina bila je do 12% veća, a srednja vrijednost PIK do 36% veća nego kod podudarnih zdravih kontrolnih ispitanika. Ove razlike nijesu smatrane klinički značajnim. Kod ispitanika sa teškim oštećenjem funkcije jetre (Child-Pugh klasa C) srednja vrijednost C</w:t>
      </w:r>
      <w:r w:rsidRPr="00AD2361">
        <w:rPr>
          <w:bCs/>
          <w:iCs/>
          <w:szCs w:val="22"/>
          <w:vertAlign w:val="subscript"/>
          <w:lang w:val="sr-Latn-ME"/>
        </w:rPr>
        <w:t>max</w:t>
      </w:r>
      <w:r w:rsidRPr="00AD2361">
        <w:rPr>
          <w:bCs/>
          <w:iCs/>
          <w:szCs w:val="22"/>
          <w:lang w:val="sr-Latn-ME"/>
        </w:rPr>
        <w:t xml:space="preserve"> dapagliflozina bila je 40% veća, a srednja vrijednost PIK 67% veća nego kod podudarnih zdravih kontrolnih ispitanika.</w:t>
      </w:r>
    </w:p>
    <w:p w:rsidR="00381844" w:rsidRPr="00AD2361" w:rsidRDefault="00381844" w:rsidP="00AD2361">
      <w:pPr>
        <w:widowControl w:val="0"/>
        <w:tabs>
          <w:tab w:val="left" w:pos="540"/>
        </w:tabs>
        <w:spacing w:line="240" w:lineRule="auto"/>
        <w:rPr>
          <w:bCs/>
          <w:iCs/>
          <w:szCs w:val="22"/>
          <w:lang w:val="sr-Latn-ME"/>
        </w:rPr>
      </w:pPr>
    </w:p>
    <w:p w:rsidR="00381844" w:rsidRPr="00AD2361" w:rsidRDefault="004529E0" w:rsidP="00AD2361">
      <w:pPr>
        <w:widowControl w:val="0"/>
        <w:tabs>
          <w:tab w:val="left" w:pos="540"/>
        </w:tabs>
        <w:spacing w:line="240" w:lineRule="auto"/>
        <w:rPr>
          <w:bCs/>
          <w:i/>
          <w:iCs/>
          <w:szCs w:val="22"/>
          <w:lang w:val="sr-Latn-ME"/>
        </w:rPr>
      </w:pPr>
      <w:r w:rsidRPr="00AD2361">
        <w:rPr>
          <w:bCs/>
          <w:i/>
          <w:iCs/>
          <w:szCs w:val="22"/>
          <w:lang w:val="sr-Latn-ME"/>
        </w:rPr>
        <w:t>Stariji pacijenti (≥ 65 godina)</w:t>
      </w:r>
    </w:p>
    <w:p w:rsidR="00381844" w:rsidRPr="00AD2361" w:rsidRDefault="004529E0" w:rsidP="00AD2361">
      <w:pPr>
        <w:widowControl w:val="0"/>
        <w:tabs>
          <w:tab w:val="left" w:pos="540"/>
        </w:tabs>
        <w:spacing w:line="240" w:lineRule="auto"/>
        <w:jc w:val="both"/>
        <w:rPr>
          <w:bCs/>
          <w:iCs/>
          <w:szCs w:val="22"/>
          <w:lang w:val="sr-Latn-ME"/>
        </w:rPr>
      </w:pPr>
      <w:r w:rsidRPr="00AD2361">
        <w:rPr>
          <w:bCs/>
          <w:iCs/>
          <w:szCs w:val="22"/>
          <w:lang w:val="sr-Latn-ME"/>
        </w:rPr>
        <w:t>Nema klinički značajnog povećanja izloženosti isključivo usljed starosti kod ispitanika starih do 70 godina. Međutim, može se očekivati povećana izloženost zbog smanjenja funkcije bubrega povezanog sa starosnom dobi. Nema dovoljno podataka da bi se donijeli zaključci o izloženosti pacijenata starijih od 70 godina.</w:t>
      </w:r>
    </w:p>
    <w:p w:rsidR="00381844" w:rsidRPr="00AD2361" w:rsidRDefault="00381844" w:rsidP="00AD2361">
      <w:pPr>
        <w:widowControl w:val="0"/>
        <w:tabs>
          <w:tab w:val="left" w:pos="540"/>
        </w:tabs>
        <w:spacing w:line="240" w:lineRule="auto"/>
        <w:rPr>
          <w:bCs/>
          <w:iCs/>
          <w:szCs w:val="22"/>
          <w:lang w:val="sr-Latn-ME"/>
        </w:rPr>
      </w:pPr>
    </w:p>
    <w:p w:rsidR="00381844" w:rsidRPr="00AD2361" w:rsidRDefault="004529E0" w:rsidP="00AD2361">
      <w:pPr>
        <w:widowControl w:val="0"/>
        <w:tabs>
          <w:tab w:val="left" w:pos="540"/>
        </w:tabs>
        <w:spacing w:line="240" w:lineRule="auto"/>
        <w:rPr>
          <w:bCs/>
          <w:i/>
          <w:iCs/>
          <w:szCs w:val="22"/>
          <w:lang w:val="sr-Latn-ME"/>
        </w:rPr>
      </w:pPr>
      <w:r w:rsidRPr="00AD2361">
        <w:rPr>
          <w:bCs/>
          <w:i/>
          <w:iCs/>
          <w:szCs w:val="22"/>
          <w:lang w:val="sr-Latn-ME"/>
        </w:rPr>
        <w:t>Pedijatrijska populacija</w:t>
      </w:r>
    </w:p>
    <w:p w:rsidR="00381844" w:rsidRPr="00AD2361" w:rsidRDefault="004529E0" w:rsidP="00AD2361">
      <w:pPr>
        <w:widowControl w:val="0"/>
        <w:tabs>
          <w:tab w:val="left" w:pos="540"/>
        </w:tabs>
        <w:spacing w:line="240" w:lineRule="auto"/>
        <w:jc w:val="both"/>
        <w:rPr>
          <w:bCs/>
          <w:iCs/>
          <w:szCs w:val="22"/>
          <w:lang w:val="sr-Latn-ME"/>
        </w:rPr>
      </w:pPr>
      <w:r w:rsidRPr="00AD2361">
        <w:rPr>
          <w:bCs/>
          <w:iCs/>
          <w:szCs w:val="22"/>
          <w:lang w:val="sr-Latn-ME"/>
        </w:rPr>
        <w:t>Farmakokinetika i farmakodinamika (glikozurija) kod djece sa dijabetes mellitusom tip 2 uzrasta 10-17 godina su bile slične onima koje su uočene kod odraslih sa dijabetes melitusom tip 2.</w:t>
      </w:r>
    </w:p>
    <w:p w:rsidR="00381844" w:rsidRPr="00AD2361" w:rsidRDefault="00381844" w:rsidP="00AD2361">
      <w:pPr>
        <w:widowControl w:val="0"/>
        <w:tabs>
          <w:tab w:val="left" w:pos="540"/>
        </w:tabs>
        <w:spacing w:line="240" w:lineRule="auto"/>
        <w:rPr>
          <w:bCs/>
          <w:iCs/>
          <w:szCs w:val="22"/>
          <w:lang w:val="sr-Latn-ME"/>
        </w:rPr>
      </w:pPr>
    </w:p>
    <w:p w:rsidR="00381844" w:rsidRPr="00AD2361" w:rsidRDefault="004529E0" w:rsidP="00AD2361">
      <w:pPr>
        <w:widowControl w:val="0"/>
        <w:tabs>
          <w:tab w:val="left" w:pos="540"/>
        </w:tabs>
        <w:spacing w:line="240" w:lineRule="auto"/>
        <w:rPr>
          <w:bCs/>
          <w:i/>
          <w:iCs/>
          <w:szCs w:val="22"/>
          <w:lang w:val="sr-Latn-ME"/>
        </w:rPr>
      </w:pPr>
      <w:r w:rsidRPr="00AD2361">
        <w:rPr>
          <w:bCs/>
          <w:i/>
          <w:iCs/>
          <w:szCs w:val="22"/>
          <w:lang w:val="sr-Latn-ME"/>
        </w:rPr>
        <w:t>Pol</w:t>
      </w:r>
    </w:p>
    <w:p w:rsidR="00381844" w:rsidRPr="00AD2361" w:rsidRDefault="004529E0" w:rsidP="00AD2361">
      <w:pPr>
        <w:widowControl w:val="0"/>
        <w:tabs>
          <w:tab w:val="left" w:pos="540"/>
        </w:tabs>
        <w:spacing w:line="240" w:lineRule="auto"/>
        <w:jc w:val="both"/>
        <w:rPr>
          <w:bCs/>
          <w:iCs/>
          <w:szCs w:val="22"/>
          <w:lang w:val="sr-Latn-ME"/>
        </w:rPr>
      </w:pPr>
      <w:r w:rsidRPr="00AD2361">
        <w:rPr>
          <w:bCs/>
          <w:iCs/>
          <w:szCs w:val="22"/>
          <w:lang w:val="sr-Latn-ME"/>
        </w:rPr>
        <w:t>Procijenjeno je da je srednja vrijednost PIK</w:t>
      </w:r>
      <w:r w:rsidRPr="00AD2361">
        <w:rPr>
          <w:bCs/>
          <w:iCs/>
          <w:szCs w:val="22"/>
          <w:vertAlign w:val="subscript"/>
          <w:lang w:val="sr-Latn-ME"/>
        </w:rPr>
        <w:t>ss</w:t>
      </w:r>
      <w:r w:rsidRPr="00AD2361">
        <w:rPr>
          <w:bCs/>
          <w:iCs/>
          <w:szCs w:val="22"/>
          <w:lang w:val="sr-Latn-ME"/>
        </w:rPr>
        <w:t xml:space="preserve"> dapagliflozina kod žena oko 22% veća nego kod muškaraca.</w:t>
      </w:r>
    </w:p>
    <w:p w:rsidR="00381844" w:rsidRPr="00AD2361" w:rsidRDefault="00381844" w:rsidP="00AD2361">
      <w:pPr>
        <w:widowControl w:val="0"/>
        <w:tabs>
          <w:tab w:val="left" w:pos="540"/>
        </w:tabs>
        <w:spacing w:line="240" w:lineRule="auto"/>
        <w:rPr>
          <w:bCs/>
          <w:iCs/>
          <w:szCs w:val="22"/>
          <w:lang w:val="sr-Latn-ME"/>
        </w:rPr>
      </w:pPr>
    </w:p>
    <w:p w:rsidR="00381844" w:rsidRPr="00AD2361" w:rsidRDefault="004529E0" w:rsidP="00AD2361">
      <w:pPr>
        <w:widowControl w:val="0"/>
        <w:tabs>
          <w:tab w:val="left" w:pos="540"/>
        </w:tabs>
        <w:spacing w:line="240" w:lineRule="auto"/>
        <w:rPr>
          <w:bCs/>
          <w:i/>
          <w:iCs/>
          <w:szCs w:val="22"/>
          <w:lang w:val="sr-Latn-ME"/>
        </w:rPr>
      </w:pPr>
      <w:r w:rsidRPr="00AD2361">
        <w:rPr>
          <w:bCs/>
          <w:i/>
          <w:iCs/>
          <w:szCs w:val="22"/>
          <w:lang w:val="sr-Latn-ME"/>
        </w:rPr>
        <w:t>Rasa</w:t>
      </w:r>
    </w:p>
    <w:p w:rsidR="00381844" w:rsidRPr="00AD2361" w:rsidRDefault="004529E0" w:rsidP="00AD2361">
      <w:pPr>
        <w:widowControl w:val="0"/>
        <w:tabs>
          <w:tab w:val="left" w:pos="540"/>
        </w:tabs>
        <w:spacing w:line="240" w:lineRule="auto"/>
        <w:jc w:val="both"/>
        <w:rPr>
          <w:bCs/>
          <w:iCs/>
          <w:szCs w:val="22"/>
          <w:lang w:val="sr-Latn-ME"/>
        </w:rPr>
      </w:pPr>
      <w:r w:rsidRPr="00AD2361">
        <w:rPr>
          <w:bCs/>
          <w:iCs/>
          <w:szCs w:val="22"/>
          <w:lang w:val="sr-Latn-ME"/>
        </w:rPr>
        <w:t>Nije bilo klinički značajnih razlika u sistemskoj izloženosti između pripadnika bijele, crne ili žute rase.</w:t>
      </w:r>
    </w:p>
    <w:p w:rsidR="00381844" w:rsidRPr="00AD2361" w:rsidRDefault="00381844" w:rsidP="00AD2361">
      <w:pPr>
        <w:widowControl w:val="0"/>
        <w:tabs>
          <w:tab w:val="left" w:pos="540"/>
        </w:tabs>
        <w:spacing w:line="240" w:lineRule="auto"/>
        <w:rPr>
          <w:bCs/>
          <w:iCs/>
          <w:szCs w:val="22"/>
          <w:lang w:val="sr-Latn-ME"/>
        </w:rPr>
      </w:pPr>
    </w:p>
    <w:p w:rsidR="00381844" w:rsidRPr="00AD2361" w:rsidRDefault="004529E0" w:rsidP="00AD2361">
      <w:pPr>
        <w:widowControl w:val="0"/>
        <w:tabs>
          <w:tab w:val="left" w:pos="540"/>
        </w:tabs>
        <w:spacing w:line="240" w:lineRule="auto"/>
        <w:rPr>
          <w:bCs/>
          <w:i/>
          <w:iCs/>
          <w:szCs w:val="22"/>
          <w:lang w:val="sr-Latn-ME"/>
        </w:rPr>
      </w:pPr>
      <w:r w:rsidRPr="00AD2361">
        <w:rPr>
          <w:bCs/>
          <w:i/>
          <w:iCs/>
          <w:szCs w:val="22"/>
          <w:lang w:val="sr-Latn-ME"/>
        </w:rPr>
        <w:t>Tjelesna masa</w:t>
      </w:r>
    </w:p>
    <w:p w:rsidR="00381844" w:rsidRPr="00AD2361" w:rsidRDefault="004529E0" w:rsidP="00AD2361">
      <w:pPr>
        <w:widowControl w:val="0"/>
        <w:tabs>
          <w:tab w:val="left" w:pos="540"/>
        </w:tabs>
        <w:spacing w:line="240" w:lineRule="auto"/>
        <w:jc w:val="both"/>
        <w:rPr>
          <w:bCs/>
          <w:iCs/>
          <w:szCs w:val="22"/>
          <w:lang w:val="sr-Latn-ME"/>
        </w:rPr>
      </w:pPr>
      <w:r w:rsidRPr="00AD2361">
        <w:rPr>
          <w:bCs/>
          <w:iCs/>
          <w:szCs w:val="22"/>
          <w:lang w:val="sr-Latn-ME"/>
        </w:rPr>
        <w:t>Otkriveno je da se izloženost dapagliflozinu smanjuje sa povećanjem tjelesne mase. Shodno tome, izloženost lijeku kod pacijenata sa malom tjelesnom masom može biti nešto veća, a kod pacijenata sa većom tjelesnom masom nešto manja. Međutim, ove razlike u izloženosti nijesu smatrane klinički značajnim.</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5.3. </w:t>
      </w:r>
      <w:r w:rsidRPr="00AD2361">
        <w:rPr>
          <w:b/>
          <w:bCs/>
          <w:szCs w:val="22"/>
          <w:lang w:val="sr-Latn-ME"/>
        </w:rPr>
        <w:tab/>
        <w:t xml:space="preserve">Pretklinički podaci o bezbjednosti </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Pretklinički podaci dobijeni na osnovu konvencionalnih studija bezbjednosne farmakologije, toksičnosti ponovljenih doza, genotoksičnosti, karcinogenog potencijala i uticaja na plodnost ne ukazuju na posebne rizike pri primjeni lijeka kod ljudi. U dvogodišnjim studijama karcinogenosti dapagliflozin ni u jednoj procjenjivanoj dozi nije izazvao tumore ni kod miševa ni kod pacova.</w:t>
      </w:r>
    </w:p>
    <w:p w:rsidR="00381844" w:rsidRPr="00AD2361" w:rsidRDefault="00381844" w:rsidP="00AD2361">
      <w:pPr>
        <w:widowControl w:val="0"/>
        <w:tabs>
          <w:tab w:val="left" w:pos="540"/>
        </w:tabs>
        <w:spacing w:line="240" w:lineRule="auto"/>
        <w:rPr>
          <w:bCs/>
          <w:szCs w:val="22"/>
          <w:u w:val="single"/>
          <w:lang w:val="sr-Latn-ME"/>
        </w:rPr>
      </w:pPr>
    </w:p>
    <w:p w:rsidR="00381844" w:rsidRPr="00AD2361" w:rsidRDefault="004529E0" w:rsidP="00AD2361">
      <w:pPr>
        <w:widowControl w:val="0"/>
        <w:tabs>
          <w:tab w:val="left" w:pos="540"/>
        </w:tabs>
        <w:spacing w:line="240" w:lineRule="auto"/>
        <w:rPr>
          <w:bCs/>
          <w:szCs w:val="22"/>
          <w:lang w:val="sr-Latn-ME"/>
        </w:rPr>
      </w:pPr>
      <w:r w:rsidRPr="00AD2361">
        <w:rPr>
          <w:bCs/>
          <w:szCs w:val="22"/>
          <w:u w:val="single"/>
          <w:lang w:val="sr-Latn-ME"/>
        </w:rPr>
        <w:t>Reproduktivna i razvojna toksičnost</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 xml:space="preserve">Direktna primjena dapagliflozina kod juvenilnih pacova koji su nedavno prestali da sisaju kao i </w:t>
      </w:r>
      <w:r w:rsidRPr="00AD2361">
        <w:rPr>
          <w:bCs/>
          <w:szCs w:val="22"/>
          <w:lang w:val="sr-Latn-ME"/>
        </w:rPr>
        <w:lastRenderedPageBreak/>
        <w:t>indirektna izloženost tokom kasnog stadijuma graviditeta (vremenski periodi koji odgovaraju drugom i trećem trimestru trudnoće, u odnosu na zrelost bubrega kod ljudi) i tokom laktacije povezane su sa povećanom incidencom i/ili težinom proširenja bubrežne karlice i tubula kod mladunaca.</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Kada je dapagliflozin u studiji juvenilne toksičnosti primjenjivan direktno mladim pacovima od 21. postnatalnog dana pa sve do 90. postnatalnog dana, proširenja bubrežne karlice i tubula prijavljena su kod svih nivoa doze; izloženosti mladunaca pri najmanjoj testiranoj dozi bile su ≥ 15 puta veće od izloženosti pri maksimalnoj preporučenoj dozi kod ljudi. Ovi nalazi su povezani sa porastom mase i makroskopskim povećanjem bubrega koji se povezuje sa dozom, a uočeni su kod svih doza. Dilatacije bubrežne karlice i tubula uočene kod juvenilnih životinja nijesu se potpuno povukle tokom perioda oporavka od približno mjesec dana.</w:t>
      </w:r>
    </w:p>
    <w:p w:rsidR="00381844" w:rsidRPr="00AD2361" w:rsidRDefault="00381844" w:rsidP="00AD2361">
      <w:pPr>
        <w:widowControl w:val="0"/>
        <w:tabs>
          <w:tab w:val="left" w:pos="540"/>
        </w:tabs>
        <w:spacing w:line="240" w:lineRule="auto"/>
        <w:rPr>
          <w:bCs/>
          <w:szCs w:val="22"/>
          <w:lang w:val="sr-Latn-ME"/>
        </w:rPr>
      </w:pPr>
    </w:p>
    <w:p w:rsidR="00381844" w:rsidRPr="00AD2361" w:rsidRDefault="004529E0" w:rsidP="00AD2361">
      <w:pPr>
        <w:widowControl w:val="0"/>
        <w:tabs>
          <w:tab w:val="left" w:pos="540"/>
        </w:tabs>
        <w:spacing w:line="240" w:lineRule="auto"/>
        <w:jc w:val="both"/>
        <w:rPr>
          <w:bCs/>
          <w:szCs w:val="22"/>
          <w:lang w:val="sr-Latn-ME"/>
        </w:rPr>
      </w:pPr>
      <w:r w:rsidRPr="00AD2361">
        <w:rPr>
          <w:bCs/>
          <w:szCs w:val="22"/>
          <w:lang w:val="sr-Latn-ME"/>
        </w:rPr>
        <w:t xml:space="preserve">U zasebnoj studiji prenatalnog i postnatalnog razvoja majke pacovi su dobijale lijek od 6. dana gestacije pa sve do 21. postnatalnog dana, pa su mladunci bili indirektno izloženi </w:t>
      </w:r>
      <w:r w:rsidRPr="00AD2361">
        <w:rPr>
          <w:bCs/>
          <w:i/>
          <w:szCs w:val="22"/>
          <w:lang w:val="sr-Latn-ME"/>
        </w:rPr>
        <w:t>in utero</w:t>
      </w:r>
      <w:r w:rsidRPr="00AD2361">
        <w:rPr>
          <w:bCs/>
          <w:szCs w:val="22"/>
          <w:lang w:val="sr-Latn-ME"/>
        </w:rPr>
        <w:t xml:space="preserve"> i tokom perioda laktacije. (Sprovedena je jedna satelitska studija kako bi se procijenile izloženosti dapagliflozinu u mlijeku i kod mladunaca.) Povećana incidenca ili težina dilatacije bubrežne karlice uočena je kod odraslih mladunaca liječenih ženki, mada samo pri primjeni najveće testirane doze (povezana izloženost majki i izloženost mladunaca dapagliflozinu bile su 1415 puta, odnosno 137 puta veće, u odnosu na vrijednosti kod ljudi pri primjeni maksimalne preporučene doze za ljude). Dodatna razvojna toksičnost bila je ograničena na smanjenje tjelesne mase mladunaca povezano sa dozom i ona je uočena samo pri primjeni doza ≥ 15 mg/kg/dan (povezana sa izloženošću mladunaca koja je bila ≥ 29 puta veća od vrijednosti kod ljudi pri primjeni maksimalne preporučene doze za ljude). Toksičnost po majku je bila evidentna samo pri primjeni najveće testirane doze i bila je ograničena na prolazno smanjenje tjelesne mase i unosa hrane pri primjeni lijeka. Nivo pri kome nijesu uočeni neželjeni efekti (eng. </w:t>
      </w:r>
      <w:r w:rsidRPr="00AD2361">
        <w:rPr>
          <w:bCs/>
          <w:i/>
          <w:szCs w:val="22"/>
          <w:lang w:val="sr-Latn-ME"/>
        </w:rPr>
        <w:t>no observed adverse effect level</w:t>
      </w:r>
      <w:r w:rsidRPr="00AD2361">
        <w:rPr>
          <w:bCs/>
          <w:szCs w:val="22"/>
          <w:lang w:val="sr-Latn-ME"/>
        </w:rPr>
        <w:t>, NOAEL) za razvojnu toksičnost, najmanja testirana doza, povezan je sa višestrukom sistemskom izloženošću majke koja je približno 19 puta veća od vrijednosti kod ljudi pri primjeni maksimalne preporučene doze za ljude.</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jc w:val="both"/>
        <w:rPr>
          <w:bCs/>
          <w:szCs w:val="22"/>
          <w:lang w:val="sr-Latn-ME"/>
        </w:rPr>
      </w:pPr>
      <w:r w:rsidRPr="00AD2361">
        <w:rPr>
          <w:bCs/>
          <w:szCs w:val="22"/>
          <w:lang w:val="sr-Latn-ME"/>
        </w:rPr>
        <w:t>U dodatnim studijama embriofetalnog razvoja kod pacova i kunića dapagliflozin je primjenjivan u intervalima koji su se podudarali sa glavnim periodima organogeneze kod svake od ovih vrsta. Nije uočena ni toksičnost po majku ni razvojna toksičnost kod kunića pri primjeni bilo koje testirane doze; najveća testirana doza povezana je sa višestrukom sistemskom izloženošću koja je bila približno 1191 put veća od izloženosti pri maksimalnoj preporučenoj dozi kod ljudi. Kod pacova dapagliflozin nije bio ni embrioletalan ni teratogen pri izloženostima koje su bile do 1441 put veće od izloženosti pri maksimalnoj preporučenoj dozi kod ljudi.</w:t>
      </w:r>
    </w:p>
    <w:p w:rsidR="00381844" w:rsidRPr="00AD2361" w:rsidRDefault="00381844" w:rsidP="00AD2361">
      <w:pPr>
        <w:widowControl w:val="0"/>
        <w:tabs>
          <w:tab w:val="clear" w:pos="567"/>
          <w:tab w:val="left" w:pos="540"/>
          <w:tab w:val="left" w:pos="569"/>
        </w:tabs>
        <w:spacing w:line="240" w:lineRule="auto"/>
        <w:jc w:val="both"/>
        <w:rPr>
          <w:bCs/>
          <w:szCs w:val="22"/>
          <w:lang w:val="sr-Latn-ME"/>
        </w:rPr>
      </w:pP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6. </w:t>
      </w:r>
      <w:r w:rsidRPr="00AD2361">
        <w:rPr>
          <w:b/>
          <w:bCs/>
          <w:szCs w:val="22"/>
          <w:lang w:val="sr-Latn-ME"/>
        </w:rPr>
        <w:tab/>
        <w:t>FARMACEUTSKI PODACI</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left" w:pos="540"/>
        </w:tabs>
        <w:spacing w:line="240" w:lineRule="auto"/>
        <w:rPr>
          <w:b/>
          <w:bCs/>
          <w:szCs w:val="22"/>
          <w:lang w:val="sr-Latn-ME"/>
        </w:rPr>
      </w:pPr>
      <w:r w:rsidRPr="00AD2361">
        <w:rPr>
          <w:b/>
          <w:bCs/>
          <w:szCs w:val="22"/>
          <w:lang w:val="sr-Latn-ME"/>
        </w:rPr>
        <w:t xml:space="preserve">6.1. </w:t>
      </w:r>
      <w:r w:rsidRPr="00AD2361">
        <w:rPr>
          <w:b/>
          <w:bCs/>
          <w:szCs w:val="22"/>
          <w:lang w:val="sr-Latn-ME"/>
        </w:rPr>
        <w:tab/>
        <w:t>Lista pomoćnih supstanci (ekscipijenasa)</w:t>
      </w:r>
    </w:p>
    <w:p w:rsidR="00381844" w:rsidRPr="00AD2361" w:rsidRDefault="00381844" w:rsidP="00AD2361">
      <w:pPr>
        <w:widowControl w:val="0"/>
        <w:spacing w:line="240" w:lineRule="auto"/>
        <w:outlineLvl w:val="0"/>
        <w:rPr>
          <w:szCs w:val="22"/>
          <w:u w:val="single"/>
          <w:lang w:val="sr-Latn-ME"/>
        </w:rPr>
      </w:pPr>
    </w:p>
    <w:p w:rsidR="00381844" w:rsidRPr="00AD2361" w:rsidRDefault="004529E0" w:rsidP="00AD2361">
      <w:pPr>
        <w:widowControl w:val="0"/>
        <w:spacing w:line="240" w:lineRule="auto"/>
        <w:outlineLvl w:val="0"/>
        <w:rPr>
          <w:szCs w:val="22"/>
          <w:u w:val="single"/>
          <w:lang w:val="sr-Latn-ME"/>
        </w:rPr>
      </w:pPr>
      <w:r w:rsidRPr="00AD2361">
        <w:rPr>
          <w:szCs w:val="22"/>
          <w:u w:val="single"/>
          <w:lang w:val="sr-Latn-ME"/>
        </w:rPr>
        <w:t>Jezgro tablete</w:t>
      </w:r>
    </w:p>
    <w:p w:rsidR="00381844" w:rsidRPr="00AD2361" w:rsidRDefault="004529E0" w:rsidP="00AD2361">
      <w:pPr>
        <w:widowControl w:val="0"/>
        <w:spacing w:line="240" w:lineRule="auto"/>
        <w:rPr>
          <w:b/>
          <w:szCs w:val="22"/>
          <w:lang w:val="sr-Latn-ME"/>
        </w:rPr>
      </w:pPr>
      <w:r w:rsidRPr="00AD2361">
        <w:rPr>
          <w:szCs w:val="22"/>
          <w:lang w:val="sr-Latn-ME"/>
        </w:rPr>
        <w:t>celuloza</w:t>
      </w:r>
      <w:r w:rsidRPr="00AD2361">
        <w:rPr>
          <w:b/>
          <w:szCs w:val="22"/>
          <w:lang w:val="sr-Latn-ME"/>
        </w:rPr>
        <w:t xml:space="preserve">, </w:t>
      </w:r>
      <w:r w:rsidRPr="00AD2361">
        <w:rPr>
          <w:szCs w:val="22"/>
          <w:lang w:val="sr-Latn-ME"/>
        </w:rPr>
        <w:t>mikrokristalna</w:t>
      </w:r>
    </w:p>
    <w:p w:rsidR="00381844" w:rsidRPr="00AD2361" w:rsidRDefault="004529E0" w:rsidP="00AD2361">
      <w:pPr>
        <w:widowControl w:val="0"/>
        <w:spacing w:line="240" w:lineRule="auto"/>
        <w:ind w:left="567" w:hanging="567"/>
        <w:outlineLvl w:val="0"/>
        <w:rPr>
          <w:szCs w:val="22"/>
          <w:lang w:val="sr-Latn-ME"/>
        </w:rPr>
      </w:pPr>
      <w:r w:rsidRPr="00AD2361">
        <w:rPr>
          <w:szCs w:val="22"/>
          <w:lang w:val="sr-Latn-ME"/>
        </w:rPr>
        <w:t>laktoza monohidrat</w:t>
      </w:r>
    </w:p>
    <w:p w:rsidR="00381844" w:rsidRPr="00AD2361" w:rsidRDefault="004529E0" w:rsidP="00AD2361">
      <w:pPr>
        <w:widowControl w:val="0"/>
        <w:spacing w:line="240" w:lineRule="auto"/>
        <w:ind w:left="567" w:hanging="567"/>
        <w:outlineLvl w:val="0"/>
        <w:rPr>
          <w:szCs w:val="22"/>
          <w:lang w:val="sr-Latn-ME"/>
        </w:rPr>
      </w:pPr>
      <w:r w:rsidRPr="00AD2361">
        <w:rPr>
          <w:szCs w:val="22"/>
          <w:lang w:val="sr-Latn-ME"/>
        </w:rPr>
        <w:t>hidroksipropilceluloza</w:t>
      </w:r>
    </w:p>
    <w:p w:rsidR="00381844" w:rsidRPr="00AD2361" w:rsidRDefault="004529E0" w:rsidP="00AD2361">
      <w:pPr>
        <w:widowControl w:val="0"/>
        <w:spacing w:line="240" w:lineRule="auto"/>
        <w:outlineLvl w:val="0"/>
        <w:rPr>
          <w:szCs w:val="22"/>
          <w:lang w:val="sr-Latn-ME"/>
        </w:rPr>
      </w:pPr>
      <w:r w:rsidRPr="00AD2361">
        <w:rPr>
          <w:szCs w:val="22"/>
          <w:lang w:val="sr-Latn-ME"/>
        </w:rPr>
        <w:t>krospovidon, tip A</w:t>
      </w:r>
    </w:p>
    <w:p w:rsidR="00381844" w:rsidRPr="00AD2361" w:rsidRDefault="004529E0" w:rsidP="00AD2361">
      <w:pPr>
        <w:widowControl w:val="0"/>
        <w:spacing w:line="240" w:lineRule="auto"/>
        <w:outlineLvl w:val="0"/>
        <w:rPr>
          <w:szCs w:val="22"/>
          <w:lang w:val="sr-Latn-ME"/>
        </w:rPr>
      </w:pPr>
      <w:r w:rsidRPr="00AD2361">
        <w:rPr>
          <w:szCs w:val="22"/>
          <w:lang w:val="sr-Latn-ME"/>
        </w:rPr>
        <w:t>natrijum stearil fumarat</w:t>
      </w:r>
    </w:p>
    <w:p w:rsidR="00381844" w:rsidRPr="00AD2361" w:rsidRDefault="00381844" w:rsidP="00AD2361">
      <w:pPr>
        <w:widowControl w:val="0"/>
        <w:spacing w:line="240" w:lineRule="auto"/>
        <w:outlineLvl w:val="0"/>
        <w:rPr>
          <w:szCs w:val="22"/>
          <w:lang w:val="sr-Latn-ME"/>
        </w:rPr>
      </w:pPr>
    </w:p>
    <w:p w:rsidR="00381844" w:rsidRPr="00AD2361" w:rsidRDefault="004529E0" w:rsidP="00AD2361">
      <w:pPr>
        <w:widowControl w:val="0"/>
        <w:tabs>
          <w:tab w:val="left" w:pos="2925"/>
        </w:tabs>
        <w:spacing w:line="240" w:lineRule="auto"/>
        <w:outlineLvl w:val="0"/>
        <w:rPr>
          <w:szCs w:val="22"/>
          <w:lang w:val="sr-Latn-ME"/>
        </w:rPr>
      </w:pPr>
      <w:r w:rsidRPr="00AD2361">
        <w:rPr>
          <w:szCs w:val="22"/>
          <w:u w:val="single"/>
          <w:lang w:val="sr-Latn-ME"/>
        </w:rPr>
        <w:t>Film omotač</w:t>
      </w:r>
    </w:p>
    <w:p w:rsidR="00381844" w:rsidRPr="00AD2361" w:rsidRDefault="004529E0" w:rsidP="00AD2361">
      <w:pPr>
        <w:widowControl w:val="0"/>
        <w:spacing w:line="240" w:lineRule="auto"/>
        <w:rPr>
          <w:iCs/>
          <w:szCs w:val="22"/>
          <w:lang w:val="sr-Latn-ME"/>
        </w:rPr>
      </w:pPr>
      <w:r w:rsidRPr="00AD2361">
        <w:rPr>
          <w:iCs/>
          <w:szCs w:val="22"/>
          <w:lang w:val="sr-Latn-ME"/>
        </w:rPr>
        <w:t>polivinil alkohol</w:t>
      </w:r>
    </w:p>
    <w:p w:rsidR="00381844" w:rsidRPr="00AD2361" w:rsidRDefault="004529E0" w:rsidP="00AD2361">
      <w:pPr>
        <w:widowControl w:val="0"/>
        <w:tabs>
          <w:tab w:val="left" w:pos="2925"/>
        </w:tabs>
        <w:spacing w:line="240" w:lineRule="auto"/>
        <w:outlineLvl w:val="0"/>
        <w:rPr>
          <w:szCs w:val="22"/>
          <w:lang w:val="sr-Latn-ME"/>
        </w:rPr>
      </w:pPr>
      <w:r w:rsidRPr="00AD2361">
        <w:rPr>
          <w:szCs w:val="22"/>
          <w:lang w:val="sr-Latn-ME"/>
        </w:rPr>
        <w:t>makrogol 3350</w:t>
      </w:r>
    </w:p>
    <w:p w:rsidR="00381844" w:rsidRPr="00AD2361" w:rsidRDefault="004529E0" w:rsidP="00AD2361">
      <w:pPr>
        <w:widowControl w:val="0"/>
        <w:spacing w:line="240" w:lineRule="auto"/>
        <w:rPr>
          <w:iCs/>
          <w:szCs w:val="22"/>
          <w:lang w:val="sr-Latn-ME"/>
        </w:rPr>
      </w:pPr>
      <w:r w:rsidRPr="00AD2361">
        <w:rPr>
          <w:iCs/>
          <w:szCs w:val="22"/>
          <w:lang w:val="sr-Latn-ME"/>
        </w:rPr>
        <w:t>titan dioksid (E171)</w:t>
      </w:r>
    </w:p>
    <w:p w:rsidR="00381844" w:rsidRPr="00AD2361" w:rsidRDefault="004529E0" w:rsidP="00AD2361">
      <w:pPr>
        <w:widowControl w:val="0"/>
        <w:tabs>
          <w:tab w:val="left" w:pos="2925"/>
        </w:tabs>
        <w:spacing w:line="240" w:lineRule="auto"/>
        <w:outlineLvl w:val="0"/>
        <w:rPr>
          <w:szCs w:val="22"/>
          <w:lang w:val="sr-Latn-ME"/>
        </w:rPr>
      </w:pPr>
      <w:r w:rsidRPr="00AD2361">
        <w:rPr>
          <w:szCs w:val="22"/>
          <w:lang w:val="sr-Latn-ME"/>
        </w:rPr>
        <w:t>talk</w:t>
      </w:r>
    </w:p>
    <w:p w:rsidR="00381844" w:rsidRPr="00AD2361" w:rsidRDefault="004529E0" w:rsidP="00AD2361">
      <w:pPr>
        <w:widowControl w:val="0"/>
        <w:tabs>
          <w:tab w:val="left" w:pos="2925"/>
        </w:tabs>
        <w:spacing w:line="240" w:lineRule="auto"/>
        <w:outlineLvl w:val="0"/>
        <w:rPr>
          <w:szCs w:val="22"/>
          <w:lang w:val="sr-Latn-ME"/>
        </w:rPr>
      </w:pPr>
      <w:r w:rsidRPr="00AD2361">
        <w:rPr>
          <w:szCs w:val="22"/>
          <w:lang w:val="sr-Latn-ME"/>
        </w:rPr>
        <w:t>gvožđe (III) oksid, žuti (E172)</w:t>
      </w: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6.2. </w:t>
      </w:r>
      <w:r w:rsidRPr="00AD2361">
        <w:rPr>
          <w:b/>
          <w:bCs/>
          <w:szCs w:val="22"/>
          <w:lang w:val="sr-Latn-ME"/>
        </w:rPr>
        <w:tab/>
        <w:t>Inkompatibilnosti</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spacing w:line="240" w:lineRule="auto"/>
        <w:rPr>
          <w:szCs w:val="22"/>
          <w:lang w:val="sr-Latn-ME"/>
        </w:rPr>
      </w:pPr>
      <w:r w:rsidRPr="00AD2361">
        <w:rPr>
          <w:szCs w:val="22"/>
          <w:lang w:val="sr-Latn-ME"/>
        </w:rPr>
        <w:lastRenderedPageBreak/>
        <w:t>Nije primjenljivo.</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6.3. </w:t>
      </w:r>
      <w:r w:rsidRPr="00AD2361">
        <w:rPr>
          <w:b/>
          <w:bCs/>
          <w:szCs w:val="22"/>
          <w:lang w:val="sr-Latn-ME"/>
        </w:rPr>
        <w:tab/>
        <w:t>Rok upotrebe</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spacing w:line="240" w:lineRule="auto"/>
        <w:rPr>
          <w:szCs w:val="22"/>
          <w:lang w:val="sr-Latn-ME"/>
        </w:rPr>
      </w:pPr>
      <w:r w:rsidRPr="00AD2361">
        <w:rPr>
          <w:szCs w:val="22"/>
          <w:lang w:val="sr-Latn-ME"/>
        </w:rPr>
        <w:t>3 godine</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6.4. </w:t>
      </w:r>
      <w:r w:rsidRPr="00AD2361">
        <w:rPr>
          <w:b/>
          <w:bCs/>
          <w:szCs w:val="22"/>
          <w:lang w:val="sr-Latn-ME"/>
        </w:rPr>
        <w:tab/>
        <w:t>Posebne mjere upozorenja pri čuvanju lijeka</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69"/>
        </w:tabs>
        <w:spacing w:line="240" w:lineRule="auto"/>
        <w:rPr>
          <w:szCs w:val="22"/>
          <w:lang w:val="sr-Latn-ME" w:eastAsia="ar-SA"/>
        </w:rPr>
      </w:pPr>
      <w:r w:rsidRPr="00AD2361">
        <w:rPr>
          <w:szCs w:val="22"/>
          <w:lang w:val="sr-Latn-ME" w:eastAsia="ar-SA"/>
        </w:rPr>
        <w:t>Lijek čuvati na temperaturi do 30°C.</w:t>
      </w:r>
    </w:p>
    <w:p w:rsidR="00381844" w:rsidRPr="00AD2361" w:rsidRDefault="00381844" w:rsidP="00AD2361">
      <w:pPr>
        <w:widowControl w:val="0"/>
        <w:tabs>
          <w:tab w:val="clear" w:pos="567"/>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6.5. </w:t>
      </w:r>
      <w:r w:rsidRPr="00AD2361">
        <w:rPr>
          <w:b/>
          <w:bCs/>
          <w:szCs w:val="22"/>
          <w:lang w:val="sr-Latn-ME"/>
        </w:rPr>
        <w:tab/>
        <w:t xml:space="preserve">Vrsta i sadržaj pakovanja </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spacing w:line="240" w:lineRule="auto"/>
        <w:rPr>
          <w:szCs w:val="22"/>
          <w:lang w:val="sr-Latn-ME"/>
        </w:rPr>
      </w:pPr>
      <w:r w:rsidRPr="00AD2361">
        <w:rPr>
          <w:szCs w:val="22"/>
          <w:lang w:val="sr-Latn-ME"/>
        </w:rPr>
        <w:t>Unutrašnje pakovanje je OPA/Alu/PVC//Alu blister koji sadrži 15 film tableta.</w:t>
      </w:r>
    </w:p>
    <w:p w:rsidR="00381844" w:rsidRPr="00AD2361" w:rsidRDefault="00381844" w:rsidP="00AD2361">
      <w:pPr>
        <w:widowControl w:val="0"/>
        <w:spacing w:line="240" w:lineRule="auto"/>
        <w:rPr>
          <w:szCs w:val="22"/>
          <w:lang w:val="sr-Latn-ME"/>
        </w:rPr>
      </w:pPr>
    </w:p>
    <w:p w:rsidR="00381844" w:rsidRPr="00AD2361" w:rsidRDefault="004529E0" w:rsidP="00AD2361">
      <w:pPr>
        <w:widowControl w:val="0"/>
        <w:spacing w:line="240" w:lineRule="auto"/>
        <w:jc w:val="both"/>
        <w:rPr>
          <w:szCs w:val="22"/>
          <w:lang w:val="sr-Latn-ME"/>
        </w:rPr>
      </w:pPr>
      <w:r w:rsidRPr="00AD2361">
        <w:rPr>
          <w:szCs w:val="22"/>
          <w:lang w:val="sr-Latn-ME"/>
        </w:rPr>
        <w:t xml:space="preserve">Spoljašnje pakovanje je složiva kartonska kutija koja sadrži 2 blistera (ukupno 30 film tableta) i Uputstvo za lijek. </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6.6. </w:t>
      </w:r>
      <w:r w:rsidRPr="00AD2361">
        <w:rPr>
          <w:b/>
          <w:bCs/>
          <w:szCs w:val="22"/>
          <w:lang w:val="sr-Latn-ME"/>
        </w:rPr>
        <w:tab/>
      </w:r>
      <w:r w:rsidRPr="00AD2361">
        <w:rPr>
          <w:b/>
          <w:bCs/>
          <w:color w:val="000000"/>
          <w:szCs w:val="22"/>
          <w:lang w:val="sr-Latn-ME"/>
        </w:rPr>
        <w:t>Posebne mjere opreza pri odlaganju materijala koji treba odbaciti nakon primjene lijeka</w:t>
      </w:r>
      <w:r w:rsidRPr="00AD2361">
        <w:rPr>
          <w:b/>
          <w:bCs/>
          <w:szCs w:val="22"/>
          <w:lang w:val="sr-Latn-ME"/>
        </w:rPr>
        <w:t xml:space="preserve"> (i druga uputstva za rukovanje lijekom) </w:t>
      </w:r>
    </w:p>
    <w:p w:rsidR="00381844" w:rsidRPr="00AD2361" w:rsidRDefault="00381844" w:rsidP="00AD2361">
      <w:pPr>
        <w:widowControl w:val="0"/>
        <w:tabs>
          <w:tab w:val="clear" w:pos="567"/>
          <w:tab w:val="left" w:pos="540"/>
          <w:tab w:val="left" w:pos="569"/>
        </w:tabs>
        <w:spacing w:line="240" w:lineRule="auto"/>
        <w:rPr>
          <w:b/>
          <w:bCs/>
          <w:szCs w:val="22"/>
          <w:lang w:val="sr-Latn-ME"/>
        </w:rPr>
      </w:pPr>
    </w:p>
    <w:p w:rsidR="00381844" w:rsidRPr="00AD2361" w:rsidRDefault="004529E0" w:rsidP="00AD2361">
      <w:pPr>
        <w:widowControl w:val="0"/>
        <w:spacing w:line="240" w:lineRule="auto"/>
        <w:jc w:val="both"/>
        <w:rPr>
          <w:b/>
          <w:bCs/>
          <w:szCs w:val="22"/>
          <w:lang w:val="sr-Latn-ME" w:eastAsia="ar-SA"/>
        </w:rPr>
      </w:pPr>
      <w:r w:rsidRPr="00AD2361">
        <w:rPr>
          <w:szCs w:val="22"/>
          <w:lang w:val="sr-Latn-ME" w:eastAsia="ar-SA"/>
        </w:rPr>
        <w:t>Neupotrijebljeni lijek se uništava u skladu sa važećim propisima.</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7. </w:t>
      </w:r>
      <w:r w:rsidRPr="00AD2361">
        <w:rPr>
          <w:b/>
          <w:bCs/>
          <w:szCs w:val="22"/>
          <w:lang w:val="sr-Latn-ME"/>
        </w:rPr>
        <w:tab/>
        <w:t xml:space="preserve">NOSILAC DOZVOLE </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lang w:val="sr-Latn-ME"/>
        </w:rPr>
        <w:t>D.S.D. „KRKA d.d. Novo mesto“ Slovenija - predstavništvo Podgorica,</w:t>
      </w: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lang w:val="sr-Latn-ME"/>
        </w:rPr>
        <w:t>Svetlane Kane Radević br. 3, 81000 Podgorica, Crna Gora</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8. </w:t>
      </w:r>
      <w:r w:rsidRPr="00AD2361">
        <w:rPr>
          <w:b/>
          <w:bCs/>
          <w:szCs w:val="22"/>
          <w:lang w:val="sr-Latn-ME"/>
        </w:rPr>
        <w:tab/>
        <w:t>BROJ DOZVOLE ZA STAVLJANJE LIJEKA U PROMET</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lang w:val="sr-Latn-ME"/>
        </w:rPr>
        <w:t xml:space="preserve">Dagrafors, 5 mg, film tableta: </w:t>
      </w:r>
      <w:r w:rsidRPr="00AD2361">
        <w:rPr>
          <w:rFonts w:eastAsia="SimSun"/>
          <w:szCs w:val="22"/>
          <w:lang w:val="sr-Latn-ME"/>
        </w:rPr>
        <w:t>2030/24/3209 - 6923</w:t>
      </w: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bCs/>
          <w:szCs w:val="22"/>
          <w:lang w:val="sr-Latn-ME"/>
        </w:rPr>
        <w:t>Dagrafors, 10 mg, film tableta:</w:t>
      </w:r>
      <w:r w:rsidRPr="00AD2361">
        <w:rPr>
          <w:rFonts w:eastAsia="SimSun"/>
          <w:szCs w:val="22"/>
          <w:lang w:val="sr-Latn-ME"/>
        </w:rPr>
        <w:t xml:space="preserve"> 2030/24/3214 - 6924</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
          <w:bCs/>
          <w:szCs w:val="22"/>
          <w:lang w:val="sr-Latn-ME"/>
        </w:rPr>
      </w:pPr>
      <w:r w:rsidRPr="00AD2361">
        <w:rPr>
          <w:b/>
          <w:bCs/>
          <w:szCs w:val="22"/>
          <w:lang w:val="sr-Latn-ME"/>
        </w:rPr>
        <w:t xml:space="preserve">9. </w:t>
      </w:r>
      <w:r w:rsidRPr="00AD2361">
        <w:rPr>
          <w:b/>
          <w:bCs/>
          <w:szCs w:val="22"/>
          <w:lang w:val="sr-Latn-ME"/>
        </w:rPr>
        <w:tab/>
        <w:t>DATUM PRVE DOZVOLE ZA STAVLJANJE LIJEKA U PROMET</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rPr>
          <w:bCs/>
          <w:szCs w:val="22"/>
          <w:lang w:val="sr-Latn-ME"/>
        </w:rPr>
      </w:pPr>
      <w:r w:rsidRPr="00AD2361">
        <w:rPr>
          <w:rFonts w:eastAsia="SimSun"/>
          <w:szCs w:val="22"/>
          <w:lang w:val="sr-Latn-ME"/>
        </w:rPr>
        <w:t>13.06.2024. godine</w:t>
      </w: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381844" w:rsidP="00AD2361">
      <w:pPr>
        <w:widowControl w:val="0"/>
        <w:tabs>
          <w:tab w:val="clear" w:pos="567"/>
          <w:tab w:val="left" w:pos="540"/>
          <w:tab w:val="left" w:pos="569"/>
        </w:tabs>
        <w:spacing w:line="240" w:lineRule="auto"/>
        <w:rPr>
          <w:bCs/>
          <w:szCs w:val="22"/>
          <w:lang w:val="sr-Latn-ME"/>
        </w:rPr>
      </w:pPr>
    </w:p>
    <w:p w:rsidR="00381844" w:rsidRPr="00AD2361" w:rsidRDefault="004529E0" w:rsidP="00AD2361">
      <w:pPr>
        <w:widowControl w:val="0"/>
        <w:tabs>
          <w:tab w:val="clear" w:pos="567"/>
          <w:tab w:val="left" w:pos="540"/>
          <w:tab w:val="left" w:pos="569"/>
        </w:tabs>
        <w:spacing w:line="240" w:lineRule="auto"/>
        <w:ind w:left="540" w:hanging="540"/>
        <w:rPr>
          <w:bCs/>
          <w:szCs w:val="22"/>
          <w:lang w:val="sr-Latn-ME"/>
        </w:rPr>
      </w:pPr>
      <w:r w:rsidRPr="00AD2361">
        <w:rPr>
          <w:b/>
          <w:bCs/>
          <w:szCs w:val="22"/>
          <w:lang w:val="sr-Latn-ME"/>
        </w:rPr>
        <w:t xml:space="preserve">10. </w:t>
      </w:r>
      <w:r w:rsidRPr="00AD2361">
        <w:rPr>
          <w:b/>
          <w:bCs/>
          <w:szCs w:val="22"/>
          <w:lang w:val="sr-Latn-ME"/>
        </w:rPr>
        <w:tab/>
        <w:t xml:space="preserve">DATUM REVIZIJE TEKSTA </w:t>
      </w:r>
    </w:p>
    <w:p w:rsidR="00381844" w:rsidRPr="00AD2361" w:rsidRDefault="00381844" w:rsidP="00AD2361">
      <w:pPr>
        <w:widowControl w:val="0"/>
        <w:spacing w:line="240" w:lineRule="auto"/>
        <w:rPr>
          <w:szCs w:val="22"/>
          <w:lang w:val="sr-Latn-ME"/>
        </w:rPr>
      </w:pPr>
    </w:p>
    <w:p w:rsidR="00381844" w:rsidRPr="00AD2361" w:rsidRDefault="00DF6FD6" w:rsidP="00AD2361">
      <w:pPr>
        <w:widowControl w:val="0"/>
        <w:spacing w:line="240" w:lineRule="auto"/>
        <w:rPr>
          <w:szCs w:val="22"/>
          <w:lang w:val="sr-Latn-ME"/>
        </w:rPr>
      </w:pPr>
      <w:r>
        <w:rPr>
          <w:szCs w:val="22"/>
          <w:lang w:val="sr-Latn-ME"/>
        </w:rPr>
        <w:t>Decembar, 2024. godine</w:t>
      </w:r>
    </w:p>
    <w:p w:rsidR="00381844" w:rsidRPr="00AD2361" w:rsidRDefault="00381844" w:rsidP="00AD2361">
      <w:pPr>
        <w:widowControl w:val="0"/>
        <w:spacing w:line="240" w:lineRule="auto"/>
        <w:rPr>
          <w:lang w:val="sr-Latn-ME"/>
        </w:rPr>
      </w:pPr>
    </w:p>
    <w:sectPr w:rsidR="00381844" w:rsidRPr="00AD2361">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EA0" w:rsidRDefault="00D13EA0">
      <w:pPr>
        <w:spacing w:line="240" w:lineRule="auto"/>
      </w:pPr>
      <w:r>
        <w:separator/>
      </w:r>
    </w:p>
  </w:endnote>
  <w:endnote w:type="continuationSeparator" w:id="0">
    <w:p w:rsidR="00D13EA0" w:rsidRDefault="00D13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61" w:rsidRDefault="00AD2361">
    <w:pPr>
      <w:pStyle w:val="Footer"/>
      <w:tabs>
        <w:tab w:val="right" w:pos="8931"/>
      </w:tabs>
      <w:ind w:right="96"/>
      <w:jc w:val="center"/>
      <w:rPr>
        <w:sz w:val="22"/>
        <w:szCs w:val="22"/>
      </w:rPr>
    </w:pPr>
    <w:r>
      <w:fldChar w:fldCharType="begin"/>
    </w:r>
    <w:r>
      <w:instrText xml:space="preserve"> EQ </w:instrText>
    </w:r>
    <w:r>
      <w:fldChar w:fldCharType="end"/>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sidR="00D63150">
      <w:rPr>
        <w:rStyle w:val="PageNumber"/>
        <w:rFonts w:ascii="Times New Roman" w:hAnsi="Times New Roman"/>
        <w:sz w:val="22"/>
        <w:szCs w:val="22"/>
      </w:rPr>
      <w:t>32</w:t>
    </w:r>
    <w:r>
      <w:rPr>
        <w:rStyle w:val="PageNumber"/>
        <w:rFonts w:ascii="Times New Roman" w:hAnsi="Times New Roman"/>
        <w:sz w:val="22"/>
        <w:szCs w:val="22"/>
      </w:rPr>
      <w:fldChar w:fldCharType="end"/>
    </w:r>
    <w:r>
      <w:rPr>
        <w:rStyle w:val="PageNumber"/>
        <w:rFonts w:ascii="Times New Roman" w:hAnsi="Times New Roman"/>
        <w:sz w:val="22"/>
        <w:szCs w:val="22"/>
      </w:rPr>
      <w:t xml:space="preserve"> / 3</w:t>
    </w:r>
    <w:r w:rsidR="00DF6FD6">
      <w:rPr>
        <w:rStyle w:val="PageNumber"/>
        <w:rFonts w:ascii="Times New Roman" w:hAnsi="Times New Roman"/>
        <w:sz w:val="22"/>
        <w:szCs w:val="22"/>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361" w:rsidRDefault="00AD2361">
    <w:pPr>
      <w:pStyle w:val="Footer"/>
      <w:tabs>
        <w:tab w:val="right" w:pos="8931"/>
      </w:tabs>
      <w:ind w:right="96"/>
      <w:jc w:val="center"/>
      <w:rPr>
        <w:rFonts w:ascii="Times New Roman" w:hAnsi="Times New Roman"/>
        <w:sz w:val="22"/>
        <w:szCs w:val="22"/>
      </w:rPr>
    </w:pPr>
    <w:r>
      <w:rPr>
        <w:rFonts w:ascii="Times New Roman" w:hAnsi="Times New Roman"/>
        <w:sz w:val="22"/>
        <w:szCs w:val="22"/>
      </w:rPr>
      <w:t>1 / 35</w:t>
    </w:r>
    <w:r>
      <w:rPr>
        <w:rFonts w:ascii="Times New Roman" w:hAnsi="Times New Roman"/>
        <w:sz w:val="22"/>
        <w:szCs w:val="22"/>
      </w:rPr>
      <w:fldChar w:fldCharType="begin"/>
    </w:r>
    <w:r>
      <w:rPr>
        <w:rFonts w:ascii="Times New Roman" w:hAnsi="Times New Roman"/>
        <w:sz w:val="22"/>
        <w:szCs w:val="22"/>
      </w:rPr>
      <w:instrText xml:space="preserve"> EQ </w:instrText>
    </w:r>
    <w:r>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EA0" w:rsidRDefault="00D13EA0">
      <w:pPr>
        <w:spacing w:line="240" w:lineRule="auto"/>
      </w:pPr>
      <w:r>
        <w:separator/>
      </w:r>
    </w:p>
  </w:footnote>
  <w:footnote w:type="continuationSeparator" w:id="0">
    <w:p w:rsidR="00D13EA0" w:rsidRDefault="00D13E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91D0C"/>
    <w:multiLevelType w:val="hybridMultilevel"/>
    <w:tmpl w:val="24F2DB34"/>
    <w:lvl w:ilvl="0" w:tplc="FF04CB46">
      <w:numFmt w:val="bullet"/>
      <w:lvlText w:val="-"/>
      <w:lvlJc w:val="left"/>
      <w:pPr>
        <w:ind w:left="842" w:hanging="567"/>
      </w:pPr>
      <w:rPr>
        <w:rFonts w:ascii="Times New Roman" w:eastAsia="Times New Roman" w:hAnsi="Times New Roman" w:cs="Times New Roman" w:hint="default"/>
        <w:w w:val="100"/>
        <w:sz w:val="22"/>
        <w:szCs w:val="22"/>
      </w:rPr>
    </w:lvl>
    <w:lvl w:ilvl="1" w:tplc="E5708620">
      <w:numFmt w:val="bullet"/>
      <w:lvlText w:val="•"/>
      <w:lvlJc w:val="left"/>
      <w:pPr>
        <w:ind w:left="1732" w:hanging="567"/>
      </w:pPr>
      <w:rPr>
        <w:rFonts w:hint="default"/>
      </w:rPr>
    </w:lvl>
    <w:lvl w:ilvl="2" w:tplc="E7D8CC6A">
      <w:numFmt w:val="bullet"/>
      <w:lvlText w:val="•"/>
      <w:lvlJc w:val="left"/>
      <w:pPr>
        <w:ind w:left="2625" w:hanging="567"/>
      </w:pPr>
      <w:rPr>
        <w:rFonts w:hint="default"/>
      </w:rPr>
    </w:lvl>
    <w:lvl w:ilvl="3" w:tplc="AC443B8C">
      <w:numFmt w:val="bullet"/>
      <w:lvlText w:val="•"/>
      <w:lvlJc w:val="left"/>
      <w:pPr>
        <w:ind w:left="3517" w:hanging="567"/>
      </w:pPr>
      <w:rPr>
        <w:rFonts w:hint="default"/>
      </w:rPr>
    </w:lvl>
    <w:lvl w:ilvl="4" w:tplc="B4D853A6">
      <w:numFmt w:val="bullet"/>
      <w:lvlText w:val="•"/>
      <w:lvlJc w:val="left"/>
      <w:pPr>
        <w:ind w:left="4410" w:hanging="567"/>
      </w:pPr>
      <w:rPr>
        <w:rFonts w:hint="default"/>
      </w:rPr>
    </w:lvl>
    <w:lvl w:ilvl="5" w:tplc="754A20A2">
      <w:numFmt w:val="bullet"/>
      <w:lvlText w:val="•"/>
      <w:lvlJc w:val="left"/>
      <w:pPr>
        <w:ind w:left="5302" w:hanging="567"/>
      </w:pPr>
      <w:rPr>
        <w:rFonts w:hint="default"/>
      </w:rPr>
    </w:lvl>
    <w:lvl w:ilvl="6" w:tplc="2CFE94A6">
      <w:numFmt w:val="bullet"/>
      <w:lvlText w:val="•"/>
      <w:lvlJc w:val="left"/>
      <w:pPr>
        <w:ind w:left="6195" w:hanging="567"/>
      </w:pPr>
      <w:rPr>
        <w:rFonts w:hint="default"/>
      </w:rPr>
    </w:lvl>
    <w:lvl w:ilvl="7" w:tplc="50D4274A">
      <w:numFmt w:val="bullet"/>
      <w:lvlText w:val="•"/>
      <w:lvlJc w:val="left"/>
      <w:pPr>
        <w:ind w:left="7087" w:hanging="567"/>
      </w:pPr>
      <w:rPr>
        <w:rFonts w:hint="default"/>
      </w:rPr>
    </w:lvl>
    <w:lvl w:ilvl="8" w:tplc="923A2784">
      <w:numFmt w:val="bullet"/>
      <w:lvlText w:val="•"/>
      <w:lvlJc w:val="left"/>
      <w:pPr>
        <w:ind w:left="7980" w:hanging="567"/>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381844"/>
    <w:rsid w:val="00030316"/>
    <w:rsid w:val="002D73A1"/>
    <w:rsid w:val="00381844"/>
    <w:rsid w:val="004529E0"/>
    <w:rsid w:val="00634717"/>
    <w:rsid w:val="00684F3A"/>
    <w:rsid w:val="00AD2361"/>
    <w:rsid w:val="00D13EA0"/>
    <w:rsid w:val="00D63150"/>
    <w:rsid w:val="00DF6FD6"/>
    <w:rsid w:val="00F1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EE51C"/>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NoSpacing">
    <w:name w:val="No Spacing"/>
    <w:uiPriority w:val="1"/>
    <w:qFormat/>
    <w:rPr>
      <w:rFonts w:eastAsia="Times New Roman"/>
      <w:sz w:val="24"/>
      <w:szCs w:val="24"/>
    </w:rPr>
  </w:style>
  <w:style w:type="character" w:customStyle="1" w:styleId="Heading1Char">
    <w:name w:val="Heading 1 Char"/>
    <w:link w:val="Heading1"/>
    <w:rPr>
      <w:rFonts w:ascii="Arial" w:eastAsia="Times New Roman" w:hAnsi="Arial" w:cs="Arial"/>
      <w:b/>
      <w:bCs/>
      <w:kern w:val="32"/>
      <w:sz w:val="32"/>
      <w:szCs w:val="32"/>
    </w:rPr>
  </w:style>
  <w:style w:type="character" w:customStyle="1" w:styleId="Heading2Char">
    <w:name w:val="Heading 2 Char"/>
    <w:link w:val="Heading2"/>
    <w:rPr>
      <w:rFonts w:eastAsia="Times New Roman"/>
      <w:b/>
      <w:sz w:val="24"/>
      <w:u w:val="single"/>
      <w:lang w:val="en-US"/>
    </w:rPr>
  </w:style>
  <w:style w:type="character" w:customStyle="1" w:styleId="Heading3Char">
    <w:name w:val="Heading 3 Char"/>
    <w:link w:val="Heading3"/>
    <w:rPr>
      <w:rFonts w:eastAsia="Times New Roman"/>
      <w:b/>
      <w:sz w:val="24"/>
      <w:lang w:val="en-US"/>
    </w:rPr>
  </w:style>
  <w:style w:type="character" w:customStyle="1" w:styleId="Heading4Char">
    <w:name w:val="Heading 4 Char"/>
    <w:link w:val="Heading4"/>
    <w:rPr>
      <w:rFonts w:eastAsia="Times New Roman"/>
      <w:b/>
      <w:bCs/>
      <w:sz w:val="28"/>
      <w:szCs w:val="28"/>
    </w:rPr>
  </w:style>
  <w:style w:type="character" w:customStyle="1" w:styleId="Heading6Char">
    <w:name w:val="Heading 6 Char"/>
    <w:link w:val="Heading6"/>
    <w:rPr>
      <w:rFonts w:eastAsia="Times New Roman"/>
      <w:b/>
      <w:sz w:val="24"/>
      <w:lang w:val="en-U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lang w:eastAsia="sl-SI"/>
    </w:rPr>
  </w:style>
  <w:style w:type="character" w:customStyle="1" w:styleId="PlainTextChar">
    <w:name w:val="Plain Text Char"/>
    <w:link w:val="PlainText"/>
    <w:rPr>
      <w:rFonts w:ascii="Courier New" w:eastAsia="Times New Roman" w:hAnsi="Courier New"/>
      <w:lang w:val="en-GB"/>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paragraph" w:styleId="BodyText2">
    <w:name w:val="Body Text 2"/>
    <w:basedOn w:val="Normal"/>
    <w:link w:val="BodyText2Char"/>
    <w:pPr>
      <w:tabs>
        <w:tab w:val="clear" w:pos="567"/>
      </w:tabs>
      <w:spacing w:after="120" w:line="480" w:lineRule="auto"/>
    </w:pPr>
    <w:rPr>
      <w:sz w:val="24"/>
      <w:lang w:val="sl-SI" w:eastAsia="sl-SI"/>
    </w:rPr>
  </w:style>
  <w:style w:type="character" w:customStyle="1" w:styleId="BodyText2Char">
    <w:name w:val="Body Text 2 Char"/>
    <w:link w:val="BodyText2"/>
    <w:rPr>
      <w:rFonts w:eastAsia="Times New Roman"/>
      <w:sz w:val="24"/>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table" w:customStyle="1" w:styleId="Tabela-mrea">
    <w:name w:val="Tabela - mreža"/>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Pr>
      <w:rFonts w:eastAsia="Times New Roman"/>
      <w:i/>
      <w:color w:val="008000"/>
      <w:sz w:val="22"/>
      <w:lang w:val="en-GB"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rPr>
      <w:rFonts w:ascii="Arial" w:eastAsia="Times New Roman" w:hAnsi="Arial"/>
      <w:lang w:val="en-GB" w:eastAsia="en-US"/>
    </w:rPr>
  </w:style>
  <w:style w:type="character" w:customStyle="1" w:styleId="BalloonTextChar">
    <w:name w:val="Balloon Text Char"/>
    <w:link w:val="BalloonText"/>
    <w:rPr>
      <w:rFonts w:ascii="Tahoma" w:eastAsia="Times New Roman" w:hAnsi="Tahoma" w:cs="Tahoma"/>
      <w:sz w:val="16"/>
      <w:szCs w:val="16"/>
      <w:lang w:val="en-GB" w:eastAsia="en-US"/>
    </w:rPr>
  </w:style>
  <w:style w:type="numbering" w:customStyle="1" w:styleId="Brezseznama1">
    <w:name w:val="Brez seznama1"/>
    <w:next w:val="NoList"/>
    <w:uiPriority w:val="99"/>
    <w:semiHidden/>
    <w:unhideWhenUsed/>
  </w:style>
  <w:style w:type="paragraph" w:styleId="EndnoteText">
    <w:name w:val="endnote text"/>
    <w:basedOn w:val="Normal"/>
    <w:link w:val="EndnoteTextChar"/>
    <w:pPr>
      <w:spacing w:line="240" w:lineRule="auto"/>
    </w:pPr>
  </w:style>
  <w:style w:type="character" w:customStyle="1" w:styleId="EndnoteTextChar">
    <w:name w:val="Endnote Text Char"/>
    <w:link w:val="EndnoteText"/>
    <w:rPr>
      <w:rFonts w:eastAsia="Times New Roman"/>
      <w:sz w:val="22"/>
      <w:lang w:val="en-GB" w:eastAsia="en-US"/>
    </w:rPr>
  </w:style>
  <w:style w:type="paragraph" w:styleId="Title">
    <w:name w:val="Title"/>
    <w:basedOn w:val="Normal"/>
    <w:link w:val="TitleChar"/>
    <w:qFormat/>
    <w:pPr>
      <w:tabs>
        <w:tab w:val="clear" w:pos="567"/>
      </w:tabs>
      <w:spacing w:line="240" w:lineRule="auto"/>
      <w:jc w:val="center"/>
    </w:pPr>
    <w:rPr>
      <w:b/>
    </w:rPr>
  </w:style>
  <w:style w:type="character" w:customStyle="1" w:styleId="TitleChar">
    <w:name w:val="Title Char"/>
    <w:link w:val="Title"/>
    <w:rPr>
      <w:rFonts w:eastAsia="Times New Roman"/>
      <w:b/>
      <w:sz w:val="22"/>
      <w:lang w:val="en-GB" w:eastAsia="en-US"/>
    </w:rPr>
  </w:style>
  <w:style w:type="paragraph" w:styleId="ListParagraph">
    <w:name w:val="List Paragraph"/>
    <w:basedOn w:val="Normal"/>
    <w:uiPriority w:val="34"/>
    <w:qFormat/>
    <w:pPr>
      <w:tabs>
        <w:tab w:val="clear" w:pos="567"/>
      </w:tabs>
      <w:spacing w:line="240" w:lineRule="auto"/>
      <w:ind w:left="720"/>
      <w:contextualSpacing/>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0483">
      <w:bodyDiv w:val="1"/>
      <w:marLeft w:val="0"/>
      <w:marRight w:val="0"/>
      <w:marTop w:val="0"/>
      <w:marBottom w:val="0"/>
      <w:divBdr>
        <w:top w:val="none" w:sz="0" w:space="0" w:color="auto"/>
        <w:left w:val="none" w:sz="0" w:space="0" w:color="auto"/>
        <w:bottom w:val="none" w:sz="0" w:space="0" w:color="auto"/>
        <w:right w:val="none" w:sz="0" w:space="0" w:color="auto"/>
      </w:divBdr>
    </w:div>
    <w:div w:id="365300016">
      <w:bodyDiv w:val="1"/>
      <w:marLeft w:val="0"/>
      <w:marRight w:val="0"/>
      <w:marTop w:val="0"/>
      <w:marBottom w:val="0"/>
      <w:divBdr>
        <w:top w:val="none" w:sz="0" w:space="0" w:color="auto"/>
        <w:left w:val="none" w:sz="0" w:space="0" w:color="auto"/>
        <w:bottom w:val="none" w:sz="0" w:space="0" w:color="auto"/>
        <w:right w:val="none" w:sz="0" w:space="0" w:color="auto"/>
      </w:divBdr>
    </w:div>
    <w:div w:id="492180286">
      <w:bodyDiv w:val="1"/>
      <w:marLeft w:val="0"/>
      <w:marRight w:val="0"/>
      <w:marTop w:val="0"/>
      <w:marBottom w:val="0"/>
      <w:divBdr>
        <w:top w:val="none" w:sz="0" w:space="0" w:color="auto"/>
        <w:left w:val="none" w:sz="0" w:space="0" w:color="auto"/>
        <w:bottom w:val="none" w:sz="0" w:space="0" w:color="auto"/>
        <w:right w:val="none" w:sz="0" w:space="0" w:color="auto"/>
      </w:divBdr>
    </w:div>
    <w:div w:id="611667571">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1060834814">
      <w:bodyDiv w:val="1"/>
      <w:marLeft w:val="0"/>
      <w:marRight w:val="0"/>
      <w:marTop w:val="0"/>
      <w:marBottom w:val="0"/>
      <w:divBdr>
        <w:top w:val="none" w:sz="0" w:space="0" w:color="auto"/>
        <w:left w:val="none" w:sz="0" w:space="0" w:color="auto"/>
        <w:bottom w:val="none" w:sz="0" w:space="0" w:color="auto"/>
        <w:right w:val="none" w:sz="0" w:space="0" w:color="auto"/>
      </w:divBdr>
    </w:div>
    <w:div w:id="1213929531">
      <w:bodyDiv w:val="1"/>
      <w:marLeft w:val="0"/>
      <w:marRight w:val="0"/>
      <w:marTop w:val="0"/>
      <w:marBottom w:val="0"/>
      <w:divBdr>
        <w:top w:val="none" w:sz="0" w:space="0" w:color="auto"/>
        <w:left w:val="none" w:sz="0" w:space="0" w:color="auto"/>
        <w:bottom w:val="none" w:sz="0" w:space="0" w:color="auto"/>
        <w:right w:val="none" w:sz="0" w:space="0" w:color="auto"/>
      </w:divBdr>
    </w:div>
    <w:div w:id="1216816948">
      <w:bodyDiv w:val="1"/>
      <w:marLeft w:val="0"/>
      <w:marRight w:val="0"/>
      <w:marTop w:val="0"/>
      <w:marBottom w:val="0"/>
      <w:divBdr>
        <w:top w:val="none" w:sz="0" w:space="0" w:color="auto"/>
        <w:left w:val="none" w:sz="0" w:space="0" w:color="auto"/>
        <w:bottom w:val="none" w:sz="0" w:space="0" w:color="auto"/>
        <w:right w:val="none" w:sz="0" w:space="0" w:color="auto"/>
      </w:divBdr>
    </w:div>
    <w:div w:id="1325087717">
      <w:bodyDiv w:val="1"/>
      <w:marLeft w:val="0"/>
      <w:marRight w:val="0"/>
      <w:marTop w:val="0"/>
      <w:marBottom w:val="0"/>
      <w:divBdr>
        <w:top w:val="none" w:sz="0" w:space="0" w:color="auto"/>
        <w:left w:val="none" w:sz="0" w:space="0" w:color="auto"/>
        <w:bottom w:val="none" w:sz="0" w:space="0" w:color="auto"/>
        <w:right w:val="none" w:sz="0" w:space="0" w:color="auto"/>
      </w:divBdr>
    </w:div>
    <w:div w:id="1367830490">
      <w:bodyDiv w:val="1"/>
      <w:marLeft w:val="0"/>
      <w:marRight w:val="0"/>
      <w:marTop w:val="0"/>
      <w:marBottom w:val="0"/>
      <w:divBdr>
        <w:top w:val="none" w:sz="0" w:space="0" w:color="auto"/>
        <w:left w:val="none" w:sz="0" w:space="0" w:color="auto"/>
        <w:bottom w:val="none" w:sz="0" w:space="0" w:color="auto"/>
        <w:right w:val="none" w:sz="0" w:space="0" w:color="auto"/>
      </w:divBdr>
    </w:div>
    <w:div w:id="1429347553">
      <w:bodyDiv w:val="1"/>
      <w:marLeft w:val="0"/>
      <w:marRight w:val="0"/>
      <w:marTop w:val="0"/>
      <w:marBottom w:val="0"/>
      <w:divBdr>
        <w:top w:val="none" w:sz="0" w:space="0" w:color="auto"/>
        <w:left w:val="none" w:sz="0" w:space="0" w:color="auto"/>
        <w:bottom w:val="none" w:sz="0" w:space="0" w:color="auto"/>
        <w:right w:val="none" w:sz="0" w:space="0" w:color="auto"/>
      </w:divBdr>
    </w:div>
    <w:div w:id="1558470826">
      <w:bodyDiv w:val="1"/>
      <w:marLeft w:val="0"/>
      <w:marRight w:val="0"/>
      <w:marTop w:val="0"/>
      <w:marBottom w:val="0"/>
      <w:divBdr>
        <w:top w:val="none" w:sz="0" w:space="0" w:color="auto"/>
        <w:left w:val="none" w:sz="0" w:space="0" w:color="auto"/>
        <w:bottom w:val="none" w:sz="0" w:space="0" w:color="auto"/>
        <w:right w:val="none" w:sz="0" w:space="0" w:color="auto"/>
      </w:divBdr>
    </w:div>
    <w:div w:id="1621496287">
      <w:bodyDiv w:val="1"/>
      <w:marLeft w:val="0"/>
      <w:marRight w:val="0"/>
      <w:marTop w:val="0"/>
      <w:marBottom w:val="0"/>
      <w:divBdr>
        <w:top w:val="none" w:sz="0" w:space="0" w:color="auto"/>
        <w:left w:val="none" w:sz="0" w:space="0" w:color="auto"/>
        <w:bottom w:val="none" w:sz="0" w:space="0" w:color="auto"/>
        <w:right w:val="none" w:sz="0" w:space="0" w:color="auto"/>
      </w:divBdr>
    </w:div>
    <w:div w:id="1633555714">
      <w:bodyDiv w:val="1"/>
      <w:marLeft w:val="0"/>
      <w:marRight w:val="0"/>
      <w:marTop w:val="0"/>
      <w:marBottom w:val="0"/>
      <w:divBdr>
        <w:top w:val="none" w:sz="0" w:space="0" w:color="auto"/>
        <w:left w:val="none" w:sz="0" w:space="0" w:color="auto"/>
        <w:bottom w:val="none" w:sz="0" w:space="0" w:color="auto"/>
        <w:right w:val="none" w:sz="0" w:space="0" w:color="auto"/>
      </w:divBdr>
    </w:div>
    <w:div w:id="1651669470">
      <w:bodyDiv w:val="1"/>
      <w:marLeft w:val="0"/>
      <w:marRight w:val="0"/>
      <w:marTop w:val="0"/>
      <w:marBottom w:val="0"/>
      <w:divBdr>
        <w:top w:val="none" w:sz="0" w:space="0" w:color="auto"/>
        <w:left w:val="none" w:sz="0" w:space="0" w:color="auto"/>
        <w:bottom w:val="none" w:sz="0" w:space="0" w:color="auto"/>
        <w:right w:val="none" w:sz="0" w:space="0" w:color="auto"/>
      </w:divBdr>
    </w:div>
    <w:div w:id="1907761953">
      <w:bodyDiv w:val="1"/>
      <w:marLeft w:val="0"/>
      <w:marRight w:val="0"/>
      <w:marTop w:val="0"/>
      <w:marBottom w:val="0"/>
      <w:divBdr>
        <w:top w:val="none" w:sz="0" w:space="0" w:color="auto"/>
        <w:left w:val="none" w:sz="0" w:space="0" w:color="auto"/>
        <w:bottom w:val="none" w:sz="0" w:space="0" w:color="auto"/>
        <w:right w:val="none" w:sz="0" w:space="0" w:color="auto"/>
      </w:divBdr>
    </w:div>
    <w:div w:id="2114520178">
      <w:bodyDiv w:val="1"/>
      <w:marLeft w:val="0"/>
      <w:marRight w:val="0"/>
      <w:marTop w:val="0"/>
      <w:marBottom w:val="0"/>
      <w:divBdr>
        <w:top w:val="none" w:sz="0" w:space="0" w:color="auto"/>
        <w:left w:val="none" w:sz="0" w:space="0" w:color="auto"/>
        <w:bottom w:val="none" w:sz="0" w:space="0" w:color="auto"/>
        <w:right w:val="none" w:sz="0" w:space="0" w:color="auto"/>
      </w:divBdr>
    </w:div>
    <w:div w:id="2143377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vigiflow-eforms.who-umc.org/me/meadr"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73F810-89BF-4621-B4AF-EA713022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36</Pages>
  <Words>16202</Words>
  <Characters>92358</Characters>
  <Application>Microsoft Office Word</Application>
  <DocSecurity>0</DocSecurity>
  <Lines>769</Lines>
  <Paragraphs>216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Gordana Boljević</dc:creator>
  <cp:lastModifiedBy>Tamara Nikezić</cp:lastModifiedBy>
  <cp:revision>26</cp:revision>
  <dcterms:created xsi:type="dcterms:W3CDTF">2024-06-10T21:02:00Z</dcterms:created>
  <dcterms:modified xsi:type="dcterms:W3CDTF">2024-12-31T06:55:00Z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