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67B1D" w14:textId="77777777" w:rsidR="00FA009A" w:rsidRPr="00202D4B" w:rsidRDefault="00FA009A" w:rsidP="00FA009A">
      <w:pPr>
        <w:jc w:val="center"/>
        <w:rPr>
          <w:b/>
          <w:bCs/>
          <w:iCs/>
          <w:noProof/>
          <w:sz w:val="22"/>
          <w:szCs w:val="22"/>
          <w:u w:val="single"/>
          <w:lang w:val="sr-Latn-ME"/>
        </w:rPr>
      </w:pPr>
      <w:r w:rsidRPr="00202D4B">
        <w:rPr>
          <w:b/>
          <w:bCs/>
          <w:iCs/>
          <w:noProof/>
          <w:sz w:val="22"/>
          <w:szCs w:val="22"/>
          <w:u w:val="single"/>
          <w:lang w:val="sr-Latn-ME"/>
        </w:rPr>
        <w:t>SAŽETAK KARAKTERISTIKA LIJEKA</w:t>
      </w:r>
    </w:p>
    <w:p w14:paraId="602DC6B3" w14:textId="2D863A52" w:rsidR="00FA009A" w:rsidRPr="00202D4B" w:rsidRDefault="00FA009A" w:rsidP="00FA009A">
      <w:pPr>
        <w:jc w:val="both"/>
        <w:rPr>
          <w:bCs/>
          <w:iCs/>
          <w:noProof/>
          <w:sz w:val="22"/>
          <w:szCs w:val="22"/>
          <w:lang w:val="sr-Latn-ME"/>
        </w:rPr>
      </w:pPr>
    </w:p>
    <w:p w14:paraId="117831A9" w14:textId="77777777" w:rsidR="000353A6" w:rsidRPr="00202D4B" w:rsidRDefault="000353A6" w:rsidP="00FA009A">
      <w:pPr>
        <w:jc w:val="both"/>
        <w:rPr>
          <w:bCs/>
          <w:iCs/>
          <w:noProof/>
          <w:sz w:val="22"/>
          <w:szCs w:val="22"/>
          <w:lang w:val="sr-Latn-ME"/>
        </w:rPr>
      </w:pPr>
    </w:p>
    <w:p w14:paraId="572C9F96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65F3202C" w14:textId="77777777" w:rsidR="00FA009A" w:rsidRPr="00202D4B" w:rsidRDefault="00FA009A" w:rsidP="00FA009A">
      <w:pPr>
        <w:pStyle w:val="ListParagraph"/>
        <w:numPr>
          <w:ilvl w:val="0"/>
          <w:numId w:val="4"/>
        </w:num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202D4B">
        <w:rPr>
          <w:b/>
          <w:bCs/>
          <w:noProof/>
          <w:sz w:val="22"/>
          <w:szCs w:val="22"/>
          <w:lang w:val="sr-Latn-ME"/>
        </w:rPr>
        <w:t>NAZIV LIJEKA</w:t>
      </w:r>
    </w:p>
    <w:p w14:paraId="3B261A4A" w14:textId="77777777" w:rsidR="00FA009A" w:rsidRPr="00202D4B" w:rsidRDefault="00FA009A" w:rsidP="00FA009A">
      <w:pPr>
        <w:jc w:val="both"/>
        <w:rPr>
          <w:noProof/>
          <w:sz w:val="22"/>
          <w:szCs w:val="22"/>
          <w:lang w:val="sr-Latn-ME"/>
        </w:rPr>
      </w:pPr>
    </w:p>
    <w:p w14:paraId="3FCB6EB6" w14:textId="39BFA34F" w:rsidR="00FA009A" w:rsidRPr="00202D4B" w:rsidRDefault="00FA009A" w:rsidP="00FA009A">
      <w:pPr>
        <w:jc w:val="both"/>
        <w:rPr>
          <w:iCs/>
          <w:noProof/>
          <w:sz w:val="22"/>
          <w:szCs w:val="22"/>
          <w:lang w:val="sr-Latn-ME"/>
        </w:rPr>
      </w:pPr>
      <w:r w:rsidRPr="00202D4B">
        <w:rPr>
          <w:iCs/>
          <w:noProof/>
          <w:sz w:val="22"/>
          <w:szCs w:val="22"/>
          <w:lang w:val="sr-Latn-ME"/>
        </w:rPr>
        <w:t>MEMENTO 10 mg film tablet</w:t>
      </w:r>
      <w:r w:rsidR="000353A6" w:rsidRPr="00202D4B">
        <w:rPr>
          <w:iCs/>
          <w:noProof/>
          <w:sz w:val="22"/>
          <w:szCs w:val="22"/>
          <w:lang w:val="sr-Latn-ME"/>
        </w:rPr>
        <w:t>a</w:t>
      </w:r>
    </w:p>
    <w:p w14:paraId="7A63102F" w14:textId="77777777" w:rsidR="00FA009A" w:rsidRPr="00202D4B" w:rsidRDefault="00FA009A" w:rsidP="00FA009A">
      <w:pPr>
        <w:jc w:val="both"/>
        <w:rPr>
          <w:bCs/>
          <w:noProof/>
          <w:sz w:val="22"/>
          <w:szCs w:val="22"/>
          <w:lang w:val="sr-Latn-ME"/>
        </w:rPr>
      </w:pPr>
    </w:p>
    <w:p w14:paraId="4570D3A2" w14:textId="74FD0DAA" w:rsidR="00FA009A" w:rsidRPr="00202D4B" w:rsidRDefault="00FA009A" w:rsidP="00FA009A">
      <w:pPr>
        <w:jc w:val="both"/>
        <w:rPr>
          <w:noProof/>
          <w:sz w:val="22"/>
          <w:szCs w:val="22"/>
          <w:lang w:val="sr-Latn-ME"/>
        </w:rPr>
      </w:pPr>
      <w:r w:rsidRPr="00202D4B">
        <w:rPr>
          <w:noProof/>
          <w:sz w:val="22"/>
          <w:szCs w:val="22"/>
          <w:lang w:val="sr-Latn-ME"/>
        </w:rPr>
        <w:t>INN: memantin</w:t>
      </w:r>
    </w:p>
    <w:p w14:paraId="1473D1BC" w14:textId="77777777" w:rsidR="00FA009A" w:rsidRPr="00202D4B" w:rsidRDefault="00FA009A" w:rsidP="00FA009A">
      <w:pPr>
        <w:jc w:val="both"/>
        <w:rPr>
          <w:bCs/>
          <w:noProof/>
          <w:sz w:val="22"/>
          <w:szCs w:val="22"/>
          <w:lang w:val="sr-Latn-ME"/>
        </w:rPr>
      </w:pPr>
    </w:p>
    <w:p w14:paraId="3A41D1A5" w14:textId="77777777" w:rsidR="00FA009A" w:rsidRPr="00202D4B" w:rsidRDefault="00FA009A" w:rsidP="00FA009A">
      <w:pPr>
        <w:jc w:val="both"/>
        <w:rPr>
          <w:bCs/>
          <w:noProof/>
          <w:sz w:val="22"/>
          <w:szCs w:val="22"/>
          <w:lang w:val="sr-Latn-ME"/>
        </w:rPr>
      </w:pPr>
    </w:p>
    <w:p w14:paraId="0A147133" w14:textId="77777777" w:rsidR="00FA009A" w:rsidRPr="00202D4B" w:rsidRDefault="00FA009A" w:rsidP="00FA009A">
      <w:pPr>
        <w:pStyle w:val="ListParagraph"/>
        <w:numPr>
          <w:ilvl w:val="0"/>
          <w:numId w:val="4"/>
        </w:num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202D4B">
        <w:rPr>
          <w:b/>
          <w:bCs/>
          <w:noProof/>
          <w:sz w:val="22"/>
          <w:szCs w:val="22"/>
          <w:lang w:val="sr-Latn-ME"/>
        </w:rPr>
        <w:t>KVALITATIVNI I KVANTITATIVNI SASTAV</w:t>
      </w:r>
    </w:p>
    <w:p w14:paraId="4D47653A" w14:textId="77777777" w:rsidR="00FA009A" w:rsidRPr="00202D4B" w:rsidRDefault="00FA009A" w:rsidP="00FA009A">
      <w:pPr>
        <w:jc w:val="both"/>
        <w:rPr>
          <w:noProof/>
          <w:sz w:val="22"/>
          <w:szCs w:val="22"/>
          <w:lang w:val="sr-Latn-ME"/>
        </w:rPr>
      </w:pPr>
    </w:p>
    <w:p w14:paraId="6406D554" w14:textId="1CB31BD4" w:rsidR="00FA009A" w:rsidRPr="00202D4B" w:rsidRDefault="00FA009A" w:rsidP="00FA009A">
      <w:pPr>
        <w:jc w:val="both"/>
        <w:rPr>
          <w:noProof/>
          <w:sz w:val="22"/>
          <w:szCs w:val="22"/>
          <w:lang w:val="sr-Latn-ME"/>
        </w:rPr>
      </w:pPr>
      <w:r w:rsidRPr="00202D4B">
        <w:rPr>
          <w:noProof/>
          <w:sz w:val="22"/>
          <w:szCs w:val="22"/>
          <w:lang w:val="sr-Latn-ME"/>
        </w:rPr>
        <w:t>Jedna film tableta sadrži</w:t>
      </w:r>
      <w:r w:rsidR="000353A6" w:rsidRPr="00202D4B">
        <w:rPr>
          <w:noProof/>
          <w:sz w:val="22"/>
          <w:szCs w:val="22"/>
          <w:lang w:val="sr-Latn-ME"/>
        </w:rPr>
        <w:t xml:space="preserve"> 10 mg m</w:t>
      </w:r>
      <w:r w:rsidRPr="00202D4B">
        <w:rPr>
          <w:noProof/>
          <w:sz w:val="22"/>
          <w:szCs w:val="22"/>
          <w:lang w:val="sr-Latn-ME"/>
        </w:rPr>
        <w:t>emantin hidrohlorid</w:t>
      </w:r>
      <w:r w:rsidR="000353A6" w:rsidRPr="00202D4B">
        <w:rPr>
          <w:noProof/>
          <w:sz w:val="22"/>
          <w:szCs w:val="22"/>
          <w:lang w:val="sr-Latn-ME"/>
        </w:rPr>
        <w:t>a</w:t>
      </w:r>
      <w:r w:rsidRPr="00202D4B">
        <w:rPr>
          <w:noProof/>
          <w:sz w:val="22"/>
          <w:szCs w:val="22"/>
          <w:lang w:val="sr-Latn-ME"/>
        </w:rPr>
        <w:t xml:space="preserve"> (što odgovara 8,310 mg memantina).</w:t>
      </w:r>
    </w:p>
    <w:p w14:paraId="7532ED3A" w14:textId="49EABFA5" w:rsidR="00FA009A" w:rsidRPr="00202D4B" w:rsidRDefault="00FA009A" w:rsidP="00FA009A">
      <w:pPr>
        <w:jc w:val="both"/>
        <w:rPr>
          <w:noProof/>
          <w:sz w:val="22"/>
          <w:szCs w:val="22"/>
          <w:lang w:val="sr-Latn-ME"/>
        </w:rPr>
      </w:pPr>
    </w:p>
    <w:p w14:paraId="3DC3B19F" w14:textId="77777777" w:rsidR="00FA009A" w:rsidRPr="00202D4B" w:rsidRDefault="00FA009A" w:rsidP="00FA009A">
      <w:pPr>
        <w:rPr>
          <w:noProof/>
          <w:sz w:val="22"/>
          <w:szCs w:val="22"/>
          <w:lang w:val="sr-Latn-ME"/>
        </w:rPr>
      </w:pPr>
      <w:r w:rsidRPr="00202D4B">
        <w:rPr>
          <w:noProof/>
          <w:sz w:val="22"/>
          <w:szCs w:val="22"/>
          <w:lang w:val="sr-Latn-ME"/>
        </w:rPr>
        <w:t>Za spisak svih ekscipijenasa, pogledati dio 6.1.</w:t>
      </w:r>
    </w:p>
    <w:p w14:paraId="1781FBCD" w14:textId="77777777" w:rsidR="00FA009A" w:rsidRPr="00202D4B" w:rsidRDefault="00FA009A" w:rsidP="00FA009A">
      <w:pPr>
        <w:jc w:val="both"/>
        <w:rPr>
          <w:noProof/>
          <w:sz w:val="22"/>
          <w:szCs w:val="22"/>
          <w:lang w:val="sr-Latn-ME"/>
        </w:rPr>
      </w:pPr>
    </w:p>
    <w:p w14:paraId="70A5B58C" w14:textId="77777777" w:rsidR="00FA009A" w:rsidRPr="00202D4B" w:rsidRDefault="00FA009A" w:rsidP="00FA009A">
      <w:pPr>
        <w:jc w:val="both"/>
        <w:rPr>
          <w:noProof/>
          <w:sz w:val="22"/>
          <w:szCs w:val="22"/>
          <w:lang w:val="sr-Latn-ME"/>
        </w:rPr>
      </w:pPr>
    </w:p>
    <w:p w14:paraId="2032A00A" w14:textId="77777777" w:rsidR="00FA009A" w:rsidRPr="00202D4B" w:rsidRDefault="00FA009A" w:rsidP="00FA009A">
      <w:pPr>
        <w:pStyle w:val="ListParagraph"/>
        <w:numPr>
          <w:ilvl w:val="0"/>
          <w:numId w:val="4"/>
        </w:num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202D4B">
        <w:rPr>
          <w:b/>
          <w:bCs/>
          <w:noProof/>
          <w:sz w:val="22"/>
          <w:szCs w:val="22"/>
          <w:lang w:val="sr-Latn-ME"/>
        </w:rPr>
        <w:t xml:space="preserve">FARMACEUTSKI OBLIK </w:t>
      </w:r>
    </w:p>
    <w:p w14:paraId="513273ED" w14:textId="77777777" w:rsidR="00FA009A" w:rsidRPr="00202D4B" w:rsidRDefault="00FA009A" w:rsidP="00FA009A">
      <w:pPr>
        <w:jc w:val="both"/>
        <w:rPr>
          <w:bCs/>
          <w:noProof/>
          <w:sz w:val="22"/>
          <w:szCs w:val="22"/>
          <w:lang w:val="sr-Latn-ME"/>
        </w:rPr>
      </w:pPr>
    </w:p>
    <w:p w14:paraId="17963234" w14:textId="77777777" w:rsidR="00FA009A" w:rsidRPr="00202D4B" w:rsidRDefault="00FA009A" w:rsidP="00FA009A">
      <w:pPr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>Film tableta.</w:t>
      </w:r>
    </w:p>
    <w:p w14:paraId="0FFE821F" w14:textId="77255376" w:rsidR="000353A6" w:rsidRPr="00202D4B" w:rsidRDefault="000353A6" w:rsidP="00FA009A">
      <w:pPr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>S</w:t>
      </w:r>
      <w:r w:rsidR="00FA009A" w:rsidRPr="00202D4B">
        <w:rPr>
          <w:bCs/>
          <w:noProof/>
          <w:sz w:val="22"/>
          <w:szCs w:val="22"/>
          <w:lang w:val="sr-Latn-ME"/>
        </w:rPr>
        <w:t>vijetloružičast</w:t>
      </w:r>
      <w:r w:rsidRPr="00202D4B">
        <w:rPr>
          <w:bCs/>
          <w:noProof/>
          <w:sz w:val="22"/>
          <w:szCs w:val="22"/>
          <w:lang w:val="sr-Latn-ME"/>
        </w:rPr>
        <w:t>a</w:t>
      </w:r>
      <w:r w:rsidR="00FA009A" w:rsidRPr="00202D4B">
        <w:rPr>
          <w:bCs/>
          <w:noProof/>
          <w:sz w:val="22"/>
          <w:szCs w:val="22"/>
          <w:lang w:val="sr-Latn-ME"/>
        </w:rPr>
        <w:t>, ovaln</w:t>
      </w:r>
      <w:r w:rsidRPr="00202D4B">
        <w:rPr>
          <w:bCs/>
          <w:noProof/>
          <w:sz w:val="22"/>
          <w:szCs w:val="22"/>
          <w:lang w:val="sr-Latn-ME"/>
        </w:rPr>
        <w:t>a</w:t>
      </w:r>
      <w:r w:rsidR="00FA009A" w:rsidRPr="00202D4B">
        <w:rPr>
          <w:bCs/>
          <w:noProof/>
          <w:sz w:val="22"/>
          <w:szCs w:val="22"/>
          <w:lang w:val="sr-Latn-ME"/>
        </w:rPr>
        <w:t>, bikonveksn</w:t>
      </w:r>
      <w:r w:rsidRPr="00202D4B">
        <w:rPr>
          <w:bCs/>
          <w:noProof/>
          <w:sz w:val="22"/>
          <w:szCs w:val="22"/>
          <w:lang w:val="sr-Latn-ME"/>
        </w:rPr>
        <w:t>a film tableta</w:t>
      </w:r>
      <w:r w:rsidR="00FA009A" w:rsidRPr="00202D4B">
        <w:rPr>
          <w:bCs/>
          <w:noProof/>
          <w:sz w:val="22"/>
          <w:szCs w:val="22"/>
          <w:lang w:val="sr-Latn-ME"/>
        </w:rPr>
        <w:t xml:space="preserve"> s utisnutom podionom crtom s</w:t>
      </w:r>
      <w:r w:rsidRPr="00202D4B">
        <w:rPr>
          <w:bCs/>
          <w:noProof/>
          <w:sz w:val="22"/>
          <w:szCs w:val="22"/>
          <w:lang w:val="sr-Latn-ME"/>
        </w:rPr>
        <w:t>a</w:t>
      </w:r>
      <w:r w:rsidR="00FA009A" w:rsidRPr="00202D4B">
        <w:rPr>
          <w:bCs/>
          <w:noProof/>
          <w:sz w:val="22"/>
          <w:szCs w:val="22"/>
          <w:lang w:val="sr-Latn-ME"/>
        </w:rPr>
        <w:t xml:space="preserve"> jedne strane</w:t>
      </w:r>
      <w:r w:rsidRPr="00202D4B">
        <w:rPr>
          <w:bCs/>
          <w:noProof/>
          <w:sz w:val="22"/>
          <w:szCs w:val="22"/>
          <w:lang w:val="sr-Latn-ME"/>
        </w:rPr>
        <w:t xml:space="preserve"> tablete</w:t>
      </w:r>
      <w:r w:rsidR="00FA009A" w:rsidRPr="00202D4B">
        <w:rPr>
          <w:bCs/>
          <w:noProof/>
          <w:sz w:val="22"/>
          <w:szCs w:val="22"/>
          <w:lang w:val="sr-Latn-ME"/>
        </w:rPr>
        <w:t>.</w:t>
      </w:r>
      <w:r w:rsidR="00D477F4" w:rsidRPr="00202D4B">
        <w:rPr>
          <w:bCs/>
          <w:noProof/>
          <w:sz w:val="22"/>
          <w:szCs w:val="22"/>
          <w:lang w:val="sr-Latn-ME"/>
        </w:rPr>
        <w:t xml:space="preserve"> </w:t>
      </w:r>
    </w:p>
    <w:p w14:paraId="7810A5F7" w14:textId="50B33B70" w:rsidR="00FA009A" w:rsidRPr="00202D4B" w:rsidRDefault="000353A6" w:rsidP="00FA009A">
      <w:pPr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>Podiona crta služi za dijeljenje film tablete</w:t>
      </w:r>
      <w:r w:rsidR="008810D3" w:rsidRPr="00202D4B">
        <w:rPr>
          <w:bCs/>
          <w:noProof/>
          <w:sz w:val="22"/>
          <w:szCs w:val="22"/>
          <w:lang w:val="sr-Latn-ME"/>
        </w:rPr>
        <w:t xml:space="preserve"> na dvije jednake doze.</w:t>
      </w:r>
    </w:p>
    <w:p w14:paraId="31BBF3F6" w14:textId="77777777" w:rsidR="00FA009A" w:rsidRPr="00202D4B" w:rsidRDefault="00FA009A" w:rsidP="00FA009A">
      <w:pPr>
        <w:jc w:val="both"/>
        <w:rPr>
          <w:bCs/>
          <w:noProof/>
          <w:sz w:val="22"/>
          <w:szCs w:val="22"/>
          <w:lang w:val="sr-Latn-ME"/>
        </w:rPr>
      </w:pPr>
    </w:p>
    <w:p w14:paraId="128AE855" w14:textId="77777777" w:rsidR="00FA009A" w:rsidRPr="00202D4B" w:rsidRDefault="00FA009A" w:rsidP="00FA009A">
      <w:pPr>
        <w:jc w:val="both"/>
        <w:rPr>
          <w:bCs/>
          <w:noProof/>
          <w:sz w:val="22"/>
          <w:szCs w:val="22"/>
          <w:lang w:val="sr-Latn-ME"/>
        </w:rPr>
      </w:pPr>
    </w:p>
    <w:p w14:paraId="75FFAEB0" w14:textId="77777777" w:rsidR="00FA009A" w:rsidRPr="00202D4B" w:rsidRDefault="00FA009A" w:rsidP="00FA009A">
      <w:pPr>
        <w:pStyle w:val="ListParagraph"/>
        <w:numPr>
          <w:ilvl w:val="0"/>
          <w:numId w:val="4"/>
        </w:num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202D4B">
        <w:rPr>
          <w:b/>
          <w:bCs/>
          <w:noProof/>
          <w:sz w:val="22"/>
          <w:szCs w:val="22"/>
          <w:lang w:val="sr-Latn-ME"/>
        </w:rPr>
        <w:t>KLINIČKI PODACI</w:t>
      </w:r>
    </w:p>
    <w:p w14:paraId="6CDD7D69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08211F82" w14:textId="77777777" w:rsidR="00FA009A" w:rsidRPr="00202D4B" w:rsidRDefault="00FA009A" w:rsidP="00FA009A">
      <w:pPr>
        <w:pStyle w:val="ListParagraph"/>
        <w:numPr>
          <w:ilvl w:val="1"/>
          <w:numId w:val="4"/>
        </w:num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202D4B">
        <w:rPr>
          <w:b/>
          <w:bCs/>
          <w:noProof/>
          <w:sz w:val="22"/>
          <w:szCs w:val="22"/>
          <w:lang w:val="sr-Latn-ME"/>
        </w:rPr>
        <w:t>Terapijske indikacije</w:t>
      </w:r>
    </w:p>
    <w:p w14:paraId="79C2632A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31633127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>Liječenje pacijenata s umjerenom do teškom Alzheimer</w:t>
      </w:r>
      <w:r w:rsidR="00880516" w:rsidRPr="00202D4B">
        <w:rPr>
          <w:bCs/>
          <w:noProof/>
          <w:sz w:val="22"/>
          <w:szCs w:val="22"/>
          <w:lang w:val="sr-Latn-ME"/>
        </w:rPr>
        <w:t>-</w:t>
      </w:r>
      <w:r w:rsidRPr="00202D4B">
        <w:rPr>
          <w:bCs/>
          <w:noProof/>
          <w:sz w:val="22"/>
          <w:szCs w:val="22"/>
          <w:lang w:val="sr-Latn-ME"/>
        </w:rPr>
        <w:t>ovom bolešću.</w:t>
      </w:r>
    </w:p>
    <w:p w14:paraId="4561786A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47554CC7" w14:textId="77777777" w:rsidR="00FA009A" w:rsidRPr="00202D4B" w:rsidRDefault="00FA009A" w:rsidP="00FA009A">
      <w:pPr>
        <w:pStyle w:val="ListParagraph"/>
        <w:numPr>
          <w:ilvl w:val="1"/>
          <w:numId w:val="4"/>
        </w:num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202D4B">
        <w:rPr>
          <w:b/>
          <w:bCs/>
          <w:noProof/>
          <w:sz w:val="22"/>
          <w:szCs w:val="22"/>
          <w:lang w:val="sr-Latn-ME"/>
        </w:rPr>
        <w:t>Doziranje i način primjene</w:t>
      </w:r>
    </w:p>
    <w:p w14:paraId="2E6F5911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00B8B4CD" w14:textId="61B6BD94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>Liječenje treba započeti i nadzirati ljekar s iskustvom u dijagnosti</w:t>
      </w:r>
      <w:r w:rsidR="00CA26EC" w:rsidRPr="00202D4B">
        <w:rPr>
          <w:bCs/>
          <w:noProof/>
          <w:sz w:val="22"/>
          <w:szCs w:val="22"/>
          <w:lang w:val="sr-Latn-ME"/>
        </w:rPr>
        <w:t>kov</w:t>
      </w:r>
      <w:r w:rsidRPr="00202D4B">
        <w:rPr>
          <w:bCs/>
          <w:noProof/>
          <w:sz w:val="22"/>
          <w:szCs w:val="22"/>
          <w:lang w:val="sr-Latn-ME"/>
        </w:rPr>
        <w:t>anju i liječenju Alzheimer</w:t>
      </w:r>
      <w:r w:rsidR="00CA26EC" w:rsidRPr="00202D4B">
        <w:rPr>
          <w:bCs/>
          <w:noProof/>
          <w:sz w:val="22"/>
          <w:szCs w:val="22"/>
          <w:lang w:val="sr-Latn-ME"/>
        </w:rPr>
        <w:t>-</w:t>
      </w:r>
      <w:r w:rsidRPr="00202D4B">
        <w:rPr>
          <w:bCs/>
          <w:noProof/>
          <w:sz w:val="22"/>
          <w:szCs w:val="22"/>
          <w:lang w:val="sr-Latn-ME"/>
        </w:rPr>
        <w:t>ove demencije.</w:t>
      </w:r>
    </w:p>
    <w:p w14:paraId="48FCC4DC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24190218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iCs/>
          <w:noProof/>
          <w:sz w:val="22"/>
          <w:szCs w:val="22"/>
          <w:u w:val="single"/>
          <w:lang w:val="sr-Latn-ME"/>
        </w:rPr>
      </w:pPr>
      <w:r w:rsidRPr="00202D4B">
        <w:rPr>
          <w:bCs/>
          <w:iCs/>
          <w:noProof/>
          <w:sz w:val="22"/>
          <w:szCs w:val="22"/>
          <w:u w:val="single"/>
          <w:lang w:val="sr-Latn-ME"/>
        </w:rPr>
        <w:t>Doziranje</w:t>
      </w:r>
    </w:p>
    <w:p w14:paraId="6E720D4F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2875918D" w14:textId="73D35282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>Liječenje treba biti započeto samo ako postoji njegovatelj koji će redov</w:t>
      </w:r>
      <w:r w:rsidR="00CA26EC" w:rsidRPr="00202D4B">
        <w:rPr>
          <w:bCs/>
          <w:noProof/>
          <w:sz w:val="22"/>
          <w:szCs w:val="22"/>
          <w:lang w:val="sr-Latn-ME"/>
        </w:rPr>
        <w:t>n</w:t>
      </w:r>
      <w:r w:rsidRPr="00202D4B">
        <w:rPr>
          <w:bCs/>
          <w:noProof/>
          <w:sz w:val="22"/>
          <w:szCs w:val="22"/>
          <w:lang w:val="sr-Latn-ME"/>
        </w:rPr>
        <w:t>o nadzirati pacijentov</w:t>
      </w:r>
      <w:r w:rsidR="00CA26EC" w:rsidRPr="00202D4B">
        <w:rPr>
          <w:bCs/>
          <w:noProof/>
          <w:sz w:val="22"/>
          <w:szCs w:val="22"/>
          <w:lang w:val="sr-Latn-ME"/>
        </w:rPr>
        <w:t>u</w:t>
      </w:r>
      <w:r w:rsidRPr="00202D4B">
        <w:rPr>
          <w:bCs/>
          <w:noProof/>
          <w:sz w:val="22"/>
          <w:szCs w:val="22"/>
          <w:lang w:val="sr-Latn-ME"/>
        </w:rPr>
        <w:t xml:space="preserve"> primjenu lijeka. Dijagnoz</w:t>
      </w:r>
      <w:r w:rsidR="00CA26EC" w:rsidRPr="00202D4B">
        <w:rPr>
          <w:bCs/>
          <w:noProof/>
          <w:sz w:val="22"/>
          <w:szCs w:val="22"/>
          <w:lang w:val="sr-Latn-ME"/>
        </w:rPr>
        <w:t>u</w:t>
      </w:r>
      <w:r w:rsidRPr="00202D4B">
        <w:rPr>
          <w:bCs/>
          <w:noProof/>
          <w:sz w:val="22"/>
          <w:szCs w:val="22"/>
          <w:lang w:val="sr-Latn-ME"/>
        </w:rPr>
        <w:t xml:space="preserve"> treba uspostaviti u skladu s</w:t>
      </w:r>
      <w:r w:rsidR="00CA26EC" w:rsidRPr="00202D4B">
        <w:rPr>
          <w:bCs/>
          <w:noProof/>
          <w:sz w:val="22"/>
          <w:szCs w:val="22"/>
          <w:lang w:val="sr-Latn-ME"/>
        </w:rPr>
        <w:t>a</w:t>
      </w:r>
      <w:r w:rsidRPr="00202D4B">
        <w:rPr>
          <w:bCs/>
          <w:noProof/>
          <w:sz w:val="22"/>
          <w:szCs w:val="22"/>
          <w:lang w:val="sr-Latn-ME"/>
        </w:rPr>
        <w:t xml:space="preserve"> važećim smjernicama. Podnošljivost i doziranje memantina treba redovno </w:t>
      </w:r>
      <w:r w:rsidR="00CA26EC" w:rsidRPr="00202D4B">
        <w:rPr>
          <w:bCs/>
          <w:noProof/>
          <w:sz w:val="22"/>
          <w:szCs w:val="22"/>
          <w:lang w:val="sr-Latn-ME"/>
        </w:rPr>
        <w:t xml:space="preserve">iznova </w:t>
      </w:r>
      <w:r w:rsidRPr="00202D4B">
        <w:rPr>
          <w:bCs/>
          <w:noProof/>
          <w:sz w:val="22"/>
          <w:szCs w:val="22"/>
          <w:lang w:val="sr-Latn-ME"/>
        </w:rPr>
        <w:t>procjenjivati, po mogućnosti unutar perioda od 3 mjeseca od početka liječenja. Nakon toga, kliničk</w:t>
      </w:r>
      <w:r w:rsidR="00C978FF" w:rsidRPr="00202D4B">
        <w:rPr>
          <w:bCs/>
          <w:noProof/>
          <w:sz w:val="22"/>
          <w:szCs w:val="22"/>
          <w:lang w:val="sr-Latn-ME"/>
        </w:rPr>
        <w:t>u</w:t>
      </w:r>
      <w:r w:rsidRPr="00202D4B">
        <w:rPr>
          <w:bCs/>
          <w:noProof/>
          <w:sz w:val="22"/>
          <w:szCs w:val="22"/>
          <w:lang w:val="sr-Latn-ME"/>
        </w:rPr>
        <w:t xml:space="preserve"> </w:t>
      </w:r>
      <w:r w:rsidR="00C978FF" w:rsidRPr="00202D4B">
        <w:rPr>
          <w:bCs/>
          <w:noProof/>
          <w:sz w:val="22"/>
          <w:szCs w:val="22"/>
          <w:lang w:val="sr-Latn-ME"/>
        </w:rPr>
        <w:t xml:space="preserve">korist </w:t>
      </w:r>
      <w:r w:rsidRPr="00202D4B">
        <w:rPr>
          <w:bCs/>
          <w:noProof/>
          <w:sz w:val="22"/>
          <w:szCs w:val="22"/>
          <w:lang w:val="sr-Latn-ME"/>
        </w:rPr>
        <w:t xml:space="preserve">memantina i podnošljivost liječenja </w:t>
      </w:r>
      <w:r w:rsidR="00C978FF" w:rsidRPr="00202D4B">
        <w:rPr>
          <w:bCs/>
          <w:noProof/>
          <w:sz w:val="22"/>
          <w:szCs w:val="22"/>
          <w:lang w:val="sr-Latn-ME"/>
        </w:rPr>
        <w:t xml:space="preserve">od strane pacijenta </w:t>
      </w:r>
      <w:r w:rsidRPr="00202D4B">
        <w:rPr>
          <w:bCs/>
          <w:noProof/>
          <w:sz w:val="22"/>
          <w:szCs w:val="22"/>
          <w:lang w:val="sr-Latn-ME"/>
        </w:rPr>
        <w:t>treba redov</w:t>
      </w:r>
      <w:r w:rsidR="00C978FF" w:rsidRPr="00202D4B">
        <w:rPr>
          <w:bCs/>
          <w:noProof/>
          <w:sz w:val="22"/>
          <w:szCs w:val="22"/>
          <w:lang w:val="sr-Latn-ME"/>
        </w:rPr>
        <w:t>n</w:t>
      </w:r>
      <w:r w:rsidRPr="00202D4B">
        <w:rPr>
          <w:bCs/>
          <w:noProof/>
          <w:sz w:val="22"/>
          <w:szCs w:val="22"/>
          <w:lang w:val="sr-Latn-ME"/>
        </w:rPr>
        <w:t xml:space="preserve">o </w:t>
      </w:r>
      <w:r w:rsidR="00C978FF" w:rsidRPr="00202D4B">
        <w:rPr>
          <w:bCs/>
          <w:noProof/>
          <w:sz w:val="22"/>
          <w:szCs w:val="22"/>
          <w:lang w:val="sr-Latn-ME"/>
        </w:rPr>
        <w:t xml:space="preserve">iznova </w:t>
      </w:r>
      <w:r w:rsidRPr="00202D4B">
        <w:rPr>
          <w:bCs/>
          <w:noProof/>
          <w:sz w:val="22"/>
          <w:szCs w:val="22"/>
          <w:lang w:val="sr-Latn-ME"/>
        </w:rPr>
        <w:t>procjenjiva</w:t>
      </w:r>
      <w:r w:rsidR="00C978FF" w:rsidRPr="00202D4B">
        <w:rPr>
          <w:bCs/>
          <w:noProof/>
          <w:sz w:val="22"/>
          <w:szCs w:val="22"/>
          <w:lang w:val="sr-Latn-ME"/>
        </w:rPr>
        <w:t>t</w:t>
      </w:r>
      <w:r w:rsidRPr="00202D4B">
        <w:rPr>
          <w:bCs/>
          <w:noProof/>
          <w:sz w:val="22"/>
          <w:szCs w:val="22"/>
          <w:lang w:val="sr-Latn-ME"/>
        </w:rPr>
        <w:t>i u skladu s</w:t>
      </w:r>
      <w:r w:rsidR="00C978FF" w:rsidRPr="00202D4B">
        <w:rPr>
          <w:bCs/>
          <w:noProof/>
          <w:sz w:val="22"/>
          <w:szCs w:val="22"/>
          <w:lang w:val="sr-Latn-ME"/>
        </w:rPr>
        <w:t>a</w:t>
      </w:r>
      <w:r w:rsidRPr="00202D4B">
        <w:rPr>
          <w:bCs/>
          <w:noProof/>
          <w:sz w:val="22"/>
          <w:szCs w:val="22"/>
          <w:lang w:val="sr-Latn-ME"/>
        </w:rPr>
        <w:t xml:space="preserve"> važećim kliničkim smjernicama. Terapija održavanja može biti nastavljena onoliko dugo koliko je terapijska </w:t>
      </w:r>
      <w:r w:rsidR="00C978FF" w:rsidRPr="00202D4B">
        <w:rPr>
          <w:bCs/>
          <w:noProof/>
          <w:sz w:val="22"/>
          <w:szCs w:val="22"/>
          <w:lang w:val="sr-Latn-ME"/>
        </w:rPr>
        <w:t xml:space="preserve">korist </w:t>
      </w:r>
      <w:r w:rsidRPr="00202D4B">
        <w:rPr>
          <w:bCs/>
          <w:noProof/>
          <w:sz w:val="22"/>
          <w:szCs w:val="22"/>
          <w:lang w:val="sr-Latn-ME"/>
        </w:rPr>
        <w:t xml:space="preserve">povoljna i </w:t>
      </w:r>
      <w:r w:rsidR="00C978FF" w:rsidRPr="00202D4B">
        <w:rPr>
          <w:bCs/>
          <w:noProof/>
          <w:sz w:val="22"/>
          <w:szCs w:val="22"/>
          <w:lang w:val="sr-Latn-ME"/>
        </w:rPr>
        <w:t xml:space="preserve">sve </w:t>
      </w:r>
      <w:r w:rsidRPr="00202D4B">
        <w:rPr>
          <w:bCs/>
          <w:noProof/>
          <w:sz w:val="22"/>
          <w:szCs w:val="22"/>
          <w:lang w:val="sr-Latn-ME"/>
        </w:rPr>
        <w:t xml:space="preserve">dok pacijent </w:t>
      </w:r>
      <w:r w:rsidR="00C978FF" w:rsidRPr="00202D4B">
        <w:rPr>
          <w:bCs/>
          <w:noProof/>
          <w:sz w:val="22"/>
          <w:szCs w:val="22"/>
          <w:lang w:val="sr-Latn-ME"/>
        </w:rPr>
        <w:t xml:space="preserve">dobro </w:t>
      </w:r>
      <w:r w:rsidRPr="00202D4B">
        <w:rPr>
          <w:bCs/>
          <w:noProof/>
          <w:sz w:val="22"/>
          <w:szCs w:val="22"/>
          <w:lang w:val="sr-Latn-ME"/>
        </w:rPr>
        <w:t>podnosi liječenje memantinom. Kada više ne postoji dokaz o terapijskom efektu ili ako pacijent ne podnosi liječenje, treba</w:t>
      </w:r>
      <w:r w:rsidR="00C978FF" w:rsidRPr="00202D4B">
        <w:rPr>
          <w:bCs/>
          <w:noProof/>
          <w:sz w:val="22"/>
          <w:szCs w:val="22"/>
          <w:lang w:val="sr-Latn-ME"/>
        </w:rPr>
        <w:t>l</w:t>
      </w:r>
      <w:r w:rsidRPr="00202D4B">
        <w:rPr>
          <w:bCs/>
          <w:noProof/>
          <w:sz w:val="22"/>
          <w:szCs w:val="22"/>
          <w:lang w:val="sr-Latn-ME"/>
        </w:rPr>
        <w:t>o bi razmotriti prekid liječenja memantinom.</w:t>
      </w:r>
    </w:p>
    <w:p w14:paraId="415D9FD2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i/>
          <w:noProof/>
          <w:sz w:val="22"/>
          <w:szCs w:val="22"/>
          <w:lang w:val="sr-Latn-ME"/>
        </w:rPr>
      </w:pPr>
    </w:p>
    <w:p w14:paraId="3FC90DB6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i/>
          <w:noProof/>
          <w:sz w:val="22"/>
          <w:szCs w:val="22"/>
          <w:lang w:val="sr-Latn-ME"/>
        </w:rPr>
      </w:pPr>
      <w:r w:rsidRPr="00202D4B">
        <w:rPr>
          <w:bCs/>
          <w:i/>
          <w:noProof/>
          <w:sz w:val="22"/>
          <w:szCs w:val="22"/>
          <w:lang w:val="sr-Latn-ME"/>
        </w:rPr>
        <w:t>Odrasli</w:t>
      </w:r>
    </w:p>
    <w:p w14:paraId="1F1FD177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>Titriranje doze</w:t>
      </w:r>
    </w:p>
    <w:p w14:paraId="22B38D9C" w14:textId="5FC1711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 xml:space="preserve">Maksimalna dnevna doza iznosi 20 mg na dan. U svrhu </w:t>
      </w:r>
      <w:r w:rsidR="00C978FF" w:rsidRPr="00202D4B">
        <w:rPr>
          <w:bCs/>
          <w:noProof/>
          <w:sz w:val="22"/>
          <w:szCs w:val="22"/>
          <w:lang w:val="sr-Latn-ME"/>
        </w:rPr>
        <w:t xml:space="preserve">smanjenja </w:t>
      </w:r>
      <w:r w:rsidRPr="00202D4B">
        <w:rPr>
          <w:bCs/>
          <w:noProof/>
          <w:sz w:val="22"/>
          <w:szCs w:val="22"/>
          <w:lang w:val="sr-Latn-ME"/>
        </w:rPr>
        <w:t xml:space="preserve">rizika od neželjenih dejstava, doza održavanja se ostvaruje </w:t>
      </w:r>
      <w:r w:rsidR="00C978FF" w:rsidRPr="00202D4B">
        <w:rPr>
          <w:bCs/>
          <w:noProof/>
          <w:sz w:val="22"/>
          <w:szCs w:val="22"/>
          <w:lang w:val="sr-Latn-ME"/>
        </w:rPr>
        <w:t>postepenim povećanjem od</w:t>
      </w:r>
      <w:r w:rsidRPr="00202D4B">
        <w:rPr>
          <w:bCs/>
          <w:noProof/>
          <w:sz w:val="22"/>
          <w:szCs w:val="22"/>
          <w:lang w:val="sr-Latn-ME"/>
        </w:rPr>
        <w:t xml:space="preserve"> 5 mg nedjeljno, toko</w:t>
      </w:r>
      <w:r w:rsidR="00FF63BD" w:rsidRPr="00202D4B">
        <w:rPr>
          <w:bCs/>
          <w:noProof/>
          <w:sz w:val="22"/>
          <w:szCs w:val="22"/>
          <w:lang w:val="sr-Latn-ME"/>
        </w:rPr>
        <w:t xml:space="preserve">m prve tri nedjelje liječenja, </w:t>
      </w:r>
      <w:r w:rsidRPr="00202D4B">
        <w:rPr>
          <w:bCs/>
          <w:noProof/>
          <w:sz w:val="22"/>
          <w:szCs w:val="22"/>
          <w:lang w:val="sr-Latn-ME"/>
        </w:rPr>
        <w:t xml:space="preserve">na </w:t>
      </w:r>
      <w:r w:rsidR="00C978FF" w:rsidRPr="00202D4B">
        <w:rPr>
          <w:bCs/>
          <w:noProof/>
          <w:sz w:val="22"/>
          <w:szCs w:val="22"/>
          <w:lang w:val="sr-Latn-ME"/>
        </w:rPr>
        <w:t xml:space="preserve">sljedeći </w:t>
      </w:r>
      <w:r w:rsidRPr="00202D4B">
        <w:rPr>
          <w:bCs/>
          <w:noProof/>
          <w:sz w:val="22"/>
          <w:szCs w:val="22"/>
          <w:lang w:val="sr-Latn-ME"/>
        </w:rPr>
        <w:t>način:</w:t>
      </w:r>
    </w:p>
    <w:p w14:paraId="270DD439" w14:textId="77777777" w:rsidR="008E5567" w:rsidRPr="00202D4B" w:rsidRDefault="008E5567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576B8C1C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>Prva nedjelja (dani 1-7):</w:t>
      </w:r>
    </w:p>
    <w:p w14:paraId="53EAE0D1" w14:textId="5B3C1D0E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>Pacijent treba primjenjivati dozu od 5 mg (pola film tablete od 10 mg) dnevno, tokom 7 dana.</w:t>
      </w:r>
    </w:p>
    <w:p w14:paraId="74BF992D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756438B9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lastRenderedPageBreak/>
        <w:t>Druga nedjelja (dani 8-14):</w:t>
      </w:r>
    </w:p>
    <w:p w14:paraId="20E10845" w14:textId="4761DB4F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>Pacijent treba primjenjivati dozu od 10 mg (jedna film tableta od 10 mg) dnevno, tokom 7 dana.</w:t>
      </w:r>
    </w:p>
    <w:p w14:paraId="74070AAB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4D312686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>Treća nedjelja (dani 15-21):</w:t>
      </w:r>
    </w:p>
    <w:p w14:paraId="719FCBCD" w14:textId="2A58DA3C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>Pacijent treba primjenjivati dozu od 15 mg (jedna i po film tableta od 10 mg) dnevno, tokom 7 dana.</w:t>
      </w:r>
    </w:p>
    <w:p w14:paraId="1A5A719C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1AC52426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 xml:space="preserve">Od četvrte </w:t>
      </w:r>
      <w:r w:rsidR="00FF63BD" w:rsidRPr="00202D4B">
        <w:rPr>
          <w:bCs/>
          <w:noProof/>
          <w:sz w:val="22"/>
          <w:szCs w:val="22"/>
          <w:lang w:val="sr-Latn-ME"/>
        </w:rPr>
        <w:t>nedjelje liječenja pa nadalje:</w:t>
      </w:r>
    </w:p>
    <w:p w14:paraId="18087B4E" w14:textId="7C09A299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>Pacijent treba primjenjivati dozu od 20 mg (dvije film tablete od 10 mg) dnevno.</w:t>
      </w:r>
    </w:p>
    <w:p w14:paraId="186F2D57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i/>
          <w:noProof/>
          <w:sz w:val="22"/>
          <w:szCs w:val="22"/>
          <w:u w:val="single"/>
          <w:lang w:val="sr-Latn-ME"/>
        </w:rPr>
      </w:pPr>
    </w:p>
    <w:p w14:paraId="7C2B1973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>Doza održavanja</w:t>
      </w:r>
    </w:p>
    <w:p w14:paraId="1C7C4F7C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>Preporučena doza održavanja je 20 mg na dan.</w:t>
      </w:r>
    </w:p>
    <w:p w14:paraId="68020184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30010B02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i/>
          <w:iCs/>
          <w:noProof/>
          <w:sz w:val="22"/>
          <w:szCs w:val="22"/>
          <w:lang w:val="sr-Latn-ME"/>
        </w:rPr>
      </w:pPr>
      <w:r w:rsidRPr="00202D4B">
        <w:rPr>
          <w:bCs/>
          <w:i/>
          <w:iCs/>
          <w:noProof/>
          <w:sz w:val="22"/>
          <w:szCs w:val="22"/>
          <w:lang w:val="sr-Latn-ME"/>
        </w:rPr>
        <w:t>Starije osobe</w:t>
      </w:r>
    </w:p>
    <w:p w14:paraId="33100E57" w14:textId="772AB780" w:rsidR="00FA009A" w:rsidRPr="00202D4B" w:rsidRDefault="00EB101D" w:rsidP="00FA009A">
      <w:pPr>
        <w:tabs>
          <w:tab w:val="left" w:pos="540"/>
          <w:tab w:val="left" w:pos="569"/>
        </w:tabs>
        <w:jc w:val="both"/>
        <w:rPr>
          <w:bCs/>
          <w:i/>
          <w:i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 xml:space="preserve">Na osnovu </w:t>
      </w:r>
      <w:r w:rsidR="00FA009A" w:rsidRPr="00202D4B">
        <w:rPr>
          <w:bCs/>
          <w:noProof/>
          <w:sz w:val="22"/>
          <w:szCs w:val="22"/>
          <w:lang w:val="sr-Latn-ME"/>
        </w:rPr>
        <w:t>kliničkih studija, preporučena doza za pacijente starije od 65 godina je 20 mg dnevno (dvije film tablete od 10 mg jednom dnevno), na način kako je to opisano</w:t>
      </w:r>
      <w:r w:rsidRPr="00202D4B">
        <w:rPr>
          <w:bCs/>
          <w:noProof/>
          <w:sz w:val="22"/>
          <w:szCs w:val="22"/>
          <w:lang w:val="sr-Latn-ME"/>
        </w:rPr>
        <w:t xml:space="preserve"> iznad</w:t>
      </w:r>
      <w:r w:rsidR="00FA009A" w:rsidRPr="00202D4B">
        <w:rPr>
          <w:bCs/>
          <w:noProof/>
          <w:sz w:val="22"/>
          <w:szCs w:val="22"/>
          <w:lang w:val="sr-Latn-ME"/>
        </w:rPr>
        <w:t>.</w:t>
      </w:r>
    </w:p>
    <w:p w14:paraId="0A02E571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i/>
          <w:iCs/>
          <w:noProof/>
          <w:sz w:val="22"/>
          <w:szCs w:val="22"/>
          <w:lang w:val="sr-Latn-ME"/>
        </w:rPr>
      </w:pPr>
    </w:p>
    <w:p w14:paraId="2C28DE9E" w14:textId="03BC7BD5" w:rsidR="00FA009A" w:rsidRPr="00202D4B" w:rsidRDefault="00EB101D" w:rsidP="00FA009A">
      <w:pPr>
        <w:tabs>
          <w:tab w:val="left" w:pos="540"/>
          <w:tab w:val="left" w:pos="569"/>
        </w:tabs>
        <w:jc w:val="both"/>
        <w:rPr>
          <w:bCs/>
          <w:i/>
          <w:iCs/>
          <w:noProof/>
          <w:sz w:val="22"/>
          <w:szCs w:val="22"/>
          <w:lang w:val="sr-Latn-ME"/>
        </w:rPr>
      </w:pPr>
      <w:r w:rsidRPr="00202D4B">
        <w:rPr>
          <w:bCs/>
          <w:i/>
          <w:iCs/>
          <w:noProof/>
          <w:sz w:val="22"/>
          <w:szCs w:val="22"/>
          <w:lang w:val="sr-Latn-ME"/>
        </w:rPr>
        <w:t>O</w:t>
      </w:r>
      <w:r w:rsidR="00FA009A" w:rsidRPr="00202D4B">
        <w:rPr>
          <w:bCs/>
          <w:i/>
          <w:iCs/>
          <w:noProof/>
          <w:sz w:val="22"/>
          <w:szCs w:val="22"/>
          <w:lang w:val="sr-Latn-ME"/>
        </w:rPr>
        <w:t>štećenje</w:t>
      </w:r>
      <w:r w:rsidRPr="00202D4B">
        <w:rPr>
          <w:bCs/>
          <w:i/>
          <w:iCs/>
          <w:noProof/>
          <w:sz w:val="22"/>
          <w:szCs w:val="22"/>
          <w:lang w:val="sr-Latn-ME"/>
        </w:rPr>
        <w:t xml:space="preserve"> funkcije bubrega</w:t>
      </w:r>
    </w:p>
    <w:p w14:paraId="36F12093" w14:textId="7FFC59CA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>Pacijentima s</w:t>
      </w:r>
      <w:r w:rsidR="00EB101D" w:rsidRPr="00202D4B">
        <w:rPr>
          <w:bCs/>
          <w:noProof/>
          <w:sz w:val="22"/>
          <w:szCs w:val="22"/>
          <w:lang w:val="sr-Latn-ME"/>
        </w:rPr>
        <w:t>a</w:t>
      </w:r>
      <w:r w:rsidRPr="00202D4B">
        <w:rPr>
          <w:bCs/>
          <w:noProof/>
          <w:sz w:val="22"/>
          <w:szCs w:val="22"/>
          <w:lang w:val="sr-Latn-ME"/>
        </w:rPr>
        <w:t xml:space="preserve"> blag</w:t>
      </w:r>
      <w:r w:rsidR="00EB101D" w:rsidRPr="00202D4B">
        <w:rPr>
          <w:bCs/>
          <w:noProof/>
          <w:sz w:val="22"/>
          <w:szCs w:val="22"/>
          <w:lang w:val="sr-Latn-ME"/>
        </w:rPr>
        <w:t>im</w:t>
      </w:r>
      <w:r w:rsidRPr="00202D4B">
        <w:rPr>
          <w:bCs/>
          <w:noProof/>
          <w:sz w:val="22"/>
          <w:szCs w:val="22"/>
          <w:lang w:val="sr-Latn-ME"/>
        </w:rPr>
        <w:t xml:space="preserve"> oštećen</w:t>
      </w:r>
      <w:r w:rsidR="00EB101D" w:rsidRPr="00202D4B">
        <w:rPr>
          <w:bCs/>
          <w:noProof/>
          <w:sz w:val="22"/>
          <w:szCs w:val="22"/>
          <w:lang w:val="sr-Latn-ME"/>
        </w:rPr>
        <w:t>je</w:t>
      </w:r>
      <w:r w:rsidRPr="00202D4B">
        <w:rPr>
          <w:bCs/>
          <w:noProof/>
          <w:sz w:val="22"/>
          <w:szCs w:val="22"/>
          <w:lang w:val="sr-Latn-ME"/>
        </w:rPr>
        <w:t>m funkcij</w:t>
      </w:r>
      <w:r w:rsidR="00EB101D" w:rsidRPr="00202D4B">
        <w:rPr>
          <w:bCs/>
          <w:noProof/>
          <w:sz w:val="22"/>
          <w:szCs w:val="22"/>
          <w:lang w:val="sr-Latn-ME"/>
        </w:rPr>
        <w:t>e</w:t>
      </w:r>
      <w:r w:rsidRPr="00202D4B">
        <w:rPr>
          <w:bCs/>
          <w:noProof/>
          <w:sz w:val="22"/>
          <w:szCs w:val="22"/>
          <w:lang w:val="sr-Latn-ME"/>
        </w:rPr>
        <w:t xml:space="preserve"> bubrega (klirens kreatinina 50-80 ml/min) nije potrebno prilagoditi dozu. Kod pacijenata s umjerenim oštećenjem </w:t>
      </w:r>
      <w:r w:rsidR="00EB101D" w:rsidRPr="00202D4B">
        <w:rPr>
          <w:bCs/>
          <w:noProof/>
          <w:sz w:val="22"/>
          <w:szCs w:val="22"/>
          <w:lang w:val="sr-Latn-ME"/>
        </w:rPr>
        <w:t xml:space="preserve">bubrega </w:t>
      </w:r>
      <w:r w:rsidRPr="00202D4B">
        <w:rPr>
          <w:bCs/>
          <w:noProof/>
          <w:sz w:val="22"/>
          <w:szCs w:val="22"/>
          <w:lang w:val="sr-Latn-ME"/>
        </w:rPr>
        <w:t>(klirens kreatinina 30-49 ml/min), dnevna doza bi trebal</w:t>
      </w:r>
      <w:r w:rsidR="00EB101D" w:rsidRPr="00202D4B">
        <w:rPr>
          <w:bCs/>
          <w:noProof/>
          <w:sz w:val="22"/>
          <w:szCs w:val="22"/>
          <w:lang w:val="sr-Latn-ME"/>
        </w:rPr>
        <w:t>o da</w:t>
      </w:r>
      <w:r w:rsidRPr="00202D4B">
        <w:rPr>
          <w:bCs/>
          <w:noProof/>
          <w:sz w:val="22"/>
          <w:szCs w:val="22"/>
          <w:lang w:val="sr-Latn-ME"/>
        </w:rPr>
        <w:t xml:space="preserve"> iznosi 10 mg na dan. Ako se nakon liječenja u trajanju od najmanje 7 dana ova doza dobro podnosi, može se povećavati do doze od 20 mg na dan, prema standardnoj titracijskoj shemi. Kod pacijenata s</w:t>
      </w:r>
      <w:r w:rsidR="00EB101D" w:rsidRPr="00202D4B">
        <w:rPr>
          <w:bCs/>
          <w:noProof/>
          <w:sz w:val="22"/>
          <w:szCs w:val="22"/>
          <w:lang w:val="sr-Latn-ME"/>
        </w:rPr>
        <w:t>a</w:t>
      </w:r>
      <w:r w:rsidRPr="00202D4B">
        <w:rPr>
          <w:bCs/>
          <w:noProof/>
          <w:sz w:val="22"/>
          <w:szCs w:val="22"/>
          <w:lang w:val="sr-Latn-ME"/>
        </w:rPr>
        <w:t xml:space="preserve"> teškim oštećenjem </w:t>
      </w:r>
      <w:r w:rsidR="00EB101D" w:rsidRPr="00202D4B">
        <w:rPr>
          <w:bCs/>
          <w:noProof/>
          <w:sz w:val="22"/>
          <w:szCs w:val="22"/>
          <w:lang w:val="sr-Latn-ME"/>
        </w:rPr>
        <w:t xml:space="preserve">bubrega </w:t>
      </w:r>
      <w:r w:rsidRPr="00202D4B">
        <w:rPr>
          <w:bCs/>
          <w:noProof/>
          <w:sz w:val="22"/>
          <w:szCs w:val="22"/>
          <w:lang w:val="sr-Latn-ME"/>
        </w:rPr>
        <w:t>(klirens kreatinina 5-29 ml/min), dnevna doza bi trebal</w:t>
      </w:r>
      <w:r w:rsidR="00EB101D" w:rsidRPr="00202D4B">
        <w:rPr>
          <w:bCs/>
          <w:noProof/>
          <w:sz w:val="22"/>
          <w:szCs w:val="22"/>
          <w:lang w:val="sr-Latn-ME"/>
        </w:rPr>
        <w:t>o da</w:t>
      </w:r>
      <w:r w:rsidRPr="00202D4B">
        <w:rPr>
          <w:bCs/>
          <w:noProof/>
          <w:sz w:val="22"/>
          <w:szCs w:val="22"/>
          <w:lang w:val="sr-Latn-ME"/>
        </w:rPr>
        <w:t xml:space="preserve"> iznosi 10 mg na dan.</w:t>
      </w:r>
    </w:p>
    <w:p w14:paraId="5B7B84B0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i/>
          <w:iCs/>
          <w:noProof/>
          <w:sz w:val="22"/>
          <w:szCs w:val="22"/>
          <w:lang w:val="sr-Latn-ME"/>
        </w:rPr>
      </w:pPr>
    </w:p>
    <w:p w14:paraId="2C9E333F" w14:textId="50EC04F8" w:rsidR="00FA009A" w:rsidRPr="00202D4B" w:rsidRDefault="00EB101D" w:rsidP="00FA009A">
      <w:pPr>
        <w:tabs>
          <w:tab w:val="left" w:pos="540"/>
          <w:tab w:val="left" w:pos="569"/>
        </w:tabs>
        <w:jc w:val="both"/>
        <w:rPr>
          <w:bCs/>
          <w:i/>
          <w:iCs/>
          <w:noProof/>
          <w:sz w:val="22"/>
          <w:szCs w:val="22"/>
          <w:lang w:val="sr-Latn-ME"/>
        </w:rPr>
      </w:pPr>
      <w:r w:rsidRPr="00202D4B">
        <w:rPr>
          <w:bCs/>
          <w:i/>
          <w:iCs/>
          <w:noProof/>
          <w:sz w:val="22"/>
          <w:szCs w:val="22"/>
          <w:lang w:val="sr-Latn-ME"/>
        </w:rPr>
        <w:t>O</w:t>
      </w:r>
      <w:r w:rsidR="00FA009A" w:rsidRPr="00202D4B">
        <w:rPr>
          <w:bCs/>
          <w:i/>
          <w:iCs/>
          <w:noProof/>
          <w:sz w:val="22"/>
          <w:szCs w:val="22"/>
          <w:lang w:val="sr-Latn-ME"/>
        </w:rPr>
        <w:t>štećenje</w:t>
      </w:r>
      <w:r w:rsidRPr="00202D4B">
        <w:rPr>
          <w:bCs/>
          <w:i/>
          <w:iCs/>
          <w:noProof/>
          <w:sz w:val="22"/>
          <w:szCs w:val="22"/>
          <w:lang w:val="sr-Latn-ME"/>
        </w:rPr>
        <w:t xml:space="preserve"> funkcije jetre</w:t>
      </w:r>
    </w:p>
    <w:p w14:paraId="4C20D386" w14:textId="21C08993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>Pacijentima s</w:t>
      </w:r>
      <w:r w:rsidR="00EB101D" w:rsidRPr="00202D4B">
        <w:rPr>
          <w:bCs/>
          <w:noProof/>
          <w:sz w:val="22"/>
          <w:szCs w:val="22"/>
          <w:lang w:val="sr-Latn-ME"/>
        </w:rPr>
        <w:t>a</w:t>
      </w:r>
      <w:r w:rsidRPr="00202D4B">
        <w:rPr>
          <w:bCs/>
          <w:noProof/>
          <w:sz w:val="22"/>
          <w:szCs w:val="22"/>
          <w:lang w:val="sr-Latn-ME"/>
        </w:rPr>
        <w:t xml:space="preserve"> blag</w:t>
      </w:r>
      <w:r w:rsidR="00EB101D" w:rsidRPr="00202D4B">
        <w:rPr>
          <w:bCs/>
          <w:noProof/>
          <w:sz w:val="22"/>
          <w:szCs w:val="22"/>
          <w:lang w:val="sr-Latn-ME"/>
        </w:rPr>
        <w:t>im</w:t>
      </w:r>
      <w:r w:rsidRPr="00202D4B">
        <w:rPr>
          <w:bCs/>
          <w:noProof/>
          <w:sz w:val="22"/>
          <w:szCs w:val="22"/>
          <w:lang w:val="sr-Latn-ME"/>
        </w:rPr>
        <w:t xml:space="preserve"> ili umjeren</w:t>
      </w:r>
      <w:r w:rsidR="00EB101D" w:rsidRPr="00202D4B">
        <w:rPr>
          <w:bCs/>
          <w:noProof/>
          <w:sz w:val="22"/>
          <w:szCs w:val="22"/>
          <w:lang w:val="sr-Latn-ME"/>
        </w:rPr>
        <w:t>im</w:t>
      </w:r>
      <w:r w:rsidRPr="00202D4B">
        <w:rPr>
          <w:bCs/>
          <w:noProof/>
          <w:sz w:val="22"/>
          <w:szCs w:val="22"/>
          <w:lang w:val="sr-Latn-ME"/>
        </w:rPr>
        <w:t xml:space="preserve"> oštećen</w:t>
      </w:r>
      <w:r w:rsidR="00EB101D" w:rsidRPr="00202D4B">
        <w:rPr>
          <w:bCs/>
          <w:noProof/>
          <w:sz w:val="22"/>
          <w:szCs w:val="22"/>
          <w:lang w:val="sr-Latn-ME"/>
        </w:rPr>
        <w:t>je</w:t>
      </w:r>
      <w:r w:rsidRPr="00202D4B">
        <w:rPr>
          <w:bCs/>
          <w:noProof/>
          <w:sz w:val="22"/>
          <w:szCs w:val="22"/>
          <w:lang w:val="sr-Latn-ME"/>
        </w:rPr>
        <w:t>m funkcij</w:t>
      </w:r>
      <w:r w:rsidR="00EB101D" w:rsidRPr="00202D4B">
        <w:rPr>
          <w:bCs/>
          <w:noProof/>
          <w:sz w:val="22"/>
          <w:szCs w:val="22"/>
          <w:lang w:val="sr-Latn-ME"/>
        </w:rPr>
        <w:t>e</w:t>
      </w:r>
      <w:r w:rsidRPr="00202D4B">
        <w:rPr>
          <w:bCs/>
          <w:noProof/>
          <w:sz w:val="22"/>
          <w:szCs w:val="22"/>
          <w:lang w:val="sr-Latn-ME"/>
        </w:rPr>
        <w:t xml:space="preserve"> jetre (</w:t>
      </w:r>
      <w:r w:rsidRPr="00202D4B">
        <w:rPr>
          <w:bCs/>
          <w:i/>
          <w:noProof/>
          <w:sz w:val="22"/>
          <w:szCs w:val="22"/>
          <w:lang w:val="sr-Latn-ME"/>
        </w:rPr>
        <w:t>Child-Pugh A</w:t>
      </w:r>
      <w:r w:rsidRPr="00202D4B">
        <w:rPr>
          <w:bCs/>
          <w:noProof/>
          <w:sz w:val="22"/>
          <w:szCs w:val="22"/>
          <w:lang w:val="sr-Latn-ME"/>
        </w:rPr>
        <w:t xml:space="preserve"> i </w:t>
      </w:r>
      <w:r w:rsidRPr="00202D4B">
        <w:rPr>
          <w:bCs/>
          <w:i/>
          <w:noProof/>
          <w:sz w:val="22"/>
          <w:szCs w:val="22"/>
          <w:lang w:val="sr-Latn-ME"/>
        </w:rPr>
        <w:t>Child-Pugh B</w:t>
      </w:r>
      <w:r w:rsidRPr="00202D4B">
        <w:rPr>
          <w:bCs/>
          <w:noProof/>
          <w:sz w:val="22"/>
          <w:szCs w:val="22"/>
          <w:lang w:val="sr-Latn-ME"/>
        </w:rPr>
        <w:t>) nije potrebno prilagoditi dozu. Nema dostupnih podataka o primjeni memantina kod pacijenata s</w:t>
      </w:r>
      <w:r w:rsidR="00807529" w:rsidRPr="00202D4B">
        <w:rPr>
          <w:bCs/>
          <w:noProof/>
          <w:sz w:val="22"/>
          <w:szCs w:val="22"/>
          <w:lang w:val="sr-Latn-ME"/>
        </w:rPr>
        <w:t>a</w:t>
      </w:r>
      <w:r w:rsidRPr="00202D4B">
        <w:rPr>
          <w:bCs/>
          <w:noProof/>
          <w:sz w:val="22"/>
          <w:szCs w:val="22"/>
          <w:lang w:val="sr-Latn-ME"/>
        </w:rPr>
        <w:t xml:space="preserve"> teškim oštećenjem</w:t>
      </w:r>
      <w:r w:rsidR="00807529" w:rsidRPr="00202D4B">
        <w:rPr>
          <w:bCs/>
          <w:noProof/>
          <w:sz w:val="22"/>
          <w:szCs w:val="22"/>
          <w:lang w:val="sr-Latn-ME"/>
        </w:rPr>
        <w:t xml:space="preserve"> jetre</w:t>
      </w:r>
      <w:r w:rsidRPr="00202D4B">
        <w:rPr>
          <w:bCs/>
          <w:noProof/>
          <w:sz w:val="22"/>
          <w:szCs w:val="22"/>
          <w:lang w:val="sr-Latn-ME"/>
        </w:rPr>
        <w:t>. Kod pacijenata s</w:t>
      </w:r>
      <w:r w:rsidR="00807529" w:rsidRPr="00202D4B">
        <w:rPr>
          <w:bCs/>
          <w:noProof/>
          <w:sz w:val="22"/>
          <w:szCs w:val="22"/>
          <w:lang w:val="sr-Latn-ME"/>
        </w:rPr>
        <w:t>a</w:t>
      </w:r>
      <w:r w:rsidRPr="00202D4B">
        <w:rPr>
          <w:bCs/>
          <w:noProof/>
          <w:sz w:val="22"/>
          <w:szCs w:val="22"/>
          <w:lang w:val="sr-Latn-ME"/>
        </w:rPr>
        <w:t xml:space="preserve"> teškim oštećenjem </w:t>
      </w:r>
      <w:r w:rsidR="00807529" w:rsidRPr="00202D4B">
        <w:rPr>
          <w:bCs/>
          <w:noProof/>
          <w:sz w:val="22"/>
          <w:szCs w:val="22"/>
          <w:lang w:val="sr-Latn-ME"/>
        </w:rPr>
        <w:t xml:space="preserve">jetre </w:t>
      </w:r>
      <w:r w:rsidRPr="00202D4B">
        <w:rPr>
          <w:bCs/>
          <w:noProof/>
          <w:sz w:val="22"/>
          <w:szCs w:val="22"/>
          <w:lang w:val="sr-Latn-ME"/>
        </w:rPr>
        <w:t xml:space="preserve">ne preporučuje </w:t>
      </w:r>
      <w:r w:rsidR="00807529" w:rsidRPr="00202D4B">
        <w:rPr>
          <w:bCs/>
          <w:noProof/>
          <w:sz w:val="22"/>
          <w:szCs w:val="22"/>
          <w:lang w:val="sr-Latn-ME"/>
        </w:rPr>
        <w:t xml:space="preserve">se </w:t>
      </w:r>
      <w:r w:rsidRPr="00202D4B">
        <w:rPr>
          <w:bCs/>
          <w:noProof/>
          <w:sz w:val="22"/>
          <w:szCs w:val="22"/>
          <w:lang w:val="sr-Latn-ME"/>
        </w:rPr>
        <w:t xml:space="preserve">primjena </w:t>
      </w:r>
      <w:r w:rsidR="00CA0D34" w:rsidRPr="00202D4B">
        <w:rPr>
          <w:bCs/>
          <w:noProof/>
          <w:sz w:val="22"/>
          <w:szCs w:val="22"/>
          <w:lang w:val="sr-Latn-ME"/>
        </w:rPr>
        <w:t>lijeka MEMENTO</w:t>
      </w:r>
      <w:r w:rsidRPr="00202D4B">
        <w:rPr>
          <w:bCs/>
          <w:noProof/>
          <w:sz w:val="22"/>
          <w:szCs w:val="22"/>
          <w:lang w:val="sr-Latn-ME"/>
        </w:rPr>
        <w:t>.</w:t>
      </w:r>
    </w:p>
    <w:p w14:paraId="225F9B24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48CF774A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i/>
          <w:noProof/>
          <w:sz w:val="22"/>
          <w:szCs w:val="22"/>
          <w:lang w:val="sr-Latn-ME"/>
        </w:rPr>
      </w:pPr>
      <w:r w:rsidRPr="00202D4B">
        <w:rPr>
          <w:bCs/>
          <w:i/>
          <w:noProof/>
          <w:sz w:val="22"/>
          <w:szCs w:val="22"/>
          <w:lang w:val="sr-Latn-ME"/>
        </w:rPr>
        <w:t>Pedijatrijska populacija</w:t>
      </w:r>
    </w:p>
    <w:p w14:paraId="5A202919" w14:textId="6C51F673" w:rsidR="00FA009A" w:rsidRPr="00202D4B" w:rsidRDefault="00807529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 xml:space="preserve">Bezbjednost </w:t>
      </w:r>
      <w:r w:rsidR="00FA009A" w:rsidRPr="00202D4B">
        <w:rPr>
          <w:bCs/>
          <w:noProof/>
          <w:sz w:val="22"/>
          <w:szCs w:val="22"/>
          <w:lang w:val="sr-Latn-ME"/>
        </w:rPr>
        <w:t xml:space="preserve">i efikasnost </w:t>
      </w:r>
      <w:r w:rsidR="00CA0D34" w:rsidRPr="00202D4B">
        <w:rPr>
          <w:bCs/>
          <w:noProof/>
          <w:sz w:val="22"/>
          <w:szCs w:val="22"/>
          <w:lang w:val="sr-Latn-ME"/>
        </w:rPr>
        <w:t>lijeka MEMENTO</w:t>
      </w:r>
      <w:r w:rsidR="00FA009A" w:rsidRPr="00202D4B">
        <w:rPr>
          <w:bCs/>
          <w:noProof/>
          <w:sz w:val="22"/>
          <w:szCs w:val="22"/>
          <w:lang w:val="sr-Latn-ME"/>
        </w:rPr>
        <w:t xml:space="preserve"> kod djece mlađe od 18 godina nije ustanovljena.</w:t>
      </w:r>
    </w:p>
    <w:p w14:paraId="1ED58E68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 xml:space="preserve">Nema dostupnih podataka. </w:t>
      </w:r>
    </w:p>
    <w:p w14:paraId="01C4FBF5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/>
          <w:bCs/>
          <w:iCs/>
          <w:noProof/>
          <w:sz w:val="22"/>
          <w:szCs w:val="22"/>
          <w:lang w:val="sr-Latn-ME"/>
        </w:rPr>
      </w:pPr>
    </w:p>
    <w:p w14:paraId="7D02A71D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202D4B">
        <w:rPr>
          <w:bCs/>
          <w:noProof/>
          <w:sz w:val="22"/>
          <w:szCs w:val="22"/>
          <w:u w:val="single"/>
          <w:lang w:val="sr-Latn-ME"/>
        </w:rPr>
        <w:t>Način primjene</w:t>
      </w:r>
    </w:p>
    <w:p w14:paraId="38033CA1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>MEMENTO film tablete namijenjene su za oralnu primjenu.</w:t>
      </w:r>
    </w:p>
    <w:p w14:paraId="6F39B012" w14:textId="45E6A382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 xml:space="preserve">MEMENTO film tablete treba primjenjivati jedanput dnevno, svakog dana u isto vrijeme. Film tablete se mogu primjenjivati </w:t>
      </w:r>
      <w:r w:rsidR="00807529" w:rsidRPr="00202D4B">
        <w:rPr>
          <w:bCs/>
          <w:noProof/>
          <w:sz w:val="22"/>
          <w:szCs w:val="22"/>
          <w:lang w:val="sr-Latn-ME"/>
        </w:rPr>
        <w:t>sa</w:t>
      </w:r>
      <w:r w:rsidRPr="00202D4B">
        <w:rPr>
          <w:bCs/>
          <w:noProof/>
          <w:sz w:val="22"/>
          <w:szCs w:val="22"/>
          <w:lang w:val="sr-Latn-ME"/>
        </w:rPr>
        <w:t xml:space="preserve"> hran</w:t>
      </w:r>
      <w:r w:rsidR="00807529" w:rsidRPr="00202D4B">
        <w:rPr>
          <w:bCs/>
          <w:noProof/>
          <w:sz w:val="22"/>
          <w:szCs w:val="22"/>
          <w:lang w:val="sr-Latn-ME"/>
        </w:rPr>
        <w:t>om</w:t>
      </w:r>
      <w:r w:rsidRPr="00202D4B">
        <w:rPr>
          <w:bCs/>
          <w:noProof/>
          <w:sz w:val="22"/>
          <w:szCs w:val="22"/>
          <w:lang w:val="sr-Latn-ME"/>
        </w:rPr>
        <w:t xml:space="preserve"> ili bez hrane.</w:t>
      </w:r>
    </w:p>
    <w:p w14:paraId="13249C9A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7E986F5F" w14:textId="77777777" w:rsidR="00FA009A" w:rsidRPr="00202D4B" w:rsidRDefault="00FA009A" w:rsidP="00FA009A">
      <w:pPr>
        <w:pStyle w:val="ListParagraph"/>
        <w:numPr>
          <w:ilvl w:val="1"/>
          <w:numId w:val="4"/>
        </w:num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202D4B">
        <w:rPr>
          <w:b/>
          <w:bCs/>
          <w:noProof/>
          <w:sz w:val="22"/>
          <w:szCs w:val="22"/>
          <w:lang w:val="sr-Latn-ME"/>
        </w:rPr>
        <w:t>Kontraindikacije</w:t>
      </w:r>
    </w:p>
    <w:p w14:paraId="38F58EE4" w14:textId="77777777" w:rsidR="00FA009A" w:rsidRPr="00202D4B" w:rsidRDefault="00FA009A" w:rsidP="00FA009A">
      <w:pPr>
        <w:contextualSpacing/>
        <w:jc w:val="both"/>
        <w:rPr>
          <w:noProof/>
          <w:sz w:val="22"/>
          <w:szCs w:val="22"/>
          <w:lang w:val="sr-Latn-ME"/>
        </w:rPr>
      </w:pPr>
    </w:p>
    <w:p w14:paraId="3F779293" w14:textId="77777777" w:rsidR="00FA009A" w:rsidRPr="00202D4B" w:rsidRDefault="00FA009A" w:rsidP="00FA009A">
      <w:pPr>
        <w:contextualSpacing/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>Preosjetljivost na aktivnu supstancu ili bilo koju od pomoćnih supstanci koje su navedene u dijelu 6.1.</w:t>
      </w:r>
    </w:p>
    <w:p w14:paraId="693EF1C2" w14:textId="77777777" w:rsidR="00FA009A" w:rsidRPr="00202D4B" w:rsidRDefault="00FA009A" w:rsidP="00FA009A">
      <w:pPr>
        <w:contextualSpacing/>
        <w:jc w:val="both"/>
        <w:rPr>
          <w:noProof/>
          <w:sz w:val="22"/>
          <w:szCs w:val="22"/>
          <w:lang w:val="sr-Latn-ME"/>
        </w:rPr>
      </w:pPr>
    </w:p>
    <w:p w14:paraId="2ECD8FF2" w14:textId="77777777" w:rsidR="00FA009A" w:rsidRPr="00202D4B" w:rsidRDefault="00FA009A" w:rsidP="00FA009A">
      <w:pPr>
        <w:pStyle w:val="ListParagraph"/>
        <w:numPr>
          <w:ilvl w:val="1"/>
          <w:numId w:val="4"/>
        </w:num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202D4B">
        <w:rPr>
          <w:b/>
          <w:bCs/>
          <w:noProof/>
          <w:sz w:val="22"/>
          <w:szCs w:val="22"/>
          <w:lang w:val="sr-Latn-ME"/>
        </w:rPr>
        <w:t>Posebna upozorenja i mjere opreza pri upotrebi lijeka</w:t>
      </w:r>
    </w:p>
    <w:p w14:paraId="1F18030B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77398573" w14:textId="64C33DEC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>Preporučuje se oprez kod pacijenata s epilepsijom, konvulzijama u anamnezi ili kod pacijenata s</w:t>
      </w:r>
      <w:r w:rsidR="00807529" w:rsidRPr="00202D4B">
        <w:rPr>
          <w:bCs/>
          <w:noProof/>
          <w:sz w:val="22"/>
          <w:szCs w:val="22"/>
          <w:lang w:val="sr-Latn-ME"/>
        </w:rPr>
        <w:t>a</w:t>
      </w:r>
      <w:r w:rsidRPr="00202D4B">
        <w:rPr>
          <w:bCs/>
          <w:noProof/>
          <w:sz w:val="22"/>
          <w:szCs w:val="22"/>
          <w:lang w:val="sr-Latn-ME"/>
        </w:rPr>
        <w:t xml:space="preserve"> faktorima predispozicije za epilepsiju.</w:t>
      </w:r>
    </w:p>
    <w:p w14:paraId="74C17F6A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3E42026A" w14:textId="3CDF6F83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>Potrebno je izbjeći istovremenu primjenu s antagonistima N-metil-D-aspartata (NMDA), poput amantadina, ketamina ili dekstrometorfana. Ov</w:t>
      </w:r>
      <w:r w:rsidR="00807529" w:rsidRPr="00202D4B">
        <w:rPr>
          <w:bCs/>
          <w:noProof/>
          <w:sz w:val="22"/>
          <w:szCs w:val="22"/>
          <w:lang w:val="sr-Latn-ME"/>
        </w:rPr>
        <w:t>e</w:t>
      </w:r>
      <w:r w:rsidRPr="00202D4B">
        <w:rPr>
          <w:bCs/>
          <w:noProof/>
          <w:sz w:val="22"/>
          <w:szCs w:val="22"/>
          <w:lang w:val="sr-Latn-ME"/>
        </w:rPr>
        <w:t xml:space="preserve"> </w:t>
      </w:r>
      <w:r w:rsidR="00807529" w:rsidRPr="00202D4B">
        <w:rPr>
          <w:bCs/>
          <w:noProof/>
          <w:sz w:val="22"/>
          <w:szCs w:val="22"/>
          <w:lang w:val="sr-Latn-ME"/>
        </w:rPr>
        <w:t xml:space="preserve">supstance </w:t>
      </w:r>
      <w:r w:rsidRPr="00202D4B">
        <w:rPr>
          <w:bCs/>
          <w:noProof/>
          <w:sz w:val="22"/>
          <w:szCs w:val="22"/>
          <w:lang w:val="sr-Latn-ME"/>
        </w:rPr>
        <w:t>djeluju na isti sistem receptora kao i memantin, te stoga neželjen</w:t>
      </w:r>
      <w:r w:rsidR="00807529" w:rsidRPr="00202D4B">
        <w:rPr>
          <w:bCs/>
          <w:noProof/>
          <w:sz w:val="22"/>
          <w:szCs w:val="22"/>
          <w:lang w:val="sr-Latn-ME"/>
        </w:rPr>
        <w:t>a</w:t>
      </w:r>
      <w:r w:rsidRPr="00202D4B">
        <w:rPr>
          <w:bCs/>
          <w:noProof/>
          <w:sz w:val="22"/>
          <w:szCs w:val="22"/>
          <w:lang w:val="sr-Latn-ME"/>
        </w:rPr>
        <w:t xml:space="preserve"> </w:t>
      </w:r>
      <w:r w:rsidR="00807529" w:rsidRPr="00202D4B">
        <w:rPr>
          <w:bCs/>
          <w:noProof/>
          <w:sz w:val="22"/>
          <w:szCs w:val="22"/>
          <w:lang w:val="sr-Latn-ME"/>
        </w:rPr>
        <w:t xml:space="preserve">dejstva </w:t>
      </w:r>
      <w:r w:rsidRPr="00202D4B">
        <w:rPr>
          <w:bCs/>
          <w:noProof/>
          <w:sz w:val="22"/>
          <w:szCs w:val="22"/>
          <w:lang w:val="sr-Latn-ME"/>
        </w:rPr>
        <w:t>(uglavnom povezan</w:t>
      </w:r>
      <w:r w:rsidR="00807529" w:rsidRPr="00202D4B">
        <w:rPr>
          <w:bCs/>
          <w:noProof/>
          <w:sz w:val="22"/>
          <w:szCs w:val="22"/>
          <w:lang w:val="sr-Latn-ME"/>
        </w:rPr>
        <w:t>a</w:t>
      </w:r>
      <w:r w:rsidRPr="00202D4B">
        <w:rPr>
          <w:bCs/>
          <w:noProof/>
          <w:sz w:val="22"/>
          <w:szCs w:val="22"/>
          <w:lang w:val="sr-Latn-ME"/>
        </w:rPr>
        <w:t xml:space="preserve"> s</w:t>
      </w:r>
      <w:r w:rsidR="00807529" w:rsidRPr="00202D4B">
        <w:rPr>
          <w:bCs/>
          <w:noProof/>
          <w:sz w:val="22"/>
          <w:szCs w:val="22"/>
          <w:lang w:val="sr-Latn-ME"/>
        </w:rPr>
        <w:t>a</w:t>
      </w:r>
      <w:r w:rsidRPr="00202D4B">
        <w:rPr>
          <w:bCs/>
          <w:noProof/>
          <w:sz w:val="22"/>
          <w:szCs w:val="22"/>
          <w:lang w:val="sr-Latn-ME"/>
        </w:rPr>
        <w:t xml:space="preserve"> centralnim nervnim sistemom) mogu biti učestalij</w:t>
      </w:r>
      <w:r w:rsidR="00807529" w:rsidRPr="00202D4B">
        <w:rPr>
          <w:bCs/>
          <w:noProof/>
          <w:sz w:val="22"/>
          <w:szCs w:val="22"/>
          <w:lang w:val="sr-Latn-ME"/>
        </w:rPr>
        <w:t>a</w:t>
      </w:r>
      <w:r w:rsidRPr="00202D4B">
        <w:rPr>
          <w:bCs/>
          <w:noProof/>
          <w:sz w:val="22"/>
          <w:szCs w:val="22"/>
          <w:lang w:val="sr-Latn-ME"/>
        </w:rPr>
        <w:t xml:space="preserve"> ili izraženij</w:t>
      </w:r>
      <w:r w:rsidR="00807529" w:rsidRPr="00202D4B">
        <w:rPr>
          <w:bCs/>
          <w:noProof/>
          <w:sz w:val="22"/>
          <w:szCs w:val="22"/>
          <w:lang w:val="sr-Latn-ME"/>
        </w:rPr>
        <w:t>a</w:t>
      </w:r>
      <w:r w:rsidRPr="00202D4B">
        <w:rPr>
          <w:bCs/>
          <w:noProof/>
          <w:sz w:val="22"/>
          <w:szCs w:val="22"/>
          <w:lang w:val="sr-Latn-ME"/>
        </w:rPr>
        <w:t xml:space="preserve"> (vidjeti i dio 4.5).</w:t>
      </w:r>
    </w:p>
    <w:p w14:paraId="52951374" w14:textId="24A6C099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>Neki faktori koji mogu povećati pH urina (vidjeti dio 5.2 “Eliminacija”) mogu zahtijevati pažljivo nadziranje pacijenta. Ti faktori uključuju i drastičnu promjenu načina ishrane (npr. prelazak s</w:t>
      </w:r>
      <w:r w:rsidR="00832150" w:rsidRPr="00202D4B">
        <w:rPr>
          <w:bCs/>
          <w:noProof/>
          <w:sz w:val="22"/>
          <w:szCs w:val="22"/>
          <w:lang w:val="sr-Latn-ME"/>
        </w:rPr>
        <w:t>a</w:t>
      </w:r>
      <w:r w:rsidRPr="00202D4B">
        <w:rPr>
          <w:bCs/>
          <w:noProof/>
          <w:sz w:val="22"/>
          <w:szCs w:val="22"/>
          <w:lang w:val="sr-Latn-ME"/>
        </w:rPr>
        <w:t xml:space="preserve"> </w:t>
      </w:r>
      <w:r w:rsidR="00832150" w:rsidRPr="00202D4B">
        <w:rPr>
          <w:bCs/>
          <w:noProof/>
          <w:sz w:val="22"/>
          <w:szCs w:val="22"/>
          <w:lang w:val="sr-Latn-ME"/>
        </w:rPr>
        <w:t>ishrane bazirane na mesu</w:t>
      </w:r>
      <w:r w:rsidRPr="00202D4B">
        <w:rPr>
          <w:bCs/>
          <w:noProof/>
          <w:sz w:val="22"/>
          <w:szCs w:val="22"/>
          <w:lang w:val="sr-Latn-ME"/>
        </w:rPr>
        <w:t xml:space="preserve"> na vegetarijansku ishranu) ili izrazito veliki unos alkaliz</w:t>
      </w:r>
      <w:r w:rsidR="00832150" w:rsidRPr="00202D4B">
        <w:rPr>
          <w:bCs/>
          <w:noProof/>
          <w:sz w:val="22"/>
          <w:szCs w:val="22"/>
          <w:lang w:val="sr-Latn-ME"/>
        </w:rPr>
        <w:t>u</w:t>
      </w:r>
      <w:r w:rsidRPr="00202D4B">
        <w:rPr>
          <w:bCs/>
          <w:noProof/>
          <w:sz w:val="22"/>
          <w:szCs w:val="22"/>
          <w:lang w:val="sr-Latn-ME"/>
        </w:rPr>
        <w:t>jućih želu</w:t>
      </w:r>
      <w:r w:rsidR="00832150" w:rsidRPr="00202D4B">
        <w:rPr>
          <w:bCs/>
          <w:noProof/>
          <w:sz w:val="22"/>
          <w:szCs w:val="22"/>
          <w:lang w:val="sr-Latn-ME"/>
        </w:rPr>
        <w:t>da</w:t>
      </w:r>
      <w:r w:rsidRPr="00202D4B">
        <w:rPr>
          <w:bCs/>
          <w:noProof/>
          <w:sz w:val="22"/>
          <w:szCs w:val="22"/>
          <w:lang w:val="sr-Latn-ME"/>
        </w:rPr>
        <w:t xml:space="preserve">čnih pufera. </w:t>
      </w:r>
      <w:r w:rsidRPr="00202D4B">
        <w:rPr>
          <w:bCs/>
          <w:noProof/>
          <w:sz w:val="22"/>
          <w:szCs w:val="22"/>
          <w:lang w:val="sr-Latn-ME"/>
        </w:rPr>
        <w:lastRenderedPageBreak/>
        <w:t xml:space="preserve">Osim toga, pH urina može biti povećan kod stanja renalne tubularne acidoze (RTA) ili kod teških infekcija urinarnog trakta uzrokovanih </w:t>
      </w:r>
      <w:r w:rsidRPr="00202D4B">
        <w:rPr>
          <w:bCs/>
          <w:i/>
          <w:noProof/>
          <w:sz w:val="22"/>
          <w:szCs w:val="22"/>
          <w:lang w:val="sr-Latn-ME"/>
        </w:rPr>
        <w:t>Proteus</w:t>
      </w:r>
      <w:r w:rsidRPr="00202D4B">
        <w:rPr>
          <w:bCs/>
          <w:noProof/>
          <w:sz w:val="22"/>
          <w:szCs w:val="22"/>
          <w:lang w:val="sr-Latn-ME"/>
        </w:rPr>
        <w:t xml:space="preserve"> bakterijama.</w:t>
      </w:r>
    </w:p>
    <w:p w14:paraId="3C182920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05EE7E41" w14:textId="38EFE6F1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 xml:space="preserve">Iz većine kliničkih ispitivanja isključeni su pacijenti koji su nedavno </w:t>
      </w:r>
      <w:r w:rsidR="00832150" w:rsidRPr="00202D4B">
        <w:rPr>
          <w:bCs/>
          <w:noProof/>
          <w:sz w:val="22"/>
          <w:szCs w:val="22"/>
          <w:lang w:val="sr-Latn-ME"/>
        </w:rPr>
        <w:t xml:space="preserve">imali </w:t>
      </w:r>
      <w:r w:rsidRPr="00202D4B">
        <w:rPr>
          <w:bCs/>
          <w:noProof/>
          <w:sz w:val="22"/>
          <w:szCs w:val="22"/>
          <w:lang w:val="sr-Latn-ME"/>
        </w:rPr>
        <w:t>infarkt miokarda, pacijenti s</w:t>
      </w:r>
      <w:r w:rsidR="00832150" w:rsidRPr="00202D4B">
        <w:rPr>
          <w:bCs/>
          <w:noProof/>
          <w:sz w:val="22"/>
          <w:szCs w:val="22"/>
          <w:lang w:val="sr-Latn-ME"/>
        </w:rPr>
        <w:t>a</w:t>
      </w:r>
      <w:r w:rsidRPr="00202D4B">
        <w:rPr>
          <w:bCs/>
          <w:noProof/>
          <w:sz w:val="22"/>
          <w:szCs w:val="22"/>
          <w:lang w:val="sr-Latn-ME"/>
        </w:rPr>
        <w:t xml:space="preserve"> nekompenz</w:t>
      </w:r>
      <w:r w:rsidR="00832150" w:rsidRPr="00202D4B">
        <w:rPr>
          <w:bCs/>
          <w:noProof/>
          <w:sz w:val="22"/>
          <w:szCs w:val="22"/>
          <w:lang w:val="sr-Latn-ME"/>
        </w:rPr>
        <w:t>ov</w:t>
      </w:r>
      <w:r w:rsidRPr="00202D4B">
        <w:rPr>
          <w:bCs/>
          <w:noProof/>
          <w:sz w:val="22"/>
          <w:szCs w:val="22"/>
          <w:lang w:val="sr-Latn-ME"/>
        </w:rPr>
        <w:t>an</w:t>
      </w:r>
      <w:r w:rsidR="00832150" w:rsidRPr="00202D4B">
        <w:rPr>
          <w:bCs/>
          <w:noProof/>
          <w:sz w:val="22"/>
          <w:szCs w:val="22"/>
          <w:lang w:val="sr-Latn-ME"/>
        </w:rPr>
        <w:t>o</w:t>
      </w:r>
      <w:r w:rsidRPr="00202D4B">
        <w:rPr>
          <w:bCs/>
          <w:noProof/>
          <w:sz w:val="22"/>
          <w:szCs w:val="22"/>
          <w:lang w:val="sr-Latn-ME"/>
        </w:rPr>
        <w:t>m kongestivn</w:t>
      </w:r>
      <w:r w:rsidR="00832150" w:rsidRPr="00202D4B">
        <w:rPr>
          <w:bCs/>
          <w:noProof/>
          <w:sz w:val="22"/>
          <w:szCs w:val="22"/>
          <w:lang w:val="sr-Latn-ME"/>
        </w:rPr>
        <w:t>o</w:t>
      </w:r>
      <w:r w:rsidRPr="00202D4B">
        <w:rPr>
          <w:bCs/>
          <w:noProof/>
          <w:sz w:val="22"/>
          <w:szCs w:val="22"/>
          <w:lang w:val="sr-Latn-ME"/>
        </w:rPr>
        <w:t xml:space="preserve">m </w:t>
      </w:r>
      <w:r w:rsidR="00832150" w:rsidRPr="00202D4B">
        <w:rPr>
          <w:bCs/>
          <w:noProof/>
          <w:sz w:val="22"/>
          <w:szCs w:val="22"/>
          <w:lang w:val="sr-Latn-ME"/>
        </w:rPr>
        <w:t xml:space="preserve">insuficijencijom </w:t>
      </w:r>
      <w:r w:rsidRPr="00202D4B">
        <w:rPr>
          <w:bCs/>
          <w:noProof/>
          <w:sz w:val="22"/>
          <w:szCs w:val="22"/>
          <w:lang w:val="sr-Latn-ME"/>
        </w:rPr>
        <w:t>srca (NYHA III-IV) ili s</w:t>
      </w:r>
      <w:r w:rsidR="00832150" w:rsidRPr="00202D4B">
        <w:rPr>
          <w:bCs/>
          <w:noProof/>
          <w:sz w:val="22"/>
          <w:szCs w:val="22"/>
          <w:lang w:val="sr-Latn-ME"/>
        </w:rPr>
        <w:t>a</w:t>
      </w:r>
      <w:r w:rsidRPr="00202D4B">
        <w:rPr>
          <w:bCs/>
          <w:noProof/>
          <w:sz w:val="22"/>
          <w:szCs w:val="22"/>
          <w:lang w:val="sr-Latn-ME"/>
        </w:rPr>
        <w:t xml:space="preserve"> nekontrolisanom hipertenzijom. Posljedica ovoga je </w:t>
      </w:r>
      <w:r w:rsidR="00832150" w:rsidRPr="00202D4B">
        <w:rPr>
          <w:bCs/>
          <w:noProof/>
          <w:sz w:val="22"/>
          <w:szCs w:val="22"/>
          <w:lang w:val="sr-Latn-ME"/>
        </w:rPr>
        <w:t xml:space="preserve">ograničenost </w:t>
      </w:r>
      <w:r w:rsidRPr="00202D4B">
        <w:rPr>
          <w:bCs/>
          <w:noProof/>
          <w:sz w:val="22"/>
          <w:szCs w:val="22"/>
          <w:lang w:val="sr-Latn-ME"/>
        </w:rPr>
        <w:t>dostupnih podataka, zbog čega bi pacijente s ovim stanjima trebalo pažljivo nadzirati.</w:t>
      </w:r>
    </w:p>
    <w:p w14:paraId="296E3DFC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054CB322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>Ovaj lijek sadrži manje od 1 mmol natrijuma (23 mg) po tableti, tj. suštinski je „bez natrijuma“.</w:t>
      </w:r>
    </w:p>
    <w:p w14:paraId="6A80D6DF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6BC019B4" w14:textId="77777777" w:rsidR="00FA009A" w:rsidRPr="00202D4B" w:rsidRDefault="00FA009A" w:rsidP="00FA009A">
      <w:pPr>
        <w:pStyle w:val="ListParagraph"/>
        <w:numPr>
          <w:ilvl w:val="1"/>
          <w:numId w:val="4"/>
        </w:num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202D4B">
        <w:rPr>
          <w:b/>
          <w:bCs/>
          <w:noProof/>
          <w:sz w:val="22"/>
          <w:szCs w:val="22"/>
          <w:lang w:val="sr-Latn-ME"/>
        </w:rPr>
        <w:t>Interakcije sa drugim ljekovima i druge vrste interakcija</w:t>
      </w:r>
    </w:p>
    <w:p w14:paraId="43A6EF6C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763BE4C3" w14:textId="77777777" w:rsidR="00FA009A" w:rsidRPr="00202D4B" w:rsidRDefault="00FA009A" w:rsidP="00FA009A">
      <w:pPr>
        <w:tabs>
          <w:tab w:val="left" w:pos="540"/>
          <w:tab w:val="left" w:pos="567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>Zbog farmakoloških efekata i mehanizma djelovanja memantina, mogu se dogoditi sljedeće interakcije:</w:t>
      </w:r>
    </w:p>
    <w:p w14:paraId="72C40792" w14:textId="77777777" w:rsidR="003440A6" w:rsidRPr="00202D4B" w:rsidRDefault="003440A6" w:rsidP="00FA009A">
      <w:pPr>
        <w:tabs>
          <w:tab w:val="left" w:pos="540"/>
          <w:tab w:val="left" w:pos="567"/>
        </w:tabs>
        <w:jc w:val="both"/>
        <w:rPr>
          <w:bCs/>
          <w:noProof/>
          <w:sz w:val="22"/>
          <w:szCs w:val="22"/>
          <w:lang w:val="sr-Latn-ME"/>
        </w:rPr>
      </w:pPr>
    </w:p>
    <w:p w14:paraId="65635A42" w14:textId="245BF63F" w:rsidR="00FA009A" w:rsidRPr="00202D4B" w:rsidRDefault="00FA009A" w:rsidP="00FA009A">
      <w:pPr>
        <w:pStyle w:val="ListParagraph"/>
        <w:numPr>
          <w:ilvl w:val="0"/>
          <w:numId w:val="5"/>
        </w:numPr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 xml:space="preserve">Način djelovanja sugeriše da bi </w:t>
      </w:r>
      <w:r w:rsidR="003440A6" w:rsidRPr="00202D4B">
        <w:rPr>
          <w:bCs/>
          <w:noProof/>
          <w:sz w:val="22"/>
          <w:szCs w:val="22"/>
          <w:lang w:val="sr-Latn-ME"/>
        </w:rPr>
        <w:t xml:space="preserve">efekti </w:t>
      </w:r>
      <w:r w:rsidRPr="00202D4B">
        <w:rPr>
          <w:bCs/>
          <w:noProof/>
          <w:sz w:val="22"/>
          <w:szCs w:val="22"/>
          <w:lang w:val="sr-Latn-ME"/>
        </w:rPr>
        <w:t>L-dope, dopaminergičkih agonista i antiholinergika mogli biti pojačani pri istovremenom liječenju NMDA-antagonistima poput memantina. Efekti barbiturata i neuroleptika mogu biti smanjeni. Istovremena primjena memantina s antispazmodičkim agensima, dantrolenom ili baklofenom, može modifi</w:t>
      </w:r>
      <w:r w:rsidR="00616C23" w:rsidRPr="00202D4B">
        <w:rPr>
          <w:bCs/>
          <w:noProof/>
          <w:sz w:val="22"/>
          <w:szCs w:val="22"/>
          <w:lang w:val="sr-Latn-ME"/>
        </w:rPr>
        <w:t>kov</w:t>
      </w:r>
      <w:r w:rsidRPr="00202D4B">
        <w:rPr>
          <w:bCs/>
          <w:noProof/>
          <w:sz w:val="22"/>
          <w:szCs w:val="22"/>
          <w:lang w:val="sr-Latn-ME"/>
        </w:rPr>
        <w:t>ati njihove efekte, te može biti potrebno prilagođavanje doze.</w:t>
      </w:r>
    </w:p>
    <w:p w14:paraId="2F8A774F" w14:textId="559C3DC2" w:rsidR="00FA009A" w:rsidRPr="00202D4B" w:rsidRDefault="00FA009A" w:rsidP="00FA009A">
      <w:pPr>
        <w:pStyle w:val="ListParagraph"/>
        <w:numPr>
          <w:ilvl w:val="0"/>
          <w:numId w:val="5"/>
        </w:numPr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>Istovremenu primjenu memantina i amantadina bi trebalo izbjeći zbog rizika od farmakotoksične psihoze. Ob</w:t>
      </w:r>
      <w:r w:rsidR="00616C23" w:rsidRPr="00202D4B">
        <w:rPr>
          <w:bCs/>
          <w:noProof/>
          <w:sz w:val="22"/>
          <w:szCs w:val="22"/>
          <w:lang w:val="sr-Latn-ME"/>
        </w:rPr>
        <w:t>je</w:t>
      </w:r>
      <w:r w:rsidRPr="00202D4B">
        <w:rPr>
          <w:bCs/>
          <w:noProof/>
          <w:sz w:val="22"/>
          <w:szCs w:val="22"/>
          <w:lang w:val="sr-Latn-ME"/>
        </w:rPr>
        <w:t xml:space="preserve"> ov</w:t>
      </w:r>
      <w:r w:rsidR="00616C23" w:rsidRPr="00202D4B">
        <w:rPr>
          <w:bCs/>
          <w:noProof/>
          <w:sz w:val="22"/>
          <w:szCs w:val="22"/>
          <w:lang w:val="sr-Latn-ME"/>
        </w:rPr>
        <w:t>e</w:t>
      </w:r>
      <w:r w:rsidRPr="00202D4B">
        <w:rPr>
          <w:bCs/>
          <w:noProof/>
          <w:sz w:val="22"/>
          <w:szCs w:val="22"/>
          <w:lang w:val="sr-Latn-ME"/>
        </w:rPr>
        <w:t xml:space="preserve"> </w:t>
      </w:r>
      <w:r w:rsidR="00616C23" w:rsidRPr="00202D4B">
        <w:rPr>
          <w:bCs/>
          <w:noProof/>
          <w:sz w:val="22"/>
          <w:szCs w:val="22"/>
          <w:lang w:val="sr-Latn-ME"/>
        </w:rPr>
        <w:t xml:space="preserve">supstance </w:t>
      </w:r>
      <w:r w:rsidRPr="00202D4B">
        <w:rPr>
          <w:bCs/>
          <w:noProof/>
          <w:sz w:val="22"/>
          <w:szCs w:val="22"/>
          <w:lang w:val="sr-Latn-ME"/>
        </w:rPr>
        <w:t>su hemijski srodn</w:t>
      </w:r>
      <w:r w:rsidR="00616C23" w:rsidRPr="00202D4B">
        <w:rPr>
          <w:bCs/>
          <w:noProof/>
          <w:sz w:val="22"/>
          <w:szCs w:val="22"/>
          <w:lang w:val="sr-Latn-ME"/>
        </w:rPr>
        <w:t>e</w:t>
      </w:r>
      <w:r w:rsidRPr="00202D4B">
        <w:rPr>
          <w:bCs/>
          <w:noProof/>
          <w:sz w:val="22"/>
          <w:szCs w:val="22"/>
          <w:lang w:val="sr-Latn-ME"/>
        </w:rPr>
        <w:t xml:space="preserve"> NMDA-antagonisti</w:t>
      </w:r>
      <w:r w:rsidR="00616C23" w:rsidRPr="00202D4B">
        <w:rPr>
          <w:bCs/>
          <w:noProof/>
          <w:sz w:val="22"/>
          <w:szCs w:val="22"/>
          <w:lang w:val="sr-Latn-ME"/>
        </w:rPr>
        <w:t>ma</w:t>
      </w:r>
      <w:r w:rsidRPr="00202D4B">
        <w:rPr>
          <w:bCs/>
          <w:noProof/>
          <w:sz w:val="22"/>
          <w:szCs w:val="22"/>
          <w:lang w:val="sr-Latn-ME"/>
        </w:rPr>
        <w:t>. Isto bi se moglo odnositi i na ketamin i dekstrometorfan (vidjeti i dio 4.4). Postoji jed</w:t>
      </w:r>
      <w:r w:rsidR="00616C23" w:rsidRPr="00202D4B">
        <w:rPr>
          <w:bCs/>
          <w:noProof/>
          <w:sz w:val="22"/>
          <w:szCs w:val="22"/>
          <w:lang w:val="sr-Latn-ME"/>
        </w:rPr>
        <w:t>an</w:t>
      </w:r>
      <w:r w:rsidRPr="00202D4B">
        <w:rPr>
          <w:bCs/>
          <w:noProof/>
          <w:sz w:val="22"/>
          <w:szCs w:val="22"/>
          <w:lang w:val="sr-Latn-ME"/>
        </w:rPr>
        <w:t xml:space="preserve"> objavljen </w:t>
      </w:r>
      <w:r w:rsidR="00616C23" w:rsidRPr="00202D4B">
        <w:rPr>
          <w:bCs/>
          <w:noProof/>
          <w:sz w:val="22"/>
          <w:szCs w:val="22"/>
          <w:lang w:val="sr-Latn-ME"/>
        </w:rPr>
        <w:t xml:space="preserve">izvještaj </w:t>
      </w:r>
      <w:r w:rsidRPr="00202D4B">
        <w:rPr>
          <w:bCs/>
          <w:noProof/>
          <w:sz w:val="22"/>
          <w:szCs w:val="22"/>
          <w:lang w:val="sr-Latn-ME"/>
        </w:rPr>
        <w:t xml:space="preserve">o slučaju koji se odnosi na mogući rizik </w:t>
      </w:r>
      <w:r w:rsidR="0062623F" w:rsidRPr="00202D4B">
        <w:rPr>
          <w:bCs/>
          <w:noProof/>
          <w:sz w:val="22"/>
          <w:szCs w:val="22"/>
          <w:lang w:val="sr-Latn-ME"/>
        </w:rPr>
        <w:t>za</w:t>
      </w:r>
      <w:r w:rsidRPr="00202D4B">
        <w:rPr>
          <w:bCs/>
          <w:noProof/>
          <w:sz w:val="22"/>
          <w:szCs w:val="22"/>
          <w:lang w:val="sr-Latn-ME"/>
        </w:rPr>
        <w:t xml:space="preserve"> kombin</w:t>
      </w:r>
      <w:r w:rsidR="0062623F" w:rsidRPr="00202D4B">
        <w:rPr>
          <w:bCs/>
          <w:noProof/>
          <w:sz w:val="22"/>
          <w:szCs w:val="22"/>
          <w:lang w:val="sr-Latn-ME"/>
        </w:rPr>
        <w:t>aciju</w:t>
      </w:r>
      <w:r w:rsidRPr="00202D4B">
        <w:rPr>
          <w:bCs/>
          <w:noProof/>
          <w:sz w:val="22"/>
          <w:szCs w:val="22"/>
          <w:lang w:val="sr-Latn-ME"/>
        </w:rPr>
        <w:t xml:space="preserve"> memantina i fenitoina.</w:t>
      </w:r>
    </w:p>
    <w:p w14:paraId="6E0FE9AA" w14:textId="130A3F76" w:rsidR="00FA009A" w:rsidRPr="00202D4B" w:rsidRDefault="00FA009A" w:rsidP="00FA009A">
      <w:pPr>
        <w:pStyle w:val="ListParagraph"/>
        <w:numPr>
          <w:ilvl w:val="0"/>
          <w:numId w:val="5"/>
        </w:numPr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 xml:space="preserve">Druge aktivne supstance poput cimetidina, ranitidina, prokainamida, </w:t>
      </w:r>
      <w:r w:rsidR="0062623F" w:rsidRPr="00202D4B">
        <w:rPr>
          <w:bCs/>
          <w:noProof/>
          <w:sz w:val="22"/>
          <w:szCs w:val="22"/>
          <w:lang w:val="sr-Latn-ME"/>
        </w:rPr>
        <w:t>h</w:t>
      </w:r>
      <w:r w:rsidRPr="00202D4B">
        <w:rPr>
          <w:bCs/>
          <w:noProof/>
          <w:sz w:val="22"/>
          <w:szCs w:val="22"/>
          <w:lang w:val="sr-Latn-ME"/>
        </w:rPr>
        <w:t xml:space="preserve">inidina, </w:t>
      </w:r>
      <w:r w:rsidR="0062623F" w:rsidRPr="00202D4B">
        <w:rPr>
          <w:bCs/>
          <w:noProof/>
          <w:sz w:val="22"/>
          <w:szCs w:val="22"/>
          <w:lang w:val="sr-Latn-ME"/>
        </w:rPr>
        <w:t>h</w:t>
      </w:r>
      <w:r w:rsidRPr="00202D4B">
        <w:rPr>
          <w:bCs/>
          <w:noProof/>
          <w:sz w:val="22"/>
          <w:szCs w:val="22"/>
          <w:lang w:val="sr-Latn-ME"/>
        </w:rPr>
        <w:t>inina i nikotina, koje koriste isti kat</w:t>
      </w:r>
      <w:r w:rsidR="0062623F" w:rsidRPr="00202D4B">
        <w:rPr>
          <w:bCs/>
          <w:noProof/>
          <w:sz w:val="22"/>
          <w:szCs w:val="22"/>
          <w:lang w:val="sr-Latn-ME"/>
        </w:rPr>
        <w:t>j</w:t>
      </w:r>
      <w:r w:rsidRPr="00202D4B">
        <w:rPr>
          <w:bCs/>
          <w:noProof/>
          <w:sz w:val="22"/>
          <w:szCs w:val="22"/>
          <w:lang w:val="sr-Latn-ME"/>
        </w:rPr>
        <w:t>onski transportni sistem u bubregu kao i amantadin, mogle bi takođe stupiti u interakciju s</w:t>
      </w:r>
      <w:r w:rsidR="0062623F" w:rsidRPr="00202D4B">
        <w:rPr>
          <w:bCs/>
          <w:noProof/>
          <w:sz w:val="22"/>
          <w:szCs w:val="22"/>
          <w:lang w:val="sr-Latn-ME"/>
        </w:rPr>
        <w:t>a</w:t>
      </w:r>
      <w:r w:rsidRPr="00202D4B">
        <w:rPr>
          <w:bCs/>
          <w:noProof/>
          <w:sz w:val="22"/>
          <w:szCs w:val="22"/>
          <w:lang w:val="sr-Latn-ME"/>
        </w:rPr>
        <w:t xml:space="preserve"> memantinom, a to vodi potencijalnom riziku od povećanih nivoa</w:t>
      </w:r>
      <w:r w:rsidR="0062623F" w:rsidRPr="00202D4B">
        <w:rPr>
          <w:bCs/>
          <w:noProof/>
          <w:sz w:val="22"/>
          <w:szCs w:val="22"/>
          <w:lang w:val="sr-Latn-ME"/>
        </w:rPr>
        <w:t xml:space="preserve"> u plazmi</w:t>
      </w:r>
      <w:r w:rsidRPr="00202D4B">
        <w:rPr>
          <w:bCs/>
          <w:noProof/>
          <w:sz w:val="22"/>
          <w:szCs w:val="22"/>
          <w:lang w:val="sr-Latn-ME"/>
        </w:rPr>
        <w:t>.</w:t>
      </w:r>
    </w:p>
    <w:p w14:paraId="73840209" w14:textId="7391208A" w:rsidR="00FA009A" w:rsidRPr="00202D4B" w:rsidRDefault="00FA009A" w:rsidP="00FA009A">
      <w:pPr>
        <w:pStyle w:val="ListParagraph"/>
        <w:numPr>
          <w:ilvl w:val="0"/>
          <w:numId w:val="5"/>
        </w:numPr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>Pri istovremenoj primjeni memantina i hidro</w:t>
      </w:r>
      <w:r w:rsidR="0062623F" w:rsidRPr="00202D4B">
        <w:rPr>
          <w:bCs/>
          <w:noProof/>
          <w:sz w:val="22"/>
          <w:szCs w:val="22"/>
          <w:lang w:val="sr-Latn-ME"/>
        </w:rPr>
        <w:t>h</w:t>
      </w:r>
      <w:r w:rsidRPr="00202D4B">
        <w:rPr>
          <w:bCs/>
          <w:noProof/>
          <w:sz w:val="22"/>
          <w:szCs w:val="22"/>
          <w:lang w:val="sr-Latn-ME"/>
        </w:rPr>
        <w:t>lortiazida ili pri bilo kojoj kombinaciji s</w:t>
      </w:r>
      <w:r w:rsidR="0062623F" w:rsidRPr="00202D4B">
        <w:rPr>
          <w:bCs/>
          <w:noProof/>
          <w:sz w:val="22"/>
          <w:szCs w:val="22"/>
          <w:lang w:val="sr-Latn-ME"/>
        </w:rPr>
        <w:t>a</w:t>
      </w:r>
      <w:r w:rsidRPr="00202D4B">
        <w:rPr>
          <w:bCs/>
          <w:noProof/>
          <w:sz w:val="22"/>
          <w:szCs w:val="22"/>
          <w:lang w:val="sr-Latn-ME"/>
        </w:rPr>
        <w:t xml:space="preserve"> hidro</w:t>
      </w:r>
      <w:r w:rsidR="0062623F" w:rsidRPr="00202D4B">
        <w:rPr>
          <w:bCs/>
          <w:noProof/>
          <w:sz w:val="22"/>
          <w:szCs w:val="22"/>
          <w:lang w:val="sr-Latn-ME"/>
        </w:rPr>
        <w:t>h</w:t>
      </w:r>
      <w:r w:rsidRPr="00202D4B">
        <w:rPr>
          <w:bCs/>
          <w:noProof/>
          <w:sz w:val="22"/>
          <w:szCs w:val="22"/>
          <w:lang w:val="sr-Latn-ME"/>
        </w:rPr>
        <w:t>lortiazidom, postoji mogućnost smanjenog serumskog nivoa hidro</w:t>
      </w:r>
      <w:r w:rsidR="0062623F" w:rsidRPr="00202D4B">
        <w:rPr>
          <w:bCs/>
          <w:noProof/>
          <w:sz w:val="22"/>
          <w:szCs w:val="22"/>
          <w:lang w:val="sr-Latn-ME"/>
        </w:rPr>
        <w:t>h</w:t>
      </w:r>
      <w:r w:rsidRPr="00202D4B">
        <w:rPr>
          <w:bCs/>
          <w:noProof/>
          <w:sz w:val="22"/>
          <w:szCs w:val="22"/>
          <w:lang w:val="sr-Latn-ME"/>
        </w:rPr>
        <w:t>lortiazida.</w:t>
      </w:r>
    </w:p>
    <w:p w14:paraId="2A4F0709" w14:textId="1464CF7B" w:rsidR="00FA009A" w:rsidRPr="00202D4B" w:rsidRDefault="00FA009A" w:rsidP="00FA009A">
      <w:pPr>
        <w:pStyle w:val="ListParagraph"/>
        <w:numPr>
          <w:ilvl w:val="0"/>
          <w:numId w:val="5"/>
        </w:numPr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>Nakon stavljanja lijeka u promet, zabilježeni su izol</w:t>
      </w:r>
      <w:r w:rsidR="00BD2140" w:rsidRPr="00202D4B">
        <w:rPr>
          <w:bCs/>
          <w:noProof/>
          <w:sz w:val="22"/>
          <w:szCs w:val="22"/>
          <w:lang w:val="sr-Latn-ME"/>
        </w:rPr>
        <w:t>ov</w:t>
      </w:r>
      <w:r w:rsidRPr="00202D4B">
        <w:rPr>
          <w:bCs/>
          <w:noProof/>
          <w:sz w:val="22"/>
          <w:szCs w:val="22"/>
          <w:lang w:val="sr-Latn-ME"/>
        </w:rPr>
        <w:t>ani slučajevi povećanja internacionalnog normaliz</w:t>
      </w:r>
      <w:r w:rsidR="00941F6F" w:rsidRPr="00202D4B">
        <w:rPr>
          <w:bCs/>
          <w:noProof/>
          <w:sz w:val="22"/>
          <w:szCs w:val="22"/>
          <w:lang w:val="sr-Latn-ME"/>
        </w:rPr>
        <w:t>ov</w:t>
      </w:r>
      <w:r w:rsidRPr="00202D4B">
        <w:rPr>
          <w:bCs/>
          <w:noProof/>
          <w:sz w:val="22"/>
          <w:szCs w:val="22"/>
          <w:lang w:val="sr-Latn-ME"/>
        </w:rPr>
        <w:t xml:space="preserve">anog </w:t>
      </w:r>
      <w:r w:rsidR="00941F6F" w:rsidRPr="00202D4B">
        <w:rPr>
          <w:bCs/>
          <w:noProof/>
          <w:sz w:val="22"/>
          <w:szCs w:val="22"/>
          <w:lang w:val="sr-Latn-ME"/>
        </w:rPr>
        <w:t xml:space="preserve">odnosa </w:t>
      </w:r>
      <w:r w:rsidRPr="00202D4B">
        <w:rPr>
          <w:bCs/>
          <w:noProof/>
          <w:sz w:val="22"/>
          <w:szCs w:val="22"/>
          <w:lang w:val="sr-Latn-ME"/>
        </w:rPr>
        <w:t>(eng</w:t>
      </w:r>
      <w:r w:rsidR="00941F6F" w:rsidRPr="00202D4B">
        <w:rPr>
          <w:bCs/>
          <w:noProof/>
          <w:sz w:val="22"/>
          <w:szCs w:val="22"/>
          <w:lang w:val="sr-Latn-ME"/>
        </w:rPr>
        <w:t>l</w:t>
      </w:r>
      <w:r w:rsidRPr="00202D4B">
        <w:rPr>
          <w:bCs/>
          <w:i/>
          <w:noProof/>
          <w:sz w:val="22"/>
          <w:szCs w:val="22"/>
          <w:lang w:val="sr-Latn-ME"/>
        </w:rPr>
        <w:t>.</w:t>
      </w:r>
      <w:r w:rsidRPr="00202D4B">
        <w:rPr>
          <w:bCs/>
          <w:noProof/>
          <w:sz w:val="22"/>
          <w:szCs w:val="22"/>
          <w:lang w:val="sr-Latn-ME"/>
        </w:rPr>
        <w:t xml:space="preserve"> </w:t>
      </w:r>
      <w:r w:rsidRPr="00202D4B">
        <w:rPr>
          <w:bCs/>
          <w:i/>
          <w:noProof/>
          <w:sz w:val="22"/>
          <w:szCs w:val="22"/>
          <w:lang w:val="sr-Latn-ME"/>
        </w:rPr>
        <w:t>International Normalized Ratio</w:t>
      </w:r>
      <w:r w:rsidRPr="00202D4B">
        <w:rPr>
          <w:bCs/>
          <w:noProof/>
          <w:sz w:val="22"/>
          <w:szCs w:val="22"/>
          <w:lang w:val="sr-Latn-ME"/>
        </w:rPr>
        <w:t xml:space="preserve"> </w:t>
      </w:r>
      <w:r w:rsidR="00941F6F" w:rsidRPr="00202D4B">
        <w:rPr>
          <w:bCs/>
          <w:noProof/>
          <w:sz w:val="22"/>
          <w:szCs w:val="22"/>
          <w:lang w:val="sr-Latn-ME"/>
        </w:rPr>
        <w:t>–</w:t>
      </w:r>
      <w:r w:rsidRPr="00202D4B">
        <w:rPr>
          <w:bCs/>
          <w:noProof/>
          <w:sz w:val="22"/>
          <w:szCs w:val="22"/>
          <w:lang w:val="sr-Latn-ME"/>
        </w:rPr>
        <w:t xml:space="preserve"> INR) kod pacijenata koji su istovremeno liječeni varfarinom. Iako uzročna povezanost nije utvrđena, </w:t>
      </w:r>
      <w:r w:rsidR="00FF63BD" w:rsidRPr="00202D4B">
        <w:rPr>
          <w:bCs/>
          <w:noProof/>
          <w:sz w:val="22"/>
          <w:szCs w:val="22"/>
          <w:lang w:val="sr-Latn-ME"/>
        </w:rPr>
        <w:t xml:space="preserve">savjetuje se pažljivo praćenje </w:t>
      </w:r>
      <w:r w:rsidRPr="00202D4B">
        <w:rPr>
          <w:bCs/>
          <w:noProof/>
          <w:sz w:val="22"/>
          <w:szCs w:val="22"/>
          <w:lang w:val="sr-Latn-ME"/>
        </w:rPr>
        <w:t>protrombinskog vremena ili INR-a kod pacijenata koji se istovremeno liječe oralnim antikoagulansima.</w:t>
      </w:r>
    </w:p>
    <w:p w14:paraId="34CDB02C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51EC61E6" w14:textId="0B78AA38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 xml:space="preserve">U farmakokinetičkim studijama primjene pojedinačne doze kod mladih zdravih osoba nije uočena relevantna </w:t>
      </w:r>
      <w:r w:rsidR="00941F6F" w:rsidRPr="00202D4B">
        <w:rPr>
          <w:bCs/>
          <w:noProof/>
          <w:sz w:val="22"/>
          <w:szCs w:val="22"/>
          <w:lang w:val="sr-Latn-ME"/>
        </w:rPr>
        <w:t xml:space="preserve">interakcija </w:t>
      </w:r>
      <w:r w:rsidRPr="00202D4B">
        <w:rPr>
          <w:bCs/>
          <w:noProof/>
          <w:sz w:val="22"/>
          <w:szCs w:val="22"/>
          <w:lang w:val="sr-Latn-ME"/>
        </w:rPr>
        <w:t>aktivna supstanca</w:t>
      </w:r>
      <w:r w:rsidR="00941F6F" w:rsidRPr="00202D4B">
        <w:rPr>
          <w:bCs/>
          <w:noProof/>
          <w:sz w:val="22"/>
          <w:szCs w:val="22"/>
          <w:lang w:val="sr-Latn-ME"/>
        </w:rPr>
        <w:t xml:space="preserve"> – </w:t>
      </w:r>
      <w:r w:rsidRPr="00202D4B">
        <w:rPr>
          <w:bCs/>
          <w:noProof/>
          <w:sz w:val="22"/>
          <w:szCs w:val="22"/>
          <w:lang w:val="sr-Latn-ME"/>
        </w:rPr>
        <w:t>aktivna supstanca između memantina i gliburida/metformina ili donepezila.</w:t>
      </w:r>
    </w:p>
    <w:p w14:paraId="74748D31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36598C6F" w14:textId="6D9A9123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>U jednoj kliničkoj studiji sa mladim zdravim osobama nije uočen relevantan efek</w:t>
      </w:r>
      <w:r w:rsidR="00941F6F" w:rsidRPr="00202D4B">
        <w:rPr>
          <w:bCs/>
          <w:noProof/>
          <w:sz w:val="22"/>
          <w:szCs w:val="22"/>
          <w:lang w:val="sr-Latn-ME"/>
        </w:rPr>
        <w:t>a</w:t>
      </w:r>
      <w:r w:rsidRPr="00202D4B">
        <w:rPr>
          <w:bCs/>
          <w:noProof/>
          <w:sz w:val="22"/>
          <w:szCs w:val="22"/>
          <w:lang w:val="sr-Latn-ME"/>
        </w:rPr>
        <w:t>t memantina na farmakokinetiku galantamina.</w:t>
      </w:r>
    </w:p>
    <w:p w14:paraId="246D4D13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1032A813" w14:textId="74B58AD1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iCs/>
          <w:noProof/>
          <w:sz w:val="22"/>
          <w:szCs w:val="22"/>
          <w:lang w:val="sr-Latn-ME"/>
        </w:rPr>
        <w:t xml:space="preserve">U </w:t>
      </w:r>
      <w:r w:rsidRPr="00202D4B">
        <w:rPr>
          <w:bCs/>
          <w:i/>
          <w:iCs/>
          <w:noProof/>
          <w:sz w:val="22"/>
          <w:szCs w:val="22"/>
          <w:lang w:val="sr-Latn-ME"/>
        </w:rPr>
        <w:t>in vitro</w:t>
      </w:r>
      <w:r w:rsidRPr="00202D4B">
        <w:rPr>
          <w:bCs/>
          <w:noProof/>
          <w:sz w:val="22"/>
          <w:szCs w:val="22"/>
          <w:lang w:val="sr-Latn-ME"/>
        </w:rPr>
        <w:t xml:space="preserve"> </w:t>
      </w:r>
      <w:r w:rsidR="00941F6F" w:rsidRPr="00202D4B">
        <w:rPr>
          <w:bCs/>
          <w:noProof/>
          <w:sz w:val="22"/>
          <w:szCs w:val="22"/>
          <w:lang w:val="sr-Latn-ME"/>
        </w:rPr>
        <w:t>uslovima</w:t>
      </w:r>
      <w:r w:rsidRPr="00202D4B">
        <w:rPr>
          <w:bCs/>
          <w:noProof/>
          <w:sz w:val="22"/>
          <w:szCs w:val="22"/>
          <w:lang w:val="sr-Latn-ME"/>
        </w:rPr>
        <w:t xml:space="preserve"> memantin nije inhibirao enzime CYP 1A2, 2A6, 2C9, 2D6, 2E1</w:t>
      </w:r>
      <w:r w:rsidR="00941F6F" w:rsidRPr="00202D4B">
        <w:rPr>
          <w:bCs/>
          <w:noProof/>
          <w:sz w:val="22"/>
          <w:szCs w:val="22"/>
          <w:lang w:val="sr-Latn-ME"/>
        </w:rPr>
        <w:t>,</w:t>
      </w:r>
      <w:r w:rsidRPr="00202D4B">
        <w:rPr>
          <w:bCs/>
          <w:noProof/>
          <w:sz w:val="22"/>
          <w:szCs w:val="22"/>
          <w:lang w:val="sr-Latn-ME"/>
        </w:rPr>
        <w:t xml:space="preserve"> 3A, monooksigenazu </w:t>
      </w:r>
      <w:r w:rsidR="00941F6F" w:rsidRPr="00202D4B">
        <w:rPr>
          <w:bCs/>
          <w:noProof/>
          <w:sz w:val="22"/>
          <w:szCs w:val="22"/>
          <w:lang w:val="sr-Latn-ME"/>
        </w:rPr>
        <w:t>koja sadrži</w:t>
      </w:r>
      <w:r w:rsidRPr="00202D4B">
        <w:rPr>
          <w:bCs/>
          <w:noProof/>
          <w:sz w:val="22"/>
          <w:szCs w:val="22"/>
          <w:lang w:val="sr-Latn-ME"/>
        </w:rPr>
        <w:t xml:space="preserve"> flavin, epoksid hidrolazu </w:t>
      </w:r>
      <w:r w:rsidR="00941F6F" w:rsidRPr="00202D4B">
        <w:rPr>
          <w:bCs/>
          <w:noProof/>
          <w:sz w:val="22"/>
          <w:szCs w:val="22"/>
          <w:lang w:val="sr-Latn-ME"/>
        </w:rPr>
        <w:t xml:space="preserve">niti </w:t>
      </w:r>
      <w:r w:rsidRPr="00202D4B">
        <w:rPr>
          <w:bCs/>
          <w:noProof/>
          <w:sz w:val="22"/>
          <w:szCs w:val="22"/>
          <w:lang w:val="sr-Latn-ME"/>
        </w:rPr>
        <w:t>sulfaciju.</w:t>
      </w:r>
    </w:p>
    <w:p w14:paraId="02669009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33B06669" w14:textId="77777777" w:rsidR="00FA009A" w:rsidRPr="00202D4B" w:rsidRDefault="00FA009A" w:rsidP="00FA009A">
      <w:pPr>
        <w:pStyle w:val="ListParagraph"/>
        <w:numPr>
          <w:ilvl w:val="1"/>
          <w:numId w:val="4"/>
        </w:numPr>
        <w:tabs>
          <w:tab w:val="left" w:pos="540"/>
          <w:tab w:val="left" w:pos="569"/>
        </w:tabs>
        <w:jc w:val="both"/>
        <w:rPr>
          <w:b/>
          <w:noProof/>
          <w:sz w:val="22"/>
          <w:szCs w:val="22"/>
          <w:lang w:val="sr-Latn-ME"/>
        </w:rPr>
      </w:pPr>
      <w:r w:rsidRPr="00202D4B">
        <w:rPr>
          <w:b/>
          <w:noProof/>
          <w:sz w:val="22"/>
          <w:szCs w:val="22"/>
          <w:lang w:val="sr-Latn-ME"/>
        </w:rPr>
        <w:t>Plodnost, trudnoća i dojenje</w:t>
      </w:r>
    </w:p>
    <w:p w14:paraId="1155AC62" w14:textId="77777777" w:rsidR="00FA009A" w:rsidRPr="00202D4B" w:rsidRDefault="00FA009A" w:rsidP="00FA009A">
      <w:pPr>
        <w:autoSpaceDE w:val="0"/>
        <w:autoSpaceDN w:val="0"/>
        <w:adjustRightInd w:val="0"/>
        <w:jc w:val="both"/>
        <w:rPr>
          <w:rFonts w:eastAsia="Calibri"/>
          <w:i/>
          <w:noProof/>
          <w:sz w:val="22"/>
          <w:szCs w:val="22"/>
          <w:lang w:val="sr-Latn-ME"/>
        </w:rPr>
      </w:pPr>
    </w:p>
    <w:p w14:paraId="1EC2D4BD" w14:textId="77777777" w:rsidR="00FA009A" w:rsidRPr="00202D4B" w:rsidRDefault="00FA009A" w:rsidP="00FA009A">
      <w:pPr>
        <w:autoSpaceDE w:val="0"/>
        <w:autoSpaceDN w:val="0"/>
        <w:adjustRightInd w:val="0"/>
        <w:jc w:val="both"/>
        <w:rPr>
          <w:rFonts w:eastAsia="Calibri"/>
          <w:noProof/>
          <w:sz w:val="22"/>
          <w:szCs w:val="22"/>
          <w:u w:val="single"/>
          <w:lang w:val="sr-Latn-ME"/>
        </w:rPr>
      </w:pPr>
      <w:r w:rsidRPr="00202D4B">
        <w:rPr>
          <w:rFonts w:eastAsia="Calibri"/>
          <w:noProof/>
          <w:sz w:val="22"/>
          <w:szCs w:val="22"/>
          <w:u w:val="single"/>
          <w:lang w:val="sr-Latn-ME"/>
        </w:rPr>
        <w:t>Plodnost</w:t>
      </w:r>
    </w:p>
    <w:p w14:paraId="3D7E62AA" w14:textId="26943DD3" w:rsidR="00FA009A" w:rsidRPr="00202D4B" w:rsidRDefault="00FA009A" w:rsidP="00FA009A">
      <w:pPr>
        <w:autoSpaceDE w:val="0"/>
        <w:autoSpaceDN w:val="0"/>
        <w:adjustRightInd w:val="0"/>
        <w:jc w:val="both"/>
        <w:rPr>
          <w:rFonts w:eastAsia="Calibri"/>
          <w:noProof/>
          <w:sz w:val="22"/>
          <w:szCs w:val="22"/>
          <w:lang w:val="sr-Latn-ME"/>
        </w:rPr>
      </w:pPr>
      <w:r w:rsidRPr="00202D4B">
        <w:rPr>
          <w:rFonts w:eastAsia="Calibri"/>
          <w:noProof/>
          <w:sz w:val="22"/>
          <w:szCs w:val="22"/>
          <w:lang w:val="sr-Latn-ME"/>
        </w:rPr>
        <w:t>Ni</w:t>
      </w:r>
      <w:r w:rsidR="00942653" w:rsidRPr="00202D4B">
        <w:rPr>
          <w:rFonts w:eastAsia="Calibri"/>
          <w:noProof/>
          <w:sz w:val="22"/>
          <w:szCs w:val="22"/>
          <w:lang w:val="sr-Latn-ME"/>
        </w:rPr>
        <w:t>je</w:t>
      </w:r>
      <w:r w:rsidRPr="00202D4B">
        <w:rPr>
          <w:rFonts w:eastAsia="Calibri"/>
          <w:noProof/>
          <w:sz w:val="22"/>
          <w:szCs w:val="22"/>
          <w:lang w:val="sr-Latn-ME"/>
        </w:rPr>
        <w:t>su zabilježena neželjena djelovanja memantina tokom nekliničkih ispitivanja muške i ženske plodnosti.</w:t>
      </w:r>
    </w:p>
    <w:p w14:paraId="349BFB03" w14:textId="77777777" w:rsidR="00FA009A" w:rsidRPr="00202D4B" w:rsidRDefault="00FA009A" w:rsidP="00FA009A">
      <w:pPr>
        <w:autoSpaceDE w:val="0"/>
        <w:autoSpaceDN w:val="0"/>
        <w:adjustRightInd w:val="0"/>
        <w:jc w:val="both"/>
        <w:rPr>
          <w:rFonts w:eastAsia="Calibri"/>
          <w:i/>
          <w:iCs/>
          <w:noProof/>
          <w:sz w:val="22"/>
          <w:szCs w:val="22"/>
          <w:lang w:val="sr-Latn-ME"/>
        </w:rPr>
      </w:pPr>
    </w:p>
    <w:p w14:paraId="5EF9611A" w14:textId="77777777" w:rsidR="00FA009A" w:rsidRPr="00202D4B" w:rsidRDefault="00FA009A" w:rsidP="00FA009A">
      <w:pPr>
        <w:autoSpaceDE w:val="0"/>
        <w:autoSpaceDN w:val="0"/>
        <w:adjustRightInd w:val="0"/>
        <w:jc w:val="both"/>
        <w:rPr>
          <w:rFonts w:eastAsia="Calibri"/>
          <w:iCs/>
          <w:noProof/>
          <w:sz w:val="22"/>
          <w:szCs w:val="22"/>
          <w:u w:val="single"/>
          <w:lang w:val="sr-Latn-ME"/>
        </w:rPr>
      </w:pPr>
      <w:r w:rsidRPr="00202D4B">
        <w:rPr>
          <w:rFonts w:eastAsia="Calibri"/>
          <w:iCs/>
          <w:noProof/>
          <w:sz w:val="22"/>
          <w:szCs w:val="22"/>
          <w:u w:val="single"/>
          <w:lang w:val="sr-Latn-ME"/>
        </w:rPr>
        <w:t>Trudnoća</w:t>
      </w:r>
    </w:p>
    <w:p w14:paraId="7E4F7BE1" w14:textId="2D1C2CBF" w:rsidR="00FA009A" w:rsidRPr="00202D4B" w:rsidRDefault="00FA009A" w:rsidP="00FA009A">
      <w:pPr>
        <w:autoSpaceDE w:val="0"/>
        <w:autoSpaceDN w:val="0"/>
        <w:adjustRightInd w:val="0"/>
        <w:jc w:val="both"/>
        <w:rPr>
          <w:rFonts w:eastAsia="Calibri"/>
          <w:noProof/>
          <w:sz w:val="22"/>
          <w:szCs w:val="22"/>
          <w:lang w:val="sr-Latn-ME"/>
        </w:rPr>
      </w:pPr>
      <w:r w:rsidRPr="00202D4B">
        <w:rPr>
          <w:rFonts w:eastAsia="Calibri"/>
          <w:noProof/>
          <w:sz w:val="22"/>
          <w:szCs w:val="22"/>
          <w:lang w:val="sr-Latn-ME"/>
        </w:rPr>
        <w:t>Za memantin nema kliničkih podataka o izloženosti lijeku</w:t>
      </w:r>
      <w:r w:rsidR="00D6423C" w:rsidRPr="00202D4B">
        <w:rPr>
          <w:rFonts w:eastAsia="Calibri"/>
          <w:noProof/>
          <w:sz w:val="22"/>
          <w:szCs w:val="22"/>
          <w:lang w:val="sr-Latn-ME"/>
        </w:rPr>
        <w:t xml:space="preserve"> u trudnoći</w:t>
      </w:r>
      <w:r w:rsidRPr="00202D4B">
        <w:rPr>
          <w:rFonts w:eastAsia="Calibri"/>
          <w:noProof/>
          <w:sz w:val="22"/>
          <w:szCs w:val="22"/>
          <w:lang w:val="sr-Latn-ME"/>
        </w:rPr>
        <w:t xml:space="preserve">. </w:t>
      </w:r>
      <w:r w:rsidR="00527320" w:rsidRPr="00202D4B">
        <w:rPr>
          <w:rFonts w:eastAsia="Calibri"/>
          <w:noProof/>
          <w:sz w:val="22"/>
          <w:szCs w:val="22"/>
          <w:lang w:val="sr-Latn-ME"/>
        </w:rPr>
        <w:t>S</w:t>
      </w:r>
      <w:r w:rsidR="00FF63BD" w:rsidRPr="00202D4B">
        <w:rPr>
          <w:rFonts w:eastAsia="Calibri"/>
          <w:noProof/>
          <w:sz w:val="22"/>
          <w:szCs w:val="22"/>
          <w:lang w:val="sr-Latn-ME"/>
        </w:rPr>
        <w:t xml:space="preserve">tudije </w:t>
      </w:r>
      <w:r w:rsidR="00527320" w:rsidRPr="00202D4B">
        <w:rPr>
          <w:rFonts w:eastAsia="Calibri"/>
          <w:noProof/>
          <w:sz w:val="22"/>
          <w:szCs w:val="22"/>
          <w:lang w:val="sr-Latn-ME"/>
        </w:rPr>
        <w:t xml:space="preserve">na životinjama </w:t>
      </w:r>
      <w:r w:rsidR="00D6423C" w:rsidRPr="00202D4B">
        <w:rPr>
          <w:rFonts w:eastAsia="Calibri"/>
          <w:noProof/>
          <w:sz w:val="22"/>
          <w:szCs w:val="22"/>
          <w:lang w:val="sr-Latn-ME"/>
        </w:rPr>
        <w:t xml:space="preserve">ukazuju na </w:t>
      </w:r>
      <w:r w:rsidR="00FF63BD" w:rsidRPr="00202D4B">
        <w:rPr>
          <w:rFonts w:eastAsia="Calibri"/>
          <w:noProof/>
          <w:sz w:val="22"/>
          <w:szCs w:val="22"/>
          <w:lang w:val="sr-Latn-ME"/>
        </w:rPr>
        <w:t>potencijal za</w:t>
      </w:r>
      <w:r w:rsidRPr="00202D4B">
        <w:rPr>
          <w:rFonts w:eastAsia="Calibri"/>
          <w:noProof/>
          <w:sz w:val="22"/>
          <w:szCs w:val="22"/>
          <w:lang w:val="sr-Latn-ME"/>
        </w:rPr>
        <w:t xml:space="preserve"> smanjenje intrauterinog rasta pri nivoima izloženosti identičnim ili neznatno višim </w:t>
      </w:r>
      <w:r w:rsidR="00D6423C" w:rsidRPr="00202D4B">
        <w:rPr>
          <w:rFonts w:eastAsia="Calibri"/>
          <w:noProof/>
          <w:sz w:val="22"/>
          <w:szCs w:val="22"/>
          <w:lang w:val="sr-Latn-ME"/>
        </w:rPr>
        <w:t>u odnosu na</w:t>
      </w:r>
      <w:r w:rsidRPr="00202D4B">
        <w:rPr>
          <w:rFonts w:eastAsia="Calibri"/>
          <w:noProof/>
          <w:sz w:val="22"/>
          <w:szCs w:val="22"/>
          <w:lang w:val="sr-Latn-ME"/>
        </w:rPr>
        <w:t xml:space="preserve"> nivo izloženosti kod ljudi (vidjeti dio 5.3). Potencijalni rizik za ljude je nepoznat. Memantin ne bi treba</w:t>
      </w:r>
      <w:r w:rsidR="00527320" w:rsidRPr="00202D4B">
        <w:rPr>
          <w:rFonts w:eastAsia="Calibri"/>
          <w:noProof/>
          <w:sz w:val="22"/>
          <w:szCs w:val="22"/>
          <w:lang w:val="sr-Latn-ME"/>
        </w:rPr>
        <w:t>l</w:t>
      </w:r>
      <w:r w:rsidRPr="00202D4B">
        <w:rPr>
          <w:rFonts w:eastAsia="Calibri"/>
          <w:noProof/>
          <w:sz w:val="22"/>
          <w:szCs w:val="22"/>
          <w:lang w:val="sr-Latn-ME"/>
        </w:rPr>
        <w:t>o primjenjivati tokom trudnoće ukoliko to nije izričito neophodno.</w:t>
      </w:r>
    </w:p>
    <w:p w14:paraId="4A506EA8" w14:textId="77777777" w:rsidR="00FA009A" w:rsidRPr="00202D4B" w:rsidRDefault="00FA009A" w:rsidP="00FA009A">
      <w:pPr>
        <w:autoSpaceDE w:val="0"/>
        <w:autoSpaceDN w:val="0"/>
        <w:adjustRightInd w:val="0"/>
        <w:jc w:val="both"/>
        <w:rPr>
          <w:rFonts w:eastAsia="Calibri"/>
          <w:i/>
          <w:iCs/>
          <w:noProof/>
          <w:sz w:val="22"/>
          <w:szCs w:val="22"/>
          <w:lang w:val="sr-Latn-ME"/>
        </w:rPr>
      </w:pPr>
    </w:p>
    <w:p w14:paraId="0AB2100E" w14:textId="77777777" w:rsidR="00FA009A" w:rsidRPr="00202D4B" w:rsidRDefault="00FA009A" w:rsidP="00FA009A">
      <w:pPr>
        <w:autoSpaceDE w:val="0"/>
        <w:autoSpaceDN w:val="0"/>
        <w:adjustRightInd w:val="0"/>
        <w:jc w:val="both"/>
        <w:rPr>
          <w:rFonts w:eastAsia="Calibri"/>
          <w:iCs/>
          <w:noProof/>
          <w:sz w:val="22"/>
          <w:szCs w:val="22"/>
          <w:u w:val="single"/>
          <w:lang w:val="sr-Latn-ME"/>
        </w:rPr>
      </w:pPr>
      <w:r w:rsidRPr="00202D4B">
        <w:rPr>
          <w:rFonts w:eastAsia="Calibri"/>
          <w:iCs/>
          <w:noProof/>
          <w:sz w:val="22"/>
          <w:szCs w:val="22"/>
          <w:u w:val="single"/>
          <w:lang w:val="sr-Latn-ME"/>
        </w:rPr>
        <w:lastRenderedPageBreak/>
        <w:t>Dojenje</w:t>
      </w:r>
    </w:p>
    <w:p w14:paraId="6F0F9EF9" w14:textId="7D5F6D4F" w:rsidR="00FA009A" w:rsidRPr="00202D4B" w:rsidRDefault="00FA009A" w:rsidP="00FA009A">
      <w:pPr>
        <w:autoSpaceDE w:val="0"/>
        <w:autoSpaceDN w:val="0"/>
        <w:adjustRightInd w:val="0"/>
        <w:jc w:val="both"/>
        <w:rPr>
          <w:rFonts w:eastAsia="Calibri"/>
          <w:noProof/>
          <w:sz w:val="22"/>
          <w:szCs w:val="22"/>
          <w:lang w:val="sr-Latn-ME"/>
        </w:rPr>
      </w:pPr>
      <w:r w:rsidRPr="00202D4B">
        <w:rPr>
          <w:rFonts w:eastAsia="Calibri"/>
          <w:noProof/>
          <w:sz w:val="22"/>
          <w:szCs w:val="22"/>
          <w:lang w:val="sr-Latn-ME"/>
        </w:rPr>
        <w:t xml:space="preserve">Nije poznato </w:t>
      </w:r>
      <w:r w:rsidR="00527320" w:rsidRPr="00202D4B">
        <w:rPr>
          <w:rFonts w:eastAsia="Calibri"/>
          <w:noProof/>
          <w:sz w:val="22"/>
          <w:szCs w:val="22"/>
          <w:lang w:val="sr-Latn-ME"/>
        </w:rPr>
        <w:t xml:space="preserve">da li se memantin </w:t>
      </w:r>
      <w:r w:rsidRPr="00202D4B">
        <w:rPr>
          <w:rFonts w:eastAsia="Calibri"/>
          <w:noProof/>
          <w:sz w:val="22"/>
          <w:szCs w:val="22"/>
          <w:lang w:val="sr-Latn-ME"/>
        </w:rPr>
        <w:t>izlučuje u humano majčino mlijeko</w:t>
      </w:r>
      <w:r w:rsidR="00527320" w:rsidRPr="00202D4B">
        <w:rPr>
          <w:rFonts w:eastAsia="Calibri"/>
          <w:noProof/>
          <w:sz w:val="22"/>
          <w:szCs w:val="22"/>
          <w:lang w:val="sr-Latn-ME"/>
        </w:rPr>
        <w:t>;</w:t>
      </w:r>
      <w:r w:rsidRPr="00202D4B">
        <w:rPr>
          <w:rFonts w:eastAsia="Calibri"/>
          <w:noProof/>
          <w:sz w:val="22"/>
          <w:szCs w:val="22"/>
          <w:lang w:val="sr-Latn-ME"/>
        </w:rPr>
        <w:t xml:space="preserve"> međutim</w:t>
      </w:r>
      <w:r w:rsidR="00527320" w:rsidRPr="00202D4B">
        <w:rPr>
          <w:rFonts w:eastAsia="Calibri"/>
          <w:noProof/>
          <w:sz w:val="22"/>
          <w:szCs w:val="22"/>
          <w:lang w:val="sr-Latn-ME"/>
        </w:rPr>
        <w:t>,</w:t>
      </w:r>
      <w:r w:rsidRPr="00202D4B">
        <w:rPr>
          <w:rFonts w:eastAsia="Calibri"/>
          <w:noProof/>
          <w:sz w:val="22"/>
          <w:szCs w:val="22"/>
          <w:lang w:val="sr-Latn-ME"/>
        </w:rPr>
        <w:t xml:space="preserve"> kad</w:t>
      </w:r>
      <w:r w:rsidR="00527320" w:rsidRPr="00202D4B">
        <w:rPr>
          <w:rFonts w:eastAsia="Calibri"/>
          <w:noProof/>
          <w:sz w:val="22"/>
          <w:szCs w:val="22"/>
          <w:lang w:val="sr-Latn-ME"/>
        </w:rPr>
        <w:t>a</w:t>
      </w:r>
      <w:r w:rsidRPr="00202D4B">
        <w:rPr>
          <w:rFonts w:eastAsia="Calibri"/>
          <w:noProof/>
          <w:sz w:val="22"/>
          <w:szCs w:val="22"/>
          <w:lang w:val="sr-Latn-ME"/>
        </w:rPr>
        <w:t xml:space="preserve"> se uzme u obzir njegova lipofilnost, </w:t>
      </w:r>
      <w:r w:rsidR="00527320" w:rsidRPr="00202D4B">
        <w:rPr>
          <w:rFonts w:eastAsia="Calibri"/>
          <w:noProof/>
          <w:sz w:val="22"/>
          <w:szCs w:val="22"/>
          <w:lang w:val="sr-Latn-ME"/>
        </w:rPr>
        <w:t xml:space="preserve">do </w:t>
      </w:r>
      <w:r w:rsidRPr="00202D4B">
        <w:rPr>
          <w:rFonts w:eastAsia="Calibri"/>
          <w:noProof/>
          <w:sz w:val="22"/>
          <w:szCs w:val="22"/>
          <w:lang w:val="sr-Latn-ME"/>
        </w:rPr>
        <w:t>to</w:t>
      </w:r>
      <w:r w:rsidR="00527320" w:rsidRPr="00202D4B">
        <w:rPr>
          <w:rFonts w:eastAsia="Calibri"/>
          <w:noProof/>
          <w:sz w:val="22"/>
          <w:szCs w:val="22"/>
          <w:lang w:val="sr-Latn-ME"/>
        </w:rPr>
        <w:t>ga</w:t>
      </w:r>
      <w:r w:rsidRPr="00202D4B">
        <w:rPr>
          <w:rFonts w:eastAsia="Calibri"/>
          <w:noProof/>
          <w:sz w:val="22"/>
          <w:szCs w:val="22"/>
          <w:lang w:val="sr-Latn-ME"/>
        </w:rPr>
        <w:t xml:space="preserve"> vjerovatno </w:t>
      </w:r>
      <w:r w:rsidR="00527320" w:rsidRPr="00202D4B">
        <w:rPr>
          <w:rFonts w:eastAsia="Calibri"/>
          <w:noProof/>
          <w:sz w:val="22"/>
          <w:szCs w:val="22"/>
          <w:lang w:val="sr-Latn-ME"/>
        </w:rPr>
        <w:t>dolazi</w:t>
      </w:r>
      <w:r w:rsidRPr="00202D4B">
        <w:rPr>
          <w:rFonts w:eastAsia="Calibri"/>
          <w:noProof/>
          <w:sz w:val="22"/>
          <w:szCs w:val="22"/>
          <w:lang w:val="sr-Latn-ME"/>
        </w:rPr>
        <w:t xml:space="preserve">. Žene koje primjenjuju memantin ne </w:t>
      </w:r>
      <w:r w:rsidR="00527320" w:rsidRPr="00202D4B">
        <w:rPr>
          <w:rFonts w:eastAsia="Calibri"/>
          <w:noProof/>
          <w:sz w:val="22"/>
          <w:szCs w:val="22"/>
          <w:lang w:val="sr-Latn-ME"/>
        </w:rPr>
        <w:t>smiju da</w:t>
      </w:r>
      <w:r w:rsidRPr="00202D4B">
        <w:rPr>
          <w:rFonts w:eastAsia="Calibri"/>
          <w:noProof/>
          <w:sz w:val="22"/>
          <w:szCs w:val="22"/>
          <w:lang w:val="sr-Latn-ME"/>
        </w:rPr>
        <w:t xml:space="preserve"> doj</w:t>
      </w:r>
      <w:r w:rsidR="00527320" w:rsidRPr="00202D4B">
        <w:rPr>
          <w:rFonts w:eastAsia="Calibri"/>
          <w:noProof/>
          <w:sz w:val="22"/>
          <w:szCs w:val="22"/>
          <w:lang w:val="sr-Latn-ME"/>
        </w:rPr>
        <w:t>e</w:t>
      </w:r>
      <w:r w:rsidRPr="00202D4B">
        <w:rPr>
          <w:rFonts w:eastAsia="Calibri"/>
          <w:noProof/>
          <w:sz w:val="22"/>
          <w:szCs w:val="22"/>
          <w:lang w:val="sr-Latn-ME"/>
        </w:rPr>
        <w:t>.</w:t>
      </w:r>
    </w:p>
    <w:p w14:paraId="455297F0" w14:textId="77777777" w:rsidR="00FA009A" w:rsidRPr="00202D4B" w:rsidRDefault="00FA009A" w:rsidP="00FA009A">
      <w:pPr>
        <w:autoSpaceDE w:val="0"/>
        <w:autoSpaceDN w:val="0"/>
        <w:adjustRightInd w:val="0"/>
        <w:jc w:val="both"/>
        <w:rPr>
          <w:rFonts w:eastAsia="Calibri"/>
          <w:noProof/>
          <w:sz w:val="22"/>
          <w:szCs w:val="22"/>
          <w:lang w:val="sr-Latn-ME"/>
        </w:rPr>
      </w:pPr>
    </w:p>
    <w:p w14:paraId="0C9BB82B" w14:textId="77777777" w:rsidR="00FA009A" w:rsidRPr="00202D4B" w:rsidRDefault="00FA009A" w:rsidP="00FA009A">
      <w:pPr>
        <w:pStyle w:val="ListParagraph"/>
        <w:numPr>
          <w:ilvl w:val="1"/>
          <w:numId w:val="4"/>
        </w:num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202D4B">
        <w:rPr>
          <w:b/>
          <w:bCs/>
          <w:noProof/>
          <w:sz w:val="22"/>
          <w:szCs w:val="22"/>
          <w:lang w:val="sr-Latn-ME"/>
        </w:rPr>
        <w:t>Uticaj na sposobnost upravljanja vozilima i rukovanje mašinama</w:t>
      </w:r>
    </w:p>
    <w:p w14:paraId="4CF50543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6ED7CBA8" w14:textId="11B63396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>Umjerena do teška Alzheimer</w:t>
      </w:r>
      <w:r w:rsidR="00527320" w:rsidRPr="00202D4B">
        <w:rPr>
          <w:bCs/>
          <w:noProof/>
          <w:sz w:val="22"/>
          <w:szCs w:val="22"/>
          <w:lang w:val="sr-Latn-ME"/>
        </w:rPr>
        <w:t>-</w:t>
      </w:r>
      <w:r w:rsidRPr="00202D4B">
        <w:rPr>
          <w:bCs/>
          <w:noProof/>
          <w:sz w:val="22"/>
          <w:szCs w:val="22"/>
          <w:lang w:val="sr-Latn-ME"/>
        </w:rPr>
        <w:t xml:space="preserve">ova bolest obično uzrokuje oštećenje </w:t>
      </w:r>
      <w:r w:rsidR="00527320" w:rsidRPr="00202D4B">
        <w:rPr>
          <w:bCs/>
          <w:noProof/>
          <w:sz w:val="22"/>
          <w:szCs w:val="22"/>
          <w:lang w:val="sr-Latn-ME"/>
        </w:rPr>
        <w:t xml:space="preserve">sposobnosti </w:t>
      </w:r>
      <w:r w:rsidRPr="00202D4B">
        <w:rPr>
          <w:bCs/>
          <w:noProof/>
          <w:sz w:val="22"/>
          <w:szCs w:val="22"/>
          <w:lang w:val="sr-Latn-ME"/>
        </w:rPr>
        <w:t>upravljanj</w:t>
      </w:r>
      <w:r w:rsidR="00527320" w:rsidRPr="00202D4B">
        <w:rPr>
          <w:bCs/>
          <w:noProof/>
          <w:sz w:val="22"/>
          <w:szCs w:val="22"/>
          <w:lang w:val="sr-Latn-ME"/>
        </w:rPr>
        <w:t>a</w:t>
      </w:r>
      <w:r w:rsidRPr="00202D4B">
        <w:rPr>
          <w:bCs/>
          <w:noProof/>
          <w:sz w:val="22"/>
          <w:szCs w:val="22"/>
          <w:lang w:val="sr-Latn-ME"/>
        </w:rPr>
        <w:t xml:space="preserve"> vozilima i kompromit</w:t>
      </w:r>
      <w:r w:rsidR="00527320" w:rsidRPr="00202D4B">
        <w:rPr>
          <w:bCs/>
          <w:noProof/>
          <w:sz w:val="22"/>
          <w:szCs w:val="22"/>
          <w:lang w:val="sr-Latn-ME"/>
        </w:rPr>
        <w:t>uje</w:t>
      </w:r>
      <w:r w:rsidRPr="00202D4B">
        <w:rPr>
          <w:bCs/>
          <w:noProof/>
          <w:sz w:val="22"/>
          <w:szCs w:val="22"/>
          <w:lang w:val="sr-Latn-ME"/>
        </w:rPr>
        <w:t xml:space="preserve"> sposobnost rada na mašinama. Osim toga, sam memantin ispoljava blagi do umjereni uticaj na sposobnost upravljanja vozilima i rada na mašinama, zbog čega ambulantne pacijente treba upozoriti da budu posebno oprezni.</w:t>
      </w:r>
    </w:p>
    <w:p w14:paraId="67ACD095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6BCADB56" w14:textId="77777777" w:rsidR="00FA009A" w:rsidRPr="00202D4B" w:rsidRDefault="00FA009A" w:rsidP="00FA009A">
      <w:pPr>
        <w:pStyle w:val="ListParagraph"/>
        <w:numPr>
          <w:ilvl w:val="1"/>
          <w:numId w:val="4"/>
        </w:num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202D4B">
        <w:rPr>
          <w:b/>
          <w:bCs/>
          <w:noProof/>
          <w:sz w:val="22"/>
          <w:szCs w:val="22"/>
          <w:lang w:val="sr-Latn-ME"/>
        </w:rPr>
        <w:t>Neželjena dejstva</w:t>
      </w:r>
    </w:p>
    <w:p w14:paraId="604D7211" w14:textId="77777777" w:rsidR="00FA009A" w:rsidRPr="00202D4B" w:rsidRDefault="00FA009A" w:rsidP="00FA009A">
      <w:pPr>
        <w:autoSpaceDE w:val="0"/>
        <w:autoSpaceDN w:val="0"/>
        <w:adjustRightInd w:val="0"/>
        <w:jc w:val="both"/>
        <w:rPr>
          <w:rFonts w:eastAsia="Calibri"/>
          <w:noProof/>
          <w:sz w:val="22"/>
          <w:szCs w:val="22"/>
          <w:lang w:val="sr-Latn-ME"/>
        </w:rPr>
      </w:pPr>
    </w:p>
    <w:p w14:paraId="161DF1E3" w14:textId="4DA32B2F" w:rsidR="00FA009A" w:rsidRPr="00202D4B" w:rsidRDefault="00FA009A" w:rsidP="00FA009A">
      <w:pPr>
        <w:autoSpaceDE w:val="0"/>
        <w:autoSpaceDN w:val="0"/>
        <w:adjustRightInd w:val="0"/>
        <w:jc w:val="both"/>
        <w:rPr>
          <w:rFonts w:eastAsia="Calibri"/>
          <w:bCs/>
          <w:noProof/>
          <w:sz w:val="22"/>
          <w:szCs w:val="22"/>
          <w:u w:val="single"/>
          <w:lang w:val="sr-Latn-ME"/>
        </w:rPr>
      </w:pPr>
      <w:r w:rsidRPr="00202D4B">
        <w:rPr>
          <w:rFonts w:eastAsia="Calibri"/>
          <w:bCs/>
          <w:noProof/>
          <w:sz w:val="22"/>
          <w:szCs w:val="22"/>
          <w:u w:val="single"/>
          <w:lang w:val="sr-Latn-ME"/>
        </w:rPr>
        <w:t xml:space="preserve">Sažetak </w:t>
      </w:r>
      <w:r w:rsidR="003C50FB" w:rsidRPr="00202D4B">
        <w:rPr>
          <w:rFonts w:eastAsia="Calibri"/>
          <w:bCs/>
          <w:noProof/>
          <w:sz w:val="22"/>
          <w:szCs w:val="22"/>
          <w:u w:val="single"/>
          <w:lang w:val="sr-Latn-ME"/>
        </w:rPr>
        <w:t xml:space="preserve">bezbjednosnog </w:t>
      </w:r>
      <w:r w:rsidRPr="00202D4B">
        <w:rPr>
          <w:rFonts w:eastAsia="Calibri"/>
          <w:bCs/>
          <w:noProof/>
          <w:sz w:val="22"/>
          <w:szCs w:val="22"/>
          <w:u w:val="single"/>
          <w:lang w:val="sr-Latn-ME"/>
        </w:rPr>
        <w:t>profila</w:t>
      </w:r>
    </w:p>
    <w:p w14:paraId="15D540AC" w14:textId="77777777" w:rsidR="00FA009A" w:rsidRPr="00202D4B" w:rsidRDefault="00FA009A" w:rsidP="00FA009A">
      <w:pPr>
        <w:autoSpaceDE w:val="0"/>
        <w:autoSpaceDN w:val="0"/>
        <w:adjustRightInd w:val="0"/>
        <w:jc w:val="both"/>
        <w:rPr>
          <w:rFonts w:eastAsia="Calibri"/>
          <w:noProof/>
          <w:sz w:val="22"/>
          <w:szCs w:val="22"/>
          <w:u w:val="single"/>
          <w:lang w:val="sr-Latn-ME"/>
        </w:rPr>
      </w:pPr>
    </w:p>
    <w:p w14:paraId="311ECA98" w14:textId="22012A38" w:rsidR="00FA009A" w:rsidRPr="00202D4B" w:rsidRDefault="00FA009A" w:rsidP="00FA009A">
      <w:pPr>
        <w:autoSpaceDE w:val="0"/>
        <w:autoSpaceDN w:val="0"/>
        <w:adjustRightInd w:val="0"/>
        <w:jc w:val="both"/>
        <w:rPr>
          <w:rFonts w:eastAsia="Calibri"/>
          <w:noProof/>
          <w:sz w:val="22"/>
          <w:szCs w:val="22"/>
          <w:lang w:val="sr-Latn-ME"/>
        </w:rPr>
      </w:pPr>
      <w:r w:rsidRPr="00202D4B">
        <w:rPr>
          <w:rFonts w:eastAsia="Calibri"/>
          <w:noProof/>
          <w:sz w:val="22"/>
          <w:szCs w:val="22"/>
          <w:lang w:val="sr-Latn-ME"/>
        </w:rPr>
        <w:t xml:space="preserve">U kliničkim ispitivanjima blage do teške demencije, koja su uključivala 1784 pacijenta liječena memantinom i 1595 pacijenata koji su </w:t>
      </w:r>
      <w:r w:rsidR="003C50FB" w:rsidRPr="00202D4B">
        <w:rPr>
          <w:rFonts w:eastAsia="Calibri"/>
          <w:noProof/>
          <w:sz w:val="22"/>
          <w:szCs w:val="22"/>
          <w:lang w:val="sr-Latn-ME"/>
        </w:rPr>
        <w:t xml:space="preserve">primali </w:t>
      </w:r>
      <w:r w:rsidRPr="00202D4B">
        <w:rPr>
          <w:rFonts w:eastAsia="Calibri"/>
          <w:noProof/>
          <w:sz w:val="22"/>
          <w:szCs w:val="22"/>
          <w:lang w:val="sr-Latn-ME"/>
        </w:rPr>
        <w:t xml:space="preserve">placebo, sveukupna stopa </w:t>
      </w:r>
      <w:r w:rsidR="004C6ED7" w:rsidRPr="00202D4B">
        <w:rPr>
          <w:rFonts w:eastAsia="Calibri"/>
          <w:noProof/>
          <w:sz w:val="22"/>
          <w:szCs w:val="22"/>
          <w:lang w:val="sr-Latn-ME"/>
        </w:rPr>
        <w:t xml:space="preserve">učestalosti </w:t>
      </w:r>
      <w:r w:rsidRPr="00202D4B">
        <w:rPr>
          <w:rFonts w:eastAsia="Calibri"/>
          <w:noProof/>
          <w:sz w:val="22"/>
          <w:szCs w:val="22"/>
          <w:lang w:val="sr-Latn-ME"/>
        </w:rPr>
        <w:t xml:space="preserve">neželjenih </w:t>
      </w:r>
      <w:r w:rsidR="004C6ED7" w:rsidRPr="00202D4B">
        <w:rPr>
          <w:rFonts w:eastAsia="Calibri"/>
          <w:noProof/>
          <w:sz w:val="22"/>
          <w:szCs w:val="22"/>
          <w:lang w:val="sr-Latn-ME"/>
        </w:rPr>
        <w:t xml:space="preserve">dejstava </w:t>
      </w:r>
      <w:r w:rsidRPr="00202D4B">
        <w:rPr>
          <w:rFonts w:eastAsia="Calibri"/>
          <w:noProof/>
          <w:sz w:val="22"/>
          <w:szCs w:val="22"/>
          <w:lang w:val="sr-Latn-ME"/>
        </w:rPr>
        <w:t xml:space="preserve">u grupi liječenoj memantinom nije se razlikovala od stope učestalosti neželjenih </w:t>
      </w:r>
      <w:r w:rsidR="004C6ED7" w:rsidRPr="00202D4B">
        <w:rPr>
          <w:rFonts w:eastAsia="Calibri"/>
          <w:noProof/>
          <w:sz w:val="22"/>
          <w:szCs w:val="22"/>
          <w:lang w:val="sr-Latn-ME"/>
        </w:rPr>
        <w:t xml:space="preserve">dejstava </w:t>
      </w:r>
      <w:r w:rsidRPr="00202D4B">
        <w:rPr>
          <w:rFonts w:eastAsia="Calibri"/>
          <w:noProof/>
          <w:sz w:val="22"/>
          <w:szCs w:val="22"/>
          <w:lang w:val="sr-Latn-ME"/>
        </w:rPr>
        <w:t xml:space="preserve">u grupi koja je </w:t>
      </w:r>
      <w:r w:rsidR="004C6ED7" w:rsidRPr="00202D4B">
        <w:rPr>
          <w:rFonts w:eastAsia="Calibri"/>
          <w:noProof/>
          <w:sz w:val="22"/>
          <w:szCs w:val="22"/>
          <w:lang w:val="sr-Latn-ME"/>
        </w:rPr>
        <w:t xml:space="preserve">primala </w:t>
      </w:r>
      <w:r w:rsidRPr="00202D4B">
        <w:rPr>
          <w:rFonts w:eastAsia="Calibri"/>
          <w:noProof/>
          <w:sz w:val="22"/>
          <w:szCs w:val="22"/>
          <w:lang w:val="sr-Latn-ME"/>
        </w:rPr>
        <w:t>placebo. Neželjen</w:t>
      </w:r>
      <w:r w:rsidR="004C6ED7" w:rsidRPr="00202D4B">
        <w:rPr>
          <w:rFonts w:eastAsia="Calibri"/>
          <w:noProof/>
          <w:sz w:val="22"/>
          <w:szCs w:val="22"/>
          <w:lang w:val="sr-Latn-ME"/>
        </w:rPr>
        <w:t>a</w:t>
      </w:r>
      <w:r w:rsidRPr="00202D4B">
        <w:rPr>
          <w:rFonts w:eastAsia="Calibri"/>
          <w:noProof/>
          <w:sz w:val="22"/>
          <w:szCs w:val="22"/>
          <w:lang w:val="sr-Latn-ME"/>
        </w:rPr>
        <w:t xml:space="preserve"> </w:t>
      </w:r>
      <w:r w:rsidR="004C6ED7" w:rsidRPr="00202D4B">
        <w:rPr>
          <w:rFonts w:eastAsia="Calibri"/>
          <w:noProof/>
          <w:sz w:val="22"/>
          <w:szCs w:val="22"/>
          <w:lang w:val="sr-Latn-ME"/>
        </w:rPr>
        <w:t xml:space="preserve">dejstva </w:t>
      </w:r>
      <w:r w:rsidRPr="00202D4B">
        <w:rPr>
          <w:rFonts w:eastAsia="Calibri"/>
          <w:noProof/>
          <w:sz w:val="22"/>
          <w:szCs w:val="22"/>
          <w:lang w:val="sr-Latn-ME"/>
        </w:rPr>
        <w:t>su uglavnom bil</w:t>
      </w:r>
      <w:r w:rsidR="004C6ED7" w:rsidRPr="00202D4B">
        <w:rPr>
          <w:rFonts w:eastAsia="Calibri"/>
          <w:noProof/>
          <w:sz w:val="22"/>
          <w:szCs w:val="22"/>
          <w:lang w:val="sr-Latn-ME"/>
        </w:rPr>
        <w:t>a</w:t>
      </w:r>
      <w:r w:rsidRPr="00202D4B">
        <w:rPr>
          <w:rFonts w:eastAsia="Calibri"/>
          <w:noProof/>
          <w:sz w:val="22"/>
          <w:szCs w:val="22"/>
          <w:lang w:val="sr-Latn-ME"/>
        </w:rPr>
        <w:t xml:space="preserve"> blag</w:t>
      </w:r>
      <w:r w:rsidR="004C6ED7" w:rsidRPr="00202D4B">
        <w:rPr>
          <w:rFonts w:eastAsia="Calibri"/>
          <w:noProof/>
          <w:sz w:val="22"/>
          <w:szCs w:val="22"/>
          <w:lang w:val="sr-Latn-ME"/>
        </w:rPr>
        <w:t>a</w:t>
      </w:r>
      <w:r w:rsidRPr="00202D4B">
        <w:rPr>
          <w:rFonts w:eastAsia="Calibri"/>
          <w:noProof/>
          <w:sz w:val="22"/>
          <w:szCs w:val="22"/>
          <w:lang w:val="sr-Latn-ME"/>
        </w:rPr>
        <w:t xml:space="preserve"> do umjeren</w:t>
      </w:r>
      <w:r w:rsidR="004C6ED7" w:rsidRPr="00202D4B">
        <w:rPr>
          <w:rFonts w:eastAsia="Calibri"/>
          <w:noProof/>
          <w:sz w:val="22"/>
          <w:szCs w:val="22"/>
          <w:lang w:val="sr-Latn-ME"/>
        </w:rPr>
        <w:t>a</w:t>
      </w:r>
      <w:r w:rsidRPr="00202D4B">
        <w:rPr>
          <w:rFonts w:eastAsia="Calibri"/>
          <w:noProof/>
          <w:sz w:val="22"/>
          <w:szCs w:val="22"/>
          <w:lang w:val="sr-Latn-ME"/>
        </w:rPr>
        <w:t>. Neželjen</w:t>
      </w:r>
      <w:r w:rsidR="004C6ED7" w:rsidRPr="00202D4B">
        <w:rPr>
          <w:rFonts w:eastAsia="Calibri"/>
          <w:noProof/>
          <w:sz w:val="22"/>
          <w:szCs w:val="22"/>
          <w:lang w:val="sr-Latn-ME"/>
        </w:rPr>
        <w:t>a</w:t>
      </w:r>
      <w:r w:rsidRPr="00202D4B">
        <w:rPr>
          <w:rFonts w:eastAsia="Calibri"/>
          <w:noProof/>
          <w:sz w:val="22"/>
          <w:szCs w:val="22"/>
          <w:lang w:val="sr-Latn-ME"/>
        </w:rPr>
        <w:t xml:space="preserve"> </w:t>
      </w:r>
      <w:r w:rsidR="004C6ED7" w:rsidRPr="00202D4B">
        <w:rPr>
          <w:rFonts w:eastAsia="Calibri"/>
          <w:noProof/>
          <w:sz w:val="22"/>
          <w:szCs w:val="22"/>
          <w:lang w:val="sr-Latn-ME"/>
        </w:rPr>
        <w:t xml:space="preserve">dejstva </w:t>
      </w:r>
      <w:r w:rsidRPr="00202D4B">
        <w:rPr>
          <w:rFonts w:eastAsia="Calibri"/>
          <w:noProof/>
          <w:sz w:val="22"/>
          <w:szCs w:val="22"/>
          <w:lang w:val="sr-Latn-ME"/>
        </w:rPr>
        <w:t>koj</w:t>
      </w:r>
      <w:r w:rsidR="004C6ED7" w:rsidRPr="00202D4B">
        <w:rPr>
          <w:rFonts w:eastAsia="Calibri"/>
          <w:noProof/>
          <w:sz w:val="22"/>
          <w:szCs w:val="22"/>
          <w:lang w:val="sr-Latn-ME"/>
        </w:rPr>
        <w:t>a</w:t>
      </w:r>
      <w:r w:rsidRPr="00202D4B">
        <w:rPr>
          <w:rFonts w:eastAsia="Calibri"/>
          <w:noProof/>
          <w:sz w:val="22"/>
          <w:szCs w:val="22"/>
          <w:lang w:val="sr-Latn-ME"/>
        </w:rPr>
        <w:t xml:space="preserve"> su se najčešće pojavljival</w:t>
      </w:r>
      <w:r w:rsidR="004C6ED7" w:rsidRPr="00202D4B">
        <w:rPr>
          <w:rFonts w:eastAsia="Calibri"/>
          <w:noProof/>
          <w:sz w:val="22"/>
          <w:szCs w:val="22"/>
          <w:lang w:val="sr-Latn-ME"/>
        </w:rPr>
        <w:t>a</w:t>
      </w:r>
      <w:r w:rsidRPr="00202D4B">
        <w:rPr>
          <w:rFonts w:eastAsia="Calibri"/>
          <w:noProof/>
          <w:sz w:val="22"/>
          <w:szCs w:val="22"/>
          <w:lang w:val="sr-Latn-ME"/>
        </w:rPr>
        <w:t>, s</w:t>
      </w:r>
      <w:r w:rsidR="004C6ED7" w:rsidRPr="00202D4B">
        <w:rPr>
          <w:rFonts w:eastAsia="Calibri"/>
          <w:noProof/>
          <w:sz w:val="22"/>
          <w:szCs w:val="22"/>
          <w:lang w:val="sr-Latn-ME"/>
        </w:rPr>
        <w:t>a</w:t>
      </w:r>
      <w:r w:rsidRPr="00202D4B">
        <w:rPr>
          <w:rFonts w:eastAsia="Calibri"/>
          <w:noProof/>
          <w:sz w:val="22"/>
          <w:szCs w:val="22"/>
          <w:lang w:val="sr-Latn-ME"/>
        </w:rPr>
        <w:t xml:space="preserve"> većom incidencom u grupi s</w:t>
      </w:r>
      <w:r w:rsidR="004C6ED7" w:rsidRPr="00202D4B">
        <w:rPr>
          <w:rFonts w:eastAsia="Calibri"/>
          <w:noProof/>
          <w:sz w:val="22"/>
          <w:szCs w:val="22"/>
          <w:lang w:val="sr-Latn-ME"/>
        </w:rPr>
        <w:t>a</w:t>
      </w:r>
      <w:r w:rsidRPr="00202D4B">
        <w:rPr>
          <w:rFonts w:eastAsia="Calibri"/>
          <w:noProof/>
          <w:sz w:val="22"/>
          <w:szCs w:val="22"/>
          <w:lang w:val="sr-Latn-ME"/>
        </w:rPr>
        <w:t xml:space="preserve"> memantinom nego u placebo grupi, bil</w:t>
      </w:r>
      <w:r w:rsidR="004C6ED7" w:rsidRPr="00202D4B">
        <w:rPr>
          <w:rFonts w:eastAsia="Calibri"/>
          <w:noProof/>
          <w:sz w:val="22"/>
          <w:szCs w:val="22"/>
          <w:lang w:val="sr-Latn-ME"/>
        </w:rPr>
        <w:t>a</w:t>
      </w:r>
      <w:r w:rsidRPr="00202D4B">
        <w:rPr>
          <w:rFonts w:eastAsia="Calibri"/>
          <w:noProof/>
          <w:sz w:val="22"/>
          <w:szCs w:val="22"/>
          <w:lang w:val="sr-Latn-ME"/>
        </w:rPr>
        <w:t xml:space="preserve"> su omaglica (6,3% naspram 5,6%), glavobolja (5,2% naspram 3,9%), konstipacija (4,6% naspram 2,6%), somnolenca (3,4% naspram 2,2%) i hipertenzija (4,1% naspram 2,8%).</w:t>
      </w:r>
    </w:p>
    <w:p w14:paraId="054F0755" w14:textId="77777777" w:rsidR="00FA009A" w:rsidRPr="00202D4B" w:rsidRDefault="00FA009A" w:rsidP="00FA009A">
      <w:pPr>
        <w:autoSpaceDE w:val="0"/>
        <w:autoSpaceDN w:val="0"/>
        <w:adjustRightInd w:val="0"/>
        <w:jc w:val="both"/>
        <w:rPr>
          <w:rFonts w:eastAsia="Calibri"/>
          <w:noProof/>
          <w:sz w:val="22"/>
          <w:szCs w:val="22"/>
          <w:lang w:val="sr-Latn-ME"/>
        </w:rPr>
      </w:pPr>
    </w:p>
    <w:p w14:paraId="25D4C566" w14:textId="049C3D74" w:rsidR="007C0F49" w:rsidRPr="00202D4B" w:rsidRDefault="007C0F49" w:rsidP="007C0F49">
      <w:pPr>
        <w:autoSpaceDE w:val="0"/>
        <w:autoSpaceDN w:val="0"/>
        <w:adjustRightInd w:val="0"/>
        <w:jc w:val="both"/>
        <w:rPr>
          <w:rFonts w:eastAsia="Calibri"/>
          <w:noProof/>
          <w:sz w:val="22"/>
          <w:szCs w:val="22"/>
          <w:lang w:val="sr-Latn-ME"/>
        </w:rPr>
      </w:pPr>
      <w:r w:rsidRPr="00202D4B">
        <w:rPr>
          <w:rFonts w:eastAsia="Calibri"/>
          <w:noProof/>
          <w:sz w:val="22"/>
          <w:szCs w:val="22"/>
          <w:lang w:val="sr-Latn-ME"/>
        </w:rPr>
        <w:t xml:space="preserve">Neželjena dejstva prikazana u tabeli ispod prikupljena su tokom kliničkih studija sa memantinom i nakon stavljanja lijeka u promet. Unutar svake grupe učestalosti, neželjena </w:t>
      </w:r>
      <w:r w:rsidR="008D1298" w:rsidRPr="00202D4B">
        <w:rPr>
          <w:rFonts w:eastAsia="Calibri"/>
          <w:noProof/>
          <w:sz w:val="22"/>
          <w:szCs w:val="22"/>
          <w:lang w:val="sr-Latn-ME"/>
        </w:rPr>
        <w:t>dejstva</w:t>
      </w:r>
      <w:r w:rsidRPr="00202D4B">
        <w:rPr>
          <w:rFonts w:eastAsia="Calibri"/>
          <w:noProof/>
          <w:sz w:val="22"/>
          <w:szCs w:val="22"/>
          <w:lang w:val="sr-Latn-ME"/>
        </w:rPr>
        <w:t xml:space="preserve"> su predstavljena u opadajućem nizu u odnosu na njihovu ozbiljnost.</w:t>
      </w:r>
    </w:p>
    <w:p w14:paraId="6EA5ACC6" w14:textId="77777777" w:rsidR="007C0F49" w:rsidRPr="00202D4B" w:rsidRDefault="007C0F49" w:rsidP="007C0F49">
      <w:pPr>
        <w:autoSpaceDE w:val="0"/>
        <w:autoSpaceDN w:val="0"/>
        <w:adjustRightInd w:val="0"/>
        <w:jc w:val="both"/>
        <w:rPr>
          <w:rFonts w:eastAsia="Calibri"/>
          <w:noProof/>
          <w:sz w:val="22"/>
          <w:szCs w:val="22"/>
          <w:lang w:val="sr-Latn-ME"/>
        </w:rPr>
      </w:pPr>
    </w:p>
    <w:p w14:paraId="43D900C0" w14:textId="6FC3CC7C" w:rsidR="00FA009A" w:rsidRPr="00202D4B" w:rsidRDefault="00FA009A" w:rsidP="00FA009A">
      <w:pPr>
        <w:autoSpaceDE w:val="0"/>
        <w:autoSpaceDN w:val="0"/>
        <w:adjustRightInd w:val="0"/>
        <w:jc w:val="both"/>
        <w:rPr>
          <w:rFonts w:eastAsia="Calibri"/>
          <w:noProof/>
          <w:sz w:val="22"/>
          <w:szCs w:val="22"/>
          <w:u w:val="single"/>
          <w:lang w:val="sr-Latn-ME"/>
        </w:rPr>
      </w:pPr>
      <w:r w:rsidRPr="00202D4B">
        <w:rPr>
          <w:rFonts w:eastAsia="Calibri"/>
          <w:noProof/>
          <w:sz w:val="22"/>
          <w:szCs w:val="22"/>
          <w:u w:val="single"/>
          <w:lang w:val="sr-Latn-ME"/>
        </w:rPr>
        <w:t xml:space="preserve">Tabelarni prikaz neželjenih </w:t>
      </w:r>
      <w:r w:rsidR="00B06909" w:rsidRPr="00202D4B">
        <w:rPr>
          <w:rFonts w:eastAsia="Calibri"/>
          <w:noProof/>
          <w:sz w:val="22"/>
          <w:szCs w:val="22"/>
          <w:u w:val="single"/>
          <w:lang w:val="sr-Latn-ME"/>
        </w:rPr>
        <w:t>dejstava</w:t>
      </w:r>
    </w:p>
    <w:p w14:paraId="76FE9A6A" w14:textId="77777777" w:rsidR="00FA009A" w:rsidRPr="00202D4B" w:rsidRDefault="00FA009A" w:rsidP="00FA009A">
      <w:pPr>
        <w:autoSpaceDE w:val="0"/>
        <w:autoSpaceDN w:val="0"/>
        <w:adjustRightInd w:val="0"/>
        <w:jc w:val="both"/>
        <w:rPr>
          <w:rFonts w:eastAsia="Calibri"/>
          <w:noProof/>
          <w:sz w:val="22"/>
          <w:szCs w:val="22"/>
          <w:u w:val="single"/>
          <w:lang w:val="sr-Latn-ME"/>
        </w:rPr>
      </w:pPr>
    </w:p>
    <w:p w14:paraId="4FBA936E" w14:textId="75ECDAE6" w:rsidR="00FA009A" w:rsidRPr="00202D4B" w:rsidRDefault="00FA009A" w:rsidP="00FA009A">
      <w:pPr>
        <w:autoSpaceDE w:val="0"/>
        <w:autoSpaceDN w:val="0"/>
        <w:adjustRightInd w:val="0"/>
        <w:jc w:val="both"/>
        <w:rPr>
          <w:rFonts w:eastAsia="Calibri"/>
          <w:noProof/>
          <w:sz w:val="22"/>
          <w:szCs w:val="22"/>
          <w:lang w:val="sr-Latn-ME"/>
        </w:rPr>
      </w:pPr>
      <w:r w:rsidRPr="00202D4B">
        <w:rPr>
          <w:rFonts w:eastAsia="Calibri"/>
          <w:noProof/>
          <w:sz w:val="22"/>
          <w:szCs w:val="22"/>
          <w:lang w:val="sr-Latn-ME"/>
        </w:rPr>
        <w:t>Neželjen</w:t>
      </w:r>
      <w:r w:rsidR="007C0F49" w:rsidRPr="00202D4B">
        <w:rPr>
          <w:rFonts w:eastAsia="Calibri"/>
          <w:noProof/>
          <w:sz w:val="22"/>
          <w:szCs w:val="22"/>
          <w:lang w:val="sr-Latn-ME"/>
        </w:rPr>
        <w:t>a</w:t>
      </w:r>
      <w:r w:rsidRPr="00202D4B">
        <w:rPr>
          <w:rFonts w:eastAsia="Calibri"/>
          <w:noProof/>
          <w:sz w:val="22"/>
          <w:szCs w:val="22"/>
          <w:lang w:val="sr-Latn-ME"/>
        </w:rPr>
        <w:t xml:space="preserve"> </w:t>
      </w:r>
      <w:r w:rsidR="007C0F49" w:rsidRPr="00202D4B">
        <w:rPr>
          <w:rFonts w:eastAsia="Calibri"/>
          <w:noProof/>
          <w:sz w:val="22"/>
          <w:szCs w:val="22"/>
          <w:lang w:val="sr-Latn-ME"/>
        </w:rPr>
        <w:t xml:space="preserve">dejstva </w:t>
      </w:r>
      <w:r w:rsidRPr="00202D4B">
        <w:rPr>
          <w:rFonts w:eastAsia="Calibri"/>
          <w:noProof/>
          <w:sz w:val="22"/>
          <w:szCs w:val="22"/>
          <w:lang w:val="sr-Latn-ME"/>
        </w:rPr>
        <w:t>pore</w:t>
      </w:r>
      <w:r w:rsidR="007C0F49" w:rsidRPr="00202D4B">
        <w:rPr>
          <w:rFonts w:eastAsia="Calibri"/>
          <w:noProof/>
          <w:sz w:val="22"/>
          <w:szCs w:val="22"/>
          <w:lang w:val="sr-Latn-ME"/>
        </w:rPr>
        <w:t>đ</w:t>
      </w:r>
      <w:r w:rsidRPr="00202D4B">
        <w:rPr>
          <w:rFonts w:eastAsia="Calibri"/>
          <w:noProof/>
          <w:sz w:val="22"/>
          <w:szCs w:val="22"/>
          <w:lang w:val="sr-Latn-ME"/>
        </w:rPr>
        <w:t>an</w:t>
      </w:r>
      <w:r w:rsidR="007C0F49" w:rsidRPr="00202D4B">
        <w:rPr>
          <w:rFonts w:eastAsia="Calibri"/>
          <w:noProof/>
          <w:sz w:val="22"/>
          <w:szCs w:val="22"/>
          <w:lang w:val="sr-Latn-ME"/>
        </w:rPr>
        <w:t>a</w:t>
      </w:r>
      <w:r w:rsidRPr="00202D4B">
        <w:rPr>
          <w:rFonts w:eastAsia="Calibri"/>
          <w:noProof/>
          <w:sz w:val="22"/>
          <w:szCs w:val="22"/>
          <w:lang w:val="sr-Latn-ME"/>
        </w:rPr>
        <w:t xml:space="preserve"> su prema klasi organskih sistema</w:t>
      </w:r>
      <w:r w:rsidR="007C0F49" w:rsidRPr="00202D4B">
        <w:rPr>
          <w:rFonts w:eastAsia="Calibri"/>
          <w:noProof/>
          <w:sz w:val="22"/>
          <w:szCs w:val="22"/>
          <w:lang w:val="sr-Latn-ME"/>
        </w:rPr>
        <w:t>,</w:t>
      </w:r>
      <w:r w:rsidRPr="00202D4B">
        <w:rPr>
          <w:rFonts w:eastAsia="Calibri"/>
          <w:noProof/>
          <w:sz w:val="22"/>
          <w:szCs w:val="22"/>
          <w:lang w:val="sr-Latn-ME"/>
        </w:rPr>
        <w:t xml:space="preserve"> uz primjenu sljedeće konvencije o učestalosti: </w:t>
      </w:r>
      <w:r w:rsidR="007C0F49" w:rsidRPr="00202D4B">
        <w:rPr>
          <w:rFonts w:eastAsia="Calibri"/>
          <w:noProof/>
          <w:sz w:val="22"/>
          <w:szCs w:val="22"/>
          <w:lang w:val="sr-Latn-ME"/>
        </w:rPr>
        <w:t xml:space="preserve">veoma </w:t>
      </w:r>
      <w:r w:rsidRPr="00202D4B">
        <w:rPr>
          <w:rFonts w:eastAsia="Calibri"/>
          <w:noProof/>
          <w:sz w:val="22"/>
          <w:szCs w:val="22"/>
          <w:lang w:val="sr-Latn-ME"/>
        </w:rPr>
        <w:t>čest</w:t>
      </w:r>
      <w:r w:rsidR="007C0F49" w:rsidRPr="00202D4B">
        <w:rPr>
          <w:rFonts w:eastAsia="Calibri"/>
          <w:noProof/>
          <w:sz w:val="22"/>
          <w:szCs w:val="22"/>
          <w:lang w:val="sr-Latn-ME"/>
        </w:rPr>
        <w:t>o</w:t>
      </w:r>
      <w:r w:rsidRPr="00202D4B">
        <w:rPr>
          <w:rFonts w:eastAsia="Calibri"/>
          <w:noProof/>
          <w:sz w:val="22"/>
          <w:szCs w:val="22"/>
          <w:lang w:val="sr-Latn-ME"/>
        </w:rPr>
        <w:t xml:space="preserve"> (≥1/10), čest</w:t>
      </w:r>
      <w:r w:rsidR="007C0F49" w:rsidRPr="00202D4B">
        <w:rPr>
          <w:rFonts w:eastAsia="Calibri"/>
          <w:noProof/>
          <w:sz w:val="22"/>
          <w:szCs w:val="22"/>
          <w:lang w:val="sr-Latn-ME"/>
        </w:rPr>
        <w:t>o</w:t>
      </w:r>
      <w:r w:rsidRPr="00202D4B">
        <w:rPr>
          <w:rFonts w:eastAsia="Calibri"/>
          <w:noProof/>
          <w:sz w:val="22"/>
          <w:szCs w:val="22"/>
          <w:lang w:val="sr-Latn-ME"/>
        </w:rPr>
        <w:t xml:space="preserve"> (≥1/100 do &lt;1/10), povremen</w:t>
      </w:r>
      <w:r w:rsidR="007C0F49" w:rsidRPr="00202D4B">
        <w:rPr>
          <w:rFonts w:eastAsia="Calibri"/>
          <w:noProof/>
          <w:sz w:val="22"/>
          <w:szCs w:val="22"/>
          <w:lang w:val="sr-Latn-ME"/>
        </w:rPr>
        <w:t>o</w:t>
      </w:r>
      <w:r w:rsidRPr="00202D4B">
        <w:rPr>
          <w:rFonts w:eastAsia="Calibri"/>
          <w:noProof/>
          <w:sz w:val="22"/>
          <w:szCs w:val="22"/>
          <w:lang w:val="sr-Latn-ME"/>
        </w:rPr>
        <w:t xml:space="preserve"> (≥1/1 000 do &lt;1/100), rijetk</w:t>
      </w:r>
      <w:r w:rsidR="007C0F49" w:rsidRPr="00202D4B">
        <w:rPr>
          <w:rFonts w:eastAsia="Calibri"/>
          <w:noProof/>
          <w:sz w:val="22"/>
          <w:szCs w:val="22"/>
          <w:lang w:val="sr-Latn-ME"/>
        </w:rPr>
        <w:t>o</w:t>
      </w:r>
      <w:r w:rsidRPr="00202D4B">
        <w:rPr>
          <w:rFonts w:eastAsia="Calibri"/>
          <w:noProof/>
          <w:sz w:val="22"/>
          <w:szCs w:val="22"/>
          <w:lang w:val="sr-Latn-ME"/>
        </w:rPr>
        <w:t xml:space="preserve"> (≥1/10 000 do &lt;1/1 000), </w:t>
      </w:r>
      <w:r w:rsidR="007C0F49" w:rsidRPr="00202D4B">
        <w:rPr>
          <w:rFonts w:eastAsia="Calibri"/>
          <w:noProof/>
          <w:sz w:val="22"/>
          <w:szCs w:val="22"/>
          <w:lang w:val="sr-Latn-ME"/>
        </w:rPr>
        <w:t>veoma</w:t>
      </w:r>
      <w:r w:rsidRPr="00202D4B">
        <w:rPr>
          <w:rFonts w:eastAsia="Calibri"/>
          <w:noProof/>
          <w:sz w:val="22"/>
          <w:szCs w:val="22"/>
          <w:lang w:val="sr-Latn-ME"/>
        </w:rPr>
        <w:t xml:space="preserve"> rijetk</w:t>
      </w:r>
      <w:r w:rsidR="007C0F49" w:rsidRPr="00202D4B">
        <w:rPr>
          <w:rFonts w:eastAsia="Calibri"/>
          <w:noProof/>
          <w:sz w:val="22"/>
          <w:szCs w:val="22"/>
          <w:lang w:val="sr-Latn-ME"/>
        </w:rPr>
        <w:t>o</w:t>
      </w:r>
      <w:r w:rsidRPr="00202D4B">
        <w:rPr>
          <w:rFonts w:eastAsia="Calibri"/>
          <w:noProof/>
          <w:sz w:val="22"/>
          <w:szCs w:val="22"/>
          <w:lang w:val="sr-Latn-ME"/>
        </w:rPr>
        <w:t xml:space="preserve"> (&lt;1/10 000), nepoznat</w:t>
      </w:r>
      <w:r w:rsidR="007C0F49" w:rsidRPr="00202D4B">
        <w:rPr>
          <w:rFonts w:eastAsia="Calibri"/>
          <w:noProof/>
          <w:sz w:val="22"/>
          <w:szCs w:val="22"/>
          <w:lang w:val="sr-Latn-ME"/>
        </w:rPr>
        <w:t>o</w:t>
      </w:r>
      <w:r w:rsidRPr="00202D4B">
        <w:rPr>
          <w:rFonts w:eastAsia="Calibri"/>
          <w:noProof/>
          <w:sz w:val="22"/>
          <w:szCs w:val="22"/>
          <w:lang w:val="sr-Latn-ME"/>
        </w:rPr>
        <w:t xml:space="preserve"> (učestalost se ne može procijeniti iz dostupnih podataka).</w:t>
      </w:r>
    </w:p>
    <w:p w14:paraId="43B6B768" w14:textId="77777777" w:rsidR="00FA009A" w:rsidRPr="00202D4B" w:rsidRDefault="00FA009A" w:rsidP="00FA009A">
      <w:pPr>
        <w:autoSpaceDE w:val="0"/>
        <w:autoSpaceDN w:val="0"/>
        <w:adjustRightInd w:val="0"/>
        <w:jc w:val="both"/>
        <w:rPr>
          <w:rFonts w:eastAsia="Calibri"/>
          <w:noProof/>
          <w:sz w:val="22"/>
          <w:szCs w:val="22"/>
          <w:lang w:val="sr-Latn-ME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76"/>
        <w:gridCol w:w="1710"/>
        <w:gridCol w:w="3383"/>
      </w:tblGrid>
      <w:tr w:rsidR="00FA009A" w:rsidRPr="00202D4B" w14:paraId="495E5A7E" w14:textId="77777777" w:rsidTr="00832150">
        <w:trPr>
          <w:tblCellSpacing w:w="0" w:type="dxa"/>
        </w:trPr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A6DF75" w14:textId="77777777" w:rsidR="00FA009A" w:rsidRPr="00202D4B" w:rsidRDefault="00FA009A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b/>
                <w:noProof/>
                <w:sz w:val="22"/>
                <w:szCs w:val="22"/>
                <w:lang w:val="sr-Latn-ME"/>
              </w:rPr>
              <w:t>ORGANSKI SISTEM</w:t>
            </w: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D75AB4" w14:textId="77777777" w:rsidR="00FA009A" w:rsidRPr="00202D4B" w:rsidRDefault="00FA009A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b/>
                <w:noProof/>
                <w:sz w:val="22"/>
                <w:szCs w:val="22"/>
                <w:lang w:val="sr-Latn-ME"/>
              </w:rPr>
              <w:t>UČESTALOST</w:t>
            </w:r>
          </w:p>
        </w:tc>
        <w:tc>
          <w:tcPr>
            <w:tcW w:w="1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BF8501" w14:textId="28F32835" w:rsidR="00FA009A" w:rsidRPr="00202D4B" w:rsidRDefault="00FA009A" w:rsidP="00AE2319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b/>
                <w:noProof/>
                <w:sz w:val="22"/>
                <w:szCs w:val="22"/>
                <w:lang w:val="sr-Latn-ME"/>
              </w:rPr>
              <w:t>NEŽELJEN</w:t>
            </w:r>
            <w:r w:rsidR="007C0F49" w:rsidRPr="00202D4B">
              <w:rPr>
                <w:rFonts w:eastAsia="Calibri"/>
                <w:b/>
                <w:noProof/>
                <w:sz w:val="22"/>
                <w:szCs w:val="22"/>
                <w:lang w:val="sr-Latn-ME"/>
              </w:rPr>
              <w:t>O</w:t>
            </w:r>
            <w:r w:rsidRPr="00202D4B">
              <w:rPr>
                <w:rFonts w:eastAsia="Calibri"/>
                <w:b/>
                <w:noProof/>
                <w:sz w:val="22"/>
                <w:szCs w:val="22"/>
                <w:lang w:val="sr-Latn-ME"/>
              </w:rPr>
              <w:t xml:space="preserve"> </w:t>
            </w:r>
            <w:r w:rsidR="007C0F49" w:rsidRPr="00202D4B">
              <w:rPr>
                <w:rFonts w:eastAsia="Calibri"/>
                <w:b/>
                <w:noProof/>
                <w:sz w:val="22"/>
                <w:szCs w:val="22"/>
                <w:lang w:val="sr-Latn-ME"/>
              </w:rPr>
              <w:t>DEJSTVO</w:t>
            </w:r>
          </w:p>
        </w:tc>
      </w:tr>
      <w:tr w:rsidR="00FA009A" w:rsidRPr="00202D4B" w14:paraId="4F68D7E8" w14:textId="77777777" w:rsidTr="00832150">
        <w:trPr>
          <w:tblCellSpacing w:w="0" w:type="dxa"/>
        </w:trPr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27987" w14:textId="77777777" w:rsidR="00FA009A" w:rsidRPr="00202D4B" w:rsidRDefault="00FA009A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>Infekcije i infestacije</w:t>
            </w: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BCFD26" w14:textId="7ED26ECB" w:rsidR="00FA009A" w:rsidRPr="00202D4B" w:rsidRDefault="007C0F49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1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484AC2" w14:textId="77777777" w:rsidR="00FA009A" w:rsidRPr="00202D4B" w:rsidRDefault="00FA009A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>Gljivične infekcije</w:t>
            </w:r>
          </w:p>
        </w:tc>
      </w:tr>
      <w:tr w:rsidR="00FA009A" w:rsidRPr="00202D4B" w14:paraId="7E3F5542" w14:textId="77777777" w:rsidTr="00832150">
        <w:trPr>
          <w:tblCellSpacing w:w="0" w:type="dxa"/>
        </w:trPr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2FBA9F" w14:textId="77777777" w:rsidR="00FA009A" w:rsidRPr="00202D4B" w:rsidRDefault="00FA009A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 xml:space="preserve">Poremećaji imunog sistema </w:t>
            </w: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172959" w14:textId="6594B0F2" w:rsidR="00FA009A" w:rsidRPr="00202D4B" w:rsidRDefault="00FA009A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>Čest</w:t>
            </w:r>
            <w:r w:rsidR="007C0F49"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>o</w:t>
            </w:r>
          </w:p>
        </w:tc>
        <w:tc>
          <w:tcPr>
            <w:tcW w:w="1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9A0F07" w14:textId="77777777" w:rsidR="00FA009A" w:rsidRPr="00202D4B" w:rsidRDefault="00FA009A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 xml:space="preserve">Preosjetljivost na lijek </w:t>
            </w:r>
          </w:p>
        </w:tc>
      </w:tr>
      <w:tr w:rsidR="008E5567" w:rsidRPr="00202D4B" w14:paraId="3DFADA4D" w14:textId="77777777" w:rsidTr="00183501">
        <w:trPr>
          <w:tblCellSpacing w:w="0" w:type="dxa"/>
        </w:trPr>
        <w:tc>
          <w:tcPr>
            <w:tcW w:w="219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0FD4E33" w14:textId="77777777" w:rsidR="008E5567" w:rsidRPr="00202D4B" w:rsidRDefault="008E5567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 xml:space="preserve">Psihijatrijski poremećaji </w:t>
            </w:r>
          </w:p>
          <w:p w14:paraId="30ADCDC6" w14:textId="77777777" w:rsidR="008E5567" w:rsidRPr="00202D4B" w:rsidRDefault="008E5567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> </w:t>
            </w:r>
          </w:p>
          <w:p w14:paraId="16BBF734" w14:textId="77777777" w:rsidR="008E5567" w:rsidRPr="00202D4B" w:rsidRDefault="008E5567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> </w:t>
            </w:r>
          </w:p>
          <w:p w14:paraId="5EB6BD63" w14:textId="44074A4D" w:rsidR="008E5567" w:rsidRPr="00202D4B" w:rsidRDefault="008E5567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C54E9" w14:textId="227E0F98" w:rsidR="008E5567" w:rsidRPr="00202D4B" w:rsidRDefault="008E5567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1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A22F3B" w14:textId="77777777" w:rsidR="008E5567" w:rsidRPr="00202D4B" w:rsidRDefault="008E5567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>Somnolenca</w:t>
            </w:r>
          </w:p>
        </w:tc>
      </w:tr>
      <w:tr w:rsidR="008E5567" w:rsidRPr="00202D4B" w14:paraId="777E0C54" w14:textId="77777777" w:rsidTr="00183501">
        <w:trPr>
          <w:tblCellSpacing w:w="0" w:type="dxa"/>
        </w:trPr>
        <w:tc>
          <w:tcPr>
            <w:tcW w:w="219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5B959D14" w14:textId="3EDF8BA7" w:rsidR="008E5567" w:rsidRPr="00202D4B" w:rsidRDefault="008E5567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B7F1B1" w14:textId="1B2C453D" w:rsidR="008E5567" w:rsidRPr="00202D4B" w:rsidRDefault="008E5567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1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BFDC95" w14:textId="77777777" w:rsidR="008E5567" w:rsidRPr="00202D4B" w:rsidRDefault="008E5567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>Konfuzija</w:t>
            </w:r>
          </w:p>
        </w:tc>
      </w:tr>
      <w:tr w:rsidR="008E5567" w:rsidRPr="00202D4B" w14:paraId="2F612D03" w14:textId="77777777" w:rsidTr="00183501">
        <w:trPr>
          <w:tblCellSpacing w:w="0" w:type="dxa"/>
        </w:trPr>
        <w:tc>
          <w:tcPr>
            <w:tcW w:w="219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39ABE84E" w14:textId="10CBFC42" w:rsidR="008E5567" w:rsidRPr="00202D4B" w:rsidRDefault="008E5567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FBC07F" w14:textId="210569EE" w:rsidR="008E5567" w:rsidRPr="00202D4B" w:rsidRDefault="008E5567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1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14788A" w14:textId="77777777" w:rsidR="008E5567" w:rsidRPr="00202D4B" w:rsidRDefault="008E5567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>Halucinacije</w:t>
            </w:r>
            <w:r w:rsidRPr="00202D4B">
              <w:rPr>
                <w:rFonts w:eastAsia="Calibri"/>
                <w:noProof/>
                <w:sz w:val="22"/>
                <w:szCs w:val="22"/>
                <w:vertAlign w:val="superscript"/>
                <w:lang w:val="sr-Latn-ME"/>
              </w:rPr>
              <w:t>1</w:t>
            </w:r>
          </w:p>
        </w:tc>
      </w:tr>
      <w:tr w:rsidR="008E5567" w:rsidRPr="00202D4B" w14:paraId="376EFA30" w14:textId="77777777" w:rsidTr="00183501">
        <w:trPr>
          <w:tblCellSpacing w:w="0" w:type="dxa"/>
        </w:trPr>
        <w:tc>
          <w:tcPr>
            <w:tcW w:w="219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088EA0" w14:textId="1C0D8FAD" w:rsidR="008E5567" w:rsidRPr="00202D4B" w:rsidRDefault="008E5567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54755A" w14:textId="3346A0F7" w:rsidR="008E5567" w:rsidRPr="00202D4B" w:rsidRDefault="008E5567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>Nepoznato</w:t>
            </w:r>
          </w:p>
        </w:tc>
        <w:tc>
          <w:tcPr>
            <w:tcW w:w="1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6E6BE" w14:textId="77777777" w:rsidR="008E5567" w:rsidRPr="00202D4B" w:rsidRDefault="008E5567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>Psihotične reakcije</w:t>
            </w:r>
            <w:r w:rsidRPr="00202D4B">
              <w:rPr>
                <w:rFonts w:eastAsia="Calibri"/>
                <w:noProof/>
                <w:sz w:val="22"/>
                <w:szCs w:val="22"/>
                <w:vertAlign w:val="superscript"/>
                <w:lang w:val="sr-Latn-ME"/>
              </w:rPr>
              <w:t>2</w:t>
            </w:r>
          </w:p>
        </w:tc>
      </w:tr>
      <w:tr w:rsidR="008E5567" w:rsidRPr="00202D4B" w14:paraId="00CF28D9" w14:textId="77777777" w:rsidTr="00183501">
        <w:trPr>
          <w:tblCellSpacing w:w="0" w:type="dxa"/>
        </w:trPr>
        <w:tc>
          <w:tcPr>
            <w:tcW w:w="219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3780E43F" w14:textId="58B23A0B" w:rsidR="008E5567" w:rsidRPr="00202D4B" w:rsidRDefault="008E5567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>Poremećaji nervnog sistema</w:t>
            </w: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C1126F" w14:textId="7786511E" w:rsidR="008E5567" w:rsidRPr="00202D4B" w:rsidRDefault="008E5567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1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ED2C74" w14:textId="77777777" w:rsidR="008E5567" w:rsidRPr="00202D4B" w:rsidRDefault="008E5567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>Omaglica</w:t>
            </w:r>
          </w:p>
        </w:tc>
      </w:tr>
      <w:tr w:rsidR="008E5567" w:rsidRPr="00202D4B" w14:paraId="74B64B39" w14:textId="77777777" w:rsidTr="00183501">
        <w:trPr>
          <w:tblCellSpacing w:w="0" w:type="dxa"/>
        </w:trPr>
        <w:tc>
          <w:tcPr>
            <w:tcW w:w="219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265EC3FB" w14:textId="4D35411F" w:rsidR="008E5567" w:rsidRPr="00202D4B" w:rsidRDefault="008E5567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91420A" w14:textId="1A9FA4D9" w:rsidR="008E5567" w:rsidRPr="00202D4B" w:rsidRDefault="008E5567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1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9F2E0C" w14:textId="77777777" w:rsidR="008E5567" w:rsidRPr="00202D4B" w:rsidRDefault="008E5567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 xml:space="preserve">Poremećaj ravnoteže </w:t>
            </w:r>
          </w:p>
        </w:tc>
      </w:tr>
      <w:tr w:rsidR="008E5567" w:rsidRPr="00202D4B" w14:paraId="0A02C135" w14:textId="77777777" w:rsidTr="00183501">
        <w:trPr>
          <w:tblCellSpacing w:w="0" w:type="dxa"/>
        </w:trPr>
        <w:tc>
          <w:tcPr>
            <w:tcW w:w="219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1070CF7F" w14:textId="2CA051E4" w:rsidR="008E5567" w:rsidRPr="00202D4B" w:rsidRDefault="008E5567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D4E7B8" w14:textId="5F2D7EAB" w:rsidR="008E5567" w:rsidRPr="00202D4B" w:rsidRDefault="008E5567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1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CA5A9B" w14:textId="77777777" w:rsidR="008E5567" w:rsidRPr="00202D4B" w:rsidRDefault="008E5567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 xml:space="preserve">Abnormalan hod </w:t>
            </w:r>
          </w:p>
        </w:tc>
      </w:tr>
      <w:tr w:rsidR="008E5567" w:rsidRPr="00202D4B" w14:paraId="1C99D75F" w14:textId="77777777" w:rsidTr="00183501">
        <w:trPr>
          <w:tblCellSpacing w:w="0" w:type="dxa"/>
        </w:trPr>
        <w:tc>
          <w:tcPr>
            <w:tcW w:w="219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BABA04" w14:textId="32EE3127" w:rsidR="008E5567" w:rsidRPr="00202D4B" w:rsidRDefault="008E5567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7EE1ED" w14:textId="29C9C74D" w:rsidR="008E5567" w:rsidRPr="00202D4B" w:rsidRDefault="008E5567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>Veoma rijetko</w:t>
            </w:r>
          </w:p>
        </w:tc>
        <w:tc>
          <w:tcPr>
            <w:tcW w:w="1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AE1CF5" w14:textId="47B6E18F" w:rsidR="008E5567" w:rsidRPr="00202D4B" w:rsidRDefault="008E5567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>Napadi</w:t>
            </w:r>
          </w:p>
        </w:tc>
      </w:tr>
      <w:tr w:rsidR="00FA009A" w:rsidRPr="00202D4B" w14:paraId="498883DE" w14:textId="77777777" w:rsidTr="00832150">
        <w:trPr>
          <w:tblCellSpacing w:w="0" w:type="dxa"/>
        </w:trPr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E80E6F" w14:textId="77777777" w:rsidR="00FA009A" w:rsidRPr="00202D4B" w:rsidRDefault="00FA009A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 xml:space="preserve">Srčani poremećaji </w:t>
            </w: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7E97A2" w14:textId="16F6247B" w:rsidR="00FA009A" w:rsidRPr="00202D4B" w:rsidRDefault="00FA009A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>Povremen</w:t>
            </w:r>
            <w:r w:rsidR="008E5567"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>o</w:t>
            </w:r>
          </w:p>
        </w:tc>
        <w:tc>
          <w:tcPr>
            <w:tcW w:w="1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8BFD7D" w14:textId="2CBB3919" w:rsidR="00FA009A" w:rsidRPr="00202D4B" w:rsidRDefault="00FA009A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>Srčan</w:t>
            </w:r>
            <w:r w:rsidR="008E5567"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>a insuficijencija</w:t>
            </w:r>
          </w:p>
        </w:tc>
      </w:tr>
      <w:tr w:rsidR="008E5567" w:rsidRPr="00202D4B" w14:paraId="6CAE399F" w14:textId="77777777" w:rsidTr="00183501">
        <w:trPr>
          <w:tblCellSpacing w:w="0" w:type="dxa"/>
        </w:trPr>
        <w:tc>
          <w:tcPr>
            <w:tcW w:w="219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433DC9B4" w14:textId="77777777" w:rsidR="008E5567" w:rsidRPr="00202D4B" w:rsidRDefault="008E5567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 xml:space="preserve">Vaskularni poremećaji </w:t>
            </w:r>
          </w:p>
          <w:p w14:paraId="1537C53A" w14:textId="346FD1F0" w:rsidR="008E5567" w:rsidRPr="00202D4B" w:rsidRDefault="008E5567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95F2ED" w14:textId="017EB564" w:rsidR="008E5567" w:rsidRPr="00202D4B" w:rsidRDefault="008E5567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1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95320E" w14:textId="77777777" w:rsidR="008E5567" w:rsidRPr="00202D4B" w:rsidRDefault="008E5567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 xml:space="preserve">Hipertenzija </w:t>
            </w:r>
          </w:p>
        </w:tc>
      </w:tr>
      <w:tr w:rsidR="008E5567" w:rsidRPr="00202D4B" w14:paraId="13C167AE" w14:textId="77777777" w:rsidTr="00183501">
        <w:trPr>
          <w:tblCellSpacing w:w="0" w:type="dxa"/>
        </w:trPr>
        <w:tc>
          <w:tcPr>
            <w:tcW w:w="219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E57063" w14:textId="7A12EDE8" w:rsidR="008E5567" w:rsidRPr="00202D4B" w:rsidRDefault="008E5567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1567E5" w14:textId="3404B4D0" w:rsidR="008E5567" w:rsidRPr="00202D4B" w:rsidRDefault="008E5567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1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3FA59E" w14:textId="77777777" w:rsidR="008E5567" w:rsidRPr="00202D4B" w:rsidRDefault="008E5567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>Venska tromboza/tromboembolija</w:t>
            </w:r>
          </w:p>
        </w:tc>
      </w:tr>
      <w:tr w:rsidR="00FA009A" w:rsidRPr="00202D4B" w14:paraId="3DEE16F3" w14:textId="77777777" w:rsidTr="00832150">
        <w:trPr>
          <w:tblCellSpacing w:w="0" w:type="dxa"/>
        </w:trPr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B34A69" w14:textId="77777777" w:rsidR="00FA009A" w:rsidRPr="00202D4B" w:rsidRDefault="00FA009A" w:rsidP="00832150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lastRenderedPageBreak/>
              <w:t>Respiratorni, torakalni i medijastinalni poremećaji</w:t>
            </w: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3A93EE" w14:textId="73339927" w:rsidR="00FA009A" w:rsidRPr="00202D4B" w:rsidRDefault="00FA009A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>Čest</w:t>
            </w:r>
            <w:r w:rsidR="008E5567"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>o</w:t>
            </w:r>
          </w:p>
        </w:tc>
        <w:tc>
          <w:tcPr>
            <w:tcW w:w="1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49FFFA" w14:textId="77777777" w:rsidR="00FA009A" w:rsidRPr="00202D4B" w:rsidRDefault="00FA009A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>Dispneja</w:t>
            </w:r>
          </w:p>
        </w:tc>
      </w:tr>
      <w:tr w:rsidR="008E5567" w:rsidRPr="00202D4B" w14:paraId="46CBD99D" w14:textId="77777777" w:rsidTr="00183501">
        <w:trPr>
          <w:tblCellSpacing w:w="0" w:type="dxa"/>
        </w:trPr>
        <w:tc>
          <w:tcPr>
            <w:tcW w:w="219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48FDAFAA" w14:textId="77777777" w:rsidR="008E5567" w:rsidRPr="00202D4B" w:rsidRDefault="008E5567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 xml:space="preserve">Gastrointestinalni poremećaji </w:t>
            </w:r>
          </w:p>
          <w:p w14:paraId="4748E9D2" w14:textId="77777777" w:rsidR="008E5567" w:rsidRPr="00202D4B" w:rsidRDefault="008E5567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> </w:t>
            </w:r>
          </w:p>
          <w:p w14:paraId="71F34F4D" w14:textId="533EE7B1" w:rsidR="008E5567" w:rsidRPr="00202D4B" w:rsidRDefault="008E5567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3633D0" w14:textId="25BF3C10" w:rsidR="008E5567" w:rsidRPr="00202D4B" w:rsidRDefault="008E5567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1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6E6956" w14:textId="77777777" w:rsidR="008E5567" w:rsidRPr="00202D4B" w:rsidRDefault="008E5567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>Konstipacija</w:t>
            </w:r>
          </w:p>
        </w:tc>
      </w:tr>
      <w:tr w:rsidR="008E5567" w:rsidRPr="00202D4B" w14:paraId="4CDF4425" w14:textId="77777777" w:rsidTr="00183501">
        <w:trPr>
          <w:tblCellSpacing w:w="0" w:type="dxa"/>
        </w:trPr>
        <w:tc>
          <w:tcPr>
            <w:tcW w:w="219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15683FEB" w14:textId="186DD7D4" w:rsidR="008E5567" w:rsidRPr="00202D4B" w:rsidRDefault="008E5567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68D2B7" w14:textId="2BE08C43" w:rsidR="008E5567" w:rsidRPr="00202D4B" w:rsidRDefault="008E5567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1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68A719" w14:textId="77777777" w:rsidR="008E5567" w:rsidRPr="00202D4B" w:rsidRDefault="008E5567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>Povraćanje</w:t>
            </w:r>
          </w:p>
        </w:tc>
      </w:tr>
      <w:tr w:rsidR="008E5567" w:rsidRPr="00202D4B" w14:paraId="5E513C7A" w14:textId="77777777" w:rsidTr="00183501">
        <w:trPr>
          <w:tblCellSpacing w:w="0" w:type="dxa"/>
        </w:trPr>
        <w:tc>
          <w:tcPr>
            <w:tcW w:w="219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462605" w14:textId="4944E99B" w:rsidR="008E5567" w:rsidRPr="00202D4B" w:rsidRDefault="008E5567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2D5AD8" w14:textId="54DE89DE" w:rsidR="008E5567" w:rsidRPr="00202D4B" w:rsidRDefault="008E5567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>Nepoznato</w:t>
            </w:r>
          </w:p>
        </w:tc>
        <w:tc>
          <w:tcPr>
            <w:tcW w:w="1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02DFD1" w14:textId="77777777" w:rsidR="008E5567" w:rsidRPr="00202D4B" w:rsidRDefault="008E5567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>Pankreatitis</w:t>
            </w:r>
            <w:r w:rsidRPr="00202D4B">
              <w:rPr>
                <w:rFonts w:eastAsia="Calibri"/>
                <w:noProof/>
                <w:sz w:val="22"/>
                <w:szCs w:val="22"/>
                <w:vertAlign w:val="superscript"/>
                <w:lang w:val="sr-Latn-ME"/>
              </w:rPr>
              <w:t>2</w:t>
            </w:r>
          </w:p>
        </w:tc>
      </w:tr>
      <w:tr w:rsidR="008E5567" w:rsidRPr="00202D4B" w14:paraId="1B2E0457" w14:textId="77777777" w:rsidTr="00183501">
        <w:trPr>
          <w:tblCellSpacing w:w="0" w:type="dxa"/>
        </w:trPr>
        <w:tc>
          <w:tcPr>
            <w:tcW w:w="219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6D89EF35" w14:textId="77777777" w:rsidR="008E5567" w:rsidRPr="00202D4B" w:rsidRDefault="008E5567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bCs/>
                <w:noProof/>
                <w:sz w:val="22"/>
                <w:szCs w:val="22"/>
                <w:lang w:val="sr-Latn-ME"/>
              </w:rPr>
              <w:t>Poremećaji jetre i žuči</w:t>
            </w:r>
          </w:p>
          <w:p w14:paraId="5FAAAAC1" w14:textId="5943EF54" w:rsidR="008E5567" w:rsidRPr="00202D4B" w:rsidRDefault="008E5567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659A89" w14:textId="6C543005" w:rsidR="008E5567" w:rsidRPr="00202D4B" w:rsidRDefault="008E5567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1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E64D3E" w14:textId="264168E0" w:rsidR="008E5567" w:rsidRPr="00202D4B" w:rsidRDefault="008E5567" w:rsidP="00832150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 xml:space="preserve">Povišene vrijednosti testova jetrene funkcije </w:t>
            </w:r>
          </w:p>
        </w:tc>
      </w:tr>
      <w:tr w:rsidR="008E5567" w:rsidRPr="00202D4B" w14:paraId="4B11B561" w14:textId="77777777" w:rsidTr="00183501">
        <w:trPr>
          <w:tblCellSpacing w:w="0" w:type="dxa"/>
        </w:trPr>
        <w:tc>
          <w:tcPr>
            <w:tcW w:w="219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935A7" w14:textId="23D90FE8" w:rsidR="008E5567" w:rsidRPr="00202D4B" w:rsidRDefault="008E5567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3C1C6A" w14:textId="08E32423" w:rsidR="008E5567" w:rsidRPr="00202D4B" w:rsidRDefault="008E5567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>Nepoznato</w:t>
            </w:r>
          </w:p>
        </w:tc>
        <w:tc>
          <w:tcPr>
            <w:tcW w:w="1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1AD2B2" w14:textId="77777777" w:rsidR="008E5567" w:rsidRPr="00202D4B" w:rsidRDefault="008E5567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 xml:space="preserve">Hepatitis </w:t>
            </w:r>
          </w:p>
        </w:tc>
      </w:tr>
      <w:tr w:rsidR="008E5567" w:rsidRPr="00202D4B" w14:paraId="1DF2EEF1" w14:textId="77777777" w:rsidTr="00183501">
        <w:trPr>
          <w:tblCellSpacing w:w="0" w:type="dxa"/>
        </w:trPr>
        <w:tc>
          <w:tcPr>
            <w:tcW w:w="219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168255B" w14:textId="27B832B5" w:rsidR="008E5567" w:rsidRPr="00202D4B" w:rsidRDefault="008E5567" w:rsidP="00832150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>Opšti poremećaji i reakcije na mjestu primjene</w:t>
            </w: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6DC2BE" w14:textId="6BCF44BD" w:rsidR="008E5567" w:rsidRPr="00202D4B" w:rsidRDefault="008E5567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1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D4ACB7" w14:textId="77777777" w:rsidR="008E5567" w:rsidRPr="00202D4B" w:rsidRDefault="008E5567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>Glavobolja</w:t>
            </w:r>
          </w:p>
        </w:tc>
      </w:tr>
      <w:tr w:rsidR="008E5567" w:rsidRPr="00202D4B" w14:paraId="130B6630" w14:textId="77777777" w:rsidTr="00183501">
        <w:trPr>
          <w:tblCellSpacing w:w="0" w:type="dxa"/>
        </w:trPr>
        <w:tc>
          <w:tcPr>
            <w:tcW w:w="219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C55890" w14:textId="77777777" w:rsidR="008E5567" w:rsidRPr="00202D4B" w:rsidRDefault="008E5567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E34AF4" w14:textId="486886A0" w:rsidR="008E5567" w:rsidRPr="00202D4B" w:rsidRDefault="008E5567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1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BF46C9" w14:textId="77777777" w:rsidR="008E5567" w:rsidRPr="00202D4B" w:rsidRDefault="008E5567" w:rsidP="00832150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  <w:sz w:val="22"/>
                <w:szCs w:val="22"/>
                <w:lang w:val="sr-Latn-ME"/>
              </w:rPr>
            </w:pPr>
            <w:r w:rsidRPr="00202D4B">
              <w:rPr>
                <w:rFonts w:eastAsia="Calibri"/>
                <w:noProof/>
                <w:sz w:val="22"/>
                <w:szCs w:val="22"/>
                <w:lang w:val="sr-Latn-ME"/>
              </w:rPr>
              <w:t>Umor</w:t>
            </w:r>
          </w:p>
        </w:tc>
      </w:tr>
    </w:tbl>
    <w:p w14:paraId="5E630297" w14:textId="1328A5CB" w:rsidR="00FA009A" w:rsidRPr="00202D4B" w:rsidRDefault="00FA009A" w:rsidP="00FA009A">
      <w:pPr>
        <w:autoSpaceDE w:val="0"/>
        <w:autoSpaceDN w:val="0"/>
        <w:adjustRightInd w:val="0"/>
        <w:jc w:val="both"/>
        <w:rPr>
          <w:rFonts w:eastAsia="Calibri"/>
          <w:noProof/>
          <w:sz w:val="22"/>
          <w:szCs w:val="22"/>
          <w:lang w:val="sr-Latn-ME"/>
        </w:rPr>
      </w:pPr>
      <w:r w:rsidRPr="00202D4B">
        <w:rPr>
          <w:rFonts w:eastAsia="Calibri"/>
          <w:noProof/>
          <w:sz w:val="22"/>
          <w:szCs w:val="22"/>
          <w:vertAlign w:val="superscript"/>
          <w:lang w:val="sr-Latn-ME"/>
        </w:rPr>
        <w:t>1</w:t>
      </w:r>
      <w:r w:rsidRPr="00202D4B">
        <w:rPr>
          <w:rFonts w:eastAsia="Calibri"/>
          <w:noProof/>
          <w:sz w:val="22"/>
          <w:szCs w:val="22"/>
          <w:lang w:val="sr-Latn-ME"/>
        </w:rPr>
        <w:t xml:space="preserve"> Halucinacije su većinom zapažene kod pacijenata s</w:t>
      </w:r>
      <w:r w:rsidR="00996226" w:rsidRPr="00202D4B">
        <w:rPr>
          <w:rFonts w:eastAsia="Calibri"/>
          <w:noProof/>
          <w:sz w:val="22"/>
          <w:szCs w:val="22"/>
          <w:lang w:val="sr-Latn-ME"/>
        </w:rPr>
        <w:t>a</w:t>
      </w:r>
      <w:r w:rsidRPr="00202D4B">
        <w:rPr>
          <w:rFonts w:eastAsia="Calibri"/>
          <w:noProof/>
          <w:sz w:val="22"/>
          <w:szCs w:val="22"/>
          <w:lang w:val="sr-Latn-ME"/>
        </w:rPr>
        <w:t xml:space="preserve"> teškom Alzheimer</w:t>
      </w:r>
      <w:r w:rsidR="00996226" w:rsidRPr="00202D4B">
        <w:rPr>
          <w:rFonts w:eastAsia="Calibri"/>
          <w:noProof/>
          <w:sz w:val="22"/>
          <w:szCs w:val="22"/>
          <w:lang w:val="sr-Latn-ME"/>
        </w:rPr>
        <w:t>-</w:t>
      </w:r>
      <w:r w:rsidRPr="00202D4B">
        <w:rPr>
          <w:rFonts w:eastAsia="Calibri"/>
          <w:noProof/>
          <w:sz w:val="22"/>
          <w:szCs w:val="22"/>
          <w:lang w:val="sr-Latn-ME"/>
        </w:rPr>
        <w:t>ovom bolešću.</w:t>
      </w:r>
    </w:p>
    <w:p w14:paraId="17674C13" w14:textId="1F4391BC" w:rsidR="00FA009A" w:rsidRPr="00202D4B" w:rsidRDefault="00FA009A" w:rsidP="00FA009A">
      <w:pPr>
        <w:autoSpaceDE w:val="0"/>
        <w:autoSpaceDN w:val="0"/>
        <w:adjustRightInd w:val="0"/>
        <w:jc w:val="both"/>
        <w:rPr>
          <w:rFonts w:eastAsia="Calibri"/>
          <w:noProof/>
          <w:sz w:val="22"/>
          <w:szCs w:val="22"/>
          <w:lang w:val="sr-Latn-ME"/>
        </w:rPr>
      </w:pPr>
      <w:r w:rsidRPr="00202D4B">
        <w:rPr>
          <w:rFonts w:eastAsia="Calibri"/>
          <w:noProof/>
          <w:sz w:val="22"/>
          <w:szCs w:val="22"/>
          <w:vertAlign w:val="superscript"/>
          <w:lang w:val="sr-Latn-ME"/>
        </w:rPr>
        <w:t>2</w:t>
      </w:r>
      <w:r w:rsidRPr="00202D4B">
        <w:rPr>
          <w:rFonts w:eastAsia="Calibri"/>
          <w:noProof/>
          <w:sz w:val="22"/>
          <w:szCs w:val="22"/>
          <w:lang w:val="sr-Latn-ME"/>
        </w:rPr>
        <w:t xml:space="preserve"> Izol</w:t>
      </w:r>
      <w:r w:rsidR="00996226" w:rsidRPr="00202D4B">
        <w:rPr>
          <w:rFonts w:eastAsia="Calibri"/>
          <w:noProof/>
          <w:sz w:val="22"/>
          <w:szCs w:val="22"/>
          <w:lang w:val="sr-Latn-ME"/>
        </w:rPr>
        <w:t>ov</w:t>
      </w:r>
      <w:r w:rsidRPr="00202D4B">
        <w:rPr>
          <w:rFonts w:eastAsia="Calibri"/>
          <w:noProof/>
          <w:sz w:val="22"/>
          <w:szCs w:val="22"/>
          <w:lang w:val="sr-Latn-ME"/>
        </w:rPr>
        <w:t>ani slučajevi koji su zabilježeni nakon stavljanja lijeka u promet.</w:t>
      </w:r>
    </w:p>
    <w:p w14:paraId="70DE39FC" w14:textId="77777777" w:rsidR="00FA009A" w:rsidRPr="00202D4B" w:rsidRDefault="00FA009A" w:rsidP="00FA009A">
      <w:pPr>
        <w:autoSpaceDE w:val="0"/>
        <w:autoSpaceDN w:val="0"/>
        <w:adjustRightInd w:val="0"/>
        <w:jc w:val="both"/>
        <w:rPr>
          <w:rFonts w:eastAsia="Calibri"/>
          <w:noProof/>
          <w:sz w:val="22"/>
          <w:szCs w:val="22"/>
          <w:lang w:val="sr-Latn-ME"/>
        </w:rPr>
      </w:pPr>
    </w:p>
    <w:p w14:paraId="18636485" w14:textId="0A0319E0" w:rsidR="00FA009A" w:rsidRPr="00202D4B" w:rsidRDefault="00FA009A" w:rsidP="00FA009A">
      <w:pPr>
        <w:autoSpaceDE w:val="0"/>
        <w:autoSpaceDN w:val="0"/>
        <w:adjustRightInd w:val="0"/>
        <w:jc w:val="both"/>
        <w:rPr>
          <w:rFonts w:eastAsia="Calibri"/>
          <w:noProof/>
          <w:sz w:val="22"/>
          <w:szCs w:val="22"/>
          <w:lang w:val="sr-Latn-ME"/>
        </w:rPr>
      </w:pPr>
      <w:r w:rsidRPr="00202D4B">
        <w:rPr>
          <w:rFonts w:eastAsia="Calibri"/>
          <w:noProof/>
          <w:sz w:val="22"/>
          <w:szCs w:val="22"/>
          <w:lang w:val="sr-Latn-ME"/>
        </w:rPr>
        <w:t>Alzheimer</w:t>
      </w:r>
      <w:r w:rsidR="00996226" w:rsidRPr="00202D4B">
        <w:rPr>
          <w:rFonts w:eastAsia="Calibri"/>
          <w:noProof/>
          <w:sz w:val="22"/>
          <w:szCs w:val="22"/>
          <w:lang w:val="sr-Latn-ME"/>
        </w:rPr>
        <w:t>-</w:t>
      </w:r>
      <w:r w:rsidRPr="00202D4B">
        <w:rPr>
          <w:rFonts w:eastAsia="Calibri"/>
          <w:noProof/>
          <w:sz w:val="22"/>
          <w:szCs w:val="22"/>
          <w:lang w:val="sr-Latn-ME"/>
        </w:rPr>
        <w:t>ova bolest je povezana s</w:t>
      </w:r>
      <w:r w:rsidR="00996226" w:rsidRPr="00202D4B">
        <w:rPr>
          <w:rFonts w:eastAsia="Calibri"/>
          <w:noProof/>
          <w:sz w:val="22"/>
          <w:szCs w:val="22"/>
          <w:lang w:val="sr-Latn-ME"/>
        </w:rPr>
        <w:t>a</w:t>
      </w:r>
      <w:r w:rsidRPr="00202D4B">
        <w:rPr>
          <w:rFonts w:eastAsia="Calibri"/>
          <w:noProof/>
          <w:sz w:val="22"/>
          <w:szCs w:val="22"/>
          <w:lang w:val="sr-Latn-ME"/>
        </w:rPr>
        <w:t xml:space="preserve"> depresijom, suicidalnim </w:t>
      </w:r>
      <w:r w:rsidR="00996226" w:rsidRPr="00202D4B">
        <w:rPr>
          <w:rFonts w:eastAsia="Calibri"/>
          <w:noProof/>
          <w:sz w:val="22"/>
          <w:szCs w:val="22"/>
          <w:lang w:val="sr-Latn-ME"/>
        </w:rPr>
        <w:t xml:space="preserve">mislima </w:t>
      </w:r>
      <w:r w:rsidRPr="00202D4B">
        <w:rPr>
          <w:rFonts w:eastAsia="Calibri"/>
          <w:noProof/>
          <w:sz w:val="22"/>
          <w:szCs w:val="22"/>
          <w:lang w:val="sr-Latn-ME"/>
        </w:rPr>
        <w:t>i sa suicidom. Tokom postmarketinškog perioda, ovi događaji zabilježeni su kod pacijenata liječenih memantinom.</w:t>
      </w:r>
    </w:p>
    <w:p w14:paraId="3814126A" w14:textId="77777777" w:rsidR="00FA009A" w:rsidRPr="00202D4B" w:rsidRDefault="00FA009A" w:rsidP="00FA009A">
      <w:pPr>
        <w:autoSpaceDE w:val="0"/>
        <w:autoSpaceDN w:val="0"/>
        <w:adjustRightInd w:val="0"/>
        <w:jc w:val="both"/>
        <w:rPr>
          <w:rFonts w:eastAsia="Calibri"/>
          <w:noProof/>
          <w:sz w:val="22"/>
          <w:szCs w:val="22"/>
          <w:lang w:val="sr-Latn-ME"/>
        </w:rPr>
      </w:pPr>
    </w:p>
    <w:p w14:paraId="75134D03" w14:textId="77777777" w:rsidR="00FA009A" w:rsidRPr="00202D4B" w:rsidRDefault="00FA009A" w:rsidP="00FA009A">
      <w:pPr>
        <w:spacing w:after="200" w:line="276" w:lineRule="auto"/>
        <w:jc w:val="both"/>
        <w:rPr>
          <w:rFonts w:eastAsia="Calibri"/>
          <w:noProof/>
          <w:sz w:val="22"/>
          <w:szCs w:val="22"/>
          <w:u w:val="single"/>
          <w:lang w:val="sr-Latn-ME"/>
        </w:rPr>
      </w:pPr>
      <w:r w:rsidRPr="00202D4B">
        <w:rPr>
          <w:rFonts w:eastAsia="Calibri"/>
          <w:noProof/>
          <w:sz w:val="22"/>
          <w:szCs w:val="22"/>
          <w:u w:val="single"/>
          <w:lang w:val="sr-Latn-ME"/>
        </w:rPr>
        <w:t>Prijavljivanje sumnji na neželjena dejstva</w:t>
      </w:r>
    </w:p>
    <w:p w14:paraId="007E6A80" w14:textId="77777777" w:rsidR="00FA009A" w:rsidRPr="00202D4B" w:rsidRDefault="00FA009A" w:rsidP="00FA009A">
      <w:pPr>
        <w:spacing w:after="200"/>
        <w:jc w:val="both"/>
        <w:rPr>
          <w:rFonts w:eastAsia="Calibri"/>
          <w:noProof/>
          <w:sz w:val="22"/>
          <w:szCs w:val="22"/>
          <w:lang w:val="sr-Latn-ME"/>
        </w:rPr>
      </w:pPr>
      <w:r w:rsidRPr="00202D4B">
        <w:rPr>
          <w:rFonts w:eastAsia="Calibri"/>
          <w:noProof/>
          <w:sz w:val="22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0CC84E1A" w14:textId="77777777" w:rsidR="00FA009A" w:rsidRPr="00202D4B" w:rsidRDefault="00FA009A" w:rsidP="00FA009A">
      <w:pPr>
        <w:pStyle w:val="NoSpacing"/>
        <w:jc w:val="both"/>
        <w:rPr>
          <w:rFonts w:eastAsia="Calibri"/>
          <w:noProof/>
          <w:sz w:val="22"/>
          <w:szCs w:val="22"/>
          <w:lang w:val="sr-Latn-ME"/>
        </w:rPr>
      </w:pPr>
      <w:r w:rsidRPr="00202D4B">
        <w:rPr>
          <w:rFonts w:eastAsia="Calibri"/>
          <w:noProof/>
          <w:sz w:val="22"/>
          <w:szCs w:val="22"/>
          <w:lang w:val="sr-Latn-ME"/>
        </w:rPr>
        <w:t xml:space="preserve">Institut za ljekove i medicinska sredstva </w:t>
      </w:r>
    </w:p>
    <w:p w14:paraId="7B68E541" w14:textId="77777777" w:rsidR="00FA009A" w:rsidRPr="00202D4B" w:rsidRDefault="00FA009A" w:rsidP="00FA009A">
      <w:pPr>
        <w:pStyle w:val="NoSpacing"/>
        <w:jc w:val="both"/>
        <w:rPr>
          <w:rFonts w:eastAsia="Calibri"/>
          <w:noProof/>
          <w:sz w:val="22"/>
          <w:szCs w:val="22"/>
          <w:lang w:val="sr-Latn-ME"/>
        </w:rPr>
      </w:pPr>
      <w:r w:rsidRPr="00202D4B">
        <w:rPr>
          <w:rFonts w:eastAsia="Calibri"/>
          <w:noProof/>
          <w:sz w:val="22"/>
          <w:szCs w:val="22"/>
          <w:lang w:val="sr-Latn-ME"/>
        </w:rPr>
        <w:t>Odjeljenje za farmakovigilancu</w:t>
      </w:r>
    </w:p>
    <w:p w14:paraId="022FE198" w14:textId="77777777" w:rsidR="00FA009A" w:rsidRPr="00202D4B" w:rsidRDefault="00FA009A" w:rsidP="00FA009A">
      <w:pPr>
        <w:pStyle w:val="NoSpacing"/>
        <w:jc w:val="both"/>
        <w:rPr>
          <w:rFonts w:eastAsia="Calibri"/>
          <w:noProof/>
          <w:sz w:val="22"/>
          <w:szCs w:val="22"/>
          <w:lang w:val="sr-Latn-ME"/>
        </w:rPr>
      </w:pPr>
      <w:r w:rsidRPr="00202D4B">
        <w:rPr>
          <w:rFonts w:eastAsia="Calibri"/>
          <w:noProof/>
          <w:sz w:val="22"/>
          <w:szCs w:val="22"/>
          <w:lang w:val="sr-Latn-ME"/>
        </w:rPr>
        <w:t>Bulevar Ivana Crnojevića 64a, 81000 Podgorica</w:t>
      </w:r>
    </w:p>
    <w:p w14:paraId="01EE408A" w14:textId="77777777" w:rsidR="00FA009A" w:rsidRPr="00202D4B" w:rsidRDefault="00FA009A" w:rsidP="00FA009A">
      <w:pPr>
        <w:pStyle w:val="NoSpacing"/>
        <w:jc w:val="both"/>
        <w:rPr>
          <w:rFonts w:eastAsia="Calibri"/>
          <w:noProof/>
          <w:sz w:val="22"/>
          <w:szCs w:val="22"/>
          <w:lang w:val="sr-Latn-ME"/>
        </w:rPr>
      </w:pPr>
    </w:p>
    <w:p w14:paraId="2C2EAA14" w14:textId="77777777" w:rsidR="00FA009A" w:rsidRPr="00202D4B" w:rsidRDefault="00FA009A" w:rsidP="00FA009A">
      <w:pPr>
        <w:pStyle w:val="NoSpacing"/>
        <w:jc w:val="both"/>
        <w:rPr>
          <w:rFonts w:eastAsia="Calibri"/>
          <w:noProof/>
          <w:sz w:val="22"/>
          <w:szCs w:val="22"/>
          <w:lang w:val="sr-Latn-ME"/>
        </w:rPr>
      </w:pPr>
      <w:r w:rsidRPr="00202D4B">
        <w:rPr>
          <w:rFonts w:eastAsia="Calibri"/>
          <w:noProof/>
          <w:sz w:val="22"/>
          <w:szCs w:val="22"/>
          <w:lang w:val="sr-Latn-ME"/>
        </w:rPr>
        <w:t>tel: +382 (0) 20 310 280</w:t>
      </w:r>
    </w:p>
    <w:p w14:paraId="153F97BB" w14:textId="77777777" w:rsidR="00FA009A" w:rsidRPr="00202D4B" w:rsidRDefault="00FA009A" w:rsidP="00FA009A">
      <w:pPr>
        <w:pStyle w:val="NoSpacing"/>
        <w:jc w:val="both"/>
        <w:rPr>
          <w:rFonts w:eastAsia="Calibri"/>
          <w:noProof/>
          <w:sz w:val="22"/>
          <w:szCs w:val="22"/>
          <w:lang w:val="sr-Latn-ME"/>
        </w:rPr>
      </w:pPr>
      <w:r w:rsidRPr="00202D4B">
        <w:rPr>
          <w:rFonts w:eastAsia="Calibri"/>
          <w:noProof/>
          <w:sz w:val="22"/>
          <w:szCs w:val="22"/>
          <w:lang w:val="sr-Latn-ME"/>
        </w:rPr>
        <w:t>fax: +382 (0) 20 310 581</w:t>
      </w:r>
    </w:p>
    <w:p w14:paraId="43ACA44B" w14:textId="77777777" w:rsidR="00FA009A" w:rsidRPr="00202D4B" w:rsidRDefault="00FA5E69" w:rsidP="00FA009A">
      <w:pPr>
        <w:pStyle w:val="NoSpacing"/>
        <w:jc w:val="both"/>
        <w:rPr>
          <w:rFonts w:eastAsia="Calibri"/>
          <w:noProof/>
          <w:sz w:val="22"/>
          <w:szCs w:val="22"/>
          <w:lang w:val="sr-Latn-ME"/>
        </w:rPr>
      </w:pPr>
      <w:hyperlink r:id="rId8" w:history="1">
        <w:r w:rsidR="00FA009A" w:rsidRPr="00202D4B">
          <w:rPr>
            <w:rStyle w:val="Hyperlink"/>
            <w:rFonts w:eastAsia="Calibri"/>
            <w:noProof/>
            <w:sz w:val="22"/>
            <w:szCs w:val="22"/>
            <w:lang w:val="sr-Latn-ME"/>
          </w:rPr>
          <w:t>www.cinmed.me</w:t>
        </w:r>
      </w:hyperlink>
    </w:p>
    <w:p w14:paraId="5127B666" w14:textId="77777777" w:rsidR="00FA009A" w:rsidRPr="00202D4B" w:rsidRDefault="00FA5E69" w:rsidP="00FA009A">
      <w:pPr>
        <w:pStyle w:val="NoSpacing"/>
        <w:jc w:val="both"/>
        <w:rPr>
          <w:rFonts w:eastAsia="Calibri"/>
          <w:noProof/>
          <w:color w:val="0000FF"/>
          <w:sz w:val="22"/>
          <w:szCs w:val="22"/>
          <w:u w:val="single"/>
          <w:lang w:val="sr-Latn-ME"/>
        </w:rPr>
      </w:pPr>
      <w:hyperlink r:id="rId9" w:history="1">
        <w:r w:rsidR="00FA009A" w:rsidRPr="00202D4B">
          <w:rPr>
            <w:rStyle w:val="Hyperlink"/>
            <w:rFonts w:eastAsia="Calibri"/>
            <w:noProof/>
            <w:sz w:val="22"/>
            <w:szCs w:val="22"/>
            <w:lang w:val="sr-Latn-ME"/>
          </w:rPr>
          <w:t>nezeljenadejstva@cinmed.me</w:t>
        </w:r>
      </w:hyperlink>
    </w:p>
    <w:p w14:paraId="7B8D4922" w14:textId="77777777" w:rsidR="00FA009A" w:rsidRPr="00202D4B" w:rsidRDefault="00FA009A" w:rsidP="00FA009A">
      <w:pPr>
        <w:pStyle w:val="NoSpacing"/>
        <w:jc w:val="both"/>
        <w:rPr>
          <w:rFonts w:eastAsia="Calibri"/>
          <w:noProof/>
          <w:sz w:val="22"/>
          <w:szCs w:val="22"/>
          <w:lang w:val="sr-Latn-ME"/>
        </w:rPr>
      </w:pPr>
      <w:r w:rsidRPr="00202D4B">
        <w:rPr>
          <w:rFonts w:eastAsia="Calibri"/>
          <w:noProof/>
          <w:sz w:val="22"/>
          <w:szCs w:val="22"/>
          <w:lang w:val="sr-Latn-ME"/>
        </w:rPr>
        <w:t>putem IS zdravstvene zaštite</w:t>
      </w:r>
    </w:p>
    <w:p w14:paraId="763B94A2" w14:textId="77777777" w:rsidR="00FA009A" w:rsidRPr="00202D4B" w:rsidRDefault="00FA009A" w:rsidP="00FA009A">
      <w:pPr>
        <w:pStyle w:val="NoSpacing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>QR kod za online prijavu sumnje na neželjeno dejstvo lijeka:</w:t>
      </w:r>
    </w:p>
    <w:p w14:paraId="66C211A5" w14:textId="77777777" w:rsidR="00FA009A" w:rsidRPr="00202D4B" w:rsidRDefault="00FA009A" w:rsidP="00FA009A">
      <w:pPr>
        <w:pStyle w:val="NoSpacing"/>
        <w:rPr>
          <w:b/>
          <w:bCs/>
          <w:noProof/>
          <w:sz w:val="22"/>
          <w:szCs w:val="22"/>
          <w:lang w:val="sr-Latn-ME"/>
        </w:rPr>
      </w:pPr>
    </w:p>
    <w:p w14:paraId="3E2BDE74" w14:textId="77777777" w:rsidR="00FA009A" w:rsidRPr="00202D4B" w:rsidRDefault="00FA009A" w:rsidP="00FA009A">
      <w:pPr>
        <w:pStyle w:val="NoSpacing"/>
        <w:jc w:val="both"/>
        <w:rPr>
          <w:b/>
          <w:bCs/>
          <w:noProof/>
          <w:sz w:val="22"/>
          <w:szCs w:val="22"/>
          <w:lang w:val="sr-Latn-ME"/>
        </w:rPr>
      </w:pPr>
      <w:r w:rsidRPr="00202D4B">
        <w:rPr>
          <w:b/>
          <w:bCs/>
          <w:noProof/>
          <w:sz w:val="22"/>
          <w:szCs w:val="22"/>
          <w:lang w:val="sr-Latn-ME"/>
        </w:rPr>
        <w:drawing>
          <wp:inline distT="0" distB="0" distL="0" distR="0" wp14:anchorId="22A36876" wp14:editId="71EB2E9C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01D71E" w14:textId="77777777" w:rsidR="00FA009A" w:rsidRPr="00202D4B" w:rsidRDefault="00FA009A" w:rsidP="00FA009A">
      <w:pPr>
        <w:autoSpaceDE w:val="0"/>
        <w:autoSpaceDN w:val="0"/>
        <w:adjustRightInd w:val="0"/>
        <w:jc w:val="both"/>
        <w:rPr>
          <w:rFonts w:eastAsia="Calibri"/>
          <w:noProof/>
          <w:sz w:val="22"/>
          <w:szCs w:val="22"/>
          <w:u w:val="single"/>
          <w:lang w:val="sr-Latn-ME"/>
        </w:rPr>
      </w:pPr>
    </w:p>
    <w:p w14:paraId="7A6A5019" w14:textId="77777777" w:rsidR="00FA009A" w:rsidRPr="00202D4B" w:rsidRDefault="00FA009A" w:rsidP="00FA009A">
      <w:pPr>
        <w:pStyle w:val="ListParagraph"/>
        <w:numPr>
          <w:ilvl w:val="1"/>
          <w:numId w:val="4"/>
        </w:num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202D4B">
        <w:rPr>
          <w:b/>
          <w:bCs/>
          <w:noProof/>
          <w:sz w:val="22"/>
          <w:szCs w:val="22"/>
          <w:lang w:val="sr-Latn-ME"/>
        </w:rPr>
        <w:t xml:space="preserve">Predoziranje </w:t>
      </w:r>
    </w:p>
    <w:p w14:paraId="5B8FCD1C" w14:textId="77777777" w:rsidR="00FA009A" w:rsidRPr="00202D4B" w:rsidRDefault="00FA009A" w:rsidP="00FA009A">
      <w:pPr>
        <w:autoSpaceDE w:val="0"/>
        <w:autoSpaceDN w:val="0"/>
        <w:adjustRightInd w:val="0"/>
        <w:jc w:val="both"/>
        <w:rPr>
          <w:rFonts w:eastAsia="Calibri"/>
          <w:noProof/>
          <w:sz w:val="22"/>
          <w:szCs w:val="22"/>
          <w:lang w:val="sr-Latn-ME"/>
        </w:rPr>
      </w:pPr>
    </w:p>
    <w:p w14:paraId="36BC9918" w14:textId="609CE60B" w:rsidR="00FA009A" w:rsidRPr="00202D4B" w:rsidRDefault="00FA009A" w:rsidP="00FA009A">
      <w:pPr>
        <w:autoSpaceDE w:val="0"/>
        <w:autoSpaceDN w:val="0"/>
        <w:adjustRightInd w:val="0"/>
        <w:jc w:val="both"/>
        <w:rPr>
          <w:rFonts w:eastAsia="Calibri"/>
          <w:noProof/>
          <w:sz w:val="22"/>
          <w:szCs w:val="22"/>
          <w:lang w:val="sr-Latn-ME"/>
        </w:rPr>
      </w:pPr>
      <w:r w:rsidRPr="00202D4B">
        <w:rPr>
          <w:rFonts w:eastAsia="Calibri"/>
          <w:noProof/>
          <w:sz w:val="22"/>
          <w:szCs w:val="22"/>
          <w:lang w:val="sr-Latn-ME"/>
        </w:rPr>
        <w:t>Dostupno je samo ograničeno iskustvo u vezi s</w:t>
      </w:r>
      <w:r w:rsidR="00B37E08" w:rsidRPr="00202D4B">
        <w:rPr>
          <w:rFonts w:eastAsia="Calibri"/>
          <w:noProof/>
          <w:sz w:val="22"/>
          <w:szCs w:val="22"/>
          <w:lang w:val="sr-Latn-ME"/>
        </w:rPr>
        <w:t>a</w:t>
      </w:r>
      <w:r w:rsidRPr="00202D4B">
        <w:rPr>
          <w:rFonts w:eastAsia="Calibri"/>
          <w:noProof/>
          <w:sz w:val="22"/>
          <w:szCs w:val="22"/>
          <w:lang w:val="sr-Latn-ME"/>
        </w:rPr>
        <w:t xml:space="preserve"> predoziranjem memantin</w:t>
      </w:r>
      <w:r w:rsidR="00B37E08" w:rsidRPr="00202D4B">
        <w:rPr>
          <w:rFonts w:eastAsia="Calibri"/>
          <w:noProof/>
          <w:sz w:val="22"/>
          <w:szCs w:val="22"/>
          <w:lang w:val="sr-Latn-ME"/>
        </w:rPr>
        <w:t>om</w:t>
      </w:r>
      <w:r w:rsidRPr="00202D4B">
        <w:rPr>
          <w:rFonts w:eastAsia="Calibri"/>
          <w:noProof/>
          <w:sz w:val="22"/>
          <w:szCs w:val="22"/>
          <w:lang w:val="sr-Latn-ME"/>
        </w:rPr>
        <w:t xml:space="preserve">, i to iz kliničkih studija i tokom postmarketinškog </w:t>
      </w:r>
      <w:r w:rsidR="008D1298" w:rsidRPr="00202D4B">
        <w:rPr>
          <w:rFonts w:eastAsia="Calibri"/>
          <w:noProof/>
          <w:sz w:val="22"/>
          <w:szCs w:val="22"/>
          <w:lang w:val="sr-Latn-ME"/>
        </w:rPr>
        <w:t xml:space="preserve">praćenja </w:t>
      </w:r>
      <w:r w:rsidRPr="00202D4B">
        <w:rPr>
          <w:rFonts w:eastAsia="Calibri"/>
          <w:noProof/>
          <w:sz w:val="22"/>
          <w:szCs w:val="22"/>
          <w:lang w:val="sr-Latn-ME"/>
        </w:rPr>
        <w:t>lijeka.</w:t>
      </w:r>
    </w:p>
    <w:p w14:paraId="0FE6EBE6" w14:textId="77777777" w:rsidR="005850C4" w:rsidRPr="00202D4B" w:rsidRDefault="005850C4" w:rsidP="00FA009A">
      <w:pPr>
        <w:autoSpaceDE w:val="0"/>
        <w:autoSpaceDN w:val="0"/>
        <w:adjustRightInd w:val="0"/>
        <w:jc w:val="both"/>
        <w:rPr>
          <w:rFonts w:eastAsia="Calibri"/>
          <w:noProof/>
          <w:sz w:val="22"/>
          <w:szCs w:val="22"/>
          <w:lang w:val="sr-Latn-ME"/>
        </w:rPr>
      </w:pPr>
    </w:p>
    <w:p w14:paraId="3C000DED" w14:textId="77777777" w:rsidR="00FA009A" w:rsidRPr="00202D4B" w:rsidRDefault="00FA009A" w:rsidP="00FA009A">
      <w:pPr>
        <w:autoSpaceDE w:val="0"/>
        <w:autoSpaceDN w:val="0"/>
        <w:adjustRightInd w:val="0"/>
        <w:jc w:val="both"/>
        <w:rPr>
          <w:rFonts w:eastAsia="Calibri"/>
          <w:noProof/>
          <w:sz w:val="22"/>
          <w:szCs w:val="22"/>
          <w:u w:val="single"/>
          <w:lang w:val="sr-Latn-ME"/>
        </w:rPr>
      </w:pPr>
      <w:r w:rsidRPr="00202D4B">
        <w:rPr>
          <w:rFonts w:eastAsia="Calibri"/>
          <w:noProof/>
          <w:sz w:val="22"/>
          <w:szCs w:val="22"/>
          <w:u w:val="single"/>
          <w:lang w:val="sr-Latn-ME"/>
        </w:rPr>
        <w:t>Simptomi</w:t>
      </w:r>
    </w:p>
    <w:p w14:paraId="69232313" w14:textId="2DF4EC58" w:rsidR="00FA009A" w:rsidRPr="00202D4B" w:rsidRDefault="00FA009A" w:rsidP="00FA009A">
      <w:pPr>
        <w:autoSpaceDE w:val="0"/>
        <w:autoSpaceDN w:val="0"/>
        <w:adjustRightInd w:val="0"/>
        <w:jc w:val="both"/>
        <w:rPr>
          <w:rFonts w:eastAsia="Calibri"/>
          <w:noProof/>
          <w:sz w:val="22"/>
          <w:szCs w:val="22"/>
          <w:lang w:val="sr-Latn-ME"/>
        </w:rPr>
      </w:pPr>
      <w:r w:rsidRPr="00202D4B">
        <w:rPr>
          <w:rFonts w:eastAsia="Calibri"/>
          <w:noProof/>
          <w:sz w:val="22"/>
          <w:szCs w:val="22"/>
          <w:lang w:val="sr-Latn-ME"/>
        </w:rPr>
        <w:t xml:space="preserve">Relativno velika predoziranja (200 mg i 105 mg/dan, tokom 3 dana) povezana su </w:t>
      </w:r>
      <w:r w:rsidR="00AE2319" w:rsidRPr="00202D4B">
        <w:rPr>
          <w:rFonts w:eastAsia="Calibri"/>
          <w:noProof/>
          <w:sz w:val="22"/>
          <w:szCs w:val="22"/>
          <w:lang w:val="sr-Latn-ME"/>
        </w:rPr>
        <w:t xml:space="preserve">ili </w:t>
      </w:r>
      <w:r w:rsidRPr="00202D4B">
        <w:rPr>
          <w:rFonts w:eastAsia="Calibri"/>
          <w:noProof/>
          <w:sz w:val="22"/>
          <w:szCs w:val="22"/>
          <w:lang w:val="sr-Latn-ME"/>
        </w:rPr>
        <w:t xml:space="preserve">samo sa simptomima umora, slabosti i/ili dijareje ili su </w:t>
      </w:r>
      <w:r w:rsidR="00AE2319" w:rsidRPr="00202D4B">
        <w:rPr>
          <w:rFonts w:eastAsia="Calibri"/>
          <w:noProof/>
          <w:sz w:val="22"/>
          <w:szCs w:val="22"/>
          <w:lang w:val="sr-Latn-ME"/>
        </w:rPr>
        <w:t xml:space="preserve">bez </w:t>
      </w:r>
      <w:r w:rsidRPr="00202D4B">
        <w:rPr>
          <w:rFonts w:eastAsia="Calibri"/>
          <w:noProof/>
          <w:sz w:val="22"/>
          <w:szCs w:val="22"/>
          <w:lang w:val="sr-Latn-ME"/>
        </w:rPr>
        <w:t>simptom</w:t>
      </w:r>
      <w:r w:rsidR="00AE2319" w:rsidRPr="00202D4B">
        <w:rPr>
          <w:rFonts w:eastAsia="Calibri"/>
          <w:noProof/>
          <w:sz w:val="22"/>
          <w:szCs w:val="22"/>
          <w:lang w:val="sr-Latn-ME"/>
        </w:rPr>
        <w:t>a</w:t>
      </w:r>
      <w:r w:rsidRPr="00202D4B">
        <w:rPr>
          <w:rFonts w:eastAsia="Calibri"/>
          <w:noProof/>
          <w:sz w:val="22"/>
          <w:szCs w:val="22"/>
          <w:lang w:val="sr-Latn-ME"/>
        </w:rPr>
        <w:t xml:space="preserve">. U slučajevima predoziranja dozom manjom od 140 mg ili nepoznatom dozom, pacijenti su ispoljavali simptome koji su poticali iz centralnog nervnog sistema (konfuzija, omamljenost, somnolenca, vrtoglavica, agitacija, agresija, halucinacija i poremećaj hoda) i/ili iz gastrointestinalnog sistema (povraćanje i dijareja). </w:t>
      </w:r>
    </w:p>
    <w:p w14:paraId="040571EA" w14:textId="77777777" w:rsidR="00FA009A" w:rsidRPr="00202D4B" w:rsidRDefault="00FA009A" w:rsidP="00FA009A">
      <w:pPr>
        <w:autoSpaceDE w:val="0"/>
        <w:autoSpaceDN w:val="0"/>
        <w:adjustRightInd w:val="0"/>
        <w:jc w:val="both"/>
        <w:rPr>
          <w:rFonts w:eastAsia="Calibri"/>
          <w:noProof/>
          <w:sz w:val="22"/>
          <w:szCs w:val="22"/>
          <w:lang w:val="sr-Latn-ME"/>
        </w:rPr>
      </w:pPr>
    </w:p>
    <w:p w14:paraId="5FEFC199" w14:textId="6E2D6075" w:rsidR="00FA009A" w:rsidRPr="00202D4B" w:rsidRDefault="00FA009A" w:rsidP="00FA009A">
      <w:pPr>
        <w:autoSpaceDE w:val="0"/>
        <w:autoSpaceDN w:val="0"/>
        <w:adjustRightInd w:val="0"/>
        <w:jc w:val="both"/>
        <w:rPr>
          <w:rFonts w:eastAsia="Calibri"/>
          <w:noProof/>
          <w:sz w:val="22"/>
          <w:szCs w:val="22"/>
          <w:lang w:val="sr-Latn-ME"/>
        </w:rPr>
      </w:pPr>
      <w:r w:rsidRPr="00202D4B">
        <w:rPr>
          <w:rFonts w:eastAsia="Calibri"/>
          <w:noProof/>
          <w:sz w:val="22"/>
          <w:szCs w:val="22"/>
          <w:lang w:val="sr-Latn-ME"/>
        </w:rPr>
        <w:lastRenderedPageBreak/>
        <w:t>U najekstremnijem slučaju predoziranja, pacijent je preživio peroralno uzimanje ukupne količine od 2000 mg memantina, s</w:t>
      </w:r>
      <w:r w:rsidR="00AE2319" w:rsidRPr="00202D4B">
        <w:rPr>
          <w:rFonts w:eastAsia="Calibri"/>
          <w:noProof/>
          <w:sz w:val="22"/>
          <w:szCs w:val="22"/>
          <w:lang w:val="sr-Latn-ME"/>
        </w:rPr>
        <w:t>a efektima</w:t>
      </w:r>
      <w:r w:rsidRPr="00202D4B">
        <w:rPr>
          <w:rFonts w:eastAsia="Calibri"/>
          <w:noProof/>
          <w:sz w:val="22"/>
          <w:szCs w:val="22"/>
          <w:lang w:val="sr-Latn-ME"/>
        </w:rPr>
        <w:t xml:space="preserve"> na centralni nervni sistem (koma tokom 10 dana, a nakon toga diplopija i agitacija). Pacijent je liječen simptomatski i plazmaferezom. Pacijent se oporavio bez trajnih posljedica.</w:t>
      </w:r>
    </w:p>
    <w:p w14:paraId="0BE2EF24" w14:textId="77777777" w:rsidR="00FA009A" w:rsidRPr="00202D4B" w:rsidRDefault="00FA009A" w:rsidP="00FA009A">
      <w:pPr>
        <w:autoSpaceDE w:val="0"/>
        <w:autoSpaceDN w:val="0"/>
        <w:adjustRightInd w:val="0"/>
        <w:jc w:val="both"/>
        <w:rPr>
          <w:rFonts w:eastAsia="Calibri"/>
          <w:noProof/>
          <w:sz w:val="22"/>
          <w:szCs w:val="22"/>
          <w:lang w:val="sr-Latn-ME"/>
        </w:rPr>
      </w:pPr>
    </w:p>
    <w:p w14:paraId="1BFCE26A" w14:textId="0840D354" w:rsidR="00FA009A" w:rsidRPr="00202D4B" w:rsidRDefault="00FA009A" w:rsidP="00FA009A">
      <w:pPr>
        <w:autoSpaceDE w:val="0"/>
        <w:autoSpaceDN w:val="0"/>
        <w:adjustRightInd w:val="0"/>
        <w:jc w:val="both"/>
        <w:rPr>
          <w:rFonts w:eastAsia="Calibri"/>
          <w:noProof/>
          <w:sz w:val="22"/>
          <w:szCs w:val="22"/>
          <w:lang w:val="sr-Latn-ME"/>
        </w:rPr>
      </w:pPr>
      <w:r w:rsidRPr="00202D4B">
        <w:rPr>
          <w:rFonts w:eastAsia="Calibri"/>
          <w:noProof/>
          <w:sz w:val="22"/>
          <w:szCs w:val="22"/>
          <w:lang w:val="sr-Latn-ME"/>
        </w:rPr>
        <w:t>U drugom slučaju predoziranja velikom dozom, pacijent je takođe preživio i oporavio se. Pacijent je peroralno primijenio 400 mg memantina. Pacijent je imao simptome koji su poticali iz centralnog nervnog sistema, poput nemira, psihoze, vizu</w:t>
      </w:r>
      <w:r w:rsidR="00FF66B4" w:rsidRPr="00202D4B">
        <w:rPr>
          <w:rFonts w:eastAsia="Calibri"/>
          <w:noProof/>
          <w:sz w:val="22"/>
          <w:szCs w:val="22"/>
          <w:lang w:val="sr-Latn-ME"/>
        </w:rPr>
        <w:t>e</w:t>
      </w:r>
      <w:r w:rsidRPr="00202D4B">
        <w:rPr>
          <w:rFonts w:eastAsia="Calibri"/>
          <w:noProof/>
          <w:sz w:val="22"/>
          <w:szCs w:val="22"/>
          <w:lang w:val="sr-Latn-ME"/>
        </w:rPr>
        <w:t>lnih halucinacija, prokonvulzivnosti, somnolence, stupora i besvjesnog stanja.</w:t>
      </w:r>
    </w:p>
    <w:p w14:paraId="4F86C809" w14:textId="77777777" w:rsidR="00FA009A" w:rsidRPr="00202D4B" w:rsidRDefault="00FA009A" w:rsidP="00FA009A">
      <w:pPr>
        <w:autoSpaceDE w:val="0"/>
        <w:autoSpaceDN w:val="0"/>
        <w:adjustRightInd w:val="0"/>
        <w:jc w:val="both"/>
        <w:rPr>
          <w:rFonts w:eastAsia="Calibri"/>
          <w:noProof/>
          <w:sz w:val="22"/>
          <w:szCs w:val="22"/>
          <w:lang w:val="sr-Latn-ME"/>
        </w:rPr>
      </w:pPr>
    </w:p>
    <w:p w14:paraId="00B4DEB6" w14:textId="77777777" w:rsidR="00FA009A" w:rsidRPr="00202D4B" w:rsidRDefault="00FA009A" w:rsidP="00FA009A">
      <w:pPr>
        <w:autoSpaceDE w:val="0"/>
        <w:autoSpaceDN w:val="0"/>
        <w:adjustRightInd w:val="0"/>
        <w:jc w:val="both"/>
        <w:rPr>
          <w:rFonts w:eastAsia="Calibri"/>
          <w:noProof/>
          <w:sz w:val="22"/>
          <w:szCs w:val="22"/>
          <w:u w:val="single"/>
          <w:lang w:val="sr-Latn-ME"/>
        </w:rPr>
      </w:pPr>
      <w:r w:rsidRPr="00202D4B">
        <w:rPr>
          <w:rFonts w:eastAsia="Calibri"/>
          <w:noProof/>
          <w:sz w:val="22"/>
          <w:szCs w:val="22"/>
          <w:u w:val="single"/>
          <w:lang w:val="sr-Latn-ME"/>
        </w:rPr>
        <w:t>Liječenje</w:t>
      </w:r>
    </w:p>
    <w:p w14:paraId="35D08CA3" w14:textId="31CC4B91" w:rsidR="00FA009A" w:rsidRPr="00202D4B" w:rsidRDefault="00FA009A" w:rsidP="00FA009A">
      <w:pPr>
        <w:autoSpaceDE w:val="0"/>
        <w:autoSpaceDN w:val="0"/>
        <w:adjustRightInd w:val="0"/>
        <w:jc w:val="both"/>
        <w:rPr>
          <w:rFonts w:eastAsia="Calibri"/>
          <w:noProof/>
          <w:sz w:val="22"/>
          <w:szCs w:val="22"/>
          <w:lang w:val="sr-Latn-ME"/>
        </w:rPr>
      </w:pPr>
      <w:r w:rsidRPr="00202D4B">
        <w:rPr>
          <w:rFonts w:eastAsia="Calibri"/>
          <w:noProof/>
          <w:sz w:val="22"/>
          <w:szCs w:val="22"/>
          <w:lang w:val="sr-Latn-ME"/>
        </w:rPr>
        <w:t xml:space="preserve">U slučaju predoziranja, liječenje treba </w:t>
      </w:r>
      <w:r w:rsidR="00FF66B4" w:rsidRPr="00202D4B">
        <w:rPr>
          <w:rFonts w:eastAsia="Calibri"/>
          <w:noProof/>
          <w:sz w:val="22"/>
          <w:szCs w:val="22"/>
          <w:lang w:val="sr-Latn-ME"/>
        </w:rPr>
        <w:t>da bude</w:t>
      </w:r>
      <w:r w:rsidRPr="00202D4B">
        <w:rPr>
          <w:rFonts w:eastAsia="Calibri"/>
          <w:noProof/>
          <w:sz w:val="22"/>
          <w:szCs w:val="22"/>
          <w:lang w:val="sr-Latn-ME"/>
        </w:rPr>
        <w:t xml:space="preserve"> simptomatsko. Ne postoji specifični antidot za intoksikaciju ili predoziranje. </w:t>
      </w:r>
      <w:r w:rsidR="00FF66B4" w:rsidRPr="00202D4B">
        <w:rPr>
          <w:rFonts w:eastAsia="Calibri"/>
          <w:noProof/>
          <w:sz w:val="22"/>
          <w:szCs w:val="22"/>
          <w:lang w:val="sr-Latn-ME"/>
        </w:rPr>
        <w:t>Treba</w:t>
      </w:r>
      <w:r w:rsidRPr="00202D4B">
        <w:rPr>
          <w:rFonts w:eastAsia="Calibri"/>
          <w:noProof/>
          <w:sz w:val="22"/>
          <w:szCs w:val="22"/>
          <w:lang w:val="sr-Latn-ME"/>
        </w:rPr>
        <w:t xml:space="preserve"> koristiti standardne kliničke procedure za uklanjanje aktivne supstance, poput lavaže želuca, primjene medicinskog uglja (zaustavljanje potencijalne enterohepatičke recirkulacije), acidifikacije urina, </w:t>
      </w:r>
      <w:r w:rsidR="00FF66B4" w:rsidRPr="00202D4B">
        <w:rPr>
          <w:rFonts w:eastAsia="Calibri"/>
          <w:noProof/>
          <w:sz w:val="22"/>
          <w:szCs w:val="22"/>
          <w:lang w:val="sr-Latn-ME"/>
        </w:rPr>
        <w:t>kao i</w:t>
      </w:r>
      <w:r w:rsidRPr="00202D4B">
        <w:rPr>
          <w:rFonts w:eastAsia="Calibri"/>
          <w:noProof/>
          <w:sz w:val="22"/>
          <w:szCs w:val="22"/>
          <w:lang w:val="sr-Latn-ME"/>
        </w:rPr>
        <w:t xml:space="preserve"> forsirane diureze</w:t>
      </w:r>
      <w:r w:rsidR="00FF66B4" w:rsidRPr="00202D4B">
        <w:rPr>
          <w:rFonts w:eastAsia="Calibri"/>
          <w:noProof/>
          <w:sz w:val="22"/>
          <w:szCs w:val="22"/>
          <w:lang w:val="sr-Latn-ME"/>
        </w:rPr>
        <w:t>, kako je prikladno</w:t>
      </w:r>
      <w:r w:rsidRPr="00202D4B">
        <w:rPr>
          <w:rFonts w:eastAsia="Calibri"/>
          <w:noProof/>
          <w:sz w:val="22"/>
          <w:szCs w:val="22"/>
          <w:lang w:val="sr-Latn-ME"/>
        </w:rPr>
        <w:t>.</w:t>
      </w:r>
    </w:p>
    <w:p w14:paraId="1CB01C9D" w14:textId="4DD9EFC4" w:rsidR="00FA009A" w:rsidRPr="00202D4B" w:rsidRDefault="00FA009A" w:rsidP="00FA009A">
      <w:pPr>
        <w:autoSpaceDE w:val="0"/>
        <w:autoSpaceDN w:val="0"/>
        <w:adjustRightInd w:val="0"/>
        <w:jc w:val="both"/>
        <w:rPr>
          <w:rFonts w:eastAsia="Calibri"/>
          <w:noProof/>
          <w:sz w:val="22"/>
          <w:szCs w:val="22"/>
          <w:lang w:val="sr-Latn-ME"/>
        </w:rPr>
      </w:pPr>
      <w:r w:rsidRPr="00202D4B">
        <w:rPr>
          <w:rFonts w:eastAsia="Calibri"/>
          <w:noProof/>
          <w:sz w:val="22"/>
          <w:szCs w:val="22"/>
          <w:lang w:val="sr-Latn-ME"/>
        </w:rPr>
        <w:t xml:space="preserve">U slučaju znakova i simptoma opšte prekomjerne stimulacije centralnog nervnog sistema, trebalo bi razmotriti </w:t>
      </w:r>
      <w:r w:rsidR="00FF66B4" w:rsidRPr="00202D4B">
        <w:rPr>
          <w:rFonts w:eastAsia="Calibri"/>
          <w:noProof/>
          <w:sz w:val="22"/>
          <w:szCs w:val="22"/>
          <w:lang w:val="sr-Latn-ME"/>
        </w:rPr>
        <w:t xml:space="preserve">pažljivo </w:t>
      </w:r>
      <w:r w:rsidRPr="00202D4B">
        <w:rPr>
          <w:rFonts w:eastAsia="Calibri"/>
          <w:noProof/>
          <w:sz w:val="22"/>
          <w:szCs w:val="22"/>
          <w:lang w:val="sr-Latn-ME"/>
        </w:rPr>
        <w:t>simptomatsko kliničko liječenje.</w:t>
      </w:r>
    </w:p>
    <w:p w14:paraId="2B467858" w14:textId="77777777" w:rsidR="00FA009A" w:rsidRPr="00202D4B" w:rsidRDefault="00FA009A" w:rsidP="00FA009A">
      <w:pPr>
        <w:autoSpaceDE w:val="0"/>
        <w:autoSpaceDN w:val="0"/>
        <w:adjustRightInd w:val="0"/>
        <w:jc w:val="both"/>
        <w:rPr>
          <w:rFonts w:eastAsia="Calibri"/>
          <w:noProof/>
          <w:sz w:val="22"/>
          <w:szCs w:val="22"/>
          <w:lang w:val="sr-Latn-ME"/>
        </w:rPr>
      </w:pPr>
    </w:p>
    <w:p w14:paraId="4983A27B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59FD32B5" w14:textId="77777777" w:rsidR="00FA009A" w:rsidRPr="00202D4B" w:rsidRDefault="00FA009A" w:rsidP="00FA009A">
      <w:pPr>
        <w:pStyle w:val="ListParagraph"/>
        <w:numPr>
          <w:ilvl w:val="0"/>
          <w:numId w:val="4"/>
        </w:num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202D4B">
        <w:rPr>
          <w:b/>
          <w:bCs/>
          <w:noProof/>
          <w:sz w:val="22"/>
          <w:szCs w:val="22"/>
          <w:lang w:val="sr-Latn-ME"/>
        </w:rPr>
        <w:t>FARMAKOLOŠKI PODACI</w:t>
      </w:r>
    </w:p>
    <w:p w14:paraId="618F246A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4B74EE78" w14:textId="77777777" w:rsidR="00FA009A" w:rsidRPr="00202D4B" w:rsidRDefault="00FA009A" w:rsidP="00FA009A">
      <w:pPr>
        <w:pStyle w:val="ListParagraph"/>
        <w:numPr>
          <w:ilvl w:val="1"/>
          <w:numId w:val="4"/>
        </w:num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202D4B">
        <w:rPr>
          <w:b/>
          <w:bCs/>
          <w:noProof/>
          <w:sz w:val="22"/>
          <w:szCs w:val="22"/>
          <w:lang w:val="sr-Latn-ME"/>
        </w:rPr>
        <w:t xml:space="preserve">Farmakodinamski podaci </w:t>
      </w:r>
    </w:p>
    <w:p w14:paraId="5FED4403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2C571FCD" w14:textId="062E7288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>Farmakoterapijska grupa: psihoanaleptici; ostali ljekovi protiv demencije</w:t>
      </w:r>
    </w:p>
    <w:p w14:paraId="256BC6DA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32B868B2" w14:textId="5A6D0A59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>ATC kod: N06DX01</w:t>
      </w:r>
    </w:p>
    <w:p w14:paraId="679543C9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i/>
          <w:noProof/>
          <w:sz w:val="22"/>
          <w:szCs w:val="22"/>
          <w:lang w:val="sr-Latn-ME"/>
        </w:rPr>
      </w:pPr>
    </w:p>
    <w:p w14:paraId="64566F07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>Postoji sve više dokaza da slabo funkcionisanje glutamatergične neurotransmisije, posebno na NMDA-receptorima, doprinosi i ekspresiji simptoma i progresiji bolesti kod neurodegenerativne demencije.</w:t>
      </w:r>
    </w:p>
    <w:p w14:paraId="62EE46CB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6A1EBF1F" w14:textId="47DD6804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>Memantin je voltažno-zavisni nekompetitivni antagonist NMDA-receptora, umjerenog afiniteta. On moduli</w:t>
      </w:r>
      <w:r w:rsidR="00A76424" w:rsidRPr="00202D4B">
        <w:rPr>
          <w:bCs/>
          <w:noProof/>
          <w:sz w:val="22"/>
          <w:szCs w:val="22"/>
          <w:lang w:val="sr-Latn-ME"/>
        </w:rPr>
        <w:t>še</w:t>
      </w:r>
      <w:r w:rsidRPr="00202D4B">
        <w:rPr>
          <w:bCs/>
          <w:noProof/>
          <w:sz w:val="22"/>
          <w:szCs w:val="22"/>
          <w:lang w:val="sr-Latn-ME"/>
        </w:rPr>
        <w:t xml:space="preserve"> </w:t>
      </w:r>
      <w:r w:rsidR="00A76424" w:rsidRPr="00202D4B">
        <w:rPr>
          <w:bCs/>
          <w:noProof/>
          <w:sz w:val="22"/>
          <w:szCs w:val="22"/>
          <w:lang w:val="sr-Latn-ME"/>
        </w:rPr>
        <w:t xml:space="preserve">efekte </w:t>
      </w:r>
      <w:r w:rsidRPr="00202D4B">
        <w:rPr>
          <w:bCs/>
          <w:noProof/>
          <w:sz w:val="22"/>
          <w:szCs w:val="22"/>
          <w:lang w:val="sr-Latn-ME"/>
        </w:rPr>
        <w:t>patološki povišenih toničnih nivoa glutamata, koji mogu dovesti do disfunkcije neurona.</w:t>
      </w:r>
    </w:p>
    <w:p w14:paraId="3896FF40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13CAFED0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iCs/>
          <w:noProof/>
          <w:sz w:val="22"/>
          <w:szCs w:val="22"/>
          <w:u w:val="single"/>
          <w:lang w:val="sr-Latn-ME"/>
        </w:rPr>
      </w:pPr>
      <w:r w:rsidRPr="00202D4B">
        <w:rPr>
          <w:bCs/>
          <w:iCs/>
          <w:noProof/>
          <w:sz w:val="22"/>
          <w:szCs w:val="22"/>
          <w:u w:val="single"/>
          <w:lang w:val="sr-Latn-ME"/>
        </w:rPr>
        <w:t>Kliničke studije</w:t>
      </w:r>
    </w:p>
    <w:p w14:paraId="6D9E2CC1" w14:textId="73665CF0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iCs/>
          <w:noProof/>
          <w:sz w:val="22"/>
          <w:szCs w:val="22"/>
          <w:lang w:val="sr-Latn-ME"/>
        </w:rPr>
        <w:t>Osnovna (</w:t>
      </w:r>
      <w:r w:rsidRPr="00202D4B">
        <w:rPr>
          <w:bCs/>
          <w:noProof/>
          <w:sz w:val="22"/>
          <w:szCs w:val="22"/>
          <w:lang w:val="sr-Latn-ME"/>
        </w:rPr>
        <w:t>pivotalna) monoterapijska studija sprovedena je u populaciji pacijenata s umjerenom do teškom Alzheimer</w:t>
      </w:r>
      <w:r w:rsidR="00183501" w:rsidRPr="00202D4B">
        <w:rPr>
          <w:bCs/>
          <w:noProof/>
          <w:sz w:val="22"/>
          <w:szCs w:val="22"/>
          <w:lang w:val="sr-Latn-ME"/>
        </w:rPr>
        <w:t>-</w:t>
      </w:r>
      <w:r w:rsidRPr="00202D4B">
        <w:rPr>
          <w:bCs/>
          <w:noProof/>
          <w:sz w:val="22"/>
          <w:szCs w:val="22"/>
          <w:lang w:val="sr-Latn-ME"/>
        </w:rPr>
        <w:t>ovom bolešću (</w:t>
      </w:r>
      <w:r w:rsidR="00183501" w:rsidRPr="00202D4B">
        <w:rPr>
          <w:bCs/>
          <w:noProof/>
          <w:sz w:val="22"/>
          <w:szCs w:val="22"/>
          <w:lang w:val="sr-Latn-ME"/>
        </w:rPr>
        <w:t>početne vrijednosti</w:t>
      </w:r>
      <w:r w:rsidRPr="00202D4B">
        <w:rPr>
          <w:bCs/>
          <w:noProof/>
          <w:sz w:val="22"/>
          <w:szCs w:val="22"/>
          <w:lang w:val="sr-Latn-ME"/>
        </w:rPr>
        <w:t xml:space="preserve"> kratkog testa za određivanje mentalnog statusa</w:t>
      </w:r>
      <w:r w:rsidR="00183501" w:rsidRPr="00202D4B">
        <w:rPr>
          <w:bCs/>
          <w:noProof/>
          <w:sz w:val="22"/>
          <w:szCs w:val="22"/>
          <w:lang w:val="sr-Latn-ME"/>
        </w:rPr>
        <w:t xml:space="preserve"> – </w:t>
      </w:r>
      <w:r w:rsidRPr="00202D4B">
        <w:rPr>
          <w:bCs/>
          <w:noProof/>
          <w:sz w:val="22"/>
          <w:szCs w:val="22"/>
          <w:lang w:val="sr-Latn-ME"/>
        </w:rPr>
        <w:t xml:space="preserve">MMSE </w:t>
      </w:r>
      <w:r w:rsidR="00183501" w:rsidRPr="00202D4B">
        <w:rPr>
          <w:bCs/>
          <w:noProof/>
          <w:sz w:val="22"/>
          <w:szCs w:val="22"/>
          <w:lang w:val="sr-Latn-ME"/>
        </w:rPr>
        <w:t>(</w:t>
      </w:r>
      <w:r w:rsidRPr="00202D4B">
        <w:rPr>
          <w:bCs/>
          <w:noProof/>
          <w:sz w:val="22"/>
          <w:szCs w:val="22"/>
          <w:lang w:val="sr-Latn-ME"/>
        </w:rPr>
        <w:t xml:space="preserve">engl. </w:t>
      </w:r>
      <w:r w:rsidR="008D1298" w:rsidRPr="00202D4B">
        <w:rPr>
          <w:bCs/>
          <w:i/>
          <w:noProof/>
          <w:sz w:val="22"/>
          <w:szCs w:val="22"/>
          <w:lang w:val="sr-Latn-ME"/>
        </w:rPr>
        <w:t>m</w:t>
      </w:r>
      <w:r w:rsidRPr="00202D4B">
        <w:rPr>
          <w:bCs/>
          <w:i/>
          <w:noProof/>
          <w:sz w:val="22"/>
          <w:szCs w:val="22"/>
          <w:lang w:val="sr-Latn-ME"/>
        </w:rPr>
        <w:t xml:space="preserve">ini </w:t>
      </w:r>
      <w:r w:rsidR="008D1298" w:rsidRPr="00202D4B">
        <w:rPr>
          <w:bCs/>
          <w:i/>
          <w:noProof/>
          <w:sz w:val="22"/>
          <w:szCs w:val="22"/>
          <w:lang w:val="sr-Latn-ME"/>
        </w:rPr>
        <w:t>m</w:t>
      </w:r>
      <w:r w:rsidRPr="00202D4B">
        <w:rPr>
          <w:bCs/>
          <w:i/>
          <w:noProof/>
          <w:sz w:val="22"/>
          <w:szCs w:val="22"/>
          <w:lang w:val="sr-Latn-ME"/>
        </w:rPr>
        <w:t xml:space="preserve">ental </w:t>
      </w:r>
      <w:r w:rsidR="008D1298" w:rsidRPr="00202D4B">
        <w:rPr>
          <w:bCs/>
          <w:i/>
          <w:noProof/>
          <w:sz w:val="22"/>
          <w:szCs w:val="22"/>
          <w:lang w:val="sr-Latn-ME"/>
        </w:rPr>
        <w:t>s</w:t>
      </w:r>
      <w:r w:rsidRPr="00202D4B">
        <w:rPr>
          <w:bCs/>
          <w:i/>
          <w:noProof/>
          <w:sz w:val="22"/>
          <w:szCs w:val="22"/>
          <w:lang w:val="sr-Latn-ME"/>
        </w:rPr>
        <w:t xml:space="preserve">tate </w:t>
      </w:r>
      <w:r w:rsidR="008D1298" w:rsidRPr="00202D4B">
        <w:rPr>
          <w:bCs/>
          <w:i/>
          <w:noProof/>
          <w:sz w:val="22"/>
          <w:szCs w:val="22"/>
          <w:lang w:val="sr-Latn-ME"/>
        </w:rPr>
        <w:t>e</w:t>
      </w:r>
      <w:r w:rsidRPr="00202D4B">
        <w:rPr>
          <w:bCs/>
          <w:i/>
          <w:noProof/>
          <w:sz w:val="22"/>
          <w:szCs w:val="22"/>
          <w:lang w:val="sr-Latn-ME"/>
        </w:rPr>
        <w:t>xamination</w:t>
      </w:r>
      <w:r w:rsidR="00183501" w:rsidRPr="00202D4B">
        <w:rPr>
          <w:bCs/>
          <w:noProof/>
          <w:sz w:val="22"/>
          <w:szCs w:val="22"/>
          <w:lang w:val="sr-Latn-ME"/>
        </w:rPr>
        <w:t>)</w:t>
      </w:r>
      <w:r w:rsidRPr="00202D4B">
        <w:rPr>
          <w:bCs/>
          <w:noProof/>
          <w:sz w:val="22"/>
          <w:szCs w:val="22"/>
          <w:lang w:val="sr-Latn-ME"/>
        </w:rPr>
        <w:t xml:space="preserve"> bil</w:t>
      </w:r>
      <w:r w:rsidR="00183501" w:rsidRPr="00202D4B">
        <w:rPr>
          <w:bCs/>
          <w:noProof/>
          <w:sz w:val="22"/>
          <w:szCs w:val="22"/>
          <w:lang w:val="sr-Latn-ME"/>
        </w:rPr>
        <w:t>e</w:t>
      </w:r>
      <w:r w:rsidRPr="00202D4B">
        <w:rPr>
          <w:bCs/>
          <w:noProof/>
          <w:sz w:val="22"/>
          <w:szCs w:val="22"/>
          <w:lang w:val="sr-Latn-ME"/>
        </w:rPr>
        <w:t xml:space="preserve"> su 3-14), a uključivala je ukupno 252 ambulantna pacijenta. Nakon 6 mjeseci, studija je pokazala </w:t>
      </w:r>
      <w:r w:rsidR="00183501" w:rsidRPr="00202D4B">
        <w:rPr>
          <w:bCs/>
          <w:noProof/>
          <w:sz w:val="22"/>
          <w:szCs w:val="22"/>
          <w:lang w:val="sr-Latn-ME"/>
        </w:rPr>
        <w:t>povoljne efekte</w:t>
      </w:r>
      <w:r w:rsidRPr="00202D4B">
        <w:rPr>
          <w:bCs/>
          <w:noProof/>
          <w:sz w:val="22"/>
          <w:szCs w:val="22"/>
          <w:lang w:val="sr-Latn-ME"/>
        </w:rPr>
        <w:t xml:space="preserve"> liječenja memantinom, u </w:t>
      </w:r>
      <w:r w:rsidR="00183501" w:rsidRPr="00202D4B">
        <w:rPr>
          <w:bCs/>
          <w:noProof/>
          <w:sz w:val="22"/>
          <w:szCs w:val="22"/>
          <w:lang w:val="sr-Latn-ME"/>
        </w:rPr>
        <w:t xml:space="preserve">poređenju </w:t>
      </w:r>
      <w:r w:rsidRPr="00202D4B">
        <w:rPr>
          <w:bCs/>
          <w:noProof/>
          <w:sz w:val="22"/>
          <w:szCs w:val="22"/>
          <w:lang w:val="sr-Latn-ME"/>
        </w:rPr>
        <w:t>s</w:t>
      </w:r>
      <w:r w:rsidR="00183501" w:rsidRPr="00202D4B">
        <w:rPr>
          <w:bCs/>
          <w:noProof/>
          <w:sz w:val="22"/>
          <w:szCs w:val="22"/>
          <w:lang w:val="sr-Latn-ME"/>
        </w:rPr>
        <w:t>a</w:t>
      </w:r>
      <w:r w:rsidRPr="00202D4B">
        <w:rPr>
          <w:bCs/>
          <w:noProof/>
          <w:sz w:val="22"/>
          <w:szCs w:val="22"/>
          <w:lang w:val="sr-Latn-ME"/>
        </w:rPr>
        <w:t xml:space="preserve"> placebom [analiza uočenih slučajeva za promjene bazirane na utisku kliničara nakon intervjua </w:t>
      </w:r>
      <w:r w:rsidR="004204FE" w:rsidRPr="00202D4B">
        <w:rPr>
          <w:bCs/>
          <w:noProof/>
          <w:sz w:val="22"/>
          <w:szCs w:val="22"/>
          <w:lang w:val="sr-Latn-ME"/>
        </w:rPr>
        <w:t xml:space="preserve">– </w:t>
      </w:r>
      <w:r w:rsidRPr="00202D4B">
        <w:rPr>
          <w:bCs/>
          <w:noProof/>
          <w:sz w:val="22"/>
          <w:szCs w:val="22"/>
          <w:lang w:val="sr-Latn-ME"/>
        </w:rPr>
        <w:t xml:space="preserve">CIBIC-plus </w:t>
      </w:r>
      <w:r w:rsidR="004204FE" w:rsidRPr="00202D4B">
        <w:rPr>
          <w:bCs/>
          <w:noProof/>
          <w:sz w:val="22"/>
          <w:szCs w:val="22"/>
          <w:lang w:val="sr-Latn-ME"/>
        </w:rPr>
        <w:t>(</w:t>
      </w:r>
      <w:r w:rsidRPr="00202D4B">
        <w:rPr>
          <w:bCs/>
          <w:noProof/>
          <w:sz w:val="22"/>
          <w:szCs w:val="22"/>
          <w:lang w:val="sr-Latn-ME"/>
        </w:rPr>
        <w:t xml:space="preserve">engl. </w:t>
      </w:r>
      <w:r w:rsidR="004204FE" w:rsidRPr="00202D4B">
        <w:rPr>
          <w:bCs/>
          <w:i/>
          <w:noProof/>
          <w:sz w:val="22"/>
          <w:szCs w:val="22"/>
          <w:lang w:val="sr-Latn-ME"/>
        </w:rPr>
        <w:t>the c</w:t>
      </w:r>
      <w:r w:rsidRPr="00202D4B">
        <w:rPr>
          <w:bCs/>
          <w:i/>
          <w:noProof/>
          <w:sz w:val="22"/>
          <w:szCs w:val="22"/>
          <w:lang w:val="sr-Latn-ME"/>
        </w:rPr>
        <w:t xml:space="preserve">linician's </w:t>
      </w:r>
      <w:r w:rsidR="004204FE" w:rsidRPr="00202D4B">
        <w:rPr>
          <w:bCs/>
          <w:i/>
          <w:noProof/>
          <w:sz w:val="22"/>
          <w:szCs w:val="22"/>
          <w:lang w:val="sr-Latn-ME"/>
        </w:rPr>
        <w:t>i</w:t>
      </w:r>
      <w:r w:rsidRPr="00202D4B">
        <w:rPr>
          <w:bCs/>
          <w:i/>
          <w:noProof/>
          <w:sz w:val="22"/>
          <w:szCs w:val="22"/>
          <w:lang w:val="sr-Latn-ME"/>
        </w:rPr>
        <w:t>nterview</w:t>
      </w:r>
      <w:r w:rsidR="004204FE" w:rsidRPr="00202D4B">
        <w:rPr>
          <w:bCs/>
          <w:i/>
          <w:noProof/>
          <w:sz w:val="22"/>
          <w:szCs w:val="22"/>
          <w:lang w:val="sr-Latn-ME"/>
        </w:rPr>
        <w:t xml:space="preserve"> b</w:t>
      </w:r>
      <w:r w:rsidRPr="00202D4B">
        <w:rPr>
          <w:bCs/>
          <w:i/>
          <w:noProof/>
          <w:sz w:val="22"/>
          <w:szCs w:val="22"/>
          <w:lang w:val="sr-Latn-ME"/>
        </w:rPr>
        <w:t xml:space="preserve">ased </w:t>
      </w:r>
      <w:r w:rsidR="004204FE" w:rsidRPr="00202D4B">
        <w:rPr>
          <w:bCs/>
          <w:i/>
          <w:noProof/>
          <w:sz w:val="22"/>
          <w:szCs w:val="22"/>
          <w:lang w:val="sr-Latn-ME"/>
        </w:rPr>
        <w:t>i</w:t>
      </w:r>
      <w:r w:rsidRPr="00202D4B">
        <w:rPr>
          <w:bCs/>
          <w:i/>
          <w:noProof/>
          <w:sz w:val="22"/>
          <w:szCs w:val="22"/>
          <w:lang w:val="sr-Latn-ME"/>
        </w:rPr>
        <w:t xml:space="preserve">mpression of </w:t>
      </w:r>
      <w:r w:rsidR="004204FE" w:rsidRPr="00202D4B">
        <w:rPr>
          <w:bCs/>
          <w:i/>
          <w:noProof/>
          <w:sz w:val="22"/>
          <w:szCs w:val="22"/>
          <w:lang w:val="sr-Latn-ME"/>
        </w:rPr>
        <w:t>c</w:t>
      </w:r>
      <w:r w:rsidRPr="00202D4B">
        <w:rPr>
          <w:bCs/>
          <w:i/>
          <w:noProof/>
          <w:sz w:val="22"/>
          <w:szCs w:val="22"/>
          <w:lang w:val="sr-Latn-ME"/>
        </w:rPr>
        <w:t xml:space="preserve">hange </w:t>
      </w:r>
      <w:r w:rsidR="004204FE" w:rsidRPr="00202D4B">
        <w:rPr>
          <w:bCs/>
          <w:i/>
          <w:noProof/>
          <w:sz w:val="22"/>
          <w:szCs w:val="22"/>
          <w:lang w:val="sr-Latn-ME"/>
        </w:rPr>
        <w:t>p</w:t>
      </w:r>
      <w:r w:rsidRPr="00202D4B">
        <w:rPr>
          <w:bCs/>
          <w:i/>
          <w:noProof/>
          <w:sz w:val="22"/>
          <w:szCs w:val="22"/>
          <w:lang w:val="sr-Latn-ME"/>
        </w:rPr>
        <w:t xml:space="preserve">lus </w:t>
      </w:r>
      <w:r w:rsidR="004204FE" w:rsidRPr="00202D4B">
        <w:rPr>
          <w:bCs/>
          <w:i/>
          <w:noProof/>
          <w:sz w:val="22"/>
          <w:szCs w:val="22"/>
          <w:lang w:val="sr-Latn-ME"/>
        </w:rPr>
        <w:t>c</w:t>
      </w:r>
      <w:r w:rsidRPr="00202D4B">
        <w:rPr>
          <w:bCs/>
          <w:i/>
          <w:noProof/>
          <w:sz w:val="22"/>
          <w:szCs w:val="22"/>
          <w:lang w:val="sr-Latn-ME"/>
        </w:rPr>
        <w:t xml:space="preserve">aregiver </w:t>
      </w:r>
      <w:r w:rsidR="004204FE" w:rsidRPr="00202D4B">
        <w:rPr>
          <w:bCs/>
          <w:i/>
          <w:noProof/>
          <w:sz w:val="22"/>
          <w:szCs w:val="22"/>
          <w:lang w:val="sr-Latn-ME"/>
        </w:rPr>
        <w:t>i</w:t>
      </w:r>
      <w:r w:rsidRPr="00202D4B">
        <w:rPr>
          <w:bCs/>
          <w:i/>
          <w:noProof/>
          <w:sz w:val="22"/>
          <w:szCs w:val="22"/>
          <w:lang w:val="sr-Latn-ME"/>
        </w:rPr>
        <w:t>nput</w:t>
      </w:r>
      <w:r w:rsidRPr="00202D4B">
        <w:rPr>
          <w:bCs/>
          <w:noProof/>
          <w:sz w:val="22"/>
          <w:szCs w:val="22"/>
          <w:lang w:val="sr-Latn-ME"/>
        </w:rPr>
        <w:t>): p=0,025; kooperativna studija Alzheimer</w:t>
      </w:r>
      <w:r w:rsidR="004204FE" w:rsidRPr="00202D4B">
        <w:rPr>
          <w:bCs/>
          <w:noProof/>
          <w:sz w:val="22"/>
          <w:szCs w:val="22"/>
          <w:lang w:val="sr-Latn-ME"/>
        </w:rPr>
        <w:t>-</w:t>
      </w:r>
      <w:r w:rsidRPr="00202D4B">
        <w:rPr>
          <w:bCs/>
          <w:noProof/>
          <w:sz w:val="22"/>
          <w:szCs w:val="22"/>
          <w:lang w:val="sr-Latn-ME"/>
        </w:rPr>
        <w:t>ove bolesti</w:t>
      </w:r>
      <w:r w:rsidR="004204FE" w:rsidRPr="00202D4B">
        <w:rPr>
          <w:bCs/>
          <w:noProof/>
          <w:sz w:val="22"/>
          <w:szCs w:val="22"/>
          <w:lang w:val="sr-Latn-ME"/>
        </w:rPr>
        <w:t xml:space="preserve"> – </w:t>
      </w:r>
      <w:r w:rsidRPr="00202D4B">
        <w:rPr>
          <w:bCs/>
          <w:noProof/>
          <w:sz w:val="22"/>
          <w:szCs w:val="22"/>
          <w:lang w:val="sr-Latn-ME"/>
        </w:rPr>
        <w:t xml:space="preserve">aktivnosti svakodnevnog života </w:t>
      </w:r>
      <w:r w:rsidR="004204FE" w:rsidRPr="00202D4B">
        <w:rPr>
          <w:bCs/>
          <w:noProof/>
          <w:sz w:val="22"/>
          <w:szCs w:val="22"/>
          <w:lang w:val="sr-Latn-ME"/>
        </w:rPr>
        <w:t xml:space="preserve">– </w:t>
      </w:r>
      <w:r w:rsidRPr="00202D4B">
        <w:rPr>
          <w:bCs/>
          <w:noProof/>
          <w:sz w:val="22"/>
          <w:szCs w:val="22"/>
          <w:lang w:val="sr-Latn-ME"/>
        </w:rPr>
        <w:t xml:space="preserve">ADCS-ADLsev </w:t>
      </w:r>
      <w:r w:rsidR="004204FE" w:rsidRPr="00202D4B">
        <w:rPr>
          <w:bCs/>
          <w:noProof/>
          <w:sz w:val="22"/>
          <w:szCs w:val="22"/>
          <w:lang w:val="sr-Latn-ME"/>
        </w:rPr>
        <w:t>(</w:t>
      </w:r>
      <w:r w:rsidRPr="00202D4B">
        <w:rPr>
          <w:bCs/>
          <w:noProof/>
          <w:sz w:val="22"/>
          <w:szCs w:val="22"/>
          <w:lang w:val="sr-Latn-ME"/>
        </w:rPr>
        <w:t xml:space="preserve">engl. </w:t>
      </w:r>
      <w:r w:rsidRPr="00202D4B">
        <w:rPr>
          <w:bCs/>
          <w:i/>
          <w:noProof/>
          <w:sz w:val="22"/>
          <w:szCs w:val="22"/>
          <w:lang w:val="sr-Latn-ME"/>
        </w:rPr>
        <w:t xml:space="preserve">Alzheimer’s </w:t>
      </w:r>
      <w:r w:rsidR="004204FE" w:rsidRPr="00202D4B">
        <w:rPr>
          <w:bCs/>
          <w:i/>
          <w:noProof/>
          <w:sz w:val="22"/>
          <w:szCs w:val="22"/>
          <w:lang w:val="sr-Latn-ME"/>
        </w:rPr>
        <w:t>d</w:t>
      </w:r>
      <w:r w:rsidRPr="00202D4B">
        <w:rPr>
          <w:bCs/>
          <w:i/>
          <w:noProof/>
          <w:sz w:val="22"/>
          <w:szCs w:val="22"/>
          <w:lang w:val="sr-Latn-ME"/>
        </w:rPr>
        <w:t xml:space="preserve">isease </w:t>
      </w:r>
      <w:r w:rsidR="004204FE" w:rsidRPr="00202D4B">
        <w:rPr>
          <w:bCs/>
          <w:i/>
          <w:noProof/>
          <w:sz w:val="22"/>
          <w:szCs w:val="22"/>
          <w:lang w:val="sr-Latn-ME"/>
        </w:rPr>
        <w:t>c</w:t>
      </w:r>
      <w:r w:rsidRPr="00202D4B">
        <w:rPr>
          <w:bCs/>
          <w:i/>
          <w:noProof/>
          <w:sz w:val="22"/>
          <w:szCs w:val="22"/>
          <w:lang w:val="sr-Latn-ME"/>
        </w:rPr>
        <w:t xml:space="preserve">ooperative </w:t>
      </w:r>
      <w:r w:rsidR="004204FE" w:rsidRPr="00202D4B">
        <w:rPr>
          <w:bCs/>
          <w:i/>
          <w:noProof/>
          <w:sz w:val="22"/>
          <w:szCs w:val="22"/>
          <w:lang w:val="sr-Latn-ME"/>
        </w:rPr>
        <w:t>s</w:t>
      </w:r>
      <w:r w:rsidRPr="00202D4B">
        <w:rPr>
          <w:bCs/>
          <w:i/>
          <w:noProof/>
          <w:sz w:val="22"/>
          <w:szCs w:val="22"/>
          <w:lang w:val="sr-Latn-ME"/>
        </w:rPr>
        <w:t>tudy</w:t>
      </w:r>
      <w:r w:rsidR="004204FE" w:rsidRPr="00202D4B">
        <w:rPr>
          <w:bCs/>
          <w:i/>
          <w:noProof/>
          <w:sz w:val="22"/>
          <w:szCs w:val="22"/>
          <w:lang w:val="sr-Latn-ME"/>
        </w:rPr>
        <w:t xml:space="preserve"> – a</w:t>
      </w:r>
      <w:r w:rsidRPr="00202D4B">
        <w:rPr>
          <w:bCs/>
          <w:i/>
          <w:noProof/>
          <w:sz w:val="22"/>
          <w:szCs w:val="22"/>
          <w:lang w:val="sr-Latn-ME"/>
        </w:rPr>
        <w:t xml:space="preserve">ctivities </w:t>
      </w:r>
      <w:r w:rsidR="004204FE" w:rsidRPr="00202D4B">
        <w:rPr>
          <w:bCs/>
          <w:i/>
          <w:noProof/>
          <w:sz w:val="22"/>
          <w:szCs w:val="22"/>
          <w:lang w:val="sr-Latn-ME"/>
        </w:rPr>
        <w:t>o</w:t>
      </w:r>
      <w:r w:rsidRPr="00202D4B">
        <w:rPr>
          <w:bCs/>
          <w:i/>
          <w:noProof/>
          <w:sz w:val="22"/>
          <w:szCs w:val="22"/>
          <w:lang w:val="sr-Latn-ME"/>
        </w:rPr>
        <w:t xml:space="preserve">f </w:t>
      </w:r>
      <w:r w:rsidR="004204FE" w:rsidRPr="00202D4B">
        <w:rPr>
          <w:bCs/>
          <w:i/>
          <w:noProof/>
          <w:sz w:val="22"/>
          <w:szCs w:val="22"/>
          <w:lang w:val="sr-Latn-ME"/>
        </w:rPr>
        <w:t>d</w:t>
      </w:r>
      <w:r w:rsidRPr="00202D4B">
        <w:rPr>
          <w:bCs/>
          <w:i/>
          <w:noProof/>
          <w:sz w:val="22"/>
          <w:szCs w:val="22"/>
          <w:lang w:val="sr-Latn-ME"/>
        </w:rPr>
        <w:t xml:space="preserve">aily </w:t>
      </w:r>
      <w:r w:rsidR="004204FE" w:rsidRPr="00202D4B">
        <w:rPr>
          <w:bCs/>
          <w:i/>
          <w:noProof/>
          <w:sz w:val="22"/>
          <w:szCs w:val="22"/>
          <w:lang w:val="sr-Latn-ME"/>
        </w:rPr>
        <w:t>l</w:t>
      </w:r>
      <w:r w:rsidRPr="00202D4B">
        <w:rPr>
          <w:bCs/>
          <w:i/>
          <w:noProof/>
          <w:sz w:val="22"/>
          <w:szCs w:val="22"/>
          <w:lang w:val="sr-Latn-ME"/>
        </w:rPr>
        <w:t>iving</w:t>
      </w:r>
      <w:r w:rsidRPr="00202D4B">
        <w:rPr>
          <w:bCs/>
          <w:noProof/>
          <w:sz w:val="22"/>
          <w:szCs w:val="22"/>
          <w:lang w:val="sr-Latn-ME"/>
        </w:rPr>
        <w:t>): p=0,003; skup znakova tešk</w:t>
      </w:r>
      <w:r w:rsidR="004204FE" w:rsidRPr="00202D4B">
        <w:rPr>
          <w:bCs/>
          <w:noProof/>
          <w:sz w:val="22"/>
          <w:szCs w:val="22"/>
          <w:lang w:val="sr-Latn-ME"/>
        </w:rPr>
        <w:t>e</w:t>
      </w:r>
      <w:r w:rsidRPr="00202D4B">
        <w:rPr>
          <w:bCs/>
          <w:noProof/>
          <w:sz w:val="22"/>
          <w:szCs w:val="22"/>
          <w:lang w:val="sr-Latn-ME"/>
        </w:rPr>
        <w:t xml:space="preserve"> </w:t>
      </w:r>
      <w:r w:rsidR="004204FE" w:rsidRPr="00202D4B">
        <w:rPr>
          <w:bCs/>
          <w:noProof/>
          <w:sz w:val="22"/>
          <w:szCs w:val="22"/>
          <w:lang w:val="sr-Latn-ME"/>
        </w:rPr>
        <w:t xml:space="preserve">onesposobljenosti – </w:t>
      </w:r>
      <w:r w:rsidRPr="00202D4B">
        <w:rPr>
          <w:bCs/>
          <w:noProof/>
          <w:sz w:val="22"/>
          <w:szCs w:val="22"/>
          <w:lang w:val="sr-Latn-ME"/>
        </w:rPr>
        <w:t xml:space="preserve">SIB </w:t>
      </w:r>
      <w:r w:rsidR="004204FE" w:rsidRPr="00202D4B">
        <w:rPr>
          <w:bCs/>
          <w:noProof/>
          <w:sz w:val="22"/>
          <w:szCs w:val="22"/>
          <w:lang w:val="sr-Latn-ME"/>
        </w:rPr>
        <w:t>(</w:t>
      </w:r>
      <w:r w:rsidRPr="00202D4B">
        <w:rPr>
          <w:bCs/>
          <w:noProof/>
          <w:sz w:val="22"/>
          <w:szCs w:val="22"/>
          <w:lang w:val="sr-Latn-ME"/>
        </w:rPr>
        <w:t xml:space="preserve">engl. </w:t>
      </w:r>
      <w:r w:rsidR="004204FE" w:rsidRPr="00202D4B">
        <w:rPr>
          <w:bCs/>
          <w:i/>
          <w:noProof/>
          <w:sz w:val="22"/>
          <w:szCs w:val="22"/>
          <w:lang w:val="sr-Latn-ME"/>
        </w:rPr>
        <w:t>s</w:t>
      </w:r>
      <w:r w:rsidRPr="00202D4B">
        <w:rPr>
          <w:bCs/>
          <w:i/>
          <w:noProof/>
          <w:sz w:val="22"/>
          <w:szCs w:val="22"/>
          <w:lang w:val="sr-Latn-ME"/>
        </w:rPr>
        <w:t xml:space="preserve">evere </w:t>
      </w:r>
      <w:r w:rsidR="004204FE" w:rsidRPr="00202D4B">
        <w:rPr>
          <w:bCs/>
          <w:i/>
          <w:noProof/>
          <w:sz w:val="22"/>
          <w:szCs w:val="22"/>
          <w:lang w:val="sr-Latn-ME"/>
        </w:rPr>
        <w:t>i</w:t>
      </w:r>
      <w:r w:rsidRPr="00202D4B">
        <w:rPr>
          <w:bCs/>
          <w:i/>
          <w:noProof/>
          <w:sz w:val="22"/>
          <w:szCs w:val="22"/>
          <w:lang w:val="sr-Latn-ME"/>
        </w:rPr>
        <w:t xml:space="preserve">mpairment </w:t>
      </w:r>
      <w:r w:rsidR="004204FE" w:rsidRPr="00202D4B">
        <w:rPr>
          <w:bCs/>
          <w:i/>
          <w:noProof/>
          <w:sz w:val="22"/>
          <w:szCs w:val="22"/>
          <w:lang w:val="sr-Latn-ME"/>
        </w:rPr>
        <w:t>b</w:t>
      </w:r>
      <w:r w:rsidRPr="00202D4B">
        <w:rPr>
          <w:bCs/>
          <w:i/>
          <w:noProof/>
          <w:sz w:val="22"/>
          <w:szCs w:val="22"/>
          <w:lang w:val="sr-Latn-ME"/>
        </w:rPr>
        <w:t>attery</w:t>
      </w:r>
      <w:r w:rsidRPr="00202D4B">
        <w:rPr>
          <w:bCs/>
          <w:noProof/>
          <w:sz w:val="22"/>
          <w:szCs w:val="22"/>
          <w:lang w:val="sr-Latn-ME"/>
        </w:rPr>
        <w:t>): p=0,002].</w:t>
      </w:r>
    </w:p>
    <w:p w14:paraId="6827D4FB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5B229E8A" w14:textId="29F9A1D0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iCs/>
          <w:noProof/>
          <w:sz w:val="22"/>
          <w:szCs w:val="22"/>
          <w:lang w:val="sr-Latn-ME"/>
        </w:rPr>
        <w:t>Osnovna (</w:t>
      </w:r>
      <w:r w:rsidRPr="00202D4B">
        <w:rPr>
          <w:bCs/>
          <w:noProof/>
          <w:sz w:val="22"/>
          <w:szCs w:val="22"/>
          <w:lang w:val="sr-Latn-ME"/>
        </w:rPr>
        <w:t>pivotalna) monoterapijska studija s</w:t>
      </w:r>
      <w:r w:rsidR="004204FE" w:rsidRPr="00202D4B">
        <w:rPr>
          <w:bCs/>
          <w:noProof/>
          <w:sz w:val="22"/>
          <w:szCs w:val="22"/>
          <w:lang w:val="sr-Latn-ME"/>
        </w:rPr>
        <w:t>a</w:t>
      </w:r>
      <w:r w:rsidRPr="00202D4B">
        <w:rPr>
          <w:bCs/>
          <w:noProof/>
          <w:sz w:val="22"/>
          <w:szCs w:val="22"/>
          <w:lang w:val="sr-Latn-ME"/>
        </w:rPr>
        <w:t xml:space="preserve"> memantinom u liječenju blage do umjerene Alzheimer</w:t>
      </w:r>
      <w:r w:rsidR="004204FE" w:rsidRPr="00202D4B">
        <w:rPr>
          <w:bCs/>
          <w:noProof/>
          <w:sz w:val="22"/>
          <w:szCs w:val="22"/>
          <w:lang w:val="sr-Latn-ME"/>
        </w:rPr>
        <w:t>-</w:t>
      </w:r>
      <w:r w:rsidRPr="00202D4B">
        <w:rPr>
          <w:bCs/>
          <w:noProof/>
          <w:sz w:val="22"/>
          <w:szCs w:val="22"/>
          <w:lang w:val="sr-Latn-ME"/>
        </w:rPr>
        <w:t>ove bolesti (</w:t>
      </w:r>
      <w:r w:rsidR="004204FE" w:rsidRPr="00202D4B">
        <w:rPr>
          <w:bCs/>
          <w:noProof/>
          <w:sz w:val="22"/>
          <w:szCs w:val="22"/>
          <w:lang w:val="sr-Latn-ME"/>
        </w:rPr>
        <w:t>početne vrijednost</w:t>
      </w:r>
      <w:r w:rsidR="00E73B7D" w:rsidRPr="00202D4B">
        <w:rPr>
          <w:bCs/>
          <w:noProof/>
          <w:sz w:val="22"/>
          <w:szCs w:val="22"/>
          <w:lang w:val="sr-Latn-ME"/>
        </w:rPr>
        <w:t>i</w:t>
      </w:r>
      <w:r w:rsidR="004204FE" w:rsidRPr="00202D4B">
        <w:rPr>
          <w:bCs/>
          <w:noProof/>
          <w:sz w:val="22"/>
          <w:szCs w:val="22"/>
          <w:lang w:val="sr-Latn-ME"/>
        </w:rPr>
        <w:t xml:space="preserve"> ukupnog </w:t>
      </w:r>
      <w:r w:rsidRPr="00202D4B">
        <w:rPr>
          <w:bCs/>
          <w:noProof/>
          <w:sz w:val="22"/>
          <w:szCs w:val="22"/>
          <w:lang w:val="sr-Latn-ME"/>
        </w:rPr>
        <w:t>MMSE od 10</w:t>
      </w:r>
      <w:r w:rsidR="004204FE" w:rsidRPr="00202D4B">
        <w:rPr>
          <w:bCs/>
          <w:noProof/>
          <w:sz w:val="22"/>
          <w:szCs w:val="22"/>
          <w:lang w:val="sr-Latn-ME"/>
        </w:rPr>
        <w:t xml:space="preserve"> do </w:t>
      </w:r>
      <w:r w:rsidRPr="00202D4B">
        <w:rPr>
          <w:bCs/>
          <w:noProof/>
          <w:sz w:val="22"/>
          <w:szCs w:val="22"/>
          <w:lang w:val="sr-Latn-ME"/>
        </w:rPr>
        <w:t xml:space="preserve">22) uključivala je 403 pacijenta. Pacijenti liječeni memantinom pokazali su statistički značajno bolji </w:t>
      </w:r>
      <w:r w:rsidR="004204FE" w:rsidRPr="00202D4B">
        <w:rPr>
          <w:bCs/>
          <w:noProof/>
          <w:sz w:val="22"/>
          <w:szCs w:val="22"/>
          <w:lang w:val="sr-Latn-ME"/>
        </w:rPr>
        <w:t xml:space="preserve">efekat </w:t>
      </w:r>
      <w:r w:rsidRPr="00202D4B">
        <w:rPr>
          <w:bCs/>
          <w:noProof/>
          <w:sz w:val="22"/>
          <w:szCs w:val="22"/>
          <w:lang w:val="sr-Latn-ME"/>
        </w:rPr>
        <w:t>nego pacijenti koji su primjenjivali placebo</w:t>
      </w:r>
      <w:r w:rsidR="008D1298" w:rsidRPr="00202D4B">
        <w:rPr>
          <w:bCs/>
          <w:noProof/>
          <w:sz w:val="22"/>
          <w:szCs w:val="22"/>
          <w:lang w:val="sr-Latn-ME"/>
        </w:rPr>
        <w:t>,</w:t>
      </w:r>
      <w:r w:rsidRPr="00202D4B">
        <w:rPr>
          <w:bCs/>
          <w:noProof/>
          <w:sz w:val="22"/>
          <w:szCs w:val="22"/>
          <w:lang w:val="sr-Latn-ME"/>
        </w:rPr>
        <w:t xml:space="preserve"> u odnosu na primarne </w:t>
      </w:r>
      <w:r w:rsidR="00817BBD" w:rsidRPr="00202D4B">
        <w:rPr>
          <w:bCs/>
          <w:noProof/>
          <w:sz w:val="22"/>
          <w:szCs w:val="22"/>
          <w:lang w:val="sr-Latn-ME"/>
        </w:rPr>
        <w:t xml:space="preserve">parametre praćenja </w:t>
      </w:r>
      <w:r w:rsidRPr="00202D4B">
        <w:rPr>
          <w:bCs/>
          <w:noProof/>
          <w:sz w:val="22"/>
          <w:szCs w:val="22"/>
          <w:lang w:val="sr-Latn-ME"/>
        </w:rPr>
        <w:t>ishod</w:t>
      </w:r>
      <w:r w:rsidR="00817BBD" w:rsidRPr="00202D4B">
        <w:rPr>
          <w:bCs/>
          <w:noProof/>
          <w:sz w:val="22"/>
          <w:szCs w:val="22"/>
          <w:lang w:val="sr-Latn-ME"/>
        </w:rPr>
        <w:t>a</w:t>
      </w:r>
      <w:r w:rsidR="0040539F" w:rsidRPr="00202D4B">
        <w:rPr>
          <w:bCs/>
          <w:noProof/>
          <w:sz w:val="22"/>
          <w:szCs w:val="22"/>
          <w:lang w:val="sr-Latn-ME"/>
        </w:rPr>
        <w:t>:</w:t>
      </w:r>
      <w:r w:rsidRPr="00202D4B">
        <w:rPr>
          <w:bCs/>
          <w:noProof/>
          <w:sz w:val="22"/>
          <w:szCs w:val="22"/>
          <w:lang w:val="sr-Latn-ME"/>
        </w:rPr>
        <w:t xml:space="preserve"> skala procjene Alzheimer</w:t>
      </w:r>
      <w:r w:rsidR="004204FE" w:rsidRPr="00202D4B">
        <w:rPr>
          <w:bCs/>
          <w:noProof/>
          <w:sz w:val="22"/>
          <w:szCs w:val="22"/>
          <w:lang w:val="sr-Latn-ME"/>
        </w:rPr>
        <w:t>-</w:t>
      </w:r>
      <w:r w:rsidRPr="00202D4B">
        <w:rPr>
          <w:bCs/>
          <w:noProof/>
          <w:sz w:val="22"/>
          <w:szCs w:val="22"/>
          <w:lang w:val="sr-Latn-ME"/>
        </w:rPr>
        <w:t xml:space="preserve">ove bolesti </w:t>
      </w:r>
      <w:r w:rsidR="004204FE" w:rsidRPr="00202D4B">
        <w:rPr>
          <w:bCs/>
          <w:noProof/>
          <w:sz w:val="22"/>
          <w:szCs w:val="22"/>
          <w:lang w:val="sr-Latn-ME"/>
        </w:rPr>
        <w:t xml:space="preserve">– </w:t>
      </w:r>
      <w:r w:rsidRPr="00202D4B">
        <w:rPr>
          <w:bCs/>
          <w:noProof/>
          <w:sz w:val="22"/>
          <w:szCs w:val="22"/>
          <w:lang w:val="sr-Latn-ME"/>
        </w:rPr>
        <w:t xml:space="preserve">ADAS-cog </w:t>
      </w:r>
      <w:r w:rsidR="004204FE" w:rsidRPr="00202D4B">
        <w:rPr>
          <w:bCs/>
          <w:noProof/>
          <w:sz w:val="22"/>
          <w:szCs w:val="22"/>
          <w:lang w:val="sr-Latn-ME"/>
        </w:rPr>
        <w:t>(</w:t>
      </w:r>
      <w:r w:rsidRPr="00202D4B">
        <w:rPr>
          <w:bCs/>
          <w:noProof/>
          <w:sz w:val="22"/>
          <w:szCs w:val="22"/>
          <w:lang w:val="sr-Latn-ME"/>
        </w:rPr>
        <w:t xml:space="preserve">engl. </w:t>
      </w:r>
      <w:r w:rsidRPr="00202D4B">
        <w:rPr>
          <w:bCs/>
          <w:i/>
          <w:noProof/>
          <w:sz w:val="22"/>
          <w:szCs w:val="22"/>
          <w:lang w:val="sr-Latn-ME"/>
        </w:rPr>
        <w:t xml:space="preserve">Alzheimer’s </w:t>
      </w:r>
      <w:r w:rsidR="004204FE" w:rsidRPr="00202D4B">
        <w:rPr>
          <w:bCs/>
          <w:i/>
          <w:noProof/>
          <w:sz w:val="22"/>
          <w:szCs w:val="22"/>
          <w:lang w:val="sr-Latn-ME"/>
        </w:rPr>
        <w:t>d</w:t>
      </w:r>
      <w:r w:rsidRPr="00202D4B">
        <w:rPr>
          <w:bCs/>
          <w:i/>
          <w:noProof/>
          <w:sz w:val="22"/>
          <w:szCs w:val="22"/>
          <w:lang w:val="sr-Latn-ME"/>
        </w:rPr>
        <w:t xml:space="preserve">isease </w:t>
      </w:r>
      <w:r w:rsidR="004204FE" w:rsidRPr="00202D4B">
        <w:rPr>
          <w:bCs/>
          <w:i/>
          <w:noProof/>
          <w:sz w:val="22"/>
          <w:szCs w:val="22"/>
          <w:lang w:val="sr-Latn-ME"/>
        </w:rPr>
        <w:t>a</w:t>
      </w:r>
      <w:r w:rsidRPr="00202D4B">
        <w:rPr>
          <w:bCs/>
          <w:i/>
          <w:noProof/>
          <w:sz w:val="22"/>
          <w:szCs w:val="22"/>
          <w:lang w:val="sr-Latn-ME"/>
        </w:rPr>
        <w:t xml:space="preserve">ssessment </w:t>
      </w:r>
      <w:r w:rsidR="004204FE" w:rsidRPr="00202D4B">
        <w:rPr>
          <w:bCs/>
          <w:i/>
          <w:noProof/>
          <w:sz w:val="22"/>
          <w:szCs w:val="22"/>
          <w:lang w:val="sr-Latn-ME"/>
        </w:rPr>
        <w:t>s</w:t>
      </w:r>
      <w:r w:rsidRPr="00202D4B">
        <w:rPr>
          <w:bCs/>
          <w:i/>
          <w:noProof/>
          <w:sz w:val="22"/>
          <w:szCs w:val="22"/>
          <w:lang w:val="sr-Latn-ME"/>
        </w:rPr>
        <w:t>cale</w:t>
      </w:r>
      <w:r w:rsidRPr="00202D4B">
        <w:rPr>
          <w:bCs/>
          <w:noProof/>
          <w:sz w:val="22"/>
          <w:szCs w:val="22"/>
          <w:lang w:val="sr-Latn-ME"/>
        </w:rPr>
        <w:t xml:space="preserve">) (p=0,003) i CIBIC-plus (p=0,004) </w:t>
      </w:r>
      <w:r w:rsidR="004204FE" w:rsidRPr="00202D4B">
        <w:rPr>
          <w:bCs/>
          <w:noProof/>
          <w:sz w:val="22"/>
          <w:szCs w:val="22"/>
          <w:lang w:val="sr-Latn-ME"/>
        </w:rPr>
        <w:t>u 24. nedjelji liječenja (</w:t>
      </w:r>
      <w:r w:rsidRPr="00202D4B">
        <w:rPr>
          <w:bCs/>
          <w:noProof/>
          <w:sz w:val="22"/>
          <w:szCs w:val="22"/>
          <w:lang w:val="sr-Latn-ME"/>
        </w:rPr>
        <w:t xml:space="preserve">posljednje opažanje preneseno nadalje </w:t>
      </w:r>
      <w:r w:rsidR="004204FE" w:rsidRPr="00202D4B">
        <w:rPr>
          <w:bCs/>
          <w:noProof/>
          <w:sz w:val="22"/>
          <w:szCs w:val="22"/>
          <w:lang w:val="sr-Latn-ME"/>
        </w:rPr>
        <w:t xml:space="preserve">– </w:t>
      </w:r>
      <w:r w:rsidRPr="00202D4B">
        <w:rPr>
          <w:bCs/>
          <w:noProof/>
          <w:sz w:val="22"/>
          <w:szCs w:val="22"/>
          <w:lang w:val="sr-Latn-ME"/>
        </w:rPr>
        <w:t xml:space="preserve">LOCF </w:t>
      </w:r>
      <w:r w:rsidR="004204FE" w:rsidRPr="00202D4B">
        <w:rPr>
          <w:bCs/>
          <w:noProof/>
          <w:sz w:val="22"/>
          <w:szCs w:val="22"/>
          <w:lang w:val="sr-Latn-ME"/>
        </w:rPr>
        <w:t>(</w:t>
      </w:r>
      <w:r w:rsidRPr="00202D4B">
        <w:rPr>
          <w:bCs/>
          <w:noProof/>
          <w:sz w:val="22"/>
          <w:szCs w:val="22"/>
          <w:lang w:val="sr-Latn-ME"/>
        </w:rPr>
        <w:t xml:space="preserve">engl. </w:t>
      </w:r>
      <w:r w:rsidR="004204FE" w:rsidRPr="00202D4B">
        <w:rPr>
          <w:bCs/>
          <w:i/>
          <w:noProof/>
          <w:sz w:val="22"/>
          <w:szCs w:val="22"/>
          <w:lang w:val="sr-Latn-ME"/>
        </w:rPr>
        <w:t>l</w:t>
      </w:r>
      <w:r w:rsidRPr="00202D4B">
        <w:rPr>
          <w:bCs/>
          <w:i/>
          <w:noProof/>
          <w:sz w:val="22"/>
          <w:szCs w:val="22"/>
          <w:lang w:val="sr-Latn-ME"/>
        </w:rPr>
        <w:t xml:space="preserve">ast </w:t>
      </w:r>
      <w:r w:rsidR="004204FE" w:rsidRPr="00202D4B">
        <w:rPr>
          <w:bCs/>
          <w:i/>
          <w:noProof/>
          <w:sz w:val="22"/>
          <w:szCs w:val="22"/>
          <w:lang w:val="sr-Latn-ME"/>
        </w:rPr>
        <w:t>o</w:t>
      </w:r>
      <w:r w:rsidRPr="00202D4B">
        <w:rPr>
          <w:bCs/>
          <w:i/>
          <w:noProof/>
          <w:sz w:val="22"/>
          <w:szCs w:val="22"/>
          <w:lang w:val="sr-Latn-ME"/>
        </w:rPr>
        <w:t xml:space="preserve">bservation </w:t>
      </w:r>
      <w:r w:rsidR="004204FE" w:rsidRPr="00202D4B">
        <w:rPr>
          <w:bCs/>
          <w:i/>
          <w:noProof/>
          <w:sz w:val="22"/>
          <w:szCs w:val="22"/>
          <w:lang w:val="sr-Latn-ME"/>
        </w:rPr>
        <w:t>c</w:t>
      </w:r>
      <w:r w:rsidRPr="00202D4B">
        <w:rPr>
          <w:bCs/>
          <w:i/>
          <w:noProof/>
          <w:sz w:val="22"/>
          <w:szCs w:val="22"/>
          <w:lang w:val="sr-Latn-ME"/>
        </w:rPr>
        <w:t xml:space="preserve">arried </w:t>
      </w:r>
      <w:r w:rsidR="004204FE" w:rsidRPr="00202D4B">
        <w:rPr>
          <w:bCs/>
          <w:i/>
          <w:noProof/>
          <w:sz w:val="22"/>
          <w:szCs w:val="22"/>
          <w:lang w:val="sr-Latn-ME"/>
        </w:rPr>
        <w:t>f</w:t>
      </w:r>
      <w:r w:rsidRPr="00202D4B">
        <w:rPr>
          <w:bCs/>
          <w:i/>
          <w:noProof/>
          <w:sz w:val="22"/>
          <w:szCs w:val="22"/>
          <w:lang w:val="sr-Latn-ME"/>
        </w:rPr>
        <w:t>orward</w:t>
      </w:r>
      <w:r w:rsidRPr="00202D4B">
        <w:rPr>
          <w:bCs/>
          <w:noProof/>
          <w:sz w:val="22"/>
          <w:szCs w:val="22"/>
          <w:lang w:val="sr-Latn-ME"/>
        </w:rPr>
        <w:t>)</w:t>
      </w:r>
      <w:r w:rsidR="004204FE" w:rsidRPr="00202D4B">
        <w:rPr>
          <w:bCs/>
          <w:noProof/>
          <w:sz w:val="22"/>
          <w:szCs w:val="22"/>
          <w:lang w:val="sr-Latn-ME"/>
        </w:rPr>
        <w:t>)</w:t>
      </w:r>
      <w:r w:rsidRPr="00202D4B">
        <w:rPr>
          <w:bCs/>
          <w:noProof/>
          <w:sz w:val="22"/>
          <w:szCs w:val="22"/>
          <w:lang w:val="sr-Latn-ME"/>
        </w:rPr>
        <w:t>. U drugoj monoterapijskoj studiji blage do umjerene Alzheimer</w:t>
      </w:r>
      <w:r w:rsidR="004204FE" w:rsidRPr="00202D4B">
        <w:rPr>
          <w:bCs/>
          <w:noProof/>
          <w:sz w:val="22"/>
          <w:szCs w:val="22"/>
          <w:lang w:val="sr-Latn-ME"/>
        </w:rPr>
        <w:t>-</w:t>
      </w:r>
      <w:r w:rsidRPr="00202D4B">
        <w:rPr>
          <w:bCs/>
          <w:noProof/>
          <w:sz w:val="22"/>
          <w:szCs w:val="22"/>
          <w:lang w:val="sr-Latn-ME"/>
        </w:rPr>
        <w:t>ove bolesti, randomiz</w:t>
      </w:r>
      <w:r w:rsidR="00E73B7D" w:rsidRPr="00202D4B">
        <w:rPr>
          <w:bCs/>
          <w:noProof/>
          <w:sz w:val="22"/>
          <w:szCs w:val="22"/>
          <w:lang w:val="sr-Latn-ME"/>
        </w:rPr>
        <w:t>ov</w:t>
      </w:r>
      <w:r w:rsidRPr="00202D4B">
        <w:rPr>
          <w:bCs/>
          <w:noProof/>
          <w:sz w:val="22"/>
          <w:szCs w:val="22"/>
          <w:lang w:val="sr-Latn-ME"/>
        </w:rPr>
        <w:t>ano je ukupno 470 pacijenata (</w:t>
      </w:r>
      <w:r w:rsidR="00E73B7D" w:rsidRPr="00202D4B">
        <w:rPr>
          <w:bCs/>
          <w:noProof/>
          <w:sz w:val="22"/>
          <w:szCs w:val="22"/>
          <w:lang w:val="sr-Latn-ME"/>
        </w:rPr>
        <w:t xml:space="preserve">početne vrijednosti ukupnog </w:t>
      </w:r>
      <w:r w:rsidRPr="00202D4B">
        <w:rPr>
          <w:bCs/>
          <w:noProof/>
          <w:sz w:val="22"/>
          <w:szCs w:val="22"/>
          <w:lang w:val="sr-Latn-ME"/>
        </w:rPr>
        <w:t>MMSE od 11</w:t>
      </w:r>
      <w:r w:rsidR="00E73B7D" w:rsidRPr="00202D4B">
        <w:rPr>
          <w:bCs/>
          <w:noProof/>
          <w:sz w:val="22"/>
          <w:szCs w:val="22"/>
          <w:lang w:val="sr-Latn-ME"/>
        </w:rPr>
        <w:t xml:space="preserve"> do </w:t>
      </w:r>
      <w:r w:rsidRPr="00202D4B">
        <w:rPr>
          <w:bCs/>
          <w:noProof/>
          <w:sz w:val="22"/>
          <w:szCs w:val="22"/>
          <w:lang w:val="sr-Latn-ME"/>
        </w:rPr>
        <w:t>23). U prospektivno definisanoj pr</w:t>
      </w:r>
      <w:r w:rsidR="00FF63BD" w:rsidRPr="00202D4B">
        <w:rPr>
          <w:bCs/>
          <w:noProof/>
          <w:sz w:val="22"/>
          <w:szCs w:val="22"/>
          <w:lang w:val="sr-Latn-ME"/>
        </w:rPr>
        <w:t>imarnoj analizi nije dostignuta</w:t>
      </w:r>
      <w:r w:rsidRPr="00202D4B">
        <w:rPr>
          <w:bCs/>
          <w:noProof/>
          <w:sz w:val="22"/>
          <w:szCs w:val="22"/>
          <w:lang w:val="sr-Latn-ME"/>
        </w:rPr>
        <w:t xml:space="preserve"> statistička značajnost primarnog</w:t>
      </w:r>
      <w:r w:rsidR="00817BBD" w:rsidRPr="00202D4B">
        <w:rPr>
          <w:bCs/>
          <w:noProof/>
          <w:sz w:val="22"/>
          <w:szCs w:val="22"/>
          <w:lang w:val="sr-Latn-ME"/>
        </w:rPr>
        <w:t xml:space="preserve"> parametra praćenja</w:t>
      </w:r>
      <w:r w:rsidRPr="00202D4B">
        <w:rPr>
          <w:bCs/>
          <w:noProof/>
          <w:sz w:val="22"/>
          <w:szCs w:val="22"/>
          <w:lang w:val="sr-Latn-ME"/>
        </w:rPr>
        <w:t xml:space="preserve"> ishoda (u 24. nedjelji).</w:t>
      </w:r>
    </w:p>
    <w:p w14:paraId="5A28E98D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6E94A2C2" w14:textId="7AEC672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>Meta-analiza pacijenata s umjerenom do teškom Alzheimer</w:t>
      </w:r>
      <w:r w:rsidR="00E73B7D" w:rsidRPr="00202D4B">
        <w:rPr>
          <w:bCs/>
          <w:noProof/>
          <w:sz w:val="22"/>
          <w:szCs w:val="22"/>
          <w:lang w:val="sr-Latn-ME"/>
        </w:rPr>
        <w:t>-</w:t>
      </w:r>
      <w:r w:rsidRPr="00202D4B">
        <w:rPr>
          <w:bCs/>
          <w:noProof/>
          <w:sz w:val="22"/>
          <w:szCs w:val="22"/>
          <w:lang w:val="sr-Latn-ME"/>
        </w:rPr>
        <w:t>ovom bolešću (</w:t>
      </w:r>
      <w:r w:rsidR="00E73B7D" w:rsidRPr="00202D4B">
        <w:rPr>
          <w:bCs/>
          <w:noProof/>
          <w:sz w:val="22"/>
          <w:szCs w:val="22"/>
          <w:lang w:val="sr-Latn-ME"/>
        </w:rPr>
        <w:t xml:space="preserve">ukupni </w:t>
      </w:r>
      <w:r w:rsidRPr="00202D4B">
        <w:rPr>
          <w:bCs/>
          <w:noProof/>
          <w:sz w:val="22"/>
          <w:szCs w:val="22"/>
          <w:lang w:val="sr-Latn-ME"/>
        </w:rPr>
        <w:t>MMSE &lt; 20), iz šest placebom kontrolisanih studija faze III u trajanju od 6 mjeseci (uključujući i monoterapijske studije i studije s</w:t>
      </w:r>
      <w:r w:rsidR="00E73B7D" w:rsidRPr="00202D4B">
        <w:rPr>
          <w:bCs/>
          <w:noProof/>
          <w:sz w:val="22"/>
          <w:szCs w:val="22"/>
          <w:lang w:val="sr-Latn-ME"/>
        </w:rPr>
        <w:t>a</w:t>
      </w:r>
      <w:r w:rsidRPr="00202D4B">
        <w:rPr>
          <w:bCs/>
          <w:noProof/>
          <w:sz w:val="22"/>
          <w:szCs w:val="22"/>
          <w:lang w:val="sr-Latn-ME"/>
        </w:rPr>
        <w:t xml:space="preserve"> pacijentima na stabilnoj dozi inhibitora acetilholinesteraze), pokazala je da postoji statistički </w:t>
      </w:r>
      <w:r w:rsidRPr="00202D4B">
        <w:rPr>
          <w:bCs/>
          <w:noProof/>
          <w:sz w:val="22"/>
          <w:szCs w:val="22"/>
          <w:lang w:val="sr-Latn-ME"/>
        </w:rPr>
        <w:lastRenderedPageBreak/>
        <w:t>značajan efek</w:t>
      </w:r>
      <w:r w:rsidR="00E73B7D" w:rsidRPr="00202D4B">
        <w:rPr>
          <w:bCs/>
          <w:noProof/>
          <w:sz w:val="22"/>
          <w:szCs w:val="22"/>
          <w:lang w:val="sr-Latn-ME"/>
        </w:rPr>
        <w:t>a</w:t>
      </w:r>
      <w:r w:rsidRPr="00202D4B">
        <w:rPr>
          <w:bCs/>
          <w:noProof/>
          <w:sz w:val="22"/>
          <w:szCs w:val="22"/>
          <w:lang w:val="sr-Latn-ME"/>
        </w:rPr>
        <w:t>t u korist liječenja memantinom u kognitivnim, globalnim i funkcionalnim domen</w:t>
      </w:r>
      <w:r w:rsidR="00E73B7D" w:rsidRPr="00202D4B">
        <w:rPr>
          <w:bCs/>
          <w:noProof/>
          <w:sz w:val="22"/>
          <w:szCs w:val="22"/>
          <w:lang w:val="sr-Latn-ME"/>
        </w:rPr>
        <w:t>i</w:t>
      </w:r>
      <w:r w:rsidRPr="00202D4B">
        <w:rPr>
          <w:bCs/>
          <w:noProof/>
          <w:sz w:val="22"/>
          <w:szCs w:val="22"/>
          <w:lang w:val="sr-Latn-ME"/>
        </w:rPr>
        <w:t>ma. Kada je ustanovljeno istovremeno pogoršanje u sv</w:t>
      </w:r>
      <w:r w:rsidR="00E73B7D" w:rsidRPr="00202D4B">
        <w:rPr>
          <w:bCs/>
          <w:noProof/>
          <w:sz w:val="22"/>
          <w:szCs w:val="22"/>
          <w:lang w:val="sr-Latn-ME"/>
        </w:rPr>
        <w:t>a</w:t>
      </w:r>
      <w:r w:rsidRPr="00202D4B">
        <w:rPr>
          <w:bCs/>
          <w:noProof/>
          <w:sz w:val="22"/>
          <w:szCs w:val="22"/>
          <w:lang w:val="sr-Latn-ME"/>
        </w:rPr>
        <w:t xml:space="preserve"> tri domen</w:t>
      </w:r>
      <w:r w:rsidR="00E73B7D" w:rsidRPr="00202D4B">
        <w:rPr>
          <w:bCs/>
          <w:noProof/>
          <w:sz w:val="22"/>
          <w:szCs w:val="22"/>
          <w:lang w:val="sr-Latn-ME"/>
        </w:rPr>
        <w:t>a</w:t>
      </w:r>
      <w:r w:rsidRPr="00202D4B">
        <w:rPr>
          <w:bCs/>
          <w:noProof/>
          <w:sz w:val="22"/>
          <w:szCs w:val="22"/>
          <w:lang w:val="sr-Latn-ME"/>
        </w:rPr>
        <w:t xml:space="preserve">, rezultati su pokazali statistički značajan </w:t>
      </w:r>
      <w:r w:rsidR="00E73B7D" w:rsidRPr="00202D4B">
        <w:rPr>
          <w:bCs/>
          <w:noProof/>
          <w:sz w:val="22"/>
          <w:szCs w:val="22"/>
          <w:lang w:val="sr-Latn-ME"/>
        </w:rPr>
        <w:t xml:space="preserve">efekat </w:t>
      </w:r>
      <w:r w:rsidRPr="00202D4B">
        <w:rPr>
          <w:bCs/>
          <w:noProof/>
          <w:sz w:val="22"/>
          <w:szCs w:val="22"/>
          <w:lang w:val="sr-Latn-ME"/>
        </w:rPr>
        <w:t xml:space="preserve">memantina u sprečavanju pogoršanja, </w:t>
      </w:r>
      <w:r w:rsidR="00E73B7D" w:rsidRPr="00202D4B">
        <w:rPr>
          <w:bCs/>
          <w:noProof/>
          <w:sz w:val="22"/>
          <w:szCs w:val="22"/>
          <w:lang w:val="sr-Latn-ME"/>
        </w:rPr>
        <w:t xml:space="preserve">s </w:t>
      </w:r>
      <w:r w:rsidRPr="00202D4B">
        <w:rPr>
          <w:bCs/>
          <w:noProof/>
          <w:sz w:val="22"/>
          <w:szCs w:val="22"/>
          <w:lang w:val="sr-Latn-ME"/>
        </w:rPr>
        <w:t xml:space="preserve">obzirom </w:t>
      </w:r>
      <w:r w:rsidR="00E73B7D" w:rsidRPr="00202D4B">
        <w:rPr>
          <w:bCs/>
          <w:noProof/>
          <w:sz w:val="22"/>
          <w:szCs w:val="22"/>
          <w:lang w:val="sr-Latn-ME"/>
        </w:rPr>
        <w:t xml:space="preserve">na to </w:t>
      </w:r>
      <w:r w:rsidRPr="00202D4B">
        <w:rPr>
          <w:bCs/>
          <w:noProof/>
          <w:sz w:val="22"/>
          <w:szCs w:val="22"/>
          <w:lang w:val="sr-Latn-ME"/>
        </w:rPr>
        <w:t xml:space="preserve">da je </w:t>
      </w:r>
      <w:r w:rsidR="00E73B7D" w:rsidRPr="00202D4B">
        <w:rPr>
          <w:bCs/>
          <w:noProof/>
          <w:sz w:val="22"/>
          <w:szCs w:val="22"/>
          <w:lang w:val="sr-Latn-ME"/>
        </w:rPr>
        <w:t>kod</w:t>
      </w:r>
      <w:r w:rsidRPr="00202D4B">
        <w:rPr>
          <w:bCs/>
          <w:noProof/>
          <w:sz w:val="22"/>
          <w:szCs w:val="22"/>
          <w:lang w:val="sr-Latn-ME"/>
        </w:rPr>
        <w:t xml:space="preserve"> dvostruko više pacijenata liječenih placebom uočeno pogoršanje u sv</w:t>
      </w:r>
      <w:r w:rsidR="00E73B7D" w:rsidRPr="00202D4B">
        <w:rPr>
          <w:bCs/>
          <w:noProof/>
          <w:sz w:val="22"/>
          <w:szCs w:val="22"/>
          <w:lang w:val="sr-Latn-ME"/>
        </w:rPr>
        <w:t>a</w:t>
      </w:r>
      <w:r w:rsidRPr="00202D4B">
        <w:rPr>
          <w:bCs/>
          <w:noProof/>
          <w:sz w:val="22"/>
          <w:szCs w:val="22"/>
          <w:lang w:val="sr-Latn-ME"/>
        </w:rPr>
        <w:t xml:space="preserve"> tri domen</w:t>
      </w:r>
      <w:r w:rsidR="00E73B7D" w:rsidRPr="00202D4B">
        <w:rPr>
          <w:bCs/>
          <w:noProof/>
          <w:sz w:val="22"/>
          <w:szCs w:val="22"/>
          <w:lang w:val="sr-Latn-ME"/>
        </w:rPr>
        <w:t>a</w:t>
      </w:r>
      <w:r w:rsidRPr="00202D4B">
        <w:rPr>
          <w:bCs/>
          <w:noProof/>
          <w:sz w:val="22"/>
          <w:szCs w:val="22"/>
          <w:lang w:val="sr-Latn-ME"/>
        </w:rPr>
        <w:t xml:space="preserve"> (21% </w:t>
      </w:r>
      <w:r w:rsidR="00E73B7D" w:rsidRPr="00202D4B">
        <w:rPr>
          <w:bCs/>
          <w:noProof/>
          <w:sz w:val="22"/>
          <w:szCs w:val="22"/>
          <w:lang w:val="sr-Latn-ME"/>
        </w:rPr>
        <w:t>naspram</w:t>
      </w:r>
      <w:r w:rsidRPr="00202D4B">
        <w:rPr>
          <w:bCs/>
          <w:noProof/>
          <w:sz w:val="22"/>
          <w:szCs w:val="22"/>
          <w:lang w:val="sr-Latn-ME"/>
        </w:rPr>
        <w:t xml:space="preserve"> 11%, p&lt;0,0001).</w:t>
      </w:r>
    </w:p>
    <w:p w14:paraId="5734D2D4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2088EDA7" w14:textId="77777777" w:rsidR="00FA009A" w:rsidRPr="00202D4B" w:rsidRDefault="00FA009A" w:rsidP="00FA009A">
      <w:pPr>
        <w:pStyle w:val="ListParagraph"/>
        <w:numPr>
          <w:ilvl w:val="1"/>
          <w:numId w:val="4"/>
        </w:num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202D4B">
        <w:rPr>
          <w:b/>
          <w:bCs/>
          <w:noProof/>
          <w:sz w:val="22"/>
          <w:szCs w:val="22"/>
          <w:lang w:val="sr-Latn-ME"/>
        </w:rPr>
        <w:t xml:space="preserve">Farmakokinetički podaci </w:t>
      </w:r>
    </w:p>
    <w:p w14:paraId="4011E2F4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093C88D4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202D4B">
        <w:rPr>
          <w:bCs/>
          <w:noProof/>
          <w:sz w:val="22"/>
          <w:szCs w:val="22"/>
          <w:u w:val="single"/>
          <w:lang w:val="sr-Latn-ME"/>
        </w:rPr>
        <w:t>Resorpcija</w:t>
      </w:r>
    </w:p>
    <w:p w14:paraId="7259ECDA" w14:textId="7965EB08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>Memantin ima apsolutnu bioraspoloživost od približno 100%. Vrijednost Tmax je između 3 i 8 sati. Nema indikacij</w:t>
      </w:r>
      <w:r w:rsidR="00E73B7D" w:rsidRPr="00202D4B">
        <w:rPr>
          <w:bCs/>
          <w:noProof/>
          <w:sz w:val="22"/>
          <w:szCs w:val="22"/>
          <w:lang w:val="sr-Latn-ME"/>
        </w:rPr>
        <w:t>a</w:t>
      </w:r>
      <w:r w:rsidRPr="00202D4B">
        <w:rPr>
          <w:bCs/>
          <w:noProof/>
          <w:sz w:val="22"/>
          <w:szCs w:val="22"/>
          <w:lang w:val="sr-Latn-ME"/>
        </w:rPr>
        <w:t xml:space="preserve"> o uticajima hrane na resorpciju memantina.</w:t>
      </w:r>
    </w:p>
    <w:p w14:paraId="7EE05E1A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008715D8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202D4B">
        <w:rPr>
          <w:bCs/>
          <w:noProof/>
          <w:sz w:val="22"/>
          <w:szCs w:val="22"/>
          <w:u w:val="single"/>
          <w:lang w:val="sr-Latn-ME"/>
        </w:rPr>
        <w:t>Distribucija</w:t>
      </w:r>
    </w:p>
    <w:p w14:paraId="595D9F76" w14:textId="62763530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 xml:space="preserve">Dnevne doze od 20 mg dovode do plazmatskih koncentracija memantina </w:t>
      </w:r>
      <w:r w:rsidR="00E73B7D" w:rsidRPr="00202D4B">
        <w:rPr>
          <w:bCs/>
          <w:noProof/>
          <w:sz w:val="22"/>
          <w:szCs w:val="22"/>
          <w:lang w:val="sr-Latn-ME"/>
        </w:rPr>
        <w:t xml:space="preserve">u stanju dinamičke ravnoteže </w:t>
      </w:r>
      <w:r w:rsidRPr="00202D4B">
        <w:rPr>
          <w:bCs/>
          <w:noProof/>
          <w:sz w:val="22"/>
          <w:szCs w:val="22"/>
          <w:lang w:val="sr-Latn-ME"/>
        </w:rPr>
        <w:t>u rasponu od 70 do 150 ng/ml (0,5-1 μmol), s</w:t>
      </w:r>
      <w:r w:rsidR="00E73B7D" w:rsidRPr="00202D4B">
        <w:rPr>
          <w:bCs/>
          <w:noProof/>
          <w:sz w:val="22"/>
          <w:szCs w:val="22"/>
          <w:lang w:val="sr-Latn-ME"/>
        </w:rPr>
        <w:t>a</w:t>
      </w:r>
      <w:r w:rsidRPr="00202D4B">
        <w:rPr>
          <w:bCs/>
          <w:noProof/>
          <w:sz w:val="22"/>
          <w:szCs w:val="22"/>
          <w:lang w:val="sr-Latn-ME"/>
        </w:rPr>
        <w:t xml:space="preserve"> velikim interindividualnim razlikama. Pri primjeni dnevnih doza od 5 do 30 mg, izračunat je srednji cerebrospinalni likvor/serum odnos od 0,52. Volumen distribucije je oko 10 L/kg. Oko 45% memantina veže se za proteine plazme.</w:t>
      </w:r>
    </w:p>
    <w:p w14:paraId="77BB6135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6A8D36C5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202D4B">
        <w:rPr>
          <w:bCs/>
          <w:noProof/>
          <w:sz w:val="22"/>
          <w:szCs w:val="22"/>
          <w:u w:val="single"/>
          <w:lang w:val="sr-Latn-ME"/>
        </w:rPr>
        <w:t>Biotransformacija</w:t>
      </w:r>
    </w:p>
    <w:p w14:paraId="467B21F8" w14:textId="0DE7352B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 xml:space="preserve">Kod ljudi </w:t>
      </w:r>
      <w:r w:rsidR="00016007" w:rsidRPr="00202D4B">
        <w:rPr>
          <w:bCs/>
          <w:noProof/>
          <w:sz w:val="22"/>
          <w:szCs w:val="22"/>
          <w:lang w:val="sr-Latn-ME"/>
        </w:rPr>
        <w:t xml:space="preserve">je </w:t>
      </w:r>
      <w:r w:rsidRPr="00202D4B">
        <w:rPr>
          <w:bCs/>
          <w:noProof/>
          <w:sz w:val="22"/>
          <w:szCs w:val="22"/>
          <w:lang w:val="sr-Latn-ME"/>
        </w:rPr>
        <w:t xml:space="preserve">oko 80% memantina u cirkulaciji prisutno u nepromijenjenom obliku. Glavni metaboliti kod ljudi su N-3,5-dimetil-gludantan, izomerna mješavina 4- i 6-hidroksi-memantina i 1-nitrozo-3,5-dimetil-adamantan. Nijedan od navedenih metabolita ne pokazuje NMDA-antagonističku aktivnost. </w:t>
      </w:r>
      <w:r w:rsidRPr="00202D4B">
        <w:rPr>
          <w:bCs/>
          <w:i/>
          <w:iCs/>
          <w:noProof/>
          <w:sz w:val="22"/>
          <w:szCs w:val="22"/>
          <w:lang w:val="sr-Latn-ME"/>
        </w:rPr>
        <w:t xml:space="preserve">In vitro </w:t>
      </w:r>
      <w:r w:rsidRPr="00202D4B">
        <w:rPr>
          <w:bCs/>
          <w:noProof/>
          <w:sz w:val="22"/>
          <w:szCs w:val="22"/>
          <w:lang w:val="sr-Latn-ME"/>
        </w:rPr>
        <w:t>nije otkriven metabolizam kataliz</w:t>
      </w:r>
      <w:r w:rsidR="00016007" w:rsidRPr="00202D4B">
        <w:rPr>
          <w:bCs/>
          <w:noProof/>
          <w:sz w:val="22"/>
          <w:szCs w:val="22"/>
          <w:lang w:val="sr-Latn-ME"/>
        </w:rPr>
        <w:t>ov</w:t>
      </w:r>
      <w:r w:rsidRPr="00202D4B">
        <w:rPr>
          <w:bCs/>
          <w:noProof/>
          <w:sz w:val="22"/>
          <w:szCs w:val="22"/>
          <w:lang w:val="sr-Latn-ME"/>
        </w:rPr>
        <w:t xml:space="preserve">an citohromom P 450. </w:t>
      </w:r>
    </w:p>
    <w:p w14:paraId="7CD31157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484D262C" w14:textId="79C6103F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>U studiji u kojoj je koriš</w:t>
      </w:r>
      <w:r w:rsidR="00016007" w:rsidRPr="00202D4B">
        <w:rPr>
          <w:bCs/>
          <w:noProof/>
          <w:sz w:val="22"/>
          <w:szCs w:val="22"/>
          <w:lang w:val="sr-Latn-ME"/>
        </w:rPr>
        <w:t>ć</w:t>
      </w:r>
      <w:r w:rsidRPr="00202D4B">
        <w:rPr>
          <w:bCs/>
          <w:noProof/>
          <w:sz w:val="22"/>
          <w:szCs w:val="22"/>
          <w:lang w:val="sr-Latn-ME"/>
        </w:rPr>
        <w:t xml:space="preserve">en peroralno primijenjen </w:t>
      </w:r>
      <w:r w:rsidRPr="00202D4B">
        <w:rPr>
          <w:bCs/>
          <w:noProof/>
          <w:sz w:val="22"/>
          <w:szCs w:val="22"/>
          <w:vertAlign w:val="superscript"/>
          <w:lang w:val="sr-Latn-ME"/>
        </w:rPr>
        <w:t>14</w:t>
      </w:r>
      <w:r w:rsidRPr="00202D4B">
        <w:rPr>
          <w:bCs/>
          <w:noProof/>
          <w:sz w:val="22"/>
          <w:szCs w:val="22"/>
          <w:lang w:val="sr-Latn-ME"/>
        </w:rPr>
        <w:t>C-memantin</w:t>
      </w:r>
      <w:r w:rsidR="00016007" w:rsidRPr="00202D4B">
        <w:rPr>
          <w:bCs/>
          <w:noProof/>
          <w:sz w:val="22"/>
          <w:szCs w:val="22"/>
          <w:lang w:val="sr-Latn-ME"/>
        </w:rPr>
        <w:t>,</w:t>
      </w:r>
      <w:r w:rsidRPr="00202D4B">
        <w:rPr>
          <w:bCs/>
          <w:noProof/>
          <w:sz w:val="22"/>
          <w:szCs w:val="22"/>
          <w:lang w:val="sr-Latn-ME"/>
        </w:rPr>
        <w:t xml:space="preserve"> prosječno 84% doze </w:t>
      </w:r>
      <w:r w:rsidR="007B08B9" w:rsidRPr="00202D4B">
        <w:rPr>
          <w:bCs/>
          <w:noProof/>
          <w:sz w:val="22"/>
          <w:szCs w:val="22"/>
          <w:lang w:val="sr-Latn-ME"/>
        </w:rPr>
        <w:t xml:space="preserve">uklonjeno </w:t>
      </w:r>
      <w:r w:rsidRPr="00202D4B">
        <w:rPr>
          <w:bCs/>
          <w:noProof/>
          <w:sz w:val="22"/>
          <w:szCs w:val="22"/>
          <w:lang w:val="sr-Latn-ME"/>
        </w:rPr>
        <w:t>je unutar 20 dana, a više od 99% izlučeno</w:t>
      </w:r>
      <w:r w:rsidR="00016007" w:rsidRPr="00202D4B">
        <w:rPr>
          <w:bCs/>
          <w:noProof/>
          <w:sz w:val="22"/>
          <w:szCs w:val="22"/>
          <w:lang w:val="sr-Latn-ME"/>
        </w:rPr>
        <w:t xml:space="preserve"> je</w:t>
      </w:r>
      <w:r w:rsidRPr="00202D4B">
        <w:rPr>
          <w:bCs/>
          <w:noProof/>
          <w:sz w:val="22"/>
          <w:szCs w:val="22"/>
          <w:lang w:val="sr-Latn-ME"/>
        </w:rPr>
        <w:t xml:space="preserve"> putem bubrega.</w:t>
      </w:r>
    </w:p>
    <w:p w14:paraId="52BE51A8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6A4F748B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202D4B">
        <w:rPr>
          <w:bCs/>
          <w:noProof/>
          <w:sz w:val="22"/>
          <w:szCs w:val="22"/>
          <w:u w:val="single"/>
          <w:lang w:val="sr-Latn-ME"/>
        </w:rPr>
        <w:t>Eliminacija</w:t>
      </w:r>
    </w:p>
    <w:p w14:paraId="0536E286" w14:textId="74BEB5F9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>Memantin se eliminiše monoeksponencijalno, s</w:t>
      </w:r>
      <w:r w:rsidR="00016007" w:rsidRPr="00202D4B">
        <w:rPr>
          <w:bCs/>
          <w:noProof/>
          <w:sz w:val="22"/>
          <w:szCs w:val="22"/>
          <w:lang w:val="sr-Latn-ME"/>
        </w:rPr>
        <w:t>a</w:t>
      </w:r>
      <w:r w:rsidRPr="00202D4B">
        <w:rPr>
          <w:bCs/>
          <w:noProof/>
          <w:sz w:val="22"/>
          <w:szCs w:val="22"/>
          <w:lang w:val="sr-Latn-ME"/>
        </w:rPr>
        <w:t xml:space="preserve"> terminalnim t</w:t>
      </w:r>
      <w:r w:rsidRPr="00202D4B">
        <w:rPr>
          <w:bCs/>
          <w:noProof/>
          <w:sz w:val="22"/>
          <w:szCs w:val="22"/>
          <w:vertAlign w:val="subscript"/>
          <w:lang w:val="sr-Latn-ME"/>
        </w:rPr>
        <w:t>½</w:t>
      </w:r>
      <w:r w:rsidRPr="00202D4B">
        <w:rPr>
          <w:bCs/>
          <w:noProof/>
          <w:sz w:val="22"/>
          <w:szCs w:val="22"/>
          <w:lang w:val="sr-Latn-ME"/>
        </w:rPr>
        <w:t xml:space="preserve"> od 60 do 100 sati. Kod dobrovoljaca s</w:t>
      </w:r>
      <w:r w:rsidR="00016007" w:rsidRPr="00202D4B">
        <w:rPr>
          <w:bCs/>
          <w:noProof/>
          <w:sz w:val="22"/>
          <w:szCs w:val="22"/>
          <w:lang w:val="sr-Latn-ME"/>
        </w:rPr>
        <w:t>a</w:t>
      </w:r>
      <w:r w:rsidRPr="00202D4B">
        <w:rPr>
          <w:bCs/>
          <w:noProof/>
          <w:sz w:val="22"/>
          <w:szCs w:val="22"/>
          <w:lang w:val="sr-Latn-ME"/>
        </w:rPr>
        <w:t xml:space="preserve"> normalnom funkcijom bubrega, ukupni klirens (Cl</w:t>
      </w:r>
      <w:r w:rsidRPr="00202D4B">
        <w:rPr>
          <w:bCs/>
          <w:noProof/>
          <w:sz w:val="22"/>
          <w:szCs w:val="22"/>
          <w:vertAlign w:val="subscript"/>
          <w:lang w:val="sr-Latn-ME"/>
        </w:rPr>
        <w:t>tot</w:t>
      </w:r>
      <w:r w:rsidRPr="00202D4B">
        <w:rPr>
          <w:bCs/>
          <w:noProof/>
          <w:sz w:val="22"/>
          <w:szCs w:val="22"/>
          <w:lang w:val="sr-Latn-ME"/>
        </w:rPr>
        <w:t>) iznosi do 170 ml/min/1,73 m², a dio ukupnog bubrežnog klirensa se ostvaruje putem tubularne sekrecije.</w:t>
      </w:r>
    </w:p>
    <w:p w14:paraId="259CE2FB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0EBC88C9" w14:textId="3CFE0E7B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>Prolaz memantina kroz bubreg takođe uključuje tubularnu reresorpciju, vjero</w:t>
      </w:r>
      <w:r w:rsidR="00016007" w:rsidRPr="00202D4B">
        <w:rPr>
          <w:bCs/>
          <w:noProof/>
          <w:sz w:val="22"/>
          <w:szCs w:val="22"/>
          <w:lang w:val="sr-Latn-ME"/>
        </w:rPr>
        <w:t>v</w:t>
      </w:r>
      <w:r w:rsidRPr="00202D4B">
        <w:rPr>
          <w:bCs/>
          <w:noProof/>
          <w:sz w:val="22"/>
          <w:szCs w:val="22"/>
          <w:lang w:val="sr-Latn-ME"/>
        </w:rPr>
        <w:t>atno posredovanu kat</w:t>
      </w:r>
      <w:r w:rsidR="00016007" w:rsidRPr="00202D4B">
        <w:rPr>
          <w:bCs/>
          <w:noProof/>
          <w:sz w:val="22"/>
          <w:szCs w:val="22"/>
          <w:lang w:val="sr-Latn-ME"/>
        </w:rPr>
        <w:t>j</w:t>
      </w:r>
      <w:r w:rsidRPr="00202D4B">
        <w:rPr>
          <w:bCs/>
          <w:noProof/>
          <w:sz w:val="22"/>
          <w:szCs w:val="22"/>
          <w:lang w:val="sr-Latn-ME"/>
        </w:rPr>
        <w:t xml:space="preserve">onskim transportnim proteinima. Stopa bubrežne eliminacije memantina u </w:t>
      </w:r>
      <w:r w:rsidR="00016007" w:rsidRPr="00202D4B">
        <w:rPr>
          <w:bCs/>
          <w:noProof/>
          <w:sz w:val="22"/>
          <w:szCs w:val="22"/>
          <w:lang w:val="sr-Latn-ME"/>
        </w:rPr>
        <w:t xml:space="preserve">uslovima </w:t>
      </w:r>
      <w:r w:rsidRPr="00202D4B">
        <w:rPr>
          <w:bCs/>
          <w:noProof/>
          <w:sz w:val="22"/>
          <w:szCs w:val="22"/>
          <w:lang w:val="sr-Latn-ME"/>
        </w:rPr>
        <w:t xml:space="preserve">alkalnog urina može biti smanjena za faktor od 7 do 9 (vidjeti dio 4.4). Alkalizaciju urina može izazvati drastična promjena načina </w:t>
      </w:r>
      <w:r w:rsidR="00016007" w:rsidRPr="00202D4B">
        <w:rPr>
          <w:bCs/>
          <w:noProof/>
          <w:sz w:val="22"/>
          <w:szCs w:val="22"/>
          <w:lang w:val="sr-Latn-ME"/>
        </w:rPr>
        <w:t>is</w:t>
      </w:r>
      <w:r w:rsidRPr="00202D4B">
        <w:rPr>
          <w:bCs/>
          <w:noProof/>
          <w:sz w:val="22"/>
          <w:szCs w:val="22"/>
          <w:lang w:val="sr-Latn-ME"/>
        </w:rPr>
        <w:t>hrane, npr. prelazak s</w:t>
      </w:r>
      <w:r w:rsidR="00016007" w:rsidRPr="00202D4B">
        <w:rPr>
          <w:bCs/>
          <w:noProof/>
          <w:sz w:val="22"/>
          <w:szCs w:val="22"/>
          <w:lang w:val="sr-Latn-ME"/>
        </w:rPr>
        <w:t>a ishrane bazirane na mesu</w:t>
      </w:r>
      <w:r w:rsidRPr="00202D4B">
        <w:rPr>
          <w:bCs/>
          <w:noProof/>
          <w:sz w:val="22"/>
          <w:szCs w:val="22"/>
          <w:lang w:val="sr-Latn-ME"/>
        </w:rPr>
        <w:t xml:space="preserve"> na vegetarijansku </w:t>
      </w:r>
      <w:r w:rsidR="00016007" w:rsidRPr="00202D4B">
        <w:rPr>
          <w:bCs/>
          <w:noProof/>
          <w:sz w:val="22"/>
          <w:szCs w:val="22"/>
          <w:lang w:val="sr-Latn-ME"/>
        </w:rPr>
        <w:t>is</w:t>
      </w:r>
      <w:r w:rsidRPr="00202D4B">
        <w:rPr>
          <w:bCs/>
          <w:noProof/>
          <w:sz w:val="22"/>
          <w:szCs w:val="22"/>
          <w:lang w:val="sr-Latn-ME"/>
        </w:rPr>
        <w:t>hranu</w:t>
      </w:r>
      <w:r w:rsidR="002178A8" w:rsidRPr="00202D4B">
        <w:rPr>
          <w:bCs/>
          <w:noProof/>
          <w:sz w:val="22"/>
          <w:szCs w:val="22"/>
          <w:lang w:val="sr-Latn-ME"/>
        </w:rPr>
        <w:t>,</w:t>
      </w:r>
      <w:r w:rsidRPr="00202D4B">
        <w:rPr>
          <w:bCs/>
          <w:noProof/>
          <w:sz w:val="22"/>
          <w:szCs w:val="22"/>
          <w:lang w:val="sr-Latn-ME"/>
        </w:rPr>
        <w:t xml:space="preserve"> ili uzimanje izrazito velike količine alkaliz</w:t>
      </w:r>
      <w:r w:rsidR="002178A8" w:rsidRPr="00202D4B">
        <w:rPr>
          <w:bCs/>
          <w:noProof/>
          <w:sz w:val="22"/>
          <w:szCs w:val="22"/>
          <w:lang w:val="sr-Latn-ME"/>
        </w:rPr>
        <w:t>u</w:t>
      </w:r>
      <w:r w:rsidRPr="00202D4B">
        <w:rPr>
          <w:bCs/>
          <w:noProof/>
          <w:sz w:val="22"/>
          <w:szCs w:val="22"/>
          <w:lang w:val="sr-Latn-ME"/>
        </w:rPr>
        <w:t>jućih želu</w:t>
      </w:r>
      <w:r w:rsidR="002178A8" w:rsidRPr="00202D4B">
        <w:rPr>
          <w:bCs/>
          <w:noProof/>
          <w:sz w:val="22"/>
          <w:szCs w:val="22"/>
          <w:lang w:val="sr-Latn-ME"/>
        </w:rPr>
        <w:t>da</w:t>
      </w:r>
      <w:r w:rsidRPr="00202D4B">
        <w:rPr>
          <w:bCs/>
          <w:noProof/>
          <w:sz w:val="22"/>
          <w:szCs w:val="22"/>
          <w:lang w:val="sr-Latn-ME"/>
        </w:rPr>
        <w:t>čnih pufera.</w:t>
      </w:r>
    </w:p>
    <w:p w14:paraId="71D83313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iCs/>
          <w:noProof/>
          <w:sz w:val="22"/>
          <w:szCs w:val="22"/>
          <w:lang w:val="sr-Latn-ME"/>
        </w:rPr>
      </w:pPr>
    </w:p>
    <w:p w14:paraId="0E2C589D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iCs/>
          <w:noProof/>
          <w:sz w:val="22"/>
          <w:szCs w:val="22"/>
          <w:u w:val="single"/>
          <w:lang w:val="sr-Latn-ME"/>
        </w:rPr>
      </w:pPr>
      <w:r w:rsidRPr="00202D4B">
        <w:rPr>
          <w:bCs/>
          <w:iCs/>
          <w:noProof/>
          <w:sz w:val="22"/>
          <w:szCs w:val="22"/>
          <w:u w:val="single"/>
          <w:lang w:val="sr-Latn-ME"/>
        </w:rPr>
        <w:t>Linearnost</w:t>
      </w:r>
    </w:p>
    <w:p w14:paraId="56504A7D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>Studije sa dobrovoljcima pokazale su linearnu farmakokinetiku, pri rasponu doza od 10 do 40 mg.</w:t>
      </w:r>
    </w:p>
    <w:p w14:paraId="614673E0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66D849BD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iCs/>
          <w:noProof/>
          <w:sz w:val="22"/>
          <w:szCs w:val="22"/>
          <w:u w:val="single"/>
          <w:lang w:val="sr-Latn-ME"/>
        </w:rPr>
      </w:pPr>
      <w:r w:rsidRPr="00202D4B">
        <w:rPr>
          <w:bCs/>
          <w:iCs/>
          <w:noProof/>
          <w:sz w:val="22"/>
          <w:szCs w:val="22"/>
          <w:u w:val="single"/>
          <w:lang w:val="sr-Latn-ME"/>
        </w:rPr>
        <w:t>Farmakokinetički/farmakodinamički odnos</w:t>
      </w:r>
    </w:p>
    <w:p w14:paraId="1291D10C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>Pri dozi od 20 mg memantina na dan, nivoi lijeka u cerebrospinalnom likvoru odgovaraju k</w:t>
      </w:r>
      <w:r w:rsidRPr="00202D4B">
        <w:rPr>
          <w:bCs/>
          <w:noProof/>
          <w:sz w:val="22"/>
          <w:szCs w:val="22"/>
          <w:vertAlign w:val="subscript"/>
          <w:lang w:val="sr-Latn-ME"/>
        </w:rPr>
        <w:t>i</w:t>
      </w:r>
      <w:r w:rsidRPr="00202D4B">
        <w:rPr>
          <w:bCs/>
          <w:noProof/>
          <w:sz w:val="22"/>
          <w:szCs w:val="22"/>
          <w:lang w:val="sr-Latn-ME"/>
        </w:rPr>
        <w:t>-vrijednosti (k</w:t>
      </w:r>
      <w:r w:rsidRPr="00202D4B">
        <w:rPr>
          <w:bCs/>
          <w:noProof/>
          <w:sz w:val="22"/>
          <w:szCs w:val="22"/>
          <w:vertAlign w:val="subscript"/>
          <w:lang w:val="sr-Latn-ME"/>
        </w:rPr>
        <w:t>i</w:t>
      </w:r>
      <w:r w:rsidRPr="00202D4B">
        <w:rPr>
          <w:bCs/>
          <w:noProof/>
          <w:sz w:val="22"/>
          <w:szCs w:val="22"/>
          <w:lang w:val="sr-Latn-ME"/>
        </w:rPr>
        <w:t>= konstanta inhibicije) memantina koja u humanom frontalnom korteksu iznosi 0,5 μmol.</w:t>
      </w:r>
    </w:p>
    <w:p w14:paraId="7F0D76B9" w14:textId="719FA516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42908E58" w14:textId="77777777" w:rsidR="00FA009A" w:rsidRPr="00202D4B" w:rsidRDefault="00FA009A" w:rsidP="00FA009A">
      <w:pPr>
        <w:pStyle w:val="ListParagraph"/>
        <w:numPr>
          <w:ilvl w:val="1"/>
          <w:numId w:val="4"/>
        </w:num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202D4B">
        <w:rPr>
          <w:b/>
          <w:bCs/>
          <w:noProof/>
          <w:sz w:val="22"/>
          <w:szCs w:val="22"/>
          <w:lang w:val="sr-Latn-ME"/>
        </w:rPr>
        <w:t xml:space="preserve">Pretklinički podaci o bezbjednosti </w:t>
      </w:r>
    </w:p>
    <w:p w14:paraId="3EB1989D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3E38A649" w14:textId="39B70C50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 xml:space="preserve">U kratkoročnim ispitivanjima na </w:t>
      </w:r>
      <w:r w:rsidR="002178A8" w:rsidRPr="00202D4B">
        <w:rPr>
          <w:bCs/>
          <w:noProof/>
          <w:sz w:val="22"/>
          <w:szCs w:val="22"/>
          <w:lang w:val="sr-Latn-ME"/>
        </w:rPr>
        <w:t>pacovima</w:t>
      </w:r>
      <w:r w:rsidRPr="00202D4B">
        <w:rPr>
          <w:bCs/>
          <w:noProof/>
          <w:sz w:val="22"/>
          <w:szCs w:val="22"/>
          <w:lang w:val="sr-Latn-ME"/>
        </w:rPr>
        <w:t xml:space="preserve">, memantin je, kao i drugi NMDA-antagonisti, uzrokovao neuronsku vakuolizaciju i nekrozu (Olney lezije), ali samo nakon doza koje su dovodile do vrlo visokih </w:t>
      </w:r>
      <w:r w:rsidR="002178A8" w:rsidRPr="00202D4B">
        <w:rPr>
          <w:bCs/>
          <w:noProof/>
          <w:sz w:val="22"/>
          <w:szCs w:val="22"/>
          <w:lang w:val="sr-Latn-ME"/>
        </w:rPr>
        <w:t xml:space="preserve">maksimalnih </w:t>
      </w:r>
      <w:r w:rsidRPr="00202D4B">
        <w:rPr>
          <w:bCs/>
          <w:noProof/>
          <w:sz w:val="22"/>
          <w:szCs w:val="22"/>
          <w:lang w:val="sr-Latn-ME"/>
        </w:rPr>
        <w:t xml:space="preserve">serumskih koncentracija. Ataksija i drugi </w:t>
      </w:r>
      <w:r w:rsidR="002178A8" w:rsidRPr="00202D4B">
        <w:rPr>
          <w:bCs/>
          <w:noProof/>
          <w:sz w:val="22"/>
          <w:szCs w:val="22"/>
          <w:lang w:val="sr-Latn-ME"/>
        </w:rPr>
        <w:t>pret</w:t>
      </w:r>
      <w:r w:rsidRPr="00202D4B">
        <w:rPr>
          <w:bCs/>
          <w:noProof/>
          <w:sz w:val="22"/>
          <w:szCs w:val="22"/>
          <w:lang w:val="sr-Latn-ME"/>
        </w:rPr>
        <w:t xml:space="preserve">klinički znaci prethodili su vakuolizaciji i nekrozi. Budući da efekti </w:t>
      </w:r>
      <w:r w:rsidR="00B325C3" w:rsidRPr="00202D4B">
        <w:rPr>
          <w:bCs/>
          <w:noProof/>
          <w:sz w:val="22"/>
          <w:szCs w:val="22"/>
          <w:lang w:val="sr-Latn-ME"/>
        </w:rPr>
        <w:t>nijesu</w:t>
      </w:r>
      <w:r w:rsidRPr="00202D4B">
        <w:rPr>
          <w:bCs/>
          <w:noProof/>
          <w:sz w:val="22"/>
          <w:szCs w:val="22"/>
          <w:lang w:val="sr-Latn-ME"/>
        </w:rPr>
        <w:t xml:space="preserve"> uočeni u dugoročnim ispitivanjima na gloda</w:t>
      </w:r>
      <w:r w:rsidR="002178A8" w:rsidRPr="00202D4B">
        <w:rPr>
          <w:bCs/>
          <w:noProof/>
          <w:sz w:val="22"/>
          <w:szCs w:val="22"/>
          <w:lang w:val="sr-Latn-ME"/>
        </w:rPr>
        <w:t>rima</w:t>
      </w:r>
      <w:r w:rsidRPr="00202D4B">
        <w:rPr>
          <w:bCs/>
          <w:noProof/>
          <w:sz w:val="22"/>
          <w:szCs w:val="22"/>
          <w:lang w:val="sr-Latn-ME"/>
        </w:rPr>
        <w:t xml:space="preserve"> i negloda</w:t>
      </w:r>
      <w:r w:rsidR="002178A8" w:rsidRPr="00202D4B">
        <w:rPr>
          <w:bCs/>
          <w:noProof/>
          <w:sz w:val="22"/>
          <w:szCs w:val="22"/>
          <w:lang w:val="sr-Latn-ME"/>
        </w:rPr>
        <w:t>rima</w:t>
      </w:r>
      <w:r w:rsidRPr="00202D4B">
        <w:rPr>
          <w:bCs/>
          <w:noProof/>
          <w:sz w:val="22"/>
          <w:szCs w:val="22"/>
          <w:lang w:val="sr-Latn-ME"/>
        </w:rPr>
        <w:t>, klinički značaj ovih nalaza je nepoznat.</w:t>
      </w:r>
    </w:p>
    <w:p w14:paraId="1E5023E6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037DFF2E" w14:textId="67B678DE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>Očne promjene su nekonzistentno uočene u studijama toksičnosti ponovljenih doza kod gloda</w:t>
      </w:r>
      <w:r w:rsidR="002178A8" w:rsidRPr="00202D4B">
        <w:rPr>
          <w:bCs/>
          <w:noProof/>
          <w:sz w:val="22"/>
          <w:szCs w:val="22"/>
          <w:lang w:val="sr-Latn-ME"/>
        </w:rPr>
        <w:t>ra</w:t>
      </w:r>
      <w:r w:rsidRPr="00202D4B">
        <w:rPr>
          <w:bCs/>
          <w:noProof/>
          <w:sz w:val="22"/>
          <w:szCs w:val="22"/>
          <w:lang w:val="sr-Latn-ME"/>
        </w:rPr>
        <w:t xml:space="preserve"> i pasa, ali ne kod majmuna. Specifični oftalmoskopski pregledi u kliničkim studijama s</w:t>
      </w:r>
      <w:r w:rsidR="002178A8" w:rsidRPr="00202D4B">
        <w:rPr>
          <w:bCs/>
          <w:noProof/>
          <w:sz w:val="22"/>
          <w:szCs w:val="22"/>
          <w:lang w:val="sr-Latn-ME"/>
        </w:rPr>
        <w:t>a</w:t>
      </w:r>
      <w:r w:rsidRPr="00202D4B">
        <w:rPr>
          <w:bCs/>
          <w:noProof/>
          <w:sz w:val="22"/>
          <w:szCs w:val="22"/>
          <w:lang w:val="sr-Latn-ME"/>
        </w:rPr>
        <w:t xml:space="preserve"> memantinom </w:t>
      </w:r>
      <w:r w:rsidR="00B325C3" w:rsidRPr="00202D4B">
        <w:rPr>
          <w:bCs/>
          <w:noProof/>
          <w:sz w:val="22"/>
          <w:szCs w:val="22"/>
          <w:lang w:val="sr-Latn-ME"/>
        </w:rPr>
        <w:t>nijesu</w:t>
      </w:r>
      <w:r w:rsidRPr="00202D4B">
        <w:rPr>
          <w:bCs/>
          <w:noProof/>
          <w:sz w:val="22"/>
          <w:szCs w:val="22"/>
          <w:lang w:val="sr-Latn-ME"/>
        </w:rPr>
        <w:t xml:space="preserve"> otkrili </w:t>
      </w:r>
      <w:r w:rsidR="002178A8" w:rsidRPr="00202D4B">
        <w:rPr>
          <w:bCs/>
          <w:noProof/>
          <w:sz w:val="22"/>
          <w:szCs w:val="22"/>
          <w:lang w:val="sr-Latn-ME"/>
        </w:rPr>
        <w:t>ni</w:t>
      </w:r>
      <w:r w:rsidRPr="00202D4B">
        <w:rPr>
          <w:bCs/>
          <w:noProof/>
          <w:sz w:val="22"/>
          <w:szCs w:val="22"/>
          <w:lang w:val="sr-Latn-ME"/>
        </w:rPr>
        <w:t>kakve promjene na očima.</w:t>
      </w:r>
    </w:p>
    <w:p w14:paraId="13B34C46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6081D49F" w14:textId="2CDAF29D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lastRenderedPageBreak/>
        <w:t>Fosfolipidoza u plućnim makrofagima usljed akumulacije memantina u lizozomima primijećena je kod gloda</w:t>
      </w:r>
      <w:r w:rsidR="002178A8" w:rsidRPr="00202D4B">
        <w:rPr>
          <w:bCs/>
          <w:noProof/>
          <w:sz w:val="22"/>
          <w:szCs w:val="22"/>
          <w:lang w:val="sr-Latn-ME"/>
        </w:rPr>
        <w:t>ra</w:t>
      </w:r>
      <w:r w:rsidRPr="00202D4B">
        <w:rPr>
          <w:bCs/>
          <w:noProof/>
          <w:sz w:val="22"/>
          <w:szCs w:val="22"/>
          <w:lang w:val="sr-Latn-ME"/>
        </w:rPr>
        <w:t xml:space="preserve">. Ovaj </w:t>
      </w:r>
      <w:r w:rsidR="002178A8" w:rsidRPr="00202D4B">
        <w:rPr>
          <w:bCs/>
          <w:noProof/>
          <w:sz w:val="22"/>
          <w:szCs w:val="22"/>
          <w:lang w:val="sr-Latn-ME"/>
        </w:rPr>
        <w:t xml:space="preserve">efekat </w:t>
      </w:r>
      <w:r w:rsidRPr="00202D4B">
        <w:rPr>
          <w:bCs/>
          <w:noProof/>
          <w:sz w:val="22"/>
          <w:szCs w:val="22"/>
          <w:lang w:val="sr-Latn-ME"/>
        </w:rPr>
        <w:t xml:space="preserve">je poznat </w:t>
      </w:r>
      <w:r w:rsidR="002178A8" w:rsidRPr="00202D4B">
        <w:rPr>
          <w:bCs/>
          <w:noProof/>
          <w:sz w:val="22"/>
          <w:szCs w:val="22"/>
          <w:lang w:val="sr-Latn-ME"/>
        </w:rPr>
        <w:t xml:space="preserve">i kod </w:t>
      </w:r>
      <w:r w:rsidRPr="00202D4B">
        <w:rPr>
          <w:bCs/>
          <w:noProof/>
          <w:sz w:val="22"/>
          <w:szCs w:val="22"/>
          <w:lang w:val="sr-Latn-ME"/>
        </w:rPr>
        <w:t>drugih aktivnih supstanci s</w:t>
      </w:r>
      <w:r w:rsidR="002178A8" w:rsidRPr="00202D4B">
        <w:rPr>
          <w:bCs/>
          <w:noProof/>
          <w:sz w:val="22"/>
          <w:szCs w:val="22"/>
          <w:lang w:val="sr-Latn-ME"/>
        </w:rPr>
        <w:t>a</w:t>
      </w:r>
      <w:r w:rsidRPr="00202D4B">
        <w:rPr>
          <w:bCs/>
          <w:noProof/>
          <w:sz w:val="22"/>
          <w:szCs w:val="22"/>
          <w:lang w:val="sr-Latn-ME"/>
        </w:rPr>
        <w:t xml:space="preserve"> kat</w:t>
      </w:r>
      <w:r w:rsidR="002178A8" w:rsidRPr="00202D4B">
        <w:rPr>
          <w:bCs/>
          <w:noProof/>
          <w:sz w:val="22"/>
          <w:szCs w:val="22"/>
          <w:lang w:val="sr-Latn-ME"/>
        </w:rPr>
        <w:t>j</w:t>
      </w:r>
      <w:r w:rsidRPr="00202D4B">
        <w:rPr>
          <w:bCs/>
          <w:noProof/>
          <w:sz w:val="22"/>
          <w:szCs w:val="22"/>
          <w:lang w:val="sr-Latn-ME"/>
        </w:rPr>
        <w:t xml:space="preserve">onskim amfifilnim svojstvima. Moguća je povezanost između ove akumulacije i vakuolizacije opažene u plućima. Opisani </w:t>
      </w:r>
      <w:r w:rsidR="002178A8" w:rsidRPr="00202D4B">
        <w:rPr>
          <w:bCs/>
          <w:noProof/>
          <w:sz w:val="22"/>
          <w:szCs w:val="22"/>
          <w:lang w:val="sr-Latn-ME"/>
        </w:rPr>
        <w:t xml:space="preserve">efekat </w:t>
      </w:r>
      <w:r w:rsidRPr="00202D4B">
        <w:rPr>
          <w:bCs/>
          <w:noProof/>
          <w:sz w:val="22"/>
          <w:szCs w:val="22"/>
          <w:lang w:val="sr-Latn-ME"/>
        </w:rPr>
        <w:t>je primijećen samo pri visokim dozama kod gloda</w:t>
      </w:r>
      <w:r w:rsidR="002178A8" w:rsidRPr="00202D4B">
        <w:rPr>
          <w:bCs/>
          <w:noProof/>
          <w:sz w:val="22"/>
          <w:szCs w:val="22"/>
          <w:lang w:val="sr-Latn-ME"/>
        </w:rPr>
        <w:t>ra</w:t>
      </w:r>
      <w:r w:rsidRPr="00202D4B">
        <w:rPr>
          <w:bCs/>
          <w:noProof/>
          <w:sz w:val="22"/>
          <w:szCs w:val="22"/>
          <w:lang w:val="sr-Latn-ME"/>
        </w:rPr>
        <w:t>. Klinički značaj ovih nalaza je nepoznat.</w:t>
      </w:r>
    </w:p>
    <w:p w14:paraId="6FC6C4A1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377251C5" w14:textId="3EFEC7C6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 xml:space="preserve">Testiranjem memantina u standardnim ogledima nije primijećena genotoksičnost. Nije bilo dokaza </w:t>
      </w:r>
      <w:r w:rsidR="002178A8" w:rsidRPr="00202D4B">
        <w:rPr>
          <w:bCs/>
          <w:noProof/>
          <w:sz w:val="22"/>
          <w:szCs w:val="22"/>
          <w:lang w:val="sr-Latn-ME"/>
        </w:rPr>
        <w:t xml:space="preserve">ni </w:t>
      </w:r>
      <w:r w:rsidRPr="00202D4B">
        <w:rPr>
          <w:bCs/>
          <w:noProof/>
          <w:sz w:val="22"/>
          <w:szCs w:val="22"/>
          <w:lang w:val="sr-Latn-ME"/>
        </w:rPr>
        <w:t xml:space="preserve">o kakvoj karcinogenosti u </w:t>
      </w:r>
      <w:r w:rsidR="00C3241B" w:rsidRPr="00202D4B">
        <w:rPr>
          <w:bCs/>
          <w:noProof/>
          <w:sz w:val="22"/>
          <w:szCs w:val="22"/>
          <w:lang w:val="sr-Latn-ME"/>
        </w:rPr>
        <w:t>cjelo</w:t>
      </w:r>
      <w:r w:rsidRPr="00202D4B">
        <w:rPr>
          <w:bCs/>
          <w:noProof/>
          <w:sz w:val="22"/>
          <w:szCs w:val="22"/>
          <w:lang w:val="sr-Latn-ME"/>
        </w:rPr>
        <w:t xml:space="preserve">životnim ispitivanjima miševa i </w:t>
      </w:r>
      <w:r w:rsidR="002178A8" w:rsidRPr="00202D4B">
        <w:rPr>
          <w:bCs/>
          <w:noProof/>
          <w:sz w:val="22"/>
          <w:szCs w:val="22"/>
          <w:lang w:val="sr-Latn-ME"/>
        </w:rPr>
        <w:t xml:space="preserve">pacova </w:t>
      </w:r>
      <w:r w:rsidRPr="00202D4B">
        <w:rPr>
          <w:bCs/>
          <w:noProof/>
          <w:sz w:val="22"/>
          <w:szCs w:val="22"/>
          <w:lang w:val="sr-Latn-ME"/>
        </w:rPr>
        <w:t xml:space="preserve">(engl. </w:t>
      </w:r>
      <w:r w:rsidR="002178A8" w:rsidRPr="00202D4B">
        <w:rPr>
          <w:bCs/>
          <w:i/>
          <w:noProof/>
          <w:sz w:val="22"/>
          <w:szCs w:val="22"/>
          <w:lang w:val="sr-Latn-ME"/>
        </w:rPr>
        <w:t>l</w:t>
      </w:r>
      <w:r w:rsidRPr="00202D4B">
        <w:rPr>
          <w:bCs/>
          <w:i/>
          <w:noProof/>
          <w:sz w:val="22"/>
          <w:szCs w:val="22"/>
          <w:lang w:val="sr-Latn-ME"/>
        </w:rPr>
        <w:t xml:space="preserve">ife </w:t>
      </w:r>
      <w:r w:rsidR="002178A8" w:rsidRPr="00202D4B">
        <w:rPr>
          <w:bCs/>
          <w:i/>
          <w:noProof/>
          <w:sz w:val="22"/>
          <w:szCs w:val="22"/>
          <w:lang w:val="sr-Latn-ME"/>
        </w:rPr>
        <w:t>l</w:t>
      </w:r>
      <w:r w:rsidRPr="00202D4B">
        <w:rPr>
          <w:bCs/>
          <w:i/>
          <w:noProof/>
          <w:sz w:val="22"/>
          <w:szCs w:val="22"/>
          <w:lang w:val="sr-Latn-ME"/>
        </w:rPr>
        <w:t xml:space="preserve">ong </w:t>
      </w:r>
      <w:r w:rsidR="002178A8" w:rsidRPr="00202D4B">
        <w:rPr>
          <w:bCs/>
          <w:i/>
          <w:noProof/>
          <w:sz w:val="22"/>
          <w:szCs w:val="22"/>
          <w:lang w:val="sr-Latn-ME"/>
        </w:rPr>
        <w:t>s</w:t>
      </w:r>
      <w:r w:rsidRPr="00202D4B">
        <w:rPr>
          <w:bCs/>
          <w:i/>
          <w:noProof/>
          <w:sz w:val="22"/>
          <w:szCs w:val="22"/>
          <w:lang w:val="sr-Latn-ME"/>
        </w:rPr>
        <w:t>tudies</w:t>
      </w:r>
      <w:r w:rsidRPr="00202D4B">
        <w:rPr>
          <w:bCs/>
          <w:noProof/>
          <w:sz w:val="22"/>
          <w:szCs w:val="22"/>
          <w:lang w:val="sr-Latn-ME"/>
        </w:rPr>
        <w:t xml:space="preserve">). Memantin nije bio teratogen kod </w:t>
      </w:r>
      <w:r w:rsidR="00D163D2" w:rsidRPr="00202D4B">
        <w:rPr>
          <w:bCs/>
          <w:noProof/>
          <w:sz w:val="22"/>
          <w:szCs w:val="22"/>
          <w:lang w:val="sr-Latn-ME"/>
        </w:rPr>
        <w:t xml:space="preserve">pacova </w:t>
      </w:r>
      <w:r w:rsidRPr="00202D4B">
        <w:rPr>
          <w:bCs/>
          <w:noProof/>
          <w:sz w:val="22"/>
          <w:szCs w:val="22"/>
          <w:lang w:val="sr-Latn-ME"/>
        </w:rPr>
        <w:t>i kunića, čak ni pri dozama</w:t>
      </w:r>
      <w:r w:rsidR="00D163D2" w:rsidRPr="00202D4B">
        <w:rPr>
          <w:bCs/>
          <w:noProof/>
          <w:sz w:val="22"/>
          <w:szCs w:val="22"/>
          <w:lang w:val="sr-Latn-ME"/>
        </w:rPr>
        <w:t xml:space="preserve"> toksičnim za majku</w:t>
      </w:r>
      <w:r w:rsidRPr="00202D4B">
        <w:rPr>
          <w:bCs/>
          <w:noProof/>
          <w:sz w:val="22"/>
          <w:szCs w:val="22"/>
          <w:lang w:val="sr-Latn-ME"/>
        </w:rPr>
        <w:t xml:space="preserve">, a </w:t>
      </w:r>
      <w:r w:rsidR="00B325C3" w:rsidRPr="00202D4B">
        <w:rPr>
          <w:bCs/>
          <w:noProof/>
          <w:sz w:val="22"/>
          <w:szCs w:val="22"/>
          <w:lang w:val="sr-Latn-ME"/>
        </w:rPr>
        <w:t>nijesu</w:t>
      </w:r>
      <w:r w:rsidRPr="00202D4B">
        <w:rPr>
          <w:bCs/>
          <w:noProof/>
          <w:sz w:val="22"/>
          <w:szCs w:val="22"/>
          <w:lang w:val="sr-Latn-ME"/>
        </w:rPr>
        <w:t xml:space="preserve"> zabilježeni ni štetni </w:t>
      </w:r>
      <w:r w:rsidR="00D163D2" w:rsidRPr="00202D4B">
        <w:rPr>
          <w:bCs/>
          <w:noProof/>
          <w:sz w:val="22"/>
          <w:szCs w:val="22"/>
          <w:lang w:val="sr-Latn-ME"/>
        </w:rPr>
        <w:t xml:space="preserve">efekti </w:t>
      </w:r>
      <w:r w:rsidRPr="00202D4B">
        <w:rPr>
          <w:bCs/>
          <w:noProof/>
          <w:sz w:val="22"/>
          <w:szCs w:val="22"/>
          <w:lang w:val="sr-Latn-ME"/>
        </w:rPr>
        <w:t xml:space="preserve">memantina na plodnost. Kod </w:t>
      </w:r>
      <w:r w:rsidR="00D163D2" w:rsidRPr="00202D4B">
        <w:rPr>
          <w:bCs/>
          <w:noProof/>
          <w:sz w:val="22"/>
          <w:szCs w:val="22"/>
          <w:lang w:val="sr-Latn-ME"/>
        </w:rPr>
        <w:t xml:space="preserve">pacova </w:t>
      </w:r>
      <w:r w:rsidRPr="00202D4B">
        <w:rPr>
          <w:bCs/>
          <w:noProof/>
          <w:sz w:val="22"/>
          <w:szCs w:val="22"/>
          <w:lang w:val="sr-Latn-ME"/>
        </w:rPr>
        <w:t xml:space="preserve">je zabilježeno smanjenje rasta fetusa pri nivoima izloženosti jednakim ili nešto višim </w:t>
      </w:r>
      <w:r w:rsidR="00D163D2" w:rsidRPr="00202D4B">
        <w:rPr>
          <w:bCs/>
          <w:noProof/>
          <w:sz w:val="22"/>
          <w:szCs w:val="22"/>
          <w:lang w:val="sr-Latn-ME"/>
        </w:rPr>
        <w:t>u odnosu</w:t>
      </w:r>
      <w:r w:rsidRPr="00202D4B">
        <w:rPr>
          <w:bCs/>
          <w:noProof/>
          <w:sz w:val="22"/>
          <w:szCs w:val="22"/>
          <w:lang w:val="sr-Latn-ME"/>
        </w:rPr>
        <w:t xml:space="preserve"> </w:t>
      </w:r>
      <w:r w:rsidR="00BD765A" w:rsidRPr="00202D4B">
        <w:rPr>
          <w:bCs/>
          <w:noProof/>
          <w:sz w:val="22"/>
          <w:szCs w:val="22"/>
          <w:lang w:val="sr-Latn-ME"/>
        </w:rPr>
        <w:t xml:space="preserve">na </w:t>
      </w:r>
      <w:r w:rsidRPr="00202D4B">
        <w:rPr>
          <w:bCs/>
          <w:noProof/>
          <w:sz w:val="22"/>
          <w:szCs w:val="22"/>
          <w:lang w:val="sr-Latn-ME"/>
        </w:rPr>
        <w:t>izloženost kod ljudi.</w:t>
      </w:r>
    </w:p>
    <w:p w14:paraId="37B7C104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1F74971D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56D5F326" w14:textId="77777777" w:rsidR="00FA009A" w:rsidRPr="00202D4B" w:rsidRDefault="00FA009A" w:rsidP="00FA009A">
      <w:pPr>
        <w:pStyle w:val="ListParagraph"/>
        <w:numPr>
          <w:ilvl w:val="0"/>
          <w:numId w:val="4"/>
        </w:num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202D4B">
        <w:rPr>
          <w:b/>
          <w:bCs/>
          <w:noProof/>
          <w:sz w:val="22"/>
          <w:szCs w:val="22"/>
          <w:lang w:val="sr-Latn-ME"/>
        </w:rPr>
        <w:t>FARMACEUTSKI PODACI</w:t>
      </w:r>
    </w:p>
    <w:p w14:paraId="68DDDACF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22202785" w14:textId="77777777" w:rsidR="00FA009A" w:rsidRPr="00202D4B" w:rsidRDefault="00FA009A" w:rsidP="00FA009A">
      <w:pPr>
        <w:pStyle w:val="ListParagraph"/>
        <w:numPr>
          <w:ilvl w:val="1"/>
          <w:numId w:val="4"/>
        </w:num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202D4B">
        <w:rPr>
          <w:b/>
          <w:bCs/>
          <w:noProof/>
          <w:sz w:val="22"/>
          <w:szCs w:val="22"/>
          <w:lang w:val="sr-Latn-ME"/>
        </w:rPr>
        <w:t>Lista pomoćnih supstanci (ekscipijenasa)</w:t>
      </w:r>
    </w:p>
    <w:p w14:paraId="4698D782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709066EC" w14:textId="0F077B31" w:rsidR="00FA009A" w:rsidRPr="00202D4B" w:rsidRDefault="005850C4" w:rsidP="00FA009A">
      <w:pPr>
        <w:numPr>
          <w:ilvl w:val="0"/>
          <w:numId w:val="2"/>
        </w:num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>C</w:t>
      </w:r>
      <w:r w:rsidR="00FA009A" w:rsidRPr="00202D4B">
        <w:rPr>
          <w:bCs/>
          <w:noProof/>
          <w:sz w:val="22"/>
          <w:szCs w:val="22"/>
          <w:lang w:val="sr-Latn-ME"/>
        </w:rPr>
        <w:t>eluloza</w:t>
      </w:r>
      <w:r w:rsidRPr="00202D4B">
        <w:rPr>
          <w:bCs/>
          <w:noProof/>
          <w:sz w:val="22"/>
          <w:szCs w:val="22"/>
          <w:lang w:val="sr-Latn-ME"/>
        </w:rPr>
        <w:t>, mikrokristalna</w:t>
      </w:r>
      <w:r w:rsidR="00FA009A" w:rsidRPr="00202D4B">
        <w:rPr>
          <w:bCs/>
          <w:noProof/>
          <w:sz w:val="22"/>
          <w:szCs w:val="22"/>
          <w:lang w:val="sr-Latn-ME"/>
        </w:rPr>
        <w:t xml:space="preserve"> </w:t>
      </w:r>
      <w:r w:rsidRPr="00202D4B">
        <w:rPr>
          <w:bCs/>
          <w:noProof/>
          <w:sz w:val="22"/>
          <w:szCs w:val="22"/>
          <w:lang w:val="sr-Latn-ME"/>
        </w:rPr>
        <w:t>(</w:t>
      </w:r>
      <w:r w:rsidR="00FA009A" w:rsidRPr="00202D4B">
        <w:rPr>
          <w:bCs/>
          <w:noProof/>
          <w:sz w:val="22"/>
          <w:szCs w:val="22"/>
          <w:lang w:val="sr-Latn-ME"/>
        </w:rPr>
        <w:t>PH 200</w:t>
      </w:r>
      <w:r w:rsidRPr="00202D4B">
        <w:rPr>
          <w:bCs/>
          <w:noProof/>
          <w:sz w:val="22"/>
          <w:szCs w:val="22"/>
          <w:lang w:val="sr-Latn-ME"/>
        </w:rPr>
        <w:t>)</w:t>
      </w:r>
    </w:p>
    <w:p w14:paraId="6EC95D9F" w14:textId="5B2F2AEB" w:rsidR="00FA009A" w:rsidRPr="00202D4B" w:rsidRDefault="00FA009A" w:rsidP="00FA009A">
      <w:pPr>
        <w:numPr>
          <w:ilvl w:val="0"/>
          <w:numId w:val="2"/>
        </w:num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>Natrijum skrob glikolat</w:t>
      </w:r>
      <w:r w:rsidR="005850C4" w:rsidRPr="00202D4B">
        <w:rPr>
          <w:bCs/>
          <w:noProof/>
          <w:sz w:val="22"/>
          <w:szCs w:val="22"/>
          <w:lang w:val="sr-Latn-ME"/>
        </w:rPr>
        <w:t xml:space="preserve"> (tip A)</w:t>
      </w:r>
    </w:p>
    <w:p w14:paraId="3E19A090" w14:textId="0A25FFA6" w:rsidR="00FA009A" w:rsidRPr="00202D4B" w:rsidRDefault="00FA009A" w:rsidP="00FA009A">
      <w:pPr>
        <w:numPr>
          <w:ilvl w:val="0"/>
          <w:numId w:val="2"/>
        </w:num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>Silicijum dioksid</w:t>
      </w:r>
      <w:r w:rsidR="005850C4" w:rsidRPr="00202D4B">
        <w:rPr>
          <w:bCs/>
          <w:noProof/>
          <w:sz w:val="22"/>
          <w:szCs w:val="22"/>
          <w:lang w:val="sr-Latn-ME"/>
        </w:rPr>
        <w:t>,</w:t>
      </w:r>
      <w:r w:rsidRPr="00202D4B">
        <w:rPr>
          <w:bCs/>
          <w:noProof/>
          <w:sz w:val="22"/>
          <w:szCs w:val="22"/>
          <w:lang w:val="sr-Latn-ME"/>
        </w:rPr>
        <w:t xml:space="preserve"> koloidni</w:t>
      </w:r>
      <w:r w:rsidR="005850C4" w:rsidRPr="00202D4B">
        <w:rPr>
          <w:bCs/>
          <w:noProof/>
          <w:sz w:val="22"/>
          <w:szCs w:val="22"/>
          <w:lang w:val="sr-Latn-ME"/>
        </w:rPr>
        <w:t>, anhidrovani</w:t>
      </w:r>
    </w:p>
    <w:p w14:paraId="78317B44" w14:textId="77777777" w:rsidR="00FA009A" w:rsidRPr="00202D4B" w:rsidRDefault="00FA009A" w:rsidP="00FA009A">
      <w:pPr>
        <w:numPr>
          <w:ilvl w:val="0"/>
          <w:numId w:val="2"/>
        </w:num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>Magnezijum stearat</w:t>
      </w:r>
    </w:p>
    <w:p w14:paraId="1D52E06F" w14:textId="68DBE7C0" w:rsidR="00FA009A" w:rsidRPr="00202D4B" w:rsidRDefault="00FA009A" w:rsidP="00FA009A">
      <w:pPr>
        <w:numPr>
          <w:ilvl w:val="0"/>
          <w:numId w:val="2"/>
        </w:num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>Opadry II Pink</w:t>
      </w:r>
    </w:p>
    <w:p w14:paraId="0F78B833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253F4702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202D4B">
        <w:rPr>
          <w:bCs/>
          <w:noProof/>
          <w:sz w:val="22"/>
          <w:szCs w:val="22"/>
          <w:u w:val="single"/>
          <w:lang w:val="sr-Latn-ME"/>
        </w:rPr>
        <w:t xml:space="preserve">Sastav Opadry II Pink: </w:t>
      </w:r>
    </w:p>
    <w:p w14:paraId="0793E056" w14:textId="3E53C3EE" w:rsidR="00FA009A" w:rsidRPr="00202D4B" w:rsidRDefault="00FA009A" w:rsidP="00FA009A">
      <w:pPr>
        <w:numPr>
          <w:ilvl w:val="0"/>
          <w:numId w:val="3"/>
        </w:num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>Polivinil alkohol</w:t>
      </w:r>
      <w:r w:rsidR="00563DF7" w:rsidRPr="00202D4B">
        <w:rPr>
          <w:bCs/>
          <w:noProof/>
          <w:sz w:val="22"/>
          <w:szCs w:val="22"/>
          <w:lang w:val="sr-Latn-ME"/>
        </w:rPr>
        <w:t>, djelimično hidrolizovani</w:t>
      </w:r>
    </w:p>
    <w:p w14:paraId="4F11F718" w14:textId="77777777" w:rsidR="00FA009A" w:rsidRPr="00202D4B" w:rsidRDefault="00FA009A" w:rsidP="00FA009A">
      <w:pPr>
        <w:numPr>
          <w:ilvl w:val="0"/>
          <w:numId w:val="3"/>
        </w:num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>Talk</w:t>
      </w:r>
    </w:p>
    <w:p w14:paraId="7F4121DE" w14:textId="4819B507" w:rsidR="00FA009A" w:rsidRPr="00202D4B" w:rsidRDefault="00FA009A" w:rsidP="00FA009A">
      <w:pPr>
        <w:numPr>
          <w:ilvl w:val="0"/>
          <w:numId w:val="3"/>
        </w:num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 xml:space="preserve">Titan </w:t>
      </w:r>
      <w:r w:rsidR="005850C4" w:rsidRPr="00202D4B">
        <w:rPr>
          <w:bCs/>
          <w:noProof/>
          <w:sz w:val="22"/>
          <w:szCs w:val="22"/>
          <w:lang w:val="sr-Latn-ME"/>
        </w:rPr>
        <w:t>d</w:t>
      </w:r>
      <w:r w:rsidRPr="00202D4B">
        <w:rPr>
          <w:bCs/>
          <w:noProof/>
          <w:sz w:val="22"/>
          <w:szCs w:val="22"/>
          <w:lang w:val="sr-Latn-ME"/>
        </w:rPr>
        <w:t xml:space="preserve">ioksid (E171) </w:t>
      </w:r>
    </w:p>
    <w:p w14:paraId="00BD2CCD" w14:textId="2259CFF8" w:rsidR="00FA009A" w:rsidRPr="00202D4B" w:rsidRDefault="00FA009A" w:rsidP="00FA009A">
      <w:pPr>
        <w:numPr>
          <w:ilvl w:val="0"/>
          <w:numId w:val="3"/>
        </w:num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 xml:space="preserve">Makrogol </w:t>
      </w:r>
      <w:r w:rsidR="005850C4" w:rsidRPr="00202D4B">
        <w:rPr>
          <w:bCs/>
          <w:noProof/>
          <w:sz w:val="22"/>
          <w:szCs w:val="22"/>
          <w:lang w:val="sr-Latn-ME"/>
        </w:rPr>
        <w:t>3350</w:t>
      </w:r>
      <w:r w:rsidRPr="00202D4B">
        <w:rPr>
          <w:bCs/>
          <w:noProof/>
          <w:sz w:val="22"/>
          <w:szCs w:val="22"/>
          <w:lang w:val="sr-Latn-ME"/>
        </w:rPr>
        <w:t xml:space="preserve"> </w:t>
      </w:r>
    </w:p>
    <w:p w14:paraId="746C5E5B" w14:textId="77777777" w:rsidR="00FA009A" w:rsidRPr="00202D4B" w:rsidRDefault="00FA009A" w:rsidP="00FA009A">
      <w:pPr>
        <w:numPr>
          <w:ilvl w:val="0"/>
          <w:numId w:val="3"/>
        </w:num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>Soja lecitin (E322)</w:t>
      </w:r>
    </w:p>
    <w:p w14:paraId="7C6CB780" w14:textId="192A5D47" w:rsidR="00FA009A" w:rsidRPr="00202D4B" w:rsidRDefault="005850C4" w:rsidP="00FA009A">
      <w:pPr>
        <w:numPr>
          <w:ilvl w:val="0"/>
          <w:numId w:val="3"/>
        </w:num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 xml:space="preserve">Gvožđe (III) </w:t>
      </w:r>
      <w:r w:rsidR="00FA009A" w:rsidRPr="00202D4B">
        <w:rPr>
          <w:bCs/>
          <w:noProof/>
          <w:sz w:val="22"/>
          <w:szCs w:val="22"/>
          <w:lang w:val="sr-Latn-ME"/>
        </w:rPr>
        <w:t>oksid</w:t>
      </w:r>
      <w:r w:rsidRPr="00202D4B">
        <w:rPr>
          <w:bCs/>
          <w:noProof/>
          <w:sz w:val="22"/>
          <w:szCs w:val="22"/>
          <w:lang w:val="sr-Latn-ME"/>
        </w:rPr>
        <w:t>,</w:t>
      </w:r>
      <w:r w:rsidR="00FA009A" w:rsidRPr="00202D4B">
        <w:rPr>
          <w:bCs/>
          <w:noProof/>
          <w:sz w:val="22"/>
          <w:szCs w:val="22"/>
          <w:lang w:val="sr-Latn-ME"/>
        </w:rPr>
        <w:t xml:space="preserve"> crveni (E172)</w:t>
      </w:r>
    </w:p>
    <w:p w14:paraId="71C8AB33" w14:textId="29245312" w:rsidR="00FA009A" w:rsidRPr="00202D4B" w:rsidRDefault="005850C4" w:rsidP="00FA009A">
      <w:pPr>
        <w:numPr>
          <w:ilvl w:val="0"/>
          <w:numId w:val="3"/>
        </w:num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 xml:space="preserve">Gvožđe (III) </w:t>
      </w:r>
      <w:r w:rsidR="00FA009A" w:rsidRPr="00202D4B">
        <w:rPr>
          <w:bCs/>
          <w:noProof/>
          <w:sz w:val="22"/>
          <w:szCs w:val="22"/>
          <w:lang w:val="sr-Latn-ME"/>
        </w:rPr>
        <w:t>oksid</w:t>
      </w:r>
      <w:r w:rsidRPr="00202D4B">
        <w:rPr>
          <w:bCs/>
          <w:noProof/>
          <w:sz w:val="22"/>
          <w:szCs w:val="22"/>
          <w:lang w:val="sr-Latn-ME"/>
        </w:rPr>
        <w:t>,</w:t>
      </w:r>
      <w:r w:rsidR="00FA009A" w:rsidRPr="00202D4B">
        <w:rPr>
          <w:bCs/>
          <w:noProof/>
          <w:sz w:val="22"/>
          <w:szCs w:val="22"/>
          <w:lang w:val="sr-Latn-ME"/>
        </w:rPr>
        <w:t xml:space="preserve"> žuti (E172) </w:t>
      </w:r>
    </w:p>
    <w:p w14:paraId="3A5CAD8D" w14:textId="7271B8AD" w:rsidR="00FA009A" w:rsidRPr="00202D4B" w:rsidRDefault="005850C4" w:rsidP="00FA009A">
      <w:pPr>
        <w:numPr>
          <w:ilvl w:val="0"/>
          <w:numId w:val="3"/>
        </w:num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>Gvožđe (III) oksid,</w:t>
      </w:r>
      <w:r w:rsidR="00FA009A" w:rsidRPr="00202D4B">
        <w:rPr>
          <w:bCs/>
          <w:noProof/>
          <w:sz w:val="22"/>
          <w:szCs w:val="22"/>
          <w:lang w:val="sr-Latn-ME"/>
        </w:rPr>
        <w:t xml:space="preserve"> crni (E172)</w:t>
      </w:r>
    </w:p>
    <w:p w14:paraId="107AD4F7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5348B9EE" w14:textId="77777777" w:rsidR="00FA009A" w:rsidRPr="00202D4B" w:rsidRDefault="00FA009A" w:rsidP="00FA009A">
      <w:pPr>
        <w:pStyle w:val="ListParagraph"/>
        <w:numPr>
          <w:ilvl w:val="1"/>
          <w:numId w:val="4"/>
        </w:num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202D4B">
        <w:rPr>
          <w:b/>
          <w:bCs/>
          <w:noProof/>
          <w:sz w:val="22"/>
          <w:szCs w:val="22"/>
          <w:lang w:val="sr-Latn-ME"/>
        </w:rPr>
        <w:t>Inkompatibilnosti</w:t>
      </w:r>
    </w:p>
    <w:p w14:paraId="2811D420" w14:textId="77777777" w:rsidR="00FA009A" w:rsidRPr="00202D4B" w:rsidRDefault="00FA009A" w:rsidP="00FA009A">
      <w:pPr>
        <w:autoSpaceDE w:val="0"/>
        <w:autoSpaceDN w:val="0"/>
        <w:adjustRightInd w:val="0"/>
        <w:jc w:val="both"/>
        <w:rPr>
          <w:rFonts w:eastAsia="Calibri"/>
          <w:noProof/>
          <w:sz w:val="22"/>
          <w:szCs w:val="22"/>
          <w:lang w:val="sr-Latn-ME"/>
        </w:rPr>
      </w:pPr>
    </w:p>
    <w:p w14:paraId="4F03A258" w14:textId="35968115" w:rsidR="00FA009A" w:rsidRPr="00202D4B" w:rsidRDefault="008D0B8B" w:rsidP="00FA009A">
      <w:pPr>
        <w:autoSpaceDE w:val="0"/>
        <w:autoSpaceDN w:val="0"/>
        <w:adjustRightInd w:val="0"/>
        <w:jc w:val="both"/>
        <w:rPr>
          <w:rFonts w:eastAsia="Calibri"/>
          <w:noProof/>
          <w:sz w:val="22"/>
          <w:szCs w:val="22"/>
          <w:lang w:val="sr-Latn-ME"/>
        </w:rPr>
      </w:pPr>
      <w:r w:rsidRPr="00202D4B">
        <w:rPr>
          <w:rFonts w:eastAsia="Calibri"/>
          <w:noProof/>
          <w:sz w:val="22"/>
          <w:szCs w:val="22"/>
          <w:lang w:val="sr-Latn-ME"/>
        </w:rPr>
        <w:t>Nije primjenljivo</w:t>
      </w:r>
      <w:r w:rsidR="00FA009A" w:rsidRPr="00202D4B">
        <w:rPr>
          <w:rFonts w:eastAsia="Calibri"/>
          <w:noProof/>
          <w:sz w:val="22"/>
          <w:szCs w:val="22"/>
          <w:lang w:val="sr-Latn-ME"/>
        </w:rPr>
        <w:t>.</w:t>
      </w:r>
    </w:p>
    <w:p w14:paraId="5977F830" w14:textId="77777777" w:rsidR="00FA009A" w:rsidRPr="00202D4B" w:rsidRDefault="00FA009A" w:rsidP="00FA009A">
      <w:pPr>
        <w:autoSpaceDE w:val="0"/>
        <w:autoSpaceDN w:val="0"/>
        <w:adjustRightInd w:val="0"/>
        <w:jc w:val="both"/>
        <w:rPr>
          <w:rFonts w:eastAsia="Calibri"/>
          <w:noProof/>
          <w:sz w:val="22"/>
          <w:szCs w:val="22"/>
          <w:lang w:val="sr-Latn-ME"/>
        </w:rPr>
      </w:pPr>
    </w:p>
    <w:p w14:paraId="6A792AB1" w14:textId="77777777" w:rsidR="00FA009A" w:rsidRPr="00202D4B" w:rsidRDefault="00FA009A" w:rsidP="00FA009A">
      <w:pPr>
        <w:pStyle w:val="ListParagraph"/>
        <w:numPr>
          <w:ilvl w:val="1"/>
          <w:numId w:val="4"/>
        </w:num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202D4B">
        <w:rPr>
          <w:b/>
          <w:bCs/>
          <w:noProof/>
          <w:sz w:val="22"/>
          <w:szCs w:val="22"/>
          <w:lang w:val="sr-Latn-ME"/>
        </w:rPr>
        <w:t>Rok upotrebe</w:t>
      </w:r>
    </w:p>
    <w:p w14:paraId="4567BFA9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38309DCC" w14:textId="1977A2B5" w:rsidR="00FA009A" w:rsidRPr="00202D4B" w:rsidRDefault="00FA009A" w:rsidP="00FA009A">
      <w:pPr>
        <w:jc w:val="both"/>
        <w:rPr>
          <w:noProof/>
          <w:sz w:val="22"/>
          <w:szCs w:val="22"/>
          <w:lang w:val="sr-Latn-ME"/>
        </w:rPr>
      </w:pPr>
      <w:r w:rsidRPr="00202D4B">
        <w:rPr>
          <w:noProof/>
          <w:sz w:val="22"/>
          <w:szCs w:val="22"/>
          <w:lang w:val="sr-Latn-ME"/>
        </w:rPr>
        <w:t>36 mjeseci.</w:t>
      </w:r>
    </w:p>
    <w:p w14:paraId="3C226810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0EFEF632" w14:textId="77777777" w:rsidR="00FA009A" w:rsidRPr="00202D4B" w:rsidRDefault="00FA009A" w:rsidP="00FA009A">
      <w:pPr>
        <w:pStyle w:val="ListParagraph"/>
        <w:numPr>
          <w:ilvl w:val="1"/>
          <w:numId w:val="4"/>
        </w:num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202D4B">
        <w:rPr>
          <w:b/>
          <w:bCs/>
          <w:noProof/>
          <w:sz w:val="22"/>
          <w:szCs w:val="22"/>
          <w:lang w:val="sr-Latn-ME"/>
        </w:rPr>
        <w:t>Posebne mjere upozorenja pri čuvanju lijeka</w:t>
      </w:r>
    </w:p>
    <w:p w14:paraId="6637A179" w14:textId="77777777" w:rsidR="00FA009A" w:rsidRPr="00202D4B" w:rsidRDefault="00FA009A" w:rsidP="00FA009A">
      <w:pPr>
        <w:jc w:val="both"/>
        <w:rPr>
          <w:bCs/>
          <w:noProof/>
          <w:sz w:val="22"/>
          <w:szCs w:val="22"/>
          <w:lang w:val="sr-Latn-ME"/>
        </w:rPr>
      </w:pPr>
    </w:p>
    <w:p w14:paraId="7F3A7978" w14:textId="7A0D7D8F" w:rsidR="00FA009A" w:rsidRPr="00202D4B" w:rsidRDefault="00FA009A" w:rsidP="00FA009A">
      <w:pPr>
        <w:jc w:val="both"/>
        <w:rPr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>Čuvati na temperaturi do 30°C.</w:t>
      </w:r>
      <w:r w:rsidRPr="00202D4B">
        <w:rPr>
          <w:noProof/>
          <w:sz w:val="22"/>
          <w:szCs w:val="22"/>
          <w:lang w:val="sr-Latn-ME"/>
        </w:rPr>
        <w:t xml:space="preserve"> </w:t>
      </w:r>
    </w:p>
    <w:p w14:paraId="0152DA9F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bookmarkStart w:id="0" w:name="_GoBack"/>
      <w:bookmarkEnd w:id="0"/>
    </w:p>
    <w:p w14:paraId="6299BA23" w14:textId="77777777" w:rsidR="00FA009A" w:rsidRPr="00202D4B" w:rsidRDefault="00FA009A" w:rsidP="00FA009A">
      <w:pPr>
        <w:pStyle w:val="ListParagraph"/>
        <w:numPr>
          <w:ilvl w:val="1"/>
          <w:numId w:val="4"/>
        </w:num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202D4B">
        <w:rPr>
          <w:b/>
          <w:bCs/>
          <w:noProof/>
          <w:sz w:val="22"/>
          <w:szCs w:val="22"/>
          <w:lang w:val="sr-Latn-ME"/>
        </w:rPr>
        <w:t xml:space="preserve">Vrsta i sadržaj pakovanja </w:t>
      </w:r>
    </w:p>
    <w:p w14:paraId="3E86A948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4F1908EB" w14:textId="45EEB234" w:rsidR="00FA009A" w:rsidRPr="00202D4B" w:rsidRDefault="008D0B8B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noProof/>
          <w:sz w:val="22"/>
          <w:szCs w:val="22"/>
          <w:lang w:val="sr-Latn-ME"/>
        </w:rPr>
        <w:t xml:space="preserve">Unutrašnje pakovanje lijeka je </w:t>
      </w:r>
      <w:r w:rsidR="00FA009A" w:rsidRPr="00202D4B">
        <w:rPr>
          <w:bCs/>
          <w:noProof/>
          <w:sz w:val="22"/>
          <w:szCs w:val="22"/>
          <w:lang w:val="sr-Latn-ME"/>
        </w:rPr>
        <w:t>PVC/PVdC</w:t>
      </w:r>
      <w:r w:rsidRPr="00202D4B">
        <w:rPr>
          <w:bCs/>
          <w:noProof/>
          <w:sz w:val="22"/>
          <w:szCs w:val="22"/>
          <w:lang w:val="sr-Latn-ME"/>
        </w:rPr>
        <w:t>/Al blister koji s</w:t>
      </w:r>
      <w:r w:rsidR="00FA009A" w:rsidRPr="00202D4B">
        <w:rPr>
          <w:bCs/>
          <w:noProof/>
          <w:sz w:val="22"/>
          <w:szCs w:val="22"/>
          <w:lang w:val="sr-Latn-ME"/>
        </w:rPr>
        <w:t>adrž</w:t>
      </w:r>
      <w:r w:rsidRPr="00202D4B">
        <w:rPr>
          <w:bCs/>
          <w:noProof/>
          <w:sz w:val="22"/>
          <w:szCs w:val="22"/>
          <w:lang w:val="sr-Latn-ME"/>
        </w:rPr>
        <w:t>i</w:t>
      </w:r>
      <w:r w:rsidR="00FA009A" w:rsidRPr="00202D4B">
        <w:rPr>
          <w:bCs/>
          <w:noProof/>
          <w:sz w:val="22"/>
          <w:szCs w:val="22"/>
          <w:lang w:val="sr-Latn-ME"/>
        </w:rPr>
        <w:t xml:space="preserve"> 10 film tableta.</w:t>
      </w:r>
    </w:p>
    <w:p w14:paraId="7E7F98E9" w14:textId="18021F6B" w:rsidR="008D0B8B" w:rsidRPr="00202D4B" w:rsidRDefault="008D0B8B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>Spoljašnje pakovanje lijeka je složiva kartonska kutija koja sad</w:t>
      </w:r>
      <w:r w:rsidR="001E66F4" w:rsidRPr="00202D4B">
        <w:rPr>
          <w:bCs/>
          <w:noProof/>
          <w:sz w:val="22"/>
          <w:szCs w:val="22"/>
          <w:lang w:val="sr-Latn-ME"/>
        </w:rPr>
        <w:t>r</w:t>
      </w:r>
      <w:r w:rsidRPr="00202D4B">
        <w:rPr>
          <w:bCs/>
          <w:noProof/>
          <w:sz w:val="22"/>
          <w:szCs w:val="22"/>
          <w:lang w:val="sr-Latn-ME"/>
        </w:rPr>
        <w:t>ži 3 blistera sa po 10 film tableta (ukupno 30 film tableta) i Uputstvo za lijek.</w:t>
      </w:r>
    </w:p>
    <w:p w14:paraId="0E781071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2F1B7633" w14:textId="77777777" w:rsidR="00FA009A" w:rsidRPr="00202D4B" w:rsidRDefault="00FA009A" w:rsidP="00FA009A">
      <w:pPr>
        <w:pStyle w:val="ListParagraph"/>
        <w:numPr>
          <w:ilvl w:val="1"/>
          <w:numId w:val="4"/>
        </w:num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202D4B">
        <w:rPr>
          <w:b/>
          <w:bCs/>
          <w:noProof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202D4B">
        <w:rPr>
          <w:b/>
          <w:bCs/>
          <w:noProof/>
          <w:sz w:val="22"/>
          <w:szCs w:val="22"/>
          <w:lang w:val="sr-Latn-ME"/>
        </w:rPr>
        <w:t xml:space="preserve"> (i druga uputstva za rukovanje lijekom) </w:t>
      </w:r>
    </w:p>
    <w:p w14:paraId="4B925061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47226883" w14:textId="77777777" w:rsidR="00FA009A" w:rsidRPr="00202D4B" w:rsidRDefault="00FA009A" w:rsidP="00FA009A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  <w:r w:rsidRPr="00202D4B">
        <w:rPr>
          <w:bCs/>
          <w:noProof/>
          <w:sz w:val="22"/>
          <w:szCs w:val="22"/>
          <w:lang w:val="sr-Latn-ME"/>
        </w:rPr>
        <w:t>Neupotrijebljeni lijek se uništava u skladu sa važećim propisima.</w:t>
      </w:r>
    </w:p>
    <w:p w14:paraId="0E104A2D" w14:textId="77777777" w:rsidR="00FA009A" w:rsidRPr="00202D4B" w:rsidRDefault="00FA009A" w:rsidP="00FA009A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14:paraId="21FA58FF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1C34EE67" w14:textId="77777777" w:rsidR="00FA009A" w:rsidRPr="00202D4B" w:rsidRDefault="00FA009A" w:rsidP="00FA009A">
      <w:pPr>
        <w:pStyle w:val="ListParagraph"/>
        <w:numPr>
          <w:ilvl w:val="0"/>
          <w:numId w:val="4"/>
        </w:num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202D4B">
        <w:rPr>
          <w:b/>
          <w:bCs/>
          <w:noProof/>
          <w:sz w:val="22"/>
          <w:szCs w:val="22"/>
          <w:lang w:val="sr-Latn-ME"/>
        </w:rPr>
        <w:lastRenderedPageBreak/>
        <w:t xml:space="preserve">NOSILAC DOZVOLE </w:t>
      </w:r>
    </w:p>
    <w:p w14:paraId="35AAAF00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11EE729F" w14:textId="77777777" w:rsidR="008D0B8B" w:rsidRPr="00202D4B" w:rsidRDefault="00FA009A" w:rsidP="00FA009A">
      <w:pPr>
        <w:rPr>
          <w:noProof/>
          <w:sz w:val="22"/>
          <w:szCs w:val="22"/>
          <w:lang w:val="sr-Latn-ME"/>
        </w:rPr>
      </w:pPr>
      <w:r w:rsidRPr="00202D4B">
        <w:rPr>
          <w:noProof/>
          <w:sz w:val="22"/>
          <w:szCs w:val="22"/>
          <w:lang w:val="sr-Latn-ME"/>
        </w:rPr>
        <w:t xml:space="preserve">Bosnalijek d.d. Predstavništvo Crna Gora, </w:t>
      </w:r>
    </w:p>
    <w:p w14:paraId="700854B6" w14:textId="256795E7" w:rsidR="00FA009A" w:rsidRPr="00202D4B" w:rsidRDefault="00FA009A" w:rsidP="00FA009A">
      <w:pPr>
        <w:rPr>
          <w:noProof/>
          <w:sz w:val="22"/>
          <w:szCs w:val="22"/>
          <w:lang w:val="sr-Latn-ME"/>
        </w:rPr>
      </w:pPr>
      <w:r w:rsidRPr="00202D4B">
        <w:rPr>
          <w:noProof/>
          <w:sz w:val="22"/>
          <w:szCs w:val="22"/>
          <w:lang w:val="sr-Latn-ME"/>
        </w:rPr>
        <w:t>Bulevar Svetog Petra Cetinjskog 63, Podgorica, Crna Gora</w:t>
      </w:r>
    </w:p>
    <w:p w14:paraId="0AA6AF6C" w14:textId="77777777" w:rsidR="00FA009A" w:rsidRPr="00202D4B" w:rsidRDefault="00FA009A" w:rsidP="00FA009A">
      <w:pPr>
        <w:rPr>
          <w:noProof/>
          <w:sz w:val="22"/>
          <w:szCs w:val="22"/>
          <w:lang w:val="sr-Latn-ME"/>
        </w:rPr>
      </w:pPr>
    </w:p>
    <w:p w14:paraId="37A48BE4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3E977282" w14:textId="77777777" w:rsidR="00FA009A" w:rsidRPr="00202D4B" w:rsidRDefault="00FA009A" w:rsidP="00FA009A">
      <w:pPr>
        <w:pStyle w:val="ListParagraph"/>
        <w:numPr>
          <w:ilvl w:val="0"/>
          <w:numId w:val="4"/>
        </w:num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202D4B">
        <w:rPr>
          <w:b/>
          <w:bCs/>
          <w:noProof/>
          <w:sz w:val="22"/>
          <w:szCs w:val="22"/>
          <w:lang w:val="sr-Latn-ME"/>
        </w:rPr>
        <w:t>BROJ DOZVOLE ZA STAVLJANJE LIJEKA U PROMET</w:t>
      </w:r>
    </w:p>
    <w:p w14:paraId="5310C668" w14:textId="10770DC1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42575DD6" w14:textId="1D6C5C46" w:rsidR="00202D4B" w:rsidRPr="00202D4B" w:rsidRDefault="00202D4B" w:rsidP="00FA009A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202D4B">
        <w:rPr>
          <w:sz w:val="22"/>
          <w:szCs w:val="22"/>
          <w:lang w:val="sr-Latn-ME"/>
        </w:rPr>
        <w:t xml:space="preserve">2030/25/1 – 5279 </w:t>
      </w:r>
    </w:p>
    <w:p w14:paraId="5578E2DC" w14:textId="77777777" w:rsidR="008D0B8B" w:rsidRPr="00202D4B" w:rsidRDefault="008D0B8B" w:rsidP="00FA009A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4598742C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04ADA783" w14:textId="77777777" w:rsidR="00FA009A" w:rsidRPr="00202D4B" w:rsidRDefault="00FA009A" w:rsidP="00FA009A">
      <w:pPr>
        <w:pStyle w:val="ListParagraph"/>
        <w:numPr>
          <w:ilvl w:val="0"/>
          <w:numId w:val="4"/>
        </w:num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202D4B">
        <w:rPr>
          <w:b/>
          <w:bCs/>
          <w:noProof/>
          <w:sz w:val="22"/>
          <w:szCs w:val="22"/>
          <w:lang w:val="sr-Latn-ME"/>
        </w:rPr>
        <w:t>DATUM PRVE DOZVOLE/OBNOVE DOZVOLE ZA STAVLJANJE LIJEKA U PROMET</w:t>
      </w:r>
    </w:p>
    <w:p w14:paraId="14FFF2CE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0BF53353" w14:textId="5B4453E9" w:rsidR="00202D4B" w:rsidRPr="00202D4B" w:rsidRDefault="00202D4B" w:rsidP="00202D4B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202D4B">
        <w:rPr>
          <w:sz w:val="22"/>
          <w:szCs w:val="22"/>
          <w:lang w:val="sr-Latn-ME"/>
        </w:rPr>
        <w:t>13.01.2025. godine</w:t>
      </w:r>
    </w:p>
    <w:p w14:paraId="3A1294BD" w14:textId="7B1A7825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4180200C" w14:textId="77777777" w:rsidR="008D0B8B" w:rsidRPr="00202D4B" w:rsidRDefault="008D0B8B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75E0F092" w14:textId="77777777" w:rsidR="00FA009A" w:rsidRPr="00202D4B" w:rsidRDefault="00FA009A" w:rsidP="00FA009A">
      <w:pPr>
        <w:pStyle w:val="ListParagraph"/>
        <w:numPr>
          <w:ilvl w:val="0"/>
          <w:numId w:val="4"/>
        </w:num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202D4B">
        <w:rPr>
          <w:b/>
          <w:bCs/>
          <w:noProof/>
          <w:sz w:val="22"/>
          <w:szCs w:val="22"/>
          <w:lang w:val="sr-Latn-ME"/>
        </w:rPr>
        <w:t xml:space="preserve">DATUM REVIZIJE TEKSTA </w:t>
      </w:r>
    </w:p>
    <w:p w14:paraId="517A100B" w14:textId="77777777" w:rsidR="00FA009A" w:rsidRPr="00202D4B" w:rsidRDefault="00FA009A" w:rsidP="00FA009A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1C451E2D" w14:textId="0FE11FD1" w:rsidR="00B40F4E" w:rsidRPr="00202D4B" w:rsidRDefault="00202D4B">
      <w:pPr>
        <w:rPr>
          <w:sz w:val="22"/>
          <w:szCs w:val="22"/>
          <w:lang w:val="sr-Latn-ME"/>
        </w:rPr>
      </w:pPr>
      <w:r w:rsidRPr="00202D4B">
        <w:rPr>
          <w:sz w:val="22"/>
          <w:szCs w:val="22"/>
          <w:lang w:val="sr-Latn-ME"/>
        </w:rPr>
        <w:t>Januar, 2025. godine</w:t>
      </w:r>
    </w:p>
    <w:sectPr w:rsidR="00B40F4E" w:rsidRPr="00202D4B" w:rsidSect="00832150">
      <w:headerReference w:type="default" r:id="rId12"/>
      <w:footerReference w:type="default" r:id="rId13"/>
      <w:pgSz w:w="11909" w:h="16834" w:code="9"/>
      <w:pgMar w:top="1140" w:right="1412" w:bottom="1140" w:left="1412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85D7E" w14:textId="77777777" w:rsidR="00FA5E69" w:rsidRDefault="00FA5E69">
      <w:r>
        <w:separator/>
      </w:r>
    </w:p>
  </w:endnote>
  <w:endnote w:type="continuationSeparator" w:id="0">
    <w:p w14:paraId="26E451E2" w14:textId="77777777" w:rsidR="00FA5E69" w:rsidRDefault="00FA5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26E10" w14:textId="27445E5E" w:rsidR="009F5F4D" w:rsidRPr="00B23F69" w:rsidRDefault="009F5F4D" w:rsidP="00832150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202D4B">
      <w:rPr>
        <w:noProof/>
        <w:sz w:val="22"/>
        <w:szCs w:val="22"/>
      </w:rPr>
      <w:t>9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202D4B">
      <w:rPr>
        <w:noProof/>
        <w:sz w:val="22"/>
        <w:szCs w:val="22"/>
      </w:rPr>
      <w:t>9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BF2E3" w14:textId="77777777" w:rsidR="00FA5E69" w:rsidRDefault="00FA5E69">
      <w:r>
        <w:separator/>
      </w:r>
    </w:p>
  </w:footnote>
  <w:footnote w:type="continuationSeparator" w:id="0">
    <w:p w14:paraId="5443CECB" w14:textId="77777777" w:rsidR="00FA5E69" w:rsidRDefault="00FA5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3AB01" w14:textId="77777777" w:rsidR="009F5F4D" w:rsidRDefault="009F5F4D" w:rsidP="00832150">
    <w:pPr>
      <w:pStyle w:val="Header"/>
    </w:pPr>
  </w:p>
  <w:p w14:paraId="05042FEA" w14:textId="77777777" w:rsidR="009F5F4D" w:rsidRPr="00FD4723" w:rsidRDefault="009F5F4D" w:rsidP="008321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00DE9"/>
    <w:multiLevelType w:val="hybridMultilevel"/>
    <w:tmpl w:val="9E4A2B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35C94"/>
    <w:multiLevelType w:val="hybridMultilevel"/>
    <w:tmpl w:val="E1980F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A10F1"/>
    <w:multiLevelType w:val="multilevel"/>
    <w:tmpl w:val="5148D0F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szCs w:val="22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3AD0F70"/>
    <w:multiLevelType w:val="multilevel"/>
    <w:tmpl w:val="107CAFF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AA39DF"/>
    <w:multiLevelType w:val="hybridMultilevel"/>
    <w:tmpl w:val="0AE8BD7A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09A"/>
    <w:rsid w:val="00016007"/>
    <w:rsid w:val="000353A6"/>
    <w:rsid w:val="00040FFE"/>
    <w:rsid w:val="000D2BB1"/>
    <w:rsid w:val="000F0C15"/>
    <w:rsid w:val="00110860"/>
    <w:rsid w:val="00183501"/>
    <w:rsid w:val="001E2A52"/>
    <w:rsid w:val="001E66F4"/>
    <w:rsid w:val="001F5B08"/>
    <w:rsid w:val="00202D4B"/>
    <w:rsid w:val="002178A8"/>
    <w:rsid w:val="002A32B4"/>
    <w:rsid w:val="002D0A4E"/>
    <w:rsid w:val="002F0810"/>
    <w:rsid w:val="00307D83"/>
    <w:rsid w:val="003440A6"/>
    <w:rsid w:val="003B41EC"/>
    <w:rsid w:val="003C50FB"/>
    <w:rsid w:val="0040539F"/>
    <w:rsid w:val="004204FE"/>
    <w:rsid w:val="004408DE"/>
    <w:rsid w:val="00492757"/>
    <w:rsid w:val="004C6ED7"/>
    <w:rsid w:val="00527320"/>
    <w:rsid w:val="00533859"/>
    <w:rsid w:val="00563DF7"/>
    <w:rsid w:val="005850C4"/>
    <w:rsid w:val="005C5694"/>
    <w:rsid w:val="0061053A"/>
    <w:rsid w:val="00616C23"/>
    <w:rsid w:val="0062623F"/>
    <w:rsid w:val="00684F2C"/>
    <w:rsid w:val="006A1E5E"/>
    <w:rsid w:val="006B287B"/>
    <w:rsid w:val="00750A5A"/>
    <w:rsid w:val="007B08B9"/>
    <w:rsid w:val="007B6782"/>
    <w:rsid w:val="007C0F49"/>
    <w:rsid w:val="007E0D6A"/>
    <w:rsid w:val="00807529"/>
    <w:rsid w:val="00817BBD"/>
    <w:rsid w:val="00832150"/>
    <w:rsid w:val="00880516"/>
    <w:rsid w:val="008810D3"/>
    <w:rsid w:val="008D0B8B"/>
    <w:rsid w:val="008D1298"/>
    <w:rsid w:val="008E5567"/>
    <w:rsid w:val="00941F6F"/>
    <w:rsid w:val="00942653"/>
    <w:rsid w:val="00946722"/>
    <w:rsid w:val="009536CE"/>
    <w:rsid w:val="009739C5"/>
    <w:rsid w:val="00973F75"/>
    <w:rsid w:val="00996226"/>
    <w:rsid w:val="009B7890"/>
    <w:rsid w:val="009F5F4D"/>
    <w:rsid w:val="00A76424"/>
    <w:rsid w:val="00AE2319"/>
    <w:rsid w:val="00B06909"/>
    <w:rsid w:val="00B325C3"/>
    <w:rsid w:val="00B37E08"/>
    <w:rsid w:val="00B40F4E"/>
    <w:rsid w:val="00BD2140"/>
    <w:rsid w:val="00BD765A"/>
    <w:rsid w:val="00C3241B"/>
    <w:rsid w:val="00C324EB"/>
    <w:rsid w:val="00C6133A"/>
    <w:rsid w:val="00C978FF"/>
    <w:rsid w:val="00CA0D34"/>
    <w:rsid w:val="00CA26EC"/>
    <w:rsid w:val="00D163D2"/>
    <w:rsid w:val="00D477F4"/>
    <w:rsid w:val="00D6423C"/>
    <w:rsid w:val="00E270AC"/>
    <w:rsid w:val="00E4213F"/>
    <w:rsid w:val="00E73B7D"/>
    <w:rsid w:val="00E801F5"/>
    <w:rsid w:val="00EB101D"/>
    <w:rsid w:val="00F72803"/>
    <w:rsid w:val="00F96118"/>
    <w:rsid w:val="00FA009A"/>
    <w:rsid w:val="00FA5E69"/>
    <w:rsid w:val="00FF63BD"/>
    <w:rsid w:val="00FF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5CAF8"/>
  <w15:docId w15:val="{B36A746D-2BB3-43DD-A988-12910436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1"/>
    <w:qFormat/>
    <w:rsid w:val="003B41EC"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3B41EC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er">
    <w:name w:val="header"/>
    <w:basedOn w:val="Normal"/>
    <w:link w:val="HeaderChar"/>
    <w:rsid w:val="00FA00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009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FA00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A009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FA0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FA009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00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321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21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215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1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15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1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150"/>
    <w:rPr>
      <w:rFonts w:ascii="Segoe UI" w:eastAsia="Times New Roman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AE2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BC599-514C-4BFB-950F-BB999BF4C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3262</Words>
  <Characters>18595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Naida Kadić</dc:creator>
  <cp:lastModifiedBy>Ninoslava Lalatović</cp:lastModifiedBy>
  <cp:revision>3</cp:revision>
  <dcterms:created xsi:type="dcterms:W3CDTF">2025-01-09T06:53:00Z</dcterms:created>
  <dcterms:modified xsi:type="dcterms:W3CDTF">2025-01-09T07:21:00Z</dcterms:modified>
</cp:coreProperties>
</file>