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DBD9E" w14:textId="77777777" w:rsidR="00F91C7B" w:rsidRPr="00D264F7" w:rsidRDefault="00F91C7B" w:rsidP="001F758F">
      <w:pPr>
        <w:jc w:val="both"/>
        <w:rPr>
          <w:b/>
          <w:bCs/>
          <w:i/>
          <w:iCs/>
          <w:sz w:val="22"/>
          <w:szCs w:val="22"/>
          <w:u w:val="single"/>
          <w:lang w:val="sr-Latn-ME"/>
        </w:rPr>
      </w:pPr>
    </w:p>
    <w:p w14:paraId="36901B2F" w14:textId="77777777" w:rsidR="002510A5" w:rsidRPr="00D264F7" w:rsidRDefault="002510A5" w:rsidP="001C605F">
      <w:pPr>
        <w:jc w:val="center"/>
        <w:rPr>
          <w:b/>
          <w:bCs/>
          <w:iCs/>
          <w:sz w:val="22"/>
          <w:szCs w:val="22"/>
          <w:u w:val="single"/>
          <w:lang w:val="sr-Latn-ME"/>
        </w:rPr>
      </w:pPr>
      <w:r w:rsidRPr="00D264F7">
        <w:rPr>
          <w:b/>
          <w:bCs/>
          <w:iCs/>
          <w:sz w:val="22"/>
          <w:szCs w:val="22"/>
          <w:u w:val="single"/>
          <w:lang w:val="sr-Latn-ME"/>
        </w:rPr>
        <w:t>SAŽETAK KARAKTERISTIKA LIJEKA</w:t>
      </w:r>
    </w:p>
    <w:p w14:paraId="516FAA2C" w14:textId="77777777" w:rsidR="002510A5" w:rsidRPr="00D264F7" w:rsidRDefault="002510A5" w:rsidP="001F758F">
      <w:pPr>
        <w:jc w:val="both"/>
        <w:rPr>
          <w:b/>
          <w:bCs/>
          <w:i/>
          <w:iCs/>
          <w:sz w:val="22"/>
          <w:szCs w:val="22"/>
          <w:u w:val="single"/>
          <w:lang w:val="sr-Latn-ME"/>
        </w:rPr>
      </w:pPr>
    </w:p>
    <w:p w14:paraId="0C30CBD1" w14:textId="77777777" w:rsidR="003C17AB" w:rsidRPr="00D264F7" w:rsidRDefault="003C17AB" w:rsidP="001F758F">
      <w:pPr>
        <w:tabs>
          <w:tab w:val="left" w:pos="540"/>
          <w:tab w:val="left" w:pos="569"/>
        </w:tabs>
        <w:jc w:val="both"/>
        <w:rPr>
          <w:noProof/>
          <w:sz w:val="22"/>
          <w:szCs w:val="22"/>
          <w:lang w:val="sr-Latn-ME"/>
        </w:rPr>
      </w:pPr>
    </w:p>
    <w:p w14:paraId="4707D4D0" w14:textId="77777777" w:rsidR="00C37FD7" w:rsidRPr="00D264F7" w:rsidRDefault="00C37FD7" w:rsidP="001F758F">
      <w:pPr>
        <w:tabs>
          <w:tab w:val="left" w:pos="540"/>
          <w:tab w:val="left" w:pos="569"/>
        </w:tabs>
        <w:jc w:val="both"/>
        <w:rPr>
          <w:bCs/>
          <w:sz w:val="22"/>
          <w:szCs w:val="22"/>
          <w:lang w:val="sr-Latn-ME"/>
        </w:rPr>
      </w:pPr>
    </w:p>
    <w:p w14:paraId="65481B59" w14:textId="1A4E168D" w:rsidR="007A1D3D" w:rsidRPr="007A1D3D" w:rsidRDefault="002846DB" w:rsidP="001F758F">
      <w:pPr>
        <w:pStyle w:val="ListParagraph"/>
        <w:numPr>
          <w:ilvl w:val="0"/>
          <w:numId w:val="15"/>
        </w:numPr>
        <w:tabs>
          <w:tab w:val="left" w:pos="540"/>
          <w:tab w:val="left" w:pos="569"/>
        </w:tabs>
        <w:ind w:hanging="900"/>
        <w:jc w:val="both"/>
        <w:rPr>
          <w:b/>
          <w:bCs/>
          <w:sz w:val="22"/>
          <w:szCs w:val="22"/>
          <w:lang w:val="sr-Latn-ME"/>
        </w:rPr>
      </w:pPr>
      <w:r w:rsidRPr="007A1D3D">
        <w:rPr>
          <w:b/>
          <w:bCs/>
          <w:sz w:val="22"/>
          <w:szCs w:val="22"/>
          <w:lang w:val="sr-Latn-ME"/>
        </w:rPr>
        <w:t xml:space="preserve">NAZIV </w:t>
      </w:r>
      <w:r w:rsidR="00411B4B" w:rsidRPr="007A1D3D">
        <w:rPr>
          <w:b/>
          <w:bCs/>
          <w:sz w:val="22"/>
          <w:szCs w:val="22"/>
          <w:lang w:val="sr-Latn-ME"/>
        </w:rPr>
        <w:t>LIJEKA</w:t>
      </w:r>
    </w:p>
    <w:p w14:paraId="55A19078" w14:textId="77777777" w:rsidR="007A1D3D" w:rsidRDefault="007A1D3D" w:rsidP="001F758F">
      <w:pPr>
        <w:tabs>
          <w:tab w:val="left" w:pos="540"/>
          <w:tab w:val="left" w:pos="569"/>
        </w:tabs>
        <w:jc w:val="both"/>
        <w:rPr>
          <w:rFonts w:eastAsiaTheme="minorHAnsi"/>
          <w:sz w:val="22"/>
          <w:szCs w:val="22"/>
          <w:lang w:val="sr-Latn-ME"/>
        </w:rPr>
      </w:pPr>
    </w:p>
    <w:p w14:paraId="51F22604" w14:textId="3D468678" w:rsidR="008E35E1" w:rsidRPr="007A1D3D" w:rsidRDefault="008E35E1" w:rsidP="001F758F">
      <w:pPr>
        <w:tabs>
          <w:tab w:val="left" w:pos="540"/>
          <w:tab w:val="left" w:pos="569"/>
        </w:tabs>
        <w:jc w:val="both"/>
        <w:rPr>
          <w:b/>
          <w:bCs/>
          <w:sz w:val="22"/>
          <w:szCs w:val="22"/>
          <w:lang w:val="sr-Latn-ME"/>
        </w:rPr>
      </w:pPr>
      <w:r w:rsidRPr="007A1D3D">
        <w:rPr>
          <w:rFonts w:eastAsiaTheme="minorHAnsi"/>
          <w:sz w:val="22"/>
          <w:szCs w:val="22"/>
          <w:lang w:val="sr-Latn-ME"/>
        </w:rPr>
        <w:t>TECFIDERA, 120 mg, gastrorezistentna kapsula, tvrda</w:t>
      </w:r>
    </w:p>
    <w:p w14:paraId="27BB5789" w14:textId="77777777" w:rsidR="00C94BB0" w:rsidRPr="00D264F7" w:rsidRDefault="00C94BB0" w:rsidP="001F758F">
      <w:pPr>
        <w:jc w:val="both"/>
        <w:rPr>
          <w:bCs/>
          <w:sz w:val="22"/>
          <w:szCs w:val="22"/>
          <w:lang w:val="sr-Latn-ME"/>
        </w:rPr>
      </w:pPr>
      <w:r w:rsidRPr="00D264F7">
        <w:rPr>
          <w:bCs/>
          <w:sz w:val="22"/>
          <w:szCs w:val="22"/>
          <w:lang w:val="sr-Latn-ME"/>
        </w:rPr>
        <w:t>TECFIDERA, 240 mg, gastrorezistentna kapsula, tvrda</w:t>
      </w:r>
    </w:p>
    <w:p w14:paraId="51A95599" w14:textId="77777777" w:rsidR="000D425A" w:rsidRPr="00D264F7" w:rsidRDefault="000D425A" w:rsidP="001F758F">
      <w:pPr>
        <w:jc w:val="both"/>
        <w:rPr>
          <w:bCs/>
          <w:sz w:val="22"/>
          <w:szCs w:val="22"/>
          <w:lang w:val="sr-Latn-ME"/>
        </w:rPr>
      </w:pPr>
    </w:p>
    <w:p w14:paraId="6845A8DE" w14:textId="77777777" w:rsidR="006D20A5" w:rsidRPr="00D264F7" w:rsidRDefault="006D20A5" w:rsidP="001F758F">
      <w:pPr>
        <w:jc w:val="both"/>
        <w:rPr>
          <w:sz w:val="22"/>
          <w:szCs w:val="22"/>
          <w:lang w:val="sr-Latn-ME"/>
        </w:rPr>
      </w:pPr>
      <w:r w:rsidRPr="00D264F7">
        <w:rPr>
          <w:sz w:val="22"/>
          <w:szCs w:val="22"/>
          <w:lang w:val="sr-Latn-ME"/>
        </w:rPr>
        <w:t>INN:</w:t>
      </w:r>
      <w:r w:rsidR="008E35E1" w:rsidRPr="00D264F7">
        <w:rPr>
          <w:sz w:val="22"/>
          <w:szCs w:val="22"/>
          <w:lang w:val="sr-Latn-ME"/>
        </w:rPr>
        <w:t xml:space="preserve"> dimetilfumarat</w:t>
      </w:r>
    </w:p>
    <w:p w14:paraId="536C4821" w14:textId="77777777" w:rsidR="006D20A5" w:rsidRPr="00D264F7" w:rsidRDefault="006D20A5" w:rsidP="001F758F">
      <w:pPr>
        <w:jc w:val="both"/>
        <w:rPr>
          <w:bCs/>
          <w:sz w:val="22"/>
          <w:szCs w:val="22"/>
          <w:lang w:val="sr-Latn-ME"/>
        </w:rPr>
      </w:pPr>
    </w:p>
    <w:p w14:paraId="7C180103" w14:textId="77777777" w:rsidR="00530BD7" w:rsidRPr="00D264F7" w:rsidRDefault="00530BD7" w:rsidP="001F758F">
      <w:pPr>
        <w:jc w:val="both"/>
        <w:rPr>
          <w:bCs/>
          <w:sz w:val="22"/>
          <w:szCs w:val="22"/>
          <w:lang w:val="sr-Latn-ME"/>
        </w:rPr>
      </w:pPr>
    </w:p>
    <w:p w14:paraId="3FEBC6ED"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2. </w:t>
      </w:r>
      <w:r w:rsidR="00F5167F" w:rsidRPr="00D264F7">
        <w:rPr>
          <w:b/>
          <w:bCs/>
          <w:sz w:val="22"/>
          <w:szCs w:val="22"/>
          <w:lang w:val="sr-Latn-ME"/>
        </w:rPr>
        <w:tab/>
      </w:r>
      <w:r w:rsidRPr="00D264F7">
        <w:rPr>
          <w:b/>
          <w:bCs/>
          <w:sz w:val="22"/>
          <w:szCs w:val="22"/>
          <w:lang w:val="sr-Latn-ME"/>
        </w:rPr>
        <w:t>KVALITATIVNI I KVANTITATIVNI SASTAV</w:t>
      </w:r>
    </w:p>
    <w:p w14:paraId="533B4F3C" w14:textId="77777777" w:rsidR="005A0B2E" w:rsidRPr="00D264F7" w:rsidRDefault="005A0B2E" w:rsidP="001F758F">
      <w:pPr>
        <w:jc w:val="both"/>
        <w:rPr>
          <w:sz w:val="22"/>
          <w:szCs w:val="22"/>
          <w:lang w:val="sr-Latn-ME"/>
        </w:rPr>
      </w:pPr>
    </w:p>
    <w:p w14:paraId="5439F690" w14:textId="219CF3EA" w:rsidR="001F2705" w:rsidRDefault="001F2705" w:rsidP="001F758F">
      <w:pPr>
        <w:jc w:val="both"/>
        <w:rPr>
          <w:sz w:val="22"/>
          <w:szCs w:val="22"/>
          <w:lang w:val="sr-Latn-ME"/>
        </w:rPr>
      </w:pPr>
      <w:r w:rsidRPr="00945BE0">
        <w:rPr>
          <w:i/>
          <w:sz w:val="22"/>
          <w:szCs w:val="22"/>
          <w:lang w:val="sr-Latn-ME"/>
        </w:rPr>
        <w:t>Tecfidera, 120 mg, gastrorezistentn</w:t>
      </w:r>
      <w:r w:rsidR="0029333B">
        <w:rPr>
          <w:i/>
          <w:sz w:val="22"/>
          <w:szCs w:val="22"/>
          <w:lang w:val="sr-Latn-ME"/>
        </w:rPr>
        <w:t>a</w:t>
      </w:r>
      <w:r w:rsidRPr="00945BE0">
        <w:rPr>
          <w:i/>
          <w:sz w:val="22"/>
          <w:szCs w:val="22"/>
          <w:lang w:val="sr-Latn-ME"/>
        </w:rPr>
        <w:t xml:space="preserve"> kapsula, tvrda</w:t>
      </w:r>
      <w:r>
        <w:rPr>
          <w:sz w:val="22"/>
          <w:szCs w:val="22"/>
          <w:lang w:val="sr-Latn-ME"/>
        </w:rPr>
        <w:t>:</w:t>
      </w:r>
    </w:p>
    <w:p w14:paraId="255B822C" w14:textId="1D46154D" w:rsidR="008E35E1" w:rsidRDefault="001F2705" w:rsidP="001F758F">
      <w:pPr>
        <w:jc w:val="both"/>
        <w:rPr>
          <w:sz w:val="22"/>
          <w:szCs w:val="22"/>
          <w:lang w:val="sr-Latn-ME"/>
        </w:rPr>
      </w:pPr>
      <w:r>
        <w:rPr>
          <w:sz w:val="22"/>
          <w:szCs w:val="22"/>
          <w:lang w:val="sr-Latn-ME"/>
        </w:rPr>
        <w:t>Jedna</w:t>
      </w:r>
      <w:r w:rsidR="008E35E1" w:rsidRPr="00D264F7">
        <w:rPr>
          <w:sz w:val="22"/>
          <w:szCs w:val="22"/>
          <w:lang w:val="sr-Latn-ME"/>
        </w:rPr>
        <w:t xml:space="preserve"> gastrorezistentna kapsula, tvrda sadrži 120 mg dimetilfumarata.</w:t>
      </w:r>
    </w:p>
    <w:p w14:paraId="712C8B1C" w14:textId="012664FA" w:rsidR="001F2705" w:rsidRDefault="001F2705" w:rsidP="001F758F">
      <w:pPr>
        <w:jc w:val="both"/>
        <w:rPr>
          <w:sz w:val="22"/>
          <w:szCs w:val="22"/>
          <w:lang w:val="sr-Latn-ME"/>
        </w:rPr>
      </w:pPr>
    </w:p>
    <w:p w14:paraId="38FC748E" w14:textId="24ABF4C7" w:rsidR="001F2705" w:rsidRPr="00945BE0" w:rsidRDefault="001F2705" w:rsidP="001F758F">
      <w:pPr>
        <w:jc w:val="both"/>
        <w:rPr>
          <w:i/>
          <w:sz w:val="22"/>
          <w:szCs w:val="22"/>
          <w:lang w:val="sr-Latn-ME"/>
        </w:rPr>
      </w:pPr>
      <w:r w:rsidRPr="00945BE0">
        <w:rPr>
          <w:i/>
          <w:sz w:val="22"/>
          <w:szCs w:val="22"/>
          <w:lang w:val="sr-Latn-ME"/>
        </w:rPr>
        <w:t>Tecfidera, 240 mg, gastrorezistentn</w:t>
      </w:r>
      <w:r w:rsidR="00011876">
        <w:rPr>
          <w:i/>
          <w:sz w:val="22"/>
          <w:szCs w:val="22"/>
          <w:lang w:val="sr-Latn-ME"/>
        </w:rPr>
        <w:t>a</w:t>
      </w:r>
      <w:r w:rsidRPr="00945BE0">
        <w:rPr>
          <w:i/>
          <w:sz w:val="22"/>
          <w:szCs w:val="22"/>
          <w:lang w:val="sr-Latn-ME"/>
        </w:rPr>
        <w:t xml:space="preserve"> kapsula, tvrda:</w:t>
      </w:r>
    </w:p>
    <w:p w14:paraId="73ABBEE4" w14:textId="73DA4CE8" w:rsidR="00C94BB0" w:rsidRPr="00D264F7" w:rsidRDefault="001F2705" w:rsidP="001F758F">
      <w:pPr>
        <w:jc w:val="both"/>
        <w:rPr>
          <w:sz w:val="22"/>
          <w:szCs w:val="22"/>
          <w:lang w:val="sr-Latn-ME"/>
        </w:rPr>
      </w:pPr>
      <w:r>
        <w:rPr>
          <w:sz w:val="22"/>
          <w:szCs w:val="22"/>
          <w:lang w:val="sr-Latn-ME"/>
        </w:rPr>
        <w:t>Jedna</w:t>
      </w:r>
      <w:r w:rsidR="00C94BB0" w:rsidRPr="00D264F7">
        <w:rPr>
          <w:sz w:val="22"/>
          <w:szCs w:val="22"/>
          <w:lang w:val="sr-Latn-ME"/>
        </w:rPr>
        <w:t xml:space="preserve"> gastrorezistentna kapsula, tvrda sadrži 240 mg dimetilfumarata.</w:t>
      </w:r>
    </w:p>
    <w:p w14:paraId="429D8F80" w14:textId="77777777" w:rsidR="008E35E1" w:rsidRPr="00D264F7" w:rsidRDefault="008E35E1" w:rsidP="001F758F">
      <w:pPr>
        <w:jc w:val="both"/>
        <w:rPr>
          <w:sz w:val="22"/>
          <w:szCs w:val="22"/>
          <w:lang w:val="sr-Latn-ME"/>
        </w:rPr>
      </w:pPr>
    </w:p>
    <w:p w14:paraId="31970036" w14:textId="77777777" w:rsidR="0003793F" w:rsidRPr="00D264F7" w:rsidRDefault="0003793F" w:rsidP="001F758F">
      <w:pPr>
        <w:jc w:val="both"/>
        <w:rPr>
          <w:sz w:val="22"/>
          <w:szCs w:val="22"/>
          <w:lang w:val="sr-Latn-ME"/>
        </w:rPr>
      </w:pPr>
      <w:r w:rsidRPr="00D264F7">
        <w:rPr>
          <w:sz w:val="22"/>
          <w:szCs w:val="22"/>
          <w:lang w:val="sr-Latn-ME"/>
        </w:rPr>
        <w:t>Za spisak svih ekscipijenasa, pogledati dio 6.1.</w:t>
      </w:r>
    </w:p>
    <w:p w14:paraId="08EFE1E0" w14:textId="77777777" w:rsidR="0003793F" w:rsidRPr="00D264F7" w:rsidRDefault="0003793F" w:rsidP="001F758F">
      <w:pPr>
        <w:jc w:val="both"/>
        <w:rPr>
          <w:sz w:val="22"/>
          <w:szCs w:val="22"/>
          <w:lang w:val="sr-Latn-ME"/>
        </w:rPr>
      </w:pPr>
    </w:p>
    <w:p w14:paraId="75B90213" w14:textId="77777777" w:rsidR="00C37FD7" w:rsidRPr="00D264F7" w:rsidRDefault="00C37FD7" w:rsidP="001F758F">
      <w:pPr>
        <w:jc w:val="both"/>
        <w:rPr>
          <w:sz w:val="22"/>
          <w:szCs w:val="22"/>
          <w:lang w:val="sr-Latn-ME"/>
        </w:rPr>
      </w:pPr>
    </w:p>
    <w:p w14:paraId="5591797A"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3. </w:t>
      </w:r>
      <w:r w:rsidR="00F5167F" w:rsidRPr="00D264F7">
        <w:rPr>
          <w:b/>
          <w:bCs/>
          <w:sz w:val="22"/>
          <w:szCs w:val="22"/>
          <w:lang w:val="sr-Latn-ME"/>
        </w:rPr>
        <w:tab/>
      </w:r>
      <w:r w:rsidRPr="00D264F7">
        <w:rPr>
          <w:b/>
          <w:bCs/>
          <w:sz w:val="22"/>
          <w:szCs w:val="22"/>
          <w:lang w:val="sr-Latn-ME"/>
        </w:rPr>
        <w:t>FARMACEUTSKI OBLIK</w:t>
      </w:r>
      <w:r w:rsidR="009F2D23" w:rsidRPr="00D264F7">
        <w:rPr>
          <w:b/>
          <w:bCs/>
          <w:sz w:val="22"/>
          <w:szCs w:val="22"/>
          <w:lang w:val="sr-Latn-ME"/>
        </w:rPr>
        <w:t xml:space="preserve"> </w:t>
      </w:r>
    </w:p>
    <w:p w14:paraId="48EE30C9" w14:textId="77777777" w:rsidR="00411B4B" w:rsidRPr="00D264F7" w:rsidRDefault="00411B4B" w:rsidP="001F758F">
      <w:pPr>
        <w:jc w:val="both"/>
        <w:rPr>
          <w:bCs/>
          <w:sz w:val="22"/>
          <w:szCs w:val="22"/>
          <w:lang w:val="sr-Latn-ME"/>
        </w:rPr>
      </w:pPr>
    </w:p>
    <w:p w14:paraId="74D26556" w14:textId="43ADED19" w:rsidR="008E35E1" w:rsidRPr="00D264F7" w:rsidRDefault="008E35E1" w:rsidP="001F758F">
      <w:pPr>
        <w:jc w:val="both"/>
        <w:rPr>
          <w:bCs/>
          <w:sz w:val="22"/>
          <w:szCs w:val="22"/>
          <w:lang w:val="sr-Latn-ME"/>
        </w:rPr>
      </w:pPr>
      <w:r w:rsidRPr="00D264F7">
        <w:rPr>
          <w:bCs/>
          <w:sz w:val="22"/>
          <w:szCs w:val="22"/>
          <w:lang w:val="sr-Latn-ME"/>
        </w:rPr>
        <w:t>Gastrorezistentna kapsula, tvrda</w:t>
      </w:r>
      <w:r w:rsidR="001F2705">
        <w:rPr>
          <w:bCs/>
          <w:sz w:val="22"/>
          <w:szCs w:val="22"/>
          <w:lang w:val="sr-Latn-ME"/>
        </w:rPr>
        <w:t>.</w:t>
      </w:r>
    </w:p>
    <w:p w14:paraId="468677AC" w14:textId="345B9136" w:rsidR="008E35E1" w:rsidRDefault="008E35E1" w:rsidP="001F758F">
      <w:pPr>
        <w:jc w:val="both"/>
        <w:rPr>
          <w:bCs/>
          <w:sz w:val="22"/>
          <w:szCs w:val="22"/>
          <w:lang w:val="sr-Latn-ME"/>
        </w:rPr>
      </w:pPr>
    </w:p>
    <w:p w14:paraId="12A30A5B" w14:textId="02098F2A" w:rsidR="001F2705" w:rsidRDefault="001F2705" w:rsidP="001F758F">
      <w:pPr>
        <w:jc w:val="both"/>
        <w:rPr>
          <w:sz w:val="22"/>
          <w:szCs w:val="22"/>
          <w:lang w:val="sr-Latn-ME"/>
        </w:rPr>
      </w:pPr>
      <w:r w:rsidRPr="001319BC">
        <w:rPr>
          <w:i/>
          <w:sz w:val="22"/>
          <w:szCs w:val="22"/>
          <w:lang w:val="sr-Latn-ME"/>
        </w:rPr>
        <w:t>Tecfidera, 120 mg, gastrorezistentn</w:t>
      </w:r>
      <w:r w:rsidR="00011876">
        <w:rPr>
          <w:i/>
          <w:sz w:val="22"/>
          <w:szCs w:val="22"/>
          <w:lang w:val="sr-Latn-ME"/>
        </w:rPr>
        <w:t>a</w:t>
      </w:r>
      <w:r w:rsidRPr="001319BC">
        <w:rPr>
          <w:i/>
          <w:sz w:val="22"/>
          <w:szCs w:val="22"/>
          <w:lang w:val="sr-Latn-ME"/>
        </w:rPr>
        <w:t xml:space="preserve"> kapsula, tvrda</w:t>
      </w:r>
      <w:r>
        <w:rPr>
          <w:sz w:val="22"/>
          <w:szCs w:val="22"/>
          <w:lang w:val="sr-Latn-ME"/>
        </w:rPr>
        <w:t>:</w:t>
      </w:r>
    </w:p>
    <w:p w14:paraId="4E6FE15E" w14:textId="560B8AD3" w:rsidR="0080276E" w:rsidRDefault="001F2705" w:rsidP="001F758F">
      <w:pPr>
        <w:jc w:val="both"/>
        <w:rPr>
          <w:bCs/>
          <w:sz w:val="22"/>
          <w:szCs w:val="22"/>
          <w:lang w:val="sr-Latn-ME"/>
        </w:rPr>
      </w:pPr>
      <w:r w:rsidRPr="001F2705">
        <w:rPr>
          <w:bCs/>
          <w:sz w:val="22"/>
          <w:szCs w:val="22"/>
          <w:lang w:val="sr-Latn-ME"/>
        </w:rPr>
        <w:t>Tvrde želatinske kapsule,</w:t>
      </w:r>
      <w:r w:rsidR="008E35E1" w:rsidRPr="00D264F7">
        <w:rPr>
          <w:bCs/>
          <w:sz w:val="22"/>
          <w:szCs w:val="22"/>
          <w:lang w:val="sr-Latn-ME"/>
        </w:rPr>
        <w:t xml:space="preserve"> veličine</w:t>
      </w:r>
      <w:r w:rsidR="0080276E">
        <w:rPr>
          <w:bCs/>
          <w:sz w:val="22"/>
          <w:szCs w:val="22"/>
          <w:lang w:val="sr-Latn-ME"/>
        </w:rPr>
        <w:t xml:space="preserve"> No.</w:t>
      </w:r>
      <w:r w:rsidR="008E35E1" w:rsidRPr="00D264F7">
        <w:rPr>
          <w:bCs/>
          <w:sz w:val="22"/>
          <w:szCs w:val="22"/>
          <w:lang w:val="sr-Latn-ME"/>
        </w:rPr>
        <w:t xml:space="preserve"> 0, </w:t>
      </w:r>
      <w:r w:rsidR="0080276E">
        <w:rPr>
          <w:bCs/>
          <w:sz w:val="22"/>
          <w:szCs w:val="22"/>
          <w:lang w:val="sr-Latn-ME"/>
        </w:rPr>
        <w:t xml:space="preserve">neprovidne svijetlo zelene kape i neprovidnog bijelog tijela </w:t>
      </w:r>
      <w:r w:rsidR="008E35E1" w:rsidRPr="00D264F7">
        <w:rPr>
          <w:bCs/>
          <w:sz w:val="22"/>
          <w:szCs w:val="22"/>
          <w:lang w:val="sr-Latn-ME"/>
        </w:rPr>
        <w:t>sa štampan</w:t>
      </w:r>
      <w:r>
        <w:rPr>
          <w:bCs/>
          <w:sz w:val="22"/>
          <w:szCs w:val="22"/>
          <w:lang w:val="sr-Latn-ME"/>
        </w:rPr>
        <w:t>om oznakom</w:t>
      </w:r>
      <w:r w:rsidR="008E35E1" w:rsidRPr="00D264F7">
        <w:rPr>
          <w:bCs/>
          <w:sz w:val="22"/>
          <w:szCs w:val="22"/>
          <w:lang w:val="sr-Latn-ME"/>
        </w:rPr>
        <w:t xml:space="preserve"> </w:t>
      </w:r>
      <w:r w:rsidR="0080276E">
        <w:rPr>
          <w:bCs/>
          <w:sz w:val="22"/>
          <w:szCs w:val="22"/>
          <w:lang w:val="sr-Latn-ME"/>
        </w:rPr>
        <w:t xml:space="preserve">crne boje </w:t>
      </w:r>
      <w:r w:rsidR="008E35E1" w:rsidRPr="00D264F7">
        <w:rPr>
          <w:bCs/>
          <w:sz w:val="22"/>
          <w:szCs w:val="22"/>
          <w:lang w:val="sr-Latn-ME"/>
        </w:rPr>
        <w:t>‘BG-12 120 mg’</w:t>
      </w:r>
      <w:r w:rsidR="0080276E">
        <w:rPr>
          <w:bCs/>
          <w:sz w:val="22"/>
          <w:szCs w:val="22"/>
          <w:lang w:val="sr-Latn-ME"/>
        </w:rPr>
        <w:t xml:space="preserve"> na tijelu kapsule:</w:t>
      </w:r>
    </w:p>
    <w:p w14:paraId="2FA9DCD3" w14:textId="13D99E04" w:rsidR="00EC2532" w:rsidRDefault="0080276E" w:rsidP="001F758F">
      <w:pPr>
        <w:jc w:val="both"/>
        <w:rPr>
          <w:bCs/>
          <w:sz w:val="22"/>
          <w:szCs w:val="22"/>
          <w:lang w:val="sr-Latn-ME"/>
        </w:rPr>
      </w:pPr>
      <w:r>
        <w:rPr>
          <w:bCs/>
          <w:sz w:val="22"/>
          <w:szCs w:val="22"/>
          <w:lang w:val="sr-Latn-ME"/>
        </w:rPr>
        <w:t>Sadržaj kapsule: bijele do skoro bijele</w:t>
      </w:r>
      <w:r w:rsidR="008E35E1" w:rsidRPr="00D264F7">
        <w:rPr>
          <w:bCs/>
          <w:sz w:val="22"/>
          <w:szCs w:val="22"/>
          <w:lang w:val="sr-Latn-ME"/>
        </w:rPr>
        <w:t xml:space="preserve"> mikrotablete.</w:t>
      </w:r>
    </w:p>
    <w:p w14:paraId="436D697E" w14:textId="095D0C85" w:rsidR="001F2705" w:rsidRDefault="001F2705" w:rsidP="001F758F">
      <w:pPr>
        <w:jc w:val="both"/>
        <w:rPr>
          <w:bCs/>
          <w:sz w:val="22"/>
          <w:szCs w:val="22"/>
          <w:lang w:val="sr-Latn-ME"/>
        </w:rPr>
      </w:pPr>
    </w:p>
    <w:p w14:paraId="2470CE25" w14:textId="1E8FBF5F" w:rsidR="001F2705" w:rsidRDefault="001F2705" w:rsidP="001F758F">
      <w:pPr>
        <w:jc w:val="both"/>
        <w:rPr>
          <w:sz w:val="22"/>
          <w:szCs w:val="22"/>
          <w:lang w:val="sr-Latn-ME"/>
        </w:rPr>
      </w:pPr>
      <w:r w:rsidRPr="001319BC">
        <w:rPr>
          <w:i/>
          <w:sz w:val="22"/>
          <w:szCs w:val="22"/>
          <w:lang w:val="sr-Latn-ME"/>
        </w:rPr>
        <w:t>Tecfidera, 120 mg, gastrorezistentn</w:t>
      </w:r>
      <w:r w:rsidR="00011876">
        <w:rPr>
          <w:i/>
          <w:sz w:val="22"/>
          <w:szCs w:val="22"/>
          <w:lang w:val="sr-Latn-ME"/>
        </w:rPr>
        <w:t>a</w:t>
      </w:r>
      <w:r w:rsidRPr="001319BC">
        <w:rPr>
          <w:i/>
          <w:sz w:val="22"/>
          <w:szCs w:val="22"/>
          <w:lang w:val="sr-Latn-ME"/>
        </w:rPr>
        <w:t xml:space="preserve"> kapsula, tvrda</w:t>
      </w:r>
      <w:r>
        <w:rPr>
          <w:sz w:val="22"/>
          <w:szCs w:val="22"/>
          <w:lang w:val="sr-Latn-ME"/>
        </w:rPr>
        <w:t>:</w:t>
      </w:r>
    </w:p>
    <w:p w14:paraId="0C93EDC4" w14:textId="6361D80E" w:rsidR="0080276E" w:rsidRDefault="0080276E" w:rsidP="001F758F">
      <w:pPr>
        <w:jc w:val="both"/>
        <w:rPr>
          <w:bCs/>
          <w:sz w:val="22"/>
          <w:szCs w:val="22"/>
          <w:lang w:val="sr-Latn-ME"/>
        </w:rPr>
      </w:pPr>
      <w:r w:rsidRPr="001F2705">
        <w:rPr>
          <w:bCs/>
          <w:sz w:val="22"/>
          <w:szCs w:val="22"/>
          <w:lang w:val="sr-Latn-ME"/>
        </w:rPr>
        <w:t>Tvrde želatinske kapsule,</w:t>
      </w:r>
      <w:r w:rsidRPr="00D264F7">
        <w:rPr>
          <w:bCs/>
          <w:sz w:val="22"/>
          <w:szCs w:val="22"/>
          <w:lang w:val="sr-Latn-ME"/>
        </w:rPr>
        <w:t xml:space="preserve"> veličine</w:t>
      </w:r>
      <w:r>
        <w:rPr>
          <w:bCs/>
          <w:sz w:val="22"/>
          <w:szCs w:val="22"/>
          <w:lang w:val="sr-Latn-ME"/>
        </w:rPr>
        <w:t xml:space="preserve"> No.</w:t>
      </w:r>
      <w:r w:rsidRPr="00D264F7">
        <w:rPr>
          <w:bCs/>
          <w:sz w:val="22"/>
          <w:szCs w:val="22"/>
          <w:lang w:val="sr-Latn-ME"/>
        </w:rPr>
        <w:t xml:space="preserve"> </w:t>
      </w:r>
      <w:r w:rsidR="00C94BB0" w:rsidRPr="00D264F7">
        <w:rPr>
          <w:bCs/>
          <w:sz w:val="22"/>
          <w:szCs w:val="22"/>
          <w:lang w:val="sr-Latn-ME"/>
        </w:rPr>
        <w:t xml:space="preserve">0, </w:t>
      </w:r>
      <w:r>
        <w:rPr>
          <w:bCs/>
          <w:sz w:val="22"/>
          <w:szCs w:val="22"/>
          <w:lang w:val="sr-Latn-ME"/>
        </w:rPr>
        <w:t xml:space="preserve">neprovidne svijetlo zelene kape i tijela </w:t>
      </w:r>
      <w:r w:rsidR="00C94BB0" w:rsidRPr="00D264F7">
        <w:rPr>
          <w:bCs/>
          <w:sz w:val="22"/>
          <w:szCs w:val="22"/>
          <w:lang w:val="sr-Latn-ME"/>
        </w:rPr>
        <w:t>sa</w:t>
      </w:r>
      <w:r>
        <w:rPr>
          <w:bCs/>
          <w:sz w:val="22"/>
          <w:szCs w:val="22"/>
          <w:lang w:val="sr-Latn-ME"/>
        </w:rPr>
        <w:t xml:space="preserve"> </w:t>
      </w:r>
      <w:r w:rsidR="00C94BB0" w:rsidRPr="00D264F7">
        <w:rPr>
          <w:bCs/>
          <w:sz w:val="22"/>
          <w:szCs w:val="22"/>
          <w:lang w:val="sr-Latn-ME"/>
        </w:rPr>
        <w:t>štampan</w:t>
      </w:r>
      <w:r w:rsidR="001F2705">
        <w:rPr>
          <w:bCs/>
          <w:sz w:val="22"/>
          <w:szCs w:val="22"/>
          <w:lang w:val="sr-Latn-ME"/>
        </w:rPr>
        <w:t>om oznakom</w:t>
      </w:r>
      <w:r>
        <w:rPr>
          <w:bCs/>
          <w:sz w:val="22"/>
          <w:szCs w:val="22"/>
          <w:lang w:val="sr-Latn-ME"/>
        </w:rPr>
        <w:t xml:space="preserve"> crne boje</w:t>
      </w:r>
      <w:r w:rsidR="00C94BB0" w:rsidRPr="00D264F7">
        <w:rPr>
          <w:bCs/>
          <w:sz w:val="22"/>
          <w:szCs w:val="22"/>
          <w:lang w:val="sr-Latn-ME"/>
        </w:rPr>
        <w:t xml:space="preserve"> ‘BG-12 240 mg’</w:t>
      </w:r>
      <w:r>
        <w:rPr>
          <w:bCs/>
          <w:sz w:val="22"/>
          <w:szCs w:val="22"/>
          <w:lang w:val="sr-Latn-ME"/>
        </w:rPr>
        <w:t xml:space="preserve"> na tijelu kapsule.</w:t>
      </w:r>
      <w:r w:rsidR="00C94BB0" w:rsidRPr="00D264F7">
        <w:rPr>
          <w:bCs/>
          <w:sz w:val="22"/>
          <w:szCs w:val="22"/>
          <w:lang w:val="sr-Latn-ME"/>
        </w:rPr>
        <w:t xml:space="preserve"> </w:t>
      </w:r>
    </w:p>
    <w:p w14:paraId="5079676E" w14:textId="77777777" w:rsidR="0080276E" w:rsidRDefault="0080276E" w:rsidP="001F758F">
      <w:pPr>
        <w:jc w:val="both"/>
        <w:rPr>
          <w:bCs/>
          <w:sz w:val="22"/>
          <w:szCs w:val="22"/>
          <w:lang w:val="sr-Latn-ME"/>
        </w:rPr>
      </w:pPr>
      <w:r>
        <w:rPr>
          <w:bCs/>
          <w:sz w:val="22"/>
          <w:szCs w:val="22"/>
          <w:lang w:val="sr-Latn-ME"/>
        </w:rPr>
        <w:t>Sadržaj kapsule: bijele do skoro bijele</w:t>
      </w:r>
      <w:r w:rsidRPr="00D264F7">
        <w:rPr>
          <w:bCs/>
          <w:sz w:val="22"/>
          <w:szCs w:val="22"/>
          <w:lang w:val="sr-Latn-ME"/>
        </w:rPr>
        <w:t xml:space="preserve"> mikrotablete.</w:t>
      </w:r>
    </w:p>
    <w:p w14:paraId="22894E3D" w14:textId="77777777" w:rsidR="008E35E1" w:rsidRPr="00D264F7" w:rsidRDefault="008E35E1" w:rsidP="001F758F">
      <w:pPr>
        <w:jc w:val="both"/>
        <w:rPr>
          <w:bCs/>
          <w:sz w:val="22"/>
          <w:szCs w:val="22"/>
          <w:lang w:val="sr-Latn-ME"/>
        </w:rPr>
      </w:pPr>
    </w:p>
    <w:p w14:paraId="088B4DDC" w14:textId="77777777" w:rsidR="008E35E1" w:rsidRPr="00D264F7" w:rsidRDefault="008E35E1" w:rsidP="001F758F">
      <w:pPr>
        <w:jc w:val="both"/>
        <w:rPr>
          <w:bCs/>
          <w:sz w:val="22"/>
          <w:szCs w:val="22"/>
          <w:lang w:val="sr-Latn-ME"/>
        </w:rPr>
      </w:pPr>
    </w:p>
    <w:p w14:paraId="6336A046"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4. </w:t>
      </w:r>
      <w:r w:rsidR="00480FB1" w:rsidRPr="00D264F7">
        <w:rPr>
          <w:b/>
          <w:bCs/>
          <w:sz w:val="22"/>
          <w:szCs w:val="22"/>
          <w:lang w:val="sr-Latn-ME"/>
        </w:rPr>
        <w:tab/>
      </w:r>
      <w:r w:rsidRPr="00D264F7">
        <w:rPr>
          <w:b/>
          <w:bCs/>
          <w:sz w:val="22"/>
          <w:szCs w:val="22"/>
          <w:lang w:val="sr-Latn-ME"/>
        </w:rPr>
        <w:t>KLINIČKI PODACI</w:t>
      </w:r>
    </w:p>
    <w:p w14:paraId="41AF95D7" w14:textId="77777777" w:rsidR="00CD6F02" w:rsidRPr="00D264F7" w:rsidRDefault="00CD6F02" w:rsidP="001F758F">
      <w:pPr>
        <w:tabs>
          <w:tab w:val="left" w:pos="540"/>
          <w:tab w:val="left" w:pos="569"/>
        </w:tabs>
        <w:jc w:val="both"/>
        <w:rPr>
          <w:bCs/>
          <w:sz w:val="22"/>
          <w:szCs w:val="22"/>
          <w:lang w:val="sr-Latn-ME"/>
        </w:rPr>
      </w:pPr>
    </w:p>
    <w:p w14:paraId="08142EFA"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4.1. </w:t>
      </w:r>
      <w:r w:rsidR="00480FB1" w:rsidRPr="00D264F7">
        <w:rPr>
          <w:b/>
          <w:bCs/>
          <w:sz w:val="22"/>
          <w:szCs w:val="22"/>
          <w:lang w:val="sr-Latn-ME"/>
        </w:rPr>
        <w:tab/>
      </w:r>
      <w:r w:rsidRPr="00D264F7">
        <w:rPr>
          <w:b/>
          <w:bCs/>
          <w:sz w:val="22"/>
          <w:szCs w:val="22"/>
          <w:lang w:val="sr-Latn-ME"/>
        </w:rPr>
        <w:t>Terapijske indikacije</w:t>
      </w:r>
    </w:p>
    <w:p w14:paraId="095AE672" w14:textId="77777777" w:rsidR="00411B4B" w:rsidRPr="00D264F7" w:rsidRDefault="00411B4B" w:rsidP="001F758F">
      <w:pPr>
        <w:tabs>
          <w:tab w:val="left" w:pos="540"/>
          <w:tab w:val="left" w:pos="569"/>
        </w:tabs>
        <w:jc w:val="both"/>
        <w:rPr>
          <w:bCs/>
          <w:sz w:val="22"/>
          <w:szCs w:val="22"/>
          <w:lang w:val="sr-Latn-ME"/>
        </w:rPr>
      </w:pPr>
    </w:p>
    <w:p w14:paraId="7F474AAC" w14:textId="7B5419D4" w:rsidR="008E35E1" w:rsidRPr="00D264F7" w:rsidRDefault="008E35E1" w:rsidP="001F758F">
      <w:pPr>
        <w:tabs>
          <w:tab w:val="left" w:pos="540"/>
          <w:tab w:val="left" w:pos="569"/>
        </w:tabs>
        <w:jc w:val="both"/>
        <w:rPr>
          <w:bCs/>
          <w:sz w:val="22"/>
          <w:szCs w:val="22"/>
          <w:lang w:val="sr-Latn-ME"/>
        </w:rPr>
      </w:pPr>
      <w:r w:rsidRPr="00D264F7">
        <w:rPr>
          <w:bCs/>
          <w:sz w:val="22"/>
          <w:szCs w:val="22"/>
          <w:lang w:val="sr-Latn-ME"/>
        </w:rPr>
        <w:t>Lijek Tecfidera je indikovan za liječenje odraslih</w:t>
      </w:r>
      <w:r w:rsidR="00A147F3" w:rsidRPr="00D264F7">
        <w:rPr>
          <w:bCs/>
          <w:sz w:val="22"/>
          <w:szCs w:val="22"/>
          <w:lang w:val="sr-Latn-ME"/>
        </w:rPr>
        <w:t xml:space="preserve"> i pedijatrijskih</w:t>
      </w:r>
      <w:r w:rsidRPr="00D264F7">
        <w:rPr>
          <w:bCs/>
          <w:sz w:val="22"/>
          <w:szCs w:val="22"/>
          <w:lang w:val="sr-Latn-ME"/>
        </w:rPr>
        <w:t xml:space="preserve"> pacijenata</w:t>
      </w:r>
      <w:r w:rsidR="00A147F3" w:rsidRPr="00D264F7">
        <w:rPr>
          <w:bCs/>
          <w:sz w:val="22"/>
          <w:szCs w:val="22"/>
          <w:lang w:val="sr-Latn-ME"/>
        </w:rPr>
        <w:t xml:space="preserve"> uzrasta 13 godina i više</w:t>
      </w:r>
      <w:r w:rsidRPr="00D264F7">
        <w:rPr>
          <w:bCs/>
          <w:sz w:val="22"/>
          <w:szCs w:val="22"/>
          <w:lang w:val="sr-Latn-ME"/>
        </w:rPr>
        <w:t xml:space="preserve"> sa relapsno-remitentnom multiplom sklerozom (</w:t>
      </w:r>
      <w:r w:rsidR="00A147F3" w:rsidRPr="00D264F7">
        <w:rPr>
          <w:bCs/>
          <w:sz w:val="22"/>
          <w:szCs w:val="22"/>
          <w:lang w:val="sr-Latn-ME"/>
        </w:rPr>
        <w:t>RRMS</w:t>
      </w:r>
      <w:r w:rsidRPr="00D264F7">
        <w:rPr>
          <w:bCs/>
          <w:sz w:val="22"/>
          <w:szCs w:val="22"/>
          <w:lang w:val="sr-Latn-ME"/>
        </w:rPr>
        <w:t>).</w:t>
      </w:r>
    </w:p>
    <w:p w14:paraId="6D08AF94" w14:textId="77777777" w:rsidR="008E35E1" w:rsidRPr="00D264F7" w:rsidRDefault="008E35E1" w:rsidP="001F758F">
      <w:pPr>
        <w:tabs>
          <w:tab w:val="left" w:pos="540"/>
          <w:tab w:val="left" w:pos="569"/>
        </w:tabs>
        <w:jc w:val="both"/>
        <w:rPr>
          <w:bCs/>
          <w:sz w:val="22"/>
          <w:szCs w:val="22"/>
          <w:lang w:val="sr-Latn-ME"/>
        </w:rPr>
      </w:pPr>
    </w:p>
    <w:p w14:paraId="0144ADCA"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4.2. </w:t>
      </w:r>
      <w:r w:rsidR="00480FB1" w:rsidRPr="00D264F7">
        <w:rPr>
          <w:b/>
          <w:bCs/>
          <w:sz w:val="22"/>
          <w:szCs w:val="22"/>
          <w:lang w:val="sr-Latn-ME"/>
        </w:rPr>
        <w:tab/>
      </w:r>
      <w:r w:rsidRPr="00D264F7">
        <w:rPr>
          <w:b/>
          <w:bCs/>
          <w:sz w:val="22"/>
          <w:szCs w:val="22"/>
          <w:lang w:val="sr-Latn-ME"/>
        </w:rPr>
        <w:t>Doziranje i način primjene</w:t>
      </w:r>
    </w:p>
    <w:p w14:paraId="42CBDCF3" w14:textId="77777777" w:rsidR="0072020E" w:rsidRPr="00D264F7" w:rsidRDefault="0072020E" w:rsidP="001F758F">
      <w:pPr>
        <w:tabs>
          <w:tab w:val="left" w:pos="540"/>
          <w:tab w:val="left" w:pos="569"/>
        </w:tabs>
        <w:jc w:val="both"/>
        <w:rPr>
          <w:bCs/>
          <w:sz w:val="22"/>
          <w:szCs w:val="22"/>
          <w:lang w:val="sr-Latn-ME"/>
        </w:rPr>
      </w:pPr>
    </w:p>
    <w:p w14:paraId="21E82375" w14:textId="77777777" w:rsidR="008E35E1" w:rsidRPr="00D264F7" w:rsidRDefault="008E35E1" w:rsidP="001F758F">
      <w:pPr>
        <w:tabs>
          <w:tab w:val="left" w:pos="540"/>
          <w:tab w:val="left" w:pos="569"/>
        </w:tabs>
        <w:jc w:val="both"/>
        <w:rPr>
          <w:bCs/>
          <w:sz w:val="22"/>
          <w:szCs w:val="22"/>
          <w:lang w:val="sr-Latn-ME"/>
        </w:rPr>
      </w:pPr>
      <w:r w:rsidRPr="00D264F7">
        <w:rPr>
          <w:bCs/>
          <w:sz w:val="22"/>
          <w:szCs w:val="22"/>
          <w:lang w:val="sr-Latn-ME"/>
        </w:rPr>
        <w:t>Liječenje treba započeti pod nadzorom ljekara s iskustvom u liječenju multiple skleroze.</w:t>
      </w:r>
    </w:p>
    <w:p w14:paraId="61A501E3" w14:textId="77777777" w:rsidR="008E35E1" w:rsidRPr="00D264F7" w:rsidRDefault="008E35E1" w:rsidP="001F758F">
      <w:pPr>
        <w:tabs>
          <w:tab w:val="left" w:pos="540"/>
          <w:tab w:val="left" w:pos="569"/>
        </w:tabs>
        <w:jc w:val="both"/>
        <w:rPr>
          <w:bCs/>
          <w:sz w:val="22"/>
          <w:szCs w:val="22"/>
          <w:u w:val="single"/>
          <w:lang w:val="sr-Latn-ME"/>
        </w:rPr>
      </w:pPr>
    </w:p>
    <w:p w14:paraId="12465F1F" w14:textId="77777777" w:rsidR="00452E9D" w:rsidRPr="00D264F7" w:rsidRDefault="00452E9D" w:rsidP="001F758F">
      <w:pPr>
        <w:tabs>
          <w:tab w:val="left" w:pos="540"/>
          <w:tab w:val="left" w:pos="569"/>
        </w:tabs>
        <w:jc w:val="both"/>
        <w:rPr>
          <w:bCs/>
          <w:sz w:val="22"/>
          <w:szCs w:val="22"/>
          <w:u w:val="single"/>
          <w:lang w:val="sr-Latn-ME"/>
        </w:rPr>
      </w:pPr>
      <w:r w:rsidRPr="00D264F7">
        <w:rPr>
          <w:bCs/>
          <w:sz w:val="22"/>
          <w:szCs w:val="22"/>
          <w:u w:val="single"/>
          <w:lang w:val="sr-Latn-ME"/>
        </w:rPr>
        <w:t>Doziranje</w:t>
      </w:r>
    </w:p>
    <w:p w14:paraId="30BBF331" w14:textId="77777777" w:rsidR="00452E9D" w:rsidRPr="00D264F7" w:rsidRDefault="00452E9D" w:rsidP="001F758F">
      <w:pPr>
        <w:tabs>
          <w:tab w:val="left" w:pos="540"/>
          <w:tab w:val="left" w:pos="569"/>
        </w:tabs>
        <w:jc w:val="both"/>
        <w:rPr>
          <w:bCs/>
          <w:sz w:val="22"/>
          <w:szCs w:val="22"/>
          <w:u w:val="single"/>
          <w:lang w:val="sr-Latn-ME"/>
        </w:rPr>
      </w:pPr>
    </w:p>
    <w:p w14:paraId="356D6ADB" w14:textId="77777777" w:rsidR="008E35E1" w:rsidRPr="00D264F7" w:rsidRDefault="008E35E1" w:rsidP="001F758F">
      <w:pPr>
        <w:tabs>
          <w:tab w:val="left" w:pos="540"/>
          <w:tab w:val="left" w:pos="569"/>
        </w:tabs>
        <w:jc w:val="both"/>
        <w:rPr>
          <w:bCs/>
          <w:sz w:val="22"/>
          <w:szCs w:val="22"/>
          <w:lang w:val="sr-Latn-ME"/>
        </w:rPr>
      </w:pPr>
      <w:r w:rsidRPr="00D264F7">
        <w:rPr>
          <w:bCs/>
          <w:sz w:val="22"/>
          <w:szCs w:val="22"/>
          <w:lang w:val="sr-Latn-ME"/>
        </w:rPr>
        <w:t>Početna doza je 120 mg dva puta na dan. Nakon 7 dana, doza treba da se poveća na preporučenu dozu održavanja od 240 mg dva puta na dan (vidjeti dio 4.4).</w:t>
      </w:r>
    </w:p>
    <w:p w14:paraId="41A9150C" w14:textId="77777777" w:rsidR="008E35E1" w:rsidRPr="00D264F7" w:rsidRDefault="008E35E1" w:rsidP="001F758F">
      <w:pPr>
        <w:tabs>
          <w:tab w:val="left" w:pos="540"/>
          <w:tab w:val="left" w:pos="569"/>
        </w:tabs>
        <w:jc w:val="both"/>
        <w:rPr>
          <w:bCs/>
          <w:sz w:val="22"/>
          <w:szCs w:val="22"/>
          <w:lang w:val="sr-Latn-ME"/>
        </w:rPr>
      </w:pPr>
    </w:p>
    <w:p w14:paraId="0E993DC3" w14:textId="77777777" w:rsidR="008E35E1" w:rsidRPr="00D264F7" w:rsidRDefault="008E35E1" w:rsidP="001F758F">
      <w:pPr>
        <w:tabs>
          <w:tab w:val="left" w:pos="540"/>
          <w:tab w:val="left" w:pos="569"/>
        </w:tabs>
        <w:jc w:val="both"/>
        <w:rPr>
          <w:bCs/>
          <w:sz w:val="22"/>
          <w:szCs w:val="22"/>
          <w:lang w:val="sr-Latn-ME"/>
        </w:rPr>
      </w:pPr>
      <w:r w:rsidRPr="00D264F7">
        <w:rPr>
          <w:bCs/>
          <w:sz w:val="22"/>
          <w:szCs w:val="22"/>
          <w:lang w:val="sr-Latn-ME"/>
        </w:rPr>
        <w:lastRenderedPageBreak/>
        <w:t>Pacijent ne treba da uzima duplu dozu kako bi nadoknadio propuštenu dozu. Propuštenu dozu treba uzeti samo ukoliko je vremenski razmak između doziranja 4 sata. U suprotnom, potrebno je sačekati sledeće doziranje.</w:t>
      </w:r>
    </w:p>
    <w:p w14:paraId="27E3117F" w14:textId="77777777" w:rsidR="008E35E1" w:rsidRPr="00D264F7" w:rsidRDefault="008E35E1" w:rsidP="001F758F">
      <w:pPr>
        <w:tabs>
          <w:tab w:val="left" w:pos="540"/>
          <w:tab w:val="left" w:pos="569"/>
        </w:tabs>
        <w:jc w:val="both"/>
        <w:rPr>
          <w:bCs/>
          <w:sz w:val="22"/>
          <w:szCs w:val="22"/>
          <w:u w:val="single"/>
          <w:lang w:val="sr-Latn-ME"/>
        </w:rPr>
      </w:pPr>
    </w:p>
    <w:p w14:paraId="4D22FCB1" w14:textId="77777777" w:rsidR="008E35E1" w:rsidRPr="00D264F7" w:rsidRDefault="008E35E1" w:rsidP="001F758F">
      <w:pPr>
        <w:tabs>
          <w:tab w:val="left" w:pos="540"/>
          <w:tab w:val="left" w:pos="569"/>
        </w:tabs>
        <w:jc w:val="both"/>
        <w:rPr>
          <w:bCs/>
          <w:sz w:val="22"/>
          <w:szCs w:val="22"/>
          <w:u w:val="single"/>
          <w:lang w:val="sr-Latn-ME"/>
        </w:rPr>
      </w:pPr>
      <w:r w:rsidRPr="00D264F7">
        <w:rPr>
          <w:sz w:val="22"/>
          <w:szCs w:val="22"/>
          <w:lang w:val="sr-Latn-ME"/>
        </w:rPr>
        <w:t xml:space="preserve">Privremeno smanjenje doze na 120 mg dva puta na dan može smanjiti pojavu crvenila uz osjećaj vrućine i gastrointestinalnih neželjenih dejstava. Unutar mjesec dana treba nastaviti s preporučenom dozom </w:t>
      </w:r>
      <w:r w:rsidRPr="00D264F7">
        <w:rPr>
          <w:rFonts w:eastAsia="SimSun"/>
          <w:sz w:val="22"/>
          <w:szCs w:val="22"/>
          <w:lang w:val="sr-Latn-ME" w:eastAsia="ar-SA"/>
        </w:rPr>
        <w:t xml:space="preserve">održavanja </w:t>
      </w:r>
      <w:r w:rsidRPr="00D264F7">
        <w:rPr>
          <w:sz w:val="22"/>
          <w:szCs w:val="22"/>
          <w:lang w:val="sr-Latn-ME"/>
        </w:rPr>
        <w:t>od 240 mg dva puta na dan.</w:t>
      </w:r>
    </w:p>
    <w:p w14:paraId="5244FE0C" w14:textId="77777777" w:rsidR="008E35E1" w:rsidRPr="00D264F7" w:rsidRDefault="008E35E1" w:rsidP="001F758F">
      <w:pPr>
        <w:tabs>
          <w:tab w:val="left" w:pos="540"/>
          <w:tab w:val="left" w:pos="569"/>
        </w:tabs>
        <w:jc w:val="both"/>
        <w:rPr>
          <w:bCs/>
          <w:sz w:val="22"/>
          <w:szCs w:val="22"/>
          <w:u w:val="single"/>
          <w:lang w:val="sr-Latn-ME"/>
        </w:rPr>
      </w:pPr>
    </w:p>
    <w:p w14:paraId="3BD2F3D7" w14:textId="77777777" w:rsidR="008E35E1" w:rsidRPr="00D264F7" w:rsidRDefault="008E35E1" w:rsidP="001F758F">
      <w:pPr>
        <w:tabs>
          <w:tab w:val="left" w:pos="540"/>
          <w:tab w:val="left" w:pos="569"/>
        </w:tabs>
        <w:jc w:val="both"/>
        <w:rPr>
          <w:bCs/>
          <w:sz w:val="22"/>
          <w:szCs w:val="22"/>
          <w:lang w:val="sr-Latn-ME"/>
        </w:rPr>
      </w:pPr>
      <w:r w:rsidRPr="00D264F7">
        <w:rPr>
          <w:bCs/>
          <w:sz w:val="22"/>
          <w:szCs w:val="22"/>
          <w:lang w:val="sr-Latn-ME"/>
        </w:rPr>
        <w:t>Lijek Tecfidera treba uzeti sa hranom (vidjeti dio 5.2). Uzimanje lijeka Tecfidera s hranom može poboljšati podnošljivost kod pacijenata koji imaju crvenilo uz osjećaj vrućine ili gastrointestinalna neželjena dejstva (vidjeti djelove 4.4, 4.5 i 4.8).</w:t>
      </w:r>
    </w:p>
    <w:p w14:paraId="26E16503" w14:textId="77777777" w:rsidR="008E35E1" w:rsidRPr="00D264F7" w:rsidRDefault="008E35E1" w:rsidP="001F758F">
      <w:pPr>
        <w:tabs>
          <w:tab w:val="left" w:pos="540"/>
          <w:tab w:val="left" w:pos="569"/>
        </w:tabs>
        <w:jc w:val="both"/>
        <w:rPr>
          <w:bCs/>
          <w:sz w:val="22"/>
          <w:szCs w:val="22"/>
          <w:lang w:val="sr-Latn-ME"/>
        </w:rPr>
      </w:pPr>
    </w:p>
    <w:p w14:paraId="2FECD8C4" w14:textId="77777777" w:rsidR="008E35E1" w:rsidRPr="00D264F7" w:rsidRDefault="008E35E1" w:rsidP="001C605F">
      <w:pPr>
        <w:widowControl w:val="0"/>
        <w:suppressLineNumbers/>
        <w:spacing w:line="259" w:lineRule="auto"/>
        <w:jc w:val="both"/>
        <w:rPr>
          <w:rFonts w:eastAsiaTheme="minorHAnsi"/>
          <w:sz w:val="22"/>
          <w:szCs w:val="22"/>
          <w:lang w:val="sr-Latn-ME"/>
        </w:rPr>
      </w:pPr>
      <w:r w:rsidRPr="00D264F7">
        <w:rPr>
          <w:rFonts w:eastAsiaTheme="minorHAnsi"/>
          <w:i/>
          <w:sz w:val="22"/>
          <w:szCs w:val="22"/>
          <w:lang w:val="sr-Latn-ME"/>
        </w:rPr>
        <w:t>Starije osobe</w:t>
      </w:r>
    </w:p>
    <w:p w14:paraId="2C44A548" w14:textId="77777777" w:rsidR="008E35E1" w:rsidRPr="00D264F7" w:rsidRDefault="008E35E1">
      <w:pPr>
        <w:widowControl w:val="0"/>
        <w:suppressLineNumbers/>
        <w:spacing w:line="259" w:lineRule="auto"/>
        <w:jc w:val="both"/>
        <w:rPr>
          <w:rFonts w:eastAsiaTheme="minorHAnsi"/>
          <w:sz w:val="22"/>
          <w:szCs w:val="22"/>
          <w:lang w:val="sr-Latn-ME"/>
        </w:rPr>
      </w:pPr>
    </w:p>
    <w:p w14:paraId="608578F8"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Klinička ispitivanja lijeka Tecfidera imala su ograničenu izloženost pacijenata starosti od 55 godina i više, i nijesu uključila dovoljan broj pacijenata starosti od 65 godina i više kako bi se utvrdilo da li reaguju drugačije od mlađih pacijenata (vidjeti dio 5.2). Prema načinu djelovanja aktivne supstance nema teoretskih razloga za prilagođavanje doze kod starijih osoba.</w:t>
      </w:r>
    </w:p>
    <w:p w14:paraId="7B7EBCAC" w14:textId="77777777" w:rsidR="008E35E1" w:rsidRPr="00D264F7" w:rsidRDefault="008E35E1">
      <w:pPr>
        <w:widowControl w:val="0"/>
        <w:suppressLineNumbers/>
        <w:spacing w:line="259" w:lineRule="auto"/>
        <w:jc w:val="both"/>
        <w:rPr>
          <w:rFonts w:eastAsiaTheme="minorHAnsi"/>
          <w:sz w:val="22"/>
          <w:szCs w:val="22"/>
          <w:lang w:val="sr-Latn-ME"/>
        </w:rPr>
      </w:pPr>
    </w:p>
    <w:p w14:paraId="481918FB"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i/>
          <w:sz w:val="22"/>
          <w:szCs w:val="22"/>
          <w:lang w:val="sr-Latn-ME"/>
        </w:rPr>
        <w:t>Oštećenje bubrega i jetre</w:t>
      </w:r>
    </w:p>
    <w:p w14:paraId="05E030D3" w14:textId="77777777" w:rsidR="008E35E1" w:rsidRPr="00D264F7" w:rsidRDefault="008E35E1">
      <w:pPr>
        <w:widowControl w:val="0"/>
        <w:suppressLineNumbers/>
        <w:spacing w:line="259" w:lineRule="auto"/>
        <w:jc w:val="both"/>
        <w:rPr>
          <w:rFonts w:eastAsiaTheme="minorHAnsi"/>
          <w:sz w:val="22"/>
          <w:szCs w:val="22"/>
          <w:lang w:val="sr-Latn-ME"/>
        </w:rPr>
      </w:pPr>
    </w:p>
    <w:p w14:paraId="04BDC7C0"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Lijek Tecfidera nije ispitivan kod pacijenata s oštećenjem bubrega ili jetre. Na osnovu kliničkih farmakoloških ispitivanja, nije potrebno prilagođavanje doze (vidjeti dio 5.2). Oprez je potreban kod liječenja pacijenata s teškim oštećenjem bubrega ili teškim oštećenjem jetre (vidjeti dio 4.4).</w:t>
      </w:r>
    </w:p>
    <w:p w14:paraId="7FA4D3F5" w14:textId="77777777" w:rsidR="008E35E1" w:rsidRPr="00D264F7" w:rsidRDefault="008E35E1">
      <w:pPr>
        <w:widowControl w:val="0"/>
        <w:suppressLineNumbers/>
        <w:spacing w:line="259" w:lineRule="auto"/>
        <w:jc w:val="both"/>
        <w:rPr>
          <w:rFonts w:eastAsiaTheme="minorHAnsi"/>
          <w:sz w:val="22"/>
          <w:szCs w:val="22"/>
          <w:lang w:val="sr-Latn-ME"/>
        </w:rPr>
      </w:pPr>
    </w:p>
    <w:p w14:paraId="71645B95"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i/>
          <w:sz w:val="22"/>
          <w:szCs w:val="22"/>
          <w:lang w:val="sr-Latn-ME"/>
        </w:rPr>
        <w:t>Pedijatrijska populacija</w:t>
      </w:r>
    </w:p>
    <w:p w14:paraId="321A4D74" w14:textId="77777777" w:rsidR="008E35E1" w:rsidRPr="00D264F7" w:rsidRDefault="008E35E1">
      <w:pPr>
        <w:widowControl w:val="0"/>
        <w:suppressLineNumbers/>
        <w:spacing w:line="259" w:lineRule="auto"/>
        <w:jc w:val="both"/>
        <w:rPr>
          <w:rFonts w:eastAsiaTheme="minorHAnsi"/>
          <w:sz w:val="22"/>
          <w:szCs w:val="22"/>
          <w:lang w:val="sr-Latn-ME"/>
        </w:rPr>
      </w:pPr>
    </w:p>
    <w:p w14:paraId="283C2966" w14:textId="77777777" w:rsidR="00193B8B" w:rsidRDefault="00A147F3">
      <w:pPr>
        <w:widowControl w:val="0"/>
        <w:suppressLineNumbers/>
        <w:spacing w:line="259" w:lineRule="auto"/>
        <w:jc w:val="both"/>
        <w:rPr>
          <w:rFonts w:eastAsia="SimSun"/>
          <w:sz w:val="22"/>
          <w:szCs w:val="22"/>
          <w:lang w:val="sr-Latn-ME" w:eastAsia="ar-SA"/>
        </w:rPr>
      </w:pPr>
      <w:r w:rsidRPr="00193B8B">
        <w:rPr>
          <w:rFonts w:eastAsia="SimSun"/>
          <w:sz w:val="22"/>
          <w:szCs w:val="22"/>
          <w:lang w:val="sr-Latn-ME" w:eastAsia="ar-SA"/>
        </w:rPr>
        <w:t xml:space="preserve">Doziranje je jednako kod odraslih i pedijatrijskih pacijenata uzrasta 13 godina i više. </w:t>
      </w:r>
    </w:p>
    <w:p w14:paraId="07E7095D" w14:textId="77777777" w:rsidR="00193B8B" w:rsidRDefault="00193B8B">
      <w:pPr>
        <w:widowControl w:val="0"/>
        <w:suppressLineNumbers/>
        <w:spacing w:line="259" w:lineRule="auto"/>
        <w:jc w:val="both"/>
        <w:rPr>
          <w:rFonts w:eastAsia="SimSun"/>
          <w:sz w:val="22"/>
          <w:szCs w:val="22"/>
          <w:lang w:val="sr-Latn-ME" w:eastAsia="ar-SA"/>
        </w:rPr>
      </w:pPr>
    </w:p>
    <w:p w14:paraId="361A2B64" w14:textId="3D085DB6" w:rsidR="008E35E1" w:rsidRPr="00193B8B" w:rsidRDefault="00193B8B">
      <w:pPr>
        <w:widowControl w:val="0"/>
        <w:suppressLineNumbers/>
        <w:spacing w:line="259" w:lineRule="auto"/>
        <w:jc w:val="both"/>
        <w:rPr>
          <w:rFonts w:eastAsiaTheme="minorHAnsi"/>
          <w:sz w:val="22"/>
          <w:szCs w:val="22"/>
          <w:lang w:val="sr-Latn-ME"/>
        </w:rPr>
      </w:pPr>
      <w:r w:rsidRPr="00193B8B">
        <w:rPr>
          <w:rFonts w:eastAsia="SimSun"/>
          <w:sz w:val="22"/>
          <w:szCs w:val="22"/>
          <w:lang w:val="sr-Latn-ME" w:eastAsia="ar-SA"/>
        </w:rPr>
        <w:t>Dostupni su ograničeni podaci za djecu uzrasta između 10 i 12 godina.</w:t>
      </w:r>
      <w:r>
        <w:rPr>
          <w:rFonts w:eastAsiaTheme="minorHAnsi"/>
          <w:sz w:val="22"/>
          <w:szCs w:val="22"/>
          <w:lang w:val="sr-Latn-ME"/>
        </w:rPr>
        <w:t xml:space="preserve"> </w:t>
      </w:r>
      <w:r w:rsidR="008E35E1" w:rsidRPr="00193B8B">
        <w:rPr>
          <w:rFonts w:eastAsiaTheme="minorHAnsi"/>
          <w:sz w:val="22"/>
          <w:szCs w:val="22"/>
          <w:lang w:val="sr-Latn-ME"/>
        </w:rPr>
        <w:t>Trenutno dostupni podaci opisani su u dijelovima</w:t>
      </w:r>
      <w:r w:rsidR="00A147F3" w:rsidRPr="00193B8B">
        <w:rPr>
          <w:rFonts w:eastAsiaTheme="minorHAnsi"/>
          <w:sz w:val="22"/>
          <w:szCs w:val="22"/>
          <w:lang w:val="sr-Latn-ME"/>
        </w:rPr>
        <w:t xml:space="preserve"> </w:t>
      </w:r>
      <w:r w:rsidR="008E35E1" w:rsidRPr="00193B8B">
        <w:rPr>
          <w:rFonts w:eastAsiaTheme="minorHAnsi"/>
          <w:sz w:val="22"/>
          <w:szCs w:val="22"/>
          <w:lang w:val="sr-Latn-ME"/>
        </w:rPr>
        <w:t>4.8</w:t>
      </w:r>
      <w:r>
        <w:rPr>
          <w:rFonts w:eastAsiaTheme="minorHAnsi"/>
          <w:sz w:val="22"/>
          <w:szCs w:val="22"/>
          <w:lang w:val="sr-Latn-ME"/>
        </w:rPr>
        <w:t xml:space="preserve"> i</w:t>
      </w:r>
      <w:r w:rsidR="008E35E1" w:rsidRPr="00193B8B">
        <w:rPr>
          <w:rFonts w:eastAsiaTheme="minorHAnsi"/>
          <w:sz w:val="22"/>
          <w:szCs w:val="22"/>
          <w:lang w:val="sr-Latn-ME"/>
        </w:rPr>
        <w:t xml:space="preserve"> 5.1 </w:t>
      </w:r>
      <w:r w:rsidRPr="00193B8B">
        <w:rPr>
          <w:rFonts w:eastAsiaTheme="minorHAnsi"/>
          <w:sz w:val="22"/>
          <w:szCs w:val="22"/>
          <w:lang w:val="sr-Latn-ME"/>
        </w:rPr>
        <w:t>međutim nije moguće dati preporuku o doziranju.</w:t>
      </w:r>
    </w:p>
    <w:p w14:paraId="29B45608" w14:textId="06554C9F" w:rsidR="00A147F3" w:rsidRPr="00193B8B" w:rsidRDefault="00A147F3">
      <w:pPr>
        <w:widowControl w:val="0"/>
        <w:suppressLineNumbers/>
        <w:spacing w:line="259" w:lineRule="auto"/>
        <w:jc w:val="both"/>
        <w:rPr>
          <w:rFonts w:eastAsiaTheme="minorHAnsi"/>
          <w:sz w:val="22"/>
          <w:szCs w:val="22"/>
          <w:lang w:val="sr-Latn-ME"/>
        </w:rPr>
      </w:pPr>
    </w:p>
    <w:p w14:paraId="11692FD4" w14:textId="6D1287B9" w:rsidR="00A147F3" w:rsidRPr="00D264F7" w:rsidRDefault="00A147F3">
      <w:pPr>
        <w:widowControl w:val="0"/>
        <w:suppressLineNumbers/>
        <w:spacing w:line="259" w:lineRule="auto"/>
        <w:jc w:val="both"/>
        <w:rPr>
          <w:rFonts w:eastAsiaTheme="minorHAnsi"/>
          <w:sz w:val="22"/>
          <w:szCs w:val="22"/>
          <w:lang w:val="sr-Latn-ME"/>
        </w:rPr>
      </w:pPr>
      <w:r w:rsidRPr="00193B8B">
        <w:rPr>
          <w:rFonts w:eastAsia="SimSun"/>
          <w:sz w:val="22"/>
          <w:szCs w:val="22"/>
          <w:lang w:val="sr-Latn-ME" w:eastAsia="ar-SA"/>
        </w:rPr>
        <w:t>Sigurnost i efikasnost l</w:t>
      </w:r>
      <w:r w:rsidR="00BB5A46" w:rsidRPr="00193B8B">
        <w:rPr>
          <w:rFonts w:eastAsia="SimSun"/>
          <w:sz w:val="22"/>
          <w:szCs w:val="22"/>
          <w:lang w:val="sr-Latn-ME" w:eastAsia="ar-SA"/>
        </w:rPr>
        <w:t>ij</w:t>
      </w:r>
      <w:r w:rsidRPr="00193B8B">
        <w:rPr>
          <w:rFonts w:eastAsia="SimSun"/>
          <w:sz w:val="22"/>
          <w:szCs w:val="22"/>
          <w:lang w:val="sr-Latn-ME" w:eastAsia="ar-SA"/>
        </w:rPr>
        <w:t>eka Tecfidera kod d</w:t>
      </w:r>
      <w:r w:rsidR="00BB5A46" w:rsidRPr="00193B8B">
        <w:rPr>
          <w:rFonts w:eastAsia="SimSun"/>
          <w:sz w:val="22"/>
          <w:szCs w:val="22"/>
          <w:lang w:val="sr-Latn-ME" w:eastAsia="ar-SA"/>
        </w:rPr>
        <w:t>j</w:t>
      </w:r>
      <w:r w:rsidRPr="00193B8B">
        <w:rPr>
          <w:rFonts w:eastAsia="SimSun"/>
          <w:sz w:val="22"/>
          <w:szCs w:val="22"/>
          <w:lang w:val="sr-Latn-ME" w:eastAsia="ar-SA"/>
        </w:rPr>
        <w:t>ece mlađe od 10 godina ni</w:t>
      </w:r>
      <w:r w:rsidR="00BB5A46" w:rsidRPr="00193B8B">
        <w:rPr>
          <w:rFonts w:eastAsia="SimSun"/>
          <w:sz w:val="22"/>
          <w:szCs w:val="22"/>
          <w:lang w:val="sr-Latn-ME" w:eastAsia="ar-SA"/>
        </w:rPr>
        <w:t>je</w:t>
      </w:r>
      <w:r w:rsidRPr="00193B8B">
        <w:rPr>
          <w:rFonts w:eastAsia="SimSun"/>
          <w:sz w:val="22"/>
          <w:szCs w:val="22"/>
          <w:lang w:val="sr-Latn-ME" w:eastAsia="ar-SA"/>
        </w:rPr>
        <w:t>su još utvrđene.</w:t>
      </w:r>
      <w:r w:rsidR="00193B8B">
        <w:rPr>
          <w:rFonts w:eastAsia="SimSun"/>
          <w:sz w:val="22"/>
          <w:szCs w:val="22"/>
          <w:lang w:val="sr-Latn-ME" w:eastAsia="ar-SA"/>
        </w:rPr>
        <w:t xml:space="preserve"> </w:t>
      </w:r>
      <w:r w:rsidR="00193B8B" w:rsidRPr="00193B8B">
        <w:rPr>
          <w:rFonts w:eastAsia="SimSun"/>
          <w:sz w:val="22"/>
          <w:szCs w:val="22"/>
          <w:lang w:val="sr-Latn-ME" w:eastAsia="ar-SA"/>
        </w:rPr>
        <w:t>Nema dostupnih</w:t>
      </w:r>
      <w:r w:rsidR="00193B8B">
        <w:rPr>
          <w:rFonts w:eastAsia="SimSun"/>
          <w:sz w:val="22"/>
          <w:szCs w:val="22"/>
          <w:lang w:val="sr-Latn-ME" w:eastAsia="ar-SA"/>
        </w:rPr>
        <w:t xml:space="preserve"> </w:t>
      </w:r>
      <w:r w:rsidR="00193B8B" w:rsidRPr="00193B8B">
        <w:rPr>
          <w:rFonts w:eastAsia="SimSun"/>
          <w:sz w:val="22"/>
          <w:szCs w:val="22"/>
          <w:lang w:val="sr-Latn-ME" w:eastAsia="ar-SA"/>
        </w:rPr>
        <w:t>podataka</w:t>
      </w:r>
      <w:r w:rsidR="00193B8B">
        <w:rPr>
          <w:rFonts w:eastAsia="SimSun"/>
          <w:sz w:val="22"/>
          <w:szCs w:val="22"/>
          <w:lang w:val="sr-Latn-ME" w:eastAsia="ar-SA"/>
        </w:rPr>
        <w:t>.</w:t>
      </w:r>
    </w:p>
    <w:p w14:paraId="24FF6369" w14:textId="77777777" w:rsidR="008E35E1" w:rsidRPr="00D264F7" w:rsidRDefault="008E35E1" w:rsidP="001F758F">
      <w:pPr>
        <w:tabs>
          <w:tab w:val="left" w:pos="540"/>
          <w:tab w:val="left" w:pos="569"/>
        </w:tabs>
        <w:jc w:val="both"/>
        <w:rPr>
          <w:bCs/>
          <w:sz w:val="22"/>
          <w:szCs w:val="22"/>
          <w:lang w:val="sr-Latn-ME"/>
        </w:rPr>
      </w:pPr>
    </w:p>
    <w:p w14:paraId="749582F1" w14:textId="77777777" w:rsidR="00452E9D" w:rsidRPr="00D264F7" w:rsidRDefault="00452E9D" w:rsidP="001F758F">
      <w:pPr>
        <w:tabs>
          <w:tab w:val="left" w:pos="540"/>
          <w:tab w:val="left" w:pos="569"/>
        </w:tabs>
        <w:jc w:val="both"/>
        <w:rPr>
          <w:bCs/>
          <w:sz w:val="22"/>
          <w:szCs w:val="22"/>
          <w:u w:val="single"/>
          <w:lang w:val="sr-Latn-ME"/>
        </w:rPr>
      </w:pPr>
      <w:r w:rsidRPr="00D264F7">
        <w:rPr>
          <w:bCs/>
          <w:sz w:val="22"/>
          <w:szCs w:val="22"/>
          <w:u w:val="single"/>
          <w:lang w:val="sr-Latn-ME"/>
        </w:rPr>
        <w:t>Način primjene</w:t>
      </w:r>
    </w:p>
    <w:p w14:paraId="26CD428D" w14:textId="77777777" w:rsidR="00452E9D" w:rsidRPr="00D264F7" w:rsidRDefault="00452E9D" w:rsidP="001F758F">
      <w:pPr>
        <w:tabs>
          <w:tab w:val="left" w:pos="540"/>
          <w:tab w:val="left" w:pos="569"/>
        </w:tabs>
        <w:jc w:val="both"/>
        <w:rPr>
          <w:bCs/>
          <w:sz w:val="22"/>
          <w:szCs w:val="22"/>
          <w:lang w:val="sr-Latn-ME"/>
        </w:rPr>
      </w:pPr>
    </w:p>
    <w:p w14:paraId="2B7EDD63" w14:textId="77777777" w:rsidR="008E35E1" w:rsidRPr="00D264F7" w:rsidRDefault="008E35E1" w:rsidP="001C605F">
      <w:pPr>
        <w:widowControl w:val="0"/>
        <w:suppressLineNumbers/>
        <w:jc w:val="both"/>
        <w:rPr>
          <w:rFonts w:eastAsiaTheme="minorHAnsi"/>
          <w:sz w:val="22"/>
          <w:szCs w:val="22"/>
          <w:lang w:val="sr-Latn-ME"/>
        </w:rPr>
      </w:pPr>
      <w:r w:rsidRPr="00D264F7">
        <w:rPr>
          <w:rFonts w:eastAsiaTheme="minorHAnsi"/>
          <w:sz w:val="22"/>
          <w:szCs w:val="22"/>
          <w:lang w:val="sr-Latn-ME"/>
        </w:rPr>
        <w:t>Za oralnu primjenu.</w:t>
      </w:r>
    </w:p>
    <w:p w14:paraId="3CFFE15A" w14:textId="77777777" w:rsidR="008E35E1" w:rsidRPr="00D264F7" w:rsidRDefault="008E35E1">
      <w:pPr>
        <w:widowControl w:val="0"/>
        <w:suppressLineNumbers/>
        <w:spacing w:line="259" w:lineRule="auto"/>
        <w:jc w:val="both"/>
        <w:rPr>
          <w:rFonts w:eastAsiaTheme="minorHAnsi"/>
          <w:sz w:val="22"/>
          <w:szCs w:val="22"/>
          <w:lang w:val="sr-Latn-ME"/>
        </w:rPr>
      </w:pPr>
    </w:p>
    <w:p w14:paraId="3F7510FD" w14:textId="0C4413BD" w:rsidR="008E35E1" w:rsidRPr="00D264F7" w:rsidRDefault="008E35E1">
      <w:pPr>
        <w:widowControl w:val="0"/>
        <w:suppressLineNumbers/>
        <w:spacing w:line="259" w:lineRule="auto"/>
        <w:jc w:val="both"/>
        <w:rPr>
          <w:rFonts w:eastAsiaTheme="minorHAnsi"/>
          <w:sz w:val="22"/>
          <w:szCs w:val="22"/>
          <w:lang w:val="sr-Latn-ME"/>
        </w:rPr>
      </w:pPr>
      <w:r w:rsidRPr="00D264F7">
        <w:rPr>
          <w:rFonts w:eastAsia="SimSun"/>
          <w:sz w:val="22"/>
          <w:szCs w:val="22"/>
          <w:lang w:val="sr-Latn-ME" w:eastAsia="ar-SA"/>
        </w:rPr>
        <w:t xml:space="preserve">Kapsule treba progutati cijele. </w:t>
      </w:r>
      <w:r w:rsidRPr="00D264F7">
        <w:rPr>
          <w:rFonts w:eastAsiaTheme="minorHAnsi"/>
          <w:sz w:val="22"/>
          <w:szCs w:val="22"/>
          <w:lang w:val="sr-Latn-ME"/>
        </w:rPr>
        <w:t xml:space="preserve">Kapsula ili njen sadržaj se ne smije zdrobiti, razdijeliti, rastvoriti, sisati ili žvakati, jer acidorezistentni omotač mikrotableta sprječava iritirajući efekat na </w:t>
      </w:r>
      <w:r w:rsidR="009C5D75">
        <w:rPr>
          <w:rFonts w:eastAsiaTheme="minorHAnsi"/>
          <w:sz w:val="22"/>
          <w:szCs w:val="22"/>
          <w:lang w:val="sr-Latn-ME"/>
        </w:rPr>
        <w:t>gastrointestinalni trakt</w:t>
      </w:r>
      <w:r w:rsidRPr="00D264F7">
        <w:rPr>
          <w:rFonts w:eastAsiaTheme="minorHAnsi"/>
          <w:sz w:val="22"/>
          <w:szCs w:val="22"/>
          <w:lang w:val="sr-Latn-ME"/>
        </w:rPr>
        <w:t>.</w:t>
      </w:r>
    </w:p>
    <w:p w14:paraId="091984D8" w14:textId="77777777" w:rsidR="008E35E1" w:rsidRPr="00D264F7" w:rsidRDefault="008E35E1" w:rsidP="001F758F">
      <w:pPr>
        <w:tabs>
          <w:tab w:val="left" w:pos="540"/>
          <w:tab w:val="left" w:pos="569"/>
        </w:tabs>
        <w:jc w:val="both"/>
        <w:rPr>
          <w:bCs/>
          <w:sz w:val="22"/>
          <w:szCs w:val="22"/>
          <w:lang w:val="sr-Latn-ME"/>
        </w:rPr>
      </w:pPr>
    </w:p>
    <w:p w14:paraId="3309F829"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4.3. </w:t>
      </w:r>
      <w:r w:rsidR="00480FB1" w:rsidRPr="00D264F7">
        <w:rPr>
          <w:b/>
          <w:bCs/>
          <w:sz w:val="22"/>
          <w:szCs w:val="22"/>
          <w:lang w:val="sr-Latn-ME"/>
        </w:rPr>
        <w:tab/>
      </w:r>
      <w:r w:rsidRPr="00D264F7">
        <w:rPr>
          <w:b/>
          <w:bCs/>
          <w:sz w:val="22"/>
          <w:szCs w:val="22"/>
          <w:lang w:val="sr-Latn-ME"/>
        </w:rPr>
        <w:t>Kontraindikacije</w:t>
      </w:r>
    </w:p>
    <w:p w14:paraId="2081FE62" w14:textId="77777777" w:rsidR="0072020E" w:rsidRPr="00D264F7" w:rsidRDefault="0072020E" w:rsidP="001F758F">
      <w:pPr>
        <w:tabs>
          <w:tab w:val="left" w:pos="540"/>
          <w:tab w:val="left" w:pos="569"/>
        </w:tabs>
        <w:jc w:val="both"/>
        <w:rPr>
          <w:bCs/>
          <w:sz w:val="22"/>
          <w:szCs w:val="22"/>
          <w:lang w:val="sr-Latn-ME"/>
        </w:rPr>
      </w:pPr>
    </w:p>
    <w:p w14:paraId="3608C600" w14:textId="77777777" w:rsidR="008E35E1" w:rsidRPr="00D264F7" w:rsidRDefault="008E35E1" w:rsidP="001F758F">
      <w:pPr>
        <w:tabs>
          <w:tab w:val="left" w:pos="540"/>
          <w:tab w:val="left" w:pos="569"/>
        </w:tabs>
        <w:jc w:val="both"/>
        <w:rPr>
          <w:bCs/>
          <w:sz w:val="22"/>
          <w:szCs w:val="22"/>
          <w:lang w:val="sr-Latn-ME"/>
        </w:rPr>
      </w:pPr>
      <w:r w:rsidRPr="00D264F7">
        <w:rPr>
          <w:bCs/>
          <w:sz w:val="22"/>
          <w:szCs w:val="22"/>
          <w:lang w:val="sr-Latn-ME"/>
        </w:rPr>
        <w:t>Preosjetljivost na aktivnu supstancu ili na neku od pomoćnih supstanci navedenih u dijelu 6.1.</w:t>
      </w:r>
    </w:p>
    <w:p w14:paraId="09A0C405" w14:textId="77777777" w:rsidR="008E35E1" w:rsidRPr="00D264F7" w:rsidRDefault="00524F71" w:rsidP="001F758F">
      <w:pPr>
        <w:tabs>
          <w:tab w:val="left" w:pos="540"/>
          <w:tab w:val="left" w:pos="569"/>
        </w:tabs>
        <w:jc w:val="both"/>
        <w:rPr>
          <w:bCs/>
          <w:sz w:val="22"/>
          <w:szCs w:val="22"/>
          <w:lang w:val="sr-Latn-ME"/>
        </w:rPr>
      </w:pPr>
      <w:r w:rsidRPr="00D264F7">
        <w:rPr>
          <w:bCs/>
          <w:sz w:val="22"/>
          <w:szCs w:val="22"/>
          <w:lang w:val="sr-Latn-ME"/>
        </w:rPr>
        <w:t>Suspektna ili potvrđena progresivna multifokalna leukoencefalopatija (PML).</w:t>
      </w:r>
    </w:p>
    <w:p w14:paraId="778CBB5F" w14:textId="77777777" w:rsidR="00524F71" w:rsidRPr="00D264F7" w:rsidRDefault="00524F71" w:rsidP="001F758F">
      <w:pPr>
        <w:tabs>
          <w:tab w:val="left" w:pos="540"/>
          <w:tab w:val="left" w:pos="569"/>
        </w:tabs>
        <w:jc w:val="both"/>
        <w:rPr>
          <w:bCs/>
          <w:sz w:val="22"/>
          <w:szCs w:val="22"/>
          <w:lang w:val="sr-Latn-ME"/>
        </w:rPr>
      </w:pPr>
    </w:p>
    <w:p w14:paraId="6CFD1742"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 xml:space="preserve">4.4. </w:t>
      </w:r>
      <w:r w:rsidR="00480FB1" w:rsidRPr="00D264F7">
        <w:rPr>
          <w:b/>
          <w:bCs/>
          <w:sz w:val="22"/>
          <w:szCs w:val="22"/>
          <w:lang w:val="sr-Latn-ME"/>
        </w:rPr>
        <w:tab/>
      </w:r>
      <w:r w:rsidRPr="00D264F7">
        <w:rPr>
          <w:b/>
          <w:bCs/>
          <w:sz w:val="22"/>
          <w:szCs w:val="22"/>
          <w:lang w:val="sr-Latn-ME"/>
        </w:rPr>
        <w:t>Posebna upozorenja i mjere opreza pri upotrebi lijeka</w:t>
      </w:r>
    </w:p>
    <w:p w14:paraId="4472209C" w14:textId="77777777" w:rsidR="0072020E" w:rsidRPr="00D264F7" w:rsidRDefault="0072020E" w:rsidP="001F758F">
      <w:pPr>
        <w:tabs>
          <w:tab w:val="left" w:pos="540"/>
          <w:tab w:val="left" w:pos="569"/>
        </w:tabs>
        <w:jc w:val="both"/>
        <w:rPr>
          <w:bCs/>
          <w:sz w:val="22"/>
          <w:szCs w:val="22"/>
          <w:lang w:val="sr-Latn-ME"/>
        </w:rPr>
      </w:pPr>
    </w:p>
    <w:p w14:paraId="6959CE38" w14:textId="77777777" w:rsidR="008E35E1" w:rsidRPr="00D264F7" w:rsidRDefault="008E35E1" w:rsidP="001C605F">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Krvni/laboratorijski testovi</w:t>
      </w:r>
    </w:p>
    <w:p w14:paraId="35493A79" w14:textId="77777777" w:rsidR="008E35E1" w:rsidRPr="00D264F7" w:rsidRDefault="008E35E1">
      <w:pPr>
        <w:widowControl w:val="0"/>
        <w:suppressLineNumbers/>
        <w:spacing w:line="259" w:lineRule="auto"/>
        <w:jc w:val="both"/>
        <w:rPr>
          <w:rFonts w:eastAsiaTheme="minorHAnsi"/>
          <w:sz w:val="22"/>
          <w:szCs w:val="22"/>
          <w:lang w:val="sr-Latn-ME"/>
        </w:rPr>
      </w:pPr>
    </w:p>
    <w:p w14:paraId="7983A493" w14:textId="77777777" w:rsidR="00F54F8D" w:rsidRPr="003157C7" w:rsidRDefault="00F54F8D">
      <w:pPr>
        <w:widowControl w:val="0"/>
        <w:suppressLineNumbers/>
        <w:spacing w:line="259" w:lineRule="auto"/>
        <w:jc w:val="both"/>
        <w:rPr>
          <w:rFonts w:eastAsiaTheme="minorHAnsi"/>
          <w:i/>
          <w:sz w:val="22"/>
          <w:szCs w:val="22"/>
          <w:lang w:val="sr-Latn-ME"/>
        </w:rPr>
      </w:pPr>
      <w:r w:rsidRPr="003157C7">
        <w:rPr>
          <w:rFonts w:eastAsiaTheme="minorHAnsi"/>
          <w:i/>
          <w:sz w:val="22"/>
          <w:szCs w:val="22"/>
          <w:lang w:val="sr-Latn-ME"/>
        </w:rPr>
        <w:t>Funkcija bubrega</w:t>
      </w:r>
    </w:p>
    <w:p w14:paraId="5554FEA9" w14:textId="34C4B5EA"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U kliničkim istraživanjima kod </w:t>
      </w:r>
      <w:r w:rsidR="00DE3F11" w:rsidRPr="00D264F7">
        <w:rPr>
          <w:rFonts w:eastAsiaTheme="minorHAnsi"/>
          <w:sz w:val="22"/>
          <w:szCs w:val="22"/>
          <w:lang w:val="sr-Latn-ME"/>
        </w:rPr>
        <w:t xml:space="preserve">pacijenata </w:t>
      </w:r>
      <w:r w:rsidRPr="00D264F7">
        <w:rPr>
          <w:rFonts w:eastAsiaTheme="minorHAnsi"/>
          <w:sz w:val="22"/>
          <w:szCs w:val="22"/>
          <w:lang w:val="sr-Latn-ME"/>
        </w:rPr>
        <w:t xml:space="preserve">liječenih lijekom Tecfidera primijećene su promjene u laboratorijskim testovima bubrega (vidjeti dio 4.8). Nijesu poznate kliničke posljedice tih promjena. </w:t>
      </w:r>
      <w:r w:rsidRPr="00D264F7">
        <w:rPr>
          <w:rFonts w:eastAsiaTheme="minorHAnsi"/>
          <w:sz w:val="22"/>
          <w:szCs w:val="22"/>
          <w:lang w:val="sr-Latn-ME"/>
        </w:rPr>
        <w:lastRenderedPageBreak/>
        <w:t xml:space="preserve">Preporučene su procjene bubrežne funkcije (npr. kreatinin, urea nitrat u krvi i pretraga urina) prije početka liječenja, nakon 3 i 6 mjeseci liječenja, zatim svakih 6 do 12 mjeseci, te kako je klinički indikovano. </w:t>
      </w:r>
    </w:p>
    <w:p w14:paraId="38BA76E8" w14:textId="77777777" w:rsidR="008E35E1" w:rsidRPr="00D264F7" w:rsidRDefault="008E35E1">
      <w:pPr>
        <w:widowControl w:val="0"/>
        <w:suppressLineNumbers/>
        <w:spacing w:line="259" w:lineRule="auto"/>
        <w:jc w:val="both"/>
        <w:rPr>
          <w:rFonts w:eastAsiaTheme="minorHAnsi"/>
          <w:sz w:val="22"/>
          <w:szCs w:val="22"/>
          <w:lang w:val="sr-Latn-ME"/>
        </w:rPr>
      </w:pPr>
    </w:p>
    <w:p w14:paraId="6B5D4110" w14:textId="6FB6042D" w:rsidR="00F54F8D" w:rsidRPr="003157C7" w:rsidRDefault="00F54F8D">
      <w:pPr>
        <w:widowControl w:val="0"/>
        <w:suppressLineNumbers/>
        <w:spacing w:line="259" w:lineRule="auto"/>
        <w:jc w:val="both"/>
        <w:rPr>
          <w:rFonts w:eastAsiaTheme="minorHAnsi"/>
          <w:i/>
          <w:sz w:val="22"/>
          <w:szCs w:val="22"/>
          <w:lang w:val="sr-Latn-ME"/>
        </w:rPr>
      </w:pPr>
      <w:r w:rsidRPr="003157C7">
        <w:rPr>
          <w:rFonts w:eastAsiaTheme="minorHAnsi"/>
          <w:i/>
          <w:sz w:val="22"/>
          <w:szCs w:val="22"/>
          <w:lang w:val="sr-Latn-ME"/>
        </w:rPr>
        <w:t>Funkcija jetre</w:t>
      </w:r>
    </w:p>
    <w:p w14:paraId="64707021" w14:textId="6912261D"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Liječenje lijekom Tecfidera može za posljedicu imati oštećenje jetre izazvano lijekom, uključujući povišene nivoe enzima jetre (≥3</w:t>
      </w:r>
      <w:r w:rsidR="007A1D3D">
        <w:rPr>
          <w:rFonts w:eastAsiaTheme="minorHAnsi"/>
          <w:sz w:val="22"/>
          <w:szCs w:val="22"/>
          <w:lang w:val="sr-Latn-ME"/>
        </w:rPr>
        <w:t xml:space="preserve"> puta</w:t>
      </w:r>
      <w:r w:rsidRPr="00D264F7">
        <w:rPr>
          <w:rFonts w:eastAsiaTheme="minorHAnsi"/>
          <w:sz w:val="22"/>
          <w:szCs w:val="22"/>
          <w:lang w:val="sr-Latn-ME"/>
        </w:rPr>
        <w:t xml:space="preserve"> GGN) i povišene nivoe ukupnog bilirubina (≥2 </w:t>
      </w:r>
      <w:r w:rsidR="007A1D3D" w:rsidRPr="007A1D3D">
        <w:rPr>
          <w:rFonts w:eastAsiaTheme="minorHAnsi"/>
          <w:sz w:val="22"/>
          <w:szCs w:val="22"/>
          <w:lang w:val="sr-Latn-ME"/>
        </w:rPr>
        <w:t>×</w:t>
      </w:r>
      <w:r w:rsidR="007A1D3D">
        <w:rPr>
          <w:rFonts w:eastAsiaTheme="minorHAnsi"/>
          <w:sz w:val="22"/>
          <w:szCs w:val="22"/>
          <w:lang w:val="sr-Latn-ME"/>
        </w:rPr>
        <w:t xml:space="preserve"> </w:t>
      </w:r>
      <w:r w:rsidRPr="00D264F7">
        <w:rPr>
          <w:rFonts w:eastAsiaTheme="minorHAnsi"/>
          <w:sz w:val="22"/>
          <w:szCs w:val="22"/>
          <w:lang w:val="sr-Latn-ME"/>
        </w:rPr>
        <w:t>GGN). Te promjene mogu nastupiti nakon nekoliko</w:t>
      </w:r>
      <w:r w:rsidR="00E44CAD">
        <w:rPr>
          <w:rFonts w:eastAsiaTheme="minorHAnsi"/>
          <w:sz w:val="22"/>
          <w:szCs w:val="22"/>
          <w:lang w:val="sr-Latn-ME"/>
        </w:rPr>
        <w:t xml:space="preserve"> dana,</w:t>
      </w:r>
      <w:r w:rsidRPr="00D264F7">
        <w:rPr>
          <w:rFonts w:eastAsiaTheme="minorHAnsi"/>
          <w:sz w:val="22"/>
          <w:szCs w:val="22"/>
          <w:lang w:val="sr-Latn-ME"/>
        </w:rPr>
        <w:t xml:space="preserve"> nedjelja, ili nakon dužeg vremena. Nestanak neželjenih </w:t>
      </w:r>
      <w:r w:rsidR="001B4579" w:rsidRPr="00D264F7">
        <w:rPr>
          <w:rFonts w:eastAsiaTheme="minorHAnsi"/>
          <w:sz w:val="22"/>
          <w:szCs w:val="22"/>
          <w:lang w:val="sr-Latn-ME"/>
        </w:rPr>
        <w:t>dejstava</w:t>
      </w:r>
      <w:r w:rsidRPr="00D264F7">
        <w:rPr>
          <w:rFonts w:eastAsiaTheme="minorHAnsi"/>
          <w:sz w:val="22"/>
          <w:szCs w:val="22"/>
          <w:lang w:val="sr-Latn-ME"/>
        </w:rPr>
        <w:t xml:space="preserve"> opažen je nakon prekida liječenja. Prije započinjanja liječenja i tokom liječenja preporučuju se procjene aminotransferaza u serumu (npr. ALT, AST) i nivoa ukupnog bilirubina kako je klinički indikovano.</w:t>
      </w:r>
    </w:p>
    <w:p w14:paraId="488A97A0" w14:textId="77777777" w:rsidR="008E35E1" w:rsidRPr="00D264F7" w:rsidRDefault="008E35E1">
      <w:pPr>
        <w:widowControl w:val="0"/>
        <w:suppressLineNumbers/>
        <w:spacing w:line="259" w:lineRule="auto"/>
        <w:jc w:val="both"/>
        <w:rPr>
          <w:rFonts w:eastAsiaTheme="minorHAnsi"/>
          <w:sz w:val="22"/>
          <w:szCs w:val="22"/>
          <w:lang w:val="sr-Latn-ME"/>
        </w:rPr>
      </w:pPr>
    </w:p>
    <w:p w14:paraId="1872E555" w14:textId="77777777" w:rsidR="00F54F8D" w:rsidRPr="003157C7" w:rsidRDefault="00F54F8D">
      <w:pPr>
        <w:widowControl w:val="0"/>
        <w:suppressLineNumbers/>
        <w:spacing w:line="259" w:lineRule="auto"/>
        <w:jc w:val="both"/>
        <w:rPr>
          <w:rFonts w:eastAsiaTheme="minorHAnsi"/>
          <w:i/>
          <w:sz w:val="22"/>
          <w:szCs w:val="22"/>
          <w:lang w:val="sr-Latn-ME"/>
        </w:rPr>
      </w:pPr>
      <w:r w:rsidRPr="003157C7">
        <w:rPr>
          <w:rFonts w:eastAsiaTheme="minorHAnsi"/>
          <w:i/>
          <w:sz w:val="22"/>
          <w:szCs w:val="22"/>
          <w:lang w:val="sr-Latn-ME"/>
        </w:rPr>
        <w:t>Limfociti</w:t>
      </w:r>
    </w:p>
    <w:p w14:paraId="07E7B5B6" w14:textId="081A1376" w:rsidR="00524F7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Pacijenti liječeni lijekom Tecfidera mogu razviti limfopeniju (vidjeti dio 4.8). </w:t>
      </w:r>
      <w:r w:rsidR="00524F71" w:rsidRPr="00D264F7">
        <w:rPr>
          <w:rFonts w:eastAsiaTheme="minorHAnsi"/>
          <w:sz w:val="22"/>
          <w:szCs w:val="22"/>
          <w:lang w:val="sr-Latn-ME"/>
        </w:rPr>
        <w:t>Pr</w:t>
      </w:r>
      <w:r w:rsidR="004C46AF" w:rsidRPr="00D264F7">
        <w:rPr>
          <w:rFonts w:eastAsiaTheme="minorHAnsi"/>
          <w:sz w:val="22"/>
          <w:szCs w:val="22"/>
          <w:lang w:val="sr-Latn-ME"/>
        </w:rPr>
        <w:t>ij</w:t>
      </w:r>
      <w:r w:rsidR="00524F71" w:rsidRPr="00D264F7">
        <w:rPr>
          <w:rFonts w:eastAsiaTheme="minorHAnsi"/>
          <w:sz w:val="22"/>
          <w:szCs w:val="22"/>
          <w:lang w:val="sr-Latn-ME"/>
        </w:rPr>
        <w:t>e početka l</w:t>
      </w:r>
      <w:r w:rsidR="004C46AF" w:rsidRPr="00D264F7">
        <w:rPr>
          <w:rFonts w:eastAsiaTheme="minorHAnsi"/>
          <w:sz w:val="22"/>
          <w:szCs w:val="22"/>
          <w:lang w:val="sr-Latn-ME"/>
        </w:rPr>
        <w:t>ij</w:t>
      </w:r>
      <w:r w:rsidR="00524F71" w:rsidRPr="00D264F7">
        <w:rPr>
          <w:rFonts w:eastAsiaTheme="minorHAnsi"/>
          <w:sz w:val="22"/>
          <w:szCs w:val="22"/>
          <w:lang w:val="sr-Latn-ME"/>
        </w:rPr>
        <w:t>ečenja l</w:t>
      </w:r>
      <w:r w:rsidR="004C46AF" w:rsidRPr="00D264F7">
        <w:rPr>
          <w:rFonts w:eastAsiaTheme="minorHAnsi"/>
          <w:sz w:val="22"/>
          <w:szCs w:val="22"/>
          <w:lang w:val="sr-Latn-ME"/>
        </w:rPr>
        <w:t>ij</w:t>
      </w:r>
      <w:r w:rsidR="00524F71" w:rsidRPr="00D264F7">
        <w:rPr>
          <w:rFonts w:eastAsiaTheme="minorHAnsi"/>
          <w:sz w:val="22"/>
          <w:szCs w:val="22"/>
          <w:lang w:val="sr-Latn-ME"/>
        </w:rPr>
        <w:t>ekom Tecfidera mora se prov</w:t>
      </w:r>
      <w:r w:rsidR="004C46AF" w:rsidRPr="00D264F7">
        <w:rPr>
          <w:rFonts w:eastAsiaTheme="minorHAnsi"/>
          <w:sz w:val="22"/>
          <w:szCs w:val="22"/>
          <w:lang w:val="sr-Latn-ME"/>
        </w:rPr>
        <w:t>j</w:t>
      </w:r>
      <w:r w:rsidR="00524F71" w:rsidRPr="00D264F7">
        <w:rPr>
          <w:rFonts w:eastAsiaTheme="minorHAnsi"/>
          <w:sz w:val="22"/>
          <w:szCs w:val="22"/>
          <w:lang w:val="sr-Latn-ME"/>
        </w:rPr>
        <w:t>eriti kompletna krvna slika uključujući limfocite. Ako se utvrdi da je broj limfocita ispod normalnog opsega, potrebno je uraditi detaljnu analizu potencijalnih uzroka pr</w:t>
      </w:r>
      <w:r w:rsidR="004C46AF" w:rsidRPr="00D264F7">
        <w:rPr>
          <w:rFonts w:eastAsiaTheme="minorHAnsi"/>
          <w:sz w:val="22"/>
          <w:szCs w:val="22"/>
          <w:lang w:val="sr-Latn-ME"/>
        </w:rPr>
        <w:t>ij</w:t>
      </w:r>
      <w:r w:rsidR="00524F71" w:rsidRPr="00D264F7">
        <w:rPr>
          <w:rFonts w:eastAsiaTheme="minorHAnsi"/>
          <w:sz w:val="22"/>
          <w:szCs w:val="22"/>
          <w:lang w:val="sr-Latn-ME"/>
        </w:rPr>
        <w:t xml:space="preserve">e započinjanja terapije. </w:t>
      </w:r>
      <w:r w:rsidRPr="00D264F7">
        <w:rPr>
          <w:rFonts w:eastAsiaTheme="minorHAnsi"/>
          <w:sz w:val="22"/>
          <w:szCs w:val="22"/>
          <w:lang w:val="sr-Latn-ME"/>
        </w:rPr>
        <w:t xml:space="preserve">Dimetilfumarat nije ispitivan kod pacijenata sa već postojećim niskim brojem limfocita, pa je potreban oprez pri liječenju takvih pacijenata. </w:t>
      </w:r>
    </w:p>
    <w:p w14:paraId="5F32BFC3" w14:textId="77777777" w:rsidR="00524F71" w:rsidRPr="00D264F7" w:rsidRDefault="00524F71">
      <w:pPr>
        <w:widowControl w:val="0"/>
        <w:suppressLineNumbers/>
        <w:spacing w:line="259" w:lineRule="auto"/>
        <w:jc w:val="both"/>
        <w:rPr>
          <w:rFonts w:eastAsiaTheme="minorHAnsi"/>
          <w:sz w:val="22"/>
          <w:szCs w:val="22"/>
          <w:lang w:val="sr-Latn-ME"/>
        </w:rPr>
      </w:pPr>
    </w:p>
    <w:p w14:paraId="38F381F8" w14:textId="500638BE" w:rsidR="008E35E1" w:rsidRPr="00D264F7" w:rsidRDefault="00524F7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L</w:t>
      </w:r>
      <w:r w:rsidR="004C46AF" w:rsidRPr="00D264F7">
        <w:rPr>
          <w:rFonts w:eastAsiaTheme="minorHAnsi"/>
          <w:sz w:val="22"/>
          <w:szCs w:val="22"/>
          <w:lang w:val="sr-Latn-ME"/>
        </w:rPr>
        <w:t>ij</w:t>
      </w:r>
      <w:r w:rsidRPr="00D264F7">
        <w:rPr>
          <w:rFonts w:eastAsiaTheme="minorHAnsi"/>
          <w:sz w:val="22"/>
          <w:szCs w:val="22"/>
          <w:lang w:val="sr-Latn-ME"/>
        </w:rPr>
        <w:t>ečenje se ne sm</w:t>
      </w:r>
      <w:r w:rsidR="004C46AF" w:rsidRPr="00D264F7">
        <w:rPr>
          <w:rFonts w:eastAsiaTheme="minorHAnsi"/>
          <w:sz w:val="22"/>
          <w:szCs w:val="22"/>
          <w:lang w:val="sr-Latn-ME"/>
        </w:rPr>
        <w:t>ij</w:t>
      </w:r>
      <w:r w:rsidRPr="00D264F7">
        <w:rPr>
          <w:rFonts w:eastAsiaTheme="minorHAnsi"/>
          <w:sz w:val="22"/>
          <w:szCs w:val="22"/>
          <w:lang w:val="sr-Latn-ME"/>
        </w:rPr>
        <w:t>e započinjati kod pacijenata s teškom limfopenijom (broj limfocita &lt; 0,5 × 10</w:t>
      </w:r>
      <w:r w:rsidRPr="00D264F7">
        <w:rPr>
          <w:rFonts w:eastAsiaTheme="minorHAnsi"/>
          <w:sz w:val="22"/>
          <w:szCs w:val="22"/>
          <w:vertAlign w:val="superscript"/>
          <w:lang w:val="sr-Latn-ME"/>
        </w:rPr>
        <w:t>9</w:t>
      </w:r>
      <w:r w:rsidRPr="00D264F7">
        <w:rPr>
          <w:rFonts w:eastAsiaTheme="minorHAnsi"/>
          <w:sz w:val="22"/>
          <w:szCs w:val="22"/>
          <w:lang w:val="sr-Latn-ME"/>
        </w:rPr>
        <w:t xml:space="preserve">/L). </w:t>
      </w:r>
    </w:p>
    <w:p w14:paraId="70CDD0AC"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Nakon početka terapije, kompletna krvna slika, uključujući limfocite, mora se provjeravati svaka 3 mjeseca.</w:t>
      </w:r>
    </w:p>
    <w:p w14:paraId="22CB3E90" w14:textId="77777777" w:rsidR="008E35E1" w:rsidRPr="00D264F7" w:rsidRDefault="008E35E1">
      <w:pPr>
        <w:widowControl w:val="0"/>
        <w:suppressLineNumbers/>
        <w:spacing w:line="259" w:lineRule="auto"/>
        <w:jc w:val="both"/>
        <w:rPr>
          <w:rFonts w:eastAsiaTheme="minorHAnsi"/>
          <w:sz w:val="22"/>
          <w:szCs w:val="22"/>
          <w:lang w:val="sr-Latn-ME"/>
        </w:rPr>
      </w:pPr>
    </w:p>
    <w:p w14:paraId="6A2BD953" w14:textId="7D58DDC4" w:rsidR="00524F71" w:rsidRPr="00D264F7" w:rsidRDefault="00524F7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Zbog povećanog rizika od PML</w:t>
      </w:r>
      <w:r w:rsidR="009B7411">
        <w:rPr>
          <w:rFonts w:eastAsiaTheme="minorHAnsi"/>
          <w:sz w:val="22"/>
          <w:szCs w:val="22"/>
          <w:lang w:val="sr-Latn-ME"/>
        </w:rPr>
        <w:t>-a</w:t>
      </w:r>
      <w:r w:rsidRPr="00D264F7">
        <w:rPr>
          <w:rFonts w:eastAsiaTheme="minorHAnsi"/>
          <w:sz w:val="22"/>
          <w:szCs w:val="22"/>
          <w:lang w:val="sr-Latn-ME"/>
        </w:rPr>
        <w:t>, kod pacijenata s limfopenijom preporučuju se sledeće dodatne m</w:t>
      </w:r>
      <w:r w:rsidR="004C46AF" w:rsidRPr="00D264F7">
        <w:rPr>
          <w:rFonts w:eastAsiaTheme="minorHAnsi"/>
          <w:sz w:val="22"/>
          <w:szCs w:val="22"/>
          <w:lang w:val="sr-Latn-ME"/>
        </w:rPr>
        <w:t>j</w:t>
      </w:r>
      <w:r w:rsidRPr="00D264F7">
        <w:rPr>
          <w:rFonts w:eastAsiaTheme="minorHAnsi"/>
          <w:sz w:val="22"/>
          <w:szCs w:val="22"/>
          <w:lang w:val="sr-Latn-ME"/>
        </w:rPr>
        <w:t>ere opreza:</w:t>
      </w:r>
    </w:p>
    <w:p w14:paraId="2F3D3C24" w14:textId="23CF209E" w:rsidR="00524F71" w:rsidRPr="00D264F7" w:rsidRDefault="00A34B8A">
      <w:pPr>
        <w:pStyle w:val="ListParagraph"/>
        <w:widowControl w:val="0"/>
        <w:numPr>
          <w:ilvl w:val="0"/>
          <w:numId w:val="14"/>
        </w:numPr>
        <w:suppressLineNumbers/>
        <w:spacing w:line="259" w:lineRule="auto"/>
        <w:jc w:val="both"/>
        <w:rPr>
          <w:rFonts w:eastAsiaTheme="minorHAnsi"/>
          <w:sz w:val="22"/>
          <w:szCs w:val="22"/>
          <w:lang w:val="sr-Latn-ME"/>
        </w:rPr>
      </w:pPr>
      <w:r w:rsidRPr="00D264F7">
        <w:rPr>
          <w:rFonts w:eastAsiaTheme="minorHAnsi"/>
          <w:sz w:val="22"/>
          <w:szCs w:val="22"/>
          <w:lang w:val="sr-Latn-ME"/>
        </w:rPr>
        <w:t>K</w:t>
      </w:r>
      <w:r w:rsidR="008E35E1" w:rsidRPr="00D264F7">
        <w:rPr>
          <w:rFonts w:eastAsiaTheme="minorHAnsi"/>
          <w:sz w:val="22"/>
          <w:szCs w:val="22"/>
          <w:lang w:val="sr-Latn-ME"/>
        </w:rPr>
        <w:t>od pacijenata sa</w:t>
      </w:r>
      <w:r w:rsidR="00524F71" w:rsidRPr="00D264F7">
        <w:rPr>
          <w:sz w:val="22"/>
          <w:szCs w:val="22"/>
          <w:lang w:val="sr-Latn-ME"/>
        </w:rPr>
        <w:t xml:space="preserve"> </w:t>
      </w:r>
      <w:r w:rsidR="00524F71" w:rsidRPr="00D264F7">
        <w:rPr>
          <w:rFonts w:eastAsiaTheme="minorHAnsi"/>
          <w:sz w:val="22"/>
          <w:szCs w:val="22"/>
          <w:lang w:val="sr-Latn-ME"/>
        </w:rPr>
        <w:t>produženom teškom limfopenijom</w:t>
      </w:r>
      <w:r w:rsidR="008E35E1" w:rsidRPr="00D264F7">
        <w:rPr>
          <w:rFonts w:eastAsiaTheme="minorHAnsi"/>
          <w:sz w:val="22"/>
          <w:szCs w:val="22"/>
          <w:lang w:val="sr-Latn-ME"/>
        </w:rPr>
        <w:t xml:space="preserve"> </w:t>
      </w:r>
      <w:r w:rsidR="00524F71" w:rsidRPr="00D264F7">
        <w:rPr>
          <w:rFonts w:eastAsiaTheme="minorHAnsi"/>
          <w:sz w:val="22"/>
          <w:szCs w:val="22"/>
          <w:lang w:val="sr-Latn-ME"/>
        </w:rPr>
        <w:t>(</w:t>
      </w:r>
      <w:r w:rsidR="008E35E1" w:rsidRPr="00D264F7">
        <w:rPr>
          <w:rFonts w:eastAsiaTheme="minorHAnsi"/>
          <w:sz w:val="22"/>
          <w:szCs w:val="22"/>
          <w:lang w:val="sr-Latn-ME"/>
        </w:rPr>
        <w:t>broj limfocita &lt;0,5</w:t>
      </w:r>
      <w:r w:rsidR="00613DCD">
        <w:rPr>
          <w:rFonts w:eastAsiaTheme="minorHAnsi"/>
          <w:sz w:val="22"/>
          <w:szCs w:val="22"/>
          <w:lang w:val="sr-Latn-ME"/>
        </w:rPr>
        <w:t xml:space="preserve"> </w:t>
      </w:r>
      <w:r w:rsidR="00613DCD" w:rsidRPr="00613DCD">
        <w:rPr>
          <w:rFonts w:eastAsiaTheme="minorHAnsi"/>
          <w:sz w:val="22"/>
          <w:szCs w:val="22"/>
          <w:lang w:val="sr-Latn-ME"/>
        </w:rPr>
        <w:t>×</w:t>
      </w:r>
      <w:r w:rsidR="00613DCD">
        <w:rPr>
          <w:rFonts w:eastAsiaTheme="minorHAnsi"/>
          <w:sz w:val="22"/>
          <w:szCs w:val="22"/>
          <w:lang w:val="sr-Latn-ME"/>
        </w:rPr>
        <w:t xml:space="preserve"> </w:t>
      </w:r>
      <w:r w:rsidR="008E35E1" w:rsidRPr="00D264F7">
        <w:rPr>
          <w:rFonts w:eastAsiaTheme="minorHAnsi"/>
          <w:sz w:val="22"/>
          <w:szCs w:val="22"/>
          <w:lang w:val="sr-Latn-ME"/>
        </w:rPr>
        <w:t>10</w:t>
      </w:r>
      <w:r w:rsidR="008E35E1" w:rsidRPr="00D264F7">
        <w:rPr>
          <w:rFonts w:eastAsiaTheme="minorHAnsi"/>
          <w:sz w:val="22"/>
          <w:szCs w:val="22"/>
          <w:vertAlign w:val="superscript"/>
          <w:lang w:val="sr-Latn-ME"/>
        </w:rPr>
        <w:t>9</w:t>
      </w:r>
      <w:r w:rsidR="008E35E1" w:rsidRPr="00D264F7">
        <w:rPr>
          <w:rFonts w:eastAsiaTheme="minorHAnsi"/>
          <w:sz w:val="22"/>
          <w:szCs w:val="22"/>
          <w:lang w:val="sr-Latn-ME"/>
        </w:rPr>
        <w:t>/L</w:t>
      </w:r>
      <w:r w:rsidR="00524F71" w:rsidRPr="00D264F7">
        <w:rPr>
          <w:rFonts w:eastAsiaTheme="minorHAnsi"/>
          <w:sz w:val="22"/>
          <w:szCs w:val="22"/>
          <w:lang w:val="sr-Latn-ME"/>
        </w:rPr>
        <w:t>)</w:t>
      </w:r>
      <w:r w:rsidR="008E35E1" w:rsidRPr="00D264F7">
        <w:rPr>
          <w:rFonts w:eastAsiaTheme="minorHAnsi"/>
          <w:sz w:val="22"/>
          <w:szCs w:val="22"/>
          <w:lang w:val="sr-Latn-ME"/>
        </w:rPr>
        <w:t xml:space="preserve"> koj</w:t>
      </w:r>
      <w:r w:rsidRPr="00D264F7">
        <w:rPr>
          <w:rFonts w:eastAsiaTheme="minorHAnsi"/>
          <w:sz w:val="22"/>
          <w:szCs w:val="22"/>
          <w:lang w:val="sr-Latn-ME"/>
        </w:rPr>
        <w:t>a</w:t>
      </w:r>
      <w:r w:rsidR="008E35E1" w:rsidRPr="00D264F7">
        <w:rPr>
          <w:rFonts w:eastAsiaTheme="minorHAnsi"/>
          <w:sz w:val="22"/>
          <w:szCs w:val="22"/>
          <w:lang w:val="sr-Latn-ME"/>
        </w:rPr>
        <w:t xml:space="preserve"> traje duže od 6 mjeseci</w:t>
      </w:r>
      <w:r w:rsidRPr="00D264F7">
        <w:rPr>
          <w:rFonts w:eastAsiaTheme="minorHAnsi"/>
          <w:sz w:val="22"/>
          <w:szCs w:val="22"/>
          <w:lang w:val="sr-Latn-ME"/>
        </w:rPr>
        <w:t xml:space="preserve">, treba prekinuti </w:t>
      </w:r>
      <w:r w:rsidR="009B7411">
        <w:rPr>
          <w:rFonts w:eastAsiaTheme="minorHAnsi"/>
          <w:sz w:val="22"/>
          <w:szCs w:val="22"/>
          <w:lang w:val="sr-Latn-ME"/>
        </w:rPr>
        <w:t>lečenje-</w:t>
      </w:r>
    </w:p>
    <w:p w14:paraId="5B38F5A3" w14:textId="47E7EBE6" w:rsidR="00A34B8A" w:rsidRPr="00D264F7" w:rsidRDefault="008E35E1">
      <w:pPr>
        <w:pStyle w:val="ListParagraph"/>
        <w:widowControl w:val="0"/>
        <w:numPr>
          <w:ilvl w:val="0"/>
          <w:numId w:val="14"/>
        </w:numPr>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Odnos koristi i rizika liječenja treba razmotriti </w:t>
      </w:r>
      <w:r w:rsidR="00A34B8A" w:rsidRPr="00D264F7">
        <w:rPr>
          <w:rFonts w:eastAsiaTheme="minorHAnsi"/>
          <w:sz w:val="22"/>
          <w:szCs w:val="22"/>
          <w:lang w:val="sr-Latn-ME"/>
        </w:rPr>
        <w:t>kod pacijenata sa neprekidnim um</w:t>
      </w:r>
      <w:r w:rsidR="004C46AF" w:rsidRPr="00D264F7">
        <w:rPr>
          <w:rFonts w:eastAsiaTheme="minorHAnsi"/>
          <w:sz w:val="22"/>
          <w:szCs w:val="22"/>
          <w:lang w:val="sr-Latn-ME"/>
        </w:rPr>
        <w:t>j</w:t>
      </w:r>
      <w:r w:rsidR="00A34B8A" w:rsidRPr="00D264F7">
        <w:rPr>
          <w:rFonts w:eastAsiaTheme="minorHAnsi"/>
          <w:sz w:val="22"/>
          <w:szCs w:val="22"/>
          <w:lang w:val="sr-Latn-ME"/>
        </w:rPr>
        <w:t xml:space="preserve">erenim smanjenjem apsolutnog broja limfocita ≥ 0,5 </w:t>
      </w:r>
      <w:r w:rsidR="00613DCD" w:rsidRPr="00613DCD">
        <w:rPr>
          <w:rFonts w:eastAsiaTheme="minorHAnsi"/>
          <w:sz w:val="22"/>
          <w:szCs w:val="22"/>
          <w:lang w:val="sr-Latn-ME"/>
        </w:rPr>
        <w:t>×</w:t>
      </w:r>
      <w:r w:rsidR="00A34B8A" w:rsidRPr="00D264F7">
        <w:rPr>
          <w:rFonts w:eastAsiaTheme="minorHAnsi"/>
          <w:sz w:val="22"/>
          <w:szCs w:val="22"/>
          <w:lang w:val="sr-Latn-ME"/>
        </w:rPr>
        <w:t xml:space="preserve"> 10</w:t>
      </w:r>
      <w:r w:rsidR="00A34B8A" w:rsidRPr="00D264F7">
        <w:rPr>
          <w:rFonts w:eastAsiaTheme="minorHAnsi"/>
          <w:sz w:val="22"/>
          <w:szCs w:val="22"/>
          <w:vertAlign w:val="superscript"/>
          <w:lang w:val="sr-Latn-ME"/>
        </w:rPr>
        <w:t>9</w:t>
      </w:r>
      <w:r w:rsidR="00A34B8A" w:rsidRPr="00D264F7">
        <w:rPr>
          <w:rFonts w:eastAsiaTheme="minorHAnsi"/>
          <w:sz w:val="22"/>
          <w:szCs w:val="22"/>
          <w:lang w:val="sr-Latn-ME"/>
        </w:rPr>
        <w:t xml:space="preserve"> </w:t>
      </w:r>
      <w:r w:rsidR="00DE3F11" w:rsidRPr="00D264F7">
        <w:rPr>
          <w:rFonts w:eastAsiaTheme="minorHAnsi"/>
          <w:sz w:val="22"/>
          <w:szCs w:val="22"/>
          <w:lang w:val="sr-Latn-ME"/>
        </w:rPr>
        <w:t xml:space="preserve">do </w:t>
      </w:r>
      <w:r w:rsidR="00A34B8A" w:rsidRPr="00D264F7">
        <w:rPr>
          <w:rFonts w:eastAsiaTheme="minorHAnsi"/>
          <w:sz w:val="22"/>
          <w:szCs w:val="22"/>
          <w:lang w:val="sr-Latn-ME"/>
        </w:rPr>
        <w:t xml:space="preserve">&lt; 0,8 </w:t>
      </w:r>
      <w:r w:rsidR="00613DCD" w:rsidRPr="00613DCD">
        <w:rPr>
          <w:rFonts w:eastAsiaTheme="minorHAnsi"/>
          <w:sz w:val="22"/>
          <w:szCs w:val="22"/>
          <w:lang w:val="sr-Latn-ME"/>
        </w:rPr>
        <w:t>×</w:t>
      </w:r>
      <w:r w:rsidR="00A34B8A" w:rsidRPr="00D264F7">
        <w:rPr>
          <w:rFonts w:eastAsiaTheme="minorHAnsi"/>
          <w:sz w:val="22"/>
          <w:szCs w:val="22"/>
          <w:lang w:val="sr-Latn-ME"/>
        </w:rPr>
        <w:t xml:space="preserve"> 10</w:t>
      </w:r>
      <w:r w:rsidR="00A34B8A" w:rsidRPr="00D264F7">
        <w:rPr>
          <w:rFonts w:eastAsiaTheme="minorHAnsi"/>
          <w:sz w:val="22"/>
          <w:szCs w:val="22"/>
          <w:vertAlign w:val="superscript"/>
          <w:lang w:val="sr-Latn-ME"/>
        </w:rPr>
        <w:t xml:space="preserve">9 </w:t>
      </w:r>
      <w:r w:rsidR="00A34B8A" w:rsidRPr="00D264F7">
        <w:rPr>
          <w:rFonts w:eastAsiaTheme="minorHAnsi"/>
          <w:sz w:val="22"/>
          <w:szCs w:val="22"/>
          <w:lang w:val="sr-Latn-ME"/>
        </w:rPr>
        <w:t>u trajanju dužem od 6 m</w:t>
      </w:r>
      <w:r w:rsidR="004C46AF" w:rsidRPr="00D264F7">
        <w:rPr>
          <w:rFonts w:eastAsiaTheme="minorHAnsi"/>
          <w:sz w:val="22"/>
          <w:szCs w:val="22"/>
          <w:lang w:val="sr-Latn-ME"/>
        </w:rPr>
        <w:t>j</w:t>
      </w:r>
      <w:r w:rsidR="00A34B8A" w:rsidRPr="00D264F7">
        <w:rPr>
          <w:rFonts w:eastAsiaTheme="minorHAnsi"/>
          <w:sz w:val="22"/>
          <w:szCs w:val="22"/>
          <w:lang w:val="sr-Latn-ME"/>
        </w:rPr>
        <w:t>eseci</w:t>
      </w:r>
    </w:p>
    <w:p w14:paraId="33344FC6" w14:textId="6C89ACD7" w:rsidR="00A34B8A" w:rsidRPr="00D264F7" w:rsidRDefault="00A34B8A">
      <w:pPr>
        <w:pStyle w:val="ListParagraph"/>
        <w:widowControl w:val="0"/>
        <w:numPr>
          <w:ilvl w:val="0"/>
          <w:numId w:val="14"/>
        </w:numPr>
        <w:suppressLineNumbers/>
        <w:spacing w:line="259" w:lineRule="auto"/>
        <w:jc w:val="both"/>
        <w:rPr>
          <w:rFonts w:eastAsiaTheme="minorHAnsi"/>
          <w:sz w:val="22"/>
          <w:szCs w:val="22"/>
          <w:lang w:val="sr-Latn-ME"/>
        </w:rPr>
      </w:pPr>
      <w:r w:rsidRPr="00D264F7">
        <w:rPr>
          <w:rFonts w:eastAsiaTheme="minorHAnsi"/>
          <w:sz w:val="22"/>
          <w:szCs w:val="22"/>
          <w:lang w:val="sr-Latn-ME"/>
        </w:rPr>
        <w:t>Kod pacijenata sa brojem limfocita ispod donje granice normalnih vr</w:t>
      </w:r>
      <w:r w:rsidR="004C46AF" w:rsidRPr="00D264F7">
        <w:rPr>
          <w:rFonts w:eastAsiaTheme="minorHAnsi"/>
          <w:sz w:val="22"/>
          <w:szCs w:val="22"/>
          <w:lang w:val="sr-Latn-ME"/>
        </w:rPr>
        <w:t>ij</w:t>
      </w:r>
      <w:r w:rsidRPr="00D264F7">
        <w:rPr>
          <w:rFonts w:eastAsiaTheme="minorHAnsi"/>
          <w:sz w:val="22"/>
          <w:szCs w:val="22"/>
          <w:lang w:val="sr-Latn-ME"/>
        </w:rPr>
        <w:t>ednosti (</w:t>
      </w:r>
      <w:r w:rsidR="001B4579" w:rsidRPr="00D264F7">
        <w:rPr>
          <w:rFonts w:eastAsiaTheme="minorHAnsi"/>
          <w:i/>
          <w:sz w:val="22"/>
          <w:szCs w:val="22"/>
          <w:lang w:val="sr-Latn-ME"/>
        </w:rPr>
        <w:t>Lower Limit of normal</w:t>
      </w:r>
      <w:r w:rsidR="001B4579" w:rsidRPr="00D264F7">
        <w:rPr>
          <w:rFonts w:eastAsiaTheme="minorHAnsi"/>
          <w:sz w:val="22"/>
          <w:szCs w:val="22"/>
          <w:lang w:val="sr-Latn-ME"/>
        </w:rPr>
        <w:t xml:space="preserve">, </w:t>
      </w:r>
      <w:r w:rsidRPr="00D264F7">
        <w:rPr>
          <w:rFonts w:eastAsiaTheme="minorHAnsi"/>
          <w:sz w:val="22"/>
          <w:szCs w:val="22"/>
          <w:lang w:val="sr-Latn-ME"/>
        </w:rPr>
        <w:t>LLN) definisane referentnim opsegom lokalne laboratorije, preporučuje se redovno praćenje apsolutnog broja limfocita. Dodatne faktore koji mogu povećati individualni rizik od PML-a treba razmotriti (vid</w:t>
      </w:r>
      <w:r w:rsidR="004C46AF" w:rsidRPr="00D264F7">
        <w:rPr>
          <w:rFonts w:eastAsiaTheme="minorHAnsi"/>
          <w:sz w:val="22"/>
          <w:szCs w:val="22"/>
          <w:lang w:val="sr-Latn-ME"/>
        </w:rPr>
        <w:t>j</w:t>
      </w:r>
      <w:r w:rsidRPr="00D264F7">
        <w:rPr>
          <w:rFonts w:eastAsiaTheme="minorHAnsi"/>
          <w:sz w:val="22"/>
          <w:szCs w:val="22"/>
          <w:lang w:val="sr-Latn-ME"/>
        </w:rPr>
        <w:t xml:space="preserve">eti </w:t>
      </w:r>
      <w:r w:rsidR="001B4579" w:rsidRPr="00D264F7">
        <w:rPr>
          <w:rFonts w:eastAsiaTheme="minorHAnsi"/>
          <w:sz w:val="22"/>
          <w:szCs w:val="22"/>
          <w:lang w:val="sr-Latn-ME"/>
        </w:rPr>
        <w:t xml:space="preserve">dio </w:t>
      </w:r>
      <w:r w:rsidRPr="00D264F7">
        <w:rPr>
          <w:rFonts w:eastAsiaTheme="minorHAnsi"/>
          <w:sz w:val="22"/>
          <w:szCs w:val="22"/>
          <w:lang w:val="sr-Latn-ME"/>
        </w:rPr>
        <w:t>o PML-u</w:t>
      </w:r>
      <w:r w:rsidR="001B4579" w:rsidRPr="00D264F7">
        <w:rPr>
          <w:rFonts w:eastAsiaTheme="minorHAnsi"/>
          <w:sz w:val="22"/>
          <w:szCs w:val="22"/>
          <w:lang w:val="sr-Latn-ME"/>
        </w:rPr>
        <w:t xml:space="preserve"> u nastavku</w:t>
      </w:r>
      <w:r w:rsidRPr="00D264F7">
        <w:rPr>
          <w:rFonts w:eastAsiaTheme="minorHAnsi"/>
          <w:sz w:val="22"/>
          <w:szCs w:val="22"/>
          <w:lang w:val="sr-Latn-ME"/>
        </w:rPr>
        <w:t>).</w:t>
      </w:r>
    </w:p>
    <w:p w14:paraId="78E5256F" w14:textId="77777777" w:rsidR="008E35E1" w:rsidRPr="00D264F7" w:rsidRDefault="008E35E1" w:rsidP="001F758F">
      <w:pPr>
        <w:jc w:val="both"/>
        <w:rPr>
          <w:rFonts w:eastAsiaTheme="minorHAnsi"/>
          <w:sz w:val="22"/>
          <w:szCs w:val="22"/>
          <w:lang w:val="sr-Latn-ME"/>
        </w:rPr>
      </w:pPr>
    </w:p>
    <w:p w14:paraId="09DA109C" w14:textId="77DDB708" w:rsidR="008E35E1" w:rsidRPr="00D264F7" w:rsidRDefault="008E35E1" w:rsidP="001C605F">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Broj limfocita treba pratiti do oporavka</w:t>
      </w:r>
      <w:r w:rsidR="00DE3F11" w:rsidRPr="00D264F7">
        <w:rPr>
          <w:rFonts w:eastAsiaTheme="minorHAnsi"/>
          <w:sz w:val="22"/>
          <w:szCs w:val="22"/>
          <w:lang w:val="sr-Latn-ME"/>
        </w:rPr>
        <w:t xml:space="preserve"> (vidjeti dio 5.1)</w:t>
      </w:r>
      <w:r w:rsidRPr="00D264F7">
        <w:rPr>
          <w:rFonts w:eastAsiaTheme="minorHAnsi"/>
          <w:sz w:val="22"/>
          <w:szCs w:val="22"/>
          <w:lang w:val="sr-Latn-ME"/>
        </w:rPr>
        <w:t>. Nakon oporavka i u nedostatku alternativnih opcija liječenja, odluka o tome da li da se ponovno započne liječenje lijekom Tecfidera nakon prekida terapije treba da bude zasnovana na kliničkoj procjeni.</w:t>
      </w:r>
    </w:p>
    <w:p w14:paraId="5255DD54" w14:textId="77777777" w:rsidR="008E35E1" w:rsidRPr="00D264F7" w:rsidRDefault="008E35E1">
      <w:pPr>
        <w:widowControl w:val="0"/>
        <w:suppressLineNumbers/>
        <w:spacing w:line="259" w:lineRule="auto"/>
        <w:jc w:val="both"/>
        <w:rPr>
          <w:rFonts w:eastAsiaTheme="minorHAnsi"/>
          <w:sz w:val="22"/>
          <w:szCs w:val="22"/>
          <w:lang w:val="sr-Latn-ME"/>
        </w:rPr>
      </w:pPr>
    </w:p>
    <w:p w14:paraId="4318C199"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Snimanje magnetnom rezonancom (MR)</w:t>
      </w:r>
    </w:p>
    <w:p w14:paraId="27C7DB82" w14:textId="77777777" w:rsidR="008E35E1" w:rsidRPr="00D264F7" w:rsidRDefault="008E35E1">
      <w:pPr>
        <w:widowControl w:val="0"/>
        <w:suppressLineNumbers/>
        <w:spacing w:line="259" w:lineRule="auto"/>
        <w:jc w:val="both"/>
        <w:rPr>
          <w:rFonts w:eastAsiaTheme="minorHAnsi"/>
          <w:sz w:val="22"/>
          <w:szCs w:val="22"/>
          <w:lang w:val="sr-Latn-ME"/>
        </w:rPr>
      </w:pPr>
    </w:p>
    <w:p w14:paraId="393CC44C"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Prije početka liječenja lijekom Tecfidera, početni MR nalaz (napravljen obično unutar 3 mjeseca) treba da bude dostupan, kao referentni nalaz. Potrebu za daljim MR snimanjem treba razmotriti u skladu sa nacionalnim i lokalnim preporukama. MR snimanje može se smatrati dijelom pojačanog nadzora kod pacijenata za koje se smatra da imaju povećan rizik od PML-a. U slučaju kliničke sumnje na PML, treba odmah uraditi MR pregled u dijagnostičke svrhe.</w:t>
      </w:r>
    </w:p>
    <w:p w14:paraId="6B4368AE" w14:textId="77777777" w:rsidR="008E35E1" w:rsidRPr="00D264F7" w:rsidRDefault="008E35E1">
      <w:pPr>
        <w:widowControl w:val="0"/>
        <w:suppressLineNumbers/>
        <w:spacing w:line="259" w:lineRule="auto"/>
        <w:jc w:val="both"/>
        <w:rPr>
          <w:rFonts w:eastAsiaTheme="minorHAnsi"/>
          <w:sz w:val="22"/>
          <w:szCs w:val="22"/>
          <w:lang w:val="sr-Latn-ME"/>
        </w:rPr>
      </w:pPr>
    </w:p>
    <w:p w14:paraId="1413C995"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Progresivna multifokalna leukoencefalopatija (PML)</w:t>
      </w:r>
    </w:p>
    <w:p w14:paraId="56292208" w14:textId="77777777" w:rsidR="008E35E1" w:rsidRPr="00D264F7" w:rsidRDefault="008E35E1">
      <w:pPr>
        <w:widowControl w:val="0"/>
        <w:suppressLineNumbers/>
        <w:spacing w:line="259" w:lineRule="auto"/>
        <w:jc w:val="both"/>
        <w:rPr>
          <w:rFonts w:eastAsiaTheme="minorHAnsi"/>
          <w:sz w:val="22"/>
          <w:szCs w:val="22"/>
          <w:lang w:val="sr-Latn-ME"/>
        </w:rPr>
      </w:pPr>
    </w:p>
    <w:p w14:paraId="030B82FF" w14:textId="79C58B5F" w:rsidR="00995CF0" w:rsidRPr="00D264F7" w:rsidRDefault="00346F85">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PML je zab</w:t>
      </w:r>
      <w:r w:rsidR="004C46AF" w:rsidRPr="00D264F7">
        <w:rPr>
          <w:rFonts w:eastAsiaTheme="minorHAnsi"/>
          <w:sz w:val="22"/>
          <w:szCs w:val="22"/>
          <w:lang w:val="sr-Latn-ME"/>
        </w:rPr>
        <w:t>i</w:t>
      </w:r>
      <w:r w:rsidRPr="00D264F7">
        <w:rPr>
          <w:rFonts w:eastAsiaTheme="minorHAnsi"/>
          <w:sz w:val="22"/>
          <w:szCs w:val="22"/>
          <w:lang w:val="sr-Latn-ME"/>
        </w:rPr>
        <w:t>l</w:t>
      </w:r>
      <w:r w:rsidR="004C46AF" w:rsidRPr="00D264F7">
        <w:rPr>
          <w:rFonts w:eastAsiaTheme="minorHAnsi"/>
          <w:sz w:val="22"/>
          <w:szCs w:val="22"/>
          <w:lang w:val="sr-Latn-ME"/>
        </w:rPr>
        <w:t>j</w:t>
      </w:r>
      <w:r w:rsidRPr="00D264F7">
        <w:rPr>
          <w:rFonts w:eastAsiaTheme="minorHAnsi"/>
          <w:sz w:val="22"/>
          <w:szCs w:val="22"/>
          <w:lang w:val="sr-Latn-ME"/>
        </w:rPr>
        <w:t>ežena kod pacijenata l</w:t>
      </w:r>
      <w:r w:rsidR="004C46AF" w:rsidRPr="00D264F7">
        <w:rPr>
          <w:rFonts w:eastAsiaTheme="minorHAnsi"/>
          <w:sz w:val="22"/>
          <w:szCs w:val="22"/>
          <w:lang w:val="sr-Latn-ME"/>
        </w:rPr>
        <w:t>ij</w:t>
      </w:r>
      <w:r w:rsidRPr="00D264F7">
        <w:rPr>
          <w:rFonts w:eastAsiaTheme="minorHAnsi"/>
          <w:sz w:val="22"/>
          <w:szCs w:val="22"/>
          <w:lang w:val="sr-Latn-ME"/>
        </w:rPr>
        <w:t>ečenih l</w:t>
      </w:r>
      <w:r w:rsidR="004C46AF" w:rsidRPr="00D264F7">
        <w:rPr>
          <w:rFonts w:eastAsiaTheme="minorHAnsi"/>
          <w:sz w:val="22"/>
          <w:szCs w:val="22"/>
          <w:lang w:val="sr-Latn-ME"/>
        </w:rPr>
        <w:t>ij</w:t>
      </w:r>
      <w:r w:rsidRPr="00D264F7">
        <w:rPr>
          <w:rFonts w:eastAsiaTheme="minorHAnsi"/>
          <w:sz w:val="22"/>
          <w:szCs w:val="22"/>
          <w:lang w:val="sr-Latn-ME"/>
        </w:rPr>
        <w:t>ekom Tecfidera (vid</w:t>
      </w:r>
      <w:r w:rsidR="004C46AF" w:rsidRPr="00D264F7">
        <w:rPr>
          <w:rFonts w:eastAsiaTheme="minorHAnsi"/>
          <w:sz w:val="22"/>
          <w:szCs w:val="22"/>
          <w:lang w:val="sr-Latn-ME"/>
        </w:rPr>
        <w:t>j</w:t>
      </w:r>
      <w:r w:rsidRPr="00D264F7">
        <w:rPr>
          <w:rFonts w:eastAsiaTheme="minorHAnsi"/>
          <w:sz w:val="22"/>
          <w:szCs w:val="22"/>
          <w:lang w:val="sr-Latn-ME"/>
        </w:rPr>
        <w:t xml:space="preserve">eti </w:t>
      </w:r>
      <w:r w:rsidR="001B4579" w:rsidRPr="00D264F7">
        <w:rPr>
          <w:rFonts w:eastAsiaTheme="minorHAnsi"/>
          <w:sz w:val="22"/>
          <w:szCs w:val="22"/>
          <w:lang w:val="sr-Latn-ME"/>
        </w:rPr>
        <w:t xml:space="preserve">dio </w:t>
      </w:r>
      <w:r w:rsidRPr="00D264F7">
        <w:rPr>
          <w:rFonts w:eastAsiaTheme="minorHAnsi"/>
          <w:sz w:val="22"/>
          <w:szCs w:val="22"/>
          <w:lang w:val="sr-Latn-ME"/>
        </w:rPr>
        <w:t xml:space="preserve">4.8). </w:t>
      </w:r>
      <w:r w:rsidR="008E35E1" w:rsidRPr="00D264F7">
        <w:rPr>
          <w:rFonts w:eastAsiaTheme="minorHAnsi"/>
          <w:sz w:val="22"/>
          <w:szCs w:val="22"/>
          <w:lang w:val="sr-Latn-ME"/>
        </w:rPr>
        <w:t xml:space="preserve">PML je oportunistička infekcija uzrokovana John-Cunningham virusom (JCV), koja može biti smrtonosna ili uzrokovati tešku invalidnost. </w:t>
      </w:r>
    </w:p>
    <w:p w14:paraId="6BAD2E4D" w14:textId="77777777" w:rsidR="00995CF0" w:rsidRPr="00D264F7" w:rsidRDefault="00995CF0">
      <w:pPr>
        <w:widowControl w:val="0"/>
        <w:suppressLineNumbers/>
        <w:spacing w:line="259" w:lineRule="auto"/>
        <w:jc w:val="both"/>
        <w:rPr>
          <w:rFonts w:eastAsiaTheme="minorHAnsi"/>
          <w:sz w:val="22"/>
          <w:szCs w:val="22"/>
          <w:lang w:val="sr-Latn-ME"/>
        </w:rPr>
      </w:pPr>
    </w:p>
    <w:p w14:paraId="6DD62C9E" w14:textId="71CA6A46"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Slučajevi PML-a pojavili su se tokom prim</w:t>
      </w:r>
      <w:r w:rsidR="004C46AF" w:rsidRPr="00D264F7">
        <w:rPr>
          <w:rFonts w:eastAsiaTheme="minorHAnsi"/>
          <w:sz w:val="22"/>
          <w:szCs w:val="22"/>
          <w:lang w:val="sr-Latn-ME"/>
        </w:rPr>
        <w:t>j</w:t>
      </w:r>
      <w:r w:rsidRPr="00D264F7">
        <w:rPr>
          <w:rFonts w:eastAsiaTheme="minorHAnsi"/>
          <w:sz w:val="22"/>
          <w:szCs w:val="22"/>
          <w:lang w:val="sr-Latn-ME"/>
        </w:rPr>
        <w:t>ene dimetilfumarata i drugih l</w:t>
      </w:r>
      <w:r w:rsidR="004C46AF" w:rsidRPr="00D264F7">
        <w:rPr>
          <w:rFonts w:eastAsiaTheme="minorHAnsi"/>
          <w:sz w:val="22"/>
          <w:szCs w:val="22"/>
          <w:lang w:val="sr-Latn-ME"/>
        </w:rPr>
        <w:t>j</w:t>
      </w:r>
      <w:r w:rsidRPr="00D264F7">
        <w:rPr>
          <w:rFonts w:eastAsiaTheme="minorHAnsi"/>
          <w:sz w:val="22"/>
          <w:szCs w:val="22"/>
          <w:lang w:val="sr-Latn-ME"/>
        </w:rPr>
        <w:t xml:space="preserve">ekova koji sadrže fumarate u </w:t>
      </w:r>
      <w:r w:rsidRPr="00D264F7">
        <w:rPr>
          <w:rFonts w:eastAsiaTheme="minorHAnsi"/>
          <w:sz w:val="22"/>
          <w:szCs w:val="22"/>
          <w:lang w:val="sr-Latn-ME"/>
        </w:rPr>
        <w:lastRenderedPageBreak/>
        <w:t>stanju limfopenije (broj limfocita ispod donje granice normalnih vr</w:t>
      </w:r>
      <w:r w:rsidR="004C46AF" w:rsidRPr="00D264F7">
        <w:rPr>
          <w:rFonts w:eastAsiaTheme="minorHAnsi"/>
          <w:sz w:val="22"/>
          <w:szCs w:val="22"/>
          <w:lang w:val="sr-Latn-ME"/>
        </w:rPr>
        <w:t>ij</w:t>
      </w:r>
      <w:r w:rsidRPr="00D264F7">
        <w:rPr>
          <w:rFonts w:eastAsiaTheme="minorHAnsi"/>
          <w:sz w:val="22"/>
          <w:szCs w:val="22"/>
          <w:lang w:val="sr-Latn-ME"/>
        </w:rPr>
        <w:t>ednosti). Čini se da dugotrajna um</w:t>
      </w:r>
      <w:r w:rsidR="004C46AF" w:rsidRPr="00D264F7">
        <w:rPr>
          <w:rFonts w:eastAsiaTheme="minorHAnsi"/>
          <w:sz w:val="22"/>
          <w:szCs w:val="22"/>
          <w:lang w:val="sr-Latn-ME"/>
        </w:rPr>
        <w:t>j</w:t>
      </w:r>
      <w:r w:rsidRPr="00D264F7">
        <w:rPr>
          <w:rFonts w:eastAsiaTheme="minorHAnsi"/>
          <w:sz w:val="22"/>
          <w:szCs w:val="22"/>
          <w:lang w:val="sr-Latn-ME"/>
        </w:rPr>
        <w:t>erena do teška limfopenija povećava rizik od PML-a uz l</w:t>
      </w:r>
      <w:r w:rsidR="004C46AF" w:rsidRPr="00D264F7">
        <w:rPr>
          <w:rFonts w:eastAsiaTheme="minorHAnsi"/>
          <w:sz w:val="22"/>
          <w:szCs w:val="22"/>
          <w:lang w:val="sr-Latn-ME"/>
        </w:rPr>
        <w:t>ij</w:t>
      </w:r>
      <w:r w:rsidRPr="00D264F7">
        <w:rPr>
          <w:rFonts w:eastAsiaTheme="minorHAnsi"/>
          <w:sz w:val="22"/>
          <w:szCs w:val="22"/>
          <w:lang w:val="sr-Latn-ME"/>
        </w:rPr>
        <w:t xml:space="preserve">ek Tecfidera, ali se rizik ne može isključiti ni kod pacijenata s blagom limfopenijom. </w:t>
      </w:r>
    </w:p>
    <w:p w14:paraId="7D5BE8B3" w14:textId="77777777" w:rsidR="007763E7" w:rsidRPr="00D264F7" w:rsidRDefault="007763E7">
      <w:pPr>
        <w:widowControl w:val="0"/>
        <w:suppressLineNumbers/>
        <w:spacing w:line="259" w:lineRule="auto"/>
        <w:jc w:val="both"/>
        <w:rPr>
          <w:rFonts w:eastAsiaTheme="minorHAnsi"/>
          <w:sz w:val="22"/>
          <w:szCs w:val="22"/>
          <w:lang w:val="sr-Latn-ME"/>
        </w:rPr>
      </w:pPr>
    </w:p>
    <w:p w14:paraId="4C7AA8DA" w14:textId="4087AF38"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Dodatni faktori koji bi mogli doprin</w:t>
      </w:r>
      <w:r w:rsidR="007763E7" w:rsidRPr="00D264F7">
        <w:rPr>
          <w:rFonts w:eastAsiaTheme="minorHAnsi"/>
          <w:sz w:val="22"/>
          <w:szCs w:val="22"/>
          <w:lang w:val="sr-Latn-ME"/>
        </w:rPr>
        <w:t>ij</w:t>
      </w:r>
      <w:r w:rsidRPr="00D264F7">
        <w:rPr>
          <w:rFonts w:eastAsiaTheme="minorHAnsi"/>
          <w:sz w:val="22"/>
          <w:szCs w:val="22"/>
          <w:lang w:val="sr-Latn-ME"/>
        </w:rPr>
        <w:t xml:space="preserve">eti povećanom riziku od PML-a u stanju limfopenije su: </w:t>
      </w:r>
    </w:p>
    <w:p w14:paraId="18AC8BFD"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w:t>
      </w:r>
      <w:r w:rsidRPr="00D264F7">
        <w:rPr>
          <w:rFonts w:eastAsiaTheme="minorHAnsi"/>
          <w:sz w:val="22"/>
          <w:szCs w:val="22"/>
          <w:lang w:val="sr-Latn-ME"/>
        </w:rPr>
        <w:tab/>
        <w:t>trajanje terapije l</w:t>
      </w:r>
      <w:r w:rsidR="004C46AF" w:rsidRPr="00D264F7">
        <w:rPr>
          <w:rFonts w:eastAsiaTheme="minorHAnsi"/>
          <w:sz w:val="22"/>
          <w:szCs w:val="22"/>
          <w:lang w:val="sr-Latn-ME"/>
        </w:rPr>
        <w:t>ij</w:t>
      </w:r>
      <w:r w:rsidRPr="00D264F7">
        <w:rPr>
          <w:rFonts w:eastAsiaTheme="minorHAnsi"/>
          <w:sz w:val="22"/>
          <w:szCs w:val="22"/>
          <w:lang w:val="sr-Latn-ME"/>
        </w:rPr>
        <w:t>ekom Tecfidera. Slučajevi PML-a su se pojavili nakon približno 1 do 5 godina l</w:t>
      </w:r>
      <w:r w:rsidR="004C46AF" w:rsidRPr="00D264F7">
        <w:rPr>
          <w:rFonts w:eastAsiaTheme="minorHAnsi"/>
          <w:sz w:val="22"/>
          <w:szCs w:val="22"/>
          <w:lang w:val="sr-Latn-ME"/>
        </w:rPr>
        <w:t>ij</w:t>
      </w:r>
      <w:r w:rsidRPr="00D264F7">
        <w:rPr>
          <w:rFonts w:eastAsiaTheme="minorHAnsi"/>
          <w:sz w:val="22"/>
          <w:szCs w:val="22"/>
          <w:lang w:val="sr-Latn-ME"/>
        </w:rPr>
        <w:t>ečenja, mada tačna povezanost s trajanjem l</w:t>
      </w:r>
      <w:r w:rsidR="004C46AF" w:rsidRPr="00D264F7">
        <w:rPr>
          <w:rFonts w:eastAsiaTheme="minorHAnsi"/>
          <w:sz w:val="22"/>
          <w:szCs w:val="22"/>
          <w:lang w:val="sr-Latn-ME"/>
        </w:rPr>
        <w:t>ij</w:t>
      </w:r>
      <w:r w:rsidRPr="00D264F7">
        <w:rPr>
          <w:rFonts w:eastAsiaTheme="minorHAnsi"/>
          <w:sz w:val="22"/>
          <w:szCs w:val="22"/>
          <w:lang w:val="sr-Latn-ME"/>
        </w:rPr>
        <w:t xml:space="preserve">ečenja nije poznata. </w:t>
      </w:r>
    </w:p>
    <w:p w14:paraId="2E8325C1" w14:textId="2A80BE0A"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w:t>
      </w:r>
      <w:r w:rsidRPr="00D264F7">
        <w:rPr>
          <w:rFonts w:eastAsiaTheme="minorHAnsi"/>
          <w:sz w:val="22"/>
          <w:szCs w:val="22"/>
          <w:lang w:val="sr-Latn-ME"/>
        </w:rPr>
        <w:tab/>
        <w:t>značajna smanjenja broja T ćelija CD4+ i naročito CD8+, koje su važne za imunsku odbranu (vid</w:t>
      </w:r>
      <w:r w:rsidR="004C46AF" w:rsidRPr="00D264F7">
        <w:rPr>
          <w:rFonts w:eastAsiaTheme="minorHAnsi"/>
          <w:sz w:val="22"/>
          <w:szCs w:val="22"/>
          <w:lang w:val="sr-Latn-ME"/>
        </w:rPr>
        <w:t>j</w:t>
      </w:r>
      <w:r w:rsidRPr="00D264F7">
        <w:rPr>
          <w:rFonts w:eastAsiaTheme="minorHAnsi"/>
          <w:sz w:val="22"/>
          <w:szCs w:val="22"/>
          <w:lang w:val="sr-Latn-ME"/>
        </w:rPr>
        <w:t xml:space="preserve">eti </w:t>
      </w:r>
      <w:r w:rsidR="007763E7" w:rsidRPr="00D264F7">
        <w:rPr>
          <w:rFonts w:eastAsiaTheme="minorHAnsi"/>
          <w:sz w:val="22"/>
          <w:szCs w:val="22"/>
          <w:lang w:val="sr-Latn-ME"/>
        </w:rPr>
        <w:t xml:space="preserve">dio </w:t>
      </w:r>
      <w:r w:rsidRPr="00D264F7">
        <w:rPr>
          <w:rFonts w:eastAsiaTheme="minorHAnsi"/>
          <w:sz w:val="22"/>
          <w:szCs w:val="22"/>
          <w:lang w:val="sr-Latn-ME"/>
        </w:rPr>
        <w:t xml:space="preserve">4.8). </w:t>
      </w:r>
    </w:p>
    <w:p w14:paraId="784C2378" w14:textId="23C5F099"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w:t>
      </w:r>
      <w:r w:rsidRPr="00D264F7">
        <w:rPr>
          <w:rFonts w:eastAsiaTheme="minorHAnsi"/>
          <w:sz w:val="22"/>
          <w:szCs w:val="22"/>
          <w:lang w:val="sr-Latn-ME"/>
        </w:rPr>
        <w:tab/>
        <w:t>prethodna imunosupresivna ili imunomodulatorna terapija (vid</w:t>
      </w:r>
      <w:r w:rsidR="007763E7" w:rsidRPr="00D264F7">
        <w:rPr>
          <w:rFonts w:eastAsiaTheme="minorHAnsi"/>
          <w:sz w:val="22"/>
          <w:szCs w:val="22"/>
          <w:lang w:val="sr-Latn-ME"/>
        </w:rPr>
        <w:t>j</w:t>
      </w:r>
      <w:r w:rsidRPr="00D264F7">
        <w:rPr>
          <w:rFonts w:eastAsiaTheme="minorHAnsi"/>
          <w:sz w:val="22"/>
          <w:szCs w:val="22"/>
          <w:lang w:val="sr-Latn-ME"/>
        </w:rPr>
        <w:t>eti u nastavku).</w:t>
      </w:r>
    </w:p>
    <w:p w14:paraId="1BF9A1F1"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 </w:t>
      </w:r>
    </w:p>
    <w:p w14:paraId="52C64B07"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L</w:t>
      </w:r>
      <w:r w:rsidR="004C46AF" w:rsidRPr="00D264F7">
        <w:rPr>
          <w:rFonts w:eastAsiaTheme="minorHAnsi"/>
          <w:sz w:val="22"/>
          <w:szCs w:val="22"/>
          <w:lang w:val="sr-Latn-ME"/>
        </w:rPr>
        <w:t>j</w:t>
      </w:r>
      <w:r w:rsidRPr="00D264F7">
        <w:rPr>
          <w:rFonts w:eastAsiaTheme="minorHAnsi"/>
          <w:sz w:val="22"/>
          <w:szCs w:val="22"/>
          <w:lang w:val="sr-Latn-ME"/>
        </w:rPr>
        <w:t>ekari moraju proc</w:t>
      </w:r>
      <w:r w:rsidR="004C46AF" w:rsidRPr="00D264F7">
        <w:rPr>
          <w:rFonts w:eastAsiaTheme="minorHAnsi"/>
          <w:sz w:val="22"/>
          <w:szCs w:val="22"/>
          <w:lang w:val="sr-Latn-ME"/>
        </w:rPr>
        <w:t>ij</w:t>
      </w:r>
      <w:r w:rsidRPr="00D264F7">
        <w:rPr>
          <w:rFonts w:eastAsiaTheme="minorHAnsi"/>
          <w:sz w:val="22"/>
          <w:szCs w:val="22"/>
          <w:lang w:val="sr-Latn-ME"/>
        </w:rPr>
        <w:t>eniti stanje svojih pacijenata kako bi utvrdili da li simptomi ukazuju na neurološku disfunkciju i, ako je tako, da li su ti simptomi tipični za MS ili možda ukazuju na PML.</w:t>
      </w:r>
    </w:p>
    <w:p w14:paraId="10B4D5EC" w14:textId="77777777" w:rsidR="001C605F" w:rsidRDefault="001C605F">
      <w:pPr>
        <w:widowControl w:val="0"/>
        <w:suppressLineNumbers/>
        <w:spacing w:line="259" w:lineRule="auto"/>
        <w:jc w:val="both"/>
        <w:rPr>
          <w:rFonts w:eastAsiaTheme="minorHAnsi"/>
          <w:sz w:val="22"/>
          <w:szCs w:val="22"/>
          <w:lang w:val="sr-Latn-ME"/>
        </w:rPr>
      </w:pPr>
    </w:p>
    <w:p w14:paraId="5A5B6FBE" w14:textId="7DBE8302"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Kod prvog znaka ili simptoma koji ukazuje na PML, treba prekinuti primjenu lijeka Tecfidera  i sprovesti odgovarajuće dijagnostičke procjene</w:t>
      </w:r>
      <w:r w:rsidR="00995CF0" w:rsidRPr="00D264F7">
        <w:rPr>
          <w:rFonts w:eastAsiaTheme="minorHAnsi"/>
          <w:sz w:val="22"/>
          <w:szCs w:val="22"/>
          <w:lang w:val="sr-Latn-ME"/>
        </w:rPr>
        <w:t>, uključujući utvrđivanje DNK-a JCV-a u cerebrospinalnoj tečnosti metodom kvantitativne lančane reakcije polimeraze (PCR).</w:t>
      </w:r>
      <w:r w:rsidRPr="00D264F7">
        <w:rPr>
          <w:rFonts w:eastAsiaTheme="minorHAnsi"/>
          <w:sz w:val="22"/>
          <w:szCs w:val="22"/>
          <w:lang w:val="sr-Latn-ME"/>
        </w:rPr>
        <w:t xml:space="preserve"> Simptomi PML-a mogu biti slični onima kod relapsa MS-a. Tipični simptomi povezani sa PML-om su raznovrsni, razvijaju se danima ili nedjeljama, a uključuju progresivnu slabost na jednoj strani tijela ili nespretnost udova, poremećaj vida, te promjene u razmišljanju, pamćenju i orijentaciji, što dovodi do smetenosti i promjena ličnosti.</w:t>
      </w:r>
      <w:r w:rsidR="00995CF0" w:rsidRPr="00D264F7">
        <w:rPr>
          <w:rFonts w:eastAsiaTheme="minorHAnsi"/>
          <w:sz w:val="22"/>
          <w:szCs w:val="22"/>
          <w:lang w:val="sr-Latn-ME"/>
        </w:rPr>
        <w:t xml:space="preserve"> L</w:t>
      </w:r>
      <w:r w:rsidR="000B6972" w:rsidRPr="00D264F7">
        <w:rPr>
          <w:rFonts w:eastAsiaTheme="minorHAnsi"/>
          <w:sz w:val="22"/>
          <w:szCs w:val="22"/>
          <w:lang w:val="sr-Latn-ME"/>
        </w:rPr>
        <w:t>j</w:t>
      </w:r>
      <w:r w:rsidR="00995CF0" w:rsidRPr="00D264F7">
        <w:rPr>
          <w:rFonts w:eastAsiaTheme="minorHAnsi"/>
          <w:sz w:val="22"/>
          <w:szCs w:val="22"/>
          <w:lang w:val="sr-Latn-ME"/>
        </w:rPr>
        <w:t>ekari moraju obratiti posebnu pažnju na simptome koji ukazuju na PML, a koje pacijent možda neće prim</w:t>
      </w:r>
      <w:r w:rsidR="000B6972" w:rsidRPr="00D264F7">
        <w:rPr>
          <w:rFonts w:eastAsiaTheme="minorHAnsi"/>
          <w:sz w:val="22"/>
          <w:szCs w:val="22"/>
          <w:lang w:val="sr-Latn-ME"/>
        </w:rPr>
        <w:t>ij</w:t>
      </w:r>
      <w:r w:rsidR="00995CF0" w:rsidRPr="00D264F7">
        <w:rPr>
          <w:rFonts w:eastAsiaTheme="minorHAnsi"/>
          <w:sz w:val="22"/>
          <w:szCs w:val="22"/>
          <w:lang w:val="sr-Latn-ME"/>
        </w:rPr>
        <w:t>etiti. Pacijente takođe treba sav</w:t>
      </w:r>
      <w:r w:rsidR="000B6972" w:rsidRPr="00D264F7">
        <w:rPr>
          <w:rFonts w:eastAsiaTheme="minorHAnsi"/>
          <w:sz w:val="22"/>
          <w:szCs w:val="22"/>
          <w:lang w:val="sr-Latn-ME"/>
        </w:rPr>
        <w:t>j</w:t>
      </w:r>
      <w:r w:rsidR="00995CF0" w:rsidRPr="00D264F7">
        <w:rPr>
          <w:rFonts w:eastAsiaTheme="minorHAnsi"/>
          <w:sz w:val="22"/>
          <w:szCs w:val="22"/>
          <w:lang w:val="sr-Latn-ME"/>
        </w:rPr>
        <w:t>etovati da obav</w:t>
      </w:r>
      <w:r w:rsidR="000B6972" w:rsidRPr="00D264F7">
        <w:rPr>
          <w:rFonts w:eastAsiaTheme="minorHAnsi"/>
          <w:sz w:val="22"/>
          <w:szCs w:val="22"/>
          <w:lang w:val="sr-Latn-ME"/>
        </w:rPr>
        <w:t>ij</w:t>
      </w:r>
      <w:r w:rsidR="00995CF0" w:rsidRPr="00D264F7">
        <w:rPr>
          <w:rFonts w:eastAsiaTheme="minorHAnsi"/>
          <w:sz w:val="22"/>
          <w:szCs w:val="22"/>
          <w:lang w:val="sr-Latn-ME"/>
        </w:rPr>
        <w:t>este svog partnera ili negovatelje o svom l</w:t>
      </w:r>
      <w:r w:rsidR="000B6972" w:rsidRPr="00D264F7">
        <w:rPr>
          <w:rFonts w:eastAsiaTheme="minorHAnsi"/>
          <w:sz w:val="22"/>
          <w:szCs w:val="22"/>
          <w:lang w:val="sr-Latn-ME"/>
        </w:rPr>
        <w:t>ij</w:t>
      </w:r>
      <w:r w:rsidR="00995CF0" w:rsidRPr="00D264F7">
        <w:rPr>
          <w:rFonts w:eastAsiaTheme="minorHAnsi"/>
          <w:sz w:val="22"/>
          <w:szCs w:val="22"/>
          <w:lang w:val="sr-Latn-ME"/>
        </w:rPr>
        <w:t>ečenju, jer oni mogu prim</w:t>
      </w:r>
      <w:r w:rsidR="000B6972" w:rsidRPr="00D264F7">
        <w:rPr>
          <w:rFonts w:eastAsiaTheme="minorHAnsi"/>
          <w:sz w:val="22"/>
          <w:szCs w:val="22"/>
          <w:lang w:val="sr-Latn-ME"/>
        </w:rPr>
        <w:t>ij</w:t>
      </w:r>
      <w:r w:rsidR="00995CF0" w:rsidRPr="00D264F7">
        <w:rPr>
          <w:rFonts w:eastAsiaTheme="minorHAnsi"/>
          <w:sz w:val="22"/>
          <w:szCs w:val="22"/>
          <w:lang w:val="sr-Latn-ME"/>
        </w:rPr>
        <w:t>etiti simptome kojih pacijent nije sv</w:t>
      </w:r>
      <w:r w:rsidR="007763E7" w:rsidRPr="00D264F7">
        <w:rPr>
          <w:rFonts w:eastAsiaTheme="minorHAnsi"/>
          <w:sz w:val="22"/>
          <w:szCs w:val="22"/>
          <w:lang w:val="sr-Latn-ME"/>
        </w:rPr>
        <w:t>j</w:t>
      </w:r>
      <w:r w:rsidR="00995CF0" w:rsidRPr="00D264F7">
        <w:rPr>
          <w:rFonts w:eastAsiaTheme="minorHAnsi"/>
          <w:sz w:val="22"/>
          <w:szCs w:val="22"/>
          <w:lang w:val="sr-Latn-ME"/>
        </w:rPr>
        <w:t>estan</w:t>
      </w:r>
      <w:r w:rsidR="007763E7" w:rsidRPr="00D264F7">
        <w:rPr>
          <w:rFonts w:eastAsiaTheme="minorHAnsi"/>
          <w:sz w:val="22"/>
          <w:szCs w:val="22"/>
          <w:lang w:val="sr-Latn-ME"/>
        </w:rPr>
        <w:t>.</w:t>
      </w:r>
    </w:p>
    <w:p w14:paraId="00DAB1A1" w14:textId="77777777" w:rsidR="008E35E1" w:rsidRPr="00D264F7" w:rsidRDefault="008E35E1">
      <w:pPr>
        <w:widowControl w:val="0"/>
        <w:suppressLineNumbers/>
        <w:spacing w:line="259" w:lineRule="auto"/>
        <w:jc w:val="both"/>
        <w:rPr>
          <w:rFonts w:eastAsiaTheme="minorHAnsi"/>
          <w:sz w:val="22"/>
          <w:szCs w:val="22"/>
          <w:lang w:val="sr-Latn-ME"/>
        </w:rPr>
      </w:pPr>
    </w:p>
    <w:p w14:paraId="60DD2CA7"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PML se može javiti samo u prisustvu JCV infekcije. Ako je sprovedeno JCV testiranje, treba uzeti u obzir da uticaj limfopenije na preciznost testiranja na anti-JCV antit</w:t>
      </w:r>
      <w:r w:rsidR="000B6972" w:rsidRPr="00D264F7">
        <w:rPr>
          <w:rFonts w:eastAsiaTheme="minorHAnsi"/>
          <w:sz w:val="22"/>
          <w:szCs w:val="22"/>
          <w:lang w:val="sr-Latn-ME"/>
        </w:rPr>
        <w:t>ij</w:t>
      </w:r>
      <w:r w:rsidRPr="00D264F7">
        <w:rPr>
          <w:rFonts w:eastAsiaTheme="minorHAnsi"/>
          <w:sz w:val="22"/>
          <w:szCs w:val="22"/>
          <w:lang w:val="sr-Latn-ME"/>
        </w:rPr>
        <w:t>ela u serumu nije ispitan kod pacijenata koji se l</w:t>
      </w:r>
      <w:r w:rsidR="000B6972" w:rsidRPr="00D264F7">
        <w:rPr>
          <w:rFonts w:eastAsiaTheme="minorHAnsi"/>
          <w:sz w:val="22"/>
          <w:szCs w:val="22"/>
          <w:lang w:val="sr-Latn-ME"/>
        </w:rPr>
        <w:t>ij</w:t>
      </w:r>
      <w:r w:rsidRPr="00D264F7">
        <w:rPr>
          <w:rFonts w:eastAsiaTheme="minorHAnsi"/>
          <w:sz w:val="22"/>
          <w:szCs w:val="22"/>
          <w:lang w:val="sr-Latn-ME"/>
        </w:rPr>
        <w:t>eče dimetilfumaratom. Takođe, treba napomenuti da negativan test na anti-JCV antit</w:t>
      </w:r>
      <w:r w:rsidR="000B6972" w:rsidRPr="00D264F7">
        <w:rPr>
          <w:rFonts w:eastAsiaTheme="minorHAnsi"/>
          <w:sz w:val="22"/>
          <w:szCs w:val="22"/>
          <w:lang w:val="sr-Latn-ME"/>
        </w:rPr>
        <w:t>ij</w:t>
      </w:r>
      <w:r w:rsidRPr="00D264F7">
        <w:rPr>
          <w:rFonts w:eastAsiaTheme="minorHAnsi"/>
          <w:sz w:val="22"/>
          <w:szCs w:val="22"/>
          <w:lang w:val="sr-Latn-ME"/>
        </w:rPr>
        <w:t>ela (u prisustvu normalnog broja limfocita) ne isključuje mogućnost naknadne JCV infekcije.</w:t>
      </w:r>
    </w:p>
    <w:p w14:paraId="2006E13B" w14:textId="77777777" w:rsidR="00995CF0" w:rsidRPr="00D264F7" w:rsidRDefault="00995CF0">
      <w:pPr>
        <w:widowControl w:val="0"/>
        <w:suppressLineNumbers/>
        <w:spacing w:line="259" w:lineRule="auto"/>
        <w:jc w:val="both"/>
        <w:rPr>
          <w:rFonts w:eastAsiaTheme="minorHAnsi"/>
          <w:sz w:val="22"/>
          <w:szCs w:val="22"/>
          <w:lang w:val="sr-Latn-ME"/>
        </w:rPr>
      </w:pPr>
    </w:p>
    <w:p w14:paraId="42FB5C37"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Ako se kod pacijenta razvije PML, treba trajno prekinuti l</w:t>
      </w:r>
      <w:r w:rsidR="007C307C" w:rsidRPr="00D264F7">
        <w:rPr>
          <w:rFonts w:eastAsiaTheme="minorHAnsi"/>
          <w:sz w:val="22"/>
          <w:szCs w:val="22"/>
          <w:lang w:val="sr-Latn-ME"/>
        </w:rPr>
        <w:t>ij</w:t>
      </w:r>
      <w:r w:rsidRPr="00D264F7">
        <w:rPr>
          <w:rFonts w:eastAsiaTheme="minorHAnsi"/>
          <w:sz w:val="22"/>
          <w:szCs w:val="22"/>
          <w:lang w:val="sr-Latn-ME"/>
        </w:rPr>
        <w:t>ečenje l</w:t>
      </w:r>
      <w:r w:rsidR="007C307C" w:rsidRPr="00D264F7">
        <w:rPr>
          <w:rFonts w:eastAsiaTheme="minorHAnsi"/>
          <w:sz w:val="22"/>
          <w:szCs w:val="22"/>
          <w:lang w:val="sr-Latn-ME"/>
        </w:rPr>
        <w:t>ij</w:t>
      </w:r>
      <w:r w:rsidRPr="00D264F7">
        <w:rPr>
          <w:rFonts w:eastAsiaTheme="minorHAnsi"/>
          <w:sz w:val="22"/>
          <w:szCs w:val="22"/>
          <w:lang w:val="sr-Latn-ME"/>
        </w:rPr>
        <w:t>ekom Tecfidera.</w:t>
      </w:r>
    </w:p>
    <w:p w14:paraId="400D8445" w14:textId="77777777" w:rsidR="00995CF0" w:rsidRPr="00D264F7" w:rsidRDefault="00995CF0">
      <w:pPr>
        <w:widowControl w:val="0"/>
        <w:suppressLineNumbers/>
        <w:spacing w:line="259" w:lineRule="auto"/>
        <w:jc w:val="both"/>
        <w:rPr>
          <w:rFonts w:eastAsiaTheme="minorHAnsi"/>
          <w:sz w:val="22"/>
          <w:szCs w:val="22"/>
          <w:lang w:val="sr-Latn-ME"/>
        </w:rPr>
      </w:pPr>
    </w:p>
    <w:p w14:paraId="6198202F"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Prethodne imunosupresivne ili imunomodulirajuće terapije</w:t>
      </w:r>
    </w:p>
    <w:p w14:paraId="2417921A" w14:textId="77777777" w:rsidR="008E35E1" w:rsidRPr="00D264F7" w:rsidRDefault="008E35E1">
      <w:pPr>
        <w:widowControl w:val="0"/>
        <w:suppressLineNumbers/>
        <w:spacing w:line="259" w:lineRule="auto"/>
        <w:jc w:val="both"/>
        <w:rPr>
          <w:rFonts w:eastAsiaTheme="minorHAnsi"/>
          <w:sz w:val="22"/>
          <w:szCs w:val="22"/>
          <w:lang w:val="sr-Latn-ME"/>
        </w:rPr>
      </w:pPr>
    </w:p>
    <w:p w14:paraId="374CBFEB" w14:textId="77777777" w:rsidR="00995CF0"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Nijesu sprovedena ispitivanja procjene efikasnosti i bezbjednosti lijeka Tecfidera prilikom prelaska pacijenata sa druge terapije koja modifikuje tok bolesti, na lijek Tecfidera. Doprinos prethodne imunosupresivne terapije razvoju PML-a kod pacijenata liječenih dimetilfumaratom je </w:t>
      </w:r>
      <w:r w:rsidR="00995CF0" w:rsidRPr="00D264F7">
        <w:rPr>
          <w:rFonts w:eastAsiaTheme="minorHAnsi"/>
          <w:sz w:val="22"/>
          <w:szCs w:val="22"/>
          <w:lang w:val="sr-Latn-ME"/>
        </w:rPr>
        <w:t>moguć</w:t>
      </w:r>
      <w:r w:rsidRPr="00D264F7">
        <w:rPr>
          <w:rFonts w:eastAsiaTheme="minorHAnsi"/>
          <w:sz w:val="22"/>
          <w:szCs w:val="22"/>
          <w:lang w:val="sr-Latn-ME"/>
        </w:rPr>
        <w:t xml:space="preserve">. </w:t>
      </w:r>
    </w:p>
    <w:p w14:paraId="166B775C" w14:textId="77777777" w:rsidR="00995CF0" w:rsidRPr="00D264F7" w:rsidRDefault="00995CF0">
      <w:pPr>
        <w:widowControl w:val="0"/>
        <w:suppressLineNumbers/>
        <w:spacing w:line="259" w:lineRule="auto"/>
        <w:jc w:val="both"/>
        <w:rPr>
          <w:rFonts w:eastAsiaTheme="minorHAnsi"/>
          <w:sz w:val="22"/>
          <w:szCs w:val="22"/>
          <w:lang w:val="sr-Latn-ME"/>
        </w:rPr>
      </w:pPr>
    </w:p>
    <w:p w14:paraId="33CEC7DC" w14:textId="49D7B3AB"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Slučajevi PML-a su </w:t>
      </w:r>
      <w:r w:rsidR="0063163E">
        <w:rPr>
          <w:rFonts w:eastAsiaTheme="minorHAnsi"/>
          <w:sz w:val="22"/>
          <w:szCs w:val="22"/>
          <w:lang w:val="sr-Latn-ME"/>
        </w:rPr>
        <w:t>prijavljeni</w:t>
      </w:r>
      <w:r w:rsidRPr="00D264F7">
        <w:rPr>
          <w:rFonts w:eastAsiaTheme="minorHAnsi"/>
          <w:sz w:val="22"/>
          <w:szCs w:val="22"/>
          <w:lang w:val="sr-Latn-ME"/>
        </w:rPr>
        <w:t xml:space="preserve"> kod pacijenata koji su prethodno l</w:t>
      </w:r>
      <w:r w:rsidR="007C307C" w:rsidRPr="00D264F7">
        <w:rPr>
          <w:rFonts w:eastAsiaTheme="minorHAnsi"/>
          <w:sz w:val="22"/>
          <w:szCs w:val="22"/>
          <w:lang w:val="sr-Latn-ME"/>
        </w:rPr>
        <w:t>ij</w:t>
      </w:r>
      <w:r w:rsidRPr="00D264F7">
        <w:rPr>
          <w:rFonts w:eastAsiaTheme="minorHAnsi"/>
          <w:sz w:val="22"/>
          <w:szCs w:val="22"/>
          <w:lang w:val="sr-Latn-ME"/>
        </w:rPr>
        <w:t>ečeni natalizumabom, za koje je PML utvrđeni rizik. L</w:t>
      </w:r>
      <w:r w:rsidR="007C307C" w:rsidRPr="00D264F7">
        <w:rPr>
          <w:rFonts w:eastAsiaTheme="minorHAnsi"/>
          <w:sz w:val="22"/>
          <w:szCs w:val="22"/>
          <w:lang w:val="sr-Latn-ME"/>
        </w:rPr>
        <w:t>j</w:t>
      </w:r>
      <w:r w:rsidRPr="00D264F7">
        <w:rPr>
          <w:rFonts w:eastAsiaTheme="minorHAnsi"/>
          <w:sz w:val="22"/>
          <w:szCs w:val="22"/>
          <w:lang w:val="sr-Latn-ME"/>
        </w:rPr>
        <w:t>ekari moraju imati na umu da slučajevi PML-a do kojih je došlo nakon nedavnog prekida l</w:t>
      </w:r>
      <w:r w:rsidR="007C307C" w:rsidRPr="00D264F7">
        <w:rPr>
          <w:rFonts w:eastAsiaTheme="minorHAnsi"/>
          <w:sz w:val="22"/>
          <w:szCs w:val="22"/>
          <w:lang w:val="sr-Latn-ME"/>
        </w:rPr>
        <w:t>ij</w:t>
      </w:r>
      <w:r w:rsidRPr="00D264F7">
        <w:rPr>
          <w:rFonts w:eastAsiaTheme="minorHAnsi"/>
          <w:sz w:val="22"/>
          <w:szCs w:val="22"/>
          <w:lang w:val="sr-Latn-ME"/>
        </w:rPr>
        <w:t>ečenja natalizumabom možda ne uključuju limfopeniju.</w:t>
      </w:r>
    </w:p>
    <w:p w14:paraId="1ED608AF"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 </w:t>
      </w:r>
    </w:p>
    <w:p w14:paraId="1417D92D" w14:textId="77777777" w:rsidR="00995CF0" w:rsidRPr="00D264F7" w:rsidRDefault="00995CF0">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Pored toga, do većine potvrđenih slučajeva PML-a povezanih s l</w:t>
      </w:r>
      <w:r w:rsidR="007C307C" w:rsidRPr="00D264F7">
        <w:rPr>
          <w:rFonts w:eastAsiaTheme="minorHAnsi"/>
          <w:sz w:val="22"/>
          <w:szCs w:val="22"/>
          <w:lang w:val="sr-Latn-ME"/>
        </w:rPr>
        <w:t>ij</w:t>
      </w:r>
      <w:r w:rsidRPr="00D264F7">
        <w:rPr>
          <w:rFonts w:eastAsiaTheme="minorHAnsi"/>
          <w:sz w:val="22"/>
          <w:szCs w:val="22"/>
          <w:lang w:val="sr-Latn-ME"/>
        </w:rPr>
        <w:t>ekom Tecfidera došlo je kod pacijenata koji su prethodno primali imunomodulatornu terapiju.</w:t>
      </w:r>
    </w:p>
    <w:p w14:paraId="71F33E47" w14:textId="77777777" w:rsidR="00995CF0" w:rsidRPr="00D264F7" w:rsidRDefault="00995CF0">
      <w:pPr>
        <w:widowControl w:val="0"/>
        <w:suppressLineNumbers/>
        <w:spacing w:line="259" w:lineRule="auto"/>
        <w:jc w:val="both"/>
        <w:rPr>
          <w:rFonts w:eastAsiaTheme="minorHAnsi"/>
          <w:sz w:val="22"/>
          <w:szCs w:val="22"/>
          <w:lang w:val="sr-Latn-ME"/>
        </w:rPr>
      </w:pPr>
    </w:p>
    <w:p w14:paraId="1BA92D12"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Kod prelaska pacijenata sa druge terapije koja modifikuje tok bolesti na lijek Tecfidera, treba razmotriti poluvrijeme eliminacije i mehanizam djelovanja druge terapije, kako bi se izbjegao aditivni imunološki efekat, uz istovremeno smanjenje rizika od reaktivacije MS-a. </w:t>
      </w:r>
    </w:p>
    <w:p w14:paraId="4432C802" w14:textId="77777777" w:rsidR="008E35E1" w:rsidRPr="00D264F7" w:rsidRDefault="008E35E1">
      <w:pPr>
        <w:widowControl w:val="0"/>
        <w:suppressLineNumbers/>
        <w:spacing w:line="259" w:lineRule="auto"/>
        <w:jc w:val="both"/>
        <w:rPr>
          <w:rFonts w:eastAsiaTheme="minorHAnsi"/>
          <w:sz w:val="22"/>
          <w:szCs w:val="22"/>
          <w:lang w:val="sr-Latn-ME"/>
        </w:rPr>
      </w:pPr>
    </w:p>
    <w:p w14:paraId="6B2FBE9B"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Preporučuje se analiza kompletne krvne slike prije početka primjene lijeka Tecfidera i redovno tokom liječenja (vidjeti Krvni/laboratorijski testovi u tekstu iznad).</w:t>
      </w:r>
    </w:p>
    <w:p w14:paraId="21B01DE5" w14:textId="7E992906" w:rsidR="008E35E1" w:rsidRDefault="008E35E1">
      <w:pPr>
        <w:widowControl w:val="0"/>
        <w:suppressLineNumbers/>
        <w:spacing w:line="259" w:lineRule="auto"/>
        <w:jc w:val="both"/>
        <w:rPr>
          <w:rFonts w:eastAsiaTheme="minorHAnsi"/>
          <w:sz w:val="22"/>
          <w:szCs w:val="22"/>
          <w:lang w:val="sr-Latn-ME"/>
        </w:rPr>
      </w:pPr>
    </w:p>
    <w:p w14:paraId="54C7CE3A" w14:textId="36F68279" w:rsidR="0080276E" w:rsidRDefault="0080276E">
      <w:pPr>
        <w:widowControl w:val="0"/>
        <w:suppressLineNumbers/>
        <w:spacing w:line="259" w:lineRule="auto"/>
        <w:jc w:val="both"/>
        <w:rPr>
          <w:rFonts w:eastAsiaTheme="minorHAnsi"/>
          <w:sz w:val="22"/>
          <w:szCs w:val="22"/>
          <w:lang w:val="sr-Latn-ME"/>
        </w:rPr>
      </w:pPr>
    </w:p>
    <w:p w14:paraId="29F8222B" w14:textId="77777777" w:rsidR="0080276E" w:rsidRPr="00D264F7" w:rsidRDefault="0080276E">
      <w:pPr>
        <w:widowControl w:val="0"/>
        <w:suppressLineNumbers/>
        <w:spacing w:line="259" w:lineRule="auto"/>
        <w:jc w:val="both"/>
        <w:rPr>
          <w:rFonts w:eastAsiaTheme="minorHAnsi"/>
          <w:sz w:val="22"/>
          <w:szCs w:val="22"/>
          <w:lang w:val="sr-Latn-ME"/>
        </w:rPr>
      </w:pPr>
    </w:p>
    <w:p w14:paraId="7C77AF15" w14:textId="2FEAF476"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lastRenderedPageBreak/>
        <w:t>Teško oštećenje bubrega i</w:t>
      </w:r>
      <w:r w:rsidR="00C14A4A">
        <w:rPr>
          <w:rFonts w:eastAsiaTheme="minorHAnsi"/>
          <w:sz w:val="22"/>
          <w:szCs w:val="22"/>
          <w:u w:val="single"/>
          <w:lang w:val="sr-Latn-ME"/>
        </w:rPr>
        <w:t>li</w:t>
      </w:r>
      <w:r w:rsidRPr="00D264F7">
        <w:rPr>
          <w:rFonts w:eastAsiaTheme="minorHAnsi"/>
          <w:sz w:val="22"/>
          <w:szCs w:val="22"/>
          <w:u w:val="single"/>
          <w:lang w:val="sr-Latn-ME"/>
        </w:rPr>
        <w:t xml:space="preserve"> jetre</w:t>
      </w:r>
    </w:p>
    <w:p w14:paraId="1684B11E" w14:textId="77777777" w:rsidR="008E35E1" w:rsidRPr="00D264F7" w:rsidRDefault="008E35E1">
      <w:pPr>
        <w:widowControl w:val="0"/>
        <w:suppressLineNumbers/>
        <w:spacing w:line="259" w:lineRule="auto"/>
        <w:jc w:val="both"/>
        <w:rPr>
          <w:rFonts w:eastAsiaTheme="minorHAnsi"/>
          <w:sz w:val="22"/>
          <w:szCs w:val="22"/>
          <w:lang w:val="sr-Latn-ME"/>
        </w:rPr>
      </w:pPr>
    </w:p>
    <w:p w14:paraId="7B8B825E"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Lijek Tecfidera nije ispitivan kod pacijenata sa teškim oštećenjem bubrega ili jetre, zato je potreban oprez kod liječenja ovih pacijenata (vidjeti dio 4.2).</w:t>
      </w:r>
    </w:p>
    <w:p w14:paraId="32155260" w14:textId="77777777" w:rsidR="008E35E1" w:rsidRPr="00D264F7" w:rsidRDefault="008E35E1">
      <w:pPr>
        <w:widowControl w:val="0"/>
        <w:suppressLineNumbers/>
        <w:spacing w:line="259" w:lineRule="auto"/>
        <w:jc w:val="both"/>
        <w:rPr>
          <w:rFonts w:eastAsiaTheme="minorHAnsi"/>
          <w:sz w:val="22"/>
          <w:szCs w:val="22"/>
          <w:lang w:val="sr-Latn-ME"/>
        </w:rPr>
      </w:pPr>
    </w:p>
    <w:p w14:paraId="7705FB06"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 xml:space="preserve">Teška aktivna bolest </w:t>
      </w:r>
      <w:r w:rsidRPr="00D264F7">
        <w:rPr>
          <w:rFonts w:eastAsia="SimSun"/>
          <w:sz w:val="22"/>
          <w:szCs w:val="22"/>
          <w:u w:val="single"/>
          <w:lang w:val="sr-Latn-ME" w:eastAsia="ar-SA"/>
        </w:rPr>
        <w:t>digestivnog trakta</w:t>
      </w:r>
    </w:p>
    <w:p w14:paraId="3B7C0054" w14:textId="77777777" w:rsidR="008E35E1" w:rsidRPr="00D264F7" w:rsidRDefault="008E35E1">
      <w:pPr>
        <w:widowControl w:val="0"/>
        <w:suppressLineNumbers/>
        <w:spacing w:line="259" w:lineRule="auto"/>
        <w:jc w:val="both"/>
        <w:rPr>
          <w:rFonts w:eastAsiaTheme="minorHAnsi"/>
          <w:sz w:val="22"/>
          <w:szCs w:val="22"/>
          <w:lang w:val="sr-Latn-ME"/>
        </w:rPr>
      </w:pPr>
    </w:p>
    <w:p w14:paraId="1F2566C4"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Lijek Tecfidera nije ispitivan kod pacijenata sa teškom aktivnom bolešću digestivnog trakta, pa je potreban oprez kod liječenja ovih pacijenata.</w:t>
      </w:r>
    </w:p>
    <w:p w14:paraId="78E43548" w14:textId="77777777" w:rsidR="008E35E1" w:rsidRPr="00D264F7" w:rsidRDefault="008E35E1">
      <w:pPr>
        <w:widowControl w:val="0"/>
        <w:suppressLineNumbers/>
        <w:spacing w:line="259" w:lineRule="auto"/>
        <w:jc w:val="both"/>
        <w:rPr>
          <w:rFonts w:eastAsiaTheme="minorHAnsi"/>
          <w:sz w:val="22"/>
          <w:szCs w:val="22"/>
          <w:lang w:val="sr-Latn-ME"/>
        </w:rPr>
      </w:pPr>
    </w:p>
    <w:p w14:paraId="65DD0151"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Crvenilo uz osjećaj vrućine</w:t>
      </w:r>
    </w:p>
    <w:p w14:paraId="6A886B7F" w14:textId="77777777" w:rsidR="008E35E1" w:rsidRPr="00D264F7" w:rsidRDefault="008E35E1">
      <w:pPr>
        <w:widowControl w:val="0"/>
        <w:suppressLineNumbers/>
        <w:spacing w:line="259" w:lineRule="auto"/>
        <w:jc w:val="both"/>
        <w:rPr>
          <w:rFonts w:eastAsiaTheme="minorHAnsi"/>
          <w:sz w:val="22"/>
          <w:szCs w:val="22"/>
          <w:lang w:val="sr-Latn-ME"/>
        </w:rPr>
      </w:pPr>
    </w:p>
    <w:p w14:paraId="0E90D6A2" w14:textId="2807494B" w:rsidR="008E35E1" w:rsidRPr="00D264F7" w:rsidRDefault="008E35E1">
      <w:pPr>
        <w:spacing w:after="160" w:line="259" w:lineRule="auto"/>
        <w:jc w:val="both"/>
        <w:rPr>
          <w:rFonts w:eastAsiaTheme="minorHAnsi"/>
          <w:bCs/>
          <w:sz w:val="22"/>
          <w:szCs w:val="22"/>
          <w:lang w:val="sr-Latn-ME"/>
        </w:rPr>
      </w:pPr>
      <w:r w:rsidRPr="00D264F7">
        <w:rPr>
          <w:rFonts w:eastAsiaTheme="minorHAnsi"/>
          <w:sz w:val="22"/>
          <w:szCs w:val="22"/>
          <w:lang w:val="sr-Latn-ME"/>
        </w:rPr>
        <w:t xml:space="preserve">U kliničkim istraživanjima, kod 34% pacijenata liječenih lijekom Tecfidera pojavilo se crvenilo uz osjećaj vrućine. Kod većine pacijenata kod kojih se pojavilo crvenilo uz osjećaj vrućine, ono je bilo blago ili umjereno. </w:t>
      </w:r>
      <w:r w:rsidRPr="00D264F7">
        <w:rPr>
          <w:rFonts w:eastAsia="SimSun"/>
          <w:sz w:val="22"/>
          <w:szCs w:val="22"/>
          <w:lang w:val="sr-Latn-ME" w:eastAsia="ar-SA"/>
        </w:rPr>
        <w:t>Podaci iz ispitivanja na zdravim dobrovoljcima ukazuju na to da je pojava crvenila uz osjećaj vrućine povezana sa dimetilfumaratom najvjerovatnije posredovana prostaglandinima. Kratkotrajna primjena 75 mg acetilsalicilne kiseline</w:t>
      </w:r>
      <w:r w:rsidRPr="00D264F7">
        <w:rPr>
          <w:rFonts w:eastAsiaTheme="minorHAnsi"/>
          <w:sz w:val="22"/>
          <w:szCs w:val="22"/>
          <w:lang w:val="sr-Latn-ME"/>
        </w:rPr>
        <w:t xml:space="preserve"> </w:t>
      </w:r>
      <w:r w:rsidRPr="00D264F7">
        <w:rPr>
          <w:rFonts w:eastAsia="SimSun"/>
          <w:sz w:val="22"/>
          <w:szCs w:val="22"/>
          <w:lang w:val="sr-Latn-ME" w:eastAsia="ar-SA"/>
        </w:rPr>
        <w:t xml:space="preserve">bez acidorezistentnog omotača može imati povoljan efekat kod pacijenata sa nepodnošljivim naletima crvenila uz osjećaj vrućine (vidjeti </w:t>
      </w:r>
      <w:r w:rsidR="007763E7" w:rsidRPr="00D264F7">
        <w:rPr>
          <w:rFonts w:eastAsia="SimSun"/>
          <w:sz w:val="22"/>
          <w:szCs w:val="22"/>
          <w:lang w:val="sr-Latn-ME" w:eastAsia="ar-SA"/>
        </w:rPr>
        <w:t xml:space="preserve">dio </w:t>
      </w:r>
      <w:r w:rsidRPr="00D264F7">
        <w:rPr>
          <w:rFonts w:eastAsia="SimSun"/>
          <w:sz w:val="22"/>
          <w:szCs w:val="22"/>
          <w:lang w:val="sr-Latn-ME" w:eastAsia="ar-SA"/>
        </w:rPr>
        <w:t>4.5). U dva ispitivanja na zdravim dobrovoljcima, smanjile su se učestalost i ozbiljnost naleta crvenila uz osjećaj vrućine u periodu doziranja.</w:t>
      </w:r>
    </w:p>
    <w:p w14:paraId="34F8DB15" w14:textId="280506BC" w:rsidR="008E35E1" w:rsidRPr="00D264F7" w:rsidRDefault="008E35E1" w:rsidP="001F758F">
      <w:pPr>
        <w:widowControl w:val="0"/>
        <w:suppressLineNumbers/>
        <w:spacing w:after="160" w:line="259" w:lineRule="auto"/>
        <w:jc w:val="both"/>
        <w:rPr>
          <w:rFonts w:eastAsia="SimSun"/>
          <w:sz w:val="22"/>
          <w:szCs w:val="22"/>
          <w:u w:val="single"/>
          <w:lang w:val="sr-Latn-ME" w:eastAsia="ar-SA"/>
        </w:rPr>
      </w:pPr>
      <w:r w:rsidRPr="00D264F7">
        <w:rPr>
          <w:rFonts w:eastAsiaTheme="minorHAnsi"/>
          <w:sz w:val="22"/>
          <w:szCs w:val="22"/>
          <w:lang w:val="sr-Latn-ME"/>
        </w:rPr>
        <w:t>U kliničkim istraživanjima, 3 pacijenta od ukupno 2560 pacijenata liječenih dimetilfumaratom imala su ozbiljne simptome crvenila, koji su vjerovatno bili reakcije preosjetljivosti ili anafilakt</w:t>
      </w:r>
      <w:r w:rsidR="007763E7" w:rsidRPr="00D264F7">
        <w:rPr>
          <w:rFonts w:eastAsiaTheme="minorHAnsi"/>
          <w:sz w:val="22"/>
          <w:szCs w:val="22"/>
          <w:lang w:val="sr-Latn-ME"/>
        </w:rPr>
        <w:t>oidne</w:t>
      </w:r>
      <w:r w:rsidRPr="00D264F7">
        <w:rPr>
          <w:rFonts w:eastAsiaTheme="minorHAnsi"/>
          <w:sz w:val="22"/>
          <w:szCs w:val="22"/>
          <w:lang w:val="sr-Latn-ME"/>
        </w:rPr>
        <w:t xml:space="preserve"> reakcije. T</w:t>
      </w:r>
      <w:r w:rsidR="00BA12B0">
        <w:rPr>
          <w:rFonts w:eastAsiaTheme="minorHAnsi"/>
          <w:sz w:val="22"/>
          <w:szCs w:val="22"/>
          <w:lang w:val="sr-Latn-ME"/>
        </w:rPr>
        <w:t>e</w:t>
      </w:r>
      <w:r w:rsidRPr="00D264F7">
        <w:rPr>
          <w:rFonts w:eastAsiaTheme="minorHAnsi"/>
          <w:sz w:val="22"/>
          <w:szCs w:val="22"/>
          <w:lang w:val="sr-Latn-ME"/>
        </w:rPr>
        <w:t xml:space="preserve"> </w:t>
      </w:r>
      <w:r w:rsidR="00BA12B0">
        <w:rPr>
          <w:rFonts w:eastAsiaTheme="minorHAnsi"/>
          <w:sz w:val="22"/>
          <w:szCs w:val="22"/>
          <w:lang w:val="sr-Latn-ME"/>
        </w:rPr>
        <w:t>neželjene reakcije</w:t>
      </w:r>
      <w:r w:rsidRPr="00D264F7">
        <w:rPr>
          <w:rFonts w:eastAsiaTheme="minorHAnsi"/>
          <w:sz w:val="22"/>
          <w:szCs w:val="22"/>
          <w:lang w:val="sr-Latn-ME"/>
        </w:rPr>
        <w:t xml:space="preserve"> nisu bil</w:t>
      </w:r>
      <w:r w:rsidR="00B81F73">
        <w:rPr>
          <w:rFonts w:eastAsiaTheme="minorHAnsi"/>
          <w:sz w:val="22"/>
          <w:szCs w:val="22"/>
          <w:lang w:val="sr-Latn-ME"/>
        </w:rPr>
        <w:t>e</w:t>
      </w:r>
      <w:r w:rsidRPr="00D264F7">
        <w:rPr>
          <w:rFonts w:eastAsiaTheme="minorHAnsi"/>
          <w:sz w:val="22"/>
          <w:szCs w:val="22"/>
          <w:lang w:val="sr-Latn-ME"/>
        </w:rPr>
        <w:t xml:space="preserve"> opasn</w:t>
      </w:r>
      <w:r w:rsidR="00B81F73">
        <w:rPr>
          <w:rFonts w:eastAsiaTheme="minorHAnsi"/>
          <w:sz w:val="22"/>
          <w:szCs w:val="22"/>
          <w:lang w:val="sr-Latn-ME"/>
        </w:rPr>
        <w:t>e</w:t>
      </w:r>
      <w:r w:rsidRPr="00D264F7">
        <w:rPr>
          <w:rFonts w:eastAsiaTheme="minorHAnsi"/>
          <w:sz w:val="22"/>
          <w:szCs w:val="22"/>
          <w:lang w:val="sr-Latn-ME"/>
        </w:rPr>
        <w:t xml:space="preserve"> po život, ali je zbog njih bila potrebna hospitalizacija. Propisivači i pacijenti treba da obrate pažnju na tu mogućnost u slučaju pojave teških reakcija crvenila (vidjeti djelove 4.2, 4.5 i 4.8).</w:t>
      </w:r>
    </w:p>
    <w:p w14:paraId="49F99284" w14:textId="77777777" w:rsidR="008E35E1" w:rsidRPr="00D264F7" w:rsidRDefault="008E35E1" w:rsidP="001F758F">
      <w:pPr>
        <w:spacing w:line="259" w:lineRule="auto"/>
        <w:jc w:val="both"/>
        <w:rPr>
          <w:rFonts w:eastAsia="SimSun"/>
          <w:sz w:val="22"/>
          <w:szCs w:val="22"/>
          <w:u w:val="single"/>
          <w:lang w:val="sr-Latn-ME" w:eastAsia="ar-SA"/>
        </w:rPr>
      </w:pPr>
      <w:r w:rsidRPr="00D264F7">
        <w:rPr>
          <w:rFonts w:eastAsia="SimSun"/>
          <w:sz w:val="22"/>
          <w:szCs w:val="22"/>
          <w:u w:val="single"/>
          <w:lang w:val="sr-Latn-ME" w:eastAsia="ar-SA"/>
        </w:rPr>
        <w:t>Anafilaktičke reakcije</w:t>
      </w:r>
    </w:p>
    <w:p w14:paraId="06769C49" w14:textId="77777777" w:rsidR="008E35E1" w:rsidRPr="00D264F7" w:rsidRDefault="008E35E1" w:rsidP="001F758F">
      <w:pPr>
        <w:spacing w:line="259" w:lineRule="auto"/>
        <w:jc w:val="both"/>
        <w:rPr>
          <w:rFonts w:eastAsia="SimSun"/>
          <w:sz w:val="22"/>
          <w:szCs w:val="22"/>
          <w:u w:val="single"/>
          <w:lang w:val="sr-Latn-ME" w:eastAsia="ar-SA"/>
        </w:rPr>
      </w:pPr>
    </w:p>
    <w:p w14:paraId="0F565731" w14:textId="7583E78A" w:rsidR="008E35E1" w:rsidRPr="00D264F7" w:rsidRDefault="008E35E1" w:rsidP="001C605F">
      <w:pPr>
        <w:spacing w:line="259" w:lineRule="auto"/>
        <w:jc w:val="both"/>
        <w:rPr>
          <w:rFonts w:eastAsia="SimSun"/>
          <w:sz w:val="22"/>
          <w:szCs w:val="22"/>
          <w:lang w:val="sr-Latn-ME" w:eastAsia="ar-SA"/>
        </w:rPr>
      </w:pPr>
      <w:r w:rsidRPr="00D264F7">
        <w:rPr>
          <w:rFonts w:eastAsia="SimSun"/>
          <w:sz w:val="22"/>
          <w:szCs w:val="22"/>
          <w:lang w:val="sr-Latn-ME" w:eastAsia="ar-SA"/>
        </w:rPr>
        <w:t>Nakon stavljanja lijeka u promet prijavljeni su slučajevi anafilakse/anafilaktoidne reakcije nakon primjene lijeka Tecfidera</w:t>
      </w:r>
      <w:r w:rsidR="00CA2CB1">
        <w:rPr>
          <w:rFonts w:eastAsia="SimSun"/>
          <w:sz w:val="22"/>
          <w:szCs w:val="22"/>
          <w:lang w:val="sr-Latn-ME" w:eastAsia="ar-SA"/>
        </w:rPr>
        <w:t xml:space="preserve"> </w:t>
      </w:r>
      <w:r w:rsidR="00B81F73">
        <w:rPr>
          <w:rFonts w:eastAsia="SimSun"/>
          <w:sz w:val="22"/>
          <w:szCs w:val="22"/>
          <w:lang w:val="sr-Latn-ME" w:eastAsia="ar-SA"/>
        </w:rPr>
        <w:t>(videti dio 4.8.)</w:t>
      </w:r>
      <w:r w:rsidRPr="00D264F7">
        <w:rPr>
          <w:rFonts w:eastAsia="SimSun"/>
          <w:sz w:val="22"/>
          <w:szCs w:val="22"/>
          <w:lang w:val="sr-Latn-ME" w:eastAsia="ar-SA"/>
        </w:rPr>
        <w:t xml:space="preserve">. Simptomi mogu uključivati dispneju, hipoksiju, hipotenziju, angioedem, osip ili urtikariju. Mehanizam kojim dimetilfumarat izaziva anafilaksu nije poznat. Reakcije uglavnom nastaju nakon primjene prve doze, ali se mogu pojaviti u bilo kom trenutku tokom liječenja i mogu biti ozbiljne i opasne po život. Pacijentima je potrebno savjetovati da prekinu sa primjenom lijeka Tecfidera i da potraže hitnu medicinsku pomoć ukoliko primijete znake ili simptome anafilakse. Terapija se ne smije ponovno započeti (vidjeti </w:t>
      </w:r>
      <w:r w:rsidR="0096710D" w:rsidRPr="00D264F7">
        <w:rPr>
          <w:rFonts w:eastAsia="SimSun"/>
          <w:sz w:val="22"/>
          <w:szCs w:val="22"/>
          <w:lang w:val="sr-Latn-ME" w:eastAsia="ar-SA"/>
        </w:rPr>
        <w:t xml:space="preserve">dio </w:t>
      </w:r>
      <w:r w:rsidRPr="00D264F7">
        <w:rPr>
          <w:rFonts w:eastAsia="SimSun"/>
          <w:sz w:val="22"/>
          <w:szCs w:val="22"/>
          <w:lang w:val="sr-Latn-ME" w:eastAsia="ar-SA"/>
        </w:rPr>
        <w:t>4.8).</w:t>
      </w:r>
    </w:p>
    <w:p w14:paraId="7E5BAEE4" w14:textId="77777777" w:rsidR="008E35E1" w:rsidRPr="00D264F7" w:rsidRDefault="008E35E1">
      <w:pPr>
        <w:widowControl w:val="0"/>
        <w:suppressLineNumbers/>
        <w:spacing w:line="259" w:lineRule="auto"/>
        <w:jc w:val="both"/>
        <w:rPr>
          <w:rFonts w:eastAsiaTheme="minorHAnsi"/>
          <w:sz w:val="22"/>
          <w:szCs w:val="22"/>
          <w:u w:val="single"/>
          <w:lang w:val="sr-Latn-ME"/>
        </w:rPr>
      </w:pPr>
    </w:p>
    <w:p w14:paraId="1E515498" w14:textId="77777777"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Infekcije</w:t>
      </w:r>
    </w:p>
    <w:p w14:paraId="3127171F"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43AEDA2D" w14:textId="1C97A2F0"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U placebo kontrolisanim ispitivanjima faze </w:t>
      </w:r>
      <w:r w:rsidR="00B6578D">
        <w:rPr>
          <w:rFonts w:eastAsiaTheme="minorHAnsi"/>
          <w:sz w:val="22"/>
          <w:szCs w:val="22"/>
          <w:lang w:val="sr-Latn-ME"/>
        </w:rPr>
        <w:t>3</w:t>
      </w:r>
      <w:r w:rsidRPr="00D264F7">
        <w:rPr>
          <w:rFonts w:eastAsiaTheme="minorHAnsi"/>
          <w:sz w:val="22"/>
          <w:szCs w:val="22"/>
          <w:lang w:val="sr-Latn-ME"/>
        </w:rPr>
        <w:t xml:space="preserve">, učestalost infekcija (60% u odnosu na 58%) i </w:t>
      </w:r>
      <w:r w:rsidR="0096710D" w:rsidRPr="00D264F7">
        <w:rPr>
          <w:rFonts w:eastAsiaTheme="minorHAnsi"/>
          <w:sz w:val="22"/>
          <w:szCs w:val="22"/>
          <w:lang w:val="sr-Latn-ME"/>
        </w:rPr>
        <w:t xml:space="preserve">ozbiljnih </w:t>
      </w:r>
      <w:r w:rsidRPr="00D264F7">
        <w:rPr>
          <w:rFonts w:eastAsiaTheme="minorHAnsi"/>
          <w:sz w:val="22"/>
          <w:szCs w:val="22"/>
          <w:lang w:val="sr-Latn-ME"/>
        </w:rPr>
        <w:t xml:space="preserve">infekcija (2% u odnosu na 2%) bila je slična kod pacijenata liječenih lijekom Tecfidera ili placebom. </w:t>
      </w:r>
    </w:p>
    <w:p w14:paraId="25F4C8FD" w14:textId="71029F8C"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Međutim, ako pacijent razvije ozbiljnu infekciju zbog imunomodulatornih svojstava lijeka Tecfidera (vidjeti dio 5.1), mora se razmotriti prekid liječenja lijekom Tecfidera i moraju se procijeniti koristi i rizici prije ponovnog započinjanja terapije. Pacijente koji dobijaju lijek Tecfidera treba uputiti da ljekaru prijave simptome infekcije. Pacijenti sa ozbiljnim infekcijama ne smiju započeti liječenje lijekom Tecfidera sve dok infekcija(e) nije</w:t>
      </w:r>
      <w:r w:rsidR="00AC5071">
        <w:rPr>
          <w:rFonts w:eastAsiaTheme="minorHAnsi"/>
          <w:sz w:val="22"/>
          <w:szCs w:val="22"/>
          <w:lang w:val="sr-Latn-ME"/>
        </w:rPr>
        <w:t xml:space="preserve"> (</w:t>
      </w:r>
      <w:r w:rsidR="00C11809">
        <w:rPr>
          <w:rFonts w:eastAsiaTheme="minorHAnsi"/>
          <w:sz w:val="22"/>
          <w:szCs w:val="22"/>
          <w:lang w:val="sr-Latn-ME"/>
        </w:rPr>
        <w:t>nije</w:t>
      </w:r>
      <w:r w:rsidR="00AC5071">
        <w:rPr>
          <w:rFonts w:eastAsiaTheme="minorHAnsi"/>
          <w:sz w:val="22"/>
          <w:szCs w:val="22"/>
          <w:lang w:val="sr-Latn-ME"/>
        </w:rPr>
        <w:t>su)</w:t>
      </w:r>
      <w:r w:rsidRPr="00D264F7">
        <w:rPr>
          <w:rFonts w:eastAsiaTheme="minorHAnsi"/>
          <w:sz w:val="22"/>
          <w:szCs w:val="22"/>
          <w:lang w:val="sr-Latn-ME"/>
        </w:rPr>
        <w:t xml:space="preserve"> </w:t>
      </w:r>
      <w:r w:rsidR="0096710D" w:rsidRPr="00D264F7">
        <w:rPr>
          <w:rFonts w:eastAsiaTheme="minorHAnsi"/>
          <w:sz w:val="22"/>
          <w:szCs w:val="22"/>
          <w:lang w:val="sr-Latn-ME"/>
        </w:rPr>
        <w:t>izliječena</w:t>
      </w:r>
      <w:r w:rsidR="00C11809">
        <w:rPr>
          <w:rFonts w:eastAsiaTheme="minorHAnsi"/>
          <w:sz w:val="22"/>
          <w:szCs w:val="22"/>
          <w:lang w:val="sr-Latn-ME"/>
        </w:rPr>
        <w:t>/e</w:t>
      </w:r>
      <w:r w:rsidRPr="00D264F7">
        <w:rPr>
          <w:rFonts w:eastAsiaTheme="minorHAnsi"/>
          <w:sz w:val="22"/>
          <w:szCs w:val="22"/>
          <w:lang w:val="sr-Latn-ME"/>
        </w:rPr>
        <w:t>.</w:t>
      </w:r>
    </w:p>
    <w:p w14:paraId="3ACF672E"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41B61E50" w14:textId="02875446"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Nije zabilježena povećana učestalost </w:t>
      </w:r>
      <w:r w:rsidR="0096710D" w:rsidRPr="00D264F7">
        <w:rPr>
          <w:rFonts w:eastAsiaTheme="minorHAnsi"/>
          <w:sz w:val="22"/>
          <w:szCs w:val="22"/>
          <w:lang w:val="sr-Latn-ME"/>
        </w:rPr>
        <w:t xml:space="preserve">ozbiljnih  </w:t>
      </w:r>
      <w:r w:rsidRPr="00D264F7">
        <w:rPr>
          <w:rFonts w:eastAsiaTheme="minorHAnsi"/>
          <w:sz w:val="22"/>
          <w:szCs w:val="22"/>
          <w:lang w:val="sr-Latn-ME"/>
        </w:rPr>
        <w:t>infekcija kod pacijenata s brojem limfocita &lt;0,8</w:t>
      </w:r>
      <w:r w:rsidR="00613DCD">
        <w:rPr>
          <w:rFonts w:eastAsiaTheme="minorHAnsi"/>
          <w:sz w:val="22"/>
          <w:szCs w:val="22"/>
          <w:lang w:val="sr-Latn-ME"/>
        </w:rPr>
        <w:t xml:space="preserve"> </w:t>
      </w:r>
      <w:r w:rsidR="00613DCD" w:rsidRPr="00135592">
        <w:rPr>
          <w:rFonts w:eastAsia="SimSun"/>
          <w:sz w:val="22"/>
          <w:szCs w:val="22"/>
          <w:lang w:eastAsia="ar-SA"/>
        </w:rPr>
        <w:t>×</w:t>
      </w:r>
      <w:r w:rsidR="00613DCD">
        <w:rPr>
          <w:rFonts w:eastAsia="SimSun"/>
          <w:sz w:val="22"/>
          <w:szCs w:val="22"/>
          <w:lang w:eastAsia="ar-SA"/>
        </w:rPr>
        <w:t xml:space="preserve"> </w:t>
      </w:r>
      <w:r w:rsidRPr="00D264F7">
        <w:rPr>
          <w:rFonts w:eastAsiaTheme="minorHAnsi"/>
          <w:sz w:val="22"/>
          <w:szCs w:val="22"/>
          <w:lang w:val="sr-Latn-ME"/>
        </w:rPr>
        <w:t>10</w:t>
      </w:r>
      <w:r w:rsidRPr="00D264F7">
        <w:rPr>
          <w:rFonts w:eastAsiaTheme="minorHAnsi"/>
          <w:sz w:val="22"/>
          <w:szCs w:val="22"/>
          <w:vertAlign w:val="superscript"/>
          <w:lang w:val="sr-Latn-ME"/>
        </w:rPr>
        <w:t>9</w:t>
      </w:r>
      <w:r w:rsidRPr="00D264F7">
        <w:rPr>
          <w:rFonts w:eastAsiaTheme="minorHAnsi"/>
          <w:sz w:val="22"/>
          <w:szCs w:val="22"/>
          <w:lang w:val="sr-Latn-ME"/>
        </w:rPr>
        <w:t>/L ili &lt;0,5</w:t>
      </w:r>
      <w:r w:rsidR="00613DCD">
        <w:rPr>
          <w:rFonts w:eastAsiaTheme="minorHAnsi"/>
          <w:sz w:val="22"/>
          <w:szCs w:val="22"/>
          <w:lang w:val="sr-Latn-ME"/>
        </w:rPr>
        <w:t xml:space="preserve"> </w:t>
      </w:r>
      <w:r w:rsidR="00613DCD" w:rsidRPr="00613DCD">
        <w:rPr>
          <w:rFonts w:eastAsiaTheme="minorHAnsi"/>
          <w:sz w:val="22"/>
          <w:szCs w:val="22"/>
          <w:lang w:val="sr-Latn-ME"/>
        </w:rPr>
        <w:t>×</w:t>
      </w:r>
      <w:r w:rsidR="00613DCD">
        <w:rPr>
          <w:rFonts w:eastAsiaTheme="minorHAnsi"/>
          <w:sz w:val="22"/>
          <w:szCs w:val="22"/>
          <w:lang w:val="sr-Latn-ME"/>
        </w:rPr>
        <w:t xml:space="preserve"> </w:t>
      </w:r>
      <w:r w:rsidRPr="00D264F7">
        <w:rPr>
          <w:rFonts w:eastAsiaTheme="minorHAnsi"/>
          <w:sz w:val="22"/>
          <w:szCs w:val="22"/>
          <w:lang w:val="sr-Latn-ME"/>
        </w:rPr>
        <w:t>10</w:t>
      </w:r>
      <w:r w:rsidRPr="00D264F7">
        <w:rPr>
          <w:rFonts w:eastAsiaTheme="minorHAnsi"/>
          <w:sz w:val="22"/>
          <w:szCs w:val="22"/>
          <w:vertAlign w:val="superscript"/>
          <w:lang w:val="sr-Latn-ME"/>
        </w:rPr>
        <w:t>9</w:t>
      </w:r>
      <w:r w:rsidRPr="00D264F7">
        <w:rPr>
          <w:rFonts w:eastAsiaTheme="minorHAnsi"/>
          <w:sz w:val="22"/>
          <w:szCs w:val="22"/>
          <w:lang w:val="sr-Latn-ME"/>
        </w:rPr>
        <w:t xml:space="preserve">/L (vidjeti dio 4.8). Ako se liječenje nastavi u prisustvu umjerene do teške produžene limfopenije, rizik od oportunističke infekcije, uključujući PML ne može biti isključen (vidjeti dio 4.4, </w:t>
      </w:r>
      <w:r w:rsidR="0096710D" w:rsidRPr="00D264F7">
        <w:rPr>
          <w:rFonts w:eastAsiaTheme="minorHAnsi"/>
          <w:sz w:val="22"/>
          <w:szCs w:val="22"/>
          <w:lang w:val="sr-Latn-ME"/>
        </w:rPr>
        <w:lastRenderedPageBreak/>
        <w:t xml:space="preserve">dio </w:t>
      </w:r>
      <w:r w:rsidRPr="00D264F7">
        <w:rPr>
          <w:rFonts w:eastAsiaTheme="minorHAnsi"/>
          <w:sz w:val="22"/>
          <w:szCs w:val="22"/>
          <w:lang w:val="sr-Latn-ME"/>
        </w:rPr>
        <w:t>PML).</w:t>
      </w:r>
    </w:p>
    <w:p w14:paraId="02B5AB4C"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0E7939FC" w14:textId="77777777" w:rsidR="008E35E1" w:rsidRPr="00D264F7" w:rsidRDefault="008E35E1">
      <w:pPr>
        <w:keepNext/>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Herpes zoster infekcije</w:t>
      </w:r>
    </w:p>
    <w:p w14:paraId="5BB234F1"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5EA5DB77" w14:textId="2959DEA1"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Tokom primjene lijeka Tecfidera </w:t>
      </w:r>
      <w:r w:rsidR="00DF36AD">
        <w:rPr>
          <w:rFonts w:eastAsiaTheme="minorHAnsi"/>
          <w:sz w:val="22"/>
          <w:szCs w:val="22"/>
          <w:lang w:val="sr-Latn-ME"/>
        </w:rPr>
        <w:t>prijavljeni su slučajevi</w:t>
      </w:r>
      <w:r w:rsidRPr="00D264F7">
        <w:rPr>
          <w:rFonts w:eastAsiaTheme="minorHAnsi"/>
          <w:sz w:val="22"/>
          <w:szCs w:val="22"/>
          <w:lang w:val="sr-Latn-ME"/>
        </w:rPr>
        <w:t xml:space="preserve"> slučajevi herpes zostera</w:t>
      </w:r>
      <w:r w:rsidR="0055520E">
        <w:rPr>
          <w:rFonts w:eastAsiaTheme="minorHAnsi"/>
          <w:sz w:val="22"/>
          <w:szCs w:val="22"/>
          <w:lang w:val="sr-Latn-ME"/>
        </w:rPr>
        <w:t xml:space="preserve"> (videti dio 4.8)</w:t>
      </w:r>
      <w:r w:rsidRPr="00D264F7">
        <w:rPr>
          <w:rFonts w:eastAsiaTheme="minorHAnsi"/>
          <w:sz w:val="22"/>
          <w:szCs w:val="22"/>
          <w:lang w:val="sr-Latn-ME"/>
        </w:rPr>
        <w:t>. Većina slučajeva nije bila ozbiljne prirode, ali prijavljeni su i ozbiljni slučajevi, uključujući diseminovani oblik herpes zostera, očni herpes zoster, ušni herpes zoster, neurološku herpes zoster infekciju, meningoencefalitis uzrokovan herpes zosterom i meningomijelitis uzrokovan herpes zosterom. Ov</w:t>
      </w:r>
      <w:r w:rsidR="00690E6A">
        <w:rPr>
          <w:rFonts w:eastAsiaTheme="minorHAnsi"/>
          <w:sz w:val="22"/>
          <w:szCs w:val="22"/>
          <w:lang w:val="sr-Latn-ME"/>
        </w:rPr>
        <w:t>e neželjene reakcije</w:t>
      </w:r>
      <w:r w:rsidRPr="00D264F7">
        <w:rPr>
          <w:rFonts w:eastAsiaTheme="minorHAnsi"/>
          <w:sz w:val="22"/>
          <w:szCs w:val="22"/>
          <w:lang w:val="sr-Latn-ME"/>
        </w:rPr>
        <w:t xml:space="preserve"> se mogu pojaviti u bilo kom trenutku tokom liječenja. Pacijente </w:t>
      </w:r>
      <w:r w:rsidR="00922B4A">
        <w:rPr>
          <w:rFonts w:eastAsiaTheme="minorHAnsi"/>
          <w:sz w:val="22"/>
          <w:szCs w:val="22"/>
          <w:lang w:val="sr-Latn-ME"/>
        </w:rPr>
        <w:t xml:space="preserve">je </w:t>
      </w:r>
      <w:r w:rsidRPr="00D264F7">
        <w:rPr>
          <w:rFonts w:eastAsiaTheme="minorHAnsi"/>
          <w:sz w:val="22"/>
          <w:szCs w:val="22"/>
          <w:lang w:val="sr-Latn-ME"/>
        </w:rPr>
        <w:t xml:space="preserve">potrebno pratiti na pojavu znakova i simptoma herpes zostera, naročito ako je istovremeno prisutna i limfocitopenija. U slučaju pojave herpes zostera, potrebno je primijeniti odgovarajuću terapiju. Kod pacijenata sa ozbiljnim herpes zoster infekcijama potrebno je razmotriti prekid terapije dok se infekcija ne izliječi (vidjeti </w:t>
      </w:r>
      <w:r w:rsidR="0096710D" w:rsidRPr="00D264F7">
        <w:rPr>
          <w:rFonts w:eastAsiaTheme="minorHAnsi"/>
          <w:sz w:val="22"/>
          <w:szCs w:val="22"/>
          <w:lang w:val="sr-Latn-ME"/>
        </w:rPr>
        <w:t xml:space="preserve">dio </w:t>
      </w:r>
      <w:r w:rsidRPr="00D264F7">
        <w:rPr>
          <w:rFonts w:eastAsiaTheme="minorHAnsi"/>
          <w:sz w:val="22"/>
          <w:szCs w:val="22"/>
          <w:lang w:val="sr-Latn-ME"/>
        </w:rPr>
        <w:t xml:space="preserve">4.8). </w:t>
      </w:r>
    </w:p>
    <w:p w14:paraId="1BE13CE0"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2AE90C48" w14:textId="77777777" w:rsidR="008E35E1" w:rsidRPr="00D264F7" w:rsidRDefault="008E35E1">
      <w:pPr>
        <w:keepNext/>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Započinjanje terapije</w:t>
      </w:r>
    </w:p>
    <w:p w14:paraId="4988F4C1"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26227EB6" w14:textId="4517FC71"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Terapiju treba započeti postepeno kako bi se smanjila </w:t>
      </w:r>
      <w:r w:rsidR="0096710D" w:rsidRPr="00D264F7">
        <w:rPr>
          <w:rFonts w:eastAsiaTheme="minorHAnsi"/>
          <w:sz w:val="22"/>
          <w:szCs w:val="22"/>
          <w:lang w:val="sr-Latn-ME"/>
        </w:rPr>
        <w:t xml:space="preserve">učestalost </w:t>
      </w:r>
      <w:r w:rsidRPr="00D264F7">
        <w:rPr>
          <w:rFonts w:eastAsiaTheme="minorHAnsi"/>
          <w:sz w:val="22"/>
          <w:szCs w:val="22"/>
          <w:lang w:val="sr-Latn-ME"/>
        </w:rPr>
        <w:t>pojav</w:t>
      </w:r>
      <w:r w:rsidR="0096710D" w:rsidRPr="00D264F7">
        <w:rPr>
          <w:rFonts w:eastAsiaTheme="minorHAnsi"/>
          <w:sz w:val="22"/>
          <w:szCs w:val="22"/>
          <w:lang w:val="sr-Latn-ME"/>
        </w:rPr>
        <w:t>e</w:t>
      </w:r>
      <w:r w:rsidRPr="00D264F7">
        <w:rPr>
          <w:rFonts w:eastAsiaTheme="minorHAnsi"/>
          <w:sz w:val="22"/>
          <w:szCs w:val="22"/>
          <w:lang w:val="sr-Latn-ME"/>
        </w:rPr>
        <w:t xml:space="preserve"> crvenila i gastrointestinalnih neželjenih reakcija (vidjeti </w:t>
      </w:r>
      <w:r w:rsidR="0096710D" w:rsidRPr="00D264F7">
        <w:rPr>
          <w:rFonts w:eastAsiaTheme="minorHAnsi"/>
          <w:sz w:val="22"/>
          <w:szCs w:val="22"/>
          <w:lang w:val="sr-Latn-ME"/>
        </w:rPr>
        <w:t>dio</w:t>
      </w:r>
      <w:r w:rsidRPr="00D264F7">
        <w:rPr>
          <w:rFonts w:eastAsiaTheme="minorHAnsi"/>
          <w:sz w:val="22"/>
          <w:szCs w:val="22"/>
          <w:lang w:val="sr-Latn-ME"/>
        </w:rPr>
        <w:t xml:space="preserve"> 4.2).</w:t>
      </w:r>
    </w:p>
    <w:p w14:paraId="1463C37E"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524F752A" w14:textId="77777777" w:rsidR="008E35E1" w:rsidRPr="00D264F7" w:rsidRDefault="008E35E1">
      <w:pPr>
        <w:keepNext/>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Fanconijev sindrom</w:t>
      </w:r>
    </w:p>
    <w:p w14:paraId="4D4EB588"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5F97041C" w14:textId="05EB04A2"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Prijavljeni su slučajevi Fanconijevog sindroma povezani sa primjenom lijeka koji sadrži dimetilfumarat u kombinaciji sa drugim estrima fumarne kiseline. Rano dijagnostikovanje Fanconijevog sindroma i prekid terapije dimetilfumaratom važni su za sprječavanje nastanka oštećenja bubrega i osteomalacije, jer je ovaj sindrom obično reverzibilan. Njegovi najvažniji znakovi su: proteinurija, glikozurija (uz normalne nivoe šećera u krvi), hiperaminoacidurija i fosfaturija (može biti prisutna istovremeno sa hipofosfatemijom). Progresija može uključivati simptome kao što su poliurija, polidipsija i slabost proksimalnih mišića. U rijetkim slučajevima može se pojaviti hipofosfatemijska osteomalacija sa nelokalizovanim bolovima u kostima, povišenim nivoom alkalne fosfataze u serumu i stres frakturama. Važno je imati na umu da se Fanconijev sindrom može pojaviti i bez povišenih nivoa kreatinina ili smanjene brzine glomerularne filtracije. U slučaju pojave nejasnih simptoma, potrebno je uzeti u obzir Fanconijev sindrom i sprovesti odgovarajuća ispitivanja.</w:t>
      </w:r>
    </w:p>
    <w:p w14:paraId="241D67BC" w14:textId="17216992" w:rsidR="00DE3F11" w:rsidRDefault="00DE3F11">
      <w:pPr>
        <w:keepNext/>
        <w:widowControl w:val="0"/>
        <w:suppressLineNumbers/>
        <w:spacing w:line="259" w:lineRule="auto"/>
        <w:jc w:val="both"/>
        <w:rPr>
          <w:rFonts w:eastAsiaTheme="minorHAnsi"/>
          <w:sz w:val="22"/>
          <w:szCs w:val="22"/>
          <w:lang w:val="sr-Latn-ME"/>
        </w:rPr>
      </w:pPr>
    </w:p>
    <w:p w14:paraId="6322CCF3" w14:textId="4A115F01" w:rsidR="00806530" w:rsidRDefault="00806530">
      <w:pPr>
        <w:keepNext/>
        <w:widowControl w:val="0"/>
        <w:suppressLineNumbers/>
        <w:spacing w:line="259" w:lineRule="auto"/>
        <w:jc w:val="both"/>
        <w:rPr>
          <w:rFonts w:eastAsiaTheme="minorHAnsi"/>
          <w:sz w:val="22"/>
          <w:szCs w:val="22"/>
          <w:u w:val="single"/>
          <w:lang w:val="sr-Latn-ME"/>
        </w:rPr>
      </w:pPr>
      <w:r w:rsidRPr="00806530">
        <w:rPr>
          <w:rFonts w:eastAsiaTheme="minorHAnsi"/>
          <w:sz w:val="22"/>
          <w:szCs w:val="22"/>
          <w:u w:val="single"/>
          <w:lang w:val="sr-Latn-ME"/>
        </w:rPr>
        <w:t>Pomoćne supstance</w:t>
      </w:r>
    </w:p>
    <w:p w14:paraId="208A5233" w14:textId="77777777" w:rsidR="00806530" w:rsidRPr="00806530" w:rsidRDefault="00806530">
      <w:pPr>
        <w:keepNext/>
        <w:widowControl w:val="0"/>
        <w:suppressLineNumbers/>
        <w:spacing w:line="259" w:lineRule="auto"/>
        <w:jc w:val="both"/>
        <w:rPr>
          <w:rFonts w:eastAsiaTheme="minorHAnsi"/>
          <w:sz w:val="22"/>
          <w:szCs w:val="22"/>
          <w:u w:val="single"/>
          <w:lang w:val="sr-Latn-ME"/>
        </w:rPr>
      </w:pPr>
    </w:p>
    <w:p w14:paraId="22870100" w14:textId="0BB4C9B7" w:rsidR="007A1D3D" w:rsidRPr="00806530" w:rsidRDefault="00806530">
      <w:pPr>
        <w:keepNext/>
        <w:widowControl w:val="0"/>
        <w:suppressLineNumbers/>
        <w:spacing w:line="259" w:lineRule="auto"/>
        <w:jc w:val="both"/>
        <w:rPr>
          <w:rFonts w:eastAsiaTheme="minorHAnsi"/>
          <w:sz w:val="22"/>
          <w:szCs w:val="22"/>
          <w:lang w:val="sr-Latn-ME"/>
        </w:rPr>
      </w:pPr>
      <w:r w:rsidRPr="00D87BA8">
        <w:rPr>
          <w:rFonts w:eastAsiaTheme="minorHAnsi"/>
          <w:sz w:val="22"/>
          <w:szCs w:val="22"/>
          <w:lang w:val="sr-Latn-ME"/>
        </w:rPr>
        <w:t>Ovaj l</w:t>
      </w:r>
      <w:r w:rsidR="005729C0">
        <w:rPr>
          <w:rFonts w:eastAsiaTheme="minorHAnsi"/>
          <w:sz w:val="22"/>
          <w:szCs w:val="22"/>
          <w:lang w:val="sr-Latn-ME"/>
        </w:rPr>
        <w:t>ij</w:t>
      </w:r>
      <w:r w:rsidRPr="00D87BA8">
        <w:rPr>
          <w:rFonts w:eastAsiaTheme="minorHAnsi"/>
          <w:sz w:val="22"/>
          <w:szCs w:val="22"/>
          <w:lang w:val="sr-Latn-ME"/>
        </w:rPr>
        <w:t xml:space="preserve">ek sadrži manje od 1 mmol (23 mg) natrijuma po kapsuli, </w:t>
      </w:r>
      <w:r>
        <w:rPr>
          <w:rFonts w:eastAsiaTheme="minorHAnsi"/>
          <w:sz w:val="22"/>
          <w:szCs w:val="22"/>
          <w:lang w:val="sr-Latn-ME"/>
        </w:rPr>
        <w:t>tj</w:t>
      </w:r>
      <w:r w:rsidRPr="00D87BA8">
        <w:rPr>
          <w:rFonts w:eastAsiaTheme="minorHAnsi"/>
          <w:sz w:val="22"/>
          <w:szCs w:val="22"/>
          <w:lang w:val="sr-Latn-ME"/>
        </w:rPr>
        <w:t xml:space="preserve"> suštin</w:t>
      </w:r>
      <w:r>
        <w:rPr>
          <w:rFonts w:eastAsiaTheme="minorHAnsi"/>
          <w:sz w:val="22"/>
          <w:szCs w:val="22"/>
          <w:lang w:val="sr-Latn-ME"/>
        </w:rPr>
        <w:t>sk</w:t>
      </w:r>
      <w:r w:rsidRPr="00D87BA8">
        <w:rPr>
          <w:rFonts w:eastAsiaTheme="minorHAnsi"/>
          <w:sz w:val="22"/>
          <w:szCs w:val="22"/>
          <w:lang w:val="sr-Latn-ME"/>
        </w:rPr>
        <w:t>i je „bez natrijuma“</w:t>
      </w:r>
      <w:r>
        <w:rPr>
          <w:rFonts w:eastAsiaTheme="minorHAnsi"/>
          <w:sz w:val="22"/>
          <w:szCs w:val="22"/>
          <w:lang w:val="sr-Latn-ME"/>
        </w:rPr>
        <w:t>.</w:t>
      </w:r>
    </w:p>
    <w:p w14:paraId="482F3398" w14:textId="77777777" w:rsidR="007A1D3D" w:rsidRPr="00D264F7" w:rsidRDefault="007A1D3D">
      <w:pPr>
        <w:keepNext/>
        <w:widowControl w:val="0"/>
        <w:suppressLineNumbers/>
        <w:spacing w:line="259" w:lineRule="auto"/>
        <w:jc w:val="both"/>
        <w:rPr>
          <w:rFonts w:eastAsiaTheme="minorHAnsi"/>
          <w:sz w:val="22"/>
          <w:szCs w:val="22"/>
          <w:lang w:val="sr-Latn-ME"/>
        </w:rPr>
      </w:pPr>
    </w:p>
    <w:p w14:paraId="047D8BDD" w14:textId="77777777" w:rsidR="00411B4B" w:rsidRPr="00D264F7" w:rsidRDefault="00411B4B" w:rsidP="001F758F">
      <w:pPr>
        <w:tabs>
          <w:tab w:val="left" w:pos="540"/>
          <w:tab w:val="left" w:pos="569"/>
        </w:tabs>
        <w:jc w:val="both"/>
        <w:rPr>
          <w:b/>
          <w:bCs/>
          <w:sz w:val="22"/>
          <w:szCs w:val="22"/>
          <w:lang w:val="sr-Latn-ME"/>
        </w:rPr>
      </w:pPr>
      <w:r w:rsidRPr="00D264F7">
        <w:rPr>
          <w:b/>
          <w:bCs/>
          <w:sz w:val="22"/>
          <w:szCs w:val="22"/>
          <w:lang w:val="sr-Latn-ME"/>
        </w:rPr>
        <w:t>4.5.</w:t>
      </w:r>
      <w:r w:rsidR="000D60CC" w:rsidRPr="00D264F7">
        <w:rPr>
          <w:b/>
          <w:bCs/>
          <w:sz w:val="22"/>
          <w:szCs w:val="22"/>
          <w:lang w:val="sr-Latn-ME"/>
        </w:rPr>
        <w:tab/>
      </w:r>
      <w:r w:rsidRPr="00D264F7">
        <w:rPr>
          <w:b/>
          <w:bCs/>
          <w:sz w:val="22"/>
          <w:szCs w:val="22"/>
          <w:lang w:val="sr-Latn-ME"/>
        </w:rPr>
        <w:t>Interakcije sa drugim ljekovima i druge vrste interakcija</w:t>
      </w:r>
    </w:p>
    <w:p w14:paraId="5F6B461F" w14:textId="77777777" w:rsidR="0072020E" w:rsidRPr="00D264F7" w:rsidRDefault="0072020E" w:rsidP="001F758F">
      <w:pPr>
        <w:tabs>
          <w:tab w:val="left" w:pos="540"/>
          <w:tab w:val="left" w:pos="569"/>
        </w:tabs>
        <w:jc w:val="both"/>
        <w:rPr>
          <w:bCs/>
          <w:sz w:val="22"/>
          <w:szCs w:val="22"/>
          <w:lang w:val="sr-Latn-ME"/>
        </w:rPr>
      </w:pPr>
    </w:p>
    <w:p w14:paraId="5F5401AC" w14:textId="77777777" w:rsidR="00D1709E" w:rsidRPr="00C11305" w:rsidRDefault="00D1709E" w:rsidP="001C605F">
      <w:pPr>
        <w:keepNext/>
        <w:widowControl w:val="0"/>
        <w:suppressLineNumbers/>
        <w:jc w:val="both"/>
        <w:rPr>
          <w:rFonts w:eastAsiaTheme="minorHAnsi"/>
          <w:i/>
          <w:sz w:val="22"/>
          <w:szCs w:val="22"/>
          <w:lang w:val="sr-Latn-ME"/>
        </w:rPr>
      </w:pPr>
      <w:r w:rsidRPr="00C11305">
        <w:rPr>
          <w:rFonts w:eastAsiaTheme="minorHAnsi"/>
          <w:i/>
          <w:sz w:val="22"/>
          <w:szCs w:val="22"/>
          <w:lang w:val="sr-Latn-ME"/>
        </w:rPr>
        <w:t>Antineoplastične, imunosupresivne ili kortikosteroidne terapije</w:t>
      </w:r>
    </w:p>
    <w:p w14:paraId="316DECE1" w14:textId="522B39C4" w:rsidR="008E35E1" w:rsidRPr="00D264F7" w:rsidRDefault="008E35E1">
      <w:pPr>
        <w:keepNext/>
        <w:widowControl w:val="0"/>
        <w:suppressLineNumbers/>
        <w:jc w:val="both"/>
        <w:rPr>
          <w:rFonts w:eastAsiaTheme="minorHAnsi"/>
          <w:sz w:val="22"/>
          <w:szCs w:val="22"/>
          <w:lang w:val="sr-Latn-ME"/>
        </w:rPr>
      </w:pPr>
      <w:r w:rsidRPr="00D264F7">
        <w:rPr>
          <w:rFonts w:eastAsiaTheme="minorHAnsi"/>
          <w:sz w:val="22"/>
          <w:szCs w:val="22"/>
          <w:lang w:val="sr-Latn-ME"/>
        </w:rPr>
        <w:t>Lijek Tecfidera nije ispitivan u kombinaciji s antineoplastičnim ili imunosupresivnim terapijama, zato je potreban oprez tokom istovremene primjene. U kliničkim ispitivanjima multiple skleroze, istovremeno liječenje relapsa s kratkotrajnom intravenskom primjenom kortikosteroida nije bilo povezano s klinički relevantnim porastom infekcije.</w:t>
      </w:r>
    </w:p>
    <w:p w14:paraId="61253081"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069AE60C" w14:textId="77777777" w:rsidR="00D1709E" w:rsidRPr="00D1709E" w:rsidRDefault="00D1709E">
      <w:pPr>
        <w:keepNext/>
        <w:widowControl w:val="0"/>
        <w:suppressLineNumbers/>
        <w:spacing w:line="259" w:lineRule="auto"/>
        <w:jc w:val="both"/>
        <w:rPr>
          <w:rFonts w:eastAsiaTheme="minorHAnsi"/>
          <w:sz w:val="22"/>
          <w:szCs w:val="22"/>
          <w:lang w:val="sr-Latn-ME"/>
        </w:rPr>
      </w:pPr>
      <w:r w:rsidRPr="00D1709E">
        <w:rPr>
          <w:rFonts w:eastAsiaTheme="minorHAnsi"/>
          <w:sz w:val="22"/>
          <w:szCs w:val="22"/>
          <w:lang w:val="sr-Latn-ME"/>
        </w:rPr>
        <w:t>Vakcine</w:t>
      </w:r>
    </w:p>
    <w:p w14:paraId="6AC2AA9D" w14:textId="549F233B"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Tokom terapije lijekom Tecfidera može se razmotriti istovremena vakcinacija mrtvim vakcinama prema nacionalnom programu vakcinisanja. U kliničkom ispitivanju koje je uključivalo 71 pacijenta sa </w:t>
      </w:r>
      <w:r w:rsidR="004217E6">
        <w:rPr>
          <w:rFonts w:eastAsiaTheme="minorHAnsi"/>
          <w:sz w:val="22"/>
          <w:szCs w:val="22"/>
          <w:lang w:val="sr-Latn-ME"/>
        </w:rPr>
        <w:t>RRMS-o,</w:t>
      </w:r>
      <w:r w:rsidRPr="00D264F7">
        <w:rPr>
          <w:rFonts w:eastAsiaTheme="minorHAnsi"/>
          <w:sz w:val="22"/>
          <w:szCs w:val="22"/>
          <w:lang w:val="sr-Latn-ME"/>
        </w:rPr>
        <w:t>, pacijenti koji su primali lijek Tecfidera u dozi od 240 mg dvaput dnevno tokom najmanje 6 mjeseci (n=38) ili nepegilovani interferon najmanje 3 mjeseca (n=33) razvili su uporediv imunološki odgovor (definisan kao povećanje titra nakon vakcinisanja za ≥2 puta u odnosu na onaj pre vakcinisanja) na toksoid tetanusa (</w:t>
      </w:r>
      <w:r w:rsidRPr="00D264F7">
        <w:rPr>
          <w:rFonts w:eastAsiaTheme="minorHAnsi"/>
          <w:i/>
          <w:sz w:val="22"/>
          <w:szCs w:val="22"/>
          <w:lang w:val="sr-Latn-ME"/>
        </w:rPr>
        <w:t>recall</w:t>
      </w:r>
      <w:r w:rsidRPr="00D264F7">
        <w:rPr>
          <w:rFonts w:eastAsiaTheme="minorHAnsi"/>
          <w:sz w:val="22"/>
          <w:szCs w:val="22"/>
          <w:lang w:val="sr-Latn-ME"/>
        </w:rPr>
        <w:t xml:space="preserve"> antigen) i polisaharidnu konjugovanu vakcinu protiv meningokoka tipa C (novi antigen), dok je imunološki odgovor na različite serotipove nekonjugovane 23-valentne polisaharidne </w:t>
      </w:r>
      <w:r w:rsidRPr="00D264F7">
        <w:rPr>
          <w:rFonts w:eastAsiaTheme="minorHAnsi"/>
          <w:sz w:val="22"/>
          <w:szCs w:val="22"/>
          <w:lang w:val="sr-Latn-ME"/>
        </w:rPr>
        <w:lastRenderedPageBreak/>
        <w:t>vakcine protiv pneumokoka (antigen nezavistan od T ćelija) varirao u obje terapijske grupe. Pozitivan imunološki odgovor definisan kao povećanje titra antitijela za ≥4 puta na te tri vakcine, postignut je kod manjeg broja pacijenata u obje terapijske grupe. Zabelježen je nešto veći broj pacijenata sa odgovorom na toksoid tetanusa i pneumokokni polisaharid serotipa 3 u grupi koja je primala nepegilovani interferon.</w:t>
      </w:r>
    </w:p>
    <w:p w14:paraId="49183C80"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42B8C55B" w14:textId="7D6E43DB"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Nema kliničkih podataka o efikasnosti i bezbjednosti živih atenuisanih vakcina kod pacijenata koji uzimaju lijek Tecfidera.</w:t>
      </w:r>
      <w:r w:rsidR="00D1709E">
        <w:rPr>
          <w:rFonts w:eastAsiaTheme="minorHAnsi"/>
          <w:sz w:val="22"/>
          <w:szCs w:val="22"/>
          <w:lang w:val="sr-Latn-ME"/>
        </w:rPr>
        <w:t xml:space="preserve"> </w:t>
      </w:r>
      <w:r w:rsidRPr="00D264F7">
        <w:rPr>
          <w:rFonts w:eastAsiaTheme="minorHAnsi"/>
          <w:sz w:val="22"/>
          <w:szCs w:val="22"/>
          <w:lang w:val="sr-Latn-ME"/>
        </w:rPr>
        <w:t>Žive vakcine mogu predstavljati povećan rizik od kliničke infekcije i ne smiju se dati pacijentima liječenim lijekom Tecfidera, osim u izuzetnim slučajevima, kada se smatra da je ovaj potencijalni rizik manji od rizika za pojedinca, ako se ne vakciniše.</w:t>
      </w:r>
    </w:p>
    <w:p w14:paraId="45780F52"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7F93AFF7" w14:textId="41294D45" w:rsidR="00D1709E" w:rsidRPr="00D1709E" w:rsidRDefault="00D1709E">
      <w:pPr>
        <w:keepNext/>
        <w:widowControl w:val="0"/>
        <w:suppressLineNumbers/>
        <w:spacing w:line="259" w:lineRule="auto"/>
        <w:jc w:val="both"/>
        <w:rPr>
          <w:rFonts w:eastAsiaTheme="minorHAnsi"/>
          <w:sz w:val="22"/>
          <w:szCs w:val="22"/>
          <w:lang w:val="sr-Latn-ME"/>
        </w:rPr>
      </w:pPr>
      <w:r w:rsidRPr="00D1709E">
        <w:rPr>
          <w:rFonts w:eastAsiaTheme="minorHAnsi"/>
          <w:sz w:val="22"/>
          <w:szCs w:val="22"/>
          <w:lang w:val="sr-Latn-ME"/>
        </w:rPr>
        <w:t>Ostali derivati fumaratne kiseline</w:t>
      </w:r>
    </w:p>
    <w:p w14:paraId="29F09FC5" w14:textId="5ADBDBED"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Tokom liječenja lijekom Tecfidera treba izbjegavati istovremenu upotrebu (topikalnu ili sistemsku) drugih derivata fumarne kiseline.</w:t>
      </w:r>
    </w:p>
    <w:p w14:paraId="0F2E2063" w14:textId="77777777" w:rsidR="008E35E1" w:rsidRPr="00D264F7" w:rsidRDefault="008E35E1">
      <w:pPr>
        <w:keepNext/>
        <w:widowControl w:val="0"/>
        <w:suppressLineNumbers/>
        <w:spacing w:line="259" w:lineRule="auto"/>
        <w:jc w:val="both"/>
        <w:rPr>
          <w:rFonts w:eastAsiaTheme="minorHAnsi"/>
          <w:sz w:val="22"/>
          <w:szCs w:val="22"/>
          <w:lang w:val="sr-Latn-ME"/>
        </w:rPr>
      </w:pPr>
    </w:p>
    <w:p w14:paraId="779D24F1" w14:textId="4641ACFA"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Kod ljudi, esteraze </w:t>
      </w:r>
      <w:r w:rsidR="00DE3F11" w:rsidRPr="00D264F7">
        <w:rPr>
          <w:rFonts w:eastAsiaTheme="minorHAnsi"/>
          <w:sz w:val="22"/>
          <w:szCs w:val="22"/>
          <w:lang w:val="sr-Latn-ME"/>
        </w:rPr>
        <w:t>eks</w:t>
      </w:r>
      <w:r w:rsidRPr="00D264F7">
        <w:rPr>
          <w:rFonts w:eastAsiaTheme="minorHAnsi"/>
          <w:sz w:val="22"/>
          <w:szCs w:val="22"/>
          <w:lang w:val="sr-Latn-ME"/>
        </w:rPr>
        <w:t xml:space="preserve">tenzivno metabolišu dimetilfumarat prije nego što dođe u sistemsku cirkulaciju, i dalji metabolizam se odvija kroz ciklus trikarboksilne kiseline, bez posredovanja sistema citohroma P450 (CYP). Nisu indentifikovani potencijalni rizici od interakcije ljekova u </w:t>
      </w:r>
      <w:r w:rsidRPr="00D264F7">
        <w:rPr>
          <w:rFonts w:eastAsiaTheme="minorHAnsi"/>
          <w:i/>
          <w:sz w:val="22"/>
          <w:szCs w:val="22"/>
          <w:lang w:val="sr-Latn-ME"/>
        </w:rPr>
        <w:t>in vitro</w:t>
      </w:r>
      <w:r w:rsidRPr="00D264F7">
        <w:rPr>
          <w:rFonts w:eastAsiaTheme="minorHAnsi"/>
          <w:sz w:val="22"/>
          <w:szCs w:val="22"/>
          <w:lang w:val="sr-Latn-ME"/>
        </w:rPr>
        <w:t xml:space="preserve"> ispitivanjima inhibicije i indukcije CYP-a, ispitivanju p-glikoproteina ili ispitivanjima vezivanja dimetilfumarata i monometilfumarata (primarni metabolit dimetilfumarata) na proteine.</w:t>
      </w:r>
    </w:p>
    <w:p w14:paraId="3608CA05" w14:textId="77777777" w:rsidR="00D1709E" w:rsidRDefault="00D1709E">
      <w:pPr>
        <w:keepNext/>
        <w:widowControl w:val="0"/>
        <w:suppressLineNumbers/>
        <w:spacing w:line="259" w:lineRule="auto"/>
        <w:jc w:val="both"/>
        <w:rPr>
          <w:rFonts w:eastAsiaTheme="minorHAnsi"/>
          <w:sz w:val="22"/>
          <w:szCs w:val="22"/>
          <w:lang w:val="sr-Latn-ME"/>
        </w:rPr>
      </w:pPr>
    </w:p>
    <w:p w14:paraId="15A261A0" w14:textId="285A7E1F" w:rsidR="00D1709E" w:rsidRPr="00D1709E" w:rsidRDefault="00D1709E">
      <w:pPr>
        <w:keepNext/>
        <w:widowControl w:val="0"/>
        <w:suppressLineNumbers/>
        <w:spacing w:line="259" w:lineRule="auto"/>
        <w:jc w:val="both"/>
        <w:rPr>
          <w:rFonts w:eastAsiaTheme="minorHAnsi"/>
          <w:sz w:val="22"/>
          <w:szCs w:val="22"/>
          <w:lang w:val="sr-Latn-ME"/>
        </w:rPr>
      </w:pPr>
      <w:r w:rsidRPr="00D1709E">
        <w:rPr>
          <w:rFonts w:eastAsiaTheme="minorHAnsi"/>
          <w:sz w:val="22"/>
          <w:szCs w:val="22"/>
          <w:lang w:val="sr-Latn-ME"/>
        </w:rPr>
        <w:t>Efekti</w:t>
      </w:r>
      <w:r w:rsidRPr="00D43DC4">
        <w:rPr>
          <w:rFonts w:eastAsiaTheme="minorHAnsi"/>
          <w:sz w:val="22"/>
          <w:szCs w:val="22"/>
          <w:lang w:val="sr-Latn-ME"/>
        </w:rPr>
        <w:t xml:space="preserve"> drugih l</w:t>
      </w:r>
      <w:r w:rsidRPr="00D1709E">
        <w:rPr>
          <w:rFonts w:eastAsiaTheme="minorHAnsi"/>
          <w:sz w:val="22"/>
          <w:szCs w:val="22"/>
          <w:lang w:val="sr-Latn-ME"/>
        </w:rPr>
        <w:t>jekova na dimetilfumarat</w:t>
      </w:r>
      <w:r w:rsidR="008E35E1" w:rsidRPr="00D1709E">
        <w:rPr>
          <w:rFonts w:eastAsiaTheme="minorHAnsi"/>
          <w:sz w:val="22"/>
          <w:szCs w:val="22"/>
          <w:lang w:val="sr-Latn-ME"/>
        </w:rPr>
        <w:t xml:space="preserve"> </w:t>
      </w:r>
    </w:p>
    <w:p w14:paraId="0FA0B24F" w14:textId="77777777" w:rsidR="008E35E1" w:rsidRPr="00D264F7" w:rsidRDefault="008E35E1">
      <w:pPr>
        <w:keepNext/>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Uobičajeno korišćeni ljekovi kod pacijenata sa multiplom sklerozom, intramuskularni interferon beta-1a i glatiramer acetat, klinički su ispitani na potencijalne interakcije sa dimetilfumaratom i pokazalo se da nisu promijenili farmakokinetički profil dimetilfumarata. </w:t>
      </w:r>
    </w:p>
    <w:p w14:paraId="22E54662" w14:textId="77777777" w:rsidR="008E35E1" w:rsidRPr="00D264F7" w:rsidRDefault="008E35E1">
      <w:pPr>
        <w:widowControl w:val="0"/>
        <w:suppressLineNumbers/>
        <w:spacing w:line="259" w:lineRule="auto"/>
        <w:jc w:val="both"/>
        <w:rPr>
          <w:rFonts w:eastAsiaTheme="minorHAnsi"/>
          <w:sz w:val="22"/>
          <w:szCs w:val="22"/>
          <w:lang w:val="sr-Latn-ME"/>
        </w:rPr>
      </w:pPr>
    </w:p>
    <w:p w14:paraId="50C9F498" w14:textId="24A9EEC9"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Dokazi iz ispitivanja na zdravim dobrovoljcima ukazuju na to da je pojava crvenila uz osjećaj vrućine povezana sa lijekom Tecfidera najvjerovatnnije posredovana prostaglandinima. U dva ispitivanja na zdravim dobrovoljcima, primjena 325 mg (ili ekvivalenta) acetilsalicilne kiseline bez acidorezistentnog omotača, 30 minuta prije davanja lijeka Tecfidera, tokom 4 dana odnosno kroz 4 ned</w:t>
      </w:r>
      <w:r w:rsidR="005729C0">
        <w:rPr>
          <w:rFonts w:eastAsiaTheme="minorHAnsi"/>
          <w:sz w:val="22"/>
          <w:szCs w:val="22"/>
          <w:lang w:val="sr-Latn-ME"/>
        </w:rPr>
        <w:t>j</w:t>
      </w:r>
      <w:r w:rsidRPr="00D264F7">
        <w:rPr>
          <w:rFonts w:eastAsiaTheme="minorHAnsi"/>
          <w:sz w:val="22"/>
          <w:szCs w:val="22"/>
          <w:lang w:val="sr-Latn-ME"/>
        </w:rPr>
        <w:t xml:space="preserve">elje doziranja, nije promijenila farmakokinetički profil lijeka Tecfidera. Kod pacijenata sa </w:t>
      </w:r>
      <w:r w:rsidR="002049F6">
        <w:rPr>
          <w:rFonts w:eastAsiaTheme="minorHAnsi"/>
          <w:sz w:val="22"/>
          <w:szCs w:val="22"/>
          <w:lang w:val="sr-Latn-ME"/>
        </w:rPr>
        <w:t>RRMS-om</w:t>
      </w:r>
      <w:r w:rsidRPr="00D264F7">
        <w:rPr>
          <w:rFonts w:eastAsiaTheme="minorHAnsi"/>
          <w:sz w:val="22"/>
          <w:szCs w:val="22"/>
          <w:lang w:val="sr-Latn-ME"/>
        </w:rPr>
        <w:t xml:space="preserve"> potrebno je razmotriti moguće rizike povezane sa upotrebom acetilsalicilne kiseline prije nego što se ona primijeni istovremeno sa lijekom Tecfidera. Dugotrajna (&gt;4 ned</w:t>
      </w:r>
      <w:r w:rsidR="005729C0">
        <w:rPr>
          <w:rFonts w:eastAsiaTheme="minorHAnsi"/>
          <w:sz w:val="22"/>
          <w:szCs w:val="22"/>
          <w:lang w:val="sr-Latn-ME"/>
        </w:rPr>
        <w:t>j</w:t>
      </w:r>
      <w:r w:rsidRPr="00D264F7">
        <w:rPr>
          <w:rFonts w:eastAsiaTheme="minorHAnsi"/>
          <w:sz w:val="22"/>
          <w:szCs w:val="22"/>
          <w:lang w:val="sr-Latn-ME"/>
        </w:rPr>
        <w:t xml:space="preserve">elje) neprekidna upotreba acetilsalicilne kiseline nije ispitana (vidjeti djelove 4.4 i 4.8). </w:t>
      </w:r>
    </w:p>
    <w:p w14:paraId="6EB940A2" w14:textId="77777777" w:rsidR="008E35E1" w:rsidRPr="00D264F7" w:rsidRDefault="008E35E1">
      <w:pPr>
        <w:widowControl w:val="0"/>
        <w:suppressLineNumbers/>
        <w:spacing w:line="259" w:lineRule="auto"/>
        <w:jc w:val="both"/>
        <w:rPr>
          <w:rFonts w:eastAsiaTheme="minorHAnsi"/>
          <w:sz w:val="22"/>
          <w:szCs w:val="22"/>
          <w:lang w:val="sr-Latn-ME"/>
        </w:rPr>
      </w:pPr>
    </w:p>
    <w:p w14:paraId="53F189C0"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Uporedna terapija sa nefrotoksičnim ljekovima (kao što su aminoglikozidi, diuretici, nesteroidni antiinflamatorni ljekovi ili litijum) može povećati potencijal neželjenih dejstava na nivou bubrega (npr. proteinuriju, vidjeti dio 4.8) kod pacijenata koji uzimaju lijek Tecfidera (vidjeti dio 4.4 Krvni/laboratorijski testovi).</w:t>
      </w:r>
    </w:p>
    <w:p w14:paraId="743E712D" w14:textId="77777777" w:rsidR="008E35E1" w:rsidRPr="00D264F7" w:rsidRDefault="008E35E1">
      <w:pPr>
        <w:widowControl w:val="0"/>
        <w:suppressLineNumbers/>
        <w:spacing w:line="259" w:lineRule="auto"/>
        <w:jc w:val="both"/>
        <w:rPr>
          <w:rFonts w:eastAsiaTheme="minorHAnsi"/>
          <w:sz w:val="22"/>
          <w:szCs w:val="22"/>
          <w:lang w:val="sr-Latn-ME"/>
        </w:rPr>
      </w:pPr>
    </w:p>
    <w:p w14:paraId="1A88B0CE"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Konzumiranje umjerenih količina alkohola nije imalo uticaja na djelovanje dimetilfumarata i nije bilo povezano sa povećanjem neželjenih dejstava. Konzumiranje velikih količina jakih alkoholnih pića (više od 30 vol. % alkohola) treba izbjegavati sat vremena nakon uzimanja lijeka Tecfidera, jer alkohol može dovesti do povećanja učestalosti gastrointestinalnih neželjenih dejstava.</w:t>
      </w:r>
    </w:p>
    <w:p w14:paraId="7921A998" w14:textId="77777777" w:rsidR="00D1709E" w:rsidRDefault="00D1709E">
      <w:pPr>
        <w:widowControl w:val="0"/>
        <w:suppressLineNumbers/>
        <w:spacing w:line="259" w:lineRule="auto"/>
        <w:jc w:val="both"/>
        <w:rPr>
          <w:rFonts w:eastAsiaTheme="minorHAnsi"/>
          <w:sz w:val="22"/>
          <w:szCs w:val="22"/>
          <w:lang w:val="sr-Latn-ME"/>
        </w:rPr>
      </w:pPr>
    </w:p>
    <w:p w14:paraId="2BFB2030" w14:textId="31503812" w:rsidR="00D1709E" w:rsidRPr="00D264F7" w:rsidRDefault="00D1709E">
      <w:pPr>
        <w:widowControl w:val="0"/>
        <w:suppressLineNumbers/>
        <w:spacing w:line="259" w:lineRule="auto"/>
        <w:jc w:val="both"/>
        <w:rPr>
          <w:rFonts w:eastAsiaTheme="minorHAnsi"/>
          <w:sz w:val="22"/>
          <w:szCs w:val="22"/>
          <w:lang w:val="sr-Latn-ME"/>
        </w:rPr>
      </w:pPr>
      <w:r w:rsidRPr="00D1709E">
        <w:rPr>
          <w:rFonts w:eastAsiaTheme="minorHAnsi"/>
          <w:sz w:val="22"/>
          <w:szCs w:val="22"/>
          <w:lang w:val="sr-Latn-ME"/>
        </w:rPr>
        <w:t>Efekti dimetilfumarat</w:t>
      </w:r>
      <w:r>
        <w:rPr>
          <w:rFonts w:eastAsiaTheme="minorHAnsi"/>
          <w:sz w:val="22"/>
          <w:szCs w:val="22"/>
          <w:lang w:val="sr-Latn-ME"/>
        </w:rPr>
        <w:t xml:space="preserve">a </w:t>
      </w:r>
      <w:r w:rsidRPr="00D1709E">
        <w:rPr>
          <w:rFonts w:eastAsiaTheme="minorHAnsi"/>
          <w:sz w:val="22"/>
          <w:szCs w:val="22"/>
          <w:lang w:val="sr-Latn-ME"/>
        </w:rPr>
        <w:t xml:space="preserve">na </w:t>
      </w:r>
      <w:r>
        <w:rPr>
          <w:rFonts w:eastAsiaTheme="minorHAnsi"/>
          <w:sz w:val="22"/>
          <w:szCs w:val="22"/>
          <w:lang w:val="sr-Latn-ME"/>
        </w:rPr>
        <w:t>druge ljekove</w:t>
      </w:r>
      <w:r w:rsidRPr="00D1709E">
        <w:rPr>
          <w:rFonts w:eastAsiaTheme="minorHAnsi"/>
          <w:sz w:val="22"/>
          <w:szCs w:val="22"/>
          <w:lang w:val="sr-Latn-ME"/>
        </w:rPr>
        <w:t xml:space="preserve"> </w:t>
      </w:r>
    </w:p>
    <w:p w14:paraId="008A8C5C"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i/>
          <w:sz w:val="22"/>
          <w:szCs w:val="22"/>
          <w:lang w:val="sr-Latn-ME"/>
        </w:rPr>
        <w:t>In vitro</w:t>
      </w:r>
      <w:r w:rsidRPr="00D264F7">
        <w:rPr>
          <w:rFonts w:eastAsiaTheme="minorHAnsi"/>
          <w:sz w:val="22"/>
          <w:szCs w:val="22"/>
          <w:lang w:val="sr-Latn-ME"/>
        </w:rPr>
        <w:t xml:space="preserve"> ispitivanja indukcije CYP-a nisu pokazala interakciju između lijeka Tecfidera i oralnih kontraceptiva. U jednom </w:t>
      </w:r>
      <w:r w:rsidRPr="00D264F7">
        <w:rPr>
          <w:rFonts w:eastAsiaTheme="minorHAnsi"/>
          <w:i/>
          <w:sz w:val="22"/>
          <w:szCs w:val="22"/>
          <w:lang w:val="sr-Latn-ME"/>
        </w:rPr>
        <w:t>in vivo</w:t>
      </w:r>
      <w:r w:rsidRPr="00D264F7">
        <w:rPr>
          <w:rFonts w:eastAsiaTheme="minorHAnsi"/>
          <w:sz w:val="22"/>
          <w:szCs w:val="22"/>
          <w:lang w:val="sr-Latn-ME"/>
        </w:rPr>
        <w:t xml:space="preserve"> ispitivanju, istovremena primjena lijeka Tecfidera sa kombinovanim oralnim kontraceptivima (norgestimat i etinilestradiol) nije značajno promijenila izloženost oralnim kontraceptivima. Iako nijesu sprovedena ispitivanja interakcija sa oralnim kontraceptivima koji sadrže druge progestagene, uticaj lijeka Tecfidera na izloženost tim kontraceptivima se ne očekuje. </w:t>
      </w:r>
    </w:p>
    <w:p w14:paraId="5E3758BF" w14:textId="77777777" w:rsidR="008E35E1" w:rsidRPr="00D264F7" w:rsidRDefault="008E35E1">
      <w:pPr>
        <w:widowControl w:val="0"/>
        <w:suppressLineNumbers/>
        <w:spacing w:line="259" w:lineRule="auto"/>
        <w:jc w:val="both"/>
        <w:rPr>
          <w:rFonts w:eastAsiaTheme="minorHAnsi"/>
          <w:sz w:val="22"/>
          <w:szCs w:val="22"/>
          <w:lang w:val="sr-Latn-ME"/>
        </w:rPr>
      </w:pPr>
    </w:p>
    <w:p w14:paraId="0C54817D"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Pedijatrijska populacija</w:t>
      </w:r>
    </w:p>
    <w:p w14:paraId="20F85F25" w14:textId="77777777" w:rsidR="008E35E1" w:rsidRPr="00D264F7" w:rsidRDefault="008E35E1">
      <w:pPr>
        <w:widowControl w:val="0"/>
        <w:suppressLineNumbers/>
        <w:spacing w:line="259" w:lineRule="auto"/>
        <w:jc w:val="both"/>
        <w:rPr>
          <w:rFonts w:eastAsiaTheme="minorHAnsi"/>
          <w:sz w:val="22"/>
          <w:szCs w:val="22"/>
          <w:lang w:val="sr-Latn-ME"/>
        </w:rPr>
      </w:pPr>
    </w:p>
    <w:p w14:paraId="7366D3E6" w14:textId="77777777" w:rsidR="008E35E1" w:rsidRPr="00D264F7" w:rsidRDefault="008E35E1">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lastRenderedPageBreak/>
        <w:t>Ispitivanja interakcija sprovedena su samo kod odraslih.</w:t>
      </w:r>
    </w:p>
    <w:p w14:paraId="6670E227" w14:textId="77777777" w:rsidR="0080276E" w:rsidRPr="00D264F7" w:rsidRDefault="0080276E" w:rsidP="001F758F">
      <w:pPr>
        <w:tabs>
          <w:tab w:val="left" w:pos="540"/>
          <w:tab w:val="left" w:pos="569"/>
        </w:tabs>
        <w:jc w:val="both"/>
        <w:rPr>
          <w:bCs/>
          <w:sz w:val="22"/>
          <w:szCs w:val="22"/>
          <w:lang w:val="sr-Latn-ME"/>
        </w:rPr>
      </w:pPr>
    </w:p>
    <w:p w14:paraId="7605934B" w14:textId="77777777" w:rsidR="0072020E" w:rsidRPr="00D264F7" w:rsidRDefault="0072020E" w:rsidP="001F758F">
      <w:pPr>
        <w:tabs>
          <w:tab w:val="left" w:pos="540"/>
          <w:tab w:val="left" w:pos="569"/>
        </w:tabs>
        <w:jc w:val="both"/>
        <w:rPr>
          <w:b/>
          <w:sz w:val="22"/>
          <w:szCs w:val="22"/>
          <w:lang w:val="sr-Latn-ME"/>
        </w:rPr>
      </w:pPr>
      <w:r w:rsidRPr="00D264F7">
        <w:rPr>
          <w:b/>
          <w:bCs/>
          <w:sz w:val="22"/>
          <w:szCs w:val="22"/>
          <w:lang w:val="sr-Latn-ME"/>
        </w:rPr>
        <w:t xml:space="preserve">4.6. </w:t>
      </w:r>
      <w:r w:rsidR="00480FB1" w:rsidRPr="00D264F7">
        <w:rPr>
          <w:b/>
          <w:bCs/>
          <w:sz w:val="22"/>
          <w:szCs w:val="22"/>
          <w:lang w:val="sr-Latn-ME"/>
        </w:rPr>
        <w:tab/>
      </w:r>
      <w:r w:rsidR="006D20A5" w:rsidRPr="00D264F7">
        <w:rPr>
          <w:b/>
          <w:sz w:val="22"/>
          <w:szCs w:val="22"/>
          <w:lang w:val="sr-Latn-ME"/>
        </w:rPr>
        <w:t>Plodnost, trudnoća i dojenje</w:t>
      </w:r>
    </w:p>
    <w:p w14:paraId="4EF08D98" w14:textId="77777777" w:rsidR="002031B3" w:rsidRPr="00D264F7" w:rsidRDefault="002031B3" w:rsidP="001F758F">
      <w:pPr>
        <w:tabs>
          <w:tab w:val="left" w:pos="540"/>
          <w:tab w:val="left" w:pos="569"/>
        </w:tabs>
        <w:jc w:val="both"/>
        <w:rPr>
          <w:sz w:val="22"/>
          <w:szCs w:val="22"/>
          <w:u w:val="single"/>
          <w:lang w:val="sr-Latn-ME"/>
        </w:rPr>
      </w:pPr>
    </w:p>
    <w:p w14:paraId="7D74E90A" w14:textId="77777777" w:rsidR="00BD782B" w:rsidRPr="00D264F7" w:rsidRDefault="00BD782B" w:rsidP="001C605F">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Trudnoća</w:t>
      </w:r>
    </w:p>
    <w:p w14:paraId="091D2942" w14:textId="77777777" w:rsidR="00BD782B" w:rsidRPr="00D264F7" w:rsidRDefault="00BD782B">
      <w:pPr>
        <w:widowControl w:val="0"/>
        <w:suppressLineNumbers/>
        <w:spacing w:line="259" w:lineRule="auto"/>
        <w:jc w:val="both"/>
        <w:rPr>
          <w:rFonts w:eastAsiaTheme="minorHAnsi"/>
          <w:sz w:val="22"/>
          <w:szCs w:val="22"/>
          <w:lang w:val="sr-Latn-ME"/>
        </w:rPr>
      </w:pPr>
    </w:p>
    <w:p w14:paraId="745BF51E" w14:textId="67202A5A" w:rsidR="00D649D5" w:rsidRDefault="00D649D5">
      <w:pPr>
        <w:widowControl w:val="0"/>
        <w:suppressLineNumbers/>
        <w:spacing w:line="259" w:lineRule="auto"/>
        <w:jc w:val="both"/>
        <w:rPr>
          <w:rFonts w:eastAsiaTheme="minorHAnsi"/>
          <w:sz w:val="22"/>
          <w:szCs w:val="22"/>
          <w:lang w:val="sr-Latn-ME"/>
        </w:rPr>
      </w:pPr>
      <w:r w:rsidRPr="00D649D5">
        <w:rPr>
          <w:rFonts w:eastAsiaTheme="minorHAnsi"/>
          <w:sz w:val="22"/>
          <w:szCs w:val="22"/>
          <w:lang w:val="sr-Latn-ME"/>
        </w:rPr>
        <w:t>Dostupna je um</w:t>
      </w:r>
      <w:r w:rsidR="005729C0">
        <w:rPr>
          <w:rFonts w:eastAsiaTheme="minorHAnsi"/>
          <w:sz w:val="22"/>
          <w:szCs w:val="22"/>
          <w:lang w:val="sr-Latn-ME"/>
        </w:rPr>
        <w:t>j</w:t>
      </w:r>
      <w:r w:rsidRPr="00D649D5">
        <w:rPr>
          <w:rFonts w:eastAsiaTheme="minorHAnsi"/>
          <w:sz w:val="22"/>
          <w:szCs w:val="22"/>
          <w:lang w:val="sr-Latn-ME"/>
        </w:rPr>
        <w:t>erena količina podataka o trudnicama (između 300-1000 ishoda trudnoć</w:t>
      </w:r>
      <w:r>
        <w:rPr>
          <w:rFonts w:eastAsiaTheme="minorHAnsi"/>
          <w:sz w:val="22"/>
          <w:szCs w:val="22"/>
          <w:lang w:val="sr-Latn-ME"/>
        </w:rPr>
        <w:t>a</w:t>
      </w:r>
      <w:r w:rsidRPr="00D649D5">
        <w:rPr>
          <w:rFonts w:eastAsiaTheme="minorHAnsi"/>
          <w:sz w:val="22"/>
          <w:szCs w:val="22"/>
          <w:lang w:val="sr-Latn-ME"/>
        </w:rPr>
        <w:t>), na osnovu registra trudn</w:t>
      </w:r>
      <w:r>
        <w:rPr>
          <w:rFonts w:eastAsiaTheme="minorHAnsi"/>
          <w:sz w:val="22"/>
          <w:szCs w:val="22"/>
          <w:lang w:val="sr-Latn-ME"/>
        </w:rPr>
        <w:t>oća</w:t>
      </w:r>
      <w:r w:rsidRPr="00D649D5">
        <w:rPr>
          <w:rFonts w:eastAsiaTheme="minorHAnsi"/>
          <w:sz w:val="22"/>
          <w:szCs w:val="22"/>
          <w:lang w:val="sr-Latn-ME"/>
        </w:rPr>
        <w:t xml:space="preserve"> i spontanih </w:t>
      </w:r>
      <w:r>
        <w:rPr>
          <w:rFonts w:eastAsiaTheme="minorHAnsi"/>
          <w:sz w:val="22"/>
          <w:szCs w:val="22"/>
          <w:lang w:val="sr-Latn-ME"/>
        </w:rPr>
        <w:t>prijava</w:t>
      </w:r>
      <w:r w:rsidRPr="00D649D5">
        <w:rPr>
          <w:rFonts w:eastAsiaTheme="minorHAnsi"/>
          <w:sz w:val="22"/>
          <w:szCs w:val="22"/>
          <w:lang w:val="sr-Latn-ME"/>
        </w:rPr>
        <w:t xml:space="preserve"> nakon stavljanja </w:t>
      </w:r>
      <w:r>
        <w:rPr>
          <w:rFonts w:eastAsiaTheme="minorHAnsi"/>
          <w:sz w:val="22"/>
          <w:szCs w:val="22"/>
          <w:lang w:val="sr-Latn-ME"/>
        </w:rPr>
        <w:t>l</w:t>
      </w:r>
      <w:r w:rsidR="005729C0">
        <w:rPr>
          <w:rFonts w:eastAsiaTheme="minorHAnsi"/>
          <w:sz w:val="22"/>
          <w:szCs w:val="22"/>
          <w:lang w:val="sr-Latn-ME"/>
        </w:rPr>
        <w:t>ij</w:t>
      </w:r>
      <w:r>
        <w:rPr>
          <w:rFonts w:eastAsiaTheme="minorHAnsi"/>
          <w:sz w:val="22"/>
          <w:szCs w:val="22"/>
          <w:lang w:val="sr-Latn-ME"/>
        </w:rPr>
        <w:t xml:space="preserve">eka </w:t>
      </w:r>
      <w:r w:rsidRPr="00D649D5">
        <w:rPr>
          <w:rFonts w:eastAsiaTheme="minorHAnsi"/>
          <w:sz w:val="22"/>
          <w:szCs w:val="22"/>
          <w:lang w:val="sr-Latn-ME"/>
        </w:rPr>
        <w:t>u promet.</w:t>
      </w:r>
      <w:r>
        <w:rPr>
          <w:rFonts w:eastAsiaTheme="minorHAnsi"/>
          <w:sz w:val="22"/>
          <w:szCs w:val="22"/>
          <w:lang w:val="sr-Latn-ME"/>
        </w:rPr>
        <w:t xml:space="preserve"> R</w:t>
      </w:r>
      <w:r w:rsidRPr="00D649D5">
        <w:rPr>
          <w:rFonts w:eastAsiaTheme="minorHAnsi"/>
          <w:sz w:val="22"/>
          <w:szCs w:val="22"/>
          <w:lang w:val="sr-Latn-ME"/>
        </w:rPr>
        <w:t>egist</w:t>
      </w:r>
      <w:r>
        <w:rPr>
          <w:rFonts w:eastAsiaTheme="minorHAnsi"/>
          <w:sz w:val="22"/>
          <w:szCs w:val="22"/>
          <w:lang w:val="sr-Latn-ME"/>
        </w:rPr>
        <w:t>ar</w:t>
      </w:r>
      <w:r w:rsidRPr="00D649D5">
        <w:rPr>
          <w:rFonts w:eastAsiaTheme="minorHAnsi"/>
          <w:sz w:val="22"/>
          <w:szCs w:val="22"/>
          <w:lang w:val="sr-Latn-ME"/>
        </w:rPr>
        <w:t xml:space="preserve"> trudnoća </w:t>
      </w:r>
      <w:r>
        <w:rPr>
          <w:rFonts w:eastAsiaTheme="minorHAnsi"/>
          <w:sz w:val="22"/>
          <w:szCs w:val="22"/>
          <w:lang w:val="sr-Latn-ME"/>
        </w:rPr>
        <w:t>za l</w:t>
      </w:r>
      <w:r w:rsidR="005729C0">
        <w:rPr>
          <w:rFonts w:eastAsiaTheme="minorHAnsi"/>
          <w:sz w:val="22"/>
          <w:szCs w:val="22"/>
          <w:lang w:val="sr-Latn-ME"/>
        </w:rPr>
        <w:t>ij</w:t>
      </w:r>
      <w:r>
        <w:rPr>
          <w:rFonts w:eastAsiaTheme="minorHAnsi"/>
          <w:sz w:val="22"/>
          <w:szCs w:val="22"/>
          <w:lang w:val="sr-Latn-ME"/>
        </w:rPr>
        <w:t xml:space="preserve">ek </w:t>
      </w:r>
      <w:r w:rsidRPr="00D649D5">
        <w:rPr>
          <w:rFonts w:eastAsiaTheme="minorHAnsi"/>
          <w:sz w:val="22"/>
          <w:szCs w:val="22"/>
          <w:lang w:val="sr-Latn-ME"/>
        </w:rPr>
        <w:t>Tecfidera</w:t>
      </w:r>
      <w:r>
        <w:rPr>
          <w:rFonts w:eastAsiaTheme="minorHAnsi"/>
          <w:sz w:val="22"/>
          <w:szCs w:val="22"/>
          <w:lang w:val="sr-Latn-ME"/>
        </w:rPr>
        <w:t xml:space="preserve"> sadrži prospektivno prikupljene podatke o </w:t>
      </w:r>
      <w:r w:rsidRPr="00D649D5">
        <w:rPr>
          <w:rFonts w:eastAsiaTheme="minorHAnsi"/>
          <w:sz w:val="22"/>
          <w:szCs w:val="22"/>
          <w:lang w:val="sr-Latn-ME"/>
        </w:rPr>
        <w:t>289 ishoda trudnoć</w:t>
      </w:r>
      <w:r>
        <w:rPr>
          <w:rFonts w:eastAsiaTheme="minorHAnsi"/>
          <w:sz w:val="22"/>
          <w:szCs w:val="22"/>
          <w:lang w:val="sr-Latn-ME"/>
        </w:rPr>
        <w:t>a</w:t>
      </w:r>
      <w:r w:rsidRPr="00D649D5">
        <w:rPr>
          <w:rFonts w:eastAsiaTheme="minorHAnsi"/>
          <w:sz w:val="22"/>
          <w:szCs w:val="22"/>
          <w:lang w:val="sr-Latn-ME"/>
        </w:rPr>
        <w:t xml:space="preserve"> kod pacijen</w:t>
      </w:r>
      <w:r>
        <w:rPr>
          <w:rFonts w:eastAsiaTheme="minorHAnsi"/>
          <w:sz w:val="22"/>
          <w:szCs w:val="22"/>
          <w:lang w:val="sr-Latn-ME"/>
        </w:rPr>
        <w:t>tkinja</w:t>
      </w:r>
      <w:r w:rsidRPr="00D649D5">
        <w:rPr>
          <w:rFonts w:eastAsiaTheme="minorHAnsi"/>
          <w:sz w:val="22"/>
          <w:szCs w:val="22"/>
          <w:lang w:val="sr-Latn-ME"/>
        </w:rPr>
        <w:t xml:space="preserve"> sa MS koj</w:t>
      </w:r>
      <w:r>
        <w:rPr>
          <w:rFonts w:eastAsiaTheme="minorHAnsi"/>
          <w:sz w:val="22"/>
          <w:szCs w:val="22"/>
          <w:lang w:val="sr-Latn-ME"/>
        </w:rPr>
        <w:t>e</w:t>
      </w:r>
      <w:r w:rsidRPr="00D649D5">
        <w:rPr>
          <w:rFonts w:eastAsiaTheme="minorHAnsi"/>
          <w:sz w:val="22"/>
          <w:szCs w:val="22"/>
          <w:lang w:val="sr-Latn-ME"/>
        </w:rPr>
        <w:t xml:space="preserve"> su bil</w:t>
      </w:r>
      <w:r>
        <w:rPr>
          <w:rFonts w:eastAsiaTheme="minorHAnsi"/>
          <w:sz w:val="22"/>
          <w:szCs w:val="22"/>
          <w:lang w:val="sr-Latn-ME"/>
        </w:rPr>
        <w:t>e</w:t>
      </w:r>
      <w:r w:rsidRPr="00D649D5">
        <w:rPr>
          <w:rFonts w:eastAsiaTheme="minorHAnsi"/>
          <w:sz w:val="22"/>
          <w:szCs w:val="22"/>
          <w:lang w:val="sr-Latn-ME"/>
        </w:rPr>
        <w:t xml:space="preserve"> izložen</w:t>
      </w:r>
      <w:r>
        <w:rPr>
          <w:rFonts w:eastAsiaTheme="minorHAnsi"/>
          <w:sz w:val="22"/>
          <w:szCs w:val="22"/>
          <w:lang w:val="sr-Latn-ME"/>
        </w:rPr>
        <w:t>e</w:t>
      </w:r>
      <w:r w:rsidRPr="00D649D5">
        <w:rPr>
          <w:rFonts w:eastAsiaTheme="minorHAnsi"/>
          <w:sz w:val="22"/>
          <w:szCs w:val="22"/>
          <w:lang w:val="sr-Latn-ME"/>
        </w:rPr>
        <w:t xml:space="preserve"> dimetilfumaratu. </w:t>
      </w:r>
      <w:r>
        <w:rPr>
          <w:rFonts w:eastAsiaTheme="minorHAnsi"/>
          <w:sz w:val="22"/>
          <w:szCs w:val="22"/>
          <w:lang w:val="sr-Latn-ME"/>
        </w:rPr>
        <w:t>Medijana</w:t>
      </w:r>
      <w:r w:rsidRPr="00D649D5">
        <w:rPr>
          <w:rFonts w:eastAsiaTheme="minorHAnsi"/>
          <w:sz w:val="22"/>
          <w:szCs w:val="22"/>
          <w:lang w:val="sr-Latn-ME"/>
        </w:rPr>
        <w:t xml:space="preserve"> trajanj</w:t>
      </w:r>
      <w:r>
        <w:rPr>
          <w:rFonts w:eastAsiaTheme="minorHAnsi"/>
          <w:sz w:val="22"/>
          <w:szCs w:val="22"/>
          <w:lang w:val="sr-Latn-ME"/>
        </w:rPr>
        <w:t>a</w:t>
      </w:r>
      <w:r w:rsidRPr="00D649D5">
        <w:rPr>
          <w:rFonts w:eastAsiaTheme="minorHAnsi"/>
          <w:sz w:val="22"/>
          <w:szCs w:val="22"/>
          <w:lang w:val="sr-Latn-ME"/>
        </w:rPr>
        <w:t xml:space="preserve"> izl</w:t>
      </w:r>
      <w:r>
        <w:rPr>
          <w:rFonts w:eastAsiaTheme="minorHAnsi"/>
          <w:sz w:val="22"/>
          <w:szCs w:val="22"/>
          <w:lang w:val="sr-Latn-ME"/>
        </w:rPr>
        <w:t>oženosti</w:t>
      </w:r>
      <w:r w:rsidRPr="00D649D5">
        <w:rPr>
          <w:rFonts w:eastAsiaTheme="minorHAnsi"/>
          <w:sz w:val="22"/>
          <w:szCs w:val="22"/>
          <w:lang w:val="sr-Latn-ME"/>
        </w:rPr>
        <w:t xml:space="preserve"> dimetilfumaratu bil</w:t>
      </w:r>
      <w:r>
        <w:rPr>
          <w:rFonts w:eastAsiaTheme="minorHAnsi"/>
          <w:sz w:val="22"/>
          <w:szCs w:val="22"/>
          <w:lang w:val="sr-Latn-ME"/>
        </w:rPr>
        <w:t>a</w:t>
      </w:r>
      <w:r w:rsidRPr="00D649D5">
        <w:rPr>
          <w:rFonts w:eastAsiaTheme="minorHAnsi"/>
          <w:sz w:val="22"/>
          <w:szCs w:val="22"/>
          <w:lang w:val="sr-Latn-ME"/>
        </w:rPr>
        <w:t xml:space="preserve"> je 4,6 gestacijskih ned</w:t>
      </w:r>
      <w:r w:rsidR="005729C0">
        <w:rPr>
          <w:rFonts w:eastAsiaTheme="minorHAnsi"/>
          <w:sz w:val="22"/>
          <w:szCs w:val="22"/>
          <w:lang w:val="sr-Latn-ME"/>
        </w:rPr>
        <w:t>j</w:t>
      </w:r>
      <w:r w:rsidRPr="00D649D5">
        <w:rPr>
          <w:rFonts w:eastAsiaTheme="minorHAnsi"/>
          <w:sz w:val="22"/>
          <w:szCs w:val="22"/>
          <w:lang w:val="sr-Latn-ME"/>
        </w:rPr>
        <w:t xml:space="preserve">elja </w:t>
      </w:r>
      <w:r>
        <w:rPr>
          <w:rFonts w:eastAsiaTheme="minorHAnsi"/>
          <w:sz w:val="22"/>
          <w:szCs w:val="22"/>
          <w:lang w:val="sr-Latn-ME"/>
        </w:rPr>
        <w:t>uz</w:t>
      </w:r>
      <w:r w:rsidRPr="00D649D5">
        <w:rPr>
          <w:rFonts w:eastAsiaTheme="minorHAnsi"/>
          <w:sz w:val="22"/>
          <w:szCs w:val="22"/>
          <w:lang w:val="sr-Latn-ME"/>
        </w:rPr>
        <w:t xml:space="preserve"> ograničen</w:t>
      </w:r>
      <w:r>
        <w:rPr>
          <w:rFonts w:eastAsiaTheme="minorHAnsi"/>
          <w:sz w:val="22"/>
          <w:szCs w:val="22"/>
          <w:lang w:val="sr-Latn-ME"/>
        </w:rPr>
        <w:t>u</w:t>
      </w:r>
      <w:r w:rsidRPr="00D649D5">
        <w:rPr>
          <w:rFonts w:eastAsiaTheme="minorHAnsi"/>
          <w:sz w:val="22"/>
          <w:szCs w:val="22"/>
          <w:lang w:val="sr-Latn-ME"/>
        </w:rPr>
        <w:t xml:space="preserve"> izloženo</w:t>
      </w:r>
      <w:r>
        <w:rPr>
          <w:rFonts w:eastAsiaTheme="minorHAnsi"/>
          <w:sz w:val="22"/>
          <w:szCs w:val="22"/>
          <w:lang w:val="sr-Latn-ME"/>
        </w:rPr>
        <w:t>st</w:t>
      </w:r>
      <w:r w:rsidRPr="00D649D5">
        <w:rPr>
          <w:rFonts w:eastAsiaTheme="minorHAnsi"/>
          <w:sz w:val="22"/>
          <w:szCs w:val="22"/>
          <w:lang w:val="sr-Latn-ME"/>
        </w:rPr>
        <w:t xml:space="preserve"> nakon šeste gestacijske ned</w:t>
      </w:r>
      <w:r w:rsidR="005729C0">
        <w:rPr>
          <w:rFonts w:eastAsiaTheme="minorHAnsi"/>
          <w:sz w:val="22"/>
          <w:szCs w:val="22"/>
          <w:lang w:val="sr-Latn-ME"/>
        </w:rPr>
        <w:t>j</w:t>
      </w:r>
      <w:r w:rsidRPr="00D649D5">
        <w:rPr>
          <w:rFonts w:eastAsiaTheme="minorHAnsi"/>
          <w:sz w:val="22"/>
          <w:szCs w:val="22"/>
          <w:lang w:val="sr-Latn-ME"/>
        </w:rPr>
        <w:t>elje (44 ishoda trudnoć</w:t>
      </w:r>
      <w:r w:rsidR="003C50C0">
        <w:rPr>
          <w:rFonts w:eastAsiaTheme="minorHAnsi"/>
          <w:sz w:val="22"/>
          <w:szCs w:val="22"/>
          <w:lang w:val="sr-Latn-ME"/>
        </w:rPr>
        <w:t>a</w:t>
      </w:r>
      <w:r w:rsidRPr="00D649D5">
        <w:rPr>
          <w:rFonts w:eastAsiaTheme="minorHAnsi"/>
          <w:sz w:val="22"/>
          <w:szCs w:val="22"/>
          <w:lang w:val="sr-Latn-ME"/>
        </w:rPr>
        <w:t xml:space="preserve">). Izloženost dimetilfumaratu tokom tako rane trudnoće ne ukazuje na malformativnu ili feto/neonatalnu toksičnost u poređenju sa opštom populacijom. </w:t>
      </w:r>
      <w:r w:rsidR="003C50C0">
        <w:rPr>
          <w:rFonts w:eastAsiaTheme="minorHAnsi"/>
          <w:sz w:val="22"/>
          <w:szCs w:val="22"/>
          <w:lang w:val="sr-Latn-ME"/>
        </w:rPr>
        <w:t>Nije poznat r</w:t>
      </w:r>
      <w:r w:rsidRPr="00D649D5">
        <w:rPr>
          <w:rFonts w:eastAsiaTheme="minorHAnsi"/>
          <w:sz w:val="22"/>
          <w:szCs w:val="22"/>
          <w:lang w:val="sr-Latn-ME"/>
        </w:rPr>
        <w:t>izik d</w:t>
      </w:r>
      <w:r w:rsidR="003C50C0">
        <w:rPr>
          <w:rFonts w:eastAsiaTheme="minorHAnsi"/>
          <w:sz w:val="22"/>
          <w:szCs w:val="22"/>
          <w:lang w:val="sr-Latn-ME"/>
        </w:rPr>
        <w:t>ugotrajnije izloženosti</w:t>
      </w:r>
      <w:r w:rsidRPr="00D649D5">
        <w:rPr>
          <w:rFonts w:eastAsiaTheme="minorHAnsi"/>
          <w:sz w:val="22"/>
          <w:szCs w:val="22"/>
          <w:lang w:val="sr-Latn-ME"/>
        </w:rPr>
        <w:t xml:space="preserve"> dimetilfumaratu ili izl</w:t>
      </w:r>
      <w:r w:rsidR="003C50C0">
        <w:rPr>
          <w:rFonts w:eastAsiaTheme="minorHAnsi"/>
          <w:sz w:val="22"/>
          <w:szCs w:val="22"/>
          <w:lang w:val="sr-Latn-ME"/>
        </w:rPr>
        <w:t>oženosti</w:t>
      </w:r>
      <w:r w:rsidRPr="00D649D5">
        <w:rPr>
          <w:rFonts w:eastAsiaTheme="minorHAnsi"/>
          <w:sz w:val="22"/>
          <w:szCs w:val="22"/>
          <w:lang w:val="sr-Latn-ME"/>
        </w:rPr>
        <w:t xml:space="preserve"> u kasnijim fazama trudnoće.</w:t>
      </w:r>
    </w:p>
    <w:p w14:paraId="3EC48FEF" w14:textId="0E5A782D"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Ispitivanja na životinjama pokazala su reproduktivnu toksičnost (vidjeti dio 5.3). </w:t>
      </w:r>
      <w:r w:rsidR="003C50C0">
        <w:rPr>
          <w:rFonts w:eastAsiaTheme="minorHAnsi"/>
          <w:sz w:val="22"/>
          <w:szCs w:val="22"/>
          <w:lang w:val="sr-Latn-ME"/>
        </w:rPr>
        <w:t>Kao m</w:t>
      </w:r>
      <w:r w:rsidR="005729C0">
        <w:rPr>
          <w:rFonts w:eastAsiaTheme="minorHAnsi"/>
          <w:sz w:val="22"/>
          <w:szCs w:val="22"/>
          <w:lang w:val="sr-Latn-ME"/>
        </w:rPr>
        <w:t>j</w:t>
      </w:r>
      <w:r w:rsidR="003C50C0">
        <w:rPr>
          <w:rFonts w:eastAsiaTheme="minorHAnsi"/>
          <w:sz w:val="22"/>
          <w:szCs w:val="22"/>
          <w:lang w:val="sr-Latn-ME"/>
        </w:rPr>
        <w:t>era opreza,</w:t>
      </w:r>
      <w:r w:rsidRPr="00D264F7">
        <w:rPr>
          <w:rFonts w:eastAsiaTheme="minorHAnsi"/>
          <w:sz w:val="22"/>
          <w:szCs w:val="22"/>
          <w:lang w:val="sr-Latn-ME"/>
        </w:rPr>
        <w:t xml:space="preserve"> preporučuje se</w:t>
      </w:r>
      <w:r w:rsidR="003C50C0">
        <w:rPr>
          <w:rFonts w:eastAsiaTheme="minorHAnsi"/>
          <w:sz w:val="22"/>
          <w:szCs w:val="22"/>
          <w:lang w:val="sr-Latn-ME"/>
        </w:rPr>
        <w:t xml:space="preserve"> izb</w:t>
      </w:r>
      <w:r w:rsidR="00D87BA8">
        <w:rPr>
          <w:rFonts w:eastAsiaTheme="minorHAnsi"/>
          <w:sz w:val="22"/>
          <w:szCs w:val="22"/>
          <w:lang w:val="sr-Latn-ME"/>
        </w:rPr>
        <w:t>j</w:t>
      </w:r>
      <w:r w:rsidR="003C50C0">
        <w:rPr>
          <w:rFonts w:eastAsiaTheme="minorHAnsi"/>
          <w:sz w:val="22"/>
          <w:szCs w:val="22"/>
          <w:lang w:val="sr-Latn-ME"/>
        </w:rPr>
        <w:t>egavanje prim</w:t>
      </w:r>
      <w:r w:rsidR="005729C0">
        <w:rPr>
          <w:rFonts w:eastAsiaTheme="minorHAnsi"/>
          <w:sz w:val="22"/>
          <w:szCs w:val="22"/>
          <w:lang w:val="sr-Latn-ME"/>
        </w:rPr>
        <w:t>j</w:t>
      </w:r>
      <w:r w:rsidR="003C50C0">
        <w:rPr>
          <w:rFonts w:eastAsiaTheme="minorHAnsi"/>
          <w:sz w:val="22"/>
          <w:szCs w:val="22"/>
          <w:lang w:val="sr-Latn-ME"/>
        </w:rPr>
        <w:t>ene</w:t>
      </w:r>
      <w:r w:rsidRPr="00D264F7">
        <w:rPr>
          <w:rFonts w:eastAsiaTheme="minorHAnsi"/>
          <w:sz w:val="22"/>
          <w:szCs w:val="22"/>
          <w:lang w:val="sr-Latn-ME"/>
        </w:rPr>
        <w:t xml:space="preserve"> lijeka Tecfidera </w:t>
      </w:r>
      <w:r w:rsidR="003C50C0">
        <w:rPr>
          <w:rFonts w:eastAsiaTheme="minorHAnsi"/>
          <w:sz w:val="22"/>
          <w:szCs w:val="22"/>
          <w:lang w:val="sr-Latn-ME"/>
        </w:rPr>
        <w:t>tokom</w:t>
      </w:r>
      <w:r w:rsidRPr="00D264F7">
        <w:rPr>
          <w:rFonts w:eastAsiaTheme="minorHAnsi"/>
          <w:sz w:val="22"/>
          <w:szCs w:val="22"/>
          <w:lang w:val="sr-Latn-ME"/>
        </w:rPr>
        <w:t xml:space="preserve"> trudnoće. Lijek Tecfidera se smije primijeniti </w:t>
      </w:r>
      <w:r w:rsidR="003C50C0">
        <w:rPr>
          <w:rFonts w:eastAsiaTheme="minorHAnsi"/>
          <w:sz w:val="22"/>
          <w:szCs w:val="22"/>
          <w:lang w:val="sr-Latn-ME"/>
        </w:rPr>
        <w:t>tokom</w:t>
      </w:r>
      <w:r w:rsidRPr="00D264F7">
        <w:rPr>
          <w:rFonts w:eastAsiaTheme="minorHAnsi"/>
          <w:sz w:val="22"/>
          <w:szCs w:val="22"/>
          <w:lang w:val="sr-Latn-ME"/>
        </w:rPr>
        <w:t xml:space="preserve"> trudnoće samo ako je potreba jasna i ako potencijalna korist opravdava potencijalni rizik za fetus.</w:t>
      </w:r>
    </w:p>
    <w:p w14:paraId="15D29E31" w14:textId="77777777" w:rsidR="00BD782B" w:rsidRPr="00D264F7" w:rsidRDefault="00BD782B">
      <w:pPr>
        <w:widowControl w:val="0"/>
        <w:suppressLineNumbers/>
        <w:spacing w:line="259" w:lineRule="auto"/>
        <w:jc w:val="both"/>
        <w:rPr>
          <w:rFonts w:eastAsiaTheme="minorHAnsi"/>
          <w:sz w:val="22"/>
          <w:szCs w:val="22"/>
          <w:lang w:val="sr-Latn-ME"/>
        </w:rPr>
      </w:pPr>
    </w:p>
    <w:p w14:paraId="4C0B7386"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Dojenje</w:t>
      </w:r>
    </w:p>
    <w:p w14:paraId="6E5BBE95" w14:textId="77777777" w:rsidR="00BD782B" w:rsidRPr="00D264F7" w:rsidRDefault="00BD782B">
      <w:pPr>
        <w:widowControl w:val="0"/>
        <w:suppressLineNumbers/>
        <w:spacing w:line="259" w:lineRule="auto"/>
        <w:jc w:val="both"/>
        <w:rPr>
          <w:rFonts w:eastAsiaTheme="minorHAnsi"/>
          <w:sz w:val="22"/>
          <w:szCs w:val="22"/>
          <w:lang w:val="sr-Latn-ME"/>
        </w:rPr>
      </w:pPr>
    </w:p>
    <w:p w14:paraId="50AB5157" w14:textId="573857F4"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Nije poznato izlučuju li se dimetilfumarat ili njegovi metaboliti u majčino mlijeko. Ne može se isključiti rizik za novorođenče/odojče. Potrebno je odlučiti da li treba prekinuti dojenje ili terapiju lijekom Tecfidera</w:t>
      </w:r>
      <w:r w:rsidR="00CA07A9">
        <w:rPr>
          <w:rFonts w:eastAsiaTheme="minorHAnsi"/>
          <w:sz w:val="22"/>
          <w:szCs w:val="22"/>
          <w:lang w:val="sr-Latn-ME"/>
        </w:rPr>
        <w:t xml:space="preserve"> uzimajući </w:t>
      </w:r>
      <w:r w:rsidRPr="00D264F7">
        <w:rPr>
          <w:rFonts w:eastAsiaTheme="minorHAnsi"/>
          <w:color w:val="000000"/>
          <w:sz w:val="22"/>
          <w:szCs w:val="22"/>
          <w:lang w:val="sr-Latn-ME"/>
        </w:rPr>
        <w:t>u obzir korist dojenja za dijete i korist terapije za ženu.</w:t>
      </w:r>
    </w:p>
    <w:p w14:paraId="575C5025" w14:textId="77777777" w:rsidR="00BD782B" w:rsidRPr="00D264F7" w:rsidRDefault="00BD782B">
      <w:pPr>
        <w:widowControl w:val="0"/>
        <w:suppressLineNumbers/>
        <w:spacing w:line="259" w:lineRule="auto"/>
        <w:jc w:val="both"/>
        <w:rPr>
          <w:rFonts w:eastAsiaTheme="minorHAnsi"/>
          <w:sz w:val="22"/>
          <w:szCs w:val="22"/>
          <w:lang w:val="sr-Latn-ME"/>
        </w:rPr>
      </w:pPr>
    </w:p>
    <w:p w14:paraId="0B7B779B"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Plodnost</w:t>
      </w:r>
    </w:p>
    <w:p w14:paraId="1AA838D2" w14:textId="77777777" w:rsidR="00BD782B" w:rsidRPr="00D264F7" w:rsidRDefault="00BD782B">
      <w:pPr>
        <w:widowControl w:val="0"/>
        <w:suppressLineNumbers/>
        <w:spacing w:line="259" w:lineRule="auto"/>
        <w:jc w:val="both"/>
        <w:rPr>
          <w:rFonts w:eastAsiaTheme="minorHAnsi"/>
          <w:sz w:val="22"/>
          <w:szCs w:val="22"/>
          <w:lang w:val="sr-Latn-ME"/>
        </w:rPr>
      </w:pPr>
    </w:p>
    <w:p w14:paraId="42989D04"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Nema podataka o uticaju dimetilfumarata na plodnost kod ljudi. Podaci iz pretkliničkih ispitivanja ne ukazuju na to da bi dimetilfumarat bio povezan sa povećanim rizikom od smanjenja plodnosti (vidjeti dio 5.3).</w:t>
      </w:r>
    </w:p>
    <w:p w14:paraId="73CC7C4A" w14:textId="77777777" w:rsidR="00227BDB" w:rsidRPr="00D264F7" w:rsidRDefault="00227BDB" w:rsidP="001F758F">
      <w:pPr>
        <w:tabs>
          <w:tab w:val="left" w:pos="540"/>
          <w:tab w:val="left" w:pos="569"/>
        </w:tabs>
        <w:ind w:left="540" w:hanging="540"/>
        <w:jc w:val="both"/>
        <w:rPr>
          <w:b/>
          <w:bCs/>
          <w:sz w:val="22"/>
          <w:szCs w:val="22"/>
          <w:lang w:val="sr-Latn-ME"/>
        </w:rPr>
      </w:pPr>
    </w:p>
    <w:p w14:paraId="06C91AEC" w14:textId="77777777" w:rsidR="0072020E" w:rsidRPr="00D264F7" w:rsidRDefault="0072020E" w:rsidP="001F758F">
      <w:pPr>
        <w:tabs>
          <w:tab w:val="left" w:pos="540"/>
          <w:tab w:val="left" w:pos="569"/>
        </w:tabs>
        <w:ind w:left="540" w:hanging="540"/>
        <w:jc w:val="both"/>
        <w:rPr>
          <w:b/>
          <w:bCs/>
          <w:sz w:val="22"/>
          <w:szCs w:val="22"/>
          <w:lang w:val="sr-Latn-ME"/>
        </w:rPr>
      </w:pPr>
      <w:r w:rsidRPr="00D264F7">
        <w:rPr>
          <w:b/>
          <w:bCs/>
          <w:sz w:val="22"/>
          <w:szCs w:val="22"/>
          <w:lang w:val="sr-Latn-ME"/>
        </w:rPr>
        <w:t xml:space="preserve">4.7. </w:t>
      </w:r>
      <w:r w:rsidR="00480FB1" w:rsidRPr="00D264F7">
        <w:rPr>
          <w:b/>
          <w:bCs/>
          <w:sz w:val="22"/>
          <w:szCs w:val="22"/>
          <w:lang w:val="sr-Latn-ME"/>
        </w:rPr>
        <w:tab/>
      </w:r>
      <w:r w:rsidRPr="00D264F7">
        <w:rPr>
          <w:b/>
          <w:bCs/>
          <w:sz w:val="22"/>
          <w:szCs w:val="22"/>
          <w:lang w:val="sr-Latn-ME"/>
        </w:rPr>
        <w:t xml:space="preserve">Uticaj na </w:t>
      </w:r>
      <w:r w:rsidR="002031B3" w:rsidRPr="00D264F7">
        <w:rPr>
          <w:b/>
          <w:bCs/>
          <w:sz w:val="22"/>
          <w:szCs w:val="22"/>
          <w:lang w:val="sr-Latn-ME"/>
        </w:rPr>
        <w:t xml:space="preserve">sposobnost </w:t>
      </w:r>
      <w:r w:rsidR="00F34554" w:rsidRPr="00D264F7">
        <w:rPr>
          <w:b/>
          <w:bCs/>
          <w:sz w:val="22"/>
          <w:szCs w:val="22"/>
          <w:lang w:val="sr-Latn-ME"/>
        </w:rPr>
        <w:t>upravljanja vozili</w:t>
      </w:r>
      <w:r w:rsidRPr="00D264F7">
        <w:rPr>
          <w:b/>
          <w:bCs/>
          <w:sz w:val="22"/>
          <w:szCs w:val="22"/>
          <w:lang w:val="sr-Latn-ME"/>
        </w:rPr>
        <w:t>m</w:t>
      </w:r>
      <w:r w:rsidR="00F34554" w:rsidRPr="00D264F7">
        <w:rPr>
          <w:b/>
          <w:bCs/>
          <w:sz w:val="22"/>
          <w:szCs w:val="22"/>
          <w:lang w:val="sr-Latn-ME"/>
        </w:rPr>
        <w:t>a</w:t>
      </w:r>
      <w:r w:rsidRPr="00D264F7">
        <w:rPr>
          <w:b/>
          <w:bCs/>
          <w:sz w:val="22"/>
          <w:szCs w:val="22"/>
          <w:lang w:val="sr-Latn-ME"/>
        </w:rPr>
        <w:t xml:space="preserve"> i </w:t>
      </w:r>
      <w:r w:rsidR="000D3449" w:rsidRPr="00D264F7">
        <w:rPr>
          <w:b/>
          <w:bCs/>
          <w:sz w:val="22"/>
          <w:szCs w:val="22"/>
          <w:lang w:val="sr-Latn-ME"/>
        </w:rPr>
        <w:t xml:space="preserve">rukovanje </w:t>
      </w:r>
      <w:r w:rsidRPr="00D264F7">
        <w:rPr>
          <w:b/>
          <w:bCs/>
          <w:sz w:val="22"/>
          <w:szCs w:val="22"/>
          <w:lang w:val="sr-Latn-ME"/>
        </w:rPr>
        <w:t>mašinama</w:t>
      </w:r>
    </w:p>
    <w:p w14:paraId="6C1A82E8" w14:textId="77777777" w:rsidR="0072020E" w:rsidRPr="00D264F7" w:rsidRDefault="0072020E" w:rsidP="001F758F">
      <w:pPr>
        <w:tabs>
          <w:tab w:val="left" w:pos="540"/>
          <w:tab w:val="left" w:pos="569"/>
        </w:tabs>
        <w:jc w:val="both"/>
        <w:rPr>
          <w:b/>
          <w:bCs/>
          <w:sz w:val="22"/>
          <w:szCs w:val="22"/>
          <w:lang w:val="sr-Latn-ME"/>
        </w:rPr>
      </w:pPr>
    </w:p>
    <w:p w14:paraId="501D00CE" w14:textId="778F9D69" w:rsidR="00BD782B" w:rsidRPr="00D264F7" w:rsidRDefault="00BD782B" w:rsidP="001C605F">
      <w:pPr>
        <w:widowControl w:val="0"/>
        <w:suppressLineNumbers/>
        <w:jc w:val="both"/>
        <w:rPr>
          <w:rFonts w:eastAsiaTheme="minorHAnsi"/>
          <w:sz w:val="22"/>
          <w:szCs w:val="22"/>
          <w:lang w:val="sr-Latn-ME"/>
        </w:rPr>
      </w:pPr>
      <w:r w:rsidRPr="00D264F7">
        <w:rPr>
          <w:rFonts w:eastAsiaTheme="minorHAnsi"/>
          <w:sz w:val="22"/>
          <w:szCs w:val="22"/>
          <w:lang w:val="sr-Latn-ME"/>
        </w:rPr>
        <w:t xml:space="preserve">Lijek Tecfidera nema ili ima zanemarljiv uticaj na sposobnost upravljanja vozilima i rukovanja mašinama. </w:t>
      </w:r>
    </w:p>
    <w:p w14:paraId="03B4C8DD" w14:textId="77777777" w:rsidR="00BD782B" w:rsidRPr="00D264F7" w:rsidRDefault="00BD782B" w:rsidP="001F758F">
      <w:pPr>
        <w:tabs>
          <w:tab w:val="left" w:pos="540"/>
          <w:tab w:val="left" w:pos="569"/>
        </w:tabs>
        <w:jc w:val="both"/>
        <w:rPr>
          <w:b/>
          <w:bCs/>
          <w:sz w:val="22"/>
          <w:szCs w:val="22"/>
          <w:lang w:val="sr-Latn-ME"/>
        </w:rPr>
      </w:pPr>
    </w:p>
    <w:p w14:paraId="498A7A96" w14:textId="77777777" w:rsidR="0072020E" w:rsidRPr="00D264F7" w:rsidRDefault="0072020E" w:rsidP="001F758F">
      <w:pPr>
        <w:tabs>
          <w:tab w:val="left" w:pos="540"/>
          <w:tab w:val="left" w:pos="569"/>
        </w:tabs>
        <w:jc w:val="both"/>
        <w:rPr>
          <w:b/>
          <w:bCs/>
          <w:sz w:val="22"/>
          <w:szCs w:val="22"/>
          <w:lang w:val="sr-Latn-ME"/>
        </w:rPr>
      </w:pPr>
      <w:r w:rsidRPr="00D264F7">
        <w:rPr>
          <w:b/>
          <w:bCs/>
          <w:sz w:val="22"/>
          <w:szCs w:val="22"/>
          <w:lang w:val="sr-Latn-ME"/>
        </w:rPr>
        <w:t xml:space="preserve">4.8. </w:t>
      </w:r>
      <w:r w:rsidR="00480FB1" w:rsidRPr="00D264F7">
        <w:rPr>
          <w:b/>
          <w:bCs/>
          <w:sz w:val="22"/>
          <w:szCs w:val="22"/>
          <w:lang w:val="sr-Latn-ME"/>
        </w:rPr>
        <w:tab/>
      </w:r>
      <w:r w:rsidRPr="00D264F7">
        <w:rPr>
          <w:b/>
          <w:bCs/>
          <w:sz w:val="22"/>
          <w:szCs w:val="22"/>
          <w:lang w:val="sr-Latn-ME"/>
        </w:rPr>
        <w:t>Neželjena dejstva</w:t>
      </w:r>
    </w:p>
    <w:p w14:paraId="608D9E16" w14:textId="77777777" w:rsidR="004E70AD" w:rsidRPr="00D264F7" w:rsidRDefault="004E70AD" w:rsidP="001F758F">
      <w:pPr>
        <w:tabs>
          <w:tab w:val="left" w:pos="540"/>
          <w:tab w:val="left" w:pos="569"/>
        </w:tabs>
        <w:jc w:val="both"/>
        <w:rPr>
          <w:b/>
          <w:bCs/>
          <w:sz w:val="22"/>
          <w:szCs w:val="22"/>
          <w:lang w:val="sr-Latn-ME"/>
        </w:rPr>
      </w:pPr>
    </w:p>
    <w:p w14:paraId="33F6AAC7" w14:textId="77777777" w:rsidR="00BD782B" w:rsidRPr="00D264F7" w:rsidRDefault="00BD782B" w:rsidP="001C605F">
      <w:pPr>
        <w:widowControl w:val="0"/>
        <w:suppressLineNumbers/>
        <w:jc w:val="both"/>
        <w:rPr>
          <w:rFonts w:eastAsiaTheme="minorHAnsi"/>
          <w:sz w:val="22"/>
          <w:szCs w:val="22"/>
          <w:lang w:val="sr-Latn-ME"/>
        </w:rPr>
      </w:pPr>
      <w:r w:rsidRPr="00D264F7">
        <w:rPr>
          <w:rFonts w:eastAsiaTheme="minorHAnsi"/>
          <w:sz w:val="22"/>
          <w:szCs w:val="22"/>
          <w:u w:val="single"/>
          <w:lang w:val="sr-Latn-ME"/>
        </w:rPr>
        <w:t>Sažetak bezbjednosnog profila</w:t>
      </w:r>
    </w:p>
    <w:p w14:paraId="190266A4" w14:textId="77777777" w:rsidR="00BD782B" w:rsidRPr="00D264F7" w:rsidRDefault="00BD782B">
      <w:pPr>
        <w:widowControl w:val="0"/>
        <w:suppressLineNumbers/>
        <w:spacing w:line="259" w:lineRule="auto"/>
        <w:jc w:val="both"/>
        <w:rPr>
          <w:rFonts w:eastAsiaTheme="minorHAnsi"/>
          <w:sz w:val="22"/>
          <w:szCs w:val="22"/>
          <w:lang w:val="sr-Latn-ME"/>
        </w:rPr>
      </w:pPr>
    </w:p>
    <w:p w14:paraId="0C286CF6" w14:textId="68B6D02D"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Najčešće neželjene reakcije (učestalost ≥10%) su </w:t>
      </w:r>
      <w:r w:rsidR="0096710D" w:rsidRPr="00D264F7">
        <w:rPr>
          <w:rFonts w:eastAsiaTheme="minorHAnsi"/>
          <w:sz w:val="22"/>
          <w:szCs w:val="22"/>
          <w:lang w:val="sr-Latn-ME"/>
        </w:rPr>
        <w:t xml:space="preserve">navala </w:t>
      </w:r>
      <w:r w:rsidRPr="00D264F7">
        <w:rPr>
          <w:rFonts w:eastAsiaTheme="minorHAnsi"/>
          <w:sz w:val="22"/>
          <w:szCs w:val="22"/>
          <w:lang w:val="sr-Latn-ME"/>
        </w:rPr>
        <w:t>crvenil</w:t>
      </w:r>
      <w:r w:rsidR="0096710D" w:rsidRPr="00D264F7">
        <w:rPr>
          <w:rFonts w:eastAsiaTheme="minorHAnsi"/>
          <w:sz w:val="22"/>
          <w:szCs w:val="22"/>
          <w:lang w:val="sr-Latn-ME"/>
        </w:rPr>
        <w:t>a</w:t>
      </w:r>
      <w:r w:rsidRPr="00D264F7">
        <w:rPr>
          <w:rFonts w:eastAsiaTheme="minorHAnsi"/>
          <w:sz w:val="22"/>
          <w:szCs w:val="22"/>
          <w:lang w:val="sr-Latn-ME"/>
        </w:rPr>
        <w:t xml:space="preserve"> </w:t>
      </w:r>
      <w:r w:rsidR="009D5DD3">
        <w:rPr>
          <w:rFonts w:eastAsiaTheme="minorHAnsi"/>
          <w:sz w:val="22"/>
          <w:szCs w:val="22"/>
          <w:lang w:val="sr-Latn-ME"/>
        </w:rPr>
        <w:t xml:space="preserve">(35%) </w:t>
      </w:r>
      <w:r w:rsidRPr="00D264F7">
        <w:rPr>
          <w:rFonts w:eastAsiaTheme="minorHAnsi"/>
          <w:sz w:val="22"/>
          <w:szCs w:val="22"/>
          <w:lang w:val="sr-Latn-ME"/>
        </w:rPr>
        <w:t>i gastrointestinalne smetnje (npr. dijareja</w:t>
      </w:r>
      <w:r w:rsidR="009D5DD3">
        <w:rPr>
          <w:rFonts w:eastAsiaTheme="minorHAnsi"/>
          <w:sz w:val="22"/>
          <w:szCs w:val="22"/>
          <w:lang w:val="sr-Latn-ME"/>
        </w:rPr>
        <w:t xml:space="preserve"> (14%)</w:t>
      </w:r>
      <w:r w:rsidRPr="00D264F7">
        <w:rPr>
          <w:rFonts w:eastAsiaTheme="minorHAnsi"/>
          <w:sz w:val="22"/>
          <w:szCs w:val="22"/>
          <w:lang w:val="sr-Latn-ME"/>
        </w:rPr>
        <w:t>, mučnina</w:t>
      </w:r>
      <w:r w:rsidR="009D5DD3">
        <w:rPr>
          <w:rFonts w:eastAsiaTheme="minorHAnsi"/>
          <w:sz w:val="22"/>
          <w:szCs w:val="22"/>
          <w:lang w:val="sr-Latn-ME"/>
        </w:rPr>
        <w:t xml:space="preserve"> (12%)</w:t>
      </w:r>
      <w:r w:rsidRPr="00D264F7">
        <w:rPr>
          <w:rFonts w:eastAsiaTheme="minorHAnsi"/>
          <w:sz w:val="22"/>
          <w:szCs w:val="22"/>
          <w:lang w:val="sr-Latn-ME"/>
        </w:rPr>
        <w:t>, bol u stomaku</w:t>
      </w:r>
      <w:r w:rsidR="009D5DD3">
        <w:rPr>
          <w:rFonts w:eastAsiaTheme="minorHAnsi"/>
          <w:sz w:val="22"/>
          <w:szCs w:val="22"/>
          <w:lang w:val="sr-Latn-ME"/>
        </w:rPr>
        <w:t xml:space="preserve"> (10%)</w:t>
      </w:r>
      <w:r w:rsidRPr="00D264F7">
        <w:rPr>
          <w:rFonts w:eastAsiaTheme="minorHAnsi"/>
          <w:sz w:val="22"/>
          <w:szCs w:val="22"/>
          <w:lang w:val="sr-Latn-ME"/>
        </w:rPr>
        <w:t>, bol u gornjem dijelu stomaka</w:t>
      </w:r>
      <w:r w:rsidR="009D5DD3">
        <w:rPr>
          <w:rFonts w:eastAsiaTheme="minorHAnsi"/>
          <w:sz w:val="22"/>
          <w:szCs w:val="22"/>
          <w:lang w:val="sr-Latn-ME"/>
        </w:rPr>
        <w:t xml:space="preserve"> (10%)</w:t>
      </w:r>
      <w:r w:rsidRPr="00D264F7">
        <w:rPr>
          <w:rFonts w:eastAsiaTheme="minorHAnsi"/>
          <w:sz w:val="22"/>
          <w:szCs w:val="22"/>
          <w:lang w:val="sr-Latn-ME"/>
        </w:rPr>
        <w:t xml:space="preserve">). </w:t>
      </w:r>
      <w:r w:rsidR="0096710D" w:rsidRPr="00D264F7">
        <w:rPr>
          <w:rFonts w:eastAsiaTheme="minorHAnsi"/>
          <w:sz w:val="22"/>
          <w:szCs w:val="22"/>
          <w:lang w:val="sr-Latn-ME"/>
        </w:rPr>
        <w:t>Navala c</w:t>
      </w:r>
      <w:r w:rsidRPr="00D264F7">
        <w:rPr>
          <w:rFonts w:eastAsiaTheme="minorHAnsi"/>
          <w:sz w:val="22"/>
          <w:szCs w:val="22"/>
          <w:lang w:val="sr-Latn-ME"/>
        </w:rPr>
        <w:t>rvenil</w:t>
      </w:r>
      <w:r w:rsidR="0096710D" w:rsidRPr="00D264F7">
        <w:rPr>
          <w:rFonts w:eastAsiaTheme="minorHAnsi"/>
          <w:sz w:val="22"/>
          <w:szCs w:val="22"/>
          <w:lang w:val="sr-Latn-ME"/>
        </w:rPr>
        <w:t>a</w:t>
      </w:r>
      <w:r w:rsidRPr="00D264F7">
        <w:rPr>
          <w:rFonts w:eastAsiaTheme="minorHAnsi"/>
          <w:sz w:val="22"/>
          <w:szCs w:val="22"/>
          <w:lang w:val="sr-Latn-ME"/>
        </w:rPr>
        <w:t xml:space="preserve"> i gastrointestinalne smetnje imaju tendenciju da se jave rano u toku liječenja (prvenstveno u prvom mjesecu), a pacijenti kod kojih se pojave </w:t>
      </w:r>
      <w:r w:rsidR="0096710D" w:rsidRPr="00D264F7">
        <w:rPr>
          <w:rFonts w:eastAsiaTheme="minorHAnsi"/>
          <w:sz w:val="22"/>
          <w:szCs w:val="22"/>
          <w:lang w:val="sr-Latn-ME"/>
        </w:rPr>
        <w:t xml:space="preserve"> navala </w:t>
      </w:r>
      <w:r w:rsidRPr="00D264F7">
        <w:rPr>
          <w:rFonts w:eastAsiaTheme="minorHAnsi"/>
          <w:sz w:val="22"/>
          <w:szCs w:val="22"/>
          <w:lang w:val="sr-Latn-ME"/>
        </w:rPr>
        <w:t xml:space="preserve">crvenilo  i gastrointestinalne smetnje, mogu ih i dalje povremeno imati tokom cijelog perioda liječenja lijekom Tecfidera. Najčešće prijavljene neželjene reakcije koje su dovele do prekida terapije su </w:t>
      </w:r>
      <w:r w:rsidR="0096710D" w:rsidRPr="00D264F7">
        <w:rPr>
          <w:rFonts w:eastAsiaTheme="minorHAnsi"/>
          <w:sz w:val="22"/>
          <w:szCs w:val="22"/>
          <w:lang w:val="sr-Latn-ME"/>
        </w:rPr>
        <w:t xml:space="preserve">navala </w:t>
      </w:r>
      <w:r w:rsidRPr="00D264F7">
        <w:rPr>
          <w:rFonts w:eastAsiaTheme="minorHAnsi"/>
          <w:sz w:val="22"/>
          <w:szCs w:val="22"/>
          <w:lang w:val="sr-Latn-ME"/>
        </w:rPr>
        <w:t>crvenil</w:t>
      </w:r>
      <w:r w:rsidR="0096710D" w:rsidRPr="00D264F7">
        <w:rPr>
          <w:rFonts w:eastAsiaTheme="minorHAnsi"/>
          <w:sz w:val="22"/>
          <w:szCs w:val="22"/>
          <w:lang w:val="sr-Latn-ME"/>
        </w:rPr>
        <w:t>a</w:t>
      </w:r>
      <w:r w:rsidRPr="00D264F7">
        <w:rPr>
          <w:rFonts w:eastAsiaTheme="minorHAnsi"/>
          <w:sz w:val="22"/>
          <w:szCs w:val="22"/>
          <w:lang w:val="sr-Latn-ME"/>
        </w:rPr>
        <w:t xml:space="preserve"> (3%), i gastrointestinalne smetnje (4%).</w:t>
      </w:r>
    </w:p>
    <w:p w14:paraId="05E8C282" w14:textId="77777777" w:rsidR="00BD782B" w:rsidRPr="00D264F7" w:rsidRDefault="00BD782B">
      <w:pPr>
        <w:widowControl w:val="0"/>
        <w:suppressLineNumbers/>
        <w:spacing w:line="259" w:lineRule="auto"/>
        <w:jc w:val="both"/>
        <w:rPr>
          <w:rFonts w:eastAsiaTheme="minorHAnsi"/>
          <w:sz w:val="22"/>
          <w:szCs w:val="22"/>
          <w:lang w:val="sr-Latn-ME"/>
        </w:rPr>
      </w:pPr>
    </w:p>
    <w:p w14:paraId="4D7A9DFD" w14:textId="25955BC8"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U placebo kontrolisanim i nekontrolisanim kliničkim ispitivanjima</w:t>
      </w:r>
      <w:r w:rsidR="003C1961">
        <w:rPr>
          <w:rFonts w:eastAsiaTheme="minorHAnsi"/>
          <w:sz w:val="22"/>
          <w:szCs w:val="22"/>
          <w:lang w:val="sr-Latn-ME"/>
        </w:rPr>
        <w:t xml:space="preserve"> faze 2 i faze 3</w:t>
      </w:r>
      <w:r w:rsidRPr="00D264F7">
        <w:rPr>
          <w:rFonts w:eastAsiaTheme="minorHAnsi"/>
          <w:sz w:val="22"/>
          <w:szCs w:val="22"/>
          <w:lang w:val="sr-Latn-ME"/>
        </w:rPr>
        <w:t xml:space="preserve">, ukupno </w:t>
      </w:r>
      <w:r w:rsidR="00DE3F11" w:rsidRPr="00D264F7">
        <w:rPr>
          <w:rFonts w:eastAsiaTheme="minorHAnsi"/>
          <w:sz w:val="22"/>
          <w:szCs w:val="22"/>
          <w:lang w:val="sr-Latn-ME"/>
        </w:rPr>
        <w:t>2513 </w:t>
      </w:r>
      <w:r w:rsidRPr="00D264F7">
        <w:rPr>
          <w:rFonts w:eastAsiaTheme="minorHAnsi"/>
          <w:sz w:val="22"/>
          <w:szCs w:val="22"/>
          <w:lang w:val="sr-Latn-ME"/>
        </w:rPr>
        <w:t xml:space="preserve">pacijenata primalo je lijek Tecfidera </w:t>
      </w:r>
      <w:r w:rsidR="00DE3F11" w:rsidRPr="00D264F7">
        <w:rPr>
          <w:rFonts w:eastAsiaTheme="minorHAnsi"/>
          <w:sz w:val="22"/>
          <w:szCs w:val="22"/>
          <w:lang w:val="sr-Latn-ME"/>
        </w:rPr>
        <w:t>u</w:t>
      </w:r>
      <w:r w:rsidRPr="00D264F7">
        <w:rPr>
          <w:rFonts w:eastAsiaTheme="minorHAnsi"/>
          <w:sz w:val="22"/>
          <w:szCs w:val="22"/>
          <w:lang w:val="sr-Latn-ME"/>
        </w:rPr>
        <w:t xml:space="preserve"> period</w:t>
      </w:r>
      <w:r w:rsidR="00DE3F11" w:rsidRPr="00D264F7">
        <w:rPr>
          <w:rFonts w:eastAsiaTheme="minorHAnsi"/>
          <w:sz w:val="22"/>
          <w:szCs w:val="22"/>
          <w:lang w:val="sr-Latn-ME"/>
        </w:rPr>
        <w:t>u</w:t>
      </w:r>
      <w:r w:rsidRPr="00D264F7">
        <w:rPr>
          <w:rFonts w:eastAsiaTheme="minorHAnsi"/>
          <w:sz w:val="22"/>
          <w:szCs w:val="22"/>
          <w:lang w:val="sr-Latn-ME"/>
        </w:rPr>
        <w:t xml:space="preserve"> do </w:t>
      </w:r>
      <w:r w:rsidR="00DE3F11" w:rsidRPr="00D264F7">
        <w:rPr>
          <w:rFonts w:eastAsiaTheme="minorHAnsi"/>
          <w:sz w:val="22"/>
          <w:szCs w:val="22"/>
          <w:lang w:val="sr-Latn-ME"/>
        </w:rPr>
        <w:t>12 </w:t>
      </w:r>
      <w:r w:rsidRPr="00D264F7">
        <w:rPr>
          <w:rFonts w:eastAsiaTheme="minorHAnsi"/>
          <w:sz w:val="22"/>
          <w:szCs w:val="22"/>
          <w:lang w:val="sr-Latn-ME"/>
        </w:rPr>
        <w:t>godin</w:t>
      </w:r>
      <w:r w:rsidR="00DE3F11" w:rsidRPr="00D264F7">
        <w:rPr>
          <w:rFonts w:eastAsiaTheme="minorHAnsi"/>
          <w:sz w:val="22"/>
          <w:szCs w:val="22"/>
          <w:lang w:val="sr-Latn-ME"/>
        </w:rPr>
        <w:t>a</w:t>
      </w:r>
      <w:r w:rsidRPr="00D264F7">
        <w:rPr>
          <w:rFonts w:eastAsiaTheme="minorHAnsi"/>
          <w:sz w:val="22"/>
          <w:szCs w:val="22"/>
          <w:lang w:val="sr-Latn-ME"/>
        </w:rPr>
        <w:t xml:space="preserve">, sa ukupnom izloženosti koja je ekvivalentna </w:t>
      </w:r>
      <w:r w:rsidR="00DE3F11" w:rsidRPr="00D264F7">
        <w:rPr>
          <w:rFonts w:eastAsiaTheme="minorHAnsi"/>
          <w:sz w:val="22"/>
          <w:szCs w:val="22"/>
          <w:lang w:val="sr-Latn-ME"/>
        </w:rPr>
        <w:t>11318 </w:t>
      </w:r>
      <w:r w:rsidRPr="00D264F7">
        <w:rPr>
          <w:rFonts w:eastAsiaTheme="minorHAnsi"/>
          <w:sz w:val="22"/>
          <w:szCs w:val="22"/>
          <w:lang w:val="sr-Latn-ME"/>
        </w:rPr>
        <w:t xml:space="preserve">pacijenata–godina. </w:t>
      </w:r>
      <w:r w:rsidR="00DE3F11" w:rsidRPr="00D264F7">
        <w:rPr>
          <w:rFonts w:eastAsiaTheme="minorHAnsi"/>
          <w:sz w:val="22"/>
          <w:szCs w:val="22"/>
          <w:lang w:val="sr-Latn-ME"/>
        </w:rPr>
        <w:t>Ukupno 1169</w:t>
      </w:r>
      <w:r w:rsidRPr="00D264F7">
        <w:rPr>
          <w:rFonts w:eastAsiaTheme="minorHAnsi"/>
          <w:sz w:val="22"/>
          <w:szCs w:val="22"/>
          <w:lang w:val="sr-Latn-ME"/>
        </w:rPr>
        <w:t> pacijenata primalo je terapiju lijekom Tecfidera</w:t>
      </w:r>
      <w:r w:rsidR="00DE3F11" w:rsidRPr="00D264F7">
        <w:rPr>
          <w:rFonts w:eastAsiaTheme="minorHAnsi"/>
          <w:sz w:val="22"/>
          <w:szCs w:val="22"/>
          <w:lang w:val="sr-Latn-ME"/>
        </w:rPr>
        <w:t xml:space="preserve"> najmanje 5 godina, a 426 pacijenata primalo je terapiju lijekom Tecfidera najmanje 10 godina</w:t>
      </w:r>
      <w:r w:rsidRPr="00D264F7">
        <w:rPr>
          <w:rFonts w:eastAsiaTheme="minorHAnsi"/>
          <w:sz w:val="22"/>
          <w:szCs w:val="22"/>
          <w:lang w:val="sr-Latn-ME"/>
        </w:rPr>
        <w:t>. Iskustvo u nekontrolisanim kliničkim istraživanjima u skladu je sa iskustvom dobijenim u placebo kontrolisanim kliničkim istraživanjima.</w:t>
      </w:r>
    </w:p>
    <w:p w14:paraId="740BC58E" w14:textId="77777777" w:rsidR="00BD782B" w:rsidRPr="00D264F7" w:rsidRDefault="00BD782B">
      <w:pPr>
        <w:widowControl w:val="0"/>
        <w:suppressLineNumbers/>
        <w:spacing w:line="259" w:lineRule="auto"/>
        <w:jc w:val="both"/>
        <w:rPr>
          <w:rFonts w:eastAsiaTheme="minorHAnsi"/>
          <w:sz w:val="22"/>
          <w:szCs w:val="22"/>
          <w:lang w:val="sr-Latn-ME"/>
        </w:rPr>
      </w:pPr>
    </w:p>
    <w:p w14:paraId="02A6BFD7"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u w:val="single"/>
          <w:lang w:val="sr-Latn-ME"/>
        </w:rPr>
        <w:t>Tabelarni prikaz neželjenih reakcija</w:t>
      </w:r>
    </w:p>
    <w:p w14:paraId="521A5A45" w14:textId="77777777" w:rsidR="00BD782B" w:rsidRPr="00D264F7" w:rsidRDefault="00BD782B">
      <w:pPr>
        <w:widowControl w:val="0"/>
        <w:suppressLineNumbers/>
        <w:spacing w:line="259" w:lineRule="auto"/>
        <w:jc w:val="both"/>
        <w:rPr>
          <w:rFonts w:eastAsiaTheme="minorHAnsi"/>
          <w:sz w:val="22"/>
          <w:szCs w:val="22"/>
          <w:lang w:val="sr-Latn-ME"/>
        </w:rPr>
      </w:pPr>
    </w:p>
    <w:p w14:paraId="5805E7A1" w14:textId="52EF1DCF"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Neželjene reakcije, koje</w:t>
      </w:r>
      <w:r w:rsidR="00BB781A" w:rsidRPr="00D264F7">
        <w:rPr>
          <w:rFonts w:eastAsiaTheme="minorHAnsi"/>
          <w:sz w:val="22"/>
          <w:szCs w:val="22"/>
          <w:lang w:val="sr-Latn-ME"/>
        </w:rPr>
        <w:t xml:space="preserve"> proizilaze iz kliničkih studija</w:t>
      </w:r>
      <w:r w:rsidRPr="00D264F7">
        <w:rPr>
          <w:rFonts w:eastAsiaTheme="minorHAnsi"/>
          <w:sz w:val="22"/>
          <w:szCs w:val="22"/>
          <w:lang w:val="sr-Latn-ME"/>
        </w:rPr>
        <w:t>,</w:t>
      </w:r>
      <w:r w:rsidR="00BB781A" w:rsidRPr="00D264F7">
        <w:rPr>
          <w:rFonts w:eastAsiaTheme="minorHAnsi"/>
          <w:sz w:val="22"/>
          <w:szCs w:val="22"/>
          <w:lang w:val="sr-Latn-ME"/>
        </w:rPr>
        <w:t xml:space="preserve"> postmarketinčkih studija bezb</w:t>
      </w:r>
      <w:r w:rsidR="0096710D" w:rsidRPr="00D264F7">
        <w:rPr>
          <w:rFonts w:eastAsiaTheme="minorHAnsi"/>
          <w:sz w:val="22"/>
          <w:szCs w:val="22"/>
          <w:lang w:val="sr-Latn-ME"/>
        </w:rPr>
        <w:t>j</w:t>
      </w:r>
      <w:r w:rsidR="00BB781A" w:rsidRPr="00D264F7">
        <w:rPr>
          <w:rFonts w:eastAsiaTheme="minorHAnsi"/>
          <w:sz w:val="22"/>
          <w:szCs w:val="22"/>
          <w:lang w:val="sr-Latn-ME"/>
        </w:rPr>
        <w:t>ednosti i spontanog prijavljivanja</w:t>
      </w:r>
      <w:r w:rsidRPr="00D264F7">
        <w:rPr>
          <w:rFonts w:eastAsiaTheme="minorHAnsi"/>
          <w:sz w:val="22"/>
          <w:szCs w:val="22"/>
          <w:lang w:val="sr-Latn-ME"/>
        </w:rPr>
        <w:t xml:space="preserve"> prikazane su u donjoj tabeli. </w:t>
      </w:r>
    </w:p>
    <w:p w14:paraId="7593DECE" w14:textId="77777777" w:rsidR="00BD782B" w:rsidRPr="00D264F7" w:rsidRDefault="00BD782B">
      <w:pPr>
        <w:widowControl w:val="0"/>
        <w:suppressLineNumbers/>
        <w:spacing w:line="259" w:lineRule="auto"/>
        <w:jc w:val="both"/>
        <w:rPr>
          <w:rFonts w:eastAsiaTheme="minorHAnsi"/>
          <w:sz w:val="22"/>
          <w:szCs w:val="22"/>
          <w:lang w:val="sr-Latn-ME"/>
        </w:rPr>
      </w:pPr>
    </w:p>
    <w:p w14:paraId="44D78470"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Neželjene reakcije su prikazane kao preporučeni MedDRA termini prema MedDRA klasifikaciji organskih sistema. Učestalost neželjenih reakcija je izražena prema sljedećim kategorijama:</w:t>
      </w:r>
    </w:p>
    <w:p w14:paraId="1B00A36B" w14:textId="77777777" w:rsidR="00BD782B" w:rsidRPr="00D264F7" w:rsidRDefault="00BD782B">
      <w:pPr>
        <w:widowControl w:val="0"/>
        <w:suppressLineNumbers/>
        <w:spacing w:line="259" w:lineRule="auto"/>
        <w:jc w:val="both"/>
        <w:rPr>
          <w:rFonts w:eastAsiaTheme="minorHAnsi"/>
          <w:sz w:val="22"/>
          <w:szCs w:val="22"/>
          <w:lang w:val="sr-Latn-ME"/>
        </w:rPr>
      </w:pPr>
    </w:p>
    <w:p w14:paraId="0289F47A" w14:textId="77777777" w:rsidR="00BD782B" w:rsidRPr="00D264F7" w:rsidRDefault="00BD782B">
      <w:pPr>
        <w:numPr>
          <w:ilvl w:val="0"/>
          <w:numId w:val="12"/>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veoma često (≥1/10)</w:t>
      </w:r>
    </w:p>
    <w:p w14:paraId="01748D11" w14:textId="77777777" w:rsidR="00BD782B" w:rsidRPr="00D264F7" w:rsidRDefault="00BD782B">
      <w:pPr>
        <w:numPr>
          <w:ilvl w:val="0"/>
          <w:numId w:val="12"/>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često (≥1/100 do &lt;1/10)</w:t>
      </w:r>
    </w:p>
    <w:p w14:paraId="6F54871D" w14:textId="77777777" w:rsidR="00BD782B" w:rsidRPr="00D264F7" w:rsidRDefault="00BD782B">
      <w:pPr>
        <w:numPr>
          <w:ilvl w:val="0"/>
          <w:numId w:val="12"/>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povremeno (≥1/1.000 do &lt;1/100)</w:t>
      </w:r>
    </w:p>
    <w:p w14:paraId="18D04E61" w14:textId="77777777" w:rsidR="00BD782B" w:rsidRPr="00D264F7" w:rsidRDefault="00BD782B">
      <w:pPr>
        <w:numPr>
          <w:ilvl w:val="0"/>
          <w:numId w:val="12"/>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rijetko (≥1/10.000 do &lt;1/1.000)</w:t>
      </w:r>
    </w:p>
    <w:p w14:paraId="0A5BA6CC" w14:textId="77777777" w:rsidR="00BD782B" w:rsidRPr="00D264F7" w:rsidRDefault="00BD782B">
      <w:pPr>
        <w:numPr>
          <w:ilvl w:val="0"/>
          <w:numId w:val="12"/>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veoma rijetko (&lt;1/10.000)</w:t>
      </w:r>
    </w:p>
    <w:p w14:paraId="791AA57D" w14:textId="77777777" w:rsidR="00BD782B" w:rsidRPr="00D264F7" w:rsidRDefault="00BD782B">
      <w:pPr>
        <w:numPr>
          <w:ilvl w:val="0"/>
          <w:numId w:val="12"/>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nepoznato (ne može se procijeniti iz dostupnih podataka).</w:t>
      </w:r>
    </w:p>
    <w:p w14:paraId="0E4BB442" w14:textId="77777777" w:rsidR="00BD782B" w:rsidRPr="00D264F7" w:rsidRDefault="00BD782B">
      <w:pPr>
        <w:tabs>
          <w:tab w:val="left" w:pos="567"/>
        </w:tabs>
        <w:suppressAutoHyphens/>
        <w:ind w:left="567"/>
        <w:jc w:val="both"/>
        <w:rPr>
          <w:rFonts w:eastAsiaTheme="minorHAnsi"/>
          <w:sz w:val="22"/>
          <w:szCs w:val="22"/>
          <w:lang w:val="sr-Latn-ME"/>
        </w:rPr>
      </w:pPr>
    </w:p>
    <w:p w14:paraId="094F0798" w14:textId="77777777" w:rsidR="00BD782B" w:rsidRPr="00D264F7" w:rsidRDefault="00BD782B">
      <w:pPr>
        <w:tabs>
          <w:tab w:val="left" w:pos="567"/>
        </w:tabs>
        <w:suppressAutoHyphens/>
        <w:ind w:left="567"/>
        <w:jc w:val="both"/>
        <w:rPr>
          <w:rFonts w:eastAsiaTheme="minorHAnsi"/>
          <w:sz w:val="22"/>
          <w:szCs w:val="22"/>
          <w:lang w:val="sr-Latn-ME"/>
        </w:rPr>
      </w:pPr>
    </w:p>
    <w:tbl>
      <w:tblPr>
        <w:tblpPr w:leftFromText="180" w:rightFromText="180" w:vertAnchor="text" w:tblpX="93" w:tblpY="1"/>
        <w:tblOverlap w:val="neve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274"/>
        <w:gridCol w:w="2987"/>
      </w:tblGrid>
      <w:tr w:rsidR="00BD782B" w:rsidRPr="00613DCD" w14:paraId="3B438E2E" w14:textId="77777777" w:rsidTr="00BD782B">
        <w:trPr>
          <w:cantSplit/>
          <w:trHeight w:val="283"/>
        </w:trPr>
        <w:tc>
          <w:tcPr>
            <w:tcW w:w="3120" w:type="dxa"/>
            <w:shd w:val="clear" w:color="auto" w:fill="auto"/>
            <w:vAlign w:val="center"/>
          </w:tcPr>
          <w:p w14:paraId="37E30DDD" w14:textId="77777777" w:rsidR="00BD782B" w:rsidRPr="00613DCD" w:rsidRDefault="00BD782B" w:rsidP="001F758F">
            <w:pPr>
              <w:keepNext/>
              <w:autoSpaceDE w:val="0"/>
              <w:snapToGrid w:val="0"/>
              <w:jc w:val="both"/>
              <w:rPr>
                <w:rFonts w:eastAsiaTheme="minorHAnsi"/>
                <w:b/>
                <w:sz w:val="22"/>
                <w:szCs w:val="22"/>
                <w:lang w:val="sr-Latn-ME"/>
              </w:rPr>
            </w:pPr>
            <w:r w:rsidRPr="00613DCD">
              <w:rPr>
                <w:rFonts w:eastAsiaTheme="minorHAnsi"/>
                <w:b/>
                <w:sz w:val="22"/>
                <w:szCs w:val="22"/>
                <w:lang w:val="sr-Latn-ME"/>
              </w:rPr>
              <w:t xml:space="preserve">MedDRA klasifikacija organskih sistema </w:t>
            </w:r>
          </w:p>
        </w:tc>
        <w:tc>
          <w:tcPr>
            <w:tcW w:w="3274" w:type="dxa"/>
            <w:shd w:val="clear" w:color="auto" w:fill="auto"/>
            <w:vAlign w:val="center"/>
          </w:tcPr>
          <w:p w14:paraId="1C97A13E" w14:textId="77777777" w:rsidR="00BD782B" w:rsidRPr="00613DCD" w:rsidRDefault="00BD782B" w:rsidP="001F758F">
            <w:pPr>
              <w:keepNext/>
              <w:autoSpaceDE w:val="0"/>
              <w:snapToGrid w:val="0"/>
              <w:jc w:val="both"/>
              <w:rPr>
                <w:rFonts w:eastAsiaTheme="minorHAnsi"/>
                <w:b/>
                <w:sz w:val="22"/>
                <w:szCs w:val="22"/>
                <w:lang w:val="sr-Latn-ME"/>
              </w:rPr>
            </w:pPr>
            <w:r w:rsidRPr="00613DCD">
              <w:rPr>
                <w:rFonts w:eastAsiaTheme="minorHAnsi"/>
                <w:b/>
                <w:sz w:val="22"/>
                <w:szCs w:val="22"/>
                <w:lang w:val="sr-Latn-ME"/>
              </w:rPr>
              <w:t>Neželjena reakcija</w:t>
            </w:r>
          </w:p>
        </w:tc>
        <w:tc>
          <w:tcPr>
            <w:tcW w:w="2987" w:type="dxa"/>
            <w:shd w:val="clear" w:color="auto" w:fill="auto"/>
            <w:vAlign w:val="center"/>
          </w:tcPr>
          <w:p w14:paraId="001185B8" w14:textId="77777777" w:rsidR="00BD782B" w:rsidRPr="00613DCD" w:rsidRDefault="00BD782B" w:rsidP="001F758F">
            <w:pPr>
              <w:keepNext/>
              <w:autoSpaceDE w:val="0"/>
              <w:snapToGrid w:val="0"/>
              <w:jc w:val="both"/>
              <w:rPr>
                <w:rFonts w:eastAsiaTheme="minorHAnsi"/>
                <w:b/>
                <w:sz w:val="22"/>
                <w:szCs w:val="22"/>
                <w:lang w:val="sr-Latn-ME"/>
              </w:rPr>
            </w:pPr>
            <w:r w:rsidRPr="00613DCD">
              <w:rPr>
                <w:rFonts w:eastAsiaTheme="minorHAnsi"/>
                <w:b/>
                <w:sz w:val="22"/>
                <w:szCs w:val="22"/>
                <w:lang w:val="sr-Latn-ME"/>
              </w:rPr>
              <w:t>Kategorija učestalosti</w:t>
            </w:r>
          </w:p>
        </w:tc>
      </w:tr>
      <w:tr w:rsidR="00BD782B" w:rsidRPr="00613DCD" w14:paraId="350D7BBA" w14:textId="77777777" w:rsidTr="00BD782B">
        <w:trPr>
          <w:cantSplit/>
        </w:trPr>
        <w:tc>
          <w:tcPr>
            <w:tcW w:w="3120" w:type="dxa"/>
            <w:vMerge w:val="restart"/>
            <w:shd w:val="clear" w:color="auto" w:fill="auto"/>
          </w:tcPr>
          <w:p w14:paraId="29B2463E"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Infekcije i infestacije</w:t>
            </w:r>
          </w:p>
        </w:tc>
        <w:tc>
          <w:tcPr>
            <w:tcW w:w="3274" w:type="dxa"/>
            <w:shd w:val="clear" w:color="auto" w:fill="auto"/>
            <w:vAlign w:val="center"/>
          </w:tcPr>
          <w:p w14:paraId="373D7D3C"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gastroenteritis</w:t>
            </w:r>
          </w:p>
        </w:tc>
        <w:tc>
          <w:tcPr>
            <w:tcW w:w="2987" w:type="dxa"/>
            <w:shd w:val="clear" w:color="auto" w:fill="auto"/>
            <w:vAlign w:val="center"/>
          </w:tcPr>
          <w:p w14:paraId="4CFA2FED"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293737C6" w14:textId="77777777" w:rsidTr="00BD782B">
        <w:trPr>
          <w:cantSplit/>
        </w:trPr>
        <w:tc>
          <w:tcPr>
            <w:tcW w:w="3120" w:type="dxa"/>
            <w:vMerge/>
            <w:shd w:val="clear" w:color="auto" w:fill="auto"/>
          </w:tcPr>
          <w:p w14:paraId="6150663C"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646EF991"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progresivna multifokalna leukoencefalopatija (PML)</w:t>
            </w:r>
          </w:p>
        </w:tc>
        <w:tc>
          <w:tcPr>
            <w:tcW w:w="2987" w:type="dxa"/>
            <w:shd w:val="clear" w:color="auto" w:fill="auto"/>
            <w:vAlign w:val="center"/>
          </w:tcPr>
          <w:p w14:paraId="10690D7D"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nepoznato</w:t>
            </w:r>
          </w:p>
        </w:tc>
      </w:tr>
      <w:tr w:rsidR="00BD782B" w:rsidRPr="00613DCD" w14:paraId="2A7A8E40" w14:textId="77777777" w:rsidTr="00BD782B">
        <w:trPr>
          <w:cantSplit/>
        </w:trPr>
        <w:tc>
          <w:tcPr>
            <w:tcW w:w="3120" w:type="dxa"/>
            <w:vMerge/>
            <w:shd w:val="clear" w:color="auto" w:fill="auto"/>
          </w:tcPr>
          <w:p w14:paraId="466365B8"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6E4225EC" w14:textId="471EDD89"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herpes zoster</w:t>
            </w:r>
          </w:p>
        </w:tc>
        <w:tc>
          <w:tcPr>
            <w:tcW w:w="2987" w:type="dxa"/>
            <w:shd w:val="clear" w:color="auto" w:fill="auto"/>
            <w:vAlign w:val="center"/>
          </w:tcPr>
          <w:p w14:paraId="7AB5C604"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nepoznato</w:t>
            </w:r>
          </w:p>
        </w:tc>
      </w:tr>
      <w:tr w:rsidR="00BD782B" w:rsidRPr="00613DCD" w14:paraId="6E87FF87" w14:textId="77777777" w:rsidTr="00BD782B">
        <w:trPr>
          <w:cantSplit/>
        </w:trPr>
        <w:tc>
          <w:tcPr>
            <w:tcW w:w="3120" w:type="dxa"/>
            <w:vMerge w:val="restart"/>
            <w:shd w:val="clear" w:color="auto" w:fill="auto"/>
          </w:tcPr>
          <w:p w14:paraId="3AAFFE66"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krvi i limfnog sistema</w:t>
            </w:r>
          </w:p>
        </w:tc>
        <w:tc>
          <w:tcPr>
            <w:tcW w:w="3274" w:type="dxa"/>
            <w:shd w:val="clear" w:color="auto" w:fill="auto"/>
            <w:vAlign w:val="center"/>
          </w:tcPr>
          <w:p w14:paraId="0CBF5E08"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limfopenija</w:t>
            </w:r>
          </w:p>
        </w:tc>
        <w:tc>
          <w:tcPr>
            <w:tcW w:w="2987" w:type="dxa"/>
            <w:shd w:val="clear" w:color="auto" w:fill="auto"/>
            <w:vAlign w:val="center"/>
          </w:tcPr>
          <w:p w14:paraId="24871D9E"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223FC9FA" w14:textId="77777777" w:rsidTr="00BD782B">
        <w:trPr>
          <w:cantSplit/>
        </w:trPr>
        <w:tc>
          <w:tcPr>
            <w:tcW w:w="3120" w:type="dxa"/>
            <w:vMerge/>
            <w:shd w:val="clear" w:color="auto" w:fill="auto"/>
          </w:tcPr>
          <w:p w14:paraId="7262C2AB"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51D3183A"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leukopenija</w:t>
            </w:r>
          </w:p>
        </w:tc>
        <w:tc>
          <w:tcPr>
            <w:tcW w:w="2987" w:type="dxa"/>
            <w:shd w:val="clear" w:color="auto" w:fill="auto"/>
            <w:vAlign w:val="center"/>
          </w:tcPr>
          <w:p w14:paraId="2A553786"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521448EF" w14:textId="77777777" w:rsidTr="00BD782B">
        <w:trPr>
          <w:cantSplit/>
        </w:trPr>
        <w:tc>
          <w:tcPr>
            <w:tcW w:w="3120" w:type="dxa"/>
            <w:vMerge/>
            <w:shd w:val="clear" w:color="auto" w:fill="auto"/>
          </w:tcPr>
          <w:p w14:paraId="04343B70"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62D8F354"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trombocitopenija</w:t>
            </w:r>
          </w:p>
        </w:tc>
        <w:tc>
          <w:tcPr>
            <w:tcW w:w="2987" w:type="dxa"/>
            <w:shd w:val="clear" w:color="auto" w:fill="auto"/>
            <w:vAlign w:val="center"/>
          </w:tcPr>
          <w:p w14:paraId="37FBCDD5" w14:textId="77777777" w:rsidR="00BD782B" w:rsidRPr="00613DCD" w:rsidRDefault="00BD782B" w:rsidP="001F758F">
            <w:pPr>
              <w:keepNext/>
              <w:snapToGrid w:val="0"/>
              <w:jc w:val="both"/>
              <w:rPr>
                <w:rFonts w:eastAsiaTheme="minorHAnsi"/>
                <w:sz w:val="22"/>
                <w:szCs w:val="22"/>
                <w:lang w:val="sr-Latn-ME"/>
              </w:rPr>
            </w:pPr>
            <w:r w:rsidRPr="00613DCD">
              <w:rPr>
                <w:rFonts w:eastAsia="SimSun"/>
                <w:sz w:val="22"/>
                <w:szCs w:val="22"/>
                <w:lang w:val="sr-Latn-ME" w:eastAsia="ar-SA"/>
              </w:rPr>
              <w:t>povremeno</w:t>
            </w:r>
          </w:p>
        </w:tc>
      </w:tr>
      <w:tr w:rsidR="00BD782B" w:rsidRPr="00613DCD" w14:paraId="1EBBF02F" w14:textId="77777777" w:rsidTr="00BD782B">
        <w:trPr>
          <w:cantSplit/>
        </w:trPr>
        <w:tc>
          <w:tcPr>
            <w:tcW w:w="3120" w:type="dxa"/>
            <w:vMerge w:val="restart"/>
            <w:shd w:val="clear" w:color="auto" w:fill="auto"/>
          </w:tcPr>
          <w:p w14:paraId="6F3EC985"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imunog sistema</w:t>
            </w:r>
          </w:p>
        </w:tc>
        <w:tc>
          <w:tcPr>
            <w:tcW w:w="3274" w:type="dxa"/>
            <w:shd w:val="clear" w:color="auto" w:fill="auto"/>
            <w:vAlign w:val="center"/>
          </w:tcPr>
          <w:p w14:paraId="56C5E535"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preosjetljivost</w:t>
            </w:r>
          </w:p>
        </w:tc>
        <w:tc>
          <w:tcPr>
            <w:tcW w:w="2987" w:type="dxa"/>
            <w:shd w:val="clear" w:color="auto" w:fill="auto"/>
            <w:vAlign w:val="center"/>
          </w:tcPr>
          <w:p w14:paraId="00F6FFB2"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povremeno</w:t>
            </w:r>
          </w:p>
        </w:tc>
      </w:tr>
      <w:tr w:rsidR="00BD782B" w:rsidRPr="00613DCD" w14:paraId="45DA00FD" w14:textId="77777777" w:rsidTr="00BD782B">
        <w:trPr>
          <w:cantSplit/>
        </w:trPr>
        <w:tc>
          <w:tcPr>
            <w:tcW w:w="3120" w:type="dxa"/>
            <w:vMerge/>
            <w:shd w:val="clear" w:color="auto" w:fill="auto"/>
          </w:tcPr>
          <w:p w14:paraId="2AFA0E79"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5609FD4D" w14:textId="0625B0D5"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anafilaksa</w:t>
            </w:r>
          </w:p>
        </w:tc>
        <w:tc>
          <w:tcPr>
            <w:tcW w:w="2987" w:type="dxa"/>
            <w:shd w:val="clear" w:color="auto" w:fill="auto"/>
            <w:vAlign w:val="center"/>
          </w:tcPr>
          <w:p w14:paraId="58476427" w14:textId="77777777" w:rsidR="00BD782B" w:rsidRPr="00613DCD" w:rsidRDefault="00BD782B" w:rsidP="001F758F">
            <w:pPr>
              <w:keepNext/>
              <w:snapToGrid w:val="0"/>
              <w:jc w:val="both"/>
              <w:rPr>
                <w:rFonts w:eastAsiaTheme="minorHAnsi"/>
                <w:sz w:val="22"/>
                <w:szCs w:val="22"/>
                <w:lang w:val="sr-Latn-ME"/>
              </w:rPr>
            </w:pPr>
            <w:r w:rsidRPr="00613DCD">
              <w:rPr>
                <w:rFonts w:eastAsia="SimSun"/>
                <w:sz w:val="22"/>
                <w:szCs w:val="22"/>
                <w:lang w:val="sr-Latn-ME" w:eastAsia="ar-SA"/>
              </w:rPr>
              <w:t>nepoznato</w:t>
            </w:r>
          </w:p>
        </w:tc>
      </w:tr>
      <w:tr w:rsidR="00BD782B" w:rsidRPr="00613DCD" w14:paraId="14E5A69C" w14:textId="77777777" w:rsidTr="00BD782B">
        <w:trPr>
          <w:cantSplit/>
        </w:trPr>
        <w:tc>
          <w:tcPr>
            <w:tcW w:w="3120" w:type="dxa"/>
            <w:vMerge/>
            <w:shd w:val="clear" w:color="auto" w:fill="auto"/>
          </w:tcPr>
          <w:p w14:paraId="5764B510"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4D8307C5" w14:textId="6EFD899B"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dispneja</w:t>
            </w:r>
          </w:p>
        </w:tc>
        <w:tc>
          <w:tcPr>
            <w:tcW w:w="2987" w:type="dxa"/>
            <w:shd w:val="clear" w:color="auto" w:fill="auto"/>
            <w:vAlign w:val="center"/>
          </w:tcPr>
          <w:p w14:paraId="36CDEC0E" w14:textId="77777777" w:rsidR="00BD782B" w:rsidRPr="00613DCD" w:rsidRDefault="00BD782B" w:rsidP="001F758F">
            <w:pPr>
              <w:keepNext/>
              <w:snapToGrid w:val="0"/>
              <w:jc w:val="both"/>
              <w:rPr>
                <w:rFonts w:eastAsiaTheme="minorHAnsi"/>
                <w:sz w:val="22"/>
                <w:szCs w:val="22"/>
                <w:lang w:val="sr-Latn-ME"/>
              </w:rPr>
            </w:pPr>
            <w:r w:rsidRPr="00613DCD">
              <w:rPr>
                <w:rFonts w:eastAsia="SimSun"/>
                <w:sz w:val="22"/>
                <w:szCs w:val="22"/>
                <w:lang w:val="sr-Latn-ME" w:eastAsia="ar-SA"/>
              </w:rPr>
              <w:t>nepoznato</w:t>
            </w:r>
          </w:p>
        </w:tc>
      </w:tr>
      <w:tr w:rsidR="00BD782B" w:rsidRPr="00613DCD" w14:paraId="459C173A" w14:textId="77777777" w:rsidTr="00BD782B">
        <w:trPr>
          <w:cantSplit/>
        </w:trPr>
        <w:tc>
          <w:tcPr>
            <w:tcW w:w="3120" w:type="dxa"/>
            <w:vMerge/>
            <w:shd w:val="clear" w:color="auto" w:fill="auto"/>
          </w:tcPr>
          <w:p w14:paraId="49357A20"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239AF418" w14:textId="0F950249"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hipoksija</w:t>
            </w:r>
          </w:p>
        </w:tc>
        <w:tc>
          <w:tcPr>
            <w:tcW w:w="2987" w:type="dxa"/>
            <w:shd w:val="clear" w:color="auto" w:fill="auto"/>
            <w:vAlign w:val="center"/>
          </w:tcPr>
          <w:p w14:paraId="0A9307BA" w14:textId="77777777" w:rsidR="00BD782B" w:rsidRPr="00613DCD" w:rsidRDefault="00BD782B" w:rsidP="001F758F">
            <w:pPr>
              <w:keepNext/>
              <w:snapToGrid w:val="0"/>
              <w:jc w:val="both"/>
              <w:rPr>
                <w:rFonts w:eastAsiaTheme="minorHAnsi"/>
                <w:sz w:val="22"/>
                <w:szCs w:val="22"/>
                <w:lang w:val="sr-Latn-ME"/>
              </w:rPr>
            </w:pPr>
            <w:r w:rsidRPr="00613DCD">
              <w:rPr>
                <w:rFonts w:eastAsia="SimSun"/>
                <w:sz w:val="22"/>
                <w:szCs w:val="22"/>
                <w:lang w:val="sr-Latn-ME" w:eastAsia="ar-SA"/>
              </w:rPr>
              <w:t>nepoznato</w:t>
            </w:r>
          </w:p>
        </w:tc>
      </w:tr>
      <w:tr w:rsidR="00BD782B" w:rsidRPr="00613DCD" w14:paraId="51331BEA" w14:textId="77777777" w:rsidTr="00BD782B">
        <w:trPr>
          <w:cantSplit/>
        </w:trPr>
        <w:tc>
          <w:tcPr>
            <w:tcW w:w="3120" w:type="dxa"/>
            <w:vMerge/>
            <w:shd w:val="clear" w:color="auto" w:fill="auto"/>
          </w:tcPr>
          <w:p w14:paraId="1033EFCE"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33835C3F" w14:textId="6285717A"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hipotenzija</w:t>
            </w:r>
          </w:p>
        </w:tc>
        <w:tc>
          <w:tcPr>
            <w:tcW w:w="2987" w:type="dxa"/>
            <w:shd w:val="clear" w:color="auto" w:fill="auto"/>
            <w:vAlign w:val="center"/>
          </w:tcPr>
          <w:p w14:paraId="5176AF62" w14:textId="77777777" w:rsidR="00BD782B" w:rsidRPr="00613DCD" w:rsidRDefault="00BD782B" w:rsidP="001F758F">
            <w:pPr>
              <w:keepNext/>
              <w:snapToGrid w:val="0"/>
              <w:jc w:val="both"/>
              <w:rPr>
                <w:rFonts w:eastAsiaTheme="minorHAnsi"/>
                <w:sz w:val="22"/>
                <w:szCs w:val="22"/>
                <w:lang w:val="sr-Latn-ME"/>
              </w:rPr>
            </w:pPr>
            <w:r w:rsidRPr="00613DCD">
              <w:rPr>
                <w:rFonts w:eastAsia="SimSun"/>
                <w:sz w:val="22"/>
                <w:szCs w:val="22"/>
                <w:lang w:val="sr-Latn-ME" w:eastAsia="ar-SA"/>
              </w:rPr>
              <w:t>nepoznato</w:t>
            </w:r>
          </w:p>
        </w:tc>
      </w:tr>
      <w:tr w:rsidR="00BD782B" w:rsidRPr="00613DCD" w14:paraId="2BBA1A5F" w14:textId="77777777" w:rsidTr="00BD782B">
        <w:trPr>
          <w:cantSplit/>
        </w:trPr>
        <w:tc>
          <w:tcPr>
            <w:tcW w:w="3120" w:type="dxa"/>
            <w:vMerge/>
            <w:shd w:val="clear" w:color="auto" w:fill="auto"/>
          </w:tcPr>
          <w:p w14:paraId="30C2CDA1"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3C57695D" w14:textId="345F2FAF" w:rsidR="00BD782B" w:rsidRPr="00613DCD" w:rsidRDefault="00BD782B" w:rsidP="001F758F">
            <w:pPr>
              <w:keepNext/>
              <w:autoSpaceDE w:val="0"/>
              <w:snapToGrid w:val="0"/>
              <w:jc w:val="both"/>
              <w:rPr>
                <w:rFonts w:eastAsiaTheme="minorHAnsi"/>
                <w:sz w:val="22"/>
                <w:szCs w:val="22"/>
                <w:lang w:val="sr-Latn-ME"/>
              </w:rPr>
            </w:pPr>
            <w:r w:rsidRPr="00613DCD">
              <w:rPr>
                <w:rFonts w:eastAsia="SimSun"/>
                <w:sz w:val="22"/>
                <w:szCs w:val="22"/>
                <w:lang w:val="sr-Latn-ME" w:eastAsia="ar-SA"/>
              </w:rPr>
              <w:t>angioedem</w:t>
            </w:r>
          </w:p>
        </w:tc>
        <w:tc>
          <w:tcPr>
            <w:tcW w:w="2987" w:type="dxa"/>
            <w:shd w:val="clear" w:color="auto" w:fill="auto"/>
            <w:vAlign w:val="center"/>
          </w:tcPr>
          <w:p w14:paraId="0071E064" w14:textId="77777777" w:rsidR="00BD782B" w:rsidRPr="00613DCD" w:rsidRDefault="00BD782B" w:rsidP="001F758F">
            <w:pPr>
              <w:keepNext/>
              <w:snapToGrid w:val="0"/>
              <w:jc w:val="both"/>
              <w:rPr>
                <w:rFonts w:eastAsiaTheme="minorHAnsi"/>
                <w:sz w:val="22"/>
                <w:szCs w:val="22"/>
                <w:lang w:val="sr-Latn-ME"/>
              </w:rPr>
            </w:pPr>
            <w:r w:rsidRPr="00613DCD">
              <w:rPr>
                <w:rFonts w:eastAsia="SimSun"/>
                <w:sz w:val="22"/>
                <w:szCs w:val="22"/>
                <w:lang w:val="sr-Latn-ME" w:eastAsia="ar-SA"/>
              </w:rPr>
              <w:t>nepoznato</w:t>
            </w:r>
          </w:p>
        </w:tc>
      </w:tr>
      <w:tr w:rsidR="00BD782B" w:rsidRPr="00613DCD" w14:paraId="26263520" w14:textId="77777777" w:rsidTr="00BD782B">
        <w:trPr>
          <w:cantSplit/>
        </w:trPr>
        <w:tc>
          <w:tcPr>
            <w:tcW w:w="3120" w:type="dxa"/>
            <w:shd w:val="clear" w:color="auto" w:fill="auto"/>
          </w:tcPr>
          <w:p w14:paraId="1D927147"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nervnog sistema</w:t>
            </w:r>
          </w:p>
        </w:tc>
        <w:tc>
          <w:tcPr>
            <w:tcW w:w="3274" w:type="dxa"/>
            <w:shd w:val="clear" w:color="auto" w:fill="auto"/>
            <w:vAlign w:val="center"/>
          </w:tcPr>
          <w:p w14:paraId="161069B4"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osjećaj žarenja</w:t>
            </w:r>
          </w:p>
        </w:tc>
        <w:tc>
          <w:tcPr>
            <w:tcW w:w="2987" w:type="dxa"/>
            <w:shd w:val="clear" w:color="auto" w:fill="auto"/>
            <w:vAlign w:val="center"/>
          </w:tcPr>
          <w:p w14:paraId="0EB3E35E"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141E4E39" w14:textId="77777777" w:rsidTr="00BD782B">
        <w:trPr>
          <w:cantSplit/>
        </w:trPr>
        <w:tc>
          <w:tcPr>
            <w:tcW w:w="3120" w:type="dxa"/>
            <w:vMerge w:val="restart"/>
            <w:shd w:val="clear" w:color="auto" w:fill="auto"/>
          </w:tcPr>
          <w:p w14:paraId="22D0CFA7"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Vaskularni poremećaji</w:t>
            </w:r>
          </w:p>
        </w:tc>
        <w:tc>
          <w:tcPr>
            <w:tcW w:w="3274" w:type="dxa"/>
            <w:shd w:val="clear" w:color="auto" w:fill="auto"/>
            <w:vAlign w:val="center"/>
          </w:tcPr>
          <w:p w14:paraId="3FBAEC48" w14:textId="680CF813" w:rsidR="00BD782B" w:rsidRPr="00613DCD" w:rsidRDefault="001A02D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navala </w:t>
            </w:r>
            <w:r w:rsidR="00BD782B" w:rsidRPr="00613DCD">
              <w:rPr>
                <w:rFonts w:eastAsiaTheme="minorHAnsi"/>
                <w:sz w:val="22"/>
                <w:szCs w:val="22"/>
                <w:lang w:val="sr-Latn-ME"/>
              </w:rPr>
              <w:t>crvenil</w:t>
            </w:r>
            <w:r w:rsidRPr="00613DCD">
              <w:rPr>
                <w:rFonts w:eastAsiaTheme="minorHAnsi"/>
                <w:sz w:val="22"/>
                <w:szCs w:val="22"/>
                <w:lang w:val="sr-Latn-ME"/>
              </w:rPr>
              <w:t>a</w:t>
            </w:r>
            <w:r w:rsidR="00BD782B" w:rsidRPr="00613DCD">
              <w:rPr>
                <w:rFonts w:eastAsiaTheme="minorHAnsi"/>
                <w:sz w:val="22"/>
                <w:szCs w:val="22"/>
                <w:lang w:val="sr-Latn-ME"/>
              </w:rPr>
              <w:t xml:space="preserve"> </w:t>
            </w:r>
          </w:p>
        </w:tc>
        <w:tc>
          <w:tcPr>
            <w:tcW w:w="2987" w:type="dxa"/>
            <w:shd w:val="clear" w:color="auto" w:fill="auto"/>
            <w:vAlign w:val="center"/>
          </w:tcPr>
          <w:p w14:paraId="0107679B"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veoma često</w:t>
            </w:r>
          </w:p>
        </w:tc>
      </w:tr>
      <w:tr w:rsidR="00BD782B" w:rsidRPr="00613DCD" w14:paraId="11141934" w14:textId="77777777" w:rsidTr="00BD782B">
        <w:trPr>
          <w:cantSplit/>
        </w:trPr>
        <w:tc>
          <w:tcPr>
            <w:tcW w:w="3120" w:type="dxa"/>
            <w:vMerge/>
            <w:shd w:val="clear" w:color="auto" w:fill="auto"/>
          </w:tcPr>
          <w:p w14:paraId="69AB9AED"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7763609B"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navala vrućine </w:t>
            </w:r>
          </w:p>
        </w:tc>
        <w:tc>
          <w:tcPr>
            <w:tcW w:w="2987" w:type="dxa"/>
            <w:shd w:val="clear" w:color="auto" w:fill="auto"/>
            <w:vAlign w:val="center"/>
          </w:tcPr>
          <w:p w14:paraId="3A7E0F0C"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često</w:t>
            </w:r>
          </w:p>
        </w:tc>
      </w:tr>
      <w:tr w:rsidR="00275DED" w:rsidRPr="00613DCD" w14:paraId="1E30FB7A" w14:textId="77777777" w:rsidTr="00275DED">
        <w:trPr>
          <w:cantSplit/>
        </w:trPr>
        <w:tc>
          <w:tcPr>
            <w:tcW w:w="3120" w:type="dxa"/>
            <w:tcBorders>
              <w:top w:val="single" w:sz="4" w:space="0" w:color="000000"/>
              <w:left w:val="single" w:sz="4" w:space="0" w:color="000000"/>
              <w:bottom w:val="single" w:sz="4" w:space="0" w:color="000000"/>
              <w:right w:val="nil"/>
            </w:tcBorders>
            <w:shd w:val="clear" w:color="auto" w:fill="auto"/>
            <w:vAlign w:val="center"/>
          </w:tcPr>
          <w:p w14:paraId="2883FFB7" w14:textId="2A6963BC" w:rsidR="00275DED" w:rsidRPr="00613DCD" w:rsidRDefault="00275DED" w:rsidP="001F758F">
            <w:pPr>
              <w:keepNext/>
              <w:autoSpaceDE w:val="0"/>
              <w:snapToGrid w:val="0"/>
              <w:jc w:val="both"/>
              <w:rPr>
                <w:rFonts w:eastAsiaTheme="minorHAnsi"/>
                <w:sz w:val="22"/>
                <w:szCs w:val="22"/>
                <w:lang w:val="sr-Latn-ME"/>
              </w:rPr>
            </w:pPr>
            <w:r w:rsidRPr="00D726AF">
              <w:rPr>
                <w:rFonts w:eastAsia="SimSun"/>
                <w:sz w:val="22"/>
                <w:szCs w:val="22"/>
                <w:lang w:val="sr-Latn-ME" w:eastAsia="ar-SA"/>
              </w:rPr>
              <w:t>Respiratorni, torakalni i medijastinalni poremećaji</w:t>
            </w:r>
          </w:p>
        </w:tc>
        <w:tc>
          <w:tcPr>
            <w:tcW w:w="3274" w:type="dxa"/>
            <w:tcBorders>
              <w:top w:val="single" w:sz="4" w:space="0" w:color="000000"/>
              <w:left w:val="single" w:sz="4" w:space="0" w:color="000000"/>
              <w:bottom w:val="single" w:sz="4" w:space="0" w:color="000000"/>
              <w:right w:val="nil"/>
            </w:tcBorders>
            <w:shd w:val="clear" w:color="auto" w:fill="auto"/>
            <w:vAlign w:val="center"/>
          </w:tcPr>
          <w:p w14:paraId="6AF5E45F" w14:textId="2823FC2A" w:rsidR="00275DED" w:rsidRPr="00613DCD" w:rsidRDefault="00275DED" w:rsidP="001F758F">
            <w:pPr>
              <w:keepNext/>
              <w:autoSpaceDE w:val="0"/>
              <w:snapToGrid w:val="0"/>
              <w:jc w:val="both"/>
              <w:rPr>
                <w:rFonts w:eastAsiaTheme="minorHAnsi"/>
                <w:sz w:val="22"/>
                <w:szCs w:val="22"/>
                <w:lang w:val="sr-Latn-ME"/>
              </w:rPr>
            </w:pPr>
            <w:r w:rsidRPr="00D726AF">
              <w:rPr>
                <w:rFonts w:eastAsia="SimSun"/>
                <w:sz w:val="22"/>
                <w:szCs w:val="22"/>
                <w:lang w:val="sr-Latn-ME" w:eastAsia="ar-SA"/>
              </w:rPr>
              <w:t>rinoreja</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708FE" w14:textId="5E82C3C6" w:rsidR="00275DED" w:rsidRPr="00613DCD" w:rsidRDefault="00275DED" w:rsidP="001F758F">
            <w:pPr>
              <w:keepNext/>
              <w:snapToGrid w:val="0"/>
              <w:jc w:val="both"/>
              <w:rPr>
                <w:rFonts w:eastAsiaTheme="minorHAnsi"/>
                <w:sz w:val="22"/>
                <w:szCs w:val="22"/>
                <w:lang w:val="sr-Latn-ME"/>
              </w:rPr>
            </w:pPr>
            <w:r w:rsidRPr="00D726AF">
              <w:rPr>
                <w:rFonts w:eastAsia="SimSun"/>
                <w:sz w:val="22"/>
                <w:szCs w:val="22"/>
                <w:lang w:val="sr-Latn-ME" w:eastAsia="ar-SA"/>
              </w:rPr>
              <w:t>Nepoznata učestalost</w:t>
            </w:r>
          </w:p>
        </w:tc>
      </w:tr>
      <w:tr w:rsidR="00BD782B" w:rsidRPr="00613DCD" w14:paraId="2FC06656" w14:textId="77777777" w:rsidTr="00BD782B">
        <w:trPr>
          <w:cantSplit/>
        </w:trPr>
        <w:tc>
          <w:tcPr>
            <w:tcW w:w="3120" w:type="dxa"/>
            <w:vMerge w:val="restart"/>
            <w:shd w:val="clear" w:color="auto" w:fill="auto"/>
          </w:tcPr>
          <w:p w14:paraId="4B178B33"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gastrointestinalnog sistema</w:t>
            </w:r>
          </w:p>
        </w:tc>
        <w:tc>
          <w:tcPr>
            <w:tcW w:w="3274" w:type="dxa"/>
            <w:shd w:val="clear" w:color="auto" w:fill="auto"/>
            <w:vAlign w:val="center"/>
          </w:tcPr>
          <w:p w14:paraId="6143FCEA"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dijareja </w:t>
            </w:r>
          </w:p>
        </w:tc>
        <w:tc>
          <w:tcPr>
            <w:tcW w:w="2987" w:type="dxa"/>
            <w:shd w:val="clear" w:color="auto" w:fill="auto"/>
            <w:vAlign w:val="center"/>
          </w:tcPr>
          <w:p w14:paraId="084A919A"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veoma često</w:t>
            </w:r>
          </w:p>
        </w:tc>
      </w:tr>
      <w:tr w:rsidR="00BD782B" w:rsidRPr="00613DCD" w14:paraId="10ACBC81" w14:textId="77777777" w:rsidTr="00BD782B">
        <w:trPr>
          <w:cantSplit/>
        </w:trPr>
        <w:tc>
          <w:tcPr>
            <w:tcW w:w="3120" w:type="dxa"/>
            <w:vMerge/>
            <w:shd w:val="clear" w:color="auto" w:fill="auto"/>
          </w:tcPr>
          <w:p w14:paraId="0322BD39"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66C1EE39"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mučnina </w:t>
            </w:r>
          </w:p>
        </w:tc>
        <w:tc>
          <w:tcPr>
            <w:tcW w:w="2987" w:type="dxa"/>
            <w:shd w:val="clear" w:color="auto" w:fill="auto"/>
            <w:vAlign w:val="center"/>
          </w:tcPr>
          <w:p w14:paraId="38DCFB98"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veoma često</w:t>
            </w:r>
          </w:p>
        </w:tc>
      </w:tr>
      <w:tr w:rsidR="00BD782B" w:rsidRPr="00613DCD" w14:paraId="7484A0A2" w14:textId="77777777" w:rsidTr="00BD782B">
        <w:trPr>
          <w:cantSplit/>
        </w:trPr>
        <w:tc>
          <w:tcPr>
            <w:tcW w:w="3120" w:type="dxa"/>
            <w:vMerge/>
            <w:shd w:val="clear" w:color="auto" w:fill="auto"/>
          </w:tcPr>
          <w:p w14:paraId="4DC862E0"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1B860631"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bol u gornjem dijelu stomaka </w:t>
            </w:r>
          </w:p>
        </w:tc>
        <w:tc>
          <w:tcPr>
            <w:tcW w:w="2987" w:type="dxa"/>
            <w:shd w:val="clear" w:color="auto" w:fill="auto"/>
            <w:vAlign w:val="center"/>
          </w:tcPr>
          <w:p w14:paraId="7FA83EF8"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veoma često</w:t>
            </w:r>
          </w:p>
        </w:tc>
      </w:tr>
      <w:tr w:rsidR="00BD782B" w:rsidRPr="00613DCD" w14:paraId="7EA606EB" w14:textId="77777777" w:rsidTr="00BD782B">
        <w:trPr>
          <w:cantSplit/>
        </w:trPr>
        <w:tc>
          <w:tcPr>
            <w:tcW w:w="3120" w:type="dxa"/>
            <w:vMerge/>
            <w:shd w:val="clear" w:color="auto" w:fill="auto"/>
          </w:tcPr>
          <w:p w14:paraId="1F136076"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45686137"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bol u stomaku</w:t>
            </w:r>
          </w:p>
        </w:tc>
        <w:tc>
          <w:tcPr>
            <w:tcW w:w="2987" w:type="dxa"/>
            <w:shd w:val="clear" w:color="auto" w:fill="auto"/>
            <w:vAlign w:val="center"/>
          </w:tcPr>
          <w:p w14:paraId="5066465C"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veoma često</w:t>
            </w:r>
          </w:p>
        </w:tc>
      </w:tr>
      <w:tr w:rsidR="00BD782B" w:rsidRPr="00613DCD" w14:paraId="5606427A" w14:textId="77777777" w:rsidTr="00BD782B">
        <w:trPr>
          <w:cantSplit/>
        </w:trPr>
        <w:tc>
          <w:tcPr>
            <w:tcW w:w="3120" w:type="dxa"/>
            <w:vMerge/>
            <w:shd w:val="clear" w:color="auto" w:fill="auto"/>
          </w:tcPr>
          <w:p w14:paraId="42645ADC"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1EFE7C92"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povraćanje</w:t>
            </w:r>
          </w:p>
        </w:tc>
        <w:tc>
          <w:tcPr>
            <w:tcW w:w="2987" w:type="dxa"/>
            <w:shd w:val="clear" w:color="auto" w:fill="auto"/>
            <w:vAlign w:val="center"/>
          </w:tcPr>
          <w:p w14:paraId="23FDADEE"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2E43479D" w14:textId="77777777" w:rsidTr="00BD782B">
        <w:trPr>
          <w:cantSplit/>
        </w:trPr>
        <w:tc>
          <w:tcPr>
            <w:tcW w:w="3120" w:type="dxa"/>
            <w:vMerge/>
            <w:shd w:val="clear" w:color="auto" w:fill="auto"/>
          </w:tcPr>
          <w:p w14:paraId="493112F1"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7AB09278"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dispepsija</w:t>
            </w:r>
          </w:p>
        </w:tc>
        <w:tc>
          <w:tcPr>
            <w:tcW w:w="2987" w:type="dxa"/>
            <w:shd w:val="clear" w:color="auto" w:fill="auto"/>
            <w:vAlign w:val="center"/>
          </w:tcPr>
          <w:p w14:paraId="62F00D83"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24E1BCF8" w14:textId="77777777" w:rsidTr="00BD782B">
        <w:trPr>
          <w:cantSplit/>
        </w:trPr>
        <w:tc>
          <w:tcPr>
            <w:tcW w:w="3120" w:type="dxa"/>
            <w:vMerge/>
            <w:shd w:val="clear" w:color="auto" w:fill="auto"/>
          </w:tcPr>
          <w:p w14:paraId="661F1086"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50C9D140"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gastritis</w:t>
            </w:r>
          </w:p>
        </w:tc>
        <w:tc>
          <w:tcPr>
            <w:tcW w:w="2987" w:type="dxa"/>
            <w:shd w:val="clear" w:color="auto" w:fill="auto"/>
            <w:vAlign w:val="center"/>
          </w:tcPr>
          <w:p w14:paraId="696D65A8"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23AF70DA" w14:textId="77777777" w:rsidTr="00BD782B">
        <w:trPr>
          <w:cantSplit/>
        </w:trPr>
        <w:tc>
          <w:tcPr>
            <w:tcW w:w="3120" w:type="dxa"/>
            <w:vMerge/>
            <w:shd w:val="clear" w:color="auto" w:fill="auto"/>
          </w:tcPr>
          <w:p w14:paraId="031B2EE5"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44E2AE87"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digestivnog trakta</w:t>
            </w:r>
          </w:p>
        </w:tc>
        <w:tc>
          <w:tcPr>
            <w:tcW w:w="2987" w:type="dxa"/>
            <w:shd w:val="clear" w:color="auto" w:fill="auto"/>
            <w:vAlign w:val="center"/>
          </w:tcPr>
          <w:p w14:paraId="474E58BF"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6C39E034" w14:textId="77777777" w:rsidTr="00BD782B">
        <w:trPr>
          <w:cantSplit/>
        </w:trPr>
        <w:tc>
          <w:tcPr>
            <w:tcW w:w="3120" w:type="dxa"/>
            <w:vMerge w:val="restart"/>
            <w:shd w:val="clear" w:color="auto" w:fill="auto"/>
          </w:tcPr>
          <w:p w14:paraId="1C893064"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jetre i žuči</w:t>
            </w:r>
          </w:p>
        </w:tc>
        <w:tc>
          <w:tcPr>
            <w:tcW w:w="3274" w:type="dxa"/>
            <w:shd w:val="clear" w:color="auto" w:fill="auto"/>
            <w:vAlign w:val="center"/>
          </w:tcPr>
          <w:p w14:paraId="561233F5"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povišena aspartat aminotransferaza</w:t>
            </w:r>
          </w:p>
        </w:tc>
        <w:tc>
          <w:tcPr>
            <w:tcW w:w="2987" w:type="dxa"/>
            <w:shd w:val="clear" w:color="auto" w:fill="auto"/>
            <w:vAlign w:val="center"/>
          </w:tcPr>
          <w:p w14:paraId="136030B9"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3E89D6CE" w14:textId="77777777" w:rsidTr="00BD782B">
        <w:trPr>
          <w:cantSplit/>
        </w:trPr>
        <w:tc>
          <w:tcPr>
            <w:tcW w:w="3120" w:type="dxa"/>
            <w:vMerge/>
            <w:shd w:val="clear" w:color="auto" w:fill="auto"/>
          </w:tcPr>
          <w:p w14:paraId="035B112C"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57AE7636"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povišena alanin aminotransferaza </w:t>
            </w:r>
          </w:p>
        </w:tc>
        <w:tc>
          <w:tcPr>
            <w:tcW w:w="2987" w:type="dxa"/>
            <w:shd w:val="clear" w:color="auto" w:fill="auto"/>
            <w:vAlign w:val="center"/>
          </w:tcPr>
          <w:p w14:paraId="5AF9DC6B" w14:textId="0C7021E4"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2E9C2723" w14:textId="77777777" w:rsidTr="00BD782B">
        <w:trPr>
          <w:cantSplit/>
        </w:trPr>
        <w:tc>
          <w:tcPr>
            <w:tcW w:w="3120" w:type="dxa"/>
            <w:vMerge/>
            <w:shd w:val="clear" w:color="auto" w:fill="auto"/>
          </w:tcPr>
          <w:p w14:paraId="49025FD2"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7B22E3F6" w14:textId="42B528A9"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oštećenje jetre izazvano lijekom</w:t>
            </w:r>
          </w:p>
        </w:tc>
        <w:tc>
          <w:tcPr>
            <w:tcW w:w="2987" w:type="dxa"/>
            <w:shd w:val="clear" w:color="auto" w:fill="auto"/>
            <w:vAlign w:val="center"/>
          </w:tcPr>
          <w:p w14:paraId="04904B0F" w14:textId="1CB8BCA0" w:rsidR="00BD782B" w:rsidRPr="00613DCD" w:rsidRDefault="0095330A" w:rsidP="001F758F">
            <w:pPr>
              <w:keepNext/>
              <w:snapToGrid w:val="0"/>
              <w:jc w:val="both"/>
              <w:rPr>
                <w:rFonts w:eastAsiaTheme="minorHAnsi"/>
                <w:sz w:val="22"/>
                <w:szCs w:val="22"/>
                <w:lang w:val="sr-Latn-ME"/>
              </w:rPr>
            </w:pPr>
            <w:r>
              <w:rPr>
                <w:rFonts w:eastAsiaTheme="minorHAnsi"/>
                <w:sz w:val="22"/>
                <w:szCs w:val="22"/>
                <w:lang w:val="sr-Latn-ME"/>
              </w:rPr>
              <w:t>r</w:t>
            </w:r>
            <w:r w:rsidR="005729C0">
              <w:rPr>
                <w:rFonts w:eastAsiaTheme="minorHAnsi"/>
                <w:sz w:val="22"/>
                <w:szCs w:val="22"/>
                <w:lang w:val="sr-Latn-ME"/>
              </w:rPr>
              <w:t>ij</w:t>
            </w:r>
            <w:r>
              <w:rPr>
                <w:rFonts w:eastAsiaTheme="minorHAnsi"/>
                <w:sz w:val="22"/>
                <w:szCs w:val="22"/>
                <w:lang w:val="sr-Latn-ME"/>
              </w:rPr>
              <w:t>etko</w:t>
            </w:r>
          </w:p>
        </w:tc>
      </w:tr>
      <w:tr w:rsidR="00BB781A" w:rsidRPr="00613DCD" w14:paraId="3796470D" w14:textId="77777777" w:rsidTr="00BD782B">
        <w:trPr>
          <w:cantSplit/>
        </w:trPr>
        <w:tc>
          <w:tcPr>
            <w:tcW w:w="3120" w:type="dxa"/>
            <w:vMerge w:val="restart"/>
            <w:shd w:val="clear" w:color="auto" w:fill="auto"/>
          </w:tcPr>
          <w:p w14:paraId="37963565" w14:textId="77777777" w:rsidR="00BB781A" w:rsidRPr="00613DCD" w:rsidRDefault="00BB781A"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kože i potkožnog tkiva</w:t>
            </w:r>
          </w:p>
        </w:tc>
        <w:tc>
          <w:tcPr>
            <w:tcW w:w="3274" w:type="dxa"/>
            <w:shd w:val="clear" w:color="auto" w:fill="auto"/>
            <w:vAlign w:val="center"/>
          </w:tcPr>
          <w:p w14:paraId="188B28B4" w14:textId="77777777" w:rsidR="00BB781A" w:rsidRPr="00613DCD" w:rsidRDefault="00BB781A"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pruritus</w:t>
            </w:r>
          </w:p>
        </w:tc>
        <w:tc>
          <w:tcPr>
            <w:tcW w:w="2987" w:type="dxa"/>
            <w:shd w:val="clear" w:color="auto" w:fill="auto"/>
            <w:vAlign w:val="center"/>
          </w:tcPr>
          <w:p w14:paraId="2DA54008" w14:textId="77777777" w:rsidR="00BB781A" w:rsidRPr="00613DCD" w:rsidRDefault="00BB781A"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B781A" w:rsidRPr="00613DCD" w14:paraId="6289DF96" w14:textId="77777777" w:rsidTr="00BD782B">
        <w:trPr>
          <w:cantSplit/>
        </w:trPr>
        <w:tc>
          <w:tcPr>
            <w:tcW w:w="3120" w:type="dxa"/>
            <w:vMerge/>
            <w:shd w:val="clear" w:color="auto" w:fill="auto"/>
          </w:tcPr>
          <w:p w14:paraId="1B3096E4" w14:textId="77777777" w:rsidR="00BB781A" w:rsidRPr="00613DCD" w:rsidRDefault="00BB781A"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32196226" w14:textId="77777777" w:rsidR="00BB781A" w:rsidRPr="00613DCD" w:rsidRDefault="00BB781A"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osip</w:t>
            </w:r>
          </w:p>
        </w:tc>
        <w:tc>
          <w:tcPr>
            <w:tcW w:w="2987" w:type="dxa"/>
            <w:shd w:val="clear" w:color="auto" w:fill="auto"/>
            <w:vAlign w:val="center"/>
          </w:tcPr>
          <w:p w14:paraId="12D723EC" w14:textId="77777777" w:rsidR="00BB781A" w:rsidRPr="00613DCD" w:rsidRDefault="00BB781A"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B781A" w:rsidRPr="00613DCD" w14:paraId="4824F7E9" w14:textId="77777777" w:rsidTr="00BD782B">
        <w:trPr>
          <w:cantSplit/>
        </w:trPr>
        <w:tc>
          <w:tcPr>
            <w:tcW w:w="3120" w:type="dxa"/>
            <w:vMerge/>
            <w:shd w:val="clear" w:color="auto" w:fill="auto"/>
          </w:tcPr>
          <w:p w14:paraId="5E5368F0" w14:textId="77777777" w:rsidR="00BB781A" w:rsidRPr="00613DCD" w:rsidRDefault="00BB781A"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40EDAB29" w14:textId="77777777" w:rsidR="00BB781A" w:rsidRPr="00613DCD" w:rsidRDefault="00BB781A"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eritem</w:t>
            </w:r>
          </w:p>
        </w:tc>
        <w:tc>
          <w:tcPr>
            <w:tcW w:w="2987" w:type="dxa"/>
            <w:shd w:val="clear" w:color="auto" w:fill="auto"/>
            <w:vAlign w:val="center"/>
          </w:tcPr>
          <w:p w14:paraId="78CC13EA" w14:textId="77777777" w:rsidR="00BB781A" w:rsidRPr="00613DCD" w:rsidRDefault="00BB781A"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B781A" w:rsidRPr="00613DCD" w14:paraId="00E99F84" w14:textId="77777777" w:rsidTr="00BD782B">
        <w:trPr>
          <w:cantSplit/>
        </w:trPr>
        <w:tc>
          <w:tcPr>
            <w:tcW w:w="3120" w:type="dxa"/>
            <w:vMerge/>
            <w:shd w:val="clear" w:color="auto" w:fill="auto"/>
          </w:tcPr>
          <w:p w14:paraId="4D4781E1" w14:textId="77777777" w:rsidR="00BB781A" w:rsidRPr="00613DCD" w:rsidRDefault="00BB781A"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4B4E8594" w14:textId="77777777" w:rsidR="00BB781A" w:rsidRPr="00613DCD" w:rsidRDefault="00BB781A"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alopecija</w:t>
            </w:r>
          </w:p>
        </w:tc>
        <w:tc>
          <w:tcPr>
            <w:tcW w:w="2987" w:type="dxa"/>
            <w:shd w:val="clear" w:color="auto" w:fill="auto"/>
            <w:vAlign w:val="center"/>
          </w:tcPr>
          <w:p w14:paraId="1E676DBD" w14:textId="77777777" w:rsidR="00BB781A" w:rsidRPr="00613DCD" w:rsidRDefault="00BB781A"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3ED3C044" w14:textId="77777777" w:rsidTr="00BD782B">
        <w:trPr>
          <w:cantSplit/>
        </w:trPr>
        <w:tc>
          <w:tcPr>
            <w:tcW w:w="3120" w:type="dxa"/>
            <w:shd w:val="clear" w:color="auto" w:fill="auto"/>
          </w:tcPr>
          <w:p w14:paraId="1D9932BE"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Poremećaji bubrega i mokraćnog sistema</w:t>
            </w:r>
          </w:p>
        </w:tc>
        <w:tc>
          <w:tcPr>
            <w:tcW w:w="3274" w:type="dxa"/>
            <w:shd w:val="clear" w:color="auto" w:fill="auto"/>
            <w:vAlign w:val="center"/>
          </w:tcPr>
          <w:p w14:paraId="193C67D0"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proteinurija</w:t>
            </w:r>
          </w:p>
        </w:tc>
        <w:tc>
          <w:tcPr>
            <w:tcW w:w="2987" w:type="dxa"/>
            <w:shd w:val="clear" w:color="auto" w:fill="auto"/>
            <w:vAlign w:val="center"/>
          </w:tcPr>
          <w:p w14:paraId="3D674BCD"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50E3D476" w14:textId="77777777" w:rsidTr="00BD782B">
        <w:trPr>
          <w:cantSplit/>
        </w:trPr>
        <w:tc>
          <w:tcPr>
            <w:tcW w:w="3120" w:type="dxa"/>
            <w:shd w:val="clear" w:color="auto" w:fill="auto"/>
          </w:tcPr>
          <w:p w14:paraId="5C83C91E"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lastRenderedPageBreak/>
              <w:t xml:space="preserve">Opšti poremećaji i reakcije na mjestu primjene </w:t>
            </w:r>
          </w:p>
        </w:tc>
        <w:tc>
          <w:tcPr>
            <w:tcW w:w="3274" w:type="dxa"/>
            <w:shd w:val="clear" w:color="auto" w:fill="auto"/>
            <w:vAlign w:val="center"/>
          </w:tcPr>
          <w:p w14:paraId="46C76AA0"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osjećaj vrućine</w:t>
            </w:r>
          </w:p>
        </w:tc>
        <w:tc>
          <w:tcPr>
            <w:tcW w:w="2987" w:type="dxa"/>
            <w:shd w:val="clear" w:color="auto" w:fill="auto"/>
            <w:vAlign w:val="center"/>
          </w:tcPr>
          <w:p w14:paraId="6B525716"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15E32A7A" w14:textId="77777777" w:rsidTr="00BD782B">
        <w:trPr>
          <w:cantSplit/>
        </w:trPr>
        <w:tc>
          <w:tcPr>
            <w:tcW w:w="3120" w:type="dxa"/>
            <w:vMerge w:val="restart"/>
            <w:shd w:val="clear" w:color="auto" w:fill="auto"/>
          </w:tcPr>
          <w:p w14:paraId="4F5A9B3E" w14:textId="5495D156" w:rsidR="00BD782B" w:rsidRPr="00613DCD" w:rsidRDefault="001A02D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I</w:t>
            </w:r>
            <w:r w:rsidR="00BD782B" w:rsidRPr="00613DCD">
              <w:rPr>
                <w:rFonts w:eastAsiaTheme="minorHAnsi"/>
                <w:sz w:val="22"/>
                <w:szCs w:val="22"/>
                <w:lang w:val="sr-Latn-ME"/>
              </w:rPr>
              <w:t>spitivanja</w:t>
            </w:r>
          </w:p>
        </w:tc>
        <w:tc>
          <w:tcPr>
            <w:tcW w:w="3274" w:type="dxa"/>
            <w:shd w:val="clear" w:color="auto" w:fill="auto"/>
            <w:vAlign w:val="center"/>
          </w:tcPr>
          <w:p w14:paraId="62027456"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ketoni mjereni u urinu</w:t>
            </w:r>
          </w:p>
        </w:tc>
        <w:tc>
          <w:tcPr>
            <w:tcW w:w="2987" w:type="dxa"/>
            <w:shd w:val="clear" w:color="auto" w:fill="auto"/>
            <w:vAlign w:val="center"/>
          </w:tcPr>
          <w:p w14:paraId="1335E6C7"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veoma često</w:t>
            </w:r>
          </w:p>
        </w:tc>
      </w:tr>
      <w:tr w:rsidR="00BD782B" w:rsidRPr="00613DCD" w14:paraId="072A9E57" w14:textId="77777777" w:rsidTr="00BD782B">
        <w:trPr>
          <w:cantSplit/>
        </w:trPr>
        <w:tc>
          <w:tcPr>
            <w:tcW w:w="3120" w:type="dxa"/>
            <w:vMerge/>
            <w:shd w:val="clear" w:color="auto" w:fill="auto"/>
          </w:tcPr>
          <w:p w14:paraId="46E1370D" w14:textId="77777777" w:rsidR="00BD782B" w:rsidRPr="00613DCD" w:rsidRDefault="00BD782B" w:rsidP="001F758F">
            <w:pPr>
              <w:keepNext/>
              <w:autoSpaceDE w:val="0"/>
              <w:snapToGrid w:val="0"/>
              <w:jc w:val="both"/>
              <w:rPr>
                <w:rFonts w:eastAsiaTheme="minorHAnsi"/>
                <w:sz w:val="22"/>
                <w:szCs w:val="22"/>
                <w:lang w:val="sr-Latn-ME"/>
              </w:rPr>
            </w:pPr>
          </w:p>
        </w:tc>
        <w:tc>
          <w:tcPr>
            <w:tcW w:w="3274" w:type="dxa"/>
            <w:shd w:val="clear" w:color="auto" w:fill="auto"/>
            <w:vAlign w:val="center"/>
          </w:tcPr>
          <w:p w14:paraId="4909D86C"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 xml:space="preserve">prisustvo albumina u urinu </w:t>
            </w:r>
          </w:p>
        </w:tc>
        <w:tc>
          <w:tcPr>
            <w:tcW w:w="2987" w:type="dxa"/>
            <w:shd w:val="clear" w:color="auto" w:fill="auto"/>
            <w:vAlign w:val="center"/>
          </w:tcPr>
          <w:p w14:paraId="19C073E4"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r w:rsidR="00BD782B" w:rsidRPr="00613DCD" w14:paraId="5AF9680F" w14:textId="77777777" w:rsidTr="00BD782B">
        <w:trPr>
          <w:cantSplit/>
        </w:trPr>
        <w:tc>
          <w:tcPr>
            <w:tcW w:w="3120" w:type="dxa"/>
            <w:vMerge/>
            <w:shd w:val="clear" w:color="auto" w:fill="auto"/>
            <w:vAlign w:val="center"/>
          </w:tcPr>
          <w:p w14:paraId="09091F0A" w14:textId="77777777" w:rsidR="00BD782B" w:rsidRPr="00613DCD" w:rsidRDefault="00BD782B" w:rsidP="001F758F">
            <w:pPr>
              <w:keepNext/>
              <w:autoSpaceDE w:val="0"/>
              <w:snapToGrid w:val="0"/>
              <w:jc w:val="both"/>
              <w:rPr>
                <w:rFonts w:eastAsiaTheme="minorHAnsi"/>
                <w:b/>
                <w:sz w:val="22"/>
                <w:szCs w:val="22"/>
                <w:lang w:val="sr-Latn-ME"/>
              </w:rPr>
            </w:pPr>
          </w:p>
        </w:tc>
        <w:tc>
          <w:tcPr>
            <w:tcW w:w="3274" w:type="dxa"/>
            <w:shd w:val="clear" w:color="auto" w:fill="auto"/>
            <w:vAlign w:val="center"/>
          </w:tcPr>
          <w:p w14:paraId="3DF87549" w14:textId="77777777" w:rsidR="00BD782B" w:rsidRPr="00613DCD" w:rsidRDefault="00BD782B" w:rsidP="001F758F">
            <w:pPr>
              <w:keepNext/>
              <w:autoSpaceDE w:val="0"/>
              <w:snapToGrid w:val="0"/>
              <w:jc w:val="both"/>
              <w:rPr>
                <w:rFonts w:eastAsiaTheme="minorHAnsi"/>
                <w:sz w:val="22"/>
                <w:szCs w:val="22"/>
                <w:lang w:val="sr-Latn-ME"/>
              </w:rPr>
            </w:pPr>
            <w:r w:rsidRPr="00613DCD">
              <w:rPr>
                <w:rFonts w:eastAsiaTheme="minorHAnsi"/>
                <w:sz w:val="22"/>
                <w:szCs w:val="22"/>
                <w:lang w:val="sr-Latn-ME"/>
              </w:rPr>
              <w:t>smanjen broj bijelih krvnih ćelija</w:t>
            </w:r>
          </w:p>
        </w:tc>
        <w:tc>
          <w:tcPr>
            <w:tcW w:w="2987" w:type="dxa"/>
            <w:shd w:val="clear" w:color="auto" w:fill="auto"/>
            <w:vAlign w:val="center"/>
          </w:tcPr>
          <w:p w14:paraId="7FB84343" w14:textId="77777777" w:rsidR="00BD782B" w:rsidRPr="00613DCD" w:rsidRDefault="00BD782B" w:rsidP="001F758F">
            <w:pPr>
              <w:keepNext/>
              <w:snapToGrid w:val="0"/>
              <w:jc w:val="both"/>
              <w:rPr>
                <w:rFonts w:eastAsiaTheme="minorHAnsi"/>
                <w:sz w:val="22"/>
                <w:szCs w:val="22"/>
                <w:lang w:val="sr-Latn-ME"/>
              </w:rPr>
            </w:pPr>
            <w:r w:rsidRPr="00613DCD">
              <w:rPr>
                <w:rFonts w:eastAsiaTheme="minorHAnsi"/>
                <w:sz w:val="22"/>
                <w:szCs w:val="22"/>
                <w:lang w:val="sr-Latn-ME"/>
              </w:rPr>
              <w:t>često</w:t>
            </w:r>
          </w:p>
        </w:tc>
      </w:tr>
    </w:tbl>
    <w:p w14:paraId="584E7E3D" w14:textId="77777777" w:rsidR="00BD782B" w:rsidRPr="00D264F7" w:rsidRDefault="00BD782B" w:rsidP="001C605F">
      <w:pPr>
        <w:spacing w:line="259" w:lineRule="auto"/>
        <w:jc w:val="both"/>
        <w:rPr>
          <w:rFonts w:eastAsiaTheme="minorHAnsi"/>
          <w:sz w:val="22"/>
          <w:szCs w:val="22"/>
          <w:u w:val="single"/>
          <w:lang w:val="sr-Latn-ME"/>
        </w:rPr>
      </w:pPr>
    </w:p>
    <w:p w14:paraId="564DD0BC" w14:textId="77777777" w:rsidR="00BD782B" w:rsidRPr="00D264F7" w:rsidRDefault="00BD782B">
      <w:pPr>
        <w:spacing w:line="259" w:lineRule="auto"/>
        <w:jc w:val="both"/>
        <w:rPr>
          <w:rFonts w:eastAsiaTheme="minorHAnsi"/>
          <w:sz w:val="22"/>
          <w:szCs w:val="22"/>
          <w:lang w:val="sr-Latn-ME"/>
        </w:rPr>
      </w:pPr>
      <w:r w:rsidRPr="00D264F7">
        <w:rPr>
          <w:rFonts w:eastAsiaTheme="minorHAnsi"/>
          <w:sz w:val="22"/>
          <w:szCs w:val="22"/>
          <w:u w:val="single"/>
          <w:lang w:val="sr-Latn-ME"/>
        </w:rPr>
        <w:t>Opis izdvojenih neželjenih reakcija</w:t>
      </w:r>
    </w:p>
    <w:p w14:paraId="024DAFB1" w14:textId="77777777" w:rsidR="00BD782B" w:rsidRPr="00D264F7" w:rsidRDefault="00BD782B">
      <w:pPr>
        <w:spacing w:line="259" w:lineRule="auto"/>
        <w:jc w:val="both"/>
        <w:rPr>
          <w:rFonts w:eastAsiaTheme="minorHAnsi"/>
          <w:sz w:val="22"/>
          <w:szCs w:val="22"/>
          <w:lang w:val="sr-Latn-ME"/>
        </w:rPr>
      </w:pPr>
    </w:p>
    <w:p w14:paraId="7959C249" w14:textId="3815686F" w:rsidR="00BD782B" w:rsidRPr="00D264F7" w:rsidRDefault="001A02DB">
      <w:pPr>
        <w:spacing w:line="259" w:lineRule="auto"/>
        <w:jc w:val="both"/>
        <w:rPr>
          <w:rFonts w:eastAsiaTheme="minorHAnsi"/>
          <w:sz w:val="22"/>
          <w:szCs w:val="22"/>
          <w:lang w:val="sr-Latn-ME"/>
        </w:rPr>
      </w:pPr>
      <w:r w:rsidRPr="00D264F7">
        <w:rPr>
          <w:rFonts w:eastAsiaTheme="minorHAnsi"/>
          <w:i/>
          <w:sz w:val="22"/>
          <w:szCs w:val="22"/>
          <w:lang w:val="sr-Latn-ME"/>
        </w:rPr>
        <w:t xml:space="preserve">Navala crvenila </w:t>
      </w:r>
    </w:p>
    <w:p w14:paraId="037F5214" w14:textId="77777777" w:rsidR="00BD782B" w:rsidRPr="00D264F7" w:rsidRDefault="00BD782B">
      <w:pPr>
        <w:spacing w:line="259" w:lineRule="auto"/>
        <w:jc w:val="both"/>
        <w:rPr>
          <w:rFonts w:eastAsiaTheme="minorHAnsi"/>
          <w:sz w:val="22"/>
          <w:szCs w:val="22"/>
          <w:lang w:val="sr-Latn-ME"/>
        </w:rPr>
      </w:pPr>
    </w:p>
    <w:p w14:paraId="467C6E81" w14:textId="13E663C0"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 xml:space="preserve">U placebo kontrolisanim ispitivanjima, učestalost </w:t>
      </w:r>
      <w:r w:rsidR="00FF430E" w:rsidRPr="00D264F7">
        <w:rPr>
          <w:rFonts w:eastAsiaTheme="minorHAnsi"/>
          <w:sz w:val="22"/>
          <w:szCs w:val="22"/>
          <w:lang w:val="sr-Latn-ME"/>
        </w:rPr>
        <w:t xml:space="preserve">navale </w:t>
      </w:r>
      <w:r w:rsidRPr="00D264F7">
        <w:rPr>
          <w:rFonts w:eastAsiaTheme="minorHAnsi"/>
          <w:sz w:val="22"/>
          <w:szCs w:val="22"/>
          <w:lang w:val="sr-Latn-ME"/>
        </w:rPr>
        <w:t xml:space="preserve">crvenila (34% u odnosu na 4%) odnosno navale vrućine (7% u odnosu na 2%) bila je povećana kod pacijenata liječenih lijekom Tecfidera u poređenju s placebom. </w:t>
      </w:r>
      <w:r w:rsidR="00FF430E" w:rsidRPr="00D264F7">
        <w:rPr>
          <w:rFonts w:eastAsiaTheme="minorHAnsi"/>
          <w:sz w:val="22"/>
          <w:szCs w:val="22"/>
          <w:lang w:val="sr-Latn-ME"/>
        </w:rPr>
        <w:t>Navala c</w:t>
      </w:r>
      <w:r w:rsidRPr="00D264F7">
        <w:rPr>
          <w:rFonts w:eastAsiaTheme="minorHAnsi"/>
          <w:sz w:val="22"/>
          <w:szCs w:val="22"/>
          <w:lang w:val="sr-Latn-ME"/>
        </w:rPr>
        <w:t>rvenil</w:t>
      </w:r>
      <w:r w:rsidR="00FF430E" w:rsidRPr="00D264F7">
        <w:rPr>
          <w:rFonts w:eastAsiaTheme="minorHAnsi"/>
          <w:sz w:val="22"/>
          <w:szCs w:val="22"/>
          <w:lang w:val="sr-Latn-ME"/>
        </w:rPr>
        <w:t>a</w:t>
      </w:r>
      <w:r w:rsidRPr="00D264F7">
        <w:rPr>
          <w:rFonts w:eastAsiaTheme="minorHAnsi"/>
          <w:sz w:val="22"/>
          <w:szCs w:val="22"/>
          <w:lang w:val="sr-Latn-ME"/>
        </w:rPr>
        <w:t xml:space="preserve"> je obično opisan</w:t>
      </w:r>
      <w:r w:rsidR="00FF430E" w:rsidRPr="00D264F7">
        <w:rPr>
          <w:rFonts w:eastAsiaTheme="minorHAnsi"/>
          <w:sz w:val="22"/>
          <w:szCs w:val="22"/>
          <w:lang w:val="sr-Latn-ME"/>
        </w:rPr>
        <w:t>a</w:t>
      </w:r>
      <w:r w:rsidRPr="00D264F7">
        <w:rPr>
          <w:rFonts w:eastAsiaTheme="minorHAnsi"/>
          <w:sz w:val="22"/>
          <w:szCs w:val="22"/>
          <w:lang w:val="sr-Latn-ME"/>
        </w:rPr>
        <w:t xml:space="preserve"> kao </w:t>
      </w:r>
      <w:r w:rsidR="00FF430E" w:rsidRPr="00D264F7">
        <w:rPr>
          <w:rFonts w:eastAsiaTheme="minorHAnsi"/>
          <w:sz w:val="22"/>
          <w:szCs w:val="22"/>
          <w:lang w:val="sr-Latn-ME"/>
        </w:rPr>
        <w:t xml:space="preserve">navala </w:t>
      </w:r>
      <w:r w:rsidRPr="00D264F7">
        <w:rPr>
          <w:rFonts w:eastAsiaTheme="minorHAnsi"/>
          <w:sz w:val="22"/>
          <w:szCs w:val="22"/>
          <w:lang w:val="sr-Latn-ME"/>
        </w:rPr>
        <w:t>crvenil</w:t>
      </w:r>
      <w:r w:rsidR="00FF430E" w:rsidRPr="00D264F7">
        <w:rPr>
          <w:rFonts w:eastAsiaTheme="minorHAnsi"/>
          <w:sz w:val="22"/>
          <w:szCs w:val="22"/>
          <w:lang w:val="sr-Latn-ME"/>
        </w:rPr>
        <w:t>a</w:t>
      </w:r>
      <w:r w:rsidRPr="00D264F7">
        <w:rPr>
          <w:rFonts w:eastAsiaTheme="minorHAnsi"/>
          <w:sz w:val="22"/>
          <w:szCs w:val="22"/>
          <w:lang w:val="sr-Latn-ME"/>
        </w:rPr>
        <w:t xml:space="preserve"> ili navala vrućine, ali može uključiti i druge promjene (npr. toplinu, crvenilo, svrab i osjećaj žarenja). Pojav</w:t>
      </w:r>
      <w:r w:rsidR="00D56601" w:rsidRPr="00D264F7">
        <w:rPr>
          <w:rFonts w:eastAsiaTheme="minorHAnsi"/>
          <w:sz w:val="22"/>
          <w:szCs w:val="22"/>
          <w:lang w:val="sr-Latn-ME"/>
        </w:rPr>
        <w:t xml:space="preserve">e navale crvenila </w:t>
      </w:r>
      <w:r w:rsidRPr="00D264F7">
        <w:rPr>
          <w:rFonts w:eastAsiaTheme="minorHAnsi"/>
          <w:sz w:val="22"/>
          <w:szCs w:val="22"/>
          <w:lang w:val="sr-Latn-ME"/>
        </w:rPr>
        <w:t xml:space="preserve">uglavnom se jave rano u toku liječenja (prvenstveno u prvom mjesecu). Kod pacijenata kod kojih se javi </w:t>
      </w:r>
      <w:r w:rsidR="00D56601" w:rsidRPr="00D264F7">
        <w:rPr>
          <w:rFonts w:eastAsiaTheme="minorHAnsi"/>
          <w:sz w:val="22"/>
          <w:szCs w:val="22"/>
          <w:lang w:val="sr-Latn-ME"/>
        </w:rPr>
        <w:t xml:space="preserve">navala </w:t>
      </w:r>
      <w:r w:rsidRPr="00D264F7">
        <w:rPr>
          <w:rFonts w:eastAsiaTheme="minorHAnsi"/>
          <w:sz w:val="22"/>
          <w:szCs w:val="22"/>
          <w:lang w:val="sr-Latn-ME"/>
        </w:rPr>
        <w:t>crvenil</w:t>
      </w:r>
      <w:r w:rsidR="00D56601" w:rsidRPr="00D264F7">
        <w:rPr>
          <w:rFonts w:eastAsiaTheme="minorHAnsi"/>
          <w:sz w:val="22"/>
          <w:szCs w:val="22"/>
          <w:lang w:val="sr-Latn-ME"/>
        </w:rPr>
        <w:t>a</w:t>
      </w:r>
      <w:r w:rsidRPr="00D264F7">
        <w:rPr>
          <w:rFonts w:eastAsiaTheme="minorHAnsi"/>
          <w:sz w:val="22"/>
          <w:szCs w:val="22"/>
          <w:lang w:val="sr-Latn-ME"/>
        </w:rPr>
        <w:t xml:space="preserve">, to se može isprekidano ponavljati tokom liječenja lijekom Tecfidera. Kod većine takvih pacijenata, pojave </w:t>
      </w:r>
      <w:r w:rsidR="00D56601" w:rsidRPr="00D264F7">
        <w:rPr>
          <w:rFonts w:eastAsiaTheme="minorHAnsi"/>
          <w:sz w:val="22"/>
          <w:szCs w:val="22"/>
          <w:lang w:val="sr-Latn-ME"/>
        </w:rPr>
        <w:t xml:space="preserve">navale </w:t>
      </w:r>
      <w:r w:rsidRPr="00D264F7">
        <w:rPr>
          <w:rFonts w:eastAsiaTheme="minorHAnsi"/>
          <w:sz w:val="22"/>
          <w:szCs w:val="22"/>
          <w:lang w:val="sr-Latn-ME"/>
        </w:rPr>
        <w:t xml:space="preserve">crvenila su bile blage ili umjerene. Ukupno 3% pacijenata liječenih lijekom Tecfidera prekinulo je liječenje zbog </w:t>
      </w:r>
      <w:r w:rsidR="00D56601" w:rsidRPr="00D264F7">
        <w:rPr>
          <w:rFonts w:eastAsiaTheme="minorHAnsi"/>
          <w:sz w:val="22"/>
          <w:szCs w:val="22"/>
          <w:lang w:val="sr-Latn-ME"/>
        </w:rPr>
        <w:t xml:space="preserve">navale </w:t>
      </w:r>
      <w:r w:rsidRPr="00D264F7">
        <w:rPr>
          <w:rFonts w:eastAsiaTheme="minorHAnsi"/>
          <w:sz w:val="22"/>
          <w:szCs w:val="22"/>
          <w:lang w:val="sr-Latn-ME"/>
        </w:rPr>
        <w:t>crvenila. Učestalost ozbiljn</w:t>
      </w:r>
      <w:r w:rsidR="00D56601" w:rsidRPr="00D264F7">
        <w:rPr>
          <w:rFonts w:eastAsiaTheme="minorHAnsi"/>
          <w:sz w:val="22"/>
          <w:szCs w:val="22"/>
          <w:lang w:val="sr-Latn-ME"/>
        </w:rPr>
        <w:t>e</w:t>
      </w:r>
      <w:r w:rsidRPr="00D264F7">
        <w:rPr>
          <w:rFonts w:eastAsiaTheme="minorHAnsi"/>
          <w:sz w:val="22"/>
          <w:szCs w:val="22"/>
          <w:lang w:val="sr-Latn-ME"/>
        </w:rPr>
        <w:t xml:space="preserve"> </w:t>
      </w:r>
      <w:r w:rsidR="00D56601" w:rsidRPr="00D264F7">
        <w:rPr>
          <w:rFonts w:eastAsiaTheme="minorHAnsi"/>
          <w:sz w:val="22"/>
          <w:szCs w:val="22"/>
          <w:lang w:val="sr-Latn-ME"/>
        </w:rPr>
        <w:t xml:space="preserve">navale </w:t>
      </w:r>
      <w:r w:rsidRPr="00D264F7">
        <w:rPr>
          <w:rFonts w:eastAsiaTheme="minorHAnsi"/>
          <w:sz w:val="22"/>
          <w:szCs w:val="22"/>
          <w:lang w:val="sr-Latn-ME"/>
        </w:rPr>
        <w:t>crvenila, koj</w:t>
      </w:r>
      <w:r w:rsidR="00D56601" w:rsidRPr="00D264F7">
        <w:rPr>
          <w:rFonts w:eastAsiaTheme="minorHAnsi"/>
          <w:sz w:val="22"/>
          <w:szCs w:val="22"/>
          <w:lang w:val="sr-Latn-ME"/>
        </w:rPr>
        <w:t>a</w:t>
      </w:r>
      <w:r w:rsidRPr="00D264F7">
        <w:rPr>
          <w:rFonts w:eastAsiaTheme="minorHAnsi"/>
          <w:sz w:val="22"/>
          <w:szCs w:val="22"/>
          <w:lang w:val="sr-Latn-ME"/>
        </w:rPr>
        <w:t xml:space="preserve"> se može okarakterisati kao generalizovani eritem, osip i/ili pruritus, primijećena je kod manje od 1% pacijenata liječenih lijekom Tecfidera (vidjeti djelove 4.2, 4.4 i 4.5). </w:t>
      </w:r>
    </w:p>
    <w:p w14:paraId="2EA82F45" w14:textId="77777777" w:rsidR="00BD782B" w:rsidRPr="00D264F7" w:rsidRDefault="00BD782B">
      <w:pPr>
        <w:spacing w:line="259" w:lineRule="auto"/>
        <w:jc w:val="both"/>
        <w:rPr>
          <w:rFonts w:eastAsiaTheme="minorHAnsi"/>
          <w:sz w:val="22"/>
          <w:szCs w:val="22"/>
          <w:lang w:val="sr-Latn-ME"/>
        </w:rPr>
      </w:pPr>
    </w:p>
    <w:p w14:paraId="052A2CD5" w14:textId="77777777" w:rsidR="00BD782B" w:rsidRPr="00D264F7" w:rsidRDefault="00BD782B">
      <w:pPr>
        <w:spacing w:line="259" w:lineRule="auto"/>
        <w:jc w:val="both"/>
        <w:rPr>
          <w:rFonts w:eastAsiaTheme="minorHAnsi"/>
          <w:sz w:val="22"/>
          <w:szCs w:val="22"/>
          <w:lang w:val="sr-Latn-ME"/>
        </w:rPr>
      </w:pPr>
      <w:r w:rsidRPr="00D264F7">
        <w:rPr>
          <w:rFonts w:eastAsiaTheme="minorHAnsi"/>
          <w:i/>
          <w:sz w:val="22"/>
          <w:szCs w:val="22"/>
          <w:lang w:val="sr-Latn-ME"/>
        </w:rPr>
        <w:t>Gastrointestinalne smetnje</w:t>
      </w:r>
    </w:p>
    <w:p w14:paraId="3E0694C9" w14:textId="77777777" w:rsidR="00BD782B" w:rsidRPr="00D264F7" w:rsidRDefault="00BD782B">
      <w:pPr>
        <w:spacing w:line="259" w:lineRule="auto"/>
        <w:jc w:val="both"/>
        <w:rPr>
          <w:rFonts w:eastAsiaTheme="minorHAnsi"/>
          <w:sz w:val="22"/>
          <w:szCs w:val="22"/>
          <w:lang w:val="sr-Latn-ME"/>
        </w:rPr>
      </w:pPr>
    </w:p>
    <w:p w14:paraId="1D86BFB5" w14:textId="0C7A7551"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 xml:space="preserve">Učestalost gastrointestinalnih smetnji (npr. dijareja [14% u odnosu na 10%], mučnina [12% u odnosu na 9%], bol u gornjem dijelu stomaka [10% u odnosu na 6%], bol u stomaku [9% u odnosu na 4%], povraćanje [8% u odnosu na 5%] i dispepsija [5% u odnosu na 3%]) bila je povećana kod pacijenata liječenih lijekom Tecfidera u odnosu na placebo. Gastrointestinalne smetnje imaju tendenciju pojave rano tokom liječenja (prvenstveno u prvom mjesecu) i kod pacijenata s gastrointestinalnim smetnjama, te su se smetnje ponekad isprekidano ponavljale i tokom daljeg liječenja lijekom Tecfidera. Kod većine pacijenata kod kojih su se javile gastrointestinalne smetnje, one su bile blage ili umjerene. Četiri posto (4%) pacijenata liječenih lijekom Tecfidera prekinulo je liječenje zbog gastrointestinalnih smetnji. </w:t>
      </w:r>
      <w:r w:rsidR="00D56601" w:rsidRPr="00D264F7">
        <w:rPr>
          <w:rFonts w:eastAsiaTheme="minorHAnsi"/>
          <w:sz w:val="22"/>
          <w:szCs w:val="22"/>
          <w:lang w:val="sr-Latn-ME"/>
        </w:rPr>
        <w:t>O</w:t>
      </w:r>
      <w:r w:rsidRPr="00D264F7">
        <w:rPr>
          <w:rFonts w:eastAsiaTheme="minorHAnsi"/>
          <w:sz w:val="22"/>
          <w:szCs w:val="22"/>
          <w:lang w:val="sr-Latn-ME"/>
        </w:rPr>
        <w:t>zbiljn</w:t>
      </w:r>
      <w:r w:rsidR="00D56601" w:rsidRPr="00D264F7">
        <w:rPr>
          <w:rFonts w:eastAsiaTheme="minorHAnsi"/>
          <w:sz w:val="22"/>
          <w:szCs w:val="22"/>
          <w:lang w:val="sr-Latn-ME"/>
        </w:rPr>
        <w:t>e</w:t>
      </w:r>
      <w:r w:rsidRPr="00D264F7">
        <w:rPr>
          <w:rFonts w:eastAsiaTheme="minorHAnsi"/>
          <w:sz w:val="22"/>
          <w:szCs w:val="22"/>
          <w:lang w:val="sr-Latn-ME"/>
        </w:rPr>
        <w:t xml:space="preserve"> gastrointestinaln</w:t>
      </w:r>
      <w:r w:rsidR="00D56601" w:rsidRPr="00D264F7">
        <w:rPr>
          <w:rFonts w:eastAsiaTheme="minorHAnsi"/>
          <w:sz w:val="22"/>
          <w:szCs w:val="22"/>
          <w:lang w:val="sr-Latn-ME"/>
        </w:rPr>
        <w:t>e</w:t>
      </w:r>
      <w:r w:rsidRPr="00D264F7">
        <w:rPr>
          <w:rFonts w:eastAsiaTheme="minorHAnsi"/>
          <w:sz w:val="22"/>
          <w:szCs w:val="22"/>
          <w:lang w:val="sr-Latn-ME"/>
        </w:rPr>
        <w:t xml:space="preserve"> smetnj</w:t>
      </w:r>
      <w:r w:rsidR="00D56601" w:rsidRPr="00D264F7">
        <w:rPr>
          <w:rFonts w:eastAsiaTheme="minorHAnsi"/>
          <w:sz w:val="22"/>
          <w:szCs w:val="22"/>
          <w:lang w:val="sr-Latn-ME"/>
        </w:rPr>
        <w:t>e</w:t>
      </w:r>
      <w:r w:rsidRPr="00D264F7">
        <w:rPr>
          <w:rFonts w:eastAsiaTheme="minorHAnsi"/>
          <w:sz w:val="22"/>
          <w:szCs w:val="22"/>
          <w:lang w:val="sr-Latn-ME"/>
        </w:rPr>
        <w:t>, uključujući gastroenteritis i gastritis, primijećen</w:t>
      </w:r>
      <w:r w:rsidR="00D56601" w:rsidRPr="00D264F7">
        <w:rPr>
          <w:rFonts w:eastAsiaTheme="minorHAnsi"/>
          <w:sz w:val="22"/>
          <w:szCs w:val="22"/>
          <w:lang w:val="sr-Latn-ME"/>
        </w:rPr>
        <w:t>e</w:t>
      </w:r>
      <w:r w:rsidRPr="00D264F7">
        <w:rPr>
          <w:rFonts w:eastAsiaTheme="minorHAnsi"/>
          <w:sz w:val="22"/>
          <w:szCs w:val="22"/>
          <w:lang w:val="sr-Latn-ME"/>
        </w:rPr>
        <w:t xml:space="preserve"> </w:t>
      </w:r>
      <w:r w:rsidR="00D56601" w:rsidRPr="00D264F7">
        <w:rPr>
          <w:rFonts w:eastAsiaTheme="minorHAnsi"/>
          <w:sz w:val="22"/>
          <w:szCs w:val="22"/>
          <w:lang w:val="sr-Latn-ME"/>
        </w:rPr>
        <w:t xml:space="preserve">su </w:t>
      </w:r>
      <w:r w:rsidRPr="00D264F7">
        <w:rPr>
          <w:rFonts w:eastAsiaTheme="minorHAnsi"/>
          <w:sz w:val="22"/>
          <w:szCs w:val="22"/>
          <w:lang w:val="sr-Latn-ME"/>
        </w:rPr>
        <w:t>kod 1% pacijenata liječenih lijekom Tecfidera (vidjeti dio 4.2).</w:t>
      </w:r>
    </w:p>
    <w:p w14:paraId="3E7AFE3A" w14:textId="77777777" w:rsidR="0080276E" w:rsidRPr="00D264F7" w:rsidRDefault="0080276E">
      <w:pPr>
        <w:spacing w:line="259" w:lineRule="auto"/>
        <w:jc w:val="both"/>
        <w:rPr>
          <w:rFonts w:eastAsiaTheme="minorHAnsi"/>
          <w:sz w:val="22"/>
          <w:szCs w:val="22"/>
          <w:lang w:val="sr-Latn-ME"/>
        </w:rPr>
      </w:pPr>
    </w:p>
    <w:p w14:paraId="10A4F975" w14:textId="77777777" w:rsidR="00BD782B" w:rsidRPr="00D264F7" w:rsidRDefault="00BD782B">
      <w:pPr>
        <w:spacing w:line="259" w:lineRule="auto"/>
        <w:jc w:val="both"/>
        <w:rPr>
          <w:rFonts w:eastAsiaTheme="minorHAnsi"/>
          <w:sz w:val="22"/>
          <w:szCs w:val="22"/>
          <w:lang w:val="sr-Latn-ME"/>
        </w:rPr>
      </w:pPr>
      <w:r w:rsidRPr="00D264F7">
        <w:rPr>
          <w:rFonts w:eastAsiaTheme="minorHAnsi"/>
          <w:i/>
          <w:sz w:val="22"/>
          <w:szCs w:val="22"/>
          <w:lang w:val="sr-Latn-ME"/>
        </w:rPr>
        <w:t xml:space="preserve">Neželjena dejstva na nivou jetre </w:t>
      </w:r>
    </w:p>
    <w:p w14:paraId="2402B39B" w14:textId="77777777" w:rsidR="00BD782B" w:rsidRPr="00D264F7" w:rsidRDefault="00BD782B">
      <w:pPr>
        <w:spacing w:line="259" w:lineRule="auto"/>
        <w:jc w:val="both"/>
        <w:rPr>
          <w:rFonts w:eastAsiaTheme="minorHAnsi"/>
          <w:sz w:val="22"/>
          <w:szCs w:val="22"/>
          <w:lang w:val="sr-Latn-ME"/>
        </w:rPr>
      </w:pPr>
    </w:p>
    <w:p w14:paraId="16B0FA55" w14:textId="2251C0A3"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Primijećeno je povećanje nivoa jetrenih transaminaza u placebo kontrolisanim ispitivanjima. Većina pacijenata s tim povećanjima imala je nivoe jetrenih transaminaza &lt;3 puta GGN. Povećana učestalost povećanja nivoa jetrenih transaminaza kod pacijenata liječenih lijekom Tecfidera u odnosu na placebo primijećena je uglavnom tokom prvih 6 mjeseci liječenja. Povećanje nivoa alanin aminotransferaze i aspartat aminotransferaze ≥3 puta od GGN, primijećeno je kod 5%</w:t>
      </w:r>
      <w:r w:rsidRPr="00D264F7">
        <w:rPr>
          <w:rFonts w:eastAsiaTheme="minorHAnsi"/>
          <w:noProof/>
          <w:sz w:val="22"/>
          <w:szCs w:val="22"/>
          <w:lang w:val="sr-Latn-ME"/>
        </w:rPr>
        <w:t> </w:t>
      </w:r>
      <w:r w:rsidRPr="00D264F7">
        <w:rPr>
          <w:rFonts w:eastAsiaTheme="minorHAnsi"/>
          <w:sz w:val="22"/>
          <w:szCs w:val="22"/>
          <w:lang w:val="sr-Latn-ME"/>
        </w:rPr>
        <w:t>odnosno 2%</w:t>
      </w:r>
      <w:r w:rsidRPr="00D264F7">
        <w:rPr>
          <w:rFonts w:eastAsiaTheme="minorHAnsi"/>
          <w:noProof/>
          <w:sz w:val="22"/>
          <w:szCs w:val="22"/>
          <w:lang w:val="sr-Latn-ME"/>
        </w:rPr>
        <w:t> </w:t>
      </w:r>
      <w:r w:rsidRPr="00D264F7">
        <w:rPr>
          <w:rFonts w:eastAsiaTheme="minorHAnsi"/>
          <w:sz w:val="22"/>
          <w:szCs w:val="22"/>
          <w:lang w:val="sr-Latn-ME"/>
        </w:rPr>
        <w:t>pacijenata koji su dobivali placebo te 6%</w:t>
      </w:r>
      <w:r w:rsidRPr="00D264F7">
        <w:rPr>
          <w:rFonts w:eastAsiaTheme="minorHAnsi"/>
          <w:noProof/>
          <w:sz w:val="22"/>
          <w:szCs w:val="22"/>
          <w:lang w:val="sr-Latn-ME"/>
        </w:rPr>
        <w:t> </w:t>
      </w:r>
      <w:r w:rsidRPr="00D264F7">
        <w:rPr>
          <w:rFonts w:eastAsiaTheme="minorHAnsi"/>
          <w:sz w:val="22"/>
          <w:szCs w:val="22"/>
          <w:lang w:val="sr-Latn-ME"/>
        </w:rPr>
        <w:t>i 2%</w:t>
      </w:r>
      <w:r w:rsidRPr="00D264F7">
        <w:rPr>
          <w:rFonts w:eastAsiaTheme="minorHAnsi"/>
          <w:noProof/>
          <w:sz w:val="22"/>
          <w:szCs w:val="22"/>
          <w:lang w:val="sr-Latn-ME"/>
        </w:rPr>
        <w:t> </w:t>
      </w:r>
      <w:r w:rsidRPr="00D264F7">
        <w:rPr>
          <w:rFonts w:eastAsiaTheme="minorHAnsi"/>
          <w:sz w:val="22"/>
          <w:szCs w:val="22"/>
          <w:lang w:val="sr-Latn-ME"/>
        </w:rPr>
        <w:t>pacijenata liječenih lijekom Tecfidera. Prekid liječenja zbog povećanih nivoa jetrenih transaminaza bio je &lt;1%</w:t>
      </w:r>
      <w:r w:rsidRPr="00D264F7">
        <w:rPr>
          <w:rFonts w:eastAsiaTheme="minorHAnsi"/>
          <w:noProof/>
          <w:sz w:val="22"/>
          <w:szCs w:val="22"/>
          <w:lang w:val="sr-Latn-ME"/>
        </w:rPr>
        <w:t> </w:t>
      </w:r>
      <w:r w:rsidRPr="00D264F7">
        <w:rPr>
          <w:rFonts w:eastAsiaTheme="minorHAnsi"/>
          <w:sz w:val="22"/>
          <w:szCs w:val="22"/>
          <w:lang w:val="sr-Latn-ME"/>
        </w:rPr>
        <w:t>i sličan kod pacijenata liječenih lijekom Tecfidera ili placebom. Nije bilo povećanja nivoa transaminaza ≥3 puta od GGN s istovremenim povećanjem nivoa ukupnog bilirubina &gt;2 puta od GGN.</w:t>
      </w:r>
    </w:p>
    <w:p w14:paraId="1E804B20" w14:textId="77777777" w:rsidR="00BD782B" w:rsidRPr="00D264F7" w:rsidRDefault="00BD782B">
      <w:pPr>
        <w:spacing w:line="259" w:lineRule="auto"/>
        <w:jc w:val="both"/>
        <w:rPr>
          <w:rFonts w:eastAsiaTheme="minorHAnsi"/>
          <w:sz w:val="22"/>
          <w:szCs w:val="22"/>
          <w:lang w:val="sr-Latn-ME"/>
        </w:rPr>
      </w:pPr>
    </w:p>
    <w:p w14:paraId="3ACEBF9A" w14:textId="77777777"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Povećanje nivoa jetrenih enzima i slučajevi oštećenja jetre usled primjene lijeka (povećanja nivoa transaminaza ≥3 puta GGN uz istovremena povećanja nivoa ukupnog bilirubina &gt;2 puta GGN) prijavljeni su kod primjene lijeka Tecfidera nakon stavljanja lijeka u promet. Ova neželjena dejstva su se povlačila sa prestankom liječenja.</w:t>
      </w:r>
    </w:p>
    <w:p w14:paraId="28993A88" w14:textId="77777777" w:rsidR="00BD782B" w:rsidRPr="00D264F7" w:rsidRDefault="00BD782B">
      <w:pPr>
        <w:spacing w:line="259" w:lineRule="auto"/>
        <w:jc w:val="both"/>
        <w:rPr>
          <w:rFonts w:eastAsiaTheme="minorHAnsi"/>
          <w:sz w:val="22"/>
          <w:szCs w:val="22"/>
          <w:lang w:val="sr-Latn-ME"/>
        </w:rPr>
      </w:pPr>
    </w:p>
    <w:p w14:paraId="1F3F3FEF" w14:textId="77777777" w:rsidR="00C01093" w:rsidRDefault="00C01093">
      <w:pPr>
        <w:spacing w:line="259" w:lineRule="auto"/>
        <w:jc w:val="both"/>
        <w:rPr>
          <w:rFonts w:eastAsiaTheme="minorHAnsi"/>
          <w:i/>
          <w:sz w:val="22"/>
          <w:szCs w:val="22"/>
          <w:lang w:val="sr-Latn-ME"/>
        </w:rPr>
      </w:pPr>
    </w:p>
    <w:p w14:paraId="34A9EDD7" w14:textId="77777777" w:rsidR="00C01093" w:rsidRDefault="00C01093">
      <w:pPr>
        <w:spacing w:line="259" w:lineRule="auto"/>
        <w:jc w:val="both"/>
        <w:rPr>
          <w:rFonts w:eastAsiaTheme="minorHAnsi"/>
          <w:i/>
          <w:sz w:val="22"/>
          <w:szCs w:val="22"/>
          <w:lang w:val="sr-Latn-ME"/>
        </w:rPr>
      </w:pPr>
    </w:p>
    <w:p w14:paraId="1967471B" w14:textId="4860625A" w:rsidR="00BD782B" w:rsidRPr="00D264F7" w:rsidRDefault="00BD782B">
      <w:pPr>
        <w:spacing w:line="259" w:lineRule="auto"/>
        <w:jc w:val="both"/>
        <w:rPr>
          <w:rFonts w:eastAsiaTheme="minorHAnsi"/>
          <w:sz w:val="22"/>
          <w:szCs w:val="22"/>
          <w:lang w:val="sr-Latn-ME"/>
        </w:rPr>
      </w:pPr>
      <w:r w:rsidRPr="00D264F7">
        <w:rPr>
          <w:rFonts w:eastAsiaTheme="minorHAnsi"/>
          <w:i/>
          <w:sz w:val="22"/>
          <w:szCs w:val="22"/>
          <w:lang w:val="sr-Latn-ME"/>
        </w:rPr>
        <w:lastRenderedPageBreak/>
        <w:t>Limfopenija</w:t>
      </w:r>
    </w:p>
    <w:p w14:paraId="2A1F862A" w14:textId="77777777" w:rsidR="00BD782B" w:rsidRPr="00D264F7" w:rsidRDefault="00BD782B">
      <w:pPr>
        <w:spacing w:line="259" w:lineRule="auto"/>
        <w:jc w:val="both"/>
        <w:rPr>
          <w:rFonts w:eastAsiaTheme="minorHAnsi"/>
          <w:sz w:val="22"/>
          <w:szCs w:val="22"/>
          <w:lang w:val="sr-Latn-ME"/>
        </w:rPr>
      </w:pPr>
    </w:p>
    <w:p w14:paraId="166ACB4F" w14:textId="1FD690C6"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Većina pacijenata (&gt;98%) u placebo kontrolisanim ispitivanjima imala je normal</w:t>
      </w:r>
      <w:r w:rsidR="00CE67DC">
        <w:rPr>
          <w:rFonts w:eastAsiaTheme="minorHAnsi"/>
          <w:sz w:val="22"/>
          <w:szCs w:val="22"/>
          <w:lang w:val="sr-Latn-ME"/>
        </w:rPr>
        <w:t>a</w:t>
      </w:r>
      <w:r w:rsidRPr="00D264F7">
        <w:rPr>
          <w:rFonts w:eastAsiaTheme="minorHAnsi"/>
          <w:sz w:val="22"/>
          <w:szCs w:val="22"/>
          <w:lang w:val="sr-Latn-ME"/>
        </w:rPr>
        <w:t xml:space="preserve">n </w:t>
      </w:r>
      <w:r w:rsidR="00CE67DC">
        <w:rPr>
          <w:rFonts w:eastAsiaTheme="minorHAnsi"/>
          <w:sz w:val="22"/>
          <w:szCs w:val="22"/>
          <w:lang w:val="sr-Latn-ME"/>
        </w:rPr>
        <w:t>broj</w:t>
      </w:r>
      <w:r w:rsidRPr="00D264F7">
        <w:rPr>
          <w:rFonts w:eastAsiaTheme="minorHAnsi"/>
          <w:sz w:val="22"/>
          <w:szCs w:val="22"/>
          <w:lang w:val="sr-Latn-ME"/>
        </w:rPr>
        <w:t xml:space="preserve"> limfocita prije početka liječenja. Nakon liječenja lijekom Tecfidera, srednja vrijednost broja limfocita smanjivala se tokom prve godine, nakon čega je uslijedio plato. U prosjeku se broj limfocita smanjio otprilike za 30% od osnovne vrijednosti. Srednja vrijednost i medijana broja limfocita ostali su u granicama normale. Vrijednosti broja limfocita &lt;0,5</w:t>
      </w:r>
      <w:r w:rsidR="009B12C0">
        <w:rPr>
          <w:rFonts w:eastAsiaTheme="minorHAnsi"/>
          <w:sz w:val="22"/>
          <w:szCs w:val="22"/>
          <w:lang w:val="sr-Latn-ME"/>
        </w:rPr>
        <w:t xml:space="preserve"> </w:t>
      </w:r>
      <w:r w:rsidR="009B12C0" w:rsidRPr="009B12C0">
        <w:rPr>
          <w:rFonts w:eastAsiaTheme="minorHAnsi"/>
          <w:sz w:val="22"/>
          <w:szCs w:val="22"/>
          <w:lang w:val="sr-Latn-ME"/>
        </w:rPr>
        <w:t>×</w:t>
      </w:r>
      <w:r w:rsidR="009B12C0">
        <w:rPr>
          <w:rFonts w:eastAsiaTheme="minorHAnsi"/>
          <w:sz w:val="22"/>
          <w:szCs w:val="22"/>
          <w:lang w:val="sr-Latn-ME"/>
        </w:rPr>
        <w:t xml:space="preserve"> </w:t>
      </w:r>
      <w:r w:rsidRPr="00D264F7">
        <w:rPr>
          <w:rFonts w:eastAsiaTheme="minorHAnsi"/>
          <w:sz w:val="22"/>
          <w:szCs w:val="22"/>
          <w:lang w:val="sr-Latn-ME"/>
        </w:rPr>
        <w:t>10</w:t>
      </w:r>
      <w:r w:rsidRPr="00D264F7">
        <w:rPr>
          <w:rFonts w:eastAsiaTheme="minorHAnsi"/>
          <w:sz w:val="22"/>
          <w:szCs w:val="22"/>
          <w:vertAlign w:val="superscript"/>
          <w:lang w:val="sr-Latn-ME"/>
        </w:rPr>
        <w:t>9</w:t>
      </w:r>
      <w:r w:rsidRPr="00D264F7">
        <w:rPr>
          <w:rFonts w:eastAsiaTheme="minorHAnsi"/>
          <w:sz w:val="22"/>
          <w:szCs w:val="22"/>
          <w:lang w:val="sr-Latn-ME"/>
        </w:rPr>
        <w:t>/L primijećene su kod &lt;1% pacijenata na placebu i kod 6% pacijenata liječenih lijekom Tecfidera. Broj limfocita &lt;0,2</w:t>
      </w:r>
      <w:r w:rsidR="009B12C0">
        <w:rPr>
          <w:rFonts w:eastAsiaTheme="minorHAnsi"/>
          <w:sz w:val="22"/>
          <w:szCs w:val="22"/>
          <w:lang w:val="sr-Latn-ME"/>
        </w:rPr>
        <w:t xml:space="preserve"> </w:t>
      </w:r>
      <w:r w:rsidR="009B12C0" w:rsidRPr="009B12C0">
        <w:rPr>
          <w:rFonts w:eastAsiaTheme="minorHAnsi"/>
          <w:sz w:val="22"/>
          <w:szCs w:val="22"/>
          <w:lang w:val="sr-Latn-ME"/>
        </w:rPr>
        <w:t>×</w:t>
      </w:r>
      <w:r w:rsidR="009B12C0">
        <w:rPr>
          <w:rFonts w:eastAsiaTheme="minorHAnsi"/>
          <w:sz w:val="22"/>
          <w:szCs w:val="22"/>
          <w:lang w:val="sr-Latn-ME"/>
        </w:rPr>
        <w:t xml:space="preserve"> </w:t>
      </w:r>
      <w:r w:rsidRPr="00D264F7">
        <w:rPr>
          <w:rFonts w:eastAsiaTheme="minorHAnsi"/>
          <w:sz w:val="22"/>
          <w:szCs w:val="22"/>
          <w:lang w:val="sr-Latn-ME"/>
        </w:rPr>
        <w:t>10</w:t>
      </w:r>
      <w:r w:rsidRPr="00D264F7">
        <w:rPr>
          <w:rFonts w:eastAsiaTheme="minorHAnsi"/>
          <w:sz w:val="22"/>
          <w:szCs w:val="22"/>
          <w:vertAlign w:val="superscript"/>
          <w:lang w:val="sr-Latn-ME"/>
        </w:rPr>
        <w:t>9</w:t>
      </w:r>
      <w:r w:rsidRPr="00D264F7">
        <w:rPr>
          <w:rFonts w:eastAsiaTheme="minorHAnsi"/>
          <w:sz w:val="22"/>
          <w:szCs w:val="22"/>
          <w:lang w:val="sr-Latn-ME"/>
        </w:rPr>
        <w:t xml:space="preserve">/L primijećen je kod jednog pacijenta liječenog lijekom Tecfidera i </w:t>
      </w:r>
      <w:r w:rsidR="00D56601" w:rsidRPr="00D264F7">
        <w:rPr>
          <w:rFonts w:eastAsiaTheme="minorHAnsi"/>
          <w:sz w:val="22"/>
          <w:szCs w:val="22"/>
          <w:lang w:val="sr-Latn-ME"/>
        </w:rPr>
        <w:t xml:space="preserve">kod </w:t>
      </w:r>
      <w:r w:rsidRPr="00D264F7">
        <w:rPr>
          <w:rFonts w:eastAsiaTheme="minorHAnsi"/>
          <w:sz w:val="22"/>
          <w:szCs w:val="22"/>
          <w:lang w:val="sr-Latn-ME"/>
        </w:rPr>
        <w:t>ni</w:t>
      </w:r>
      <w:r w:rsidR="00D56601" w:rsidRPr="00D264F7">
        <w:rPr>
          <w:rFonts w:eastAsiaTheme="minorHAnsi"/>
          <w:sz w:val="22"/>
          <w:szCs w:val="22"/>
          <w:lang w:val="sr-Latn-ME"/>
        </w:rPr>
        <w:t>ti</w:t>
      </w:r>
      <w:r w:rsidRPr="00D264F7">
        <w:rPr>
          <w:rFonts w:eastAsiaTheme="minorHAnsi"/>
          <w:sz w:val="22"/>
          <w:szCs w:val="22"/>
          <w:lang w:val="sr-Latn-ME"/>
        </w:rPr>
        <w:t xml:space="preserve"> jednog pacijenta na placebu. </w:t>
      </w:r>
    </w:p>
    <w:p w14:paraId="40361436" w14:textId="77777777" w:rsidR="00D56601" w:rsidRPr="00D264F7" w:rsidRDefault="00D56601">
      <w:pPr>
        <w:spacing w:line="259" w:lineRule="auto"/>
        <w:jc w:val="both"/>
        <w:rPr>
          <w:rFonts w:eastAsiaTheme="minorHAnsi"/>
          <w:sz w:val="22"/>
          <w:szCs w:val="22"/>
          <w:lang w:val="sr-Latn-ME"/>
        </w:rPr>
      </w:pPr>
    </w:p>
    <w:p w14:paraId="1A064535" w14:textId="5D7C4329"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 xml:space="preserve">U kliničkim studijama (kontrolisanim i nekontrolisanim), </w:t>
      </w:r>
      <w:r w:rsidR="00A624CD" w:rsidRPr="00D264F7">
        <w:rPr>
          <w:rFonts w:eastAsiaTheme="minorHAnsi"/>
          <w:sz w:val="22"/>
          <w:szCs w:val="22"/>
          <w:lang w:val="sr-Latn-ME"/>
        </w:rPr>
        <w:t>41% pacijenata l</w:t>
      </w:r>
      <w:r w:rsidR="007C307C" w:rsidRPr="00D264F7">
        <w:rPr>
          <w:rFonts w:eastAsiaTheme="minorHAnsi"/>
          <w:sz w:val="22"/>
          <w:szCs w:val="22"/>
          <w:lang w:val="sr-Latn-ME"/>
        </w:rPr>
        <w:t>ij</w:t>
      </w:r>
      <w:r w:rsidR="00A624CD" w:rsidRPr="00D264F7">
        <w:rPr>
          <w:rFonts w:eastAsiaTheme="minorHAnsi"/>
          <w:sz w:val="22"/>
          <w:szCs w:val="22"/>
          <w:lang w:val="sr-Latn-ME"/>
        </w:rPr>
        <w:t>ečenih l</w:t>
      </w:r>
      <w:r w:rsidR="007C307C" w:rsidRPr="00D264F7">
        <w:rPr>
          <w:rFonts w:eastAsiaTheme="minorHAnsi"/>
          <w:sz w:val="22"/>
          <w:szCs w:val="22"/>
          <w:lang w:val="sr-Latn-ME"/>
        </w:rPr>
        <w:t>ij</w:t>
      </w:r>
      <w:r w:rsidR="00A624CD" w:rsidRPr="00D264F7">
        <w:rPr>
          <w:rFonts w:eastAsiaTheme="minorHAnsi"/>
          <w:sz w:val="22"/>
          <w:szCs w:val="22"/>
          <w:lang w:val="sr-Latn-ME"/>
        </w:rPr>
        <w:t>ekom Tecfidera imalo je limfopeniju (definisanu u tim ispitivanjima kao &lt; 0,91 × 10</w:t>
      </w:r>
      <w:r w:rsidR="00A624CD" w:rsidRPr="00D264F7">
        <w:rPr>
          <w:rFonts w:eastAsiaTheme="minorHAnsi"/>
          <w:sz w:val="22"/>
          <w:szCs w:val="22"/>
          <w:vertAlign w:val="superscript"/>
          <w:lang w:val="sr-Latn-ME"/>
        </w:rPr>
        <w:t>9</w:t>
      </w:r>
      <w:r w:rsidR="00A624CD" w:rsidRPr="00D264F7">
        <w:rPr>
          <w:rFonts w:eastAsiaTheme="minorHAnsi"/>
          <w:sz w:val="22"/>
          <w:szCs w:val="22"/>
          <w:lang w:val="sr-Latn-ME"/>
        </w:rPr>
        <w:t>/L). Blaga limfopenija (broj ≥ 0,8 × 10</w:t>
      </w:r>
      <w:r w:rsidR="00A624CD" w:rsidRPr="00D264F7">
        <w:rPr>
          <w:rFonts w:eastAsiaTheme="minorHAnsi"/>
          <w:sz w:val="22"/>
          <w:szCs w:val="22"/>
          <w:vertAlign w:val="superscript"/>
          <w:lang w:val="sr-Latn-ME"/>
        </w:rPr>
        <w:t>9</w:t>
      </w:r>
      <w:r w:rsidR="00A624CD" w:rsidRPr="00D264F7">
        <w:rPr>
          <w:rFonts w:eastAsiaTheme="minorHAnsi"/>
          <w:sz w:val="22"/>
          <w:szCs w:val="22"/>
          <w:lang w:val="sr-Latn-ME"/>
        </w:rPr>
        <w:t xml:space="preserve">/L </w:t>
      </w:r>
      <w:r w:rsidR="00275DED" w:rsidRPr="00D264F7">
        <w:rPr>
          <w:rFonts w:eastAsiaTheme="minorHAnsi"/>
          <w:sz w:val="22"/>
          <w:szCs w:val="22"/>
          <w:lang w:val="sr-Latn-ME"/>
        </w:rPr>
        <w:t xml:space="preserve">do </w:t>
      </w:r>
      <w:r w:rsidR="00A624CD" w:rsidRPr="00D264F7">
        <w:rPr>
          <w:rFonts w:eastAsiaTheme="minorHAnsi"/>
          <w:sz w:val="22"/>
          <w:szCs w:val="22"/>
          <w:lang w:val="sr-Latn-ME"/>
        </w:rPr>
        <w:t>&lt; 0,91 × 10</w:t>
      </w:r>
      <w:r w:rsidR="00A624CD" w:rsidRPr="00D264F7">
        <w:rPr>
          <w:rFonts w:eastAsiaTheme="minorHAnsi"/>
          <w:sz w:val="22"/>
          <w:szCs w:val="22"/>
          <w:vertAlign w:val="superscript"/>
          <w:lang w:val="sr-Latn-ME"/>
        </w:rPr>
        <w:t>9</w:t>
      </w:r>
      <w:r w:rsidR="00A624CD" w:rsidRPr="00D264F7">
        <w:rPr>
          <w:rFonts w:eastAsiaTheme="minorHAnsi"/>
          <w:sz w:val="22"/>
          <w:szCs w:val="22"/>
          <w:lang w:val="sr-Latn-ME"/>
        </w:rPr>
        <w:t>/L) prim</w:t>
      </w:r>
      <w:r w:rsidR="007C307C" w:rsidRPr="00D264F7">
        <w:rPr>
          <w:rFonts w:eastAsiaTheme="minorHAnsi"/>
          <w:sz w:val="22"/>
          <w:szCs w:val="22"/>
          <w:lang w:val="sr-Latn-ME"/>
        </w:rPr>
        <w:t>ij</w:t>
      </w:r>
      <w:r w:rsidR="00A624CD" w:rsidRPr="00D264F7">
        <w:rPr>
          <w:rFonts w:eastAsiaTheme="minorHAnsi"/>
          <w:sz w:val="22"/>
          <w:szCs w:val="22"/>
          <w:lang w:val="sr-Latn-ME"/>
        </w:rPr>
        <w:t>ećena je kod 28% pacijenata; um</w:t>
      </w:r>
      <w:r w:rsidR="007C307C" w:rsidRPr="00D264F7">
        <w:rPr>
          <w:rFonts w:eastAsiaTheme="minorHAnsi"/>
          <w:sz w:val="22"/>
          <w:szCs w:val="22"/>
          <w:lang w:val="sr-Latn-ME"/>
        </w:rPr>
        <w:t>j</w:t>
      </w:r>
      <w:r w:rsidR="00A624CD" w:rsidRPr="00D264F7">
        <w:rPr>
          <w:rFonts w:eastAsiaTheme="minorHAnsi"/>
          <w:sz w:val="22"/>
          <w:szCs w:val="22"/>
          <w:lang w:val="sr-Latn-ME"/>
        </w:rPr>
        <w:t>erena limfopenija (</w:t>
      </w:r>
      <w:r w:rsidRPr="00D264F7">
        <w:rPr>
          <w:rFonts w:eastAsiaTheme="minorHAnsi"/>
          <w:sz w:val="22"/>
          <w:szCs w:val="22"/>
          <w:lang w:val="sr-Latn-ME"/>
        </w:rPr>
        <w:t>broj ≥0,5</w:t>
      </w:r>
      <w:r w:rsidR="009B12C0">
        <w:rPr>
          <w:rFonts w:eastAsiaTheme="minorHAnsi"/>
          <w:sz w:val="22"/>
          <w:szCs w:val="22"/>
          <w:lang w:val="sr-Latn-ME"/>
        </w:rPr>
        <w:t xml:space="preserve"> </w:t>
      </w:r>
      <w:r w:rsidR="009B12C0" w:rsidRPr="009B12C0">
        <w:rPr>
          <w:rFonts w:eastAsiaTheme="minorHAnsi"/>
          <w:sz w:val="22"/>
          <w:szCs w:val="22"/>
          <w:lang w:val="sr-Latn-ME"/>
        </w:rPr>
        <w:t>×</w:t>
      </w:r>
      <w:r w:rsidR="009B12C0">
        <w:rPr>
          <w:rFonts w:eastAsiaTheme="minorHAnsi"/>
          <w:sz w:val="22"/>
          <w:szCs w:val="22"/>
          <w:lang w:val="sr-Latn-ME"/>
        </w:rPr>
        <w:t xml:space="preserve"> </w:t>
      </w:r>
      <w:r w:rsidRPr="00D264F7">
        <w:rPr>
          <w:rFonts w:eastAsiaTheme="minorHAnsi"/>
          <w:sz w:val="22"/>
          <w:szCs w:val="22"/>
          <w:lang w:val="sr-Latn-ME"/>
        </w:rPr>
        <w:t>10</w:t>
      </w:r>
      <w:r w:rsidRPr="00D264F7">
        <w:rPr>
          <w:rFonts w:eastAsiaTheme="minorHAnsi"/>
          <w:sz w:val="22"/>
          <w:szCs w:val="22"/>
          <w:vertAlign w:val="superscript"/>
          <w:lang w:val="sr-Latn-ME"/>
        </w:rPr>
        <w:t>9</w:t>
      </w:r>
      <w:r w:rsidRPr="00D264F7">
        <w:rPr>
          <w:rFonts w:eastAsiaTheme="minorHAnsi"/>
          <w:sz w:val="22"/>
          <w:szCs w:val="22"/>
          <w:lang w:val="sr-Latn-ME"/>
        </w:rPr>
        <w:t xml:space="preserve">/L </w:t>
      </w:r>
      <w:r w:rsidR="00275DED" w:rsidRPr="00D264F7">
        <w:rPr>
          <w:rFonts w:eastAsiaTheme="minorHAnsi"/>
          <w:sz w:val="22"/>
          <w:szCs w:val="22"/>
          <w:lang w:val="sr-Latn-ME"/>
        </w:rPr>
        <w:t xml:space="preserve">do </w:t>
      </w:r>
      <w:r w:rsidRPr="00D264F7">
        <w:rPr>
          <w:rFonts w:eastAsiaTheme="minorHAnsi"/>
          <w:sz w:val="22"/>
          <w:szCs w:val="22"/>
          <w:lang w:val="sr-Latn-ME"/>
        </w:rPr>
        <w:t>˂0,8</w:t>
      </w:r>
      <w:r w:rsidR="009B12C0">
        <w:rPr>
          <w:rFonts w:eastAsiaTheme="minorHAnsi"/>
          <w:sz w:val="22"/>
          <w:szCs w:val="22"/>
          <w:lang w:val="sr-Latn-ME"/>
        </w:rPr>
        <w:t xml:space="preserve"> </w:t>
      </w:r>
      <w:r w:rsidR="009B12C0" w:rsidRPr="009B12C0">
        <w:rPr>
          <w:rFonts w:eastAsiaTheme="minorHAnsi"/>
          <w:sz w:val="22"/>
          <w:szCs w:val="22"/>
          <w:lang w:val="sr-Latn-ME"/>
        </w:rPr>
        <w:t>×</w:t>
      </w:r>
      <w:r w:rsidR="009B12C0">
        <w:rPr>
          <w:rFonts w:eastAsiaTheme="minorHAnsi"/>
          <w:sz w:val="22"/>
          <w:szCs w:val="22"/>
          <w:lang w:val="sr-Latn-ME"/>
        </w:rPr>
        <w:t xml:space="preserve"> </w:t>
      </w:r>
      <w:r w:rsidRPr="00D264F7">
        <w:rPr>
          <w:rFonts w:eastAsiaTheme="minorHAnsi"/>
          <w:sz w:val="22"/>
          <w:szCs w:val="22"/>
          <w:lang w:val="sr-Latn-ME"/>
        </w:rPr>
        <w:t>10</w:t>
      </w:r>
      <w:r w:rsidRPr="00D264F7">
        <w:rPr>
          <w:rFonts w:eastAsiaTheme="minorHAnsi"/>
          <w:sz w:val="22"/>
          <w:szCs w:val="22"/>
          <w:vertAlign w:val="superscript"/>
          <w:lang w:val="sr-Latn-ME"/>
        </w:rPr>
        <w:t>9</w:t>
      </w:r>
      <w:r w:rsidRPr="00D264F7">
        <w:rPr>
          <w:rFonts w:eastAsiaTheme="minorHAnsi"/>
          <w:sz w:val="22"/>
          <w:szCs w:val="22"/>
          <w:lang w:val="sr-Latn-ME"/>
        </w:rPr>
        <w:t>/L</w:t>
      </w:r>
      <w:r w:rsidR="00A624CD" w:rsidRPr="00D264F7">
        <w:rPr>
          <w:rFonts w:eastAsiaTheme="minorHAnsi"/>
          <w:sz w:val="22"/>
          <w:szCs w:val="22"/>
          <w:lang w:val="sr-Latn-ME"/>
        </w:rPr>
        <w:t>)</w:t>
      </w:r>
      <w:r w:rsidRPr="00D264F7">
        <w:rPr>
          <w:rFonts w:eastAsiaTheme="minorHAnsi"/>
          <w:sz w:val="22"/>
          <w:szCs w:val="22"/>
          <w:lang w:val="sr-Latn-ME"/>
        </w:rPr>
        <w:t xml:space="preserve"> </w:t>
      </w:r>
      <w:r w:rsidR="00913E42" w:rsidRPr="00D264F7">
        <w:rPr>
          <w:rFonts w:eastAsiaTheme="minorHAnsi"/>
          <w:sz w:val="22"/>
          <w:szCs w:val="22"/>
          <w:lang w:val="sr-Latn-ME"/>
        </w:rPr>
        <w:t>u trajanju od</w:t>
      </w:r>
      <w:r w:rsidRPr="00D264F7">
        <w:rPr>
          <w:rFonts w:eastAsiaTheme="minorHAnsi"/>
          <w:sz w:val="22"/>
          <w:szCs w:val="22"/>
          <w:lang w:val="sr-Latn-ME"/>
        </w:rPr>
        <w:t xml:space="preserve"> najmanje šest mjeseci</w:t>
      </w:r>
      <w:r w:rsidR="00A624CD" w:rsidRPr="00D264F7">
        <w:rPr>
          <w:sz w:val="22"/>
          <w:szCs w:val="22"/>
          <w:lang w:val="sr-Latn-ME"/>
        </w:rPr>
        <w:t xml:space="preserve"> </w:t>
      </w:r>
      <w:r w:rsidR="00A624CD" w:rsidRPr="00D264F7">
        <w:rPr>
          <w:rFonts w:eastAsiaTheme="minorHAnsi"/>
          <w:sz w:val="22"/>
          <w:szCs w:val="22"/>
          <w:lang w:val="sr-Latn-ME"/>
        </w:rPr>
        <w:t>prim</w:t>
      </w:r>
      <w:r w:rsidR="007C307C" w:rsidRPr="00D264F7">
        <w:rPr>
          <w:rFonts w:eastAsiaTheme="minorHAnsi"/>
          <w:sz w:val="22"/>
          <w:szCs w:val="22"/>
          <w:lang w:val="sr-Latn-ME"/>
        </w:rPr>
        <w:t>ij</w:t>
      </w:r>
      <w:r w:rsidR="00A624CD" w:rsidRPr="00D264F7">
        <w:rPr>
          <w:rFonts w:eastAsiaTheme="minorHAnsi"/>
          <w:sz w:val="22"/>
          <w:szCs w:val="22"/>
          <w:lang w:val="sr-Latn-ME"/>
        </w:rPr>
        <w:t xml:space="preserve">ećena </w:t>
      </w:r>
      <w:r w:rsidR="00913E42" w:rsidRPr="00D264F7">
        <w:rPr>
          <w:rFonts w:eastAsiaTheme="minorHAnsi"/>
          <w:sz w:val="22"/>
          <w:szCs w:val="22"/>
          <w:lang w:val="sr-Latn-ME"/>
        </w:rPr>
        <w:t xml:space="preserve">je kod </w:t>
      </w:r>
      <w:r w:rsidR="00275DED" w:rsidRPr="00D264F7">
        <w:rPr>
          <w:rFonts w:eastAsiaTheme="minorHAnsi"/>
          <w:sz w:val="22"/>
          <w:szCs w:val="22"/>
          <w:lang w:val="sr-Latn-ME"/>
        </w:rPr>
        <w:t>11</w:t>
      </w:r>
      <w:r w:rsidR="00913E42" w:rsidRPr="00D264F7">
        <w:rPr>
          <w:rFonts w:eastAsiaTheme="minorHAnsi"/>
          <w:sz w:val="22"/>
          <w:szCs w:val="22"/>
          <w:lang w:val="sr-Latn-ME"/>
        </w:rPr>
        <w:t>% pacijenata; teška limfopenija</w:t>
      </w:r>
      <w:r w:rsidRPr="00D264F7">
        <w:rPr>
          <w:rFonts w:eastAsiaTheme="minorHAnsi"/>
          <w:sz w:val="22"/>
          <w:szCs w:val="22"/>
          <w:lang w:val="sr-Latn-ME"/>
        </w:rPr>
        <w:t xml:space="preserve"> </w:t>
      </w:r>
      <w:r w:rsidR="00913E42" w:rsidRPr="00D264F7">
        <w:rPr>
          <w:rFonts w:eastAsiaTheme="minorHAnsi"/>
          <w:sz w:val="22"/>
          <w:szCs w:val="22"/>
          <w:lang w:val="sr-Latn-ME"/>
        </w:rPr>
        <w:t>(</w:t>
      </w:r>
      <w:r w:rsidRPr="00D264F7">
        <w:rPr>
          <w:rFonts w:eastAsiaTheme="minorHAnsi"/>
          <w:sz w:val="22"/>
          <w:szCs w:val="22"/>
          <w:lang w:val="sr-Latn-ME"/>
        </w:rPr>
        <w:t xml:space="preserve">broj &lt;0.5 </w:t>
      </w:r>
      <w:r w:rsidR="009B12C0" w:rsidRPr="009B12C0">
        <w:rPr>
          <w:rFonts w:eastAsiaTheme="minorHAnsi"/>
          <w:sz w:val="22"/>
          <w:szCs w:val="22"/>
          <w:lang w:val="sr-Latn-ME"/>
        </w:rPr>
        <w:t>×</w:t>
      </w:r>
      <w:r w:rsidRPr="00D264F7">
        <w:rPr>
          <w:rFonts w:eastAsiaTheme="minorHAnsi"/>
          <w:sz w:val="22"/>
          <w:szCs w:val="22"/>
          <w:lang w:val="sr-Latn-ME"/>
        </w:rPr>
        <w:t xml:space="preserve"> 10</w:t>
      </w:r>
      <w:r w:rsidRPr="00D264F7">
        <w:rPr>
          <w:rFonts w:eastAsiaTheme="minorHAnsi"/>
          <w:sz w:val="22"/>
          <w:szCs w:val="22"/>
          <w:vertAlign w:val="superscript"/>
          <w:lang w:val="sr-Latn-ME"/>
        </w:rPr>
        <w:t>9</w:t>
      </w:r>
      <w:r w:rsidRPr="00D264F7">
        <w:rPr>
          <w:rFonts w:eastAsiaTheme="minorHAnsi"/>
          <w:sz w:val="22"/>
          <w:szCs w:val="22"/>
          <w:lang w:val="sr-Latn-ME"/>
        </w:rPr>
        <w:t>/L</w:t>
      </w:r>
      <w:r w:rsidR="00913E42" w:rsidRPr="00D264F7">
        <w:rPr>
          <w:rFonts w:eastAsiaTheme="minorHAnsi"/>
          <w:sz w:val="22"/>
          <w:szCs w:val="22"/>
          <w:lang w:val="sr-Latn-ME"/>
        </w:rPr>
        <w:t>)</w:t>
      </w:r>
      <w:r w:rsidRPr="00D264F7">
        <w:rPr>
          <w:rFonts w:eastAsiaTheme="minorHAnsi"/>
          <w:sz w:val="22"/>
          <w:szCs w:val="22"/>
          <w:lang w:val="sr-Latn-ME"/>
        </w:rPr>
        <w:t xml:space="preserve"> </w:t>
      </w:r>
      <w:r w:rsidR="00913E42" w:rsidRPr="00D264F7">
        <w:rPr>
          <w:rFonts w:eastAsiaTheme="minorHAnsi"/>
          <w:sz w:val="22"/>
          <w:szCs w:val="22"/>
          <w:lang w:val="sr-Latn-ME"/>
        </w:rPr>
        <w:t xml:space="preserve">u trajanju od </w:t>
      </w:r>
      <w:r w:rsidRPr="00D264F7">
        <w:rPr>
          <w:rFonts w:eastAsiaTheme="minorHAnsi"/>
          <w:sz w:val="22"/>
          <w:szCs w:val="22"/>
          <w:lang w:val="sr-Latn-ME"/>
        </w:rPr>
        <w:t>najmanje šest mjeseci</w:t>
      </w:r>
      <w:r w:rsidR="00913E42" w:rsidRPr="00D264F7">
        <w:rPr>
          <w:sz w:val="22"/>
          <w:szCs w:val="22"/>
          <w:lang w:val="sr-Latn-ME"/>
        </w:rPr>
        <w:t xml:space="preserve"> </w:t>
      </w:r>
      <w:r w:rsidR="00913E42" w:rsidRPr="00D264F7">
        <w:rPr>
          <w:rFonts w:eastAsiaTheme="minorHAnsi"/>
          <w:sz w:val="22"/>
          <w:szCs w:val="22"/>
          <w:lang w:val="sr-Latn-ME"/>
        </w:rPr>
        <w:t>je prim</w:t>
      </w:r>
      <w:r w:rsidR="007C307C" w:rsidRPr="00D264F7">
        <w:rPr>
          <w:rFonts w:eastAsiaTheme="minorHAnsi"/>
          <w:sz w:val="22"/>
          <w:szCs w:val="22"/>
          <w:lang w:val="sr-Latn-ME"/>
        </w:rPr>
        <w:t>ij</w:t>
      </w:r>
      <w:r w:rsidR="00913E42" w:rsidRPr="00D264F7">
        <w:rPr>
          <w:rFonts w:eastAsiaTheme="minorHAnsi"/>
          <w:sz w:val="22"/>
          <w:szCs w:val="22"/>
          <w:lang w:val="sr-Latn-ME"/>
        </w:rPr>
        <w:t>ećena kod 2% pacijenata.</w:t>
      </w:r>
      <w:r w:rsidRPr="00D264F7">
        <w:rPr>
          <w:rFonts w:eastAsiaTheme="minorHAnsi"/>
          <w:sz w:val="22"/>
          <w:szCs w:val="22"/>
          <w:lang w:val="sr-Latn-ME"/>
        </w:rPr>
        <w:t xml:space="preserve"> </w:t>
      </w:r>
      <w:r w:rsidR="00A624CD" w:rsidRPr="00D264F7">
        <w:rPr>
          <w:rFonts w:eastAsiaTheme="minorHAnsi"/>
          <w:sz w:val="22"/>
          <w:szCs w:val="22"/>
          <w:lang w:val="sr-Latn-ME"/>
        </w:rPr>
        <w:t xml:space="preserve">U </w:t>
      </w:r>
      <w:r w:rsidRPr="00D264F7">
        <w:rPr>
          <w:rFonts w:eastAsiaTheme="minorHAnsi"/>
          <w:sz w:val="22"/>
          <w:szCs w:val="22"/>
          <w:lang w:val="sr-Latn-ME"/>
        </w:rPr>
        <w:t xml:space="preserve">grupi </w:t>
      </w:r>
      <w:r w:rsidR="00A624CD" w:rsidRPr="00D264F7">
        <w:rPr>
          <w:rFonts w:eastAsiaTheme="minorHAnsi"/>
          <w:sz w:val="22"/>
          <w:szCs w:val="22"/>
          <w:lang w:val="sr-Latn-ME"/>
        </w:rPr>
        <w:t>sa teškom limfopenijom,</w:t>
      </w:r>
      <w:r w:rsidRPr="00D264F7">
        <w:rPr>
          <w:rFonts w:eastAsiaTheme="minorHAnsi"/>
          <w:sz w:val="22"/>
          <w:szCs w:val="22"/>
          <w:lang w:val="sr-Latn-ME"/>
        </w:rPr>
        <w:t xml:space="preserve"> kod većine broj limfocita</w:t>
      </w:r>
      <w:r w:rsidR="00A624CD" w:rsidRPr="00D264F7">
        <w:rPr>
          <w:rFonts w:eastAsiaTheme="minorHAnsi"/>
          <w:sz w:val="22"/>
          <w:szCs w:val="22"/>
          <w:lang w:val="sr-Latn-ME"/>
        </w:rPr>
        <w:t xml:space="preserve"> je</w:t>
      </w:r>
      <w:r w:rsidRPr="00D264F7">
        <w:rPr>
          <w:rFonts w:eastAsiaTheme="minorHAnsi"/>
          <w:sz w:val="22"/>
          <w:szCs w:val="22"/>
          <w:lang w:val="sr-Latn-ME"/>
        </w:rPr>
        <w:t xml:space="preserve"> ostao &lt;0.5 </w:t>
      </w:r>
      <w:r w:rsidR="009B12C0" w:rsidRPr="009B12C0">
        <w:rPr>
          <w:rFonts w:eastAsiaTheme="minorHAnsi"/>
          <w:sz w:val="22"/>
          <w:szCs w:val="22"/>
          <w:lang w:val="sr-Latn-ME"/>
        </w:rPr>
        <w:t>×</w:t>
      </w:r>
      <w:r w:rsidRPr="00D264F7">
        <w:rPr>
          <w:rFonts w:eastAsiaTheme="minorHAnsi"/>
          <w:sz w:val="22"/>
          <w:szCs w:val="22"/>
          <w:lang w:val="sr-Latn-ME"/>
        </w:rPr>
        <w:t xml:space="preserve"> 10</w:t>
      </w:r>
      <w:r w:rsidRPr="00D264F7">
        <w:rPr>
          <w:rFonts w:eastAsiaTheme="minorHAnsi"/>
          <w:sz w:val="22"/>
          <w:szCs w:val="22"/>
          <w:vertAlign w:val="superscript"/>
          <w:lang w:val="sr-Latn-ME"/>
        </w:rPr>
        <w:t>9</w:t>
      </w:r>
      <w:r w:rsidRPr="00D264F7">
        <w:rPr>
          <w:rFonts w:eastAsiaTheme="minorHAnsi"/>
          <w:sz w:val="22"/>
          <w:szCs w:val="22"/>
          <w:lang w:val="sr-Latn-ME"/>
        </w:rPr>
        <w:t xml:space="preserve">/L tokom nastavka terapije. </w:t>
      </w:r>
    </w:p>
    <w:p w14:paraId="7D99BBDF" w14:textId="77777777" w:rsidR="00BD782B" w:rsidRPr="00D264F7" w:rsidRDefault="00BD782B">
      <w:pPr>
        <w:spacing w:line="259" w:lineRule="auto"/>
        <w:jc w:val="both"/>
        <w:rPr>
          <w:rFonts w:eastAsiaTheme="minorHAnsi"/>
          <w:sz w:val="22"/>
          <w:szCs w:val="22"/>
          <w:lang w:val="sr-Latn-ME"/>
        </w:rPr>
      </w:pPr>
    </w:p>
    <w:p w14:paraId="0DC94E01" w14:textId="61BC85AD" w:rsidR="00A624CD" w:rsidRPr="00D264F7" w:rsidRDefault="00A624CD">
      <w:pPr>
        <w:spacing w:line="259" w:lineRule="auto"/>
        <w:jc w:val="both"/>
        <w:rPr>
          <w:rFonts w:eastAsiaTheme="minorHAnsi"/>
          <w:sz w:val="22"/>
          <w:szCs w:val="22"/>
          <w:lang w:val="sr-Latn-ME"/>
        </w:rPr>
      </w:pPr>
      <w:r w:rsidRPr="00D264F7">
        <w:rPr>
          <w:rFonts w:eastAsiaTheme="minorHAnsi"/>
          <w:sz w:val="22"/>
          <w:szCs w:val="22"/>
          <w:lang w:val="sr-Latn-ME"/>
        </w:rPr>
        <w:t>Pored toga, u nekontrolisanoj, prospektivnoj studiji sprovedenoj nakon stavljanja l</w:t>
      </w:r>
      <w:r w:rsidR="007C307C" w:rsidRPr="00D264F7">
        <w:rPr>
          <w:rFonts w:eastAsiaTheme="minorHAnsi"/>
          <w:sz w:val="22"/>
          <w:szCs w:val="22"/>
          <w:lang w:val="sr-Latn-ME"/>
        </w:rPr>
        <w:t>ij</w:t>
      </w:r>
      <w:r w:rsidRPr="00D264F7">
        <w:rPr>
          <w:rFonts w:eastAsiaTheme="minorHAnsi"/>
          <w:sz w:val="22"/>
          <w:szCs w:val="22"/>
          <w:lang w:val="sr-Latn-ME"/>
        </w:rPr>
        <w:t>eka u promet, u 48. ned</w:t>
      </w:r>
      <w:r w:rsidR="005729C0">
        <w:rPr>
          <w:rFonts w:eastAsiaTheme="minorHAnsi"/>
          <w:sz w:val="22"/>
          <w:szCs w:val="22"/>
          <w:lang w:val="sr-Latn-ME"/>
        </w:rPr>
        <w:t>j</w:t>
      </w:r>
      <w:r w:rsidRPr="00D264F7">
        <w:rPr>
          <w:rFonts w:eastAsiaTheme="minorHAnsi"/>
          <w:sz w:val="22"/>
          <w:szCs w:val="22"/>
          <w:lang w:val="sr-Latn-ME"/>
        </w:rPr>
        <w:t>elji l</w:t>
      </w:r>
      <w:r w:rsidR="007C307C" w:rsidRPr="00D264F7">
        <w:rPr>
          <w:rFonts w:eastAsiaTheme="minorHAnsi"/>
          <w:sz w:val="22"/>
          <w:szCs w:val="22"/>
          <w:lang w:val="sr-Latn-ME"/>
        </w:rPr>
        <w:t>ij</w:t>
      </w:r>
      <w:r w:rsidRPr="00D264F7">
        <w:rPr>
          <w:rFonts w:eastAsiaTheme="minorHAnsi"/>
          <w:sz w:val="22"/>
          <w:szCs w:val="22"/>
          <w:lang w:val="sr-Latn-ME"/>
        </w:rPr>
        <w:t>ečenja l</w:t>
      </w:r>
      <w:r w:rsidR="007C307C" w:rsidRPr="00D264F7">
        <w:rPr>
          <w:rFonts w:eastAsiaTheme="minorHAnsi"/>
          <w:sz w:val="22"/>
          <w:szCs w:val="22"/>
          <w:lang w:val="sr-Latn-ME"/>
        </w:rPr>
        <w:t>ij</w:t>
      </w:r>
      <w:r w:rsidRPr="00D264F7">
        <w:rPr>
          <w:rFonts w:eastAsiaTheme="minorHAnsi"/>
          <w:sz w:val="22"/>
          <w:szCs w:val="22"/>
          <w:lang w:val="sr-Latn-ME"/>
        </w:rPr>
        <w:t>ekom Tecfidera (n=185), broj T ćelija CD4+ smanjio se um</w:t>
      </w:r>
      <w:r w:rsidR="007C307C" w:rsidRPr="00D264F7">
        <w:rPr>
          <w:rFonts w:eastAsiaTheme="minorHAnsi"/>
          <w:sz w:val="22"/>
          <w:szCs w:val="22"/>
          <w:lang w:val="sr-Latn-ME"/>
        </w:rPr>
        <w:t>j</w:t>
      </w:r>
      <w:r w:rsidRPr="00D264F7">
        <w:rPr>
          <w:rFonts w:eastAsiaTheme="minorHAnsi"/>
          <w:sz w:val="22"/>
          <w:szCs w:val="22"/>
          <w:lang w:val="sr-Latn-ME"/>
        </w:rPr>
        <w:t>ereno (broj</w:t>
      </w:r>
      <w:r w:rsidR="009179CF" w:rsidRPr="00D264F7">
        <w:rPr>
          <w:rFonts w:eastAsiaTheme="minorHAnsi"/>
          <w:sz w:val="22"/>
          <w:szCs w:val="22"/>
          <w:lang w:val="sr-Latn-ME"/>
        </w:rPr>
        <w:t xml:space="preserve"> ćelija </w:t>
      </w:r>
      <w:r w:rsidRPr="00D264F7">
        <w:rPr>
          <w:rFonts w:eastAsiaTheme="minorHAnsi"/>
          <w:sz w:val="22"/>
          <w:szCs w:val="22"/>
          <w:lang w:val="sr-Latn-ME"/>
        </w:rPr>
        <w:t xml:space="preserve"> ≥ 0,2 × 10</w:t>
      </w:r>
      <w:r w:rsidRPr="00D264F7">
        <w:rPr>
          <w:rFonts w:eastAsiaTheme="minorHAnsi"/>
          <w:sz w:val="22"/>
          <w:szCs w:val="22"/>
          <w:vertAlign w:val="superscript"/>
          <w:lang w:val="sr-Latn-ME"/>
        </w:rPr>
        <w:t>9</w:t>
      </w:r>
      <w:r w:rsidRPr="00D264F7">
        <w:rPr>
          <w:rFonts w:eastAsiaTheme="minorHAnsi"/>
          <w:sz w:val="22"/>
          <w:szCs w:val="22"/>
          <w:lang w:val="sr-Latn-ME"/>
        </w:rPr>
        <w:t>/L do &lt; 0,4 × 10</w:t>
      </w:r>
      <w:r w:rsidRPr="00D264F7">
        <w:rPr>
          <w:rFonts w:eastAsiaTheme="minorHAnsi"/>
          <w:sz w:val="22"/>
          <w:szCs w:val="22"/>
          <w:vertAlign w:val="superscript"/>
          <w:lang w:val="sr-Latn-ME"/>
        </w:rPr>
        <w:t>9</w:t>
      </w:r>
      <w:r w:rsidRPr="00D264F7">
        <w:rPr>
          <w:rFonts w:eastAsiaTheme="minorHAnsi"/>
          <w:sz w:val="22"/>
          <w:szCs w:val="22"/>
          <w:lang w:val="sr-Latn-ME"/>
        </w:rPr>
        <w:t>/L) ili jako (&lt; 0,2 × 10</w:t>
      </w:r>
      <w:r w:rsidRPr="00D264F7">
        <w:rPr>
          <w:rFonts w:eastAsiaTheme="minorHAnsi"/>
          <w:sz w:val="22"/>
          <w:szCs w:val="22"/>
          <w:vertAlign w:val="superscript"/>
          <w:lang w:val="sr-Latn-ME"/>
        </w:rPr>
        <w:t>9</w:t>
      </w:r>
      <w:r w:rsidRPr="00D264F7">
        <w:rPr>
          <w:rFonts w:eastAsiaTheme="minorHAnsi"/>
          <w:sz w:val="22"/>
          <w:szCs w:val="22"/>
          <w:lang w:val="sr-Latn-ME"/>
        </w:rPr>
        <w:t xml:space="preserve">/L) kod do 37% odnosno 6% pacijenata, dok </w:t>
      </w:r>
      <w:r w:rsidR="009179CF" w:rsidRPr="00D264F7">
        <w:rPr>
          <w:rFonts w:eastAsiaTheme="minorHAnsi"/>
          <w:sz w:val="22"/>
          <w:szCs w:val="22"/>
          <w:lang w:val="sr-Latn-ME"/>
        </w:rPr>
        <w:t xml:space="preserve">je broj </w:t>
      </w:r>
      <w:r w:rsidRPr="00D264F7">
        <w:rPr>
          <w:rFonts w:eastAsiaTheme="minorHAnsi"/>
          <w:sz w:val="22"/>
          <w:szCs w:val="22"/>
          <w:lang w:val="sr-Latn-ME"/>
        </w:rPr>
        <w:t>T ćelije CD8+ češće bi</w:t>
      </w:r>
      <w:r w:rsidR="009179CF" w:rsidRPr="00D264F7">
        <w:rPr>
          <w:rFonts w:eastAsiaTheme="minorHAnsi"/>
          <w:sz w:val="22"/>
          <w:szCs w:val="22"/>
          <w:lang w:val="sr-Latn-ME"/>
        </w:rPr>
        <w:t>o</w:t>
      </w:r>
      <w:r w:rsidRPr="00D264F7">
        <w:rPr>
          <w:rFonts w:eastAsiaTheme="minorHAnsi"/>
          <w:sz w:val="22"/>
          <w:szCs w:val="22"/>
          <w:lang w:val="sr-Latn-ME"/>
        </w:rPr>
        <w:t xml:space="preserve"> smanjen kod do 59% pacijenata s brojem ćelija &lt; 0,2 × 10</w:t>
      </w:r>
      <w:r w:rsidRPr="00D264F7">
        <w:rPr>
          <w:rFonts w:eastAsiaTheme="minorHAnsi"/>
          <w:sz w:val="22"/>
          <w:szCs w:val="22"/>
          <w:vertAlign w:val="superscript"/>
          <w:lang w:val="sr-Latn-ME"/>
        </w:rPr>
        <w:t>9</w:t>
      </w:r>
      <w:r w:rsidRPr="00D264F7">
        <w:rPr>
          <w:rFonts w:eastAsiaTheme="minorHAnsi"/>
          <w:sz w:val="22"/>
          <w:szCs w:val="22"/>
          <w:lang w:val="sr-Latn-ME"/>
        </w:rPr>
        <w:t>/L i 25% pacijenata s brojem ćelija &lt; 0,1 × 10</w:t>
      </w:r>
      <w:r w:rsidRPr="00D264F7">
        <w:rPr>
          <w:rFonts w:eastAsiaTheme="minorHAnsi"/>
          <w:sz w:val="22"/>
          <w:szCs w:val="22"/>
          <w:vertAlign w:val="superscript"/>
          <w:lang w:val="sr-Latn-ME"/>
        </w:rPr>
        <w:t>9</w:t>
      </w:r>
      <w:r w:rsidRPr="00D264F7">
        <w:rPr>
          <w:rFonts w:eastAsiaTheme="minorHAnsi"/>
          <w:sz w:val="22"/>
          <w:szCs w:val="22"/>
          <w:lang w:val="sr-Latn-ME"/>
        </w:rPr>
        <w:t>/L.</w:t>
      </w:r>
      <w:r w:rsidR="00275DED" w:rsidRPr="00D264F7">
        <w:rPr>
          <w:rFonts w:eastAsiaTheme="minorHAnsi"/>
          <w:sz w:val="22"/>
          <w:szCs w:val="22"/>
          <w:lang w:val="sr-Latn-ME"/>
        </w:rPr>
        <w:t xml:space="preserve"> U kontrolisanim i nekontrolisanim kliničkim ispitivanjima, pacijenti koji su prekinuli terapiju lijekom Tecfidera sa brojem limfocita ispod DGN</w:t>
      </w:r>
      <w:r w:rsidR="000F0AAA">
        <w:rPr>
          <w:rFonts w:eastAsiaTheme="minorHAnsi"/>
          <w:sz w:val="22"/>
          <w:szCs w:val="22"/>
          <w:lang w:val="sr-Latn-ME"/>
        </w:rPr>
        <w:t>-a</w:t>
      </w:r>
      <w:r w:rsidR="00275DED" w:rsidRPr="00D264F7">
        <w:rPr>
          <w:rFonts w:eastAsiaTheme="minorHAnsi"/>
          <w:sz w:val="22"/>
          <w:szCs w:val="22"/>
          <w:lang w:val="sr-Latn-ME"/>
        </w:rPr>
        <w:t>, praćeni su do povratka broja limfocita na DGN (vidjeti dio 5.1).</w:t>
      </w:r>
    </w:p>
    <w:p w14:paraId="7EC236BB" w14:textId="77777777" w:rsidR="00A624CD" w:rsidRPr="00D264F7" w:rsidRDefault="00A624CD">
      <w:pPr>
        <w:spacing w:line="259" w:lineRule="auto"/>
        <w:jc w:val="both"/>
        <w:rPr>
          <w:rFonts w:eastAsiaTheme="minorHAnsi"/>
          <w:sz w:val="22"/>
          <w:szCs w:val="22"/>
          <w:lang w:val="sr-Latn-ME"/>
        </w:rPr>
      </w:pPr>
    </w:p>
    <w:p w14:paraId="7BBA90E0" w14:textId="1DE3D9C8" w:rsidR="00A624CD" w:rsidRPr="00D264F7" w:rsidRDefault="0007037E">
      <w:pPr>
        <w:autoSpaceDE w:val="0"/>
        <w:autoSpaceDN w:val="0"/>
        <w:adjustRightInd w:val="0"/>
        <w:jc w:val="both"/>
        <w:rPr>
          <w:i/>
          <w:iCs/>
          <w:sz w:val="22"/>
          <w:szCs w:val="22"/>
          <w:lang w:val="sr-Latn-ME"/>
        </w:rPr>
      </w:pPr>
      <w:r w:rsidRPr="0007037E">
        <w:rPr>
          <w:i/>
          <w:iCs/>
          <w:color w:val="000000"/>
          <w:sz w:val="22"/>
          <w:szCs w:val="22"/>
          <w:lang w:val="sr-Latn-ME"/>
        </w:rPr>
        <w:t>Progresivna multifokalna leukoencefalopatija (PML</w:t>
      </w:r>
      <w:r>
        <w:rPr>
          <w:i/>
          <w:iCs/>
          <w:color w:val="000000"/>
          <w:sz w:val="22"/>
          <w:szCs w:val="22"/>
          <w:lang w:val="sr-Latn-ME"/>
        </w:rPr>
        <w:t>)</w:t>
      </w:r>
      <w:r w:rsidR="00A624CD" w:rsidRPr="00D264F7">
        <w:rPr>
          <w:i/>
          <w:iCs/>
          <w:sz w:val="22"/>
          <w:szCs w:val="22"/>
          <w:lang w:val="sr-Latn-ME"/>
        </w:rPr>
        <w:t xml:space="preserve"> </w:t>
      </w:r>
    </w:p>
    <w:p w14:paraId="3F54E5C6" w14:textId="77777777" w:rsidR="00A624CD" w:rsidRPr="00D264F7" w:rsidRDefault="00A624CD">
      <w:pPr>
        <w:autoSpaceDE w:val="0"/>
        <w:autoSpaceDN w:val="0"/>
        <w:adjustRightInd w:val="0"/>
        <w:jc w:val="both"/>
        <w:rPr>
          <w:sz w:val="22"/>
          <w:szCs w:val="22"/>
          <w:lang w:val="sr-Latn-ME"/>
        </w:rPr>
      </w:pPr>
    </w:p>
    <w:p w14:paraId="36FFB545" w14:textId="38AA1626" w:rsidR="00A624CD" w:rsidRPr="00D264F7" w:rsidRDefault="00A624CD">
      <w:pPr>
        <w:autoSpaceDE w:val="0"/>
        <w:autoSpaceDN w:val="0"/>
        <w:adjustRightInd w:val="0"/>
        <w:jc w:val="both"/>
        <w:rPr>
          <w:sz w:val="22"/>
          <w:szCs w:val="22"/>
          <w:lang w:val="sr-Latn-ME"/>
        </w:rPr>
      </w:pPr>
      <w:r w:rsidRPr="00D264F7">
        <w:rPr>
          <w:sz w:val="22"/>
          <w:szCs w:val="22"/>
          <w:lang w:val="sr-Latn-ME"/>
        </w:rPr>
        <w:t>Uz l</w:t>
      </w:r>
      <w:r w:rsidR="007C307C" w:rsidRPr="00D264F7">
        <w:rPr>
          <w:sz w:val="22"/>
          <w:szCs w:val="22"/>
          <w:lang w:val="sr-Latn-ME"/>
        </w:rPr>
        <w:t>ij</w:t>
      </w:r>
      <w:r w:rsidRPr="00D264F7">
        <w:rPr>
          <w:sz w:val="22"/>
          <w:szCs w:val="22"/>
          <w:lang w:val="sr-Latn-ME"/>
        </w:rPr>
        <w:t>ek Tecfidera zab</w:t>
      </w:r>
      <w:r w:rsidR="007C307C" w:rsidRPr="00D264F7">
        <w:rPr>
          <w:sz w:val="22"/>
          <w:szCs w:val="22"/>
          <w:lang w:val="sr-Latn-ME"/>
        </w:rPr>
        <w:t>i</w:t>
      </w:r>
      <w:r w:rsidRPr="00D264F7">
        <w:rPr>
          <w:sz w:val="22"/>
          <w:szCs w:val="22"/>
          <w:lang w:val="sr-Latn-ME"/>
        </w:rPr>
        <w:t>l</w:t>
      </w:r>
      <w:r w:rsidR="007C307C" w:rsidRPr="00D264F7">
        <w:rPr>
          <w:sz w:val="22"/>
          <w:szCs w:val="22"/>
          <w:lang w:val="sr-Latn-ME"/>
        </w:rPr>
        <w:t>j</w:t>
      </w:r>
      <w:r w:rsidRPr="00D264F7">
        <w:rPr>
          <w:sz w:val="22"/>
          <w:szCs w:val="22"/>
          <w:lang w:val="sr-Latn-ME"/>
        </w:rPr>
        <w:t>eženi su slučajevi infekcije John-Cunningham virusom (JCV-om) koja je prouzrokovala PML (vid</w:t>
      </w:r>
      <w:r w:rsidR="007C307C" w:rsidRPr="00D264F7">
        <w:rPr>
          <w:sz w:val="22"/>
          <w:szCs w:val="22"/>
          <w:lang w:val="sr-Latn-ME"/>
        </w:rPr>
        <w:t>j</w:t>
      </w:r>
      <w:r w:rsidRPr="00D264F7">
        <w:rPr>
          <w:sz w:val="22"/>
          <w:szCs w:val="22"/>
          <w:lang w:val="sr-Latn-ME"/>
        </w:rPr>
        <w:t xml:space="preserve">eti </w:t>
      </w:r>
      <w:r w:rsidR="009179CF" w:rsidRPr="00D264F7">
        <w:rPr>
          <w:sz w:val="22"/>
          <w:szCs w:val="22"/>
          <w:lang w:val="sr-Latn-ME"/>
        </w:rPr>
        <w:t xml:space="preserve">dio </w:t>
      </w:r>
      <w:r w:rsidRPr="00D264F7">
        <w:rPr>
          <w:sz w:val="22"/>
          <w:szCs w:val="22"/>
          <w:lang w:val="sr-Latn-ME"/>
        </w:rPr>
        <w:t xml:space="preserve">4.4). PML može biti smrtonosan ili prouzrokovati tešku invalidnost. U jednom od kliničkih ispitivanja, </w:t>
      </w:r>
      <w:r w:rsidR="00FC56F7">
        <w:rPr>
          <w:sz w:val="22"/>
          <w:szCs w:val="22"/>
          <w:lang w:val="sr-Latn-ME"/>
        </w:rPr>
        <w:t>1</w:t>
      </w:r>
      <w:r w:rsidRPr="00D264F7">
        <w:rPr>
          <w:sz w:val="22"/>
          <w:szCs w:val="22"/>
          <w:lang w:val="sr-Latn-ME"/>
        </w:rPr>
        <w:t xml:space="preserve"> pacijent koji je uzimao l</w:t>
      </w:r>
      <w:r w:rsidR="007C307C" w:rsidRPr="00D264F7">
        <w:rPr>
          <w:sz w:val="22"/>
          <w:szCs w:val="22"/>
          <w:lang w:val="sr-Latn-ME"/>
        </w:rPr>
        <w:t>ij</w:t>
      </w:r>
      <w:r w:rsidRPr="00D264F7">
        <w:rPr>
          <w:sz w:val="22"/>
          <w:szCs w:val="22"/>
          <w:lang w:val="sr-Latn-ME"/>
        </w:rPr>
        <w:t>ek Tecfidera razvio je PML u stanju dugotrajne teške limfopenije (broj limfocita najčešće &lt; 0,5 × 10</w:t>
      </w:r>
      <w:r w:rsidRPr="00D264F7">
        <w:rPr>
          <w:sz w:val="22"/>
          <w:szCs w:val="22"/>
          <w:vertAlign w:val="superscript"/>
          <w:lang w:val="sr-Latn-ME"/>
        </w:rPr>
        <w:t>9</w:t>
      </w:r>
      <w:r w:rsidRPr="00D264F7">
        <w:rPr>
          <w:sz w:val="22"/>
          <w:szCs w:val="22"/>
          <w:lang w:val="sr-Latn-ME"/>
        </w:rPr>
        <w:t xml:space="preserve">/L tokom 3,5 godina), sa smrtnim ishodom. Nakon stavljanja </w:t>
      </w:r>
      <w:r w:rsidR="009179CF" w:rsidRPr="00D264F7">
        <w:rPr>
          <w:sz w:val="22"/>
          <w:szCs w:val="22"/>
          <w:lang w:val="sr-Latn-ME"/>
        </w:rPr>
        <w:t>lijeka u promet</w:t>
      </w:r>
      <w:r w:rsidRPr="00D264F7">
        <w:rPr>
          <w:sz w:val="22"/>
          <w:szCs w:val="22"/>
          <w:lang w:val="sr-Latn-ME"/>
        </w:rPr>
        <w:t>, PML se takođe</w:t>
      </w:r>
      <w:r w:rsidRPr="00D264F7">
        <w:rPr>
          <w:rFonts w:eastAsia="SimSun"/>
          <w:color w:val="000000"/>
          <w:sz w:val="22"/>
          <w:szCs w:val="22"/>
          <w:lang w:val="sr-Latn-ME" w:eastAsia="ar-SA"/>
        </w:rPr>
        <w:t xml:space="preserve"> javila u prisustvu um</w:t>
      </w:r>
      <w:r w:rsidR="007C307C" w:rsidRPr="00D264F7">
        <w:rPr>
          <w:rFonts w:eastAsia="SimSun"/>
          <w:color w:val="000000"/>
          <w:sz w:val="22"/>
          <w:szCs w:val="22"/>
          <w:lang w:val="sr-Latn-ME" w:eastAsia="ar-SA"/>
        </w:rPr>
        <w:t>j</w:t>
      </w:r>
      <w:r w:rsidRPr="00D264F7">
        <w:rPr>
          <w:rFonts w:eastAsia="SimSun"/>
          <w:color w:val="000000"/>
          <w:sz w:val="22"/>
          <w:szCs w:val="22"/>
          <w:lang w:val="sr-Latn-ME" w:eastAsia="ar-SA"/>
        </w:rPr>
        <w:t xml:space="preserve">erene i blage limfopenije </w:t>
      </w:r>
      <w:r w:rsidRPr="00D264F7">
        <w:rPr>
          <w:sz w:val="22"/>
          <w:szCs w:val="22"/>
          <w:lang w:val="sr-Latn-ME"/>
        </w:rPr>
        <w:t>(&gt; 0,5 × 10</w:t>
      </w:r>
      <w:r w:rsidRPr="00D264F7">
        <w:rPr>
          <w:sz w:val="22"/>
          <w:szCs w:val="22"/>
          <w:vertAlign w:val="superscript"/>
          <w:lang w:val="sr-Latn-ME"/>
        </w:rPr>
        <w:t>9</w:t>
      </w:r>
      <w:r w:rsidRPr="00D264F7">
        <w:rPr>
          <w:sz w:val="22"/>
          <w:szCs w:val="22"/>
          <w:lang w:val="sr-Latn-ME"/>
        </w:rPr>
        <w:t>/L do vr</w:t>
      </w:r>
      <w:r w:rsidR="007C307C" w:rsidRPr="00D264F7">
        <w:rPr>
          <w:sz w:val="22"/>
          <w:szCs w:val="22"/>
          <w:lang w:val="sr-Latn-ME"/>
        </w:rPr>
        <w:t>ij</w:t>
      </w:r>
      <w:r w:rsidRPr="00D264F7">
        <w:rPr>
          <w:sz w:val="22"/>
          <w:szCs w:val="22"/>
          <w:lang w:val="sr-Latn-ME"/>
        </w:rPr>
        <w:t>ednosti</w:t>
      </w:r>
      <w:r w:rsidR="009179CF" w:rsidRPr="00D264F7">
        <w:rPr>
          <w:sz w:val="22"/>
          <w:szCs w:val="22"/>
          <w:lang w:val="sr-Latn-ME"/>
        </w:rPr>
        <w:t xml:space="preserve"> broja limfocita</w:t>
      </w:r>
      <w:r w:rsidRPr="00D264F7">
        <w:rPr>
          <w:sz w:val="22"/>
          <w:szCs w:val="22"/>
          <w:lang w:val="sr-Latn-ME"/>
        </w:rPr>
        <w:t xml:space="preserve"> </w:t>
      </w:r>
      <w:r w:rsidR="00275DED" w:rsidRPr="00D264F7">
        <w:rPr>
          <w:sz w:val="22"/>
          <w:szCs w:val="22"/>
          <w:lang w:val="sr-Latn-ME"/>
        </w:rPr>
        <w:t>&lt; DGN</w:t>
      </w:r>
      <w:r w:rsidRPr="00D264F7">
        <w:rPr>
          <w:sz w:val="22"/>
          <w:szCs w:val="22"/>
          <w:lang w:val="sr-Latn-ME"/>
        </w:rPr>
        <w:t xml:space="preserve"> definisane referentnim rasponom lokalne laboratorije).</w:t>
      </w:r>
    </w:p>
    <w:p w14:paraId="0AD9F7D4" w14:textId="77777777" w:rsidR="00A624CD" w:rsidRPr="00D264F7" w:rsidRDefault="00A624CD">
      <w:pPr>
        <w:autoSpaceDE w:val="0"/>
        <w:autoSpaceDN w:val="0"/>
        <w:adjustRightInd w:val="0"/>
        <w:jc w:val="both"/>
        <w:rPr>
          <w:sz w:val="22"/>
          <w:szCs w:val="22"/>
          <w:lang w:val="sr-Latn-ME"/>
        </w:rPr>
      </w:pPr>
      <w:r w:rsidRPr="00D264F7">
        <w:rPr>
          <w:sz w:val="22"/>
          <w:szCs w:val="22"/>
          <w:lang w:val="sr-Latn-ME"/>
        </w:rPr>
        <w:t xml:space="preserve"> </w:t>
      </w:r>
    </w:p>
    <w:p w14:paraId="670538BC" w14:textId="42677884" w:rsidR="00A624CD" w:rsidRPr="00D264F7" w:rsidRDefault="00A624CD">
      <w:pPr>
        <w:autoSpaceDE w:val="0"/>
        <w:autoSpaceDN w:val="0"/>
        <w:adjustRightInd w:val="0"/>
        <w:jc w:val="both"/>
        <w:rPr>
          <w:sz w:val="22"/>
          <w:szCs w:val="22"/>
          <w:lang w:val="sr-Latn-ME"/>
        </w:rPr>
      </w:pPr>
      <w:r w:rsidRPr="00D264F7">
        <w:rPr>
          <w:sz w:val="22"/>
          <w:szCs w:val="22"/>
          <w:lang w:val="sr-Latn-ME"/>
        </w:rPr>
        <w:t>U nekoliko slučajeva PML-a u kojima su podgrupe T ćelija prov</w:t>
      </w:r>
      <w:r w:rsidR="007C307C" w:rsidRPr="00D264F7">
        <w:rPr>
          <w:sz w:val="22"/>
          <w:szCs w:val="22"/>
          <w:lang w:val="sr-Latn-ME"/>
        </w:rPr>
        <w:t>j</w:t>
      </w:r>
      <w:r w:rsidRPr="00D264F7">
        <w:rPr>
          <w:sz w:val="22"/>
          <w:szCs w:val="22"/>
          <w:lang w:val="sr-Latn-ME"/>
        </w:rPr>
        <w:t>erene u vr</w:t>
      </w:r>
      <w:r w:rsidR="007C307C" w:rsidRPr="00D264F7">
        <w:rPr>
          <w:sz w:val="22"/>
          <w:szCs w:val="22"/>
          <w:lang w:val="sr-Latn-ME"/>
        </w:rPr>
        <w:t>ij</w:t>
      </w:r>
      <w:r w:rsidRPr="00D264F7">
        <w:rPr>
          <w:sz w:val="22"/>
          <w:szCs w:val="22"/>
          <w:lang w:val="sr-Latn-ME"/>
        </w:rPr>
        <w:t>eme dijagnoze PML-a, T ćelije CD8+ su bile smanjene na &lt; 0,1 × 10</w:t>
      </w:r>
      <w:r w:rsidRPr="00D264F7">
        <w:rPr>
          <w:sz w:val="22"/>
          <w:szCs w:val="22"/>
          <w:vertAlign w:val="superscript"/>
          <w:lang w:val="sr-Latn-ME"/>
        </w:rPr>
        <w:t>9</w:t>
      </w:r>
      <w:r w:rsidRPr="00D264F7">
        <w:rPr>
          <w:sz w:val="22"/>
          <w:szCs w:val="22"/>
          <w:lang w:val="sr-Latn-ME"/>
        </w:rPr>
        <w:t>/L, dok je smanjenje broja T ćelija CD4+ variralo (od &lt; 0,05 do 0,5 × 10</w:t>
      </w:r>
      <w:r w:rsidRPr="00D264F7">
        <w:rPr>
          <w:sz w:val="22"/>
          <w:szCs w:val="22"/>
          <w:vertAlign w:val="superscript"/>
          <w:lang w:val="sr-Latn-ME"/>
        </w:rPr>
        <w:t>9</w:t>
      </w:r>
      <w:r w:rsidRPr="00D264F7">
        <w:rPr>
          <w:sz w:val="22"/>
          <w:szCs w:val="22"/>
          <w:lang w:val="sr-Latn-ME"/>
        </w:rPr>
        <w:t>/L) i bilo u korelaciji sa c</w:t>
      </w:r>
      <w:r w:rsidR="007F1F0C" w:rsidRPr="00D264F7">
        <w:rPr>
          <w:sz w:val="22"/>
          <w:szCs w:val="22"/>
          <w:lang w:val="sr-Latn-ME"/>
        </w:rPr>
        <w:t>j</w:t>
      </w:r>
      <w:r w:rsidRPr="00D264F7">
        <w:rPr>
          <w:sz w:val="22"/>
          <w:szCs w:val="22"/>
          <w:lang w:val="sr-Latn-ME"/>
        </w:rPr>
        <w:t>elokupnom težinom limfopenije (od &lt; 0,5 × 10</w:t>
      </w:r>
      <w:r w:rsidRPr="00D264F7">
        <w:rPr>
          <w:sz w:val="22"/>
          <w:szCs w:val="22"/>
          <w:vertAlign w:val="superscript"/>
          <w:lang w:val="sr-Latn-ME"/>
        </w:rPr>
        <w:t>9</w:t>
      </w:r>
      <w:r w:rsidRPr="00D264F7">
        <w:rPr>
          <w:sz w:val="22"/>
          <w:szCs w:val="22"/>
          <w:lang w:val="sr-Latn-ME"/>
        </w:rPr>
        <w:t>/L do vr</w:t>
      </w:r>
      <w:r w:rsidR="007F1F0C" w:rsidRPr="00D264F7">
        <w:rPr>
          <w:sz w:val="22"/>
          <w:szCs w:val="22"/>
          <w:lang w:val="sr-Latn-ME"/>
        </w:rPr>
        <w:t>ij</w:t>
      </w:r>
      <w:r w:rsidRPr="00D264F7">
        <w:rPr>
          <w:sz w:val="22"/>
          <w:szCs w:val="22"/>
          <w:lang w:val="sr-Latn-ME"/>
        </w:rPr>
        <w:t xml:space="preserve">ednosti </w:t>
      </w:r>
      <w:r w:rsidR="009179CF" w:rsidRPr="00D264F7">
        <w:rPr>
          <w:sz w:val="22"/>
          <w:szCs w:val="22"/>
          <w:lang w:val="sr-Latn-ME"/>
        </w:rPr>
        <w:t xml:space="preserve">broja limfocita </w:t>
      </w:r>
      <w:r w:rsidR="00AC41F8" w:rsidRPr="00D264F7">
        <w:rPr>
          <w:sz w:val="22"/>
          <w:szCs w:val="22"/>
          <w:lang w:val="sr-Latn-ME"/>
        </w:rPr>
        <w:t>&lt; DGN</w:t>
      </w:r>
      <w:r w:rsidRPr="00D264F7">
        <w:rPr>
          <w:sz w:val="22"/>
          <w:szCs w:val="22"/>
          <w:lang w:val="sr-Latn-ME"/>
        </w:rPr>
        <w:t xml:space="preserve">). Posledično je odnos ćelija CD4+/CD8+ kod tih pacijenata bio </w:t>
      </w:r>
      <w:r w:rsidR="00AC41F8" w:rsidRPr="00D264F7">
        <w:rPr>
          <w:sz w:val="22"/>
          <w:szCs w:val="22"/>
          <w:lang w:val="sr-Latn-ME"/>
        </w:rPr>
        <w:t>povećan</w:t>
      </w:r>
      <w:r w:rsidRPr="00D264F7">
        <w:rPr>
          <w:sz w:val="22"/>
          <w:szCs w:val="22"/>
          <w:lang w:val="sr-Latn-ME"/>
        </w:rPr>
        <w:t xml:space="preserve">. </w:t>
      </w:r>
    </w:p>
    <w:p w14:paraId="4E5E7164" w14:textId="77777777" w:rsidR="00A624CD" w:rsidRPr="00D264F7" w:rsidRDefault="00A624CD">
      <w:pPr>
        <w:autoSpaceDE w:val="0"/>
        <w:autoSpaceDN w:val="0"/>
        <w:adjustRightInd w:val="0"/>
        <w:jc w:val="both"/>
        <w:rPr>
          <w:sz w:val="22"/>
          <w:szCs w:val="22"/>
          <w:lang w:val="sr-Latn-ME"/>
        </w:rPr>
      </w:pPr>
    </w:p>
    <w:p w14:paraId="1830F527" w14:textId="6334AF57" w:rsidR="00A624CD" w:rsidRPr="00D264F7" w:rsidRDefault="00A624CD">
      <w:pPr>
        <w:autoSpaceDE w:val="0"/>
        <w:autoSpaceDN w:val="0"/>
        <w:adjustRightInd w:val="0"/>
        <w:jc w:val="both"/>
        <w:rPr>
          <w:color w:val="000000"/>
          <w:sz w:val="22"/>
          <w:szCs w:val="22"/>
          <w:lang w:val="sr-Latn-ME"/>
        </w:rPr>
      </w:pPr>
      <w:r w:rsidRPr="00D264F7">
        <w:rPr>
          <w:sz w:val="22"/>
          <w:szCs w:val="22"/>
          <w:lang w:val="sr-Latn-ME"/>
        </w:rPr>
        <w:t>Čini se da dugotrajna um</w:t>
      </w:r>
      <w:r w:rsidR="007F1F0C" w:rsidRPr="00D264F7">
        <w:rPr>
          <w:sz w:val="22"/>
          <w:szCs w:val="22"/>
          <w:lang w:val="sr-Latn-ME"/>
        </w:rPr>
        <w:t>j</w:t>
      </w:r>
      <w:r w:rsidRPr="00D264F7">
        <w:rPr>
          <w:sz w:val="22"/>
          <w:szCs w:val="22"/>
          <w:lang w:val="sr-Latn-ME"/>
        </w:rPr>
        <w:t>erena do teška limfopenija povećava rizik od PML-a uz l</w:t>
      </w:r>
      <w:r w:rsidR="007F1F0C" w:rsidRPr="00D264F7">
        <w:rPr>
          <w:sz w:val="22"/>
          <w:szCs w:val="22"/>
          <w:lang w:val="sr-Latn-ME"/>
        </w:rPr>
        <w:t>ij</w:t>
      </w:r>
      <w:r w:rsidRPr="00D264F7">
        <w:rPr>
          <w:sz w:val="22"/>
          <w:szCs w:val="22"/>
          <w:lang w:val="sr-Latn-ME"/>
        </w:rPr>
        <w:t>ek Tecfidera</w:t>
      </w:r>
      <w:r w:rsidR="005A67B8">
        <w:rPr>
          <w:sz w:val="22"/>
          <w:szCs w:val="22"/>
          <w:lang w:val="sr-Latn-ME"/>
        </w:rPr>
        <w:t>.</w:t>
      </w:r>
      <w:r w:rsidRPr="00D264F7">
        <w:rPr>
          <w:sz w:val="22"/>
          <w:szCs w:val="22"/>
          <w:lang w:val="sr-Latn-ME"/>
        </w:rPr>
        <w:t xml:space="preserve"> </w:t>
      </w:r>
      <w:r w:rsidR="005A67B8">
        <w:rPr>
          <w:sz w:val="22"/>
          <w:szCs w:val="22"/>
          <w:lang w:val="sr-Latn-ME"/>
        </w:rPr>
        <w:t>A</w:t>
      </w:r>
      <w:r w:rsidRPr="00D264F7">
        <w:rPr>
          <w:sz w:val="22"/>
          <w:szCs w:val="22"/>
          <w:lang w:val="sr-Latn-ME"/>
        </w:rPr>
        <w:t>li do PML-a je došlo i kod pacijenata s blagom limfopenijom. Pored toga, većina slučajeva PML-a nakon stavljanja</w:t>
      </w:r>
      <w:r w:rsidR="009179CF" w:rsidRPr="00D264F7">
        <w:rPr>
          <w:sz w:val="22"/>
          <w:szCs w:val="22"/>
          <w:lang w:val="sr-Latn-ME"/>
        </w:rPr>
        <w:t xml:space="preserve"> lijeka </w:t>
      </w:r>
      <w:r w:rsidRPr="00D264F7">
        <w:rPr>
          <w:sz w:val="22"/>
          <w:szCs w:val="22"/>
          <w:lang w:val="sr-Latn-ME"/>
        </w:rPr>
        <w:t xml:space="preserve"> </w:t>
      </w:r>
      <w:r w:rsidR="009179CF" w:rsidRPr="00D264F7">
        <w:rPr>
          <w:sz w:val="22"/>
          <w:szCs w:val="22"/>
          <w:lang w:val="sr-Latn-ME"/>
        </w:rPr>
        <w:t>u promet</w:t>
      </w:r>
      <w:r w:rsidRPr="00D264F7">
        <w:rPr>
          <w:sz w:val="22"/>
          <w:szCs w:val="22"/>
          <w:lang w:val="sr-Latn-ME"/>
        </w:rPr>
        <w:t xml:space="preserve"> pojavila se kod pacijenata starijih od 50 godina.</w:t>
      </w:r>
      <w:r w:rsidRPr="00D264F7">
        <w:rPr>
          <w:color w:val="B5062C"/>
          <w:sz w:val="22"/>
          <w:szCs w:val="22"/>
          <w:lang w:val="sr-Latn-ME"/>
        </w:rPr>
        <w:t xml:space="preserve"> </w:t>
      </w:r>
    </w:p>
    <w:p w14:paraId="2205EE66" w14:textId="77777777" w:rsidR="00A624CD" w:rsidRPr="00D264F7" w:rsidRDefault="00A624CD">
      <w:pPr>
        <w:tabs>
          <w:tab w:val="left" w:pos="567"/>
        </w:tabs>
        <w:suppressAutoHyphens/>
        <w:jc w:val="both"/>
        <w:rPr>
          <w:rFonts w:eastAsia="SimSun"/>
          <w:sz w:val="22"/>
          <w:szCs w:val="22"/>
          <w:lang w:val="sr-Latn-ME" w:eastAsia="ar-SA"/>
        </w:rPr>
      </w:pPr>
    </w:p>
    <w:p w14:paraId="05AA63F8" w14:textId="41953470" w:rsidR="0007037E" w:rsidRPr="00ED305B" w:rsidRDefault="0007037E">
      <w:pPr>
        <w:autoSpaceDE w:val="0"/>
        <w:autoSpaceDN w:val="0"/>
        <w:adjustRightInd w:val="0"/>
        <w:jc w:val="both"/>
        <w:rPr>
          <w:rFonts w:eastAsia="SimSun"/>
          <w:i/>
          <w:color w:val="000000"/>
          <w:sz w:val="22"/>
          <w:szCs w:val="22"/>
          <w:lang w:val="sr-Latn-ME" w:eastAsia="ar-SA"/>
        </w:rPr>
      </w:pPr>
      <w:r w:rsidRPr="00ED305B">
        <w:rPr>
          <w:rFonts w:eastAsia="SimSun"/>
          <w:i/>
          <w:color w:val="000000"/>
          <w:sz w:val="22"/>
          <w:szCs w:val="22"/>
          <w:lang w:val="sr-Latn-ME" w:eastAsia="ar-SA"/>
        </w:rPr>
        <w:t>Infekcije virusom herpes zoster</w:t>
      </w:r>
    </w:p>
    <w:p w14:paraId="14099105" w14:textId="77777777" w:rsidR="0007037E" w:rsidRDefault="0007037E">
      <w:pPr>
        <w:autoSpaceDE w:val="0"/>
        <w:autoSpaceDN w:val="0"/>
        <w:adjustRightInd w:val="0"/>
        <w:jc w:val="both"/>
        <w:rPr>
          <w:rFonts w:eastAsia="SimSun"/>
          <w:color w:val="000000"/>
          <w:sz w:val="22"/>
          <w:szCs w:val="22"/>
          <w:lang w:val="sr-Latn-ME" w:eastAsia="ar-SA"/>
        </w:rPr>
      </w:pPr>
    </w:p>
    <w:p w14:paraId="5897741A" w14:textId="185B44FB" w:rsidR="00A624CD" w:rsidRPr="00D264F7" w:rsidRDefault="00A624CD">
      <w:pPr>
        <w:autoSpaceDE w:val="0"/>
        <w:autoSpaceDN w:val="0"/>
        <w:adjustRightInd w:val="0"/>
        <w:jc w:val="both"/>
        <w:rPr>
          <w:rFonts w:eastAsia="SimSun"/>
          <w:color w:val="000000"/>
          <w:sz w:val="22"/>
          <w:szCs w:val="22"/>
          <w:lang w:val="sr-Latn-ME" w:eastAsia="ar-SA"/>
        </w:rPr>
      </w:pPr>
      <w:r w:rsidRPr="00D264F7">
        <w:rPr>
          <w:rFonts w:eastAsia="SimSun"/>
          <w:color w:val="000000"/>
          <w:sz w:val="22"/>
          <w:szCs w:val="22"/>
          <w:lang w:val="sr-Latn-ME" w:eastAsia="ar-SA"/>
        </w:rPr>
        <w:t>Tokom prim</w:t>
      </w:r>
      <w:r w:rsidR="007F1F0C" w:rsidRPr="00D264F7">
        <w:rPr>
          <w:rFonts w:eastAsia="SimSun"/>
          <w:color w:val="000000"/>
          <w:sz w:val="22"/>
          <w:szCs w:val="22"/>
          <w:lang w:val="sr-Latn-ME" w:eastAsia="ar-SA"/>
        </w:rPr>
        <w:t>j</w:t>
      </w:r>
      <w:r w:rsidRPr="00D264F7">
        <w:rPr>
          <w:rFonts w:eastAsia="SimSun"/>
          <w:color w:val="000000"/>
          <w:sz w:val="22"/>
          <w:szCs w:val="22"/>
          <w:lang w:val="sr-Latn-ME" w:eastAsia="ar-SA"/>
        </w:rPr>
        <w:t>ene l</w:t>
      </w:r>
      <w:r w:rsidR="007F1F0C" w:rsidRPr="00D264F7">
        <w:rPr>
          <w:rFonts w:eastAsia="SimSun"/>
          <w:color w:val="000000"/>
          <w:sz w:val="22"/>
          <w:szCs w:val="22"/>
          <w:lang w:val="sr-Latn-ME" w:eastAsia="ar-SA"/>
        </w:rPr>
        <w:t>ij</w:t>
      </w:r>
      <w:r w:rsidRPr="00D264F7">
        <w:rPr>
          <w:rFonts w:eastAsia="SimSun"/>
          <w:color w:val="000000"/>
          <w:sz w:val="22"/>
          <w:szCs w:val="22"/>
          <w:lang w:val="sr-Latn-ME" w:eastAsia="ar-SA"/>
        </w:rPr>
        <w:t xml:space="preserve">eka Tecfidera prijavljeni su slučajevi herpes zoster infekcija. </w:t>
      </w:r>
      <w:r w:rsidR="0007037E" w:rsidRPr="0007037E">
        <w:rPr>
          <w:rFonts w:eastAsia="SimSun"/>
          <w:color w:val="000000"/>
          <w:sz w:val="22"/>
          <w:szCs w:val="22"/>
          <w:lang w:val="sr-Latn-ME" w:eastAsia="ar-SA"/>
        </w:rPr>
        <w:t>U dugotrajnom nastavku</w:t>
      </w:r>
      <w:r w:rsidR="0007037E">
        <w:rPr>
          <w:rFonts w:eastAsia="SimSun"/>
          <w:color w:val="000000"/>
          <w:sz w:val="22"/>
          <w:szCs w:val="22"/>
          <w:lang w:val="sr-Latn-ME" w:eastAsia="ar-SA"/>
        </w:rPr>
        <w:t xml:space="preserve"> </w:t>
      </w:r>
      <w:r w:rsidR="0007037E" w:rsidRPr="0007037E">
        <w:rPr>
          <w:rFonts w:eastAsia="SimSun"/>
          <w:color w:val="000000"/>
          <w:sz w:val="22"/>
          <w:szCs w:val="22"/>
          <w:lang w:val="sr-Latn-ME" w:eastAsia="ar-SA"/>
        </w:rPr>
        <w:t>kliničkog ispitivanja u kojemu je liječeno 1736 bolesnika s multiplom sklerozom, u približno njih 5%</w:t>
      </w:r>
      <w:r w:rsidR="0007037E">
        <w:rPr>
          <w:rFonts w:eastAsia="SimSun"/>
          <w:color w:val="000000"/>
          <w:sz w:val="22"/>
          <w:szCs w:val="22"/>
          <w:lang w:val="sr-Latn-ME" w:eastAsia="ar-SA"/>
        </w:rPr>
        <w:t xml:space="preserve"> </w:t>
      </w:r>
      <w:r w:rsidR="0007037E" w:rsidRPr="0007037E">
        <w:rPr>
          <w:rFonts w:eastAsia="SimSun"/>
          <w:color w:val="000000"/>
          <w:sz w:val="22"/>
          <w:szCs w:val="22"/>
          <w:lang w:val="sr-Latn-ME" w:eastAsia="ar-SA"/>
        </w:rPr>
        <w:t>jedanput ili više puta došlo je do pojave herpes zostera, od čega je u 42% bolesnika zoster bio blagog,</w:t>
      </w:r>
      <w:r w:rsidR="0007037E">
        <w:rPr>
          <w:rFonts w:eastAsia="SimSun"/>
          <w:color w:val="000000"/>
          <w:sz w:val="22"/>
          <w:szCs w:val="22"/>
          <w:lang w:val="sr-Latn-ME" w:eastAsia="ar-SA"/>
        </w:rPr>
        <w:t xml:space="preserve"> </w:t>
      </w:r>
      <w:r w:rsidR="0007037E" w:rsidRPr="0007037E">
        <w:rPr>
          <w:rFonts w:eastAsia="SimSun"/>
          <w:color w:val="000000"/>
          <w:sz w:val="22"/>
          <w:szCs w:val="22"/>
          <w:lang w:val="sr-Latn-ME" w:eastAsia="ar-SA"/>
        </w:rPr>
        <w:t>u 55% umjerenog, a u 3% teškog oblika. Vrijeme do pojave herpes zostera nakon primjene prve doze</w:t>
      </w:r>
      <w:r w:rsidR="0007037E">
        <w:rPr>
          <w:rFonts w:eastAsia="SimSun"/>
          <w:color w:val="000000"/>
          <w:sz w:val="22"/>
          <w:szCs w:val="22"/>
          <w:lang w:val="sr-Latn-ME" w:eastAsia="ar-SA"/>
        </w:rPr>
        <w:t xml:space="preserve"> </w:t>
      </w:r>
      <w:r w:rsidR="0007037E" w:rsidRPr="0007037E">
        <w:rPr>
          <w:rFonts w:eastAsia="SimSun"/>
          <w:color w:val="000000"/>
          <w:sz w:val="22"/>
          <w:szCs w:val="22"/>
          <w:lang w:val="sr-Latn-ME" w:eastAsia="ar-SA"/>
        </w:rPr>
        <w:t>Tecfidere bilo je u rasponu od približno 3 mjeseca do 10 godina. U četiri bolesnika događaji su bili</w:t>
      </w:r>
      <w:r w:rsidR="0007037E">
        <w:rPr>
          <w:rFonts w:eastAsia="SimSun"/>
          <w:color w:val="000000"/>
          <w:sz w:val="22"/>
          <w:szCs w:val="22"/>
          <w:lang w:val="sr-Latn-ME" w:eastAsia="ar-SA"/>
        </w:rPr>
        <w:t xml:space="preserve"> </w:t>
      </w:r>
      <w:r w:rsidR="0007037E" w:rsidRPr="0007037E">
        <w:rPr>
          <w:rFonts w:eastAsia="SimSun"/>
          <w:color w:val="000000"/>
          <w:sz w:val="22"/>
          <w:szCs w:val="22"/>
          <w:lang w:val="sr-Latn-ME" w:eastAsia="ar-SA"/>
        </w:rPr>
        <w:t>ozbiljni, ali svi su se oporavili</w:t>
      </w:r>
      <w:r w:rsidR="0007037E">
        <w:rPr>
          <w:rFonts w:eastAsia="SimSun"/>
          <w:color w:val="000000"/>
          <w:sz w:val="22"/>
          <w:szCs w:val="22"/>
          <w:lang w:val="sr-Latn-ME" w:eastAsia="ar-SA"/>
        </w:rPr>
        <w:t xml:space="preserve">. </w:t>
      </w:r>
      <w:r w:rsidRPr="00D264F7">
        <w:rPr>
          <w:rFonts w:eastAsia="SimSun"/>
          <w:color w:val="000000"/>
          <w:sz w:val="22"/>
          <w:szCs w:val="22"/>
          <w:lang w:val="sr-Latn-ME" w:eastAsia="ar-SA"/>
        </w:rPr>
        <w:t xml:space="preserve">Kod većine </w:t>
      </w:r>
      <w:r w:rsidR="00AC41F8" w:rsidRPr="00D264F7">
        <w:rPr>
          <w:rFonts w:eastAsia="SimSun"/>
          <w:color w:val="000000"/>
          <w:sz w:val="22"/>
          <w:szCs w:val="22"/>
          <w:lang w:val="sr-Latn-ME" w:eastAsia="ar-SA"/>
        </w:rPr>
        <w:t>pacijenata</w:t>
      </w:r>
      <w:r w:rsidRPr="00D264F7">
        <w:rPr>
          <w:rFonts w:eastAsia="SimSun"/>
          <w:color w:val="000000"/>
          <w:sz w:val="22"/>
          <w:szCs w:val="22"/>
          <w:lang w:val="sr-Latn-ME" w:eastAsia="ar-SA"/>
        </w:rPr>
        <w:t xml:space="preserve">, uključujući i one kod kojih je nastupila ozbiljna herpes zoster infekcija, broj limfocita bio je iznad donje granice normale. </w:t>
      </w:r>
      <w:r w:rsidRPr="00D264F7">
        <w:rPr>
          <w:sz w:val="22"/>
          <w:szCs w:val="22"/>
          <w:lang w:val="sr-Latn-ME"/>
        </w:rPr>
        <w:t xml:space="preserve">Kod većine </w:t>
      </w:r>
      <w:r w:rsidR="00AC41F8" w:rsidRPr="00D264F7">
        <w:rPr>
          <w:sz w:val="22"/>
          <w:szCs w:val="22"/>
          <w:lang w:val="sr-Latn-ME"/>
        </w:rPr>
        <w:t xml:space="preserve">pacijenata </w:t>
      </w:r>
      <w:r w:rsidRPr="00D264F7">
        <w:rPr>
          <w:sz w:val="22"/>
          <w:szCs w:val="22"/>
          <w:lang w:val="sr-Latn-ME"/>
        </w:rPr>
        <w:t>s istovremenim brojem limfocita ispod donje granice normalnih vr</w:t>
      </w:r>
      <w:r w:rsidR="007F1F0C" w:rsidRPr="00D264F7">
        <w:rPr>
          <w:sz w:val="22"/>
          <w:szCs w:val="22"/>
          <w:lang w:val="sr-Latn-ME"/>
        </w:rPr>
        <w:t>ij</w:t>
      </w:r>
      <w:r w:rsidRPr="00D264F7">
        <w:rPr>
          <w:sz w:val="22"/>
          <w:szCs w:val="22"/>
          <w:lang w:val="sr-Latn-ME"/>
        </w:rPr>
        <w:t>ednosti, limfopenija je oc</w:t>
      </w:r>
      <w:r w:rsidR="007F1F0C" w:rsidRPr="00D264F7">
        <w:rPr>
          <w:sz w:val="22"/>
          <w:szCs w:val="22"/>
          <w:lang w:val="sr-Latn-ME"/>
        </w:rPr>
        <w:t>ij</w:t>
      </w:r>
      <w:r w:rsidRPr="00D264F7">
        <w:rPr>
          <w:sz w:val="22"/>
          <w:szCs w:val="22"/>
          <w:lang w:val="sr-Latn-ME"/>
        </w:rPr>
        <w:t>enjena kao um</w:t>
      </w:r>
      <w:r w:rsidR="007F1F0C" w:rsidRPr="00D264F7">
        <w:rPr>
          <w:sz w:val="22"/>
          <w:szCs w:val="22"/>
          <w:lang w:val="sr-Latn-ME"/>
        </w:rPr>
        <w:t>j</w:t>
      </w:r>
      <w:r w:rsidRPr="00D264F7">
        <w:rPr>
          <w:sz w:val="22"/>
          <w:szCs w:val="22"/>
          <w:lang w:val="sr-Latn-ME"/>
        </w:rPr>
        <w:t>erena ili teška</w:t>
      </w:r>
      <w:r w:rsidRPr="00D264F7">
        <w:rPr>
          <w:color w:val="000000"/>
          <w:sz w:val="22"/>
          <w:szCs w:val="22"/>
          <w:lang w:val="sr-Latn-ME"/>
        </w:rPr>
        <w:t xml:space="preserve">. </w:t>
      </w:r>
      <w:r w:rsidRPr="00D264F7">
        <w:rPr>
          <w:rFonts w:eastAsia="SimSun"/>
          <w:color w:val="000000"/>
          <w:sz w:val="22"/>
          <w:szCs w:val="22"/>
          <w:lang w:val="sr-Latn-ME" w:eastAsia="ar-SA"/>
        </w:rPr>
        <w:t>U periodu nakon stavljanja l</w:t>
      </w:r>
      <w:r w:rsidR="007F1F0C" w:rsidRPr="00D264F7">
        <w:rPr>
          <w:rFonts w:eastAsia="SimSun"/>
          <w:color w:val="000000"/>
          <w:sz w:val="22"/>
          <w:szCs w:val="22"/>
          <w:lang w:val="sr-Latn-ME" w:eastAsia="ar-SA"/>
        </w:rPr>
        <w:t>ij</w:t>
      </w:r>
      <w:r w:rsidRPr="00D264F7">
        <w:rPr>
          <w:rFonts w:eastAsia="SimSun"/>
          <w:color w:val="000000"/>
          <w:sz w:val="22"/>
          <w:szCs w:val="22"/>
          <w:lang w:val="sr-Latn-ME" w:eastAsia="ar-SA"/>
        </w:rPr>
        <w:t xml:space="preserve">eka u promet, većina slučajeva herpes zoster infekcija </w:t>
      </w:r>
      <w:r w:rsidRPr="00D264F7">
        <w:rPr>
          <w:rFonts w:eastAsia="SimSun"/>
          <w:color w:val="000000"/>
          <w:sz w:val="22"/>
          <w:szCs w:val="22"/>
          <w:lang w:val="sr-Latn-ME" w:eastAsia="ar-SA"/>
        </w:rPr>
        <w:lastRenderedPageBreak/>
        <w:t>nije bila ozbiljna i r</w:t>
      </w:r>
      <w:r w:rsidR="007F1F0C" w:rsidRPr="00D264F7">
        <w:rPr>
          <w:rFonts w:eastAsia="SimSun"/>
          <w:color w:val="000000"/>
          <w:sz w:val="22"/>
          <w:szCs w:val="22"/>
          <w:lang w:val="sr-Latn-ME" w:eastAsia="ar-SA"/>
        </w:rPr>
        <w:t>ij</w:t>
      </w:r>
      <w:r w:rsidRPr="00D264F7">
        <w:rPr>
          <w:rFonts w:eastAsia="SimSun"/>
          <w:color w:val="000000"/>
          <w:sz w:val="22"/>
          <w:szCs w:val="22"/>
          <w:lang w:val="sr-Latn-ME" w:eastAsia="ar-SA"/>
        </w:rPr>
        <w:t>ešena je terapijom. Podaci o apsolutnom broju limfocita</w:t>
      </w:r>
      <w:r w:rsidR="00AC41F8" w:rsidRPr="00D264F7">
        <w:rPr>
          <w:rFonts w:eastAsia="SimSun"/>
          <w:color w:val="000000"/>
          <w:sz w:val="22"/>
          <w:szCs w:val="22"/>
          <w:lang w:val="sr-Latn-ME" w:eastAsia="ar-SA"/>
        </w:rPr>
        <w:t xml:space="preserve"> (ABL)</w:t>
      </w:r>
      <w:r w:rsidRPr="00D264F7">
        <w:rPr>
          <w:rFonts w:eastAsia="SimSun"/>
          <w:color w:val="000000"/>
          <w:sz w:val="22"/>
          <w:szCs w:val="22"/>
          <w:lang w:val="sr-Latn-ME" w:eastAsia="ar-SA"/>
        </w:rPr>
        <w:t xml:space="preserve"> kod pacijenata sa herpes zoster infekcijom iz perioda nakon stavljanja l</w:t>
      </w:r>
      <w:r w:rsidR="007F1F0C" w:rsidRPr="00D264F7">
        <w:rPr>
          <w:rFonts w:eastAsia="SimSun"/>
          <w:color w:val="000000"/>
          <w:sz w:val="22"/>
          <w:szCs w:val="22"/>
          <w:lang w:val="sr-Latn-ME" w:eastAsia="ar-SA"/>
        </w:rPr>
        <w:t>ij</w:t>
      </w:r>
      <w:r w:rsidRPr="00D264F7">
        <w:rPr>
          <w:rFonts w:eastAsia="SimSun"/>
          <w:color w:val="000000"/>
          <w:sz w:val="22"/>
          <w:szCs w:val="22"/>
          <w:lang w:val="sr-Latn-ME" w:eastAsia="ar-SA"/>
        </w:rPr>
        <w:t>eka u promet su ograničeni. Međutim, među prijavljenim slučajevima</w:t>
      </w:r>
      <w:r w:rsidR="002A7193" w:rsidRPr="00D264F7">
        <w:rPr>
          <w:rFonts w:eastAsia="SimSun"/>
          <w:color w:val="000000"/>
          <w:sz w:val="22"/>
          <w:szCs w:val="22"/>
          <w:lang w:val="sr-Latn-ME" w:eastAsia="ar-SA"/>
        </w:rPr>
        <w:t xml:space="preserve"> limfopenije</w:t>
      </w:r>
      <w:r w:rsidRPr="00D264F7">
        <w:rPr>
          <w:rFonts w:eastAsia="SimSun"/>
          <w:color w:val="000000"/>
          <w:sz w:val="22"/>
          <w:szCs w:val="22"/>
          <w:lang w:val="sr-Latn-ME" w:eastAsia="ar-SA"/>
        </w:rPr>
        <w:t xml:space="preserve"> kod većine pacijenata prijavljena je um</w:t>
      </w:r>
      <w:r w:rsidR="007F1F0C" w:rsidRPr="00D264F7">
        <w:rPr>
          <w:rFonts w:eastAsia="SimSun"/>
          <w:color w:val="000000"/>
          <w:sz w:val="22"/>
          <w:szCs w:val="22"/>
          <w:lang w:val="sr-Latn-ME" w:eastAsia="ar-SA"/>
        </w:rPr>
        <w:t>j</w:t>
      </w:r>
      <w:r w:rsidRPr="00D264F7">
        <w:rPr>
          <w:rFonts w:eastAsia="SimSun"/>
          <w:color w:val="000000"/>
          <w:sz w:val="22"/>
          <w:szCs w:val="22"/>
          <w:lang w:val="sr-Latn-ME" w:eastAsia="ar-SA"/>
        </w:rPr>
        <w:t>erena (</w:t>
      </w:r>
      <w:r w:rsidR="00AC41F8" w:rsidRPr="00D264F7">
        <w:rPr>
          <w:rFonts w:eastAsiaTheme="minorHAnsi"/>
          <w:sz w:val="22"/>
          <w:szCs w:val="22"/>
          <w:lang w:val="sr-Latn-ME"/>
        </w:rPr>
        <w:t xml:space="preserve">≥ 0,5 × 109/L do </w:t>
      </w:r>
      <w:r w:rsidRPr="00D264F7">
        <w:rPr>
          <w:rFonts w:eastAsia="SimSun"/>
          <w:color w:val="000000"/>
          <w:sz w:val="22"/>
          <w:szCs w:val="22"/>
          <w:lang w:val="sr-Latn-ME" w:eastAsia="ar-SA"/>
        </w:rPr>
        <w:t>&lt; 0,8 × 10</w:t>
      </w:r>
      <w:r w:rsidRPr="00D264F7">
        <w:rPr>
          <w:rFonts w:eastAsia="SimSun"/>
          <w:color w:val="000000"/>
          <w:sz w:val="22"/>
          <w:szCs w:val="22"/>
          <w:vertAlign w:val="superscript"/>
          <w:lang w:val="sr-Latn-ME" w:eastAsia="ar-SA"/>
        </w:rPr>
        <w:t>9</w:t>
      </w:r>
      <w:r w:rsidRPr="00D264F7">
        <w:rPr>
          <w:rFonts w:eastAsia="SimSun"/>
          <w:color w:val="000000"/>
          <w:sz w:val="22"/>
          <w:szCs w:val="22"/>
          <w:lang w:val="sr-Latn-ME" w:eastAsia="ar-SA"/>
        </w:rPr>
        <w:t>/L) ili teška  (&lt; 0,5 × 10</w:t>
      </w:r>
      <w:r w:rsidRPr="00D264F7">
        <w:rPr>
          <w:rFonts w:eastAsia="SimSun"/>
          <w:color w:val="000000"/>
          <w:sz w:val="22"/>
          <w:szCs w:val="22"/>
          <w:vertAlign w:val="superscript"/>
          <w:lang w:val="sr-Latn-ME" w:eastAsia="ar-SA"/>
        </w:rPr>
        <w:t>9</w:t>
      </w:r>
      <w:r w:rsidRPr="00D264F7">
        <w:rPr>
          <w:rFonts w:eastAsia="SimSun"/>
          <w:color w:val="000000"/>
          <w:sz w:val="22"/>
          <w:szCs w:val="22"/>
          <w:lang w:val="sr-Latn-ME" w:eastAsia="ar-SA"/>
        </w:rPr>
        <w:t>/L do 0,2 × 10</w:t>
      </w:r>
      <w:r w:rsidRPr="00D264F7">
        <w:rPr>
          <w:rFonts w:eastAsia="SimSun"/>
          <w:color w:val="000000"/>
          <w:sz w:val="22"/>
          <w:szCs w:val="22"/>
          <w:vertAlign w:val="superscript"/>
          <w:lang w:val="sr-Latn-ME" w:eastAsia="ar-SA"/>
        </w:rPr>
        <w:t>9</w:t>
      </w:r>
      <w:r w:rsidRPr="00D264F7">
        <w:rPr>
          <w:rFonts w:eastAsia="SimSun"/>
          <w:color w:val="000000"/>
          <w:sz w:val="22"/>
          <w:szCs w:val="22"/>
          <w:lang w:val="sr-Latn-ME" w:eastAsia="ar-SA"/>
        </w:rPr>
        <w:t>/L) limfopenija (vid</w:t>
      </w:r>
      <w:r w:rsidR="007F1F0C" w:rsidRPr="00D264F7">
        <w:rPr>
          <w:rFonts w:eastAsia="SimSun"/>
          <w:color w:val="000000"/>
          <w:sz w:val="22"/>
          <w:szCs w:val="22"/>
          <w:lang w:val="sr-Latn-ME" w:eastAsia="ar-SA"/>
        </w:rPr>
        <w:t>j</w:t>
      </w:r>
      <w:r w:rsidRPr="00D264F7">
        <w:rPr>
          <w:rFonts w:eastAsia="SimSun"/>
          <w:color w:val="000000"/>
          <w:sz w:val="22"/>
          <w:szCs w:val="22"/>
          <w:lang w:val="sr-Latn-ME" w:eastAsia="ar-SA"/>
        </w:rPr>
        <w:t xml:space="preserve">eti </w:t>
      </w:r>
      <w:r w:rsidR="002A7193" w:rsidRPr="00D264F7">
        <w:rPr>
          <w:rFonts w:eastAsia="SimSun"/>
          <w:color w:val="000000"/>
          <w:sz w:val="22"/>
          <w:szCs w:val="22"/>
          <w:lang w:val="sr-Latn-ME" w:eastAsia="ar-SA"/>
        </w:rPr>
        <w:t xml:space="preserve">dio </w:t>
      </w:r>
      <w:r w:rsidRPr="00D264F7">
        <w:rPr>
          <w:rFonts w:eastAsia="SimSun"/>
          <w:color w:val="000000"/>
          <w:sz w:val="22"/>
          <w:szCs w:val="22"/>
          <w:lang w:val="sr-Latn-ME" w:eastAsia="ar-SA"/>
        </w:rPr>
        <w:t>4.4).</w:t>
      </w:r>
    </w:p>
    <w:p w14:paraId="454DFA5D" w14:textId="77777777" w:rsidR="00A624CD" w:rsidRPr="00D264F7" w:rsidRDefault="00A624CD">
      <w:pPr>
        <w:spacing w:line="259" w:lineRule="auto"/>
        <w:jc w:val="both"/>
        <w:rPr>
          <w:rFonts w:eastAsiaTheme="minorHAnsi"/>
          <w:sz w:val="22"/>
          <w:szCs w:val="22"/>
          <w:lang w:val="sr-Latn-ME"/>
        </w:rPr>
      </w:pPr>
    </w:p>
    <w:p w14:paraId="5B8A915C" w14:textId="77777777" w:rsidR="00BD782B" w:rsidRPr="00D264F7" w:rsidRDefault="00BD782B">
      <w:pPr>
        <w:spacing w:line="259" w:lineRule="auto"/>
        <w:jc w:val="both"/>
        <w:rPr>
          <w:rFonts w:eastAsiaTheme="minorHAnsi"/>
          <w:i/>
          <w:sz w:val="22"/>
          <w:szCs w:val="22"/>
          <w:lang w:val="sr-Latn-ME"/>
        </w:rPr>
      </w:pPr>
      <w:r w:rsidRPr="00D264F7">
        <w:rPr>
          <w:rFonts w:eastAsiaTheme="minorHAnsi"/>
          <w:i/>
          <w:sz w:val="22"/>
          <w:szCs w:val="22"/>
          <w:lang w:val="sr-Latn-ME"/>
        </w:rPr>
        <w:t>Laboratorijske abnormalnosti</w:t>
      </w:r>
    </w:p>
    <w:p w14:paraId="6DF74C83" w14:textId="77777777" w:rsidR="00BD782B" w:rsidRPr="00D264F7" w:rsidRDefault="00BD782B">
      <w:pPr>
        <w:keepNext/>
        <w:spacing w:line="259" w:lineRule="auto"/>
        <w:jc w:val="both"/>
        <w:rPr>
          <w:rFonts w:eastAsiaTheme="minorHAnsi"/>
          <w:sz w:val="22"/>
          <w:szCs w:val="22"/>
          <w:lang w:val="sr-Latn-ME"/>
        </w:rPr>
      </w:pPr>
    </w:p>
    <w:p w14:paraId="433F327A" w14:textId="407803EC" w:rsidR="00BD782B" w:rsidRPr="00D264F7" w:rsidRDefault="00BD782B">
      <w:pPr>
        <w:keepNext/>
        <w:spacing w:line="259" w:lineRule="auto"/>
        <w:jc w:val="both"/>
        <w:rPr>
          <w:rFonts w:eastAsiaTheme="minorHAnsi"/>
          <w:i/>
          <w:sz w:val="22"/>
          <w:szCs w:val="22"/>
          <w:lang w:val="sr-Latn-ME"/>
        </w:rPr>
      </w:pPr>
      <w:r w:rsidRPr="00D264F7">
        <w:rPr>
          <w:rFonts w:eastAsiaTheme="minorHAnsi"/>
          <w:sz w:val="22"/>
          <w:szCs w:val="22"/>
          <w:lang w:val="sr-Latn-ME"/>
        </w:rPr>
        <w:t xml:space="preserve">U placebo kontrolisanim ispitivanjima mjerenje ketona u urinu (1+ ili više) bilo je </w:t>
      </w:r>
      <w:r w:rsidR="002A7193" w:rsidRPr="00D264F7">
        <w:rPr>
          <w:rFonts w:eastAsiaTheme="minorHAnsi"/>
          <w:sz w:val="22"/>
          <w:szCs w:val="22"/>
          <w:lang w:val="sr-Latn-ME"/>
        </w:rPr>
        <w:t xml:space="preserve">više </w:t>
      </w:r>
      <w:r w:rsidRPr="00D264F7">
        <w:rPr>
          <w:rFonts w:eastAsiaTheme="minorHAnsi"/>
          <w:sz w:val="22"/>
          <w:szCs w:val="22"/>
          <w:lang w:val="sr-Latn-ME"/>
        </w:rPr>
        <w:t>kod pacijenata liječenih lijekom Tecfidera (45%) u poređenju s placebom (10%). U kliničkim istraživanjima nisu primijećene nepovoljne kliničke posljedice.</w:t>
      </w:r>
    </w:p>
    <w:p w14:paraId="6A8059F2" w14:textId="77777777" w:rsidR="00BD782B" w:rsidRPr="00D264F7" w:rsidRDefault="00BD782B">
      <w:pPr>
        <w:keepNext/>
        <w:spacing w:line="259" w:lineRule="auto"/>
        <w:jc w:val="both"/>
        <w:rPr>
          <w:rFonts w:eastAsiaTheme="minorHAnsi"/>
          <w:i/>
          <w:sz w:val="22"/>
          <w:szCs w:val="22"/>
          <w:lang w:val="sr-Latn-ME"/>
        </w:rPr>
      </w:pPr>
    </w:p>
    <w:p w14:paraId="59077AC5" w14:textId="71371387" w:rsidR="00BD782B" w:rsidRPr="00D264F7" w:rsidRDefault="00BD782B">
      <w:pPr>
        <w:keepNext/>
        <w:spacing w:line="259" w:lineRule="auto"/>
        <w:jc w:val="both"/>
        <w:rPr>
          <w:rFonts w:eastAsiaTheme="minorHAnsi"/>
          <w:i/>
          <w:sz w:val="22"/>
          <w:szCs w:val="22"/>
          <w:lang w:val="sr-Latn-ME"/>
        </w:rPr>
      </w:pPr>
      <w:r w:rsidRPr="00D264F7">
        <w:rPr>
          <w:rFonts w:eastAsiaTheme="minorHAnsi"/>
          <w:sz w:val="22"/>
          <w:szCs w:val="22"/>
          <w:lang w:val="sr-Latn-ME"/>
        </w:rPr>
        <w:t>Nivoi 1,25-dihidroksivitamina D smanjivali su se kod pacijenata liječenih lijekom Tecfidera u odnosu na placebo (nakon 2 godine medijana p</w:t>
      </w:r>
      <w:r w:rsidR="002A7193" w:rsidRPr="00D264F7">
        <w:rPr>
          <w:rFonts w:eastAsiaTheme="minorHAnsi"/>
          <w:sz w:val="22"/>
          <w:szCs w:val="22"/>
          <w:lang w:val="sr-Latn-ME"/>
        </w:rPr>
        <w:t>rocenta</w:t>
      </w:r>
      <w:r w:rsidRPr="00D264F7">
        <w:rPr>
          <w:rFonts w:eastAsiaTheme="minorHAnsi"/>
          <w:sz w:val="22"/>
          <w:szCs w:val="22"/>
          <w:lang w:val="sr-Latn-ME"/>
        </w:rPr>
        <w:t xml:space="preserve"> smanjenja u odnosu na počet</w:t>
      </w:r>
      <w:r w:rsidR="002A7193" w:rsidRPr="00D264F7">
        <w:rPr>
          <w:rFonts w:eastAsiaTheme="minorHAnsi"/>
          <w:sz w:val="22"/>
          <w:szCs w:val="22"/>
          <w:lang w:val="sr-Latn-ME"/>
        </w:rPr>
        <w:t>ne vrijednosti</w:t>
      </w:r>
      <w:r w:rsidRPr="00D264F7">
        <w:rPr>
          <w:rFonts w:eastAsiaTheme="minorHAnsi"/>
          <w:sz w:val="22"/>
          <w:szCs w:val="22"/>
          <w:lang w:val="sr-Latn-ME"/>
        </w:rPr>
        <w:t xml:space="preserve"> bila je 25% odnosno 15%), a nivoi paratiroidnog hormona (PTH) povećali su se kod pacijenata liječenih lijekom Tecfidera u odnosu na placebo (nakon 2 godine medijana p</w:t>
      </w:r>
      <w:r w:rsidR="002A7193" w:rsidRPr="00D264F7">
        <w:rPr>
          <w:rFonts w:eastAsiaTheme="minorHAnsi"/>
          <w:sz w:val="22"/>
          <w:szCs w:val="22"/>
          <w:lang w:val="sr-Latn-ME"/>
        </w:rPr>
        <w:t>rocenta</w:t>
      </w:r>
      <w:r w:rsidRPr="00D264F7">
        <w:rPr>
          <w:rFonts w:eastAsiaTheme="minorHAnsi"/>
          <w:sz w:val="22"/>
          <w:szCs w:val="22"/>
          <w:lang w:val="sr-Latn-ME"/>
        </w:rPr>
        <w:t xml:space="preserve"> povećanja u odnosu na počet</w:t>
      </w:r>
      <w:r w:rsidR="002A7193" w:rsidRPr="00D264F7">
        <w:rPr>
          <w:rFonts w:eastAsiaTheme="minorHAnsi"/>
          <w:sz w:val="22"/>
          <w:szCs w:val="22"/>
          <w:lang w:val="sr-Latn-ME"/>
        </w:rPr>
        <w:t>ne vrijednosti</w:t>
      </w:r>
      <w:r w:rsidRPr="00D264F7">
        <w:rPr>
          <w:rFonts w:eastAsiaTheme="minorHAnsi"/>
          <w:sz w:val="22"/>
          <w:szCs w:val="22"/>
          <w:lang w:val="sr-Latn-ME"/>
        </w:rPr>
        <w:t xml:space="preserve"> bila je 29% odnosno 15%). Srednje vrijednosti za oba parametra ostale su u normalnom rasponu.</w:t>
      </w:r>
    </w:p>
    <w:p w14:paraId="0EFDB9F3" w14:textId="77777777" w:rsidR="00BD782B" w:rsidRPr="00D264F7" w:rsidRDefault="00BD782B">
      <w:pPr>
        <w:keepNext/>
        <w:spacing w:line="259" w:lineRule="auto"/>
        <w:jc w:val="both"/>
        <w:rPr>
          <w:rFonts w:eastAsiaTheme="minorHAnsi"/>
          <w:i/>
          <w:sz w:val="22"/>
          <w:szCs w:val="22"/>
          <w:lang w:val="sr-Latn-ME"/>
        </w:rPr>
      </w:pPr>
    </w:p>
    <w:p w14:paraId="36D365B6" w14:textId="6B566305" w:rsidR="00BD782B" w:rsidRPr="00D264F7" w:rsidRDefault="00BD782B">
      <w:pPr>
        <w:keepNext/>
        <w:spacing w:line="259" w:lineRule="auto"/>
        <w:jc w:val="both"/>
        <w:rPr>
          <w:rFonts w:eastAsiaTheme="minorHAnsi"/>
          <w:i/>
          <w:sz w:val="22"/>
          <w:szCs w:val="22"/>
          <w:lang w:val="sr-Latn-ME"/>
        </w:rPr>
      </w:pPr>
      <w:r w:rsidRPr="00D264F7">
        <w:rPr>
          <w:rFonts w:eastAsiaTheme="minorHAnsi"/>
          <w:sz w:val="22"/>
          <w:szCs w:val="22"/>
          <w:lang w:val="sr-Latn-ME"/>
        </w:rPr>
        <w:t xml:space="preserve">Prolazno povećanje srednje vrijednosti broja eozinofila zabelježeno je tokom </w:t>
      </w:r>
      <w:r w:rsidR="002A7193" w:rsidRPr="00D264F7">
        <w:rPr>
          <w:rFonts w:eastAsiaTheme="minorHAnsi"/>
          <w:sz w:val="22"/>
          <w:szCs w:val="22"/>
          <w:lang w:val="sr-Latn-ME"/>
        </w:rPr>
        <w:t xml:space="preserve">prva </w:t>
      </w:r>
      <w:r w:rsidRPr="00D264F7">
        <w:rPr>
          <w:rFonts w:eastAsiaTheme="minorHAnsi"/>
          <w:sz w:val="22"/>
          <w:szCs w:val="22"/>
          <w:lang w:val="sr-Latn-ME"/>
        </w:rPr>
        <w:t>2 mjeseca terapije.</w:t>
      </w:r>
    </w:p>
    <w:p w14:paraId="66F1C710" w14:textId="77777777" w:rsidR="00BD782B" w:rsidRPr="00D264F7" w:rsidRDefault="00BD782B">
      <w:pPr>
        <w:keepNext/>
        <w:spacing w:line="259" w:lineRule="auto"/>
        <w:jc w:val="both"/>
        <w:rPr>
          <w:rFonts w:eastAsiaTheme="minorHAnsi"/>
          <w:i/>
          <w:sz w:val="22"/>
          <w:szCs w:val="22"/>
          <w:lang w:val="sr-Latn-ME"/>
        </w:rPr>
      </w:pPr>
    </w:p>
    <w:p w14:paraId="46BB5D9F" w14:textId="1EBF819B" w:rsidR="00BD782B" w:rsidRPr="00D264F7" w:rsidRDefault="00BD782B" w:rsidP="001F758F">
      <w:pPr>
        <w:autoSpaceDE w:val="0"/>
        <w:autoSpaceDN w:val="0"/>
        <w:adjustRightInd w:val="0"/>
        <w:spacing w:after="160" w:line="259" w:lineRule="auto"/>
        <w:jc w:val="both"/>
        <w:rPr>
          <w:sz w:val="22"/>
          <w:szCs w:val="22"/>
          <w:lang w:val="sr-Latn-ME"/>
        </w:rPr>
      </w:pPr>
      <w:r w:rsidRPr="00D264F7">
        <w:rPr>
          <w:i/>
          <w:sz w:val="22"/>
          <w:szCs w:val="22"/>
          <w:lang w:val="sr-Latn-ME"/>
        </w:rPr>
        <w:t>Pedijatrijska populacija</w:t>
      </w:r>
    </w:p>
    <w:p w14:paraId="25CDA065" w14:textId="032971D6" w:rsidR="00AC41F8" w:rsidRPr="00D264F7" w:rsidRDefault="00AC41F8" w:rsidP="001C605F">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U 96-ned</w:t>
      </w:r>
      <w:r w:rsidR="00BB5A46" w:rsidRPr="00D264F7">
        <w:rPr>
          <w:rFonts w:eastAsia="SimSun"/>
          <w:sz w:val="22"/>
          <w:szCs w:val="22"/>
          <w:lang w:val="sr-Latn-ME" w:eastAsia="ar-SA"/>
        </w:rPr>
        <w:t>j</w:t>
      </w:r>
      <w:r w:rsidRPr="00D264F7">
        <w:rPr>
          <w:rFonts w:eastAsia="SimSun"/>
          <w:sz w:val="22"/>
          <w:szCs w:val="22"/>
          <w:lang w:val="sr-Latn-ME" w:eastAsia="ar-SA"/>
        </w:rPr>
        <w:t>eljnom otvorenom, randomiz</w:t>
      </w:r>
      <w:r w:rsidR="002A7193" w:rsidRPr="00D264F7">
        <w:rPr>
          <w:rFonts w:eastAsia="SimSun"/>
          <w:sz w:val="22"/>
          <w:szCs w:val="22"/>
          <w:lang w:val="sr-Latn-ME" w:eastAsia="ar-SA"/>
        </w:rPr>
        <w:t>ovanom</w:t>
      </w:r>
      <w:r w:rsidRPr="00D264F7">
        <w:rPr>
          <w:rFonts w:eastAsia="SimSun"/>
          <w:sz w:val="22"/>
          <w:szCs w:val="22"/>
          <w:lang w:val="sr-Latn-ME" w:eastAsia="ar-SA"/>
        </w:rPr>
        <w:t xml:space="preserve"> aktivno kontrolisanom ispitivanju kod pedijatrijskih pacijenata sa RRMS-om </w:t>
      </w:r>
      <w:r w:rsidR="00D90DD9">
        <w:rPr>
          <w:rFonts w:eastAsia="SimSun"/>
          <w:sz w:val="22"/>
          <w:szCs w:val="22"/>
          <w:lang w:val="sr-Latn-ME" w:eastAsia="ar-SA"/>
        </w:rPr>
        <w:t>(</w:t>
      </w:r>
      <w:r w:rsidR="00D90DD9" w:rsidRPr="00193B8B">
        <w:rPr>
          <w:rFonts w:eastAsia="SimSun"/>
          <w:sz w:val="22"/>
          <w:szCs w:val="22"/>
          <w:lang w:val="sr-Latn-ME" w:eastAsia="ar-SA"/>
        </w:rPr>
        <w:t>n = 7 u dobi od 10 godina do manje od 13 godina i n = 71 u dobi</w:t>
      </w:r>
      <w:r w:rsidR="00D90DD9">
        <w:rPr>
          <w:rFonts w:eastAsia="SimSun"/>
          <w:sz w:val="22"/>
          <w:szCs w:val="22"/>
          <w:lang w:val="sr-Latn-ME" w:eastAsia="ar-SA"/>
        </w:rPr>
        <w:t xml:space="preserve"> </w:t>
      </w:r>
      <w:r w:rsidR="00D90DD9" w:rsidRPr="00193B8B">
        <w:rPr>
          <w:rFonts w:eastAsia="SimSun"/>
          <w:sz w:val="22"/>
          <w:szCs w:val="22"/>
          <w:lang w:val="sr-Latn-ME" w:eastAsia="ar-SA"/>
        </w:rPr>
        <w:t>od 13 do manje od 18 godina</w:t>
      </w:r>
      <w:r w:rsidR="00D90DD9" w:rsidRPr="00D264F7">
        <w:rPr>
          <w:rFonts w:eastAsia="SimSun"/>
          <w:sz w:val="22"/>
          <w:szCs w:val="22"/>
          <w:lang w:val="sr-Latn-ME" w:eastAsia="ar-SA"/>
        </w:rPr>
        <w:t xml:space="preserve">), </w:t>
      </w:r>
      <w:r w:rsidR="00927487">
        <w:rPr>
          <w:rFonts w:eastAsia="SimSun"/>
          <w:sz w:val="22"/>
          <w:szCs w:val="22"/>
          <w:lang w:val="sr-Latn-ME" w:eastAsia="ar-SA"/>
        </w:rPr>
        <w:t xml:space="preserve">liječeni su primjenom </w:t>
      </w:r>
      <w:r w:rsidRPr="00D264F7">
        <w:rPr>
          <w:rFonts w:eastAsia="SimSun"/>
          <w:sz w:val="22"/>
          <w:szCs w:val="22"/>
          <w:lang w:val="sr-Latn-ME" w:eastAsia="ar-SA"/>
        </w:rPr>
        <w:t>120 mg dva puta na dan tokom 7 dana, a zatim 240 mg dva puta na dan do kraja l</w:t>
      </w:r>
      <w:r w:rsidR="00BB5A46" w:rsidRPr="00D264F7">
        <w:rPr>
          <w:rFonts w:eastAsia="SimSun"/>
          <w:sz w:val="22"/>
          <w:szCs w:val="22"/>
          <w:lang w:val="sr-Latn-ME" w:eastAsia="ar-SA"/>
        </w:rPr>
        <w:t>ij</w:t>
      </w:r>
      <w:r w:rsidRPr="00D264F7">
        <w:rPr>
          <w:rFonts w:eastAsia="SimSun"/>
          <w:sz w:val="22"/>
          <w:szCs w:val="22"/>
          <w:lang w:val="sr-Latn-ME" w:eastAsia="ar-SA"/>
        </w:rPr>
        <w:t>ečenja</w:t>
      </w:r>
      <w:r w:rsidR="00272C10">
        <w:rPr>
          <w:rFonts w:eastAsia="SimSun"/>
          <w:sz w:val="22"/>
          <w:szCs w:val="22"/>
          <w:lang w:val="sr-Latn-ME" w:eastAsia="ar-SA"/>
        </w:rPr>
        <w:t xml:space="preserve">. </w:t>
      </w:r>
      <w:r w:rsidR="00ED2287">
        <w:rPr>
          <w:rFonts w:eastAsia="SimSun"/>
          <w:sz w:val="22"/>
          <w:szCs w:val="22"/>
          <w:lang w:val="sr-Latn-ME" w:eastAsia="ar-SA"/>
        </w:rPr>
        <w:t>B</w:t>
      </w:r>
      <w:r w:rsidRPr="00D264F7">
        <w:rPr>
          <w:rFonts w:eastAsia="SimSun"/>
          <w:sz w:val="22"/>
          <w:szCs w:val="22"/>
          <w:lang w:val="sr-Latn-ME" w:eastAsia="ar-SA"/>
        </w:rPr>
        <w:t>ezb</w:t>
      </w:r>
      <w:r w:rsidR="00BB5A46" w:rsidRPr="00D264F7">
        <w:rPr>
          <w:rFonts w:eastAsia="SimSun"/>
          <w:sz w:val="22"/>
          <w:szCs w:val="22"/>
          <w:lang w:val="sr-Latn-ME" w:eastAsia="ar-SA"/>
        </w:rPr>
        <w:t>j</w:t>
      </w:r>
      <w:r w:rsidRPr="00D264F7">
        <w:rPr>
          <w:rFonts w:eastAsia="SimSun"/>
          <w:sz w:val="22"/>
          <w:szCs w:val="22"/>
          <w:lang w:val="sr-Latn-ME" w:eastAsia="ar-SA"/>
        </w:rPr>
        <w:t>ednosni profil kod pedijatrijskih pacijenata je izgledao sličan onom ranije prim</w:t>
      </w:r>
      <w:r w:rsidR="00BB5A46" w:rsidRPr="00D264F7">
        <w:rPr>
          <w:rFonts w:eastAsia="SimSun"/>
          <w:sz w:val="22"/>
          <w:szCs w:val="22"/>
          <w:lang w:val="sr-Latn-ME" w:eastAsia="ar-SA"/>
        </w:rPr>
        <w:t>ij</w:t>
      </w:r>
      <w:r w:rsidRPr="00D264F7">
        <w:rPr>
          <w:rFonts w:eastAsia="SimSun"/>
          <w:sz w:val="22"/>
          <w:szCs w:val="22"/>
          <w:lang w:val="sr-Latn-ME" w:eastAsia="ar-SA"/>
        </w:rPr>
        <w:t xml:space="preserve">ećenom kod odraslih pacijenata. </w:t>
      </w:r>
    </w:p>
    <w:p w14:paraId="52B239E7" w14:textId="77777777" w:rsidR="002A7193" w:rsidRPr="00D264F7" w:rsidRDefault="002A7193">
      <w:pPr>
        <w:tabs>
          <w:tab w:val="left" w:pos="567"/>
        </w:tabs>
        <w:suppressAutoHyphens/>
        <w:jc w:val="both"/>
        <w:rPr>
          <w:rFonts w:eastAsia="SimSun"/>
          <w:sz w:val="22"/>
          <w:szCs w:val="22"/>
          <w:lang w:val="sr-Latn-ME" w:eastAsia="ar-SA"/>
        </w:rPr>
      </w:pPr>
    </w:p>
    <w:p w14:paraId="5C8F0141" w14:textId="2BCB6436"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 xml:space="preserve">Dizajn pedijatrijskog kliničkog ispitivanja razlikovao se od placebom kontrolisanih kliničkih ispitivanja kod odraslih. Stoga se ne može isključiti doprinos dizajna kliničkog ispitivanja razlikama u broju neželjenih reakcija između pedijatrijske i odrasle populacije. </w:t>
      </w:r>
    </w:p>
    <w:p w14:paraId="34D04083" w14:textId="77777777" w:rsidR="002A7193" w:rsidRPr="00D264F7" w:rsidRDefault="002A7193">
      <w:pPr>
        <w:tabs>
          <w:tab w:val="left" w:pos="567"/>
        </w:tabs>
        <w:suppressAutoHyphens/>
        <w:jc w:val="both"/>
        <w:rPr>
          <w:rFonts w:eastAsia="SimSun"/>
          <w:sz w:val="22"/>
          <w:szCs w:val="22"/>
          <w:lang w:val="sr-Latn-ME" w:eastAsia="ar-SA"/>
        </w:rPr>
      </w:pPr>
    </w:p>
    <w:p w14:paraId="75300E26" w14:textId="2FFB606D"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Sl</w:t>
      </w:r>
      <w:r w:rsidR="00BB5A46" w:rsidRPr="00D264F7">
        <w:rPr>
          <w:rFonts w:eastAsia="SimSun"/>
          <w:sz w:val="22"/>
          <w:szCs w:val="22"/>
          <w:lang w:val="sr-Latn-ME" w:eastAsia="ar-SA"/>
        </w:rPr>
        <w:t>j</w:t>
      </w:r>
      <w:r w:rsidRPr="00D264F7">
        <w:rPr>
          <w:rFonts w:eastAsia="SimSun"/>
          <w:sz w:val="22"/>
          <w:szCs w:val="22"/>
          <w:lang w:val="sr-Latn-ME" w:eastAsia="ar-SA"/>
        </w:rPr>
        <w:t xml:space="preserve">edeći neželjeni događaji bili su češće prijavljivani (&gt; 10%) u pedijatrijskoj populaciji nego u odrasloj populaciji: </w:t>
      </w:r>
    </w:p>
    <w:p w14:paraId="4F9BCB74" w14:textId="35733C6A"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 Glavobolja je prijavljena kod 28% pacijenata l</w:t>
      </w:r>
      <w:r w:rsidR="00BB5A46" w:rsidRPr="00D264F7">
        <w:rPr>
          <w:rFonts w:eastAsia="SimSun"/>
          <w:sz w:val="22"/>
          <w:szCs w:val="22"/>
          <w:lang w:val="sr-Latn-ME" w:eastAsia="ar-SA"/>
        </w:rPr>
        <w:t>ij</w:t>
      </w:r>
      <w:r w:rsidRPr="00D264F7">
        <w:rPr>
          <w:rFonts w:eastAsia="SimSun"/>
          <w:sz w:val="22"/>
          <w:szCs w:val="22"/>
          <w:lang w:val="sr-Latn-ME" w:eastAsia="ar-SA"/>
        </w:rPr>
        <w:t>ečenih l</w:t>
      </w:r>
      <w:r w:rsidR="00BB5A46" w:rsidRPr="00D264F7">
        <w:rPr>
          <w:rFonts w:eastAsia="SimSun"/>
          <w:sz w:val="22"/>
          <w:szCs w:val="22"/>
          <w:lang w:val="sr-Latn-ME" w:eastAsia="ar-SA"/>
        </w:rPr>
        <w:t>ij</w:t>
      </w:r>
      <w:r w:rsidRPr="00D264F7">
        <w:rPr>
          <w:rFonts w:eastAsia="SimSun"/>
          <w:sz w:val="22"/>
          <w:szCs w:val="22"/>
          <w:lang w:val="sr-Latn-ME" w:eastAsia="ar-SA"/>
        </w:rPr>
        <w:t>ekom Tecfidera u odnosu na 36% pacijenata l</w:t>
      </w:r>
      <w:r w:rsidR="00BB5A46" w:rsidRPr="00D264F7">
        <w:rPr>
          <w:rFonts w:eastAsia="SimSun"/>
          <w:sz w:val="22"/>
          <w:szCs w:val="22"/>
          <w:lang w:val="sr-Latn-ME" w:eastAsia="ar-SA"/>
        </w:rPr>
        <w:t>ij</w:t>
      </w:r>
      <w:r w:rsidRPr="00D264F7">
        <w:rPr>
          <w:rFonts w:eastAsia="SimSun"/>
          <w:sz w:val="22"/>
          <w:szCs w:val="22"/>
          <w:lang w:val="sr-Latn-ME" w:eastAsia="ar-SA"/>
        </w:rPr>
        <w:t xml:space="preserve">ečenih interferonom beta-1a. </w:t>
      </w:r>
    </w:p>
    <w:p w14:paraId="26D90087" w14:textId="0842E04E"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 Gastrointestinalni poremećaji su prijavljeni kod 74% pacijenata l</w:t>
      </w:r>
      <w:r w:rsidR="00BB5A46" w:rsidRPr="00D264F7">
        <w:rPr>
          <w:rFonts w:eastAsia="SimSun"/>
          <w:sz w:val="22"/>
          <w:szCs w:val="22"/>
          <w:lang w:val="sr-Latn-ME" w:eastAsia="ar-SA"/>
        </w:rPr>
        <w:t>ij</w:t>
      </w:r>
      <w:r w:rsidRPr="00D264F7">
        <w:rPr>
          <w:rFonts w:eastAsia="SimSun"/>
          <w:sz w:val="22"/>
          <w:szCs w:val="22"/>
          <w:lang w:val="sr-Latn-ME" w:eastAsia="ar-SA"/>
        </w:rPr>
        <w:t>ečenih l</w:t>
      </w:r>
      <w:r w:rsidR="00BB5A46" w:rsidRPr="00D264F7">
        <w:rPr>
          <w:rFonts w:eastAsia="SimSun"/>
          <w:sz w:val="22"/>
          <w:szCs w:val="22"/>
          <w:lang w:val="sr-Latn-ME" w:eastAsia="ar-SA"/>
        </w:rPr>
        <w:t>ij</w:t>
      </w:r>
      <w:r w:rsidRPr="00D264F7">
        <w:rPr>
          <w:rFonts w:eastAsia="SimSun"/>
          <w:sz w:val="22"/>
          <w:szCs w:val="22"/>
          <w:lang w:val="sr-Latn-ME" w:eastAsia="ar-SA"/>
        </w:rPr>
        <w:t>ekom Tecfidera u odnosu na 31% pacijenata l</w:t>
      </w:r>
      <w:r w:rsidR="00BB5A46" w:rsidRPr="00D264F7">
        <w:rPr>
          <w:rFonts w:eastAsia="SimSun"/>
          <w:sz w:val="22"/>
          <w:szCs w:val="22"/>
          <w:lang w:val="sr-Latn-ME" w:eastAsia="ar-SA"/>
        </w:rPr>
        <w:t>ij</w:t>
      </w:r>
      <w:r w:rsidRPr="00D264F7">
        <w:rPr>
          <w:rFonts w:eastAsia="SimSun"/>
          <w:sz w:val="22"/>
          <w:szCs w:val="22"/>
          <w:lang w:val="sr-Latn-ME" w:eastAsia="ar-SA"/>
        </w:rPr>
        <w:t>ečenih interferonom beta-1a. Među njima, bol u stomaku i povraćanje su bili najčešće prijavljeni uz prim</w:t>
      </w:r>
      <w:r w:rsidR="00BB5A46" w:rsidRPr="00D264F7">
        <w:rPr>
          <w:rFonts w:eastAsia="SimSun"/>
          <w:sz w:val="22"/>
          <w:szCs w:val="22"/>
          <w:lang w:val="sr-Latn-ME" w:eastAsia="ar-SA"/>
        </w:rPr>
        <w:t>j</w:t>
      </w:r>
      <w:r w:rsidRPr="00D264F7">
        <w:rPr>
          <w:rFonts w:eastAsia="SimSun"/>
          <w:sz w:val="22"/>
          <w:szCs w:val="22"/>
          <w:lang w:val="sr-Latn-ME" w:eastAsia="ar-SA"/>
        </w:rPr>
        <w:t>enu l</w:t>
      </w:r>
      <w:r w:rsidR="00BB5A46" w:rsidRPr="00D264F7">
        <w:rPr>
          <w:rFonts w:eastAsia="SimSun"/>
          <w:sz w:val="22"/>
          <w:szCs w:val="22"/>
          <w:lang w:val="sr-Latn-ME" w:eastAsia="ar-SA"/>
        </w:rPr>
        <w:t>ij</w:t>
      </w:r>
      <w:r w:rsidRPr="00D264F7">
        <w:rPr>
          <w:rFonts w:eastAsia="SimSun"/>
          <w:sz w:val="22"/>
          <w:szCs w:val="22"/>
          <w:lang w:val="sr-Latn-ME" w:eastAsia="ar-SA"/>
        </w:rPr>
        <w:t xml:space="preserve">eka Tecfidera. </w:t>
      </w:r>
    </w:p>
    <w:p w14:paraId="6DF5F748" w14:textId="1304E6ED"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 Respiratorni, torakalni i medijastinalni poremećaji su prijavljeni kod 32% pacijenata l</w:t>
      </w:r>
      <w:r w:rsidR="00BB5A46" w:rsidRPr="00D264F7">
        <w:rPr>
          <w:rFonts w:eastAsia="SimSun"/>
          <w:sz w:val="22"/>
          <w:szCs w:val="22"/>
          <w:lang w:val="sr-Latn-ME" w:eastAsia="ar-SA"/>
        </w:rPr>
        <w:t>ij</w:t>
      </w:r>
      <w:r w:rsidRPr="00D264F7">
        <w:rPr>
          <w:rFonts w:eastAsia="SimSun"/>
          <w:sz w:val="22"/>
          <w:szCs w:val="22"/>
          <w:lang w:val="sr-Latn-ME" w:eastAsia="ar-SA"/>
        </w:rPr>
        <w:t>ečenih l</w:t>
      </w:r>
      <w:r w:rsidR="00BB5A46" w:rsidRPr="00D264F7">
        <w:rPr>
          <w:rFonts w:eastAsia="SimSun"/>
          <w:sz w:val="22"/>
          <w:szCs w:val="22"/>
          <w:lang w:val="sr-Latn-ME" w:eastAsia="ar-SA"/>
        </w:rPr>
        <w:t>ij</w:t>
      </w:r>
      <w:r w:rsidRPr="00D264F7">
        <w:rPr>
          <w:rFonts w:eastAsia="SimSun"/>
          <w:sz w:val="22"/>
          <w:szCs w:val="22"/>
          <w:lang w:val="sr-Latn-ME" w:eastAsia="ar-SA"/>
        </w:rPr>
        <w:t>ekom Tecfidera u odnosu na 11% pacijenata l</w:t>
      </w:r>
      <w:r w:rsidR="00BB5A46" w:rsidRPr="00D264F7">
        <w:rPr>
          <w:rFonts w:eastAsia="SimSun"/>
          <w:sz w:val="22"/>
          <w:szCs w:val="22"/>
          <w:lang w:val="sr-Latn-ME" w:eastAsia="ar-SA"/>
        </w:rPr>
        <w:t>ij</w:t>
      </w:r>
      <w:r w:rsidRPr="00D264F7">
        <w:rPr>
          <w:rFonts w:eastAsia="SimSun"/>
          <w:sz w:val="22"/>
          <w:szCs w:val="22"/>
          <w:lang w:val="sr-Latn-ME" w:eastAsia="ar-SA"/>
        </w:rPr>
        <w:t>ečenih interferonom beta-1a. Među njima, orofaringealni bol i kašalj su bili najčešće prijavljen</w:t>
      </w:r>
      <w:r w:rsidR="002A7193" w:rsidRPr="00D264F7">
        <w:rPr>
          <w:rFonts w:eastAsia="SimSun"/>
          <w:sz w:val="22"/>
          <w:szCs w:val="22"/>
          <w:lang w:val="sr-Latn-ME" w:eastAsia="ar-SA"/>
        </w:rPr>
        <w:t xml:space="preserve">a neželjena dejstva </w:t>
      </w:r>
      <w:r w:rsidRPr="00D264F7">
        <w:rPr>
          <w:rFonts w:eastAsia="SimSun"/>
          <w:sz w:val="22"/>
          <w:szCs w:val="22"/>
          <w:lang w:val="sr-Latn-ME" w:eastAsia="ar-SA"/>
        </w:rPr>
        <w:t>uz prim</w:t>
      </w:r>
      <w:r w:rsidR="00BB5A46" w:rsidRPr="00D264F7">
        <w:rPr>
          <w:rFonts w:eastAsia="SimSun"/>
          <w:sz w:val="22"/>
          <w:szCs w:val="22"/>
          <w:lang w:val="sr-Latn-ME" w:eastAsia="ar-SA"/>
        </w:rPr>
        <w:t>j</w:t>
      </w:r>
      <w:r w:rsidRPr="00D264F7">
        <w:rPr>
          <w:rFonts w:eastAsia="SimSun"/>
          <w:sz w:val="22"/>
          <w:szCs w:val="22"/>
          <w:lang w:val="sr-Latn-ME" w:eastAsia="ar-SA"/>
        </w:rPr>
        <w:t>enu l</w:t>
      </w:r>
      <w:r w:rsidR="00BB5A46" w:rsidRPr="00D264F7">
        <w:rPr>
          <w:rFonts w:eastAsia="SimSun"/>
          <w:sz w:val="22"/>
          <w:szCs w:val="22"/>
          <w:lang w:val="sr-Latn-ME" w:eastAsia="ar-SA"/>
        </w:rPr>
        <w:t>ij</w:t>
      </w:r>
      <w:r w:rsidRPr="00D264F7">
        <w:rPr>
          <w:rFonts w:eastAsia="SimSun"/>
          <w:sz w:val="22"/>
          <w:szCs w:val="22"/>
          <w:lang w:val="sr-Latn-ME" w:eastAsia="ar-SA"/>
        </w:rPr>
        <w:t xml:space="preserve">eka Tecfidera. </w:t>
      </w:r>
    </w:p>
    <w:p w14:paraId="101C86DC" w14:textId="6A0B1EEB"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 Dismenoreja je prijavljena kod 17% pacijenata l</w:t>
      </w:r>
      <w:r w:rsidR="00BB5A46" w:rsidRPr="00D264F7">
        <w:rPr>
          <w:rFonts w:eastAsia="SimSun"/>
          <w:sz w:val="22"/>
          <w:szCs w:val="22"/>
          <w:lang w:val="sr-Latn-ME" w:eastAsia="ar-SA"/>
        </w:rPr>
        <w:t>ij</w:t>
      </w:r>
      <w:r w:rsidRPr="00D264F7">
        <w:rPr>
          <w:rFonts w:eastAsia="SimSun"/>
          <w:sz w:val="22"/>
          <w:szCs w:val="22"/>
          <w:lang w:val="sr-Latn-ME" w:eastAsia="ar-SA"/>
        </w:rPr>
        <w:t>ečenih l</w:t>
      </w:r>
      <w:r w:rsidR="00BB5A46" w:rsidRPr="00D264F7">
        <w:rPr>
          <w:rFonts w:eastAsia="SimSun"/>
          <w:sz w:val="22"/>
          <w:szCs w:val="22"/>
          <w:lang w:val="sr-Latn-ME" w:eastAsia="ar-SA"/>
        </w:rPr>
        <w:t>ij</w:t>
      </w:r>
      <w:r w:rsidRPr="00D264F7">
        <w:rPr>
          <w:rFonts w:eastAsia="SimSun"/>
          <w:sz w:val="22"/>
          <w:szCs w:val="22"/>
          <w:lang w:val="sr-Latn-ME" w:eastAsia="ar-SA"/>
        </w:rPr>
        <w:t>ekom Tecfidera u odnosu na 7% pacijenata l</w:t>
      </w:r>
      <w:r w:rsidR="00BB5A46" w:rsidRPr="00D264F7">
        <w:rPr>
          <w:rFonts w:eastAsia="SimSun"/>
          <w:sz w:val="22"/>
          <w:szCs w:val="22"/>
          <w:lang w:val="sr-Latn-ME" w:eastAsia="ar-SA"/>
        </w:rPr>
        <w:t>ij</w:t>
      </w:r>
      <w:r w:rsidRPr="00D264F7">
        <w:rPr>
          <w:rFonts w:eastAsia="SimSun"/>
          <w:sz w:val="22"/>
          <w:szCs w:val="22"/>
          <w:lang w:val="sr-Latn-ME" w:eastAsia="ar-SA"/>
        </w:rPr>
        <w:t xml:space="preserve">ečenih interferonom beta-1a. </w:t>
      </w:r>
    </w:p>
    <w:p w14:paraId="316E6995" w14:textId="77777777" w:rsidR="00AC41F8" w:rsidRPr="00D264F7" w:rsidRDefault="00AC41F8">
      <w:pPr>
        <w:tabs>
          <w:tab w:val="left" w:pos="567"/>
        </w:tabs>
        <w:suppressAutoHyphens/>
        <w:jc w:val="both"/>
        <w:rPr>
          <w:rFonts w:eastAsia="SimSun"/>
          <w:sz w:val="22"/>
          <w:szCs w:val="22"/>
          <w:lang w:val="sr-Latn-ME" w:eastAsia="ar-SA"/>
        </w:rPr>
      </w:pPr>
    </w:p>
    <w:p w14:paraId="73D553CA" w14:textId="533E5D47" w:rsidR="00AC41F8" w:rsidRPr="00D264F7" w:rsidRDefault="00AC41F8">
      <w:pPr>
        <w:tabs>
          <w:tab w:val="left" w:pos="567"/>
        </w:tabs>
        <w:suppressAutoHyphens/>
        <w:jc w:val="both"/>
        <w:rPr>
          <w:rFonts w:eastAsia="SimSun"/>
          <w:sz w:val="22"/>
          <w:szCs w:val="22"/>
          <w:lang w:val="sr-Latn-ME" w:eastAsia="ar-SA"/>
        </w:rPr>
      </w:pPr>
      <w:r w:rsidRPr="00D264F7">
        <w:rPr>
          <w:rFonts w:eastAsia="SimSun"/>
          <w:sz w:val="22"/>
          <w:szCs w:val="22"/>
          <w:lang w:val="sr-Latn-ME" w:eastAsia="ar-SA"/>
        </w:rPr>
        <w:t>U malom 24-ned</w:t>
      </w:r>
      <w:r w:rsidR="00BB5A46" w:rsidRPr="00D264F7">
        <w:rPr>
          <w:rFonts w:eastAsia="SimSun"/>
          <w:sz w:val="22"/>
          <w:szCs w:val="22"/>
          <w:lang w:val="sr-Latn-ME" w:eastAsia="ar-SA"/>
        </w:rPr>
        <w:t>j</w:t>
      </w:r>
      <w:r w:rsidRPr="00D264F7">
        <w:rPr>
          <w:rFonts w:eastAsia="SimSun"/>
          <w:sz w:val="22"/>
          <w:szCs w:val="22"/>
          <w:lang w:val="sr-Latn-ME" w:eastAsia="ar-SA"/>
        </w:rPr>
        <w:t>eljnom otvorenom nekontrolisanom ispitivanju kod pedijatrijskih pacijenata sa RRMS-om uzrasta od 13 do 17 godina (120 mg dva puta na dan tokom 7 dana, a zatim 240 mg dva puta na dan do kraja l</w:t>
      </w:r>
      <w:r w:rsidR="00BB5A46" w:rsidRPr="00D264F7">
        <w:rPr>
          <w:rFonts w:eastAsia="SimSun"/>
          <w:sz w:val="22"/>
          <w:szCs w:val="22"/>
          <w:lang w:val="sr-Latn-ME" w:eastAsia="ar-SA"/>
        </w:rPr>
        <w:t>ij</w:t>
      </w:r>
      <w:r w:rsidRPr="00D264F7">
        <w:rPr>
          <w:rFonts w:eastAsia="SimSun"/>
          <w:sz w:val="22"/>
          <w:szCs w:val="22"/>
          <w:lang w:val="sr-Latn-ME" w:eastAsia="ar-SA"/>
        </w:rPr>
        <w:t>ečenja; n = 22), nakon čega je sl</w:t>
      </w:r>
      <w:r w:rsidR="00BB5A46" w:rsidRPr="00D264F7">
        <w:rPr>
          <w:rFonts w:eastAsia="SimSun"/>
          <w:sz w:val="22"/>
          <w:szCs w:val="22"/>
          <w:lang w:val="sr-Latn-ME" w:eastAsia="ar-SA"/>
        </w:rPr>
        <w:t>ij</w:t>
      </w:r>
      <w:r w:rsidRPr="00D264F7">
        <w:rPr>
          <w:rFonts w:eastAsia="SimSun"/>
          <w:sz w:val="22"/>
          <w:szCs w:val="22"/>
          <w:lang w:val="sr-Latn-ME" w:eastAsia="ar-SA"/>
        </w:rPr>
        <w:t>edio produžetak ispitivanja u trajanju od 96 ned</w:t>
      </w:r>
      <w:r w:rsidR="00BB5A46" w:rsidRPr="00D264F7">
        <w:rPr>
          <w:rFonts w:eastAsia="SimSun"/>
          <w:sz w:val="22"/>
          <w:szCs w:val="22"/>
          <w:lang w:val="sr-Latn-ME" w:eastAsia="ar-SA"/>
        </w:rPr>
        <w:t>j</w:t>
      </w:r>
      <w:r w:rsidRPr="00D264F7">
        <w:rPr>
          <w:rFonts w:eastAsia="SimSun"/>
          <w:sz w:val="22"/>
          <w:szCs w:val="22"/>
          <w:lang w:val="sr-Latn-ME" w:eastAsia="ar-SA"/>
        </w:rPr>
        <w:t>elja (240 mg dva puta na dan; populacija u kojoj se proc</w:t>
      </w:r>
      <w:r w:rsidR="00BB5A46" w:rsidRPr="00D264F7">
        <w:rPr>
          <w:rFonts w:eastAsia="SimSun"/>
          <w:sz w:val="22"/>
          <w:szCs w:val="22"/>
          <w:lang w:val="sr-Latn-ME" w:eastAsia="ar-SA"/>
        </w:rPr>
        <w:t>j</w:t>
      </w:r>
      <w:r w:rsidRPr="00D264F7">
        <w:rPr>
          <w:rFonts w:eastAsia="SimSun"/>
          <w:sz w:val="22"/>
          <w:szCs w:val="22"/>
          <w:lang w:val="sr-Latn-ME" w:eastAsia="ar-SA"/>
        </w:rPr>
        <w:t>enjivala bezb</w:t>
      </w:r>
      <w:r w:rsidR="00BB5A46" w:rsidRPr="00D264F7">
        <w:rPr>
          <w:rFonts w:eastAsia="SimSun"/>
          <w:sz w:val="22"/>
          <w:szCs w:val="22"/>
          <w:lang w:val="sr-Latn-ME" w:eastAsia="ar-SA"/>
        </w:rPr>
        <w:t>j</w:t>
      </w:r>
      <w:r w:rsidRPr="00D264F7">
        <w:rPr>
          <w:rFonts w:eastAsia="SimSun"/>
          <w:sz w:val="22"/>
          <w:szCs w:val="22"/>
          <w:lang w:val="sr-Latn-ME" w:eastAsia="ar-SA"/>
        </w:rPr>
        <w:t>ednost, n = 20), bezb</w:t>
      </w:r>
      <w:r w:rsidR="00BB5A46" w:rsidRPr="00D264F7">
        <w:rPr>
          <w:rFonts w:eastAsia="SimSun"/>
          <w:sz w:val="22"/>
          <w:szCs w:val="22"/>
          <w:lang w:val="sr-Latn-ME" w:eastAsia="ar-SA"/>
        </w:rPr>
        <w:t>j</w:t>
      </w:r>
      <w:r w:rsidRPr="00D264F7">
        <w:rPr>
          <w:rFonts w:eastAsia="SimSun"/>
          <w:sz w:val="22"/>
          <w:szCs w:val="22"/>
          <w:lang w:val="sr-Latn-ME" w:eastAsia="ar-SA"/>
        </w:rPr>
        <w:t>ednosni profil je izgledao sličan onom prim</w:t>
      </w:r>
      <w:r w:rsidR="00BB5A46" w:rsidRPr="00D264F7">
        <w:rPr>
          <w:rFonts w:eastAsia="SimSun"/>
          <w:sz w:val="22"/>
          <w:szCs w:val="22"/>
          <w:lang w:val="sr-Latn-ME" w:eastAsia="ar-SA"/>
        </w:rPr>
        <w:t>ij</w:t>
      </w:r>
      <w:r w:rsidRPr="00D264F7">
        <w:rPr>
          <w:rFonts w:eastAsia="SimSun"/>
          <w:sz w:val="22"/>
          <w:szCs w:val="22"/>
          <w:lang w:val="sr-Latn-ME" w:eastAsia="ar-SA"/>
        </w:rPr>
        <w:t xml:space="preserve">ećenom kod odraslih pacijenata. </w:t>
      </w:r>
    </w:p>
    <w:p w14:paraId="59FC6457" w14:textId="77777777" w:rsidR="00AC41F8" w:rsidRPr="00D264F7" w:rsidRDefault="00AC41F8">
      <w:pPr>
        <w:tabs>
          <w:tab w:val="left" w:pos="567"/>
        </w:tabs>
        <w:suppressAutoHyphens/>
        <w:jc w:val="both"/>
        <w:rPr>
          <w:rFonts w:eastAsia="SimSun"/>
          <w:sz w:val="22"/>
          <w:szCs w:val="22"/>
          <w:lang w:val="sr-Latn-ME" w:eastAsia="ar-SA"/>
        </w:rPr>
      </w:pPr>
    </w:p>
    <w:p w14:paraId="2779D42C" w14:textId="689C5461" w:rsidR="005A23D2" w:rsidRPr="00D264F7" w:rsidRDefault="005A23D2" w:rsidP="001F758F">
      <w:pPr>
        <w:spacing w:after="200" w:line="276" w:lineRule="auto"/>
        <w:jc w:val="both"/>
        <w:rPr>
          <w:rFonts w:eastAsia="Calibri"/>
          <w:sz w:val="22"/>
          <w:szCs w:val="22"/>
          <w:u w:val="single"/>
          <w:lang w:val="sr-Latn-ME"/>
        </w:rPr>
      </w:pPr>
      <w:r w:rsidRPr="00D264F7">
        <w:rPr>
          <w:rFonts w:eastAsia="Calibri"/>
          <w:sz w:val="22"/>
          <w:szCs w:val="22"/>
          <w:u w:val="single"/>
          <w:lang w:val="sr-Latn-ME"/>
        </w:rPr>
        <w:t>Prijavljivanje sumnji na neželjena dejstva</w:t>
      </w:r>
    </w:p>
    <w:p w14:paraId="07CD6BC9" w14:textId="77777777" w:rsidR="005A23D2" w:rsidRPr="00D264F7" w:rsidRDefault="005A23D2" w:rsidP="001C605F">
      <w:pPr>
        <w:spacing w:after="200"/>
        <w:jc w:val="both"/>
        <w:rPr>
          <w:rFonts w:eastAsia="Calibri"/>
          <w:sz w:val="22"/>
          <w:szCs w:val="22"/>
          <w:lang w:val="sr-Latn-ME"/>
        </w:rPr>
      </w:pPr>
      <w:r w:rsidRPr="00D264F7">
        <w:rPr>
          <w:rFonts w:eastAsia="Calibri"/>
          <w:sz w:val="22"/>
          <w:szCs w:val="22"/>
          <w:lang w:val="sr-Latn-ME"/>
        </w:rPr>
        <w:t>Prijavljivanje neželjenih dejstava nakon dobijanja dozvole je od velikog značaja jer obezbjeđuje kont</w:t>
      </w:r>
      <w:r w:rsidR="00EA5765" w:rsidRPr="00D264F7">
        <w:rPr>
          <w:rFonts w:eastAsia="Calibri"/>
          <w:sz w:val="22"/>
          <w:szCs w:val="22"/>
          <w:lang w:val="sr-Latn-ME"/>
        </w:rPr>
        <w:t>inuirano praćenje odnosa korist</w:t>
      </w:r>
      <w:r w:rsidRPr="00D264F7">
        <w:rPr>
          <w:rFonts w:eastAsia="Calibri"/>
          <w:sz w:val="22"/>
          <w:szCs w:val="22"/>
          <w:lang w:val="sr-Latn-ME"/>
        </w:rPr>
        <w:t>/rizik primjene lijeka. Zdravstveni radnici treba da prijave svaku sumnju na neželjeno</w:t>
      </w:r>
      <w:r w:rsidR="009B062A" w:rsidRPr="00D264F7">
        <w:rPr>
          <w:rFonts w:eastAsia="Calibri"/>
          <w:sz w:val="22"/>
          <w:szCs w:val="22"/>
          <w:lang w:val="sr-Latn-ME"/>
        </w:rPr>
        <w:t xml:space="preserve"> </w:t>
      </w:r>
      <w:r w:rsidRPr="00D264F7">
        <w:rPr>
          <w:rFonts w:eastAsia="Calibri"/>
          <w:sz w:val="22"/>
          <w:szCs w:val="22"/>
          <w:lang w:val="sr-Latn-ME"/>
        </w:rPr>
        <w:t xml:space="preserve">dejstvo ovog lijeka </w:t>
      </w:r>
      <w:r w:rsidR="004E70AD" w:rsidRPr="00D264F7">
        <w:rPr>
          <w:rFonts w:eastAsia="Calibri"/>
          <w:sz w:val="22"/>
          <w:szCs w:val="22"/>
          <w:lang w:val="sr-Latn-ME"/>
        </w:rPr>
        <w:t>Institutu</w:t>
      </w:r>
      <w:r w:rsidRPr="00D264F7">
        <w:rPr>
          <w:rFonts w:eastAsia="Calibri"/>
          <w:sz w:val="22"/>
          <w:szCs w:val="22"/>
          <w:lang w:val="sr-Latn-ME"/>
        </w:rPr>
        <w:t xml:space="preserve"> za ljekove i medicinska sredstva</w:t>
      </w:r>
      <w:r w:rsidR="004E70AD" w:rsidRPr="00D264F7">
        <w:rPr>
          <w:rFonts w:eastAsia="Calibri"/>
          <w:sz w:val="22"/>
          <w:szCs w:val="22"/>
          <w:lang w:val="sr-Latn-ME"/>
        </w:rPr>
        <w:t xml:space="preserve"> </w:t>
      </w:r>
      <w:r w:rsidRPr="00D264F7">
        <w:rPr>
          <w:rFonts w:eastAsia="Calibri"/>
          <w:sz w:val="22"/>
          <w:szCs w:val="22"/>
          <w:lang w:val="sr-Latn-ME"/>
        </w:rPr>
        <w:t>(</w:t>
      </w:r>
      <w:r w:rsidR="004E70AD" w:rsidRPr="00D264F7">
        <w:rPr>
          <w:rFonts w:eastAsia="Calibri"/>
          <w:sz w:val="22"/>
          <w:szCs w:val="22"/>
          <w:lang w:val="sr-Latn-ME"/>
        </w:rPr>
        <w:t>CInMED</w:t>
      </w:r>
      <w:r w:rsidRPr="00D264F7">
        <w:rPr>
          <w:rFonts w:eastAsia="Calibri"/>
          <w:sz w:val="22"/>
          <w:szCs w:val="22"/>
          <w:lang w:val="sr-Latn-ME"/>
        </w:rPr>
        <w:t>):</w:t>
      </w:r>
    </w:p>
    <w:p w14:paraId="6EACC2A7" w14:textId="77777777" w:rsidR="005A23D2" w:rsidRPr="00D264F7" w:rsidRDefault="004E70AD">
      <w:pPr>
        <w:pStyle w:val="NoSpacing"/>
        <w:jc w:val="both"/>
        <w:rPr>
          <w:rFonts w:eastAsia="Calibri"/>
          <w:sz w:val="22"/>
          <w:szCs w:val="22"/>
          <w:lang w:val="sr-Latn-ME"/>
        </w:rPr>
      </w:pPr>
      <w:r w:rsidRPr="00D264F7">
        <w:rPr>
          <w:rFonts w:eastAsia="Calibri"/>
          <w:sz w:val="22"/>
          <w:szCs w:val="22"/>
          <w:lang w:val="sr-Latn-ME"/>
        </w:rPr>
        <w:lastRenderedPageBreak/>
        <w:t xml:space="preserve">Institut </w:t>
      </w:r>
      <w:r w:rsidR="005A23D2" w:rsidRPr="00D264F7">
        <w:rPr>
          <w:rFonts w:eastAsia="Calibri"/>
          <w:sz w:val="22"/>
          <w:szCs w:val="22"/>
          <w:lang w:val="sr-Latn-ME"/>
        </w:rPr>
        <w:t xml:space="preserve">za ljekove i medicinska sredstva </w:t>
      </w:r>
    </w:p>
    <w:p w14:paraId="74B46931" w14:textId="77777777" w:rsidR="005A23D2" w:rsidRPr="00D264F7" w:rsidRDefault="005A23D2">
      <w:pPr>
        <w:pStyle w:val="NoSpacing"/>
        <w:jc w:val="both"/>
        <w:rPr>
          <w:rFonts w:eastAsia="Calibri"/>
          <w:sz w:val="22"/>
          <w:szCs w:val="22"/>
          <w:lang w:val="sr-Latn-ME"/>
        </w:rPr>
      </w:pPr>
      <w:r w:rsidRPr="00D264F7">
        <w:rPr>
          <w:rFonts w:eastAsia="Calibri"/>
          <w:sz w:val="22"/>
          <w:szCs w:val="22"/>
          <w:lang w:val="sr-Latn-ME"/>
        </w:rPr>
        <w:t>Odjeljenje za farmakovigilancu</w:t>
      </w:r>
    </w:p>
    <w:p w14:paraId="483465A0" w14:textId="77777777" w:rsidR="00EA5765" w:rsidRPr="00D264F7" w:rsidRDefault="005A23D2">
      <w:pPr>
        <w:pStyle w:val="NoSpacing"/>
        <w:jc w:val="both"/>
        <w:rPr>
          <w:rFonts w:eastAsia="Calibri"/>
          <w:sz w:val="22"/>
          <w:szCs w:val="22"/>
          <w:lang w:val="sr-Latn-ME"/>
        </w:rPr>
      </w:pPr>
      <w:r w:rsidRPr="00D264F7">
        <w:rPr>
          <w:rFonts w:eastAsia="Calibri"/>
          <w:sz w:val="22"/>
          <w:szCs w:val="22"/>
          <w:lang w:val="sr-Latn-ME"/>
        </w:rPr>
        <w:t>Bulevar Ivana Crnojevića 64a, 81000 Podgorica</w:t>
      </w:r>
    </w:p>
    <w:p w14:paraId="1D2B8976" w14:textId="77777777" w:rsidR="00EA5765" w:rsidRPr="00D264F7" w:rsidRDefault="00EA5765" w:rsidP="001F758F">
      <w:pPr>
        <w:pStyle w:val="NoSpacing"/>
        <w:jc w:val="both"/>
        <w:rPr>
          <w:rFonts w:eastAsia="Calibri"/>
          <w:sz w:val="22"/>
          <w:szCs w:val="22"/>
          <w:lang w:val="sr-Latn-ME"/>
        </w:rPr>
      </w:pPr>
    </w:p>
    <w:p w14:paraId="2A4541A5" w14:textId="77777777" w:rsidR="005A23D2" w:rsidRPr="00D264F7" w:rsidRDefault="005A23D2" w:rsidP="001C605F">
      <w:pPr>
        <w:pStyle w:val="NoSpacing"/>
        <w:jc w:val="both"/>
        <w:rPr>
          <w:rFonts w:eastAsia="Calibri"/>
          <w:sz w:val="22"/>
          <w:szCs w:val="22"/>
          <w:lang w:val="sr-Latn-ME"/>
        </w:rPr>
      </w:pPr>
      <w:r w:rsidRPr="00D264F7">
        <w:rPr>
          <w:rFonts w:eastAsia="Calibri"/>
          <w:sz w:val="22"/>
          <w:szCs w:val="22"/>
          <w:lang w:val="sr-Latn-ME"/>
        </w:rPr>
        <w:t>tel: +382 (0) 20 310 280</w:t>
      </w:r>
    </w:p>
    <w:p w14:paraId="3DF41F3F" w14:textId="77777777" w:rsidR="00EA5765" w:rsidRPr="00D264F7" w:rsidRDefault="005A23D2">
      <w:pPr>
        <w:pStyle w:val="NoSpacing"/>
        <w:jc w:val="both"/>
        <w:rPr>
          <w:rFonts w:eastAsia="Calibri"/>
          <w:sz w:val="22"/>
          <w:szCs w:val="22"/>
          <w:lang w:val="sr-Latn-ME"/>
        </w:rPr>
      </w:pPr>
      <w:r w:rsidRPr="00D264F7">
        <w:rPr>
          <w:rFonts w:eastAsia="Calibri"/>
          <w:sz w:val="22"/>
          <w:szCs w:val="22"/>
          <w:lang w:val="sr-Latn-ME"/>
        </w:rPr>
        <w:t>fax:</w:t>
      </w:r>
      <w:r w:rsidR="00EA5765" w:rsidRPr="00D264F7">
        <w:rPr>
          <w:rFonts w:eastAsia="Calibri"/>
          <w:sz w:val="22"/>
          <w:szCs w:val="22"/>
          <w:lang w:val="sr-Latn-ME"/>
        </w:rPr>
        <w:t xml:space="preserve"> </w:t>
      </w:r>
      <w:r w:rsidRPr="00D264F7">
        <w:rPr>
          <w:rFonts w:eastAsia="Calibri"/>
          <w:sz w:val="22"/>
          <w:szCs w:val="22"/>
          <w:lang w:val="sr-Latn-ME"/>
        </w:rPr>
        <w:t>+382 (0) 20 310 581</w:t>
      </w:r>
    </w:p>
    <w:p w14:paraId="595F9897" w14:textId="77777777" w:rsidR="005A23D2" w:rsidRPr="00D264F7" w:rsidRDefault="001C605F">
      <w:pPr>
        <w:pStyle w:val="NoSpacing"/>
        <w:jc w:val="both"/>
        <w:rPr>
          <w:rFonts w:eastAsia="Calibri"/>
          <w:sz w:val="22"/>
          <w:szCs w:val="22"/>
          <w:lang w:val="sr-Latn-ME"/>
        </w:rPr>
      </w:pPr>
      <w:hyperlink r:id="rId11" w:history="1">
        <w:r w:rsidR="004E70AD" w:rsidRPr="00D264F7">
          <w:rPr>
            <w:rStyle w:val="Hyperlink"/>
            <w:rFonts w:eastAsia="Calibri"/>
            <w:sz w:val="22"/>
            <w:szCs w:val="22"/>
            <w:lang w:val="sr-Latn-ME"/>
          </w:rPr>
          <w:t>www.cinmed.me</w:t>
        </w:r>
      </w:hyperlink>
    </w:p>
    <w:p w14:paraId="436DB77D" w14:textId="77777777" w:rsidR="00EA5765" w:rsidRPr="00D264F7" w:rsidRDefault="001C605F">
      <w:pPr>
        <w:pStyle w:val="NoSpacing"/>
        <w:jc w:val="both"/>
        <w:rPr>
          <w:rFonts w:eastAsia="Calibri"/>
          <w:color w:val="0000FF"/>
          <w:sz w:val="22"/>
          <w:szCs w:val="22"/>
          <w:u w:val="single"/>
          <w:lang w:val="sr-Latn-ME"/>
        </w:rPr>
      </w:pPr>
      <w:hyperlink r:id="rId12" w:history="1">
        <w:r w:rsidR="004E70AD" w:rsidRPr="00D264F7">
          <w:rPr>
            <w:rStyle w:val="Hyperlink"/>
            <w:rFonts w:eastAsia="Calibri"/>
            <w:sz w:val="22"/>
            <w:szCs w:val="22"/>
            <w:lang w:val="sr-Latn-ME"/>
          </w:rPr>
          <w:t>nezeljenadejstva@cinmed.me</w:t>
        </w:r>
      </w:hyperlink>
    </w:p>
    <w:p w14:paraId="6325200F" w14:textId="77777777" w:rsidR="005A23D2" w:rsidRPr="00D264F7" w:rsidRDefault="005A23D2">
      <w:pPr>
        <w:pStyle w:val="NoSpacing"/>
        <w:jc w:val="both"/>
        <w:rPr>
          <w:rFonts w:eastAsia="Calibri"/>
          <w:sz w:val="22"/>
          <w:szCs w:val="22"/>
          <w:lang w:val="sr-Latn-ME"/>
        </w:rPr>
      </w:pPr>
      <w:r w:rsidRPr="00D264F7">
        <w:rPr>
          <w:rFonts w:eastAsia="Calibri"/>
          <w:sz w:val="22"/>
          <w:szCs w:val="22"/>
          <w:lang w:val="sr-Latn-ME"/>
        </w:rPr>
        <w:t>putem IS zdravstvene zaštite</w:t>
      </w:r>
    </w:p>
    <w:p w14:paraId="0E5831F8" w14:textId="77777777" w:rsidR="00C43335" w:rsidRDefault="00C43335">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881C265" w14:textId="77777777" w:rsidR="00C43335" w:rsidRDefault="00C43335">
      <w:pPr>
        <w:pStyle w:val="NoSpacing"/>
        <w:jc w:val="both"/>
        <w:rPr>
          <w:rFonts w:eastAsia="Calibri"/>
          <w:sz w:val="22"/>
          <w:szCs w:val="22"/>
          <w:lang w:val="sr-Latn-RS"/>
        </w:rPr>
      </w:pPr>
    </w:p>
    <w:p w14:paraId="550B8B96" w14:textId="24E4C44C" w:rsidR="00C43335" w:rsidRPr="00786071" w:rsidRDefault="00D726AF" w:rsidP="001F758F">
      <w:pPr>
        <w:pStyle w:val="NoSpacing"/>
        <w:jc w:val="both"/>
        <w:rPr>
          <w:rFonts w:eastAsia="Calibri"/>
          <w:sz w:val="22"/>
          <w:szCs w:val="22"/>
          <w:lang w:val="sr-Latn-RS"/>
        </w:rPr>
      </w:pPr>
      <w:r w:rsidRPr="007F661E">
        <w:rPr>
          <w:b/>
          <w:bCs/>
          <w:noProof/>
          <w:sz w:val="22"/>
          <w:szCs w:val="22"/>
        </w:rPr>
        <w:drawing>
          <wp:inline distT="0" distB="0" distL="0" distR="0" wp14:anchorId="2D71A25F" wp14:editId="2514B63D">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0EBED1D" w14:textId="5F9D11D7" w:rsidR="00C43335" w:rsidRDefault="00C43335" w:rsidP="001F758F">
      <w:pPr>
        <w:tabs>
          <w:tab w:val="left" w:pos="540"/>
          <w:tab w:val="left" w:pos="569"/>
        </w:tabs>
        <w:jc w:val="both"/>
        <w:rPr>
          <w:b/>
          <w:bCs/>
          <w:sz w:val="22"/>
          <w:szCs w:val="22"/>
          <w:lang w:val="sr-Latn-ME"/>
        </w:rPr>
      </w:pPr>
    </w:p>
    <w:p w14:paraId="4EB6D60E" w14:textId="77777777" w:rsidR="00CD6F02" w:rsidRPr="00D264F7" w:rsidRDefault="0072020E" w:rsidP="001F758F">
      <w:pPr>
        <w:tabs>
          <w:tab w:val="left" w:pos="540"/>
          <w:tab w:val="left" w:pos="569"/>
        </w:tabs>
        <w:jc w:val="both"/>
        <w:rPr>
          <w:b/>
          <w:bCs/>
          <w:sz w:val="22"/>
          <w:szCs w:val="22"/>
          <w:lang w:val="sr-Latn-ME"/>
        </w:rPr>
      </w:pPr>
      <w:r w:rsidRPr="00D264F7">
        <w:rPr>
          <w:b/>
          <w:bCs/>
          <w:sz w:val="22"/>
          <w:szCs w:val="22"/>
          <w:lang w:val="sr-Latn-ME"/>
        </w:rPr>
        <w:t xml:space="preserve">4.9. </w:t>
      </w:r>
      <w:r w:rsidR="00480FB1" w:rsidRPr="00D264F7">
        <w:rPr>
          <w:b/>
          <w:bCs/>
          <w:sz w:val="22"/>
          <w:szCs w:val="22"/>
          <w:lang w:val="sr-Latn-ME"/>
        </w:rPr>
        <w:tab/>
      </w:r>
      <w:r w:rsidRPr="00D264F7">
        <w:rPr>
          <w:b/>
          <w:bCs/>
          <w:sz w:val="22"/>
          <w:szCs w:val="22"/>
          <w:lang w:val="sr-Latn-ME"/>
        </w:rPr>
        <w:t>Predoziranje</w:t>
      </w:r>
      <w:r w:rsidR="002846DB" w:rsidRPr="00D264F7">
        <w:rPr>
          <w:b/>
          <w:bCs/>
          <w:sz w:val="22"/>
          <w:szCs w:val="22"/>
          <w:lang w:val="sr-Latn-ME"/>
        </w:rPr>
        <w:t xml:space="preserve"> </w:t>
      </w:r>
    </w:p>
    <w:p w14:paraId="573EA7A2" w14:textId="77777777" w:rsidR="00CD6F02" w:rsidRPr="00D264F7" w:rsidRDefault="00CD6F02" w:rsidP="001F758F">
      <w:pPr>
        <w:tabs>
          <w:tab w:val="left" w:pos="540"/>
          <w:tab w:val="left" w:pos="569"/>
        </w:tabs>
        <w:jc w:val="both"/>
        <w:rPr>
          <w:b/>
          <w:bCs/>
          <w:sz w:val="22"/>
          <w:szCs w:val="22"/>
          <w:lang w:val="sr-Latn-ME"/>
        </w:rPr>
      </w:pPr>
    </w:p>
    <w:p w14:paraId="19B1D5CF" w14:textId="11A82ABB" w:rsidR="00BD782B" w:rsidRPr="00D264F7" w:rsidRDefault="00BD782B" w:rsidP="001C605F">
      <w:pPr>
        <w:pStyle w:val="NoSpacing"/>
        <w:jc w:val="both"/>
        <w:rPr>
          <w:sz w:val="22"/>
          <w:szCs w:val="22"/>
          <w:lang w:val="sr-Latn-ME"/>
        </w:rPr>
      </w:pPr>
      <w:r w:rsidRPr="00D264F7">
        <w:rPr>
          <w:sz w:val="22"/>
          <w:szCs w:val="22"/>
          <w:lang w:val="sr-Latn-ME"/>
        </w:rPr>
        <w:t xml:space="preserve">Prijavljeni su slučajevi predoziranja lijekom Tecfidera. Simptomi opisani u tim slučajevima bili su u skladu sa poznatim </w:t>
      </w:r>
      <w:r w:rsidR="00681A4E">
        <w:rPr>
          <w:sz w:val="22"/>
          <w:szCs w:val="22"/>
          <w:lang w:val="sr-Latn-ME"/>
        </w:rPr>
        <w:t>bezb</w:t>
      </w:r>
      <w:r w:rsidR="004B17E6">
        <w:rPr>
          <w:sz w:val="22"/>
          <w:szCs w:val="22"/>
          <w:lang w:val="sr-Latn-ME"/>
        </w:rPr>
        <w:t>j</w:t>
      </w:r>
      <w:r w:rsidR="00681A4E">
        <w:rPr>
          <w:sz w:val="22"/>
          <w:szCs w:val="22"/>
          <w:lang w:val="sr-Latn-ME"/>
        </w:rPr>
        <w:t xml:space="preserve">ednosnim </w:t>
      </w:r>
      <w:r w:rsidRPr="00D264F7">
        <w:rPr>
          <w:sz w:val="22"/>
          <w:szCs w:val="22"/>
          <w:lang w:val="sr-Latn-ME"/>
        </w:rPr>
        <w:t>profilom lijeka Tecfidera. Nema poznatih terapijskih intervencija koje bi povećale eliminaciju lijeka Tecfidera, niti ima poznatog antidota. U slučaju predoziranja, preporučuje se započinjanje suportivnog liječenja simptoma, kako je klinički indikovano.</w:t>
      </w:r>
    </w:p>
    <w:p w14:paraId="56642583" w14:textId="77777777" w:rsidR="00BD782B" w:rsidRPr="00D264F7" w:rsidRDefault="00BD782B" w:rsidP="001F758F">
      <w:pPr>
        <w:tabs>
          <w:tab w:val="left" w:pos="540"/>
          <w:tab w:val="left" w:pos="569"/>
        </w:tabs>
        <w:jc w:val="both"/>
        <w:rPr>
          <w:b/>
          <w:bCs/>
          <w:sz w:val="22"/>
          <w:szCs w:val="22"/>
          <w:lang w:val="sr-Latn-ME"/>
        </w:rPr>
      </w:pPr>
    </w:p>
    <w:p w14:paraId="5AFFFF16" w14:textId="77777777" w:rsidR="00227BDB" w:rsidRPr="00D264F7" w:rsidRDefault="00227BDB" w:rsidP="001F758F">
      <w:pPr>
        <w:tabs>
          <w:tab w:val="left" w:pos="540"/>
          <w:tab w:val="left" w:pos="569"/>
        </w:tabs>
        <w:jc w:val="both"/>
        <w:rPr>
          <w:b/>
          <w:bCs/>
          <w:sz w:val="22"/>
          <w:szCs w:val="22"/>
          <w:lang w:val="sr-Latn-ME"/>
        </w:rPr>
      </w:pPr>
    </w:p>
    <w:p w14:paraId="29E9C96F" w14:textId="77777777" w:rsidR="0072020E" w:rsidRPr="00D264F7" w:rsidRDefault="0072020E" w:rsidP="001F758F">
      <w:pPr>
        <w:tabs>
          <w:tab w:val="left" w:pos="540"/>
          <w:tab w:val="left" w:pos="569"/>
        </w:tabs>
        <w:jc w:val="both"/>
        <w:rPr>
          <w:b/>
          <w:bCs/>
          <w:sz w:val="22"/>
          <w:szCs w:val="22"/>
          <w:lang w:val="sr-Latn-ME"/>
        </w:rPr>
      </w:pPr>
      <w:r w:rsidRPr="00D264F7">
        <w:rPr>
          <w:b/>
          <w:bCs/>
          <w:sz w:val="22"/>
          <w:szCs w:val="22"/>
          <w:lang w:val="sr-Latn-ME"/>
        </w:rPr>
        <w:t xml:space="preserve">5. </w:t>
      </w:r>
      <w:r w:rsidR="00480FB1" w:rsidRPr="00D264F7">
        <w:rPr>
          <w:b/>
          <w:bCs/>
          <w:sz w:val="22"/>
          <w:szCs w:val="22"/>
          <w:lang w:val="sr-Latn-ME"/>
        </w:rPr>
        <w:tab/>
      </w:r>
      <w:r w:rsidRPr="00D264F7">
        <w:rPr>
          <w:b/>
          <w:bCs/>
          <w:sz w:val="22"/>
          <w:szCs w:val="22"/>
          <w:lang w:val="sr-Latn-ME"/>
        </w:rPr>
        <w:t>FARMAKOLOŠK</w:t>
      </w:r>
      <w:r w:rsidR="000D425A" w:rsidRPr="00D264F7">
        <w:rPr>
          <w:b/>
          <w:bCs/>
          <w:sz w:val="22"/>
          <w:szCs w:val="22"/>
          <w:lang w:val="sr-Latn-ME"/>
        </w:rPr>
        <w:t>I</w:t>
      </w:r>
      <w:r w:rsidRPr="00D264F7">
        <w:rPr>
          <w:b/>
          <w:bCs/>
          <w:sz w:val="22"/>
          <w:szCs w:val="22"/>
          <w:lang w:val="sr-Latn-ME"/>
        </w:rPr>
        <w:t xml:space="preserve"> PODACI</w:t>
      </w:r>
    </w:p>
    <w:p w14:paraId="08E16405" w14:textId="77777777" w:rsidR="0072020E" w:rsidRPr="00D264F7" w:rsidRDefault="0072020E" w:rsidP="001F758F">
      <w:pPr>
        <w:tabs>
          <w:tab w:val="left" w:pos="540"/>
          <w:tab w:val="left" w:pos="569"/>
        </w:tabs>
        <w:jc w:val="both"/>
        <w:rPr>
          <w:b/>
          <w:bCs/>
          <w:sz w:val="22"/>
          <w:szCs w:val="22"/>
          <w:lang w:val="sr-Latn-ME"/>
        </w:rPr>
      </w:pPr>
    </w:p>
    <w:p w14:paraId="49C6CC3D" w14:textId="77777777" w:rsidR="0072020E" w:rsidRPr="00D264F7" w:rsidRDefault="0072020E" w:rsidP="001F758F">
      <w:pPr>
        <w:tabs>
          <w:tab w:val="left" w:pos="540"/>
          <w:tab w:val="left" w:pos="569"/>
        </w:tabs>
        <w:jc w:val="both"/>
        <w:rPr>
          <w:b/>
          <w:bCs/>
          <w:sz w:val="22"/>
          <w:szCs w:val="22"/>
          <w:lang w:val="sr-Latn-ME"/>
        </w:rPr>
      </w:pPr>
      <w:r w:rsidRPr="00D264F7">
        <w:rPr>
          <w:b/>
          <w:bCs/>
          <w:sz w:val="22"/>
          <w:szCs w:val="22"/>
          <w:lang w:val="sr-Latn-ME"/>
        </w:rPr>
        <w:t xml:space="preserve">5.1. </w:t>
      </w:r>
      <w:r w:rsidR="00480FB1" w:rsidRPr="00D264F7">
        <w:rPr>
          <w:b/>
          <w:bCs/>
          <w:sz w:val="22"/>
          <w:szCs w:val="22"/>
          <w:lang w:val="sr-Latn-ME"/>
        </w:rPr>
        <w:tab/>
      </w:r>
      <w:r w:rsidRPr="00D264F7">
        <w:rPr>
          <w:b/>
          <w:bCs/>
          <w:sz w:val="22"/>
          <w:szCs w:val="22"/>
          <w:lang w:val="sr-Latn-ME"/>
        </w:rPr>
        <w:t>Farmakodinamski podaci</w:t>
      </w:r>
      <w:r w:rsidR="003A7059" w:rsidRPr="00D264F7">
        <w:rPr>
          <w:b/>
          <w:bCs/>
          <w:sz w:val="22"/>
          <w:szCs w:val="22"/>
          <w:lang w:val="sr-Latn-ME"/>
        </w:rPr>
        <w:t xml:space="preserve"> </w:t>
      </w:r>
    </w:p>
    <w:p w14:paraId="6A961161" w14:textId="77777777" w:rsidR="00F45F77" w:rsidRPr="00D264F7" w:rsidRDefault="00F45F77" w:rsidP="001F758F">
      <w:pPr>
        <w:tabs>
          <w:tab w:val="left" w:pos="540"/>
          <w:tab w:val="left" w:pos="569"/>
        </w:tabs>
        <w:jc w:val="both"/>
        <w:rPr>
          <w:b/>
          <w:bCs/>
          <w:sz w:val="22"/>
          <w:szCs w:val="22"/>
          <w:lang w:val="sr-Latn-ME"/>
        </w:rPr>
      </w:pPr>
    </w:p>
    <w:p w14:paraId="1A25B28C" w14:textId="3E1BCDBE" w:rsidR="0072020E" w:rsidRPr="00D264F7" w:rsidRDefault="0072020E" w:rsidP="001F758F">
      <w:pPr>
        <w:tabs>
          <w:tab w:val="left" w:pos="540"/>
          <w:tab w:val="left" w:pos="569"/>
        </w:tabs>
        <w:jc w:val="both"/>
        <w:rPr>
          <w:bCs/>
          <w:sz w:val="22"/>
          <w:szCs w:val="22"/>
          <w:lang w:val="sr-Latn-ME"/>
        </w:rPr>
      </w:pPr>
      <w:r w:rsidRPr="00D264F7">
        <w:rPr>
          <w:bCs/>
          <w:sz w:val="22"/>
          <w:szCs w:val="22"/>
          <w:lang w:val="sr-Latn-ME"/>
        </w:rPr>
        <w:t>Farmakoterapijska grupa:</w:t>
      </w:r>
      <w:r w:rsidR="00BD782B" w:rsidRPr="00D264F7">
        <w:rPr>
          <w:bCs/>
          <w:sz w:val="22"/>
          <w:szCs w:val="22"/>
          <w:lang w:val="sr-Latn-ME"/>
        </w:rPr>
        <w:t xml:space="preserve"> </w:t>
      </w:r>
      <w:r w:rsidR="002A7193" w:rsidRPr="00D264F7">
        <w:rPr>
          <w:sz w:val="22"/>
          <w:szCs w:val="22"/>
          <w:lang w:val="sr-Latn-ME"/>
        </w:rPr>
        <w:t>Imunosupresivi, ostali imunosupresivi</w:t>
      </w:r>
    </w:p>
    <w:p w14:paraId="333F6573" w14:textId="77777777" w:rsidR="0072020E" w:rsidRPr="00D264F7" w:rsidRDefault="0072020E" w:rsidP="001F758F">
      <w:pPr>
        <w:tabs>
          <w:tab w:val="left" w:pos="540"/>
          <w:tab w:val="left" w:pos="569"/>
        </w:tabs>
        <w:jc w:val="both"/>
        <w:rPr>
          <w:bCs/>
          <w:sz w:val="22"/>
          <w:szCs w:val="22"/>
          <w:lang w:val="sr-Latn-ME"/>
        </w:rPr>
      </w:pPr>
    </w:p>
    <w:p w14:paraId="2223B649" w14:textId="77777777" w:rsidR="0072020E" w:rsidRPr="00D264F7" w:rsidRDefault="0072020E" w:rsidP="001F758F">
      <w:pPr>
        <w:tabs>
          <w:tab w:val="left" w:pos="540"/>
          <w:tab w:val="left" w:pos="569"/>
        </w:tabs>
        <w:jc w:val="both"/>
        <w:rPr>
          <w:bCs/>
          <w:sz w:val="22"/>
          <w:szCs w:val="22"/>
          <w:lang w:val="sr-Latn-ME"/>
        </w:rPr>
      </w:pPr>
      <w:r w:rsidRPr="00D264F7">
        <w:rPr>
          <w:bCs/>
          <w:sz w:val="22"/>
          <w:szCs w:val="22"/>
          <w:lang w:val="sr-Latn-ME"/>
        </w:rPr>
        <w:t>ATC kod:</w:t>
      </w:r>
      <w:r w:rsidR="00BD782B" w:rsidRPr="00D264F7">
        <w:rPr>
          <w:bCs/>
          <w:sz w:val="22"/>
          <w:szCs w:val="22"/>
          <w:lang w:val="sr-Latn-ME"/>
        </w:rPr>
        <w:t xml:space="preserve"> </w:t>
      </w:r>
      <w:r w:rsidR="00E8771C" w:rsidRPr="00D264F7">
        <w:rPr>
          <w:sz w:val="22"/>
          <w:szCs w:val="22"/>
          <w:lang w:val="sr-Latn-ME"/>
        </w:rPr>
        <w:t>L04AX07</w:t>
      </w:r>
    </w:p>
    <w:p w14:paraId="4F14C943" w14:textId="77777777" w:rsidR="002E37A5" w:rsidRPr="00D264F7" w:rsidRDefault="002E37A5" w:rsidP="001F758F">
      <w:pPr>
        <w:tabs>
          <w:tab w:val="left" w:pos="540"/>
          <w:tab w:val="left" w:pos="569"/>
        </w:tabs>
        <w:jc w:val="both"/>
        <w:rPr>
          <w:b/>
          <w:bCs/>
          <w:sz w:val="22"/>
          <w:szCs w:val="22"/>
          <w:lang w:val="sr-Latn-ME"/>
        </w:rPr>
      </w:pPr>
    </w:p>
    <w:p w14:paraId="6B79F8C3" w14:textId="77777777" w:rsidR="00BD782B" w:rsidRPr="00D264F7" w:rsidRDefault="00BD782B" w:rsidP="001C605F">
      <w:pPr>
        <w:pStyle w:val="NoSpacing"/>
        <w:jc w:val="both"/>
        <w:rPr>
          <w:sz w:val="22"/>
          <w:szCs w:val="22"/>
          <w:u w:val="single"/>
          <w:lang w:val="sr-Latn-ME"/>
        </w:rPr>
      </w:pPr>
      <w:r w:rsidRPr="00D264F7">
        <w:rPr>
          <w:sz w:val="22"/>
          <w:szCs w:val="22"/>
          <w:u w:val="single"/>
          <w:lang w:val="sr-Latn-ME"/>
        </w:rPr>
        <w:t>Mehanizam dejstva</w:t>
      </w:r>
    </w:p>
    <w:p w14:paraId="4149407C" w14:textId="4BB0BBFA" w:rsidR="00BD782B" w:rsidRPr="00D264F7" w:rsidRDefault="00BD782B">
      <w:pPr>
        <w:jc w:val="both"/>
        <w:rPr>
          <w:sz w:val="22"/>
          <w:szCs w:val="22"/>
          <w:lang w:val="sr-Latn-ME"/>
        </w:rPr>
      </w:pPr>
      <w:r w:rsidRPr="00D264F7">
        <w:rPr>
          <w:sz w:val="22"/>
          <w:szCs w:val="22"/>
          <w:lang w:val="sr-Latn-ME"/>
        </w:rPr>
        <w:t xml:space="preserve">Mehanizam kojim dimetilfumarat ispoljava terapijske efekte u multiploj sklerozi nije u potpunosti razjašnjen. </w:t>
      </w:r>
      <w:r w:rsidRPr="00D264F7">
        <w:rPr>
          <w:color w:val="000000"/>
          <w:sz w:val="22"/>
          <w:szCs w:val="22"/>
          <w:lang w:val="sr-Latn-ME"/>
        </w:rPr>
        <w:t>Pretklinička ispitivanja pokazuju da dimetilfumarat izaziva farmakodinam</w:t>
      </w:r>
      <w:r w:rsidR="00877503" w:rsidRPr="00D264F7">
        <w:rPr>
          <w:color w:val="000000"/>
          <w:sz w:val="22"/>
          <w:szCs w:val="22"/>
          <w:lang w:val="sr-Latn-ME"/>
        </w:rPr>
        <w:t>ske</w:t>
      </w:r>
      <w:r w:rsidRPr="00D264F7">
        <w:rPr>
          <w:color w:val="000000"/>
          <w:sz w:val="22"/>
          <w:szCs w:val="22"/>
          <w:lang w:val="sr-Latn-ME"/>
        </w:rPr>
        <w:t xml:space="preserve"> odgovore prvenstveno aktivacijom signalnog puta nuklearnog transkripcijskog faktora Nrf2 [engl.</w:t>
      </w:r>
      <w:r w:rsidR="00877503" w:rsidRPr="00D264F7">
        <w:rPr>
          <w:color w:val="000000"/>
          <w:sz w:val="22"/>
          <w:szCs w:val="22"/>
          <w:lang w:val="sr-Latn-ME"/>
        </w:rPr>
        <w:t xml:space="preserve"> </w:t>
      </w:r>
      <w:r w:rsidR="00877503" w:rsidRPr="00D264F7">
        <w:rPr>
          <w:i/>
          <w:color w:val="000000"/>
          <w:sz w:val="22"/>
          <w:szCs w:val="22"/>
          <w:lang w:val="sr-Latn-ME"/>
        </w:rPr>
        <w:t>nuclear factor</w:t>
      </w:r>
      <w:r w:rsidRPr="00D264F7">
        <w:rPr>
          <w:i/>
          <w:color w:val="000000"/>
          <w:sz w:val="22"/>
          <w:szCs w:val="22"/>
          <w:lang w:val="sr-Latn-ME"/>
        </w:rPr>
        <w:t xml:space="preserve"> (erythroid-derived 2)-like 2</w:t>
      </w:r>
      <w:r w:rsidRPr="00D264F7">
        <w:rPr>
          <w:color w:val="000000"/>
          <w:sz w:val="22"/>
          <w:szCs w:val="22"/>
          <w:lang w:val="sr-Latn-ME"/>
        </w:rPr>
        <w:t>].</w:t>
      </w:r>
      <w:r w:rsidRPr="00D264F7">
        <w:rPr>
          <w:sz w:val="22"/>
          <w:szCs w:val="22"/>
          <w:lang w:val="sr-Latn-ME"/>
        </w:rPr>
        <w:t xml:space="preserve"> </w:t>
      </w:r>
      <w:r w:rsidRPr="00D264F7">
        <w:rPr>
          <w:color w:val="000000"/>
          <w:sz w:val="22"/>
          <w:szCs w:val="22"/>
          <w:lang w:val="sr-Latn-ME"/>
        </w:rPr>
        <w:t>Pokazalo se da dimetilfumarat podstiče ekspresiju antioksidativnih gena zavisnih od Nrf2 kod pacijenata (npr. NAD(P)H dehidrogenaza, kinon 1; [NQO1])</w:t>
      </w:r>
      <w:r w:rsidRPr="00D264F7">
        <w:rPr>
          <w:sz w:val="22"/>
          <w:szCs w:val="22"/>
          <w:lang w:val="sr-Latn-ME"/>
        </w:rPr>
        <w:t>.</w:t>
      </w:r>
    </w:p>
    <w:p w14:paraId="323BA166" w14:textId="77777777" w:rsidR="00BD782B" w:rsidRPr="00D264F7" w:rsidRDefault="00BD782B">
      <w:pPr>
        <w:jc w:val="both"/>
        <w:rPr>
          <w:sz w:val="22"/>
          <w:szCs w:val="22"/>
          <w:lang w:val="sr-Latn-ME"/>
        </w:rPr>
      </w:pPr>
    </w:p>
    <w:p w14:paraId="34ABA36B" w14:textId="77777777" w:rsidR="00BD782B" w:rsidRPr="00D264F7" w:rsidRDefault="00BD782B">
      <w:pPr>
        <w:jc w:val="both"/>
        <w:rPr>
          <w:sz w:val="22"/>
          <w:szCs w:val="22"/>
          <w:u w:val="single"/>
          <w:lang w:val="sr-Latn-ME"/>
        </w:rPr>
      </w:pPr>
      <w:r w:rsidRPr="00D264F7">
        <w:rPr>
          <w:sz w:val="22"/>
          <w:szCs w:val="22"/>
          <w:u w:val="single"/>
          <w:lang w:val="sr-Latn-ME"/>
        </w:rPr>
        <w:t>Farmakodinamski efekti</w:t>
      </w:r>
    </w:p>
    <w:p w14:paraId="37A8FFC9" w14:textId="77777777" w:rsidR="00BD782B" w:rsidRPr="00D264F7" w:rsidRDefault="00BD782B">
      <w:pPr>
        <w:jc w:val="both"/>
        <w:rPr>
          <w:rFonts w:eastAsia="Calibri"/>
          <w:sz w:val="22"/>
          <w:szCs w:val="22"/>
          <w:lang w:val="sr-Latn-ME"/>
        </w:rPr>
      </w:pPr>
    </w:p>
    <w:p w14:paraId="1333FC9B" w14:textId="56284A60" w:rsidR="00BD782B" w:rsidRPr="00D264F7" w:rsidRDefault="00BD782B">
      <w:pPr>
        <w:widowControl w:val="0"/>
        <w:suppressLineNumbers/>
        <w:autoSpaceDE w:val="0"/>
        <w:spacing w:line="259" w:lineRule="auto"/>
        <w:jc w:val="both"/>
        <w:rPr>
          <w:rFonts w:eastAsiaTheme="minorHAnsi"/>
          <w:sz w:val="22"/>
          <w:szCs w:val="22"/>
          <w:lang w:val="sr-Latn-ME"/>
        </w:rPr>
      </w:pPr>
      <w:r w:rsidRPr="00D264F7">
        <w:rPr>
          <w:rFonts w:eastAsiaTheme="minorHAnsi"/>
          <w:i/>
          <w:sz w:val="22"/>
          <w:szCs w:val="22"/>
          <w:lang w:val="sr-Latn-ME"/>
        </w:rPr>
        <w:t>Efekti na imuni sistem</w:t>
      </w:r>
    </w:p>
    <w:p w14:paraId="4C6E85FF" w14:textId="6800CE78" w:rsidR="00BD782B" w:rsidRPr="00D264F7" w:rsidRDefault="00BD782B">
      <w:pPr>
        <w:widowControl w:val="0"/>
        <w:suppressLineNumbers/>
        <w:autoSpaceDE w:val="0"/>
        <w:spacing w:line="259" w:lineRule="auto"/>
        <w:jc w:val="both"/>
        <w:rPr>
          <w:rFonts w:eastAsiaTheme="minorHAnsi"/>
          <w:sz w:val="22"/>
          <w:szCs w:val="22"/>
          <w:lang w:val="sr-Latn-ME"/>
        </w:rPr>
      </w:pPr>
      <w:r w:rsidRPr="00D264F7">
        <w:rPr>
          <w:rFonts w:eastAsiaTheme="minorHAnsi"/>
          <w:sz w:val="22"/>
          <w:szCs w:val="22"/>
          <w:lang w:val="sr-Latn-ME"/>
        </w:rPr>
        <w:t>U pretkliničkim i kliničkim ispitivanjima, dimetilfumarat je pokazao protivupalne i imunomodulatorne osobine. Dimetilfumarat i monometilfumarat, primarni metabolit dimetilfumarata, značajno su smanjili aktivaciju imunih ćelija i naknadno otpuštanje pro-inflamatornih citokina kao odgovor na upalni nadražaj u pretkliničkim modelima. U kliničkim ispitivanjima kod pacijenata s psorijazom, dimetilfumarat je uticao na fenotipove limfocita preko smanjenja profila pro-inflamatornih citokina (T</w:t>
      </w:r>
      <w:r w:rsidRPr="00D264F7">
        <w:rPr>
          <w:rFonts w:eastAsiaTheme="minorHAnsi"/>
          <w:sz w:val="22"/>
          <w:szCs w:val="22"/>
          <w:vertAlign w:val="subscript"/>
          <w:lang w:val="sr-Latn-ME"/>
        </w:rPr>
        <w:t>H</w:t>
      </w:r>
      <w:r w:rsidRPr="00D264F7">
        <w:rPr>
          <w:rFonts w:eastAsiaTheme="minorHAnsi"/>
          <w:sz w:val="22"/>
          <w:szCs w:val="22"/>
          <w:lang w:val="sr-Latn-ME"/>
        </w:rPr>
        <w:t>1, T</w:t>
      </w:r>
      <w:r w:rsidRPr="00D264F7">
        <w:rPr>
          <w:rFonts w:eastAsiaTheme="minorHAnsi"/>
          <w:sz w:val="22"/>
          <w:szCs w:val="22"/>
          <w:vertAlign w:val="subscript"/>
          <w:lang w:val="sr-Latn-ME"/>
        </w:rPr>
        <w:t>H</w:t>
      </w:r>
      <w:r w:rsidRPr="00D264F7">
        <w:rPr>
          <w:rFonts w:eastAsiaTheme="minorHAnsi"/>
          <w:sz w:val="22"/>
          <w:szCs w:val="22"/>
          <w:lang w:val="sr-Latn-ME"/>
        </w:rPr>
        <w:t>17) pa je bio sklon protivupalnoj produkciji (T</w:t>
      </w:r>
      <w:r w:rsidRPr="00D264F7">
        <w:rPr>
          <w:rFonts w:eastAsiaTheme="minorHAnsi"/>
          <w:sz w:val="22"/>
          <w:szCs w:val="22"/>
          <w:vertAlign w:val="subscript"/>
          <w:lang w:val="sr-Latn-ME"/>
        </w:rPr>
        <w:t>H</w:t>
      </w:r>
      <w:r w:rsidRPr="00D264F7">
        <w:rPr>
          <w:rFonts w:eastAsiaTheme="minorHAnsi"/>
          <w:sz w:val="22"/>
          <w:szCs w:val="22"/>
          <w:lang w:val="sr-Latn-ME"/>
        </w:rPr>
        <w:t xml:space="preserve">2). Dimetilfumarat je pokazao terapijsku aktivnost u višestrukim modelima upalne i neuroinflamatorne povrede. U ispitivanjima faze </w:t>
      </w:r>
      <w:r w:rsidR="00326D43">
        <w:rPr>
          <w:rFonts w:eastAsiaTheme="minorHAnsi"/>
          <w:sz w:val="22"/>
          <w:szCs w:val="22"/>
          <w:lang w:val="sr-Latn-ME"/>
        </w:rPr>
        <w:t>3</w:t>
      </w:r>
      <w:r w:rsidRPr="00D264F7">
        <w:rPr>
          <w:rFonts w:eastAsiaTheme="minorHAnsi"/>
          <w:sz w:val="22"/>
          <w:szCs w:val="22"/>
          <w:lang w:val="sr-Latn-ME"/>
        </w:rPr>
        <w:t xml:space="preserve"> na pacijentima sa multiplom sklerozom</w:t>
      </w:r>
      <w:r w:rsidR="007D6250" w:rsidRPr="00D264F7">
        <w:rPr>
          <w:rFonts w:eastAsiaTheme="minorHAnsi"/>
          <w:sz w:val="22"/>
          <w:szCs w:val="22"/>
          <w:lang w:val="sr-Latn-ME"/>
        </w:rPr>
        <w:t xml:space="preserve"> (DEFINE, CONFIRM i ENNDORSE)</w:t>
      </w:r>
      <w:r w:rsidRPr="00D264F7">
        <w:rPr>
          <w:rFonts w:eastAsiaTheme="minorHAnsi"/>
          <w:sz w:val="22"/>
          <w:szCs w:val="22"/>
          <w:lang w:val="sr-Latn-ME"/>
        </w:rPr>
        <w:t xml:space="preserve">, nakon liječenja lijekom Tecfidera, srednja vrijednost broja limfocita smanjivala se u prosjeku za otprilike 30% u odnosu na početnu vrijednost tokom prve godine, nakon čega je uslijedio plato. </w:t>
      </w:r>
      <w:r w:rsidR="007D6250" w:rsidRPr="00D264F7">
        <w:rPr>
          <w:rFonts w:eastAsiaTheme="minorHAnsi"/>
          <w:sz w:val="22"/>
          <w:szCs w:val="22"/>
          <w:lang w:val="sr-Latn-ME"/>
        </w:rPr>
        <w:t xml:space="preserve">U ovim ispitivanjima, pacijenti koji su prekinuli terapiju sa brojem limfocita ispod donje granice normale (DGN, </w:t>
      </w:r>
      <w:r w:rsidR="00272C10" w:rsidRPr="00272C10">
        <w:rPr>
          <w:rFonts w:eastAsiaTheme="minorHAnsi"/>
          <w:sz w:val="22"/>
          <w:szCs w:val="22"/>
          <w:lang w:val="sr-Latn-ME"/>
        </w:rPr>
        <w:t>0.9 × 109/L</w:t>
      </w:r>
      <w:r w:rsidR="007D6250" w:rsidRPr="00D264F7">
        <w:rPr>
          <w:rFonts w:eastAsiaTheme="minorHAnsi"/>
          <w:sz w:val="22"/>
          <w:szCs w:val="22"/>
          <w:lang w:val="sr-Latn-ME"/>
        </w:rPr>
        <w:t>), praćeni su u pogledu povratka broja limfocita na DGN.</w:t>
      </w:r>
    </w:p>
    <w:p w14:paraId="63F2DA02" w14:textId="76A261B4" w:rsidR="007D6250" w:rsidRPr="00D264F7" w:rsidRDefault="007D6250">
      <w:pPr>
        <w:widowControl w:val="0"/>
        <w:suppressLineNumbers/>
        <w:autoSpaceDE w:val="0"/>
        <w:spacing w:line="259" w:lineRule="auto"/>
        <w:jc w:val="both"/>
        <w:rPr>
          <w:rFonts w:eastAsiaTheme="minorHAnsi"/>
          <w:sz w:val="22"/>
          <w:szCs w:val="22"/>
          <w:lang w:val="sr-Latn-ME"/>
        </w:rPr>
      </w:pPr>
    </w:p>
    <w:p w14:paraId="4D6C9A62" w14:textId="5D688901" w:rsidR="007D6250" w:rsidRPr="00D264F7" w:rsidRDefault="007D6250">
      <w:pPr>
        <w:spacing w:line="259" w:lineRule="auto"/>
        <w:jc w:val="both"/>
        <w:rPr>
          <w:rFonts w:eastAsiaTheme="minorHAnsi"/>
          <w:sz w:val="22"/>
          <w:szCs w:val="22"/>
          <w:lang w:val="sr-Latn-ME"/>
        </w:rPr>
      </w:pPr>
      <w:r w:rsidRPr="00D264F7">
        <w:rPr>
          <w:rFonts w:eastAsiaTheme="minorHAnsi"/>
          <w:sz w:val="22"/>
          <w:szCs w:val="22"/>
          <w:lang w:val="sr-Latn-ME"/>
        </w:rPr>
        <w:t>Slika 1. prikazuje ud</w:t>
      </w:r>
      <w:r w:rsidR="00BB5A46" w:rsidRPr="00D264F7">
        <w:rPr>
          <w:rFonts w:eastAsiaTheme="minorHAnsi"/>
          <w:sz w:val="22"/>
          <w:szCs w:val="22"/>
          <w:lang w:val="sr-Latn-ME"/>
        </w:rPr>
        <w:t>i</w:t>
      </w:r>
      <w:r w:rsidRPr="00D264F7">
        <w:rPr>
          <w:rFonts w:eastAsiaTheme="minorHAnsi"/>
          <w:sz w:val="22"/>
          <w:szCs w:val="22"/>
          <w:lang w:val="sr-Latn-ME"/>
        </w:rPr>
        <w:t>o pacijenata za koje je proc</w:t>
      </w:r>
      <w:r w:rsidR="00BB5A46" w:rsidRPr="00D264F7">
        <w:rPr>
          <w:rFonts w:eastAsiaTheme="minorHAnsi"/>
          <w:sz w:val="22"/>
          <w:szCs w:val="22"/>
          <w:lang w:val="sr-Latn-ME"/>
        </w:rPr>
        <w:t>ij</w:t>
      </w:r>
      <w:r w:rsidRPr="00D264F7">
        <w:rPr>
          <w:rFonts w:eastAsiaTheme="minorHAnsi"/>
          <w:sz w:val="22"/>
          <w:szCs w:val="22"/>
          <w:lang w:val="sr-Latn-ME"/>
        </w:rPr>
        <w:t>enjeno da su dostigli DGN na osnovu Kaplan-Meierove metode bez produžene teške limfopenije. Vr</w:t>
      </w:r>
      <w:r w:rsidR="00BB5A46" w:rsidRPr="00D264F7">
        <w:rPr>
          <w:rFonts w:eastAsiaTheme="minorHAnsi"/>
          <w:sz w:val="22"/>
          <w:szCs w:val="22"/>
          <w:lang w:val="sr-Latn-ME"/>
        </w:rPr>
        <w:t>ij</w:t>
      </w:r>
      <w:r w:rsidRPr="00D264F7">
        <w:rPr>
          <w:rFonts w:eastAsiaTheme="minorHAnsi"/>
          <w:sz w:val="22"/>
          <w:szCs w:val="22"/>
          <w:lang w:val="sr-Latn-ME"/>
        </w:rPr>
        <w:t xml:space="preserve">ednost na početku oporavka (engl. </w:t>
      </w:r>
      <w:r w:rsidRPr="00D264F7">
        <w:rPr>
          <w:rFonts w:eastAsiaTheme="minorHAnsi"/>
          <w:i/>
          <w:sz w:val="22"/>
          <w:szCs w:val="22"/>
          <w:lang w:val="sr-Latn-ME"/>
        </w:rPr>
        <w:t>recovery baseline</w:t>
      </w:r>
      <w:r w:rsidRPr="00D264F7">
        <w:rPr>
          <w:rFonts w:eastAsiaTheme="minorHAnsi"/>
          <w:sz w:val="22"/>
          <w:szCs w:val="22"/>
          <w:lang w:val="sr-Latn-ME"/>
        </w:rPr>
        <w:t>, RBL) je definisana kao posl</w:t>
      </w:r>
      <w:r w:rsidR="00BB5A46" w:rsidRPr="00D264F7">
        <w:rPr>
          <w:rFonts w:eastAsiaTheme="minorHAnsi"/>
          <w:sz w:val="22"/>
          <w:szCs w:val="22"/>
          <w:lang w:val="sr-Latn-ME"/>
        </w:rPr>
        <w:t>j</w:t>
      </w:r>
      <w:r w:rsidRPr="00D264F7">
        <w:rPr>
          <w:rFonts w:eastAsiaTheme="minorHAnsi"/>
          <w:sz w:val="22"/>
          <w:szCs w:val="22"/>
          <w:lang w:val="sr-Latn-ME"/>
        </w:rPr>
        <w:t>ednja vrijednost ABL-a tokom l</w:t>
      </w:r>
      <w:r w:rsidR="00BB5A46" w:rsidRPr="00D264F7">
        <w:rPr>
          <w:rFonts w:eastAsiaTheme="minorHAnsi"/>
          <w:sz w:val="22"/>
          <w:szCs w:val="22"/>
          <w:lang w:val="sr-Latn-ME"/>
        </w:rPr>
        <w:t>ij</w:t>
      </w:r>
      <w:r w:rsidRPr="00D264F7">
        <w:rPr>
          <w:rFonts w:eastAsiaTheme="minorHAnsi"/>
          <w:sz w:val="22"/>
          <w:szCs w:val="22"/>
          <w:lang w:val="sr-Latn-ME"/>
        </w:rPr>
        <w:t>ečenja pr</w:t>
      </w:r>
      <w:r w:rsidR="00BB5A46" w:rsidRPr="00D264F7">
        <w:rPr>
          <w:rFonts w:eastAsiaTheme="minorHAnsi"/>
          <w:sz w:val="22"/>
          <w:szCs w:val="22"/>
          <w:lang w:val="sr-Latn-ME"/>
        </w:rPr>
        <w:t>ij</w:t>
      </w:r>
      <w:r w:rsidRPr="00D264F7">
        <w:rPr>
          <w:rFonts w:eastAsiaTheme="minorHAnsi"/>
          <w:sz w:val="22"/>
          <w:szCs w:val="22"/>
          <w:lang w:val="sr-Latn-ME"/>
        </w:rPr>
        <w:t>e ukidanja l</w:t>
      </w:r>
      <w:r w:rsidR="00BB5A46" w:rsidRPr="00D264F7">
        <w:rPr>
          <w:rFonts w:eastAsiaTheme="minorHAnsi"/>
          <w:sz w:val="22"/>
          <w:szCs w:val="22"/>
          <w:lang w:val="sr-Latn-ME"/>
        </w:rPr>
        <w:t>ij</w:t>
      </w:r>
      <w:r w:rsidRPr="00D264F7">
        <w:rPr>
          <w:rFonts w:eastAsiaTheme="minorHAnsi"/>
          <w:sz w:val="22"/>
          <w:szCs w:val="22"/>
          <w:lang w:val="sr-Latn-ME"/>
        </w:rPr>
        <w:t>e</w:t>
      </w:r>
      <w:r w:rsidR="00334474">
        <w:rPr>
          <w:rFonts w:eastAsiaTheme="minorHAnsi"/>
          <w:sz w:val="22"/>
          <w:szCs w:val="22"/>
          <w:lang w:val="sr-Latn-ME"/>
        </w:rPr>
        <w:t>čenja</w:t>
      </w:r>
      <w:r w:rsidRPr="00D264F7">
        <w:rPr>
          <w:rFonts w:eastAsiaTheme="minorHAnsi"/>
          <w:sz w:val="22"/>
          <w:szCs w:val="22"/>
          <w:lang w:val="sr-Latn-ME"/>
        </w:rPr>
        <w:t>. Proc</w:t>
      </w:r>
      <w:r w:rsidR="00BB5A46" w:rsidRPr="00D264F7">
        <w:rPr>
          <w:rFonts w:eastAsiaTheme="minorHAnsi"/>
          <w:sz w:val="22"/>
          <w:szCs w:val="22"/>
          <w:lang w:val="sr-Latn-ME"/>
        </w:rPr>
        <w:t>ij</w:t>
      </w:r>
      <w:r w:rsidRPr="00D264F7">
        <w:rPr>
          <w:rFonts w:eastAsiaTheme="minorHAnsi"/>
          <w:sz w:val="22"/>
          <w:szCs w:val="22"/>
          <w:lang w:val="sr-Latn-ME"/>
        </w:rPr>
        <w:t>enjeni ud</w:t>
      </w:r>
      <w:r w:rsidR="00BB5A46" w:rsidRPr="00D264F7">
        <w:rPr>
          <w:rFonts w:eastAsiaTheme="minorHAnsi"/>
          <w:sz w:val="22"/>
          <w:szCs w:val="22"/>
          <w:lang w:val="sr-Latn-ME"/>
        </w:rPr>
        <w:t>i</w:t>
      </w:r>
      <w:r w:rsidRPr="00D264F7">
        <w:rPr>
          <w:rFonts w:eastAsiaTheme="minorHAnsi"/>
          <w:sz w:val="22"/>
          <w:szCs w:val="22"/>
          <w:lang w:val="sr-Latn-ME"/>
        </w:rPr>
        <w:t>o pacijenata sa blagom, um</w:t>
      </w:r>
      <w:r w:rsidR="00BB5A46" w:rsidRPr="00D264F7">
        <w:rPr>
          <w:rFonts w:eastAsiaTheme="minorHAnsi"/>
          <w:sz w:val="22"/>
          <w:szCs w:val="22"/>
          <w:lang w:val="sr-Latn-ME"/>
        </w:rPr>
        <w:t>j</w:t>
      </w:r>
      <w:r w:rsidRPr="00D264F7">
        <w:rPr>
          <w:rFonts w:eastAsiaTheme="minorHAnsi"/>
          <w:sz w:val="22"/>
          <w:szCs w:val="22"/>
          <w:lang w:val="sr-Latn-ME"/>
        </w:rPr>
        <w:t>erenom ili teškom limfopenijom pri RBL-u, kod kojih se broj limfocita oporavio do DGN-a (ABL ≥ 0,9 ×109/L) u 12. ned</w:t>
      </w:r>
      <w:r w:rsidR="00BB5A46" w:rsidRPr="00D264F7">
        <w:rPr>
          <w:rFonts w:eastAsiaTheme="minorHAnsi"/>
          <w:sz w:val="22"/>
          <w:szCs w:val="22"/>
          <w:lang w:val="sr-Latn-ME"/>
        </w:rPr>
        <w:t>j</w:t>
      </w:r>
      <w:r w:rsidRPr="00D264F7">
        <w:rPr>
          <w:rFonts w:eastAsiaTheme="minorHAnsi"/>
          <w:sz w:val="22"/>
          <w:szCs w:val="22"/>
          <w:lang w:val="sr-Latn-ME"/>
        </w:rPr>
        <w:t>elji i 24. ned</w:t>
      </w:r>
      <w:r w:rsidR="00BB5A46" w:rsidRPr="00D264F7">
        <w:rPr>
          <w:rFonts w:eastAsiaTheme="minorHAnsi"/>
          <w:sz w:val="22"/>
          <w:szCs w:val="22"/>
          <w:lang w:val="sr-Latn-ME"/>
        </w:rPr>
        <w:t>j</w:t>
      </w:r>
      <w:r w:rsidRPr="00D264F7">
        <w:rPr>
          <w:rFonts w:eastAsiaTheme="minorHAnsi"/>
          <w:sz w:val="22"/>
          <w:szCs w:val="22"/>
          <w:lang w:val="sr-Latn-ME"/>
        </w:rPr>
        <w:t>elji, prikazan je u tabelama 1., 2. i 3., uz 95%-tne  intervale pouzdanosti. Standardna greška Kaplan-Meier proc</w:t>
      </w:r>
      <w:r w:rsidR="00BB5A46" w:rsidRPr="00D264F7">
        <w:rPr>
          <w:rFonts w:eastAsiaTheme="minorHAnsi"/>
          <w:sz w:val="22"/>
          <w:szCs w:val="22"/>
          <w:lang w:val="sr-Latn-ME"/>
        </w:rPr>
        <w:t>j</w:t>
      </w:r>
      <w:r w:rsidRPr="00D264F7">
        <w:rPr>
          <w:rFonts w:eastAsiaTheme="minorHAnsi"/>
          <w:sz w:val="22"/>
          <w:szCs w:val="22"/>
          <w:lang w:val="sr-Latn-ME"/>
        </w:rPr>
        <w:t>enitelja funkcije preživljavanja izračunata je pomoću Greenwoodove formule.</w:t>
      </w:r>
    </w:p>
    <w:p w14:paraId="5A6B772B" w14:textId="77777777" w:rsidR="007D6250" w:rsidRPr="00D264F7" w:rsidRDefault="007D6250">
      <w:pPr>
        <w:spacing w:line="259" w:lineRule="auto"/>
        <w:jc w:val="both"/>
        <w:rPr>
          <w:rFonts w:eastAsiaTheme="minorHAnsi"/>
          <w:sz w:val="22"/>
          <w:szCs w:val="22"/>
          <w:lang w:val="sr-Latn-ME"/>
        </w:rPr>
      </w:pPr>
    </w:p>
    <w:p w14:paraId="67C79718" w14:textId="27D6273C" w:rsidR="007D6250" w:rsidRPr="00D264F7" w:rsidRDefault="007D6250">
      <w:pPr>
        <w:spacing w:line="259" w:lineRule="auto"/>
        <w:jc w:val="both"/>
        <w:rPr>
          <w:rFonts w:eastAsiaTheme="minorHAnsi"/>
          <w:b/>
          <w:sz w:val="22"/>
          <w:szCs w:val="22"/>
          <w:lang w:val="sr-Latn-ME"/>
        </w:rPr>
      </w:pPr>
      <w:r w:rsidRPr="00D264F7">
        <w:rPr>
          <w:rFonts w:eastAsiaTheme="minorHAnsi"/>
          <w:b/>
          <w:sz w:val="22"/>
          <w:szCs w:val="22"/>
          <w:lang w:val="sr-Latn-ME"/>
        </w:rPr>
        <w:t>Slika 1: Kaplan-Meierova metoda; Ud</w:t>
      </w:r>
      <w:r w:rsidR="00BB5A46" w:rsidRPr="00D264F7">
        <w:rPr>
          <w:rFonts w:eastAsiaTheme="minorHAnsi"/>
          <w:b/>
          <w:sz w:val="22"/>
          <w:szCs w:val="22"/>
          <w:lang w:val="sr-Latn-ME"/>
        </w:rPr>
        <w:t>i</w:t>
      </w:r>
      <w:r w:rsidRPr="00D264F7">
        <w:rPr>
          <w:rFonts w:eastAsiaTheme="minorHAnsi"/>
          <w:b/>
          <w:sz w:val="22"/>
          <w:szCs w:val="22"/>
          <w:lang w:val="sr-Latn-ME"/>
        </w:rPr>
        <w:t xml:space="preserve">o pacijenata </w:t>
      </w:r>
      <w:r w:rsidR="00877503" w:rsidRPr="00D264F7">
        <w:rPr>
          <w:rFonts w:eastAsiaTheme="minorHAnsi"/>
          <w:b/>
          <w:sz w:val="22"/>
          <w:szCs w:val="22"/>
          <w:lang w:val="sr-Latn-ME"/>
        </w:rPr>
        <w:t xml:space="preserve">kod kojih se broj limfocita </w:t>
      </w:r>
      <w:r w:rsidRPr="00D264F7">
        <w:rPr>
          <w:rFonts w:eastAsiaTheme="minorHAnsi"/>
          <w:b/>
          <w:sz w:val="22"/>
          <w:szCs w:val="22"/>
          <w:lang w:val="sr-Latn-ME"/>
        </w:rPr>
        <w:t>oporav</w:t>
      </w:r>
      <w:r w:rsidR="00877503" w:rsidRPr="00D264F7">
        <w:rPr>
          <w:rFonts w:eastAsiaTheme="minorHAnsi"/>
          <w:b/>
          <w:sz w:val="22"/>
          <w:szCs w:val="22"/>
          <w:lang w:val="sr-Latn-ME"/>
        </w:rPr>
        <w:t>io</w:t>
      </w:r>
      <w:r w:rsidRPr="00D264F7">
        <w:rPr>
          <w:rFonts w:eastAsiaTheme="minorHAnsi"/>
          <w:b/>
          <w:sz w:val="22"/>
          <w:szCs w:val="22"/>
          <w:lang w:val="sr-Latn-ME"/>
        </w:rPr>
        <w:t xml:space="preserve"> do DGN-a ≥ 910 ćelija/mm</w:t>
      </w:r>
      <w:r w:rsidRPr="00D726AF">
        <w:rPr>
          <w:rFonts w:eastAsiaTheme="minorHAnsi"/>
          <w:b/>
          <w:sz w:val="22"/>
          <w:szCs w:val="22"/>
          <w:vertAlign w:val="superscript"/>
          <w:lang w:val="sr-Latn-ME"/>
        </w:rPr>
        <w:t>3</w:t>
      </w:r>
      <w:r w:rsidRPr="00D264F7">
        <w:rPr>
          <w:rFonts w:eastAsiaTheme="minorHAnsi"/>
          <w:b/>
          <w:sz w:val="22"/>
          <w:szCs w:val="22"/>
          <w:lang w:val="sr-Latn-ME"/>
        </w:rPr>
        <w:t xml:space="preserve"> </w:t>
      </w:r>
      <w:r w:rsidR="00272C10" w:rsidRPr="00272C10">
        <w:rPr>
          <w:rFonts w:eastAsiaTheme="minorHAnsi"/>
          <w:b/>
          <w:sz w:val="22"/>
          <w:szCs w:val="22"/>
          <w:lang w:val="sr-Latn-ME"/>
        </w:rPr>
        <w:t>(0.9 × 10</w:t>
      </w:r>
      <w:r w:rsidR="00272C10" w:rsidRPr="00D726AF">
        <w:rPr>
          <w:rFonts w:eastAsiaTheme="minorHAnsi"/>
          <w:b/>
          <w:sz w:val="22"/>
          <w:szCs w:val="22"/>
          <w:vertAlign w:val="superscript"/>
          <w:lang w:val="sr-Latn-ME"/>
        </w:rPr>
        <w:t>9</w:t>
      </w:r>
      <w:r w:rsidR="00272C10" w:rsidRPr="00272C10">
        <w:rPr>
          <w:rFonts w:eastAsiaTheme="minorHAnsi"/>
          <w:b/>
          <w:sz w:val="22"/>
          <w:szCs w:val="22"/>
          <w:lang w:val="sr-Latn-ME"/>
        </w:rPr>
        <w:t>/L)</w:t>
      </w:r>
      <w:r w:rsidR="00272C10">
        <w:rPr>
          <w:rFonts w:eastAsiaTheme="minorHAnsi"/>
          <w:b/>
          <w:sz w:val="22"/>
          <w:szCs w:val="22"/>
          <w:lang w:val="sr-Latn-ME"/>
        </w:rPr>
        <w:t xml:space="preserve"> </w:t>
      </w:r>
      <w:r w:rsidRPr="00D264F7">
        <w:rPr>
          <w:rFonts w:eastAsiaTheme="minorHAnsi"/>
          <w:b/>
          <w:sz w:val="22"/>
          <w:szCs w:val="22"/>
          <w:lang w:val="sr-Latn-ME"/>
        </w:rPr>
        <w:t>u odnosu na vr</w:t>
      </w:r>
      <w:r w:rsidR="00BB5A46" w:rsidRPr="00D264F7">
        <w:rPr>
          <w:rFonts w:eastAsiaTheme="minorHAnsi"/>
          <w:b/>
          <w:sz w:val="22"/>
          <w:szCs w:val="22"/>
          <w:lang w:val="sr-Latn-ME"/>
        </w:rPr>
        <w:t>ij</w:t>
      </w:r>
      <w:r w:rsidRPr="00D264F7">
        <w:rPr>
          <w:rFonts w:eastAsiaTheme="minorHAnsi"/>
          <w:b/>
          <w:sz w:val="22"/>
          <w:szCs w:val="22"/>
          <w:lang w:val="sr-Latn-ME"/>
        </w:rPr>
        <w:t>ednost na početku oporavka (RBL)</w:t>
      </w:r>
    </w:p>
    <w:p w14:paraId="6EFC51D3" w14:textId="77777777" w:rsidR="007D6250" w:rsidRPr="00D264F7" w:rsidRDefault="007D6250">
      <w:pPr>
        <w:spacing w:line="259" w:lineRule="auto"/>
        <w:jc w:val="both"/>
        <w:rPr>
          <w:rFonts w:eastAsiaTheme="minorHAnsi"/>
          <w:b/>
          <w:sz w:val="22"/>
          <w:szCs w:val="22"/>
          <w:lang w:val="sr-Latn-ME"/>
        </w:rPr>
      </w:pPr>
    </w:p>
    <w:p w14:paraId="60DC113F" w14:textId="2895E00B" w:rsidR="007D6250" w:rsidRPr="00D264F7" w:rsidRDefault="00C9718A">
      <w:pPr>
        <w:spacing w:line="259" w:lineRule="auto"/>
        <w:jc w:val="both"/>
        <w:rPr>
          <w:rFonts w:eastAsiaTheme="minorHAnsi"/>
          <w:sz w:val="22"/>
          <w:szCs w:val="22"/>
          <w:lang w:val="sr-Latn-ME"/>
        </w:rPr>
      </w:pPr>
      <w:r w:rsidRPr="00692979">
        <w:rPr>
          <w:rFonts w:eastAsiaTheme="minorHAnsi"/>
          <w:noProof/>
          <w:sz w:val="22"/>
          <w:szCs w:val="22"/>
          <w:lang w:val="sr-Latn-ME" w:eastAsia="sr-Latn-ME"/>
        </w:rPr>
        <w:t>––</w:t>
      </w:r>
      <w:r w:rsidR="007D6250" w:rsidRPr="007853B2">
        <w:rPr>
          <w:rFonts w:eastAsiaTheme="minorHAnsi"/>
          <w:noProof/>
          <w:sz w:val="22"/>
          <w:szCs w:val="22"/>
        </w:rPr>
        <w:drawing>
          <wp:inline distT="0" distB="0" distL="0" distR="0" wp14:anchorId="08FA8785" wp14:editId="0E2DBC15">
            <wp:extent cx="5761355" cy="2773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2773680"/>
                    </a:xfrm>
                    <a:prstGeom prst="rect">
                      <a:avLst/>
                    </a:prstGeom>
                    <a:noFill/>
                  </pic:spPr>
                </pic:pic>
              </a:graphicData>
            </a:graphic>
          </wp:inline>
        </w:drawing>
      </w:r>
    </w:p>
    <w:p w14:paraId="7A9032D1" w14:textId="2C6E7DB5" w:rsidR="007D6250" w:rsidRPr="00D264F7" w:rsidRDefault="007D6250">
      <w:pPr>
        <w:spacing w:line="259" w:lineRule="auto"/>
        <w:jc w:val="both"/>
        <w:rPr>
          <w:rFonts w:eastAsiaTheme="minorHAnsi"/>
          <w:sz w:val="22"/>
          <w:szCs w:val="22"/>
          <w:lang w:val="sr-Latn-ME"/>
        </w:rPr>
      </w:pPr>
    </w:p>
    <w:p w14:paraId="51627680" w14:textId="7FB45B4F" w:rsidR="003F576E" w:rsidRPr="003F576E" w:rsidRDefault="003F576E">
      <w:pPr>
        <w:spacing w:line="259" w:lineRule="auto"/>
        <w:jc w:val="both"/>
        <w:rPr>
          <w:rFonts w:eastAsiaTheme="minorHAnsi"/>
          <w:sz w:val="22"/>
          <w:szCs w:val="22"/>
          <w:lang w:val="sr-Latn-ME"/>
        </w:rPr>
      </w:pPr>
      <w:r w:rsidRPr="003F576E">
        <w:rPr>
          <w:rFonts w:eastAsiaTheme="minorHAnsi"/>
          <w:sz w:val="22"/>
          <w:szCs w:val="22"/>
          <w:lang w:val="sr-Latn-ME"/>
        </w:rPr>
        <w:t xml:space="preserve">Napomena: 500 </w:t>
      </w:r>
      <w:r>
        <w:rPr>
          <w:rFonts w:eastAsiaTheme="minorHAnsi"/>
          <w:sz w:val="22"/>
          <w:szCs w:val="22"/>
          <w:lang w:val="sr-Latn-ME"/>
        </w:rPr>
        <w:t>ćelija</w:t>
      </w:r>
      <w:r w:rsidRPr="003F576E">
        <w:rPr>
          <w:rFonts w:eastAsiaTheme="minorHAnsi"/>
          <w:sz w:val="22"/>
          <w:szCs w:val="22"/>
          <w:lang w:val="sr-Latn-ME"/>
        </w:rPr>
        <w:t>/mm</w:t>
      </w:r>
      <w:r w:rsidRPr="00500F6C">
        <w:rPr>
          <w:rFonts w:eastAsiaTheme="minorHAnsi"/>
          <w:sz w:val="22"/>
          <w:szCs w:val="22"/>
          <w:vertAlign w:val="superscript"/>
          <w:lang w:val="sr-Latn-ME"/>
        </w:rPr>
        <w:t>3</w:t>
      </w:r>
      <w:r w:rsidRPr="003F576E">
        <w:rPr>
          <w:rFonts w:eastAsiaTheme="minorHAnsi"/>
          <w:sz w:val="22"/>
          <w:szCs w:val="22"/>
          <w:lang w:val="sr-Latn-ME"/>
        </w:rPr>
        <w:t>, 800 ćelija/mm</w:t>
      </w:r>
      <w:r w:rsidRPr="00500F6C">
        <w:rPr>
          <w:rFonts w:eastAsiaTheme="minorHAnsi"/>
          <w:sz w:val="22"/>
          <w:szCs w:val="22"/>
          <w:vertAlign w:val="superscript"/>
          <w:lang w:val="sr-Latn-ME"/>
        </w:rPr>
        <w:t>3</w:t>
      </w:r>
      <w:r w:rsidRPr="003F576E">
        <w:rPr>
          <w:rFonts w:eastAsiaTheme="minorHAnsi"/>
          <w:sz w:val="22"/>
          <w:szCs w:val="22"/>
          <w:lang w:val="sr-Latn-ME"/>
        </w:rPr>
        <w:t>, 910 ćelija/mm</w:t>
      </w:r>
      <w:r w:rsidRPr="00500F6C">
        <w:rPr>
          <w:rFonts w:eastAsiaTheme="minorHAnsi"/>
          <w:sz w:val="22"/>
          <w:szCs w:val="22"/>
          <w:vertAlign w:val="superscript"/>
          <w:lang w:val="sr-Latn-ME"/>
        </w:rPr>
        <w:t>3</w:t>
      </w:r>
      <w:r w:rsidRPr="003F576E">
        <w:rPr>
          <w:rFonts w:eastAsiaTheme="minorHAnsi"/>
          <w:sz w:val="22"/>
          <w:szCs w:val="22"/>
          <w:lang w:val="sr-Latn-ME"/>
        </w:rPr>
        <w:t xml:space="preserve"> odgovara 0,5 × 10</w:t>
      </w:r>
      <w:r w:rsidRPr="00500F6C">
        <w:rPr>
          <w:rFonts w:eastAsiaTheme="minorHAnsi"/>
          <w:sz w:val="22"/>
          <w:szCs w:val="22"/>
          <w:vertAlign w:val="superscript"/>
          <w:lang w:val="sr-Latn-ME"/>
        </w:rPr>
        <w:t>9</w:t>
      </w:r>
      <w:r w:rsidRPr="003F576E">
        <w:rPr>
          <w:rFonts w:eastAsiaTheme="minorHAnsi"/>
          <w:sz w:val="22"/>
          <w:szCs w:val="22"/>
          <w:lang w:val="sr-Latn-ME"/>
        </w:rPr>
        <w:t>/l, 0,8 × 10</w:t>
      </w:r>
      <w:r w:rsidRPr="00500F6C">
        <w:rPr>
          <w:rFonts w:eastAsiaTheme="minorHAnsi"/>
          <w:sz w:val="22"/>
          <w:szCs w:val="22"/>
          <w:vertAlign w:val="superscript"/>
          <w:lang w:val="sr-Latn-ME"/>
        </w:rPr>
        <w:t>9</w:t>
      </w:r>
      <w:r w:rsidRPr="003F576E">
        <w:rPr>
          <w:rFonts w:eastAsiaTheme="minorHAnsi"/>
          <w:sz w:val="22"/>
          <w:szCs w:val="22"/>
          <w:lang w:val="sr-Latn-ME"/>
        </w:rPr>
        <w:t>/l</w:t>
      </w:r>
    </w:p>
    <w:p w14:paraId="5FB5682F" w14:textId="451FE4DB" w:rsidR="003F576E" w:rsidRPr="00500F6C" w:rsidRDefault="003F576E">
      <w:pPr>
        <w:spacing w:line="259" w:lineRule="auto"/>
        <w:jc w:val="both"/>
        <w:rPr>
          <w:rFonts w:eastAsiaTheme="minorHAnsi"/>
          <w:sz w:val="22"/>
          <w:szCs w:val="22"/>
          <w:lang w:val="sr-Latn-ME"/>
        </w:rPr>
      </w:pPr>
      <w:r w:rsidRPr="003F576E">
        <w:rPr>
          <w:rFonts w:eastAsiaTheme="minorHAnsi"/>
          <w:sz w:val="22"/>
          <w:szCs w:val="22"/>
          <w:lang w:val="sr-Latn-ME"/>
        </w:rPr>
        <w:t>odnosno 0,9 × 10</w:t>
      </w:r>
      <w:r w:rsidRPr="00500F6C">
        <w:rPr>
          <w:rFonts w:eastAsiaTheme="minorHAnsi"/>
          <w:sz w:val="22"/>
          <w:szCs w:val="22"/>
          <w:vertAlign w:val="superscript"/>
          <w:lang w:val="sr-Latn-ME"/>
        </w:rPr>
        <w:t>9</w:t>
      </w:r>
      <w:r w:rsidRPr="003F576E">
        <w:rPr>
          <w:rFonts w:eastAsiaTheme="minorHAnsi"/>
          <w:sz w:val="22"/>
          <w:szCs w:val="22"/>
          <w:lang w:val="sr-Latn-ME"/>
        </w:rPr>
        <w:t>/l.</w:t>
      </w:r>
    </w:p>
    <w:p w14:paraId="124B7937" w14:textId="77777777" w:rsidR="003F576E" w:rsidRDefault="003F576E">
      <w:pPr>
        <w:spacing w:line="259" w:lineRule="auto"/>
        <w:jc w:val="both"/>
        <w:rPr>
          <w:rFonts w:eastAsiaTheme="minorHAnsi"/>
          <w:b/>
          <w:sz w:val="22"/>
          <w:szCs w:val="22"/>
          <w:lang w:val="sr-Latn-ME"/>
        </w:rPr>
      </w:pPr>
    </w:p>
    <w:p w14:paraId="1E71C0DC" w14:textId="0AC06766" w:rsidR="007D6250" w:rsidRPr="00D264F7" w:rsidRDefault="007D6250">
      <w:pPr>
        <w:spacing w:line="259" w:lineRule="auto"/>
        <w:jc w:val="both"/>
        <w:rPr>
          <w:rFonts w:eastAsiaTheme="minorHAnsi"/>
          <w:b/>
          <w:sz w:val="22"/>
          <w:szCs w:val="22"/>
          <w:lang w:val="sr-Latn-ME"/>
        </w:rPr>
      </w:pPr>
      <w:r w:rsidRPr="00D264F7">
        <w:rPr>
          <w:rFonts w:eastAsiaTheme="minorHAnsi"/>
          <w:b/>
          <w:sz w:val="22"/>
          <w:szCs w:val="22"/>
          <w:lang w:val="sr-Latn-ME"/>
        </w:rPr>
        <w:t>Tabela 1: Kaplan-Meierova metoda; Ud</w:t>
      </w:r>
      <w:r w:rsidR="00BB5A46" w:rsidRPr="00D264F7">
        <w:rPr>
          <w:rFonts w:eastAsiaTheme="minorHAnsi"/>
          <w:b/>
          <w:sz w:val="22"/>
          <w:szCs w:val="22"/>
          <w:lang w:val="sr-Latn-ME"/>
        </w:rPr>
        <w:t>i</w:t>
      </w:r>
      <w:r w:rsidRPr="00D264F7">
        <w:rPr>
          <w:rFonts w:eastAsiaTheme="minorHAnsi"/>
          <w:b/>
          <w:sz w:val="22"/>
          <w:szCs w:val="22"/>
          <w:lang w:val="sr-Latn-ME"/>
        </w:rPr>
        <w:t>o pacijenata proc</w:t>
      </w:r>
      <w:r w:rsidR="00BB5A46" w:rsidRPr="00D264F7">
        <w:rPr>
          <w:rFonts w:eastAsiaTheme="minorHAnsi"/>
          <w:b/>
          <w:sz w:val="22"/>
          <w:szCs w:val="22"/>
          <w:lang w:val="sr-Latn-ME"/>
        </w:rPr>
        <w:t>ij</w:t>
      </w:r>
      <w:r w:rsidRPr="00D264F7">
        <w:rPr>
          <w:rFonts w:eastAsiaTheme="minorHAnsi"/>
          <w:b/>
          <w:sz w:val="22"/>
          <w:szCs w:val="22"/>
          <w:lang w:val="sr-Latn-ME"/>
        </w:rPr>
        <w:t xml:space="preserve">enjenih da </w:t>
      </w:r>
      <w:r w:rsidR="00C9718A" w:rsidRPr="00D264F7">
        <w:rPr>
          <w:rFonts w:eastAsiaTheme="minorHAnsi"/>
          <w:b/>
          <w:sz w:val="22"/>
          <w:szCs w:val="22"/>
          <w:lang w:val="sr-Latn-ME"/>
        </w:rPr>
        <w:t>će</w:t>
      </w:r>
      <w:r w:rsidRPr="00D264F7">
        <w:rPr>
          <w:rFonts w:eastAsiaTheme="minorHAnsi"/>
          <w:b/>
          <w:sz w:val="22"/>
          <w:szCs w:val="22"/>
          <w:lang w:val="sr-Latn-ME"/>
        </w:rPr>
        <w:t xml:space="preserve"> dosti</w:t>
      </w:r>
      <w:r w:rsidR="00C9718A" w:rsidRPr="00D264F7">
        <w:rPr>
          <w:rFonts w:eastAsiaTheme="minorHAnsi"/>
          <w:b/>
          <w:sz w:val="22"/>
          <w:szCs w:val="22"/>
          <w:lang w:val="sr-Latn-ME"/>
        </w:rPr>
        <w:t>ći</w:t>
      </w:r>
      <w:r w:rsidRPr="00D264F7">
        <w:rPr>
          <w:rFonts w:eastAsiaTheme="minorHAnsi"/>
          <w:b/>
          <w:sz w:val="22"/>
          <w:szCs w:val="22"/>
          <w:lang w:val="sr-Latn-ME"/>
        </w:rPr>
        <w:t xml:space="preserve"> DGN, blaga limfopenija pr</w:t>
      </w:r>
      <w:r w:rsidR="00C9718A" w:rsidRPr="00D264F7">
        <w:rPr>
          <w:rFonts w:eastAsiaTheme="minorHAnsi"/>
          <w:b/>
          <w:sz w:val="22"/>
          <w:szCs w:val="22"/>
          <w:lang w:val="sr-Latn-ME"/>
        </w:rPr>
        <w:t>ema</w:t>
      </w:r>
      <w:r w:rsidRPr="00D264F7">
        <w:rPr>
          <w:rFonts w:eastAsiaTheme="minorHAnsi"/>
          <w:b/>
          <w:sz w:val="22"/>
          <w:szCs w:val="22"/>
          <w:lang w:val="sr-Latn-ME"/>
        </w:rPr>
        <w:t xml:space="preserve"> vr</w:t>
      </w:r>
      <w:r w:rsidR="00BB5A46" w:rsidRPr="00D264F7">
        <w:rPr>
          <w:rFonts w:eastAsiaTheme="minorHAnsi"/>
          <w:b/>
          <w:sz w:val="22"/>
          <w:szCs w:val="22"/>
          <w:lang w:val="sr-Latn-ME"/>
        </w:rPr>
        <w:t>ij</w:t>
      </w:r>
      <w:r w:rsidRPr="00D264F7">
        <w:rPr>
          <w:rFonts w:eastAsiaTheme="minorHAnsi"/>
          <w:b/>
          <w:sz w:val="22"/>
          <w:szCs w:val="22"/>
          <w:lang w:val="sr-Latn-ME"/>
        </w:rPr>
        <w:t>ednosti na početku oporavka (RBL); pacijenti sa produženom teškom limfopenijom su isključeni</w:t>
      </w:r>
    </w:p>
    <w:p w14:paraId="0D008208" w14:textId="77777777" w:rsidR="007D6250" w:rsidRPr="00D264F7" w:rsidRDefault="007D6250">
      <w:pPr>
        <w:spacing w:line="259" w:lineRule="auto"/>
        <w:jc w:val="both"/>
        <w:rPr>
          <w:rFonts w:eastAsiaTheme="minorHAnsi"/>
          <w:sz w:val="22"/>
          <w:szCs w:val="22"/>
          <w:lang w:val="sr-Latn-ME"/>
        </w:rPr>
      </w:pPr>
    </w:p>
    <w:tbl>
      <w:tblPr>
        <w:tblStyle w:val="TableGrid"/>
        <w:tblW w:w="9067" w:type="dxa"/>
        <w:tblLayout w:type="fixed"/>
        <w:tblLook w:val="04A0" w:firstRow="1" w:lastRow="0" w:firstColumn="1" w:lastColumn="0" w:noHBand="0" w:noVBand="1"/>
      </w:tblPr>
      <w:tblGrid>
        <w:gridCol w:w="3256"/>
        <w:gridCol w:w="1842"/>
        <w:gridCol w:w="1985"/>
        <w:gridCol w:w="1984"/>
      </w:tblGrid>
      <w:tr w:rsidR="00270253" w:rsidRPr="00692979" w14:paraId="63F97684" w14:textId="77777777" w:rsidTr="001B4579">
        <w:tc>
          <w:tcPr>
            <w:tcW w:w="3256" w:type="dxa"/>
          </w:tcPr>
          <w:p w14:paraId="678912AB" w14:textId="77777777" w:rsidR="007D6250" w:rsidRPr="00D264F7" w:rsidRDefault="007D6250" w:rsidP="001F758F">
            <w:pPr>
              <w:pStyle w:val="Default"/>
              <w:jc w:val="both"/>
              <w:rPr>
                <w:b/>
                <w:color w:val="auto"/>
                <w:sz w:val="20"/>
                <w:szCs w:val="20"/>
                <w:lang w:val="sr-Latn-ME"/>
              </w:rPr>
            </w:pPr>
            <w:r w:rsidRPr="00D264F7">
              <w:rPr>
                <w:b/>
                <w:color w:val="auto"/>
                <w:sz w:val="20"/>
                <w:szCs w:val="20"/>
                <w:lang w:val="sr-Latn-ME"/>
              </w:rPr>
              <w:t>Broj pacijenata sa blagom limfopenijom</w:t>
            </w:r>
            <w:r w:rsidRPr="00D264F7">
              <w:rPr>
                <w:b/>
                <w:color w:val="auto"/>
                <w:sz w:val="20"/>
                <w:szCs w:val="20"/>
                <w:vertAlign w:val="superscript"/>
                <w:lang w:val="sr-Latn-ME"/>
              </w:rPr>
              <w:t>a</w:t>
            </w:r>
            <w:r w:rsidRPr="00D264F7">
              <w:rPr>
                <w:b/>
                <w:color w:val="auto"/>
                <w:sz w:val="13"/>
                <w:szCs w:val="13"/>
                <w:lang w:val="sr-Latn-ME"/>
              </w:rPr>
              <w:t xml:space="preserve"> </w:t>
            </w:r>
            <w:r w:rsidRPr="00D264F7">
              <w:rPr>
                <w:b/>
                <w:color w:val="auto"/>
                <w:sz w:val="20"/>
                <w:szCs w:val="20"/>
                <w:lang w:val="sr-Latn-ME"/>
              </w:rPr>
              <w:t xml:space="preserve">koji su pod rizikom </w:t>
            </w:r>
          </w:p>
        </w:tc>
        <w:tc>
          <w:tcPr>
            <w:tcW w:w="1842" w:type="dxa"/>
          </w:tcPr>
          <w:p w14:paraId="109E18F1" w14:textId="77777777" w:rsidR="007D6250" w:rsidRPr="00D264F7" w:rsidRDefault="007D6250" w:rsidP="001F758F">
            <w:pPr>
              <w:pStyle w:val="Default"/>
              <w:jc w:val="both"/>
              <w:rPr>
                <w:b/>
                <w:color w:val="auto"/>
                <w:sz w:val="20"/>
                <w:szCs w:val="20"/>
                <w:lang w:val="sr-Latn-ME"/>
              </w:rPr>
            </w:pPr>
            <w:r w:rsidRPr="00D264F7">
              <w:rPr>
                <w:b/>
                <w:color w:val="auto"/>
                <w:sz w:val="20"/>
                <w:szCs w:val="20"/>
                <w:lang w:val="sr-Latn-ME"/>
              </w:rPr>
              <w:t>Početak</w:t>
            </w:r>
          </w:p>
          <w:p w14:paraId="1C2FA1D5" w14:textId="77777777" w:rsidR="007D6250" w:rsidRPr="00D264F7" w:rsidRDefault="007D6250" w:rsidP="001F758F">
            <w:pPr>
              <w:jc w:val="both"/>
              <w:rPr>
                <w:b/>
                <w:bCs/>
                <w:szCs w:val="22"/>
                <w:lang w:val="sr-Latn-ME"/>
              </w:rPr>
            </w:pPr>
            <w:r w:rsidRPr="00D264F7">
              <w:rPr>
                <w:b/>
                <w:sz w:val="20"/>
                <w:szCs w:val="20"/>
                <w:lang w:val="sr-Latn-ME"/>
              </w:rPr>
              <w:t>N=86</w:t>
            </w:r>
          </w:p>
        </w:tc>
        <w:tc>
          <w:tcPr>
            <w:tcW w:w="1985" w:type="dxa"/>
          </w:tcPr>
          <w:p w14:paraId="6A601868" w14:textId="300396B3" w:rsidR="007D6250" w:rsidRPr="00D264F7" w:rsidRDefault="007D6250" w:rsidP="001F758F">
            <w:pPr>
              <w:pStyle w:val="Default"/>
              <w:jc w:val="both"/>
              <w:rPr>
                <w:b/>
                <w:color w:val="auto"/>
                <w:sz w:val="20"/>
                <w:szCs w:val="20"/>
                <w:lang w:val="sr-Latn-ME"/>
              </w:rPr>
            </w:pPr>
            <w:r w:rsidRPr="00D264F7">
              <w:rPr>
                <w:b/>
                <w:color w:val="auto"/>
                <w:sz w:val="20"/>
                <w:szCs w:val="20"/>
                <w:lang w:val="sr-Latn-ME"/>
              </w:rPr>
              <w:t>12. ned</w:t>
            </w:r>
            <w:r w:rsidR="00BB5A46" w:rsidRPr="00D264F7">
              <w:rPr>
                <w:b/>
                <w:color w:val="auto"/>
                <w:sz w:val="20"/>
                <w:szCs w:val="20"/>
                <w:lang w:val="sr-Latn-ME"/>
              </w:rPr>
              <w:t>j</w:t>
            </w:r>
            <w:r w:rsidRPr="00D264F7">
              <w:rPr>
                <w:b/>
                <w:color w:val="auto"/>
                <w:sz w:val="20"/>
                <w:szCs w:val="20"/>
                <w:lang w:val="sr-Latn-ME"/>
              </w:rPr>
              <w:t>elja</w:t>
            </w:r>
          </w:p>
          <w:p w14:paraId="0395382F" w14:textId="77777777" w:rsidR="007D6250" w:rsidRPr="00D264F7" w:rsidRDefault="007D6250" w:rsidP="001F758F">
            <w:pPr>
              <w:jc w:val="both"/>
              <w:rPr>
                <w:b/>
                <w:bCs/>
                <w:szCs w:val="22"/>
                <w:lang w:val="sr-Latn-ME"/>
              </w:rPr>
            </w:pPr>
            <w:r w:rsidRPr="00D264F7">
              <w:rPr>
                <w:b/>
                <w:sz w:val="20"/>
                <w:szCs w:val="20"/>
                <w:lang w:val="sr-Latn-ME"/>
              </w:rPr>
              <w:t>N=12</w:t>
            </w:r>
          </w:p>
        </w:tc>
        <w:tc>
          <w:tcPr>
            <w:tcW w:w="1984" w:type="dxa"/>
          </w:tcPr>
          <w:p w14:paraId="0E9913DB" w14:textId="107FBB03" w:rsidR="007D6250" w:rsidRPr="00D264F7" w:rsidRDefault="007D6250" w:rsidP="001F758F">
            <w:pPr>
              <w:pStyle w:val="Default"/>
              <w:jc w:val="both"/>
              <w:rPr>
                <w:b/>
                <w:color w:val="auto"/>
                <w:sz w:val="20"/>
                <w:szCs w:val="20"/>
                <w:lang w:val="sr-Latn-ME"/>
              </w:rPr>
            </w:pPr>
            <w:r w:rsidRPr="00D264F7">
              <w:rPr>
                <w:b/>
                <w:color w:val="auto"/>
                <w:sz w:val="20"/>
                <w:szCs w:val="20"/>
                <w:lang w:val="sr-Latn-ME"/>
              </w:rPr>
              <w:t>24. ned</w:t>
            </w:r>
            <w:r w:rsidR="00BB5A46" w:rsidRPr="00D264F7">
              <w:rPr>
                <w:b/>
                <w:color w:val="auto"/>
                <w:sz w:val="20"/>
                <w:szCs w:val="20"/>
                <w:lang w:val="sr-Latn-ME"/>
              </w:rPr>
              <w:t>j</w:t>
            </w:r>
            <w:r w:rsidRPr="00D264F7">
              <w:rPr>
                <w:b/>
                <w:color w:val="auto"/>
                <w:sz w:val="20"/>
                <w:szCs w:val="20"/>
                <w:lang w:val="sr-Latn-ME"/>
              </w:rPr>
              <w:t>elja</w:t>
            </w:r>
          </w:p>
          <w:p w14:paraId="219B758D" w14:textId="77777777" w:rsidR="007D6250" w:rsidRPr="00D264F7" w:rsidRDefault="007D6250" w:rsidP="001F758F">
            <w:pPr>
              <w:jc w:val="both"/>
              <w:rPr>
                <w:b/>
                <w:bCs/>
                <w:szCs w:val="22"/>
                <w:lang w:val="sr-Latn-ME"/>
              </w:rPr>
            </w:pPr>
            <w:r w:rsidRPr="00D264F7">
              <w:rPr>
                <w:b/>
                <w:sz w:val="20"/>
                <w:szCs w:val="20"/>
                <w:lang w:val="sr-Latn-ME"/>
              </w:rPr>
              <w:t>N=4</w:t>
            </w:r>
          </w:p>
        </w:tc>
      </w:tr>
      <w:tr w:rsidR="00270253" w:rsidRPr="00692979" w14:paraId="76C925C6" w14:textId="77777777" w:rsidTr="001B4579">
        <w:tc>
          <w:tcPr>
            <w:tcW w:w="3256" w:type="dxa"/>
          </w:tcPr>
          <w:p w14:paraId="74448D0D" w14:textId="42B8C82B" w:rsidR="007D6250" w:rsidRPr="00D264F7" w:rsidRDefault="007D6250" w:rsidP="001F758F">
            <w:pPr>
              <w:pStyle w:val="Default"/>
              <w:jc w:val="both"/>
              <w:rPr>
                <w:color w:val="auto"/>
                <w:sz w:val="20"/>
                <w:szCs w:val="20"/>
                <w:lang w:val="sr-Latn-ME"/>
              </w:rPr>
            </w:pPr>
            <w:r w:rsidRPr="00D264F7">
              <w:rPr>
                <w:color w:val="auto"/>
                <w:sz w:val="20"/>
                <w:szCs w:val="20"/>
                <w:lang w:val="sr-Latn-ME"/>
              </w:rPr>
              <w:t>Ud</w:t>
            </w:r>
            <w:r w:rsidR="00BB5A46" w:rsidRPr="00D264F7">
              <w:rPr>
                <w:color w:val="auto"/>
                <w:sz w:val="20"/>
                <w:szCs w:val="20"/>
                <w:lang w:val="sr-Latn-ME"/>
              </w:rPr>
              <w:t>i</w:t>
            </w:r>
            <w:r w:rsidRPr="00D264F7">
              <w:rPr>
                <w:color w:val="auto"/>
                <w:sz w:val="20"/>
                <w:szCs w:val="20"/>
                <w:lang w:val="sr-Latn-ME"/>
              </w:rPr>
              <w:t xml:space="preserve">o koji je dostigao DGN (95% CI) </w:t>
            </w:r>
          </w:p>
        </w:tc>
        <w:tc>
          <w:tcPr>
            <w:tcW w:w="1842" w:type="dxa"/>
          </w:tcPr>
          <w:p w14:paraId="04E42988" w14:textId="77777777" w:rsidR="007D6250" w:rsidRPr="00D264F7" w:rsidRDefault="007D6250" w:rsidP="001F758F">
            <w:pPr>
              <w:jc w:val="both"/>
              <w:rPr>
                <w:bCs/>
                <w:szCs w:val="22"/>
                <w:lang w:val="sr-Latn-ME"/>
              </w:rPr>
            </w:pPr>
          </w:p>
        </w:tc>
        <w:tc>
          <w:tcPr>
            <w:tcW w:w="1985" w:type="dxa"/>
          </w:tcPr>
          <w:p w14:paraId="4019F8FC" w14:textId="77777777" w:rsidR="007D6250" w:rsidRPr="00D264F7" w:rsidRDefault="007D6250" w:rsidP="001F758F">
            <w:pPr>
              <w:pStyle w:val="Default"/>
              <w:jc w:val="both"/>
              <w:rPr>
                <w:color w:val="auto"/>
                <w:sz w:val="20"/>
                <w:szCs w:val="20"/>
                <w:lang w:val="sr-Latn-ME"/>
              </w:rPr>
            </w:pPr>
            <w:r w:rsidRPr="00D264F7">
              <w:rPr>
                <w:color w:val="auto"/>
                <w:sz w:val="20"/>
                <w:szCs w:val="20"/>
                <w:lang w:val="sr-Latn-ME"/>
              </w:rPr>
              <w:t>0,81</w:t>
            </w:r>
          </w:p>
          <w:p w14:paraId="3F71A653" w14:textId="77777777" w:rsidR="007D6250" w:rsidRPr="00D264F7" w:rsidRDefault="007D6250" w:rsidP="001F758F">
            <w:pPr>
              <w:jc w:val="both"/>
              <w:rPr>
                <w:bCs/>
                <w:szCs w:val="22"/>
                <w:lang w:val="sr-Latn-ME"/>
              </w:rPr>
            </w:pPr>
            <w:r w:rsidRPr="00D264F7">
              <w:rPr>
                <w:sz w:val="20"/>
                <w:szCs w:val="20"/>
                <w:lang w:val="sr-Latn-ME"/>
              </w:rPr>
              <w:t>(0,71; 0,89)</w:t>
            </w:r>
          </w:p>
        </w:tc>
        <w:tc>
          <w:tcPr>
            <w:tcW w:w="1984" w:type="dxa"/>
          </w:tcPr>
          <w:p w14:paraId="0606A2A3" w14:textId="77777777" w:rsidR="007D6250" w:rsidRPr="00D264F7" w:rsidRDefault="007D6250" w:rsidP="001F758F">
            <w:pPr>
              <w:pStyle w:val="Default"/>
              <w:jc w:val="both"/>
              <w:rPr>
                <w:color w:val="auto"/>
                <w:sz w:val="20"/>
                <w:szCs w:val="20"/>
                <w:lang w:val="sr-Latn-ME"/>
              </w:rPr>
            </w:pPr>
            <w:r w:rsidRPr="00D264F7">
              <w:rPr>
                <w:color w:val="auto"/>
                <w:sz w:val="20"/>
                <w:szCs w:val="20"/>
                <w:lang w:val="sr-Latn-ME"/>
              </w:rPr>
              <w:t>0,90</w:t>
            </w:r>
          </w:p>
          <w:p w14:paraId="4799EA95" w14:textId="77777777" w:rsidR="007D6250" w:rsidRPr="00D264F7" w:rsidRDefault="007D6250" w:rsidP="001F758F">
            <w:pPr>
              <w:jc w:val="both"/>
              <w:rPr>
                <w:bCs/>
                <w:szCs w:val="22"/>
                <w:lang w:val="sr-Latn-ME"/>
              </w:rPr>
            </w:pPr>
            <w:r w:rsidRPr="00D264F7">
              <w:rPr>
                <w:sz w:val="20"/>
                <w:szCs w:val="20"/>
                <w:lang w:val="sr-Latn-ME"/>
              </w:rPr>
              <w:t>(0,81; 0,96)</w:t>
            </w:r>
          </w:p>
        </w:tc>
      </w:tr>
    </w:tbl>
    <w:p w14:paraId="1DBB205B" w14:textId="2E8D4813" w:rsidR="007D6250" w:rsidRPr="007202D3" w:rsidRDefault="007D6250" w:rsidP="001C605F">
      <w:pPr>
        <w:spacing w:line="259" w:lineRule="auto"/>
        <w:jc w:val="both"/>
        <w:rPr>
          <w:rFonts w:eastAsiaTheme="minorHAnsi"/>
          <w:sz w:val="20"/>
          <w:szCs w:val="22"/>
          <w:lang w:val="sr-Latn-ME"/>
        </w:rPr>
      </w:pPr>
      <w:r w:rsidRPr="007202D3">
        <w:rPr>
          <w:rFonts w:eastAsiaTheme="minorHAnsi"/>
          <w:sz w:val="20"/>
          <w:szCs w:val="22"/>
          <w:vertAlign w:val="superscript"/>
          <w:lang w:val="sr-Latn-ME"/>
        </w:rPr>
        <w:t>a</w:t>
      </w:r>
      <w:r w:rsidRPr="007202D3">
        <w:rPr>
          <w:rFonts w:eastAsiaTheme="minorHAnsi"/>
          <w:sz w:val="20"/>
          <w:szCs w:val="22"/>
          <w:lang w:val="sr-Latn-ME"/>
        </w:rPr>
        <w:t xml:space="preserve"> </w:t>
      </w:r>
      <w:r w:rsidR="003F576E" w:rsidRPr="007202D3">
        <w:rPr>
          <w:rFonts w:eastAsiaTheme="minorHAnsi"/>
          <w:sz w:val="20"/>
          <w:szCs w:val="22"/>
          <w:lang w:val="sr-Latn-ME"/>
        </w:rPr>
        <w:t>Bolesnici s ABL &lt; 0,9 × 10</w:t>
      </w:r>
      <w:r w:rsidR="003F576E" w:rsidRPr="007202D3">
        <w:rPr>
          <w:rFonts w:eastAsiaTheme="minorHAnsi"/>
          <w:sz w:val="20"/>
          <w:szCs w:val="22"/>
          <w:vertAlign w:val="superscript"/>
          <w:lang w:val="sr-Latn-ME"/>
        </w:rPr>
        <w:t>9</w:t>
      </w:r>
      <w:r w:rsidR="003F576E" w:rsidRPr="007202D3">
        <w:rPr>
          <w:rFonts w:eastAsiaTheme="minorHAnsi"/>
          <w:sz w:val="20"/>
          <w:szCs w:val="22"/>
          <w:lang w:val="sr-Latn-ME"/>
        </w:rPr>
        <w:t>/l i ≥ 0,8 × 10</w:t>
      </w:r>
      <w:r w:rsidR="003F576E" w:rsidRPr="007202D3">
        <w:rPr>
          <w:rFonts w:eastAsiaTheme="minorHAnsi"/>
          <w:sz w:val="20"/>
          <w:szCs w:val="22"/>
          <w:vertAlign w:val="superscript"/>
          <w:lang w:val="sr-Latn-ME"/>
        </w:rPr>
        <w:t>9</w:t>
      </w:r>
      <w:r w:rsidR="003F576E" w:rsidRPr="007202D3">
        <w:rPr>
          <w:rFonts w:eastAsiaTheme="minorHAnsi"/>
          <w:sz w:val="20"/>
          <w:szCs w:val="22"/>
          <w:lang w:val="sr-Latn-ME"/>
        </w:rPr>
        <w:t>/l na RBL-u, izuzev bolesnika s produljenom teškom limfopenijom.</w:t>
      </w:r>
    </w:p>
    <w:p w14:paraId="2ED50D9D" w14:textId="65A14A30" w:rsidR="007D6250" w:rsidRPr="00D264F7" w:rsidRDefault="007D6250">
      <w:pPr>
        <w:spacing w:line="259" w:lineRule="auto"/>
        <w:jc w:val="both"/>
        <w:rPr>
          <w:rFonts w:eastAsiaTheme="minorHAnsi"/>
          <w:sz w:val="22"/>
          <w:szCs w:val="22"/>
          <w:lang w:val="sr-Latn-ME"/>
        </w:rPr>
      </w:pPr>
    </w:p>
    <w:p w14:paraId="3E780F9C" w14:textId="6F3A6166" w:rsidR="007D6250" w:rsidRPr="00D264F7" w:rsidRDefault="007D6250">
      <w:pPr>
        <w:spacing w:line="259" w:lineRule="auto"/>
        <w:jc w:val="both"/>
        <w:rPr>
          <w:rFonts w:eastAsiaTheme="minorHAnsi"/>
          <w:b/>
          <w:sz w:val="22"/>
          <w:szCs w:val="22"/>
          <w:lang w:val="sr-Latn-ME"/>
        </w:rPr>
      </w:pPr>
      <w:r w:rsidRPr="00D264F7">
        <w:rPr>
          <w:rFonts w:eastAsiaTheme="minorHAnsi"/>
          <w:b/>
          <w:sz w:val="22"/>
          <w:szCs w:val="22"/>
          <w:lang w:val="sr-Latn-ME"/>
        </w:rPr>
        <w:t>Tabela 2: Kaplan-Meierova metoda; Ud</w:t>
      </w:r>
      <w:r w:rsidR="00BB5A46" w:rsidRPr="00D264F7">
        <w:rPr>
          <w:rFonts w:eastAsiaTheme="minorHAnsi"/>
          <w:b/>
          <w:sz w:val="22"/>
          <w:szCs w:val="22"/>
          <w:lang w:val="sr-Latn-ME"/>
        </w:rPr>
        <w:t>i</w:t>
      </w:r>
      <w:r w:rsidRPr="00D264F7">
        <w:rPr>
          <w:rFonts w:eastAsiaTheme="minorHAnsi"/>
          <w:b/>
          <w:sz w:val="22"/>
          <w:szCs w:val="22"/>
          <w:lang w:val="sr-Latn-ME"/>
        </w:rPr>
        <w:t>o pacijenata proc</w:t>
      </w:r>
      <w:r w:rsidR="00BB5A46" w:rsidRPr="00D264F7">
        <w:rPr>
          <w:rFonts w:eastAsiaTheme="minorHAnsi"/>
          <w:b/>
          <w:sz w:val="22"/>
          <w:szCs w:val="22"/>
          <w:lang w:val="sr-Latn-ME"/>
        </w:rPr>
        <w:t>ij</w:t>
      </w:r>
      <w:r w:rsidRPr="00D264F7">
        <w:rPr>
          <w:rFonts w:eastAsiaTheme="minorHAnsi"/>
          <w:b/>
          <w:sz w:val="22"/>
          <w:szCs w:val="22"/>
          <w:lang w:val="sr-Latn-ME"/>
        </w:rPr>
        <w:t xml:space="preserve">enjenih da </w:t>
      </w:r>
      <w:r w:rsidR="00C9718A" w:rsidRPr="00D264F7">
        <w:rPr>
          <w:rFonts w:eastAsiaTheme="minorHAnsi"/>
          <w:b/>
          <w:sz w:val="22"/>
          <w:szCs w:val="22"/>
          <w:lang w:val="sr-Latn-ME"/>
        </w:rPr>
        <w:t xml:space="preserve">će </w:t>
      </w:r>
      <w:r w:rsidRPr="00D264F7">
        <w:rPr>
          <w:rFonts w:eastAsiaTheme="minorHAnsi"/>
          <w:b/>
          <w:sz w:val="22"/>
          <w:szCs w:val="22"/>
          <w:lang w:val="sr-Latn-ME"/>
        </w:rPr>
        <w:t>dosti</w:t>
      </w:r>
      <w:r w:rsidR="00C9718A" w:rsidRPr="00D264F7">
        <w:rPr>
          <w:rFonts w:eastAsiaTheme="minorHAnsi"/>
          <w:b/>
          <w:sz w:val="22"/>
          <w:szCs w:val="22"/>
          <w:lang w:val="sr-Latn-ME"/>
        </w:rPr>
        <w:t>ći</w:t>
      </w:r>
      <w:r w:rsidRPr="00D264F7">
        <w:rPr>
          <w:rFonts w:eastAsiaTheme="minorHAnsi"/>
          <w:b/>
          <w:sz w:val="22"/>
          <w:szCs w:val="22"/>
          <w:lang w:val="sr-Latn-ME"/>
        </w:rPr>
        <w:t xml:space="preserve"> DGN, um</w:t>
      </w:r>
      <w:r w:rsidR="00BB5A46" w:rsidRPr="00D264F7">
        <w:rPr>
          <w:rFonts w:eastAsiaTheme="minorHAnsi"/>
          <w:b/>
          <w:sz w:val="22"/>
          <w:szCs w:val="22"/>
          <w:lang w:val="sr-Latn-ME"/>
        </w:rPr>
        <w:t>j</w:t>
      </w:r>
      <w:r w:rsidRPr="00D264F7">
        <w:rPr>
          <w:rFonts w:eastAsiaTheme="minorHAnsi"/>
          <w:b/>
          <w:sz w:val="22"/>
          <w:szCs w:val="22"/>
          <w:lang w:val="sr-Latn-ME"/>
        </w:rPr>
        <w:t xml:space="preserve">erena limfopenija </w:t>
      </w:r>
      <w:r w:rsidR="00C9718A" w:rsidRPr="00D264F7">
        <w:rPr>
          <w:rFonts w:eastAsiaTheme="minorHAnsi"/>
          <w:b/>
          <w:sz w:val="22"/>
          <w:szCs w:val="22"/>
          <w:lang w:val="sr-Latn-ME"/>
        </w:rPr>
        <w:t xml:space="preserve">prema </w:t>
      </w:r>
      <w:r w:rsidRPr="00D264F7">
        <w:rPr>
          <w:rFonts w:eastAsiaTheme="minorHAnsi"/>
          <w:b/>
          <w:sz w:val="22"/>
          <w:szCs w:val="22"/>
          <w:lang w:val="sr-Latn-ME"/>
        </w:rPr>
        <w:t>vr</w:t>
      </w:r>
      <w:r w:rsidR="00BB5A46" w:rsidRPr="00D264F7">
        <w:rPr>
          <w:rFonts w:eastAsiaTheme="minorHAnsi"/>
          <w:b/>
          <w:sz w:val="22"/>
          <w:szCs w:val="22"/>
          <w:lang w:val="sr-Latn-ME"/>
        </w:rPr>
        <w:t>ij</w:t>
      </w:r>
      <w:r w:rsidRPr="00D264F7">
        <w:rPr>
          <w:rFonts w:eastAsiaTheme="minorHAnsi"/>
          <w:b/>
          <w:sz w:val="22"/>
          <w:szCs w:val="22"/>
          <w:lang w:val="sr-Latn-ME"/>
        </w:rPr>
        <w:t xml:space="preserve">ednosti na početku oporavka (RBL); pacijenti sa produženom teškom limfopenijom su isključeni </w:t>
      </w:r>
    </w:p>
    <w:p w14:paraId="1EFBA9C4" w14:textId="77777777" w:rsidR="007D6250" w:rsidRPr="00D264F7" w:rsidRDefault="007D6250">
      <w:pPr>
        <w:spacing w:line="259" w:lineRule="auto"/>
        <w:jc w:val="both"/>
        <w:rPr>
          <w:rFonts w:eastAsiaTheme="minorHAnsi"/>
          <w:sz w:val="22"/>
          <w:szCs w:val="22"/>
          <w:lang w:val="sr-Latn-ME"/>
        </w:rPr>
      </w:pPr>
    </w:p>
    <w:tbl>
      <w:tblPr>
        <w:tblStyle w:val="TableGrid"/>
        <w:tblW w:w="9067" w:type="dxa"/>
        <w:tblLayout w:type="fixed"/>
        <w:tblLook w:val="04A0" w:firstRow="1" w:lastRow="0" w:firstColumn="1" w:lastColumn="0" w:noHBand="0" w:noVBand="1"/>
      </w:tblPr>
      <w:tblGrid>
        <w:gridCol w:w="3256"/>
        <w:gridCol w:w="1842"/>
        <w:gridCol w:w="1985"/>
        <w:gridCol w:w="1984"/>
      </w:tblGrid>
      <w:tr w:rsidR="00270253" w:rsidRPr="00692979" w14:paraId="3F641887" w14:textId="77777777" w:rsidTr="001B4579">
        <w:tc>
          <w:tcPr>
            <w:tcW w:w="3256" w:type="dxa"/>
          </w:tcPr>
          <w:p w14:paraId="37AC92BB" w14:textId="2EDB5101" w:rsidR="007D6250" w:rsidRPr="00D264F7" w:rsidRDefault="007D6250" w:rsidP="001F758F">
            <w:pPr>
              <w:pStyle w:val="Default"/>
              <w:jc w:val="both"/>
              <w:rPr>
                <w:b/>
                <w:color w:val="auto"/>
                <w:sz w:val="20"/>
                <w:szCs w:val="20"/>
                <w:lang w:val="sr-Latn-ME"/>
              </w:rPr>
            </w:pPr>
            <w:r w:rsidRPr="00D264F7">
              <w:rPr>
                <w:b/>
                <w:color w:val="auto"/>
                <w:sz w:val="20"/>
                <w:szCs w:val="20"/>
                <w:lang w:val="sr-Latn-ME"/>
              </w:rPr>
              <w:t>Broj pacijenata sa um</w:t>
            </w:r>
            <w:r w:rsidR="00BB5A46" w:rsidRPr="00D264F7">
              <w:rPr>
                <w:b/>
                <w:color w:val="auto"/>
                <w:sz w:val="20"/>
                <w:szCs w:val="20"/>
                <w:lang w:val="sr-Latn-ME"/>
              </w:rPr>
              <w:t>j</w:t>
            </w:r>
            <w:r w:rsidRPr="00D264F7">
              <w:rPr>
                <w:b/>
                <w:color w:val="auto"/>
                <w:sz w:val="20"/>
                <w:szCs w:val="20"/>
                <w:lang w:val="sr-Latn-ME"/>
              </w:rPr>
              <w:t>erenom limfopenijom</w:t>
            </w:r>
            <w:r w:rsidRPr="00D264F7">
              <w:rPr>
                <w:b/>
                <w:color w:val="auto"/>
                <w:sz w:val="20"/>
                <w:szCs w:val="20"/>
                <w:vertAlign w:val="superscript"/>
                <w:lang w:val="sr-Latn-ME"/>
              </w:rPr>
              <w:t>a</w:t>
            </w:r>
            <w:r w:rsidRPr="00D264F7">
              <w:rPr>
                <w:b/>
                <w:color w:val="auto"/>
                <w:sz w:val="13"/>
                <w:szCs w:val="13"/>
                <w:lang w:val="sr-Latn-ME"/>
              </w:rPr>
              <w:t xml:space="preserve"> </w:t>
            </w:r>
            <w:r w:rsidRPr="00D264F7">
              <w:rPr>
                <w:b/>
                <w:color w:val="auto"/>
                <w:sz w:val="20"/>
                <w:szCs w:val="20"/>
                <w:lang w:val="sr-Latn-ME"/>
              </w:rPr>
              <w:t xml:space="preserve">koji su pod rizikom </w:t>
            </w:r>
          </w:p>
        </w:tc>
        <w:tc>
          <w:tcPr>
            <w:tcW w:w="1842" w:type="dxa"/>
          </w:tcPr>
          <w:p w14:paraId="7285D132" w14:textId="77777777" w:rsidR="007D6250" w:rsidRPr="00D264F7" w:rsidRDefault="007D6250" w:rsidP="001F758F">
            <w:pPr>
              <w:pStyle w:val="Default"/>
              <w:jc w:val="both"/>
              <w:rPr>
                <w:b/>
                <w:color w:val="auto"/>
                <w:sz w:val="20"/>
                <w:szCs w:val="20"/>
                <w:lang w:val="sr-Latn-ME"/>
              </w:rPr>
            </w:pPr>
            <w:r w:rsidRPr="00D264F7">
              <w:rPr>
                <w:b/>
                <w:color w:val="auto"/>
                <w:sz w:val="20"/>
                <w:szCs w:val="20"/>
                <w:lang w:val="sr-Latn-ME"/>
              </w:rPr>
              <w:t>Početak</w:t>
            </w:r>
          </w:p>
          <w:p w14:paraId="12B74D06" w14:textId="77777777" w:rsidR="007D6250" w:rsidRPr="00D264F7" w:rsidRDefault="007D6250" w:rsidP="001F758F">
            <w:pPr>
              <w:jc w:val="both"/>
              <w:rPr>
                <w:b/>
                <w:bCs/>
                <w:szCs w:val="22"/>
                <w:lang w:val="sr-Latn-ME"/>
              </w:rPr>
            </w:pPr>
            <w:r w:rsidRPr="00D264F7">
              <w:rPr>
                <w:b/>
                <w:sz w:val="20"/>
                <w:szCs w:val="20"/>
                <w:lang w:val="sr-Latn-ME"/>
              </w:rPr>
              <w:t>N=124</w:t>
            </w:r>
          </w:p>
        </w:tc>
        <w:tc>
          <w:tcPr>
            <w:tcW w:w="1985" w:type="dxa"/>
          </w:tcPr>
          <w:p w14:paraId="1D129B59" w14:textId="243F24B5" w:rsidR="007D6250" w:rsidRPr="00D264F7" w:rsidRDefault="007D6250" w:rsidP="001F758F">
            <w:pPr>
              <w:pStyle w:val="Default"/>
              <w:jc w:val="both"/>
              <w:rPr>
                <w:b/>
                <w:color w:val="auto"/>
                <w:sz w:val="20"/>
                <w:szCs w:val="20"/>
                <w:lang w:val="sr-Latn-ME"/>
              </w:rPr>
            </w:pPr>
            <w:r w:rsidRPr="00D264F7">
              <w:rPr>
                <w:b/>
                <w:color w:val="auto"/>
                <w:sz w:val="20"/>
                <w:szCs w:val="20"/>
                <w:lang w:val="sr-Latn-ME"/>
              </w:rPr>
              <w:t>12. ned</w:t>
            </w:r>
            <w:r w:rsidR="00BB5A46" w:rsidRPr="00D264F7">
              <w:rPr>
                <w:b/>
                <w:color w:val="auto"/>
                <w:sz w:val="20"/>
                <w:szCs w:val="20"/>
                <w:lang w:val="sr-Latn-ME"/>
              </w:rPr>
              <w:t>j</w:t>
            </w:r>
            <w:r w:rsidRPr="00D264F7">
              <w:rPr>
                <w:b/>
                <w:color w:val="auto"/>
                <w:sz w:val="20"/>
                <w:szCs w:val="20"/>
                <w:lang w:val="sr-Latn-ME"/>
              </w:rPr>
              <w:t>elja</w:t>
            </w:r>
          </w:p>
          <w:p w14:paraId="6DDE79B3" w14:textId="77777777" w:rsidR="007D6250" w:rsidRPr="00D264F7" w:rsidRDefault="007D6250" w:rsidP="001F758F">
            <w:pPr>
              <w:jc w:val="both"/>
              <w:rPr>
                <w:b/>
                <w:bCs/>
                <w:szCs w:val="22"/>
                <w:lang w:val="sr-Latn-ME"/>
              </w:rPr>
            </w:pPr>
            <w:r w:rsidRPr="00D264F7">
              <w:rPr>
                <w:b/>
                <w:sz w:val="20"/>
                <w:szCs w:val="20"/>
                <w:lang w:val="sr-Latn-ME"/>
              </w:rPr>
              <w:t>N=33</w:t>
            </w:r>
          </w:p>
        </w:tc>
        <w:tc>
          <w:tcPr>
            <w:tcW w:w="1984" w:type="dxa"/>
          </w:tcPr>
          <w:p w14:paraId="0AEFB61A" w14:textId="3B8DECFD" w:rsidR="007D6250" w:rsidRPr="00D264F7" w:rsidRDefault="007D6250" w:rsidP="001F758F">
            <w:pPr>
              <w:pStyle w:val="Default"/>
              <w:jc w:val="both"/>
              <w:rPr>
                <w:b/>
                <w:color w:val="auto"/>
                <w:sz w:val="20"/>
                <w:szCs w:val="20"/>
                <w:lang w:val="sr-Latn-ME"/>
              </w:rPr>
            </w:pPr>
            <w:r w:rsidRPr="00D264F7">
              <w:rPr>
                <w:b/>
                <w:color w:val="auto"/>
                <w:sz w:val="20"/>
                <w:szCs w:val="20"/>
                <w:lang w:val="sr-Latn-ME"/>
              </w:rPr>
              <w:t>24. ned</w:t>
            </w:r>
            <w:r w:rsidR="00BB5A46" w:rsidRPr="00D264F7">
              <w:rPr>
                <w:b/>
                <w:color w:val="auto"/>
                <w:sz w:val="20"/>
                <w:szCs w:val="20"/>
                <w:lang w:val="sr-Latn-ME"/>
              </w:rPr>
              <w:t>j</w:t>
            </w:r>
            <w:r w:rsidRPr="00D264F7">
              <w:rPr>
                <w:b/>
                <w:color w:val="auto"/>
                <w:sz w:val="20"/>
                <w:szCs w:val="20"/>
                <w:lang w:val="sr-Latn-ME"/>
              </w:rPr>
              <w:t>elja</w:t>
            </w:r>
          </w:p>
          <w:p w14:paraId="2929B07B" w14:textId="77777777" w:rsidR="007D6250" w:rsidRPr="00D264F7" w:rsidRDefault="007D6250" w:rsidP="001F758F">
            <w:pPr>
              <w:jc w:val="both"/>
              <w:rPr>
                <w:b/>
                <w:bCs/>
                <w:szCs w:val="22"/>
                <w:lang w:val="sr-Latn-ME"/>
              </w:rPr>
            </w:pPr>
            <w:r w:rsidRPr="00D264F7">
              <w:rPr>
                <w:b/>
                <w:sz w:val="20"/>
                <w:szCs w:val="20"/>
                <w:lang w:val="sr-Latn-ME"/>
              </w:rPr>
              <w:t>N=17</w:t>
            </w:r>
          </w:p>
        </w:tc>
      </w:tr>
      <w:tr w:rsidR="00270253" w:rsidRPr="00692979" w14:paraId="1102BB2D" w14:textId="77777777" w:rsidTr="001B4579">
        <w:tc>
          <w:tcPr>
            <w:tcW w:w="3256" w:type="dxa"/>
          </w:tcPr>
          <w:p w14:paraId="7E0DD592" w14:textId="551106C3" w:rsidR="007D6250" w:rsidRPr="00D264F7" w:rsidRDefault="007D6250" w:rsidP="001F758F">
            <w:pPr>
              <w:pStyle w:val="Default"/>
              <w:jc w:val="both"/>
              <w:rPr>
                <w:color w:val="auto"/>
                <w:sz w:val="20"/>
                <w:szCs w:val="20"/>
                <w:lang w:val="sr-Latn-ME"/>
              </w:rPr>
            </w:pPr>
            <w:r w:rsidRPr="00D264F7">
              <w:rPr>
                <w:color w:val="auto"/>
                <w:sz w:val="20"/>
                <w:szCs w:val="20"/>
                <w:lang w:val="sr-Latn-ME"/>
              </w:rPr>
              <w:t>Ud</w:t>
            </w:r>
            <w:r w:rsidR="00BB5A46" w:rsidRPr="00D264F7">
              <w:rPr>
                <w:color w:val="auto"/>
                <w:sz w:val="20"/>
                <w:szCs w:val="20"/>
                <w:lang w:val="sr-Latn-ME"/>
              </w:rPr>
              <w:t>i</w:t>
            </w:r>
            <w:r w:rsidRPr="00D264F7">
              <w:rPr>
                <w:color w:val="auto"/>
                <w:sz w:val="20"/>
                <w:szCs w:val="20"/>
                <w:lang w:val="sr-Latn-ME"/>
              </w:rPr>
              <w:t xml:space="preserve">o koji je dostigao DGN (95% CI) </w:t>
            </w:r>
          </w:p>
        </w:tc>
        <w:tc>
          <w:tcPr>
            <w:tcW w:w="1842" w:type="dxa"/>
          </w:tcPr>
          <w:p w14:paraId="73C73CC5" w14:textId="77777777" w:rsidR="007D6250" w:rsidRPr="00D264F7" w:rsidRDefault="007D6250" w:rsidP="001F758F">
            <w:pPr>
              <w:jc w:val="both"/>
              <w:rPr>
                <w:bCs/>
                <w:szCs w:val="22"/>
                <w:lang w:val="sr-Latn-ME"/>
              </w:rPr>
            </w:pPr>
          </w:p>
        </w:tc>
        <w:tc>
          <w:tcPr>
            <w:tcW w:w="1985" w:type="dxa"/>
          </w:tcPr>
          <w:p w14:paraId="3D733FC9" w14:textId="77777777" w:rsidR="007D6250" w:rsidRPr="00D264F7" w:rsidRDefault="007D6250" w:rsidP="001F758F">
            <w:pPr>
              <w:pStyle w:val="Default"/>
              <w:jc w:val="both"/>
              <w:rPr>
                <w:color w:val="auto"/>
                <w:sz w:val="20"/>
                <w:szCs w:val="20"/>
                <w:lang w:val="sr-Latn-ME"/>
              </w:rPr>
            </w:pPr>
            <w:r w:rsidRPr="00D264F7">
              <w:rPr>
                <w:color w:val="auto"/>
                <w:sz w:val="20"/>
                <w:szCs w:val="20"/>
                <w:lang w:val="sr-Latn-ME"/>
              </w:rPr>
              <w:t xml:space="preserve">0,57 </w:t>
            </w:r>
          </w:p>
          <w:p w14:paraId="0962E35B" w14:textId="77777777" w:rsidR="007D6250" w:rsidRPr="00D264F7" w:rsidRDefault="007D6250" w:rsidP="001F758F">
            <w:pPr>
              <w:jc w:val="both"/>
              <w:rPr>
                <w:bCs/>
                <w:szCs w:val="22"/>
                <w:lang w:val="sr-Latn-ME"/>
              </w:rPr>
            </w:pPr>
            <w:r w:rsidRPr="00D264F7">
              <w:rPr>
                <w:sz w:val="20"/>
                <w:szCs w:val="20"/>
                <w:lang w:val="sr-Latn-ME"/>
              </w:rPr>
              <w:t xml:space="preserve">(0,46; 0,67) </w:t>
            </w:r>
          </w:p>
        </w:tc>
        <w:tc>
          <w:tcPr>
            <w:tcW w:w="1984" w:type="dxa"/>
          </w:tcPr>
          <w:p w14:paraId="31B8CBAA" w14:textId="77777777" w:rsidR="007D6250" w:rsidRPr="00D264F7" w:rsidRDefault="007D6250" w:rsidP="001F758F">
            <w:pPr>
              <w:pStyle w:val="Default"/>
              <w:jc w:val="both"/>
              <w:rPr>
                <w:color w:val="auto"/>
                <w:sz w:val="20"/>
                <w:szCs w:val="20"/>
                <w:lang w:val="sr-Latn-ME"/>
              </w:rPr>
            </w:pPr>
            <w:r w:rsidRPr="00D264F7">
              <w:rPr>
                <w:color w:val="auto"/>
                <w:sz w:val="20"/>
                <w:szCs w:val="20"/>
                <w:lang w:val="sr-Latn-ME"/>
              </w:rPr>
              <w:t xml:space="preserve">0,70 </w:t>
            </w:r>
          </w:p>
          <w:p w14:paraId="1969F5AD" w14:textId="77777777" w:rsidR="007D6250" w:rsidRPr="00D264F7" w:rsidRDefault="007D6250" w:rsidP="001F758F">
            <w:pPr>
              <w:jc w:val="both"/>
              <w:rPr>
                <w:bCs/>
                <w:szCs w:val="22"/>
                <w:lang w:val="sr-Latn-ME"/>
              </w:rPr>
            </w:pPr>
            <w:r w:rsidRPr="00D264F7">
              <w:rPr>
                <w:sz w:val="20"/>
                <w:szCs w:val="20"/>
                <w:lang w:val="sr-Latn-ME"/>
              </w:rPr>
              <w:t>(0,60; 0,80)</w:t>
            </w:r>
          </w:p>
        </w:tc>
      </w:tr>
    </w:tbl>
    <w:p w14:paraId="30D37235" w14:textId="54FD181D" w:rsidR="007D6250" w:rsidRPr="001C254B" w:rsidRDefault="007D6250" w:rsidP="001C605F">
      <w:pPr>
        <w:spacing w:line="259" w:lineRule="auto"/>
        <w:jc w:val="both"/>
        <w:rPr>
          <w:rFonts w:eastAsiaTheme="minorHAnsi"/>
          <w:sz w:val="20"/>
          <w:szCs w:val="22"/>
          <w:lang w:val="sr-Latn-ME"/>
        </w:rPr>
      </w:pPr>
      <w:r w:rsidRPr="001C254B">
        <w:rPr>
          <w:rFonts w:eastAsiaTheme="minorHAnsi"/>
          <w:sz w:val="20"/>
          <w:szCs w:val="22"/>
          <w:vertAlign w:val="superscript"/>
          <w:lang w:val="sr-Latn-ME"/>
        </w:rPr>
        <w:t>a</w:t>
      </w:r>
      <w:r w:rsidRPr="001C254B">
        <w:rPr>
          <w:rFonts w:eastAsiaTheme="minorHAnsi"/>
          <w:sz w:val="20"/>
          <w:szCs w:val="22"/>
          <w:lang w:val="sr-Latn-ME"/>
        </w:rPr>
        <w:t xml:space="preserve"> </w:t>
      </w:r>
      <w:r w:rsidR="003F576E" w:rsidRPr="001C254B">
        <w:rPr>
          <w:rFonts w:eastAsiaTheme="minorHAnsi"/>
          <w:sz w:val="20"/>
          <w:szCs w:val="22"/>
          <w:lang w:val="sr-Latn-ME"/>
        </w:rPr>
        <w:t>Bolesnici s ABL &lt; 0,8 × 10</w:t>
      </w:r>
      <w:r w:rsidR="003F576E" w:rsidRPr="001C254B">
        <w:rPr>
          <w:rFonts w:eastAsiaTheme="minorHAnsi"/>
          <w:sz w:val="20"/>
          <w:szCs w:val="22"/>
          <w:vertAlign w:val="superscript"/>
          <w:lang w:val="sr-Latn-ME"/>
        </w:rPr>
        <w:t>9</w:t>
      </w:r>
      <w:r w:rsidR="003F576E" w:rsidRPr="001C254B">
        <w:rPr>
          <w:rFonts w:eastAsiaTheme="minorHAnsi"/>
          <w:sz w:val="20"/>
          <w:szCs w:val="22"/>
          <w:lang w:val="sr-Latn-ME"/>
        </w:rPr>
        <w:t>/l i ≥ 0,5 × 10</w:t>
      </w:r>
      <w:r w:rsidR="003F576E" w:rsidRPr="001C254B">
        <w:rPr>
          <w:rFonts w:eastAsiaTheme="minorHAnsi"/>
          <w:sz w:val="20"/>
          <w:szCs w:val="22"/>
          <w:vertAlign w:val="superscript"/>
          <w:lang w:val="sr-Latn-ME"/>
        </w:rPr>
        <w:t>9</w:t>
      </w:r>
      <w:r w:rsidR="003F576E" w:rsidRPr="001C254B">
        <w:rPr>
          <w:rFonts w:eastAsiaTheme="minorHAnsi"/>
          <w:sz w:val="20"/>
          <w:szCs w:val="22"/>
          <w:lang w:val="sr-Latn-ME"/>
        </w:rPr>
        <w:t>/l na RBL-u, izuzev bolesnika s produljenom teškom limfopenijom.</w:t>
      </w:r>
    </w:p>
    <w:p w14:paraId="3AD13252" w14:textId="77777777" w:rsidR="007D6250" w:rsidRPr="00D264F7" w:rsidRDefault="007D6250">
      <w:pPr>
        <w:spacing w:line="259" w:lineRule="auto"/>
        <w:jc w:val="both"/>
        <w:rPr>
          <w:rFonts w:eastAsiaTheme="minorHAnsi"/>
          <w:bCs/>
          <w:sz w:val="22"/>
          <w:szCs w:val="22"/>
          <w:lang w:val="sr-Latn-ME"/>
        </w:rPr>
      </w:pPr>
    </w:p>
    <w:p w14:paraId="0684502E" w14:textId="4672A1A3" w:rsidR="007D6250" w:rsidRPr="00D264F7" w:rsidRDefault="007D6250">
      <w:pPr>
        <w:spacing w:line="259" w:lineRule="auto"/>
        <w:jc w:val="both"/>
        <w:rPr>
          <w:rFonts w:eastAsiaTheme="minorHAnsi"/>
          <w:b/>
          <w:sz w:val="22"/>
          <w:szCs w:val="22"/>
          <w:lang w:val="sr-Latn-ME"/>
        </w:rPr>
      </w:pPr>
      <w:r w:rsidRPr="00D264F7">
        <w:rPr>
          <w:rFonts w:eastAsiaTheme="minorHAnsi"/>
          <w:b/>
          <w:sz w:val="22"/>
          <w:szCs w:val="22"/>
          <w:lang w:val="sr-Latn-ME"/>
        </w:rPr>
        <w:lastRenderedPageBreak/>
        <w:t>Tabela 3: Kaplan-Meierova metoda; Ud</w:t>
      </w:r>
      <w:r w:rsidR="00BB5A46" w:rsidRPr="00D264F7">
        <w:rPr>
          <w:rFonts w:eastAsiaTheme="minorHAnsi"/>
          <w:b/>
          <w:sz w:val="22"/>
          <w:szCs w:val="22"/>
          <w:lang w:val="sr-Latn-ME"/>
        </w:rPr>
        <w:t>i</w:t>
      </w:r>
      <w:r w:rsidRPr="00D264F7">
        <w:rPr>
          <w:rFonts w:eastAsiaTheme="minorHAnsi"/>
          <w:b/>
          <w:sz w:val="22"/>
          <w:szCs w:val="22"/>
          <w:lang w:val="sr-Latn-ME"/>
        </w:rPr>
        <w:t>o pacijenata proc</w:t>
      </w:r>
      <w:r w:rsidR="00BB5A46" w:rsidRPr="00D264F7">
        <w:rPr>
          <w:rFonts w:eastAsiaTheme="minorHAnsi"/>
          <w:b/>
          <w:sz w:val="22"/>
          <w:szCs w:val="22"/>
          <w:lang w:val="sr-Latn-ME"/>
        </w:rPr>
        <w:t>ij</w:t>
      </w:r>
      <w:r w:rsidRPr="00D264F7">
        <w:rPr>
          <w:rFonts w:eastAsiaTheme="minorHAnsi"/>
          <w:b/>
          <w:sz w:val="22"/>
          <w:szCs w:val="22"/>
          <w:lang w:val="sr-Latn-ME"/>
        </w:rPr>
        <w:t xml:space="preserve">enjenih da </w:t>
      </w:r>
      <w:r w:rsidR="00C9718A" w:rsidRPr="00D264F7">
        <w:rPr>
          <w:rFonts w:eastAsiaTheme="minorHAnsi"/>
          <w:b/>
          <w:sz w:val="22"/>
          <w:szCs w:val="22"/>
          <w:lang w:val="sr-Latn-ME"/>
        </w:rPr>
        <w:t xml:space="preserve">će </w:t>
      </w:r>
      <w:r w:rsidRPr="00D264F7">
        <w:rPr>
          <w:rFonts w:eastAsiaTheme="minorHAnsi"/>
          <w:b/>
          <w:sz w:val="22"/>
          <w:szCs w:val="22"/>
          <w:lang w:val="sr-Latn-ME"/>
        </w:rPr>
        <w:t>dosti</w:t>
      </w:r>
      <w:r w:rsidR="00C9718A" w:rsidRPr="00D264F7">
        <w:rPr>
          <w:rFonts w:eastAsiaTheme="minorHAnsi"/>
          <w:b/>
          <w:sz w:val="22"/>
          <w:szCs w:val="22"/>
          <w:lang w:val="sr-Latn-ME"/>
        </w:rPr>
        <w:t>ći</w:t>
      </w:r>
      <w:r w:rsidRPr="00D264F7">
        <w:rPr>
          <w:rFonts w:eastAsiaTheme="minorHAnsi"/>
          <w:b/>
          <w:sz w:val="22"/>
          <w:szCs w:val="22"/>
          <w:lang w:val="sr-Latn-ME"/>
        </w:rPr>
        <w:t xml:space="preserve"> DGN, teška limfopenija pr</w:t>
      </w:r>
      <w:r w:rsidR="00C9718A" w:rsidRPr="00D264F7">
        <w:rPr>
          <w:rFonts w:eastAsiaTheme="minorHAnsi"/>
          <w:b/>
          <w:sz w:val="22"/>
          <w:szCs w:val="22"/>
          <w:lang w:val="sr-Latn-ME"/>
        </w:rPr>
        <w:t>ema</w:t>
      </w:r>
      <w:r w:rsidRPr="00D264F7">
        <w:rPr>
          <w:rFonts w:eastAsiaTheme="minorHAnsi"/>
          <w:b/>
          <w:sz w:val="22"/>
          <w:szCs w:val="22"/>
          <w:lang w:val="sr-Latn-ME"/>
        </w:rPr>
        <w:t xml:space="preserve"> vr</w:t>
      </w:r>
      <w:r w:rsidR="00BB5A46" w:rsidRPr="00D264F7">
        <w:rPr>
          <w:rFonts w:eastAsiaTheme="minorHAnsi"/>
          <w:b/>
          <w:sz w:val="22"/>
          <w:szCs w:val="22"/>
          <w:lang w:val="sr-Latn-ME"/>
        </w:rPr>
        <w:t>ij</w:t>
      </w:r>
      <w:r w:rsidRPr="00D264F7">
        <w:rPr>
          <w:rFonts w:eastAsiaTheme="minorHAnsi"/>
          <w:b/>
          <w:sz w:val="22"/>
          <w:szCs w:val="22"/>
          <w:lang w:val="sr-Latn-ME"/>
        </w:rPr>
        <w:t>ednosti na početku oporavka (RBL); pacijenti sa produženom teškom limfopenijom su isključeni</w:t>
      </w:r>
    </w:p>
    <w:p w14:paraId="1D04A6C4" w14:textId="77777777" w:rsidR="007D6250" w:rsidRPr="00D264F7" w:rsidRDefault="007D6250">
      <w:pPr>
        <w:spacing w:line="259" w:lineRule="auto"/>
        <w:jc w:val="both"/>
        <w:rPr>
          <w:rFonts w:eastAsiaTheme="minorHAnsi"/>
          <w:sz w:val="22"/>
          <w:szCs w:val="22"/>
          <w:lang w:val="sr-Latn-ME"/>
        </w:rPr>
      </w:pPr>
    </w:p>
    <w:tbl>
      <w:tblPr>
        <w:tblStyle w:val="TableGrid"/>
        <w:tblW w:w="9067" w:type="dxa"/>
        <w:tblLayout w:type="fixed"/>
        <w:tblLook w:val="04A0" w:firstRow="1" w:lastRow="0" w:firstColumn="1" w:lastColumn="0" w:noHBand="0" w:noVBand="1"/>
      </w:tblPr>
      <w:tblGrid>
        <w:gridCol w:w="3256"/>
        <w:gridCol w:w="1842"/>
        <w:gridCol w:w="1985"/>
        <w:gridCol w:w="1984"/>
      </w:tblGrid>
      <w:tr w:rsidR="00270253" w:rsidRPr="00692979" w14:paraId="15ABFC75" w14:textId="77777777" w:rsidTr="001B4579">
        <w:tc>
          <w:tcPr>
            <w:tcW w:w="3256" w:type="dxa"/>
          </w:tcPr>
          <w:p w14:paraId="567E6D91" w14:textId="77777777" w:rsidR="007D6250" w:rsidRPr="00D264F7" w:rsidRDefault="007D6250" w:rsidP="001F758F">
            <w:pPr>
              <w:pStyle w:val="Default"/>
              <w:jc w:val="both"/>
              <w:rPr>
                <w:b/>
                <w:color w:val="auto"/>
                <w:sz w:val="20"/>
                <w:szCs w:val="20"/>
                <w:lang w:val="sr-Latn-ME"/>
              </w:rPr>
            </w:pPr>
            <w:r w:rsidRPr="00D264F7">
              <w:rPr>
                <w:b/>
                <w:color w:val="auto"/>
                <w:sz w:val="20"/>
                <w:szCs w:val="20"/>
                <w:lang w:val="sr-Latn-ME"/>
              </w:rPr>
              <w:t>Broj pacijenata sa teškom limfopenijom</w:t>
            </w:r>
            <w:r w:rsidRPr="00D264F7">
              <w:rPr>
                <w:b/>
                <w:color w:val="auto"/>
                <w:sz w:val="20"/>
                <w:szCs w:val="20"/>
                <w:vertAlign w:val="superscript"/>
                <w:lang w:val="sr-Latn-ME"/>
              </w:rPr>
              <w:t>a</w:t>
            </w:r>
            <w:r w:rsidRPr="00D264F7">
              <w:rPr>
                <w:b/>
                <w:color w:val="auto"/>
                <w:sz w:val="13"/>
                <w:szCs w:val="13"/>
                <w:lang w:val="sr-Latn-ME"/>
              </w:rPr>
              <w:t xml:space="preserve"> </w:t>
            </w:r>
            <w:r w:rsidRPr="00D264F7">
              <w:rPr>
                <w:b/>
                <w:color w:val="auto"/>
                <w:sz w:val="20"/>
                <w:szCs w:val="20"/>
                <w:lang w:val="sr-Latn-ME"/>
              </w:rPr>
              <w:t xml:space="preserve">koji su pod rizikom </w:t>
            </w:r>
          </w:p>
        </w:tc>
        <w:tc>
          <w:tcPr>
            <w:tcW w:w="1842" w:type="dxa"/>
          </w:tcPr>
          <w:p w14:paraId="4B3E2EA3" w14:textId="77777777" w:rsidR="007D6250" w:rsidRPr="00D264F7" w:rsidRDefault="007D6250" w:rsidP="001F758F">
            <w:pPr>
              <w:pStyle w:val="Default"/>
              <w:jc w:val="both"/>
              <w:rPr>
                <w:b/>
                <w:color w:val="auto"/>
                <w:sz w:val="20"/>
                <w:szCs w:val="20"/>
                <w:lang w:val="sr-Latn-ME"/>
              </w:rPr>
            </w:pPr>
            <w:r w:rsidRPr="00D264F7">
              <w:rPr>
                <w:b/>
                <w:color w:val="auto"/>
                <w:sz w:val="20"/>
                <w:szCs w:val="20"/>
                <w:lang w:val="sr-Latn-ME"/>
              </w:rPr>
              <w:t>Početak</w:t>
            </w:r>
          </w:p>
          <w:p w14:paraId="2B9010B0" w14:textId="77777777" w:rsidR="007D6250" w:rsidRPr="00D264F7" w:rsidRDefault="007D6250" w:rsidP="001F758F">
            <w:pPr>
              <w:jc w:val="both"/>
              <w:rPr>
                <w:b/>
                <w:bCs/>
                <w:szCs w:val="22"/>
                <w:lang w:val="sr-Latn-ME"/>
              </w:rPr>
            </w:pPr>
            <w:r w:rsidRPr="00D264F7">
              <w:rPr>
                <w:b/>
                <w:sz w:val="20"/>
                <w:szCs w:val="20"/>
                <w:lang w:val="sr-Latn-ME"/>
              </w:rPr>
              <w:t>N=18</w:t>
            </w:r>
          </w:p>
        </w:tc>
        <w:tc>
          <w:tcPr>
            <w:tcW w:w="1985" w:type="dxa"/>
          </w:tcPr>
          <w:p w14:paraId="50DCF1E0" w14:textId="768C13A4" w:rsidR="007D6250" w:rsidRPr="00D264F7" w:rsidRDefault="007D6250" w:rsidP="001F758F">
            <w:pPr>
              <w:pStyle w:val="Default"/>
              <w:jc w:val="both"/>
              <w:rPr>
                <w:b/>
                <w:color w:val="auto"/>
                <w:sz w:val="20"/>
                <w:szCs w:val="20"/>
                <w:lang w:val="sr-Latn-ME"/>
              </w:rPr>
            </w:pPr>
            <w:r w:rsidRPr="00D264F7">
              <w:rPr>
                <w:b/>
                <w:color w:val="auto"/>
                <w:sz w:val="20"/>
                <w:szCs w:val="20"/>
                <w:lang w:val="sr-Latn-ME"/>
              </w:rPr>
              <w:t>12. ned</w:t>
            </w:r>
            <w:r w:rsidR="00BB5A46" w:rsidRPr="00D264F7">
              <w:rPr>
                <w:b/>
                <w:color w:val="auto"/>
                <w:sz w:val="20"/>
                <w:szCs w:val="20"/>
                <w:lang w:val="sr-Latn-ME"/>
              </w:rPr>
              <w:t>j</w:t>
            </w:r>
            <w:r w:rsidRPr="00D264F7">
              <w:rPr>
                <w:b/>
                <w:color w:val="auto"/>
                <w:sz w:val="20"/>
                <w:szCs w:val="20"/>
                <w:lang w:val="sr-Latn-ME"/>
              </w:rPr>
              <w:t>elja</w:t>
            </w:r>
          </w:p>
          <w:p w14:paraId="4737F238" w14:textId="77777777" w:rsidR="007D6250" w:rsidRPr="00D264F7" w:rsidRDefault="007D6250" w:rsidP="001F758F">
            <w:pPr>
              <w:jc w:val="both"/>
              <w:rPr>
                <w:b/>
                <w:bCs/>
                <w:szCs w:val="22"/>
                <w:lang w:val="sr-Latn-ME"/>
              </w:rPr>
            </w:pPr>
            <w:r w:rsidRPr="00D264F7">
              <w:rPr>
                <w:b/>
                <w:sz w:val="20"/>
                <w:szCs w:val="20"/>
                <w:lang w:val="sr-Latn-ME"/>
              </w:rPr>
              <w:t>N=6</w:t>
            </w:r>
          </w:p>
        </w:tc>
        <w:tc>
          <w:tcPr>
            <w:tcW w:w="1984" w:type="dxa"/>
          </w:tcPr>
          <w:p w14:paraId="48543200" w14:textId="20B50A98" w:rsidR="007D6250" w:rsidRPr="00D264F7" w:rsidRDefault="007D6250" w:rsidP="001F758F">
            <w:pPr>
              <w:pStyle w:val="Default"/>
              <w:jc w:val="both"/>
              <w:rPr>
                <w:b/>
                <w:color w:val="auto"/>
                <w:sz w:val="20"/>
                <w:szCs w:val="20"/>
                <w:lang w:val="sr-Latn-ME"/>
              </w:rPr>
            </w:pPr>
            <w:r w:rsidRPr="00D264F7">
              <w:rPr>
                <w:b/>
                <w:color w:val="auto"/>
                <w:sz w:val="20"/>
                <w:szCs w:val="20"/>
                <w:lang w:val="sr-Latn-ME"/>
              </w:rPr>
              <w:t>24. ned</w:t>
            </w:r>
            <w:r w:rsidR="00BB5A46" w:rsidRPr="00D264F7">
              <w:rPr>
                <w:b/>
                <w:color w:val="auto"/>
                <w:sz w:val="20"/>
                <w:szCs w:val="20"/>
                <w:lang w:val="sr-Latn-ME"/>
              </w:rPr>
              <w:t>j</w:t>
            </w:r>
            <w:r w:rsidRPr="00D264F7">
              <w:rPr>
                <w:b/>
                <w:color w:val="auto"/>
                <w:sz w:val="20"/>
                <w:szCs w:val="20"/>
                <w:lang w:val="sr-Latn-ME"/>
              </w:rPr>
              <w:t>elja</w:t>
            </w:r>
          </w:p>
          <w:p w14:paraId="610EF3CD" w14:textId="77777777" w:rsidR="007D6250" w:rsidRPr="00D264F7" w:rsidRDefault="007D6250" w:rsidP="001F758F">
            <w:pPr>
              <w:jc w:val="both"/>
              <w:rPr>
                <w:b/>
                <w:bCs/>
                <w:szCs w:val="22"/>
                <w:lang w:val="sr-Latn-ME"/>
              </w:rPr>
            </w:pPr>
            <w:r w:rsidRPr="00D264F7">
              <w:rPr>
                <w:b/>
                <w:sz w:val="20"/>
                <w:szCs w:val="20"/>
                <w:lang w:val="sr-Latn-ME"/>
              </w:rPr>
              <w:t>N=4</w:t>
            </w:r>
          </w:p>
        </w:tc>
      </w:tr>
      <w:tr w:rsidR="00270253" w:rsidRPr="00692979" w14:paraId="079DF5EB" w14:textId="77777777" w:rsidTr="001B4579">
        <w:tc>
          <w:tcPr>
            <w:tcW w:w="3256" w:type="dxa"/>
          </w:tcPr>
          <w:p w14:paraId="0200C716" w14:textId="0FE10E20" w:rsidR="007D6250" w:rsidRPr="00D264F7" w:rsidRDefault="007D6250" w:rsidP="001F758F">
            <w:pPr>
              <w:pStyle w:val="Default"/>
              <w:jc w:val="both"/>
              <w:rPr>
                <w:color w:val="auto"/>
                <w:sz w:val="20"/>
                <w:szCs w:val="20"/>
                <w:lang w:val="sr-Latn-ME"/>
              </w:rPr>
            </w:pPr>
            <w:r w:rsidRPr="00D264F7">
              <w:rPr>
                <w:color w:val="auto"/>
                <w:sz w:val="20"/>
                <w:szCs w:val="20"/>
                <w:lang w:val="sr-Latn-ME"/>
              </w:rPr>
              <w:t>Ud</w:t>
            </w:r>
            <w:r w:rsidR="00BB5A46" w:rsidRPr="00D264F7">
              <w:rPr>
                <w:color w:val="auto"/>
                <w:sz w:val="20"/>
                <w:szCs w:val="20"/>
                <w:lang w:val="sr-Latn-ME"/>
              </w:rPr>
              <w:t>i</w:t>
            </w:r>
            <w:r w:rsidRPr="00D264F7">
              <w:rPr>
                <w:color w:val="auto"/>
                <w:sz w:val="20"/>
                <w:szCs w:val="20"/>
                <w:lang w:val="sr-Latn-ME"/>
              </w:rPr>
              <w:t xml:space="preserve">o koji je dostigao DGN (95% CI) </w:t>
            </w:r>
          </w:p>
        </w:tc>
        <w:tc>
          <w:tcPr>
            <w:tcW w:w="1842" w:type="dxa"/>
          </w:tcPr>
          <w:p w14:paraId="72E23B68" w14:textId="77777777" w:rsidR="007D6250" w:rsidRPr="00D264F7" w:rsidRDefault="007D6250" w:rsidP="001F758F">
            <w:pPr>
              <w:jc w:val="both"/>
              <w:rPr>
                <w:bCs/>
                <w:szCs w:val="22"/>
                <w:lang w:val="sr-Latn-ME"/>
              </w:rPr>
            </w:pPr>
          </w:p>
        </w:tc>
        <w:tc>
          <w:tcPr>
            <w:tcW w:w="1985" w:type="dxa"/>
          </w:tcPr>
          <w:p w14:paraId="6C0DE943" w14:textId="77777777" w:rsidR="007D6250" w:rsidRPr="00D264F7" w:rsidRDefault="007D6250" w:rsidP="001F758F">
            <w:pPr>
              <w:pStyle w:val="Default"/>
              <w:jc w:val="both"/>
              <w:rPr>
                <w:color w:val="auto"/>
                <w:sz w:val="20"/>
                <w:szCs w:val="20"/>
                <w:lang w:val="sr-Latn-ME"/>
              </w:rPr>
            </w:pPr>
            <w:r w:rsidRPr="00D264F7">
              <w:rPr>
                <w:color w:val="auto"/>
                <w:sz w:val="20"/>
                <w:szCs w:val="20"/>
                <w:lang w:val="sr-Latn-ME"/>
              </w:rPr>
              <w:t xml:space="preserve">0,43 </w:t>
            </w:r>
          </w:p>
          <w:p w14:paraId="6CBA9012" w14:textId="77777777" w:rsidR="007D6250" w:rsidRPr="00D264F7" w:rsidRDefault="007D6250" w:rsidP="001F758F">
            <w:pPr>
              <w:jc w:val="both"/>
              <w:rPr>
                <w:bCs/>
                <w:szCs w:val="22"/>
                <w:lang w:val="sr-Latn-ME"/>
              </w:rPr>
            </w:pPr>
            <w:r w:rsidRPr="00D264F7">
              <w:rPr>
                <w:sz w:val="20"/>
                <w:szCs w:val="20"/>
                <w:lang w:val="sr-Latn-ME"/>
              </w:rPr>
              <w:t xml:space="preserve">(0,20; 0,75)  </w:t>
            </w:r>
          </w:p>
        </w:tc>
        <w:tc>
          <w:tcPr>
            <w:tcW w:w="1984" w:type="dxa"/>
          </w:tcPr>
          <w:p w14:paraId="4C35EF8F" w14:textId="77777777" w:rsidR="007D6250" w:rsidRPr="00D264F7" w:rsidRDefault="007D6250" w:rsidP="001F758F">
            <w:pPr>
              <w:pStyle w:val="Default"/>
              <w:jc w:val="both"/>
              <w:rPr>
                <w:color w:val="auto"/>
                <w:sz w:val="20"/>
                <w:szCs w:val="20"/>
                <w:lang w:val="sr-Latn-ME"/>
              </w:rPr>
            </w:pPr>
            <w:r w:rsidRPr="00D264F7">
              <w:rPr>
                <w:color w:val="auto"/>
                <w:sz w:val="20"/>
                <w:szCs w:val="20"/>
                <w:lang w:val="sr-Latn-ME"/>
              </w:rPr>
              <w:t xml:space="preserve">0,62 </w:t>
            </w:r>
          </w:p>
          <w:p w14:paraId="4C3425E1" w14:textId="77777777" w:rsidR="007D6250" w:rsidRPr="00D264F7" w:rsidRDefault="007D6250" w:rsidP="001F758F">
            <w:pPr>
              <w:jc w:val="both"/>
              <w:rPr>
                <w:bCs/>
                <w:szCs w:val="22"/>
                <w:lang w:val="sr-Latn-ME"/>
              </w:rPr>
            </w:pPr>
            <w:r w:rsidRPr="00D264F7">
              <w:rPr>
                <w:sz w:val="20"/>
                <w:szCs w:val="20"/>
                <w:lang w:val="sr-Latn-ME"/>
              </w:rPr>
              <w:t>(0,35; 0,88)</w:t>
            </w:r>
          </w:p>
        </w:tc>
      </w:tr>
    </w:tbl>
    <w:p w14:paraId="25D95A81" w14:textId="0C92E163" w:rsidR="007D6250" w:rsidRPr="001C254B" w:rsidRDefault="007D6250" w:rsidP="001C605F">
      <w:pPr>
        <w:spacing w:line="259" w:lineRule="auto"/>
        <w:jc w:val="both"/>
        <w:rPr>
          <w:rFonts w:eastAsiaTheme="minorHAnsi"/>
          <w:sz w:val="20"/>
          <w:szCs w:val="22"/>
          <w:lang w:val="sr-Latn-ME"/>
        </w:rPr>
      </w:pPr>
      <w:r w:rsidRPr="001C254B">
        <w:rPr>
          <w:rFonts w:eastAsiaTheme="minorHAnsi"/>
          <w:sz w:val="20"/>
          <w:szCs w:val="22"/>
          <w:vertAlign w:val="superscript"/>
          <w:lang w:val="sr-Latn-ME"/>
        </w:rPr>
        <w:t>a</w:t>
      </w:r>
      <w:r w:rsidRPr="001C254B">
        <w:rPr>
          <w:rFonts w:eastAsiaTheme="minorHAnsi"/>
          <w:sz w:val="20"/>
          <w:szCs w:val="22"/>
          <w:lang w:val="sr-Latn-ME"/>
        </w:rPr>
        <w:t xml:space="preserve"> </w:t>
      </w:r>
      <w:r w:rsidR="003F576E" w:rsidRPr="001C254B">
        <w:rPr>
          <w:rFonts w:eastAsiaTheme="minorHAnsi"/>
          <w:sz w:val="20"/>
          <w:szCs w:val="22"/>
          <w:lang w:val="sr-Latn-ME"/>
        </w:rPr>
        <w:t>Bolesnici s ABL &lt; 0,5 × 10</w:t>
      </w:r>
      <w:r w:rsidR="003F576E" w:rsidRPr="001C254B">
        <w:rPr>
          <w:rFonts w:eastAsiaTheme="minorHAnsi"/>
          <w:sz w:val="20"/>
          <w:szCs w:val="22"/>
          <w:vertAlign w:val="superscript"/>
          <w:lang w:val="sr-Latn-ME"/>
        </w:rPr>
        <w:t>9</w:t>
      </w:r>
      <w:r w:rsidR="003F576E" w:rsidRPr="001C254B">
        <w:rPr>
          <w:rFonts w:eastAsiaTheme="minorHAnsi"/>
          <w:sz w:val="20"/>
          <w:szCs w:val="22"/>
          <w:lang w:val="sr-Latn-ME"/>
        </w:rPr>
        <w:t>/l na RBL-u, izuzev bolesnika s produljenom teškom limfopenijom.</w:t>
      </w:r>
    </w:p>
    <w:p w14:paraId="4717709C" w14:textId="77777777" w:rsidR="00BD782B" w:rsidRPr="00D264F7" w:rsidRDefault="00BD782B">
      <w:pPr>
        <w:widowControl w:val="0"/>
        <w:suppressLineNumbers/>
        <w:autoSpaceDE w:val="0"/>
        <w:spacing w:line="259" w:lineRule="auto"/>
        <w:jc w:val="both"/>
        <w:rPr>
          <w:rFonts w:eastAsiaTheme="minorHAnsi"/>
          <w:i/>
          <w:sz w:val="22"/>
          <w:szCs w:val="22"/>
          <w:lang w:val="sr-Latn-ME"/>
        </w:rPr>
      </w:pPr>
    </w:p>
    <w:p w14:paraId="6947FCDE" w14:textId="77777777" w:rsidR="00BD782B" w:rsidRPr="00D264F7" w:rsidRDefault="00BD782B">
      <w:pPr>
        <w:widowControl w:val="0"/>
        <w:suppressLineNumbers/>
        <w:autoSpaceDE w:val="0"/>
        <w:spacing w:line="259" w:lineRule="auto"/>
        <w:jc w:val="both"/>
        <w:rPr>
          <w:rFonts w:eastAsiaTheme="minorHAnsi"/>
          <w:i/>
          <w:sz w:val="22"/>
          <w:szCs w:val="22"/>
          <w:lang w:val="sr-Latn-ME"/>
        </w:rPr>
      </w:pPr>
      <w:r w:rsidRPr="00D264F7">
        <w:rPr>
          <w:rFonts w:eastAsiaTheme="minorHAnsi"/>
          <w:sz w:val="22"/>
          <w:szCs w:val="22"/>
          <w:u w:val="single"/>
          <w:lang w:val="sr-Latn-ME" w:bidi="hr-HR"/>
        </w:rPr>
        <w:t>Klinička efikasnost i bezbjednost</w:t>
      </w:r>
    </w:p>
    <w:p w14:paraId="09BCB595" w14:textId="77777777" w:rsidR="00BD782B" w:rsidRPr="00D264F7" w:rsidRDefault="00BD782B">
      <w:pPr>
        <w:widowControl w:val="0"/>
        <w:suppressLineNumbers/>
        <w:autoSpaceDE w:val="0"/>
        <w:spacing w:line="259" w:lineRule="auto"/>
        <w:jc w:val="both"/>
        <w:rPr>
          <w:rFonts w:eastAsiaTheme="minorHAnsi"/>
          <w:i/>
          <w:sz w:val="22"/>
          <w:szCs w:val="22"/>
          <w:lang w:val="sr-Latn-ME"/>
        </w:rPr>
      </w:pPr>
    </w:p>
    <w:p w14:paraId="675E69E6" w14:textId="5667B469" w:rsidR="009A2A94" w:rsidRDefault="00BD782B">
      <w:pPr>
        <w:widowControl w:val="0"/>
        <w:suppressLineNumbers/>
        <w:autoSpaceDE w:val="0"/>
        <w:spacing w:line="259" w:lineRule="auto"/>
        <w:jc w:val="both"/>
        <w:rPr>
          <w:rFonts w:eastAsiaTheme="minorHAnsi"/>
          <w:color w:val="1F497D"/>
          <w:sz w:val="22"/>
          <w:szCs w:val="22"/>
          <w:lang w:val="sr-Latn-ME"/>
        </w:rPr>
      </w:pPr>
      <w:r w:rsidRPr="00D264F7">
        <w:rPr>
          <w:rFonts w:eastAsiaTheme="minorHAnsi"/>
          <w:sz w:val="22"/>
          <w:szCs w:val="22"/>
          <w:lang w:val="sr-Latn-ME"/>
        </w:rPr>
        <w:t xml:space="preserve">Sprovedena su dva, 2-godišnja, randomizovana, dvostruko slijepa, placebo kontrolisana ispitivanja kod </w:t>
      </w:r>
      <w:r w:rsidR="007D6250" w:rsidRPr="00D264F7">
        <w:rPr>
          <w:rFonts w:eastAsiaTheme="minorHAnsi"/>
          <w:sz w:val="22"/>
          <w:szCs w:val="22"/>
          <w:lang w:val="sr-Latn-ME"/>
        </w:rPr>
        <w:t xml:space="preserve">pacijenata </w:t>
      </w:r>
      <w:r w:rsidRPr="00D264F7">
        <w:rPr>
          <w:rFonts w:eastAsiaTheme="minorHAnsi"/>
          <w:sz w:val="22"/>
          <w:szCs w:val="22"/>
          <w:lang w:val="sr-Latn-ME"/>
        </w:rPr>
        <w:t>s RRMS</w:t>
      </w:r>
      <w:r w:rsidR="00D929F6">
        <w:rPr>
          <w:rFonts w:eastAsiaTheme="minorHAnsi"/>
          <w:sz w:val="22"/>
          <w:szCs w:val="22"/>
          <w:lang w:val="sr-Latn-ME"/>
        </w:rPr>
        <w:t>-om</w:t>
      </w:r>
      <w:r w:rsidRPr="00D264F7">
        <w:rPr>
          <w:rFonts w:eastAsiaTheme="minorHAnsi"/>
          <w:sz w:val="22"/>
          <w:szCs w:val="22"/>
          <w:lang w:val="sr-Latn-ME"/>
        </w:rPr>
        <w:t xml:space="preserve"> [DEFINE sa 1234 </w:t>
      </w:r>
      <w:r w:rsidR="007D6250" w:rsidRPr="00D264F7">
        <w:rPr>
          <w:rFonts w:eastAsiaTheme="minorHAnsi"/>
          <w:sz w:val="22"/>
          <w:szCs w:val="22"/>
          <w:lang w:val="sr-Latn-ME"/>
        </w:rPr>
        <w:t xml:space="preserve">pacijenta </w:t>
      </w:r>
      <w:r w:rsidRPr="00D264F7">
        <w:rPr>
          <w:rFonts w:eastAsiaTheme="minorHAnsi"/>
          <w:sz w:val="22"/>
          <w:szCs w:val="22"/>
          <w:lang w:val="sr-Latn-ME"/>
        </w:rPr>
        <w:t>i CONFIRM sa 1417 </w:t>
      </w:r>
      <w:r w:rsidR="007D6250" w:rsidRPr="00D264F7">
        <w:rPr>
          <w:rFonts w:eastAsiaTheme="minorHAnsi"/>
          <w:sz w:val="22"/>
          <w:szCs w:val="22"/>
          <w:lang w:val="sr-Latn-ME"/>
        </w:rPr>
        <w:t>pacijenata</w:t>
      </w:r>
      <w:r w:rsidRPr="00D264F7">
        <w:rPr>
          <w:rFonts w:eastAsiaTheme="minorHAnsi"/>
          <w:sz w:val="22"/>
          <w:szCs w:val="22"/>
          <w:lang w:val="sr-Latn-ME"/>
        </w:rPr>
        <w:t xml:space="preserve">]. </w:t>
      </w:r>
      <w:r w:rsidR="007D6250" w:rsidRPr="00D264F7">
        <w:rPr>
          <w:rFonts w:eastAsiaTheme="minorHAnsi"/>
          <w:sz w:val="22"/>
          <w:szCs w:val="22"/>
          <w:lang w:val="sr-Latn-ME"/>
        </w:rPr>
        <w:t xml:space="preserve">Pacijenti </w:t>
      </w:r>
      <w:r w:rsidRPr="00D264F7">
        <w:rPr>
          <w:rFonts w:eastAsiaTheme="minorHAnsi"/>
          <w:sz w:val="22"/>
          <w:szCs w:val="22"/>
          <w:lang w:val="sr-Latn-ME"/>
        </w:rPr>
        <w:t>sa progresivnim oblikom MS nisu bili uključeni u ova ispitivanja.</w:t>
      </w:r>
      <w:r w:rsidRPr="00D264F7">
        <w:rPr>
          <w:rFonts w:eastAsiaTheme="minorHAnsi"/>
          <w:color w:val="1F497D"/>
          <w:sz w:val="22"/>
          <w:szCs w:val="22"/>
          <w:lang w:val="sr-Latn-ME"/>
        </w:rPr>
        <w:t xml:space="preserve"> </w:t>
      </w:r>
    </w:p>
    <w:p w14:paraId="505B97DC" w14:textId="77777777" w:rsidR="009A2A94" w:rsidRDefault="009A2A94">
      <w:pPr>
        <w:widowControl w:val="0"/>
        <w:suppressLineNumbers/>
        <w:autoSpaceDE w:val="0"/>
        <w:spacing w:line="259" w:lineRule="auto"/>
        <w:jc w:val="both"/>
        <w:rPr>
          <w:rFonts w:eastAsiaTheme="minorHAnsi"/>
          <w:color w:val="1F497D"/>
          <w:sz w:val="22"/>
          <w:szCs w:val="22"/>
          <w:lang w:val="sr-Latn-ME"/>
        </w:rPr>
      </w:pPr>
    </w:p>
    <w:p w14:paraId="278EBBF2" w14:textId="11B64D53" w:rsidR="00BD782B" w:rsidRPr="00D264F7" w:rsidRDefault="00BD782B">
      <w:pPr>
        <w:widowControl w:val="0"/>
        <w:suppressLineNumbers/>
        <w:autoSpaceDE w:val="0"/>
        <w:spacing w:line="259" w:lineRule="auto"/>
        <w:jc w:val="both"/>
        <w:rPr>
          <w:rFonts w:eastAsiaTheme="minorHAnsi"/>
          <w:i/>
          <w:sz w:val="22"/>
          <w:szCs w:val="22"/>
          <w:lang w:val="sr-Latn-ME"/>
        </w:rPr>
      </w:pPr>
      <w:r w:rsidRPr="00D264F7">
        <w:rPr>
          <w:rFonts w:eastAsiaTheme="minorHAnsi"/>
          <w:sz w:val="22"/>
          <w:szCs w:val="22"/>
          <w:lang w:val="sr-Latn-ME"/>
        </w:rPr>
        <w:t>Efikasnost (vidjeti tabelu</w:t>
      </w:r>
      <w:r w:rsidR="00B819FB">
        <w:rPr>
          <w:rFonts w:eastAsiaTheme="minorHAnsi"/>
          <w:sz w:val="22"/>
          <w:szCs w:val="22"/>
          <w:lang w:val="sr-Latn-ME"/>
        </w:rPr>
        <w:t xml:space="preserve"> 4</w:t>
      </w:r>
      <w:r w:rsidRPr="00D264F7">
        <w:rPr>
          <w:rFonts w:eastAsiaTheme="minorHAnsi"/>
          <w:sz w:val="22"/>
          <w:szCs w:val="22"/>
          <w:lang w:val="sr-Latn-ME"/>
        </w:rPr>
        <w:t>) i bezbjednost pokazan</w:t>
      </w:r>
      <w:r w:rsidR="008A5F82" w:rsidRPr="00D264F7">
        <w:rPr>
          <w:rFonts w:eastAsiaTheme="minorHAnsi"/>
          <w:sz w:val="22"/>
          <w:szCs w:val="22"/>
          <w:lang w:val="sr-Latn-ME"/>
        </w:rPr>
        <w:t>i</w:t>
      </w:r>
      <w:r w:rsidRPr="00D264F7">
        <w:rPr>
          <w:rFonts w:eastAsiaTheme="minorHAnsi"/>
          <w:sz w:val="22"/>
          <w:szCs w:val="22"/>
          <w:lang w:val="sr-Latn-ME"/>
        </w:rPr>
        <w:t xml:space="preserve"> su kod ispitanika sa proširenom skalom ocjene onesposobljenosti (eng. </w:t>
      </w:r>
      <w:r w:rsidRPr="00D264F7">
        <w:rPr>
          <w:rFonts w:eastAsiaTheme="minorHAnsi"/>
          <w:i/>
          <w:sz w:val="22"/>
          <w:szCs w:val="22"/>
          <w:lang w:val="sr-Latn-ME"/>
        </w:rPr>
        <w:t>Expanded Disability Status Scale</w:t>
      </w:r>
      <w:r w:rsidRPr="00D264F7">
        <w:rPr>
          <w:rFonts w:eastAsiaTheme="minorHAnsi"/>
          <w:sz w:val="22"/>
          <w:szCs w:val="22"/>
          <w:lang w:val="sr-Latn-ME"/>
        </w:rPr>
        <w:t>, EDSS) u rasponu od 0 do 5</w:t>
      </w:r>
      <w:r w:rsidR="007D6250" w:rsidRPr="00D264F7">
        <w:rPr>
          <w:rFonts w:eastAsiaTheme="minorHAnsi"/>
          <w:sz w:val="22"/>
          <w:szCs w:val="22"/>
          <w:lang w:val="sr-Latn-ME"/>
        </w:rPr>
        <w:t xml:space="preserve"> bodova</w:t>
      </w:r>
      <w:r w:rsidRPr="00D264F7">
        <w:rPr>
          <w:rFonts w:eastAsiaTheme="minorHAnsi"/>
          <w:sz w:val="22"/>
          <w:szCs w:val="22"/>
          <w:lang w:val="sr-Latn-ME"/>
        </w:rPr>
        <w:t> uključ</w:t>
      </w:r>
      <w:r w:rsidR="008A5F82" w:rsidRPr="00D264F7">
        <w:rPr>
          <w:rFonts w:eastAsiaTheme="minorHAnsi"/>
          <w:sz w:val="22"/>
          <w:szCs w:val="22"/>
          <w:lang w:val="sr-Latn-ME"/>
        </w:rPr>
        <w:t>eno</w:t>
      </w:r>
      <w:r w:rsidRPr="00D264F7">
        <w:rPr>
          <w:rFonts w:eastAsiaTheme="minorHAnsi"/>
          <w:sz w:val="22"/>
          <w:szCs w:val="22"/>
          <w:lang w:val="sr-Latn-ME"/>
        </w:rPr>
        <w:t xml:space="preserve">, koji su doživjeli najmanje 1 relaps tokom godine prije randomizacije, ili su u roku od 6 sedmica pre randomizacije imali MR mozga koja je pokazala najmanje jednu gadolinijum-pozitivnu (Gd+) leziju. Ispitivanje </w:t>
      </w:r>
      <w:r w:rsidR="007D6250" w:rsidRPr="00D264F7">
        <w:rPr>
          <w:rFonts w:eastAsiaTheme="minorHAnsi"/>
          <w:sz w:val="22"/>
          <w:szCs w:val="22"/>
          <w:lang w:val="sr-Latn-ME"/>
        </w:rPr>
        <w:t xml:space="preserve">CONFIRM </w:t>
      </w:r>
      <w:r w:rsidRPr="00D264F7">
        <w:rPr>
          <w:rFonts w:eastAsiaTheme="minorHAnsi"/>
          <w:sz w:val="22"/>
          <w:szCs w:val="22"/>
          <w:lang w:val="sr-Latn-ME"/>
        </w:rPr>
        <w:t xml:space="preserve">bilo je slijepo za ocjenjivača (tj. ljekar/ispitivač koji procjenjuje odgovor na liječenje u ispitivanju </w:t>
      </w:r>
      <w:r w:rsidRPr="00D264F7">
        <w:rPr>
          <w:rFonts w:eastAsiaTheme="minorHAnsi"/>
          <w:color w:val="000000"/>
          <w:sz w:val="22"/>
          <w:szCs w:val="22"/>
          <w:lang w:val="sr-Latn-ME"/>
        </w:rPr>
        <w:t>ne zna koju supstancu uzima ispitanik</w:t>
      </w:r>
      <w:r w:rsidRPr="00D264F7">
        <w:rPr>
          <w:rFonts w:eastAsiaTheme="minorHAnsi"/>
          <w:sz w:val="22"/>
          <w:szCs w:val="22"/>
          <w:lang w:val="sr-Latn-ME"/>
        </w:rPr>
        <w:t xml:space="preserve">) i uključivalo je za poređenje referentni lijek glatiramer acetat. </w:t>
      </w:r>
    </w:p>
    <w:p w14:paraId="29CCE9D7" w14:textId="77777777" w:rsidR="00BD782B" w:rsidRPr="00D264F7" w:rsidRDefault="00BD782B">
      <w:pPr>
        <w:widowControl w:val="0"/>
        <w:suppressLineNumbers/>
        <w:autoSpaceDE w:val="0"/>
        <w:spacing w:line="259" w:lineRule="auto"/>
        <w:jc w:val="both"/>
        <w:rPr>
          <w:rFonts w:eastAsiaTheme="minorHAnsi"/>
          <w:i/>
          <w:sz w:val="22"/>
          <w:szCs w:val="22"/>
          <w:lang w:val="sr-Latn-ME"/>
        </w:rPr>
      </w:pPr>
    </w:p>
    <w:p w14:paraId="3533960D" w14:textId="0EC6F963" w:rsidR="00BD782B" w:rsidRPr="00D264F7" w:rsidRDefault="00BD782B">
      <w:pPr>
        <w:widowControl w:val="0"/>
        <w:suppressLineNumbers/>
        <w:autoSpaceDE w:val="0"/>
        <w:spacing w:line="259" w:lineRule="auto"/>
        <w:jc w:val="both"/>
        <w:rPr>
          <w:rFonts w:eastAsiaTheme="minorHAnsi"/>
          <w:i/>
          <w:sz w:val="22"/>
          <w:szCs w:val="22"/>
          <w:lang w:val="sr-Latn-ME"/>
        </w:rPr>
      </w:pPr>
      <w:r w:rsidRPr="00D264F7">
        <w:rPr>
          <w:rFonts w:eastAsiaTheme="minorHAnsi"/>
          <w:sz w:val="22"/>
          <w:szCs w:val="22"/>
          <w:lang w:val="sr-Latn-ME"/>
        </w:rPr>
        <w:t xml:space="preserve">U Ispitivanju </w:t>
      </w:r>
      <w:r w:rsidR="007D6250" w:rsidRPr="00D264F7">
        <w:rPr>
          <w:rFonts w:eastAsiaTheme="minorHAnsi"/>
          <w:sz w:val="22"/>
          <w:szCs w:val="22"/>
          <w:lang w:val="sr-Latn-ME"/>
        </w:rPr>
        <w:t>DEFINE</w:t>
      </w:r>
      <w:r w:rsidRPr="00D264F7">
        <w:rPr>
          <w:rFonts w:eastAsiaTheme="minorHAnsi"/>
          <w:sz w:val="22"/>
          <w:szCs w:val="22"/>
          <w:lang w:val="sr-Latn-ME"/>
        </w:rPr>
        <w:t>, pacijenti su imali sljedeće medijane osnovnih parametara: starost 39 godina, trajanje bolesti 7,0 godina, EDSS bodovi 2,0. Osim toga, 16% pacijenata imalo je EDSS bodov</w:t>
      </w:r>
      <w:r w:rsidR="008A5F82" w:rsidRPr="00D264F7">
        <w:rPr>
          <w:rFonts w:eastAsiaTheme="minorHAnsi"/>
          <w:sz w:val="22"/>
          <w:szCs w:val="22"/>
          <w:lang w:val="sr-Latn-ME"/>
        </w:rPr>
        <w:t>e</w:t>
      </w:r>
      <w:r w:rsidRPr="00D264F7">
        <w:rPr>
          <w:rFonts w:eastAsiaTheme="minorHAnsi"/>
          <w:sz w:val="22"/>
          <w:szCs w:val="22"/>
          <w:lang w:val="sr-Latn-ME"/>
        </w:rPr>
        <w:t xml:space="preserve"> &gt; 3,5</w:t>
      </w:r>
      <w:r w:rsidRPr="00D264F7">
        <w:rPr>
          <w:rFonts w:eastAsia="MS Mincho"/>
          <w:sz w:val="22"/>
          <w:szCs w:val="22"/>
          <w:lang w:val="sr-Latn-ME"/>
        </w:rPr>
        <w:t>,</w:t>
      </w:r>
      <w:r w:rsidRPr="00D264F7">
        <w:rPr>
          <w:rFonts w:eastAsiaTheme="minorHAnsi"/>
          <w:sz w:val="22"/>
          <w:szCs w:val="22"/>
          <w:lang w:val="sr-Latn-ME"/>
        </w:rPr>
        <w:t xml:space="preserve"> 28% je imalo ≥ 2 relapsa u prethodnoj godini, a 42% je prethodno dobilo drugo odobreno liječenje za MS. U MRI kohorti, 36% pacijenata koji su ušli u ispitivanje imali su Gd + lezije na početku (srednja vrijednost broja Gd + lezija 1,4). </w:t>
      </w:r>
    </w:p>
    <w:p w14:paraId="00BAA12A" w14:textId="77777777" w:rsidR="00C01093" w:rsidRDefault="00C01093">
      <w:pPr>
        <w:spacing w:line="259" w:lineRule="auto"/>
        <w:jc w:val="both"/>
        <w:rPr>
          <w:rFonts w:eastAsiaTheme="minorHAnsi"/>
          <w:sz w:val="22"/>
          <w:szCs w:val="22"/>
          <w:lang w:val="sr-Latn-ME"/>
        </w:rPr>
      </w:pPr>
    </w:p>
    <w:p w14:paraId="674E44E1" w14:textId="3CCC3283"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 xml:space="preserve">U Ispitivanju </w:t>
      </w:r>
      <w:r w:rsidR="007D6250" w:rsidRPr="00D264F7">
        <w:rPr>
          <w:rFonts w:eastAsiaTheme="minorHAnsi"/>
          <w:sz w:val="22"/>
          <w:szCs w:val="22"/>
          <w:lang w:val="sr-Latn-ME"/>
        </w:rPr>
        <w:t>CONFIRM</w:t>
      </w:r>
      <w:r w:rsidRPr="00D264F7">
        <w:rPr>
          <w:rFonts w:eastAsiaTheme="minorHAnsi"/>
          <w:sz w:val="22"/>
          <w:szCs w:val="22"/>
          <w:lang w:val="sr-Latn-ME"/>
        </w:rPr>
        <w:t>, pacijenti su imali sljedeće medijane osnovnih parametara</w:t>
      </w:r>
      <w:r w:rsidR="009A601A" w:rsidRPr="00D264F7">
        <w:rPr>
          <w:rFonts w:eastAsiaTheme="minorHAnsi"/>
          <w:sz w:val="22"/>
          <w:szCs w:val="22"/>
          <w:lang w:val="sr-Latn-ME"/>
        </w:rPr>
        <w:t xml:space="preserve"> na početku ispitivanja</w:t>
      </w:r>
      <w:r w:rsidRPr="00D264F7">
        <w:rPr>
          <w:rFonts w:eastAsiaTheme="minorHAnsi"/>
          <w:sz w:val="22"/>
          <w:szCs w:val="22"/>
          <w:lang w:val="sr-Latn-ME"/>
        </w:rPr>
        <w:t>: starost 37 godina, trajanje bolesti 6,0 godina, i EDSS bodova 2,5. Osim toga, 17 % pacijenata imalo je EDSS bodova &gt; 3,5</w:t>
      </w:r>
      <w:r w:rsidRPr="00D264F7">
        <w:rPr>
          <w:rFonts w:eastAsia="MS Mincho"/>
          <w:sz w:val="22"/>
          <w:szCs w:val="22"/>
          <w:lang w:val="sr-Latn-ME"/>
        </w:rPr>
        <w:t>,</w:t>
      </w:r>
      <w:r w:rsidRPr="00D264F7">
        <w:rPr>
          <w:rFonts w:eastAsiaTheme="minorHAnsi"/>
          <w:sz w:val="22"/>
          <w:szCs w:val="22"/>
          <w:lang w:val="sr-Latn-ME"/>
        </w:rPr>
        <w:t xml:space="preserve"> 32 % je imalo ≥ 2 relapsa u prethodnoj godini, a 30% je prethodno dobilo drugo odobreno liječenje za MS. U MRI kohorti, 45% pacijenata koji su ušli u ispitivanje imali su Gd + lezije na početku (srednja vrijednost broja Gd + lezija 2,4).</w:t>
      </w:r>
    </w:p>
    <w:p w14:paraId="40B55550" w14:textId="77777777" w:rsidR="00BD782B" w:rsidRPr="00D264F7" w:rsidRDefault="00BD782B">
      <w:pPr>
        <w:spacing w:line="259" w:lineRule="auto"/>
        <w:jc w:val="both"/>
        <w:rPr>
          <w:rFonts w:eastAsiaTheme="minorHAnsi"/>
          <w:sz w:val="22"/>
          <w:szCs w:val="22"/>
          <w:lang w:val="sr-Latn-ME"/>
        </w:rPr>
      </w:pPr>
    </w:p>
    <w:p w14:paraId="0796B548" w14:textId="2E741F9E" w:rsidR="00BD782B" w:rsidRDefault="00BD782B">
      <w:pPr>
        <w:spacing w:line="259" w:lineRule="auto"/>
        <w:jc w:val="both"/>
        <w:rPr>
          <w:rFonts w:eastAsiaTheme="minorHAnsi"/>
          <w:sz w:val="22"/>
          <w:szCs w:val="22"/>
          <w:lang w:val="sr-Latn-ME"/>
        </w:rPr>
      </w:pPr>
      <w:r w:rsidRPr="00D264F7">
        <w:rPr>
          <w:rFonts w:eastAsiaTheme="minorHAnsi"/>
          <w:sz w:val="22"/>
          <w:szCs w:val="22"/>
          <w:lang w:val="sr-Latn-ME"/>
        </w:rPr>
        <w:t xml:space="preserve">U poređenju sa placebom, </w:t>
      </w:r>
      <w:r w:rsidR="009D5BFC" w:rsidRPr="00D264F7">
        <w:rPr>
          <w:rFonts w:eastAsiaTheme="minorHAnsi"/>
          <w:sz w:val="22"/>
          <w:szCs w:val="22"/>
          <w:lang w:val="sr-Latn-ME"/>
        </w:rPr>
        <w:t xml:space="preserve">pacijenti </w:t>
      </w:r>
      <w:r w:rsidRPr="00D264F7">
        <w:rPr>
          <w:rFonts w:eastAsiaTheme="minorHAnsi"/>
          <w:sz w:val="22"/>
          <w:szCs w:val="22"/>
          <w:lang w:val="sr-Latn-ME"/>
        </w:rPr>
        <w:t>liječeni lijekom Tecfidera</w:t>
      </w:r>
      <w:r w:rsidRPr="00D264F7">
        <w:rPr>
          <w:rFonts w:eastAsiaTheme="minorHAnsi"/>
          <w:color w:val="000000"/>
          <w:sz w:val="22"/>
          <w:szCs w:val="22"/>
          <w:lang w:val="sr-Latn-ME"/>
        </w:rPr>
        <w:t xml:space="preserve"> imali su klinički značajno i </w:t>
      </w:r>
      <w:r w:rsidRPr="00D264F7">
        <w:rPr>
          <w:rFonts w:eastAsiaTheme="minorHAnsi"/>
          <w:sz w:val="22"/>
          <w:szCs w:val="22"/>
          <w:lang w:val="sr-Latn-ME"/>
        </w:rPr>
        <w:t>statistički značajno smanjenje:</w:t>
      </w:r>
      <w:r w:rsidR="009D5BFC" w:rsidRPr="00D264F7">
        <w:rPr>
          <w:rFonts w:eastAsiaTheme="minorHAnsi"/>
          <w:sz w:val="22"/>
          <w:szCs w:val="22"/>
          <w:lang w:val="sr-Latn-ME"/>
        </w:rPr>
        <w:t xml:space="preserve"> primarnog parametara praćenja ispitivanja DEFINE,</w:t>
      </w:r>
      <w:r w:rsidRPr="00D264F7">
        <w:rPr>
          <w:rFonts w:eastAsiaTheme="minorHAnsi"/>
          <w:sz w:val="22"/>
          <w:szCs w:val="22"/>
          <w:lang w:val="sr-Latn-ME"/>
        </w:rPr>
        <w:t xml:space="preserve"> ud</w:t>
      </w:r>
      <w:r w:rsidR="009D5BFC" w:rsidRPr="00D264F7">
        <w:rPr>
          <w:rFonts w:eastAsiaTheme="minorHAnsi"/>
          <w:sz w:val="22"/>
          <w:szCs w:val="22"/>
          <w:lang w:val="sr-Latn-ME"/>
        </w:rPr>
        <w:t>io</w:t>
      </w:r>
      <w:r w:rsidRPr="00D264F7">
        <w:rPr>
          <w:rFonts w:eastAsiaTheme="minorHAnsi"/>
          <w:sz w:val="22"/>
          <w:szCs w:val="22"/>
          <w:lang w:val="sr-Latn-ME"/>
        </w:rPr>
        <w:t xml:space="preserve"> </w:t>
      </w:r>
      <w:r w:rsidR="009D5BFC" w:rsidRPr="00D264F7">
        <w:rPr>
          <w:rFonts w:eastAsiaTheme="minorHAnsi"/>
          <w:sz w:val="22"/>
          <w:szCs w:val="22"/>
          <w:lang w:val="sr-Latn-ME"/>
        </w:rPr>
        <w:t xml:space="preserve">pacijenata </w:t>
      </w:r>
      <w:r w:rsidRPr="00D264F7">
        <w:rPr>
          <w:rFonts w:eastAsiaTheme="minorHAnsi"/>
          <w:sz w:val="22"/>
          <w:szCs w:val="22"/>
          <w:lang w:val="sr-Latn-ME"/>
        </w:rPr>
        <w:t xml:space="preserve">s relapsom unutar 2 godine </w:t>
      </w:r>
      <w:r w:rsidR="009D5BFC" w:rsidRPr="00D264F7">
        <w:rPr>
          <w:rFonts w:eastAsiaTheme="minorHAnsi"/>
          <w:sz w:val="22"/>
          <w:szCs w:val="22"/>
          <w:lang w:val="sr-Latn-ME"/>
        </w:rPr>
        <w:t>,</w:t>
      </w:r>
      <w:r w:rsidRPr="00D264F7">
        <w:rPr>
          <w:rFonts w:eastAsiaTheme="minorHAnsi"/>
          <w:sz w:val="22"/>
          <w:szCs w:val="22"/>
          <w:lang w:val="sr-Latn-ME"/>
        </w:rPr>
        <w:t xml:space="preserve"> i </w:t>
      </w:r>
      <w:r w:rsidR="009D5BFC" w:rsidRPr="00D264F7">
        <w:rPr>
          <w:rFonts w:eastAsiaTheme="minorHAnsi"/>
          <w:sz w:val="22"/>
          <w:szCs w:val="22"/>
          <w:lang w:val="sr-Latn-ME"/>
        </w:rPr>
        <w:t xml:space="preserve">primarnog parametra praćenja ispitivanja CONFIRM, </w:t>
      </w:r>
      <w:r w:rsidRPr="00D264F7">
        <w:rPr>
          <w:rFonts w:eastAsiaTheme="minorHAnsi"/>
          <w:sz w:val="22"/>
          <w:szCs w:val="22"/>
          <w:lang w:val="sr-Latn-ME"/>
        </w:rPr>
        <w:t>godišnje stopa relapsa</w:t>
      </w:r>
      <w:r w:rsidR="009D5BFC" w:rsidRPr="00D264F7">
        <w:rPr>
          <w:rFonts w:eastAsiaTheme="minorHAnsi"/>
          <w:sz w:val="22"/>
          <w:szCs w:val="22"/>
          <w:lang w:val="sr-Latn-ME"/>
        </w:rPr>
        <w:t xml:space="preserve"> (engl. </w:t>
      </w:r>
      <w:r w:rsidR="009D5BFC" w:rsidRPr="00D264F7">
        <w:rPr>
          <w:rFonts w:eastAsiaTheme="minorHAnsi"/>
          <w:i/>
          <w:sz w:val="22"/>
          <w:szCs w:val="22"/>
          <w:lang w:val="sr-Latn-ME"/>
        </w:rPr>
        <w:t>annualised relapse rate</w:t>
      </w:r>
      <w:r w:rsidR="009D5BFC" w:rsidRPr="00D264F7">
        <w:rPr>
          <w:rFonts w:eastAsiaTheme="minorHAnsi"/>
          <w:sz w:val="22"/>
          <w:szCs w:val="22"/>
          <w:lang w:val="sr-Latn-ME"/>
        </w:rPr>
        <w:t>, ARR)</w:t>
      </w:r>
      <w:r w:rsidRPr="00D264F7">
        <w:rPr>
          <w:rFonts w:eastAsiaTheme="minorHAnsi"/>
          <w:sz w:val="22"/>
          <w:szCs w:val="22"/>
          <w:lang w:val="sr-Latn-ME"/>
        </w:rPr>
        <w:t xml:space="preserve"> </w:t>
      </w:r>
      <w:r w:rsidR="009D5BFC" w:rsidRPr="00D264F7">
        <w:rPr>
          <w:rFonts w:eastAsiaTheme="minorHAnsi"/>
          <w:sz w:val="22"/>
          <w:szCs w:val="22"/>
          <w:lang w:val="sr-Latn-ME"/>
        </w:rPr>
        <w:t xml:space="preserve">unutar </w:t>
      </w:r>
      <w:r w:rsidRPr="00D264F7">
        <w:rPr>
          <w:rFonts w:eastAsiaTheme="minorHAnsi"/>
          <w:sz w:val="22"/>
          <w:szCs w:val="22"/>
          <w:lang w:val="sr-Latn-ME"/>
        </w:rPr>
        <w:t xml:space="preserve">2 godine. </w:t>
      </w:r>
    </w:p>
    <w:p w14:paraId="37EDCB36" w14:textId="77777777" w:rsidR="000831AA" w:rsidRPr="00D264F7" w:rsidRDefault="000831AA">
      <w:pPr>
        <w:spacing w:line="259" w:lineRule="auto"/>
        <w:jc w:val="both"/>
        <w:rPr>
          <w:rFonts w:eastAsiaTheme="minorHAnsi"/>
          <w:sz w:val="22"/>
          <w:szCs w:val="22"/>
          <w:lang w:val="sr-Latn-ME"/>
        </w:rPr>
      </w:pPr>
    </w:p>
    <w:p w14:paraId="35A90213" w14:textId="110EAC72" w:rsidR="00BD782B" w:rsidRPr="003C1A3B" w:rsidRDefault="009A2A94" w:rsidP="001F758F">
      <w:pPr>
        <w:jc w:val="both"/>
        <w:rPr>
          <w:rFonts w:eastAsiaTheme="minorHAnsi"/>
          <w:b/>
          <w:sz w:val="22"/>
          <w:szCs w:val="22"/>
          <w:lang w:val="sr-Latn-ME"/>
        </w:rPr>
      </w:pPr>
      <w:r w:rsidRPr="003C1A3B">
        <w:rPr>
          <w:rFonts w:eastAsiaTheme="minorHAnsi"/>
          <w:b/>
          <w:sz w:val="22"/>
          <w:szCs w:val="22"/>
          <w:lang w:val="sr-Latn-ME"/>
        </w:rPr>
        <w:t>Tablica 4: Kliničke mjere ishoda i mjere ishoda MR snimanja u ispitivanjima DEFINE i CONFIRM</w:t>
      </w:r>
    </w:p>
    <w:p w14:paraId="2FC15404" w14:textId="05BDB3CE" w:rsidR="00BD782B" w:rsidRPr="00D264F7" w:rsidRDefault="00BD782B" w:rsidP="001C605F">
      <w:pPr>
        <w:spacing w:after="160" w:line="259" w:lineRule="auto"/>
        <w:jc w:val="both"/>
        <w:rPr>
          <w:rFonts w:eastAsiaTheme="minorHAnsi"/>
          <w:sz w:val="22"/>
          <w:szCs w:val="22"/>
          <w:lang w:val="sr-Latn-M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63"/>
        <w:gridCol w:w="1730"/>
        <w:gridCol w:w="963"/>
        <w:gridCol w:w="1872"/>
        <w:gridCol w:w="1304"/>
      </w:tblGrid>
      <w:tr w:rsidR="00BD782B" w:rsidRPr="00692979" w14:paraId="2B68E80C" w14:textId="77777777" w:rsidTr="00671D7E">
        <w:trPr>
          <w:cantSplit/>
          <w:tblHeader/>
        </w:trPr>
        <w:tc>
          <w:tcPr>
            <w:tcW w:w="2694" w:type="dxa"/>
            <w:tcBorders>
              <w:top w:val="single" w:sz="4" w:space="0" w:color="auto"/>
              <w:left w:val="single" w:sz="4" w:space="0" w:color="auto"/>
              <w:bottom w:val="single" w:sz="4" w:space="0" w:color="auto"/>
              <w:right w:val="single" w:sz="4" w:space="0" w:color="auto"/>
            </w:tcBorders>
          </w:tcPr>
          <w:p w14:paraId="26C0F160" w14:textId="77777777" w:rsidR="00BD782B" w:rsidRPr="00D264F7" w:rsidRDefault="00BD782B">
            <w:pPr>
              <w:jc w:val="both"/>
              <w:rPr>
                <w:rFonts w:eastAsiaTheme="minorHAnsi"/>
                <w:b/>
                <w:sz w:val="22"/>
                <w:szCs w:val="22"/>
                <w:lang w:val="sr-Latn-ME"/>
              </w:rPr>
            </w:pPr>
          </w:p>
        </w:tc>
        <w:tc>
          <w:tcPr>
            <w:tcW w:w="2693" w:type="dxa"/>
            <w:gridSpan w:val="2"/>
            <w:tcBorders>
              <w:top w:val="single" w:sz="4" w:space="0" w:color="auto"/>
              <w:left w:val="single" w:sz="4" w:space="0" w:color="auto"/>
              <w:bottom w:val="single" w:sz="4" w:space="0" w:color="auto"/>
              <w:right w:val="single" w:sz="4" w:space="0" w:color="auto"/>
            </w:tcBorders>
          </w:tcPr>
          <w:p w14:paraId="52F8B422" w14:textId="77777777" w:rsidR="00BD782B" w:rsidRPr="00D264F7" w:rsidRDefault="00BD782B">
            <w:pPr>
              <w:jc w:val="both"/>
              <w:rPr>
                <w:rFonts w:eastAsiaTheme="minorHAnsi"/>
                <w:b/>
                <w:sz w:val="22"/>
                <w:szCs w:val="22"/>
                <w:lang w:val="sr-Latn-ME"/>
              </w:rPr>
            </w:pPr>
            <w:r w:rsidRPr="00D264F7">
              <w:rPr>
                <w:rFonts w:eastAsiaTheme="minorHAnsi"/>
                <w:b/>
                <w:sz w:val="22"/>
                <w:szCs w:val="22"/>
                <w:lang w:val="sr-Latn-ME"/>
              </w:rPr>
              <w:t>Ispitivanje 1 (DEFINE)</w:t>
            </w:r>
          </w:p>
        </w:tc>
        <w:tc>
          <w:tcPr>
            <w:tcW w:w="4139" w:type="dxa"/>
            <w:gridSpan w:val="3"/>
            <w:tcBorders>
              <w:top w:val="single" w:sz="4" w:space="0" w:color="auto"/>
              <w:left w:val="single" w:sz="4" w:space="0" w:color="auto"/>
              <w:bottom w:val="single" w:sz="4" w:space="0" w:color="auto"/>
              <w:right w:val="single" w:sz="4" w:space="0" w:color="auto"/>
            </w:tcBorders>
          </w:tcPr>
          <w:p w14:paraId="2A236866" w14:textId="77777777" w:rsidR="00BD782B" w:rsidRPr="00D264F7" w:rsidRDefault="00BD782B">
            <w:pPr>
              <w:jc w:val="both"/>
              <w:rPr>
                <w:rFonts w:eastAsiaTheme="minorHAnsi"/>
                <w:b/>
                <w:sz w:val="22"/>
                <w:szCs w:val="22"/>
                <w:lang w:val="sr-Latn-ME"/>
              </w:rPr>
            </w:pPr>
            <w:r w:rsidRPr="00D264F7">
              <w:rPr>
                <w:rFonts w:eastAsiaTheme="minorHAnsi"/>
                <w:b/>
                <w:sz w:val="22"/>
                <w:szCs w:val="22"/>
                <w:lang w:val="sr-Latn-ME"/>
              </w:rPr>
              <w:t>Ispitivanje 2 (CONFIRM)</w:t>
            </w:r>
          </w:p>
        </w:tc>
      </w:tr>
      <w:tr w:rsidR="00BD782B" w:rsidRPr="00692979" w14:paraId="7FD0CAD3"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blHeader/>
        </w:trPr>
        <w:tc>
          <w:tcPr>
            <w:tcW w:w="2694" w:type="dxa"/>
            <w:tcBorders>
              <w:top w:val="single" w:sz="4" w:space="0" w:color="000000"/>
              <w:left w:val="single" w:sz="4" w:space="0" w:color="000000"/>
              <w:bottom w:val="single" w:sz="4" w:space="0" w:color="000000"/>
            </w:tcBorders>
            <w:shd w:val="clear" w:color="auto" w:fill="auto"/>
          </w:tcPr>
          <w:p w14:paraId="729AE9C6" w14:textId="77777777" w:rsidR="00BD782B" w:rsidRPr="00D264F7" w:rsidRDefault="00BD782B" w:rsidP="001C605F">
            <w:pPr>
              <w:snapToGrid w:val="0"/>
              <w:jc w:val="both"/>
              <w:rPr>
                <w:rFonts w:eastAsiaTheme="minorHAnsi"/>
                <w:b/>
                <w:sz w:val="22"/>
                <w:szCs w:val="22"/>
                <w:lang w:val="sr-Latn-ME"/>
              </w:rPr>
            </w:pPr>
          </w:p>
        </w:tc>
        <w:tc>
          <w:tcPr>
            <w:tcW w:w="963" w:type="dxa"/>
            <w:tcBorders>
              <w:top w:val="single" w:sz="4" w:space="0" w:color="000000"/>
              <w:left w:val="single" w:sz="4" w:space="0" w:color="000000"/>
              <w:bottom w:val="single" w:sz="4" w:space="0" w:color="000000"/>
            </w:tcBorders>
            <w:shd w:val="clear" w:color="auto" w:fill="auto"/>
          </w:tcPr>
          <w:p w14:paraId="3C0753D4" w14:textId="77777777" w:rsidR="00BD782B" w:rsidRPr="00D264F7" w:rsidRDefault="00BD782B">
            <w:pPr>
              <w:snapToGrid w:val="0"/>
              <w:jc w:val="both"/>
              <w:rPr>
                <w:rFonts w:eastAsiaTheme="minorHAnsi"/>
                <w:b/>
                <w:sz w:val="22"/>
                <w:szCs w:val="22"/>
                <w:lang w:val="sr-Latn-ME"/>
              </w:rPr>
            </w:pPr>
            <w:r w:rsidRPr="00D264F7">
              <w:rPr>
                <w:rFonts w:eastAsiaTheme="minorHAnsi"/>
                <w:b/>
                <w:sz w:val="22"/>
                <w:szCs w:val="22"/>
                <w:lang w:val="sr-Latn-ME"/>
              </w:rPr>
              <w:t>Placebo</w:t>
            </w:r>
          </w:p>
        </w:tc>
        <w:tc>
          <w:tcPr>
            <w:tcW w:w="1730" w:type="dxa"/>
            <w:tcBorders>
              <w:top w:val="single" w:sz="4" w:space="0" w:color="000000"/>
              <w:left w:val="single" w:sz="4" w:space="0" w:color="000000"/>
              <w:bottom w:val="single" w:sz="4" w:space="0" w:color="000000"/>
            </w:tcBorders>
            <w:shd w:val="clear" w:color="auto" w:fill="auto"/>
          </w:tcPr>
          <w:p w14:paraId="0027D272" w14:textId="77777777" w:rsidR="00BD782B" w:rsidRPr="00D264F7" w:rsidRDefault="00BD782B">
            <w:pPr>
              <w:snapToGrid w:val="0"/>
              <w:jc w:val="both"/>
              <w:rPr>
                <w:rFonts w:eastAsiaTheme="minorHAnsi"/>
                <w:b/>
                <w:sz w:val="22"/>
                <w:szCs w:val="22"/>
                <w:lang w:val="sr-Latn-ME"/>
              </w:rPr>
            </w:pPr>
            <w:r w:rsidRPr="00D264F7">
              <w:rPr>
                <w:rFonts w:eastAsiaTheme="minorHAnsi"/>
                <w:b/>
                <w:sz w:val="22"/>
                <w:szCs w:val="22"/>
                <w:lang w:val="sr-Latn-ME"/>
              </w:rPr>
              <w:t>Tecfidera</w:t>
            </w:r>
          </w:p>
          <w:p w14:paraId="12C11E82" w14:textId="77777777" w:rsidR="00BD782B" w:rsidRPr="00D264F7" w:rsidRDefault="00BD782B">
            <w:pPr>
              <w:jc w:val="both"/>
              <w:rPr>
                <w:rFonts w:eastAsiaTheme="minorHAnsi"/>
                <w:b/>
                <w:sz w:val="22"/>
                <w:szCs w:val="22"/>
                <w:lang w:val="sr-Latn-ME"/>
              </w:rPr>
            </w:pPr>
            <w:r w:rsidRPr="00D264F7">
              <w:rPr>
                <w:rFonts w:eastAsiaTheme="minorHAnsi"/>
                <w:b/>
                <w:sz w:val="22"/>
                <w:szCs w:val="22"/>
                <w:lang w:val="sr-Latn-ME"/>
              </w:rPr>
              <w:t xml:space="preserve">240 mg </w:t>
            </w:r>
          </w:p>
          <w:p w14:paraId="15BC1275" w14:textId="77777777" w:rsidR="00BD782B" w:rsidRPr="00D264F7" w:rsidRDefault="00BD782B">
            <w:pPr>
              <w:ind w:right="-108"/>
              <w:jc w:val="both"/>
              <w:rPr>
                <w:rFonts w:eastAsiaTheme="minorHAnsi"/>
                <w:b/>
                <w:sz w:val="22"/>
                <w:szCs w:val="22"/>
                <w:lang w:val="sr-Latn-ME"/>
              </w:rPr>
            </w:pPr>
            <w:r w:rsidRPr="00D264F7">
              <w:rPr>
                <w:rFonts w:eastAsiaTheme="minorHAnsi"/>
                <w:b/>
                <w:sz w:val="22"/>
                <w:szCs w:val="22"/>
                <w:lang w:val="sr-Latn-ME"/>
              </w:rPr>
              <w:t>dva puta na dan</w:t>
            </w:r>
          </w:p>
        </w:tc>
        <w:tc>
          <w:tcPr>
            <w:tcW w:w="963" w:type="dxa"/>
            <w:tcBorders>
              <w:top w:val="single" w:sz="4" w:space="0" w:color="000000"/>
              <w:left w:val="single" w:sz="4" w:space="0" w:color="000000"/>
              <w:bottom w:val="single" w:sz="4" w:space="0" w:color="000000"/>
            </w:tcBorders>
            <w:shd w:val="clear" w:color="auto" w:fill="auto"/>
          </w:tcPr>
          <w:p w14:paraId="6B1CE14F" w14:textId="77777777" w:rsidR="00BD782B" w:rsidRPr="00D264F7" w:rsidRDefault="00BD782B">
            <w:pPr>
              <w:snapToGrid w:val="0"/>
              <w:jc w:val="both"/>
              <w:rPr>
                <w:rFonts w:eastAsiaTheme="minorHAnsi"/>
                <w:b/>
                <w:sz w:val="22"/>
                <w:szCs w:val="22"/>
                <w:lang w:val="sr-Latn-ME"/>
              </w:rPr>
            </w:pPr>
            <w:r w:rsidRPr="00D264F7">
              <w:rPr>
                <w:rFonts w:eastAsiaTheme="minorHAnsi"/>
                <w:b/>
                <w:sz w:val="22"/>
                <w:szCs w:val="22"/>
                <w:lang w:val="sr-Latn-ME"/>
              </w:rPr>
              <w:t>Placebo</w:t>
            </w:r>
          </w:p>
        </w:tc>
        <w:tc>
          <w:tcPr>
            <w:tcW w:w="1872" w:type="dxa"/>
            <w:tcBorders>
              <w:top w:val="single" w:sz="4" w:space="0" w:color="000000"/>
              <w:left w:val="single" w:sz="4" w:space="0" w:color="000000"/>
              <w:bottom w:val="single" w:sz="4" w:space="0" w:color="000000"/>
            </w:tcBorders>
            <w:shd w:val="clear" w:color="auto" w:fill="auto"/>
          </w:tcPr>
          <w:p w14:paraId="4DFC78AF" w14:textId="77777777" w:rsidR="00BD782B" w:rsidRPr="00D264F7" w:rsidRDefault="00BD782B">
            <w:pPr>
              <w:snapToGrid w:val="0"/>
              <w:jc w:val="both"/>
              <w:rPr>
                <w:rFonts w:eastAsiaTheme="minorHAnsi"/>
                <w:b/>
                <w:sz w:val="22"/>
                <w:szCs w:val="22"/>
                <w:lang w:val="sr-Latn-ME"/>
              </w:rPr>
            </w:pPr>
            <w:r w:rsidRPr="00D264F7">
              <w:rPr>
                <w:rFonts w:eastAsiaTheme="minorHAnsi"/>
                <w:b/>
                <w:sz w:val="22"/>
                <w:szCs w:val="22"/>
                <w:lang w:val="sr-Latn-ME"/>
              </w:rPr>
              <w:t>Tecfidera</w:t>
            </w:r>
          </w:p>
          <w:p w14:paraId="69AEADA9" w14:textId="77777777" w:rsidR="00BD782B" w:rsidRPr="00D264F7" w:rsidRDefault="00BD782B">
            <w:pPr>
              <w:jc w:val="both"/>
              <w:rPr>
                <w:rFonts w:eastAsiaTheme="minorHAnsi"/>
                <w:b/>
                <w:sz w:val="22"/>
                <w:szCs w:val="22"/>
                <w:lang w:val="sr-Latn-ME"/>
              </w:rPr>
            </w:pPr>
            <w:r w:rsidRPr="00D264F7">
              <w:rPr>
                <w:rFonts w:eastAsiaTheme="minorHAnsi"/>
                <w:b/>
                <w:sz w:val="22"/>
                <w:szCs w:val="22"/>
                <w:lang w:val="sr-Latn-ME"/>
              </w:rPr>
              <w:t>240 mg</w:t>
            </w:r>
          </w:p>
          <w:p w14:paraId="6D490F4C" w14:textId="77777777" w:rsidR="00BD782B" w:rsidRPr="00D264F7" w:rsidRDefault="00BD782B">
            <w:pPr>
              <w:jc w:val="both"/>
              <w:rPr>
                <w:rFonts w:eastAsiaTheme="minorHAnsi"/>
                <w:b/>
                <w:sz w:val="22"/>
                <w:szCs w:val="22"/>
                <w:lang w:val="sr-Latn-ME"/>
              </w:rPr>
            </w:pPr>
            <w:r w:rsidRPr="00D264F7">
              <w:rPr>
                <w:rFonts w:eastAsiaTheme="minorHAnsi"/>
                <w:b/>
                <w:sz w:val="22"/>
                <w:szCs w:val="22"/>
                <w:lang w:val="sr-Latn-ME"/>
              </w:rPr>
              <w:t>dva puta na dan</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DCCDD2" w14:textId="77777777" w:rsidR="00BD782B" w:rsidRPr="00D264F7" w:rsidRDefault="00BD782B">
            <w:pPr>
              <w:snapToGrid w:val="0"/>
              <w:ind w:right="-108"/>
              <w:jc w:val="both"/>
              <w:rPr>
                <w:rFonts w:eastAsiaTheme="minorHAnsi"/>
                <w:b/>
                <w:sz w:val="22"/>
                <w:szCs w:val="22"/>
                <w:lang w:val="sr-Latn-ME"/>
              </w:rPr>
            </w:pPr>
            <w:r w:rsidRPr="00D264F7">
              <w:rPr>
                <w:rFonts w:eastAsiaTheme="minorHAnsi"/>
                <w:b/>
                <w:sz w:val="22"/>
                <w:szCs w:val="22"/>
                <w:lang w:val="sr-Latn-ME"/>
              </w:rPr>
              <w:t>Glatiramer acetat</w:t>
            </w:r>
          </w:p>
        </w:tc>
      </w:tr>
      <w:tr w:rsidR="00BD782B" w:rsidRPr="00692979" w14:paraId="02CDD83D"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0802032E" w14:textId="77777777" w:rsidR="00BD782B" w:rsidRPr="00D264F7" w:rsidRDefault="00BD782B" w:rsidP="001C605F">
            <w:pPr>
              <w:snapToGrid w:val="0"/>
              <w:jc w:val="both"/>
              <w:rPr>
                <w:rFonts w:eastAsiaTheme="minorHAnsi"/>
                <w:b/>
                <w:sz w:val="22"/>
                <w:szCs w:val="22"/>
                <w:vertAlign w:val="superscript"/>
                <w:lang w:val="sr-Latn-ME"/>
              </w:rPr>
            </w:pPr>
            <w:r w:rsidRPr="00D264F7">
              <w:rPr>
                <w:rFonts w:eastAsiaTheme="minorHAnsi"/>
                <w:b/>
                <w:sz w:val="22"/>
                <w:szCs w:val="22"/>
                <w:lang w:val="sr-Latn-ME"/>
              </w:rPr>
              <w:t>Kliničke mjere ishoda</w:t>
            </w:r>
            <w:r w:rsidRPr="00D264F7">
              <w:rPr>
                <w:rFonts w:eastAsiaTheme="minorHAnsi"/>
                <w:b/>
                <w:sz w:val="22"/>
                <w:szCs w:val="22"/>
                <w:vertAlign w:val="superscript"/>
                <w:lang w:val="sr-Latn-ME"/>
              </w:rPr>
              <w:t>a</w:t>
            </w:r>
          </w:p>
        </w:tc>
        <w:tc>
          <w:tcPr>
            <w:tcW w:w="963" w:type="dxa"/>
            <w:tcBorders>
              <w:top w:val="single" w:sz="4" w:space="0" w:color="000000"/>
              <w:bottom w:val="single" w:sz="4" w:space="0" w:color="000000"/>
            </w:tcBorders>
            <w:shd w:val="clear" w:color="auto" w:fill="auto"/>
          </w:tcPr>
          <w:p w14:paraId="5040BF5F"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bottom w:val="single" w:sz="4" w:space="0" w:color="000000"/>
            </w:tcBorders>
            <w:shd w:val="clear" w:color="auto" w:fill="auto"/>
          </w:tcPr>
          <w:p w14:paraId="5EFA7A2C" w14:textId="77777777" w:rsidR="00BD782B" w:rsidRPr="00D264F7" w:rsidRDefault="00BD782B">
            <w:pPr>
              <w:snapToGrid w:val="0"/>
              <w:jc w:val="both"/>
              <w:rPr>
                <w:rFonts w:eastAsiaTheme="minorHAnsi"/>
                <w:sz w:val="22"/>
                <w:szCs w:val="22"/>
                <w:lang w:val="sr-Latn-ME"/>
              </w:rPr>
            </w:pPr>
          </w:p>
        </w:tc>
        <w:tc>
          <w:tcPr>
            <w:tcW w:w="963" w:type="dxa"/>
            <w:tcBorders>
              <w:top w:val="single" w:sz="4" w:space="0" w:color="000000"/>
              <w:bottom w:val="single" w:sz="4" w:space="0" w:color="000000"/>
            </w:tcBorders>
            <w:shd w:val="clear" w:color="auto" w:fill="auto"/>
          </w:tcPr>
          <w:p w14:paraId="4A2DE1F2"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bottom w:val="single" w:sz="4" w:space="0" w:color="000000"/>
            </w:tcBorders>
            <w:shd w:val="clear" w:color="auto" w:fill="auto"/>
          </w:tcPr>
          <w:p w14:paraId="5D41D355" w14:textId="77777777" w:rsidR="00BD782B" w:rsidRPr="00D264F7" w:rsidRDefault="00BD782B">
            <w:pPr>
              <w:snapToGrid w:val="0"/>
              <w:jc w:val="both"/>
              <w:rPr>
                <w:rFonts w:eastAsiaTheme="minorHAnsi"/>
                <w:sz w:val="22"/>
                <w:szCs w:val="22"/>
                <w:lang w:val="sr-Latn-ME"/>
              </w:rPr>
            </w:pPr>
          </w:p>
        </w:tc>
        <w:tc>
          <w:tcPr>
            <w:tcW w:w="1304" w:type="dxa"/>
            <w:tcBorders>
              <w:top w:val="single" w:sz="4" w:space="0" w:color="000000"/>
              <w:bottom w:val="single" w:sz="4" w:space="0" w:color="000000"/>
              <w:right w:val="single" w:sz="4" w:space="0" w:color="000000"/>
            </w:tcBorders>
            <w:shd w:val="clear" w:color="auto" w:fill="auto"/>
          </w:tcPr>
          <w:p w14:paraId="41555C97" w14:textId="77777777" w:rsidR="00BD782B" w:rsidRPr="00D264F7" w:rsidRDefault="00BD782B">
            <w:pPr>
              <w:snapToGrid w:val="0"/>
              <w:jc w:val="both"/>
              <w:rPr>
                <w:rFonts w:eastAsiaTheme="minorHAnsi"/>
                <w:sz w:val="22"/>
                <w:szCs w:val="22"/>
                <w:lang w:val="sr-Latn-ME"/>
              </w:rPr>
            </w:pPr>
          </w:p>
        </w:tc>
      </w:tr>
      <w:tr w:rsidR="00BD782B" w:rsidRPr="00692979" w14:paraId="1486EC91"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2DED454C" w14:textId="6FB0D428"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 xml:space="preserve">Broj </w:t>
            </w:r>
            <w:r w:rsidR="00970663" w:rsidRPr="00D264F7">
              <w:rPr>
                <w:rFonts w:eastAsiaTheme="minorHAnsi"/>
                <w:sz w:val="22"/>
                <w:szCs w:val="22"/>
                <w:lang w:val="sr-Latn-ME"/>
              </w:rPr>
              <w:t>pacijenata</w:t>
            </w:r>
          </w:p>
        </w:tc>
        <w:tc>
          <w:tcPr>
            <w:tcW w:w="963" w:type="dxa"/>
            <w:tcBorders>
              <w:top w:val="single" w:sz="4" w:space="0" w:color="000000"/>
              <w:left w:val="single" w:sz="4" w:space="0" w:color="000000"/>
              <w:bottom w:val="single" w:sz="4" w:space="0" w:color="000000"/>
            </w:tcBorders>
            <w:shd w:val="clear" w:color="auto" w:fill="auto"/>
          </w:tcPr>
          <w:p w14:paraId="028843BD"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408</w:t>
            </w:r>
          </w:p>
        </w:tc>
        <w:tc>
          <w:tcPr>
            <w:tcW w:w="1730" w:type="dxa"/>
            <w:tcBorders>
              <w:top w:val="single" w:sz="4" w:space="0" w:color="000000"/>
              <w:left w:val="single" w:sz="4" w:space="0" w:color="000000"/>
              <w:bottom w:val="single" w:sz="4" w:space="0" w:color="000000"/>
            </w:tcBorders>
            <w:shd w:val="clear" w:color="auto" w:fill="auto"/>
          </w:tcPr>
          <w:p w14:paraId="409B6CF2"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410</w:t>
            </w:r>
          </w:p>
        </w:tc>
        <w:tc>
          <w:tcPr>
            <w:tcW w:w="963" w:type="dxa"/>
            <w:tcBorders>
              <w:top w:val="single" w:sz="4" w:space="0" w:color="000000"/>
              <w:left w:val="single" w:sz="4" w:space="0" w:color="000000"/>
              <w:bottom w:val="single" w:sz="4" w:space="0" w:color="000000"/>
            </w:tcBorders>
            <w:shd w:val="clear" w:color="auto" w:fill="auto"/>
          </w:tcPr>
          <w:p w14:paraId="25AF5E1A"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363</w:t>
            </w:r>
          </w:p>
        </w:tc>
        <w:tc>
          <w:tcPr>
            <w:tcW w:w="1872" w:type="dxa"/>
            <w:tcBorders>
              <w:top w:val="single" w:sz="4" w:space="0" w:color="000000"/>
              <w:left w:val="single" w:sz="4" w:space="0" w:color="000000"/>
              <w:bottom w:val="single" w:sz="4" w:space="0" w:color="000000"/>
            </w:tcBorders>
            <w:shd w:val="clear" w:color="auto" w:fill="auto"/>
          </w:tcPr>
          <w:p w14:paraId="53B9E249"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359</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D2AF85E"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350</w:t>
            </w:r>
          </w:p>
        </w:tc>
      </w:tr>
      <w:tr w:rsidR="00BD782B" w:rsidRPr="00692979" w14:paraId="55DAF810"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172E35EB"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Godišnja stopa relapsa</w:t>
            </w:r>
          </w:p>
        </w:tc>
        <w:tc>
          <w:tcPr>
            <w:tcW w:w="963" w:type="dxa"/>
            <w:tcBorders>
              <w:top w:val="single" w:sz="4" w:space="0" w:color="000000"/>
              <w:left w:val="single" w:sz="4" w:space="0" w:color="000000"/>
              <w:bottom w:val="single" w:sz="4" w:space="0" w:color="000000"/>
            </w:tcBorders>
            <w:shd w:val="clear" w:color="auto" w:fill="auto"/>
          </w:tcPr>
          <w:p w14:paraId="62D73789"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0,364</w:t>
            </w:r>
          </w:p>
        </w:tc>
        <w:tc>
          <w:tcPr>
            <w:tcW w:w="1730" w:type="dxa"/>
            <w:tcBorders>
              <w:top w:val="single" w:sz="4" w:space="0" w:color="000000"/>
              <w:left w:val="single" w:sz="4" w:space="0" w:color="000000"/>
              <w:bottom w:val="single" w:sz="4" w:space="0" w:color="000000"/>
            </w:tcBorders>
            <w:shd w:val="clear" w:color="auto" w:fill="auto"/>
          </w:tcPr>
          <w:p w14:paraId="757A6153"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0,172***</w:t>
            </w:r>
          </w:p>
        </w:tc>
        <w:tc>
          <w:tcPr>
            <w:tcW w:w="963" w:type="dxa"/>
            <w:tcBorders>
              <w:top w:val="single" w:sz="4" w:space="0" w:color="000000"/>
              <w:left w:val="single" w:sz="4" w:space="0" w:color="000000"/>
              <w:bottom w:val="single" w:sz="4" w:space="0" w:color="000000"/>
            </w:tcBorders>
            <w:shd w:val="clear" w:color="auto" w:fill="auto"/>
          </w:tcPr>
          <w:p w14:paraId="72F4B632"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0,401</w:t>
            </w:r>
          </w:p>
        </w:tc>
        <w:tc>
          <w:tcPr>
            <w:tcW w:w="1872" w:type="dxa"/>
            <w:tcBorders>
              <w:top w:val="single" w:sz="4" w:space="0" w:color="000000"/>
              <w:left w:val="single" w:sz="4" w:space="0" w:color="000000"/>
              <w:bottom w:val="single" w:sz="4" w:space="0" w:color="000000"/>
            </w:tcBorders>
            <w:shd w:val="clear" w:color="auto" w:fill="auto"/>
          </w:tcPr>
          <w:p w14:paraId="30FE7E8C"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0,224***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49875E"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0,286*</w:t>
            </w:r>
          </w:p>
        </w:tc>
      </w:tr>
      <w:tr w:rsidR="00BD782B" w:rsidRPr="00692979" w14:paraId="327C9C48"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4C6B72A0" w14:textId="77777777" w:rsidR="00BD782B" w:rsidRPr="00D264F7" w:rsidRDefault="00BD782B" w:rsidP="001C605F">
            <w:pPr>
              <w:snapToGrid w:val="0"/>
              <w:ind w:left="567"/>
              <w:jc w:val="both"/>
              <w:rPr>
                <w:rFonts w:eastAsiaTheme="minorHAnsi"/>
                <w:sz w:val="22"/>
                <w:szCs w:val="22"/>
                <w:lang w:val="sr-Latn-ME"/>
              </w:rPr>
            </w:pPr>
            <w:r w:rsidRPr="00D264F7">
              <w:rPr>
                <w:rFonts w:eastAsiaTheme="minorHAnsi"/>
                <w:sz w:val="22"/>
                <w:szCs w:val="22"/>
                <w:lang w:val="sr-Latn-ME"/>
              </w:rPr>
              <w:t xml:space="preserve">Odnos stopa </w:t>
            </w:r>
          </w:p>
          <w:p w14:paraId="511944C8" w14:textId="77777777" w:rsidR="00BD782B" w:rsidRPr="00D264F7" w:rsidRDefault="00BD782B">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517092A2"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66B632DB"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 xml:space="preserve">0,47 </w:t>
            </w:r>
          </w:p>
          <w:p w14:paraId="76C9EBE0"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(0,37, 0,61)</w:t>
            </w:r>
          </w:p>
        </w:tc>
        <w:tc>
          <w:tcPr>
            <w:tcW w:w="963" w:type="dxa"/>
            <w:tcBorders>
              <w:top w:val="single" w:sz="4" w:space="0" w:color="000000"/>
              <w:left w:val="single" w:sz="4" w:space="0" w:color="000000"/>
              <w:bottom w:val="single" w:sz="4" w:space="0" w:color="000000"/>
            </w:tcBorders>
            <w:shd w:val="clear" w:color="auto" w:fill="auto"/>
          </w:tcPr>
          <w:p w14:paraId="3B6AD4EE"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0C777F50"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0,56</w:t>
            </w:r>
          </w:p>
          <w:p w14:paraId="5F5BD329"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(0,42, 0,74)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0C773"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0,71</w:t>
            </w:r>
          </w:p>
          <w:p w14:paraId="5EB074C5"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(0,55, 0,93)</w:t>
            </w:r>
          </w:p>
        </w:tc>
      </w:tr>
      <w:tr w:rsidR="00BD782B" w:rsidRPr="00692979" w14:paraId="28F576FB"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71845384"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lastRenderedPageBreak/>
              <w:t>Udio u relapsu</w:t>
            </w:r>
          </w:p>
        </w:tc>
        <w:tc>
          <w:tcPr>
            <w:tcW w:w="963" w:type="dxa"/>
            <w:tcBorders>
              <w:top w:val="single" w:sz="4" w:space="0" w:color="000000"/>
              <w:left w:val="single" w:sz="4" w:space="0" w:color="000000"/>
              <w:bottom w:val="single" w:sz="4" w:space="0" w:color="000000"/>
            </w:tcBorders>
            <w:shd w:val="clear" w:color="auto" w:fill="auto"/>
          </w:tcPr>
          <w:p w14:paraId="7C84D53A"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0,461</w:t>
            </w:r>
          </w:p>
        </w:tc>
        <w:tc>
          <w:tcPr>
            <w:tcW w:w="1730" w:type="dxa"/>
            <w:tcBorders>
              <w:top w:val="single" w:sz="4" w:space="0" w:color="000000"/>
              <w:left w:val="single" w:sz="4" w:space="0" w:color="000000"/>
              <w:bottom w:val="single" w:sz="4" w:space="0" w:color="000000"/>
            </w:tcBorders>
            <w:shd w:val="clear" w:color="auto" w:fill="auto"/>
          </w:tcPr>
          <w:p w14:paraId="0EF51007"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0,270***</w:t>
            </w:r>
          </w:p>
        </w:tc>
        <w:tc>
          <w:tcPr>
            <w:tcW w:w="963" w:type="dxa"/>
            <w:tcBorders>
              <w:top w:val="single" w:sz="4" w:space="0" w:color="000000"/>
              <w:left w:val="single" w:sz="4" w:space="0" w:color="000000"/>
              <w:bottom w:val="single" w:sz="4" w:space="0" w:color="000000"/>
            </w:tcBorders>
            <w:shd w:val="clear" w:color="auto" w:fill="auto"/>
          </w:tcPr>
          <w:p w14:paraId="6A749D0E"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0,410</w:t>
            </w:r>
          </w:p>
        </w:tc>
        <w:tc>
          <w:tcPr>
            <w:tcW w:w="1872" w:type="dxa"/>
            <w:tcBorders>
              <w:top w:val="single" w:sz="4" w:space="0" w:color="000000"/>
              <w:left w:val="single" w:sz="4" w:space="0" w:color="000000"/>
              <w:bottom w:val="single" w:sz="4" w:space="0" w:color="000000"/>
            </w:tcBorders>
            <w:shd w:val="clear" w:color="auto" w:fill="auto"/>
          </w:tcPr>
          <w:p w14:paraId="16BA0AFD"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0,291**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444AC6"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0,321**</w:t>
            </w:r>
          </w:p>
        </w:tc>
      </w:tr>
      <w:tr w:rsidR="00BD782B" w:rsidRPr="00692979" w14:paraId="12F6DAD7"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6BE24822" w14:textId="77777777" w:rsidR="00BD782B" w:rsidRPr="00D264F7" w:rsidRDefault="00BD782B" w:rsidP="001C605F">
            <w:pPr>
              <w:snapToGrid w:val="0"/>
              <w:ind w:left="567"/>
              <w:jc w:val="both"/>
              <w:rPr>
                <w:rFonts w:eastAsiaTheme="minorHAnsi"/>
                <w:sz w:val="22"/>
                <w:szCs w:val="22"/>
                <w:lang w:val="sr-Latn-ME"/>
              </w:rPr>
            </w:pPr>
            <w:r w:rsidRPr="00D264F7">
              <w:rPr>
                <w:rFonts w:eastAsiaTheme="minorHAnsi"/>
                <w:sz w:val="22"/>
                <w:szCs w:val="22"/>
                <w:lang w:val="sr-Latn-ME"/>
              </w:rPr>
              <w:t>Odnos rizika</w:t>
            </w:r>
          </w:p>
          <w:p w14:paraId="62F62F18" w14:textId="77777777" w:rsidR="00BD782B" w:rsidRPr="00D264F7" w:rsidRDefault="00BD782B">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1979978B"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68B77195"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 xml:space="preserve">0,51 </w:t>
            </w:r>
          </w:p>
          <w:p w14:paraId="608D42E9"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(0,40, 0,66)</w:t>
            </w:r>
          </w:p>
        </w:tc>
        <w:tc>
          <w:tcPr>
            <w:tcW w:w="963" w:type="dxa"/>
            <w:tcBorders>
              <w:top w:val="single" w:sz="4" w:space="0" w:color="000000"/>
              <w:left w:val="single" w:sz="4" w:space="0" w:color="000000"/>
              <w:bottom w:val="single" w:sz="4" w:space="0" w:color="000000"/>
            </w:tcBorders>
            <w:shd w:val="clear" w:color="auto" w:fill="auto"/>
          </w:tcPr>
          <w:p w14:paraId="264CC00F"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6970CA00"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0,66</w:t>
            </w:r>
          </w:p>
          <w:p w14:paraId="270257F0"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(0,51, 0,86)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F46848"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0,71</w:t>
            </w:r>
          </w:p>
          <w:p w14:paraId="7E5160AD"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(0,55, 0,92)</w:t>
            </w:r>
          </w:p>
        </w:tc>
      </w:tr>
      <w:tr w:rsidR="00BD782B" w:rsidRPr="00692979" w14:paraId="0CE1C693"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233625AD" w14:textId="77777777" w:rsidR="00BD782B" w:rsidRPr="00D264F7" w:rsidRDefault="00BD782B" w:rsidP="001F758F">
            <w:pPr>
              <w:snapToGrid w:val="0"/>
              <w:jc w:val="both"/>
              <w:rPr>
                <w:rFonts w:eastAsiaTheme="minorHAnsi"/>
                <w:sz w:val="22"/>
                <w:szCs w:val="22"/>
                <w:lang w:val="sr-Latn-ME"/>
              </w:rPr>
            </w:pPr>
            <w:r w:rsidRPr="00D264F7">
              <w:rPr>
                <w:rFonts w:eastAsiaTheme="minorHAnsi"/>
                <w:sz w:val="22"/>
                <w:szCs w:val="22"/>
                <w:lang w:val="sr-Latn-ME"/>
              </w:rPr>
              <w:t>Udio progresije onesposobljenosti potvrđeno nakon 12 sedmica</w:t>
            </w:r>
          </w:p>
        </w:tc>
        <w:tc>
          <w:tcPr>
            <w:tcW w:w="963" w:type="dxa"/>
            <w:tcBorders>
              <w:top w:val="single" w:sz="4" w:space="0" w:color="000000"/>
              <w:left w:val="single" w:sz="4" w:space="0" w:color="000000"/>
              <w:bottom w:val="single" w:sz="4" w:space="0" w:color="000000"/>
            </w:tcBorders>
            <w:shd w:val="clear" w:color="auto" w:fill="auto"/>
          </w:tcPr>
          <w:p w14:paraId="6F5020D5"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0,271</w:t>
            </w:r>
          </w:p>
        </w:tc>
        <w:tc>
          <w:tcPr>
            <w:tcW w:w="1730" w:type="dxa"/>
            <w:tcBorders>
              <w:top w:val="single" w:sz="4" w:space="0" w:color="000000"/>
              <w:left w:val="single" w:sz="4" w:space="0" w:color="000000"/>
              <w:bottom w:val="single" w:sz="4" w:space="0" w:color="000000"/>
            </w:tcBorders>
            <w:shd w:val="clear" w:color="auto" w:fill="auto"/>
          </w:tcPr>
          <w:p w14:paraId="7008740D"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0,164**</w:t>
            </w:r>
          </w:p>
        </w:tc>
        <w:tc>
          <w:tcPr>
            <w:tcW w:w="963" w:type="dxa"/>
            <w:tcBorders>
              <w:top w:val="single" w:sz="4" w:space="0" w:color="000000"/>
              <w:left w:val="single" w:sz="4" w:space="0" w:color="000000"/>
              <w:bottom w:val="single" w:sz="4" w:space="0" w:color="000000"/>
            </w:tcBorders>
            <w:shd w:val="clear" w:color="auto" w:fill="auto"/>
          </w:tcPr>
          <w:p w14:paraId="0F590D7D"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0,169</w:t>
            </w:r>
          </w:p>
        </w:tc>
        <w:tc>
          <w:tcPr>
            <w:tcW w:w="1872" w:type="dxa"/>
            <w:tcBorders>
              <w:top w:val="single" w:sz="4" w:space="0" w:color="000000"/>
              <w:left w:val="single" w:sz="4" w:space="0" w:color="000000"/>
              <w:bottom w:val="single" w:sz="4" w:space="0" w:color="000000"/>
            </w:tcBorders>
            <w:shd w:val="clear" w:color="auto" w:fill="auto"/>
          </w:tcPr>
          <w:p w14:paraId="66672423" w14:textId="77777777" w:rsidR="00BD782B" w:rsidRPr="00D264F7" w:rsidRDefault="00BD782B">
            <w:pPr>
              <w:snapToGrid w:val="0"/>
              <w:jc w:val="both"/>
              <w:rPr>
                <w:rFonts w:eastAsiaTheme="minorHAnsi"/>
                <w:sz w:val="22"/>
                <w:szCs w:val="22"/>
                <w:vertAlign w:val="superscript"/>
                <w:lang w:val="sr-Latn-ME"/>
              </w:rPr>
            </w:pPr>
            <w:r w:rsidRPr="00D264F7">
              <w:rPr>
                <w:rFonts w:eastAsiaTheme="minorHAnsi"/>
                <w:sz w:val="22"/>
                <w:szCs w:val="22"/>
                <w:lang w:val="sr-Latn-ME"/>
              </w:rPr>
              <w:t>0,128</w:t>
            </w:r>
            <w:r w:rsidRPr="00D264F7">
              <w:rPr>
                <w:rFonts w:eastAsiaTheme="minorHAnsi"/>
                <w:sz w:val="22"/>
                <w:szCs w:val="22"/>
                <w:vertAlign w:val="superscript"/>
                <w:lang w:val="sr-Latn-ME"/>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DE2479B" w14:textId="77777777" w:rsidR="00BD782B" w:rsidRPr="00D264F7" w:rsidRDefault="00BD782B">
            <w:pPr>
              <w:snapToGrid w:val="0"/>
              <w:jc w:val="both"/>
              <w:rPr>
                <w:rFonts w:eastAsiaTheme="minorHAnsi"/>
                <w:sz w:val="22"/>
                <w:szCs w:val="22"/>
                <w:vertAlign w:val="superscript"/>
                <w:lang w:val="sr-Latn-ME"/>
              </w:rPr>
            </w:pPr>
            <w:r w:rsidRPr="00D264F7">
              <w:rPr>
                <w:rFonts w:eastAsiaTheme="minorHAnsi"/>
                <w:sz w:val="22"/>
                <w:szCs w:val="22"/>
                <w:lang w:val="sr-Latn-ME"/>
              </w:rPr>
              <w:t>0,156</w:t>
            </w:r>
            <w:r w:rsidRPr="00D264F7">
              <w:rPr>
                <w:rFonts w:eastAsiaTheme="minorHAnsi"/>
                <w:sz w:val="22"/>
                <w:szCs w:val="22"/>
                <w:vertAlign w:val="superscript"/>
                <w:lang w:val="sr-Latn-ME"/>
              </w:rPr>
              <w:t>#</w:t>
            </w:r>
          </w:p>
        </w:tc>
      </w:tr>
      <w:tr w:rsidR="00BD782B" w:rsidRPr="00692979" w14:paraId="524755C7"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4C8BB0E5" w14:textId="77777777" w:rsidR="00BD782B" w:rsidRPr="00D264F7" w:rsidRDefault="00BD782B" w:rsidP="001C605F">
            <w:pPr>
              <w:snapToGrid w:val="0"/>
              <w:ind w:left="567"/>
              <w:jc w:val="both"/>
              <w:rPr>
                <w:rFonts w:eastAsiaTheme="minorHAnsi"/>
                <w:sz w:val="22"/>
                <w:szCs w:val="22"/>
                <w:lang w:val="sr-Latn-ME"/>
              </w:rPr>
            </w:pPr>
            <w:r w:rsidRPr="00D264F7">
              <w:rPr>
                <w:rFonts w:eastAsiaTheme="minorHAnsi"/>
                <w:sz w:val="22"/>
                <w:szCs w:val="22"/>
                <w:lang w:val="sr-Latn-ME"/>
              </w:rPr>
              <w:t>Odnos rizika</w:t>
            </w:r>
          </w:p>
          <w:p w14:paraId="260E2393" w14:textId="77777777" w:rsidR="00BD782B" w:rsidRPr="00D264F7" w:rsidRDefault="00BD782B">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077784D7"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0F2FD5B2"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0,62</w:t>
            </w:r>
          </w:p>
          <w:p w14:paraId="3925B9DF"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(0,44, 0,87)</w:t>
            </w:r>
          </w:p>
        </w:tc>
        <w:tc>
          <w:tcPr>
            <w:tcW w:w="963" w:type="dxa"/>
            <w:tcBorders>
              <w:top w:val="single" w:sz="4" w:space="0" w:color="000000"/>
              <w:left w:val="single" w:sz="4" w:space="0" w:color="000000"/>
              <w:bottom w:val="single" w:sz="4" w:space="0" w:color="000000"/>
            </w:tcBorders>
            <w:shd w:val="clear" w:color="auto" w:fill="auto"/>
          </w:tcPr>
          <w:p w14:paraId="7758804B"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193EA6BF"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 xml:space="preserve">0,79 </w:t>
            </w:r>
          </w:p>
          <w:p w14:paraId="138FBDA3"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(0,52, 1,19)</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6ADE4D"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0,93</w:t>
            </w:r>
          </w:p>
          <w:p w14:paraId="7ADED968"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(0,63, 1,37)</w:t>
            </w:r>
          </w:p>
        </w:tc>
      </w:tr>
      <w:tr w:rsidR="00BD782B" w:rsidRPr="00692979" w14:paraId="051BB973"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15B29BD2" w14:textId="77777777" w:rsidR="00BD782B" w:rsidRPr="00D264F7" w:rsidRDefault="00BD782B" w:rsidP="001F758F">
            <w:pPr>
              <w:snapToGrid w:val="0"/>
              <w:jc w:val="both"/>
              <w:rPr>
                <w:rFonts w:eastAsiaTheme="minorHAnsi"/>
                <w:sz w:val="22"/>
                <w:szCs w:val="22"/>
                <w:lang w:val="sr-Latn-ME"/>
              </w:rPr>
            </w:pPr>
            <w:r w:rsidRPr="00D264F7">
              <w:rPr>
                <w:rFonts w:eastAsiaTheme="minorHAnsi"/>
                <w:sz w:val="22"/>
                <w:szCs w:val="22"/>
                <w:lang w:val="sr-Latn-ME"/>
              </w:rPr>
              <w:t xml:space="preserve">Udio progresije onesposobljenosti potvrđeno nakon 24 sedmice </w:t>
            </w:r>
          </w:p>
        </w:tc>
        <w:tc>
          <w:tcPr>
            <w:tcW w:w="963" w:type="dxa"/>
            <w:tcBorders>
              <w:top w:val="single" w:sz="4" w:space="0" w:color="000000"/>
              <w:left w:val="single" w:sz="4" w:space="0" w:color="000000"/>
              <w:bottom w:val="single" w:sz="4" w:space="0" w:color="000000"/>
            </w:tcBorders>
            <w:shd w:val="clear" w:color="auto" w:fill="auto"/>
          </w:tcPr>
          <w:p w14:paraId="001089AE"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0,169</w:t>
            </w:r>
          </w:p>
        </w:tc>
        <w:tc>
          <w:tcPr>
            <w:tcW w:w="1730" w:type="dxa"/>
            <w:tcBorders>
              <w:top w:val="single" w:sz="4" w:space="0" w:color="000000"/>
              <w:left w:val="single" w:sz="4" w:space="0" w:color="000000"/>
              <w:bottom w:val="single" w:sz="4" w:space="0" w:color="000000"/>
            </w:tcBorders>
            <w:shd w:val="clear" w:color="auto" w:fill="auto"/>
          </w:tcPr>
          <w:p w14:paraId="157E8924"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0,128#</w:t>
            </w:r>
          </w:p>
        </w:tc>
        <w:tc>
          <w:tcPr>
            <w:tcW w:w="963" w:type="dxa"/>
            <w:tcBorders>
              <w:top w:val="single" w:sz="4" w:space="0" w:color="000000"/>
              <w:left w:val="single" w:sz="4" w:space="0" w:color="000000"/>
              <w:bottom w:val="single" w:sz="4" w:space="0" w:color="000000"/>
            </w:tcBorders>
            <w:shd w:val="clear" w:color="auto" w:fill="auto"/>
          </w:tcPr>
          <w:p w14:paraId="325FF502"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0,125</w:t>
            </w:r>
          </w:p>
        </w:tc>
        <w:tc>
          <w:tcPr>
            <w:tcW w:w="1872" w:type="dxa"/>
            <w:tcBorders>
              <w:top w:val="single" w:sz="4" w:space="0" w:color="000000"/>
              <w:left w:val="single" w:sz="4" w:space="0" w:color="000000"/>
              <w:bottom w:val="single" w:sz="4" w:space="0" w:color="000000"/>
            </w:tcBorders>
            <w:shd w:val="clear" w:color="auto" w:fill="auto"/>
          </w:tcPr>
          <w:p w14:paraId="26472770"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0,078#</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C0AF8F"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0,108#</w:t>
            </w:r>
          </w:p>
        </w:tc>
      </w:tr>
      <w:tr w:rsidR="00BD782B" w:rsidRPr="00692979" w14:paraId="6FB32E22"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13A6229C" w14:textId="77777777" w:rsidR="00BD782B" w:rsidRPr="00D264F7" w:rsidRDefault="00BD782B" w:rsidP="001C605F">
            <w:pPr>
              <w:snapToGrid w:val="0"/>
              <w:ind w:left="567"/>
              <w:jc w:val="both"/>
              <w:rPr>
                <w:rFonts w:eastAsiaTheme="minorHAnsi"/>
                <w:sz w:val="22"/>
                <w:szCs w:val="22"/>
                <w:lang w:val="sr-Latn-ME"/>
              </w:rPr>
            </w:pPr>
            <w:r w:rsidRPr="00D264F7">
              <w:rPr>
                <w:rFonts w:eastAsiaTheme="minorHAnsi"/>
                <w:sz w:val="22"/>
                <w:szCs w:val="22"/>
                <w:lang w:val="sr-Latn-ME"/>
              </w:rPr>
              <w:t>Odnos rizika</w:t>
            </w:r>
          </w:p>
          <w:p w14:paraId="325B8CA6" w14:textId="7D813737" w:rsidR="00BD782B" w:rsidRPr="00D264F7" w:rsidRDefault="00BD782B">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7D2F813C"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227DDF33"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 xml:space="preserve">0,77 </w:t>
            </w:r>
            <w:r w:rsidRPr="00D264F7">
              <w:rPr>
                <w:rFonts w:eastAsiaTheme="minorHAnsi"/>
                <w:sz w:val="22"/>
                <w:szCs w:val="22"/>
                <w:lang w:val="sr-Latn-ME"/>
              </w:rPr>
              <w:br/>
              <w:t>(0,52, 1,14)</w:t>
            </w:r>
          </w:p>
        </w:tc>
        <w:tc>
          <w:tcPr>
            <w:tcW w:w="963" w:type="dxa"/>
            <w:tcBorders>
              <w:top w:val="single" w:sz="4" w:space="0" w:color="000000"/>
              <w:left w:val="single" w:sz="4" w:space="0" w:color="000000"/>
              <w:bottom w:val="single" w:sz="4" w:space="0" w:color="000000"/>
            </w:tcBorders>
            <w:shd w:val="clear" w:color="auto" w:fill="auto"/>
          </w:tcPr>
          <w:p w14:paraId="51E85981"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59BE899F"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0,62</w:t>
            </w:r>
            <w:r w:rsidRPr="00D264F7">
              <w:rPr>
                <w:rFonts w:eastAsiaTheme="minorHAnsi"/>
                <w:sz w:val="22"/>
                <w:szCs w:val="22"/>
                <w:lang w:val="sr-Latn-ME"/>
              </w:rPr>
              <w:br/>
              <w:t>(0,37, 1,03)</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DB277D8"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0,87</w:t>
            </w:r>
          </w:p>
          <w:p w14:paraId="42AC8691"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(0,55, 1,38)</w:t>
            </w:r>
          </w:p>
        </w:tc>
      </w:tr>
      <w:tr w:rsidR="00BD782B" w:rsidRPr="00692979" w14:paraId="11E8C95F"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47FDB6CD" w14:textId="77777777" w:rsidR="00BD782B" w:rsidRPr="00D264F7" w:rsidRDefault="00BD782B" w:rsidP="001C605F">
            <w:pPr>
              <w:snapToGrid w:val="0"/>
              <w:jc w:val="both"/>
              <w:rPr>
                <w:rFonts w:eastAsiaTheme="minorHAnsi"/>
                <w:sz w:val="22"/>
                <w:szCs w:val="22"/>
                <w:vertAlign w:val="superscript"/>
                <w:lang w:val="sr-Latn-ME"/>
              </w:rPr>
            </w:pPr>
            <w:r w:rsidRPr="00D264F7">
              <w:rPr>
                <w:rFonts w:eastAsiaTheme="minorHAnsi"/>
                <w:b/>
                <w:sz w:val="22"/>
                <w:szCs w:val="22"/>
                <w:lang w:val="sr-Latn-ME"/>
              </w:rPr>
              <w:t>Mjere ishoda MRI</w:t>
            </w:r>
            <w:r w:rsidRPr="00D264F7">
              <w:rPr>
                <w:rFonts w:eastAsiaTheme="minorHAnsi"/>
                <w:sz w:val="22"/>
                <w:szCs w:val="22"/>
                <w:vertAlign w:val="superscript"/>
                <w:lang w:val="sr-Latn-ME"/>
              </w:rPr>
              <w:t>b</w:t>
            </w:r>
          </w:p>
        </w:tc>
        <w:tc>
          <w:tcPr>
            <w:tcW w:w="963" w:type="dxa"/>
            <w:tcBorders>
              <w:top w:val="single" w:sz="4" w:space="0" w:color="000000"/>
              <w:bottom w:val="single" w:sz="4" w:space="0" w:color="000000"/>
            </w:tcBorders>
            <w:shd w:val="clear" w:color="auto" w:fill="auto"/>
          </w:tcPr>
          <w:p w14:paraId="6B5AB867"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bottom w:val="single" w:sz="4" w:space="0" w:color="000000"/>
            </w:tcBorders>
            <w:shd w:val="clear" w:color="auto" w:fill="auto"/>
          </w:tcPr>
          <w:p w14:paraId="126130C5" w14:textId="77777777" w:rsidR="00BD782B" w:rsidRPr="00D264F7" w:rsidRDefault="00BD782B">
            <w:pPr>
              <w:snapToGrid w:val="0"/>
              <w:jc w:val="both"/>
              <w:rPr>
                <w:rFonts w:eastAsiaTheme="minorHAnsi"/>
                <w:sz w:val="22"/>
                <w:szCs w:val="22"/>
                <w:lang w:val="sr-Latn-ME"/>
              </w:rPr>
            </w:pPr>
          </w:p>
        </w:tc>
        <w:tc>
          <w:tcPr>
            <w:tcW w:w="963" w:type="dxa"/>
            <w:tcBorders>
              <w:top w:val="single" w:sz="4" w:space="0" w:color="000000"/>
              <w:left w:val="single" w:sz="4" w:space="0" w:color="000000"/>
              <w:bottom w:val="single" w:sz="4" w:space="0" w:color="000000"/>
            </w:tcBorders>
            <w:shd w:val="clear" w:color="auto" w:fill="auto"/>
          </w:tcPr>
          <w:p w14:paraId="3598B807"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bottom w:val="single" w:sz="4" w:space="0" w:color="000000"/>
            </w:tcBorders>
            <w:shd w:val="clear" w:color="auto" w:fill="auto"/>
          </w:tcPr>
          <w:p w14:paraId="3ED8C2CE" w14:textId="77777777" w:rsidR="00BD782B" w:rsidRPr="00D264F7" w:rsidRDefault="00BD782B">
            <w:pPr>
              <w:snapToGrid w:val="0"/>
              <w:jc w:val="both"/>
              <w:rPr>
                <w:rFonts w:eastAsiaTheme="minorHAnsi"/>
                <w:sz w:val="22"/>
                <w:szCs w:val="22"/>
                <w:lang w:val="sr-Latn-ME"/>
              </w:rPr>
            </w:pPr>
          </w:p>
        </w:tc>
        <w:tc>
          <w:tcPr>
            <w:tcW w:w="1304" w:type="dxa"/>
            <w:tcBorders>
              <w:top w:val="single" w:sz="4" w:space="0" w:color="000000"/>
              <w:bottom w:val="single" w:sz="4" w:space="0" w:color="000000"/>
              <w:right w:val="single" w:sz="4" w:space="0" w:color="000000"/>
            </w:tcBorders>
            <w:shd w:val="clear" w:color="auto" w:fill="auto"/>
          </w:tcPr>
          <w:p w14:paraId="1CB61FA5" w14:textId="77777777" w:rsidR="00BD782B" w:rsidRPr="00D264F7" w:rsidRDefault="00BD782B">
            <w:pPr>
              <w:snapToGrid w:val="0"/>
              <w:jc w:val="both"/>
              <w:rPr>
                <w:rFonts w:eastAsiaTheme="minorHAnsi"/>
                <w:sz w:val="22"/>
                <w:szCs w:val="22"/>
                <w:lang w:val="sr-Latn-ME"/>
              </w:rPr>
            </w:pPr>
          </w:p>
        </w:tc>
      </w:tr>
      <w:tr w:rsidR="00BD782B" w:rsidRPr="00692979" w14:paraId="1C5B9A94"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2A81FF7B" w14:textId="6DC7FB63"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 xml:space="preserve">Broj </w:t>
            </w:r>
            <w:r w:rsidR="00970663" w:rsidRPr="00D264F7">
              <w:rPr>
                <w:rFonts w:eastAsiaTheme="minorHAnsi"/>
                <w:sz w:val="22"/>
                <w:szCs w:val="22"/>
                <w:lang w:val="sr-Latn-ME"/>
              </w:rPr>
              <w:t>pacijenata</w:t>
            </w:r>
          </w:p>
        </w:tc>
        <w:tc>
          <w:tcPr>
            <w:tcW w:w="963" w:type="dxa"/>
            <w:tcBorders>
              <w:top w:val="single" w:sz="4" w:space="0" w:color="000000"/>
              <w:left w:val="single" w:sz="4" w:space="0" w:color="000000"/>
              <w:bottom w:val="single" w:sz="4" w:space="0" w:color="000000"/>
            </w:tcBorders>
            <w:shd w:val="clear" w:color="auto" w:fill="auto"/>
          </w:tcPr>
          <w:p w14:paraId="5832CD7A"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165</w:t>
            </w:r>
          </w:p>
        </w:tc>
        <w:tc>
          <w:tcPr>
            <w:tcW w:w="1730" w:type="dxa"/>
            <w:tcBorders>
              <w:top w:val="single" w:sz="4" w:space="0" w:color="000000"/>
              <w:left w:val="single" w:sz="4" w:space="0" w:color="000000"/>
              <w:bottom w:val="single" w:sz="4" w:space="0" w:color="000000"/>
            </w:tcBorders>
            <w:shd w:val="clear" w:color="auto" w:fill="auto"/>
          </w:tcPr>
          <w:p w14:paraId="30019936"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152</w:t>
            </w:r>
          </w:p>
        </w:tc>
        <w:tc>
          <w:tcPr>
            <w:tcW w:w="963" w:type="dxa"/>
            <w:tcBorders>
              <w:top w:val="single" w:sz="4" w:space="0" w:color="000000"/>
              <w:left w:val="single" w:sz="4" w:space="0" w:color="000000"/>
              <w:bottom w:val="single" w:sz="4" w:space="0" w:color="000000"/>
            </w:tcBorders>
            <w:shd w:val="clear" w:color="auto" w:fill="auto"/>
          </w:tcPr>
          <w:p w14:paraId="485F88EE"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144</w:t>
            </w:r>
          </w:p>
        </w:tc>
        <w:tc>
          <w:tcPr>
            <w:tcW w:w="1872" w:type="dxa"/>
            <w:tcBorders>
              <w:top w:val="single" w:sz="4" w:space="0" w:color="000000"/>
              <w:left w:val="single" w:sz="4" w:space="0" w:color="000000"/>
              <w:bottom w:val="single" w:sz="4" w:space="0" w:color="000000"/>
            </w:tcBorders>
            <w:shd w:val="clear" w:color="auto" w:fill="auto"/>
          </w:tcPr>
          <w:p w14:paraId="1414E3E9"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147</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782622"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161</w:t>
            </w:r>
          </w:p>
        </w:tc>
      </w:tr>
      <w:tr w:rsidR="00BD782B" w:rsidRPr="00692979" w14:paraId="61F5EA6C"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0145EA66" w14:textId="77777777" w:rsidR="00BD782B" w:rsidRPr="00D264F7" w:rsidRDefault="00BD782B" w:rsidP="001F758F">
            <w:pPr>
              <w:snapToGrid w:val="0"/>
              <w:jc w:val="both"/>
              <w:rPr>
                <w:rFonts w:eastAsiaTheme="minorHAnsi"/>
                <w:sz w:val="22"/>
                <w:szCs w:val="22"/>
                <w:lang w:val="sr-Latn-ME"/>
              </w:rPr>
            </w:pPr>
            <w:r w:rsidRPr="00D264F7">
              <w:rPr>
                <w:rFonts w:eastAsiaTheme="minorHAnsi"/>
                <w:sz w:val="22"/>
                <w:szCs w:val="22"/>
                <w:lang w:val="sr-Latn-ME"/>
              </w:rPr>
              <w:t>Srednja vrijednost (medijana) broja novih ili novoproširenih T2 lezija tokom 2 godine</w:t>
            </w:r>
          </w:p>
        </w:tc>
        <w:tc>
          <w:tcPr>
            <w:tcW w:w="963" w:type="dxa"/>
            <w:tcBorders>
              <w:top w:val="single" w:sz="4" w:space="0" w:color="000000"/>
              <w:left w:val="single" w:sz="4" w:space="0" w:color="000000"/>
              <w:bottom w:val="single" w:sz="4" w:space="0" w:color="000000"/>
            </w:tcBorders>
            <w:shd w:val="clear" w:color="auto" w:fill="auto"/>
          </w:tcPr>
          <w:p w14:paraId="723E06BB"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16,5</w:t>
            </w:r>
          </w:p>
          <w:p w14:paraId="50953AEB"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(7,0)</w:t>
            </w:r>
          </w:p>
        </w:tc>
        <w:tc>
          <w:tcPr>
            <w:tcW w:w="1730" w:type="dxa"/>
            <w:tcBorders>
              <w:top w:val="single" w:sz="4" w:space="0" w:color="000000"/>
              <w:left w:val="single" w:sz="4" w:space="0" w:color="000000"/>
              <w:bottom w:val="single" w:sz="4" w:space="0" w:color="000000"/>
            </w:tcBorders>
            <w:shd w:val="clear" w:color="auto" w:fill="auto"/>
          </w:tcPr>
          <w:p w14:paraId="08022443"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3,2</w:t>
            </w:r>
          </w:p>
          <w:p w14:paraId="5535DE7A"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(1,0)***</w:t>
            </w:r>
          </w:p>
        </w:tc>
        <w:tc>
          <w:tcPr>
            <w:tcW w:w="963" w:type="dxa"/>
            <w:tcBorders>
              <w:top w:val="single" w:sz="4" w:space="0" w:color="000000"/>
              <w:left w:val="single" w:sz="4" w:space="0" w:color="000000"/>
              <w:bottom w:val="single" w:sz="4" w:space="0" w:color="000000"/>
            </w:tcBorders>
            <w:shd w:val="clear" w:color="auto" w:fill="auto"/>
          </w:tcPr>
          <w:p w14:paraId="0EA4DABF"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19,9</w:t>
            </w:r>
          </w:p>
          <w:p w14:paraId="65687E7E"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(11,0)</w:t>
            </w:r>
          </w:p>
        </w:tc>
        <w:tc>
          <w:tcPr>
            <w:tcW w:w="1872" w:type="dxa"/>
            <w:tcBorders>
              <w:top w:val="single" w:sz="4" w:space="0" w:color="000000"/>
              <w:left w:val="single" w:sz="4" w:space="0" w:color="000000"/>
              <w:bottom w:val="single" w:sz="4" w:space="0" w:color="000000"/>
            </w:tcBorders>
            <w:shd w:val="clear" w:color="auto" w:fill="auto"/>
          </w:tcPr>
          <w:p w14:paraId="74C98EF2"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5,7</w:t>
            </w:r>
          </w:p>
          <w:p w14:paraId="737DDEAF"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(2,0)***</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ED4DAAF"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9,6</w:t>
            </w:r>
          </w:p>
          <w:p w14:paraId="06D62FD6"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(3,0)***</w:t>
            </w:r>
          </w:p>
        </w:tc>
      </w:tr>
      <w:tr w:rsidR="00BD782B" w:rsidRPr="00692979" w14:paraId="56CCAB8A"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322F2E97" w14:textId="77777777" w:rsidR="00BD782B" w:rsidRPr="00D264F7" w:rsidRDefault="00BD782B" w:rsidP="001F758F">
            <w:pPr>
              <w:snapToGrid w:val="0"/>
              <w:ind w:left="567"/>
              <w:jc w:val="both"/>
              <w:rPr>
                <w:rFonts w:eastAsiaTheme="minorHAnsi"/>
                <w:sz w:val="22"/>
                <w:szCs w:val="22"/>
                <w:lang w:val="sr-Latn-ME"/>
              </w:rPr>
            </w:pPr>
            <w:r w:rsidRPr="00D264F7">
              <w:rPr>
                <w:rFonts w:eastAsiaTheme="minorHAnsi"/>
                <w:sz w:val="22"/>
                <w:szCs w:val="22"/>
                <w:lang w:val="sr-Latn-ME"/>
              </w:rPr>
              <w:t>Odnos srednje vrijednosti lezija</w:t>
            </w:r>
          </w:p>
          <w:p w14:paraId="571B2C46" w14:textId="77777777" w:rsidR="00BD782B" w:rsidRPr="00D264F7" w:rsidRDefault="00BD782B" w:rsidP="001F758F">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487E55F7" w14:textId="77777777" w:rsidR="00BD782B" w:rsidRPr="00D264F7" w:rsidRDefault="00BD782B" w:rsidP="001C605F">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31B4CB15"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0,15</w:t>
            </w:r>
          </w:p>
          <w:p w14:paraId="7FDFC31C"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(0,10, 0,23)</w:t>
            </w:r>
          </w:p>
        </w:tc>
        <w:tc>
          <w:tcPr>
            <w:tcW w:w="963" w:type="dxa"/>
            <w:tcBorders>
              <w:top w:val="single" w:sz="4" w:space="0" w:color="000000"/>
              <w:left w:val="single" w:sz="4" w:space="0" w:color="000000"/>
              <w:bottom w:val="single" w:sz="4" w:space="0" w:color="000000"/>
            </w:tcBorders>
            <w:shd w:val="clear" w:color="auto" w:fill="auto"/>
          </w:tcPr>
          <w:p w14:paraId="464D0B3F"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14B55651"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0,29</w:t>
            </w:r>
          </w:p>
          <w:p w14:paraId="0BBD2085"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(0,21, 0,41)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953F8B"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0,46</w:t>
            </w:r>
          </w:p>
          <w:p w14:paraId="05B39E4D"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(0,33, 0,63)</w:t>
            </w:r>
          </w:p>
        </w:tc>
      </w:tr>
      <w:tr w:rsidR="00BD782B" w:rsidRPr="00692979" w14:paraId="360FB138"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04DDB67C" w14:textId="77777777" w:rsidR="00BD782B" w:rsidRPr="00D264F7" w:rsidRDefault="00BD782B" w:rsidP="001F758F">
            <w:pPr>
              <w:snapToGrid w:val="0"/>
              <w:jc w:val="both"/>
              <w:rPr>
                <w:rFonts w:eastAsiaTheme="minorHAnsi"/>
                <w:sz w:val="22"/>
                <w:szCs w:val="22"/>
                <w:lang w:val="sr-Latn-ME"/>
              </w:rPr>
            </w:pPr>
            <w:r w:rsidRPr="00D264F7">
              <w:rPr>
                <w:rFonts w:eastAsiaTheme="minorHAnsi"/>
                <w:sz w:val="22"/>
                <w:szCs w:val="22"/>
                <w:lang w:val="sr-Latn-ME"/>
              </w:rPr>
              <w:t xml:space="preserve">Srednja vrijednost (medijana) broja Gd lezija nakon 2 godine </w:t>
            </w:r>
          </w:p>
        </w:tc>
        <w:tc>
          <w:tcPr>
            <w:tcW w:w="963" w:type="dxa"/>
            <w:tcBorders>
              <w:top w:val="single" w:sz="4" w:space="0" w:color="000000"/>
              <w:left w:val="single" w:sz="4" w:space="0" w:color="000000"/>
              <w:bottom w:val="single" w:sz="4" w:space="0" w:color="000000"/>
            </w:tcBorders>
            <w:shd w:val="clear" w:color="auto" w:fill="auto"/>
          </w:tcPr>
          <w:p w14:paraId="48AE755C"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1,8</w:t>
            </w:r>
          </w:p>
          <w:p w14:paraId="67D91ABE"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w:t>
            </w:r>
          </w:p>
        </w:tc>
        <w:tc>
          <w:tcPr>
            <w:tcW w:w="1730" w:type="dxa"/>
            <w:tcBorders>
              <w:top w:val="single" w:sz="4" w:space="0" w:color="000000"/>
              <w:left w:val="single" w:sz="4" w:space="0" w:color="000000"/>
              <w:bottom w:val="single" w:sz="4" w:space="0" w:color="000000"/>
            </w:tcBorders>
            <w:shd w:val="clear" w:color="auto" w:fill="auto"/>
          </w:tcPr>
          <w:p w14:paraId="0EE3E070"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w:t>
            </w:r>
          </w:p>
          <w:p w14:paraId="5725F45D"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 xml:space="preserve">(0)*** </w:t>
            </w:r>
          </w:p>
        </w:tc>
        <w:tc>
          <w:tcPr>
            <w:tcW w:w="963" w:type="dxa"/>
            <w:tcBorders>
              <w:top w:val="single" w:sz="4" w:space="0" w:color="000000"/>
              <w:left w:val="single" w:sz="4" w:space="0" w:color="000000"/>
              <w:bottom w:val="single" w:sz="4" w:space="0" w:color="000000"/>
            </w:tcBorders>
            <w:shd w:val="clear" w:color="auto" w:fill="auto"/>
          </w:tcPr>
          <w:p w14:paraId="661C7F28" w14:textId="77777777" w:rsidR="00BD782B" w:rsidRPr="00D264F7" w:rsidRDefault="00BD782B">
            <w:pPr>
              <w:tabs>
                <w:tab w:val="center" w:pos="833"/>
                <w:tab w:val="left" w:pos="1657"/>
              </w:tabs>
              <w:snapToGrid w:val="0"/>
              <w:jc w:val="both"/>
              <w:rPr>
                <w:rFonts w:eastAsiaTheme="minorHAnsi"/>
                <w:sz w:val="22"/>
                <w:szCs w:val="22"/>
                <w:lang w:val="sr-Latn-ME"/>
              </w:rPr>
            </w:pPr>
            <w:r w:rsidRPr="00D264F7">
              <w:rPr>
                <w:rFonts w:eastAsiaTheme="minorHAnsi"/>
                <w:sz w:val="22"/>
                <w:szCs w:val="22"/>
                <w:lang w:val="sr-Latn-ME"/>
              </w:rPr>
              <w:t>2,0</w:t>
            </w:r>
          </w:p>
          <w:p w14:paraId="6E470688" w14:textId="77777777" w:rsidR="00BD782B" w:rsidRPr="00D264F7" w:rsidRDefault="00BD782B">
            <w:pPr>
              <w:tabs>
                <w:tab w:val="center" w:pos="833"/>
                <w:tab w:val="left" w:pos="1657"/>
              </w:tabs>
              <w:jc w:val="both"/>
              <w:rPr>
                <w:rFonts w:eastAsiaTheme="minorHAnsi"/>
                <w:sz w:val="22"/>
                <w:szCs w:val="22"/>
                <w:lang w:val="sr-Latn-ME"/>
              </w:rPr>
            </w:pPr>
            <w:r w:rsidRPr="00D264F7">
              <w:rPr>
                <w:rFonts w:eastAsiaTheme="minorHAnsi"/>
                <w:sz w:val="22"/>
                <w:szCs w:val="22"/>
                <w:lang w:val="sr-Latn-ME"/>
              </w:rPr>
              <w:t>(0,0)</w:t>
            </w:r>
          </w:p>
        </w:tc>
        <w:tc>
          <w:tcPr>
            <w:tcW w:w="1872" w:type="dxa"/>
            <w:tcBorders>
              <w:top w:val="single" w:sz="4" w:space="0" w:color="000000"/>
              <w:left w:val="single" w:sz="4" w:space="0" w:color="000000"/>
              <w:bottom w:val="single" w:sz="4" w:space="0" w:color="000000"/>
            </w:tcBorders>
            <w:shd w:val="clear" w:color="auto" w:fill="auto"/>
          </w:tcPr>
          <w:p w14:paraId="35D289EA"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0,5</w:t>
            </w:r>
          </w:p>
          <w:p w14:paraId="6901AF3F"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 xml:space="preserve">(0,0)***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ACEA8B"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0,7</w:t>
            </w:r>
          </w:p>
          <w:p w14:paraId="04AE8422"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 xml:space="preserve">(0,0)** </w:t>
            </w:r>
          </w:p>
        </w:tc>
      </w:tr>
      <w:tr w:rsidR="00BD782B" w:rsidRPr="00692979" w14:paraId="6DAEB0E6"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130E7E68" w14:textId="77777777" w:rsidR="00BD782B" w:rsidRPr="00D264F7" w:rsidRDefault="00BD782B" w:rsidP="001C605F">
            <w:pPr>
              <w:snapToGrid w:val="0"/>
              <w:ind w:left="567"/>
              <w:jc w:val="both"/>
              <w:rPr>
                <w:rFonts w:eastAsiaTheme="minorHAnsi"/>
                <w:sz w:val="22"/>
                <w:szCs w:val="22"/>
                <w:lang w:val="sr-Latn-ME"/>
              </w:rPr>
            </w:pPr>
            <w:r w:rsidRPr="00D264F7">
              <w:rPr>
                <w:rFonts w:eastAsiaTheme="minorHAnsi"/>
                <w:sz w:val="22"/>
                <w:szCs w:val="22"/>
                <w:lang w:val="sr-Latn-ME"/>
              </w:rPr>
              <w:t xml:space="preserve">Odnos izgleda </w:t>
            </w:r>
          </w:p>
          <w:p w14:paraId="2E1413D4" w14:textId="77777777" w:rsidR="00BD782B" w:rsidRPr="00D264F7" w:rsidRDefault="00BD782B">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534980C2" w14:textId="77777777" w:rsidR="00BD782B" w:rsidRPr="00D264F7" w:rsidRDefault="00BD782B">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45DD7D06"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0,10</w:t>
            </w:r>
          </w:p>
          <w:p w14:paraId="5D123442"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(0,05, 0,22)</w:t>
            </w:r>
          </w:p>
        </w:tc>
        <w:tc>
          <w:tcPr>
            <w:tcW w:w="963" w:type="dxa"/>
            <w:tcBorders>
              <w:top w:val="single" w:sz="4" w:space="0" w:color="000000"/>
              <w:left w:val="single" w:sz="4" w:space="0" w:color="000000"/>
              <w:bottom w:val="single" w:sz="4" w:space="0" w:color="000000"/>
            </w:tcBorders>
            <w:shd w:val="clear" w:color="auto" w:fill="auto"/>
          </w:tcPr>
          <w:p w14:paraId="1E6BA317" w14:textId="77777777" w:rsidR="00BD782B" w:rsidRPr="00D264F7" w:rsidRDefault="00BD782B">
            <w:pPr>
              <w:tabs>
                <w:tab w:val="center" w:pos="833"/>
                <w:tab w:val="left" w:pos="1657"/>
              </w:tabs>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225C7E67"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0,26</w:t>
            </w:r>
          </w:p>
          <w:p w14:paraId="5169EF1D"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(0,15, 0,46)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8070021"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0,39</w:t>
            </w:r>
          </w:p>
          <w:p w14:paraId="6F9CCE99"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(0,24, 0,65)</w:t>
            </w:r>
          </w:p>
        </w:tc>
      </w:tr>
      <w:tr w:rsidR="00BD782B" w:rsidRPr="00692979" w14:paraId="6C077473"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61C5685B" w14:textId="77777777" w:rsidR="00BD782B" w:rsidRPr="00D264F7" w:rsidRDefault="00BD782B" w:rsidP="001F758F">
            <w:pPr>
              <w:snapToGrid w:val="0"/>
              <w:jc w:val="both"/>
              <w:rPr>
                <w:rFonts w:eastAsiaTheme="minorHAnsi"/>
                <w:sz w:val="22"/>
                <w:szCs w:val="22"/>
                <w:lang w:val="sr-Latn-ME"/>
              </w:rPr>
            </w:pPr>
            <w:r w:rsidRPr="00D264F7">
              <w:rPr>
                <w:rFonts w:eastAsiaTheme="minorHAnsi"/>
                <w:sz w:val="22"/>
                <w:szCs w:val="22"/>
                <w:lang w:val="sr-Latn-ME"/>
              </w:rPr>
              <w:t>Srednja vrijednost (medijana) broja novih hipointenzivnih T1 lezija tokom 2 godine</w:t>
            </w:r>
          </w:p>
        </w:tc>
        <w:tc>
          <w:tcPr>
            <w:tcW w:w="963" w:type="dxa"/>
            <w:tcBorders>
              <w:top w:val="single" w:sz="4" w:space="0" w:color="000000"/>
              <w:left w:val="single" w:sz="4" w:space="0" w:color="000000"/>
              <w:bottom w:val="single" w:sz="4" w:space="0" w:color="000000"/>
            </w:tcBorders>
            <w:shd w:val="clear" w:color="auto" w:fill="auto"/>
          </w:tcPr>
          <w:p w14:paraId="6D414E30" w14:textId="77777777" w:rsidR="00BD782B" w:rsidRPr="00D264F7" w:rsidRDefault="00BD782B" w:rsidP="001C605F">
            <w:pPr>
              <w:snapToGrid w:val="0"/>
              <w:jc w:val="both"/>
              <w:rPr>
                <w:rFonts w:eastAsiaTheme="minorHAnsi"/>
                <w:sz w:val="22"/>
                <w:szCs w:val="22"/>
                <w:lang w:val="sr-Latn-ME"/>
              </w:rPr>
            </w:pPr>
            <w:r w:rsidRPr="00D264F7">
              <w:rPr>
                <w:rFonts w:eastAsiaTheme="minorHAnsi"/>
                <w:sz w:val="22"/>
                <w:szCs w:val="22"/>
                <w:lang w:val="sr-Latn-ME"/>
              </w:rPr>
              <w:t>5,7</w:t>
            </w:r>
          </w:p>
          <w:p w14:paraId="7D616D30"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(2,0)</w:t>
            </w:r>
          </w:p>
        </w:tc>
        <w:tc>
          <w:tcPr>
            <w:tcW w:w="1730" w:type="dxa"/>
            <w:tcBorders>
              <w:top w:val="single" w:sz="4" w:space="0" w:color="000000"/>
              <w:left w:val="single" w:sz="4" w:space="0" w:color="000000"/>
              <w:bottom w:val="single" w:sz="4" w:space="0" w:color="000000"/>
            </w:tcBorders>
            <w:shd w:val="clear" w:color="auto" w:fill="auto"/>
          </w:tcPr>
          <w:p w14:paraId="1DA6BE0E"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2,0</w:t>
            </w:r>
          </w:p>
          <w:p w14:paraId="20D5DD0E"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(1,0)***</w:t>
            </w:r>
          </w:p>
        </w:tc>
        <w:tc>
          <w:tcPr>
            <w:tcW w:w="963" w:type="dxa"/>
            <w:tcBorders>
              <w:top w:val="single" w:sz="4" w:space="0" w:color="000000"/>
              <w:left w:val="single" w:sz="4" w:space="0" w:color="000000"/>
              <w:bottom w:val="single" w:sz="4" w:space="0" w:color="000000"/>
            </w:tcBorders>
            <w:shd w:val="clear" w:color="auto" w:fill="auto"/>
          </w:tcPr>
          <w:p w14:paraId="478E1DE1"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8,1</w:t>
            </w:r>
          </w:p>
          <w:p w14:paraId="321D18A1"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(4,0)</w:t>
            </w:r>
          </w:p>
        </w:tc>
        <w:tc>
          <w:tcPr>
            <w:tcW w:w="1872" w:type="dxa"/>
            <w:tcBorders>
              <w:top w:val="single" w:sz="4" w:space="0" w:color="000000"/>
              <w:left w:val="single" w:sz="4" w:space="0" w:color="000000"/>
              <w:bottom w:val="single" w:sz="4" w:space="0" w:color="000000"/>
            </w:tcBorders>
            <w:shd w:val="clear" w:color="auto" w:fill="auto"/>
          </w:tcPr>
          <w:p w14:paraId="2146B4CD"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3,8</w:t>
            </w:r>
          </w:p>
          <w:p w14:paraId="3092EDEC"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(1,0)***</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BE3B39"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4,5</w:t>
            </w:r>
          </w:p>
          <w:p w14:paraId="0FF2ADEF"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(2,0)**</w:t>
            </w:r>
          </w:p>
        </w:tc>
      </w:tr>
      <w:tr w:rsidR="00BD782B" w:rsidRPr="00692979" w14:paraId="13D64FCB" w14:textId="77777777" w:rsidTr="00671D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750B5CAE" w14:textId="77777777" w:rsidR="00BD782B" w:rsidRPr="00D264F7" w:rsidRDefault="00BD782B" w:rsidP="001F758F">
            <w:pPr>
              <w:snapToGrid w:val="0"/>
              <w:ind w:left="567"/>
              <w:jc w:val="both"/>
              <w:rPr>
                <w:rFonts w:eastAsiaTheme="minorHAnsi"/>
                <w:sz w:val="22"/>
                <w:szCs w:val="22"/>
                <w:lang w:val="sr-Latn-ME"/>
              </w:rPr>
            </w:pPr>
            <w:r w:rsidRPr="00D264F7">
              <w:rPr>
                <w:rFonts w:eastAsiaTheme="minorHAnsi"/>
                <w:sz w:val="22"/>
                <w:szCs w:val="22"/>
                <w:lang w:val="sr-Latn-ME"/>
              </w:rPr>
              <w:t xml:space="preserve">Odnos srednje vrijednosti lezija </w:t>
            </w:r>
          </w:p>
          <w:p w14:paraId="4FEF779F" w14:textId="77777777" w:rsidR="00BD782B" w:rsidRPr="00D264F7" w:rsidRDefault="00BD782B" w:rsidP="001F758F">
            <w:pPr>
              <w:ind w:left="567"/>
              <w:jc w:val="both"/>
              <w:rPr>
                <w:rFonts w:eastAsiaTheme="minorHAnsi"/>
                <w:sz w:val="22"/>
                <w:szCs w:val="22"/>
                <w:lang w:val="sr-Latn-ME"/>
              </w:rPr>
            </w:pPr>
            <w:r w:rsidRPr="00D264F7">
              <w:rPr>
                <w:rFonts w:eastAsiaTheme="minorHAnsi"/>
                <w:sz w:val="22"/>
                <w:szCs w:val="22"/>
                <w:lang w:val="sr-Latn-ME"/>
              </w:rPr>
              <w:t>(95% CI)</w:t>
            </w:r>
          </w:p>
        </w:tc>
        <w:tc>
          <w:tcPr>
            <w:tcW w:w="963" w:type="dxa"/>
            <w:tcBorders>
              <w:top w:val="single" w:sz="4" w:space="0" w:color="000000"/>
              <w:left w:val="single" w:sz="4" w:space="0" w:color="000000"/>
              <w:bottom w:val="single" w:sz="4" w:space="0" w:color="000000"/>
            </w:tcBorders>
            <w:shd w:val="clear" w:color="auto" w:fill="auto"/>
          </w:tcPr>
          <w:p w14:paraId="30CCE4B5" w14:textId="77777777" w:rsidR="00BD782B" w:rsidRPr="00D264F7" w:rsidRDefault="00BD782B" w:rsidP="001C605F">
            <w:pPr>
              <w:snapToGrid w:val="0"/>
              <w:jc w:val="both"/>
              <w:rPr>
                <w:rFonts w:eastAsiaTheme="minorHAnsi"/>
                <w:sz w:val="22"/>
                <w:szCs w:val="22"/>
                <w:lang w:val="sr-Latn-ME"/>
              </w:rPr>
            </w:pPr>
          </w:p>
        </w:tc>
        <w:tc>
          <w:tcPr>
            <w:tcW w:w="1730" w:type="dxa"/>
            <w:tcBorders>
              <w:top w:val="single" w:sz="4" w:space="0" w:color="000000"/>
              <w:left w:val="single" w:sz="4" w:space="0" w:color="000000"/>
              <w:bottom w:val="single" w:sz="4" w:space="0" w:color="000000"/>
            </w:tcBorders>
            <w:shd w:val="clear" w:color="auto" w:fill="auto"/>
          </w:tcPr>
          <w:p w14:paraId="3F6EB458"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 xml:space="preserve">0,28 </w:t>
            </w:r>
          </w:p>
          <w:p w14:paraId="15095D7A"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(0,20, 0,39)</w:t>
            </w:r>
          </w:p>
        </w:tc>
        <w:tc>
          <w:tcPr>
            <w:tcW w:w="963" w:type="dxa"/>
            <w:tcBorders>
              <w:top w:val="single" w:sz="4" w:space="0" w:color="000000"/>
              <w:left w:val="single" w:sz="4" w:space="0" w:color="000000"/>
              <w:bottom w:val="single" w:sz="4" w:space="0" w:color="000000"/>
            </w:tcBorders>
            <w:shd w:val="clear" w:color="auto" w:fill="auto"/>
          </w:tcPr>
          <w:p w14:paraId="2353CC11" w14:textId="77777777" w:rsidR="00BD782B" w:rsidRPr="00D264F7" w:rsidRDefault="00BD782B">
            <w:pPr>
              <w:snapToGrid w:val="0"/>
              <w:jc w:val="both"/>
              <w:rPr>
                <w:rFonts w:eastAsiaTheme="minorHAnsi"/>
                <w:sz w:val="22"/>
                <w:szCs w:val="22"/>
                <w:lang w:val="sr-Latn-ME"/>
              </w:rPr>
            </w:pPr>
          </w:p>
        </w:tc>
        <w:tc>
          <w:tcPr>
            <w:tcW w:w="1872" w:type="dxa"/>
            <w:tcBorders>
              <w:top w:val="single" w:sz="4" w:space="0" w:color="000000"/>
              <w:left w:val="single" w:sz="4" w:space="0" w:color="000000"/>
              <w:bottom w:val="single" w:sz="4" w:space="0" w:color="000000"/>
            </w:tcBorders>
            <w:shd w:val="clear" w:color="auto" w:fill="auto"/>
          </w:tcPr>
          <w:p w14:paraId="60C86B3C"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0,43</w:t>
            </w:r>
          </w:p>
          <w:p w14:paraId="03C6CC72"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(0,30, 0,61)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9DD740" w14:textId="77777777" w:rsidR="00BD782B" w:rsidRPr="00D264F7" w:rsidRDefault="00BD782B">
            <w:pPr>
              <w:snapToGrid w:val="0"/>
              <w:jc w:val="both"/>
              <w:rPr>
                <w:rFonts w:eastAsiaTheme="minorHAnsi"/>
                <w:sz w:val="22"/>
                <w:szCs w:val="22"/>
                <w:lang w:val="sr-Latn-ME"/>
              </w:rPr>
            </w:pPr>
            <w:r w:rsidRPr="00D264F7">
              <w:rPr>
                <w:rFonts w:eastAsiaTheme="minorHAnsi"/>
                <w:sz w:val="22"/>
                <w:szCs w:val="22"/>
                <w:lang w:val="sr-Latn-ME"/>
              </w:rPr>
              <w:t>0,59</w:t>
            </w:r>
          </w:p>
          <w:p w14:paraId="4E57A809" w14:textId="77777777" w:rsidR="00BD782B" w:rsidRPr="00D264F7" w:rsidRDefault="00BD782B">
            <w:pPr>
              <w:jc w:val="both"/>
              <w:rPr>
                <w:rFonts w:eastAsiaTheme="minorHAnsi"/>
                <w:sz w:val="22"/>
                <w:szCs w:val="22"/>
                <w:lang w:val="sr-Latn-ME"/>
              </w:rPr>
            </w:pPr>
            <w:r w:rsidRPr="00D264F7">
              <w:rPr>
                <w:rFonts w:eastAsiaTheme="minorHAnsi"/>
                <w:sz w:val="22"/>
                <w:szCs w:val="22"/>
                <w:lang w:val="sr-Latn-ME"/>
              </w:rPr>
              <w:t>(0,42, 0,82)</w:t>
            </w:r>
          </w:p>
        </w:tc>
      </w:tr>
    </w:tbl>
    <w:p w14:paraId="1FBFCF27" w14:textId="77777777" w:rsidR="00BD782B" w:rsidRPr="00D264F7" w:rsidRDefault="00BD782B" w:rsidP="001C605F">
      <w:pPr>
        <w:spacing w:line="259" w:lineRule="auto"/>
        <w:jc w:val="both"/>
        <w:rPr>
          <w:rFonts w:eastAsiaTheme="minorHAnsi"/>
          <w:sz w:val="22"/>
          <w:szCs w:val="22"/>
          <w:lang w:val="sr-Latn-ME"/>
        </w:rPr>
      </w:pPr>
      <w:r w:rsidRPr="00D264F7">
        <w:rPr>
          <w:rFonts w:eastAsiaTheme="minorHAnsi"/>
          <w:sz w:val="22"/>
          <w:szCs w:val="22"/>
          <w:vertAlign w:val="superscript"/>
          <w:lang w:val="sr-Latn-ME"/>
        </w:rPr>
        <w:t>a</w:t>
      </w:r>
      <w:r w:rsidRPr="00D264F7">
        <w:rPr>
          <w:rFonts w:eastAsiaTheme="minorHAnsi"/>
          <w:sz w:val="22"/>
          <w:szCs w:val="22"/>
          <w:lang w:val="sr-Latn-ME"/>
        </w:rPr>
        <w:t xml:space="preserve">Sve analize kliničkih mjera ishoda su bile u populaciji s namjerom liječenja (engl. </w:t>
      </w:r>
      <w:r w:rsidRPr="00D264F7">
        <w:rPr>
          <w:rFonts w:eastAsiaTheme="minorHAnsi"/>
          <w:i/>
          <w:sz w:val="22"/>
          <w:szCs w:val="22"/>
          <w:lang w:val="sr-Latn-ME"/>
        </w:rPr>
        <w:t>intent-to-treat</w:t>
      </w:r>
      <w:r w:rsidRPr="00D264F7">
        <w:rPr>
          <w:rFonts w:eastAsiaTheme="minorHAnsi"/>
          <w:sz w:val="22"/>
          <w:szCs w:val="22"/>
          <w:lang w:val="sr-Latn-ME"/>
        </w:rPr>
        <w:t xml:space="preserve">); </w:t>
      </w:r>
      <w:r w:rsidRPr="00D264F7">
        <w:rPr>
          <w:rFonts w:eastAsiaTheme="minorHAnsi"/>
          <w:sz w:val="22"/>
          <w:szCs w:val="22"/>
          <w:vertAlign w:val="superscript"/>
          <w:lang w:val="sr-Latn-ME"/>
        </w:rPr>
        <w:t>b</w:t>
      </w:r>
      <w:r w:rsidRPr="00D264F7">
        <w:rPr>
          <w:rFonts w:eastAsiaTheme="minorHAnsi"/>
          <w:sz w:val="22"/>
          <w:szCs w:val="22"/>
          <w:lang w:val="sr-Latn-ME"/>
        </w:rPr>
        <w:t xml:space="preserve">MR analiza je koristila MR kohortu </w:t>
      </w:r>
    </w:p>
    <w:p w14:paraId="1C7ACBAF" w14:textId="2F23C2AA" w:rsidR="00BD782B" w:rsidRPr="00D264F7" w:rsidRDefault="00BD782B">
      <w:pPr>
        <w:spacing w:line="259" w:lineRule="auto"/>
        <w:jc w:val="both"/>
        <w:rPr>
          <w:rFonts w:eastAsiaTheme="minorHAnsi"/>
          <w:sz w:val="22"/>
          <w:szCs w:val="22"/>
          <w:lang w:val="sr-Latn-ME"/>
        </w:rPr>
      </w:pPr>
      <w:r w:rsidRPr="00D264F7">
        <w:rPr>
          <w:rFonts w:eastAsiaTheme="minorHAnsi"/>
          <w:sz w:val="22"/>
          <w:szCs w:val="22"/>
          <w:lang w:val="sr-Latn-ME"/>
        </w:rPr>
        <w:t>*P-vrijednost &lt; 0,05; **P-vrijednost &lt; 0,01; ***P-vrijednost &lt; 0,0001; #nema statističke značajnosti</w:t>
      </w:r>
    </w:p>
    <w:p w14:paraId="09EFCDE6" w14:textId="4FBAB7BC" w:rsidR="00970663" w:rsidRPr="00D264F7" w:rsidRDefault="00970663">
      <w:pPr>
        <w:spacing w:line="259" w:lineRule="auto"/>
        <w:jc w:val="both"/>
        <w:rPr>
          <w:rFonts w:eastAsiaTheme="minorHAnsi"/>
          <w:sz w:val="22"/>
          <w:szCs w:val="22"/>
          <w:lang w:val="sr-Latn-ME"/>
        </w:rPr>
      </w:pPr>
    </w:p>
    <w:p w14:paraId="0EC80867" w14:textId="72F688AB" w:rsidR="00970663" w:rsidRPr="00D264F7" w:rsidRDefault="00970663">
      <w:pPr>
        <w:spacing w:line="259" w:lineRule="auto"/>
        <w:jc w:val="both"/>
        <w:rPr>
          <w:rFonts w:eastAsiaTheme="minorHAnsi"/>
          <w:sz w:val="22"/>
          <w:szCs w:val="22"/>
          <w:lang w:val="sr-Latn-ME"/>
        </w:rPr>
      </w:pPr>
      <w:r w:rsidRPr="00D264F7">
        <w:rPr>
          <w:rFonts w:eastAsiaTheme="minorHAnsi"/>
          <w:sz w:val="22"/>
          <w:szCs w:val="22"/>
          <w:lang w:val="sr-Latn-ME"/>
        </w:rPr>
        <w:t>1736 prikladnih pacijenata s RRMS-om iz pivotalnih ispitivanja (DEFINE i CONFIRM) uključeno je u otvoreni, nekontrolisani nastavak ispitivanja u trajanju od 8 godina (ENDORSE). Primarni cilj ispitivanja bio je proc</w:t>
      </w:r>
      <w:r w:rsidR="00BB5A46" w:rsidRPr="00D264F7">
        <w:rPr>
          <w:rFonts w:eastAsiaTheme="minorHAnsi"/>
          <w:sz w:val="22"/>
          <w:szCs w:val="22"/>
          <w:lang w:val="sr-Latn-ME"/>
        </w:rPr>
        <w:t>j</w:t>
      </w:r>
      <w:r w:rsidRPr="00D264F7">
        <w:rPr>
          <w:rFonts w:eastAsiaTheme="minorHAnsi"/>
          <w:sz w:val="22"/>
          <w:szCs w:val="22"/>
          <w:lang w:val="sr-Latn-ME"/>
        </w:rPr>
        <w:t xml:space="preserve">ena dugoročne </w:t>
      </w:r>
      <w:r w:rsidR="009A601A" w:rsidRPr="00D264F7">
        <w:rPr>
          <w:rFonts w:eastAsiaTheme="minorHAnsi"/>
          <w:sz w:val="22"/>
          <w:szCs w:val="22"/>
          <w:lang w:val="sr-Latn-ME"/>
        </w:rPr>
        <w:t xml:space="preserve">bezbjednosti </w:t>
      </w:r>
      <w:r w:rsidRPr="00D264F7">
        <w:rPr>
          <w:rFonts w:eastAsiaTheme="minorHAnsi"/>
          <w:sz w:val="22"/>
          <w:szCs w:val="22"/>
          <w:lang w:val="sr-Latn-ME"/>
        </w:rPr>
        <w:t>l</w:t>
      </w:r>
      <w:r w:rsidR="00BB5A46" w:rsidRPr="00D264F7">
        <w:rPr>
          <w:rFonts w:eastAsiaTheme="minorHAnsi"/>
          <w:sz w:val="22"/>
          <w:szCs w:val="22"/>
          <w:lang w:val="sr-Latn-ME"/>
        </w:rPr>
        <w:t>ij</w:t>
      </w:r>
      <w:r w:rsidRPr="00D264F7">
        <w:rPr>
          <w:rFonts w:eastAsiaTheme="minorHAnsi"/>
          <w:sz w:val="22"/>
          <w:szCs w:val="22"/>
          <w:lang w:val="sr-Latn-ME"/>
        </w:rPr>
        <w:t>eka Tecfidera kod pacijenata s RRMS-om. Od 1736 pacijenata, približno polovina njih (909, 52%) je bilo na terapiji 6 godina ili duže. 501 pacijent je kontinuirano bio na terapiji l</w:t>
      </w:r>
      <w:r w:rsidR="00BB5A46" w:rsidRPr="00D264F7">
        <w:rPr>
          <w:rFonts w:eastAsiaTheme="minorHAnsi"/>
          <w:sz w:val="22"/>
          <w:szCs w:val="22"/>
          <w:lang w:val="sr-Latn-ME"/>
        </w:rPr>
        <w:t>ij</w:t>
      </w:r>
      <w:r w:rsidRPr="00D264F7">
        <w:rPr>
          <w:rFonts w:eastAsiaTheme="minorHAnsi"/>
          <w:sz w:val="22"/>
          <w:szCs w:val="22"/>
          <w:lang w:val="sr-Latn-ME"/>
        </w:rPr>
        <w:t>ekom Tecfidera 240 mg dva puta dnevno kroz sva 3 ispitivanja, a 249 pacijenata koji su prethodno primali placebo u ispitivanjima DEFINE i CONFIRM je primalo terapiju od 240 mg dva puta dnevno u ispitivanju ENDORSE. Pacijenti koji su kontinuirano primali terapiju dva puta dnevno, l</w:t>
      </w:r>
      <w:r w:rsidR="00BB5A46" w:rsidRPr="00D264F7">
        <w:rPr>
          <w:rFonts w:eastAsiaTheme="minorHAnsi"/>
          <w:sz w:val="22"/>
          <w:szCs w:val="22"/>
          <w:lang w:val="sr-Latn-ME"/>
        </w:rPr>
        <w:t>ij</w:t>
      </w:r>
      <w:r w:rsidRPr="00D264F7">
        <w:rPr>
          <w:rFonts w:eastAsiaTheme="minorHAnsi"/>
          <w:sz w:val="22"/>
          <w:szCs w:val="22"/>
          <w:lang w:val="sr-Latn-ME"/>
        </w:rPr>
        <w:t>ečeni su do 12 godina.</w:t>
      </w:r>
    </w:p>
    <w:p w14:paraId="2AF71516" w14:textId="77777777" w:rsidR="00970663" w:rsidRPr="00D264F7" w:rsidRDefault="00970663">
      <w:pPr>
        <w:spacing w:line="259" w:lineRule="auto"/>
        <w:jc w:val="both"/>
        <w:rPr>
          <w:rFonts w:eastAsiaTheme="minorHAnsi"/>
          <w:sz w:val="22"/>
          <w:szCs w:val="22"/>
          <w:lang w:val="sr-Latn-ME"/>
        </w:rPr>
      </w:pPr>
    </w:p>
    <w:p w14:paraId="63F0B346" w14:textId="0C6EE612" w:rsidR="00970663" w:rsidRPr="00D264F7" w:rsidRDefault="00970663">
      <w:pPr>
        <w:spacing w:line="259" w:lineRule="auto"/>
        <w:jc w:val="both"/>
        <w:rPr>
          <w:rFonts w:eastAsiaTheme="minorHAnsi"/>
          <w:sz w:val="22"/>
          <w:szCs w:val="22"/>
          <w:lang w:val="sr-Latn-ME"/>
        </w:rPr>
      </w:pPr>
      <w:r w:rsidRPr="00D264F7">
        <w:rPr>
          <w:rFonts w:eastAsiaTheme="minorHAnsi"/>
          <w:sz w:val="22"/>
          <w:szCs w:val="22"/>
          <w:lang w:val="sr-Latn-ME"/>
        </w:rPr>
        <w:t>Tokom ispitivanja ENDORSE, više od polovine svih pacijenata koji su bili na terapiji l</w:t>
      </w:r>
      <w:r w:rsidR="00BB5A46" w:rsidRPr="00D264F7">
        <w:rPr>
          <w:rFonts w:eastAsiaTheme="minorHAnsi"/>
          <w:sz w:val="22"/>
          <w:szCs w:val="22"/>
          <w:lang w:val="sr-Latn-ME"/>
        </w:rPr>
        <w:t>ij</w:t>
      </w:r>
      <w:r w:rsidRPr="00D264F7">
        <w:rPr>
          <w:rFonts w:eastAsiaTheme="minorHAnsi"/>
          <w:sz w:val="22"/>
          <w:szCs w:val="22"/>
          <w:lang w:val="sr-Latn-ME"/>
        </w:rPr>
        <w:t xml:space="preserve">ekom Tecfidera 240 mg dva puta dnevno nije imalo relaps. Kod pacijenata koji su bili kontinuirano na terapiji dva puta </w:t>
      </w:r>
      <w:r w:rsidRPr="00D264F7">
        <w:rPr>
          <w:rFonts w:eastAsiaTheme="minorHAnsi"/>
          <w:sz w:val="22"/>
          <w:szCs w:val="22"/>
          <w:lang w:val="sr-Latn-ME"/>
        </w:rPr>
        <w:lastRenderedPageBreak/>
        <w:t xml:space="preserve">dnevno kroz sva 3 ispitivanja, prilagođen ARR je bio 0,187 (95%-tni CI: 0,156; 0,224) u ispitivanjima DEFINE i CONFIRM i 0,141 (95%-tni CI: 0,119; 0,167) u ispitivanju ENDORSE. Kod pacijenata koji su prethodno primali placebo, prilagođen ARR je smanjen sa 0,330 (95%-tni CI: 0,266; 0,408) u ispitivanjima DEFINE i CONFIRM na 0,149 (95%-tni CI: 0,116; 0,190) u ispitivanju ENDORSE. </w:t>
      </w:r>
    </w:p>
    <w:p w14:paraId="241A6CCF" w14:textId="77777777" w:rsidR="00970663" w:rsidRPr="00D264F7" w:rsidRDefault="00970663">
      <w:pPr>
        <w:spacing w:line="259" w:lineRule="auto"/>
        <w:jc w:val="both"/>
        <w:rPr>
          <w:rFonts w:eastAsiaTheme="minorHAnsi"/>
          <w:sz w:val="22"/>
          <w:szCs w:val="22"/>
          <w:lang w:val="sr-Latn-ME"/>
        </w:rPr>
      </w:pPr>
    </w:p>
    <w:p w14:paraId="49279691" w14:textId="3D42C05C" w:rsidR="00970663" w:rsidRPr="00D264F7" w:rsidRDefault="00970663">
      <w:pPr>
        <w:spacing w:line="259" w:lineRule="auto"/>
        <w:jc w:val="both"/>
        <w:rPr>
          <w:rFonts w:eastAsiaTheme="minorHAnsi"/>
          <w:sz w:val="22"/>
          <w:szCs w:val="22"/>
          <w:lang w:val="sr-Latn-ME"/>
        </w:rPr>
      </w:pPr>
      <w:r w:rsidRPr="00D264F7">
        <w:rPr>
          <w:rFonts w:eastAsiaTheme="minorHAnsi"/>
          <w:sz w:val="22"/>
          <w:szCs w:val="22"/>
          <w:lang w:val="sr-Latn-ME"/>
        </w:rPr>
        <w:t>U ispitivanju ENDORSE, većina pacijenata (&gt; 75%) nije imala potvrđenu progresiju onesposobljenosti (m</w:t>
      </w:r>
      <w:r w:rsidR="00BB5A46" w:rsidRPr="00D264F7">
        <w:rPr>
          <w:rFonts w:eastAsiaTheme="minorHAnsi"/>
          <w:sz w:val="22"/>
          <w:szCs w:val="22"/>
          <w:lang w:val="sr-Latn-ME"/>
        </w:rPr>
        <w:t>j</w:t>
      </w:r>
      <w:r w:rsidRPr="00D264F7">
        <w:rPr>
          <w:rFonts w:eastAsiaTheme="minorHAnsi"/>
          <w:sz w:val="22"/>
          <w:szCs w:val="22"/>
          <w:lang w:val="sr-Latn-ME"/>
        </w:rPr>
        <w:t>ereno 6-m</w:t>
      </w:r>
      <w:r w:rsidR="00BB5A46" w:rsidRPr="00D264F7">
        <w:rPr>
          <w:rFonts w:eastAsiaTheme="minorHAnsi"/>
          <w:sz w:val="22"/>
          <w:szCs w:val="22"/>
          <w:lang w:val="sr-Latn-ME"/>
        </w:rPr>
        <w:t>j</w:t>
      </w:r>
      <w:r w:rsidRPr="00D264F7">
        <w:rPr>
          <w:rFonts w:eastAsiaTheme="minorHAnsi"/>
          <w:sz w:val="22"/>
          <w:szCs w:val="22"/>
          <w:lang w:val="sr-Latn-ME"/>
        </w:rPr>
        <w:t>esečnom održanošću progresije onesposobljenosti). Objedinjeni rezultati iz sva tri ispitivanja pokazuju da pacijenti koji su bili na terapiji l</w:t>
      </w:r>
      <w:r w:rsidR="00BB5A46" w:rsidRPr="00D264F7">
        <w:rPr>
          <w:rFonts w:eastAsiaTheme="minorHAnsi"/>
          <w:sz w:val="22"/>
          <w:szCs w:val="22"/>
          <w:lang w:val="sr-Latn-ME"/>
        </w:rPr>
        <w:t>ij</w:t>
      </w:r>
      <w:r w:rsidRPr="00D264F7">
        <w:rPr>
          <w:rFonts w:eastAsiaTheme="minorHAnsi"/>
          <w:sz w:val="22"/>
          <w:szCs w:val="22"/>
          <w:lang w:val="sr-Latn-ME"/>
        </w:rPr>
        <w:t>ekom Tecfidera imaju dosl</w:t>
      </w:r>
      <w:r w:rsidR="00BB5A46" w:rsidRPr="00D264F7">
        <w:rPr>
          <w:rFonts w:eastAsiaTheme="minorHAnsi"/>
          <w:sz w:val="22"/>
          <w:szCs w:val="22"/>
          <w:lang w:val="sr-Latn-ME"/>
        </w:rPr>
        <w:t>j</w:t>
      </w:r>
      <w:r w:rsidRPr="00D264F7">
        <w:rPr>
          <w:rFonts w:eastAsiaTheme="minorHAnsi"/>
          <w:sz w:val="22"/>
          <w:szCs w:val="22"/>
          <w:lang w:val="sr-Latn-ME"/>
        </w:rPr>
        <w:t>edne i niske stope potvrđene progresije onesposobljenosti uz blagi porast prosečnih EDSS bodova kroz ispitivanje ENDORSE. MR proc</w:t>
      </w:r>
      <w:r w:rsidR="00BB5A46" w:rsidRPr="00D264F7">
        <w:rPr>
          <w:rFonts w:eastAsiaTheme="minorHAnsi"/>
          <w:sz w:val="22"/>
          <w:szCs w:val="22"/>
          <w:lang w:val="sr-Latn-ME"/>
        </w:rPr>
        <w:t>j</w:t>
      </w:r>
      <w:r w:rsidRPr="00D264F7">
        <w:rPr>
          <w:rFonts w:eastAsiaTheme="minorHAnsi"/>
          <w:sz w:val="22"/>
          <w:szCs w:val="22"/>
          <w:lang w:val="sr-Latn-ME"/>
        </w:rPr>
        <w:t>ene do 6. godine, uključujući 752 pacijenta koji su prethodno bili uključeni u MR kohortu u ispitivanjima DEFINE i CONFIRM, pokazale su da većina pacijenata (približno 90%) nije imala Gd+ lezije. Tokom perioda od 6 godina, godišnje prilagođen prosečan broj novih ili novoproširenih T2 i novih T1 lezija ostao je nizak.</w:t>
      </w:r>
    </w:p>
    <w:p w14:paraId="2DE4BB1D" w14:textId="77777777" w:rsidR="00BD782B" w:rsidRPr="00D264F7" w:rsidRDefault="00BD782B">
      <w:pPr>
        <w:spacing w:line="259" w:lineRule="auto"/>
        <w:jc w:val="both"/>
        <w:rPr>
          <w:rFonts w:eastAsiaTheme="minorHAnsi"/>
          <w:sz w:val="22"/>
          <w:szCs w:val="22"/>
          <w:lang w:val="sr-Latn-ME"/>
        </w:rPr>
      </w:pPr>
    </w:p>
    <w:p w14:paraId="16865652" w14:textId="77777777" w:rsidR="009A2A94" w:rsidRDefault="00BD782B">
      <w:pPr>
        <w:spacing w:line="259" w:lineRule="auto"/>
        <w:jc w:val="both"/>
        <w:rPr>
          <w:rFonts w:eastAsiaTheme="minorHAnsi"/>
          <w:i/>
          <w:sz w:val="22"/>
          <w:szCs w:val="22"/>
          <w:lang w:val="sr-Latn-ME"/>
        </w:rPr>
      </w:pPr>
      <w:r w:rsidRPr="00064887">
        <w:rPr>
          <w:rFonts w:eastAsiaTheme="minorHAnsi"/>
          <w:i/>
          <w:sz w:val="22"/>
          <w:szCs w:val="22"/>
          <w:lang w:val="sr-Latn-ME"/>
        </w:rPr>
        <w:t>Efikasnost kod pacijenata s visoko aktivnom bolešću:</w:t>
      </w:r>
    </w:p>
    <w:p w14:paraId="3AEB0667" w14:textId="5C111603" w:rsidR="00BD782B" w:rsidRPr="00064887" w:rsidRDefault="00BD782B">
      <w:pPr>
        <w:spacing w:line="259" w:lineRule="auto"/>
        <w:jc w:val="both"/>
        <w:rPr>
          <w:rFonts w:eastAsiaTheme="minorHAnsi"/>
          <w:i/>
          <w:sz w:val="22"/>
          <w:szCs w:val="22"/>
          <w:lang w:val="sr-Latn-ME"/>
        </w:rPr>
      </w:pPr>
      <w:r w:rsidRPr="00064887">
        <w:rPr>
          <w:rFonts w:eastAsiaTheme="minorHAnsi"/>
          <w:i/>
          <w:sz w:val="22"/>
          <w:szCs w:val="22"/>
          <w:lang w:val="sr-Latn-ME"/>
        </w:rPr>
        <w:t xml:space="preserve"> </w:t>
      </w:r>
    </w:p>
    <w:p w14:paraId="6561601A" w14:textId="2C0404B8" w:rsidR="00BD782B" w:rsidRPr="00D264F7" w:rsidRDefault="00970663">
      <w:pPr>
        <w:spacing w:line="259" w:lineRule="auto"/>
        <w:jc w:val="both"/>
        <w:rPr>
          <w:rFonts w:eastAsiaTheme="minorHAnsi"/>
          <w:sz w:val="22"/>
          <w:szCs w:val="22"/>
          <w:lang w:val="sr-Latn-ME"/>
        </w:rPr>
      </w:pPr>
      <w:r w:rsidRPr="00D264F7">
        <w:rPr>
          <w:rFonts w:eastAsiaTheme="minorHAnsi"/>
          <w:sz w:val="22"/>
          <w:szCs w:val="22"/>
          <w:lang w:val="sr-Latn-ME"/>
        </w:rPr>
        <w:t>U ispitivanjima DEFINE i CONFIRM, z</w:t>
      </w:r>
      <w:r w:rsidR="00BD782B" w:rsidRPr="00D264F7">
        <w:rPr>
          <w:rFonts w:eastAsiaTheme="minorHAnsi"/>
          <w:sz w:val="22"/>
          <w:szCs w:val="22"/>
          <w:lang w:val="sr-Latn-ME"/>
        </w:rPr>
        <w:t>abilježen je dosljedan efekat liječenja relapsa u podgrupi pacijenata s visoko aktivnom bolešću, dok efekat u vremenu do 3 mjeseca kontinuiranog napredovanja onesposobljenosti nije jasno utvrđen. Zbog dizajna ispitivanja, visoko aktivna bolest je definisana kao što slijedi:</w:t>
      </w:r>
    </w:p>
    <w:p w14:paraId="63B0B89C" w14:textId="77777777" w:rsidR="00BD782B" w:rsidRPr="00D264F7" w:rsidRDefault="00BD782B">
      <w:pPr>
        <w:numPr>
          <w:ilvl w:val="0"/>
          <w:numId w:val="13"/>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 xml:space="preserve">Pacijenti sa 2 ili više relapsa u jednoj godini, i sa jednom ili više Gd-pozitivnih lezija na MRI mozga (n=42 u DEFINE; n=51 u CONFIRM), ili </w:t>
      </w:r>
    </w:p>
    <w:p w14:paraId="0DA7197C" w14:textId="77777777" w:rsidR="00BD782B" w:rsidRPr="00D264F7" w:rsidRDefault="00BD782B">
      <w:pPr>
        <w:numPr>
          <w:ilvl w:val="0"/>
          <w:numId w:val="13"/>
        </w:numPr>
        <w:tabs>
          <w:tab w:val="left" w:pos="567"/>
        </w:tabs>
        <w:suppressAutoHyphens/>
        <w:ind w:left="567" w:hanging="567"/>
        <w:jc w:val="both"/>
        <w:rPr>
          <w:rFonts w:eastAsiaTheme="minorHAnsi"/>
          <w:sz w:val="22"/>
          <w:szCs w:val="22"/>
          <w:lang w:val="sr-Latn-ME"/>
        </w:rPr>
      </w:pPr>
      <w:r w:rsidRPr="00D264F7">
        <w:rPr>
          <w:rFonts w:eastAsiaTheme="minorHAnsi"/>
          <w:sz w:val="22"/>
          <w:szCs w:val="22"/>
          <w:lang w:val="sr-Latn-ME"/>
        </w:rPr>
        <w:t>Pacijenti koji nisu odgovorili na potpunu i odgovarajuću terapiju (najmanje godinu dana liječenja) beta-interferonom, nakon što su imali najmanje 1 relaps u prethodnoj godini dok su bili na terapiji, i najmanje 9 T2-hiperintenzivnih lezija u kranijalnoj MRI ili najmanje 1 Gd-pozitivnu leziju, ili pacijenti sa nepromijenjenom ili povećanom stopom relapsa u prethodnoj godini u poređenju sa prethodne 2 godine (n=177 u DEFINE; n=141 u CONFIRM).</w:t>
      </w:r>
    </w:p>
    <w:p w14:paraId="4468AFAD" w14:textId="77777777" w:rsidR="00C01093" w:rsidRDefault="00C01093">
      <w:pPr>
        <w:widowControl w:val="0"/>
        <w:suppressLineNumbers/>
        <w:spacing w:line="259" w:lineRule="auto"/>
        <w:jc w:val="both"/>
        <w:rPr>
          <w:rFonts w:eastAsiaTheme="minorHAnsi"/>
          <w:sz w:val="22"/>
          <w:szCs w:val="22"/>
          <w:u w:val="single"/>
          <w:lang w:val="sr-Latn-ME"/>
        </w:rPr>
      </w:pPr>
    </w:p>
    <w:p w14:paraId="54FE448F" w14:textId="40923785"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Pedijatrijska populacija</w:t>
      </w:r>
    </w:p>
    <w:p w14:paraId="407B5DF7" w14:textId="05DBF3FA" w:rsidR="00BD782B" w:rsidRPr="00D264F7" w:rsidRDefault="00BD782B">
      <w:pPr>
        <w:widowControl w:val="0"/>
        <w:suppressLineNumbers/>
        <w:spacing w:line="259" w:lineRule="auto"/>
        <w:jc w:val="both"/>
        <w:rPr>
          <w:rFonts w:eastAsiaTheme="minorHAnsi"/>
          <w:sz w:val="22"/>
          <w:szCs w:val="22"/>
          <w:lang w:val="sr-Latn-ME"/>
        </w:rPr>
      </w:pPr>
    </w:p>
    <w:p w14:paraId="006D2D33" w14:textId="7B6D1CAE" w:rsidR="00970663" w:rsidRPr="00D264F7" w:rsidRDefault="00970663">
      <w:pPr>
        <w:tabs>
          <w:tab w:val="left" w:pos="284"/>
        </w:tabs>
        <w:jc w:val="both"/>
        <w:rPr>
          <w:rFonts w:eastAsia="SimSun"/>
          <w:sz w:val="22"/>
          <w:szCs w:val="22"/>
          <w:lang w:val="sr-Latn-ME" w:eastAsia="ar-SA"/>
        </w:rPr>
      </w:pPr>
      <w:bookmarkStart w:id="0" w:name="_Hlk116047103"/>
      <w:r w:rsidRPr="00D264F7">
        <w:rPr>
          <w:rFonts w:eastAsia="SimSun"/>
          <w:sz w:val="22"/>
          <w:szCs w:val="22"/>
          <w:lang w:val="sr-Latn-ME" w:eastAsia="ar-SA"/>
        </w:rPr>
        <w:t>Bezb</w:t>
      </w:r>
      <w:r w:rsidR="00BB5A46" w:rsidRPr="00D264F7">
        <w:rPr>
          <w:rFonts w:eastAsia="SimSun"/>
          <w:sz w:val="22"/>
          <w:szCs w:val="22"/>
          <w:lang w:val="sr-Latn-ME" w:eastAsia="ar-SA"/>
        </w:rPr>
        <w:t>j</w:t>
      </w:r>
      <w:r w:rsidRPr="00D264F7">
        <w:rPr>
          <w:rFonts w:eastAsia="SimSun"/>
          <w:sz w:val="22"/>
          <w:szCs w:val="22"/>
          <w:lang w:val="sr-Latn-ME" w:eastAsia="ar-SA"/>
        </w:rPr>
        <w:t>ednost i efikasnost l</w:t>
      </w:r>
      <w:r w:rsidR="00BB5A46" w:rsidRPr="00D264F7">
        <w:rPr>
          <w:rFonts w:eastAsia="SimSun"/>
          <w:sz w:val="22"/>
          <w:szCs w:val="22"/>
          <w:lang w:val="sr-Latn-ME" w:eastAsia="ar-SA"/>
        </w:rPr>
        <w:t>ij</w:t>
      </w:r>
      <w:r w:rsidRPr="00D264F7">
        <w:rPr>
          <w:rFonts w:eastAsia="SimSun"/>
          <w:sz w:val="22"/>
          <w:szCs w:val="22"/>
          <w:lang w:val="sr-Latn-ME" w:eastAsia="ar-SA"/>
        </w:rPr>
        <w:t>eka Tecfidera kod pedijatrijskih pacijenata sa RRMS-om proc</w:t>
      </w:r>
      <w:r w:rsidR="00BB5A46" w:rsidRPr="00D264F7">
        <w:rPr>
          <w:rFonts w:eastAsia="SimSun"/>
          <w:sz w:val="22"/>
          <w:szCs w:val="22"/>
          <w:lang w:val="sr-Latn-ME" w:eastAsia="ar-SA"/>
        </w:rPr>
        <w:t>ij</w:t>
      </w:r>
      <w:r w:rsidRPr="00D264F7">
        <w:rPr>
          <w:rFonts w:eastAsia="SimSun"/>
          <w:sz w:val="22"/>
          <w:szCs w:val="22"/>
          <w:lang w:val="sr-Latn-ME" w:eastAsia="ar-SA"/>
        </w:rPr>
        <w:t>enjene su u randomiziranom, otvorenom, aktivno kontrolisanom ispitivanju (interferon beta-1a) na paralelnim grupama pacijenata sa RRMS-om uzrasta od 10 do manje od 18 godina. Sto pedeset pacijenata je randomizirano tako da su tokom 96 ned</w:t>
      </w:r>
      <w:r w:rsidR="008E43D6" w:rsidRPr="00D264F7">
        <w:rPr>
          <w:rFonts w:eastAsia="SimSun"/>
          <w:sz w:val="22"/>
          <w:szCs w:val="22"/>
          <w:lang w:val="sr-Latn-ME" w:eastAsia="ar-SA"/>
        </w:rPr>
        <w:t>j</w:t>
      </w:r>
      <w:r w:rsidRPr="00D264F7">
        <w:rPr>
          <w:rFonts w:eastAsia="SimSun"/>
          <w:sz w:val="22"/>
          <w:szCs w:val="22"/>
          <w:lang w:val="sr-Latn-ME" w:eastAsia="ar-SA"/>
        </w:rPr>
        <w:t>elja primali dimetil fumarat (240 mg dva puta na dan, oralno) ili interferon beta-1a (30 μg i.m. jednom sedmično). Primarn</w:t>
      </w:r>
      <w:r w:rsidR="00C6671E" w:rsidRPr="00D264F7">
        <w:rPr>
          <w:rFonts w:eastAsia="SimSun"/>
          <w:sz w:val="22"/>
          <w:szCs w:val="22"/>
          <w:lang w:val="sr-Latn-ME" w:eastAsia="ar-SA"/>
        </w:rPr>
        <w:t>a mjera</w:t>
      </w:r>
      <w:r w:rsidRPr="00D264F7">
        <w:rPr>
          <w:rFonts w:eastAsia="SimSun"/>
          <w:sz w:val="22"/>
          <w:szCs w:val="22"/>
          <w:lang w:val="sr-Latn-ME" w:eastAsia="ar-SA"/>
        </w:rPr>
        <w:t xml:space="preserve"> ishod</w:t>
      </w:r>
      <w:r w:rsidR="00C6671E" w:rsidRPr="00D264F7">
        <w:rPr>
          <w:rFonts w:eastAsia="SimSun"/>
          <w:sz w:val="22"/>
          <w:szCs w:val="22"/>
          <w:lang w:val="sr-Latn-ME" w:eastAsia="ar-SA"/>
        </w:rPr>
        <w:t>a</w:t>
      </w:r>
      <w:r w:rsidRPr="00D264F7">
        <w:rPr>
          <w:rFonts w:eastAsia="SimSun"/>
          <w:sz w:val="22"/>
          <w:szCs w:val="22"/>
          <w:lang w:val="sr-Latn-ME" w:eastAsia="ar-SA"/>
        </w:rPr>
        <w:t xml:space="preserve"> bi</w:t>
      </w:r>
      <w:r w:rsidR="00C6671E" w:rsidRPr="00D264F7">
        <w:rPr>
          <w:rFonts w:eastAsia="SimSun"/>
          <w:sz w:val="22"/>
          <w:szCs w:val="22"/>
          <w:lang w:val="sr-Latn-ME" w:eastAsia="ar-SA"/>
        </w:rPr>
        <w:t>la</w:t>
      </w:r>
      <w:r w:rsidRPr="00D264F7">
        <w:rPr>
          <w:rFonts w:eastAsia="SimSun"/>
          <w:sz w:val="22"/>
          <w:szCs w:val="22"/>
          <w:lang w:val="sr-Latn-ME" w:eastAsia="ar-SA"/>
        </w:rPr>
        <w:t xml:space="preserve"> je ud</w:t>
      </w:r>
      <w:r w:rsidR="008E43D6" w:rsidRPr="00D264F7">
        <w:rPr>
          <w:rFonts w:eastAsia="SimSun"/>
          <w:sz w:val="22"/>
          <w:szCs w:val="22"/>
          <w:lang w:val="sr-Latn-ME" w:eastAsia="ar-SA"/>
        </w:rPr>
        <w:t>i</w:t>
      </w:r>
      <w:r w:rsidRPr="00D264F7">
        <w:rPr>
          <w:rFonts w:eastAsia="SimSun"/>
          <w:sz w:val="22"/>
          <w:szCs w:val="22"/>
          <w:lang w:val="sr-Latn-ME" w:eastAsia="ar-SA"/>
        </w:rPr>
        <w:t>o pacijenata bez novih ili novo proširenih hiperintenzivnih T2 lezija na MR snimkama mozga u 96. ned</w:t>
      </w:r>
      <w:r w:rsidR="005729C0">
        <w:rPr>
          <w:rFonts w:eastAsia="SimSun"/>
          <w:sz w:val="22"/>
          <w:szCs w:val="22"/>
          <w:lang w:val="sr-Latn-ME" w:eastAsia="ar-SA"/>
        </w:rPr>
        <w:t>j</w:t>
      </w:r>
      <w:r w:rsidRPr="00D264F7">
        <w:rPr>
          <w:rFonts w:eastAsia="SimSun"/>
          <w:sz w:val="22"/>
          <w:szCs w:val="22"/>
          <w:lang w:val="sr-Latn-ME" w:eastAsia="ar-SA"/>
        </w:rPr>
        <w:t>elji. Glavn</w:t>
      </w:r>
      <w:r w:rsidR="00C6671E" w:rsidRPr="00D264F7">
        <w:rPr>
          <w:rFonts w:eastAsia="SimSun"/>
          <w:sz w:val="22"/>
          <w:szCs w:val="22"/>
          <w:lang w:val="sr-Latn-ME" w:eastAsia="ar-SA"/>
        </w:rPr>
        <w:t>a</w:t>
      </w:r>
      <w:r w:rsidRPr="00D264F7">
        <w:rPr>
          <w:rFonts w:eastAsia="SimSun"/>
          <w:sz w:val="22"/>
          <w:szCs w:val="22"/>
          <w:lang w:val="sr-Latn-ME" w:eastAsia="ar-SA"/>
        </w:rPr>
        <w:t xml:space="preserve"> </w:t>
      </w:r>
      <w:r w:rsidR="00C6671E" w:rsidRPr="00D264F7">
        <w:rPr>
          <w:rFonts w:eastAsia="SimSun"/>
          <w:sz w:val="22"/>
          <w:szCs w:val="22"/>
          <w:lang w:val="sr-Latn-ME" w:eastAsia="ar-SA"/>
        </w:rPr>
        <w:t xml:space="preserve">mjera </w:t>
      </w:r>
      <w:r w:rsidRPr="00D264F7">
        <w:rPr>
          <w:rFonts w:eastAsia="SimSun"/>
          <w:sz w:val="22"/>
          <w:szCs w:val="22"/>
          <w:lang w:val="sr-Latn-ME" w:eastAsia="ar-SA"/>
        </w:rPr>
        <w:t>sekundarn</w:t>
      </w:r>
      <w:r w:rsidR="00C6671E" w:rsidRPr="00D264F7">
        <w:rPr>
          <w:rFonts w:eastAsia="SimSun"/>
          <w:sz w:val="22"/>
          <w:szCs w:val="22"/>
          <w:lang w:val="sr-Latn-ME" w:eastAsia="ar-SA"/>
        </w:rPr>
        <w:t>og</w:t>
      </w:r>
      <w:r w:rsidRPr="00D264F7">
        <w:rPr>
          <w:rFonts w:eastAsia="SimSun"/>
          <w:sz w:val="22"/>
          <w:szCs w:val="22"/>
          <w:lang w:val="sr-Latn-ME" w:eastAsia="ar-SA"/>
        </w:rPr>
        <w:t xml:space="preserve"> ishod</w:t>
      </w:r>
      <w:r w:rsidR="00C6671E" w:rsidRPr="00D264F7">
        <w:rPr>
          <w:rFonts w:eastAsia="SimSun"/>
          <w:sz w:val="22"/>
          <w:szCs w:val="22"/>
          <w:lang w:val="sr-Latn-ME" w:eastAsia="ar-SA"/>
        </w:rPr>
        <w:t>a</w:t>
      </w:r>
      <w:r w:rsidRPr="00D264F7">
        <w:rPr>
          <w:rFonts w:eastAsia="SimSun"/>
          <w:sz w:val="22"/>
          <w:szCs w:val="22"/>
          <w:lang w:val="sr-Latn-ME" w:eastAsia="ar-SA"/>
        </w:rPr>
        <w:t xml:space="preserve"> bi</w:t>
      </w:r>
      <w:r w:rsidR="00C6671E" w:rsidRPr="00D264F7">
        <w:rPr>
          <w:rFonts w:eastAsia="SimSun"/>
          <w:sz w:val="22"/>
          <w:szCs w:val="22"/>
          <w:lang w:val="sr-Latn-ME" w:eastAsia="ar-SA"/>
        </w:rPr>
        <w:t>la</w:t>
      </w:r>
      <w:r w:rsidRPr="00D264F7">
        <w:rPr>
          <w:rFonts w:eastAsia="SimSun"/>
          <w:sz w:val="22"/>
          <w:szCs w:val="22"/>
          <w:lang w:val="sr-Latn-ME" w:eastAsia="ar-SA"/>
        </w:rPr>
        <w:t xml:space="preserve"> je broj novih ili novo proširenih hiperintenzivnih T2 lezija na MR snimkama mozga u 96. ned</w:t>
      </w:r>
      <w:r w:rsidR="008E43D6" w:rsidRPr="00D264F7">
        <w:rPr>
          <w:rFonts w:eastAsia="SimSun"/>
          <w:sz w:val="22"/>
          <w:szCs w:val="22"/>
          <w:lang w:val="sr-Latn-ME" w:eastAsia="ar-SA"/>
        </w:rPr>
        <w:t>j</w:t>
      </w:r>
      <w:r w:rsidRPr="00D264F7">
        <w:rPr>
          <w:rFonts w:eastAsia="SimSun"/>
          <w:sz w:val="22"/>
          <w:szCs w:val="22"/>
          <w:lang w:val="sr-Latn-ME" w:eastAsia="ar-SA"/>
        </w:rPr>
        <w:t>elji. Podaci su obrađeni deskriptivnom statistikom, jer za primarn</w:t>
      </w:r>
      <w:r w:rsidR="00C6671E" w:rsidRPr="00D264F7">
        <w:rPr>
          <w:rFonts w:eastAsia="SimSun"/>
          <w:sz w:val="22"/>
          <w:szCs w:val="22"/>
          <w:lang w:val="sr-Latn-ME" w:eastAsia="ar-SA"/>
        </w:rPr>
        <w:t>u mjeru</w:t>
      </w:r>
      <w:r w:rsidRPr="00D264F7">
        <w:rPr>
          <w:rFonts w:eastAsia="SimSun"/>
          <w:sz w:val="22"/>
          <w:szCs w:val="22"/>
          <w:lang w:val="sr-Latn-ME" w:eastAsia="ar-SA"/>
        </w:rPr>
        <w:t xml:space="preserve"> ishod</w:t>
      </w:r>
      <w:r w:rsidR="00C6671E" w:rsidRPr="00D264F7">
        <w:rPr>
          <w:rFonts w:eastAsia="SimSun"/>
          <w:sz w:val="22"/>
          <w:szCs w:val="22"/>
          <w:lang w:val="sr-Latn-ME" w:eastAsia="ar-SA"/>
        </w:rPr>
        <w:t>a</w:t>
      </w:r>
      <w:r w:rsidRPr="00D264F7">
        <w:rPr>
          <w:rFonts w:eastAsia="SimSun"/>
          <w:sz w:val="22"/>
          <w:szCs w:val="22"/>
          <w:lang w:val="sr-Latn-ME" w:eastAsia="ar-SA"/>
        </w:rPr>
        <w:t xml:space="preserve"> nije bilo unapred planirane potvrdne hipoteze. </w:t>
      </w:r>
    </w:p>
    <w:p w14:paraId="2B0BA621" w14:textId="77777777" w:rsidR="00C6671E" w:rsidRPr="00D264F7" w:rsidRDefault="00C6671E">
      <w:pPr>
        <w:tabs>
          <w:tab w:val="left" w:pos="284"/>
        </w:tabs>
        <w:jc w:val="both"/>
        <w:rPr>
          <w:rFonts w:eastAsia="SimSun"/>
          <w:sz w:val="22"/>
          <w:szCs w:val="22"/>
          <w:lang w:val="sr-Latn-ME" w:eastAsia="ar-SA"/>
        </w:rPr>
      </w:pPr>
    </w:p>
    <w:p w14:paraId="776B9FC4" w14:textId="4A72538E" w:rsidR="00970663" w:rsidRPr="00D264F7" w:rsidRDefault="00970663">
      <w:pPr>
        <w:tabs>
          <w:tab w:val="left" w:pos="284"/>
        </w:tabs>
        <w:jc w:val="both"/>
        <w:rPr>
          <w:rFonts w:eastAsia="SimSun"/>
          <w:sz w:val="22"/>
          <w:szCs w:val="22"/>
          <w:lang w:val="sr-Latn-ME" w:eastAsia="ar-SA"/>
        </w:rPr>
      </w:pPr>
      <w:r w:rsidRPr="00D264F7">
        <w:rPr>
          <w:rFonts w:eastAsia="SimSun"/>
          <w:sz w:val="22"/>
          <w:szCs w:val="22"/>
          <w:lang w:val="sr-Latn-ME" w:eastAsia="ar-SA"/>
        </w:rPr>
        <w:t>Ud</w:t>
      </w:r>
      <w:r w:rsidR="008E43D6" w:rsidRPr="00D264F7">
        <w:rPr>
          <w:rFonts w:eastAsia="SimSun"/>
          <w:sz w:val="22"/>
          <w:szCs w:val="22"/>
          <w:lang w:val="sr-Latn-ME" w:eastAsia="ar-SA"/>
        </w:rPr>
        <w:t>i</w:t>
      </w:r>
      <w:r w:rsidRPr="00D264F7">
        <w:rPr>
          <w:rFonts w:eastAsia="SimSun"/>
          <w:sz w:val="22"/>
          <w:szCs w:val="22"/>
          <w:lang w:val="sr-Latn-ME" w:eastAsia="ar-SA"/>
        </w:rPr>
        <w:t>o pacijenata u ITT populaciji bez novih ili novo proširenih T2 lezija na MR snimkama u 96. ned</w:t>
      </w:r>
      <w:r w:rsidR="008E43D6" w:rsidRPr="00D264F7">
        <w:rPr>
          <w:rFonts w:eastAsia="SimSun"/>
          <w:sz w:val="22"/>
          <w:szCs w:val="22"/>
          <w:lang w:val="sr-Latn-ME" w:eastAsia="ar-SA"/>
        </w:rPr>
        <w:t>j</w:t>
      </w:r>
      <w:r w:rsidRPr="00D264F7">
        <w:rPr>
          <w:rFonts w:eastAsia="SimSun"/>
          <w:sz w:val="22"/>
          <w:szCs w:val="22"/>
          <w:lang w:val="sr-Latn-ME" w:eastAsia="ar-SA"/>
        </w:rPr>
        <w:t>elji u odnosu na početni broj iznosio je 12,8% u grupi koja je primala dimetil fumarat u odnosu na 2,8% u grupi koja je primala interferon beta-1a. Pros</w:t>
      </w:r>
      <w:r w:rsidR="008E43D6" w:rsidRPr="00D264F7">
        <w:rPr>
          <w:rFonts w:eastAsia="SimSun"/>
          <w:sz w:val="22"/>
          <w:szCs w:val="22"/>
          <w:lang w:val="sr-Latn-ME" w:eastAsia="ar-SA"/>
        </w:rPr>
        <w:t>j</w:t>
      </w:r>
      <w:r w:rsidRPr="00D264F7">
        <w:rPr>
          <w:rFonts w:eastAsia="SimSun"/>
          <w:sz w:val="22"/>
          <w:szCs w:val="22"/>
          <w:lang w:val="sr-Latn-ME" w:eastAsia="ar-SA"/>
        </w:rPr>
        <w:t>ečni broj novih ili novo proširenih T2 lezija u 96. ned</w:t>
      </w:r>
      <w:r w:rsidR="008E43D6" w:rsidRPr="00D264F7">
        <w:rPr>
          <w:rFonts w:eastAsia="SimSun"/>
          <w:sz w:val="22"/>
          <w:szCs w:val="22"/>
          <w:lang w:val="sr-Latn-ME" w:eastAsia="ar-SA"/>
        </w:rPr>
        <w:t>j</w:t>
      </w:r>
      <w:r w:rsidRPr="00D264F7">
        <w:rPr>
          <w:rFonts w:eastAsia="SimSun"/>
          <w:sz w:val="22"/>
          <w:szCs w:val="22"/>
          <w:lang w:val="sr-Latn-ME" w:eastAsia="ar-SA"/>
        </w:rPr>
        <w:t xml:space="preserve">elji u odnosu na početni broj, prilagođen za broj T2 lezija na početku i uzrast (ITT populacija isključujući pacijente bez MR pretraga) bio je 12,4 za dimetil fumarat i 32,6 za interferon beta-1a. </w:t>
      </w:r>
    </w:p>
    <w:p w14:paraId="1EFC4CA0" w14:textId="77777777" w:rsidR="00C6671E" w:rsidRPr="00D264F7" w:rsidRDefault="00C6671E">
      <w:pPr>
        <w:tabs>
          <w:tab w:val="left" w:pos="284"/>
        </w:tabs>
        <w:jc w:val="both"/>
        <w:rPr>
          <w:rFonts w:eastAsia="SimSun"/>
          <w:sz w:val="22"/>
          <w:szCs w:val="22"/>
          <w:lang w:val="sr-Latn-ME" w:eastAsia="ar-SA"/>
        </w:rPr>
      </w:pPr>
    </w:p>
    <w:p w14:paraId="76DD22C7" w14:textId="65EF36BE" w:rsidR="00970663" w:rsidRPr="00D264F7" w:rsidRDefault="00970663">
      <w:pPr>
        <w:tabs>
          <w:tab w:val="left" w:pos="284"/>
        </w:tabs>
        <w:jc w:val="both"/>
        <w:rPr>
          <w:rFonts w:eastAsia="SimSun"/>
          <w:sz w:val="22"/>
          <w:szCs w:val="22"/>
          <w:lang w:val="sr-Latn-ME" w:eastAsia="ar-SA"/>
        </w:rPr>
      </w:pPr>
      <w:r w:rsidRPr="00D264F7">
        <w:rPr>
          <w:rFonts w:eastAsia="SimSun"/>
          <w:sz w:val="22"/>
          <w:szCs w:val="22"/>
          <w:lang w:val="sr-Latn-ME" w:eastAsia="ar-SA"/>
        </w:rPr>
        <w:t>Do kraja 96-ned</w:t>
      </w:r>
      <w:r w:rsidR="008E43D6" w:rsidRPr="00D264F7">
        <w:rPr>
          <w:rFonts w:eastAsia="SimSun"/>
          <w:sz w:val="22"/>
          <w:szCs w:val="22"/>
          <w:lang w:val="sr-Latn-ME" w:eastAsia="ar-SA"/>
        </w:rPr>
        <w:t>j</w:t>
      </w:r>
      <w:r w:rsidRPr="00D264F7">
        <w:rPr>
          <w:rFonts w:eastAsia="SimSun"/>
          <w:sz w:val="22"/>
          <w:szCs w:val="22"/>
          <w:lang w:val="sr-Latn-ME" w:eastAsia="ar-SA"/>
        </w:rPr>
        <w:t>eljnog otvorenog ispitivanja, v</w:t>
      </w:r>
      <w:r w:rsidR="008E43D6" w:rsidRPr="00D264F7">
        <w:rPr>
          <w:rFonts w:eastAsia="SimSun"/>
          <w:sz w:val="22"/>
          <w:szCs w:val="22"/>
          <w:lang w:val="sr-Latn-ME" w:eastAsia="ar-SA"/>
        </w:rPr>
        <w:t>j</w:t>
      </w:r>
      <w:r w:rsidRPr="00D264F7">
        <w:rPr>
          <w:rFonts w:eastAsia="SimSun"/>
          <w:sz w:val="22"/>
          <w:szCs w:val="22"/>
          <w:lang w:val="sr-Latn-ME" w:eastAsia="ar-SA"/>
        </w:rPr>
        <w:t xml:space="preserve">erovatnoća kliničkog relapsa bila je 34% u grupi koja je primala dimetil fumarat i 48% u grupi koja je primala interferon beta-1a. </w:t>
      </w:r>
    </w:p>
    <w:p w14:paraId="2513F775" w14:textId="77777777" w:rsidR="00C6671E" w:rsidRPr="00D264F7" w:rsidRDefault="00C6671E">
      <w:pPr>
        <w:tabs>
          <w:tab w:val="left" w:pos="284"/>
        </w:tabs>
        <w:jc w:val="both"/>
        <w:rPr>
          <w:rFonts w:eastAsia="SimSun"/>
          <w:sz w:val="22"/>
          <w:szCs w:val="22"/>
          <w:lang w:val="sr-Latn-ME" w:eastAsia="ar-SA"/>
        </w:rPr>
      </w:pPr>
    </w:p>
    <w:p w14:paraId="524D7422" w14:textId="5AB24CE6" w:rsidR="00970663" w:rsidRPr="00D264F7" w:rsidRDefault="00970663">
      <w:pPr>
        <w:widowControl w:val="0"/>
        <w:suppressLineNumbers/>
        <w:spacing w:line="259" w:lineRule="auto"/>
        <w:jc w:val="both"/>
        <w:rPr>
          <w:rFonts w:eastAsiaTheme="minorHAnsi"/>
          <w:sz w:val="22"/>
          <w:szCs w:val="22"/>
          <w:u w:val="single"/>
          <w:lang w:val="sr-Latn-ME"/>
        </w:rPr>
      </w:pPr>
      <w:r w:rsidRPr="00D264F7">
        <w:rPr>
          <w:rFonts w:eastAsia="SimSun"/>
          <w:sz w:val="22"/>
          <w:szCs w:val="22"/>
          <w:lang w:val="sr-Latn-ME" w:eastAsia="ar-SA"/>
        </w:rPr>
        <w:t>Bezb</w:t>
      </w:r>
      <w:r w:rsidR="008E43D6" w:rsidRPr="00D264F7">
        <w:rPr>
          <w:rFonts w:eastAsia="SimSun"/>
          <w:sz w:val="22"/>
          <w:szCs w:val="22"/>
          <w:lang w:val="sr-Latn-ME" w:eastAsia="ar-SA"/>
        </w:rPr>
        <w:t>j</w:t>
      </w:r>
      <w:r w:rsidRPr="00D264F7">
        <w:rPr>
          <w:rFonts w:eastAsia="SimSun"/>
          <w:sz w:val="22"/>
          <w:szCs w:val="22"/>
          <w:lang w:val="sr-Latn-ME" w:eastAsia="ar-SA"/>
        </w:rPr>
        <w:t>ednosni profil kod pedijatrijskih pacijenata (uzrasta od 13 do manje od 18 godina) koji su primali l</w:t>
      </w:r>
      <w:r w:rsidR="008E43D6" w:rsidRPr="00D264F7">
        <w:rPr>
          <w:rFonts w:eastAsia="SimSun"/>
          <w:sz w:val="22"/>
          <w:szCs w:val="22"/>
          <w:lang w:val="sr-Latn-ME" w:eastAsia="ar-SA"/>
        </w:rPr>
        <w:t>ij</w:t>
      </w:r>
      <w:r w:rsidRPr="00D264F7">
        <w:rPr>
          <w:rFonts w:eastAsia="SimSun"/>
          <w:sz w:val="22"/>
          <w:szCs w:val="22"/>
          <w:lang w:val="sr-Latn-ME" w:eastAsia="ar-SA"/>
        </w:rPr>
        <w:t>ek Tecfidera kvalitativno je bio konzistentan sa onim koji je ranije prim</w:t>
      </w:r>
      <w:r w:rsidR="008E43D6" w:rsidRPr="00D264F7">
        <w:rPr>
          <w:rFonts w:eastAsia="SimSun"/>
          <w:sz w:val="22"/>
          <w:szCs w:val="22"/>
          <w:lang w:val="sr-Latn-ME" w:eastAsia="ar-SA"/>
        </w:rPr>
        <w:t>ij</w:t>
      </w:r>
      <w:r w:rsidRPr="00D264F7">
        <w:rPr>
          <w:rFonts w:eastAsia="SimSun"/>
          <w:sz w:val="22"/>
          <w:szCs w:val="22"/>
          <w:lang w:val="sr-Latn-ME" w:eastAsia="ar-SA"/>
        </w:rPr>
        <w:t>ećen kod odraslih pacijenata (vidjeti dio 4.8).</w:t>
      </w:r>
      <w:bookmarkEnd w:id="0"/>
    </w:p>
    <w:p w14:paraId="57D09A94" w14:textId="3887A7D1" w:rsidR="00C01093" w:rsidRDefault="00C01093">
      <w:pPr>
        <w:rPr>
          <w:b/>
          <w:bCs/>
          <w:sz w:val="22"/>
          <w:szCs w:val="22"/>
          <w:lang w:val="sr-Latn-ME"/>
        </w:rPr>
      </w:pPr>
      <w:r>
        <w:rPr>
          <w:b/>
          <w:bCs/>
          <w:sz w:val="22"/>
          <w:szCs w:val="22"/>
          <w:lang w:val="sr-Latn-ME"/>
        </w:rPr>
        <w:br w:type="page"/>
      </w:r>
    </w:p>
    <w:p w14:paraId="78C71566"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lastRenderedPageBreak/>
        <w:t xml:space="preserve">5.2. </w:t>
      </w:r>
      <w:r w:rsidR="00480FB1" w:rsidRPr="00D264F7">
        <w:rPr>
          <w:b/>
          <w:bCs/>
          <w:sz w:val="22"/>
          <w:szCs w:val="22"/>
          <w:lang w:val="sr-Latn-ME"/>
        </w:rPr>
        <w:tab/>
      </w:r>
      <w:r w:rsidRPr="00D264F7">
        <w:rPr>
          <w:b/>
          <w:bCs/>
          <w:sz w:val="22"/>
          <w:szCs w:val="22"/>
          <w:lang w:val="sr-Latn-ME"/>
        </w:rPr>
        <w:t>Farmakokinetički podaci</w:t>
      </w:r>
      <w:r w:rsidR="003A7059" w:rsidRPr="00D264F7">
        <w:rPr>
          <w:b/>
          <w:bCs/>
          <w:sz w:val="22"/>
          <w:szCs w:val="22"/>
          <w:lang w:val="sr-Latn-ME"/>
        </w:rPr>
        <w:t xml:space="preserve"> </w:t>
      </w:r>
    </w:p>
    <w:p w14:paraId="088CF101" w14:textId="77777777" w:rsidR="0072020E" w:rsidRPr="00D264F7" w:rsidRDefault="0072020E">
      <w:pPr>
        <w:tabs>
          <w:tab w:val="left" w:pos="540"/>
          <w:tab w:val="left" w:pos="569"/>
        </w:tabs>
        <w:jc w:val="both"/>
        <w:rPr>
          <w:bCs/>
          <w:sz w:val="22"/>
          <w:szCs w:val="22"/>
          <w:lang w:val="sr-Latn-ME"/>
        </w:rPr>
      </w:pPr>
    </w:p>
    <w:p w14:paraId="22066C16" w14:textId="77777777" w:rsidR="00BD782B" w:rsidRPr="00D264F7" w:rsidRDefault="00BD782B">
      <w:pPr>
        <w:widowControl w:val="0"/>
        <w:suppressLineNumbers/>
        <w:jc w:val="both"/>
        <w:rPr>
          <w:rFonts w:eastAsiaTheme="minorHAnsi"/>
          <w:sz w:val="22"/>
          <w:szCs w:val="22"/>
          <w:u w:val="single"/>
          <w:lang w:val="sr-Latn-ME"/>
        </w:rPr>
      </w:pPr>
      <w:r w:rsidRPr="00D264F7">
        <w:rPr>
          <w:rFonts w:eastAsiaTheme="minorHAnsi"/>
          <w:sz w:val="22"/>
          <w:szCs w:val="22"/>
          <w:lang w:val="sr-Latn-ME"/>
        </w:rPr>
        <w:t>Oralno primijenjen dimetilfumarat prolazi brzu presistemsku hidrolizu pomoću esteraza i pretvara se u svoj primarni metabolit, monometilfumarat, koji je takođe aktivan. Dimetilfumarat se ne može kvantifikovati u plazmi nakon oralne primjene lijeka Tecfidera. Prema tome, sve farmakokinetičke analize u odnosu na dimetilfumarat su obavljene sa plazma koncentracijama monometilfumarata. Farmakokinetički podaci su dobijeni kod ispitanika sa multiplom sklerozom i kod zdravih dobrovoljaca.</w:t>
      </w:r>
    </w:p>
    <w:p w14:paraId="6B6D4EB9"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5B71FB07"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Resorpcija</w:t>
      </w:r>
    </w:p>
    <w:p w14:paraId="3EB82411"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394C88ED"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T</w:t>
      </w:r>
      <w:r w:rsidRPr="00D264F7">
        <w:rPr>
          <w:rFonts w:eastAsiaTheme="minorHAnsi"/>
          <w:sz w:val="22"/>
          <w:szCs w:val="22"/>
          <w:vertAlign w:val="subscript"/>
          <w:lang w:val="sr-Latn-ME"/>
        </w:rPr>
        <w:t>max</w:t>
      </w:r>
      <w:r w:rsidRPr="00D264F7">
        <w:rPr>
          <w:rFonts w:eastAsiaTheme="minorHAnsi"/>
          <w:sz w:val="22"/>
          <w:szCs w:val="22"/>
          <w:lang w:val="sr-Latn-ME"/>
        </w:rPr>
        <w:t xml:space="preserve"> monometilfumarata je 2 do 2,5 sati. Budući da lijek Tecfidera, gastrorezistentne kapsule, tvrde, sadrži mikrotablete koje su zaštićene acidorezistentnim omotačem, resorpcija ne započinje sve dok kapsule ne napuste želudac (generalno manje od 1 sata). Nakon što su ispitanici sa multiplom sklerozom uzimali lijek od 240 mg dva puta dnevno sa hranom, medijana maksimalne vrijednosti (C</w:t>
      </w:r>
      <w:r w:rsidRPr="00D264F7">
        <w:rPr>
          <w:rFonts w:eastAsiaTheme="minorHAnsi"/>
          <w:sz w:val="22"/>
          <w:szCs w:val="22"/>
          <w:vertAlign w:val="subscript"/>
          <w:lang w:val="sr-Latn-ME"/>
        </w:rPr>
        <w:t>max</w:t>
      </w:r>
      <w:r w:rsidRPr="00D264F7">
        <w:rPr>
          <w:rFonts w:eastAsiaTheme="minorHAnsi"/>
          <w:sz w:val="22"/>
          <w:szCs w:val="22"/>
          <w:lang w:val="sr-Latn-ME"/>
        </w:rPr>
        <w:t>) je bila 1,72 mg/L, a ukupna površina ispod krive (PIK) izloženost je bila 8,02 h.mg/L. C</w:t>
      </w:r>
      <w:r w:rsidRPr="00D264F7">
        <w:rPr>
          <w:rFonts w:eastAsiaTheme="minorHAnsi"/>
          <w:sz w:val="22"/>
          <w:szCs w:val="22"/>
          <w:vertAlign w:val="subscript"/>
          <w:lang w:val="sr-Latn-ME"/>
        </w:rPr>
        <w:t>max</w:t>
      </w:r>
      <w:r w:rsidRPr="00D264F7">
        <w:rPr>
          <w:rFonts w:eastAsiaTheme="minorHAnsi"/>
          <w:sz w:val="22"/>
          <w:szCs w:val="22"/>
          <w:lang w:val="sr-Latn-ME"/>
        </w:rPr>
        <w:t xml:space="preserve"> i PIK generalno su se povećavali približno proporcionalno dozi u ispitivanom rasponu (120 mg do 360 mg). Kod ispitanika sa multiplom sklerozom, dvije doze od 240 mg su primijenjene u razmaku od 4 sata, kao dio rasporeda doziranja od tri puta dnevno. To je dovelo do minimalne akumulacije izloženosti, doprinoseći povećanju medijane Cmax od 12% u odnosu na doziranje od dva puta dnevno (1,72 mg /L za dva puta dnevno u poređenju sa 1,93 mg/L za tri puta dnevno) bez bezbjednosnih posljedica.</w:t>
      </w:r>
    </w:p>
    <w:p w14:paraId="482DC364"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1EAD9E42"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Hrana nema klinički značajan efekat na izloženost dimetilfumaratu. Međutim, lijek Tecfidera treba uzeti s hranom, jer se time poboljšava podnošljivost, s obzirom na crvenilo uz osjećaj vrućine ili gastrointestinalna neželjena dejstva (vidjeti dio 4.2).</w:t>
      </w:r>
    </w:p>
    <w:p w14:paraId="059D1608"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7662F264"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Distribucija</w:t>
      </w:r>
    </w:p>
    <w:p w14:paraId="4CF9DD17"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28A39173"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Prividni volumen raspodjele nakon oralne primjene 240 mg dimetilfumarata varira između 60 L i 90 L. Vezivanje monometilfumarata na proteine ljudske plazme generalno je između 27% i 40%.</w:t>
      </w:r>
    </w:p>
    <w:p w14:paraId="260FB74E"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43F7EC99"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Biotransformacija</w:t>
      </w:r>
    </w:p>
    <w:p w14:paraId="193C8B71"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42BE2A12"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 xml:space="preserve">Kod ljudi, dimetilfumarat je vrlo podložan metabolisanju, tako da se manje od 0,1% doze izlučuje u nepromijenjenom obliku u urin. Prije nego što dođe u sistemski krvotok, dimetilfumarat se početno metaboliše esterazama koje su rasprostranjene u gastrointestinalnom traktu, krvi i tkivima. Nakon toga, dimetilfumarat se metaboliše u ciklusu trikarboksilne kiseline bez posredovanja citohrom P450 (CYP) sistema. Ispitivanje jednokratnom dozom od 240 mg </w:t>
      </w:r>
      <w:r w:rsidRPr="00D264F7">
        <w:rPr>
          <w:rFonts w:eastAsiaTheme="minorHAnsi"/>
          <w:sz w:val="22"/>
          <w:szCs w:val="22"/>
          <w:vertAlign w:val="superscript"/>
          <w:lang w:val="sr-Latn-ME"/>
        </w:rPr>
        <w:t>14</w:t>
      </w:r>
      <w:r w:rsidRPr="00D264F7">
        <w:rPr>
          <w:rFonts w:eastAsiaTheme="minorHAnsi"/>
          <w:sz w:val="22"/>
          <w:szCs w:val="22"/>
          <w:lang w:val="sr-Latn-ME"/>
        </w:rPr>
        <w:t>C-dimetilfumarata je pokazalo da je glukoza predominantni metabolit u ljudskoj plazmi. Drugi cirkulišući metaboliti uključuju fumarnu kiselinu, citratnu kiselinu i monometilfumarat. Nizvodni metabolizam fumarne kiseline se odvija kroz ciklus trikarboksilne kiseline, tako da je izdisanje CO</w:t>
      </w:r>
      <w:r w:rsidRPr="00D264F7">
        <w:rPr>
          <w:rFonts w:eastAsiaTheme="minorHAnsi"/>
          <w:sz w:val="22"/>
          <w:szCs w:val="22"/>
          <w:vertAlign w:val="subscript"/>
          <w:lang w:val="sr-Latn-ME"/>
        </w:rPr>
        <w:t>2</w:t>
      </w:r>
      <w:r w:rsidRPr="00D264F7">
        <w:rPr>
          <w:rFonts w:eastAsiaTheme="minorHAnsi"/>
          <w:sz w:val="22"/>
          <w:szCs w:val="22"/>
          <w:lang w:val="sr-Latn-ME"/>
        </w:rPr>
        <w:t xml:space="preserve"> glavni put eliminacije.</w:t>
      </w:r>
    </w:p>
    <w:p w14:paraId="1460BAFA"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5DF1B267"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Eliminacija</w:t>
      </w:r>
    </w:p>
    <w:p w14:paraId="1C56125B"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2D0AE6FB"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Glavni put eliminacije dimetilfumarata je izdisanje CO</w:t>
      </w:r>
      <w:r w:rsidRPr="00D264F7">
        <w:rPr>
          <w:rFonts w:eastAsiaTheme="minorHAnsi"/>
          <w:sz w:val="22"/>
          <w:szCs w:val="22"/>
          <w:vertAlign w:val="subscript"/>
          <w:lang w:val="sr-Latn-ME"/>
        </w:rPr>
        <w:t xml:space="preserve">2, </w:t>
      </w:r>
      <w:r w:rsidRPr="00D264F7">
        <w:rPr>
          <w:rFonts w:eastAsiaTheme="minorHAnsi"/>
          <w:sz w:val="22"/>
          <w:szCs w:val="22"/>
          <w:lang w:val="sr-Latn-ME"/>
        </w:rPr>
        <w:t>čime se eliminiše 60% doze. Sekundarni putevi eliminacije su preko bubrega i fecesa, što čini 15,5% odnosno 0,9% doze.</w:t>
      </w:r>
    </w:p>
    <w:p w14:paraId="164BEE52"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7A029009" w14:textId="77CF5A1B"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 xml:space="preserve">Terminalno poluvrijeme eliminacije monometilfumarata je kratko (oko 1 sat), tako da nakon 24 sata kod većine pojedinaca nema cirkulišućeg monometilfumarata. U terapijskom režimu s višestrukim dozama dimetilfumarata ne dolazi do akumulacije </w:t>
      </w:r>
      <w:r w:rsidR="00366604">
        <w:rPr>
          <w:rFonts w:eastAsiaTheme="minorHAnsi"/>
          <w:sz w:val="22"/>
          <w:szCs w:val="22"/>
          <w:lang w:val="sr-Latn-ME"/>
        </w:rPr>
        <w:t>dimetilfumra</w:t>
      </w:r>
      <w:r w:rsidR="00BE2D69">
        <w:rPr>
          <w:rFonts w:eastAsiaTheme="minorHAnsi"/>
          <w:sz w:val="22"/>
          <w:szCs w:val="22"/>
          <w:lang w:val="sr-Latn-ME"/>
        </w:rPr>
        <w:t>t</w:t>
      </w:r>
      <w:r w:rsidR="00366604">
        <w:rPr>
          <w:rFonts w:eastAsiaTheme="minorHAnsi"/>
          <w:sz w:val="22"/>
          <w:szCs w:val="22"/>
          <w:lang w:val="sr-Latn-ME"/>
        </w:rPr>
        <w:t>a</w:t>
      </w:r>
      <w:r w:rsidRPr="00D264F7">
        <w:rPr>
          <w:rFonts w:eastAsiaTheme="minorHAnsi"/>
          <w:sz w:val="22"/>
          <w:szCs w:val="22"/>
          <w:lang w:val="sr-Latn-ME"/>
        </w:rPr>
        <w:t xml:space="preserve"> ili monometilfumarata.</w:t>
      </w:r>
    </w:p>
    <w:p w14:paraId="4F5C97B7"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2E35176E"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Linearnost</w:t>
      </w:r>
    </w:p>
    <w:p w14:paraId="45D0A988"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7104A6B0"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 xml:space="preserve">Izloženost dimetilfumaratu povećava se na približno dozno-zavistan proporcionalan način s </w:t>
      </w:r>
      <w:r w:rsidRPr="00D264F7">
        <w:rPr>
          <w:rFonts w:eastAsiaTheme="minorHAnsi"/>
          <w:sz w:val="22"/>
          <w:szCs w:val="22"/>
          <w:lang w:val="sr-Latn-ME"/>
        </w:rPr>
        <w:lastRenderedPageBreak/>
        <w:t>jednokratnim i višekratnim dozama u ispitivanom rasponu od 120 mg do 360 mg.</w:t>
      </w:r>
    </w:p>
    <w:p w14:paraId="5A7B976F"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526D73EF"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u w:val="single"/>
          <w:lang w:val="sr-Latn-ME"/>
        </w:rPr>
        <w:t>Farmakokinetika u posebnim grupama pacijenata</w:t>
      </w:r>
    </w:p>
    <w:p w14:paraId="4C058645"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0AFCD4DE"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Na osnovu rezultata analize varijanse (eng. Analysis of Variance, ANOVA), tjelesna težina je glavna kovarijanta izloženosti (prema C</w:t>
      </w:r>
      <w:r w:rsidRPr="00D264F7">
        <w:rPr>
          <w:rFonts w:eastAsiaTheme="minorHAnsi"/>
          <w:sz w:val="22"/>
          <w:szCs w:val="22"/>
          <w:vertAlign w:val="subscript"/>
          <w:lang w:val="sr-Latn-ME"/>
        </w:rPr>
        <w:t>max</w:t>
      </w:r>
      <w:r w:rsidRPr="00D264F7">
        <w:rPr>
          <w:rFonts w:eastAsiaTheme="minorHAnsi"/>
          <w:sz w:val="22"/>
          <w:szCs w:val="22"/>
          <w:lang w:val="sr-Latn-ME"/>
        </w:rPr>
        <w:t xml:space="preserve"> i PIK) kod ispitanika sa RRMS-om, ali ne utiče na mjere bezbjednosti i efikasnosti procijenjene u kliničkim ispitivanjima. </w:t>
      </w:r>
    </w:p>
    <w:p w14:paraId="207F0D49"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452D6BAE"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Pol i starost nisu imali klinički značajan uticaj na farmakokinetiku dimetilfumarata. Farmakokinetika kod pacijenata starih 65 i više godina nije ispitivana.</w:t>
      </w:r>
    </w:p>
    <w:p w14:paraId="7A88DAF5"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7AC12583"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i/>
          <w:sz w:val="22"/>
          <w:szCs w:val="22"/>
          <w:lang w:val="sr-Latn-ME"/>
        </w:rPr>
        <w:t>Oštećenje bubrega</w:t>
      </w:r>
    </w:p>
    <w:p w14:paraId="5EC90BD3"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61D77398"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Budući da je bubrežna eliminacija sekundarni put eliminacije dimetilfumarata, što čini manje od 16% primijenjene doze, procjena farmakokinetike kod pojedinaca s oštećenjem bubrega nije sprovedena.</w:t>
      </w:r>
    </w:p>
    <w:p w14:paraId="217A752C"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71EDE27C" w14:textId="77777777" w:rsidR="00BD782B" w:rsidRPr="00D264F7" w:rsidRDefault="00BD782B">
      <w:pPr>
        <w:widowControl w:val="0"/>
        <w:suppressLineNumbers/>
        <w:spacing w:line="259" w:lineRule="auto"/>
        <w:jc w:val="both"/>
        <w:rPr>
          <w:rFonts w:eastAsiaTheme="minorHAnsi"/>
          <w:sz w:val="22"/>
          <w:szCs w:val="22"/>
          <w:u w:val="single"/>
          <w:lang w:val="sr-Latn-ME"/>
        </w:rPr>
      </w:pPr>
      <w:r w:rsidRPr="00D264F7">
        <w:rPr>
          <w:rFonts w:eastAsiaTheme="minorHAnsi"/>
          <w:i/>
          <w:sz w:val="22"/>
          <w:szCs w:val="22"/>
          <w:lang w:val="sr-Latn-ME"/>
        </w:rPr>
        <w:t>Oštećenje jetre</w:t>
      </w:r>
    </w:p>
    <w:p w14:paraId="4E16B684" w14:textId="77777777" w:rsidR="00BD782B" w:rsidRPr="00D264F7" w:rsidRDefault="00BD782B">
      <w:pPr>
        <w:widowControl w:val="0"/>
        <w:suppressLineNumbers/>
        <w:spacing w:line="259" w:lineRule="auto"/>
        <w:jc w:val="both"/>
        <w:rPr>
          <w:rFonts w:eastAsiaTheme="minorHAnsi"/>
          <w:sz w:val="22"/>
          <w:szCs w:val="22"/>
          <w:u w:val="single"/>
          <w:lang w:val="sr-Latn-ME"/>
        </w:rPr>
      </w:pPr>
    </w:p>
    <w:p w14:paraId="5864CF60" w14:textId="77777777" w:rsidR="00BD782B"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Budući da esteraze metabolišu dimetilfumarat i monometilfumarat, bez posredovanja sistema CYP450, procjena farmakokinetike kod pojedinaca s oštećenjem jetre nije sprovedena.</w:t>
      </w:r>
    </w:p>
    <w:p w14:paraId="6426CEC3" w14:textId="77777777" w:rsidR="00F5681E" w:rsidRDefault="00F5681E">
      <w:pPr>
        <w:widowControl w:val="0"/>
        <w:suppressLineNumbers/>
        <w:spacing w:line="259" w:lineRule="auto"/>
        <w:jc w:val="both"/>
        <w:rPr>
          <w:rFonts w:eastAsiaTheme="minorHAnsi"/>
          <w:i/>
          <w:sz w:val="22"/>
          <w:szCs w:val="22"/>
          <w:lang w:val="sr-Latn-ME"/>
        </w:rPr>
      </w:pPr>
    </w:p>
    <w:p w14:paraId="1F700EF3" w14:textId="73FA4B47" w:rsidR="00F5681E" w:rsidRPr="00D264F7" w:rsidRDefault="00F5681E">
      <w:pPr>
        <w:widowControl w:val="0"/>
        <w:suppressLineNumbers/>
        <w:spacing w:line="259" w:lineRule="auto"/>
        <w:jc w:val="both"/>
        <w:rPr>
          <w:rFonts w:eastAsiaTheme="minorHAnsi"/>
          <w:sz w:val="22"/>
          <w:szCs w:val="22"/>
          <w:u w:val="single"/>
          <w:lang w:val="sr-Latn-ME"/>
        </w:rPr>
      </w:pPr>
      <w:r w:rsidRPr="00D264F7">
        <w:rPr>
          <w:rFonts w:eastAsiaTheme="minorHAnsi"/>
          <w:i/>
          <w:sz w:val="22"/>
          <w:szCs w:val="22"/>
          <w:lang w:val="sr-Latn-ME"/>
        </w:rPr>
        <w:t>Pedijatrijska populacija</w:t>
      </w:r>
    </w:p>
    <w:p w14:paraId="28FA527A" w14:textId="77777777" w:rsidR="00F5681E" w:rsidRPr="00D264F7" w:rsidRDefault="00F5681E">
      <w:pPr>
        <w:widowControl w:val="0"/>
        <w:suppressLineNumbers/>
        <w:spacing w:line="259" w:lineRule="auto"/>
        <w:jc w:val="both"/>
        <w:rPr>
          <w:rFonts w:eastAsiaTheme="minorHAnsi"/>
          <w:sz w:val="22"/>
          <w:szCs w:val="22"/>
          <w:u w:val="single"/>
          <w:lang w:val="sr-Latn-ME"/>
        </w:rPr>
      </w:pPr>
    </w:p>
    <w:p w14:paraId="263ACFC3" w14:textId="77777777" w:rsidR="00F5681E" w:rsidRPr="00D264F7" w:rsidRDefault="00F5681E">
      <w:pPr>
        <w:widowControl w:val="0"/>
        <w:suppressLineNumbers/>
        <w:spacing w:line="259" w:lineRule="auto"/>
        <w:jc w:val="both"/>
        <w:rPr>
          <w:rFonts w:eastAsiaTheme="minorHAnsi"/>
          <w:sz w:val="22"/>
          <w:szCs w:val="22"/>
          <w:u w:val="single"/>
          <w:lang w:val="sr-Latn-ME"/>
        </w:rPr>
      </w:pPr>
      <w:r w:rsidRPr="00D264F7">
        <w:rPr>
          <w:rFonts w:eastAsiaTheme="minorHAnsi"/>
          <w:sz w:val="22"/>
          <w:szCs w:val="22"/>
          <w:lang w:val="sr-Latn-ME"/>
        </w:rPr>
        <w:t>Farmakokinetički profil dimetilfumarata u dozi od 240 mg primjenjivanoj dva puta dnevno bio je procijenjen u malom, otvorenom, nekontrolisanom ispitivanju kod pacijenata sa RRMS-om uzrasta od 13 do 17 godina (n=21). Farmakokinetika lijeka Tecfidera kod ovih adolescentnih pacijenata bila je u skladu sa onom prethodno primijećenom kod odraslih pacijenata (Cmax: 2,00±1,29 mg/l; PIK0-12hr: 3,62±1,16 h.mg/l, što odgovara ukupnom dnevnom PIK u od 7,24 h.mg/l).</w:t>
      </w:r>
    </w:p>
    <w:p w14:paraId="184BA523" w14:textId="77777777" w:rsidR="0080276E" w:rsidRPr="00D264F7" w:rsidRDefault="0080276E">
      <w:pPr>
        <w:tabs>
          <w:tab w:val="left" w:pos="540"/>
          <w:tab w:val="left" w:pos="569"/>
        </w:tabs>
        <w:jc w:val="both"/>
        <w:rPr>
          <w:bCs/>
          <w:sz w:val="22"/>
          <w:szCs w:val="22"/>
          <w:lang w:val="sr-Latn-ME"/>
        </w:rPr>
      </w:pPr>
    </w:p>
    <w:p w14:paraId="47330B85"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5.3. </w:t>
      </w:r>
      <w:r w:rsidR="00480FB1" w:rsidRPr="00D264F7">
        <w:rPr>
          <w:b/>
          <w:bCs/>
          <w:sz w:val="22"/>
          <w:szCs w:val="22"/>
          <w:lang w:val="sr-Latn-ME"/>
        </w:rPr>
        <w:tab/>
      </w:r>
      <w:r w:rsidRPr="00D264F7">
        <w:rPr>
          <w:b/>
          <w:bCs/>
          <w:sz w:val="22"/>
          <w:szCs w:val="22"/>
          <w:lang w:val="sr-Latn-ME"/>
        </w:rPr>
        <w:t xml:space="preserve">Pretklinički podaci o bezbjednosti </w:t>
      </w:r>
    </w:p>
    <w:p w14:paraId="0C4DBCBE" w14:textId="77777777" w:rsidR="00836B35" w:rsidRPr="00D264F7" w:rsidRDefault="00836B35">
      <w:pPr>
        <w:tabs>
          <w:tab w:val="left" w:pos="540"/>
          <w:tab w:val="left" w:pos="569"/>
        </w:tabs>
        <w:jc w:val="both"/>
        <w:rPr>
          <w:bCs/>
          <w:sz w:val="22"/>
          <w:szCs w:val="22"/>
          <w:lang w:val="sr-Latn-ME"/>
        </w:rPr>
      </w:pPr>
    </w:p>
    <w:p w14:paraId="1D4E8D2F"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t>Neželjena dejstva opisana u djelovima Toksikologija i Reproduktivna toksičnost, u nastavku, nisu bila primijećena u kliničkim ispitivanjima, ali su viđena kod životinja na nivoima izloženosti sličnim kliničkim nivoima izloženosti.</w:t>
      </w:r>
    </w:p>
    <w:p w14:paraId="698AF47A"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12D1D333" w14:textId="1B8D190B" w:rsidR="00BD782B" w:rsidRPr="00D264F7" w:rsidRDefault="00F54F8D">
      <w:pPr>
        <w:tabs>
          <w:tab w:val="left" w:pos="540"/>
          <w:tab w:val="left" w:pos="569"/>
        </w:tabs>
        <w:spacing w:line="259" w:lineRule="auto"/>
        <w:jc w:val="both"/>
        <w:rPr>
          <w:rFonts w:eastAsiaTheme="minorHAnsi"/>
          <w:b/>
          <w:bCs/>
          <w:sz w:val="22"/>
          <w:szCs w:val="22"/>
          <w:lang w:val="sr-Latn-ME"/>
        </w:rPr>
      </w:pPr>
      <w:r w:rsidRPr="00F54F8D">
        <w:rPr>
          <w:rFonts w:eastAsiaTheme="minorHAnsi"/>
          <w:sz w:val="22"/>
          <w:szCs w:val="22"/>
          <w:u w:val="single"/>
          <w:lang w:val="sr-Latn-ME"/>
        </w:rPr>
        <w:t>Genotoksičnost</w:t>
      </w:r>
      <w:r w:rsidR="00BD782B" w:rsidRPr="00D264F7">
        <w:rPr>
          <w:rFonts w:eastAsiaTheme="minorHAnsi"/>
          <w:sz w:val="22"/>
          <w:szCs w:val="22"/>
          <w:u w:val="single"/>
          <w:lang w:val="sr-Latn-ME"/>
        </w:rPr>
        <w:t xml:space="preserve"> </w:t>
      </w:r>
    </w:p>
    <w:p w14:paraId="16A00E11"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1548610B"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t xml:space="preserve">Dimetilfumarat i monometilfumarat bili su negativni u nizu </w:t>
      </w:r>
      <w:r w:rsidRPr="00D264F7">
        <w:rPr>
          <w:rFonts w:eastAsiaTheme="minorHAnsi"/>
          <w:i/>
          <w:sz w:val="22"/>
          <w:szCs w:val="22"/>
          <w:lang w:val="sr-Latn-ME"/>
        </w:rPr>
        <w:t>in vitro</w:t>
      </w:r>
      <w:r w:rsidRPr="00D264F7">
        <w:rPr>
          <w:rFonts w:eastAsiaTheme="minorHAnsi"/>
          <w:sz w:val="22"/>
          <w:szCs w:val="22"/>
          <w:lang w:val="sr-Latn-ME"/>
        </w:rPr>
        <w:t xml:space="preserve"> testova za ispitivanje mutagenosti (Amesov test, hromozomska aberacija u ćelijama sisara). Dimetilfumarat je bio negativan u </w:t>
      </w:r>
      <w:r w:rsidRPr="00D264F7">
        <w:rPr>
          <w:rFonts w:eastAsiaTheme="minorHAnsi"/>
          <w:i/>
          <w:sz w:val="22"/>
          <w:szCs w:val="22"/>
          <w:lang w:val="sr-Latn-ME"/>
        </w:rPr>
        <w:t>in vivo</w:t>
      </w:r>
      <w:r w:rsidRPr="00D264F7">
        <w:rPr>
          <w:rFonts w:eastAsiaTheme="minorHAnsi"/>
          <w:sz w:val="22"/>
          <w:szCs w:val="22"/>
          <w:lang w:val="sr-Latn-ME"/>
        </w:rPr>
        <w:t xml:space="preserve"> mikronukleusnom testu kod pacova.</w:t>
      </w:r>
    </w:p>
    <w:p w14:paraId="14BFA5AF"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1743F761"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u w:val="single"/>
          <w:lang w:val="sr-Latn-ME"/>
        </w:rPr>
        <w:t>Karcinogeneza</w:t>
      </w:r>
    </w:p>
    <w:p w14:paraId="2575FEAF"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15677BAB" w14:textId="77777777" w:rsidR="00F54F8D" w:rsidRDefault="00BD782B">
      <w:pPr>
        <w:tabs>
          <w:tab w:val="left" w:pos="540"/>
          <w:tab w:val="left" w:pos="569"/>
        </w:tabs>
        <w:spacing w:line="259" w:lineRule="auto"/>
        <w:jc w:val="both"/>
        <w:rPr>
          <w:rFonts w:eastAsiaTheme="minorHAnsi"/>
          <w:sz w:val="22"/>
          <w:szCs w:val="22"/>
          <w:lang w:val="sr-Latn-ME"/>
        </w:rPr>
      </w:pPr>
      <w:r w:rsidRPr="00D264F7">
        <w:rPr>
          <w:rFonts w:eastAsiaTheme="minorHAnsi"/>
          <w:sz w:val="22"/>
          <w:szCs w:val="22"/>
          <w:lang w:val="sr-Latn-ME"/>
        </w:rPr>
        <w:t xml:space="preserve">Ispitivanja karcinogenosti dimetilfumarata sprovedena su u periodu do 2 godine kod miševa i pacova. Dimetilfumarat je primijenjen oralno u dozama od 25, 75, 200 i 400 mg/kg/dan kod miševa, i u dozama od 25, 50, 100 i 150 mg/kg/dan kod pacova. </w:t>
      </w:r>
    </w:p>
    <w:p w14:paraId="7D9C1190" w14:textId="77777777" w:rsidR="00F54F8D" w:rsidRDefault="00F54F8D">
      <w:pPr>
        <w:tabs>
          <w:tab w:val="left" w:pos="540"/>
          <w:tab w:val="left" w:pos="569"/>
        </w:tabs>
        <w:spacing w:line="259" w:lineRule="auto"/>
        <w:jc w:val="both"/>
        <w:rPr>
          <w:rFonts w:eastAsiaTheme="minorHAnsi"/>
          <w:sz w:val="22"/>
          <w:szCs w:val="22"/>
          <w:lang w:val="sr-Latn-ME"/>
        </w:rPr>
      </w:pPr>
    </w:p>
    <w:p w14:paraId="3AB84D20" w14:textId="03B62452"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t>Kod miševa, učestalost bubrežnog tubularnog karcinoma</w:t>
      </w:r>
      <w:r w:rsidR="00970663" w:rsidRPr="00D264F7">
        <w:rPr>
          <w:rFonts w:eastAsiaTheme="minorHAnsi"/>
          <w:sz w:val="22"/>
          <w:szCs w:val="22"/>
          <w:lang w:val="sr-Latn-ME"/>
        </w:rPr>
        <w:t xml:space="preserve"> i adenoma Levdigovih ćelija testisa</w:t>
      </w:r>
      <w:r w:rsidRPr="00D264F7">
        <w:rPr>
          <w:rFonts w:eastAsiaTheme="minorHAnsi"/>
          <w:sz w:val="22"/>
          <w:szCs w:val="22"/>
          <w:lang w:val="sr-Latn-ME"/>
        </w:rPr>
        <w:t xml:space="preserve"> bila je povećana kod 75 mg/kg/dan, pri ekvivalentnoj izloženosti (PIK) preporučene ljudske doze. Kod pacova, učestalost bubrežnog tubularnog karcinoma bila je povećana kod 100 mg/kg/dan, pri približno 2 puta većoj izloženosti od preporučene ljudske doze. Nije poznat značaj ovih nalaza za rizik po ljude.</w:t>
      </w:r>
    </w:p>
    <w:p w14:paraId="4B739E64"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2D902D08"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lastRenderedPageBreak/>
        <w:t xml:space="preserve">Učestalost papiloma skvamoznih ćelija i karcinoma nežljezdanog želuca (predželuca) bila je povećana pri ekvivalentnoj izloženosti preporučenoj ljudskoj dozi kod miševa i ispod izloženosti preporučenoj ljudskoj dozi kod pacova (na osnovu PIK). Predželudac kod glodara nema ekvivalenta kod ljudi. </w:t>
      </w:r>
    </w:p>
    <w:p w14:paraId="0F1C696C"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5004FBB9"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u w:val="single"/>
          <w:lang w:val="sr-Latn-ME"/>
        </w:rPr>
        <w:t>Toksikologija</w:t>
      </w:r>
    </w:p>
    <w:p w14:paraId="6A39B77B"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4340CA44"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t xml:space="preserve">Pretklinička ispitivanja sprovedena su kod glodara, kunića i majmuna sa suspenzijom dimetilfumarata (dimetilfumarat u 0,8% hidroksipropilmetilcelulozi) koja je primijenjena gastričnom sondom. Ispitivanje hronične toksičnosti kod pasa sprovedeno je oralnom primjenom kapsula dimetilfumarata. </w:t>
      </w:r>
    </w:p>
    <w:p w14:paraId="279C71B7"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37C3393F"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t xml:space="preserve">Primijećene su promjene na bubrezima nakon ponavljane oralne primjene dimetilfumarata kod miševa, pacova, pasa i majmuna. Kod svih vrsta životinja primijećena je regeneracija bubrežnog tubularnog epitela, što upućuje na pojavu povrede. Kod pacova s doživotnim doziranjem (2-godišnje ispitivanje) primijećena je bubrežna tubularna hiperplazija. Kod pasa koji su dnevne oralne doze dimetilfumarata primali 11 mjeseci, granica izračunata za kortikalnu atrofiju primijećena je na osnovu PIK kod doze 3 puta veće od preporučene. Kod majmuna koji su dnevne oralne doze dimetilfumarata primali 12 mjeseci, nekroza pojedinih ćelija primijećena je na osnovu PIK kod doze 2 puta veće od preporučene. Intersticijska fibroza i kortikalna atrofija primijećene su na osnovu PIK kod doze 6 puta veće od preporučene. Nije poznat značaj ovih nalaza za ljude. </w:t>
      </w:r>
    </w:p>
    <w:p w14:paraId="5777EF77" w14:textId="77777777" w:rsidR="00BD782B" w:rsidRPr="00D264F7" w:rsidRDefault="00BD782B">
      <w:pPr>
        <w:tabs>
          <w:tab w:val="left" w:pos="540"/>
          <w:tab w:val="left" w:pos="569"/>
        </w:tabs>
        <w:spacing w:line="259" w:lineRule="auto"/>
        <w:jc w:val="both"/>
        <w:rPr>
          <w:rFonts w:eastAsiaTheme="minorHAnsi"/>
          <w:b/>
          <w:bCs/>
          <w:sz w:val="22"/>
          <w:szCs w:val="22"/>
          <w:lang w:val="sr-Latn-ME"/>
        </w:rPr>
      </w:pPr>
    </w:p>
    <w:p w14:paraId="2F2A904F" w14:textId="77777777" w:rsidR="00BD782B" w:rsidRPr="00D264F7" w:rsidRDefault="00BD782B">
      <w:pPr>
        <w:tabs>
          <w:tab w:val="left" w:pos="540"/>
          <w:tab w:val="left" w:pos="569"/>
        </w:tabs>
        <w:spacing w:line="259" w:lineRule="auto"/>
        <w:jc w:val="both"/>
        <w:rPr>
          <w:rFonts w:eastAsiaTheme="minorHAnsi"/>
          <w:b/>
          <w:bCs/>
          <w:sz w:val="22"/>
          <w:szCs w:val="22"/>
          <w:lang w:val="sr-Latn-ME"/>
        </w:rPr>
      </w:pPr>
      <w:r w:rsidRPr="00D264F7">
        <w:rPr>
          <w:rFonts w:eastAsiaTheme="minorHAnsi"/>
          <w:sz w:val="22"/>
          <w:szCs w:val="22"/>
          <w:lang w:val="sr-Latn-ME"/>
        </w:rPr>
        <w:t>Primijećena je degeneracija seminifernog epitela u testisima pacova i pasa. Nalazi su primijećeni kod približne preporučene doze kod pacova i one 3 puta veće od preporučene doze kod pasa (na osnovu PIK). Nije poznat značaj ovih nalaza za ljude.</w:t>
      </w:r>
    </w:p>
    <w:p w14:paraId="5DA4F90D" w14:textId="77777777" w:rsidR="00F54F8D" w:rsidRDefault="00F54F8D">
      <w:pPr>
        <w:widowControl w:val="0"/>
        <w:suppressLineNumbers/>
        <w:spacing w:line="259" w:lineRule="auto"/>
        <w:jc w:val="both"/>
        <w:rPr>
          <w:rFonts w:eastAsiaTheme="minorHAnsi"/>
          <w:sz w:val="22"/>
          <w:szCs w:val="22"/>
          <w:lang w:val="sr-Latn-ME"/>
        </w:rPr>
      </w:pPr>
    </w:p>
    <w:p w14:paraId="0EEEE5A4" w14:textId="65508902"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U ispitivanjima u trajanju od 3 mjeseca ili dužim, nalazi u predželudcu miševa i pacova sastojali su se od hiperplazije skvamoznog epitela i hiperkeratoze, upale te papiloma skvamoznih ćelija i karcinoma. Predželudac miševa i pacova nema ekvivalenta kod ljudi.</w:t>
      </w:r>
    </w:p>
    <w:p w14:paraId="776F94AE" w14:textId="77777777" w:rsidR="0080276E" w:rsidRPr="00D264F7" w:rsidRDefault="0080276E">
      <w:pPr>
        <w:widowControl w:val="0"/>
        <w:suppressLineNumbers/>
        <w:spacing w:line="259" w:lineRule="auto"/>
        <w:jc w:val="both"/>
        <w:rPr>
          <w:rFonts w:eastAsiaTheme="minorHAnsi"/>
          <w:color w:val="800080"/>
          <w:sz w:val="22"/>
          <w:szCs w:val="22"/>
          <w:vertAlign w:val="subscript"/>
          <w:lang w:val="sr-Latn-ME"/>
        </w:rPr>
      </w:pPr>
    </w:p>
    <w:p w14:paraId="77195C79" w14:textId="65D1E925"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vanish/>
          <w:color w:val="800080"/>
          <w:sz w:val="22"/>
          <w:szCs w:val="22"/>
          <w:vertAlign w:val="subscript"/>
          <w:lang w:val="sr-Latn-ME"/>
        </w:rPr>
        <w:t xml:space="preserve"> </w:t>
      </w:r>
      <w:r w:rsidRPr="00D264F7">
        <w:rPr>
          <w:rFonts w:eastAsiaTheme="minorHAnsi"/>
          <w:sz w:val="22"/>
          <w:szCs w:val="22"/>
          <w:u w:val="single"/>
          <w:lang w:val="sr-Latn-ME"/>
        </w:rPr>
        <w:t xml:space="preserve">Reproduktivna </w:t>
      </w:r>
      <w:r w:rsidR="00D1709E">
        <w:rPr>
          <w:rFonts w:eastAsiaTheme="minorHAnsi"/>
          <w:sz w:val="22"/>
          <w:szCs w:val="22"/>
          <w:u w:val="single"/>
          <w:lang w:val="sr-Latn-ME"/>
        </w:rPr>
        <w:t xml:space="preserve">i razvojna </w:t>
      </w:r>
      <w:r w:rsidRPr="00D264F7">
        <w:rPr>
          <w:rFonts w:eastAsiaTheme="minorHAnsi"/>
          <w:sz w:val="22"/>
          <w:szCs w:val="22"/>
          <w:u w:val="single"/>
          <w:lang w:val="sr-Latn-ME"/>
        </w:rPr>
        <w:t>toksičnost</w:t>
      </w:r>
    </w:p>
    <w:p w14:paraId="22FD95A7" w14:textId="77777777" w:rsidR="00BD782B" w:rsidRPr="00D264F7" w:rsidRDefault="00BD782B">
      <w:pPr>
        <w:widowControl w:val="0"/>
        <w:suppressLineNumbers/>
        <w:spacing w:line="259" w:lineRule="auto"/>
        <w:jc w:val="both"/>
        <w:rPr>
          <w:rFonts w:eastAsiaTheme="minorHAnsi"/>
          <w:sz w:val="22"/>
          <w:szCs w:val="22"/>
          <w:lang w:val="sr-Latn-ME"/>
        </w:rPr>
      </w:pPr>
    </w:p>
    <w:p w14:paraId="7562FFB5"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Oralna primjena dimetilfumarata kod mužjaka pacova od 75, 250 i 375 mg/kg/dan prije i za vrijeme parenja nije imala uticaja na plodnost mužjaka do najviše testirane doze (najmanje 2 puta veće od preporučene doze na osnovu PIK). Oralna primjena dimetilfumarata kod ženki pacova od 25, 100 i 250 mg/kg/dan prije i za vrijeme parenja, i nastavkom do 7. dana gestacije, izazvala je smanjenje broja estrus faza po 14 dana, a povećala je broj životinja s dužim diestrusom pri najvišoj testiranoj dozi (11 puta većoj od preporučene doze na osnovu PIK). Međutim, ove promjene ne utiču na plodnost ili broj začetih vijabilnih fetusa.</w:t>
      </w:r>
    </w:p>
    <w:p w14:paraId="71F8AD00" w14:textId="77777777" w:rsidR="00BD782B" w:rsidRPr="00D264F7" w:rsidRDefault="00BD782B">
      <w:pPr>
        <w:widowControl w:val="0"/>
        <w:suppressLineNumbers/>
        <w:spacing w:line="259" w:lineRule="auto"/>
        <w:jc w:val="both"/>
        <w:rPr>
          <w:rFonts w:eastAsiaTheme="minorHAnsi"/>
          <w:sz w:val="22"/>
          <w:szCs w:val="22"/>
          <w:lang w:val="sr-Latn-ME"/>
        </w:rPr>
      </w:pPr>
    </w:p>
    <w:p w14:paraId="6C11C8B7"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Pokazano je da dimetilfumarat prelazi kroz membranu placente u krv fetusa kod pacova i kunića, sa odnosom plazma koncentracije fetusa prema majci 0,48 do 0,64 odnosno 0,1. Nisu zabilježene malformacije kod bilo koje doze dimetilfumarata kod pacova ili kunića. Primjena dimetilfumarata u oralnim dozama od 25, 100 i 250 mg/kg/dan gravidnim pacovima tokom perioda organogeneze dovela je do neželjenih dejstava kod majke kod doze 4 puta veće od preporučene na osnovu PIK i niske težine fetusa i usporenog okoštavanja (metatarzalne falange i falange zadnjih nogu) kod doze 11 puta veće od preporučene na osnovu PIK. Manja težina fetusa i usporeno okoštavanje smatrani su sekundarnim, zbog toksičnosti po majku (smanjena tjelesna težina i konzumacija hrane). </w:t>
      </w:r>
    </w:p>
    <w:p w14:paraId="014E0E18" w14:textId="77777777" w:rsidR="00BD782B" w:rsidRPr="00D264F7" w:rsidRDefault="00BD782B">
      <w:pPr>
        <w:widowControl w:val="0"/>
        <w:suppressLineNumbers/>
        <w:spacing w:line="259" w:lineRule="auto"/>
        <w:jc w:val="both"/>
        <w:rPr>
          <w:rFonts w:eastAsiaTheme="minorHAnsi"/>
          <w:sz w:val="22"/>
          <w:szCs w:val="22"/>
          <w:lang w:val="sr-Latn-ME"/>
        </w:rPr>
      </w:pPr>
    </w:p>
    <w:p w14:paraId="2A7F5AB4"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Oralna primjena dimetilfumarata od 25, 75 i 150 mg/kg/dan gravidnim ženkama kunića tokom organogeneze nije imala uticaja na embrio-fetalni razvoj, i dovela je do smanjenja tjelesne težine majke kod doze 7 puta veće od preporučene, i povećanog pobačaja kod doze 16 puta veće od preporučene na osnovu PIK.</w:t>
      </w:r>
    </w:p>
    <w:p w14:paraId="72C776C4" w14:textId="77777777" w:rsidR="00BD782B" w:rsidRPr="00D264F7" w:rsidRDefault="00BD782B">
      <w:pPr>
        <w:widowControl w:val="0"/>
        <w:suppressLineNumbers/>
        <w:spacing w:line="259" w:lineRule="auto"/>
        <w:jc w:val="both"/>
        <w:rPr>
          <w:rFonts w:eastAsiaTheme="minorHAnsi"/>
          <w:sz w:val="22"/>
          <w:szCs w:val="22"/>
          <w:lang w:val="sr-Latn-ME"/>
        </w:rPr>
      </w:pPr>
    </w:p>
    <w:p w14:paraId="69243E91" w14:textId="1E5CA0D8"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 xml:space="preserve">Oralna primjena dimetilfumarata od 25, 100 i 250 mg/kg/dan pacovima tokom gravidnosti i dojenja </w:t>
      </w:r>
      <w:r w:rsidRPr="00D264F7">
        <w:rPr>
          <w:rFonts w:eastAsiaTheme="minorHAnsi"/>
          <w:sz w:val="22"/>
          <w:szCs w:val="22"/>
          <w:lang w:val="sr-Latn-ME"/>
        </w:rPr>
        <w:lastRenderedPageBreak/>
        <w:t>dovela je do nižih tjelesnih težina u F1 potomstvu, i kašnjenja u seksualnom sazrijevanju F1 mužjaka kod doze 11 puta veće od preporučene na osnovu PIK. Nije bilo uticaja na plodnost u F1 potomstvu. Manja tjelesna težina potomstva smatrala se sekundarnom, zbog toksičnosti po majku.</w:t>
      </w:r>
    </w:p>
    <w:p w14:paraId="62934952" w14:textId="161EA113" w:rsidR="00970663" w:rsidRDefault="00970663">
      <w:pPr>
        <w:widowControl w:val="0"/>
        <w:suppressLineNumbers/>
        <w:spacing w:line="259" w:lineRule="auto"/>
        <w:jc w:val="both"/>
        <w:rPr>
          <w:rFonts w:eastAsiaTheme="minorHAnsi"/>
          <w:sz w:val="22"/>
          <w:szCs w:val="22"/>
          <w:lang w:val="sr-Latn-ME"/>
        </w:rPr>
      </w:pPr>
    </w:p>
    <w:p w14:paraId="30162255" w14:textId="156143A9" w:rsidR="00D1709E" w:rsidRDefault="00D1709E">
      <w:pPr>
        <w:widowControl w:val="0"/>
        <w:suppressLineNumbers/>
        <w:spacing w:line="259" w:lineRule="auto"/>
        <w:jc w:val="both"/>
        <w:rPr>
          <w:rFonts w:eastAsiaTheme="minorHAnsi"/>
          <w:sz w:val="22"/>
          <w:szCs w:val="22"/>
          <w:lang w:val="sr-Latn-ME"/>
        </w:rPr>
      </w:pPr>
      <w:r w:rsidRPr="00D1709E">
        <w:rPr>
          <w:rFonts w:eastAsiaTheme="minorHAnsi"/>
          <w:sz w:val="22"/>
          <w:szCs w:val="22"/>
          <w:lang w:val="sr-Latn-ME"/>
        </w:rPr>
        <w:t>Toksičnost u juvenilnih životinja</w:t>
      </w:r>
    </w:p>
    <w:p w14:paraId="4F6D75B2" w14:textId="77777777" w:rsidR="00D1709E" w:rsidRPr="00D264F7" w:rsidRDefault="00D1709E">
      <w:pPr>
        <w:widowControl w:val="0"/>
        <w:suppressLineNumbers/>
        <w:spacing w:line="259" w:lineRule="auto"/>
        <w:jc w:val="both"/>
        <w:rPr>
          <w:rFonts w:eastAsiaTheme="minorHAnsi"/>
          <w:sz w:val="22"/>
          <w:szCs w:val="22"/>
          <w:lang w:val="sr-Latn-ME"/>
        </w:rPr>
      </w:pPr>
    </w:p>
    <w:p w14:paraId="4AA57BC5" w14:textId="6E5A9722" w:rsidR="00970663" w:rsidRPr="00D264F7" w:rsidRDefault="00970663">
      <w:pPr>
        <w:widowControl w:val="0"/>
        <w:suppressLineNumbers/>
        <w:spacing w:line="259" w:lineRule="auto"/>
        <w:jc w:val="both"/>
        <w:rPr>
          <w:rFonts w:eastAsiaTheme="minorHAnsi"/>
          <w:sz w:val="22"/>
          <w:szCs w:val="22"/>
          <w:lang w:val="sr-Latn-ME"/>
        </w:rPr>
      </w:pPr>
      <w:r w:rsidRPr="00D264F7">
        <w:rPr>
          <w:bCs/>
          <w:sz w:val="22"/>
          <w:szCs w:val="22"/>
          <w:lang w:val="sr-Latn-ME"/>
        </w:rPr>
        <w:t>Dva ispitivanja toksičnosti sprovedena kod juvenilnih pacova sa dnevnom oralnom prim</w:t>
      </w:r>
      <w:r w:rsidR="002D7CC1" w:rsidRPr="00D264F7">
        <w:rPr>
          <w:bCs/>
          <w:sz w:val="22"/>
          <w:szCs w:val="22"/>
          <w:lang w:val="sr-Latn-ME"/>
        </w:rPr>
        <w:t>j</w:t>
      </w:r>
      <w:r w:rsidRPr="00D264F7">
        <w:rPr>
          <w:bCs/>
          <w:sz w:val="22"/>
          <w:szCs w:val="22"/>
          <w:lang w:val="sr-Latn-ME"/>
        </w:rPr>
        <w:t>enom dimetil fumarata od 28. do 90. – 93. dana posl</w:t>
      </w:r>
      <w:r w:rsidR="002D7CC1" w:rsidRPr="00D264F7">
        <w:rPr>
          <w:bCs/>
          <w:sz w:val="22"/>
          <w:szCs w:val="22"/>
          <w:lang w:val="sr-Latn-ME"/>
        </w:rPr>
        <w:t>ij</w:t>
      </w:r>
      <w:r w:rsidRPr="00D264F7">
        <w:rPr>
          <w:bCs/>
          <w:sz w:val="22"/>
          <w:szCs w:val="22"/>
          <w:lang w:val="sr-Latn-ME"/>
        </w:rPr>
        <w:t>e okota (što odgovara uzrastu od otprilike 3 godine i više kod ljudi) otkrila su toksičnost za ciljane organe, bubreg i predželudac, sličnu onoj primećenoj kod odraslih životinja. U prvom ispitivanju, dimetil fumarat nije uticao na razvoj, neuroponašanje ili plodnost kod mužjaka i ženki do najviše doze od 140 mg/kg/dan (približno 4,6 puta više od preporučene doze za ljude na osnovu ograničenih podataka PIK-a kod pedijatrijskih pacijenata). Isto tako, u drugom ispitivanju na mužjacima juvenilnih pacova ni</w:t>
      </w:r>
      <w:r w:rsidR="002D7CC1" w:rsidRPr="00D264F7">
        <w:rPr>
          <w:bCs/>
          <w:sz w:val="22"/>
          <w:szCs w:val="22"/>
          <w:lang w:val="sr-Latn-ME"/>
        </w:rPr>
        <w:t>je</w:t>
      </w:r>
      <w:r w:rsidRPr="00D264F7">
        <w:rPr>
          <w:bCs/>
          <w:sz w:val="22"/>
          <w:szCs w:val="22"/>
          <w:lang w:val="sr-Latn-ME"/>
        </w:rPr>
        <w:t>su primijećeni nikakvi efekti na reproduktivne i pomoćne organe do najviše doze dimetil fumarata od 375 mg/kg/dan (oko 15 puta pretpostavljene vr</w:t>
      </w:r>
      <w:r w:rsidR="002D7CC1" w:rsidRPr="00D264F7">
        <w:rPr>
          <w:bCs/>
          <w:sz w:val="22"/>
          <w:szCs w:val="22"/>
          <w:lang w:val="sr-Latn-ME"/>
        </w:rPr>
        <w:t>ij</w:t>
      </w:r>
      <w:r w:rsidRPr="00D264F7">
        <w:rPr>
          <w:bCs/>
          <w:sz w:val="22"/>
          <w:szCs w:val="22"/>
          <w:lang w:val="sr-Latn-ME"/>
        </w:rPr>
        <w:t>ednosti PIK-a pri preporučenoj pedijatrijskoj dozi). Međutim, smanjeni sadržaj minerala i gustoća kostiju u femuru i lumbalnim pršljenovima bili su evidentni kod mužjaka juvenilnih pacova. Denzitometrijske prom</w:t>
      </w:r>
      <w:r w:rsidR="002D7CC1" w:rsidRPr="00D264F7">
        <w:rPr>
          <w:bCs/>
          <w:sz w:val="22"/>
          <w:szCs w:val="22"/>
          <w:lang w:val="sr-Latn-ME"/>
        </w:rPr>
        <w:t>j</w:t>
      </w:r>
      <w:r w:rsidRPr="00D264F7">
        <w:rPr>
          <w:bCs/>
          <w:sz w:val="22"/>
          <w:szCs w:val="22"/>
          <w:lang w:val="sr-Latn-ME"/>
        </w:rPr>
        <w:t>ene kostiju prim</w:t>
      </w:r>
      <w:r w:rsidR="002D7CC1" w:rsidRPr="00D264F7">
        <w:rPr>
          <w:bCs/>
          <w:sz w:val="22"/>
          <w:szCs w:val="22"/>
          <w:lang w:val="sr-Latn-ME"/>
        </w:rPr>
        <w:t>ij</w:t>
      </w:r>
      <w:r w:rsidRPr="00D264F7">
        <w:rPr>
          <w:bCs/>
          <w:sz w:val="22"/>
          <w:szCs w:val="22"/>
          <w:lang w:val="sr-Latn-ME"/>
        </w:rPr>
        <w:t>ećene su kod juvenilnih pacova i nakon oralne prim</w:t>
      </w:r>
      <w:r w:rsidR="002D7CC1" w:rsidRPr="00D264F7">
        <w:rPr>
          <w:bCs/>
          <w:sz w:val="22"/>
          <w:szCs w:val="22"/>
          <w:lang w:val="sr-Latn-ME"/>
        </w:rPr>
        <w:t>j</w:t>
      </w:r>
      <w:r w:rsidRPr="00D264F7">
        <w:rPr>
          <w:bCs/>
          <w:sz w:val="22"/>
          <w:szCs w:val="22"/>
          <w:lang w:val="sr-Latn-ME"/>
        </w:rPr>
        <w:t>ene diroksimel fumarata, drugog estera fumarne kiseline koji se in vivo metabolizuje u isti aktivni metabolit monometil fumarat. NOAEL vr</w:t>
      </w:r>
      <w:r w:rsidR="002D7CC1" w:rsidRPr="00D264F7">
        <w:rPr>
          <w:bCs/>
          <w:sz w:val="22"/>
          <w:szCs w:val="22"/>
          <w:lang w:val="sr-Latn-ME"/>
        </w:rPr>
        <w:t>ij</w:t>
      </w:r>
      <w:r w:rsidRPr="00D264F7">
        <w:rPr>
          <w:bCs/>
          <w:sz w:val="22"/>
          <w:szCs w:val="22"/>
          <w:lang w:val="sr-Latn-ME"/>
        </w:rPr>
        <w:t>ednost denzitometrijskih prom</w:t>
      </w:r>
      <w:r w:rsidR="002D7CC1" w:rsidRPr="00D264F7">
        <w:rPr>
          <w:bCs/>
          <w:sz w:val="22"/>
          <w:szCs w:val="22"/>
          <w:lang w:val="sr-Latn-ME"/>
        </w:rPr>
        <w:t>j</w:t>
      </w:r>
      <w:r w:rsidRPr="00D264F7">
        <w:rPr>
          <w:bCs/>
          <w:sz w:val="22"/>
          <w:szCs w:val="22"/>
          <w:lang w:val="sr-Latn-ME"/>
        </w:rPr>
        <w:t>ena kod juvenilnih pacova je približno 1,5 puta veća od pretpostavljene vr</w:t>
      </w:r>
      <w:r w:rsidR="002D7CC1" w:rsidRPr="00D264F7">
        <w:rPr>
          <w:bCs/>
          <w:sz w:val="22"/>
          <w:szCs w:val="22"/>
          <w:lang w:val="sr-Latn-ME"/>
        </w:rPr>
        <w:t>ij</w:t>
      </w:r>
      <w:r w:rsidRPr="00D264F7">
        <w:rPr>
          <w:bCs/>
          <w:sz w:val="22"/>
          <w:szCs w:val="22"/>
          <w:lang w:val="sr-Latn-ME"/>
        </w:rPr>
        <w:t>ednosti PIK-a pri preporučenoj pedijatrijskoj dozi. Moguća je povezanost između efekata na kosti i manje t</w:t>
      </w:r>
      <w:r w:rsidR="002D7CC1" w:rsidRPr="00D264F7">
        <w:rPr>
          <w:bCs/>
          <w:sz w:val="22"/>
          <w:szCs w:val="22"/>
          <w:lang w:val="sr-Latn-ME"/>
        </w:rPr>
        <w:t>j</w:t>
      </w:r>
      <w:r w:rsidRPr="00D264F7">
        <w:rPr>
          <w:bCs/>
          <w:sz w:val="22"/>
          <w:szCs w:val="22"/>
          <w:lang w:val="sr-Latn-ME"/>
        </w:rPr>
        <w:t>elesne težine, ali se uloga direktnog efekta ne može isključiti. Nalazi na kostima od ograničenog su značaja za odrasle pacijente. Značaj za pedijatrijske pacijente nije poznat.</w:t>
      </w:r>
    </w:p>
    <w:p w14:paraId="2E811E90" w14:textId="79D754A4" w:rsidR="00396DFD" w:rsidRDefault="00396DFD">
      <w:pPr>
        <w:tabs>
          <w:tab w:val="left" w:pos="540"/>
          <w:tab w:val="left" w:pos="569"/>
        </w:tabs>
        <w:jc w:val="both"/>
        <w:rPr>
          <w:b/>
          <w:bCs/>
          <w:sz w:val="22"/>
          <w:szCs w:val="22"/>
          <w:lang w:val="sr-Latn-ME"/>
        </w:rPr>
      </w:pPr>
    </w:p>
    <w:p w14:paraId="54D712AF" w14:textId="77777777" w:rsidR="00C01093" w:rsidRPr="00D264F7" w:rsidRDefault="00C01093">
      <w:pPr>
        <w:tabs>
          <w:tab w:val="left" w:pos="540"/>
          <w:tab w:val="left" w:pos="569"/>
        </w:tabs>
        <w:jc w:val="both"/>
        <w:rPr>
          <w:b/>
          <w:bCs/>
          <w:sz w:val="22"/>
          <w:szCs w:val="22"/>
          <w:lang w:val="sr-Latn-ME"/>
        </w:rPr>
      </w:pPr>
    </w:p>
    <w:p w14:paraId="491C289C"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6. </w:t>
      </w:r>
      <w:r w:rsidR="00480FB1" w:rsidRPr="00D264F7">
        <w:rPr>
          <w:b/>
          <w:bCs/>
          <w:sz w:val="22"/>
          <w:szCs w:val="22"/>
          <w:lang w:val="sr-Latn-ME"/>
        </w:rPr>
        <w:tab/>
      </w:r>
      <w:r w:rsidRPr="00D264F7">
        <w:rPr>
          <w:b/>
          <w:bCs/>
          <w:sz w:val="22"/>
          <w:szCs w:val="22"/>
          <w:lang w:val="sr-Latn-ME"/>
        </w:rPr>
        <w:t>FARMACEUTSKI PODACI</w:t>
      </w:r>
    </w:p>
    <w:p w14:paraId="584ECB20" w14:textId="77777777" w:rsidR="00836B35" w:rsidRPr="00D264F7" w:rsidRDefault="00836B35">
      <w:pPr>
        <w:tabs>
          <w:tab w:val="left" w:pos="540"/>
          <w:tab w:val="left" w:pos="569"/>
        </w:tabs>
        <w:jc w:val="both"/>
        <w:rPr>
          <w:bCs/>
          <w:sz w:val="22"/>
          <w:szCs w:val="22"/>
          <w:lang w:val="sr-Latn-ME"/>
        </w:rPr>
      </w:pPr>
    </w:p>
    <w:p w14:paraId="61D37E63"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6.1. </w:t>
      </w:r>
      <w:r w:rsidR="00480FB1" w:rsidRPr="00D264F7">
        <w:rPr>
          <w:b/>
          <w:bCs/>
          <w:sz w:val="22"/>
          <w:szCs w:val="22"/>
          <w:lang w:val="sr-Latn-ME"/>
        </w:rPr>
        <w:tab/>
      </w:r>
      <w:r w:rsidRPr="00D264F7">
        <w:rPr>
          <w:b/>
          <w:bCs/>
          <w:sz w:val="22"/>
          <w:szCs w:val="22"/>
          <w:lang w:val="sr-Latn-ME"/>
        </w:rPr>
        <w:t>Lista pomoćnih supstanci</w:t>
      </w:r>
      <w:r w:rsidR="002E0135" w:rsidRPr="00D264F7">
        <w:rPr>
          <w:b/>
          <w:bCs/>
          <w:sz w:val="22"/>
          <w:szCs w:val="22"/>
          <w:lang w:val="sr-Latn-ME"/>
        </w:rPr>
        <w:t xml:space="preserve"> (ekscipijenasa)</w:t>
      </w:r>
    </w:p>
    <w:p w14:paraId="09A48E29" w14:textId="77777777" w:rsidR="0072020E" w:rsidRPr="00D264F7" w:rsidRDefault="0072020E">
      <w:pPr>
        <w:tabs>
          <w:tab w:val="left" w:pos="540"/>
          <w:tab w:val="left" w:pos="569"/>
        </w:tabs>
        <w:jc w:val="both"/>
        <w:rPr>
          <w:bCs/>
          <w:sz w:val="22"/>
          <w:szCs w:val="22"/>
          <w:lang w:val="sr-Latn-ME"/>
        </w:rPr>
      </w:pPr>
    </w:p>
    <w:p w14:paraId="08EE677B" w14:textId="00290D78" w:rsidR="00BD782B" w:rsidRPr="00D264F7" w:rsidRDefault="00F04A02">
      <w:pPr>
        <w:widowControl w:val="0"/>
        <w:suppressLineNumbers/>
        <w:jc w:val="both"/>
        <w:rPr>
          <w:rFonts w:eastAsiaTheme="minorHAnsi"/>
          <w:sz w:val="22"/>
          <w:szCs w:val="22"/>
          <w:lang w:val="sr-Latn-ME"/>
        </w:rPr>
      </w:pPr>
      <w:r>
        <w:rPr>
          <w:rFonts w:eastAsiaTheme="minorHAnsi"/>
          <w:sz w:val="22"/>
          <w:szCs w:val="22"/>
          <w:u w:val="single"/>
          <w:lang w:val="sr-Latn-ME"/>
        </w:rPr>
        <w:t>Sadržaj kapsule (gastrorezistentne mikrotablete)</w:t>
      </w:r>
    </w:p>
    <w:p w14:paraId="3D049015" w14:textId="77777777" w:rsidR="00BD782B" w:rsidRPr="00D264F7" w:rsidRDefault="00BD782B">
      <w:pPr>
        <w:widowControl w:val="0"/>
        <w:suppressLineNumbers/>
        <w:spacing w:line="259" w:lineRule="auto"/>
        <w:jc w:val="both"/>
        <w:rPr>
          <w:rFonts w:eastAsiaTheme="minorHAnsi"/>
          <w:sz w:val="22"/>
          <w:szCs w:val="22"/>
          <w:lang w:val="sr-Latn-ME"/>
        </w:rPr>
      </w:pPr>
    </w:p>
    <w:p w14:paraId="73184A85"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celuloza, mikrokristalna</w:t>
      </w:r>
    </w:p>
    <w:p w14:paraId="05EFC8CE"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kroskarmeloza natrijum</w:t>
      </w:r>
    </w:p>
    <w:p w14:paraId="5AF73D4F" w14:textId="554D1223"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talk</w:t>
      </w:r>
      <w:r w:rsidR="002A620B">
        <w:rPr>
          <w:rFonts w:eastAsiaTheme="minorHAnsi"/>
          <w:sz w:val="22"/>
          <w:szCs w:val="22"/>
          <w:lang w:val="sr-Latn-ME"/>
        </w:rPr>
        <w:t>, mikronizovani</w:t>
      </w:r>
    </w:p>
    <w:p w14:paraId="59F7DB8F"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silicijum dioksid, koloidni, bezvodni</w:t>
      </w:r>
    </w:p>
    <w:p w14:paraId="14AEF151"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magnezijum stearat</w:t>
      </w:r>
    </w:p>
    <w:p w14:paraId="166C6747"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trietil citrat</w:t>
      </w:r>
    </w:p>
    <w:p w14:paraId="57C2C0C5" w14:textId="77777777" w:rsidR="00BD782B" w:rsidRPr="00D264F7" w:rsidRDefault="00BD782B">
      <w:pPr>
        <w:widowControl w:val="0"/>
        <w:suppressLineNumbers/>
        <w:spacing w:line="259" w:lineRule="auto"/>
        <w:jc w:val="both"/>
        <w:rPr>
          <w:rFonts w:eastAsiaTheme="minorHAnsi"/>
          <w:sz w:val="22"/>
          <w:szCs w:val="22"/>
          <w:lang w:val="sr-Latn-ME"/>
        </w:rPr>
      </w:pPr>
      <w:r w:rsidRPr="00D264F7">
        <w:rPr>
          <w:rFonts w:eastAsiaTheme="minorHAnsi"/>
          <w:sz w:val="22"/>
          <w:szCs w:val="22"/>
          <w:lang w:val="sr-Latn-ME"/>
        </w:rPr>
        <w:t>metakrilna kiselina – metil metakrilat kopolimer (1:1)</w:t>
      </w:r>
    </w:p>
    <w:p w14:paraId="656A2553" w14:textId="77777777" w:rsidR="00BD782B" w:rsidRPr="00D264F7" w:rsidRDefault="00BD782B">
      <w:pPr>
        <w:keepNext/>
        <w:widowControl w:val="0"/>
        <w:spacing w:line="259" w:lineRule="auto"/>
        <w:jc w:val="both"/>
        <w:rPr>
          <w:rFonts w:eastAsiaTheme="minorHAnsi"/>
          <w:sz w:val="22"/>
          <w:szCs w:val="22"/>
          <w:lang w:val="sr-Latn-ME"/>
        </w:rPr>
      </w:pPr>
      <w:r w:rsidRPr="00D264F7">
        <w:rPr>
          <w:rFonts w:eastAsiaTheme="minorHAnsi"/>
          <w:sz w:val="22"/>
          <w:szCs w:val="22"/>
          <w:lang w:val="sr-Latn-ME"/>
        </w:rPr>
        <w:t>metakrilna kiselina – etil akrilat kopolimer (1:1) disperzija 30%</w:t>
      </w:r>
    </w:p>
    <w:p w14:paraId="3426C03D" w14:textId="77777777" w:rsidR="00BD782B" w:rsidRPr="00D264F7" w:rsidRDefault="00BD782B">
      <w:pPr>
        <w:keepNext/>
        <w:widowControl w:val="0"/>
        <w:spacing w:line="259" w:lineRule="auto"/>
        <w:jc w:val="both"/>
        <w:rPr>
          <w:rFonts w:eastAsiaTheme="minorHAnsi"/>
          <w:sz w:val="22"/>
          <w:szCs w:val="22"/>
          <w:lang w:val="sr-Latn-ME"/>
        </w:rPr>
      </w:pPr>
      <w:r w:rsidRPr="00D264F7">
        <w:rPr>
          <w:rFonts w:eastAsiaTheme="minorHAnsi"/>
          <w:sz w:val="22"/>
          <w:szCs w:val="22"/>
          <w:lang w:val="sr-Latn-ME"/>
        </w:rPr>
        <w:t>simetikon</w:t>
      </w:r>
    </w:p>
    <w:p w14:paraId="4DA9AAE4" w14:textId="77777777" w:rsidR="00BD782B" w:rsidRPr="00D264F7" w:rsidRDefault="00BD782B">
      <w:pPr>
        <w:keepNext/>
        <w:widowControl w:val="0"/>
        <w:spacing w:line="259" w:lineRule="auto"/>
        <w:jc w:val="both"/>
        <w:rPr>
          <w:rFonts w:eastAsiaTheme="minorHAnsi"/>
          <w:sz w:val="22"/>
          <w:szCs w:val="22"/>
          <w:lang w:val="sr-Latn-ME"/>
        </w:rPr>
      </w:pPr>
      <w:r w:rsidRPr="00D264F7">
        <w:rPr>
          <w:rFonts w:eastAsiaTheme="minorHAnsi"/>
          <w:sz w:val="22"/>
          <w:szCs w:val="22"/>
          <w:lang w:val="sr-Latn-ME"/>
        </w:rPr>
        <w:t>natrijum laurilsulfat</w:t>
      </w:r>
    </w:p>
    <w:p w14:paraId="010DD8A7" w14:textId="77777777" w:rsidR="00BD782B" w:rsidRPr="00D264F7" w:rsidRDefault="00BD782B">
      <w:pPr>
        <w:keepNext/>
        <w:widowControl w:val="0"/>
        <w:spacing w:line="259" w:lineRule="auto"/>
        <w:jc w:val="both"/>
        <w:rPr>
          <w:rFonts w:eastAsiaTheme="minorHAnsi"/>
          <w:sz w:val="22"/>
          <w:szCs w:val="22"/>
          <w:lang w:val="sr-Latn-ME"/>
        </w:rPr>
      </w:pPr>
      <w:r w:rsidRPr="00D264F7">
        <w:rPr>
          <w:rFonts w:eastAsiaTheme="minorHAnsi"/>
          <w:sz w:val="22"/>
          <w:szCs w:val="22"/>
          <w:lang w:val="sr-Latn-ME"/>
        </w:rPr>
        <w:t>polisorbat 80</w:t>
      </w:r>
    </w:p>
    <w:p w14:paraId="0B3D40C2" w14:textId="77777777" w:rsidR="00BD782B" w:rsidRPr="00D264F7" w:rsidRDefault="00BD782B">
      <w:pPr>
        <w:keepNext/>
        <w:widowControl w:val="0"/>
        <w:spacing w:line="259" w:lineRule="auto"/>
        <w:jc w:val="both"/>
        <w:rPr>
          <w:rFonts w:eastAsiaTheme="minorHAnsi"/>
          <w:sz w:val="22"/>
          <w:szCs w:val="22"/>
          <w:lang w:val="sr-Latn-ME"/>
        </w:rPr>
      </w:pPr>
    </w:p>
    <w:p w14:paraId="7923F11A" w14:textId="1BAF9D24" w:rsidR="00BD782B" w:rsidRPr="00D264F7" w:rsidRDefault="00F04A02">
      <w:pPr>
        <w:keepNext/>
        <w:widowControl w:val="0"/>
        <w:spacing w:line="259" w:lineRule="auto"/>
        <w:jc w:val="both"/>
        <w:rPr>
          <w:rFonts w:eastAsiaTheme="minorHAnsi"/>
          <w:sz w:val="22"/>
          <w:szCs w:val="22"/>
          <w:lang w:val="sr-Latn-ME"/>
        </w:rPr>
      </w:pPr>
      <w:r>
        <w:rPr>
          <w:rFonts w:eastAsiaTheme="minorHAnsi"/>
          <w:sz w:val="22"/>
          <w:szCs w:val="22"/>
          <w:u w:val="single"/>
          <w:lang w:val="sr-Latn-ME"/>
        </w:rPr>
        <w:t>Omotač</w:t>
      </w:r>
      <w:r w:rsidR="00BD782B" w:rsidRPr="00D264F7">
        <w:rPr>
          <w:rFonts w:eastAsiaTheme="minorHAnsi"/>
          <w:sz w:val="22"/>
          <w:szCs w:val="22"/>
          <w:u w:val="single"/>
          <w:lang w:val="sr-Latn-ME"/>
        </w:rPr>
        <w:t xml:space="preserve"> kapsule</w:t>
      </w:r>
    </w:p>
    <w:p w14:paraId="72E571F8" w14:textId="77777777" w:rsidR="00BD782B" w:rsidRPr="00D264F7" w:rsidRDefault="00BD782B">
      <w:pPr>
        <w:widowControl w:val="0"/>
        <w:spacing w:line="259" w:lineRule="auto"/>
        <w:jc w:val="both"/>
        <w:rPr>
          <w:rFonts w:eastAsiaTheme="minorHAnsi"/>
          <w:sz w:val="22"/>
          <w:szCs w:val="22"/>
          <w:lang w:val="sr-Latn-ME"/>
        </w:rPr>
      </w:pPr>
      <w:r w:rsidRPr="00D264F7">
        <w:rPr>
          <w:rFonts w:eastAsiaTheme="minorHAnsi"/>
          <w:sz w:val="22"/>
          <w:szCs w:val="22"/>
          <w:lang w:val="sr-Latn-ME"/>
        </w:rPr>
        <w:t>želatin</w:t>
      </w:r>
    </w:p>
    <w:p w14:paraId="67523D4A" w14:textId="77777777" w:rsidR="00BD782B" w:rsidRPr="00D264F7" w:rsidRDefault="00BD782B">
      <w:pPr>
        <w:widowControl w:val="0"/>
        <w:spacing w:line="259" w:lineRule="auto"/>
        <w:jc w:val="both"/>
        <w:rPr>
          <w:rFonts w:eastAsiaTheme="minorHAnsi"/>
          <w:sz w:val="22"/>
          <w:szCs w:val="22"/>
          <w:lang w:val="sr-Latn-ME"/>
        </w:rPr>
      </w:pPr>
      <w:r w:rsidRPr="00D264F7">
        <w:rPr>
          <w:rFonts w:eastAsiaTheme="minorHAnsi"/>
          <w:sz w:val="22"/>
          <w:szCs w:val="22"/>
          <w:lang w:val="sr-Latn-ME"/>
        </w:rPr>
        <w:t>titan dioksid (E171)</w:t>
      </w:r>
    </w:p>
    <w:p w14:paraId="59062602" w14:textId="77777777" w:rsidR="00BD782B" w:rsidRPr="00D264F7" w:rsidRDefault="00BD782B">
      <w:pPr>
        <w:widowControl w:val="0"/>
        <w:spacing w:line="259" w:lineRule="auto"/>
        <w:jc w:val="both"/>
        <w:rPr>
          <w:rFonts w:eastAsiaTheme="minorHAnsi"/>
          <w:sz w:val="22"/>
          <w:szCs w:val="22"/>
          <w:lang w:val="sr-Latn-ME"/>
        </w:rPr>
      </w:pPr>
      <w:r w:rsidRPr="00D264F7">
        <w:rPr>
          <w:rFonts w:eastAsiaTheme="minorHAnsi"/>
          <w:sz w:val="22"/>
          <w:szCs w:val="22"/>
          <w:lang w:val="sr-Latn-ME"/>
        </w:rPr>
        <w:t>Brilliant Blue FCF (E133)</w:t>
      </w:r>
    </w:p>
    <w:p w14:paraId="5BED0AAB" w14:textId="77777777" w:rsidR="00BD782B" w:rsidRPr="00D264F7" w:rsidRDefault="00BD782B">
      <w:pPr>
        <w:widowControl w:val="0"/>
        <w:spacing w:line="259" w:lineRule="auto"/>
        <w:jc w:val="both"/>
        <w:rPr>
          <w:rFonts w:eastAsiaTheme="minorHAnsi"/>
          <w:sz w:val="22"/>
          <w:szCs w:val="22"/>
          <w:lang w:val="sr-Latn-ME"/>
        </w:rPr>
      </w:pPr>
      <w:r w:rsidRPr="00D264F7">
        <w:rPr>
          <w:rFonts w:eastAsiaTheme="minorHAnsi"/>
          <w:sz w:val="22"/>
          <w:szCs w:val="22"/>
          <w:lang w:val="sr-Latn-ME"/>
        </w:rPr>
        <w:t>gvožđe oksid, žuti (E172)</w:t>
      </w:r>
    </w:p>
    <w:p w14:paraId="2FBF2A33" w14:textId="77777777" w:rsidR="00BD782B" w:rsidRPr="00D264F7" w:rsidRDefault="00BD782B">
      <w:pPr>
        <w:widowControl w:val="0"/>
        <w:spacing w:line="259" w:lineRule="auto"/>
        <w:jc w:val="both"/>
        <w:rPr>
          <w:rFonts w:eastAsiaTheme="minorHAnsi"/>
          <w:sz w:val="22"/>
          <w:szCs w:val="22"/>
          <w:lang w:val="sr-Latn-ME"/>
        </w:rPr>
      </w:pPr>
    </w:p>
    <w:p w14:paraId="6D52B63F" w14:textId="1B15CCC5" w:rsidR="00BD782B" w:rsidRPr="00D264F7" w:rsidRDefault="00BD782B">
      <w:pPr>
        <w:widowControl w:val="0"/>
        <w:spacing w:line="259" w:lineRule="auto"/>
        <w:jc w:val="both"/>
        <w:rPr>
          <w:rFonts w:eastAsiaTheme="minorHAnsi"/>
          <w:sz w:val="22"/>
          <w:szCs w:val="22"/>
          <w:lang w:val="sr-Latn-ME"/>
        </w:rPr>
      </w:pPr>
      <w:r w:rsidRPr="00D264F7">
        <w:rPr>
          <w:rFonts w:eastAsiaTheme="minorHAnsi"/>
          <w:sz w:val="22"/>
          <w:szCs w:val="22"/>
          <w:u w:val="single"/>
          <w:lang w:val="sr-Latn-ME"/>
        </w:rPr>
        <w:t>Otisak na kapsuli (crna tinta)</w:t>
      </w:r>
    </w:p>
    <w:p w14:paraId="19267DEF" w14:textId="77777777" w:rsidR="00BD782B" w:rsidRPr="00D264F7" w:rsidRDefault="00BD782B">
      <w:pPr>
        <w:widowControl w:val="0"/>
        <w:spacing w:line="259" w:lineRule="auto"/>
        <w:jc w:val="both"/>
        <w:rPr>
          <w:rFonts w:eastAsiaTheme="minorHAnsi"/>
          <w:sz w:val="22"/>
          <w:szCs w:val="22"/>
          <w:lang w:val="sr-Latn-ME"/>
        </w:rPr>
      </w:pPr>
      <w:r w:rsidRPr="00D264F7">
        <w:rPr>
          <w:rFonts w:eastAsiaTheme="minorHAnsi"/>
          <w:sz w:val="22"/>
          <w:szCs w:val="22"/>
          <w:lang w:val="sr-Latn-ME"/>
        </w:rPr>
        <w:t>šelak</w:t>
      </w:r>
    </w:p>
    <w:p w14:paraId="74B9F4CA" w14:textId="77777777" w:rsidR="00BD782B" w:rsidRPr="00D264F7" w:rsidRDefault="00BD782B">
      <w:pPr>
        <w:keepNext/>
        <w:widowControl w:val="0"/>
        <w:spacing w:line="259" w:lineRule="auto"/>
        <w:jc w:val="both"/>
        <w:rPr>
          <w:rFonts w:eastAsiaTheme="minorHAnsi"/>
          <w:sz w:val="22"/>
          <w:szCs w:val="22"/>
          <w:lang w:val="sr-Latn-ME"/>
        </w:rPr>
      </w:pPr>
      <w:r w:rsidRPr="00D264F7">
        <w:rPr>
          <w:rFonts w:eastAsiaTheme="minorHAnsi"/>
          <w:sz w:val="22"/>
          <w:szCs w:val="22"/>
          <w:lang w:val="sr-Latn-ME"/>
        </w:rPr>
        <w:t>kalijum hidroksid</w:t>
      </w:r>
    </w:p>
    <w:p w14:paraId="1CF0E7B7" w14:textId="77777777" w:rsidR="00BD782B" w:rsidRPr="00D264F7" w:rsidRDefault="00BD782B">
      <w:pPr>
        <w:keepNext/>
        <w:widowControl w:val="0"/>
        <w:spacing w:line="259" w:lineRule="auto"/>
        <w:jc w:val="both"/>
        <w:rPr>
          <w:rFonts w:eastAsiaTheme="minorHAnsi"/>
          <w:sz w:val="22"/>
          <w:szCs w:val="22"/>
          <w:lang w:val="sr-Latn-ME"/>
        </w:rPr>
      </w:pPr>
      <w:r w:rsidRPr="00D264F7">
        <w:rPr>
          <w:rFonts w:eastAsiaTheme="minorHAnsi"/>
          <w:sz w:val="22"/>
          <w:szCs w:val="22"/>
          <w:lang w:val="sr-Latn-ME"/>
        </w:rPr>
        <w:t>gvožđe oksid, crni (E172)</w:t>
      </w:r>
    </w:p>
    <w:p w14:paraId="5B7F1A1F" w14:textId="5471F683" w:rsidR="00C01093" w:rsidRDefault="00C01093">
      <w:pPr>
        <w:rPr>
          <w:bCs/>
          <w:sz w:val="22"/>
          <w:szCs w:val="22"/>
          <w:lang w:val="sr-Latn-ME"/>
        </w:rPr>
      </w:pPr>
      <w:r>
        <w:rPr>
          <w:bCs/>
          <w:sz w:val="22"/>
          <w:szCs w:val="22"/>
          <w:lang w:val="sr-Latn-ME"/>
        </w:rPr>
        <w:br w:type="page"/>
      </w:r>
    </w:p>
    <w:p w14:paraId="3619FA3E"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lastRenderedPageBreak/>
        <w:t xml:space="preserve">6.2. </w:t>
      </w:r>
      <w:r w:rsidR="00480FB1" w:rsidRPr="00D264F7">
        <w:rPr>
          <w:b/>
          <w:bCs/>
          <w:sz w:val="22"/>
          <w:szCs w:val="22"/>
          <w:lang w:val="sr-Latn-ME"/>
        </w:rPr>
        <w:tab/>
      </w:r>
      <w:r w:rsidRPr="00D264F7">
        <w:rPr>
          <w:b/>
          <w:bCs/>
          <w:sz w:val="22"/>
          <w:szCs w:val="22"/>
          <w:lang w:val="sr-Latn-ME"/>
        </w:rPr>
        <w:t>Inkompatibilnost</w:t>
      </w:r>
      <w:r w:rsidR="002846DB" w:rsidRPr="00D264F7">
        <w:rPr>
          <w:b/>
          <w:bCs/>
          <w:sz w:val="22"/>
          <w:szCs w:val="22"/>
          <w:lang w:val="sr-Latn-ME"/>
        </w:rPr>
        <w:t>i</w:t>
      </w:r>
    </w:p>
    <w:p w14:paraId="1DA1F458" w14:textId="77777777" w:rsidR="0072020E" w:rsidRPr="00D264F7" w:rsidRDefault="0072020E">
      <w:pPr>
        <w:tabs>
          <w:tab w:val="left" w:pos="540"/>
          <w:tab w:val="left" w:pos="569"/>
        </w:tabs>
        <w:jc w:val="both"/>
        <w:rPr>
          <w:bCs/>
          <w:sz w:val="22"/>
          <w:szCs w:val="22"/>
          <w:lang w:val="sr-Latn-ME"/>
        </w:rPr>
      </w:pPr>
    </w:p>
    <w:p w14:paraId="692782F2" w14:textId="702D2C2B" w:rsidR="00560D67" w:rsidRPr="00D264F7" w:rsidRDefault="00560D67">
      <w:pPr>
        <w:tabs>
          <w:tab w:val="left" w:pos="540"/>
          <w:tab w:val="left" w:pos="569"/>
        </w:tabs>
        <w:jc w:val="both"/>
        <w:rPr>
          <w:bCs/>
          <w:sz w:val="22"/>
          <w:szCs w:val="22"/>
          <w:lang w:val="sr-Latn-ME"/>
        </w:rPr>
      </w:pPr>
      <w:r w:rsidRPr="00D264F7">
        <w:rPr>
          <w:bCs/>
          <w:sz w:val="22"/>
          <w:szCs w:val="22"/>
          <w:lang w:val="sr-Latn-ME"/>
        </w:rPr>
        <w:t>Nije primjen</w:t>
      </w:r>
      <w:r w:rsidR="00D9661A">
        <w:rPr>
          <w:bCs/>
          <w:sz w:val="22"/>
          <w:szCs w:val="22"/>
          <w:lang w:val="sr-Latn-ME"/>
        </w:rPr>
        <w:t>lj</w:t>
      </w:r>
      <w:r w:rsidRPr="00D264F7">
        <w:rPr>
          <w:bCs/>
          <w:sz w:val="22"/>
          <w:szCs w:val="22"/>
          <w:lang w:val="sr-Latn-ME"/>
        </w:rPr>
        <w:t>ivo.</w:t>
      </w:r>
    </w:p>
    <w:p w14:paraId="2BD779D9" w14:textId="77777777" w:rsidR="00560D67" w:rsidRPr="00D264F7" w:rsidRDefault="00560D67">
      <w:pPr>
        <w:tabs>
          <w:tab w:val="left" w:pos="540"/>
          <w:tab w:val="left" w:pos="569"/>
        </w:tabs>
        <w:jc w:val="both"/>
        <w:rPr>
          <w:bCs/>
          <w:sz w:val="22"/>
          <w:szCs w:val="22"/>
          <w:lang w:val="sr-Latn-ME"/>
        </w:rPr>
      </w:pPr>
    </w:p>
    <w:p w14:paraId="046A3DF2"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6.3.</w:t>
      </w:r>
      <w:r w:rsidR="00C05DF8" w:rsidRPr="00D264F7">
        <w:rPr>
          <w:b/>
          <w:bCs/>
          <w:sz w:val="22"/>
          <w:szCs w:val="22"/>
          <w:lang w:val="sr-Latn-ME"/>
        </w:rPr>
        <w:t xml:space="preserve"> </w:t>
      </w:r>
      <w:r w:rsidR="00480FB1" w:rsidRPr="00D264F7">
        <w:rPr>
          <w:b/>
          <w:bCs/>
          <w:sz w:val="22"/>
          <w:szCs w:val="22"/>
          <w:lang w:val="sr-Latn-ME"/>
        </w:rPr>
        <w:tab/>
      </w:r>
      <w:r w:rsidRPr="00D264F7">
        <w:rPr>
          <w:b/>
          <w:bCs/>
          <w:sz w:val="22"/>
          <w:szCs w:val="22"/>
          <w:lang w:val="sr-Latn-ME"/>
        </w:rPr>
        <w:t>Rok upotrebe</w:t>
      </w:r>
    </w:p>
    <w:p w14:paraId="7AD724A8" w14:textId="77777777" w:rsidR="0072020E" w:rsidRPr="00D264F7" w:rsidRDefault="0072020E">
      <w:pPr>
        <w:tabs>
          <w:tab w:val="left" w:pos="540"/>
          <w:tab w:val="left" w:pos="569"/>
        </w:tabs>
        <w:jc w:val="both"/>
        <w:rPr>
          <w:bCs/>
          <w:sz w:val="22"/>
          <w:szCs w:val="22"/>
          <w:lang w:val="sr-Latn-ME"/>
        </w:rPr>
      </w:pPr>
    </w:p>
    <w:p w14:paraId="2AA646A1" w14:textId="703D793E" w:rsidR="00560D67" w:rsidRPr="00D264F7" w:rsidRDefault="00560D67">
      <w:pPr>
        <w:tabs>
          <w:tab w:val="left" w:pos="540"/>
          <w:tab w:val="left" w:pos="569"/>
        </w:tabs>
        <w:jc w:val="both"/>
        <w:rPr>
          <w:bCs/>
          <w:sz w:val="22"/>
          <w:szCs w:val="22"/>
          <w:lang w:val="sr-Latn-ME"/>
        </w:rPr>
      </w:pPr>
      <w:r w:rsidRPr="00D264F7">
        <w:rPr>
          <w:bCs/>
          <w:sz w:val="22"/>
          <w:szCs w:val="22"/>
          <w:lang w:val="sr-Latn-ME"/>
        </w:rPr>
        <w:t>4 godine</w:t>
      </w:r>
      <w:r w:rsidR="002A620B">
        <w:rPr>
          <w:bCs/>
          <w:sz w:val="22"/>
          <w:szCs w:val="22"/>
          <w:lang w:val="sr-Latn-ME"/>
        </w:rPr>
        <w:t>.</w:t>
      </w:r>
    </w:p>
    <w:p w14:paraId="47F0633B" w14:textId="77777777" w:rsidR="00560D67" w:rsidRPr="00D264F7" w:rsidRDefault="00560D67" w:rsidP="001F758F">
      <w:pPr>
        <w:tabs>
          <w:tab w:val="left" w:pos="540"/>
          <w:tab w:val="left" w:pos="569"/>
        </w:tabs>
        <w:jc w:val="both"/>
        <w:rPr>
          <w:bCs/>
          <w:sz w:val="22"/>
          <w:szCs w:val="22"/>
          <w:lang w:val="sr-Latn-ME"/>
        </w:rPr>
      </w:pPr>
    </w:p>
    <w:p w14:paraId="6C1BB8FB" w14:textId="77777777" w:rsidR="0072020E" w:rsidRPr="00D264F7" w:rsidRDefault="0072020E" w:rsidP="001C605F">
      <w:pPr>
        <w:tabs>
          <w:tab w:val="left" w:pos="540"/>
          <w:tab w:val="left" w:pos="569"/>
        </w:tabs>
        <w:jc w:val="both"/>
        <w:rPr>
          <w:b/>
          <w:bCs/>
          <w:sz w:val="22"/>
          <w:szCs w:val="22"/>
          <w:lang w:val="sr-Latn-ME"/>
        </w:rPr>
      </w:pPr>
      <w:r w:rsidRPr="00D264F7">
        <w:rPr>
          <w:b/>
          <w:bCs/>
          <w:sz w:val="22"/>
          <w:szCs w:val="22"/>
          <w:lang w:val="sr-Latn-ME"/>
        </w:rPr>
        <w:t xml:space="preserve">6.4. </w:t>
      </w:r>
      <w:r w:rsidR="00480FB1" w:rsidRPr="00D264F7">
        <w:rPr>
          <w:b/>
          <w:bCs/>
          <w:sz w:val="22"/>
          <w:szCs w:val="22"/>
          <w:lang w:val="sr-Latn-ME"/>
        </w:rPr>
        <w:tab/>
      </w:r>
      <w:r w:rsidRPr="00D264F7">
        <w:rPr>
          <w:b/>
          <w:bCs/>
          <w:sz w:val="22"/>
          <w:szCs w:val="22"/>
          <w:lang w:val="sr-Latn-ME"/>
        </w:rPr>
        <w:t>Posebne mjere upozorenja pri čuvanju</w:t>
      </w:r>
      <w:r w:rsidR="00F8570A" w:rsidRPr="00D264F7">
        <w:rPr>
          <w:b/>
          <w:bCs/>
          <w:sz w:val="22"/>
          <w:szCs w:val="22"/>
          <w:lang w:val="sr-Latn-ME"/>
        </w:rPr>
        <w:t xml:space="preserve"> lijeka</w:t>
      </w:r>
    </w:p>
    <w:p w14:paraId="7E945A42" w14:textId="77777777" w:rsidR="00EC2532" w:rsidRPr="00D264F7" w:rsidRDefault="00EC2532">
      <w:pPr>
        <w:tabs>
          <w:tab w:val="left" w:pos="540"/>
          <w:tab w:val="left" w:pos="569"/>
        </w:tabs>
        <w:jc w:val="both"/>
        <w:rPr>
          <w:bCs/>
          <w:sz w:val="22"/>
          <w:szCs w:val="22"/>
          <w:lang w:val="sr-Latn-ME"/>
        </w:rPr>
      </w:pPr>
    </w:p>
    <w:p w14:paraId="1C579788" w14:textId="63E031D0" w:rsidR="00560D67" w:rsidRPr="00D264F7" w:rsidRDefault="00560D67">
      <w:pPr>
        <w:tabs>
          <w:tab w:val="left" w:pos="540"/>
          <w:tab w:val="left" w:pos="569"/>
        </w:tabs>
        <w:jc w:val="both"/>
        <w:rPr>
          <w:bCs/>
          <w:sz w:val="22"/>
          <w:szCs w:val="22"/>
          <w:lang w:val="sr-Latn-ME"/>
        </w:rPr>
      </w:pPr>
      <w:r w:rsidRPr="00D264F7">
        <w:rPr>
          <w:bCs/>
          <w:sz w:val="22"/>
          <w:szCs w:val="22"/>
          <w:lang w:val="sr-Latn-ME"/>
        </w:rPr>
        <w:t xml:space="preserve">Čuvati na temperaturi ispod 30ºC. </w:t>
      </w:r>
    </w:p>
    <w:p w14:paraId="675CF221" w14:textId="77777777" w:rsidR="00560D67" w:rsidRPr="00D264F7" w:rsidRDefault="00560D67">
      <w:pPr>
        <w:tabs>
          <w:tab w:val="left" w:pos="540"/>
          <w:tab w:val="left" w:pos="569"/>
        </w:tabs>
        <w:jc w:val="both"/>
        <w:rPr>
          <w:bCs/>
          <w:sz w:val="22"/>
          <w:szCs w:val="22"/>
          <w:lang w:val="sr-Latn-ME"/>
        </w:rPr>
      </w:pPr>
      <w:r w:rsidRPr="00D264F7">
        <w:rPr>
          <w:bCs/>
          <w:sz w:val="22"/>
          <w:szCs w:val="22"/>
          <w:lang w:val="sr-Latn-ME"/>
        </w:rPr>
        <w:t>Blistere čuvati u spoljašnjoj kutiji radi zaštite od svjetlosti.</w:t>
      </w:r>
    </w:p>
    <w:p w14:paraId="73C1BEE4" w14:textId="77777777" w:rsidR="00560D67" w:rsidRPr="00D264F7" w:rsidRDefault="00560D67">
      <w:pPr>
        <w:tabs>
          <w:tab w:val="left" w:pos="540"/>
          <w:tab w:val="left" w:pos="569"/>
        </w:tabs>
        <w:jc w:val="both"/>
        <w:rPr>
          <w:bCs/>
          <w:sz w:val="22"/>
          <w:szCs w:val="22"/>
          <w:lang w:val="sr-Latn-ME"/>
        </w:rPr>
      </w:pPr>
    </w:p>
    <w:p w14:paraId="6AC52809"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6.5. </w:t>
      </w:r>
      <w:r w:rsidR="00480FB1" w:rsidRPr="00D264F7">
        <w:rPr>
          <w:b/>
          <w:bCs/>
          <w:sz w:val="22"/>
          <w:szCs w:val="22"/>
          <w:lang w:val="sr-Latn-ME"/>
        </w:rPr>
        <w:tab/>
      </w:r>
      <w:r w:rsidR="002846DB" w:rsidRPr="00D264F7">
        <w:rPr>
          <w:b/>
          <w:bCs/>
          <w:sz w:val="22"/>
          <w:szCs w:val="22"/>
          <w:lang w:val="sr-Latn-ME"/>
        </w:rPr>
        <w:t xml:space="preserve">Vrsta i sadržaj </w:t>
      </w:r>
      <w:r w:rsidR="00F8570A" w:rsidRPr="00D264F7">
        <w:rPr>
          <w:b/>
          <w:bCs/>
          <w:sz w:val="22"/>
          <w:szCs w:val="22"/>
          <w:lang w:val="sr-Latn-ME"/>
        </w:rPr>
        <w:t>pakovanja</w:t>
      </w:r>
      <w:r w:rsidR="00C06864" w:rsidRPr="00D264F7">
        <w:rPr>
          <w:b/>
          <w:bCs/>
          <w:sz w:val="22"/>
          <w:szCs w:val="22"/>
          <w:lang w:val="sr-Latn-ME"/>
        </w:rPr>
        <w:t xml:space="preserve"> </w:t>
      </w:r>
    </w:p>
    <w:p w14:paraId="289DE12D" w14:textId="77777777" w:rsidR="00560D67" w:rsidRPr="00D264F7" w:rsidRDefault="00560D67">
      <w:pPr>
        <w:tabs>
          <w:tab w:val="left" w:pos="540"/>
          <w:tab w:val="left" w:pos="569"/>
        </w:tabs>
        <w:jc w:val="both"/>
        <w:rPr>
          <w:bCs/>
          <w:sz w:val="22"/>
          <w:szCs w:val="22"/>
          <w:lang w:val="sr-Latn-ME"/>
        </w:rPr>
      </w:pPr>
    </w:p>
    <w:p w14:paraId="7285B902" w14:textId="1859734F" w:rsidR="002A620B" w:rsidRDefault="002A620B" w:rsidP="001F758F">
      <w:pPr>
        <w:jc w:val="both"/>
        <w:rPr>
          <w:sz w:val="22"/>
          <w:szCs w:val="22"/>
          <w:lang w:val="sr-Latn-ME"/>
        </w:rPr>
      </w:pPr>
      <w:r w:rsidRPr="001319BC">
        <w:rPr>
          <w:i/>
          <w:sz w:val="22"/>
          <w:szCs w:val="22"/>
          <w:lang w:val="sr-Latn-ME"/>
        </w:rPr>
        <w:t>Tecfidera, 120 mg, gastrorezistentn</w:t>
      </w:r>
      <w:r w:rsidR="001838DB">
        <w:rPr>
          <w:i/>
          <w:sz w:val="22"/>
          <w:szCs w:val="22"/>
          <w:lang w:val="sr-Latn-ME"/>
        </w:rPr>
        <w:t>a</w:t>
      </w:r>
      <w:r w:rsidRPr="001319BC">
        <w:rPr>
          <w:i/>
          <w:sz w:val="22"/>
          <w:szCs w:val="22"/>
          <w:lang w:val="sr-Latn-ME"/>
        </w:rPr>
        <w:t xml:space="preserve"> kapsula, tvrda</w:t>
      </w:r>
      <w:r>
        <w:rPr>
          <w:sz w:val="22"/>
          <w:szCs w:val="22"/>
          <w:lang w:val="sr-Latn-ME"/>
        </w:rPr>
        <w:t>:</w:t>
      </w:r>
    </w:p>
    <w:p w14:paraId="3071815E" w14:textId="543DF446" w:rsidR="002A620B" w:rsidRPr="002A620B" w:rsidRDefault="002A620B" w:rsidP="001F758F">
      <w:pPr>
        <w:jc w:val="both"/>
        <w:rPr>
          <w:bCs/>
          <w:sz w:val="22"/>
          <w:szCs w:val="22"/>
          <w:lang w:val="sr-Latn-ME"/>
        </w:rPr>
      </w:pPr>
      <w:r w:rsidRPr="002A620B">
        <w:rPr>
          <w:bCs/>
          <w:sz w:val="22"/>
          <w:szCs w:val="22"/>
          <w:lang w:val="sr-Latn-ME"/>
        </w:rPr>
        <w:t>Unutrašnje pakovanje je PVC/PE/PVDC-PVC aluminijumski blister koji sadrži 14 gastrorezistentnih kapsula</w:t>
      </w:r>
      <w:r w:rsidR="0098170A">
        <w:rPr>
          <w:bCs/>
          <w:sz w:val="22"/>
          <w:szCs w:val="22"/>
          <w:lang w:val="sr-Latn-ME"/>
        </w:rPr>
        <w:t>.</w:t>
      </w:r>
      <w:r>
        <w:rPr>
          <w:bCs/>
          <w:sz w:val="22"/>
          <w:szCs w:val="22"/>
          <w:lang w:val="sr-Latn-ME"/>
        </w:rPr>
        <w:t xml:space="preserve"> </w:t>
      </w:r>
      <w:r w:rsidR="0098170A">
        <w:rPr>
          <w:bCs/>
          <w:sz w:val="22"/>
          <w:szCs w:val="22"/>
          <w:lang w:val="sr-Latn-ME"/>
        </w:rPr>
        <w:t>Aluminij</w:t>
      </w:r>
      <w:r w:rsidR="00C01093">
        <w:rPr>
          <w:bCs/>
          <w:sz w:val="22"/>
          <w:szCs w:val="22"/>
          <w:lang w:val="sr-Latn-ME"/>
        </w:rPr>
        <w:t>um</w:t>
      </w:r>
      <w:r w:rsidR="0098170A">
        <w:rPr>
          <w:bCs/>
          <w:sz w:val="22"/>
          <w:szCs w:val="22"/>
          <w:lang w:val="sr-Latn-ME"/>
        </w:rPr>
        <w:t xml:space="preserve">ski blister je smješten </w:t>
      </w:r>
      <w:r w:rsidRPr="002A620B">
        <w:rPr>
          <w:bCs/>
          <w:sz w:val="22"/>
          <w:szCs w:val="22"/>
          <w:lang w:val="sr-Latn-ME"/>
        </w:rPr>
        <w:t xml:space="preserve">u novčaniku </w:t>
      </w:r>
      <w:r w:rsidR="00401C1E">
        <w:rPr>
          <w:bCs/>
          <w:sz w:val="22"/>
          <w:szCs w:val="22"/>
          <w:lang w:val="sr-Latn-ME"/>
        </w:rPr>
        <w:t>(</w:t>
      </w:r>
      <w:r w:rsidRPr="002A620B">
        <w:rPr>
          <w:bCs/>
          <w:sz w:val="22"/>
          <w:szCs w:val="22"/>
          <w:lang w:val="sr-Latn-ME"/>
        </w:rPr>
        <w:t>kartonskom blisteru sa oznakom dana (ujutru i uveče)</w:t>
      </w:r>
      <w:r w:rsidR="00401C1E">
        <w:rPr>
          <w:bCs/>
          <w:sz w:val="22"/>
          <w:szCs w:val="22"/>
          <w:lang w:val="sr-Latn-ME"/>
        </w:rPr>
        <w:t>)</w:t>
      </w:r>
      <w:r w:rsidRPr="002A620B">
        <w:rPr>
          <w:bCs/>
          <w:sz w:val="22"/>
          <w:szCs w:val="22"/>
          <w:lang w:val="sr-Latn-ME"/>
        </w:rPr>
        <w:t>.</w:t>
      </w:r>
    </w:p>
    <w:p w14:paraId="31AAE041" w14:textId="77777777" w:rsidR="002A620B" w:rsidRDefault="002A620B" w:rsidP="001C605F">
      <w:pPr>
        <w:tabs>
          <w:tab w:val="left" w:pos="540"/>
          <w:tab w:val="left" w:pos="569"/>
        </w:tabs>
        <w:jc w:val="both"/>
        <w:rPr>
          <w:bCs/>
          <w:sz w:val="22"/>
          <w:szCs w:val="22"/>
          <w:lang w:val="sr-Latn-ME"/>
        </w:rPr>
      </w:pPr>
      <w:r w:rsidRPr="002A620B">
        <w:rPr>
          <w:bCs/>
          <w:sz w:val="22"/>
          <w:szCs w:val="22"/>
          <w:lang w:val="sr-Latn-ME"/>
        </w:rPr>
        <w:t>Spoljašnje pakovanje je složiva kartonska kutija u kojoj se nalazi 1 blister sa 14 gastrorezistentnih kapsula</w:t>
      </w:r>
      <w:r>
        <w:rPr>
          <w:bCs/>
          <w:sz w:val="22"/>
          <w:szCs w:val="22"/>
          <w:lang w:val="sr-Latn-ME"/>
        </w:rPr>
        <w:t xml:space="preserve"> </w:t>
      </w:r>
      <w:r w:rsidRPr="002A620B">
        <w:rPr>
          <w:bCs/>
          <w:sz w:val="22"/>
          <w:szCs w:val="22"/>
          <w:lang w:val="sr-Latn-ME"/>
        </w:rPr>
        <w:t>(ukupno 14 gastrorezistentnih kapsula) i Uputstvo za l</w:t>
      </w:r>
      <w:r>
        <w:rPr>
          <w:bCs/>
          <w:sz w:val="22"/>
          <w:szCs w:val="22"/>
          <w:lang w:val="sr-Latn-ME"/>
        </w:rPr>
        <w:t>ij</w:t>
      </w:r>
      <w:r w:rsidRPr="002A620B">
        <w:rPr>
          <w:bCs/>
          <w:sz w:val="22"/>
          <w:szCs w:val="22"/>
          <w:lang w:val="sr-Latn-ME"/>
        </w:rPr>
        <w:t>ek</w:t>
      </w:r>
    </w:p>
    <w:p w14:paraId="328313CA" w14:textId="77777777" w:rsidR="002A620B" w:rsidRDefault="002A620B">
      <w:pPr>
        <w:tabs>
          <w:tab w:val="left" w:pos="540"/>
          <w:tab w:val="left" w:pos="569"/>
        </w:tabs>
        <w:jc w:val="both"/>
        <w:rPr>
          <w:bCs/>
          <w:sz w:val="22"/>
          <w:szCs w:val="22"/>
          <w:lang w:val="sr-Latn-ME"/>
        </w:rPr>
      </w:pPr>
    </w:p>
    <w:p w14:paraId="3ED02841" w14:textId="77DBE8FE" w:rsidR="002A620B" w:rsidRPr="001319BC" w:rsidRDefault="002A620B" w:rsidP="001F758F">
      <w:pPr>
        <w:jc w:val="both"/>
        <w:rPr>
          <w:i/>
          <w:sz w:val="22"/>
          <w:szCs w:val="22"/>
          <w:lang w:val="sr-Latn-ME"/>
        </w:rPr>
      </w:pPr>
      <w:r w:rsidRPr="001319BC">
        <w:rPr>
          <w:i/>
          <w:sz w:val="22"/>
          <w:szCs w:val="22"/>
          <w:lang w:val="sr-Latn-ME"/>
        </w:rPr>
        <w:t>Tecfidera, 240 mg, gastrorezistentn</w:t>
      </w:r>
      <w:r w:rsidR="001838DB">
        <w:rPr>
          <w:i/>
          <w:sz w:val="22"/>
          <w:szCs w:val="22"/>
          <w:lang w:val="sr-Latn-ME"/>
        </w:rPr>
        <w:t>a</w:t>
      </w:r>
      <w:r w:rsidRPr="001319BC">
        <w:rPr>
          <w:i/>
          <w:sz w:val="22"/>
          <w:szCs w:val="22"/>
          <w:lang w:val="sr-Latn-ME"/>
        </w:rPr>
        <w:t xml:space="preserve"> kapsula, tvrda:</w:t>
      </w:r>
    </w:p>
    <w:p w14:paraId="1D17EAB4" w14:textId="7FB6A998" w:rsidR="002A620B" w:rsidRPr="002A620B" w:rsidRDefault="002A620B" w:rsidP="001C605F">
      <w:pPr>
        <w:tabs>
          <w:tab w:val="left" w:pos="540"/>
          <w:tab w:val="left" w:pos="569"/>
        </w:tabs>
        <w:jc w:val="both"/>
        <w:rPr>
          <w:bCs/>
          <w:sz w:val="22"/>
          <w:szCs w:val="22"/>
          <w:lang w:val="sr-Latn-ME"/>
        </w:rPr>
      </w:pPr>
      <w:r w:rsidRPr="002A620B">
        <w:rPr>
          <w:bCs/>
          <w:sz w:val="22"/>
          <w:szCs w:val="22"/>
          <w:lang w:val="sr-Latn-ME"/>
        </w:rPr>
        <w:t>Unutrašnje pakovanje je PVC/PE/PVDC-PVC aluminijumski blister koji sadrži 14 gastrorezistentnih kapsula</w:t>
      </w:r>
      <w:r w:rsidR="0098170A">
        <w:rPr>
          <w:bCs/>
          <w:sz w:val="22"/>
          <w:szCs w:val="22"/>
          <w:lang w:val="sr-Latn-ME"/>
        </w:rPr>
        <w:t>. Aluminij</w:t>
      </w:r>
      <w:r w:rsidR="00C01093">
        <w:rPr>
          <w:bCs/>
          <w:sz w:val="22"/>
          <w:szCs w:val="22"/>
          <w:lang w:val="sr-Latn-ME"/>
        </w:rPr>
        <w:t>um</w:t>
      </w:r>
      <w:r w:rsidR="0098170A">
        <w:rPr>
          <w:bCs/>
          <w:sz w:val="22"/>
          <w:szCs w:val="22"/>
          <w:lang w:val="sr-Latn-ME"/>
        </w:rPr>
        <w:t>ski blister je smješten</w:t>
      </w:r>
      <w:r w:rsidR="00932D50">
        <w:rPr>
          <w:bCs/>
          <w:sz w:val="22"/>
          <w:szCs w:val="22"/>
          <w:lang w:val="sr-Latn-ME"/>
        </w:rPr>
        <w:t xml:space="preserve"> </w:t>
      </w:r>
      <w:r w:rsidRPr="002A620B">
        <w:rPr>
          <w:bCs/>
          <w:sz w:val="22"/>
          <w:szCs w:val="22"/>
          <w:lang w:val="sr-Latn-ME"/>
        </w:rPr>
        <w:t xml:space="preserve">u novčaniku </w:t>
      </w:r>
      <w:r w:rsidR="00401C1E">
        <w:rPr>
          <w:bCs/>
          <w:sz w:val="22"/>
          <w:szCs w:val="22"/>
          <w:lang w:val="sr-Latn-ME"/>
        </w:rPr>
        <w:t>(</w:t>
      </w:r>
      <w:r w:rsidRPr="002A620B">
        <w:rPr>
          <w:bCs/>
          <w:sz w:val="22"/>
          <w:szCs w:val="22"/>
          <w:lang w:val="sr-Latn-ME"/>
        </w:rPr>
        <w:t>kartonskom blisteru sa oznakom dana (ujutru i uveče)</w:t>
      </w:r>
      <w:r w:rsidR="00401C1E">
        <w:rPr>
          <w:bCs/>
          <w:sz w:val="22"/>
          <w:szCs w:val="22"/>
          <w:lang w:val="sr-Latn-ME"/>
        </w:rPr>
        <w:t>)</w:t>
      </w:r>
      <w:r w:rsidRPr="002A620B">
        <w:rPr>
          <w:bCs/>
          <w:sz w:val="22"/>
          <w:szCs w:val="22"/>
          <w:lang w:val="sr-Latn-ME"/>
        </w:rPr>
        <w:t>.</w:t>
      </w:r>
    </w:p>
    <w:p w14:paraId="3993CCD7" w14:textId="77777777" w:rsidR="002A620B" w:rsidRPr="002A620B" w:rsidRDefault="002A620B">
      <w:pPr>
        <w:tabs>
          <w:tab w:val="left" w:pos="540"/>
          <w:tab w:val="left" w:pos="569"/>
        </w:tabs>
        <w:jc w:val="both"/>
        <w:rPr>
          <w:bCs/>
          <w:sz w:val="22"/>
          <w:szCs w:val="22"/>
          <w:lang w:val="sr-Latn-ME"/>
        </w:rPr>
      </w:pPr>
      <w:r w:rsidRPr="002A620B">
        <w:rPr>
          <w:bCs/>
          <w:sz w:val="22"/>
          <w:szCs w:val="22"/>
          <w:lang w:val="sr-Latn-ME"/>
        </w:rPr>
        <w:t>Spoljašnje pakovanje je složiva kartonska kutija u kojoj se nalazi 4 blistera sa po 14 gastrorezistentnih</w:t>
      </w:r>
    </w:p>
    <w:p w14:paraId="671A3687" w14:textId="3754D00D" w:rsidR="002A620B" w:rsidRDefault="002A620B">
      <w:pPr>
        <w:tabs>
          <w:tab w:val="left" w:pos="540"/>
          <w:tab w:val="left" w:pos="569"/>
        </w:tabs>
        <w:jc w:val="both"/>
        <w:rPr>
          <w:bCs/>
          <w:sz w:val="22"/>
          <w:szCs w:val="22"/>
          <w:lang w:val="sr-Latn-ME"/>
        </w:rPr>
      </w:pPr>
      <w:r w:rsidRPr="002A620B">
        <w:rPr>
          <w:bCs/>
          <w:sz w:val="22"/>
          <w:szCs w:val="22"/>
          <w:lang w:val="sr-Latn-ME"/>
        </w:rPr>
        <w:t>kapsula (ukupno 56 gastrorezistentnih kapsula) i Uputstvo za l</w:t>
      </w:r>
      <w:r w:rsidR="00932D50">
        <w:rPr>
          <w:bCs/>
          <w:sz w:val="22"/>
          <w:szCs w:val="22"/>
          <w:lang w:val="sr-Latn-ME"/>
        </w:rPr>
        <w:t>ij</w:t>
      </w:r>
      <w:r w:rsidRPr="002A620B">
        <w:rPr>
          <w:bCs/>
          <w:sz w:val="22"/>
          <w:szCs w:val="22"/>
          <w:lang w:val="sr-Latn-ME"/>
        </w:rPr>
        <w:t>ek.</w:t>
      </w:r>
    </w:p>
    <w:p w14:paraId="3730641A" w14:textId="77777777" w:rsidR="002A620B" w:rsidRDefault="002A620B">
      <w:pPr>
        <w:tabs>
          <w:tab w:val="left" w:pos="540"/>
          <w:tab w:val="left" w:pos="569"/>
        </w:tabs>
        <w:jc w:val="both"/>
        <w:rPr>
          <w:bCs/>
          <w:sz w:val="22"/>
          <w:szCs w:val="22"/>
          <w:lang w:val="sr-Latn-ME"/>
        </w:rPr>
      </w:pPr>
    </w:p>
    <w:p w14:paraId="5D39540B" w14:textId="77777777" w:rsidR="002846DB"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6.6. </w:t>
      </w:r>
      <w:r w:rsidR="00480FB1" w:rsidRPr="00D264F7">
        <w:rPr>
          <w:b/>
          <w:bCs/>
          <w:sz w:val="22"/>
          <w:szCs w:val="22"/>
          <w:lang w:val="sr-Latn-ME"/>
        </w:rPr>
        <w:tab/>
      </w:r>
      <w:r w:rsidRPr="00D264F7">
        <w:rPr>
          <w:b/>
          <w:bCs/>
          <w:color w:val="000000"/>
          <w:sz w:val="22"/>
          <w:szCs w:val="22"/>
          <w:lang w:val="sr-Latn-ME"/>
        </w:rPr>
        <w:t>Posebne mjere opreza pri odlaganju materijala koji treba odbaciti nakon primjene lijeka</w:t>
      </w:r>
      <w:r w:rsidRPr="00D264F7">
        <w:rPr>
          <w:b/>
          <w:bCs/>
          <w:sz w:val="22"/>
          <w:szCs w:val="22"/>
          <w:lang w:val="sr-Latn-ME"/>
        </w:rPr>
        <w:t xml:space="preserve"> </w:t>
      </w:r>
      <w:r w:rsidR="00310F03" w:rsidRPr="00D264F7">
        <w:rPr>
          <w:b/>
          <w:bCs/>
          <w:sz w:val="22"/>
          <w:szCs w:val="22"/>
          <w:lang w:val="sr-Latn-ME"/>
        </w:rPr>
        <w:t>(i druga uputs</w:t>
      </w:r>
      <w:r w:rsidR="004109FA" w:rsidRPr="00D264F7">
        <w:rPr>
          <w:b/>
          <w:bCs/>
          <w:sz w:val="22"/>
          <w:szCs w:val="22"/>
          <w:lang w:val="sr-Latn-ME"/>
        </w:rPr>
        <w:t>t</w:t>
      </w:r>
      <w:r w:rsidR="00310F03" w:rsidRPr="00D264F7">
        <w:rPr>
          <w:b/>
          <w:bCs/>
          <w:sz w:val="22"/>
          <w:szCs w:val="22"/>
          <w:lang w:val="sr-Latn-ME"/>
        </w:rPr>
        <w:t xml:space="preserve">va za rukovanje lijekom) </w:t>
      </w:r>
    </w:p>
    <w:p w14:paraId="7B5A0435" w14:textId="77777777" w:rsidR="00B66A70" w:rsidRPr="00D264F7" w:rsidRDefault="00B66A70">
      <w:pPr>
        <w:tabs>
          <w:tab w:val="left" w:pos="540"/>
          <w:tab w:val="left" w:pos="569"/>
        </w:tabs>
        <w:jc w:val="both"/>
        <w:rPr>
          <w:b/>
          <w:bCs/>
          <w:sz w:val="22"/>
          <w:szCs w:val="22"/>
          <w:lang w:val="sr-Latn-ME"/>
        </w:rPr>
      </w:pPr>
    </w:p>
    <w:p w14:paraId="476059C4" w14:textId="77777777" w:rsidR="0072020E" w:rsidRPr="00D264F7" w:rsidRDefault="00560D67">
      <w:pPr>
        <w:tabs>
          <w:tab w:val="left" w:pos="540"/>
          <w:tab w:val="left" w:pos="569"/>
        </w:tabs>
        <w:jc w:val="both"/>
        <w:rPr>
          <w:bCs/>
          <w:sz w:val="22"/>
          <w:szCs w:val="22"/>
          <w:lang w:val="sr-Latn-ME"/>
        </w:rPr>
      </w:pPr>
      <w:r w:rsidRPr="00D264F7">
        <w:rPr>
          <w:bCs/>
          <w:sz w:val="22"/>
          <w:szCs w:val="22"/>
          <w:lang w:val="sr-Latn-ME"/>
        </w:rPr>
        <w:t>Nema posebnih uputstava.</w:t>
      </w:r>
    </w:p>
    <w:p w14:paraId="56609F6D" w14:textId="779448AB" w:rsidR="00560D67" w:rsidRDefault="00692979">
      <w:pPr>
        <w:tabs>
          <w:tab w:val="left" w:pos="1313"/>
        </w:tabs>
        <w:jc w:val="both"/>
        <w:rPr>
          <w:bCs/>
          <w:sz w:val="22"/>
          <w:szCs w:val="22"/>
          <w:lang w:val="sr-Latn-ME"/>
        </w:rPr>
      </w:pPr>
      <w:r>
        <w:rPr>
          <w:bCs/>
          <w:sz w:val="22"/>
          <w:szCs w:val="22"/>
          <w:lang w:val="sr-Latn-ME"/>
        </w:rPr>
        <w:tab/>
      </w:r>
    </w:p>
    <w:p w14:paraId="0EB4C089" w14:textId="77777777" w:rsidR="00692979" w:rsidRPr="00D264F7" w:rsidRDefault="00692979">
      <w:pPr>
        <w:tabs>
          <w:tab w:val="left" w:pos="1313"/>
        </w:tabs>
        <w:jc w:val="both"/>
        <w:rPr>
          <w:bCs/>
          <w:sz w:val="22"/>
          <w:szCs w:val="22"/>
          <w:lang w:val="sr-Latn-ME"/>
        </w:rPr>
      </w:pPr>
    </w:p>
    <w:p w14:paraId="53D0EFAA" w14:textId="77777777" w:rsidR="00F8570A"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7. </w:t>
      </w:r>
      <w:r w:rsidR="00480FB1" w:rsidRPr="00D264F7">
        <w:rPr>
          <w:b/>
          <w:bCs/>
          <w:sz w:val="22"/>
          <w:szCs w:val="22"/>
          <w:lang w:val="sr-Latn-ME"/>
        </w:rPr>
        <w:tab/>
      </w:r>
      <w:r w:rsidRPr="00D264F7">
        <w:rPr>
          <w:b/>
          <w:bCs/>
          <w:sz w:val="22"/>
          <w:szCs w:val="22"/>
          <w:lang w:val="sr-Latn-ME"/>
        </w:rPr>
        <w:t>NOSILAC DOZVOLE</w:t>
      </w:r>
      <w:r w:rsidR="00483928" w:rsidRPr="00D264F7">
        <w:rPr>
          <w:b/>
          <w:bCs/>
          <w:sz w:val="22"/>
          <w:szCs w:val="22"/>
          <w:lang w:val="sr-Latn-ME"/>
        </w:rPr>
        <w:t xml:space="preserve"> </w:t>
      </w:r>
    </w:p>
    <w:p w14:paraId="11872926" w14:textId="77777777" w:rsidR="00C61BE0" w:rsidRPr="00D264F7" w:rsidRDefault="00C61BE0">
      <w:pPr>
        <w:tabs>
          <w:tab w:val="left" w:pos="540"/>
          <w:tab w:val="left" w:pos="569"/>
        </w:tabs>
        <w:jc w:val="both"/>
        <w:rPr>
          <w:bCs/>
          <w:sz w:val="22"/>
          <w:szCs w:val="22"/>
          <w:lang w:val="sr-Latn-ME"/>
        </w:rPr>
      </w:pPr>
    </w:p>
    <w:p w14:paraId="094248DC" w14:textId="52DE7BA1" w:rsidR="00C37FD7" w:rsidRPr="00D264F7" w:rsidRDefault="00560D67">
      <w:pPr>
        <w:tabs>
          <w:tab w:val="left" w:pos="540"/>
          <w:tab w:val="left" w:pos="569"/>
        </w:tabs>
        <w:jc w:val="both"/>
        <w:rPr>
          <w:bCs/>
          <w:sz w:val="22"/>
          <w:szCs w:val="22"/>
          <w:lang w:val="sr-Latn-ME"/>
        </w:rPr>
      </w:pPr>
      <w:r w:rsidRPr="00D264F7">
        <w:rPr>
          <w:bCs/>
          <w:sz w:val="22"/>
          <w:szCs w:val="22"/>
          <w:lang w:val="sr-Latn-ME"/>
        </w:rPr>
        <w:t>Glosarij d.o.o., Vojislavljevića 76, Podgorica</w:t>
      </w:r>
      <w:r w:rsidR="00932D50">
        <w:rPr>
          <w:bCs/>
          <w:sz w:val="22"/>
          <w:szCs w:val="22"/>
          <w:lang w:val="sr-Latn-ME"/>
        </w:rPr>
        <w:t xml:space="preserve"> </w:t>
      </w:r>
      <w:r w:rsidR="00B3227D">
        <w:rPr>
          <w:bCs/>
          <w:sz w:val="22"/>
          <w:szCs w:val="22"/>
          <w:lang w:val="sr-Latn-ME"/>
        </w:rPr>
        <w:t xml:space="preserve">81000, </w:t>
      </w:r>
      <w:r w:rsidR="00932D50">
        <w:rPr>
          <w:bCs/>
          <w:sz w:val="22"/>
          <w:szCs w:val="22"/>
          <w:lang w:val="sr-Latn-ME"/>
        </w:rPr>
        <w:t>Crna Gora</w:t>
      </w:r>
    </w:p>
    <w:p w14:paraId="4EF1E049" w14:textId="5E263BA3" w:rsidR="00560D67" w:rsidRDefault="00560D67">
      <w:pPr>
        <w:tabs>
          <w:tab w:val="left" w:pos="540"/>
          <w:tab w:val="left" w:pos="569"/>
        </w:tabs>
        <w:jc w:val="both"/>
        <w:rPr>
          <w:bCs/>
          <w:sz w:val="22"/>
          <w:szCs w:val="22"/>
          <w:lang w:val="sr-Latn-ME"/>
        </w:rPr>
      </w:pPr>
    </w:p>
    <w:p w14:paraId="7BCACE54" w14:textId="77777777" w:rsidR="00692979" w:rsidRPr="00D264F7" w:rsidRDefault="00692979">
      <w:pPr>
        <w:tabs>
          <w:tab w:val="left" w:pos="540"/>
          <w:tab w:val="left" w:pos="569"/>
        </w:tabs>
        <w:jc w:val="both"/>
        <w:rPr>
          <w:bCs/>
          <w:sz w:val="22"/>
          <w:szCs w:val="22"/>
          <w:lang w:val="sr-Latn-ME"/>
        </w:rPr>
      </w:pPr>
    </w:p>
    <w:p w14:paraId="30362B7C"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8. </w:t>
      </w:r>
      <w:r w:rsidR="00480FB1" w:rsidRPr="00D264F7">
        <w:rPr>
          <w:b/>
          <w:bCs/>
          <w:sz w:val="22"/>
          <w:szCs w:val="22"/>
          <w:lang w:val="sr-Latn-ME"/>
        </w:rPr>
        <w:tab/>
      </w:r>
      <w:r w:rsidRPr="00D264F7">
        <w:rPr>
          <w:b/>
          <w:bCs/>
          <w:sz w:val="22"/>
          <w:szCs w:val="22"/>
          <w:lang w:val="sr-Latn-ME"/>
        </w:rPr>
        <w:t>BROJ DOZVOLE</w:t>
      </w:r>
      <w:r w:rsidR="008A6D43" w:rsidRPr="00D264F7">
        <w:rPr>
          <w:b/>
          <w:bCs/>
          <w:sz w:val="22"/>
          <w:szCs w:val="22"/>
          <w:lang w:val="sr-Latn-ME"/>
        </w:rPr>
        <w:t xml:space="preserve"> ZA STAVLJANJE LIJEKA U PROMET</w:t>
      </w:r>
    </w:p>
    <w:p w14:paraId="292EFB28" w14:textId="77777777" w:rsidR="0072020E" w:rsidRPr="00D264F7" w:rsidRDefault="0072020E">
      <w:pPr>
        <w:tabs>
          <w:tab w:val="left" w:pos="540"/>
          <w:tab w:val="left" w:pos="569"/>
        </w:tabs>
        <w:jc w:val="both"/>
        <w:rPr>
          <w:bCs/>
          <w:sz w:val="22"/>
          <w:szCs w:val="22"/>
          <w:lang w:val="sr-Latn-ME"/>
        </w:rPr>
      </w:pPr>
    </w:p>
    <w:p w14:paraId="0A65EF79" w14:textId="3DC8D8FF" w:rsidR="00560D67" w:rsidRPr="00D264F7" w:rsidRDefault="00560D67">
      <w:pPr>
        <w:widowControl w:val="0"/>
        <w:suppressLineNumbers/>
        <w:spacing w:line="259" w:lineRule="auto"/>
        <w:jc w:val="both"/>
        <w:rPr>
          <w:rFonts w:eastAsiaTheme="minorHAnsi"/>
          <w:sz w:val="22"/>
          <w:szCs w:val="22"/>
          <w:lang w:val="sr-Latn-ME"/>
        </w:rPr>
      </w:pPr>
      <w:r w:rsidRPr="00D264F7">
        <w:rPr>
          <w:rFonts w:eastAsiaTheme="minorHAnsi"/>
          <w:bCs/>
          <w:sz w:val="22"/>
          <w:szCs w:val="22"/>
          <w:lang w:val="sr-Latn-ME"/>
        </w:rPr>
        <w:t xml:space="preserve">Tecfidera, </w:t>
      </w:r>
      <w:r w:rsidRPr="00D264F7">
        <w:rPr>
          <w:rFonts w:eastAsiaTheme="minorHAnsi"/>
          <w:sz w:val="22"/>
          <w:szCs w:val="22"/>
          <w:lang w:val="sr-Latn-ME"/>
        </w:rPr>
        <w:t xml:space="preserve">gastrorezistentna kapsula, tvrda, 120 mg, blister, 14 (1x14) gastrorezistentnih kapsula, tvrdih: </w:t>
      </w:r>
      <w:r w:rsidR="008D6C97" w:rsidRPr="008D6C97">
        <w:rPr>
          <w:rFonts w:eastAsiaTheme="minorHAnsi"/>
          <w:sz w:val="22"/>
          <w:szCs w:val="22"/>
          <w:lang w:val="sr-Latn-ME"/>
        </w:rPr>
        <w:t>2030/24/1916</w:t>
      </w:r>
      <w:r w:rsidR="00C01093">
        <w:rPr>
          <w:rFonts w:eastAsiaTheme="minorHAnsi"/>
          <w:sz w:val="22"/>
          <w:szCs w:val="22"/>
          <w:lang w:val="sr-Latn-ME"/>
        </w:rPr>
        <w:t xml:space="preserve"> </w:t>
      </w:r>
      <w:r w:rsidR="008D6C97" w:rsidRPr="008D6C97">
        <w:rPr>
          <w:rFonts w:eastAsiaTheme="minorHAnsi"/>
          <w:sz w:val="22"/>
          <w:szCs w:val="22"/>
          <w:lang w:val="sr-Latn-ME"/>
        </w:rPr>
        <w:t>-</w:t>
      </w:r>
      <w:r w:rsidR="00C01093">
        <w:rPr>
          <w:rFonts w:eastAsiaTheme="minorHAnsi"/>
          <w:sz w:val="22"/>
          <w:szCs w:val="22"/>
          <w:lang w:val="sr-Latn-ME"/>
        </w:rPr>
        <w:t xml:space="preserve"> </w:t>
      </w:r>
      <w:r w:rsidR="008D6C97" w:rsidRPr="008D6C97">
        <w:rPr>
          <w:rFonts w:eastAsiaTheme="minorHAnsi"/>
          <w:sz w:val="22"/>
          <w:szCs w:val="22"/>
          <w:lang w:val="sr-Latn-ME"/>
        </w:rPr>
        <w:t xml:space="preserve">8199 </w:t>
      </w:r>
    </w:p>
    <w:p w14:paraId="0FF7AA33" w14:textId="0AAED25D" w:rsidR="00C94BB0" w:rsidRPr="00D264F7" w:rsidRDefault="00C94BB0">
      <w:pPr>
        <w:tabs>
          <w:tab w:val="left" w:pos="540"/>
          <w:tab w:val="left" w:pos="569"/>
        </w:tabs>
        <w:jc w:val="both"/>
        <w:rPr>
          <w:bCs/>
          <w:sz w:val="22"/>
          <w:szCs w:val="22"/>
          <w:lang w:val="sr-Latn-ME"/>
        </w:rPr>
      </w:pPr>
      <w:r w:rsidRPr="00D264F7">
        <w:rPr>
          <w:bCs/>
          <w:sz w:val="22"/>
          <w:szCs w:val="22"/>
          <w:lang w:val="sr-Latn-ME"/>
        </w:rPr>
        <w:t>Tecfidera,</w:t>
      </w:r>
      <w:r w:rsidRPr="00D264F7">
        <w:rPr>
          <w:b/>
          <w:bCs/>
          <w:sz w:val="22"/>
          <w:szCs w:val="22"/>
          <w:lang w:val="sr-Latn-ME"/>
        </w:rPr>
        <w:t xml:space="preserve"> </w:t>
      </w:r>
      <w:r w:rsidRPr="00D264F7">
        <w:rPr>
          <w:bCs/>
          <w:sz w:val="22"/>
          <w:szCs w:val="22"/>
          <w:lang w:val="sr-Latn-ME"/>
        </w:rPr>
        <w:t xml:space="preserve">gastrorezistentna kapsula, tvrda, 240 mg,  blister, 56 (4x14) gastrorezistentnih kapsula, tvrdih:  </w:t>
      </w:r>
    </w:p>
    <w:p w14:paraId="03A0A271" w14:textId="2AE3D866" w:rsidR="00F45F77" w:rsidRDefault="00455B75">
      <w:pPr>
        <w:tabs>
          <w:tab w:val="left" w:pos="540"/>
          <w:tab w:val="left" w:pos="569"/>
        </w:tabs>
        <w:jc w:val="both"/>
        <w:rPr>
          <w:bCs/>
          <w:sz w:val="22"/>
          <w:szCs w:val="22"/>
          <w:lang w:val="sr-Latn-ME"/>
        </w:rPr>
      </w:pPr>
      <w:r w:rsidRPr="00455B75">
        <w:rPr>
          <w:bCs/>
          <w:sz w:val="22"/>
          <w:szCs w:val="22"/>
          <w:lang w:val="sr-Latn-ME"/>
        </w:rPr>
        <w:t>2030/24/1917</w:t>
      </w:r>
      <w:r w:rsidR="00C01093">
        <w:rPr>
          <w:bCs/>
          <w:sz w:val="22"/>
          <w:szCs w:val="22"/>
          <w:lang w:val="sr-Latn-ME"/>
        </w:rPr>
        <w:t xml:space="preserve"> - </w:t>
      </w:r>
      <w:r w:rsidRPr="00455B75">
        <w:rPr>
          <w:bCs/>
          <w:sz w:val="22"/>
          <w:szCs w:val="22"/>
          <w:lang w:val="sr-Latn-ME"/>
        </w:rPr>
        <w:t xml:space="preserve">8198 </w:t>
      </w:r>
    </w:p>
    <w:p w14:paraId="08216A68" w14:textId="77777777" w:rsidR="00692979" w:rsidRPr="00D264F7" w:rsidRDefault="00692979">
      <w:pPr>
        <w:tabs>
          <w:tab w:val="left" w:pos="540"/>
          <w:tab w:val="left" w:pos="569"/>
        </w:tabs>
        <w:jc w:val="both"/>
        <w:rPr>
          <w:bCs/>
          <w:sz w:val="22"/>
          <w:szCs w:val="22"/>
          <w:lang w:val="sr-Latn-ME"/>
        </w:rPr>
      </w:pPr>
    </w:p>
    <w:p w14:paraId="44848658" w14:textId="77777777" w:rsidR="0072020E" w:rsidRPr="00D264F7" w:rsidRDefault="0072020E">
      <w:pPr>
        <w:tabs>
          <w:tab w:val="left" w:pos="540"/>
          <w:tab w:val="left" w:pos="569"/>
        </w:tabs>
        <w:jc w:val="both"/>
        <w:rPr>
          <w:b/>
          <w:bCs/>
          <w:sz w:val="22"/>
          <w:szCs w:val="22"/>
          <w:lang w:val="sr-Latn-ME"/>
        </w:rPr>
      </w:pPr>
      <w:r w:rsidRPr="00D264F7">
        <w:rPr>
          <w:b/>
          <w:bCs/>
          <w:sz w:val="22"/>
          <w:szCs w:val="22"/>
          <w:lang w:val="sr-Latn-ME"/>
        </w:rPr>
        <w:t xml:space="preserve">9. </w:t>
      </w:r>
      <w:r w:rsidR="00480FB1" w:rsidRPr="00D264F7">
        <w:rPr>
          <w:b/>
          <w:bCs/>
          <w:sz w:val="22"/>
          <w:szCs w:val="22"/>
          <w:lang w:val="sr-Latn-ME"/>
        </w:rPr>
        <w:tab/>
      </w:r>
      <w:r w:rsidRPr="00D264F7">
        <w:rPr>
          <w:b/>
          <w:bCs/>
          <w:sz w:val="22"/>
          <w:szCs w:val="22"/>
          <w:lang w:val="sr-Latn-ME"/>
        </w:rPr>
        <w:t xml:space="preserve">DATUM </w:t>
      </w:r>
      <w:r w:rsidR="00C05DF8" w:rsidRPr="00D264F7">
        <w:rPr>
          <w:b/>
          <w:bCs/>
          <w:sz w:val="22"/>
          <w:szCs w:val="22"/>
          <w:lang w:val="sr-Latn-ME"/>
        </w:rPr>
        <w:t xml:space="preserve">PRVE </w:t>
      </w:r>
      <w:r w:rsidR="008A6D43" w:rsidRPr="00D264F7">
        <w:rPr>
          <w:b/>
          <w:bCs/>
          <w:sz w:val="22"/>
          <w:szCs w:val="22"/>
          <w:lang w:val="sr-Latn-ME"/>
        </w:rPr>
        <w:t>DOZVOLE</w:t>
      </w:r>
      <w:r w:rsidR="00C05DF8" w:rsidRPr="00D264F7">
        <w:rPr>
          <w:b/>
          <w:bCs/>
          <w:sz w:val="22"/>
          <w:szCs w:val="22"/>
          <w:lang w:val="sr-Latn-ME"/>
        </w:rPr>
        <w:t>/OBNOVE DOZVOLE</w:t>
      </w:r>
      <w:r w:rsidR="008A6D43" w:rsidRPr="00D264F7">
        <w:rPr>
          <w:b/>
          <w:bCs/>
          <w:sz w:val="22"/>
          <w:szCs w:val="22"/>
          <w:lang w:val="sr-Latn-ME"/>
        </w:rPr>
        <w:t xml:space="preserve"> ZA STAVLJANJE LIJEKA U PROMET</w:t>
      </w:r>
    </w:p>
    <w:p w14:paraId="2B22A7C6" w14:textId="77777777" w:rsidR="0072020E" w:rsidRPr="00D264F7" w:rsidRDefault="0072020E">
      <w:pPr>
        <w:tabs>
          <w:tab w:val="left" w:pos="540"/>
          <w:tab w:val="left" w:pos="569"/>
        </w:tabs>
        <w:jc w:val="both"/>
        <w:rPr>
          <w:bCs/>
          <w:sz w:val="22"/>
          <w:szCs w:val="22"/>
          <w:lang w:val="sr-Latn-ME"/>
        </w:rPr>
      </w:pPr>
    </w:p>
    <w:p w14:paraId="6B8B2D8B" w14:textId="29E6B185" w:rsidR="00560D67" w:rsidRPr="00D264F7" w:rsidRDefault="00932D50">
      <w:pPr>
        <w:widowControl w:val="0"/>
        <w:suppressLineNumbers/>
        <w:jc w:val="both"/>
        <w:rPr>
          <w:rFonts w:eastAsiaTheme="minorHAnsi"/>
          <w:sz w:val="22"/>
          <w:szCs w:val="22"/>
          <w:lang w:val="sr-Latn-ME"/>
        </w:rPr>
      </w:pPr>
      <w:r>
        <w:rPr>
          <w:rFonts w:eastAsiaTheme="minorHAnsi"/>
          <w:bCs/>
          <w:sz w:val="22"/>
          <w:szCs w:val="22"/>
          <w:lang w:val="sr-Latn-ME"/>
        </w:rPr>
        <w:t>Datum prve dozvole</w:t>
      </w:r>
      <w:r w:rsidR="00560D67" w:rsidRPr="00D264F7">
        <w:rPr>
          <w:rFonts w:eastAsiaTheme="minorHAnsi"/>
          <w:sz w:val="22"/>
          <w:szCs w:val="22"/>
          <w:lang w:val="sr-Latn-ME"/>
        </w:rPr>
        <w:t>: 11.10.2017. godine</w:t>
      </w:r>
    </w:p>
    <w:p w14:paraId="2400C329" w14:textId="05EC13C8" w:rsidR="00C94BB0" w:rsidRPr="00D264F7" w:rsidRDefault="00932D50">
      <w:pPr>
        <w:tabs>
          <w:tab w:val="left" w:pos="540"/>
          <w:tab w:val="left" w:pos="569"/>
        </w:tabs>
        <w:jc w:val="both"/>
        <w:rPr>
          <w:bCs/>
          <w:sz w:val="22"/>
          <w:szCs w:val="22"/>
          <w:lang w:val="sr-Latn-ME"/>
        </w:rPr>
      </w:pPr>
      <w:r>
        <w:rPr>
          <w:bCs/>
          <w:sz w:val="22"/>
          <w:szCs w:val="22"/>
          <w:lang w:val="sr-Latn-ME"/>
        </w:rPr>
        <w:t>Datum poslednje obnove dozvole</w:t>
      </w:r>
      <w:r w:rsidR="00C94BB0" w:rsidRPr="00D264F7">
        <w:rPr>
          <w:bCs/>
          <w:sz w:val="22"/>
          <w:szCs w:val="22"/>
          <w:lang w:val="sr-Latn-ME"/>
        </w:rPr>
        <w:t xml:space="preserve">:  </w:t>
      </w:r>
      <w:r w:rsidR="002233F6">
        <w:rPr>
          <w:bCs/>
          <w:sz w:val="22"/>
          <w:szCs w:val="22"/>
          <w:lang w:val="sr-Latn-ME"/>
        </w:rPr>
        <w:t xml:space="preserve">04.04.2024. </w:t>
      </w:r>
      <w:r w:rsidR="00C604BC">
        <w:rPr>
          <w:bCs/>
          <w:sz w:val="22"/>
          <w:szCs w:val="22"/>
          <w:lang w:val="sr-Latn-ME"/>
        </w:rPr>
        <w:t>godine</w:t>
      </w:r>
    </w:p>
    <w:p w14:paraId="6531944D" w14:textId="77777777" w:rsidR="00692979" w:rsidRPr="00D264F7" w:rsidRDefault="00692979">
      <w:pPr>
        <w:tabs>
          <w:tab w:val="left" w:pos="540"/>
          <w:tab w:val="left" w:pos="569"/>
        </w:tabs>
        <w:jc w:val="both"/>
        <w:rPr>
          <w:bCs/>
          <w:sz w:val="22"/>
          <w:szCs w:val="22"/>
          <w:lang w:val="sr-Latn-ME"/>
        </w:rPr>
      </w:pPr>
    </w:p>
    <w:p w14:paraId="3F467F54" w14:textId="77777777" w:rsidR="00836B35" w:rsidRPr="00D264F7" w:rsidRDefault="00836B35">
      <w:pPr>
        <w:tabs>
          <w:tab w:val="left" w:pos="540"/>
          <w:tab w:val="left" w:pos="569"/>
        </w:tabs>
        <w:jc w:val="both"/>
        <w:rPr>
          <w:bCs/>
          <w:sz w:val="22"/>
          <w:szCs w:val="22"/>
          <w:lang w:val="sr-Latn-ME"/>
        </w:rPr>
      </w:pPr>
    </w:p>
    <w:p w14:paraId="3CAC2FC8" w14:textId="01F180BF" w:rsidR="003F6A59" w:rsidRDefault="0072020E" w:rsidP="001F758F">
      <w:pPr>
        <w:tabs>
          <w:tab w:val="left" w:pos="540"/>
          <w:tab w:val="left" w:pos="569"/>
        </w:tabs>
        <w:ind w:left="540" w:hanging="540"/>
        <w:jc w:val="both"/>
        <w:rPr>
          <w:bCs/>
          <w:sz w:val="22"/>
          <w:szCs w:val="22"/>
          <w:lang w:val="sr-Latn-ME"/>
        </w:rPr>
      </w:pPr>
      <w:r w:rsidRPr="00D264F7">
        <w:rPr>
          <w:b/>
          <w:bCs/>
          <w:sz w:val="22"/>
          <w:szCs w:val="22"/>
          <w:lang w:val="sr-Latn-ME"/>
        </w:rPr>
        <w:t xml:space="preserve">10. </w:t>
      </w:r>
      <w:r w:rsidR="00480FB1" w:rsidRPr="00D264F7">
        <w:rPr>
          <w:b/>
          <w:bCs/>
          <w:sz w:val="22"/>
          <w:szCs w:val="22"/>
          <w:lang w:val="sr-Latn-ME"/>
        </w:rPr>
        <w:tab/>
      </w:r>
      <w:r w:rsidR="002846DB" w:rsidRPr="00D264F7">
        <w:rPr>
          <w:b/>
          <w:bCs/>
          <w:sz w:val="22"/>
          <w:szCs w:val="22"/>
          <w:lang w:val="sr-Latn-ME"/>
        </w:rPr>
        <w:t>D</w:t>
      </w:r>
      <w:r w:rsidR="00EC2532" w:rsidRPr="00D264F7">
        <w:rPr>
          <w:b/>
          <w:bCs/>
          <w:sz w:val="22"/>
          <w:szCs w:val="22"/>
          <w:lang w:val="sr-Latn-ME"/>
        </w:rPr>
        <w:t xml:space="preserve">ATUM REVIZIJE TEKSTA </w:t>
      </w:r>
    </w:p>
    <w:p w14:paraId="693B0F30" w14:textId="3FE1AD1C" w:rsidR="00C01093" w:rsidRDefault="00C01093" w:rsidP="001F758F">
      <w:pPr>
        <w:tabs>
          <w:tab w:val="left" w:pos="540"/>
          <w:tab w:val="left" w:pos="569"/>
        </w:tabs>
        <w:ind w:left="540" w:hanging="540"/>
        <w:jc w:val="both"/>
        <w:rPr>
          <w:bCs/>
          <w:sz w:val="22"/>
          <w:szCs w:val="22"/>
          <w:lang w:val="sr-Latn-ME"/>
        </w:rPr>
      </w:pPr>
    </w:p>
    <w:p w14:paraId="27EB1DCD" w14:textId="6B109B82" w:rsidR="002D7CC1" w:rsidRPr="00D264F7" w:rsidRDefault="00C01093" w:rsidP="001F758F">
      <w:pPr>
        <w:tabs>
          <w:tab w:val="left" w:pos="540"/>
          <w:tab w:val="left" w:pos="569"/>
        </w:tabs>
        <w:ind w:left="540" w:hanging="540"/>
        <w:jc w:val="both"/>
        <w:rPr>
          <w:sz w:val="22"/>
          <w:szCs w:val="22"/>
          <w:lang w:val="sr-Latn-ME"/>
        </w:rPr>
      </w:pPr>
      <w:r>
        <w:rPr>
          <w:bCs/>
          <w:sz w:val="22"/>
          <w:szCs w:val="22"/>
          <w:lang w:val="sr-Latn-ME"/>
        </w:rPr>
        <w:t>Januar, 2025. godine</w:t>
      </w:r>
      <w:bookmarkStart w:id="1" w:name="_GoBack"/>
      <w:bookmarkEnd w:id="1"/>
    </w:p>
    <w:sectPr w:rsidR="002D7CC1" w:rsidRPr="00D264F7" w:rsidSect="003E5ADD">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E795F" w14:textId="77777777" w:rsidR="00B44C95" w:rsidRDefault="00B44C95">
      <w:r>
        <w:separator/>
      </w:r>
    </w:p>
  </w:endnote>
  <w:endnote w:type="continuationSeparator" w:id="0">
    <w:p w14:paraId="58451562" w14:textId="77777777" w:rsidR="00B44C95" w:rsidRDefault="00B4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CE3D" w14:textId="6DF900E6" w:rsidR="001C605F" w:rsidRPr="00B23F69" w:rsidRDefault="001C605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F758F">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F758F">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5577" w14:textId="77777777" w:rsidR="00B44C95" w:rsidRDefault="00B44C95">
      <w:r>
        <w:separator/>
      </w:r>
    </w:p>
  </w:footnote>
  <w:footnote w:type="continuationSeparator" w:id="0">
    <w:p w14:paraId="06863FFC" w14:textId="77777777" w:rsidR="00B44C95" w:rsidRDefault="00B44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266064"/>
    <w:multiLevelType w:val="hybridMultilevel"/>
    <w:tmpl w:val="74EE2F88"/>
    <w:lvl w:ilvl="0" w:tplc="05CA4E4E">
      <w:start w:val="1"/>
      <w:numFmt w:val="decimal"/>
      <w:lvlText w:val="%1."/>
      <w:lvlJc w:val="left"/>
      <w:pPr>
        <w:ind w:left="900" w:hanging="54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4AA63D8"/>
    <w:multiLevelType w:val="hybridMultilevel"/>
    <w:tmpl w:val="580C3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72157"/>
    <w:multiLevelType w:val="hybridMultilevel"/>
    <w:tmpl w:val="57B2CAC4"/>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44402B"/>
    <w:multiLevelType w:val="hybridMultilevel"/>
    <w:tmpl w:val="F552F10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1"/>
  </w:num>
  <w:num w:numId="5">
    <w:abstractNumId w:val="6"/>
  </w:num>
  <w:num w:numId="6">
    <w:abstractNumId w:val="1"/>
  </w:num>
  <w:num w:numId="7">
    <w:abstractNumId w:val="10"/>
  </w:num>
  <w:num w:numId="8">
    <w:abstractNumId w:val="5"/>
  </w:num>
  <w:num w:numId="9">
    <w:abstractNumId w:val="9"/>
  </w:num>
  <w:num w:numId="10">
    <w:abstractNumId w:val="14"/>
  </w:num>
  <w:num w:numId="11">
    <w:abstractNumId w:val="7"/>
  </w:num>
  <w:num w:numId="12">
    <w:abstractNumId w:val="8"/>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CE5"/>
    <w:rsid w:val="00011876"/>
    <w:rsid w:val="000176CA"/>
    <w:rsid w:val="00036FA0"/>
    <w:rsid w:val="0003793F"/>
    <w:rsid w:val="00047A4A"/>
    <w:rsid w:val="00057E35"/>
    <w:rsid w:val="000618AD"/>
    <w:rsid w:val="00064887"/>
    <w:rsid w:val="00066D6F"/>
    <w:rsid w:val="0007037E"/>
    <w:rsid w:val="00073EA7"/>
    <w:rsid w:val="00076726"/>
    <w:rsid w:val="00080303"/>
    <w:rsid w:val="00080B29"/>
    <w:rsid w:val="000831AA"/>
    <w:rsid w:val="00095A83"/>
    <w:rsid w:val="000A3F58"/>
    <w:rsid w:val="000B5247"/>
    <w:rsid w:val="000B6972"/>
    <w:rsid w:val="000D2343"/>
    <w:rsid w:val="000D3449"/>
    <w:rsid w:val="000D425A"/>
    <w:rsid w:val="000D60CC"/>
    <w:rsid w:val="000D60F9"/>
    <w:rsid w:val="000E2084"/>
    <w:rsid w:val="000E6F55"/>
    <w:rsid w:val="000F0AAA"/>
    <w:rsid w:val="000F5048"/>
    <w:rsid w:val="000F77FA"/>
    <w:rsid w:val="00107BF7"/>
    <w:rsid w:val="00126F53"/>
    <w:rsid w:val="0014766D"/>
    <w:rsid w:val="001536CC"/>
    <w:rsid w:val="00153CC8"/>
    <w:rsid w:val="001838DB"/>
    <w:rsid w:val="00190A97"/>
    <w:rsid w:val="00193B8B"/>
    <w:rsid w:val="001A02DB"/>
    <w:rsid w:val="001A3FBA"/>
    <w:rsid w:val="001A5518"/>
    <w:rsid w:val="001B1C6A"/>
    <w:rsid w:val="001B4579"/>
    <w:rsid w:val="001C1263"/>
    <w:rsid w:val="001C1417"/>
    <w:rsid w:val="001C254B"/>
    <w:rsid w:val="001C5B71"/>
    <w:rsid w:val="001C605F"/>
    <w:rsid w:val="001C75FC"/>
    <w:rsid w:val="001E390B"/>
    <w:rsid w:val="001E4959"/>
    <w:rsid w:val="001F11FD"/>
    <w:rsid w:val="001F2705"/>
    <w:rsid w:val="001F42FB"/>
    <w:rsid w:val="001F719A"/>
    <w:rsid w:val="001F758F"/>
    <w:rsid w:val="002031B3"/>
    <w:rsid w:val="002049F6"/>
    <w:rsid w:val="00215931"/>
    <w:rsid w:val="002233F6"/>
    <w:rsid w:val="00223FA5"/>
    <w:rsid w:val="00224C91"/>
    <w:rsid w:val="00227BDB"/>
    <w:rsid w:val="00234A2B"/>
    <w:rsid w:val="00234CB1"/>
    <w:rsid w:val="002352F8"/>
    <w:rsid w:val="002510A5"/>
    <w:rsid w:val="00253435"/>
    <w:rsid w:val="00254A0A"/>
    <w:rsid w:val="00266046"/>
    <w:rsid w:val="00270253"/>
    <w:rsid w:val="0027033B"/>
    <w:rsid w:val="00272C10"/>
    <w:rsid w:val="00275DED"/>
    <w:rsid w:val="002846DB"/>
    <w:rsid w:val="00284CCD"/>
    <w:rsid w:val="00286494"/>
    <w:rsid w:val="0029333B"/>
    <w:rsid w:val="002A620B"/>
    <w:rsid w:val="002A7193"/>
    <w:rsid w:val="002C5FEF"/>
    <w:rsid w:val="002C6637"/>
    <w:rsid w:val="002D7CC1"/>
    <w:rsid w:val="002E0135"/>
    <w:rsid w:val="002E37A5"/>
    <w:rsid w:val="002F0966"/>
    <w:rsid w:val="002F6FE0"/>
    <w:rsid w:val="00310F03"/>
    <w:rsid w:val="0031177A"/>
    <w:rsid w:val="003157C7"/>
    <w:rsid w:val="003247D2"/>
    <w:rsid w:val="00326D43"/>
    <w:rsid w:val="00334474"/>
    <w:rsid w:val="003445C1"/>
    <w:rsid w:val="00346F85"/>
    <w:rsid w:val="00355B61"/>
    <w:rsid w:val="00356E0C"/>
    <w:rsid w:val="00362686"/>
    <w:rsid w:val="00366604"/>
    <w:rsid w:val="003713C3"/>
    <w:rsid w:val="00371510"/>
    <w:rsid w:val="00396DFD"/>
    <w:rsid w:val="003A7059"/>
    <w:rsid w:val="003B7A36"/>
    <w:rsid w:val="003C17AB"/>
    <w:rsid w:val="003C1961"/>
    <w:rsid w:val="003C1A3B"/>
    <w:rsid w:val="003C50C0"/>
    <w:rsid w:val="003C7823"/>
    <w:rsid w:val="003E1DCC"/>
    <w:rsid w:val="003E5ADD"/>
    <w:rsid w:val="003F11A1"/>
    <w:rsid w:val="003F576E"/>
    <w:rsid w:val="003F6A59"/>
    <w:rsid w:val="00401C1E"/>
    <w:rsid w:val="004065C8"/>
    <w:rsid w:val="004109FA"/>
    <w:rsid w:val="00411B4B"/>
    <w:rsid w:val="00415BEE"/>
    <w:rsid w:val="004210D2"/>
    <w:rsid w:val="004217E6"/>
    <w:rsid w:val="00427F85"/>
    <w:rsid w:val="00436F42"/>
    <w:rsid w:val="004378B4"/>
    <w:rsid w:val="0044201D"/>
    <w:rsid w:val="00451314"/>
    <w:rsid w:val="00452E9D"/>
    <w:rsid w:val="004534C7"/>
    <w:rsid w:val="00455B75"/>
    <w:rsid w:val="004671AA"/>
    <w:rsid w:val="0047208A"/>
    <w:rsid w:val="00480FB1"/>
    <w:rsid w:val="00483928"/>
    <w:rsid w:val="00490700"/>
    <w:rsid w:val="004B17E6"/>
    <w:rsid w:val="004C0FE7"/>
    <w:rsid w:val="004C331F"/>
    <w:rsid w:val="004C46AF"/>
    <w:rsid w:val="004C4F8D"/>
    <w:rsid w:val="004C5101"/>
    <w:rsid w:val="004D6103"/>
    <w:rsid w:val="004E3BCE"/>
    <w:rsid w:val="004E70AD"/>
    <w:rsid w:val="004F0E97"/>
    <w:rsid w:val="00500F6C"/>
    <w:rsid w:val="00501DD1"/>
    <w:rsid w:val="00515C21"/>
    <w:rsid w:val="00520E82"/>
    <w:rsid w:val="00524F71"/>
    <w:rsid w:val="00527C81"/>
    <w:rsid w:val="00530BD7"/>
    <w:rsid w:val="00532CEE"/>
    <w:rsid w:val="00545CD2"/>
    <w:rsid w:val="005476F3"/>
    <w:rsid w:val="0055520E"/>
    <w:rsid w:val="00560D67"/>
    <w:rsid w:val="00572527"/>
    <w:rsid w:val="005729C0"/>
    <w:rsid w:val="00573E40"/>
    <w:rsid w:val="00576348"/>
    <w:rsid w:val="005A0B2E"/>
    <w:rsid w:val="005A23D2"/>
    <w:rsid w:val="005A36CB"/>
    <w:rsid w:val="005A67B8"/>
    <w:rsid w:val="005B49B8"/>
    <w:rsid w:val="005C0741"/>
    <w:rsid w:val="005C535D"/>
    <w:rsid w:val="005C5EF4"/>
    <w:rsid w:val="005E2E0B"/>
    <w:rsid w:val="005E7A7D"/>
    <w:rsid w:val="005F5B16"/>
    <w:rsid w:val="00602457"/>
    <w:rsid w:val="00604370"/>
    <w:rsid w:val="00613DCD"/>
    <w:rsid w:val="0063163E"/>
    <w:rsid w:val="00644FC3"/>
    <w:rsid w:val="006452CD"/>
    <w:rsid w:val="00646BD1"/>
    <w:rsid w:val="00652A35"/>
    <w:rsid w:val="006561C2"/>
    <w:rsid w:val="00663114"/>
    <w:rsid w:val="00663C4F"/>
    <w:rsid w:val="00671CB3"/>
    <w:rsid w:val="00671D7E"/>
    <w:rsid w:val="00674BAF"/>
    <w:rsid w:val="00681A4E"/>
    <w:rsid w:val="00682200"/>
    <w:rsid w:val="00690E6A"/>
    <w:rsid w:val="00692979"/>
    <w:rsid w:val="00692BF6"/>
    <w:rsid w:val="006A1497"/>
    <w:rsid w:val="006B0BD1"/>
    <w:rsid w:val="006B5265"/>
    <w:rsid w:val="006B5404"/>
    <w:rsid w:val="006D20A5"/>
    <w:rsid w:val="006D37BF"/>
    <w:rsid w:val="006E6F9C"/>
    <w:rsid w:val="00702E22"/>
    <w:rsid w:val="00716529"/>
    <w:rsid w:val="0072020E"/>
    <w:rsid w:val="007202D3"/>
    <w:rsid w:val="007763E7"/>
    <w:rsid w:val="0078046C"/>
    <w:rsid w:val="0078247D"/>
    <w:rsid w:val="0078462F"/>
    <w:rsid w:val="007853B2"/>
    <w:rsid w:val="00786071"/>
    <w:rsid w:val="007A1D3D"/>
    <w:rsid w:val="007A3ECB"/>
    <w:rsid w:val="007B337E"/>
    <w:rsid w:val="007C307C"/>
    <w:rsid w:val="007D6250"/>
    <w:rsid w:val="007D7BB3"/>
    <w:rsid w:val="007E1045"/>
    <w:rsid w:val="007F1F0C"/>
    <w:rsid w:val="0080276E"/>
    <w:rsid w:val="00806530"/>
    <w:rsid w:val="00824AB9"/>
    <w:rsid w:val="00836B35"/>
    <w:rsid w:val="00836B50"/>
    <w:rsid w:val="00843BDE"/>
    <w:rsid w:val="0087588C"/>
    <w:rsid w:val="00877503"/>
    <w:rsid w:val="00877CEB"/>
    <w:rsid w:val="0089208F"/>
    <w:rsid w:val="0089705C"/>
    <w:rsid w:val="008A5F82"/>
    <w:rsid w:val="008A6D43"/>
    <w:rsid w:val="008B0E32"/>
    <w:rsid w:val="008B491E"/>
    <w:rsid w:val="008B6287"/>
    <w:rsid w:val="008C1A28"/>
    <w:rsid w:val="008C2E98"/>
    <w:rsid w:val="008D3409"/>
    <w:rsid w:val="008D6A9E"/>
    <w:rsid w:val="008D6C97"/>
    <w:rsid w:val="008E2FBE"/>
    <w:rsid w:val="008E35E1"/>
    <w:rsid w:val="008E43D6"/>
    <w:rsid w:val="008E49BD"/>
    <w:rsid w:val="008E53E9"/>
    <w:rsid w:val="008E5771"/>
    <w:rsid w:val="008F4ACF"/>
    <w:rsid w:val="008F6C5F"/>
    <w:rsid w:val="00910611"/>
    <w:rsid w:val="00913E42"/>
    <w:rsid w:val="009179CF"/>
    <w:rsid w:val="00922B4A"/>
    <w:rsid w:val="00924166"/>
    <w:rsid w:val="00927487"/>
    <w:rsid w:val="00932D50"/>
    <w:rsid w:val="00934C9D"/>
    <w:rsid w:val="00940B9B"/>
    <w:rsid w:val="00945BE0"/>
    <w:rsid w:val="0095330A"/>
    <w:rsid w:val="0095676E"/>
    <w:rsid w:val="00956983"/>
    <w:rsid w:val="00960B5E"/>
    <w:rsid w:val="00960D49"/>
    <w:rsid w:val="00963CF0"/>
    <w:rsid w:val="00964614"/>
    <w:rsid w:val="00964BB1"/>
    <w:rsid w:val="0096710D"/>
    <w:rsid w:val="00970663"/>
    <w:rsid w:val="009775D9"/>
    <w:rsid w:val="0098170A"/>
    <w:rsid w:val="00984C86"/>
    <w:rsid w:val="00995CF0"/>
    <w:rsid w:val="00997175"/>
    <w:rsid w:val="009A1847"/>
    <w:rsid w:val="009A2A94"/>
    <w:rsid w:val="009A601A"/>
    <w:rsid w:val="009B062A"/>
    <w:rsid w:val="009B12C0"/>
    <w:rsid w:val="009B42C2"/>
    <w:rsid w:val="009B7411"/>
    <w:rsid w:val="009C2C6B"/>
    <w:rsid w:val="009C5D75"/>
    <w:rsid w:val="009D5BFC"/>
    <w:rsid w:val="009D5DD3"/>
    <w:rsid w:val="009E7C6F"/>
    <w:rsid w:val="009F1793"/>
    <w:rsid w:val="009F2D23"/>
    <w:rsid w:val="00A01D69"/>
    <w:rsid w:val="00A02335"/>
    <w:rsid w:val="00A03D08"/>
    <w:rsid w:val="00A147F3"/>
    <w:rsid w:val="00A34B8A"/>
    <w:rsid w:val="00A41EB7"/>
    <w:rsid w:val="00A46C9A"/>
    <w:rsid w:val="00A619F3"/>
    <w:rsid w:val="00A624CD"/>
    <w:rsid w:val="00A62A73"/>
    <w:rsid w:val="00A667C3"/>
    <w:rsid w:val="00A87FF6"/>
    <w:rsid w:val="00AA0A3B"/>
    <w:rsid w:val="00AA2763"/>
    <w:rsid w:val="00AA33B6"/>
    <w:rsid w:val="00AB50CA"/>
    <w:rsid w:val="00AB6D64"/>
    <w:rsid w:val="00AC41F8"/>
    <w:rsid w:val="00AC5071"/>
    <w:rsid w:val="00AC53CE"/>
    <w:rsid w:val="00AD2193"/>
    <w:rsid w:val="00AE5312"/>
    <w:rsid w:val="00AF2AC7"/>
    <w:rsid w:val="00AF74CE"/>
    <w:rsid w:val="00B1679A"/>
    <w:rsid w:val="00B208DB"/>
    <w:rsid w:val="00B23F69"/>
    <w:rsid w:val="00B3227D"/>
    <w:rsid w:val="00B41563"/>
    <w:rsid w:val="00B43DE1"/>
    <w:rsid w:val="00B44C95"/>
    <w:rsid w:val="00B44E93"/>
    <w:rsid w:val="00B5567C"/>
    <w:rsid w:val="00B60619"/>
    <w:rsid w:val="00B6578D"/>
    <w:rsid w:val="00B66A70"/>
    <w:rsid w:val="00B67366"/>
    <w:rsid w:val="00B80EE1"/>
    <w:rsid w:val="00B819FB"/>
    <w:rsid w:val="00B81F73"/>
    <w:rsid w:val="00B826D9"/>
    <w:rsid w:val="00B82FBD"/>
    <w:rsid w:val="00B84135"/>
    <w:rsid w:val="00B90A1C"/>
    <w:rsid w:val="00B912E3"/>
    <w:rsid w:val="00B92954"/>
    <w:rsid w:val="00BA12B0"/>
    <w:rsid w:val="00BB3F0D"/>
    <w:rsid w:val="00BB5A46"/>
    <w:rsid w:val="00BB781A"/>
    <w:rsid w:val="00BD782B"/>
    <w:rsid w:val="00BE19AB"/>
    <w:rsid w:val="00BE2D69"/>
    <w:rsid w:val="00C01093"/>
    <w:rsid w:val="00C04D34"/>
    <w:rsid w:val="00C05DF8"/>
    <w:rsid w:val="00C06864"/>
    <w:rsid w:val="00C10F54"/>
    <w:rsid w:val="00C11305"/>
    <w:rsid w:val="00C11809"/>
    <w:rsid w:val="00C14A4A"/>
    <w:rsid w:val="00C20BEA"/>
    <w:rsid w:val="00C23D8D"/>
    <w:rsid w:val="00C37AA3"/>
    <w:rsid w:val="00C37FD7"/>
    <w:rsid w:val="00C43335"/>
    <w:rsid w:val="00C43419"/>
    <w:rsid w:val="00C44CF3"/>
    <w:rsid w:val="00C57A4E"/>
    <w:rsid w:val="00C604BC"/>
    <w:rsid w:val="00C61BE0"/>
    <w:rsid w:val="00C6671E"/>
    <w:rsid w:val="00C6707E"/>
    <w:rsid w:val="00C70B0E"/>
    <w:rsid w:val="00C773CA"/>
    <w:rsid w:val="00C8089A"/>
    <w:rsid w:val="00C83785"/>
    <w:rsid w:val="00C85EC2"/>
    <w:rsid w:val="00C94BB0"/>
    <w:rsid w:val="00C94C0D"/>
    <w:rsid w:val="00C94D52"/>
    <w:rsid w:val="00C9718A"/>
    <w:rsid w:val="00CA07A9"/>
    <w:rsid w:val="00CA1FEB"/>
    <w:rsid w:val="00CA2CB1"/>
    <w:rsid w:val="00CD4D0C"/>
    <w:rsid w:val="00CD4F85"/>
    <w:rsid w:val="00CD6F02"/>
    <w:rsid w:val="00CE246D"/>
    <w:rsid w:val="00CE67DC"/>
    <w:rsid w:val="00CF07A0"/>
    <w:rsid w:val="00CF3E03"/>
    <w:rsid w:val="00D0082A"/>
    <w:rsid w:val="00D03CA1"/>
    <w:rsid w:val="00D1709E"/>
    <w:rsid w:val="00D21455"/>
    <w:rsid w:val="00D264F7"/>
    <w:rsid w:val="00D32621"/>
    <w:rsid w:val="00D43DC4"/>
    <w:rsid w:val="00D47634"/>
    <w:rsid w:val="00D56601"/>
    <w:rsid w:val="00D649D5"/>
    <w:rsid w:val="00D709B3"/>
    <w:rsid w:val="00D726AF"/>
    <w:rsid w:val="00D82AE2"/>
    <w:rsid w:val="00D87BA8"/>
    <w:rsid w:val="00D90DD9"/>
    <w:rsid w:val="00D929F6"/>
    <w:rsid w:val="00D9661A"/>
    <w:rsid w:val="00DA2ED6"/>
    <w:rsid w:val="00DB0077"/>
    <w:rsid w:val="00DB76B8"/>
    <w:rsid w:val="00DC2EA1"/>
    <w:rsid w:val="00DC6773"/>
    <w:rsid w:val="00DD6AAF"/>
    <w:rsid w:val="00DE0B48"/>
    <w:rsid w:val="00DE3F11"/>
    <w:rsid w:val="00DE3F5C"/>
    <w:rsid w:val="00DF1D20"/>
    <w:rsid w:val="00DF36AD"/>
    <w:rsid w:val="00DF6CC3"/>
    <w:rsid w:val="00E209DD"/>
    <w:rsid w:val="00E21324"/>
    <w:rsid w:val="00E246B9"/>
    <w:rsid w:val="00E31FEA"/>
    <w:rsid w:val="00E44CAD"/>
    <w:rsid w:val="00E45169"/>
    <w:rsid w:val="00E46C1B"/>
    <w:rsid w:val="00E47787"/>
    <w:rsid w:val="00E51C30"/>
    <w:rsid w:val="00E64180"/>
    <w:rsid w:val="00E74AEE"/>
    <w:rsid w:val="00E854DA"/>
    <w:rsid w:val="00E868E5"/>
    <w:rsid w:val="00E8771C"/>
    <w:rsid w:val="00E9237A"/>
    <w:rsid w:val="00E939FA"/>
    <w:rsid w:val="00EA5765"/>
    <w:rsid w:val="00EA77A5"/>
    <w:rsid w:val="00EC2532"/>
    <w:rsid w:val="00ED2287"/>
    <w:rsid w:val="00ED305B"/>
    <w:rsid w:val="00ED7812"/>
    <w:rsid w:val="00EE7DFC"/>
    <w:rsid w:val="00EF3B86"/>
    <w:rsid w:val="00F04A02"/>
    <w:rsid w:val="00F13D4E"/>
    <w:rsid w:val="00F317E9"/>
    <w:rsid w:val="00F34554"/>
    <w:rsid w:val="00F44FD4"/>
    <w:rsid w:val="00F45F77"/>
    <w:rsid w:val="00F50B13"/>
    <w:rsid w:val="00F5167F"/>
    <w:rsid w:val="00F52258"/>
    <w:rsid w:val="00F54F8D"/>
    <w:rsid w:val="00F5681E"/>
    <w:rsid w:val="00F629B1"/>
    <w:rsid w:val="00F8570A"/>
    <w:rsid w:val="00F910C8"/>
    <w:rsid w:val="00F91C7B"/>
    <w:rsid w:val="00FA390B"/>
    <w:rsid w:val="00FB29C8"/>
    <w:rsid w:val="00FB2AAB"/>
    <w:rsid w:val="00FC56F7"/>
    <w:rsid w:val="00FD1DBD"/>
    <w:rsid w:val="00FD486F"/>
    <w:rsid w:val="00FF430E"/>
    <w:rsid w:val="00FF5F82"/>
    <w:rsid w:val="00FF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EB4A2"/>
  <w15:docId w15:val="{1ADA4FFE-AF5E-4881-9169-CF69B0C6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A97"/>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524F71"/>
    <w:pPr>
      <w:ind w:left="720"/>
      <w:contextualSpacing/>
    </w:pPr>
  </w:style>
  <w:style w:type="paragraph" w:styleId="Revision">
    <w:name w:val="Revision"/>
    <w:hidden/>
    <w:uiPriority w:val="99"/>
    <w:semiHidden/>
    <w:rsid w:val="00877CEB"/>
    <w:rPr>
      <w:sz w:val="24"/>
      <w:szCs w:val="24"/>
    </w:rPr>
  </w:style>
  <w:style w:type="paragraph" w:customStyle="1" w:styleId="Default">
    <w:name w:val="Default"/>
    <w:rsid w:val="007D6250"/>
    <w:pPr>
      <w:autoSpaceDE w:val="0"/>
      <w:autoSpaceDN w:val="0"/>
      <w:adjustRightInd w:val="0"/>
    </w:pPr>
    <w:rPr>
      <w:color w:val="000000"/>
      <w:sz w:val="24"/>
      <w:szCs w:val="24"/>
      <w:lang w:val="sr-Latn-RS"/>
    </w:rPr>
  </w:style>
  <w:style w:type="table" w:styleId="TableGrid">
    <w:name w:val="Table Grid"/>
    <w:basedOn w:val="TableNormal"/>
    <w:rsid w:val="007D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767</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951AF-B416-4C1D-A743-965ADE89C585}">
  <ds:schemaRefs>
    <ds:schemaRef ds:uri="http://schemas.microsoft.com/sharepoint/v3/contenttype/forms"/>
  </ds:schemaRefs>
</ds:datastoreItem>
</file>

<file path=customXml/itemProps2.xml><?xml version="1.0" encoding="utf-8"?>
<ds:datastoreItem xmlns:ds="http://schemas.openxmlformats.org/officeDocument/2006/customXml" ds:itemID="{C9F0F0A7-2EE9-49E7-97FB-6E3BA32C1A77}">
  <ds:schemaRefs>
    <ds:schemaRef ds:uri="http://schemas.microsoft.com/office/2006/metadata/properties"/>
    <ds:schemaRef ds:uri="http://schemas.microsoft.com/office/infopath/2007/PartnerControls"/>
    <ds:schemaRef ds:uri="b952dd15-0cc3-46e3-907b-6b87426d7430"/>
  </ds:schemaRefs>
</ds:datastoreItem>
</file>

<file path=customXml/itemProps3.xml><?xml version="1.0" encoding="utf-8"?>
<ds:datastoreItem xmlns:ds="http://schemas.openxmlformats.org/officeDocument/2006/customXml" ds:itemID="{D506028C-10A7-4BDC-8587-AFCBDE67D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1B5CA-42BF-4F7E-A937-A67CEA99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9832</Words>
  <Characters>56048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65749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7</cp:revision>
  <dcterms:created xsi:type="dcterms:W3CDTF">2025-01-14T12:52:00Z</dcterms:created>
  <dcterms:modified xsi:type="dcterms:W3CDTF">2025-01-15T09:43:00Z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2021|bdef83c5-aafc-43a4-ab85-d37a464e3076</vt:lpwstr>
  </property>
  <property fmtid="{D5CDD505-2E9C-101B-9397-08002B2CF9AE}" pid="8" name="k10395a1545d42c9a28bb8ddc503f409">
    <vt:lpwstr/>
  </property>
  <property fmtid="{D5CDD505-2E9C-101B-9397-08002B2CF9AE}" pid="9" name="Year">
    <vt:lpwstr>767;#2021|bdef83c5-aafc-43a4-ab85-d37a464e3076</vt:lpwstr>
  </property>
  <property fmtid="{D5CDD505-2E9C-101B-9397-08002B2CF9AE}" pid="10" name="_docset_NoMedatataSyncRequired">
    <vt:lpwstr>False</vt:lpwstr>
  </property>
  <property fmtid="{D5CDD505-2E9C-101B-9397-08002B2CF9AE}" pid="11" name="Doc type Approved">
    <vt:lpwstr/>
  </property>
</Properties>
</file>