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8356" w14:textId="77777777" w:rsidR="002510A5" w:rsidRPr="0087318B" w:rsidRDefault="002510A5" w:rsidP="00B857C4">
      <w:pPr>
        <w:jc w:val="center"/>
        <w:rPr>
          <w:b/>
          <w:bCs/>
          <w:iCs/>
          <w:sz w:val="22"/>
          <w:szCs w:val="22"/>
          <w:u w:val="single"/>
          <w:lang w:val="sr-Latn-ME"/>
        </w:rPr>
      </w:pPr>
      <w:r w:rsidRPr="0087318B">
        <w:rPr>
          <w:b/>
          <w:bCs/>
          <w:iCs/>
          <w:sz w:val="22"/>
          <w:szCs w:val="22"/>
          <w:u w:val="single"/>
          <w:lang w:val="sr-Latn-ME"/>
        </w:rPr>
        <w:t>SAŽETAK KARAKTERISTIKA LIJEKA</w:t>
      </w:r>
    </w:p>
    <w:p w14:paraId="50E16AA2" w14:textId="77777777" w:rsidR="002510A5" w:rsidRPr="0087318B" w:rsidRDefault="002510A5" w:rsidP="00B857C4">
      <w:pPr>
        <w:rPr>
          <w:b/>
          <w:bCs/>
          <w:i/>
          <w:iCs/>
          <w:sz w:val="22"/>
          <w:szCs w:val="22"/>
          <w:u w:val="single"/>
          <w:lang w:val="sr-Latn-ME"/>
        </w:rPr>
      </w:pPr>
    </w:p>
    <w:p w14:paraId="216160BA" w14:textId="77777777" w:rsidR="00C37FD7" w:rsidRPr="0087318B" w:rsidRDefault="00C37FD7" w:rsidP="00B857C4">
      <w:pPr>
        <w:tabs>
          <w:tab w:val="left" w:pos="540"/>
          <w:tab w:val="left" w:pos="569"/>
        </w:tabs>
        <w:rPr>
          <w:bCs/>
          <w:sz w:val="22"/>
          <w:szCs w:val="22"/>
          <w:lang w:val="sr-Latn-ME"/>
        </w:rPr>
      </w:pPr>
    </w:p>
    <w:p w14:paraId="2FC896F0" w14:textId="77777777" w:rsidR="00411B4B" w:rsidRPr="0087318B" w:rsidRDefault="00411B4B" w:rsidP="00A66F57">
      <w:pPr>
        <w:tabs>
          <w:tab w:val="left" w:pos="540"/>
          <w:tab w:val="left" w:pos="569"/>
        </w:tabs>
        <w:jc w:val="both"/>
        <w:rPr>
          <w:b/>
          <w:bCs/>
          <w:sz w:val="22"/>
          <w:szCs w:val="22"/>
          <w:lang w:val="sr-Latn-ME"/>
        </w:rPr>
      </w:pPr>
      <w:r w:rsidRPr="0087318B">
        <w:rPr>
          <w:b/>
          <w:bCs/>
          <w:sz w:val="22"/>
          <w:szCs w:val="22"/>
          <w:lang w:val="sr-Latn-ME"/>
        </w:rPr>
        <w:t>1.</w:t>
      </w:r>
      <w:r w:rsidR="00F5167F" w:rsidRPr="0087318B">
        <w:rPr>
          <w:b/>
          <w:bCs/>
          <w:sz w:val="22"/>
          <w:szCs w:val="22"/>
          <w:lang w:val="sr-Latn-ME"/>
        </w:rPr>
        <w:tab/>
      </w:r>
      <w:r w:rsidR="002846DB" w:rsidRPr="0087318B">
        <w:rPr>
          <w:b/>
          <w:bCs/>
          <w:sz w:val="22"/>
          <w:szCs w:val="22"/>
          <w:lang w:val="sr-Latn-ME"/>
        </w:rPr>
        <w:t xml:space="preserve">NAZIV </w:t>
      </w:r>
      <w:r w:rsidRPr="0087318B">
        <w:rPr>
          <w:b/>
          <w:bCs/>
          <w:sz w:val="22"/>
          <w:szCs w:val="22"/>
          <w:lang w:val="sr-Latn-ME"/>
        </w:rPr>
        <w:t>LIJEKA</w:t>
      </w:r>
    </w:p>
    <w:p w14:paraId="3D534716" w14:textId="77777777" w:rsidR="00EC2532" w:rsidRPr="0087318B" w:rsidRDefault="00EC2532" w:rsidP="00A66F57">
      <w:pPr>
        <w:jc w:val="both"/>
        <w:rPr>
          <w:sz w:val="22"/>
          <w:szCs w:val="22"/>
          <w:lang w:val="sr-Latn-ME"/>
        </w:rPr>
      </w:pPr>
    </w:p>
    <w:p w14:paraId="7204FE24" w14:textId="265B5082" w:rsidR="00D836EE" w:rsidRPr="0087318B" w:rsidRDefault="00D836EE" w:rsidP="00A66F57">
      <w:pPr>
        <w:jc w:val="both"/>
        <w:rPr>
          <w:bCs/>
          <w:sz w:val="22"/>
          <w:szCs w:val="22"/>
          <w:lang w:val="sr-Latn-ME"/>
        </w:rPr>
      </w:pPr>
      <w:r w:rsidRPr="0087318B">
        <w:rPr>
          <w:bCs/>
          <w:sz w:val="22"/>
          <w:szCs w:val="22"/>
          <w:lang w:val="sr-Latn-ME"/>
        </w:rPr>
        <w:t>Co-Diovan,</w:t>
      </w:r>
      <w:r w:rsidRPr="0087318B">
        <w:rPr>
          <w:b/>
          <w:bCs/>
          <w:sz w:val="22"/>
          <w:szCs w:val="22"/>
          <w:lang w:val="sr-Latn-ME"/>
        </w:rPr>
        <w:t xml:space="preserve"> </w:t>
      </w:r>
      <w:r w:rsidR="007A6357">
        <w:rPr>
          <w:bCs/>
          <w:sz w:val="22"/>
          <w:szCs w:val="22"/>
          <w:lang w:val="sr-Latn-ME"/>
        </w:rPr>
        <w:t xml:space="preserve">80 mg + </w:t>
      </w:r>
      <w:r w:rsidRPr="0087318B">
        <w:rPr>
          <w:bCs/>
          <w:sz w:val="22"/>
          <w:szCs w:val="22"/>
          <w:lang w:val="sr-Latn-ME"/>
        </w:rPr>
        <w:t>1</w:t>
      </w:r>
      <w:r w:rsidR="008C67C3">
        <w:rPr>
          <w:bCs/>
          <w:sz w:val="22"/>
          <w:szCs w:val="22"/>
          <w:lang w:val="sr-Latn-ME"/>
        </w:rPr>
        <w:t>2,</w:t>
      </w:r>
      <w:r w:rsidRPr="0087318B">
        <w:rPr>
          <w:bCs/>
          <w:sz w:val="22"/>
          <w:szCs w:val="22"/>
          <w:lang w:val="sr-Latn-ME"/>
        </w:rPr>
        <w:t>5</w:t>
      </w:r>
      <w:r w:rsidR="00C81D72">
        <w:rPr>
          <w:bCs/>
          <w:sz w:val="22"/>
          <w:szCs w:val="22"/>
          <w:lang w:val="sr-Latn-ME"/>
        </w:rPr>
        <w:t xml:space="preserve"> </w:t>
      </w:r>
      <w:r w:rsidRPr="0087318B">
        <w:rPr>
          <w:bCs/>
          <w:sz w:val="22"/>
          <w:szCs w:val="22"/>
          <w:lang w:val="sr-Latn-ME"/>
        </w:rPr>
        <w:t>mg, film tableta</w:t>
      </w:r>
    </w:p>
    <w:p w14:paraId="193D1150" w14:textId="77777777" w:rsidR="008C67C3" w:rsidRDefault="008C67C3" w:rsidP="00A66F57">
      <w:pPr>
        <w:jc w:val="both"/>
        <w:rPr>
          <w:sz w:val="22"/>
          <w:szCs w:val="22"/>
          <w:lang w:val="sr-Latn-ME"/>
        </w:rPr>
      </w:pPr>
    </w:p>
    <w:p w14:paraId="37B7093F" w14:textId="0AAFE6FC" w:rsidR="006D20A5" w:rsidRPr="0087318B" w:rsidRDefault="006D20A5" w:rsidP="00A66F57">
      <w:pPr>
        <w:jc w:val="both"/>
        <w:rPr>
          <w:sz w:val="22"/>
          <w:szCs w:val="22"/>
          <w:lang w:val="sr-Latn-ME"/>
        </w:rPr>
      </w:pPr>
      <w:r w:rsidRPr="0087318B">
        <w:rPr>
          <w:sz w:val="22"/>
          <w:szCs w:val="22"/>
          <w:lang w:val="sr-Latn-ME"/>
        </w:rPr>
        <w:t>INN:</w:t>
      </w:r>
      <w:r w:rsidR="00D836EE" w:rsidRPr="0087318B">
        <w:rPr>
          <w:rFonts w:cs="Arial"/>
          <w:sz w:val="22"/>
          <w:lang w:val="sr-Latn-ME"/>
        </w:rPr>
        <w:t xml:space="preserve"> </w:t>
      </w:r>
      <w:r w:rsidR="00D836EE" w:rsidRPr="0087318B">
        <w:rPr>
          <w:sz w:val="22"/>
          <w:szCs w:val="22"/>
          <w:lang w:val="sr-Latn-ME"/>
        </w:rPr>
        <w:t>valsartan, hidrohlortiazid</w:t>
      </w:r>
    </w:p>
    <w:p w14:paraId="03EA7774" w14:textId="77777777" w:rsidR="006D20A5" w:rsidRPr="0087318B" w:rsidRDefault="006D20A5" w:rsidP="00A66F57">
      <w:pPr>
        <w:jc w:val="both"/>
        <w:rPr>
          <w:bCs/>
          <w:sz w:val="22"/>
          <w:szCs w:val="22"/>
          <w:lang w:val="sr-Latn-ME"/>
        </w:rPr>
      </w:pPr>
    </w:p>
    <w:p w14:paraId="54F54E25" w14:textId="77777777" w:rsidR="00530BD7" w:rsidRPr="0087318B" w:rsidRDefault="00530BD7" w:rsidP="00A66F57">
      <w:pPr>
        <w:jc w:val="both"/>
        <w:rPr>
          <w:bCs/>
          <w:sz w:val="22"/>
          <w:szCs w:val="22"/>
          <w:lang w:val="sr-Latn-ME"/>
        </w:rPr>
      </w:pPr>
    </w:p>
    <w:p w14:paraId="61C3B356" w14:textId="77777777" w:rsidR="00411B4B" w:rsidRPr="0087318B" w:rsidRDefault="00411B4B" w:rsidP="00A66F57">
      <w:pPr>
        <w:tabs>
          <w:tab w:val="left" w:pos="540"/>
          <w:tab w:val="left" w:pos="569"/>
        </w:tabs>
        <w:jc w:val="both"/>
        <w:rPr>
          <w:b/>
          <w:bCs/>
          <w:sz w:val="22"/>
          <w:szCs w:val="22"/>
          <w:lang w:val="sr-Latn-ME"/>
        </w:rPr>
      </w:pPr>
      <w:r w:rsidRPr="0087318B">
        <w:rPr>
          <w:b/>
          <w:bCs/>
          <w:sz w:val="22"/>
          <w:szCs w:val="22"/>
          <w:lang w:val="sr-Latn-ME"/>
        </w:rPr>
        <w:t xml:space="preserve">2. </w:t>
      </w:r>
      <w:r w:rsidR="00F5167F" w:rsidRPr="0087318B">
        <w:rPr>
          <w:b/>
          <w:bCs/>
          <w:sz w:val="22"/>
          <w:szCs w:val="22"/>
          <w:lang w:val="sr-Latn-ME"/>
        </w:rPr>
        <w:tab/>
      </w:r>
      <w:r w:rsidRPr="0087318B">
        <w:rPr>
          <w:b/>
          <w:bCs/>
          <w:sz w:val="22"/>
          <w:szCs w:val="22"/>
          <w:lang w:val="sr-Latn-ME"/>
        </w:rPr>
        <w:t>KVALITATIVNI I KVANTITATIVNI SASTAV</w:t>
      </w:r>
    </w:p>
    <w:p w14:paraId="2BC3D88A" w14:textId="77777777" w:rsidR="005A0B2E" w:rsidRPr="0087318B" w:rsidRDefault="005A0B2E" w:rsidP="00A66F57">
      <w:pPr>
        <w:jc w:val="both"/>
        <w:rPr>
          <w:sz w:val="22"/>
          <w:szCs w:val="22"/>
          <w:lang w:val="sr-Latn-ME"/>
        </w:rPr>
      </w:pPr>
    </w:p>
    <w:p w14:paraId="1B9AEE80" w14:textId="6E138C5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Aktivn</w:t>
      </w:r>
      <w:r w:rsidR="008C67C3">
        <w:rPr>
          <w:color w:val="000000"/>
          <w:sz w:val="22"/>
          <w:szCs w:val="22"/>
          <w:lang w:val="sr-Latn-ME"/>
        </w:rPr>
        <w:t>e</w:t>
      </w:r>
      <w:r w:rsidRPr="0087318B">
        <w:rPr>
          <w:color w:val="000000"/>
          <w:sz w:val="22"/>
          <w:szCs w:val="22"/>
          <w:lang w:val="sr-Latn-ME"/>
        </w:rPr>
        <w:t xml:space="preserve"> supstanc</w:t>
      </w:r>
      <w:r w:rsidR="008C67C3">
        <w:rPr>
          <w:color w:val="000000"/>
          <w:sz w:val="22"/>
          <w:szCs w:val="22"/>
          <w:lang w:val="sr-Latn-ME"/>
        </w:rPr>
        <w:t>e</w:t>
      </w:r>
      <w:r w:rsidRPr="0087318B">
        <w:rPr>
          <w:color w:val="000000"/>
          <w:sz w:val="22"/>
          <w:szCs w:val="22"/>
          <w:lang w:val="sr-Latn-ME"/>
        </w:rPr>
        <w:t>: valsartan i hidrohlortiazid.</w:t>
      </w:r>
    </w:p>
    <w:p w14:paraId="21BC5475" w14:textId="7EFBEA26"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Jedna</w:t>
      </w:r>
      <w:r w:rsidR="008C67C3">
        <w:rPr>
          <w:color w:val="000000"/>
          <w:sz w:val="22"/>
          <w:szCs w:val="22"/>
          <w:lang w:val="sr-Latn-ME"/>
        </w:rPr>
        <w:t xml:space="preserve"> film</w:t>
      </w:r>
      <w:r w:rsidRPr="0087318B">
        <w:rPr>
          <w:color w:val="000000"/>
          <w:sz w:val="22"/>
          <w:szCs w:val="22"/>
          <w:lang w:val="sr-Latn-ME"/>
        </w:rPr>
        <w:t xml:space="preserve"> tableta sadrži 80 mg valsartana i 12</w:t>
      </w:r>
      <w:r w:rsidR="008C67C3">
        <w:rPr>
          <w:color w:val="000000"/>
          <w:sz w:val="22"/>
          <w:szCs w:val="22"/>
          <w:lang w:val="sr-Latn-ME"/>
        </w:rPr>
        <w:t>,</w:t>
      </w:r>
      <w:r w:rsidRPr="0087318B">
        <w:rPr>
          <w:color w:val="000000"/>
          <w:sz w:val="22"/>
          <w:szCs w:val="22"/>
          <w:lang w:val="sr-Latn-ME"/>
        </w:rPr>
        <w:t xml:space="preserve">5 mg hidrohlortiazida. </w:t>
      </w:r>
    </w:p>
    <w:p w14:paraId="2BE5E059" w14:textId="77777777" w:rsidR="00D836EE" w:rsidRPr="0087318B" w:rsidRDefault="00D836EE" w:rsidP="00A66F57">
      <w:pPr>
        <w:jc w:val="both"/>
        <w:rPr>
          <w:sz w:val="22"/>
          <w:szCs w:val="22"/>
          <w:lang w:val="sr-Latn-ME"/>
        </w:rPr>
      </w:pPr>
    </w:p>
    <w:p w14:paraId="1356E7FF" w14:textId="274F6517" w:rsidR="0003793F" w:rsidRPr="0087318B" w:rsidRDefault="0003793F" w:rsidP="00A66F57">
      <w:pPr>
        <w:jc w:val="both"/>
        <w:rPr>
          <w:sz w:val="22"/>
          <w:szCs w:val="22"/>
          <w:lang w:val="sr-Latn-ME"/>
        </w:rPr>
      </w:pPr>
      <w:r w:rsidRPr="0087318B">
        <w:rPr>
          <w:sz w:val="22"/>
          <w:szCs w:val="22"/>
          <w:lang w:val="sr-Latn-ME"/>
        </w:rPr>
        <w:t>Za spisak svih ekscipijenasa, pogledati dio 6.1.</w:t>
      </w:r>
    </w:p>
    <w:p w14:paraId="080EEE84" w14:textId="77777777" w:rsidR="0003793F" w:rsidRPr="0087318B" w:rsidRDefault="0003793F" w:rsidP="00A66F57">
      <w:pPr>
        <w:jc w:val="both"/>
        <w:rPr>
          <w:sz w:val="22"/>
          <w:szCs w:val="22"/>
          <w:lang w:val="sr-Latn-ME"/>
        </w:rPr>
      </w:pPr>
    </w:p>
    <w:p w14:paraId="3FE0FF5E" w14:textId="77777777" w:rsidR="00C37FD7" w:rsidRPr="0087318B" w:rsidRDefault="00C37FD7" w:rsidP="00B857C4">
      <w:pPr>
        <w:rPr>
          <w:sz w:val="22"/>
          <w:szCs w:val="22"/>
          <w:lang w:val="sr-Latn-ME"/>
        </w:rPr>
      </w:pPr>
    </w:p>
    <w:p w14:paraId="35B18294" w14:textId="25DB9518" w:rsidR="00411B4B" w:rsidRPr="0087318B" w:rsidRDefault="00411B4B" w:rsidP="00B857C4">
      <w:pPr>
        <w:tabs>
          <w:tab w:val="left" w:pos="540"/>
          <w:tab w:val="left" w:pos="569"/>
        </w:tabs>
        <w:rPr>
          <w:b/>
          <w:bCs/>
          <w:sz w:val="22"/>
          <w:szCs w:val="22"/>
          <w:lang w:val="sr-Latn-ME"/>
        </w:rPr>
      </w:pPr>
      <w:r w:rsidRPr="0087318B">
        <w:rPr>
          <w:b/>
          <w:bCs/>
          <w:sz w:val="22"/>
          <w:szCs w:val="22"/>
          <w:lang w:val="sr-Latn-ME"/>
        </w:rPr>
        <w:t xml:space="preserve">3. </w:t>
      </w:r>
      <w:r w:rsidR="00F5167F" w:rsidRPr="0087318B">
        <w:rPr>
          <w:b/>
          <w:bCs/>
          <w:sz w:val="22"/>
          <w:szCs w:val="22"/>
          <w:lang w:val="sr-Latn-ME"/>
        </w:rPr>
        <w:tab/>
      </w:r>
      <w:r w:rsidRPr="0087318B">
        <w:rPr>
          <w:b/>
          <w:bCs/>
          <w:sz w:val="22"/>
          <w:szCs w:val="22"/>
          <w:lang w:val="sr-Latn-ME"/>
        </w:rPr>
        <w:t>FARMACEUTSKI OBLIK</w:t>
      </w:r>
      <w:r w:rsidR="009F2D23" w:rsidRPr="0087318B">
        <w:rPr>
          <w:b/>
          <w:bCs/>
          <w:sz w:val="22"/>
          <w:szCs w:val="22"/>
          <w:lang w:val="sr-Latn-ME"/>
        </w:rPr>
        <w:t xml:space="preserve"> </w:t>
      </w:r>
    </w:p>
    <w:p w14:paraId="73F38F95" w14:textId="77777777" w:rsidR="00B857C4" w:rsidRPr="0087318B" w:rsidRDefault="00B857C4" w:rsidP="00B857C4">
      <w:pPr>
        <w:tabs>
          <w:tab w:val="left" w:pos="540"/>
          <w:tab w:val="left" w:pos="569"/>
        </w:tabs>
        <w:rPr>
          <w:b/>
          <w:bCs/>
          <w:sz w:val="22"/>
          <w:szCs w:val="22"/>
          <w:lang w:val="sr-Latn-ME"/>
        </w:rPr>
      </w:pPr>
    </w:p>
    <w:p w14:paraId="1A55CF1F" w14:textId="77777777" w:rsidR="00D836EE" w:rsidRPr="0087318B" w:rsidRDefault="00D836EE" w:rsidP="00B857C4">
      <w:pPr>
        <w:shd w:val="clear" w:color="auto" w:fill="FFFFFF"/>
        <w:tabs>
          <w:tab w:val="left" w:pos="284"/>
        </w:tabs>
        <w:rPr>
          <w:color w:val="000000"/>
          <w:sz w:val="22"/>
          <w:szCs w:val="22"/>
          <w:lang w:val="sr-Latn-ME"/>
        </w:rPr>
      </w:pPr>
      <w:r w:rsidRPr="0087318B">
        <w:rPr>
          <w:color w:val="000000"/>
          <w:sz w:val="22"/>
          <w:szCs w:val="22"/>
          <w:lang w:val="sr-Latn-ME"/>
        </w:rPr>
        <w:t>Film tableta.</w:t>
      </w:r>
    </w:p>
    <w:p w14:paraId="68F79853" w14:textId="77777777" w:rsidR="00D836EE" w:rsidRPr="0087318B" w:rsidRDefault="00D836EE" w:rsidP="00B857C4">
      <w:pPr>
        <w:shd w:val="clear" w:color="auto" w:fill="FFFFFF"/>
        <w:tabs>
          <w:tab w:val="left" w:pos="284"/>
        </w:tabs>
        <w:rPr>
          <w:color w:val="000000"/>
          <w:sz w:val="22"/>
          <w:szCs w:val="22"/>
          <w:lang w:val="sr-Latn-ME"/>
        </w:rPr>
      </w:pPr>
    </w:p>
    <w:p w14:paraId="75EB41E7" w14:textId="31AE2F54" w:rsidR="00411B4B" w:rsidRPr="0087318B" w:rsidRDefault="006343EA" w:rsidP="00B857C4">
      <w:pPr>
        <w:shd w:val="clear" w:color="auto" w:fill="FFFFFF"/>
        <w:tabs>
          <w:tab w:val="left" w:pos="284"/>
        </w:tabs>
        <w:jc w:val="both"/>
        <w:rPr>
          <w:sz w:val="22"/>
          <w:szCs w:val="22"/>
          <w:lang w:val="sr-Latn-ME"/>
        </w:rPr>
      </w:pPr>
      <w:r w:rsidRPr="0087318B">
        <w:rPr>
          <w:sz w:val="22"/>
          <w:szCs w:val="22"/>
          <w:lang w:val="sr-Latn-ME"/>
        </w:rPr>
        <w:t>O</w:t>
      </w:r>
      <w:r w:rsidR="00D836EE" w:rsidRPr="0087318B">
        <w:rPr>
          <w:sz w:val="22"/>
          <w:szCs w:val="22"/>
          <w:lang w:val="sr-Latn-ME"/>
        </w:rPr>
        <w:t>valne, nedjeljive, blago bikonveksne, svijetlonarandžaste film tablete; na jednoj strani imaju utisnutu oznaku “HGH“, a na drugoj “CG“.</w:t>
      </w:r>
    </w:p>
    <w:p w14:paraId="5D4C2876" w14:textId="30C37FB8" w:rsidR="00EC2532" w:rsidRPr="0087318B" w:rsidRDefault="00EC2532" w:rsidP="00B857C4">
      <w:pPr>
        <w:rPr>
          <w:bCs/>
          <w:sz w:val="22"/>
          <w:szCs w:val="22"/>
          <w:lang w:val="sr-Latn-ME"/>
        </w:rPr>
      </w:pPr>
    </w:p>
    <w:p w14:paraId="57077D66" w14:textId="77777777" w:rsidR="00B857C4" w:rsidRPr="0087318B" w:rsidRDefault="00B857C4" w:rsidP="00B857C4">
      <w:pPr>
        <w:rPr>
          <w:bCs/>
          <w:sz w:val="22"/>
          <w:szCs w:val="22"/>
          <w:lang w:val="sr-Latn-ME"/>
        </w:rPr>
      </w:pPr>
    </w:p>
    <w:p w14:paraId="4DB92649" w14:textId="77777777" w:rsidR="00411B4B" w:rsidRPr="0087318B" w:rsidRDefault="00411B4B" w:rsidP="00B857C4">
      <w:pPr>
        <w:tabs>
          <w:tab w:val="left" w:pos="540"/>
          <w:tab w:val="left" w:pos="569"/>
        </w:tabs>
        <w:rPr>
          <w:b/>
          <w:bCs/>
          <w:sz w:val="22"/>
          <w:szCs w:val="22"/>
          <w:lang w:val="sr-Latn-ME"/>
        </w:rPr>
      </w:pPr>
      <w:r w:rsidRPr="0087318B">
        <w:rPr>
          <w:b/>
          <w:bCs/>
          <w:sz w:val="22"/>
          <w:szCs w:val="22"/>
          <w:lang w:val="sr-Latn-ME"/>
        </w:rPr>
        <w:t xml:space="preserve">4. </w:t>
      </w:r>
      <w:r w:rsidR="00480FB1" w:rsidRPr="0087318B">
        <w:rPr>
          <w:b/>
          <w:bCs/>
          <w:sz w:val="22"/>
          <w:szCs w:val="22"/>
          <w:lang w:val="sr-Latn-ME"/>
        </w:rPr>
        <w:tab/>
      </w:r>
      <w:r w:rsidRPr="0087318B">
        <w:rPr>
          <w:b/>
          <w:bCs/>
          <w:sz w:val="22"/>
          <w:szCs w:val="22"/>
          <w:lang w:val="sr-Latn-ME"/>
        </w:rPr>
        <w:t>KLINIČKI PODACI</w:t>
      </w:r>
    </w:p>
    <w:p w14:paraId="52FE9C2E" w14:textId="77777777" w:rsidR="00CD6F02" w:rsidRPr="0087318B" w:rsidRDefault="00CD6F02" w:rsidP="00B857C4">
      <w:pPr>
        <w:tabs>
          <w:tab w:val="left" w:pos="540"/>
          <w:tab w:val="left" w:pos="569"/>
        </w:tabs>
        <w:rPr>
          <w:bCs/>
          <w:sz w:val="22"/>
          <w:szCs w:val="22"/>
          <w:lang w:val="sr-Latn-ME"/>
        </w:rPr>
      </w:pPr>
    </w:p>
    <w:p w14:paraId="0CBA6C80" w14:textId="77777777" w:rsidR="00411B4B" w:rsidRPr="0087318B" w:rsidRDefault="00411B4B" w:rsidP="00B857C4">
      <w:pPr>
        <w:tabs>
          <w:tab w:val="left" w:pos="540"/>
          <w:tab w:val="left" w:pos="569"/>
        </w:tabs>
        <w:rPr>
          <w:b/>
          <w:bCs/>
          <w:sz w:val="22"/>
          <w:szCs w:val="22"/>
          <w:lang w:val="sr-Latn-ME"/>
        </w:rPr>
      </w:pPr>
      <w:r w:rsidRPr="0087318B">
        <w:rPr>
          <w:b/>
          <w:bCs/>
          <w:sz w:val="22"/>
          <w:szCs w:val="22"/>
          <w:lang w:val="sr-Latn-ME"/>
        </w:rPr>
        <w:t xml:space="preserve">4.1. </w:t>
      </w:r>
      <w:r w:rsidR="00480FB1" w:rsidRPr="0087318B">
        <w:rPr>
          <w:b/>
          <w:bCs/>
          <w:sz w:val="22"/>
          <w:szCs w:val="22"/>
          <w:lang w:val="sr-Latn-ME"/>
        </w:rPr>
        <w:tab/>
      </w:r>
      <w:r w:rsidRPr="0087318B">
        <w:rPr>
          <w:b/>
          <w:bCs/>
          <w:sz w:val="22"/>
          <w:szCs w:val="22"/>
          <w:lang w:val="sr-Latn-ME"/>
        </w:rPr>
        <w:t>Terapijske indikacije</w:t>
      </w:r>
    </w:p>
    <w:p w14:paraId="77E1111D" w14:textId="77777777" w:rsidR="00D836EE" w:rsidRPr="0087318B" w:rsidRDefault="00D836EE" w:rsidP="00B857C4">
      <w:pPr>
        <w:tabs>
          <w:tab w:val="left" w:pos="540"/>
          <w:tab w:val="left" w:pos="569"/>
        </w:tabs>
        <w:rPr>
          <w:b/>
          <w:bCs/>
          <w:sz w:val="22"/>
          <w:szCs w:val="22"/>
          <w:lang w:val="sr-Latn-ME"/>
        </w:rPr>
      </w:pPr>
    </w:p>
    <w:p w14:paraId="659D9944" w14:textId="77777777" w:rsidR="00D836EE" w:rsidRPr="0087318B" w:rsidRDefault="00D836EE" w:rsidP="0084780A">
      <w:pPr>
        <w:shd w:val="clear" w:color="auto" w:fill="FFFFFF"/>
        <w:tabs>
          <w:tab w:val="left" w:pos="284"/>
          <w:tab w:val="left" w:pos="955"/>
        </w:tabs>
        <w:jc w:val="both"/>
        <w:rPr>
          <w:b/>
          <w:sz w:val="22"/>
          <w:szCs w:val="22"/>
          <w:lang w:val="sr-Latn-ME"/>
        </w:rPr>
      </w:pPr>
      <w:r w:rsidRPr="0087318B">
        <w:rPr>
          <w:b/>
          <w:color w:val="000000"/>
          <w:sz w:val="22"/>
          <w:szCs w:val="22"/>
          <w:lang w:val="sr-Latn-ME"/>
        </w:rPr>
        <w:t>Liječenje esencijalne hipertenzije kod odraslih</w:t>
      </w:r>
    </w:p>
    <w:p w14:paraId="6A0DB259" w14:textId="5F16D866" w:rsidR="00D836EE" w:rsidRPr="0087318B" w:rsidRDefault="00D836EE">
      <w:pPr>
        <w:shd w:val="clear" w:color="auto" w:fill="FFFFFF"/>
        <w:tabs>
          <w:tab w:val="left" w:pos="284"/>
        </w:tabs>
        <w:jc w:val="both"/>
        <w:rPr>
          <w:color w:val="000000"/>
          <w:sz w:val="22"/>
          <w:szCs w:val="22"/>
          <w:lang w:val="sr-Latn-ME"/>
        </w:rPr>
      </w:pPr>
      <w:r w:rsidRPr="0087318B">
        <w:rPr>
          <w:color w:val="000000"/>
          <w:sz w:val="22"/>
          <w:szCs w:val="22"/>
          <w:lang w:val="sr-Latn-ME"/>
        </w:rPr>
        <w:t xml:space="preserve">Co-Diovan, fiksna kombinacija, je indikovan za liječenje pacijenata čiji krvni pritisak nije adekvatno kontrolisan monoterapijom valsartanom ili hidrohlortiazidom. </w:t>
      </w:r>
    </w:p>
    <w:p w14:paraId="66E13188" w14:textId="77777777" w:rsidR="00411B4B" w:rsidRPr="0087318B" w:rsidRDefault="00411B4B" w:rsidP="00A66F57">
      <w:pPr>
        <w:tabs>
          <w:tab w:val="left" w:pos="540"/>
          <w:tab w:val="left" w:pos="569"/>
        </w:tabs>
        <w:jc w:val="both"/>
        <w:rPr>
          <w:bCs/>
          <w:sz w:val="22"/>
          <w:szCs w:val="22"/>
          <w:lang w:val="sr-Latn-ME"/>
        </w:rPr>
      </w:pPr>
    </w:p>
    <w:p w14:paraId="68360FBC" w14:textId="77777777" w:rsidR="00411B4B" w:rsidRPr="0087318B" w:rsidRDefault="00411B4B" w:rsidP="00A66F57">
      <w:pPr>
        <w:tabs>
          <w:tab w:val="left" w:pos="540"/>
          <w:tab w:val="left" w:pos="569"/>
        </w:tabs>
        <w:jc w:val="both"/>
        <w:rPr>
          <w:b/>
          <w:bCs/>
          <w:sz w:val="22"/>
          <w:szCs w:val="22"/>
          <w:lang w:val="sr-Latn-ME"/>
        </w:rPr>
      </w:pPr>
      <w:r w:rsidRPr="0087318B">
        <w:rPr>
          <w:b/>
          <w:bCs/>
          <w:sz w:val="22"/>
          <w:szCs w:val="22"/>
          <w:lang w:val="sr-Latn-ME"/>
        </w:rPr>
        <w:t xml:space="preserve">4.2. </w:t>
      </w:r>
      <w:r w:rsidR="00480FB1" w:rsidRPr="0087318B">
        <w:rPr>
          <w:b/>
          <w:bCs/>
          <w:sz w:val="22"/>
          <w:szCs w:val="22"/>
          <w:lang w:val="sr-Latn-ME"/>
        </w:rPr>
        <w:tab/>
      </w:r>
      <w:r w:rsidRPr="0087318B">
        <w:rPr>
          <w:b/>
          <w:bCs/>
          <w:sz w:val="22"/>
          <w:szCs w:val="22"/>
          <w:lang w:val="sr-Latn-ME"/>
        </w:rPr>
        <w:t>Doziranje i način primjene</w:t>
      </w:r>
    </w:p>
    <w:p w14:paraId="7D069D9F" w14:textId="77777777" w:rsidR="0072020E" w:rsidRPr="0087318B" w:rsidRDefault="0072020E" w:rsidP="00A66F57">
      <w:pPr>
        <w:tabs>
          <w:tab w:val="left" w:pos="540"/>
          <w:tab w:val="left" w:pos="569"/>
        </w:tabs>
        <w:jc w:val="both"/>
        <w:rPr>
          <w:bCs/>
          <w:sz w:val="22"/>
          <w:szCs w:val="22"/>
          <w:lang w:val="sr-Latn-ME"/>
        </w:rPr>
      </w:pPr>
    </w:p>
    <w:p w14:paraId="01D9E669" w14:textId="77777777" w:rsidR="00452E9D" w:rsidRPr="0087318B" w:rsidRDefault="00452E9D" w:rsidP="00A66F57">
      <w:pPr>
        <w:tabs>
          <w:tab w:val="left" w:pos="540"/>
          <w:tab w:val="left" w:pos="569"/>
        </w:tabs>
        <w:jc w:val="both"/>
        <w:rPr>
          <w:bCs/>
          <w:sz w:val="22"/>
          <w:szCs w:val="22"/>
          <w:u w:val="single"/>
          <w:lang w:val="sr-Latn-ME"/>
        </w:rPr>
      </w:pPr>
      <w:r w:rsidRPr="0087318B">
        <w:rPr>
          <w:bCs/>
          <w:sz w:val="22"/>
          <w:szCs w:val="22"/>
          <w:u w:val="single"/>
          <w:lang w:val="sr-Latn-ME"/>
        </w:rPr>
        <w:t>Doziranje</w:t>
      </w:r>
    </w:p>
    <w:p w14:paraId="62419B0E" w14:textId="342B092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Preporučena doza lijeka </w:t>
      </w:r>
      <w:proofErr w:type="spellStart"/>
      <w:r w:rsidRPr="0087318B">
        <w:rPr>
          <w:color w:val="000000"/>
          <w:sz w:val="22"/>
          <w:szCs w:val="22"/>
          <w:lang w:val="sr-Latn-ME"/>
        </w:rPr>
        <w:t>Co-Diovan</w:t>
      </w:r>
      <w:proofErr w:type="spellEnd"/>
      <w:r w:rsidRPr="0087318B">
        <w:rPr>
          <w:color w:val="000000"/>
          <w:sz w:val="22"/>
          <w:szCs w:val="22"/>
          <w:lang w:val="sr-Latn-ME"/>
        </w:rPr>
        <w:t xml:space="preserve"> je jedna film tableta jednom dnevno. Preporučuje se pojedinačno titriranje doze svake aktivne supstance. U svakom slučaju, potrebno je sprovoditi titriranje pojedinačnih komponenti do sljedeće doze kako bi se smanjio rizik od hipotenzije i drugih neželjenih događaja.</w:t>
      </w:r>
    </w:p>
    <w:p w14:paraId="09E64DEB" w14:textId="77777777" w:rsidR="00D836EE" w:rsidRPr="0087318B" w:rsidRDefault="00D836EE" w:rsidP="00A66F57">
      <w:pPr>
        <w:shd w:val="clear" w:color="auto" w:fill="FFFFFF"/>
        <w:tabs>
          <w:tab w:val="left" w:pos="284"/>
        </w:tabs>
        <w:jc w:val="both"/>
        <w:rPr>
          <w:color w:val="000000"/>
          <w:sz w:val="22"/>
          <w:szCs w:val="22"/>
          <w:lang w:val="sr-Latn-ME"/>
        </w:rPr>
      </w:pPr>
    </w:p>
    <w:p w14:paraId="6347DE13" w14:textId="0B2DB9CC"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Kada je klinički opravdano, kod pacijenata čiji krvni pritisak nije odgovarajuće kontrolisan monoterapijom valsartanom ili hidrohlortiazidom može se razmotriti direktni prelaz sa monoterapije na fiksnu kombinaciju pod uslovom da je sprovedeno preporučeno titriranje doze pojedinačnih komponenti. </w:t>
      </w:r>
    </w:p>
    <w:p w14:paraId="571F7776"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 </w:t>
      </w:r>
    </w:p>
    <w:p w14:paraId="6D36CDAB" w14:textId="37D869E9"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Nakon uvođenja terapije potrebno je procijeniti klinički odgovor na Co-Diovan, i ukoliko krvni pritisak ostane nekontrolisan, doza se može povećati povećanjem bilo koje komponente do najviše doze od 320 mg/25 mg lijeka </w:t>
      </w:r>
      <w:proofErr w:type="spellStart"/>
      <w:r w:rsidRPr="0087318B">
        <w:rPr>
          <w:color w:val="000000"/>
          <w:sz w:val="22"/>
          <w:szCs w:val="22"/>
          <w:lang w:val="sr-Latn-ME"/>
        </w:rPr>
        <w:t>Co-Diovan</w:t>
      </w:r>
      <w:proofErr w:type="spellEnd"/>
      <w:r w:rsidRPr="0087318B">
        <w:rPr>
          <w:color w:val="000000"/>
          <w:sz w:val="22"/>
          <w:szCs w:val="22"/>
          <w:lang w:val="sr-Latn-ME"/>
        </w:rPr>
        <w:t>.</w:t>
      </w:r>
    </w:p>
    <w:p w14:paraId="2F5C08BC" w14:textId="77777777" w:rsidR="0087318B" w:rsidRDefault="0087318B" w:rsidP="00A66F57">
      <w:pPr>
        <w:shd w:val="clear" w:color="auto" w:fill="FFFFFF"/>
        <w:tabs>
          <w:tab w:val="left" w:pos="284"/>
        </w:tabs>
        <w:jc w:val="both"/>
        <w:rPr>
          <w:color w:val="000000"/>
          <w:sz w:val="22"/>
          <w:szCs w:val="22"/>
          <w:lang w:val="sr-Latn-ME"/>
        </w:rPr>
      </w:pPr>
    </w:p>
    <w:p w14:paraId="6A7D1739" w14:textId="1EA4B261"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Antihipertenzivno dejstvo se značajno ostvaruje u periodu od 2 nedjelje.</w:t>
      </w:r>
    </w:p>
    <w:p w14:paraId="5BF0DA85"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Kod većine pacijenata, maksimalni efekti su zabilježeni u roku od 4 nedjelje. </w:t>
      </w:r>
    </w:p>
    <w:p w14:paraId="41FC00F9"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Međutim, kod nekih pacijenata može biti potrebno 4-8 nedjelja liječenja. Ovo je potrebno uzeti u obzir tokom titracije doze.</w:t>
      </w:r>
    </w:p>
    <w:p w14:paraId="1F68F12F" w14:textId="77777777" w:rsidR="00452E9D" w:rsidRPr="0087318B" w:rsidRDefault="00452E9D" w:rsidP="00A66F57">
      <w:pPr>
        <w:tabs>
          <w:tab w:val="left" w:pos="540"/>
          <w:tab w:val="left" w:pos="569"/>
        </w:tabs>
        <w:jc w:val="both"/>
        <w:rPr>
          <w:bCs/>
          <w:sz w:val="22"/>
          <w:szCs w:val="22"/>
          <w:u w:val="single"/>
          <w:lang w:val="sr-Latn-ME"/>
        </w:rPr>
      </w:pPr>
    </w:p>
    <w:p w14:paraId="17F963E8" w14:textId="77777777" w:rsidR="00452E9D" w:rsidRPr="0087318B" w:rsidRDefault="00452E9D" w:rsidP="00A66F57">
      <w:pPr>
        <w:tabs>
          <w:tab w:val="left" w:pos="540"/>
          <w:tab w:val="left" w:pos="569"/>
        </w:tabs>
        <w:jc w:val="both"/>
        <w:rPr>
          <w:bCs/>
          <w:sz w:val="22"/>
          <w:szCs w:val="22"/>
          <w:u w:val="single"/>
          <w:lang w:val="sr-Latn-ME"/>
        </w:rPr>
      </w:pPr>
      <w:r w:rsidRPr="0087318B">
        <w:rPr>
          <w:bCs/>
          <w:sz w:val="22"/>
          <w:szCs w:val="22"/>
          <w:u w:val="single"/>
          <w:lang w:val="sr-Latn-ME"/>
        </w:rPr>
        <w:t>Način primjene</w:t>
      </w:r>
    </w:p>
    <w:p w14:paraId="5BEC044C"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Co-Diovan se može uzimati sa hranom ili bez nje, a treba ga uzeti sa vodom.</w:t>
      </w:r>
    </w:p>
    <w:p w14:paraId="557A7EDE" w14:textId="3248A38D" w:rsidR="00452E9D" w:rsidRDefault="00D836EE" w:rsidP="00A66F57">
      <w:pPr>
        <w:tabs>
          <w:tab w:val="left" w:pos="540"/>
          <w:tab w:val="left" w:pos="569"/>
        </w:tabs>
        <w:jc w:val="both"/>
        <w:rPr>
          <w:bCs/>
          <w:sz w:val="22"/>
          <w:szCs w:val="22"/>
          <w:u w:val="single"/>
          <w:lang w:val="sr-Latn-ME"/>
        </w:rPr>
      </w:pPr>
      <w:r w:rsidRPr="00A66F57">
        <w:rPr>
          <w:bCs/>
          <w:sz w:val="22"/>
          <w:szCs w:val="22"/>
          <w:u w:val="single"/>
          <w:lang w:val="sr-Latn-ME"/>
        </w:rPr>
        <w:lastRenderedPageBreak/>
        <w:t>Posebne populacije</w:t>
      </w:r>
    </w:p>
    <w:p w14:paraId="799D37DA" w14:textId="77777777" w:rsidR="0087318B" w:rsidRPr="00A66F57" w:rsidRDefault="0087318B" w:rsidP="00A66F57">
      <w:pPr>
        <w:tabs>
          <w:tab w:val="left" w:pos="540"/>
          <w:tab w:val="left" w:pos="569"/>
        </w:tabs>
        <w:jc w:val="both"/>
        <w:rPr>
          <w:bCs/>
          <w:sz w:val="22"/>
          <w:szCs w:val="22"/>
          <w:u w:val="single"/>
          <w:lang w:val="sr-Latn-ME"/>
        </w:rPr>
      </w:pPr>
    </w:p>
    <w:p w14:paraId="3C3EF0F3" w14:textId="77777777"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Pacijenti sa oštećenjem funkcije bubrega</w:t>
      </w:r>
    </w:p>
    <w:p w14:paraId="55AE5CD0" w14:textId="7981816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Nije potrebno prilagođavanje doze kod pacijenata sa blagim do um</w:t>
      </w:r>
      <w:r w:rsidR="00176621">
        <w:rPr>
          <w:color w:val="000000"/>
          <w:sz w:val="22"/>
          <w:szCs w:val="22"/>
          <w:lang w:val="sr-Latn-ME"/>
        </w:rPr>
        <w:t>j</w:t>
      </w:r>
      <w:r w:rsidRPr="0087318B">
        <w:rPr>
          <w:color w:val="000000"/>
          <w:sz w:val="22"/>
          <w:szCs w:val="22"/>
          <w:lang w:val="sr-Latn-ME"/>
        </w:rPr>
        <w:t xml:space="preserve">erenim oštećenjem bubrega (brzina </w:t>
      </w:r>
      <w:proofErr w:type="spellStart"/>
      <w:r w:rsidRPr="0087318B">
        <w:rPr>
          <w:color w:val="000000"/>
          <w:sz w:val="22"/>
          <w:szCs w:val="22"/>
          <w:lang w:val="sr-Latn-ME"/>
        </w:rPr>
        <w:t>glomerularne</w:t>
      </w:r>
      <w:proofErr w:type="spellEnd"/>
      <w:r w:rsidRPr="0087318B">
        <w:rPr>
          <w:color w:val="000000"/>
          <w:sz w:val="22"/>
          <w:szCs w:val="22"/>
          <w:lang w:val="sr-Latn-ME"/>
        </w:rPr>
        <w:t xml:space="preserve"> filtracije (GFR ≥30 </w:t>
      </w:r>
      <w:r w:rsidR="00FA2D3F">
        <w:rPr>
          <w:color w:val="000000"/>
          <w:sz w:val="22"/>
          <w:szCs w:val="22"/>
          <w:lang w:val="sr-Latn-ME"/>
        </w:rPr>
        <w:t>ml</w:t>
      </w:r>
      <w:r w:rsidRPr="0087318B">
        <w:rPr>
          <w:color w:val="000000"/>
          <w:sz w:val="22"/>
          <w:szCs w:val="22"/>
          <w:lang w:val="sr-Latn-ME"/>
        </w:rPr>
        <w:t xml:space="preserve">/min). Obzirom da sadrži </w:t>
      </w:r>
      <w:proofErr w:type="spellStart"/>
      <w:r w:rsidRPr="0087318B">
        <w:rPr>
          <w:color w:val="000000"/>
          <w:sz w:val="22"/>
          <w:szCs w:val="22"/>
          <w:lang w:val="sr-Latn-ME"/>
        </w:rPr>
        <w:t>hidrohlortiazid</w:t>
      </w:r>
      <w:proofErr w:type="spellEnd"/>
      <w:r w:rsidRPr="0087318B">
        <w:rPr>
          <w:color w:val="000000"/>
          <w:sz w:val="22"/>
          <w:szCs w:val="22"/>
          <w:lang w:val="sr-Latn-ME"/>
        </w:rPr>
        <w:t xml:space="preserve">, </w:t>
      </w:r>
      <w:r w:rsidR="009C4DAA">
        <w:rPr>
          <w:color w:val="000000"/>
          <w:sz w:val="22"/>
          <w:szCs w:val="22"/>
          <w:lang w:val="sr-Latn-ME"/>
        </w:rPr>
        <w:t>primjena</w:t>
      </w:r>
      <w:r w:rsidRPr="0087318B">
        <w:rPr>
          <w:color w:val="000000"/>
          <w:sz w:val="22"/>
          <w:szCs w:val="22"/>
          <w:lang w:val="sr-Latn-ME"/>
        </w:rPr>
        <w:t xml:space="preserve"> </w:t>
      </w:r>
      <w:r w:rsidR="009C4DAA">
        <w:rPr>
          <w:color w:val="000000"/>
          <w:sz w:val="22"/>
          <w:szCs w:val="22"/>
          <w:lang w:val="sr-Latn-ME"/>
        </w:rPr>
        <w:t>lijeka</w:t>
      </w:r>
      <w:r w:rsidRPr="0087318B">
        <w:rPr>
          <w:color w:val="000000"/>
          <w:sz w:val="22"/>
          <w:szCs w:val="22"/>
          <w:lang w:val="sr-Latn-ME"/>
        </w:rPr>
        <w:t xml:space="preserve"> </w:t>
      </w:r>
      <w:proofErr w:type="spellStart"/>
      <w:r w:rsidRPr="0087318B">
        <w:rPr>
          <w:color w:val="000000"/>
          <w:sz w:val="22"/>
          <w:szCs w:val="22"/>
          <w:lang w:val="sr-Latn-ME"/>
        </w:rPr>
        <w:t>Co-Diovan</w:t>
      </w:r>
      <w:proofErr w:type="spellEnd"/>
      <w:r w:rsidRPr="0087318B">
        <w:rPr>
          <w:color w:val="000000"/>
          <w:sz w:val="22"/>
          <w:szCs w:val="22"/>
          <w:lang w:val="sr-Latn-ME"/>
        </w:rPr>
        <w:t xml:space="preserve"> kontraindikovana je kod pacijenata sa teškim oštećenjem bubrega (GFR &lt; 30 </w:t>
      </w:r>
      <w:r w:rsidR="00FA2D3F">
        <w:rPr>
          <w:color w:val="000000"/>
          <w:sz w:val="22"/>
          <w:szCs w:val="22"/>
          <w:lang w:val="sr-Latn-ME"/>
        </w:rPr>
        <w:t>ml</w:t>
      </w:r>
      <w:r w:rsidRPr="0087318B">
        <w:rPr>
          <w:color w:val="000000"/>
          <w:sz w:val="22"/>
          <w:szCs w:val="22"/>
          <w:lang w:val="sr-Latn-ME"/>
        </w:rPr>
        <w:t xml:space="preserve">/min) i </w:t>
      </w:r>
      <w:proofErr w:type="spellStart"/>
      <w:r w:rsidRPr="0087318B">
        <w:rPr>
          <w:color w:val="000000"/>
          <w:sz w:val="22"/>
          <w:szCs w:val="22"/>
          <w:lang w:val="sr-Latn-ME"/>
        </w:rPr>
        <w:t>anurijom</w:t>
      </w:r>
      <w:proofErr w:type="spellEnd"/>
      <w:r w:rsidRPr="0087318B">
        <w:rPr>
          <w:color w:val="000000"/>
          <w:sz w:val="22"/>
          <w:szCs w:val="22"/>
          <w:lang w:val="sr-Latn-ME"/>
        </w:rPr>
        <w:t xml:space="preserve"> (</w:t>
      </w:r>
      <w:r w:rsidR="003B0E37" w:rsidRPr="0087318B">
        <w:rPr>
          <w:color w:val="000000"/>
          <w:sz w:val="22"/>
          <w:szCs w:val="22"/>
          <w:lang w:val="sr-Latn-ME"/>
        </w:rPr>
        <w:t>vidjeti</w:t>
      </w:r>
      <w:r w:rsidRPr="0087318B">
        <w:rPr>
          <w:color w:val="000000"/>
          <w:sz w:val="22"/>
          <w:szCs w:val="22"/>
          <w:lang w:val="sr-Latn-ME"/>
        </w:rPr>
        <w:t xml:space="preserve"> </w:t>
      </w:r>
      <w:r w:rsidR="003B0E37" w:rsidRPr="0087318B">
        <w:rPr>
          <w:color w:val="000000"/>
          <w:sz w:val="22"/>
          <w:szCs w:val="22"/>
          <w:lang w:val="sr-Latn-ME"/>
        </w:rPr>
        <w:t>djelove</w:t>
      </w:r>
      <w:r w:rsidRPr="0087318B">
        <w:rPr>
          <w:color w:val="000000"/>
          <w:sz w:val="22"/>
          <w:szCs w:val="22"/>
          <w:lang w:val="sr-Latn-ME"/>
        </w:rPr>
        <w:t xml:space="preserve"> 4.3, 4.4  i 5.2).</w:t>
      </w:r>
    </w:p>
    <w:p w14:paraId="3EB5D6F7" w14:textId="77777777" w:rsidR="0087318B" w:rsidRDefault="0087318B" w:rsidP="00A66F57">
      <w:pPr>
        <w:shd w:val="clear" w:color="auto" w:fill="FFFFFF"/>
        <w:tabs>
          <w:tab w:val="left" w:pos="284"/>
        </w:tabs>
        <w:jc w:val="both"/>
        <w:rPr>
          <w:i/>
          <w:color w:val="000000"/>
          <w:sz w:val="22"/>
          <w:szCs w:val="22"/>
          <w:lang w:val="sr-Latn-ME"/>
        </w:rPr>
      </w:pPr>
    </w:p>
    <w:p w14:paraId="1D2B7CCB" w14:textId="280764E1"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Pacijenti sa oštećenjem funkcije jetre</w:t>
      </w:r>
    </w:p>
    <w:p w14:paraId="285F3A6F" w14:textId="6091A7A3"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Kod pacijenata sa blagim do um</w:t>
      </w:r>
      <w:r w:rsidR="00176621">
        <w:rPr>
          <w:color w:val="000000"/>
          <w:sz w:val="22"/>
          <w:szCs w:val="22"/>
          <w:lang w:val="sr-Latn-ME"/>
        </w:rPr>
        <w:t>j</w:t>
      </w:r>
      <w:r w:rsidRPr="0087318B">
        <w:rPr>
          <w:color w:val="000000"/>
          <w:sz w:val="22"/>
          <w:szCs w:val="22"/>
          <w:lang w:val="sr-Latn-ME"/>
        </w:rPr>
        <w:t>erenim oštećenjem jetre, bez holestaze, doza valsartana ne treba biti veća od 80 mg (</w:t>
      </w:r>
      <w:r w:rsidR="003B0E37" w:rsidRPr="0087318B">
        <w:rPr>
          <w:color w:val="000000"/>
          <w:sz w:val="22"/>
          <w:szCs w:val="22"/>
          <w:lang w:val="sr-Latn-ME"/>
        </w:rPr>
        <w:t>vidjeti</w:t>
      </w:r>
      <w:r w:rsidRPr="0087318B">
        <w:rPr>
          <w:color w:val="000000"/>
          <w:sz w:val="22"/>
          <w:szCs w:val="22"/>
          <w:lang w:val="sr-Latn-ME"/>
        </w:rPr>
        <w:t xml:space="preserve"> </w:t>
      </w:r>
      <w:r w:rsidR="003B0E37" w:rsidRPr="0087318B">
        <w:rPr>
          <w:color w:val="000000"/>
          <w:sz w:val="22"/>
          <w:szCs w:val="22"/>
          <w:lang w:val="sr-Latn-ME"/>
        </w:rPr>
        <w:t>dio</w:t>
      </w:r>
      <w:r w:rsidRPr="0087318B">
        <w:rPr>
          <w:color w:val="000000"/>
          <w:sz w:val="22"/>
          <w:szCs w:val="22"/>
          <w:lang w:val="sr-Latn-ME"/>
        </w:rPr>
        <w:t xml:space="preserve"> 4.4). Nije potrebno prilagođavanje doze hidrohlortiazida kod pacijenata sa blagim do um</w:t>
      </w:r>
      <w:r w:rsidR="00176621">
        <w:rPr>
          <w:color w:val="000000"/>
          <w:sz w:val="22"/>
          <w:szCs w:val="22"/>
          <w:lang w:val="sr-Latn-ME"/>
        </w:rPr>
        <w:t>j</w:t>
      </w:r>
      <w:r w:rsidRPr="0087318B">
        <w:rPr>
          <w:color w:val="000000"/>
          <w:sz w:val="22"/>
          <w:szCs w:val="22"/>
          <w:lang w:val="sr-Latn-ME"/>
        </w:rPr>
        <w:t xml:space="preserve">erenim oštećenjem jetre. S obzirom da sadrži valsartan, Co-Diovan je kontraindikovan kod pacijenata sa teškim oštećenjem jetre ili sa bilijarnom cirozom i </w:t>
      </w:r>
      <w:proofErr w:type="spellStart"/>
      <w:r w:rsidRPr="0087318B">
        <w:rPr>
          <w:color w:val="000000"/>
          <w:sz w:val="22"/>
          <w:szCs w:val="22"/>
          <w:lang w:val="sr-Latn-ME"/>
        </w:rPr>
        <w:t>holestazom</w:t>
      </w:r>
      <w:proofErr w:type="spellEnd"/>
      <w:r w:rsidRPr="0087318B">
        <w:rPr>
          <w:color w:val="000000"/>
          <w:sz w:val="22"/>
          <w:szCs w:val="22"/>
          <w:lang w:val="sr-Latn-ME"/>
        </w:rPr>
        <w:t xml:space="preserve"> (</w:t>
      </w:r>
      <w:r w:rsidR="003B0E37" w:rsidRPr="0087318B">
        <w:rPr>
          <w:color w:val="000000"/>
          <w:sz w:val="22"/>
          <w:szCs w:val="22"/>
          <w:lang w:val="sr-Latn-ME"/>
        </w:rPr>
        <w:t>vidjeti</w:t>
      </w:r>
      <w:r w:rsidRPr="0087318B">
        <w:rPr>
          <w:color w:val="000000"/>
          <w:sz w:val="22"/>
          <w:szCs w:val="22"/>
          <w:lang w:val="sr-Latn-ME"/>
        </w:rPr>
        <w:t xml:space="preserve"> </w:t>
      </w:r>
      <w:r w:rsidR="003B0E37" w:rsidRPr="0087318B">
        <w:rPr>
          <w:color w:val="000000"/>
          <w:sz w:val="22"/>
          <w:szCs w:val="22"/>
          <w:lang w:val="sr-Latn-ME"/>
        </w:rPr>
        <w:t>djelove</w:t>
      </w:r>
      <w:r w:rsidRPr="0087318B">
        <w:rPr>
          <w:color w:val="000000"/>
          <w:sz w:val="22"/>
          <w:szCs w:val="22"/>
          <w:lang w:val="sr-Latn-ME"/>
        </w:rPr>
        <w:t xml:space="preserve"> 4.3, 4.4 i 5.2).</w:t>
      </w:r>
    </w:p>
    <w:p w14:paraId="2CF1B80B" w14:textId="77777777" w:rsidR="0087318B" w:rsidRDefault="0087318B" w:rsidP="00A66F57">
      <w:pPr>
        <w:shd w:val="clear" w:color="auto" w:fill="FFFFFF"/>
        <w:tabs>
          <w:tab w:val="left" w:pos="284"/>
        </w:tabs>
        <w:jc w:val="both"/>
        <w:rPr>
          <w:i/>
          <w:color w:val="000000"/>
          <w:sz w:val="22"/>
          <w:szCs w:val="22"/>
          <w:lang w:val="sr-Latn-ME"/>
        </w:rPr>
      </w:pPr>
    </w:p>
    <w:p w14:paraId="0DAA5C6A" w14:textId="4383A8DB"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Starije osobe</w:t>
      </w:r>
    </w:p>
    <w:p w14:paraId="56FF369D" w14:textId="4096BA68" w:rsidR="00D836EE" w:rsidRPr="0087318B" w:rsidRDefault="00D836EE" w:rsidP="00A66F57">
      <w:pPr>
        <w:tabs>
          <w:tab w:val="left" w:pos="284"/>
        </w:tabs>
        <w:jc w:val="both"/>
        <w:rPr>
          <w:sz w:val="22"/>
          <w:szCs w:val="22"/>
          <w:lang w:val="sr-Latn-ME"/>
        </w:rPr>
      </w:pPr>
      <w:r w:rsidRPr="0087318B">
        <w:rPr>
          <w:sz w:val="22"/>
          <w:szCs w:val="22"/>
          <w:lang w:val="sr-Latn-ME"/>
        </w:rPr>
        <w:t>Kod starijih pacijenata nije potrebno prilagođavanje doze.</w:t>
      </w:r>
    </w:p>
    <w:p w14:paraId="72888C51" w14:textId="77777777" w:rsidR="00D836EE" w:rsidRPr="0087318B" w:rsidRDefault="00D836EE" w:rsidP="00A66F57">
      <w:pPr>
        <w:tabs>
          <w:tab w:val="left" w:pos="284"/>
        </w:tabs>
        <w:jc w:val="both"/>
        <w:rPr>
          <w:sz w:val="22"/>
          <w:szCs w:val="22"/>
          <w:lang w:val="sr-Latn-ME"/>
        </w:rPr>
      </w:pPr>
    </w:p>
    <w:p w14:paraId="17DF1774" w14:textId="77777777" w:rsidR="00D836EE" w:rsidRPr="0087318B" w:rsidRDefault="00D836EE" w:rsidP="00A66F57">
      <w:pPr>
        <w:tabs>
          <w:tab w:val="left" w:pos="284"/>
        </w:tabs>
        <w:jc w:val="both"/>
        <w:rPr>
          <w:i/>
          <w:sz w:val="22"/>
          <w:szCs w:val="22"/>
          <w:lang w:val="sr-Latn-ME"/>
        </w:rPr>
      </w:pPr>
      <w:r w:rsidRPr="0087318B">
        <w:rPr>
          <w:i/>
          <w:sz w:val="22"/>
          <w:szCs w:val="22"/>
          <w:lang w:val="sr-Latn-ME"/>
        </w:rPr>
        <w:t>Pedijatrijski pacijenti</w:t>
      </w:r>
    </w:p>
    <w:p w14:paraId="64937EA0" w14:textId="79FD7A90" w:rsidR="00D836EE" w:rsidRPr="0087318B" w:rsidRDefault="00D836EE" w:rsidP="00A66F57">
      <w:pPr>
        <w:tabs>
          <w:tab w:val="left" w:pos="284"/>
        </w:tabs>
        <w:jc w:val="both"/>
        <w:rPr>
          <w:sz w:val="22"/>
          <w:szCs w:val="22"/>
          <w:lang w:val="sr-Latn-ME"/>
        </w:rPr>
      </w:pPr>
      <w:r w:rsidRPr="0087318B">
        <w:rPr>
          <w:sz w:val="22"/>
          <w:szCs w:val="22"/>
          <w:lang w:val="sr-Latn-ME"/>
        </w:rPr>
        <w:t>Primjena lijeka Co-Diovan se ne preporučuje kod d</w:t>
      </w:r>
      <w:r w:rsidR="00176621">
        <w:rPr>
          <w:sz w:val="22"/>
          <w:szCs w:val="22"/>
          <w:lang w:val="sr-Latn-ME"/>
        </w:rPr>
        <w:t>j</w:t>
      </w:r>
      <w:r w:rsidRPr="0087318B">
        <w:rPr>
          <w:sz w:val="22"/>
          <w:szCs w:val="22"/>
          <w:lang w:val="sr-Latn-ME"/>
        </w:rPr>
        <w:t>ece ispod 18 godina jer nema dovoljno podataka  o bezbjednosti i efikasnosti primjene lijeka kod ove populacije.</w:t>
      </w:r>
      <w:r w:rsidRPr="0087318B" w:rsidDel="00DD31BA">
        <w:rPr>
          <w:sz w:val="22"/>
          <w:szCs w:val="22"/>
          <w:lang w:val="sr-Latn-ME"/>
        </w:rPr>
        <w:t xml:space="preserve"> </w:t>
      </w:r>
    </w:p>
    <w:p w14:paraId="3D181EDF" w14:textId="77777777" w:rsidR="00D836EE" w:rsidRPr="0087318B" w:rsidRDefault="00D836EE" w:rsidP="00A66F57">
      <w:pPr>
        <w:tabs>
          <w:tab w:val="left" w:pos="540"/>
          <w:tab w:val="left" w:pos="569"/>
        </w:tabs>
        <w:jc w:val="both"/>
        <w:rPr>
          <w:bCs/>
          <w:sz w:val="22"/>
          <w:szCs w:val="22"/>
          <w:lang w:val="sr-Latn-ME"/>
        </w:rPr>
      </w:pPr>
    </w:p>
    <w:p w14:paraId="5761DE58" w14:textId="77777777" w:rsidR="00411B4B" w:rsidRPr="0087318B" w:rsidRDefault="00411B4B" w:rsidP="00A66F57">
      <w:pPr>
        <w:tabs>
          <w:tab w:val="left" w:pos="540"/>
          <w:tab w:val="left" w:pos="569"/>
        </w:tabs>
        <w:jc w:val="both"/>
        <w:rPr>
          <w:b/>
          <w:bCs/>
          <w:sz w:val="22"/>
          <w:szCs w:val="22"/>
          <w:lang w:val="sr-Latn-ME"/>
        </w:rPr>
      </w:pPr>
      <w:r w:rsidRPr="0087318B">
        <w:rPr>
          <w:b/>
          <w:bCs/>
          <w:sz w:val="22"/>
          <w:szCs w:val="22"/>
          <w:lang w:val="sr-Latn-ME"/>
        </w:rPr>
        <w:t xml:space="preserve">4.3. </w:t>
      </w:r>
      <w:r w:rsidR="00480FB1" w:rsidRPr="0087318B">
        <w:rPr>
          <w:b/>
          <w:bCs/>
          <w:sz w:val="22"/>
          <w:szCs w:val="22"/>
          <w:lang w:val="sr-Latn-ME"/>
        </w:rPr>
        <w:tab/>
      </w:r>
      <w:r w:rsidRPr="0087318B">
        <w:rPr>
          <w:b/>
          <w:bCs/>
          <w:sz w:val="22"/>
          <w:szCs w:val="22"/>
          <w:lang w:val="sr-Latn-ME"/>
        </w:rPr>
        <w:t>Kontraindikacije</w:t>
      </w:r>
    </w:p>
    <w:p w14:paraId="23436866" w14:textId="77777777" w:rsidR="00D836EE" w:rsidRPr="0087318B" w:rsidRDefault="00D836EE" w:rsidP="00A66F57">
      <w:pPr>
        <w:tabs>
          <w:tab w:val="left" w:pos="540"/>
          <w:tab w:val="left" w:pos="569"/>
        </w:tabs>
        <w:jc w:val="both"/>
        <w:rPr>
          <w:b/>
          <w:bCs/>
          <w:sz w:val="22"/>
          <w:szCs w:val="22"/>
          <w:lang w:val="sr-Latn-ME"/>
        </w:rPr>
      </w:pPr>
    </w:p>
    <w:p w14:paraId="4575B654" w14:textId="175B9059" w:rsidR="00D836EE" w:rsidRPr="0087318B" w:rsidRDefault="00D836EE" w:rsidP="0084780A">
      <w:pPr>
        <w:numPr>
          <w:ilvl w:val="0"/>
          <w:numId w:val="12"/>
        </w:numPr>
        <w:shd w:val="clear" w:color="auto" w:fill="FFFFFF"/>
        <w:tabs>
          <w:tab w:val="left" w:pos="284"/>
        </w:tabs>
        <w:jc w:val="both"/>
        <w:rPr>
          <w:color w:val="000000"/>
          <w:sz w:val="22"/>
          <w:szCs w:val="22"/>
          <w:lang w:val="sr-Latn-ME"/>
        </w:rPr>
      </w:pPr>
      <w:r w:rsidRPr="0087318B">
        <w:rPr>
          <w:color w:val="000000"/>
          <w:sz w:val="22"/>
          <w:szCs w:val="22"/>
          <w:lang w:val="sr-Latn-ME"/>
        </w:rPr>
        <w:t>Preos</w:t>
      </w:r>
      <w:r w:rsidR="00176621">
        <w:rPr>
          <w:color w:val="000000"/>
          <w:sz w:val="22"/>
          <w:szCs w:val="22"/>
          <w:lang w:val="sr-Latn-ME"/>
        </w:rPr>
        <w:t>j</w:t>
      </w:r>
      <w:r w:rsidRPr="0087318B">
        <w:rPr>
          <w:color w:val="000000"/>
          <w:sz w:val="22"/>
          <w:szCs w:val="22"/>
          <w:lang w:val="sr-Latn-ME"/>
        </w:rPr>
        <w:t xml:space="preserve">etljivost na aktivnu supstancu(e), druge sulfonamide ili bilo koju od pomoćnih supstanci navedenih u </w:t>
      </w:r>
      <w:r w:rsidR="00176621">
        <w:rPr>
          <w:color w:val="000000"/>
          <w:sz w:val="22"/>
          <w:szCs w:val="22"/>
          <w:lang w:val="sr-Latn-ME"/>
        </w:rPr>
        <w:t>d</w:t>
      </w:r>
      <w:r w:rsidR="00475BEA">
        <w:rPr>
          <w:color w:val="000000"/>
          <w:sz w:val="22"/>
          <w:szCs w:val="22"/>
          <w:lang w:val="sr-Latn-ME"/>
        </w:rPr>
        <w:t>i</w:t>
      </w:r>
      <w:r w:rsidR="00176621">
        <w:rPr>
          <w:color w:val="000000"/>
          <w:sz w:val="22"/>
          <w:szCs w:val="22"/>
          <w:lang w:val="sr-Latn-ME"/>
        </w:rPr>
        <w:t>jelu</w:t>
      </w:r>
      <w:r w:rsidRPr="0087318B">
        <w:rPr>
          <w:color w:val="000000"/>
          <w:sz w:val="22"/>
          <w:szCs w:val="22"/>
          <w:lang w:val="sr-Latn-ME"/>
        </w:rPr>
        <w:t xml:space="preserve"> 6.1. </w:t>
      </w:r>
    </w:p>
    <w:p w14:paraId="4FE0928D" w14:textId="2DBDB636" w:rsidR="00D836EE" w:rsidRPr="0087318B" w:rsidRDefault="00D836EE">
      <w:pPr>
        <w:numPr>
          <w:ilvl w:val="0"/>
          <w:numId w:val="12"/>
        </w:numPr>
        <w:shd w:val="clear" w:color="auto" w:fill="FFFFFF"/>
        <w:tabs>
          <w:tab w:val="left" w:pos="284"/>
        </w:tabs>
        <w:jc w:val="both"/>
        <w:rPr>
          <w:sz w:val="22"/>
          <w:szCs w:val="22"/>
          <w:lang w:val="sr-Latn-ME"/>
        </w:rPr>
      </w:pPr>
      <w:r w:rsidRPr="0087318B">
        <w:rPr>
          <w:sz w:val="22"/>
          <w:szCs w:val="22"/>
          <w:lang w:val="sr-Latn-ME"/>
        </w:rPr>
        <w:t>Drugi i treći trimestar trudnoće (</w:t>
      </w:r>
      <w:r w:rsidR="003B0E37" w:rsidRPr="0087318B">
        <w:rPr>
          <w:sz w:val="22"/>
          <w:szCs w:val="22"/>
          <w:lang w:val="sr-Latn-ME"/>
        </w:rPr>
        <w:t>vidjeti</w:t>
      </w:r>
      <w:r w:rsidRPr="0087318B">
        <w:rPr>
          <w:sz w:val="22"/>
          <w:szCs w:val="22"/>
          <w:lang w:val="sr-Latn-ME"/>
        </w:rPr>
        <w:t xml:space="preserve"> </w:t>
      </w:r>
      <w:r w:rsidR="00176621">
        <w:rPr>
          <w:sz w:val="22"/>
          <w:szCs w:val="22"/>
          <w:lang w:val="sr-Latn-ME"/>
        </w:rPr>
        <w:t>djelove</w:t>
      </w:r>
      <w:r w:rsidR="00176621" w:rsidRPr="0087318B">
        <w:rPr>
          <w:sz w:val="22"/>
          <w:szCs w:val="22"/>
          <w:lang w:val="sr-Latn-ME"/>
        </w:rPr>
        <w:t xml:space="preserve"> </w:t>
      </w:r>
      <w:r w:rsidRPr="0087318B">
        <w:rPr>
          <w:sz w:val="22"/>
          <w:szCs w:val="22"/>
          <w:lang w:val="sr-Latn-ME"/>
        </w:rPr>
        <w:t>4.4 i 4.6).</w:t>
      </w:r>
    </w:p>
    <w:p w14:paraId="7563037C" w14:textId="77777777" w:rsidR="00D836EE" w:rsidRPr="0087318B" w:rsidRDefault="00D836EE">
      <w:pPr>
        <w:numPr>
          <w:ilvl w:val="0"/>
          <w:numId w:val="12"/>
        </w:numPr>
        <w:shd w:val="clear" w:color="auto" w:fill="FFFFFF"/>
        <w:tabs>
          <w:tab w:val="left" w:pos="284"/>
        </w:tabs>
        <w:jc w:val="both"/>
        <w:rPr>
          <w:color w:val="000000"/>
          <w:sz w:val="22"/>
          <w:szCs w:val="22"/>
          <w:lang w:val="sr-Latn-ME"/>
        </w:rPr>
      </w:pPr>
      <w:r w:rsidRPr="0087318B">
        <w:rPr>
          <w:color w:val="000000"/>
          <w:sz w:val="22"/>
          <w:szCs w:val="22"/>
          <w:lang w:val="sr-Latn-ME"/>
        </w:rPr>
        <w:t>Teško oštećenje funkcije jetre, bilijarna ciroza i holestaza.</w:t>
      </w:r>
    </w:p>
    <w:p w14:paraId="7289AB33" w14:textId="67D45B16" w:rsidR="00D836EE" w:rsidRPr="0087318B" w:rsidRDefault="00D836EE">
      <w:pPr>
        <w:numPr>
          <w:ilvl w:val="0"/>
          <w:numId w:val="12"/>
        </w:numPr>
        <w:shd w:val="clear" w:color="auto" w:fill="FFFFFF"/>
        <w:tabs>
          <w:tab w:val="left" w:pos="284"/>
        </w:tabs>
        <w:jc w:val="both"/>
        <w:rPr>
          <w:color w:val="000000"/>
          <w:sz w:val="22"/>
          <w:szCs w:val="22"/>
          <w:lang w:val="sr-Latn-ME"/>
        </w:rPr>
      </w:pPr>
      <w:r w:rsidRPr="0087318B">
        <w:rPr>
          <w:color w:val="000000"/>
          <w:sz w:val="22"/>
          <w:szCs w:val="22"/>
          <w:lang w:val="sr-Latn-ME"/>
        </w:rPr>
        <w:t xml:space="preserve">Teško oštećenje funkcije bubrega (klirens kreatinina &lt; 30 </w:t>
      </w:r>
      <w:r w:rsidR="00FA2D3F">
        <w:rPr>
          <w:color w:val="000000"/>
          <w:sz w:val="22"/>
          <w:szCs w:val="22"/>
          <w:lang w:val="sr-Latn-ME"/>
        </w:rPr>
        <w:t>ml</w:t>
      </w:r>
      <w:r w:rsidRPr="0087318B">
        <w:rPr>
          <w:color w:val="000000"/>
          <w:sz w:val="22"/>
          <w:szCs w:val="22"/>
          <w:lang w:val="sr-Latn-ME"/>
        </w:rPr>
        <w:t>/min), anurija.</w:t>
      </w:r>
    </w:p>
    <w:p w14:paraId="2679A6CF" w14:textId="77777777" w:rsidR="00D836EE" w:rsidRDefault="00D836EE">
      <w:pPr>
        <w:numPr>
          <w:ilvl w:val="0"/>
          <w:numId w:val="12"/>
        </w:numPr>
        <w:shd w:val="clear" w:color="auto" w:fill="FFFFFF"/>
        <w:tabs>
          <w:tab w:val="left" w:pos="284"/>
        </w:tabs>
        <w:jc w:val="both"/>
        <w:rPr>
          <w:color w:val="000000"/>
          <w:sz w:val="22"/>
          <w:szCs w:val="22"/>
          <w:lang w:val="sr-Latn-ME"/>
        </w:rPr>
      </w:pPr>
      <w:r w:rsidRPr="0087318B">
        <w:rPr>
          <w:color w:val="000000"/>
          <w:sz w:val="22"/>
          <w:szCs w:val="22"/>
          <w:lang w:val="sr-Latn-ME"/>
        </w:rPr>
        <w:t>Refraktorna hipokalijemija, hiponatrijemija, hiperkalcijemija i simptomatska hiperurikemija.</w:t>
      </w:r>
    </w:p>
    <w:p w14:paraId="609BABAF" w14:textId="47C9944A" w:rsidR="0072020E" w:rsidRPr="003C6529" w:rsidRDefault="00D836EE" w:rsidP="000F4042">
      <w:pPr>
        <w:numPr>
          <w:ilvl w:val="0"/>
          <w:numId w:val="12"/>
        </w:numPr>
        <w:shd w:val="clear" w:color="auto" w:fill="FFFFFF"/>
        <w:tabs>
          <w:tab w:val="left" w:pos="284"/>
        </w:tabs>
        <w:jc w:val="both"/>
        <w:rPr>
          <w:color w:val="000000"/>
          <w:sz w:val="22"/>
          <w:szCs w:val="22"/>
          <w:lang w:val="sr-Latn-ME"/>
        </w:rPr>
      </w:pPr>
      <w:r w:rsidRPr="003C6529">
        <w:rPr>
          <w:color w:val="000000"/>
          <w:sz w:val="22"/>
          <w:szCs w:val="22"/>
          <w:lang w:val="sr-Latn-ME"/>
        </w:rPr>
        <w:t xml:space="preserve">Istovremena </w:t>
      </w:r>
      <w:r w:rsidR="009C4DAA" w:rsidRPr="003C6529">
        <w:rPr>
          <w:color w:val="000000"/>
          <w:sz w:val="22"/>
          <w:szCs w:val="22"/>
          <w:lang w:val="sr-Latn-ME"/>
        </w:rPr>
        <w:t>primjena</w:t>
      </w:r>
      <w:r w:rsidRPr="003C6529">
        <w:rPr>
          <w:color w:val="000000"/>
          <w:sz w:val="22"/>
          <w:szCs w:val="22"/>
          <w:lang w:val="sr-Latn-ME"/>
        </w:rPr>
        <w:t xml:space="preserve"> </w:t>
      </w:r>
      <w:r w:rsidR="009C4DAA" w:rsidRPr="003C6529">
        <w:rPr>
          <w:color w:val="000000"/>
          <w:sz w:val="22"/>
          <w:szCs w:val="22"/>
          <w:lang w:val="sr-Latn-ME"/>
        </w:rPr>
        <w:t>lijeka</w:t>
      </w:r>
      <w:r w:rsidRPr="003C6529">
        <w:rPr>
          <w:color w:val="000000"/>
          <w:sz w:val="22"/>
          <w:szCs w:val="22"/>
          <w:lang w:val="sr-Latn-ME"/>
        </w:rPr>
        <w:t xml:space="preserve"> </w:t>
      </w:r>
      <w:proofErr w:type="spellStart"/>
      <w:r w:rsidRPr="003C6529">
        <w:rPr>
          <w:color w:val="000000"/>
          <w:sz w:val="22"/>
          <w:szCs w:val="22"/>
          <w:lang w:val="sr-Latn-ME"/>
        </w:rPr>
        <w:t>Co-Diovan</w:t>
      </w:r>
      <w:proofErr w:type="spellEnd"/>
      <w:r w:rsidRPr="003C6529">
        <w:rPr>
          <w:color w:val="000000"/>
          <w:sz w:val="22"/>
          <w:szCs w:val="22"/>
          <w:lang w:val="sr-Latn-ME"/>
        </w:rPr>
        <w:t xml:space="preserve"> sa l</w:t>
      </w:r>
      <w:r w:rsidR="008E519A">
        <w:rPr>
          <w:color w:val="000000"/>
          <w:sz w:val="22"/>
          <w:szCs w:val="22"/>
          <w:lang w:val="sr-Latn-ME"/>
        </w:rPr>
        <w:t>j</w:t>
      </w:r>
      <w:r w:rsidRPr="003C6529">
        <w:rPr>
          <w:color w:val="000000"/>
          <w:sz w:val="22"/>
          <w:szCs w:val="22"/>
          <w:lang w:val="sr-Latn-ME"/>
        </w:rPr>
        <w:t xml:space="preserve">ekovima koji sadrže aliskiren kod pacijenata sa dijabetes melitusom ili oštećenjem bubrežne funkcije (GFR &lt; 60 </w:t>
      </w:r>
      <w:r w:rsidR="00FA2D3F" w:rsidRPr="003C6529">
        <w:rPr>
          <w:color w:val="000000"/>
          <w:sz w:val="22"/>
          <w:szCs w:val="22"/>
          <w:lang w:val="sr-Latn-ME"/>
        </w:rPr>
        <w:t>ml</w:t>
      </w:r>
      <w:r w:rsidRPr="003C6529">
        <w:rPr>
          <w:color w:val="000000"/>
          <w:sz w:val="22"/>
          <w:szCs w:val="22"/>
          <w:lang w:val="sr-Latn-ME"/>
        </w:rPr>
        <w:t>/min/1</w:t>
      </w:r>
      <w:r w:rsidR="00FA2D3F" w:rsidRPr="003C6529">
        <w:rPr>
          <w:color w:val="000000"/>
          <w:sz w:val="22"/>
          <w:szCs w:val="22"/>
          <w:lang w:val="sr-Latn-ME"/>
        </w:rPr>
        <w:t>.</w:t>
      </w:r>
      <w:r w:rsidRPr="003C6529">
        <w:rPr>
          <w:color w:val="000000"/>
          <w:sz w:val="22"/>
          <w:szCs w:val="22"/>
          <w:lang w:val="sr-Latn-ME"/>
        </w:rPr>
        <w:t>73 m</w:t>
      </w:r>
      <w:r w:rsidRPr="003C6529">
        <w:rPr>
          <w:color w:val="000000"/>
          <w:sz w:val="22"/>
          <w:szCs w:val="22"/>
          <w:vertAlign w:val="superscript"/>
          <w:lang w:val="sr-Latn-ME"/>
        </w:rPr>
        <w:t>2</w:t>
      </w:r>
      <w:r w:rsidRPr="003C6529">
        <w:rPr>
          <w:color w:val="000000"/>
          <w:sz w:val="22"/>
          <w:szCs w:val="22"/>
          <w:lang w:val="sr-Latn-ME"/>
        </w:rPr>
        <w:t>) (</w:t>
      </w:r>
      <w:r w:rsidR="003B0E37" w:rsidRPr="003C6529">
        <w:rPr>
          <w:color w:val="000000"/>
          <w:sz w:val="22"/>
          <w:szCs w:val="22"/>
          <w:lang w:val="sr-Latn-ME"/>
        </w:rPr>
        <w:t>vidjeti</w:t>
      </w:r>
      <w:r w:rsidRPr="003C6529">
        <w:rPr>
          <w:color w:val="000000"/>
          <w:sz w:val="22"/>
          <w:szCs w:val="22"/>
          <w:lang w:val="sr-Latn-ME"/>
        </w:rPr>
        <w:t xml:space="preserve"> </w:t>
      </w:r>
      <w:r w:rsidR="003B0E37" w:rsidRPr="003C6529">
        <w:rPr>
          <w:color w:val="000000"/>
          <w:sz w:val="22"/>
          <w:szCs w:val="22"/>
          <w:lang w:val="sr-Latn-ME"/>
        </w:rPr>
        <w:t>djelove</w:t>
      </w:r>
      <w:r w:rsidRPr="003C6529">
        <w:rPr>
          <w:color w:val="000000"/>
          <w:sz w:val="22"/>
          <w:szCs w:val="22"/>
          <w:lang w:val="sr-Latn-ME"/>
        </w:rPr>
        <w:t xml:space="preserve"> 4.5 i 5.1).</w:t>
      </w:r>
    </w:p>
    <w:p w14:paraId="1AE2031B" w14:textId="77777777" w:rsidR="00D836EE" w:rsidRPr="0087318B" w:rsidRDefault="00D836EE" w:rsidP="00A66F57">
      <w:pPr>
        <w:tabs>
          <w:tab w:val="left" w:pos="540"/>
          <w:tab w:val="left" w:pos="569"/>
        </w:tabs>
        <w:jc w:val="both"/>
        <w:rPr>
          <w:bCs/>
          <w:sz w:val="22"/>
          <w:szCs w:val="22"/>
          <w:lang w:val="sr-Latn-ME"/>
        </w:rPr>
      </w:pPr>
    </w:p>
    <w:p w14:paraId="4F1650FC" w14:textId="77777777" w:rsidR="00411B4B" w:rsidRPr="0087318B" w:rsidRDefault="00411B4B" w:rsidP="00A66F57">
      <w:pPr>
        <w:tabs>
          <w:tab w:val="left" w:pos="540"/>
          <w:tab w:val="left" w:pos="569"/>
        </w:tabs>
        <w:jc w:val="both"/>
        <w:rPr>
          <w:b/>
          <w:bCs/>
          <w:sz w:val="22"/>
          <w:szCs w:val="22"/>
          <w:lang w:val="sr-Latn-ME"/>
        </w:rPr>
      </w:pPr>
      <w:r w:rsidRPr="0087318B">
        <w:rPr>
          <w:b/>
          <w:bCs/>
          <w:sz w:val="22"/>
          <w:szCs w:val="22"/>
          <w:lang w:val="sr-Latn-ME"/>
        </w:rPr>
        <w:t xml:space="preserve">4.4. </w:t>
      </w:r>
      <w:r w:rsidR="00480FB1" w:rsidRPr="0087318B">
        <w:rPr>
          <w:b/>
          <w:bCs/>
          <w:sz w:val="22"/>
          <w:szCs w:val="22"/>
          <w:lang w:val="sr-Latn-ME"/>
        </w:rPr>
        <w:tab/>
      </w:r>
      <w:r w:rsidRPr="0087318B">
        <w:rPr>
          <w:b/>
          <w:bCs/>
          <w:sz w:val="22"/>
          <w:szCs w:val="22"/>
          <w:lang w:val="sr-Latn-ME"/>
        </w:rPr>
        <w:t>Posebna upozorenja i mjere opreza pri upotrebi lijeka</w:t>
      </w:r>
    </w:p>
    <w:p w14:paraId="262DA96B" w14:textId="77777777" w:rsidR="0072020E" w:rsidRPr="0087318B" w:rsidRDefault="0072020E" w:rsidP="00A66F57">
      <w:pPr>
        <w:tabs>
          <w:tab w:val="left" w:pos="540"/>
          <w:tab w:val="left" w:pos="569"/>
        </w:tabs>
        <w:jc w:val="both"/>
        <w:rPr>
          <w:bCs/>
          <w:sz w:val="22"/>
          <w:szCs w:val="22"/>
          <w:lang w:val="sr-Latn-ME"/>
        </w:rPr>
      </w:pPr>
    </w:p>
    <w:p w14:paraId="0B352575" w14:textId="52B91CEB"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Prom</w:t>
      </w:r>
      <w:r w:rsidR="008E519A">
        <w:rPr>
          <w:color w:val="000000"/>
          <w:sz w:val="22"/>
          <w:szCs w:val="22"/>
          <w:u w:val="single"/>
          <w:lang w:val="sr-Latn-ME"/>
        </w:rPr>
        <w:t>j</w:t>
      </w:r>
      <w:r w:rsidRPr="0087318B">
        <w:rPr>
          <w:color w:val="000000"/>
          <w:sz w:val="22"/>
          <w:szCs w:val="22"/>
          <w:u w:val="single"/>
          <w:lang w:val="sr-Latn-ME"/>
        </w:rPr>
        <w:t>ene serumskih elektrolita</w:t>
      </w:r>
    </w:p>
    <w:p w14:paraId="128DBD59" w14:textId="77777777" w:rsidR="0087318B" w:rsidRDefault="0087318B" w:rsidP="00A66F57">
      <w:pPr>
        <w:shd w:val="clear" w:color="auto" w:fill="FFFFFF"/>
        <w:tabs>
          <w:tab w:val="left" w:pos="284"/>
        </w:tabs>
        <w:jc w:val="both"/>
        <w:rPr>
          <w:i/>
          <w:color w:val="000000"/>
          <w:sz w:val="22"/>
          <w:szCs w:val="22"/>
          <w:lang w:val="sr-Latn-ME"/>
        </w:rPr>
      </w:pPr>
    </w:p>
    <w:p w14:paraId="10EABED1" w14:textId="51E67E72" w:rsidR="00D836EE" w:rsidRPr="0087318B" w:rsidRDefault="00D836EE" w:rsidP="00A66F57">
      <w:pPr>
        <w:shd w:val="clear" w:color="auto" w:fill="FFFFFF"/>
        <w:tabs>
          <w:tab w:val="left" w:pos="284"/>
        </w:tabs>
        <w:jc w:val="both"/>
        <w:rPr>
          <w:i/>
          <w:sz w:val="22"/>
          <w:szCs w:val="22"/>
          <w:lang w:val="sr-Latn-ME"/>
        </w:rPr>
      </w:pPr>
      <w:r w:rsidRPr="0087318B">
        <w:rPr>
          <w:i/>
          <w:color w:val="000000"/>
          <w:sz w:val="22"/>
          <w:szCs w:val="22"/>
          <w:lang w:val="sr-Latn-ME"/>
        </w:rPr>
        <w:t>Valsartan</w:t>
      </w:r>
    </w:p>
    <w:p w14:paraId="18A70C14" w14:textId="381FBB99"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Ne preporučuje se istovremena primjena suplemenata kalijuma, diuretika koji štede kalijum, zam</w:t>
      </w:r>
      <w:r w:rsidR="00067C2E">
        <w:rPr>
          <w:color w:val="000000"/>
          <w:sz w:val="22"/>
          <w:szCs w:val="22"/>
          <w:lang w:val="sr-Latn-ME"/>
        </w:rPr>
        <w:t>j</w:t>
      </w:r>
      <w:r w:rsidRPr="0087318B">
        <w:rPr>
          <w:color w:val="000000"/>
          <w:sz w:val="22"/>
          <w:szCs w:val="22"/>
          <w:lang w:val="sr-Latn-ME"/>
        </w:rPr>
        <w:t>enama za so koje sadrže kalijum</w:t>
      </w:r>
      <w:r w:rsidR="003C6529">
        <w:rPr>
          <w:color w:val="000000"/>
          <w:sz w:val="22"/>
          <w:szCs w:val="22"/>
          <w:lang w:val="sr-Latn-ME"/>
        </w:rPr>
        <w:t xml:space="preserve"> </w:t>
      </w:r>
      <w:r w:rsidRPr="0087318B">
        <w:rPr>
          <w:color w:val="000000"/>
          <w:sz w:val="22"/>
          <w:szCs w:val="22"/>
          <w:lang w:val="sr-Latn-ME"/>
        </w:rPr>
        <w:t>ili drugih ljekova koji mogu da povećaju koncentraciju kalijuma u krvi (heparin, itd.). Preporučuje se adekvatno kontrolisanje serumskog kalijuma.</w:t>
      </w:r>
    </w:p>
    <w:p w14:paraId="6141515E" w14:textId="77777777" w:rsidR="0087318B" w:rsidRDefault="0087318B" w:rsidP="00A66F57">
      <w:pPr>
        <w:shd w:val="clear" w:color="auto" w:fill="FFFFFF"/>
        <w:tabs>
          <w:tab w:val="left" w:pos="284"/>
        </w:tabs>
        <w:jc w:val="both"/>
        <w:rPr>
          <w:i/>
          <w:color w:val="000000"/>
          <w:sz w:val="22"/>
          <w:szCs w:val="22"/>
          <w:lang w:val="sr-Latn-ME"/>
        </w:rPr>
      </w:pPr>
    </w:p>
    <w:p w14:paraId="5B871EED" w14:textId="6AEFA401"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Hidrohlortiazid</w:t>
      </w:r>
    </w:p>
    <w:p w14:paraId="69BA44C2" w14:textId="3F5A26CA"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Tokom liječenja tiazidnim diureticima, uključujući hidrohlortiazid, zabilježena je hipokalijemija. Preporučuje se česta kontrola kalijuma u serumu.</w:t>
      </w:r>
    </w:p>
    <w:p w14:paraId="29ECBE70" w14:textId="04678030"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Liječenje tiazidnim diureticima, uključujući i </w:t>
      </w:r>
      <w:proofErr w:type="spellStart"/>
      <w:r w:rsidRPr="0087318B">
        <w:rPr>
          <w:color w:val="000000"/>
          <w:sz w:val="22"/>
          <w:szCs w:val="22"/>
          <w:lang w:val="sr-Latn-ME"/>
        </w:rPr>
        <w:t>hidrohlortiazid</w:t>
      </w:r>
      <w:proofErr w:type="spellEnd"/>
      <w:r w:rsidRPr="0087318B">
        <w:rPr>
          <w:color w:val="000000"/>
          <w:sz w:val="22"/>
          <w:szCs w:val="22"/>
          <w:lang w:val="sr-Latn-ME"/>
        </w:rPr>
        <w:t xml:space="preserve">, povezano je sa </w:t>
      </w:r>
      <w:proofErr w:type="spellStart"/>
      <w:r w:rsidRPr="0087318B">
        <w:rPr>
          <w:color w:val="000000"/>
          <w:sz w:val="22"/>
          <w:szCs w:val="22"/>
          <w:lang w:val="sr-Latn-ME"/>
        </w:rPr>
        <w:t>hiponatrijemijom</w:t>
      </w:r>
      <w:proofErr w:type="spellEnd"/>
      <w:r w:rsidRPr="0087318B">
        <w:rPr>
          <w:color w:val="000000"/>
          <w:sz w:val="22"/>
          <w:szCs w:val="22"/>
          <w:lang w:val="sr-Latn-ME"/>
        </w:rPr>
        <w:t xml:space="preserve"> i hipohloremijskom alkalozom.</w:t>
      </w:r>
      <w:r w:rsidR="00067C2E">
        <w:rPr>
          <w:color w:val="000000"/>
          <w:sz w:val="22"/>
          <w:szCs w:val="22"/>
          <w:lang w:val="sr-Latn-ME"/>
        </w:rPr>
        <w:t xml:space="preserve"> </w:t>
      </w:r>
      <w:r w:rsidRPr="0087318B">
        <w:rPr>
          <w:color w:val="000000"/>
          <w:sz w:val="22"/>
          <w:szCs w:val="22"/>
          <w:lang w:val="sr-Latn-ME"/>
        </w:rPr>
        <w:t>Tiazidi, uključujući i hidrohlortiazid, povećavaju urinarnu ekskreciju magnezijuma, što može da izazove hipomagnezijemiju. Tiazidni diuretici smanjuju izlučivanje kalcijuma. To može dovesti do  hiperkalcijemije.</w:t>
      </w:r>
    </w:p>
    <w:p w14:paraId="5CC5558D"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Kao i kod bilo kog pacijenta koji je na terapiji diureticima, potrebno je periodično određivati elektrolite u serumu u odgovarajućim intervalima.</w:t>
      </w:r>
    </w:p>
    <w:p w14:paraId="0D5216FD" w14:textId="77777777" w:rsidR="0087318B" w:rsidRDefault="0087318B" w:rsidP="00A66F57">
      <w:pPr>
        <w:shd w:val="clear" w:color="auto" w:fill="FFFFFF"/>
        <w:tabs>
          <w:tab w:val="left" w:pos="284"/>
        </w:tabs>
        <w:jc w:val="both"/>
        <w:rPr>
          <w:color w:val="000000"/>
          <w:sz w:val="22"/>
          <w:szCs w:val="22"/>
          <w:u w:val="single"/>
          <w:lang w:val="sr-Latn-ME"/>
        </w:rPr>
      </w:pPr>
    </w:p>
    <w:p w14:paraId="196FE3EF" w14:textId="02D054CE"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Pacijenti sa smanjenim vrijednostima natrijuma i/ili volumena</w:t>
      </w:r>
    </w:p>
    <w:p w14:paraId="7487F5E7" w14:textId="13B81784"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Kod pacijenata koji primaju tiazidne diuretike, uključujući  hidrohlortiazid, potrebno je pratiti kliničke znakove neravnoteže tečnosti ili elektrolita.</w:t>
      </w:r>
    </w:p>
    <w:p w14:paraId="1EF193F5"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lastRenderedPageBreak/>
        <w:t>Kod pacijena</w:t>
      </w:r>
      <w:r w:rsidRPr="0087318B">
        <w:rPr>
          <w:sz w:val="22"/>
          <w:szCs w:val="22"/>
          <w:lang w:val="sr-Latn-ME"/>
        </w:rPr>
        <w:t xml:space="preserve">ta sa teškim nedostatkom </w:t>
      </w:r>
      <w:r w:rsidRPr="0087318B">
        <w:rPr>
          <w:color w:val="000000"/>
          <w:sz w:val="22"/>
          <w:szCs w:val="22"/>
          <w:lang w:val="sr-Latn-ME"/>
        </w:rPr>
        <w:t xml:space="preserve">natrijuma i/ili smanjenim volumenom tečnosti, poput onih koji primaju visoke doze diuretika, u rijetkim slučajevima može nastati simptomatska hipotenzija poslije započinjanja terapije lijekom Co-Diovan. Nedostatak  natrijuma i/ili volumena tečnosti treba korigovati prije nego što se počne liječenje lijekom Co-Diovan. </w:t>
      </w:r>
    </w:p>
    <w:p w14:paraId="34C5ED5B" w14:textId="77777777" w:rsidR="00D836EE" w:rsidRPr="0087318B" w:rsidRDefault="00D836EE" w:rsidP="00A66F57">
      <w:pPr>
        <w:shd w:val="clear" w:color="auto" w:fill="FFFFFF"/>
        <w:tabs>
          <w:tab w:val="left" w:pos="284"/>
        </w:tabs>
        <w:jc w:val="both"/>
        <w:rPr>
          <w:color w:val="000000"/>
          <w:sz w:val="22"/>
          <w:szCs w:val="22"/>
          <w:lang w:val="sr-Latn-ME"/>
        </w:rPr>
      </w:pPr>
    </w:p>
    <w:p w14:paraId="282F7D3F" w14:textId="3F5D3D68" w:rsidR="00D836EE" w:rsidRPr="000E3C60" w:rsidRDefault="00D836EE" w:rsidP="00A66F57">
      <w:pPr>
        <w:shd w:val="clear" w:color="auto" w:fill="FFFFFF"/>
        <w:tabs>
          <w:tab w:val="left" w:pos="284"/>
        </w:tabs>
        <w:jc w:val="both"/>
        <w:rPr>
          <w:color w:val="000000"/>
          <w:sz w:val="22"/>
          <w:szCs w:val="22"/>
          <w:u w:val="single"/>
          <w:lang w:val="sr-Latn-ME"/>
        </w:rPr>
      </w:pPr>
      <w:r w:rsidRPr="000E3C60">
        <w:rPr>
          <w:color w:val="000000"/>
          <w:sz w:val="22"/>
          <w:szCs w:val="22"/>
          <w:u w:val="single"/>
          <w:lang w:val="sr-Latn-ME"/>
        </w:rPr>
        <w:t>Pacijenti sa teškom hroničnom srčanom insuficijencijom ili drugim stanjima koja stimulišu renin-angiotenzin-aldosteron sistem</w:t>
      </w:r>
    </w:p>
    <w:p w14:paraId="40E4B4C6" w14:textId="155FCE2E" w:rsidR="00D836EE" w:rsidRPr="0087318B" w:rsidRDefault="00D836EE" w:rsidP="00A66F57">
      <w:pPr>
        <w:shd w:val="clear" w:color="auto" w:fill="FFFFFF"/>
        <w:tabs>
          <w:tab w:val="left" w:pos="284"/>
        </w:tabs>
        <w:jc w:val="both"/>
        <w:rPr>
          <w:color w:val="000000"/>
          <w:sz w:val="22"/>
          <w:szCs w:val="22"/>
          <w:lang w:val="sr-Latn-ME"/>
        </w:rPr>
      </w:pPr>
      <w:r w:rsidRPr="000E3C60">
        <w:rPr>
          <w:color w:val="000000"/>
          <w:sz w:val="22"/>
          <w:szCs w:val="22"/>
          <w:lang w:val="sr-Latn-ME"/>
        </w:rPr>
        <w:t>Kod pacijenata kod kojih bubrežna</w:t>
      </w:r>
      <w:r w:rsidRPr="0087318B">
        <w:rPr>
          <w:color w:val="000000"/>
          <w:sz w:val="22"/>
          <w:szCs w:val="22"/>
          <w:lang w:val="sr-Latn-ME"/>
        </w:rPr>
        <w:t xml:space="preserve"> funkcija može zavisiti od aktivnosti renin-angiotenzin-aldosteron sistema (kao što su pacijenti sa teškom kongestivnom srčanom insuficijencijom), terapija inhibitorima angiotenzin-konvertujućeg enzima može dovesti do oligurije i/ili progresivne azotemije i u rijetkim slučajevima akutne bubrežne insuficijencije i/ili smrti. Procjena pacijenata sa srčanom insuficijencijom ili pacijenata koji su imali infarkt miokarda treba uvijek da uključi i procjenu funkcije bubrega. Upotreba valsartana sa hidrohlortiazidom kod pacijenata sa teškom hroničnom srčanom insuficijencijom nije ustanovljena. </w:t>
      </w:r>
    </w:p>
    <w:p w14:paraId="20F7F66F" w14:textId="4A5EF49F"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Stoga, ne može biti isključeno da zbog inhibicije renin-angiotenzin-aldosteron sistema primjena lijeka Co-Diovan takođe može dovesti do slabljenja bubrežne funkcije. Lijek Co-Diovan ne treba koristiti kod ovih pacijenta.</w:t>
      </w:r>
    </w:p>
    <w:p w14:paraId="365398E3" w14:textId="77777777" w:rsidR="0087318B" w:rsidRDefault="0087318B" w:rsidP="00A66F57">
      <w:pPr>
        <w:shd w:val="clear" w:color="auto" w:fill="FFFFFF"/>
        <w:tabs>
          <w:tab w:val="left" w:pos="284"/>
        </w:tabs>
        <w:jc w:val="both"/>
        <w:rPr>
          <w:color w:val="000000"/>
          <w:sz w:val="22"/>
          <w:szCs w:val="22"/>
          <w:u w:val="single"/>
          <w:lang w:val="sr-Latn-ME"/>
        </w:rPr>
      </w:pPr>
    </w:p>
    <w:p w14:paraId="63B5C661" w14:textId="74673470"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 xml:space="preserve">Stenoza bubrežne arterije </w:t>
      </w:r>
    </w:p>
    <w:p w14:paraId="4F887112" w14:textId="437C1C9A"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Co-Diovan  ne treba koristiti za liječenje hipertenzije kod pacijenata sa unilateralnom ili bilateralnom stenozom bubrežne arterije ili stenozom </w:t>
      </w:r>
      <w:r w:rsidRPr="0087318B">
        <w:rPr>
          <w:sz w:val="22"/>
          <w:szCs w:val="22"/>
          <w:lang w:val="sr-Latn-ME"/>
        </w:rPr>
        <w:t>arterije kod postojanja samo jednog bubrega</w:t>
      </w:r>
      <w:r w:rsidRPr="0087318B">
        <w:rPr>
          <w:color w:val="000000"/>
          <w:sz w:val="22"/>
          <w:szCs w:val="22"/>
          <w:lang w:val="sr-Latn-ME"/>
        </w:rPr>
        <w:t>, s obzirom da vrijednosti uree u krvi i kreatinina u serumu mogu porasti kod takvih pacijenata.</w:t>
      </w:r>
    </w:p>
    <w:p w14:paraId="2A7A6CEF" w14:textId="77777777" w:rsidR="0087318B" w:rsidRDefault="0087318B" w:rsidP="00A66F57">
      <w:pPr>
        <w:shd w:val="clear" w:color="auto" w:fill="FFFFFF"/>
        <w:tabs>
          <w:tab w:val="left" w:pos="284"/>
        </w:tabs>
        <w:jc w:val="both"/>
        <w:rPr>
          <w:color w:val="000000"/>
          <w:sz w:val="22"/>
          <w:szCs w:val="22"/>
          <w:u w:val="single"/>
          <w:lang w:val="sr-Latn-ME"/>
        </w:rPr>
      </w:pPr>
    </w:p>
    <w:p w14:paraId="1C5B1CF4" w14:textId="193BE986"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Primarni hiperaldosteronizam</w:t>
      </w:r>
    </w:p>
    <w:p w14:paraId="37A5BC2D" w14:textId="48B49510"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Pacijenti sa primarnim hiperaldosteronizmom ne treba da se liječe lijekom Co-Diovan, jer njihov renin-angiotenzin sistem nije aktiviran.</w:t>
      </w:r>
    </w:p>
    <w:p w14:paraId="0875891A" w14:textId="77777777" w:rsidR="0087318B" w:rsidRDefault="0087318B" w:rsidP="00A66F57">
      <w:pPr>
        <w:shd w:val="clear" w:color="auto" w:fill="FFFFFF"/>
        <w:tabs>
          <w:tab w:val="left" w:pos="284"/>
        </w:tabs>
        <w:jc w:val="both"/>
        <w:rPr>
          <w:color w:val="000000"/>
          <w:sz w:val="22"/>
          <w:szCs w:val="22"/>
          <w:u w:val="single"/>
          <w:lang w:val="sr-Latn-ME"/>
        </w:rPr>
      </w:pPr>
    </w:p>
    <w:p w14:paraId="6C30CAB5" w14:textId="3E9C2CF5"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Stenoza aortnog i mitralnog zaliska, opstruktivna hipertrofična kardiomiopatija</w:t>
      </w:r>
    </w:p>
    <w:p w14:paraId="26DD8315" w14:textId="30114B2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Kao i sa svim ostalim </w:t>
      </w:r>
      <w:proofErr w:type="spellStart"/>
      <w:r w:rsidRPr="0087318B">
        <w:rPr>
          <w:color w:val="000000"/>
          <w:sz w:val="22"/>
          <w:szCs w:val="22"/>
          <w:lang w:val="sr-Latn-ME"/>
        </w:rPr>
        <w:t>vazodilatatorima</w:t>
      </w:r>
      <w:proofErr w:type="spellEnd"/>
      <w:r w:rsidRPr="0087318B">
        <w:rPr>
          <w:color w:val="000000"/>
          <w:sz w:val="22"/>
          <w:szCs w:val="22"/>
          <w:lang w:val="sr-Latn-ME"/>
        </w:rPr>
        <w:t>, potreban je poseban oprez kod pacijenata koji boluju od aortne ili mitralne stenoze, ili od opstruktivne hipertrofične kardiomiopatije.</w:t>
      </w:r>
    </w:p>
    <w:p w14:paraId="0C04D84B" w14:textId="77777777" w:rsidR="0087318B" w:rsidRDefault="0087318B" w:rsidP="00A66F57">
      <w:pPr>
        <w:shd w:val="clear" w:color="auto" w:fill="FFFFFF"/>
        <w:tabs>
          <w:tab w:val="left" w:pos="284"/>
        </w:tabs>
        <w:jc w:val="both"/>
        <w:rPr>
          <w:color w:val="000000"/>
          <w:sz w:val="22"/>
          <w:szCs w:val="22"/>
          <w:u w:val="single"/>
          <w:lang w:val="sr-Latn-ME"/>
        </w:rPr>
      </w:pPr>
    </w:p>
    <w:p w14:paraId="1AFA83E3" w14:textId="3694F842"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Oštećenje funkcije bubrega</w:t>
      </w:r>
    </w:p>
    <w:p w14:paraId="17A26B57" w14:textId="0B621524"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Nije neophodno prilagođavanje doze kod pacijenata sa bubrežnim poremećajem sa klirensom kreatinina ≥ 30 </w:t>
      </w:r>
      <w:r w:rsidR="00FA2D3F">
        <w:rPr>
          <w:color w:val="000000"/>
          <w:sz w:val="22"/>
          <w:szCs w:val="22"/>
          <w:lang w:val="sr-Latn-ME"/>
        </w:rPr>
        <w:t>ml</w:t>
      </w:r>
      <w:r w:rsidRPr="0087318B">
        <w:rPr>
          <w:color w:val="000000"/>
          <w:sz w:val="22"/>
          <w:szCs w:val="22"/>
          <w:lang w:val="sr-Latn-ME"/>
        </w:rPr>
        <w:t>/min (</w:t>
      </w:r>
      <w:r w:rsidR="003B0E37" w:rsidRPr="0087318B">
        <w:rPr>
          <w:color w:val="000000"/>
          <w:sz w:val="22"/>
          <w:szCs w:val="22"/>
          <w:lang w:val="sr-Latn-ME"/>
        </w:rPr>
        <w:t>vidjeti</w:t>
      </w:r>
      <w:r w:rsidRPr="0087318B">
        <w:rPr>
          <w:color w:val="000000"/>
          <w:sz w:val="22"/>
          <w:szCs w:val="22"/>
          <w:lang w:val="sr-Latn-ME"/>
        </w:rPr>
        <w:t xml:space="preserve"> </w:t>
      </w:r>
      <w:r w:rsidR="003B0E37" w:rsidRPr="0087318B">
        <w:rPr>
          <w:color w:val="000000"/>
          <w:sz w:val="22"/>
          <w:szCs w:val="22"/>
          <w:lang w:val="sr-Latn-ME"/>
        </w:rPr>
        <w:t>dio</w:t>
      </w:r>
      <w:r w:rsidRPr="0087318B">
        <w:rPr>
          <w:color w:val="000000"/>
          <w:sz w:val="22"/>
          <w:szCs w:val="22"/>
          <w:lang w:val="sr-Latn-ME"/>
        </w:rPr>
        <w:t xml:space="preserve"> 4.2). Kada se Co-Diovan koristi kod pacijenata sa oštećenjem bubrega preporučuje se periodično praćenje koncentracije kalijuma, kreatinina i mokraćne kiseline u serumu. </w:t>
      </w:r>
    </w:p>
    <w:p w14:paraId="02E8B746" w14:textId="77777777" w:rsidR="0087318B" w:rsidRDefault="0087318B" w:rsidP="00A66F57">
      <w:pPr>
        <w:shd w:val="clear" w:color="auto" w:fill="FFFFFF"/>
        <w:tabs>
          <w:tab w:val="left" w:pos="284"/>
        </w:tabs>
        <w:jc w:val="both"/>
        <w:rPr>
          <w:color w:val="000000"/>
          <w:sz w:val="22"/>
          <w:szCs w:val="22"/>
          <w:u w:val="single"/>
          <w:lang w:val="sr-Latn-ME"/>
        </w:rPr>
      </w:pPr>
    </w:p>
    <w:p w14:paraId="4CFCB435" w14:textId="76D2753E"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Transplantacija bubrega</w:t>
      </w:r>
    </w:p>
    <w:p w14:paraId="159A39A9" w14:textId="40BDB7B8"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Trenutno nema iskustava o bezb</w:t>
      </w:r>
      <w:r w:rsidR="008E519A">
        <w:rPr>
          <w:color w:val="000000"/>
          <w:sz w:val="22"/>
          <w:szCs w:val="22"/>
          <w:lang w:val="sr-Latn-ME"/>
        </w:rPr>
        <w:t>j</w:t>
      </w:r>
      <w:r w:rsidRPr="0087318B">
        <w:rPr>
          <w:color w:val="000000"/>
          <w:sz w:val="22"/>
          <w:szCs w:val="22"/>
          <w:lang w:val="sr-Latn-ME"/>
        </w:rPr>
        <w:t xml:space="preserve">ednosti </w:t>
      </w:r>
      <w:r w:rsidR="009C4DAA">
        <w:rPr>
          <w:color w:val="000000"/>
          <w:sz w:val="22"/>
          <w:szCs w:val="22"/>
          <w:lang w:val="sr-Latn-ME"/>
        </w:rPr>
        <w:t>primjene</w:t>
      </w:r>
      <w:r w:rsidRPr="0087318B">
        <w:rPr>
          <w:color w:val="000000"/>
          <w:sz w:val="22"/>
          <w:szCs w:val="22"/>
          <w:lang w:val="sr-Latn-ME"/>
        </w:rPr>
        <w:t xml:space="preserve"> </w:t>
      </w:r>
      <w:r w:rsidR="009C4DAA">
        <w:rPr>
          <w:color w:val="000000"/>
          <w:sz w:val="22"/>
          <w:szCs w:val="22"/>
          <w:lang w:val="sr-Latn-ME"/>
        </w:rPr>
        <w:t>lijeka</w:t>
      </w:r>
      <w:r w:rsidRPr="0087318B">
        <w:rPr>
          <w:color w:val="000000"/>
          <w:sz w:val="22"/>
          <w:szCs w:val="22"/>
          <w:lang w:val="sr-Latn-ME"/>
        </w:rPr>
        <w:t xml:space="preserve"> </w:t>
      </w:r>
      <w:proofErr w:type="spellStart"/>
      <w:r w:rsidRPr="0087318B">
        <w:rPr>
          <w:color w:val="000000"/>
          <w:sz w:val="22"/>
          <w:szCs w:val="22"/>
          <w:lang w:val="sr-Latn-ME"/>
        </w:rPr>
        <w:t>Co-Diovan</w:t>
      </w:r>
      <w:proofErr w:type="spellEnd"/>
      <w:r w:rsidRPr="0087318B">
        <w:rPr>
          <w:color w:val="000000"/>
          <w:sz w:val="22"/>
          <w:szCs w:val="22"/>
          <w:lang w:val="sr-Latn-ME"/>
        </w:rPr>
        <w:t xml:space="preserve"> kod pacijenata kod kojih je nedavno obavljena transplantacija bubrega.</w:t>
      </w:r>
    </w:p>
    <w:p w14:paraId="5E253B9B" w14:textId="77777777" w:rsidR="0087318B" w:rsidRDefault="0087318B" w:rsidP="00A66F57">
      <w:pPr>
        <w:shd w:val="clear" w:color="auto" w:fill="FFFFFF"/>
        <w:tabs>
          <w:tab w:val="left" w:pos="284"/>
        </w:tabs>
        <w:jc w:val="both"/>
        <w:rPr>
          <w:color w:val="000000"/>
          <w:sz w:val="22"/>
          <w:szCs w:val="22"/>
          <w:u w:val="single"/>
          <w:lang w:val="sr-Latn-ME"/>
        </w:rPr>
      </w:pPr>
    </w:p>
    <w:p w14:paraId="0A28187F" w14:textId="0494DE6A"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Oštećenje</w:t>
      </w:r>
      <w:r w:rsidRPr="0087318B">
        <w:rPr>
          <w:sz w:val="22"/>
          <w:szCs w:val="22"/>
          <w:u w:val="single"/>
          <w:lang w:val="sr-Latn-ME"/>
        </w:rPr>
        <w:t xml:space="preserve"> j</w:t>
      </w:r>
      <w:r w:rsidRPr="0087318B">
        <w:rPr>
          <w:color w:val="000000"/>
          <w:sz w:val="22"/>
          <w:szCs w:val="22"/>
          <w:u w:val="single"/>
          <w:lang w:val="sr-Latn-ME"/>
        </w:rPr>
        <w:t>etre</w:t>
      </w:r>
    </w:p>
    <w:p w14:paraId="3F40641A" w14:textId="70628056"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Kod pacijenata sa blagim do umjerenim oštećenjem jetre bez holestaze Co-Diovan treba primjenjivati oprezno (vidjeti </w:t>
      </w:r>
      <w:r w:rsidR="00C81D72">
        <w:rPr>
          <w:color w:val="000000"/>
          <w:sz w:val="22"/>
          <w:szCs w:val="22"/>
          <w:lang w:val="sr-Latn-ME"/>
        </w:rPr>
        <w:t>djelove</w:t>
      </w:r>
      <w:r w:rsidRPr="0087318B">
        <w:rPr>
          <w:color w:val="000000"/>
          <w:sz w:val="22"/>
          <w:szCs w:val="22"/>
          <w:lang w:val="sr-Latn-ME"/>
        </w:rPr>
        <w:t xml:space="preserve"> 4.2 i 5.2.). Tiazide treba oprezno primjenjivati kod pacijenata sa oštećenom funkcijom jetre ili progresivnom bolešću jetre, jer manje prom</w:t>
      </w:r>
      <w:r w:rsidR="009C4DAA">
        <w:rPr>
          <w:color w:val="000000"/>
          <w:sz w:val="22"/>
          <w:szCs w:val="22"/>
          <w:lang w:val="sr-Latn-ME"/>
        </w:rPr>
        <w:t>j</w:t>
      </w:r>
      <w:r w:rsidRPr="0087318B">
        <w:rPr>
          <w:color w:val="000000"/>
          <w:sz w:val="22"/>
          <w:szCs w:val="22"/>
          <w:lang w:val="sr-Latn-ME"/>
        </w:rPr>
        <w:t>ene u ravnoteži vode i elektrolita mogu dovesti do hepatične kome.</w:t>
      </w:r>
    </w:p>
    <w:p w14:paraId="10242E2D" w14:textId="77777777" w:rsidR="0087318B" w:rsidRDefault="0087318B" w:rsidP="00A66F57">
      <w:pPr>
        <w:shd w:val="clear" w:color="auto" w:fill="FFFFFF"/>
        <w:tabs>
          <w:tab w:val="left" w:pos="284"/>
        </w:tabs>
        <w:jc w:val="both"/>
        <w:rPr>
          <w:color w:val="000000"/>
          <w:sz w:val="22"/>
          <w:szCs w:val="22"/>
          <w:u w:val="single"/>
          <w:lang w:val="sr-Latn-ME"/>
        </w:rPr>
      </w:pPr>
    </w:p>
    <w:p w14:paraId="244D1A7B" w14:textId="07E25003"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Angioedem u anamnezi</w:t>
      </w:r>
    </w:p>
    <w:p w14:paraId="3CFD9CC7" w14:textId="4FF731A9"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Kod pacijenata liječenih valsartanom prijavljen je angioedem, uključujući oticanje larinksa i glotisa, koji uzrokuje opstrukciju disajnih puteva i/ili oticanje lica, usana, </w:t>
      </w:r>
      <w:proofErr w:type="spellStart"/>
      <w:r w:rsidRPr="0087318B">
        <w:rPr>
          <w:color w:val="000000"/>
          <w:sz w:val="22"/>
          <w:szCs w:val="22"/>
          <w:lang w:val="sr-Latn-ME"/>
        </w:rPr>
        <w:t>ždrela</w:t>
      </w:r>
      <w:proofErr w:type="spellEnd"/>
      <w:r w:rsidRPr="0087318B">
        <w:rPr>
          <w:color w:val="000000"/>
          <w:sz w:val="22"/>
          <w:szCs w:val="22"/>
          <w:lang w:val="sr-Latn-ME"/>
        </w:rPr>
        <w:t xml:space="preserve">, i/ili jezika; neki od ovih pacijenata su prethodno imali angioedem primjenom drugih ljekova, uključujući ACE inhibitore. Primjenu lijeka Co-Diovan treba odmah prekinuti kod pacijenata kod kojih se razvije angioedem, i lijek Co-Diovan se ne smije ponovo uzimati (vidjeti </w:t>
      </w:r>
      <w:r w:rsidR="00C81D72">
        <w:rPr>
          <w:color w:val="000000"/>
          <w:sz w:val="22"/>
          <w:szCs w:val="22"/>
          <w:lang w:val="sr-Latn-ME"/>
        </w:rPr>
        <w:t>dio</w:t>
      </w:r>
      <w:r w:rsidRPr="0087318B">
        <w:rPr>
          <w:color w:val="000000"/>
          <w:sz w:val="22"/>
          <w:szCs w:val="22"/>
          <w:lang w:val="sr-Latn-ME"/>
        </w:rPr>
        <w:t xml:space="preserve"> 4.8). </w:t>
      </w:r>
    </w:p>
    <w:p w14:paraId="71CD2A33" w14:textId="77777777" w:rsidR="0087318B" w:rsidRDefault="0087318B" w:rsidP="00A66F57">
      <w:pPr>
        <w:shd w:val="clear" w:color="auto" w:fill="FFFFFF"/>
        <w:tabs>
          <w:tab w:val="left" w:pos="284"/>
        </w:tabs>
        <w:jc w:val="both"/>
        <w:rPr>
          <w:color w:val="000000"/>
          <w:sz w:val="22"/>
          <w:szCs w:val="22"/>
          <w:u w:val="single"/>
          <w:lang w:val="sr-Latn-ME"/>
        </w:rPr>
      </w:pPr>
    </w:p>
    <w:p w14:paraId="68744BB1" w14:textId="193A6F51"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Sistemski lupus eritematozus</w:t>
      </w:r>
    </w:p>
    <w:p w14:paraId="5088B77E" w14:textId="04B7E5E1"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Za tiazidne diuretike, uključujući hidrohlortiazid, opisano je da pogoršavaju ili aktiviraju sistemski lupus eritematozus.</w:t>
      </w:r>
    </w:p>
    <w:p w14:paraId="707B5CBD" w14:textId="77777777" w:rsidR="008C67C3" w:rsidRDefault="008C67C3" w:rsidP="00A66F57">
      <w:pPr>
        <w:shd w:val="clear" w:color="auto" w:fill="FFFFFF"/>
        <w:tabs>
          <w:tab w:val="left" w:pos="284"/>
        </w:tabs>
        <w:jc w:val="both"/>
        <w:rPr>
          <w:color w:val="000000"/>
          <w:sz w:val="22"/>
          <w:szCs w:val="22"/>
          <w:u w:val="single"/>
          <w:lang w:val="sr-Latn-ME"/>
        </w:rPr>
      </w:pPr>
    </w:p>
    <w:p w14:paraId="7BD354C4" w14:textId="3F6A8408"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lastRenderedPageBreak/>
        <w:t>Drugi metabolički poremećaji</w:t>
      </w:r>
    </w:p>
    <w:p w14:paraId="7567E61A" w14:textId="416B5CE8"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Tiazidni diuretici, uključujući hidrohlortiazid, mogu da izmijene toleranciju na glukozu i povećaju koncentraciju holesterola, triglicerida i mokraćne kiseline u serumu. Kod pacijenata sa dijabetes melitusom može biti potrebno prilagođavanje doze insulina ili oralnih hipoglikemijskih ljekova.</w:t>
      </w:r>
    </w:p>
    <w:p w14:paraId="2DF359E0" w14:textId="6B9BA259"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Tiazidi mogu smanjiti izlučivanje kalcijuma mokraćom i prouzrokovati povremena i blaga povećanja kalcijuma u serumu iako </w:t>
      </w:r>
      <w:r w:rsidR="00C81D72">
        <w:rPr>
          <w:color w:val="000000"/>
          <w:sz w:val="22"/>
          <w:szCs w:val="22"/>
          <w:lang w:val="sr-Latn-ME"/>
        </w:rPr>
        <w:t>nijesu</w:t>
      </w:r>
      <w:r w:rsidRPr="0087318B">
        <w:rPr>
          <w:color w:val="000000"/>
          <w:sz w:val="22"/>
          <w:szCs w:val="22"/>
          <w:lang w:val="sr-Latn-ME"/>
        </w:rPr>
        <w:t xml:space="preserve"> prisutni poznati poremećaji metabolizma kalcijuma. Značajna hiperkalcijemija može biti dokaz postojećeg hiperparatireoidizma. Primjenu tiazida treba prekinuti prije izvođenja testova za ispitivanje funkcije paratireoidne žl</w:t>
      </w:r>
      <w:r w:rsidR="008D041F">
        <w:rPr>
          <w:color w:val="000000"/>
          <w:sz w:val="22"/>
          <w:szCs w:val="22"/>
          <w:lang w:val="sr-Latn-ME"/>
        </w:rPr>
        <w:t>ij</w:t>
      </w:r>
      <w:r w:rsidRPr="0087318B">
        <w:rPr>
          <w:color w:val="000000"/>
          <w:sz w:val="22"/>
          <w:szCs w:val="22"/>
          <w:lang w:val="sr-Latn-ME"/>
        </w:rPr>
        <w:t>ezde.</w:t>
      </w:r>
    </w:p>
    <w:p w14:paraId="63260A1C" w14:textId="77777777" w:rsidR="0087318B" w:rsidRDefault="0087318B" w:rsidP="00A66F57">
      <w:pPr>
        <w:shd w:val="clear" w:color="auto" w:fill="FFFFFF"/>
        <w:tabs>
          <w:tab w:val="left" w:pos="284"/>
        </w:tabs>
        <w:jc w:val="both"/>
        <w:rPr>
          <w:color w:val="000000"/>
          <w:sz w:val="22"/>
          <w:szCs w:val="22"/>
          <w:u w:val="single"/>
          <w:lang w:val="sr-Latn-ME"/>
        </w:rPr>
      </w:pPr>
    </w:p>
    <w:p w14:paraId="6BCBA58A" w14:textId="738C29A1"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Fotosenzitivnost</w:t>
      </w:r>
    </w:p>
    <w:p w14:paraId="7E9A7DB0" w14:textId="76A77A75"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Zabilježeni su slučajevi fotosenzitivnih reakcija sa tiazidnim diureticima (vidjeti </w:t>
      </w:r>
      <w:r w:rsidR="00C81D72">
        <w:rPr>
          <w:color w:val="000000"/>
          <w:sz w:val="22"/>
          <w:szCs w:val="22"/>
          <w:lang w:val="sr-Latn-ME"/>
        </w:rPr>
        <w:t>dio</w:t>
      </w:r>
      <w:r w:rsidRPr="0087318B">
        <w:rPr>
          <w:color w:val="000000"/>
          <w:sz w:val="22"/>
          <w:szCs w:val="22"/>
          <w:lang w:val="sr-Latn-ME"/>
        </w:rPr>
        <w:t xml:space="preserve"> 4.8). Ako se tokom liječenja jave fotosenzitivne reakcije, preporučuje se prekidanje terapije. Ako se ponovna primjena diuretika smatra neophodnom, potrebno je zaštiti</w:t>
      </w:r>
      <w:r w:rsidR="00985242">
        <w:rPr>
          <w:color w:val="000000"/>
          <w:sz w:val="22"/>
          <w:szCs w:val="22"/>
          <w:lang w:val="sr-Latn-ME"/>
        </w:rPr>
        <w:t>ti</w:t>
      </w:r>
      <w:r w:rsidRPr="0087318B">
        <w:rPr>
          <w:color w:val="000000"/>
          <w:sz w:val="22"/>
          <w:szCs w:val="22"/>
          <w:lang w:val="sr-Latn-ME"/>
        </w:rPr>
        <w:t xml:space="preserve"> izložena područja od sunca ili v</w:t>
      </w:r>
      <w:r w:rsidR="00577E12">
        <w:rPr>
          <w:color w:val="000000"/>
          <w:sz w:val="22"/>
          <w:szCs w:val="22"/>
          <w:lang w:val="sr-Latn-ME"/>
        </w:rPr>
        <w:t>j</w:t>
      </w:r>
      <w:r w:rsidRPr="0087318B">
        <w:rPr>
          <w:color w:val="000000"/>
          <w:sz w:val="22"/>
          <w:szCs w:val="22"/>
          <w:lang w:val="sr-Latn-ME"/>
        </w:rPr>
        <w:t>eštačkog UVA zračenja.</w:t>
      </w:r>
    </w:p>
    <w:p w14:paraId="4C8E8C46" w14:textId="77777777" w:rsidR="0087318B" w:rsidRDefault="0087318B" w:rsidP="00A66F57">
      <w:pPr>
        <w:shd w:val="clear" w:color="auto" w:fill="FFFFFF"/>
        <w:tabs>
          <w:tab w:val="left" w:pos="284"/>
        </w:tabs>
        <w:jc w:val="both"/>
        <w:rPr>
          <w:color w:val="000000"/>
          <w:sz w:val="22"/>
          <w:szCs w:val="22"/>
          <w:u w:val="single"/>
          <w:lang w:val="sr-Latn-ME"/>
        </w:rPr>
      </w:pPr>
    </w:p>
    <w:p w14:paraId="07D4D223" w14:textId="5C9B4AB9"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Trudnoća</w:t>
      </w:r>
    </w:p>
    <w:p w14:paraId="0A8E2C4F" w14:textId="1F5E4F7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Primjena antagonista angiotenzin II receptora (AIIRA-</w:t>
      </w:r>
      <w:r w:rsidRPr="0087318B">
        <w:rPr>
          <w:i/>
          <w:color w:val="000000"/>
          <w:sz w:val="22"/>
          <w:szCs w:val="22"/>
          <w:lang w:val="sr-Latn-ME"/>
        </w:rPr>
        <w:t>engl</w:t>
      </w:r>
      <w:r w:rsidRPr="0087318B">
        <w:rPr>
          <w:color w:val="000000"/>
          <w:sz w:val="22"/>
          <w:szCs w:val="22"/>
          <w:lang w:val="sr-Latn-ME"/>
        </w:rPr>
        <w:t xml:space="preserve">. Angiotensin II receptor antagonists) ne smije se započeti tokom trudnoće. Ukoliko se nastavak terapije AIIRA smatra neophodnim, pacijentkinje koje planiraju trudnoću treba prebaciti na alternativnu antihipertenzivnu terapiju koja ima utvrđen bezbjednosni profil za primjenu u trudnoći. Kada se trudnoća utvrdi, liječenje AIIRA treba odmah prekinuti i, ako je adekvatno, započeti alternativnu terapiju (vidjeti </w:t>
      </w:r>
      <w:r w:rsidR="00C81D72">
        <w:rPr>
          <w:color w:val="000000"/>
          <w:sz w:val="22"/>
          <w:szCs w:val="22"/>
          <w:lang w:val="sr-Latn-ME"/>
        </w:rPr>
        <w:t>djelove</w:t>
      </w:r>
      <w:r w:rsidRPr="0087318B">
        <w:rPr>
          <w:color w:val="000000"/>
          <w:sz w:val="22"/>
          <w:szCs w:val="22"/>
          <w:lang w:val="sr-Latn-ME"/>
        </w:rPr>
        <w:t xml:space="preserve"> 4.3 i 4.6).</w:t>
      </w:r>
    </w:p>
    <w:p w14:paraId="357869D2" w14:textId="77777777" w:rsidR="0087318B" w:rsidRDefault="0087318B" w:rsidP="00A66F57">
      <w:pPr>
        <w:shd w:val="clear" w:color="auto" w:fill="FFFFFF"/>
        <w:tabs>
          <w:tab w:val="left" w:pos="284"/>
        </w:tabs>
        <w:jc w:val="both"/>
        <w:rPr>
          <w:color w:val="000000"/>
          <w:sz w:val="22"/>
          <w:szCs w:val="22"/>
          <w:u w:val="single"/>
          <w:lang w:val="sr-Latn-ME"/>
        </w:rPr>
      </w:pPr>
    </w:p>
    <w:p w14:paraId="0B4690E5" w14:textId="27885D84"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Opšte</w:t>
      </w:r>
    </w:p>
    <w:p w14:paraId="2D314B87"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Potreban je oprez kod pacijenata koji su već bili preosjetljivi na druge antagoniste angiotenzin II receptora.</w:t>
      </w:r>
    </w:p>
    <w:p w14:paraId="572B4592" w14:textId="0A8DC4B9"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Reakcije preosjetljivosti na hidrohlortiazid su vjerovatnije kod pacijenata sa alergijom i astmom.</w:t>
      </w:r>
    </w:p>
    <w:p w14:paraId="390BA3D6" w14:textId="77777777" w:rsidR="0087318B" w:rsidRDefault="0087318B" w:rsidP="00A66F57">
      <w:pPr>
        <w:shd w:val="clear" w:color="auto" w:fill="FFFFFF"/>
        <w:tabs>
          <w:tab w:val="left" w:pos="284"/>
        </w:tabs>
        <w:jc w:val="both"/>
        <w:rPr>
          <w:color w:val="000000"/>
          <w:sz w:val="22"/>
          <w:szCs w:val="22"/>
          <w:u w:val="single"/>
          <w:lang w:val="sr-Latn-ME"/>
        </w:rPr>
      </w:pPr>
    </w:p>
    <w:p w14:paraId="3218CF7A" w14:textId="571E1B56"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Horoidalna efuzija, akutna miopija ili akutni glaukom zatvorenog ugla</w:t>
      </w:r>
    </w:p>
    <w:p w14:paraId="7CDC4233" w14:textId="4D087204"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Primjena hidrohlortiazida, koji spada u sulfonamide, je povezana sa idiosinkratskom reakcijom koja dovodi do horoidalne efuzije uz oštećenje vidnog polja, akutne prolazne miopije i akutnog glaukoma zatvorenog ugla. Simptomi uključuju akutno nastalo smanjenje oštrine vida ili bol u očima i obično nastaju nekoliko sati do nekoliko nedjelja nakon uvođenja lijeka. Neliječen akutni glaukom zatvorenog ugla može dovesti do trajnog gubitka vida.</w:t>
      </w:r>
    </w:p>
    <w:p w14:paraId="28E4984A" w14:textId="0B89A44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Primarno liječenje je prekid terapije hidrohlortiazidom, što je prije moguće. Ukoliko intraokularni pritisak ostane nekontrolisan, trebalo bi razmotriti hitno medicinsko ili hirurško liječenje. Faktori rizika za pojavu akutnog glaukoma zatvorenog ugla mogu biti  alergija na sulfonamide ili penicilin u anamnezi.</w:t>
      </w:r>
    </w:p>
    <w:p w14:paraId="630FBEC2" w14:textId="77777777" w:rsidR="0087318B" w:rsidRDefault="0087318B" w:rsidP="00A66F57">
      <w:pPr>
        <w:shd w:val="clear" w:color="auto" w:fill="FFFFFF"/>
        <w:tabs>
          <w:tab w:val="left" w:pos="284"/>
        </w:tabs>
        <w:jc w:val="both"/>
        <w:rPr>
          <w:color w:val="000000"/>
          <w:sz w:val="22"/>
          <w:szCs w:val="22"/>
          <w:u w:val="single"/>
          <w:lang w:val="sr-Latn-ME"/>
        </w:rPr>
      </w:pPr>
    </w:p>
    <w:p w14:paraId="102868A9" w14:textId="232BD178" w:rsidR="00D836EE" w:rsidRPr="0087318B" w:rsidRDefault="00D836EE" w:rsidP="00A66F57">
      <w:pPr>
        <w:shd w:val="clear" w:color="auto" w:fill="FFFFFF"/>
        <w:tabs>
          <w:tab w:val="left" w:pos="284"/>
        </w:tabs>
        <w:jc w:val="both"/>
        <w:rPr>
          <w:color w:val="000000"/>
          <w:sz w:val="22"/>
          <w:szCs w:val="22"/>
          <w:u w:val="single"/>
          <w:lang w:val="sr-Latn-ME"/>
        </w:rPr>
      </w:pPr>
      <w:r w:rsidRPr="0087318B">
        <w:rPr>
          <w:color w:val="000000"/>
          <w:sz w:val="22"/>
          <w:szCs w:val="22"/>
          <w:u w:val="single"/>
          <w:lang w:val="sr-Latn-ME"/>
        </w:rPr>
        <w:t>Dvostruka blokada sistema renin-angiotenzin-aldosteron (RAAS)</w:t>
      </w:r>
    </w:p>
    <w:p w14:paraId="7943C893" w14:textId="063399D1"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Postoje dokazi da istovremena </w:t>
      </w:r>
      <w:r w:rsidR="009C4DAA">
        <w:rPr>
          <w:color w:val="000000"/>
          <w:sz w:val="22"/>
          <w:szCs w:val="22"/>
          <w:lang w:val="sr-Latn-ME"/>
        </w:rPr>
        <w:t>primjena</w:t>
      </w:r>
      <w:r w:rsidRPr="0087318B">
        <w:rPr>
          <w:color w:val="000000"/>
          <w:sz w:val="22"/>
          <w:szCs w:val="22"/>
          <w:lang w:val="sr-Latn-ME"/>
        </w:rPr>
        <w:t xml:space="preserve"> ACE inhibitora, blokatora angiotenzin II receptora ili aliskirena povećava rizik od hipotenzije, hiperkalijemije, i smanjenja bubrežne funkcije (uključujući akutnu bubrežnu insuficijenciju). Zbog toga se ne preporučuje dvostruka blokada sistema renin-angiotenzin-aldosteron kombinacijom ACE inhibitora, blokatora angiotenzinskih receptora tipa II (ARB) ili </w:t>
      </w:r>
      <w:proofErr w:type="spellStart"/>
      <w:r w:rsidRPr="0087318B">
        <w:rPr>
          <w:color w:val="000000"/>
          <w:sz w:val="22"/>
          <w:szCs w:val="22"/>
          <w:lang w:val="sr-Latn-ME"/>
        </w:rPr>
        <w:t>aliskirena</w:t>
      </w:r>
      <w:proofErr w:type="spellEnd"/>
      <w:r w:rsidRPr="0087318B">
        <w:rPr>
          <w:color w:val="000000"/>
          <w:sz w:val="22"/>
          <w:szCs w:val="22"/>
          <w:lang w:val="sr-Latn-ME"/>
        </w:rPr>
        <w:t xml:space="preserve"> (</w:t>
      </w:r>
      <w:r w:rsidR="003B0E37" w:rsidRPr="0087318B">
        <w:rPr>
          <w:color w:val="000000"/>
          <w:sz w:val="22"/>
          <w:szCs w:val="22"/>
          <w:lang w:val="sr-Latn-ME"/>
        </w:rPr>
        <w:t>vidjeti</w:t>
      </w:r>
      <w:r w:rsidRPr="0087318B">
        <w:rPr>
          <w:color w:val="000000"/>
          <w:sz w:val="22"/>
          <w:szCs w:val="22"/>
          <w:lang w:val="sr-Latn-ME"/>
        </w:rPr>
        <w:t xml:space="preserve"> </w:t>
      </w:r>
      <w:r w:rsidR="003B0E37" w:rsidRPr="0087318B">
        <w:rPr>
          <w:color w:val="000000"/>
          <w:sz w:val="22"/>
          <w:szCs w:val="22"/>
          <w:lang w:val="sr-Latn-ME"/>
        </w:rPr>
        <w:t>djelove</w:t>
      </w:r>
      <w:r w:rsidRPr="0087318B">
        <w:rPr>
          <w:color w:val="000000"/>
          <w:sz w:val="22"/>
          <w:szCs w:val="22"/>
          <w:lang w:val="sr-Latn-ME"/>
        </w:rPr>
        <w:t xml:space="preserve"> 4.5 i 5.1). Ukoliko se smatra da je terapija „dvostrukom blokadom“ neophodna, ona se mora sprovoditi samo pod nadzorom specijaliste i sa učestalim praćenjem renalne funkcije, elektrolita i krvnog pritiska.</w:t>
      </w:r>
    </w:p>
    <w:p w14:paraId="38729D8C"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ACE inhibitore i blokatore angiotenzin II receptora ne treba istovremeno koristiti kod pacijenata sa dijabetesnom nefropatijom.</w:t>
      </w:r>
    </w:p>
    <w:p w14:paraId="08ABC986" w14:textId="77777777" w:rsidR="0087318B" w:rsidRDefault="0087318B" w:rsidP="0084780A">
      <w:pPr>
        <w:tabs>
          <w:tab w:val="left" w:pos="284"/>
        </w:tabs>
        <w:jc w:val="both"/>
        <w:rPr>
          <w:sz w:val="22"/>
          <w:szCs w:val="22"/>
          <w:u w:val="single"/>
          <w:lang w:val="sr-Latn-ME"/>
        </w:rPr>
      </w:pPr>
    </w:p>
    <w:p w14:paraId="2012DE4D" w14:textId="7D538895" w:rsidR="00D836EE" w:rsidRPr="0087318B" w:rsidRDefault="00D836EE" w:rsidP="0084780A">
      <w:pPr>
        <w:tabs>
          <w:tab w:val="left" w:pos="284"/>
        </w:tabs>
        <w:jc w:val="both"/>
        <w:rPr>
          <w:sz w:val="22"/>
          <w:szCs w:val="22"/>
          <w:u w:val="single"/>
          <w:lang w:val="sr-Latn-ME"/>
        </w:rPr>
      </w:pPr>
      <w:r w:rsidRPr="0087318B">
        <w:rPr>
          <w:sz w:val="22"/>
          <w:szCs w:val="22"/>
          <w:u w:val="single"/>
          <w:lang w:val="sr-Latn-ME"/>
        </w:rPr>
        <w:t>Nemelanomski karcinom kože</w:t>
      </w:r>
    </w:p>
    <w:p w14:paraId="4C12148B" w14:textId="7170D572" w:rsidR="00D836EE" w:rsidRPr="0087318B" w:rsidRDefault="00D836EE">
      <w:pPr>
        <w:tabs>
          <w:tab w:val="left" w:pos="284"/>
        </w:tabs>
        <w:jc w:val="both"/>
        <w:rPr>
          <w:sz w:val="22"/>
          <w:szCs w:val="22"/>
          <w:lang w:val="sr-Latn-ME"/>
        </w:rPr>
      </w:pPr>
      <w:r w:rsidRPr="0087318B">
        <w:rPr>
          <w:sz w:val="22"/>
          <w:szCs w:val="22"/>
          <w:lang w:val="sr-Latn-ME"/>
        </w:rPr>
        <w:t xml:space="preserve">Povećan rizik od nemelanomskog karcinoma kože (eng. </w:t>
      </w:r>
      <w:r w:rsidRPr="0087318B">
        <w:rPr>
          <w:i/>
          <w:sz w:val="22"/>
          <w:szCs w:val="22"/>
          <w:lang w:val="sr-Latn-ME"/>
        </w:rPr>
        <w:t>non-melanoma skin cancer</w:t>
      </w:r>
      <w:r w:rsidRPr="0087318B">
        <w:rPr>
          <w:sz w:val="22"/>
          <w:szCs w:val="22"/>
          <w:lang w:val="sr-Latn-ME"/>
        </w:rPr>
        <w:t>,</w:t>
      </w:r>
      <w:r w:rsidR="00577E12">
        <w:rPr>
          <w:sz w:val="22"/>
          <w:szCs w:val="22"/>
          <w:lang w:val="sr-Latn-ME"/>
        </w:rPr>
        <w:t xml:space="preserve"> </w:t>
      </w:r>
      <w:r w:rsidRPr="0087318B">
        <w:rPr>
          <w:sz w:val="22"/>
          <w:szCs w:val="22"/>
          <w:lang w:val="sr-Latn-ME"/>
        </w:rPr>
        <w:t>NMSC) [bazocelularni karcinom</w:t>
      </w:r>
      <w:r w:rsidRPr="0087318B">
        <w:rPr>
          <w:b/>
          <w:sz w:val="22"/>
          <w:szCs w:val="22"/>
          <w:lang w:val="sr-Latn-ME"/>
        </w:rPr>
        <w:t xml:space="preserve"> </w:t>
      </w:r>
      <w:r w:rsidRPr="0087318B">
        <w:rPr>
          <w:sz w:val="22"/>
          <w:szCs w:val="22"/>
          <w:lang w:val="sr-Latn-ME"/>
        </w:rPr>
        <w:t xml:space="preserve">(eng. </w:t>
      </w:r>
      <w:r w:rsidRPr="0087318B">
        <w:rPr>
          <w:i/>
          <w:sz w:val="22"/>
          <w:szCs w:val="22"/>
          <w:lang w:val="sr-Latn-ME"/>
        </w:rPr>
        <w:t>basal cell carcinoma</w:t>
      </w:r>
      <w:r w:rsidRPr="0087318B">
        <w:rPr>
          <w:sz w:val="22"/>
          <w:szCs w:val="22"/>
          <w:lang w:val="sr-Latn-ME"/>
        </w:rPr>
        <w:t xml:space="preserve">, BCC) i planocelularni karcinom (eng. </w:t>
      </w:r>
      <w:r w:rsidRPr="0087318B">
        <w:rPr>
          <w:i/>
          <w:sz w:val="22"/>
          <w:szCs w:val="22"/>
          <w:lang w:val="sr-Latn-ME"/>
        </w:rPr>
        <w:t>squamous cell carcinoma</w:t>
      </w:r>
      <w:r w:rsidRPr="0087318B">
        <w:rPr>
          <w:sz w:val="22"/>
          <w:szCs w:val="22"/>
          <w:lang w:val="sr-Latn-ME"/>
        </w:rPr>
        <w:t xml:space="preserve">, SCC)] kod povećane kumulativne izloženosti hidrohlortiazidu </w:t>
      </w:r>
      <w:r w:rsidR="00C81D72">
        <w:rPr>
          <w:sz w:val="22"/>
          <w:szCs w:val="22"/>
          <w:lang w:val="sr-Latn-ME"/>
        </w:rPr>
        <w:t>zabiljež</w:t>
      </w:r>
      <w:r w:rsidRPr="0087318B">
        <w:rPr>
          <w:sz w:val="22"/>
          <w:szCs w:val="22"/>
          <w:lang w:val="sr-Latn-ME"/>
        </w:rPr>
        <w:t>en je u dv</w:t>
      </w:r>
      <w:r w:rsidR="00577E12">
        <w:rPr>
          <w:sz w:val="22"/>
          <w:szCs w:val="22"/>
          <w:lang w:val="sr-Latn-ME"/>
        </w:rPr>
        <w:t>ij</w:t>
      </w:r>
      <w:r w:rsidRPr="0087318B">
        <w:rPr>
          <w:sz w:val="22"/>
          <w:szCs w:val="22"/>
          <w:lang w:val="sr-Latn-ME"/>
        </w:rPr>
        <w:t>e epidemiološke studije zasnovane na Nacionalnom registru malignih oboljenja Danske. Fotosenzitivno dejstvo hidrohlortiazida može da predstavlja mogući mehanizam za nastanak NMSC.</w:t>
      </w:r>
    </w:p>
    <w:p w14:paraId="6CAAE9B7" w14:textId="77777777" w:rsidR="00D836EE" w:rsidRPr="0087318B" w:rsidRDefault="00D836EE">
      <w:pPr>
        <w:tabs>
          <w:tab w:val="left" w:pos="284"/>
        </w:tabs>
        <w:jc w:val="both"/>
        <w:rPr>
          <w:sz w:val="22"/>
          <w:szCs w:val="22"/>
          <w:lang w:val="sr-Latn-ME"/>
        </w:rPr>
      </w:pPr>
    </w:p>
    <w:p w14:paraId="73D50DC9" w14:textId="74BE4E60" w:rsidR="00D836EE" w:rsidRPr="0087318B" w:rsidRDefault="00D836EE">
      <w:pPr>
        <w:tabs>
          <w:tab w:val="left" w:pos="284"/>
        </w:tabs>
        <w:jc w:val="both"/>
        <w:rPr>
          <w:sz w:val="22"/>
          <w:szCs w:val="22"/>
          <w:lang w:val="sr-Latn-ME"/>
        </w:rPr>
      </w:pPr>
      <w:r w:rsidRPr="0087318B">
        <w:rPr>
          <w:sz w:val="22"/>
          <w:szCs w:val="22"/>
          <w:lang w:val="sr-Latn-ME"/>
        </w:rPr>
        <w:t>Pacijente koji uzimaju hidrohlortiazid potrebno je informisati o riziku od NMSC-a i sav</w:t>
      </w:r>
      <w:r w:rsidR="009C4DAA">
        <w:rPr>
          <w:sz w:val="22"/>
          <w:szCs w:val="22"/>
          <w:lang w:val="sr-Latn-ME"/>
        </w:rPr>
        <w:t>j</w:t>
      </w:r>
      <w:r w:rsidRPr="0087318B">
        <w:rPr>
          <w:sz w:val="22"/>
          <w:szCs w:val="22"/>
          <w:lang w:val="sr-Latn-ME"/>
        </w:rPr>
        <w:t xml:space="preserve">etovati da redovno proveravaju svoju kožu kako bi se uočila pojava svake nove lezije i da hitno prijave svaku </w:t>
      </w:r>
      <w:r w:rsidRPr="0087318B">
        <w:rPr>
          <w:sz w:val="22"/>
          <w:szCs w:val="22"/>
          <w:lang w:val="sr-Latn-ME"/>
        </w:rPr>
        <w:lastRenderedPageBreak/>
        <w:t>sumnjivu leziju na koži. Pacijente treba posav</w:t>
      </w:r>
      <w:r w:rsidR="009C4DAA">
        <w:rPr>
          <w:sz w:val="22"/>
          <w:szCs w:val="22"/>
          <w:lang w:val="sr-Latn-ME"/>
        </w:rPr>
        <w:t>j</w:t>
      </w:r>
      <w:r w:rsidRPr="0087318B">
        <w:rPr>
          <w:sz w:val="22"/>
          <w:szCs w:val="22"/>
          <w:lang w:val="sr-Latn-ME"/>
        </w:rPr>
        <w:t>etovati o mogućim preventivnim m</w:t>
      </w:r>
      <w:r w:rsidR="009C4DAA">
        <w:rPr>
          <w:sz w:val="22"/>
          <w:szCs w:val="22"/>
          <w:lang w:val="sr-Latn-ME"/>
        </w:rPr>
        <w:t>j</w:t>
      </w:r>
      <w:r w:rsidRPr="0087318B">
        <w:rPr>
          <w:sz w:val="22"/>
          <w:szCs w:val="22"/>
          <w:lang w:val="sr-Latn-ME"/>
        </w:rPr>
        <w:t>erama, kao što je ograničena izloženost sunčevoj sv</w:t>
      </w:r>
      <w:r w:rsidR="009C4DAA">
        <w:rPr>
          <w:sz w:val="22"/>
          <w:szCs w:val="22"/>
          <w:lang w:val="sr-Latn-ME"/>
        </w:rPr>
        <w:t>ij</w:t>
      </w:r>
      <w:r w:rsidRPr="0087318B">
        <w:rPr>
          <w:sz w:val="22"/>
          <w:szCs w:val="22"/>
          <w:lang w:val="sr-Latn-ME"/>
        </w:rPr>
        <w:t xml:space="preserve">etlosti i UV zracima i, u slučaju izloženosti, korišćenje odgovarajuće zaštite, radi minimiziranja rizika od karcinoma kože. Sumnjive lezije na koži potrebno je hitno pregledati, potencijalno uključujući histološke preglede uzorka dobijenog biopsijom. Takođe može da bude potrebno da se razmotri opravdanost </w:t>
      </w:r>
      <w:r w:rsidR="009C4DAA">
        <w:rPr>
          <w:sz w:val="22"/>
          <w:szCs w:val="22"/>
          <w:lang w:val="sr-Latn-ME"/>
        </w:rPr>
        <w:t>primjene</w:t>
      </w:r>
      <w:r w:rsidRPr="0087318B">
        <w:rPr>
          <w:sz w:val="22"/>
          <w:szCs w:val="22"/>
          <w:lang w:val="sr-Latn-ME"/>
        </w:rPr>
        <w:t xml:space="preserve"> hidrohlortiazida kod pacijenata koji su ranije imali NMSC (takođe </w:t>
      </w:r>
      <w:r w:rsidR="003B0E37" w:rsidRPr="0087318B">
        <w:rPr>
          <w:sz w:val="22"/>
          <w:szCs w:val="22"/>
          <w:lang w:val="sr-Latn-ME"/>
        </w:rPr>
        <w:t>vidjeti</w:t>
      </w:r>
      <w:r w:rsidRPr="0087318B">
        <w:rPr>
          <w:sz w:val="22"/>
          <w:szCs w:val="22"/>
          <w:lang w:val="sr-Latn-ME"/>
        </w:rPr>
        <w:t xml:space="preserve"> </w:t>
      </w:r>
      <w:r w:rsidR="003B0E37" w:rsidRPr="0087318B">
        <w:rPr>
          <w:sz w:val="22"/>
          <w:szCs w:val="22"/>
          <w:lang w:val="sr-Latn-ME"/>
        </w:rPr>
        <w:t>dio</w:t>
      </w:r>
      <w:r w:rsidRPr="0087318B">
        <w:rPr>
          <w:sz w:val="22"/>
          <w:szCs w:val="22"/>
          <w:lang w:val="sr-Latn-ME"/>
        </w:rPr>
        <w:t xml:space="preserve"> 4.8).</w:t>
      </w:r>
    </w:p>
    <w:p w14:paraId="7FFCDA65" w14:textId="77777777" w:rsidR="00057E35" w:rsidRPr="0087318B" w:rsidRDefault="00057E35" w:rsidP="00A66F57">
      <w:pPr>
        <w:tabs>
          <w:tab w:val="left" w:pos="540"/>
          <w:tab w:val="left" w:pos="569"/>
        </w:tabs>
        <w:jc w:val="both"/>
        <w:rPr>
          <w:bCs/>
          <w:sz w:val="22"/>
          <w:szCs w:val="22"/>
          <w:lang w:val="sr-Latn-ME"/>
        </w:rPr>
      </w:pPr>
    </w:p>
    <w:p w14:paraId="1D30A2EF" w14:textId="77777777" w:rsidR="00D836EE" w:rsidRPr="00A66F57" w:rsidRDefault="00D836EE" w:rsidP="00A66F57">
      <w:pPr>
        <w:tabs>
          <w:tab w:val="center" w:pos="4536"/>
          <w:tab w:val="right" w:pos="9072"/>
        </w:tabs>
        <w:jc w:val="both"/>
        <w:rPr>
          <w:sz w:val="22"/>
          <w:szCs w:val="22"/>
          <w:u w:val="single"/>
          <w:lang w:val="sr-Latn-ME"/>
        </w:rPr>
      </w:pPr>
      <w:r w:rsidRPr="00A66F57">
        <w:rPr>
          <w:sz w:val="22"/>
          <w:szCs w:val="22"/>
          <w:u w:val="single"/>
          <w:lang w:val="sr-Latn-ME"/>
        </w:rPr>
        <w:t>Akutna respiratorna toksičnost</w:t>
      </w:r>
    </w:p>
    <w:p w14:paraId="6DE772D4" w14:textId="5FEF162E" w:rsidR="00D836EE" w:rsidRPr="0087318B" w:rsidRDefault="00D836EE" w:rsidP="00A66F57">
      <w:pPr>
        <w:tabs>
          <w:tab w:val="left" w:pos="284"/>
        </w:tabs>
        <w:jc w:val="both"/>
        <w:rPr>
          <w:sz w:val="22"/>
          <w:szCs w:val="22"/>
          <w:lang w:val="sr-Latn-ME"/>
        </w:rPr>
      </w:pPr>
      <w:r w:rsidRPr="0087318B">
        <w:rPr>
          <w:sz w:val="22"/>
          <w:szCs w:val="22"/>
          <w:lang w:val="sr-Latn-ME"/>
        </w:rPr>
        <w:t>Veoma rijetki teški slučajevi akutne respiratorne toksičnosti, uključujući akutni respiratorni distres sindrom (ARDS) su prijavljeni nakon uzimanja hidrohlortiazida. Plućni edem se obično razvija u roku od nekoliko minuta do sati nakon uzimanja hidrohlortiazida. Na početku simptomi uključuju dispneju, groznicu, pogoršanje plućne funkcije i hipotenziju. Ako se sumnja na ARDS, lijek Co-Diovan treba povući i primijeniti odgovarajuću terapiju. Hidrohlortiazid ne treba davati pacijentima koji su prethodno imali ARDS nakon uzimanja hidrohlortiazida.</w:t>
      </w:r>
    </w:p>
    <w:p w14:paraId="61F8BA78" w14:textId="77777777" w:rsidR="00D836EE" w:rsidRPr="0087318B" w:rsidRDefault="00D836EE" w:rsidP="00A66F57">
      <w:pPr>
        <w:tabs>
          <w:tab w:val="left" w:pos="540"/>
          <w:tab w:val="left" w:pos="569"/>
        </w:tabs>
        <w:jc w:val="both"/>
        <w:rPr>
          <w:bCs/>
          <w:sz w:val="22"/>
          <w:szCs w:val="22"/>
          <w:lang w:val="sr-Latn-ME"/>
        </w:rPr>
      </w:pPr>
    </w:p>
    <w:p w14:paraId="22535BCA" w14:textId="5B37B08E" w:rsidR="00411B4B" w:rsidRPr="0087318B" w:rsidRDefault="00411B4B" w:rsidP="00A66F57">
      <w:pPr>
        <w:tabs>
          <w:tab w:val="left" w:pos="540"/>
          <w:tab w:val="left" w:pos="569"/>
        </w:tabs>
        <w:jc w:val="both"/>
        <w:rPr>
          <w:b/>
          <w:bCs/>
          <w:sz w:val="22"/>
          <w:szCs w:val="22"/>
          <w:lang w:val="sr-Latn-ME"/>
        </w:rPr>
      </w:pPr>
      <w:r w:rsidRPr="0087318B">
        <w:rPr>
          <w:b/>
          <w:bCs/>
          <w:sz w:val="22"/>
          <w:szCs w:val="22"/>
          <w:lang w:val="sr-Latn-ME"/>
        </w:rPr>
        <w:t>4.5.</w:t>
      </w:r>
      <w:r w:rsidR="000D60CC" w:rsidRPr="0087318B">
        <w:rPr>
          <w:b/>
          <w:bCs/>
          <w:sz w:val="22"/>
          <w:szCs w:val="22"/>
          <w:lang w:val="sr-Latn-ME"/>
        </w:rPr>
        <w:tab/>
      </w:r>
      <w:r w:rsidRPr="0087318B">
        <w:rPr>
          <w:b/>
          <w:bCs/>
          <w:sz w:val="22"/>
          <w:szCs w:val="22"/>
          <w:lang w:val="sr-Latn-ME"/>
        </w:rPr>
        <w:t>Interakcije sa drugim ljekovima i druge vrste interakcija</w:t>
      </w:r>
    </w:p>
    <w:p w14:paraId="5E51578A" w14:textId="77777777" w:rsidR="00D836EE" w:rsidRPr="0087318B" w:rsidRDefault="00D836EE" w:rsidP="00A66F57">
      <w:pPr>
        <w:shd w:val="clear" w:color="auto" w:fill="FFFFFF"/>
        <w:tabs>
          <w:tab w:val="left" w:pos="284"/>
        </w:tabs>
        <w:jc w:val="both"/>
        <w:rPr>
          <w:sz w:val="22"/>
          <w:szCs w:val="22"/>
          <w:u w:val="single"/>
          <w:lang w:val="sr-Latn-ME"/>
        </w:rPr>
      </w:pPr>
    </w:p>
    <w:p w14:paraId="63A2C01E" w14:textId="288E98E1" w:rsidR="00D836EE" w:rsidRPr="00A66F57" w:rsidRDefault="00D836EE" w:rsidP="00A66F57">
      <w:pPr>
        <w:shd w:val="clear" w:color="auto" w:fill="FFFFFF"/>
        <w:tabs>
          <w:tab w:val="left" w:pos="284"/>
        </w:tabs>
        <w:jc w:val="both"/>
        <w:rPr>
          <w:b/>
          <w:i/>
          <w:sz w:val="22"/>
          <w:szCs w:val="22"/>
          <w:u w:val="single"/>
          <w:lang w:val="sr-Latn-ME"/>
        </w:rPr>
      </w:pPr>
      <w:r w:rsidRPr="00A66F57">
        <w:rPr>
          <w:b/>
          <w:i/>
          <w:sz w:val="22"/>
          <w:szCs w:val="22"/>
          <w:u w:val="single"/>
          <w:lang w:val="sr-Latn-ME"/>
        </w:rPr>
        <w:t>Interakcije povezane i sa valsartanom i sa hidrohlortiazidom</w:t>
      </w:r>
    </w:p>
    <w:p w14:paraId="15CC9668" w14:textId="77777777" w:rsidR="0087318B" w:rsidRDefault="0087318B" w:rsidP="00A66F57">
      <w:pPr>
        <w:shd w:val="clear" w:color="auto" w:fill="FFFFFF"/>
        <w:tabs>
          <w:tab w:val="left" w:pos="284"/>
        </w:tabs>
        <w:jc w:val="both"/>
        <w:rPr>
          <w:i/>
          <w:sz w:val="22"/>
          <w:szCs w:val="22"/>
          <w:u w:val="single"/>
          <w:lang w:val="sr-Latn-ME"/>
        </w:rPr>
      </w:pPr>
    </w:p>
    <w:p w14:paraId="75B11DD4" w14:textId="3F2BFE6E"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t>Ne preporučuje se istovremena primjena</w:t>
      </w:r>
    </w:p>
    <w:p w14:paraId="5638EAC8" w14:textId="77777777" w:rsidR="0087318B" w:rsidRDefault="0087318B" w:rsidP="00A66F57">
      <w:pPr>
        <w:shd w:val="clear" w:color="auto" w:fill="FFFFFF"/>
        <w:tabs>
          <w:tab w:val="left" w:pos="284"/>
        </w:tabs>
        <w:jc w:val="both"/>
        <w:rPr>
          <w:i/>
          <w:sz w:val="22"/>
          <w:szCs w:val="22"/>
          <w:lang w:val="sr-Latn-ME"/>
        </w:rPr>
      </w:pPr>
    </w:p>
    <w:p w14:paraId="26D2538A" w14:textId="45F4AA5F"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 xml:space="preserve">Litijum </w:t>
      </w:r>
    </w:p>
    <w:p w14:paraId="6DDBA2FB" w14:textId="10B95EA4" w:rsidR="00D836EE" w:rsidRPr="0087318B" w:rsidRDefault="00D836EE" w:rsidP="00A66F57">
      <w:pPr>
        <w:shd w:val="clear" w:color="auto" w:fill="FFFFFF"/>
        <w:tabs>
          <w:tab w:val="left" w:pos="284"/>
        </w:tabs>
        <w:jc w:val="both"/>
        <w:rPr>
          <w:sz w:val="22"/>
          <w:szCs w:val="22"/>
          <w:lang w:val="sr-Latn-ME"/>
        </w:rPr>
      </w:pPr>
      <w:r w:rsidRPr="0087318B">
        <w:rPr>
          <w:color w:val="000000"/>
          <w:sz w:val="22"/>
          <w:szCs w:val="22"/>
          <w:lang w:val="sr-Latn-ME"/>
        </w:rPr>
        <w:t xml:space="preserve">Opisivana su reverzibilna povećanja serumskih koncentracija i toksičnosti litijuma za vrijeme </w:t>
      </w:r>
      <w:r w:rsidRPr="0087318B">
        <w:rPr>
          <w:sz w:val="22"/>
          <w:szCs w:val="22"/>
          <w:lang w:val="sr-Latn-ME"/>
        </w:rPr>
        <w:t>istovremene primjene litijuma sa ACE inhibitorima,</w:t>
      </w:r>
      <w:r w:rsidRPr="0087318B">
        <w:rPr>
          <w:color w:val="000000"/>
          <w:sz w:val="22"/>
          <w:szCs w:val="22"/>
          <w:lang w:val="sr-Latn-ME"/>
        </w:rPr>
        <w:t xml:space="preserve"> blokatorima angiotenzinskih receptora tipa II</w:t>
      </w:r>
      <w:r w:rsidRPr="0087318B">
        <w:rPr>
          <w:sz w:val="22"/>
          <w:szCs w:val="22"/>
          <w:lang w:val="sr-Latn-ME"/>
        </w:rPr>
        <w:t xml:space="preserve"> ili tiazidima, uključujući  hidrohlortiazid. Kako tiazidi smanjuju bubrežni klirens litijuma, pretpostavlja se da će se rizik od intoksikacije litijumom dodatno povećati sa lijekom Co-Diovan. </w:t>
      </w:r>
      <w:r w:rsidRPr="0087318B">
        <w:rPr>
          <w:color w:val="000000"/>
          <w:sz w:val="22"/>
          <w:szCs w:val="22"/>
          <w:lang w:val="sr-Latn-ME"/>
        </w:rPr>
        <w:t xml:space="preserve">Ako je kombinacija neophodna </w:t>
      </w:r>
      <w:r w:rsidRPr="0087318B">
        <w:rPr>
          <w:sz w:val="22"/>
          <w:szCs w:val="22"/>
          <w:lang w:val="sr-Latn-ME"/>
        </w:rPr>
        <w:t xml:space="preserve"> preporučuje se pažljivo kontrolisanje serumskih koncentracija litijuma. </w:t>
      </w:r>
    </w:p>
    <w:p w14:paraId="5D9A9D67" w14:textId="77777777" w:rsidR="0087318B" w:rsidRDefault="0087318B" w:rsidP="00A66F57">
      <w:pPr>
        <w:shd w:val="clear" w:color="auto" w:fill="FFFFFF"/>
        <w:tabs>
          <w:tab w:val="left" w:pos="284"/>
        </w:tabs>
        <w:jc w:val="both"/>
        <w:rPr>
          <w:i/>
          <w:sz w:val="22"/>
          <w:szCs w:val="22"/>
          <w:u w:val="single"/>
          <w:lang w:val="sr-Latn-ME"/>
        </w:rPr>
      </w:pPr>
    </w:p>
    <w:p w14:paraId="1E086CD3" w14:textId="2BEDD1E9"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t>Istovremena primjena koja zahteva oprez</w:t>
      </w:r>
    </w:p>
    <w:p w14:paraId="4C415653" w14:textId="77777777" w:rsidR="0087318B" w:rsidRDefault="0087318B" w:rsidP="00A66F57">
      <w:pPr>
        <w:tabs>
          <w:tab w:val="left" w:pos="540"/>
          <w:tab w:val="left" w:pos="569"/>
        </w:tabs>
        <w:jc w:val="both"/>
        <w:rPr>
          <w:i/>
          <w:sz w:val="22"/>
          <w:szCs w:val="22"/>
          <w:lang w:val="sr-Latn-ME"/>
        </w:rPr>
      </w:pPr>
    </w:p>
    <w:p w14:paraId="72F51B0A" w14:textId="2F117850" w:rsidR="0072020E" w:rsidRPr="0087318B" w:rsidRDefault="00D836EE" w:rsidP="00A66F57">
      <w:pPr>
        <w:tabs>
          <w:tab w:val="left" w:pos="540"/>
          <w:tab w:val="left" w:pos="569"/>
        </w:tabs>
        <w:jc w:val="both"/>
        <w:rPr>
          <w:i/>
          <w:sz w:val="22"/>
          <w:szCs w:val="22"/>
          <w:lang w:val="sr-Latn-ME"/>
        </w:rPr>
      </w:pPr>
      <w:r w:rsidRPr="0087318B">
        <w:rPr>
          <w:i/>
          <w:sz w:val="22"/>
          <w:szCs w:val="22"/>
          <w:lang w:val="sr-Latn-ME"/>
        </w:rPr>
        <w:t>Ostali antihipertenzivi</w:t>
      </w:r>
    </w:p>
    <w:p w14:paraId="58211085" w14:textId="37DB6263"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Co-Diovan može pojačati dejstvo drugih antihipertenzivnih ljekova (npr. gvanetidin, metildopa, vazodilatatori. ACE inhibitori, blokatori angiotenzin II receptora, beta blokatori, blokatori kalcijumovih kanala, direktni inhibitori renina ).</w:t>
      </w:r>
    </w:p>
    <w:p w14:paraId="04E3BE87" w14:textId="77777777" w:rsidR="0087318B" w:rsidRDefault="0087318B" w:rsidP="00A66F57">
      <w:pPr>
        <w:shd w:val="clear" w:color="auto" w:fill="FFFFFF"/>
        <w:tabs>
          <w:tab w:val="left" w:pos="284"/>
        </w:tabs>
        <w:jc w:val="both"/>
        <w:rPr>
          <w:i/>
          <w:sz w:val="22"/>
          <w:szCs w:val="22"/>
          <w:lang w:val="sr-Latn-ME"/>
        </w:rPr>
      </w:pPr>
    </w:p>
    <w:p w14:paraId="16F3FFDC" w14:textId="47A20526" w:rsidR="0084780A" w:rsidRPr="0087318B" w:rsidRDefault="00D836EE" w:rsidP="00A66F57">
      <w:pPr>
        <w:shd w:val="clear" w:color="auto" w:fill="FFFFFF"/>
        <w:tabs>
          <w:tab w:val="left" w:pos="284"/>
        </w:tabs>
        <w:jc w:val="both"/>
        <w:rPr>
          <w:sz w:val="22"/>
          <w:szCs w:val="22"/>
          <w:lang w:val="sr-Latn-ME"/>
        </w:rPr>
      </w:pPr>
      <w:r w:rsidRPr="0087318B">
        <w:rPr>
          <w:i/>
          <w:sz w:val="22"/>
          <w:szCs w:val="22"/>
          <w:lang w:val="sr-Latn-ME"/>
        </w:rPr>
        <w:t>Presorni amini</w:t>
      </w:r>
      <w:r w:rsidRPr="0087318B">
        <w:rPr>
          <w:sz w:val="22"/>
          <w:szCs w:val="22"/>
          <w:lang w:val="sr-Latn-ME"/>
        </w:rPr>
        <w:t xml:space="preserve"> (npr. noradrenalin, adrenalin)</w:t>
      </w:r>
    </w:p>
    <w:p w14:paraId="62E354FD" w14:textId="3673E3B9"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Moguć je smanjeni odgovor na presorne amine. Klinički značaj ovog efekta nije izvjestan i nije dovoljan da se isključi njihova primjena.</w:t>
      </w:r>
    </w:p>
    <w:p w14:paraId="63EA41AB" w14:textId="77777777" w:rsidR="0087318B" w:rsidRDefault="0087318B" w:rsidP="00A66F57">
      <w:pPr>
        <w:shd w:val="clear" w:color="auto" w:fill="FFFFFF"/>
        <w:tabs>
          <w:tab w:val="left" w:pos="284"/>
        </w:tabs>
        <w:jc w:val="both"/>
        <w:rPr>
          <w:i/>
          <w:sz w:val="22"/>
          <w:szCs w:val="22"/>
          <w:lang w:val="sr-Latn-ME"/>
        </w:rPr>
      </w:pPr>
    </w:p>
    <w:p w14:paraId="203C709F" w14:textId="3D20B2F4" w:rsidR="0084780A" w:rsidRPr="0087318B" w:rsidRDefault="00D836EE" w:rsidP="00A66F57">
      <w:pPr>
        <w:shd w:val="clear" w:color="auto" w:fill="FFFFFF"/>
        <w:tabs>
          <w:tab w:val="left" w:pos="284"/>
        </w:tabs>
        <w:jc w:val="both"/>
        <w:rPr>
          <w:sz w:val="22"/>
          <w:szCs w:val="22"/>
          <w:lang w:val="sr-Latn-ME"/>
        </w:rPr>
      </w:pPr>
      <w:r w:rsidRPr="0087318B">
        <w:rPr>
          <w:i/>
          <w:sz w:val="22"/>
          <w:szCs w:val="22"/>
          <w:lang w:val="sr-Latn-ME"/>
        </w:rPr>
        <w:t>Nesteroidni anti-inflamatorni ljekovi (NSAIL), uključujući selektivne COX-2 inhibitore, acetilsalicilnu kiselinu (&gt;3g/dan) i neselektivne NSAIL-e</w:t>
      </w:r>
    </w:p>
    <w:p w14:paraId="2DA284AE" w14:textId="33BC388C"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NSAIL-i mogu smanjiti antihipertenzivno d</w:t>
      </w:r>
      <w:r w:rsidR="008D041F">
        <w:rPr>
          <w:sz w:val="22"/>
          <w:szCs w:val="22"/>
          <w:lang w:val="sr-Latn-ME"/>
        </w:rPr>
        <w:t>j</w:t>
      </w:r>
      <w:r w:rsidRPr="0087318B">
        <w:rPr>
          <w:sz w:val="22"/>
          <w:szCs w:val="22"/>
          <w:lang w:val="sr-Latn-ME"/>
        </w:rPr>
        <w:t>elovanje i antagonista angiotenzina II i hidrohlortiazida kada se istovremeno primjenjuju. Osim toga, istovremena primjena lijeka Co-Diovan i NSAIL-a može povećati rizik od pogoršanja bubrežne funkcije i dovesti do porasta kalijuma u serumu. Stoga se preporučuje praćenje bubrežne funkcije na početku liječenja, kao i odgovarajuća hidratacija pacijenta.</w:t>
      </w:r>
    </w:p>
    <w:p w14:paraId="6DEA92DC" w14:textId="77777777" w:rsidR="0087318B" w:rsidRDefault="0087318B" w:rsidP="00A66F57">
      <w:pPr>
        <w:shd w:val="clear" w:color="auto" w:fill="FFFFFF"/>
        <w:tabs>
          <w:tab w:val="left" w:pos="284"/>
        </w:tabs>
        <w:jc w:val="both"/>
        <w:rPr>
          <w:sz w:val="22"/>
          <w:szCs w:val="22"/>
          <w:u w:val="single"/>
          <w:lang w:val="sr-Latn-ME"/>
        </w:rPr>
      </w:pPr>
    </w:p>
    <w:p w14:paraId="4EC8C57A" w14:textId="52965FEB" w:rsidR="00D836EE" w:rsidRPr="00A66F57" w:rsidRDefault="00D836EE" w:rsidP="00A66F57">
      <w:pPr>
        <w:shd w:val="clear" w:color="auto" w:fill="FFFFFF"/>
        <w:tabs>
          <w:tab w:val="left" w:pos="284"/>
        </w:tabs>
        <w:jc w:val="both"/>
        <w:rPr>
          <w:b/>
          <w:i/>
          <w:sz w:val="22"/>
          <w:szCs w:val="22"/>
          <w:u w:val="single"/>
          <w:lang w:val="sr-Latn-ME"/>
        </w:rPr>
      </w:pPr>
      <w:r w:rsidRPr="00A66F57">
        <w:rPr>
          <w:b/>
          <w:i/>
          <w:sz w:val="22"/>
          <w:szCs w:val="22"/>
          <w:u w:val="single"/>
          <w:lang w:val="sr-Latn-ME"/>
        </w:rPr>
        <w:t>Interakcije povezane sa valsartanom</w:t>
      </w:r>
    </w:p>
    <w:p w14:paraId="4D0C83BA" w14:textId="77777777" w:rsidR="00A91997" w:rsidRDefault="00A91997" w:rsidP="00A66F57">
      <w:pPr>
        <w:shd w:val="clear" w:color="auto" w:fill="FFFFFF"/>
        <w:tabs>
          <w:tab w:val="left" w:pos="284"/>
        </w:tabs>
        <w:jc w:val="both"/>
        <w:rPr>
          <w:i/>
          <w:sz w:val="22"/>
          <w:szCs w:val="22"/>
          <w:u w:val="single"/>
          <w:lang w:val="sr-Latn-ME"/>
        </w:rPr>
      </w:pPr>
    </w:p>
    <w:p w14:paraId="074CB0FD" w14:textId="3DA3B967"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t>Dvostruka blokada sistema renin-angiotenzin-aldosteron (RAAS) sa ARB, ACEI ili aliskirenom</w:t>
      </w:r>
    </w:p>
    <w:p w14:paraId="242EA152" w14:textId="2DD3E11E" w:rsidR="00D836EE" w:rsidRPr="0087318B" w:rsidRDefault="00D836EE" w:rsidP="00A66F57">
      <w:pPr>
        <w:shd w:val="clear" w:color="auto" w:fill="FFFFFF"/>
        <w:tabs>
          <w:tab w:val="left" w:pos="284"/>
        </w:tabs>
        <w:jc w:val="both"/>
        <w:rPr>
          <w:i/>
          <w:sz w:val="22"/>
          <w:szCs w:val="22"/>
          <w:u w:val="single"/>
          <w:lang w:val="sr-Latn-ME"/>
        </w:rPr>
      </w:pPr>
      <w:r w:rsidRPr="0087318B">
        <w:rPr>
          <w:color w:val="000000"/>
          <w:sz w:val="22"/>
          <w:szCs w:val="22"/>
          <w:lang w:val="sr-Latn-ME"/>
        </w:rPr>
        <w:t xml:space="preserve">Podaci iz kliničkih ispitivanja su pokazali da je dvostruka blokada sistema renin-angiotenzin-aldosteron usled kombinovane </w:t>
      </w:r>
      <w:r w:rsidR="009C4DAA">
        <w:rPr>
          <w:color w:val="000000"/>
          <w:sz w:val="22"/>
          <w:szCs w:val="22"/>
          <w:lang w:val="sr-Latn-ME"/>
        </w:rPr>
        <w:t>primjene</w:t>
      </w:r>
      <w:r w:rsidRPr="0087318B">
        <w:rPr>
          <w:color w:val="000000"/>
          <w:sz w:val="22"/>
          <w:szCs w:val="22"/>
          <w:lang w:val="sr-Latn-ME"/>
        </w:rPr>
        <w:t xml:space="preserve"> ACE inhibitora, blokatora angiotenzin II receptora ili aliskirena, povezana sa višom učestalošću neželjenih događaja kao što su hipotenzija, hiperkalijemija i smanjena renalna funkcija (uključujući akutnu bubrežnu insuficijenciju), u poređenju sa upotrebom jednog </w:t>
      </w:r>
      <w:r w:rsidR="009C4DAA">
        <w:rPr>
          <w:color w:val="000000"/>
          <w:sz w:val="22"/>
          <w:szCs w:val="22"/>
          <w:lang w:val="sr-Latn-ME"/>
        </w:rPr>
        <w:t>lijeka</w:t>
      </w:r>
      <w:r w:rsidRPr="0087318B">
        <w:rPr>
          <w:color w:val="000000"/>
          <w:sz w:val="22"/>
          <w:szCs w:val="22"/>
          <w:lang w:val="sr-Latn-ME"/>
        </w:rPr>
        <w:t xml:space="preserve"> koji d</w:t>
      </w:r>
      <w:r w:rsidR="00D9745C">
        <w:rPr>
          <w:color w:val="000000"/>
          <w:sz w:val="22"/>
          <w:szCs w:val="22"/>
          <w:lang w:val="sr-Latn-ME"/>
        </w:rPr>
        <w:t>j</w:t>
      </w:r>
      <w:r w:rsidRPr="0087318B">
        <w:rPr>
          <w:color w:val="000000"/>
          <w:sz w:val="22"/>
          <w:szCs w:val="22"/>
          <w:lang w:val="sr-Latn-ME"/>
        </w:rPr>
        <w:t>eluje na RAAS (</w:t>
      </w:r>
      <w:r w:rsidR="003B0E37" w:rsidRPr="0087318B">
        <w:rPr>
          <w:color w:val="000000"/>
          <w:sz w:val="22"/>
          <w:szCs w:val="22"/>
          <w:lang w:val="sr-Latn-ME"/>
        </w:rPr>
        <w:t>vidjeti</w:t>
      </w:r>
      <w:r w:rsidRPr="0087318B">
        <w:rPr>
          <w:color w:val="000000"/>
          <w:sz w:val="22"/>
          <w:szCs w:val="22"/>
          <w:lang w:val="sr-Latn-ME"/>
        </w:rPr>
        <w:t xml:space="preserve"> </w:t>
      </w:r>
      <w:r w:rsidR="003B0E37" w:rsidRPr="0087318B">
        <w:rPr>
          <w:color w:val="000000"/>
          <w:sz w:val="22"/>
          <w:szCs w:val="22"/>
          <w:lang w:val="sr-Latn-ME"/>
        </w:rPr>
        <w:t>djelove</w:t>
      </w:r>
      <w:r w:rsidRPr="0087318B">
        <w:rPr>
          <w:color w:val="000000"/>
          <w:sz w:val="22"/>
          <w:szCs w:val="22"/>
          <w:lang w:val="sr-Latn-ME"/>
        </w:rPr>
        <w:t xml:space="preserve"> 4.3, 4.4 i 5.1).</w:t>
      </w:r>
    </w:p>
    <w:p w14:paraId="3F27003C" w14:textId="6C778BA9" w:rsidR="0087318B" w:rsidRDefault="0087318B" w:rsidP="00A66F57">
      <w:pPr>
        <w:shd w:val="clear" w:color="auto" w:fill="FFFFFF"/>
        <w:tabs>
          <w:tab w:val="left" w:pos="284"/>
        </w:tabs>
        <w:jc w:val="both"/>
        <w:rPr>
          <w:i/>
          <w:sz w:val="22"/>
          <w:szCs w:val="22"/>
          <w:u w:val="single"/>
          <w:lang w:val="sr-Latn-ME"/>
        </w:rPr>
      </w:pPr>
    </w:p>
    <w:p w14:paraId="4135BB72" w14:textId="128A5765" w:rsidR="008C67C3" w:rsidRDefault="008C67C3" w:rsidP="00A66F57">
      <w:pPr>
        <w:shd w:val="clear" w:color="auto" w:fill="FFFFFF"/>
        <w:tabs>
          <w:tab w:val="left" w:pos="284"/>
        </w:tabs>
        <w:jc w:val="both"/>
        <w:rPr>
          <w:i/>
          <w:sz w:val="22"/>
          <w:szCs w:val="22"/>
          <w:u w:val="single"/>
          <w:lang w:val="sr-Latn-ME"/>
        </w:rPr>
      </w:pPr>
    </w:p>
    <w:p w14:paraId="60477A3B" w14:textId="77777777" w:rsidR="008C67C3" w:rsidRDefault="008C67C3" w:rsidP="00A66F57">
      <w:pPr>
        <w:shd w:val="clear" w:color="auto" w:fill="FFFFFF"/>
        <w:tabs>
          <w:tab w:val="left" w:pos="284"/>
        </w:tabs>
        <w:jc w:val="both"/>
        <w:rPr>
          <w:i/>
          <w:sz w:val="22"/>
          <w:szCs w:val="22"/>
          <w:u w:val="single"/>
          <w:lang w:val="sr-Latn-ME"/>
        </w:rPr>
      </w:pPr>
    </w:p>
    <w:p w14:paraId="40699C05" w14:textId="39F67659"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lastRenderedPageBreak/>
        <w:t>Ne preporučuje se istovremena primjena</w:t>
      </w:r>
    </w:p>
    <w:p w14:paraId="601B05C1" w14:textId="77777777" w:rsidR="00A91997" w:rsidRDefault="00A91997" w:rsidP="00A66F57">
      <w:pPr>
        <w:shd w:val="clear" w:color="auto" w:fill="FFFFFF"/>
        <w:tabs>
          <w:tab w:val="left" w:pos="284"/>
        </w:tabs>
        <w:jc w:val="both"/>
        <w:rPr>
          <w:i/>
          <w:sz w:val="22"/>
          <w:szCs w:val="22"/>
          <w:lang w:val="sr-Latn-ME"/>
        </w:rPr>
      </w:pPr>
    </w:p>
    <w:p w14:paraId="6B473666" w14:textId="15746DAC" w:rsidR="00A91997" w:rsidRDefault="00D836EE" w:rsidP="00A66F57">
      <w:pPr>
        <w:shd w:val="clear" w:color="auto" w:fill="FFFFFF"/>
        <w:tabs>
          <w:tab w:val="left" w:pos="284"/>
        </w:tabs>
        <w:jc w:val="both"/>
        <w:rPr>
          <w:sz w:val="22"/>
          <w:szCs w:val="22"/>
          <w:lang w:val="sr-Latn-ME"/>
        </w:rPr>
      </w:pPr>
      <w:r w:rsidRPr="0087318B">
        <w:rPr>
          <w:i/>
          <w:sz w:val="22"/>
          <w:szCs w:val="22"/>
          <w:lang w:val="sr-Latn-ME"/>
        </w:rPr>
        <w:t>Diuretici koji štede kalijum, suplementi kalijuma, zam</w:t>
      </w:r>
      <w:r w:rsidR="00D9745C">
        <w:rPr>
          <w:i/>
          <w:sz w:val="22"/>
          <w:szCs w:val="22"/>
          <w:lang w:val="sr-Latn-ME"/>
        </w:rPr>
        <w:t>j</w:t>
      </w:r>
      <w:r w:rsidRPr="0087318B">
        <w:rPr>
          <w:i/>
          <w:sz w:val="22"/>
          <w:szCs w:val="22"/>
          <w:lang w:val="sr-Latn-ME"/>
        </w:rPr>
        <w:t>ena za so koje sadrže kalijum i ostale supstance koje mogu povećati nivo kalijuma</w:t>
      </w:r>
      <w:r w:rsidRPr="0087318B">
        <w:rPr>
          <w:sz w:val="22"/>
          <w:szCs w:val="22"/>
          <w:lang w:val="sr-Latn-ME"/>
        </w:rPr>
        <w:t xml:space="preserve">. </w:t>
      </w:r>
    </w:p>
    <w:p w14:paraId="2E934E46" w14:textId="05E5546C"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Ako se u kombinaciji s valsartanom propisuje lijek koji utiče na nivo kalijuma, savjetuje se praćenje koncentracije kalijuma u plazmi.</w:t>
      </w:r>
    </w:p>
    <w:p w14:paraId="5506E157" w14:textId="77777777" w:rsidR="00A91997" w:rsidRDefault="00A91997" w:rsidP="00A66F57">
      <w:pPr>
        <w:shd w:val="clear" w:color="auto" w:fill="FFFFFF"/>
        <w:tabs>
          <w:tab w:val="left" w:pos="284"/>
        </w:tabs>
        <w:jc w:val="both"/>
        <w:rPr>
          <w:i/>
          <w:sz w:val="22"/>
          <w:szCs w:val="22"/>
          <w:lang w:val="sr-Latn-ME"/>
        </w:rPr>
      </w:pPr>
    </w:p>
    <w:p w14:paraId="642EA0D4" w14:textId="6F1007C4"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Transporteri</w:t>
      </w:r>
    </w:p>
    <w:p w14:paraId="6BDCD734" w14:textId="264EBB2A"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 xml:space="preserve">In vitro podaci </w:t>
      </w:r>
      <w:r w:rsidRPr="0087318B">
        <w:rPr>
          <w:sz w:val="22"/>
          <w:szCs w:val="22"/>
          <w:lang w:val="sr-Latn-ME"/>
        </w:rPr>
        <w:t xml:space="preserve">ukazuju da je </w:t>
      </w:r>
      <w:proofErr w:type="spellStart"/>
      <w:r w:rsidRPr="0087318B">
        <w:rPr>
          <w:sz w:val="22"/>
          <w:szCs w:val="22"/>
          <w:lang w:val="sr-Latn-ME"/>
        </w:rPr>
        <w:t>valsartan</w:t>
      </w:r>
      <w:proofErr w:type="spellEnd"/>
      <w:r w:rsidRPr="0087318B">
        <w:rPr>
          <w:sz w:val="22"/>
          <w:szCs w:val="22"/>
          <w:lang w:val="sr-Latn-ME"/>
        </w:rPr>
        <w:t xml:space="preserve"> supstrat „</w:t>
      </w:r>
      <w:proofErr w:type="spellStart"/>
      <w:r w:rsidRPr="0087318B">
        <w:rPr>
          <w:sz w:val="22"/>
          <w:szCs w:val="22"/>
          <w:lang w:val="sr-Latn-ME"/>
        </w:rPr>
        <w:t>uptake</w:t>
      </w:r>
      <w:proofErr w:type="spellEnd"/>
      <w:r w:rsidRPr="0087318B">
        <w:rPr>
          <w:sz w:val="22"/>
          <w:szCs w:val="22"/>
          <w:lang w:val="sr-Latn-ME"/>
        </w:rPr>
        <w:t xml:space="preserve">“ OATP1B1/OATP1B3 u jetri i jetrinog efluksnog  MRP2 transportera. Klinički značaj ovih podataka je nepoznat. </w:t>
      </w:r>
      <w:proofErr w:type="spellStart"/>
      <w:r w:rsidRPr="0087318B">
        <w:rPr>
          <w:sz w:val="22"/>
          <w:szCs w:val="22"/>
          <w:lang w:val="sr-Latn-ME"/>
        </w:rPr>
        <w:t>Komedikacija</w:t>
      </w:r>
      <w:proofErr w:type="spellEnd"/>
      <w:r w:rsidRPr="0087318B">
        <w:rPr>
          <w:sz w:val="22"/>
          <w:szCs w:val="22"/>
          <w:lang w:val="sr-Latn-ME"/>
        </w:rPr>
        <w:t xml:space="preserve"> sa </w:t>
      </w:r>
      <w:proofErr w:type="spellStart"/>
      <w:r w:rsidRPr="0087318B">
        <w:rPr>
          <w:sz w:val="22"/>
          <w:szCs w:val="22"/>
          <w:lang w:val="sr-Latn-ME"/>
        </w:rPr>
        <w:t>inhibitorima</w:t>
      </w:r>
      <w:proofErr w:type="spellEnd"/>
      <w:r w:rsidRPr="0087318B">
        <w:rPr>
          <w:sz w:val="22"/>
          <w:szCs w:val="22"/>
          <w:lang w:val="sr-Latn-ME"/>
        </w:rPr>
        <w:t xml:space="preserve"> transportera (npr. rifampin, ciklosporin) ili efluksnog transportera (npr. ritonavir) može povećati sistemsku izloženost valsartanu. Primjeniti odgovarajuće mjere pri otpočinjanju ili prekidanju istovremene primjene sa tim ljekovima.</w:t>
      </w:r>
    </w:p>
    <w:p w14:paraId="7734208F" w14:textId="77777777" w:rsidR="00A91997" w:rsidRDefault="00A91997" w:rsidP="00A66F57">
      <w:pPr>
        <w:shd w:val="clear" w:color="auto" w:fill="FFFFFF"/>
        <w:tabs>
          <w:tab w:val="left" w:pos="284"/>
        </w:tabs>
        <w:jc w:val="both"/>
        <w:rPr>
          <w:i/>
          <w:sz w:val="22"/>
          <w:szCs w:val="22"/>
          <w:lang w:val="sr-Latn-ME"/>
        </w:rPr>
      </w:pPr>
    </w:p>
    <w:p w14:paraId="1238DF34" w14:textId="1CE0CD63"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Bez interakcije</w:t>
      </w:r>
    </w:p>
    <w:p w14:paraId="2AD7845D" w14:textId="74DC0F27"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Kod ispitivanja interakcija s valsartanom, </w:t>
      </w:r>
      <w:r w:rsidR="00C81D72">
        <w:rPr>
          <w:sz w:val="22"/>
          <w:szCs w:val="22"/>
          <w:lang w:val="sr-Latn-ME"/>
        </w:rPr>
        <w:t>nijesu</w:t>
      </w:r>
      <w:r w:rsidRPr="0087318B">
        <w:rPr>
          <w:sz w:val="22"/>
          <w:szCs w:val="22"/>
          <w:lang w:val="sr-Latn-ME"/>
        </w:rPr>
        <w:t xml:space="preserve"> uočene klinički značajne interakcije valsartana sa sljedećim ljekovima: cimetidin, varfarin, furosemid, digoksin, atenolol, indometacin, hidrohlortiazid, amlodipin, glibenklamid. Digoksin i indometacin mogu ući u interakciju sa hidrohlortiazidnom komponentom lijeka Co-Diovan (vidjeti interakcije povezane sa hidrohlortiazidom).</w:t>
      </w:r>
    </w:p>
    <w:p w14:paraId="31AFDA5C" w14:textId="77777777" w:rsidR="00A91997" w:rsidRDefault="00A91997" w:rsidP="00A66F57">
      <w:pPr>
        <w:shd w:val="clear" w:color="auto" w:fill="FFFFFF"/>
        <w:tabs>
          <w:tab w:val="left" w:pos="284"/>
        </w:tabs>
        <w:jc w:val="both"/>
        <w:rPr>
          <w:sz w:val="22"/>
          <w:szCs w:val="22"/>
          <w:u w:val="single"/>
          <w:lang w:val="sr-Latn-ME"/>
        </w:rPr>
      </w:pPr>
    </w:p>
    <w:p w14:paraId="28FDBFA6" w14:textId="0C947E84" w:rsidR="00D836EE" w:rsidRDefault="00D836EE" w:rsidP="00A66F57">
      <w:pPr>
        <w:shd w:val="clear" w:color="auto" w:fill="FFFFFF"/>
        <w:tabs>
          <w:tab w:val="left" w:pos="284"/>
        </w:tabs>
        <w:jc w:val="both"/>
        <w:rPr>
          <w:b/>
          <w:i/>
          <w:sz w:val="22"/>
          <w:szCs w:val="22"/>
          <w:u w:val="single"/>
          <w:lang w:val="sr-Latn-ME"/>
        </w:rPr>
      </w:pPr>
      <w:r w:rsidRPr="00A66F57">
        <w:rPr>
          <w:b/>
          <w:i/>
          <w:sz w:val="22"/>
          <w:szCs w:val="22"/>
          <w:u w:val="single"/>
          <w:lang w:val="sr-Latn-ME"/>
        </w:rPr>
        <w:t>Interakcije povezane sa hidrohlortiazidom</w:t>
      </w:r>
    </w:p>
    <w:p w14:paraId="18F3FB72" w14:textId="77777777" w:rsidR="00A91997" w:rsidRPr="00A66F57" w:rsidRDefault="00A91997" w:rsidP="00A66F57">
      <w:pPr>
        <w:shd w:val="clear" w:color="auto" w:fill="FFFFFF"/>
        <w:tabs>
          <w:tab w:val="left" w:pos="284"/>
        </w:tabs>
        <w:jc w:val="both"/>
        <w:rPr>
          <w:b/>
          <w:i/>
          <w:sz w:val="22"/>
          <w:szCs w:val="22"/>
          <w:u w:val="single"/>
          <w:lang w:val="sr-Latn-ME"/>
        </w:rPr>
      </w:pPr>
    </w:p>
    <w:p w14:paraId="29AE114F" w14:textId="77777777"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t>Istovremena primjena koja zahteva oprez</w:t>
      </w:r>
    </w:p>
    <w:p w14:paraId="60D4C840" w14:textId="77777777" w:rsidR="00A91997" w:rsidRDefault="00A91997" w:rsidP="00A66F57">
      <w:pPr>
        <w:shd w:val="clear" w:color="auto" w:fill="FFFFFF"/>
        <w:tabs>
          <w:tab w:val="left" w:pos="284"/>
        </w:tabs>
        <w:jc w:val="both"/>
        <w:rPr>
          <w:i/>
          <w:sz w:val="22"/>
          <w:szCs w:val="22"/>
          <w:lang w:val="sr-Latn-ME"/>
        </w:rPr>
      </w:pPr>
    </w:p>
    <w:p w14:paraId="15DABA8D" w14:textId="6549D0FB"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Ljekovi koji utiču na koncentraciju kalijuma u serumu</w:t>
      </w:r>
    </w:p>
    <w:p w14:paraId="03336534" w14:textId="543FA4F2"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Hipokalijemijski efekat hidrohlortiazida se može povećati istovremenom primjenom sa diureticima koji ne štede kalijum, kortikosteroidima, laksativima, ACTH, amfotericinom, karbenoksolonom, penicilinom G, salicilnom kiselinom i derivatima.</w:t>
      </w:r>
    </w:p>
    <w:p w14:paraId="65BE3549" w14:textId="6C4E38C1" w:rsidR="00D836EE" w:rsidRPr="0087318B" w:rsidRDefault="00D836EE" w:rsidP="00A66F57">
      <w:pPr>
        <w:shd w:val="clear" w:color="auto" w:fill="FFFFFF"/>
        <w:tabs>
          <w:tab w:val="left" w:pos="284"/>
        </w:tabs>
        <w:jc w:val="both"/>
        <w:rPr>
          <w:i/>
          <w:sz w:val="22"/>
          <w:szCs w:val="22"/>
          <w:lang w:val="sr-Latn-ME"/>
        </w:rPr>
      </w:pPr>
      <w:r w:rsidRPr="0087318B">
        <w:rPr>
          <w:sz w:val="22"/>
          <w:szCs w:val="22"/>
          <w:lang w:val="sr-Latn-ME"/>
        </w:rPr>
        <w:t xml:space="preserve">Ukoliko se ovi ljekovi propisuju sa kombinacijom </w:t>
      </w:r>
      <w:proofErr w:type="spellStart"/>
      <w:r w:rsidRPr="0087318B">
        <w:rPr>
          <w:sz w:val="22"/>
          <w:szCs w:val="22"/>
          <w:lang w:val="sr-Latn-ME"/>
        </w:rPr>
        <w:t>hidrohlortiazid</w:t>
      </w:r>
      <w:proofErr w:type="spellEnd"/>
      <w:r w:rsidR="00577E12">
        <w:rPr>
          <w:sz w:val="22"/>
          <w:szCs w:val="22"/>
          <w:lang w:val="sr-Latn-ME"/>
        </w:rPr>
        <w:t xml:space="preserve"> </w:t>
      </w:r>
      <w:proofErr w:type="spellStart"/>
      <w:r w:rsidRPr="0087318B">
        <w:rPr>
          <w:sz w:val="22"/>
          <w:szCs w:val="22"/>
          <w:lang w:val="sr-Latn-ME"/>
        </w:rPr>
        <w:t>valsartan</w:t>
      </w:r>
      <w:proofErr w:type="spellEnd"/>
      <w:r w:rsidRPr="0087318B">
        <w:rPr>
          <w:sz w:val="22"/>
          <w:szCs w:val="22"/>
          <w:lang w:val="sr-Latn-ME"/>
        </w:rPr>
        <w:t xml:space="preserve">, preporučuje se praćenje nivoa kalijuma u plazmi (vidjeti </w:t>
      </w:r>
      <w:r w:rsidR="00C81D72">
        <w:rPr>
          <w:sz w:val="22"/>
          <w:szCs w:val="22"/>
          <w:lang w:val="sr-Latn-ME"/>
        </w:rPr>
        <w:t>dio</w:t>
      </w:r>
      <w:r w:rsidRPr="0087318B">
        <w:rPr>
          <w:sz w:val="22"/>
          <w:szCs w:val="22"/>
          <w:lang w:val="sr-Latn-ME"/>
        </w:rPr>
        <w:t xml:space="preserve"> 4.4).</w:t>
      </w:r>
    </w:p>
    <w:p w14:paraId="2557BE7D" w14:textId="77777777" w:rsidR="00A91997" w:rsidRDefault="00A91997" w:rsidP="00A66F57">
      <w:pPr>
        <w:shd w:val="clear" w:color="auto" w:fill="FFFFFF"/>
        <w:tabs>
          <w:tab w:val="left" w:pos="284"/>
        </w:tabs>
        <w:jc w:val="both"/>
        <w:rPr>
          <w:i/>
          <w:sz w:val="22"/>
          <w:szCs w:val="22"/>
          <w:lang w:val="sr-Latn-ME"/>
        </w:rPr>
      </w:pPr>
    </w:p>
    <w:p w14:paraId="3EF2DDC3" w14:textId="2B959A93"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 xml:space="preserve">Ljekovi koji mogu izazvati „torsade de pointes“ </w:t>
      </w:r>
    </w:p>
    <w:p w14:paraId="06324714" w14:textId="318F1356"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Zbog rizika od hipokalijemije, hidrohlortiazid treba oprezno primjenjivati sa ljekovima koji mogu izazvati „torsade de pointes“, naročito antiaritmicima klase Ia i klase III i nekim </w:t>
      </w:r>
      <w:proofErr w:type="spellStart"/>
      <w:r w:rsidRPr="0087318B">
        <w:rPr>
          <w:sz w:val="22"/>
          <w:szCs w:val="22"/>
          <w:lang w:val="sr-Latn-ME"/>
        </w:rPr>
        <w:t>antipsihoticima</w:t>
      </w:r>
      <w:proofErr w:type="spellEnd"/>
      <w:r w:rsidRPr="0087318B">
        <w:rPr>
          <w:sz w:val="22"/>
          <w:szCs w:val="22"/>
          <w:lang w:val="sr-Latn-ME"/>
        </w:rPr>
        <w:t>.</w:t>
      </w:r>
    </w:p>
    <w:p w14:paraId="1CDE3758" w14:textId="77777777" w:rsidR="00A91997" w:rsidRDefault="00A91997" w:rsidP="00A66F57">
      <w:pPr>
        <w:shd w:val="clear" w:color="auto" w:fill="FFFFFF"/>
        <w:tabs>
          <w:tab w:val="left" w:pos="284"/>
        </w:tabs>
        <w:jc w:val="both"/>
        <w:rPr>
          <w:i/>
          <w:sz w:val="22"/>
          <w:szCs w:val="22"/>
          <w:lang w:val="sr-Latn-ME"/>
        </w:rPr>
      </w:pPr>
    </w:p>
    <w:p w14:paraId="51DD7772" w14:textId="676806EA"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Ljekovi koji utiču na koncentraciju natrijuma u serumu</w:t>
      </w:r>
    </w:p>
    <w:p w14:paraId="383C3E8F" w14:textId="77777777" w:rsidR="00D836EE" w:rsidRPr="0087318B" w:rsidRDefault="00D836EE" w:rsidP="00A66F57">
      <w:pPr>
        <w:shd w:val="clear" w:color="auto" w:fill="FFFFFF"/>
        <w:tabs>
          <w:tab w:val="left" w:pos="284"/>
        </w:tabs>
        <w:jc w:val="both"/>
        <w:rPr>
          <w:sz w:val="22"/>
          <w:szCs w:val="22"/>
          <w:u w:val="single"/>
          <w:lang w:val="sr-Latn-ME"/>
        </w:rPr>
      </w:pPr>
      <w:r w:rsidRPr="0087318B">
        <w:rPr>
          <w:sz w:val="22"/>
          <w:szCs w:val="22"/>
          <w:lang w:val="sr-Latn-ME"/>
        </w:rPr>
        <w:t>Hiponatrijemijski efekat diuretika može biti povećan istovremenom primjenom sa ljekovima kao što su antidepresivi, antipsihotici, antiepileptici, itd. Savjetuje se oprez pri dugotrajnoj primjeni ovih ljekova</w:t>
      </w:r>
      <w:r w:rsidRPr="0004360F">
        <w:rPr>
          <w:sz w:val="22"/>
          <w:szCs w:val="22"/>
          <w:lang w:val="sr-Latn-ME"/>
        </w:rPr>
        <w:t>.</w:t>
      </w:r>
    </w:p>
    <w:p w14:paraId="3847F48E" w14:textId="77777777" w:rsidR="00A91997" w:rsidRDefault="00A91997" w:rsidP="00A66F57">
      <w:pPr>
        <w:shd w:val="clear" w:color="auto" w:fill="FFFFFF"/>
        <w:tabs>
          <w:tab w:val="left" w:pos="284"/>
        </w:tabs>
        <w:jc w:val="both"/>
        <w:rPr>
          <w:i/>
          <w:sz w:val="22"/>
          <w:szCs w:val="22"/>
          <w:lang w:val="sr-Latn-ME"/>
        </w:rPr>
      </w:pPr>
    </w:p>
    <w:p w14:paraId="7A38CE3C" w14:textId="3A505E8C"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Glikozidi digitalisa</w:t>
      </w:r>
    </w:p>
    <w:p w14:paraId="704CCF47" w14:textId="1A12D5F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Hipokalijemija ili hipomagnezijemija nastale usljed primjene tiazida se mogu pojaviti kao neželjena dejstva koja podstiču nastajanje srčanih aritmija izazvanih digitalisom (vidjeti </w:t>
      </w:r>
      <w:r w:rsidR="00C81D72">
        <w:rPr>
          <w:color w:val="000000"/>
          <w:sz w:val="22"/>
          <w:szCs w:val="22"/>
          <w:lang w:val="sr-Latn-ME"/>
        </w:rPr>
        <w:t>dio</w:t>
      </w:r>
      <w:r w:rsidRPr="0087318B">
        <w:rPr>
          <w:color w:val="000000"/>
          <w:sz w:val="22"/>
          <w:szCs w:val="22"/>
          <w:lang w:val="sr-Latn-ME"/>
        </w:rPr>
        <w:t xml:space="preserve"> 4.4).</w:t>
      </w:r>
    </w:p>
    <w:p w14:paraId="692603AA" w14:textId="77777777" w:rsidR="00A91997" w:rsidRDefault="00A91997" w:rsidP="00A66F57">
      <w:pPr>
        <w:shd w:val="clear" w:color="auto" w:fill="FFFFFF"/>
        <w:tabs>
          <w:tab w:val="left" w:pos="284"/>
        </w:tabs>
        <w:jc w:val="both"/>
        <w:rPr>
          <w:i/>
          <w:sz w:val="22"/>
          <w:szCs w:val="22"/>
          <w:lang w:val="sr-Latn-ME"/>
        </w:rPr>
      </w:pPr>
    </w:p>
    <w:p w14:paraId="4DB8BDD2" w14:textId="659D933A"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Kalcijumove soli i vitamin D</w:t>
      </w:r>
    </w:p>
    <w:p w14:paraId="4356F1D6" w14:textId="18B2F0D0"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Primjena tiazidnih diuretika, uključujući hidrohlortiazid, sa vitaminom D ili solima kalcijuma može da potencira povećanje serumskog kalcijuma. Istovremena primjena tiazidnih diuretika sa solima kalcijuma može izazvati hiperkalcijemiju kod pacijenata predisponiranih za hiperkalcijemiju (npr. hiperparatireoidizam, </w:t>
      </w:r>
      <w:proofErr w:type="spellStart"/>
      <w:r w:rsidRPr="0087318B">
        <w:rPr>
          <w:color w:val="000000"/>
          <w:sz w:val="22"/>
          <w:szCs w:val="22"/>
          <w:lang w:val="sr-Latn-ME"/>
        </w:rPr>
        <w:t>maligniteti</w:t>
      </w:r>
      <w:proofErr w:type="spellEnd"/>
      <w:r w:rsidRPr="0087318B">
        <w:rPr>
          <w:color w:val="000000"/>
          <w:sz w:val="22"/>
          <w:szCs w:val="22"/>
          <w:lang w:val="sr-Latn-ME"/>
        </w:rPr>
        <w:t xml:space="preserve"> ili vitaminom</w:t>
      </w:r>
      <w:r w:rsidR="001861A3">
        <w:rPr>
          <w:color w:val="000000"/>
          <w:sz w:val="22"/>
          <w:szCs w:val="22"/>
          <w:lang w:val="sr-Latn-ME"/>
        </w:rPr>
        <w:t xml:space="preserve"> </w:t>
      </w:r>
      <w:r w:rsidRPr="0087318B">
        <w:rPr>
          <w:color w:val="000000"/>
          <w:sz w:val="22"/>
          <w:szCs w:val="22"/>
          <w:lang w:val="sr-Latn-ME"/>
        </w:rPr>
        <w:t>D posredovana stanja) povećanjem tubularne reapsorpcije kalcijuma.</w:t>
      </w:r>
    </w:p>
    <w:p w14:paraId="798882B1" w14:textId="77777777" w:rsidR="00D836EE" w:rsidRPr="0087318B" w:rsidRDefault="00D836EE" w:rsidP="00A66F57">
      <w:pPr>
        <w:tabs>
          <w:tab w:val="left" w:pos="284"/>
        </w:tabs>
        <w:jc w:val="both"/>
        <w:rPr>
          <w:i/>
          <w:color w:val="000000"/>
          <w:sz w:val="22"/>
          <w:szCs w:val="22"/>
          <w:lang w:val="sr-Latn-ME"/>
        </w:rPr>
      </w:pPr>
    </w:p>
    <w:p w14:paraId="050ACC58"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Antidijabetici (oralni ljekovi i insulin)</w:t>
      </w:r>
    </w:p>
    <w:p w14:paraId="0A4E122E" w14:textId="77777777"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Liječenje tiazidom može uticati na toleranciju glukoze. Može biti potrebno prilagođavanje doze antidijabetika.</w:t>
      </w:r>
    </w:p>
    <w:p w14:paraId="701C29C0" w14:textId="11EB094B"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Metformin treba oprezno primjenjivati zbog rizika od laktatne acidoze izazvane mogućom funkcionalnom insuficijencijom bubrega povezanom sa hidrohlortiazidom.</w:t>
      </w:r>
    </w:p>
    <w:p w14:paraId="037AB00D" w14:textId="5E74BE25" w:rsidR="00D836EE" w:rsidRDefault="00D836EE" w:rsidP="00A66F57">
      <w:pPr>
        <w:tabs>
          <w:tab w:val="left" w:pos="284"/>
        </w:tabs>
        <w:jc w:val="both"/>
        <w:rPr>
          <w:color w:val="000000"/>
          <w:sz w:val="22"/>
          <w:szCs w:val="22"/>
          <w:lang w:val="sr-Latn-ME"/>
        </w:rPr>
      </w:pPr>
    </w:p>
    <w:p w14:paraId="3FAF752C" w14:textId="77777777" w:rsidR="008C67C3" w:rsidRPr="0087318B" w:rsidRDefault="008C67C3" w:rsidP="00A66F57">
      <w:pPr>
        <w:tabs>
          <w:tab w:val="left" w:pos="284"/>
        </w:tabs>
        <w:jc w:val="both"/>
        <w:rPr>
          <w:color w:val="000000"/>
          <w:sz w:val="22"/>
          <w:szCs w:val="22"/>
          <w:lang w:val="sr-Latn-ME"/>
        </w:rPr>
      </w:pPr>
    </w:p>
    <w:p w14:paraId="14C09B99"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lastRenderedPageBreak/>
        <w:t>Beta blokatori i diazoksid</w:t>
      </w:r>
    </w:p>
    <w:p w14:paraId="3C1DEAE3" w14:textId="6D3D1E0C"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Istovremena primjena tiazidnih diuretika, uključujući hidrohlortiazid, sa beta-blokatorima može povećati rizik od hiperglikemije. Tiazidni diuretici, uključujući </w:t>
      </w:r>
      <w:r w:rsidR="0084780A" w:rsidRPr="0087318B">
        <w:rPr>
          <w:color w:val="000000"/>
          <w:sz w:val="22"/>
          <w:szCs w:val="22"/>
          <w:lang w:val="sr-Latn-ME"/>
        </w:rPr>
        <w:t>hidrohlortiazid</w:t>
      </w:r>
      <w:r w:rsidRPr="0087318B">
        <w:rPr>
          <w:color w:val="000000"/>
          <w:sz w:val="22"/>
          <w:szCs w:val="22"/>
          <w:lang w:val="sr-Latn-ME"/>
        </w:rPr>
        <w:t>, mogu pojačati hiperglikemijski učinak diazoksida.</w:t>
      </w:r>
    </w:p>
    <w:p w14:paraId="62C8EA0B" w14:textId="77777777" w:rsidR="00D836EE" w:rsidRPr="0087318B" w:rsidRDefault="00D836EE" w:rsidP="00A66F57">
      <w:pPr>
        <w:tabs>
          <w:tab w:val="left" w:pos="284"/>
        </w:tabs>
        <w:jc w:val="both"/>
        <w:rPr>
          <w:color w:val="000000"/>
          <w:sz w:val="22"/>
          <w:szCs w:val="22"/>
          <w:lang w:val="sr-Latn-ME"/>
        </w:rPr>
      </w:pPr>
    </w:p>
    <w:p w14:paraId="50C79132"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Ljekovi koji se koriste za liječenje gihta (probenecid, sulfinpirazon i alopurinol)</w:t>
      </w:r>
    </w:p>
    <w:p w14:paraId="131A05E8" w14:textId="508F84A2"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Može biti potrebno prilagođavanje doze urikozurika obzirom da </w:t>
      </w:r>
      <w:r w:rsidR="0084780A" w:rsidRPr="0087318B">
        <w:rPr>
          <w:color w:val="000000"/>
          <w:sz w:val="22"/>
          <w:szCs w:val="22"/>
          <w:lang w:val="sr-Latn-ME"/>
        </w:rPr>
        <w:t>hidrohlortiazid</w:t>
      </w:r>
      <w:r w:rsidRPr="0087318B">
        <w:rPr>
          <w:color w:val="000000"/>
          <w:sz w:val="22"/>
          <w:szCs w:val="22"/>
          <w:lang w:val="sr-Latn-ME"/>
        </w:rPr>
        <w:t xml:space="preserve"> može povećati koncentraciju mokraćne kiseline u serumu. Može biti potrebno povećanje doze probenecida ili sulfinpirazona.</w:t>
      </w:r>
    </w:p>
    <w:p w14:paraId="6861477B" w14:textId="37472C0D"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Istovremena primjena sa tiazidnim diureticima, uključujući i </w:t>
      </w:r>
      <w:r w:rsidR="0084780A" w:rsidRPr="0087318B">
        <w:rPr>
          <w:color w:val="000000"/>
          <w:sz w:val="22"/>
          <w:szCs w:val="22"/>
          <w:lang w:val="sr-Latn-ME"/>
        </w:rPr>
        <w:t>hidrohlortiazid</w:t>
      </w:r>
      <w:r w:rsidRPr="0087318B">
        <w:rPr>
          <w:color w:val="000000"/>
          <w:sz w:val="22"/>
          <w:szCs w:val="22"/>
          <w:lang w:val="sr-Latn-ME"/>
        </w:rPr>
        <w:t>, može povećati učestalost reakcija preosjetljivosti na alopurinol.</w:t>
      </w:r>
    </w:p>
    <w:p w14:paraId="74451C9D" w14:textId="77777777" w:rsidR="00D836EE" w:rsidRPr="0087318B" w:rsidRDefault="00D836EE" w:rsidP="00A66F57">
      <w:pPr>
        <w:tabs>
          <w:tab w:val="left" w:pos="284"/>
        </w:tabs>
        <w:jc w:val="both"/>
        <w:rPr>
          <w:i/>
          <w:color w:val="000000"/>
          <w:sz w:val="22"/>
          <w:szCs w:val="22"/>
          <w:lang w:val="sr-Latn-ME"/>
        </w:rPr>
      </w:pPr>
    </w:p>
    <w:p w14:paraId="58276724" w14:textId="2624FE86"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Antiholinergici i drugi ljekovi koji utiču na gastrointestinalni motilitet</w:t>
      </w:r>
    </w:p>
    <w:p w14:paraId="7AACA2DF" w14:textId="0374A074"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Bioraspoloživost tiazidnih diuretika može se povećati antiholinergicima (npr. atropin, biperiden), v</w:t>
      </w:r>
      <w:r w:rsidR="00E4197D">
        <w:rPr>
          <w:color w:val="000000"/>
          <w:sz w:val="22"/>
          <w:szCs w:val="22"/>
          <w:lang w:val="sr-Latn-ME"/>
        </w:rPr>
        <w:t>j</w:t>
      </w:r>
      <w:r w:rsidRPr="0087318B">
        <w:rPr>
          <w:color w:val="000000"/>
          <w:sz w:val="22"/>
          <w:szCs w:val="22"/>
          <w:lang w:val="sr-Latn-ME"/>
        </w:rPr>
        <w:t>erovatno zbog smanjenja gastrointestinalnog motiliteta i brzine pražnjenja želuca. Nasuprot tome, očekuje se da prokinetski ljekovi kao što je cisaprid mogu smanjiti bioraspoloživost tiazidnih diuretika.</w:t>
      </w:r>
    </w:p>
    <w:p w14:paraId="4BF13A33" w14:textId="77777777" w:rsidR="00D836EE" w:rsidRPr="0087318B" w:rsidRDefault="00D836EE" w:rsidP="00A66F57">
      <w:pPr>
        <w:tabs>
          <w:tab w:val="left" w:pos="284"/>
        </w:tabs>
        <w:jc w:val="both"/>
        <w:rPr>
          <w:color w:val="000000"/>
          <w:sz w:val="22"/>
          <w:szCs w:val="22"/>
          <w:lang w:val="sr-Latn-ME"/>
        </w:rPr>
      </w:pPr>
    </w:p>
    <w:p w14:paraId="005293AB"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Amantadin</w:t>
      </w:r>
    </w:p>
    <w:p w14:paraId="7AF7B220" w14:textId="5474BBE4"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Tiazidi, uključujući i </w:t>
      </w:r>
      <w:r w:rsidR="0084780A" w:rsidRPr="0087318B">
        <w:rPr>
          <w:color w:val="000000"/>
          <w:sz w:val="22"/>
          <w:szCs w:val="22"/>
          <w:lang w:val="sr-Latn-ME"/>
        </w:rPr>
        <w:t>hidrohlortiazid</w:t>
      </w:r>
      <w:r w:rsidRPr="0087318B">
        <w:rPr>
          <w:color w:val="000000"/>
          <w:sz w:val="22"/>
          <w:szCs w:val="22"/>
          <w:lang w:val="sr-Latn-ME"/>
        </w:rPr>
        <w:t>, mogu povećati rizik od neželjenih dejstava izazvanih amantadinom.</w:t>
      </w:r>
    </w:p>
    <w:p w14:paraId="0B797FDF" w14:textId="77777777" w:rsidR="00D836EE" w:rsidRPr="0087318B" w:rsidRDefault="00D836EE" w:rsidP="00A66F57">
      <w:pPr>
        <w:tabs>
          <w:tab w:val="left" w:pos="284"/>
        </w:tabs>
        <w:jc w:val="both"/>
        <w:rPr>
          <w:color w:val="000000"/>
          <w:sz w:val="22"/>
          <w:szCs w:val="22"/>
          <w:lang w:val="sr-Latn-ME"/>
        </w:rPr>
      </w:pPr>
    </w:p>
    <w:p w14:paraId="4F2B54D1"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Jonoizmenjivačke  smole</w:t>
      </w:r>
    </w:p>
    <w:p w14:paraId="4C61C8B7" w14:textId="4F59C463"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Apsorpcija tiazidnih diuretika, uključujući i </w:t>
      </w:r>
      <w:r w:rsidR="0084780A" w:rsidRPr="0087318B">
        <w:rPr>
          <w:color w:val="000000"/>
          <w:sz w:val="22"/>
          <w:szCs w:val="22"/>
          <w:lang w:val="sr-Latn-ME"/>
        </w:rPr>
        <w:t>hidrohlortiazid</w:t>
      </w:r>
      <w:r w:rsidRPr="0087318B">
        <w:rPr>
          <w:color w:val="000000"/>
          <w:sz w:val="22"/>
          <w:szCs w:val="22"/>
          <w:lang w:val="sr-Latn-ME"/>
        </w:rPr>
        <w:t xml:space="preserve">, je umanjena u prisustvu holestiramina ili holestipola. Ovo može dovesti do smanjenog terapijskog efekta tiazidnih diuretika. Međutim, promjena u doziranju </w:t>
      </w:r>
      <w:r w:rsidR="0084780A" w:rsidRPr="0087318B">
        <w:rPr>
          <w:color w:val="000000"/>
          <w:sz w:val="22"/>
          <w:szCs w:val="22"/>
          <w:lang w:val="sr-Latn-ME"/>
        </w:rPr>
        <w:t>hidrohlortiazid</w:t>
      </w:r>
      <w:r w:rsidRPr="0087318B">
        <w:rPr>
          <w:color w:val="000000"/>
          <w:sz w:val="22"/>
          <w:szCs w:val="22"/>
          <w:lang w:val="sr-Latn-ME"/>
        </w:rPr>
        <w:t xml:space="preserve">a i smola tako da se </w:t>
      </w:r>
      <w:r w:rsidR="0084780A" w:rsidRPr="0087318B">
        <w:rPr>
          <w:color w:val="000000"/>
          <w:sz w:val="22"/>
          <w:szCs w:val="22"/>
          <w:lang w:val="sr-Latn-ME"/>
        </w:rPr>
        <w:t>hidrohlortiazid</w:t>
      </w:r>
      <w:r w:rsidRPr="0087318B">
        <w:rPr>
          <w:color w:val="000000"/>
          <w:sz w:val="22"/>
          <w:szCs w:val="22"/>
          <w:lang w:val="sr-Latn-ME"/>
        </w:rPr>
        <w:t xml:space="preserve"> uzima najmanje 4 sata pr</w:t>
      </w:r>
      <w:r w:rsidR="00E4197D">
        <w:rPr>
          <w:color w:val="000000"/>
          <w:sz w:val="22"/>
          <w:szCs w:val="22"/>
          <w:lang w:val="sr-Latn-ME"/>
        </w:rPr>
        <w:t>ij</w:t>
      </w:r>
      <w:r w:rsidRPr="0087318B">
        <w:rPr>
          <w:color w:val="000000"/>
          <w:sz w:val="22"/>
          <w:szCs w:val="22"/>
          <w:lang w:val="sr-Latn-ME"/>
        </w:rPr>
        <w:t>e ili 4-6 sati nakon smola potencijalno bi umanjila interakciju.</w:t>
      </w:r>
    </w:p>
    <w:p w14:paraId="5A081125" w14:textId="77777777" w:rsidR="00D836EE" w:rsidRPr="0087318B" w:rsidRDefault="00D836EE" w:rsidP="00A66F57">
      <w:pPr>
        <w:tabs>
          <w:tab w:val="left" w:pos="284"/>
        </w:tabs>
        <w:jc w:val="both"/>
        <w:rPr>
          <w:color w:val="000000"/>
          <w:sz w:val="22"/>
          <w:szCs w:val="22"/>
          <w:lang w:val="sr-Latn-ME"/>
        </w:rPr>
      </w:pPr>
    </w:p>
    <w:p w14:paraId="76DB0E07"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 xml:space="preserve">Citotoksične supstance </w:t>
      </w:r>
    </w:p>
    <w:p w14:paraId="4CB6284A" w14:textId="011F018D"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Tiazidi, uključujući i </w:t>
      </w:r>
      <w:r w:rsidR="0084780A" w:rsidRPr="0087318B">
        <w:rPr>
          <w:color w:val="000000"/>
          <w:sz w:val="22"/>
          <w:szCs w:val="22"/>
          <w:lang w:val="sr-Latn-ME"/>
        </w:rPr>
        <w:t>hidrohlortiazid</w:t>
      </w:r>
      <w:r w:rsidRPr="0087318B">
        <w:rPr>
          <w:color w:val="000000"/>
          <w:sz w:val="22"/>
          <w:szCs w:val="22"/>
          <w:lang w:val="sr-Latn-ME"/>
        </w:rPr>
        <w:t>, mogu smanjiti izlučivanje citotoksičnih ljekova (npr. ciklofosfamid, metotreksat) putem bubrega i pojačati njihove mijelosupresivne efekte.</w:t>
      </w:r>
    </w:p>
    <w:p w14:paraId="03348191" w14:textId="77777777" w:rsidR="00D836EE" w:rsidRPr="0087318B" w:rsidRDefault="00D836EE" w:rsidP="00A66F57">
      <w:pPr>
        <w:tabs>
          <w:tab w:val="left" w:pos="284"/>
        </w:tabs>
        <w:jc w:val="both"/>
        <w:rPr>
          <w:color w:val="000000"/>
          <w:sz w:val="22"/>
          <w:szCs w:val="22"/>
          <w:lang w:val="sr-Latn-ME"/>
        </w:rPr>
      </w:pPr>
    </w:p>
    <w:p w14:paraId="105B539F"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Nedepolarizujući mišićni relaksansi (npr. tubokurarin)</w:t>
      </w:r>
    </w:p>
    <w:p w14:paraId="1AA3BA3B" w14:textId="335F8271"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 xml:space="preserve">Tiazidi, uključujući i </w:t>
      </w:r>
      <w:r w:rsidR="0084780A" w:rsidRPr="0087318B">
        <w:rPr>
          <w:color w:val="000000"/>
          <w:sz w:val="22"/>
          <w:szCs w:val="22"/>
          <w:lang w:val="sr-Latn-ME"/>
        </w:rPr>
        <w:t>hidrohlortiazid</w:t>
      </w:r>
      <w:r w:rsidRPr="0087318B">
        <w:rPr>
          <w:color w:val="000000"/>
          <w:sz w:val="22"/>
          <w:szCs w:val="22"/>
          <w:lang w:val="sr-Latn-ME"/>
        </w:rPr>
        <w:t>, pojačavaju dejstvo mišićnih relaksanasa kao što su derivati kurare.</w:t>
      </w:r>
    </w:p>
    <w:p w14:paraId="162C2E25" w14:textId="77777777" w:rsidR="00D836EE" w:rsidRPr="0087318B" w:rsidRDefault="00D836EE" w:rsidP="00A66F57">
      <w:pPr>
        <w:tabs>
          <w:tab w:val="left" w:pos="284"/>
        </w:tabs>
        <w:jc w:val="both"/>
        <w:rPr>
          <w:color w:val="000000"/>
          <w:sz w:val="22"/>
          <w:szCs w:val="22"/>
          <w:lang w:val="sr-Latn-ME"/>
        </w:rPr>
      </w:pPr>
    </w:p>
    <w:p w14:paraId="37F30A92" w14:textId="77777777" w:rsidR="00D836EE" w:rsidRPr="0087318B" w:rsidRDefault="00D836EE" w:rsidP="00A66F57">
      <w:pPr>
        <w:tabs>
          <w:tab w:val="left" w:pos="284"/>
        </w:tabs>
        <w:jc w:val="both"/>
        <w:rPr>
          <w:i/>
          <w:color w:val="000000"/>
          <w:sz w:val="22"/>
          <w:szCs w:val="22"/>
          <w:lang w:val="sr-Latn-ME"/>
        </w:rPr>
      </w:pPr>
      <w:r w:rsidRPr="0087318B">
        <w:rPr>
          <w:i/>
          <w:color w:val="000000"/>
          <w:sz w:val="22"/>
          <w:szCs w:val="22"/>
          <w:lang w:val="sr-Latn-ME"/>
        </w:rPr>
        <w:t>Ciklosporin</w:t>
      </w:r>
    </w:p>
    <w:p w14:paraId="01E967AC" w14:textId="77777777" w:rsidR="00D836EE" w:rsidRPr="0087318B" w:rsidRDefault="00D836EE" w:rsidP="00A66F57">
      <w:pPr>
        <w:tabs>
          <w:tab w:val="left" w:pos="284"/>
        </w:tabs>
        <w:jc w:val="both"/>
        <w:rPr>
          <w:color w:val="000000"/>
          <w:sz w:val="22"/>
          <w:szCs w:val="22"/>
          <w:lang w:val="sr-Latn-ME"/>
        </w:rPr>
      </w:pPr>
      <w:r w:rsidRPr="0087318B">
        <w:rPr>
          <w:color w:val="000000"/>
          <w:sz w:val="22"/>
          <w:szCs w:val="22"/>
          <w:lang w:val="sr-Latn-ME"/>
        </w:rPr>
        <w:t>Istovremeno liječenje ciklosporinom može povećati rizik od hiperurikemije i komplikacija gihta.</w:t>
      </w:r>
    </w:p>
    <w:p w14:paraId="723AE2C9" w14:textId="77777777" w:rsidR="00D836EE" w:rsidRPr="0087318B" w:rsidRDefault="00D836EE" w:rsidP="00A66F57">
      <w:pPr>
        <w:tabs>
          <w:tab w:val="left" w:pos="284"/>
        </w:tabs>
        <w:jc w:val="both"/>
        <w:rPr>
          <w:i/>
          <w:iCs/>
          <w:color w:val="000000"/>
          <w:sz w:val="22"/>
          <w:szCs w:val="22"/>
          <w:u w:val="single"/>
          <w:lang w:val="sr-Latn-ME"/>
        </w:rPr>
      </w:pPr>
    </w:p>
    <w:p w14:paraId="581B26CA" w14:textId="77777777" w:rsidR="00D836EE" w:rsidRPr="0087318B" w:rsidRDefault="00D836EE" w:rsidP="00A66F57">
      <w:pPr>
        <w:tabs>
          <w:tab w:val="left" w:pos="284"/>
        </w:tabs>
        <w:jc w:val="both"/>
        <w:rPr>
          <w:sz w:val="22"/>
          <w:szCs w:val="22"/>
          <w:lang w:val="sr-Latn-ME"/>
        </w:rPr>
      </w:pPr>
      <w:r w:rsidRPr="0087318B">
        <w:rPr>
          <w:i/>
          <w:iCs/>
          <w:sz w:val="22"/>
          <w:szCs w:val="22"/>
          <w:lang w:val="sr-Latn-ME"/>
        </w:rPr>
        <w:t>Alkohol,barbiturati i narkotici:</w:t>
      </w:r>
      <w:r w:rsidRPr="0087318B">
        <w:rPr>
          <w:sz w:val="22"/>
          <w:szCs w:val="22"/>
          <w:lang w:val="sr-Latn-ME"/>
        </w:rPr>
        <w:t xml:space="preserve"> </w:t>
      </w:r>
    </w:p>
    <w:p w14:paraId="24AC0833" w14:textId="3FCC97F7" w:rsidR="00D836EE" w:rsidRPr="0087318B" w:rsidRDefault="00D836EE" w:rsidP="00A66F57">
      <w:pPr>
        <w:tabs>
          <w:tab w:val="left" w:pos="284"/>
        </w:tabs>
        <w:jc w:val="both"/>
        <w:rPr>
          <w:sz w:val="22"/>
          <w:szCs w:val="22"/>
          <w:lang w:val="sr-Latn-ME"/>
        </w:rPr>
      </w:pPr>
      <w:r w:rsidRPr="0087318B">
        <w:rPr>
          <w:sz w:val="22"/>
          <w:szCs w:val="22"/>
          <w:lang w:val="sr-Latn-ME"/>
        </w:rPr>
        <w:t xml:space="preserve">Istovremena primjena </w:t>
      </w:r>
      <w:proofErr w:type="spellStart"/>
      <w:r w:rsidRPr="0087318B">
        <w:rPr>
          <w:sz w:val="22"/>
          <w:szCs w:val="22"/>
          <w:lang w:val="sr-Latn-ME"/>
        </w:rPr>
        <w:t>tiazidnih</w:t>
      </w:r>
      <w:proofErr w:type="spellEnd"/>
      <w:r w:rsidRPr="0087318B">
        <w:rPr>
          <w:sz w:val="22"/>
          <w:szCs w:val="22"/>
          <w:lang w:val="sr-Latn-ME"/>
        </w:rPr>
        <w:t xml:space="preserve"> </w:t>
      </w:r>
      <w:proofErr w:type="spellStart"/>
      <w:r w:rsidRPr="0087318B">
        <w:rPr>
          <w:sz w:val="22"/>
          <w:szCs w:val="22"/>
          <w:lang w:val="sr-Latn-ME"/>
        </w:rPr>
        <w:t>diuretika</w:t>
      </w:r>
      <w:proofErr w:type="spellEnd"/>
      <w:r w:rsidRPr="0087318B">
        <w:rPr>
          <w:sz w:val="22"/>
          <w:szCs w:val="22"/>
          <w:lang w:val="sr-Latn-ME"/>
        </w:rPr>
        <w:t xml:space="preserve"> sa supstancama koje takođe dovode do smanjenja krvnog pritiska (npr. </w:t>
      </w:r>
      <w:r w:rsidR="00AF5FC7">
        <w:rPr>
          <w:sz w:val="22"/>
          <w:szCs w:val="22"/>
          <w:lang w:val="sr-Latn-ME"/>
        </w:rPr>
        <w:t>l</w:t>
      </w:r>
      <w:r w:rsidRPr="0087318B">
        <w:rPr>
          <w:sz w:val="22"/>
          <w:szCs w:val="22"/>
          <w:lang w:val="sr-Latn-ME"/>
        </w:rPr>
        <w:t xml:space="preserve">jekovi koji smanjuju </w:t>
      </w:r>
      <w:proofErr w:type="spellStart"/>
      <w:r w:rsidRPr="0087318B">
        <w:rPr>
          <w:sz w:val="22"/>
          <w:szCs w:val="22"/>
          <w:lang w:val="sr-Latn-ME"/>
        </w:rPr>
        <w:t>simpatičku</w:t>
      </w:r>
      <w:proofErr w:type="spellEnd"/>
      <w:r w:rsidRPr="0087318B">
        <w:rPr>
          <w:sz w:val="22"/>
          <w:szCs w:val="22"/>
          <w:lang w:val="sr-Latn-ME"/>
        </w:rPr>
        <w:t xml:space="preserve"> aktivnost centralnog nervnog sistema ili imaju direktno vazodilatatorno dejstvo) može da potencira nastanak ortostatske hipotenzije.</w:t>
      </w:r>
    </w:p>
    <w:p w14:paraId="76C346D2" w14:textId="77777777" w:rsidR="00D836EE" w:rsidRPr="0087318B" w:rsidRDefault="00D836EE" w:rsidP="00A66F57">
      <w:pPr>
        <w:tabs>
          <w:tab w:val="left" w:pos="284"/>
        </w:tabs>
        <w:jc w:val="both"/>
        <w:rPr>
          <w:sz w:val="22"/>
          <w:szCs w:val="22"/>
          <w:lang w:val="sr-Latn-ME"/>
        </w:rPr>
      </w:pPr>
    </w:p>
    <w:p w14:paraId="3C80CC44" w14:textId="77777777" w:rsidR="00D836EE" w:rsidRPr="0087318B" w:rsidRDefault="00D836EE" w:rsidP="00A66F57">
      <w:pPr>
        <w:tabs>
          <w:tab w:val="left" w:pos="284"/>
        </w:tabs>
        <w:jc w:val="both"/>
        <w:rPr>
          <w:i/>
          <w:sz w:val="22"/>
          <w:szCs w:val="22"/>
          <w:lang w:val="sr-Latn-ME"/>
        </w:rPr>
      </w:pPr>
      <w:r w:rsidRPr="0087318B">
        <w:rPr>
          <w:i/>
          <w:sz w:val="22"/>
          <w:szCs w:val="22"/>
          <w:lang w:val="sr-Latn-ME"/>
        </w:rPr>
        <w:t>Metildopa</w:t>
      </w:r>
    </w:p>
    <w:p w14:paraId="3E36D1F2" w14:textId="4DEEB656" w:rsidR="00D836EE" w:rsidRPr="0087318B" w:rsidRDefault="00D836EE" w:rsidP="00A66F57">
      <w:pPr>
        <w:tabs>
          <w:tab w:val="left" w:pos="540"/>
          <w:tab w:val="left" w:pos="569"/>
        </w:tabs>
        <w:jc w:val="both"/>
        <w:rPr>
          <w:sz w:val="22"/>
          <w:szCs w:val="22"/>
          <w:lang w:val="sr-Latn-ME"/>
        </w:rPr>
      </w:pPr>
      <w:r w:rsidRPr="0087318B">
        <w:rPr>
          <w:sz w:val="22"/>
          <w:szCs w:val="22"/>
          <w:lang w:val="sr-Latn-ME"/>
        </w:rPr>
        <w:t xml:space="preserve">Postoje izolovani slučajevi pojave hemolitičke anemije pri istovremenoj primjeni </w:t>
      </w:r>
      <w:r w:rsidR="0084780A" w:rsidRPr="0087318B">
        <w:rPr>
          <w:sz w:val="22"/>
          <w:szCs w:val="22"/>
          <w:lang w:val="sr-Latn-ME"/>
        </w:rPr>
        <w:t>hidrohlortiazid</w:t>
      </w:r>
      <w:r w:rsidRPr="0087318B">
        <w:rPr>
          <w:sz w:val="22"/>
          <w:szCs w:val="22"/>
          <w:lang w:val="sr-Latn-ME"/>
        </w:rPr>
        <w:t>a i metildope.</w:t>
      </w:r>
    </w:p>
    <w:p w14:paraId="769E0AF5" w14:textId="77777777" w:rsidR="00D836EE" w:rsidRPr="0087318B" w:rsidRDefault="00D836EE" w:rsidP="00A66F57">
      <w:pPr>
        <w:tabs>
          <w:tab w:val="left" w:pos="540"/>
          <w:tab w:val="left" w:pos="569"/>
        </w:tabs>
        <w:jc w:val="both"/>
        <w:rPr>
          <w:sz w:val="22"/>
          <w:szCs w:val="22"/>
          <w:lang w:val="sr-Latn-ME"/>
        </w:rPr>
      </w:pPr>
    </w:p>
    <w:p w14:paraId="39FBD97D" w14:textId="77777777" w:rsidR="00D836EE" w:rsidRPr="0087318B" w:rsidRDefault="00D836EE" w:rsidP="00A66F57">
      <w:pPr>
        <w:tabs>
          <w:tab w:val="left" w:pos="284"/>
        </w:tabs>
        <w:jc w:val="both"/>
        <w:rPr>
          <w:i/>
          <w:sz w:val="22"/>
          <w:szCs w:val="22"/>
          <w:lang w:val="sr-Latn-ME"/>
        </w:rPr>
      </w:pPr>
      <w:r w:rsidRPr="0087318B">
        <w:rPr>
          <w:sz w:val="22"/>
          <w:szCs w:val="22"/>
          <w:lang w:val="sr-Latn-ME"/>
        </w:rPr>
        <w:t>K</w:t>
      </w:r>
      <w:r w:rsidRPr="0087318B">
        <w:rPr>
          <w:i/>
          <w:sz w:val="22"/>
          <w:szCs w:val="22"/>
          <w:lang w:val="sr-Latn-ME"/>
        </w:rPr>
        <w:t>ontrastna sredstva sa jodom</w:t>
      </w:r>
    </w:p>
    <w:p w14:paraId="0DD3671B" w14:textId="3CF4BD07" w:rsidR="00D836EE" w:rsidRPr="0087318B" w:rsidRDefault="00D836EE" w:rsidP="00A66F57">
      <w:pPr>
        <w:tabs>
          <w:tab w:val="left" w:pos="284"/>
        </w:tabs>
        <w:jc w:val="both"/>
        <w:rPr>
          <w:sz w:val="22"/>
          <w:szCs w:val="22"/>
          <w:lang w:val="sr-Latn-ME"/>
        </w:rPr>
      </w:pPr>
      <w:r w:rsidRPr="0087318B">
        <w:rPr>
          <w:sz w:val="22"/>
          <w:szCs w:val="22"/>
          <w:lang w:val="sr-Latn-ME"/>
        </w:rPr>
        <w:t>U slučaju dehidratacije izazvane diuretikom postoji povećan rizik od akutne bubrežne insuficijencije, posebno kod primjene visokih doza preparata sa jodom. Pacijente je potrebno rehidrirati pr</w:t>
      </w:r>
      <w:r w:rsidR="00E4197D">
        <w:rPr>
          <w:sz w:val="22"/>
          <w:szCs w:val="22"/>
          <w:lang w:val="sr-Latn-ME"/>
        </w:rPr>
        <w:t>ij</w:t>
      </w:r>
      <w:r w:rsidRPr="0087318B">
        <w:rPr>
          <w:sz w:val="22"/>
          <w:szCs w:val="22"/>
          <w:lang w:val="sr-Latn-ME"/>
        </w:rPr>
        <w:t xml:space="preserve">e primjene lijeka. </w:t>
      </w:r>
    </w:p>
    <w:p w14:paraId="244D066A" w14:textId="77777777" w:rsidR="00D836EE" w:rsidRPr="0087318B" w:rsidRDefault="00D836EE" w:rsidP="00A66F57">
      <w:pPr>
        <w:tabs>
          <w:tab w:val="left" w:pos="540"/>
          <w:tab w:val="left" w:pos="569"/>
        </w:tabs>
        <w:jc w:val="both"/>
        <w:rPr>
          <w:b/>
          <w:bCs/>
          <w:sz w:val="22"/>
          <w:szCs w:val="22"/>
          <w:lang w:val="sr-Latn-ME"/>
        </w:rPr>
      </w:pPr>
    </w:p>
    <w:p w14:paraId="19C4368D" w14:textId="3751FB4E" w:rsidR="002031B3" w:rsidRPr="0087318B" w:rsidRDefault="0072020E" w:rsidP="00A66F57">
      <w:pPr>
        <w:tabs>
          <w:tab w:val="left" w:pos="540"/>
          <w:tab w:val="left" w:pos="569"/>
        </w:tabs>
        <w:jc w:val="both"/>
        <w:rPr>
          <w:b/>
          <w:sz w:val="22"/>
          <w:szCs w:val="22"/>
          <w:lang w:val="sr-Latn-ME"/>
        </w:rPr>
      </w:pPr>
      <w:r w:rsidRPr="0087318B">
        <w:rPr>
          <w:b/>
          <w:bCs/>
          <w:sz w:val="22"/>
          <w:szCs w:val="22"/>
          <w:lang w:val="sr-Latn-ME"/>
        </w:rPr>
        <w:t xml:space="preserve">4.6. </w:t>
      </w:r>
      <w:r w:rsidR="00480FB1" w:rsidRPr="0087318B">
        <w:rPr>
          <w:b/>
          <w:bCs/>
          <w:sz w:val="22"/>
          <w:szCs w:val="22"/>
          <w:lang w:val="sr-Latn-ME"/>
        </w:rPr>
        <w:tab/>
      </w:r>
      <w:r w:rsidR="006D20A5" w:rsidRPr="0087318B">
        <w:rPr>
          <w:b/>
          <w:sz w:val="22"/>
          <w:szCs w:val="22"/>
          <w:lang w:val="sr-Latn-ME"/>
        </w:rPr>
        <w:t>Plodnost, trudnoća i dojenje</w:t>
      </w:r>
    </w:p>
    <w:p w14:paraId="176D6FB4" w14:textId="77777777" w:rsidR="002031B3" w:rsidRPr="0087318B" w:rsidRDefault="002031B3" w:rsidP="00A66F57">
      <w:pPr>
        <w:tabs>
          <w:tab w:val="left" w:pos="540"/>
          <w:tab w:val="left" w:pos="569"/>
        </w:tabs>
        <w:jc w:val="both"/>
        <w:rPr>
          <w:sz w:val="22"/>
          <w:szCs w:val="22"/>
          <w:u w:val="single"/>
          <w:lang w:val="sr-Latn-ME"/>
        </w:rPr>
      </w:pPr>
    </w:p>
    <w:p w14:paraId="5C6313DF" w14:textId="77777777" w:rsidR="007A3ECB" w:rsidRPr="0087318B" w:rsidRDefault="007A3ECB" w:rsidP="00A66F57">
      <w:pPr>
        <w:tabs>
          <w:tab w:val="left" w:pos="540"/>
          <w:tab w:val="left" w:pos="569"/>
        </w:tabs>
        <w:jc w:val="both"/>
        <w:rPr>
          <w:sz w:val="22"/>
          <w:szCs w:val="22"/>
          <w:u w:val="single"/>
          <w:lang w:val="sr-Latn-ME"/>
        </w:rPr>
      </w:pPr>
      <w:r w:rsidRPr="0087318B">
        <w:rPr>
          <w:sz w:val="22"/>
          <w:szCs w:val="22"/>
          <w:u w:val="single"/>
          <w:lang w:val="sr-Latn-ME"/>
        </w:rPr>
        <w:t>Trudnoća</w:t>
      </w:r>
    </w:p>
    <w:p w14:paraId="0E013A5D" w14:textId="77777777" w:rsidR="00D836EE" w:rsidRPr="0087318B" w:rsidRDefault="00D836EE" w:rsidP="00A66F57">
      <w:pPr>
        <w:tabs>
          <w:tab w:val="left" w:pos="540"/>
          <w:tab w:val="left" w:pos="569"/>
        </w:tabs>
        <w:jc w:val="both"/>
        <w:rPr>
          <w:sz w:val="22"/>
          <w:szCs w:val="22"/>
          <w:u w:val="single"/>
          <w:lang w:val="sr-Latn-ME"/>
        </w:rPr>
      </w:pPr>
    </w:p>
    <w:p w14:paraId="424CCD92"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Valsartan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D836EE" w:rsidRPr="0004360F" w14:paraId="53D1879D" w14:textId="77777777" w:rsidTr="00A66F57">
        <w:trPr>
          <w:trHeight w:val="981"/>
        </w:trPr>
        <w:tc>
          <w:tcPr>
            <w:tcW w:w="9067" w:type="dxa"/>
            <w:shd w:val="clear" w:color="auto" w:fill="auto"/>
          </w:tcPr>
          <w:p w14:paraId="177738FA" w14:textId="69737003"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lastRenderedPageBreak/>
              <w:t>Ne preporučuje se primjena antagonista angiotenzin II receptora (AIIRA-</w:t>
            </w:r>
            <w:r w:rsidRPr="0087318B">
              <w:rPr>
                <w:i/>
                <w:color w:val="000000"/>
                <w:sz w:val="22"/>
                <w:szCs w:val="22"/>
                <w:lang w:val="sr-Latn-ME"/>
              </w:rPr>
              <w:t>engl</w:t>
            </w:r>
            <w:r w:rsidRPr="0087318B">
              <w:rPr>
                <w:color w:val="000000"/>
                <w:sz w:val="22"/>
                <w:szCs w:val="22"/>
                <w:lang w:val="sr-Latn-ME"/>
              </w:rPr>
              <w:t xml:space="preserve">.angiotensin II receptor antagonists) tokom prvog trimestra trudnoće (vidjeti </w:t>
            </w:r>
            <w:r w:rsidR="00C81D72">
              <w:rPr>
                <w:color w:val="000000"/>
                <w:sz w:val="22"/>
                <w:szCs w:val="22"/>
                <w:lang w:val="sr-Latn-ME"/>
              </w:rPr>
              <w:t>dio</w:t>
            </w:r>
            <w:r w:rsidRPr="0087318B">
              <w:rPr>
                <w:color w:val="000000"/>
                <w:sz w:val="22"/>
                <w:szCs w:val="22"/>
                <w:lang w:val="sr-Latn-ME"/>
              </w:rPr>
              <w:t xml:space="preserve"> 4.4). Primjena AIIRA je kontraindikovana tokom drugog i trećeg tromesečja trudnoće (vidjeti </w:t>
            </w:r>
            <w:r w:rsidR="00C81D72">
              <w:rPr>
                <w:color w:val="000000"/>
                <w:sz w:val="22"/>
                <w:szCs w:val="22"/>
                <w:lang w:val="sr-Latn-ME"/>
              </w:rPr>
              <w:t>dio</w:t>
            </w:r>
            <w:r w:rsidRPr="0087318B">
              <w:rPr>
                <w:color w:val="000000"/>
                <w:sz w:val="22"/>
                <w:szCs w:val="22"/>
                <w:lang w:val="sr-Latn-ME"/>
              </w:rPr>
              <w:t xml:space="preserve"> 4.3 i 4.4).</w:t>
            </w:r>
          </w:p>
        </w:tc>
      </w:tr>
    </w:tbl>
    <w:p w14:paraId="5FFE36CA" w14:textId="77777777" w:rsidR="002031B3" w:rsidRPr="0087318B" w:rsidRDefault="002031B3" w:rsidP="00A66F57">
      <w:pPr>
        <w:tabs>
          <w:tab w:val="left" w:pos="540"/>
          <w:tab w:val="left" w:pos="569"/>
        </w:tabs>
        <w:jc w:val="both"/>
        <w:rPr>
          <w:sz w:val="22"/>
          <w:szCs w:val="22"/>
          <w:u w:val="single"/>
          <w:lang w:val="sr-Latn-ME"/>
        </w:rPr>
      </w:pPr>
    </w:p>
    <w:p w14:paraId="6B190089" w14:textId="42A0B9B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Nema ubjedljivog epidemiološkog dokaza rizika teratogenosti nakon izlaganja ACE-inhibitorima tokom prvog trimestra; međutim mali porast rizika se ne može isključiti. S obzirom da nema podataka iz kontrolisanih epidemioloških studija o riziku kod primjene AIIRA, sličan rizik može postojati i za ovu grupu ljekova. Ukoliko se nastavak terapije AIIRA smatra neophodnim, pacijentkinje koje planiraju trudnoću treba prebaciti na alternativnu antihipertenzivnu terapiju koja ima utvrđen bezbjednosni profil za primjenu u trudnoći. Kada se trudnoća utvrdi, liječenje AIIRA treba odmah prekinuti i, ako je prikladno, započeti alternativnu terapiju.</w:t>
      </w:r>
    </w:p>
    <w:p w14:paraId="46CB2246" w14:textId="77777777" w:rsidR="00A91997" w:rsidRDefault="00A91997" w:rsidP="00A66F57">
      <w:pPr>
        <w:shd w:val="clear" w:color="auto" w:fill="FFFFFF"/>
        <w:tabs>
          <w:tab w:val="left" w:pos="284"/>
        </w:tabs>
        <w:jc w:val="both"/>
        <w:rPr>
          <w:color w:val="000000"/>
          <w:sz w:val="22"/>
          <w:szCs w:val="22"/>
          <w:lang w:val="sr-Latn-ME"/>
        </w:rPr>
      </w:pPr>
    </w:p>
    <w:p w14:paraId="3936704C" w14:textId="4E1497B3"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Poznato je da izloženost terapiji AIIRA tokom drugog i trećeg trimestra trudnoće kod </w:t>
      </w:r>
      <w:proofErr w:type="spellStart"/>
      <w:r w:rsidRPr="0087318B">
        <w:rPr>
          <w:color w:val="000000"/>
          <w:sz w:val="22"/>
          <w:szCs w:val="22"/>
          <w:lang w:val="sr-Latn-ME"/>
        </w:rPr>
        <w:t>ljudi</w:t>
      </w:r>
      <w:proofErr w:type="spellEnd"/>
      <w:r w:rsidRPr="0087318B">
        <w:rPr>
          <w:color w:val="000000"/>
          <w:sz w:val="22"/>
          <w:szCs w:val="22"/>
          <w:lang w:val="sr-Latn-ME"/>
        </w:rPr>
        <w:t xml:space="preserve"> izaziva fetotoksičnost (smanjenu funkciju bubrega, oligohidramnione, retardaciju okoštavanja lobanje) i neonatalnu toksičnost (bubrežnu insuficijenciju, hipotenziju, hiperkalemiju) (vidjeti </w:t>
      </w:r>
      <w:r w:rsidR="00C81D72">
        <w:rPr>
          <w:color w:val="000000"/>
          <w:sz w:val="22"/>
          <w:szCs w:val="22"/>
          <w:lang w:val="sr-Latn-ME"/>
        </w:rPr>
        <w:t>dio</w:t>
      </w:r>
      <w:r w:rsidRPr="0087318B">
        <w:rPr>
          <w:color w:val="000000"/>
          <w:sz w:val="22"/>
          <w:szCs w:val="22"/>
          <w:lang w:val="sr-Latn-ME"/>
        </w:rPr>
        <w:t xml:space="preserve"> 5.3).</w:t>
      </w:r>
    </w:p>
    <w:p w14:paraId="787ED611" w14:textId="406DA906"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Ako je od drugog trimestra trudnoće nadalje,</w:t>
      </w:r>
      <w:r w:rsidRPr="0087318B">
        <w:rPr>
          <w:rFonts w:ascii="Humanist777" w:hAnsi="Humanist777"/>
          <w:lang w:val="sr-Latn-ME"/>
        </w:rPr>
        <w:t xml:space="preserve"> </w:t>
      </w:r>
      <w:r w:rsidRPr="0087318B">
        <w:rPr>
          <w:color w:val="000000"/>
          <w:sz w:val="22"/>
          <w:szCs w:val="22"/>
          <w:lang w:val="sr-Latn-ME"/>
        </w:rPr>
        <w:t>došlo do izloženosti AIIRA, sav</w:t>
      </w:r>
      <w:r w:rsidR="00E4197D">
        <w:rPr>
          <w:color w:val="000000"/>
          <w:sz w:val="22"/>
          <w:szCs w:val="22"/>
          <w:lang w:val="sr-Latn-ME"/>
        </w:rPr>
        <w:t>j</w:t>
      </w:r>
      <w:r w:rsidRPr="0087318B">
        <w:rPr>
          <w:color w:val="000000"/>
          <w:sz w:val="22"/>
          <w:szCs w:val="22"/>
          <w:lang w:val="sr-Latn-ME"/>
        </w:rPr>
        <w:t>etuje se ultrazvučni pregled funkcije bubrega i lobanje.</w:t>
      </w:r>
    </w:p>
    <w:p w14:paraId="6600C058" w14:textId="77777777" w:rsidR="00A91997" w:rsidRDefault="00A91997" w:rsidP="00A66F57">
      <w:pPr>
        <w:shd w:val="clear" w:color="auto" w:fill="FFFFFF"/>
        <w:tabs>
          <w:tab w:val="left" w:pos="284"/>
        </w:tabs>
        <w:jc w:val="both"/>
        <w:rPr>
          <w:color w:val="000000"/>
          <w:sz w:val="22"/>
          <w:szCs w:val="22"/>
          <w:lang w:val="sr-Latn-ME"/>
        </w:rPr>
      </w:pPr>
    </w:p>
    <w:p w14:paraId="34E74ECD" w14:textId="0A2C3CFB"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Djecu čije su majke uzimale AIIRA treba pažljivo pratiti zbog mogućnosti pojave </w:t>
      </w:r>
      <w:proofErr w:type="spellStart"/>
      <w:r w:rsidRPr="0087318B">
        <w:rPr>
          <w:color w:val="000000"/>
          <w:sz w:val="22"/>
          <w:szCs w:val="22"/>
          <w:lang w:val="sr-Latn-ME"/>
        </w:rPr>
        <w:t>hipotenzije</w:t>
      </w:r>
      <w:proofErr w:type="spellEnd"/>
      <w:r w:rsidRPr="0087318B">
        <w:rPr>
          <w:color w:val="000000"/>
          <w:sz w:val="22"/>
          <w:szCs w:val="22"/>
          <w:lang w:val="sr-Latn-ME"/>
        </w:rPr>
        <w:t xml:space="preserve"> (vidjeti takođe </w:t>
      </w:r>
      <w:r w:rsidR="00C81D72">
        <w:rPr>
          <w:color w:val="000000"/>
          <w:sz w:val="22"/>
          <w:szCs w:val="22"/>
          <w:lang w:val="sr-Latn-ME"/>
        </w:rPr>
        <w:t>djelove</w:t>
      </w:r>
      <w:r w:rsidRPr="0087318B">
        <w:rPr>
          <w:color w:val="000000"/>
          <w:sz w:val="22"/>
          <w:szCs w:val="22"/>
          <w:lang w:val="sr-Latn-ME"/>
        </w:rPr>
        <w:t xml:space="preserve"> 4.3 i 4.4).</w:t>
      </w:r>
    </w:p>
    <w:p w14:paraId="65523993" w14:textId="77777777" w:rsidR="00A91997" w:rsidRDefault="00A91997" w:rsidP="00A66F57">
      <w:pPr>
        <w:shd w:val="clear" w:color="auto" w:fill="FFFFFF"/>
        <w:tabs>
          <w:tab w:val="left" w:pos="284"/>
        </w:tabs>
        <w:jc w:val="both"/>
        <w:rPr>
          <w:color w:val="000000"/>
          <w:sz w:val="22"/>
          <w:szCs w:val="22"/>
          <w:lang w:val="sr-Latn-ME"/>
        </w:rPr>
      </w:pPr>
    </w:p>
    <w:p w14:paraId="28C6D56E" w14:textId="6CBFCE0B" w:rsidR="00D836EE" w:rsidRPr="0087318B" w:rsidRDefault="0084780A" w:rsidP="00A66F57">
      <w:pPr>
        <w:shd w:val="clear" w:color="auto" w:fill="FFFFFF"/>
        <w:tabs>
          <w:tab w:val="left" w:pos="284"/>
        </w:tabs>
        <w:jc w:val="both"/>
        <w:rPr>
          <w:color w:val="000000"/>
          <w:sz w:val="22"/>
          <w:szCs w:val="22"/>
          <w:lang w:val="sr-Latn-ME"/>
        </w:rPr>
      </w:pPr>
      <w:r w:rsidRPr="0087318B">
        <w:rPr>
          <w:color w:val="000000"/>
          <w:sz w:val="22"/>
          <w:szCs w:val="22"/>
          <w:lang w:val="sr-Latn-ME"/>
        </w:rPr>
        <w:t>Hidrohlortiazid</w:t>
      </w:r>
    </w:p>
    <w:p w14:paraId="701EDD34" w14:textId="72D2A82F"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Postoji ograničeno iskustvo sa </w:t>
      </w:r>
      <w:r w:rsidR="0084780A" w:rsidRPr="0087318B">
        <w:rPr>
          <w:color w:val="000000"/>
          <w:sz w:val="22"/>
          <w:szCs w:val="22"/>
          <w:lang w:val="sr-Latn-ME"/>
        </w:rPr>
        <w:t>hidrohlortiazid</w:t>
      </w:r>
      <w:r w:rsidRPr="0087318B">
        <w:rPr>
          <w:color w:val="000000"/>
          <w:sz w:val="22"/>
          <w:szCs w:val="22"/>
          <w:lang w:val="sr-Latn-ME"/>
        </w:rPr>
        <w:t xml:space="preserve">om tokom trudnoće, posebno tokom prvog trimestra. Ispitivanja na životinjama </w:t>
      </w:r>
      <w:r w:rsidR="00C81D72">
        <w:rPr>
          <w:color w:val="000000"/>
          <w:sz w:val="22"/>
          <w:szCs w:val="22"/>
          <w:lang w:val="sr-Latn-ME"/>
        </w:rPr>
        <w:t>nijesu</w:t>
      </w:r>
      <w:r w:rsidRPr="0087318B">
        <w:rPr>
          <w:color w:val="000000"/>
          <w:sz w:val="22"/>
          <w:szCs w:val="22"/>
          <w:lang w:val="sr-Latn-ME"/>
        </w:rPr>
        <w:t xml:space="preserve"> dovoljna. </w:t>
      </w:r>
      <w:r w:rsidR="0084780A" w:rsidRPr="0087318B">
        <w:rPr>
          <w:color w:val="000000"/>
          <w:sz w:val="22"/>
          <w:szCs w:val="22"/>
          <w:lang w:val="sr-Latn-ME"/>
        </w:rPr>
        <w:t>Hidrohlortiazid</w:t>
      </w:r>
      <w:r w:rsidRPr="0087318B">
        <w:rPr>
          <w:color w:val="000000"/>
          <w:sz w:val="22"/>
          <w:szCs w:val="22"/>
          <w:lang w:val="sr-Latn-ME"/>
        </w:rPr>
        <w:t xml:space="preserve"> prolazi placentu. Na osnovu farmakološkog mehanizma d</w:t>
      </w:r>
      <w:r w:rsidR="00E4197D">
        <w:rPr>
          <w:color w:val="000000"/>
          <w:sz w:val="22"/>
          <w:szCs w:val="22"/>
          <w:lang w:val="sr-Latn-ME"/>
        </w:rPr>
        <w:t>j</w:t>
      </w:r>
      <w:r w:rsidRPr="0087318B">
        <w:rPr>
          <w:color w:val="000000"/>
          <w:sz w:val="22"/>
          <w:szCs w:val="22"/>
          <w:lang w:val="sr-Latn-ME"/>
        </w:rPr>
        <w:t xml:space="preserve">elovanja </w:t>
      </w:r>
      <w:r w:rsidR="0084780A" w:rsidRPr="0087318B">
        <w:rPr>
          <w:color w:val="000000"/>
          <w:sz w:val="22"/>
          <w:szCs w:val="22"/>
          <w:lang w:val="sr-Latn-ME"/>
        </w:rPr>
        <w:t>hidrohlortiazid</w:t>
      </w:r>
      <w:r w:rsidRPr="0087318B">
        <w:rPr>
          <w:color w:val="000000"/>
          <w:sz w:val="22"/>
          <w:szCs w:val="22"/>
          <w:lang w:val="sr-Latn-ME"/>
        </w:rPr>
        <w:t>a njegova primjena tokom drugog i trećeg trimestra može ugroziti feto-placentnu perfuziju i može izazvati fetalne i neonatalne efekte poput žutice, poremećaja ravnoteže elektrolita i trombocitopenije.</w:t>
      </w:r>
    </w:p>
    <w:p w14:paraId="7AF372FE" w14:textId="77777777" w:rsidR="0083038C" w:rsidRDefault="0083038C" w:rsidP="00A66F57">
      <w:pPr>
        <w:tabs>
          <w:tab w:val="left" w:pos="540"/>
          <w:tab w:val="left" w:pos="569"/>
        </w:tabs>
        <w:jc w:val="both"/>
        <w:rPr>
          <w:sz w:val="22"/>
          <w:szCs w:val="22"/>
          <w:u w:val="single"/>
          <w:lang w:val="sr-Latn-ME"/>
        </w:rPr>
      </w:pPr>
    </w:p>
    <w:p w14:paraId="3688C8FD" w14:textId="600D57F0" w:rsidR="0072020E" w:rsidRPr="0087318B" w:rsidRDefault="007A3ECB" w:rsidP="00A66F57">
      <w:pPr>
        <w:tabs>
          <w:tab w:val="left" w:pos="540"/>
          <w:tab w:val="left" w:pos="569"/>
        </w:tabs>
        <w:jc w:val="both"/>
        <w:rPr>
          <w:sz w:val="22"/>
          <w:szCs w:val="22"/>
          <w:u w:val="single"/>
          <w:lang w:val="sr-Latn-ME"/>
        </w:rPr>
      </w:pPr>
      <w:r w:rsidRPr="0087318B">
        <w:rPr>
          <w:sz w:val="22"/>
          <w:szCs w:val="22"/>
          <w:u w:val="single"/>
          <w:lang w:val="sr-Latn-ME"/>
        </w:rPr>
        <w:t xml:space="preserve">Dojenje </w:t>
      </w:r>
    </w:p>
    <w:p w14:paraId="63EE7025" w14:textId="77777777" w:rsidR="00D836EE" w:rsidRPr="0087318B" w:rsidRDefault="00D836EE" w:rsidP="00A66F57">
      <w:pPr>
        <w:tabs>
          <w:tab w:val="left" w:pos="540"/>
          <w:tab w:val="left" w:pos="569"/>
        </w:tabs>
        <w:jc w:val="both"/>
        <w:rPr>
          <w:b/>
          <w:bCs/>
          <w:sz w:val="22"/>
          <w:szCs w:val="22"/>
          <w:lang w:val="sr-Latn-ME"/>
        </w:rPr>
      </w:pPr>
    </w:p>
    <w:p w14:paraId="6A0CFC45" w14:textId="490BB9B6" w:rsidR="00D836EE" w:rsidRPr="0087318B" w:rsidRDefault="00C81D72" w:rsidP="00A66F57">
      <w:pPr>
        <w:shd w:val="clear" w:color="auto" w:fill="FFFFFF"/>
        <w:tabs>
          <w:tab w:val="left" w:pos="284"/>
        </w:tabs>
        <w:jc w:val="both"/>
        <w:rPr>
          <w:color w:val="000000"/>
          <w:sz w:val="22"/>
          <w:szCs w:val="22"/>
          <w:lang w:val="sr-Latn-ME"/>
        </w:rPr>
      </w:pPr>
      <w:r>
        <w:rPr>
          <w:color w:val="000000"/>
          <w:sz w:val="22"/>
          <w:szCs w:val="22"/>
          <w:lang w:val="sr-Latn-ME"/>
        </w:rPr>
        <w:t>Nijesu</w:t>
      </w:r>
      <w:r w:rsidR="00D836EE" w:rsidRPr="0087318B">
        <w:rPr>
          <w:color w:val="000000"/>
          <w:sz w:val="22"/>
          <w:szCs w:val="22"/>
          <w:lang w:val="sr-Latn-ME"/>
        </w:rPr>
        <w:t xml:space="preserve"> dostupne informacije o primjeni valsartana tokom dojenja. </w:t>
      </w:r>
      <w:r w:rsidR="0084780A" w:rsidRPr="0087318B">
        <w:rPr>
          <w:color w:val="000000"/>
          <w:sz w:val="22"/>
          <w:szCs w:val="22"/>
          <w:lang w:val="sr-Latn-ME"/>
        </w:rPr>
        <w:t>Hidrohlortiazid</w:t>
      </w:r>
      <w:r w:rsidR="00D836EE" w:rsidRPr="0087318B">
        <w:rPr>
          <w:color w:val="000000"/>
          <w:sz w:val="22"/>
          <w:szCs w:val="22"/>
          <w:lang w:val="sr-Latn-ME"/>
        </w:rPr>
        <w:t xml:space="preserve"> se izlučuje u majčino mlijeko. Zato se primjena lijeka Co-Diovan tokom dojenja ne preporučuje. Tokom dojenja se savjetuje alternativno liječenje ljekovima sa bolje utvrđenim bezbjednosnim profilom tokom dojenja, posebno kod dojenja novorođenčeta ili nedonoščeta.</w:t>
      </w:r>
    </w:p>
    <w:p w14:paraId="38935113" w14:textId="77777777" w:rsidR="00227BDB" w:rsidRPr="0087318B" w:rsidRDefault="00227BDB" w:rsidP="00A66F57">
      <w:pPr>
        <w:tabs>
          <w:tab w:val="left" w:pos="540"/>
          <w:tab w:val="left" w:pos="569"/>
        </w:tabs>
        <w:ind w:left="540" w:hanging="540"/>
        <w:jc w:val="both"/>
        <w:rPr>
          <w:b/>
          <w:bCs/>
          <w:sz w:val="22"/>
          <w:szCs w:val="22"/>
          <w:lang w:val="sr-Latn-ME"/>
        </w:rPr>
      </w:pPr>
    </w:p>
    <w:p w14:paraId="069A2477" w14:textId="77777777" w:rsidR="0072020E" w:rsidRPr="0087318B" w:rsidRDefault="0072020E" w:rsidP="00A66F57">
      <w:pPr>
        <w:tabs>
          <w:tab w:val="left" w:pos="540"/>
          <w:tab w:val="left" w:pos="569"/>
        </w:tabs>
        <w:ind w:left="540" w:hanging="540"/>
        <w:jc w:val="both"/>
        <w:rPr>
          <w:b/>
          <w:bCs/>
          <w:sz w:val="22"/>
          <w:szCs w:val="22"/>
          <w:lang w:val="sr-Latn-ME"/>
        </w:rPr>
      </w:pPr>
      <w:r w:rsidRPr="0087318B">
        <w:rPr>
          <w:b/>
          <w:bCs/>
          <w:sz w:val="22"/>
          <w:szCs w:val="22"/>
          <w:lang w:val="sr-Latn-ME"/>
        </w:rPr>
        <w:t xml:space="preserve">4.7. </w:t>
      </w:r>
      <w:r w:rsidR="00480FB1" w:rsidRPr="0087318B">
        <w:rPr>
          <w:b/>
          <w:bCs/>
          <w:sz w:val="22"/>
          <w:szCs w:val="22"/>
          <w:lang w:val="sr-Latn-ME"/>
        </w:rPr>
        <w:tab/>
      </w:r>
      <w:r w:rsidRPr="0087318B">
        <w:rPr>
          <w:b/>
          <w:bCs/>
          <w:sz w:val="22"/>
          <w:szCs w:val="22"/>
          <w:lang w:val="sr-Latn-ME"/>
        </w:rPr>
        <w:t xml:space="preserve">Uticaj na </w:t>
      </w:r>
      <w:r w:rsidR="002031B3" w:rsidRPr="0087318B">
        <w:rPr>
          <w:b/>
          <w:bCs/>
          <w:sz w:val="22"/>
          <w:szCs w:val="22"/>
          <w:lang w:val="sr-Latn-ME"/>
        </w:rPr>
        <w:t xml:space="preserve">sposobnost </w:t>
      </w:r>
      <w:r w:rsidR="00F34554" w:rsidRPr="0087318B">
        <w:rPr>
          <w:b/>
          <w:bCs/>
          <w:sz w:val="22"/>
          <w:szCs w:val="22"/>
          <w:lang w:val="sr-Latn-ME"/>
        </w:rPr>
        <w:t>upravljanja vozili</w:t>
      </w:r>
      <w:r w:rsidRPr="0087318B">
        <w:rPr>
          <w:b/>
          <w:bCs/>
          <w:sz w:val="22"/>
          <w:szCs w:val="22"/>
          <w:lang w:val="sr-Latn-ME"/>
        </w:rPr>
        <w:t>m</w:t>
      </w:r>
      <w:r w:rsidR="00F34554" w:rsidRPr="0087318B">
        <w:rPr>
          <w:b/>
          <w:bCs/>
          <w:sz w:val="22"/>
          <w:szCs w:val="22"/>
          <w:lang w:val="sr-Latn-ME"/>
        </w:rPr>
        <w:t>a</w:t>
      </w:r>
      <w:r w:rsidRPr="0087318B">
        <w:rPr>
          <w:b/>
          <w:bCs/>
          <w:sz w:val="22"/>
          <w:szCs w:val="22"/>
          <w:lang w:val="sr-Latn-ME"/>
        </w:rPr>
        <w:t xml:space="preserve"> i </w:t>
      </w:r>
      <w:r w:rsidR="000D3449" w:rsidRPr="0087318B">
        <w:rPr>
          <w:b/>
          <w:bCs/>
          <w:sz w:val="22"/>
          <w:szCs w:val="22"/>
          <w:lang w:val="sr-Latn-ME"/>
        </w:rPr>
        <w:t xml:space="preserve">rukovanje </w:t>
      </w:r>
      <w:r w:rsidRPr="0087318B">
        <w:rPr>
          <w:b/>
          <w:bCs/>
          <w:sz w:val="22"/>
          <w:szCs w:val="22"/>
          <w:lang w:val="sr-Latn-ME"/>
        </w:rPr>
        <w:t>mašinama</w:t>
      </w:r>
    </w:p>
    <w:p w14:paraId="3FDD4FAE" w14:textId="77777777" w:rsidR="00D836EE" w:rsidRPr="0087318B" w:rsidRDefault="00D836EE" w:rsidP="00A66F57">
      <w:pPr>
        <w:tabs>
          <w:tab w:val="left" w:pos="540"/>
          <w:tab w:val="left" w:pos="569"/>
        </w:tabs>
        <w:ind w:left="540" w:hanging="540"/>
        <w:jc w:val="both"/>
        <w:rPr>
          <w:b/>
          <w:bCs/>
          <w:sz w:val="22"/>
          <w:szCs w:val="22"/>
          <w:lang w:val="sr-Latn-ME"/>
        </w:rPr>
      </w:pPr>
    </w:p>
    <w:p w14:paraId="6275A58C" w14:textId="61E0534E" w:rsidR="0072020E" w:rsidRPr="0087318B" w:rsidRDefault="00C81D72" w:rsidP="00A66F57">
      <w:pPr>
        <w:tabs>
          <w:tab w:val="left" w:pos="540"/>
          <w:tab w:val="left" w:pos="569"/>
        </w:tabs>
        <w:jc w:val="both"/>
        <w:rPr>
          <w:sz w:val="22"/>
          <w:szCs w:val="22"/>
          <w:lang w:val="sr-Latn-ME"/>
        </w:rPr>
      </w:pPr>
      <w:r>
        <w:rPr>
          <w:sz w:val="22"/>
          <w:szCs w:val="22"/>
          <w:lang w:val="sr-Latn-ME"/>
        </w:rPr>
        <w:t>Nijesu</w:t>
      </w:r>
      <w:r w:rsidR="00D836EE" w:rsidRPr="0087318B">
        <w:rPr>
          <w:sz w:val="22"/>
          <w:szCs w:val="22"/>
          <w:lang w:val="sr-Latn-ME"/>
        </w:rPr>
        <w:t xml:space="preserve"> sprovedena ispitivanja uticaja lijeka Co- Diovan na sposobnost upravljanja motornim vozilima i rukovanja mašinama. Pri upravljanju vozilima ili rukovanju mašinama treba imati na umu da se povremeno mogu javiti vrtoglavica ili umor.</w:t>
      </w:r>
    </w:p>
    <w:p w14:paraId="36072076" w14:textId="77777777" w:rsidR="00D836EE" w:rsidRPr="0087318B" w:rsidRDefault="00D836EE" w:rsidP="00A66F57">
      <w:pPr>
        <w:tabs>
          <w:tab w:val="left" w:pos="540"/>
          <w:tab w:val="left" w:pos="569"/>
        </w:tabs>
        <w:jc w:val="both"/>
        <w:rPr>
          <w:b/>
          <w:bCs/>
          <w:sz w:val="22"/>
          <w:szCs w:val="22"/>
          <w:lang w:val="sr-Latn-ME"/>
        </w:rPr>
      </w:pPr>
    </w:p>
    <w:p w14:paraId="565CCE2A" w14:textId="77777777" w:rsidR="0072020E" w:rsidRPr="0087318B" w:rsidRDefault="0072020E" w:rsidP="00A66F57">
      <w:pPr>
        <w:tabs>
          <w:tab w:val="left" w:pos="540"/>
          <w:tab w:val="left" w:pos="569"/>
        </w:tabs>
        <w:jc w:val="both"/>
        <w:rPr>
          <w:b/>
          <w:bCs/>
          <w:sz w:val="22"/>
          <w:szCs w:val="22"/>
          <w:lang w:val="sr-Latn-ME"/>
        </w:rPr>
      </w:pPr>
      <w:r w:rsidRPr="0087318B">
        <w:rPr>
          <w:b/>
          <w:bCs/>
          <w:sz w:val="22"/>
          <w:szCs w:val="22"/>
          <w:lang w:val="sr-Latn-ME"/>
        </w:rPr>
        <w:t xml:space="preserve">4.8. </w:t>
      </w:r>
      <w:r w:rsidR="00480FB1" w:rsidRPr="0087318B">
        <w:rPr>
          <w:b/>
          <w:bCs/>
          <w:sz w:val="22"/>
          <w:szCs w:val="22"/>
          <w:lang w:val="sr-Latn-ME"/>
        </w:rPr>
        <w:tab/>
      </w:r>
      <w:r w:rsidRPr="0087318B">
        <w:rPr>
          <w:b/>
          <w:bCs/>
          <w:sz w:val="22"/>
          <w:szCs w:val="22"/>
          <w:lang w:val="sr-Latn-ME"/>
        </w:rPr>
        <w:t>Neželjena dejstva</w:t>
      </w:r>
    </w:p>
    <w:p w14:paraId="2D9F41FE" w14:textId="77777777" w:rsidR="00D836EE" w:rsidRPr="0087318B" w:rsidRDefault="00D836EE" w:rsidP="00A66F57">
      <w:pPr>
        <w:tabs>
          <w:tab w:val="left" w:pos="540"/>
          <w:tab w:val="left" w:pos="569"/>
        </w:tabs>
        <w:jc w:val="both"/>
        <w:rPr>
          <w:b/>
          <w:bCs/>
          <w:sz w:val="22"/>
          <w:szCs w:val="22"/>
          <w:lang w:val="sr-Latn-ME"/>
        </w:rPr>
      </w:pPr>
    </w:p>
    <w:p w14:paraId="31A0E003" w14:textId="30592D43" w:rsidR="00D836EE" w:rsidRDefault="00D836EE" w:rsidP="00A66F57">
      <w:pPr>
        <w:shd w:val="clear" w:color="auto" w:fill="FFFFFF"/>
        <w:tabs>
          <w:tab w:val="left" w:pos="284"/>
        </w:tabs>
        <w:jc w:val="both"/>
        <w:rPr>
          <w:sz w:val="22"/>
          <w:szCs w:val="22"/>
          <w:lang w:val="sr-Latn-ME"/>
        </w:rPr>
      </w:pPr>
      <w:r w:rsidRPr="0087318B">
        <w:rPr>
          <w:sz w:val="22"/>
          <w:szCs w:val="22"/>
          <w:lang w:val="sr-Latn-ME"/>
        </w:rPr>
        <w:t>Neželjene reakcije na l</w:t>
      </w:r>
      <w:r w:rsidR="00AC5275">
        <w:rPr>
          <w:sz w:val="22"/>
          <w:szCs w:val="22"/>
          <w:lang w:val="sr-Latn-ME"/>
        </w:rPr>
        <w:t>ij</w:t>
      </w:r>
      <w:r w:rsidRPr="0087318B">
        <w:rPr>
          <w:sz w:val="22"/>
          <w:szCs w:val="22"/>
          <w:lang w:val="sr-Latn-ME"/>
        </w:rPr>
        <w:t xml:space="preserve">ek koje su </w:t>
      </w:r>
      <w:r w:rsidR="00C81D72">
        <w:rPr>
          <w:sz w:val="22"/>
          <w:szCs w:val="22"/>
          <w:lang w:val="sr-Latn-ME"/>
        </w:rPr>
        <w:t>zabiljež</w:t>
      </w:r>
      <w:r w:rsidRPr="0087318B">
        <w:rPr>
          <w:sz w:val="22"/>
          <w:szCs w:val="22"/>
          <w:lang w:val="sr-Latn-ME"/>
        </w:rPr>
        <w:t>ene u kliničkim studijama i laboratorijskim ispitivanjima češće su se javljale kod valsartana u kombinaciji sa hidrohlortiazidom nego kod placeba, a individualna postmarketinška iskustva su navedena u tabeli ispod, razvrstana na osnovu klasifikacije organskih sistema. Neželjene reakcije na l</w:t>
      </w:r>
      <w:r w:rsidR="006B4923">
        <w:rPr>
          <w:sz w:val="22"/>
          <w:szCs w:val="22"/>
          <w:lang w:val="sr-Latn-ME"/>
        </w:rPr>
        <w:t>ij</w:t>
      </w:r>
      <w:r w:rsidRPr="0087318B">
        <w:rPr>
          <w:sz w:val="22"/>
          <w:szCs w:val="22"/>
          <w:lang w:val="sr-Latn-ME"/>
        </w:rPr>
        <w:t xml:space="preserve">ek za koje se zna da se javljaju kada se svaka komponenta </w:t>
      </w:r>
      <w:r w:rsidR="009C4DAA">
        <w:rPr>
          <w:sz w:val="22"/>
          <w:szCs w:val="22"/>
          <w:lang w:val="sr-Latn-ME"/>
        </w:rPr>
        <w:t>lijeka</w:t>
      </w:r>
      <w:r w:rsidRPr="0087318B">
        <w:rPr>
          <w:sz w:val="22"/>
          <w:szCs w:val="22"/>
          <w:lang w:val="sr-Latn-ME"/>
        </w:rPr>
        <w:t xml:space="preserve"> prim</w:t>
      </w:r>
      <w:r w:rsidR="006B4923">
        <w:rPr>
          <w:sz w:val="22"/>
          <w:szCs w:val="22"/>
          <w:lang w:val="sr-Latn-ME"/>
        </w:rPr>
        <w:t>j</w:t>
      </w:r>
      <w:r w:rsidRPr="0087318B">
        <w:rPr>
          <w:sz w:val="22"/>
          <w:szCs w:val="22"/>
          <w:lang w:val="sr-Latn-ME"/>
        </w:rPr>
        <w:t xml:space="preserve">enjuje pojedinačno, a </w:t>
      </w:r>
      <w:r w:rsidR="00C81D72">
        <w:rPr>
          <w:sz w:val="22"/>
          <w:szCs w:val="22"/>
          <w:lang w:val="sr-Latn-ME"/>
        </w:rPr>
        <w:t>nijesu</w:t>
      </w:r>
      <w:r w:rsidRPr="0087318B">
        <w:rPr>
          <w:sz w:val="22"/>
          <w:szCs w:val="22"/>
          <w:lang w:val="sr-Latn-ME"/>
        </w:rPr>
        <w:t xml:space="preserve"> </w:t>
      </w:r>
      <w:r w:rsidR="00C81D72">
        <w:rPr>
          <w:sz w:val="22"/>
          <w:szCs w:val="22"/>
          <w:lang w:val="sr-Latn-ME"/>
        </w:rPr>
        <w:t>zabiljež</w:t>
      </w:r>
      <w:r w:rsidRPr="0087318B">
        <w:rPr>
          <w:sz w:val="22"/>
          <w:szCs w:val="22"/>
          <w:lang w:val="sr-Latn-ME"/>
        </w:rPr>
        <w:t>ene tokom kliničkih studija, mogu se pojaviti tokom terapije valsartanom/hidrohlortiazidom.</w:t>
      </w:r>
    </w:p>
    <w:p w14:paraId="03BE9495" w14:textId="77777777" w:rsidR="00D836EE" w:rsidRPr="0087318B" w:rsidRDefault="00D836EE" w:rsidP="00A66F57">
      <w:pPr>
        <w:shd w:val="clear" w:color="auto" w:fill="FFFFFF"/>
        <w:tabs>
          <w:tab w:val="left" w:pos="284"/>
        </w:tabs>
        <w:jc w:val="both"/>
        <w:rPr>
          <w:sz w:val="22"/>
          <w:szCs w:val="22"/>
          <w:lang w:val="sr-Latn-ME"/>
        </w:rPr>
      </w:pPr>
    </w:p>
    <w:p w14:paraId="4156C22A" w14:textId="32FFB944"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Neželjene reakcije na l</w:t>
      </w:r>
      <w:r w:rsidR="00FA2D3F">
        <w:rPr>
          <w:sz w:val="22"/>
          <w:szCs w:val="22"/>
          <w:lang w:val="sr-Latn-ME"/>
        </w:rPr>
        <w:t>ij</w:t>
      </w:r>
      <w:r w:rsidRPr="0087318B">
        <w:rPr>
          <w:sz w:val="22"/>
          <w:szCs w:val="22"/>
          <w:lang w:val="sr-Latn-ME"/>
        </w:rPr>
        <w:t>ek</w:t>
      </w:r>
    </w:p>
    <w:p w14:paraId="38639B47" w14:textId="6EAD2779"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Neželjene reakcije su klasifikovane prema učestalosti, najučestalije su navedene prve i to na sl</w:t>
      </w:r>
      <w:r w:rsidR="00FA2D3F">
        <w:rPr>
          <w:sz w:val="22"/>
          <w:szCs w:val="22"/>
          <w:lang w:val="sr-Latn-ME"/>
        </w:rPr>
        <w:t>j</w:t>
      </w:r>
      <w:r w:rsidRPr="0087318B">
        <w:rPr>
          <w:sz w:val="22"/>
          <w:szCs w:val="22"/>
          <w:lang w:val="sr-Latn-ME"/>
        </w:rPr>
        <w:t xml:space="preserve">edeći način: </w:t>
      </w:r>
    </w:p>
    <w:p w14:paraId="6048BA59" w14:textId="6F0351F2"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Veoma često (≥1/10); često (≥1/100 do &lt;1/10); povremeno (≥1/1000 do &lt;1/100); r</w:t>
      </w:r>
      <w:r w:rsidR="00FA2D3F">
        <w:rPr>
          <w:sz w:val="22"/>
          <w:szCs w:val="22"/>
          <w:lang w:val="sr-Latn-ME"/>
        </w:rPr>
        <w:t>ij</w:t>
      </w:r>
      <w:r w:rsidRPr="0087318B">
        <w:rPr>
          <w:sz w:val="22"/>
          <w:szCs w:val="22"/>
          <w:lang w:val="sr-Latn-ME"/>
        </w:rPr>
        <w:t>etko (≥1/10 000 do &lt;1/1000); veoma r</w:t>
      </w:r>
      <w:r w:rsidR="00FA2D3F">
        <w:rPr>
          <w:sz w:val="22"/>
          <w:szCs w:val="22"/>
          <w:lang w:val="sr-Latn-ME"/>
        </w:rPr>
        <w:t>ij</w:t>
      </w:r>
      <w:r w:rsidRPr="0087318B">
        <w:rPr>
          <w:sz w:val="22"/>
          <w:szCs w:val="22"/>
          <w:lang w:val="sr-Latn-ME"/>
        </w:rPr>
        <w:t>etko (&lt;1/10 000), nepoznato (učestalost se ne može proc</w:t>
      </w:r>
      <w:r w:rsidR="006B4923">
        <w:rPr>
          <w:sz w:val="22"/>
          <w:szCs w:val="22"/>
          <w:lang w:val="sr-Latn-ME"/>
        </w:rPr>
        <w:t>ij</w:t>
      </w:r>
      <w:r w:rsidRPr="0087318B">
        <w:rPr>
          <w:sz w:val="22"/>
          <w:szCs w:val="22"/>
          <w:lang w:val="sr-Latn-ME"/>
        </w:rPr>
        <w:t>eniti na osnovu dostupnih podataka).</w:t>
      </w:r>
    </w:p>
    <w:p w14:paraId="6121D414" w14:textId="52438B5D"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lastRenderedPageBreak/>
        <w:t>U svakoj grupi učestalosti, neželjene reakcije na l</w:t>
      </w:r>
      <w:r w:rsidR="00FA2D3F">
        <w:rPr>
          <w:sz w:val="22"/>
          <w:szCs w:val="22"/>
          <w:lang w:val="sr-Latn-ME"/>
        </w:rPr>
        <w:t>ij</w:t>
      </w:r>
      <w:r w:rsidRPr="0087318B">
        <w:rPr>
          <w:sz w:val="22"/>
          <w:szCs w:val="22"/>
          <w:lang w:val="sr-Latn-ME"/>
        </w:rPr>
        <w:t>ek su rangirane prema opadajućoj ozbiljnosti.</w:t>
      </w:r>
    </w:p>
    <w:p w14:paraId="6CCE32C7" w14:textId="77777777" w:rsidR="00D836EE" w:rsidRPr="0087318B" w:rsidRDefault="00D836EE" w:rsidP="00A66F57">
      <w:pPr>
        <w:shd w:val="clear" w:color="auto" w:fill="FFFFFF"/>
        <w:tabs>
          <w:tab w:val="left" w:pos="284"/>
        </w:tabs>
        <w:jc w:val="both"/>
        <w:rPr>
          <w:sz w:val="22"/>
          <w:szCs w:val="22"/>
          <w:lang w:val="sr-Latn-ME"/>
        </w:rPr>
      </w:pPr>
    </w:p>
    <w:p w14:paraId="7AC8B62A" w14:textId="0764A890" w:rsidR="00D836EE" w:rsidRPr="0087318B" w:rsidRDefault="00D836EE" w:rsidP="00A66F57">
      <w:pPr>
        <w:shd w:val="clear" w:color="auto" w:fill="FFFFFF"/>
        <w:tabs>
          <w:tab w:val="left" w:pos="284"/>
        </w:tabs>
        <w:jc w:val="both"/>
        <w:rPr>
          <w:sz w:val="22"/>
          <w:szCs w:val="22"/>
          <w:lang w:val="sr-Latn-ME"/>
        </w:rPr>
      </w:pPr>
      <w:r w:rsidRPr="00A66F57">
        <w:rPr>
          <w:sz w:val="22"/>
          <w:szCs w:val="22"/>
          <w:lang w:val="sr-Latn-ME"/>
        </w:rPr>
        <w:t>Tabela 1. Učestalost neželjenih događaja sa valsartanom/hidrohlortiazidom</w:t>
      </w:r>
    </w:p>
    <w:p w14:paraId="3BA3564F" w14:textId="77777777" w:rsidR="0084780A" w:rsidRPr="00A66F57" w:rsidRDefault="0084780A" w:rsidP="00A66F57">
      <w:pPr>
        <w:shd w:val="clear" w:color="auto" w:fill="FFFFFF"/>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2"/>
      </w:tblGrid>
      <w:tr w:rsidR="00D836EE" w:rsidRPr="0087318B" w14:paraId="2BDC00C6" w14:textId="77777777" w:rsidTr="00A66F57">
        <w:tc>
          <w:tcPr>
            <w:tcW w:w="5000" w:type="pct"/>
            <w:gridSpan w:val="2"/>
            <w:shd w:val="clear" w:color="auto" w:fill="auto"/>
          </w:tcPr>
          <w:p w14:paraId="010159BB" w14:textId="77777777" w:rsidR="00D836EE" w:rsidRPr="0087318B" w:rsidRDefault="00D836EE" w:rsidP="00B857C4">
            <w:pPr>
              <w:shd w:val="clear" w:color="auto" w:fill="FFFFFF"/>
              <w:tabs>
                <w:tab w:val="left" w:pos="284"/>
              </w:tabs>
              <w:rPr>
                <w:b/>
                <w:sz w:val="22"/>
                <w:szCs w:val="22"/>
                <w:lang w:val="sr-Latn-ME"/>
              </w:rPr>
            </w:pPr>
            <w:r w:rsidRPr="0087318B">
              <w:rPr>
                <w:b/>
                <w:sz w:val="22"/>
                <w:szCs w:val="22"/>
                <w:lang w:val="sr-Latn-ME"/>
              </w:rPr>
              <w:t>Poremećaji metabolizma i ishrane</w:t>
            </w:r>
          </w:p>
        </w:tc>
      </w:tr>
      <w:tr w:rsidR="00D836EE" w:rsidRPr="0087318B" w14:paraId="12BEC2E6" w14:textId="77777777" w:rsidTr="00A66F57">
        <w:tc>
          <w:tcPr>
            <w:tcW w:w="2500" w:type="pct"/>
            <w:shd w:val="clear" w:color="auto" w:fill="auto"/>
          </w:tcPr>
          <w:p w14:paraId="32167B5B"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238725B8" w14:textId="0B505059" w:rsidR="00D836EE" w:rsidRPr="0087318B" w:rsidRDefault="00AF5FC7" w:rsidP="00B857C4">
            <w:pPr>
              <w:shd w:val="clear" w:color="auto" w:fill="FFFFFF"/>
              <w:tabs>
                <w:tab w:val="left" w:pos="284"/>
              </w:tabs>
              <w:rPr>
                <w:sz w:val="22"/>
                <w:szCs w:val="22"/>
                <w:lang w:val="sr-Latn-ME"/>
              </w:rPr>
            </w:pPr>
            <w:r w:rsidRPr="0087318B">
              <w:rPr>
                <w:sz w:val="22"/>
                <w:szCs w:val="22"/>
                <w:lang w:val="sr-Latn-ME"/>
              </w:rPr>
              <w:t>D</w:t>
            </w:r>
            <w:r w:rsidR="00D836EE" w:rsidRPr="0087318B">
              <w:rPr>
                <w:sz w:val="22"/>
                <w:szCs w:val="22"/>
                <w:lang w:val="sr-Latn-ME"/>
              </w:rPr>
              <w:t>ehidratacija</w:t>
            </w:r>
          </w:p>
        </w:tc>
      </w:tr>
      <w:tr w:rsidR="00D836EE" w:rsidRPr="0087318B" w14:paraId="4896EE5D" w14:textId="77777777" w:rsidTr="00A66F57">
        <w:tc>
          <w:tcPr>
            <w:tcW w:w="5000" w:type="pct"/>
            <w:gridSpan w:val="2"/>
            <w:shd w:val="clear" w:color="auto" w:fill="auto"/>
          </w:tcPr>
          <w:p w14:paraId="3B47B27B" w14:textId="77777777" w:rsidR="00D836EE" w:rsidRPr="0087318B" w:rsidRDefault="00D836EE" w:rsidP="00B857C4">
            <w:pPr>
              <w:shd w:val="clear" w:color="auto" w:fill="FFFFFF"/>
              <w:tabs>
                <w:tab w:val="left" w:pos="284"/>
              </w:tabs>
              <w:rPr>
                <w:b/>
                <w:sz w:val="22"/>
                <w:szCs w:val="22"/>
                <w:lang w:val="sr-Latn-ME"/>
              </w:rPr>
            </w:pPr>
            <w:r w:rsidRPr="0087318B">
              <w:rPr>
                <w:b/>
                <w:sz w:val="22"/>
                <w:szCs w:val="22"/>
                <w:lang w:val="sr-Latn-ME"/>
              </w:rPr>
              <w:t>Poremećaji nervnog sistema</w:t>
            </w:r>
          </w:p>
        </w:tc>
      </w:tr>
      <w:tr w:rsidR="00D836EE" w:rsidRPr="0087318B" w14:paraId="2CDC1005" w14:textId="77777777" w:rsidTr="00A66F57">
        <w:tc>
          <w:tcPr>
            <w:tcW w:w="2500" w:type="pct"/>
            <w:shd w:val="clear" w:color="auto" w:fill="auto"/>
          </w:tcPr>
          <w:p w14:paraId="6143477D" w14:textId="0AFC9718"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Veoma r</w:t>
            </w:r>
            <w:r w:rsidR="00FA2D3F">
              <w:rPr>
                <w:sz w:val="22"/>
                <w:szCs w:val="22"/>
                <w:lang w:val="sr-Latn-ME"/>
              </w:rPr>
              <w:t>ij</w:t>
            </w:r>
            <w:r w:rsidRPr="0087318B">
              <w:rPr>
                <w:sz w:val="22"/>
                <w:szCs w:val="22"/>
                <w:lang w:val="sr-Latn-ME"/>
              </w:rPr>
              <w:t xml:space="preserve">etko </w:t>
            </w:r>
          </w:p>
        </w:tc>
        <w:tc>
          <w:tcPr>
            <w:tcW w:w="2500" w:type="pct"/>
            <w:shd w:val="clear" w:color="auto" w:fill="auto"/>
          </w:tcPr>
          <w:p w14:paraId="6D1A8137" w14:textId="2CDC6CD5" w:rsidR="00D836EE" w:rsidRPr="0087318B" w:rsidRDefault="00AF5FC7" w:rsidP="00B857C4">
            <w:pPr>
              <w:shd w:val="clear" w:color="auto" w:fill="FFFFFF"/>
              <w:tabs>
                <w:tab w:val="left" w:pos="284"/>
              </w:tabs>
              <w:rPr>
                <w:sz w:val="22"/>
                <w:szCs w:val="22"/>
                <w:lang w:val="sr-Latn-ME"/>
              </w:rPr>
            </w:pPr>
            <w:r w:rsidRPr="0087318B">
              <w:rPr>
                <w:sz w:val="22"/>
                <w:szCs w:val="22"/>
                <w:lang w:val="sr-Latn-ME"/>
              </w:rPr>
              <w:t>V</w:t>
            </w:r>
            <w:r w:rsidR="00D836EE" w:rsidRPr="0087318B">
              <w:rPr>
                <w:sz w:val="22"/>
                <w:szCs w:val="22"/>
                <w:lang w:val="sr-Latn-ME"/>
              </w:rPr>
              <w:t>rtoglavica</w:t>
            </w:r>
          </w:p>
        </w:tc>
      </w:tr>
      <w:tr w:rsidR="00D836EE" w:rsidRPr="0087318B" w14:paraId="3895A117" w14:textId="77777777" w:rsidTr="00A66F57">
        <w:tc>
          <w:tcPr>
            <w:tcW w:w="2500" w:type="pct"/>
            <w:shd w:val="clear" w:color="auto" w:fill="auto"/>
          </w:tcPr>
          <w:p w14:paraId="115F5F2B"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12D2B5D0" w14:textId="10BD3002" w:rsidR="00D836EE" w:rsidRPr="0087318B" w:rsidRDefault="00AF5FC7" w:rsidP="00B857C4">
            <w:pPr>
              <w:shd w:val="clear" w:color="auto" w:fill="FFFFFF"/>
              <w:tabs>
                <w:tab w:val="left" w:pos="284"/>
              </w:tabs>
              <w:rPr>
                <w:sz w:val="22"/>
                <w:szCs w:val="22"/>
                <w:lang w:val="sr-Latn-ME"/>
              </w:rPr>
            </w:pPr>
            <w:r w:rsidRPr="0087318B">
              <w:rPr>
                <w:sz w:val="22"/>
                <w:szCs w:val="22"/>
                <w:lang w:val="sr-Latn-ME"/>
              </w:rPr>
              <w:t>P</w:t>
            </w:r>
            <w:r w:rsidR="00D836EE" w:rsidRPr="0087318B">
              <w:rPr>
                <w:sz w:val="22"/>
                <w:szCs w:val="22"/>
                <w:lang w:val="sr-Latn-ME"/>
              </w:rPr>
              <w:t>arestezija</w:t>
            </w:r>
          </w:p>
        </w:tc>
      </w:tr>
      <w:tr w:rsidR="00D836EE" w:rsidRPr="0087318B" w14:paraId="648B8EA2" w14:textId="77777777" w:rsidTr="00A66F57">
        <w:tc>
          <w:tcPr>
            <w:tcW w:w="2500" w:type="pct"/>
            <w:shd w:val="clear" w:color="auto" w:fill="auto"/>
          </w:tcPr>
          <w:p w14:paraId="5F51AF7E"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5BC66131"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sinkopa</w:t>
            </w:r>
          </w:p>
        </w:tc>
      </w:tr>
      <w:tr w:rsidR="00D836EE" w:rsidRPr="0087318B" w14:paraId="67CC1EF3" w14:textId="77777777" w:rsidTr="00A66F57">
        <w:tc>
          <w:tcPr>
            <w:tcW w:w="5000" w:type="pct"/>
            <w:gridSpan w:val="2"/>
            <w:shd w:val="clear" w:color="auto" w:fill="auto"/>
          </w:tcPr>
          <w:p w14:paraId="58EBC407"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oka</w:t>
            </w:r>
          </w:p>
        </w:tc>
      </w:tr>
      <w:tr w:rsidR="00D836EE" w:rsidRPr="0087318B" w14:paraId="71BB6BE1" w14:textId="77777777" w:rsidTr="00A66F57">
        <w:tc>
          <w:tcPr>
            <w:tcW w:w="2500" w:type="pct"/>
            <w:shd w:val="clear" w:color="auto" w:fill="auto"/>
          </w:tcPr>
          <w:p w14:paraId="1CCC4B63"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6474D926"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zamagljenje vida</w:t>
            </w:r>
          </w:p>
        </w:tc>
      </w:tr>
      <w:tr w:rsidR="00D836EE" w:rsidRPr="0087318B" w14:paraId="69AA4B06" w14:textId="77777777" w:rsidTr="00A66F57">
        <w:tc>
          <w:tcPr>
            <w:tcW w:w="5000" w:type="pct"/>
            <w:gridSpan w:val="2"/>
            <w:shd w:val="clear" w:color="auto" w:fill="auto"/>
          </w:tcPr>
          <w:p w14:paraId="3E269837"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 xml:space="preserve">Poremećaji uha i labirinta </w:t>
            </w:r>
          </w:p>
        </w:tc>
      </w:tr>
      <w:tr w:rsidR="00D836EE" w:rsidRPr="0087318B" w14:paraId="43DECDBA" w14:textId="77777777" w:rsidTr="00A66F57">
        <w:tc>
          <w:tcPr>
            <w:tcW w:w="2500" w:type="pct"/>
            <w:shd w:val="clear" w:color="auto" w:fill="auto"/>
          </w:tcPr>
          <w:p w14:paraId="450D053D"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1F8EC9C2"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tinitus</w:t>
            </w:r>
          </w:p>
        </w:tc>
      </w:tr>
      <w:tr w:rsidR="00D836EE" w:rsidRPr="0087318B" w14:paraId="3BD15868" w14:textId="77777777" w:rsidTr="00A66F57">
        <w:tc>
          <w:tcPr>
            <w:tcW w:w="5000" w:type="pct"/>
            <w:gridSpan w:val="2"/>
            <w:shd w:val="clear" w:color="auto" w:fill="auto"/>
          </w:tcPr>
          <w:p w14:paraId="55871F87"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Vaskularni poremećaji</w:t>
            </w:r>
          </w:p>
        </w:tc>
      </w:tr>
      <w:tr w:rsidR="00D836EE" w:rsidRPr="0087318B" w14:paraId="2C48B46F" w14:textId="77777777" w:rsidTr="00A66F57">
        <w:tc>
          <w:tcPr>
            <w:tcW w:w="2500" w:type="pct"/>
            <w:shd w:val="clear" w:color="auto" w:fill="auto"/>
          </w:tcPr>
          <w:p w14:paraId="693969DE"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5A9F4C8D"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hipotenzija</w:t>
            </w:r>
          </w:p>
        </w:tc>
      </w:tr>
      <w:tr w:rsidR="00D836EE" w:rsidRPr="0087318B" w14:paraId="131C1D94" w14:textId="77777777" w:rsidTr="00A66F57">
        <w:tc>
          <w:tcPr>
            <w:tcW w:w="5000" w:type="pct"/>
            <w:gridSpan w:val="2"/>
            <w:shd w:val="clear" w:color="auto" w:fill="auto"/>
          </w:tcPr>
          <w:p w14:paraId="7C3EDFC9"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Respiratorni, torakalni i medijastinalni poremećaji</w:t>
            </w:r>
          </w:p>
        </w:tc>
      </w:tr>
      <w:tr w:rsidR="00D836EE" w:rsidRPr="0087318B" w14:paraId="333C6C09" w14:textId="77777777" w:rsidTr="00A66F57">
        <w:tc>
          <w:tcPr>
            <w:tcW w:w="2500" w:type="pct"/>
            <w:shd w:val="clear" w:color="auto" w:fill="auto"/>
          </w:tcPr>
          <w:p w14:paraId="38A77E79"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0CABBB48"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kašalj</w:t>
            </w:r>
          </w:p>
        </w:tc>
      </w:tr>
      <w:tr w:rsidR="00D836EE" w:rsidRPr="0087318B" w14:paraId="125D6925" w14:textId="77777777" w:rsidTr="00A66F57">
        <w:tc>
          <w:tcPr>
            <w:tcW w:w="2500" w:type="pct"/>
            <w:shd w:val="clear" w:color="auto" w:fill="auto"/>
          </w:tcPr>
          <w:p w14:paraId="3009558F"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712422F1"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nekardiološki edem pluća</w:t>
            </w:r>
          </w:p>
        </w:tc>
      </w:tr>
      <w:tr w:rsidR="00D836EE" w:rsidRPr="0087318B" w14:paraId="60FD67BA" w14:textId="77777777" w:rsidTr="00A66F57">
        <w:tc>
          <w:tcPr>
            <w:tcW w:w="5000" w:type="pct"/>
            <w:gridSpan w:val="2"/>
            <w:shd w:val="clear" w:color="auto" w:fill="auto"/>
          </w:tcPr>
          <w:p w14:paraId="24977201"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Gastrointestinalni poremećaji</w:t>
            </w:r>
          </w:p>
        </w:tc>
      </w:tr>
      <w:tr w:rsidR="00D836EE" w:rsidRPr="0087318B" w14:paraId="421E97ED" w14:textId="77777777" w:rsidTr="00A66F57">
        <w:tc>
          <w:tcPr>
            <w:tcW w:w="2500" w:type="pct"/>
            <w:shd w:val="clear" w:color="auto" w:fill="auto"/>
          </w:tcPr>
          <w:p w14:paraId="748142D4" w14:textId="2E998E25"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Veoma r</w:t>
            </w:r>
            <w:r w:rsidR="00FA2D3F">
              <w:rPr>
                <w:sz w:val="22"/>
                <w:szCs w:val="22"/>
                <w:lang w:val="sr-Latn-ME"/>
              </w:rPr>
              <w:t>ij</w:t>
            </w:r>
            <w:r w:rsidRPr="0087318B">
              <w:rPr>
                <w:sz w:val="22"/>
                <w:szCs w:val="22"/>
                <w:lang w:val="sr-Latn-ME"/>
              </w:rPr>
              <w:t xml:space="preserve">etko </w:t>
            </w:r>
          </w:p>
        </w:tc>
        <w:tc>
          <w:tcPr>
            <w:tcW w:w="2500" w:type="pct"/>
            <w:shd w:val="clear" w:color="auto" w:fill="auto"/>
          </w:tcPr>
          <w:p w14:paraId="1DEDAD50"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dijareja</w:t>
            </w:r>
          </w:p>
        </w:tc>
      </w:tr>
      <w:tr w:rsidR="00D836EE" w:rsidRPr="0087318B" w14:paraId="501ED73B" w14:textId="77777777" w:rsidTr="00A66F57">
        <w:tc>
          <w:tcPr>
            <w:tcW w:w="5000" w:type="pct"/>
            <w:gridSpan w:val="2"/>
            <w:shd w:val="clear" w:color="auto" w:fill="auto"/>
          </w:tcPr>
          <w:p w14:paraId="2AB72BFA"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mišično-koštanog sistema i vezivnog tkiva</w:t>
            </w:r>
          </w:p>
        </w:tc>
      </w:tr>
      <w:tr w:rsidR="00D836EE" w:rsidRPr="0087318B" w14:paraId="5320CFCC" w14:textId="77777777" w:rsidTr="00A66F57">
        <w:tc>
          <w:tcPr>
            <w:tcW w:w="2500" w:type="pct"/>
            <w:shd w:val="clear" w:color="auto" w:fill="auto"/>
          </w:tcPr>
          <w:p w14:paraId="4A33E23A"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437AA536"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mijalgija</w:t>
            </w:r>
          </w:p>
        </w:tc>
      </w:tr>
      <w:tr w:rsidR="00D836EE" w:rsidRPr="0087318B" w14:paraId="13F20D66" w14:textId="77777777" w:rsidTr="00A66F57">
        <w:tc>
          <w:tcPr>
            <w:tcW w:w="2500" w:type="pct"/>
            <w:shd w:val="clear" w:color="auto" w:fill="auto"/>
          </w:tcPr>
          <w:p w14:paraId="2CD0B461" w14:textId="0B85F65F"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Veoma r</w:t>
            </w:r>
            <w:r w:rsidR="00FA2D3F">
              <w:rPr>
                <w:sz w:val="22"/>
                <w:szCs w:val="22"/>
                <w:lang w:val="sr-Latn-ME"/>
              </w:rPr>
              <w:t>ij</w:t>
            </w:r>
            <w:r w:rsidRPr="0087318B">
              <w:rPr>
                <w:sz w:val="22"/>
                <w:szCs w:val="22"/>
                <w:lang w:val="sr-Latn-ME"/>
              </w:rPr>
              <w:t xml:space="preserve">etko </w:t>
            </w:r>
          </w:p>
        </w:tc>
        <w:tc>
          <w:tcPr>
            <w:tcW w:w="2500" w:type="pct"/>
            <w:shd w:val="clear" w:color="auto" w:fill="auto"/>
          </w:tcPr>
          <w:p w14:paraId="5DA4BCF6"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artralgija</w:t>
            </w:r>
          </w:p>
        </w:tc>
      </w:tr>
      <w:tr w:rsidR="00D836EE" w:rsidRPr="0087318B" w14:paraId="2E2A739E" w14:textId="77777777" w:rsidTr="00A66F57">
        <w:tc>
          <w:tcPr>
            <w:tcW w:w="5000" w:type="pct"/>
            <w:gridSpan w:val="2"/>
            <w:shd w:val="clear" w:color="auto" w:fill="auto"/>
          </w:tcPr>
          <w:p w14:paraId="47F8C856"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bubrega i urinarnog sistema</w:t>
            </w:r>
          </w:p>
        </w:tc>
      </w:tr>
      <w:tr w:rsidR="00D836EE" w:rsidRPr="0087318B" w14:paraId="281D6459" w14:textId="77777777" w:rsidTr="00A66F57">
        <w:tc>
          <w:tcPr>
            <w:tcW w:w="2500" w:type="pct"/>
            <w:shd w:val="clear" w:color="auto" w:fill="auto"/>
          </w:tcPr>
          <w:p w14:paraId="2DA24F37"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46C5AA27"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poremećena bubrežna funkcija</w:t>
            </w:r>
          </w:p>
        </w:tc>
      </w:tr>
      <w:tr w:rsidR="00D836EE" w:rsidRPr="0087318B" w14:paraId="239BA94C" w14:textId="77777777" w:rsidTr="00A66F57">
        <w:tc>
          <w:tcPr>
            <w:tcW w:w="5000" w:type="pct"/>
            <w:gridSpan w:val="2"/>
            <w:shd w:val="clear" w:color="auto" w:fill="auto"/>
          </w:tcPr>
          <w:p w14:paraId="0A9F7D6E" w14:textId="4DB8C8EF"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Opšti poremećaji i reakcije na m</w:t>
            </w:r>
            <w:r w:rsidR="006B4923">
              <w:rPr>
                <w:b/>
                <w:bCs/>
                <w:sz w:val="22"/>
                <w:szCs w:val="22"/>
                <w:lang w:val="sr-Latn-ME"/>
              </w:rPr>
              <w:t>j</w:t>
            </w:r>
            <w:r w:rsidRPr="0087318B">
              <w:rPr>
                <w:b/>
                <w:bCs/>
                <w:sz w:val="22"/>
                <w:szCs w:val="22"/>
                <w:lang w:val="sr-Latn-ME"/>
              </w:rPr>
              <w:t xml:space="preserve">estu </w:t>
            </w:r>
            <w:r w:rsidR="009C4DAA">
              <w:rPr>
                <w:b/>
                <w:bCs/>
                <w:sz w:val="22"/>
                <w:szCs w:val="22"/>
                <w:lang w:val="sr-Latn-ME"/>
              </w:rPr>
              <w:t>primjene</w:t>
            </w:r>
          </w:p>
        </w:tc>
      </w:tr>
      <w:tr w:rsidR="00D836EE" w:rsidRPr="0087318B" w14:paraId="61B13369" w14:textId="77777777" w:rsidTr="00A66F57">
        <w:tc>
          <w:tcPr>
            <w:tcW w:w="2500" w:type="pct"/>
            <w:shd w:val="clear" w:color="auto" w:fill="auto"/>
          </w:tcPr>
          <w:p w14:paraId="25BA9543"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01FCFE37"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zamor</w:t>
            </w:r>
          </w:p>
        </w:tc>
      </w:tr>
      <w:tr w:rsidR="00D836EE" w:rsidRPr="0087318B" w14:paraId="465B39A5" w14:textId="77777777" w:rsidTr="00A66F57">
        <w:tc>
          <w:tcPr>
            <w:tcW w:w="5000" w:type="pct"/>
            <w:gridSpan w:val="2"/>
            <w:shd w:val="clear" w:color="auto" w:fill="auto"/>
          </w:tcPr>
          <w:p w14:paraId="660E1C29"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Ispitivanja</w:t>
            </w:r>
          </w:p>
        </w:tc>
      </w:tr>
      <w:tr w:rsidR="00D836EE" w:rsidRPr="0004360F" w14:paraId="089E49A0" w14:textId="77777777" w:rsidTr="00A66F57">
        <w:tc>
          <w:tcPr>
            <w:tcW w:w="2500" w:type="pct"/>
            <w:shd w:val="clear" w:color="auto" w:fill="auto"/>
          </w:tcPr>
          <w:p w14:paraId="34BF463C"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28F636BA" w14:textId="3F620F0E"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povećanje nivoa  mokraćne kiseline u serumu, povećanje kreatinina i bilirubina u serumu</w:t>
            </w:r>
            <w:r w:rsidR="006B4923">
              <w:rPr>
                <w:sz w:val="22"/>
                <w:szCs w:val="22"/>
                <w:lang w:val="sr-Latn-ME"/>
              </w:rPr>
              <w:t>,</w:t>
            </w:r>
            <w:r w:rsidRPr="0087318B">
              <w:rPr>
                <w:sz w:val="22"/>
                <w:szCs w:val="22"/>
                <w:lang w:val="sr-Latn-ME"/>
              </w:rPr>
              <w:t xml:space="preserve"> hipokalijemija, hiponatrijemija, povećanje koncentracije azota iz uree u krvi, neutropenija</w:t>
            </w:r>
          </w:p>
        </w:tc>
      </w:tr>
    </w:tbl>
    <w:p w14:paraId="415E0716" w14:textId="77777777" w:rsidR="004E70AD" w:rsidRPr="0087318B" w:rsidRDefault="004E70AD" w:rsidP="00B857C4">
      <w:pPr>
        <w:tabs>
          <w:tab w:val="left" w:pos="540"/>
          <w:tab w:val="left" w:pos="569"/>
        </w:tabs>
        <w:rPr>
          <w:b/>
          <w:bCs/>
          <w:sz w:val="22"/>
          <w:szCs w:val="22"/>
          <w:lang w:val="sr-Latn-ME"/>
        </w:rPr>
      </w:pPr>
    </w:p>
    <w:p w14:paraId="68636F6F" w14:textId="77777777" w:rsidR="00D836EE" w:rsidRPr="0087318B" w:rsidRDefault="00D836EE" w:rsidP="00A66F57">
      <w:pPr>
        <w:shd w:val="clear" w:color="auto" w:fill="FFFFFF"/>
        <w:tabs>
          <w:tab w:val="left" w:pos="284"/>
        </w:tabs>
        <w:jc w:val="both"/>
        <w:rPr>
          <w:sz w:val="22"/>
          <w:szCs w:val="22"/>
          <w:u w:val="single"/>
          <w:lang w:val="sr-Latn-ME"/>
        </w:rPr>
      </w:pPr>
      <w:r w:rsidRPr="0087318B">
        <w:rPr>
          <w:sz w:val="22"/>
          <w:szCs w:val="22"/>
          <w:u w:val="single"/>
          <w:lang w:val="sr-Latn-ME"/>
        </w:rPr>
        <w:t>Dodatne informacije o individualnim komponetama</w:t>
      </w:r>
    </w:p>
    <w:p w14:paraId="49B6DBD3" w14:textId="617411A4"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Neželjene reakcije prethodno prijavljene kod jedne od individualnih komponenata, mogu se javiti i kao neželjena reakcija </w:t>
      </w:r>
      <w:r w:rsidR="009C4DAA">
        <w:rPr>
          <w:sz w:val="22"/>
          <w:szCs w:val="22"/>
          <w:lang w:val="sr-Latn-ME"/>
        </w:rPr>
        <w:t>lijeka</w:t>
      </w:r>
      <w:r w:rsidRPr="0087318B">
        <w:rPr>
          <w:sz w:val="22"/>
          <w:szCs w:val="22"/>
          <w:lang w:val="sr-Latn-ME"/>
        </w:rPr>
        <w:t xml:space="preserve"> Co-Diovan, iako </w:t>
      </w:r>
      <w:r w:rsidR="00C81D72">
        <w:rPr>
          <w:sz w:val="22"/>
          <w:szCs w:val="22"/>
          <w:lang w:val="sr-Latn-ME"/>
        </w:rPr>
        <w:t>nijesu</w:t>
      </w:r>
      <w:r w:rsidRPr="0087318B">
        <w:rPr>
          <w:sz w:val="22"/>
          <w:szCs w:val="22"/>
          <w:lang w:val="sr-Latn-ME"/>
        </w:rPr>
        <w:t xml:space="preserve"> zab</w:t>
      </w:r>
      <w:r w:rsidR="00FA2D3F">
        <w:rPr>
          <w:sz w:val="22"/>
          <w:szCs w:val="22"/>
          <w:lang w:val="sr-Latn-ME"/>
        </w:rPr>
        <w:t>i</w:t>
      </w:r>
      <w:r w:rsidRPr="0087318B">
        <w:rPr>
          <w:sz w:val="22"/>
          <w:szCs w:val="22"/>
          <w:lang w:val="sr-Latn-ME"/>
        </w:rPr>
        <w:t>l</w:t>
      </w:r>
      <w:r w:rsidR="00FA2D3F">
        <w:rPr>
          <w:sz w:val="22"/>
          <w:szCs w:val="22"/>
          <w:lang w:val="sr-Latn-ME"/>
        </w:rPr>
        <w:t>j</w:t>
      </w:r>
      <w:r w:rsidRPr="0087318B">
        <w:rPr>
          <w:sz w:val="22"/>
          <w:szCs w:val="22"/>
          <w:lang w:val="sr-Latn-ME"/>
        </w:rPr>
        <w:t>ežene u kliničkim studijama ili u postmarketinškom periodu.</w:t>
      </w:r>
    </w:p>
    <w:p w14:paraId="071C1A14" w14:textId="77777777" w:rsidR="00D836EE" w:rsidRPr="0087318B" w:rsidRDefault="00D836EE" w:rsidP="00A66F57">
      <w:pPr>
        <w:shd w:val="clear" w:color="auto" w:fill="FFFFFF"/>
        <w:tabs>
          <w:tab w:val="left" w:pos="284"/>
        </w:tabs>
        <w:jc w:val="both"/>
        <w:rPr>
          <w:sz w:val="22"/>
          <w:szCs w:val="22"/>
          <w:u w:val="single"/>
          <w:lang w:val="sr-Latn-ME"/>
        </w:rPr>
      </w:pPr>
    </w:p>
    <w:p w14:paraId="5C211E5F" w14:textId="1EBD7EEA" w:rsidR="00D836EE" w:rsidRPr="0087318B" w:rsidRDefault="00D836EE" w:rsidP="00A66F57">
      <w:pPr>
        <w:shd w:val="clear" w:color="auto" w:fill="FFFFFF"/>
        <w:tabs>
          <w:tab w:val="left" w:pos="284"/>
        </w:tabs>
        <w:jc w:val="both"/>
        <w:rPr>
          <w:sz w:val="22"/>
          <w:szCs w:val="22"/>
          <w:lang w:val="sr-Latn-ME"/>
        </w:rPr>
      </w:pPr>
      <w:r w:rsidRPr="00A66F57">
        <w:rPr>
          <w:sz w:val="22"/>
          <w:szCs w:val="22"/>
          <w:lang w:val="sr-Latn-ME"/>
        </w:rPr>
        <w:t>Tabela 2. Učestalost neželjenih reakcija sa valsartanom</w:t>
      </w:r>
    </w:p>
    <w:p w14:paraId="66BA8E95" w14:textId="77777777" w:rsidR="0084780A" w:rsidRPr="00A66F57" w:rsidRDefault="0084780A" w:rsidP="00A66F57">
      <w:pPr>
        <w:shd w:val="clear" w:color="auto" w:fill="FFFFFF"/>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2"/>
      </w:tblGrid>
      <w:tr w:rsidR="00D836EE" w:rsidRPr="0087318B" w14:paraId="265B8359" w14:textId="77777777" w:rsidTr="00A66F57">
        <w:tc>
          <w:tcPr>
            <w:tcW w:w="5000" w:type="pct"/>
            <w:gridSpan w:val="2"/>
            <w:shd w:val="clear" w:color="auto" w:fill="auto"/>
          </w:tcPr>
          <w:p w14:paraId="7D9709AF"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krvi i limfnog sistema</w:t>
            </w:r>
          </w:p>
        </w:tc>
      </w:tr>
      <w:tr w:rsidR="00D836EE" w:rsidRPr="0087318B" w14:paraId="2C3649DB" w14:textId="77777777" w:rsidTr="00A66F57">
        <w:tc>
          <w:tcPr>
            <w:tcW w:w="2500" w:type="pct"/>
            <w:shd w:val="clear" w:color="auto" w:fill="auto"/>
          </w:tcPr>
          <w:p w14:paraId="1FCAC214"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40843D73"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smanjenje hemoglobina, smanjenje hematokrita, trombocitopenija</w:t>
            </w:r>
          </w:p>
        </w:tc>
      </w:tr>
      <w:tr w:rsidR="00D836EE" w:rsidRPr="0087318B" w14:paraId="03CA6888" w14:textId="77777777" w:rsidTr="00A66F57">
        <w:tc>
          <w:tcPr>
            <w:tcW w:w="5000" w:type="pct"/>
            <w:gridSpan w:val="2"/>
            <w:shd w:val="clear" w:color="auto" w:fill="auto"/>
          </w:tcPr>
          <w:p w14:paraId="39BC31AC"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imunskog sistema</w:t>
            </w:r>
          </w:p>
        </w:tc>
      </w:tr>
      <w:tr w:rsidR="00D836EE" w:rsidRPr="0004360F" w14:paraId="3ADF293F" w14:textId="77777777" w:rsidTr="00A66F57">
        <w:tc>
          <w:tcPr>
            <w:tcW w:w="2500" w:type="pct"/>
            <w:shd w:val="clear" w:color="auto" w:fill="auto"/>
          </w:tcPr>
          <w:p w14:paraId="0718E31B"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60CD310A" w14:textId="0F216320"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ostale reakcije preos</w:t>
            </w:r>
            <w:r w:rsidR="006B4923">
              <w:rPr>
                <w:sz w:val="22"/>
                <w:szCs w:val="22"/>
                <w:lang w:val="sr-Latn-ME"/>
              </w:rPr>
              <w:t>j</w:t>
            </w:r>
            <w:r w:rsidRPr="0087318B">
              <w:rPr>
                <w:sz w:val="22"/>
                <w:szCs w:val="22"/>
                <w:lang w:val="sr-Latn-ME"/>
              </w:rPr>
              <w:t>etljivosti/alergijske reakcije uključujući serumsku bolest</w:t>
            </w:r>
          </w:p>
        </w:tc>
      </w:tr>
      <w:tr w:rsidR="00D836EE" w:rsidRPr="0087318B" w14:paraId="4FE564D5" w14:textId="77777777" w:rsidTr="00A66F57">
        <w:tc>
          <w:tcPr>
            <w:tcW w:w="5000" w:type="pct"/>
            <w:gridSpan w:val="2"/>
            <w:shd w:val="clear" w:color="auto" w:fill="auto"/>
          </w:tcPr>
          <w:p w14:paraId="1E3E1CD9" w14:textId="77777777" w:rsidR="00D836EE" w:rsidRPr="0087318B" w:rsidRDefault="00D836EE" w:rsidP="00B857C4">
            <w:pPr>
              <w:shd w:val="clear" w:color="auto" w:fill="FFFFFF"/>
              <w:tabs>
                <w:tab w:val="left" w:pos="284"/>
              </w:tabs>
              <w:rPr>
                <w:b/>
                <w:sz w:val="22"/>
                <w:szCs w:val="22"/>
                <w:lang w:val="sr-Latn-ME"/>
              </w:rPr>
            </w:pPr>
            <w:r w:rsidRPr="0087318B">
              <w:rPr>
                <w:b/>
                <w:sz w:val="22"/>
                <w:szCs w:val="22"/>
                <w:lang w:val="sr-Latn-ME"/>
              </w:rPr>
              <w:t>Poremećaji metabolizma i ishrane</w:t>
            </w:r>
          </w:p>
        </w:tc>
      </w:tr>
      <w:tr w:rsidR="00D836EE" w:rsidRPr="0087318B" w14:paraId="14391A91" w14:textId="77777777" w:rsidTr="00A66F57">
        <w:tc>
          <w:tcPr>
            <w:tcW w:w="2500" w:type="pct"/>
            <w:shd w:val="clear" w:color="auto" w:fill="auto"/>
          </w:tcPr>
          <w:p w14:paraId="2E5A1B78"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Nepoznato</w:t>
            </w:r>
          </w:p>
        </w:tc>
        <w:tc>
          <w:tcPr>
            <w:tcW w:w="2500" w:type="pct"/>
            <w:shd w:val="clear" w:color="auto" w:fill="auto"/>
          </w:tcPr>
          <w:p w14:paraId="51DC8723"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povećanje serumskog kalijuma, hiponatrijemija</w:t>
            </w:r>
          </w:p>
        </w:tc>
      </w:tr>
      <w:tr w:rsidR="00D836EE" w:rsidRPr="0087318B" w14:paraId="01E1AA7E" w14:textId="77777777" w:rsidTr="00A66F57">
        <w:tc>
          <w:tcPr>
            <w:tcW w:w="5000" w:type="pct"/>
            <w:gridSpan w:val="2"/>
            <w:shd w:val="clear" w:color="auto" w:fill="auto"/>
          </w:tcPr>
          <w:p w14:paraId="6DBCDFC6" w14:textId="3C0A8AA5"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uha i labirinta</w:t>
            </w:r>
          </w:p>
        </w:tc>
      </w:tr>
      <w:tr w:rsidR="00D836EE" w:rsidRPr="0087318B" w14:paraId="43394B96" w14:textId="77777777" w:rsidTr="00A66F57">
        <w:tc>
          <w:tcPr>
            <w:tcW w:w="2500" w:type="pct"/>
            <w:shd w:val="clear" w:color="auto" w:fill="auto"/>
          </w:tcPr>
          <w:p w14:paraId="4956451E"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0DA66339"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vertigo</w:t>
            </w:r>
          </w:p>
        </w:tc>
      </w:tr>
      <w:tr w:rsidR="00D836EE" w:rsidRPr="0087318B" w14:paraId="3F51AF16" w14:textId="77777777" w:rsidTr="00A66F57">
        <w:tc>
          <w:tcPr>
            <w:tcW w:w="5000" w:type="pct"/>
            <w:gridSpan w:val="2"/>
            <w:shd w:val="clear" w:color="auto" w:fill="auto"/>
          </w:tcPr>
          <w:p w14:paraId="08159715" w14:textId="77777777" w:rsidR="00D836EE" w:rsidRPr="0087318B" w:rsidRDefault="00D836EE" w:rsidP="00B857C4">
            <w:pPr>
              <w:shd w:val="clear" w:color="auto" w:fill="FFFFFF"/>
              <w:tabs>
                <w:tab w:val="left" w:pos="284"/>
              </w:tabs>
              <w:rPr>
                <w:b/>
                <w:sz w:val="22"/>
                <w:szCs w:val="22"/>
                <w:lang w:val="sr-Latn-ME"/>
              </w:rPr>
            </w:pPr>
            <w:r w:rsidRPr="0087318B">
              <w:rPr>
                <w:b/>
                <w:sz w:val="22"/>
                <w:szCs w:val="22"/>
                <w:lang w:val="sr-Latn-ME"/>
              </w:rPr>
              <w:t>Vaskularni poremećaji</w:t>
            </w:r>
          </w:p>
        </w:tc>
      </w:tr>
      <w:tr w:rsidR="00D836EE" w:rsidRPr="0087318B" w14:paraId="40C2DA8B" w14:textId="77777777" w:rsidTr="00A66F57">
        <w:tc>
          <w:tcPr>
            <w:tcW w:w="2500" w:type="pct"/>
            <w:shd w:val="clear" w:color="auto" w:fill="auto"/>
          </w:tcPr>
          <w:p w14:paraId="3BB6AA25"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69AA2E65"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vaskulitis</w:t>
            </w:r>
          </w:p>
        </w:tc>
      </w:tr>
      <w:tr w:rsidR="00D836EE" w:rsidRPr="0087318B" w14:paraId="4EDA0345" w14:textId="77777777" w:rsidTr="00A66F57">
        <w:tc>
          <w:tcPr>
            <w:tcW w:w="5000" w:type="pct"/>
            <w:gridSpan w:val="2"/>
            <w:shd w:val="clear" w:color="auto" w:fill="auto"/>
          </w:tcPr>
          <w:p w14:paraId="0E46D805" w14:textId="77777777" w:rsidR="00D836EE" w:rsidRPr="0087318B" w:rsidRDefault="00D836EE" w:rsidP="00B857C4">
            <w:pPr>
              <w:shd w:val="clear" w:color="auto" w:fill="FFFFFF"/>
              <w:tabs>
                <w:tab w:val="left" w:pos="284"/>
              </w:tabs>
              <w:rPr>
                <w:b/>
                <w:sz w:val="22"/>
                <w:szCs w:val="22"/>
                <w:lang w:val="sr-Latn-ME"/>
              </w:rPr>
            </w:pPr>
            <w:r w:rsidRPr="0087318B">
              <w:rPr>
                <w:b/>
                <w:sz w:val="22"/>
                <w:szCs w:val="22"/>
                <w:lang w:val="sr-Latn-ME"/>
              </w:rPr>
              <w:t>Gastrointestinalni poremećaji</w:t>
            </w:r>
          </w:p>
        </w:tc>
      </w:tr>
      <w:tr w:rsidR="00D836EE" w:rsidRPr="0087318B" w14:paraId="3276ACF4" w14:textId="77777777" w:rsidTr="00A66F57">
        <w:tc>
          <w:tcPr>
            <w:tcW w:w="2500" w:type="pct"/>
            <w:shd w:val="clear" w:color="auto" w:fill="auto"/>
          </w:tcPr>
          <w:p w14:paraId="1CBC4489"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Povremeno  </w:t>
            </w:r>
          </w:p>
        </w:tc>
        <w:tc>
          <w:tcPr>
            <w:tcW w:w="2500" w:type="pct"/>
            <w:shd w:val="clear" w:color="auto" w:fill="auto"/>
          </w:tcPr>
          <w:p w14:paraId="7D9E06C5"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bol u abdomenu</w:t>
            </w:r>
          </w:p>
        </w:tc>
      </w:tr>
      <w:tr w:rsidR="00D836EE" w:rsidRPr="0087318B" w14:paraId="5DB37F7F" w14:textId="77777777" w:rsidTr="00A66F57">
        <w:tc>
          <w:tcPr>
            <w:tcW w:w="5000" w:type="pct"/>
            <w:gridSpan w:val="2"/>
            <w:shd w:val="clear" w:color="auto" w:fill="auto"/>
          </w:tcPr>
          <w:p w14:paraId="0DD5CA03" w14:textId="77777777" w:rsidR="00D836EE" w:rsidRPr="0087318B" w:rsidRDefault="00D836EE" w:rsidP="00B857C4">
            <w:pPr>
              <w:shd w:val="clear" w:color="auto" w:fill="FFFFFF"/>
              <w:tabs>
                <w:tab w:val="left" w:pos="284"/>
              </w:tabs>
              <w:rPr>
                <w:b/>
                <w:sz w:val="22"/>
                <w:szCs w:val="22"/>
                <w:lang w:val="sr-Latn-ME"/>
              </w:rPr>
            </w:pPr>
            <w:r w:rsidRPr="0087318B">
              <w:rPr>
                <w:b/>
                <w:sz w:val="22"/>
                <w:szCs w:val="22"/>
                <w:lang w:val="sr-Latn-ME"/>
              </w:rPr>
              <w:lastRenderedPageBreak/>
              <w:t>Hepatobilijarni poremećaji</w:t>
            </w:r>
          </w:p>
        </w:tc>
      </w:tr>
      <w:tr w:rsidR="00D836EE" w:rsidRPr="0087318B" w14:paraId="39D145E6" w14:textId="77777777" w:rsidTr="00A66F57">
        <w:tc>
          <w:tcPr>
            <w:tcW w:w="2500" w:type="pct"/>
            <w:shd w:val="clear" w:color="auto" w:fill="auto"/>
          </w:tcPr>
          <w:p w14:paraId="4A2F23FF"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0D84C6F4" w14:textId="7BD2E7DD"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povećanje vr</w:t>
            </w:r>
            <w:r w:rsidR="00EC41F7">
              <w:rPr>
                <w:sz w:val="22"/>
                <w:szCs w:val="22"/>
                <w:lang w:val="sr-Latn-ME"/>
              </w:rPr>
              <w:t>ij</w:t>
            </w:r>
            <w:r w:rsidRPr="0087318B">
              <w:rPr>
                <w:sz w:val="22"/>
                <w:szCs w:val="22"/>
                <w:lang w:val="sr-Latn-ME"/>
              </w:rPr>
              <w:t>ednosti jetrinih enzima</w:t>
            </w:r>
          </w:p>
        </w:tc>
      </w:tr>
      <w:tr w:rsidR="00D836EE" w:rsidRPr="0087318B" w14:paraId="60143F90" w14:textId="77777777" w:rsidTr="00A66F57">
        <w:tc>
          <w:tcPr>
            <w:tcW w:w="5000" w:type="pct"/>
            <w:gridSpan w:val="2"/>
            <w:shd w:val="clear" w:color="auto" w:fill="auto"/>
          </w:tcPr>
          <w:p w14:paraId="2C73586E"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kože i potkožnog tkiva</w:t>
            </w:r>
          </w:p>
        </w:tc>
      </w:tr>
      <w:tr w:rsidR="00D836EE" w:rsidRPr="0004360F" w14:paraId="5CAE6214" w14:textId="77777777" w:rsidTr="00A66F57">
        <w:tc>
          <w:tcPr>
            <w:tcW w:w="2500" w:type="pct"/>
            <w:shd w:val="clear" w:color="auto" w:fill="auto"/>
          </w:tcPr>
          <w:p w14:paraId="03D75BB8"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77E6649A"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angioedem, bulozni dermatitis, osip, svrab</w:t>
            </w:r>
          </w:p>
        </w:tc>
      </w:tr>
      <w:tr w:rsidR="00D836EE" w:rsidRPr="0087318B" w14:paraId="6BC09F4E" w14:textId="77777777" w:rsidTr="00A66F57">
        <w:tc>
          <w:tcPr>
            <w:tcW w:w="5000" w:type="pct"/>
            <w:gridSpan w:val="2"/>
            <w:shd w:val="clear" w:color="auto" w:fill="auto"/>
          </w:tcPr>
          <w:p w14:paraId="28F5761A" w14:textId="77777777" w:rsidR="00D836EE" w:rsidRPr="0087318B" w:rsidRDefault="00D836EE" w:rsidP="00B857C4">
            <w:pPr>
              <w:shd w:val="clear" w:color="auto" w:fill="FFFFFF"/>
              <w:tabs>
                <w:tab w:val="left" w:pos="284"/>
              </w:tabs>
              <w:rPr>
                <w:b/>
                <w:bCs/>
                <w:sz w:val="22"/>
                <w:szCs w:val="22"/>
                <w:lang w:val="sr-Latn-ME"/>
              </w:rPr>
            </w:pPr>
            <w:r w:rsidRPr="0087318B">
              <w:rPr>
                <w:b/>
                <w:bCs/>
                <w:sz w:val="22"/>
                <w:szCs w:val="22"/>
                <w:lang w:val="sr-Latn-ME"/>
              </w:rPr>
              <w:t>Poremećaji bubrega i urinarnog sistema</w:t>
            </w:r>
          </w:p>
        </w:tc>
      </w:tr>
      <w:tr w:rsidR="00D836EE" w:rsidRPr="0087318B" w14:paraId="540BAB5F" w14:textId="77777777" w:rsidTr="00A66F57">
        <w:tc>
          <w:tcPr>
            <w:tcW w:w="2500" w:type="pct"/>
            <w:shd w:val="clear" w:color="auto" w:fill="auto"/>
          </w:tcPr>
          <w:p w14:paraId="57AC67B3"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 xml:space="preserve">Nepoznato  </w:t>
            </w:r>
          </w:p>
        </w:tc>
        <w:tc>
          <w:tcPr>
            <w:tcW w:w="2500" w:type="pct"/>
            <w:shd w:val="clear" w:color="auto" w:fill="auto"/>
          </w:tcPr>
          <w:p w14:paraId="0C131B51" w14:textId="77777777" w:rsidR="00D836EE" w:rsidRPr="0087318B" w:rsidRDefault="00D836EE" w:rsidP="00B857C4">
            <w:pPr>
              <w:shd w:val="clear" w:color="auto" w:fill="FFFFFF"/>
              <w:tabs>
                <w:tab w:val="left" w:pos="284"/>
              </w:tabs>
              <w:rPr>
                <w:sz w:val="22"/>
                <w:szCs w:val="22"/>
                <w:lang w:val="sr-Latn-ME"/>
              </w:rPr>
            </w:pPr>
            <w:r w:rsidRPr="0087318B">
              <w:rPr>
                <w:sz w:val="22"/>
                <w:szCs w:val="22"/>
                <w:lang w:val="sr-Latn-ME"/>
              </w:rPr>
              <w:t>bubrežna insufucijencija</w:t>
            </w:r>
          </w:p>
        </w:tc>
      </w:tr>
    </w:tbl>
    <w:p w14:paraId="28046A55" w14:textId="6133F394" w:rsidR="00FA2D3F" w:rsidRDefault="00FA2D3F" w:rsidP="00B857C4">
      <w:pPr>
        <w:tabs>
          <w:tab w:val="left" w:pos="540"/>
          <w:tab w:val="left" w:pos="569"/>
        </w:tabs>
        <w:rPr>
          <w:b/>
          <w:bCs/>
          <w:sz w:val="22"/>
          <w:szCs w:val="22"/>
          <w:lang w:val="sr-Latn-ME"/>
        </w:rPr>
      </w:pPr>
    </w:p>
    <w:p w14:paraId="7E31BC02" w14:textId="77777777" w:rsidR="00FA2D3F" w:rsidRPr="0087318B" w:rsidRDefault="00FA2D3F" w:rsidP="00FA2D3F">
      <w:pPr>
        <w:shd w:val="clear" w:color="auto" w:fill="FFFFFF"/>
        <w:tabs>
          <w:tab w:val="left" w:pos="284"/>
        </w:tabs>
        <w:rPr>
          <w:sz w:val="22"/>
          <w:szCs w:val="22"/>
          <w:u w:val="single"/>
          <w:lang w:val="sr-Latn-ME"/>
        </w:rPr>
      </w:pPr>
      <w:r w:rsidRPr="0087318B">
        <w:rPr>
          <w:sz w:val="22"/>
          <w:szCs w:val="22"/>
          <w:u w:val="single"/>
          <w:lang w:val="sr-Latn-ME"/>
        </w:rPr>
        <w:t>Tabela 3. Učestalost neželjenih reakcija sa hidrohlortiazidom</w:t>
      </w:r>
    </w:p>
    <w:p w14:paraId="5506A04F" w14:textId="77777777" w:rsidR="00FA2D3F" w:rsidRPr="0087318B" w:rsidRDefault="00FA2D3F" w:rsidP="00FA2D3F">
      <w:pPr>
        <w:shd w:val="clear" w:color="auto" w:fill="FFFFFF"/>
        <w:tabs>
          <w:tab w:val="left" w:pos="284"/>
        </w:tabs>
        <w:rPr>
          <w:sz w:val="22"/>
          <w:szCs w:val="22"/>
          <w:lang w:val="sr-Latn-ME"/>
        </w:rPr>
      </w:pPr>
    </w:p>
    <w:p w14:paraId="7A40D76E" w14:textId="77777777" w:rsidR="00FA2D3F" w:rsidRPr="0087318B" w:rsidRDefault="00FA2D3F" w:rsidP="0004360F">
      <w:pPr>
        <w:shd w:val="clear" w:color="auto" w:fill="FFFFFF"/>
        <w:tabs>
          <w:tab w:val="left" w:pos="284"/>
        </w:tabs>
        <w:jc w:val="both"/>
        <w:rPr>
          <w:sz w:val="22"/>
          <w:szCs w:val="22"/>
          <w:lang w:val="sr-Latn-ME"/>
        </w:rPr>
      </w:pPr>
      <w:r w:rsidRPr="0087318B">
        <w:rPr>
          <w:sz w:val="22"/>
          <w:szCs w:val="22"/>
          <w:lang w:val="sr-Latn-ME"/>
        </w:rPr>
        <w:t>Hidrohlortiazid je opsežno propisivan tokom mnogo godina, često u višim dozama od onih koje se daju l</w:t>
      </w:r>
      <w:r>
        <w:rPr>
          <w:sz w:val="22"/>
          <w:szCs w:val="22"/>
          <w:lang w:val="sr-Latn-ME"/>
        </w:rPr>
        <w:t>ij</w:t>
      </w:r>
      <w:r w:rsidRPr="0087318B">
        <w:rPr>
          <w:sz w:val="22"/>
          <w:szCs w:val="22"/>
          <w:lang w:val="sr-Latn-ME"/>
        </w:rPr>
        <w:t>ekom Co-Diovan. Sl</w:t>
      </w:r>
      <w:r>
        <w:rPr>
          <w:sz w:val="22"/>
          <w:szCs w:val="22"/>
          <w:lang w:val="sr-Latn-ME"/>
        </w:rPr>
        <w:t>j</w:t>
      </w:r>
      <w:r w:rsidRPr="0087318B">
        <w:rPr>
          <w:sz w:val="22"/>
          <w:szCs w:val="22"/>
          <w:lang w:val="sr-Latn-ME"/>
        </w:rPr>
        <w:t xml:space="preserve">edeće neželjene reakcije su prijavljivane kod pacijenata na monoterapiji tiazidnim diureticima, uključujući hidrohlortiazid:  </w:t>
      </w:r>
    </w:p>
    <w:p w14:paraId="50793874" w14:textId="12F10641" w:rsidR="00D836EE" w:rsidRDefault="00D836EE" w:rsidP="00B857C4">
      <w:pPr>
        <w:tabs>
          <w:tab w:val="left" w:pos="540"/>
          <w:tab w:val="left" w:pos="569"/>
        </w:tabs>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450"/>
      </w:tblGrid>
      <w:tr w:rsidR="00FA2D3F" w:rsidRPr="004E07E9" w14:paraId="6329FBDC" w14:textId="77777777" w:rsidTr="0004360F">
        <w:tc>
          <w:tcPr>
            <w:tcW w:w="5000" w:type="pct"/>
            <w:gridSpan w:val="2"/>
            <w:shd w:val="clear" w:color="auto" w:fill="auto"/>
          </w:tcPr>
          <w:p w14:paraId="21736658" w14:textId="77777777" w:rsidR="00FA2D3F" w:rsidRPr="0087318B" w:rsidRDefault="00FA2D3F" w:rsidP="008E420A">
            <w:pPr>
              <w:shd w:val="clear" w:color="auto" w:fill="FFFFFF"/>
              <w:tabs>
                <w:tab w:val="left" w:pos="284"/>
              </w:tabs>
              <w:rPr>
                <w:b/>
                <w:bCs/>
                <w:sz w:val="22"/>
                <w:szCs w:val="22"/>
                <w:lang w:val="sr-Latn-ME"/>
              </w:rPr>
            </w:pPr>
            <w:r w:rsidRPr="0087318B">
              <w:rPr>
                <w:b/>
                <w:sz w:val="22"/>
                <w:szCs w:val="22"/>
                <w:lang w:val="sr-Latn-ME"/>
              </w:rPr>
              <w:t>Neoplazme – benigne, maligne i neodređene (uključujući ciste i polipe)</w:t>
            </w:r>
          </w:p>
        </w:tc>
      </w:tr>
      <w:tr w:rsidR="00FA2D3F" w:rsidRPr="004E07E9" w14:paraId="2E058F03" w14:textId="77777777" w:rsidTr="0004360F">
        <w:tc>
          <w:tcPr>
            <w:tcW w:w="2545" w:type="pct"/>
            <w:shd w:val="clear" w:color="auto" w:fill="auto"/>
          </w:tcPr>
          <w:p w14:paraId="5CB0021C" w14:textId="77777777" w:rsidR="00FA2D3F" w:rsidRPr="0087318B" w:rsidRDefault="00FA2D3F" w:rsidP="008E420A">
            <w:pPr>
              <w:shd w:val="clear" w:color="auto" w:fill="FFFFFF"/>
              <w:tabs>
                <w:tab w:val="left" w:pos="284"/>
              </w:tabs>
              <w:rPr>
                <w:b/>
                <w:bCs/>
                <w:sz w:val="22"/>
                <w:szCs w:val="22"/>
                <w:lang w:val="sr-Latn-ME"/>
              </w:rPr>
            </w:pPr>
            <w:r w:rsidRPr="0087318B">
              <w:rPr>
                <w:sz w:val="22"/>
                <w:szCs w:val="22"/>
                <w:lang w:val="sr-Latn-ME"/>
              </w:rPr>
              <w:t>Nepoznato</w:t>
            </w:r>
          </w:p>
        </w:tc>
        <w:tc>
          <w:tcPr>
            <w:tcW w:w="2455" w:type="pct"/>
            <w:shd w:val="clear" w:color="auto" w:fill="auto"/>
          </w:tcPr>
          <w:p w14:paraId="674DC82F" w14:textId="77777777" w:rsidR="00FA2D3F" w:rsidRPr="0087318B" w:rsidRDefault="00FA2D3F" w:rsidP="008E420A">
            <w:pPr>
              <w:shd w:val="clear" w:color="auto" w:fill="FFFFFF"/>
              <w:tabs>
                <w:tab w:val="left" w:pos="284"/>
              </w:tabs>
              <w:rPr>
                <w:b/>
                <w:bCs/>
                <w:sz w:val="22"/>
                <w:szCs w:val="22"/>
                <w:lang w:val="sr-Latn-ME"/>
              </w:rPr>
            </w:pPr>
            <w:r w:rsidRPr="0087318B">
              <w:rPr>
                <w:sz w:val="22"/>
                <w:szCs w:val="22"/>
                <w:lang w:val="sr-Latn-ME"/>
              </w:rPr>
              <w:t>nemelanomski karcinom kože (bazocelularni karcinom i planocelularni karcinom)</w:t>
            </w:r>
          </w:p>
        </w:tc>
      </w:tr>
      <w:tr w:rsidR="00FA2D3F" w:rsidRPr="0087318B" w14:paraId="5582878A" w14:textId="77777777" w:rsidTr="0004360F">
        <w:tc>
          <w:tcPr>
            <w:tcW w:w="5000" w:type="pct"/>
            <w:gridSpan w:val="2"/>
            <w:shd w:val="clear" w:color="auto" w:fill="auto"/>
          </w:tcPr>
          <w:p w14:paraId="264C3B0F"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Poremećaji krvi i limfnog sistema:</w:t>
            </w:r>
          </w:p>
        </w:tc>
      </w:tr>
      <w:tr w:rsidR="00FA2D3F" w:rsidRPr="0087318B" w14:paraId="28369305" w14:textId="77777777" w:rsidTr="0004360F">
        <w:tc>
          <w:tcPr>
            <w:tcW w:w="2545" w:type="pct"/>
            <w:shd w:val="clear" w:color="auto" w:fill="auto"/>
          </w:tcPr>
          <w:p w14:paraId="0B9691DA"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R</w:t>
            </w:r>
            <w:r>
              <w:rPr>
                <w:sz w:val="22"/>
                <w:szCs w:val="22"/>
                <w:lang w:val="sr-Latn-ME"/>
              </w:rPr>
              <w:t>ij</w:t>
            </w:r>
            <w:r w:rsidRPr="0087318B">
              <w:rPr>
                <w:sz w:val="22"/>
                <w:szCs w:val="22"/>
                <w:lang w:val="sr-Latn-ME"/>
              </w:rPr>
              <w:t xml:space="preserve">etko  </w:t>
            </w:r>
          </w:p>
        </w:tc>
        <w:tc>
          <w:tcPr>
            <w:tcW w:w="2455" w:type="pct"/>
            <w:shd w:val="clear" w:color="auto" w:fill="auto"/>
          </w:tcPr>
          <w:p w14:paraId="2A660E12"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trombocitopenija ponekad sa purpurom</w:t>
            </w:r>
          </w:p>
        </w:tc>
      </w:tr>
      <w:tr w:rsidR="00FA2D3F" w:rsidRPr="004E07E9" w14:paraId="0BF0F5EE" w14:textId="77777777" w:rsidTr="0004360F">
        <w:tc>
          <w:tcPr>
            <w:tcW w:w="2545" w:type="pct"/>
            <w:shd w:val="clear" w:color="auto" w:fill="auto"/>
          </w:tcPr>
          <w:p w14:paraId="50B2EF6C"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Veoma r</w:t>
            </w:r>
            <w:r>
              <w:rPr>
                <w:sz w:val="22"/>
                <w:szCs w:val="22"/>
                <w:lang w:val="sr-Latn-ME"/>
              </w:rPr>
              <w:t>ij</w:t>
            </w:r>
            <w:r w:rsidRPr="0087318B">
              <w:rPr>
                <w:sz w:val="22"/>
                <w:szCs w:val="22"/>
                <w:lang w:val="sr-Latn-ME"/>
              </w:rPr>
              <w:t xml:space="preserve">etko </w:t>
            </w:r>
          </w:p>
        </w:tc>
        <w:tc>
          <w:tcPr>
            <w:tcW w:w="2455" w:type="pct"/>
            <w:shd w:val="clear" w:color="auto" w:fill="auto"/>
          </w:tcPr>
          <w:p w14:paraId="7B97DC72"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agranulocitoza, leukopenija, hemolitička anemija, depresija koštane srži</w:t>
            </w:r>
          </w:p>
        </w:tc>
      </w:tr>
      <w:tr w:rsidR="00FA2D3F" w:rsidRPr="0087318B" w14:paraId="04253DF3" w14:textId="77777777" w:rsidTr="0004360F">
        <w:tc>
          <w:tcPr>
            <w:tcW w:w="2545" w:type="pct"/>
            <w:shd w:val="clear" w:color="auto" w:fill="auto"/>
          </w:tcPr>
          <w:p w14:paraId="36177052"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Nepoznato  </w:t>
            </w:r>
          </w:p>
        </w:tc>
        <w:tc>
          <w:tcPr>
            <w:tcW w:w="2455" w:type="pct"/>
            <w:shd w:val="clear" w:color="auto" w:fill="auto"/>
          </w:tcPr>
          <w:p w14:paraId="3C3CD0DB"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aplastična anemija</w:t>
            </w:r>
          </w:p>
        </w:tc>
      </w:tr>
      <w:tr w:rsidR="00FA2D3F" w:rsidRPr="0087318B" w14:paraId="085E8E3F" w14:textId="77777777" w:rsidTr="0004360F">
        <w:tc>
          <w:tcPr>
            <w:tcW w:w="5000" w:type="pct"/>
            <w:gridSpan w:val="2"/>
            <w:shd w:val="clear" w:color="auto" w:fill="auto"/>
          </w:tcPr>
          <w:p w14:paraId="23C64555"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Poremećaji imunskog sistema</w:t>
            </w:r>
          </w:p>
        </w:tc>
      </w:tr>
      <w:tr w:rsidR="00FA2D3F" w:rsidRPr="0087318B" w14:paraId="6E5BBD40" w14:textId="77777777" w:rsidTr="0004360F">
        <w:tc>
          <w:tcPr>
            <w:tcW w:w="2545" w:type="pct"/>
            <w:shd w:val="clear" w:color="auto" w:fill="auto"/>
          </w:tcPr>
          <w:p w14:paraId="2E83BB7D"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Veoma r</w:t>
            </w:r>
            <w:r>
              <w:rPr>
                <w:bCs/>
                <w:sz w:val="22"/>
                <w:szCs w:val="22"/>
                <w:lang w:val="sr-Latn-ME"/>
              </w:rPr>
              <w:t>ij</w:t>
            </w:r>
            <w:r w:rsidRPr="0087318B">
              <w:rPr>
                <w:bCs/>
                <w:sz w:val="22"/>
                <w:szCs w:val="22"/>
                <w:lang w:val="sr-Latn-ME"/>
              </w:rPr>
              <w:t xml:space="preserve">etko </w:t>
            </w:r>
          </w:p>
        </w:tc>
        <w:tc>
          <w:tcPr>
            <w:tcW w:w="2455" w:type="pct"/>
            <w:shd w:val="clear" w:color="auto" w:fill="auto"/>
          </w:tcPr>
          <w:p w14:paraId="0EBC7185" w14:textId="28BFD0F3"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reakcija preos</w:t>
            </w:r>
            <w:r>
              <w:rPr>
                <w:bCs/>
                <w:sz w:val="22"/>
                <w:szCs w:val="22"/>
                <w:lang w:val="sr-Latn-ME"/>
              </w:rPr>
              <w:t>j</w:t>
            </w:r>
            <w:r w:rsidRPr="0087318B">
              <w:rPr>
                <w:bCs/>
                <w:sz w:val="22"/>
                <w:szCs w:val="22"/>
                <w:lang w:val="sr-Latn-ME"/>
              </w:rPr>
              <w:t>etljivosti</w:t>
            </w:r>
          </w:p>
        </w:tc>
      </w:tr>
      <w:tr w:rsidR="00FA2D3F" w:rsidRPr="0087318B" w14:paraId="2F677E3C" w14:textId="77777777" w:rsidTr="0004360F">
        <w:tc>
          <w:tcPr>
            <w:tcW w:w="5000" w:type="pct"/>
            <w:gridSpan w:val="2"/>
            <w:shd w:val="clear" w:color="auto" w:fill="auto"/>
          </w:tcPr>
          <w:p w14:paraId="50783A75" w14:textId="77777777" w:rsidR="00FA2D3F" w:rsidRPr="0087318B" w:rsidRDefault="00FA2D3F" w:rsidP="008E420A">
            <w:pPr>
              <w:shd w:val="clear" w:color="auto" w:fill="FFFFFF"/>
              <w:tabs>
                <w:tab w:val="left" w:pos="284"/>
              </w:tabs>
              <w:rPr>
                <w:b/>
                <w:sz w:val="22"/>
                <w:szCs w:val="22"/>
                <w:lang w:val="sr-Latn-ME"/>
              </w:rPr>
            </w:pPr>
            <w:r w:rsidRPr="0087318B">
              <w:rPr>
                <w:b/>
                <w:sz w:val="22"/>
                <w:szCs w:val="22"/>
                <w:lang w:val="sr-Latn-ME"/>
              </w:rPr>
              <w:t>Poremećaji metabolizma i ishrane</w:t>
            </w:r>
          </w:p>
        </w:tc>
      </w:tr>
      <w:tr w:rsidR="00FA2D3F" w:rsidRPr="004E07E9" w14:paraId="4DF89C15" w14:textId="77777777" w:rsidTr="0004360F">
        <w:tc>
          <w:tcPr>
            <w:tcW w:w="2545" w:type="pct"/>
            <w:shd w:val="clear" w:color="auto" w:fill="auto"/>
          </w:tcPr>
          <w:p w14:paraId="30629492"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 xml:space="preserve">Veoma često  </w:t>
            </w:r>
          </w:p>
        </w:tc>
        <w:tc>
          <w:tcPr>
            <w:tcW w:w="2455" w:type="pct"/>
            <w:shd w:val="clear" w:color="auto" w:fill="auto"/>
          </w:tcPr>
          <w:p w14:paraId="50EA7789"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hipokalijemija, povišenje koncentracije lipida u krvi (uglavnom pri većim dozama)</w:t>
            </w:r>
          </w:p>
        </w:tc>
      </w:tr>
      <w:tr w:rsidR="00FA2D3F" w:rsidRPr="0087318B" w14:paraId="63DFF93A" w14:textId="77777777" w:rsidTr="0004360F">
        <w:tc>
          <w:tcPr>
            <w:tcW w:w="2545" w:type="pct"/>
            <w:shd w:val="clear" w:color="auto" w:fill="auto"/>
          </w:tcPr>
          <w:p w14:paraId="5588BF3F"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 xml:space="preserve">Često  </w:t>
            </w:r>
          </w:p>
        </w:tc>
        <w:tc>
          <w:tcPr>
            <w:tcW w:w="2455" w:type="pct"/>
            <w:shd w:val="clear" w:color="auto" w:fill="auto"/>
          </w:tcPr>
          <w:p w14:paraId="7A1DCA1F"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hiponatrijemija, hipomagnezemija, hiperurikemija</w:t>
            </w:r>
          </w:p>
        </w:tc>
      </w:tr>
      <w:tr w:rsidR="00FA2D3F" w:rsidRPr="004E07E9" w14:paraId="061A3C4B" w14:textId="77777777" w:rsidTr="0004360F">
        <w:tc>
          <w:tcPr>
            <w:tcW w:w="2545" w:type="pct"/>
            <w:shd w:val="clear" w:color="auto" w:fill="auto"/>
          </w:tcPr>
          <w:p w14:paraId="22690A8D"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R</w:t>
            </w:r>
            <w:r>
              <w:rPr>
                <w:bCs/>
                <w:sz w:val="22"/>
                <w:szCs w:val="22"/>
                <w:lang w:val="sr-Latn-ME"/>
              </w:rPr>
              <w:t>ij</w:t>
            </w:r>
            <w:r w:rsidRPr="0087318B">
              <w:rPr>
                <w:bCs/>
                <w:sz w:val="22"/>
                <w:szCs w:val="22"/>
                <w:lang w:val="sr-Latn-ME"/>
              </w:rPr>
              <w:t xml:space="preserve">etko  </w:t>
            </w:r>
          </w:p>
        </w:tc>
        <w:tc>
          <w:tcPr>
            <w:tcW w:w="2455" w:type="pct"/>
            <w:shd w:val="clear" w:color="auto" w:fill="auto"/>
          </w:tcPr>
          <w:p w14:paraId="32C68CF4"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hiperkalcemija, hiperglikemija, glikozurija i pogoršanje metaboličkih parametara kod dijabetičara</w:t>
            </w:r>
          </w:p>
        </w:tc>
      </w:tr>
      <w:tr w:rsidR="00FA2D3F" w:rsidRPr="0087318B" w14:paraId="1697186E" w14:textId="77777777" w:rsidTr="0004360F">
        <w:tc>
          <w:tcPr>
            <w:tcW w:w="2545" w:type="pct"/>
            <w:shd w:val="clear" w:color="auto" w:fill="auto"/>
          </w:tcPr>
          <w:p w14:paraId="3787BFF2"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Veoma r</w:t>
            </w:r>
            <w:r>
              <w:rPr>
                <w:bCs/>
                <w:sz w:val="22"/>
                <w:szCs w:val="22"/>
                <w:lang w:val="sr-Latn-ME"/>
              </w:rPr>
              <w:t>ij</w:t>
            </w:r>
            <w:r w:rsidRPr="0087318B">
              <w:rPr>
                <w:bCs/>
                <w:sz w:val="22"/>
                <w:szCs w:val="22"/>
                <w:lang w:val="sr-Latn-ME"/>
              </w:rPr>
              <w:t xml:space="preserve">etko  </w:t>
            </w:r>
          </w:p>
        </w:tc>
        <w:tc>
          <w:tcPr>
            <w:tcW w:w="2455" w:type="pct"/>
            <w:shd w:val="clear" w:color="auto" w:fill="auto"/>
          </w:tcPr>
          <w:p w14:paraId="6DDB7151"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hipohloremička alkaloza</w:t>
            </w:r>
          </w:p>
        </w:tc>
      </w:tr>
      <w:tr w:rsidR="00FA2D3F" w:rsidRPr="0087318B" w14:paraId="7BB7FD99" w14:textId="77777777" w:rsidTr="0004360F">
        <w:tc>
          <w:tcPr>
            <w:tcW w:w="5000" w:type="pct"/>
            <w:gridSpan w:val="2"/>
            <w:shd w:val="clear" w:color="auto" w:fill="auto"/>
          </w:tcPr>
          <w:p w14:paraId="3D90EBEF" w14:textId="77777777" w:rsidR="00FA2D3F" w:rsidRPr="0087318B" w:rsidRDefault="00FA2D3F" w:rsidP="008E420A">
            <w:pPr>
              <w:shd w:val="clear" w:color="auto" w:fill="FFFFFF"/>
              <w:tabs>
                <w:tab w:val="left" w:pos="284"/>
              </w:tabs>
              <w:rPr>
                <w:b/>
                <w:sz w:val="22"/>
                <w:szCs w:val="22"/>
                <w:lang w:val="sr-Latn-ME"/>
              </w:rPr>
            </w:pPr>
            <w:r w:rsidRPr="0087318B">
              <w:rPr>
                <w:b/>
                <w:bCs/>
                <w:sz w:val="22"/>
                <w:szCs w:val="22"/>
                <w:lang w:val="sr-Latn-ME"/>
              </w:rPr>
              <w:t>Psihijatrijski poremećaji</w:t>
            </w:r>
          </w:p>
        </w:tc>
      </w:tr>
      <w:tr w:rsidR="00FA2D3F" w:rsidRPr="0087318B" w14:paraId="6474AB25" w14:textId="77777777" w:rsidTr="0004360F">
        <w:tc>
          <w:tcPr>
            <w:tcW w:w="2545" w:type="pct"/>
            <w:shd w:val="clear" w:color="auto" w:fill="auto"/>
          </w:tcPr>
          <w:p w14:paraId="5C88C540"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R</w:t>
            </w:r>
            <w:r>
              <w:rPr>
                <w:sz w:val="22"/>
                <w:szCs w:val="22"/>
                <w:lang w:val="sr-Latn-ME"/>
              </w:rPr>
              <w:t>ij</w:t>
            </w:r>
            <w:r w:rsidRPr="0087318B">
              <w:rPr>
                <w:sz w:val="22"/>
                <w:szCs w:val="22"/>
                <w:lang w:val="sr-Latn-ME"/>
              </w:rPr>
              <w:t xml:space="preserve">etko </w:t>
            </w:r>
          </w:p>
        </w:tc>
        <w:tc>
          <w:tcPr>
            <w:tcW w:w="2455" w:type="pct"/>
            <w:shd w:val="clear" w:color="auto" w:fill="auto"/>
          </w:tcPr>
          <w:p w14:paraId="06040D08"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depresija, poremećaji sna</w:t>
            </w:r>
          </w:p>
        </w:tc>
      </w:tr>
      <w:tr w:rsidR="00FA2D3F" w:rsidRPr="0087318B" w14:paraId="445DFBA7" w14:textId="77777777" w:rsidTr="0004360F">
        <w:tc>
          <w:tcPr>
            <w:tcW w:w="5000" w:type="pct"/>
            <w:gridSpan w:val="2"/>
            <w:shd w:val="clear" w:color="auto" w:fill="auto"/>
          </w:tcPr>
          <w:p w14:paraId="6AD68FF8" w14:textId="77777777" w:rsidR="00FA2D3F" w:rsidRPr="0087318B" w:rsidRDefault="00FA2D3F" w:rsidP="008E420A">
            <w:pPr>
              <w:shd w:val="clear" w:color="auto" w:fill="FFFFFF"/>
              <w:tabs>
                <w:tab w:val="left" w:pos="284"/>
              </w:tabs>
              <w:rPr>
                <w:b/>
                <w:sz w:val="22"/>
                <w:szCs w:val="22"/>
                <w:lang w:val="sr-Latn-ME"/>
              </w:rPr>
            </w:pPr>
            <w:r w:rsidRPr="0087318B">
              <w:rPr>
                <w:b/>
                <w:sz w:val="22"/>
                <w:szCs w:val="22"/>
                <w:lang w:val="sr-Latn-ME"/>
              </w:rPr>
              <w:t>Poremećaji nervnog sistema</w:t>
            </w:r>
          </w:p>
        </w:tc>
      </w:tr>
      <w:tr w:rsidR="00FA2D3F" w:rsidRPr="0087318B" w14:paraId="7C3F56D2" w14:textId="77777777" w:rsidTr="0004360F">
        <w:tc>
          <w:tcPr>
            <w:tcW w:w="2545" w:type="pct"/>
            <w:shd w:val="clear" w:color="auto" w:fill="auto"/>
          </w:tcPr>
          <w:p w14:paraId="648C187F"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R</w:t>
            </w:r>
            <w:r>
              <w:rPr>
                <w:sz w:val="22"/>
                <w:szCs w:val="22"/>
                <w:lang w:val="sr-Latn-ME"/>
              </w:rPr>
              <w:t>ij</w:t>
            </w:r>
            <w:r w:rsidRPr="0087318B">
              <w:rPr>
                <w:sz w:val="22"/>
                <w:szCs w:val="22"/>
                <w:lang w:val="sr-Latn-ME"/>
              </w:rPr>
              <w:t xml:space="preserve">etko  </w:t>
            </w:r>
          </w:p>
        </w:tc>
        <w:tc>
          <w:tcPr>
            <w:tcW w:w="2455" w:type="pct"/>
            <w:shd w:val="clear" w:color="auto" w:fill="auto"/>
          </w:tcPr>
          <w:p w14:paraId="6D94B060"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glavobolja, vrtoglavica, parestezija</w:t>
            </w:r>
          </w:p>
        </w:tc>
      </w:tr>
      <w:tr w:rsidR="00FA2D3F" w:rsidRPr="0087318B" w14:paraId="0D921A0F" w14:textId="77777777" w:rsidTr="0004360F">
        <w:tc>
          <w:tcPr>
            <w:tcW w:w="5000" w:type="pct"/>
            <w:gridSpan w:val="2"/>
            <w:shd w:val="clear" w:color="auto" w:fill="auto"/>
          </w:tcPr>
          <w:p w14:paraId="24F2B18C"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Poremećaji oka</w:t>
            </w:r>
          </w:p>
        </w:tc>
      </w:tr>
      <w:tr w:rsidR="00FA2D3F" w:rsidRPr="0087318B" w14:paraId="1E7CC76B" w14:textId="77777777" w:rsidTr="0004360F">
        <w:tc>
          <w:tcPr>
            <w:tcW w:w="2545" w:type="pct"/>
            <w:shd w:val="clear" w:color="auto" w:fill="auto"/>
          </w:tcPr>
          <w:p w14:paraId="38FE6EE4"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R</w:t>
            </w:r>
            <w:r>
              <w:rPr>
                <w:sz w:val="22"/>
                <w:szCs w:val="22"/>
                <w:lang w:val="sr-Latn-ME"/>
              </w:rPr>
              <w:t>ij</w:t>
            </w:r>
            <w:r w:rsidRPr="0087318B">
              <w:rPr>
                <w:sz w:val="22"/>
                <w:szCs w:val="22"/>
                <w:lang w:val="sr-Latn-ME"/>
              </w:rPr>
              <w:t xml:space="preserve">etko  </w:t>
            </w:r>
          </w:p>
        </w:tc>
        <w:tc>
          <w:tcPr>
            <w:tcW w:w="2455" w:type="pct"/>
            <w:shd w:val="clear" w:color="auto" w:fill="auto"/>
          </w:tcPr>
          <w:p w14:paraId="13F0F892"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oštećenje vida</w:t>
            </w:r>
          </w:p>
        </w:tc>
      </w:tr>
      <w:tr w:rsidR="00FA2D3F" w:rsidRPr="004E07E9" w14:paraId="563432F8" w14:textId="77777777" w:rsidTr="0004360F">
        <w:tc>
          <w:tcPr>
            <w:tcW w:w="2545" w:type="pct"/>
            <w:shd w:val="clear" w:color="auto" w:fill="auto"/>
          </w:tcPr>
          <w:p w14:paraId="33FB0733"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Nepoznato  </w:t>
            </w:r>
          </w:p>
        </w:tc>
        <w:tc>
          <w:tcPr>
            <w:tcW w:w="2455" w:type="pct"/>
            <w:shd w:val="clear" w:color="auto" w:fill="auto"/>
          </w:tcPr>
          <w:p w14:paraId="404FF343"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horoidalna efuzija, akutni glaukom zatvorenog ugla</w:t>
            </w:r>
          </w:p>
        </w:tc>
      </w:tr>
      <w:tr w:rsidR="00FA2D3F" w:rsidRPr="0087318B" w14:paraId="72986E9E" w14:textId="77777777" w:rsidTr="0004360F">
        <w:tc>
          <w:tcPr>
            <w:tcW w:w="5000" w:type="pct"/>
            <w:gridSpan w:val="2"/>
            <w:shd w:val="clear" w:color="auto" w:fill="auto"/>
          </w:tcPr>
          <w:p w14:paraId="2B9447EF"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Kardiološki poremećaji</w:t>
            </w:r>
          </w:p>
        </w:tc>
      </w:tr>
      <w:tr w:rsidR="00FA2D3F" w:rsidRPr="0087318B" w14:paraId="6C2CE4DC" w14:textId="77777777" w:rsidTr="0004360F">
        <w:tc>
          <w:tcPr>
            <w:tcW w:w="2545" w:type="pct"/>
            <w:shd w:val="clear" w:color="auto" w:fill="auto"/>
          </w:tcPr>
          <w:p w14:paraId="5CD89896"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R</w:t>
            </w:r>
            <w:r>
              <w:rPr>
                <w:bCs/>
                <w:sz w:val="22"/>
                <w:szCs w:val="22"/>
                <w:lang w:val="sr-Latn-ME"/>
              </w:rPr>
              <w:t>ij</w:t>
            </w:r>
            <w:r w:rsidRPr="0087318B">
              <w:rPr>
                <w:bCs/>
                <w:sz w:val="22"/>
                <w:szCs w:val="22"/>
                <w:lang w:val="sr-Latn-ME"/>
              </w:rPr>
              <w:t xml:space="preserve">etko  </w:t>
            </w:r>
          </w:p>
        </w:tc>
        <w:tc>
          <w:tcPr>
            <w:tcW w:w="2455" w:type="pct"/>
            <w:shd w:val="clear" w:color="auto" w:fill="auto"/>
          </w:tcPr>
          <w:p w14:paraId="7C628FA0" w14:textId="2EC5BCFD"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srčan</w:t>
            </w:r>
            <w:r w:rsidR="00DE6860">
              <w:rPr>
                <w:bCs/>
                <w:sz w:val="22"/>
                <w:szCs w:val="22"/>
                <w:lang w:val="sr-Latn-ME"/>
              </w:rPr>
              <w:t>a</w:t>
            </w:r>
            <w:r w:rsidRPr="0087318B">
              <w:rPr>
                <w:bCs/>
                <w:sz w:val="22"/>
                <w:szCs w:val="22"/>
                <w:lang w:val="sr-Latn-ME"/>
              </w:rPr>
              <w:t xml:space="preserve"> aritmij</w:t>
            </w:r>
            <w:r w:rsidR="00DE6860">
              <w:rPr>
                <w:bCs/>
                <w:sz w:val="22"/>
                <w:szCs w:val="22"/>
                <w:lang w:val="sr-Latn-ME"/>
              </w:rPr>
              <w:t>a</w:t>
            </w:r>
          </w:p>
        </w:tc>
      </w:tr>
      <w:tr w:rsidR="00FA2D3F" w:rsidRPr="0087318B" w14:paraId="78EEE9FF" w14:textId="77777777" w:rsidTr="0004360F">
        <w:tc>
          <w:tcPr>
            <w:tcW w:w="5000" w:type="pct"/>
            <w:gridSpan w:val="2"/>
            <w:shd w:val="clear" w:color="auto" w:fill="auto"/>
          </w:tcPr>
          <w:p w14:paraId="1154AFF4" w14:textId="77777777" w:rsidR="00FA2D3F" w:rsidRPr="0087318B" w:rsidRDefault="00FA2D3F" w:rsidP="008E420A">
            <w:pPr>
              <w:shd w:val="clear" w:color="auto" w:fill="FFFFFF"/>
              <w:tabs>
                <w:tab w:val="left" w:pos="284"/>
              </w:tabs>
              <w:rPr>
                <w:b/>
                <w:sz w:val="22"/>
                <w:szCs w:val="22"/>
                <w:lang w:val="sr-Latn-ME"/>
              </w:rPr>
            </w:pPr>
            <w:r w:rsidRPr="0087318B">
              <w:rPr>
                <w:b/>
                <w:sz w:val="22"/>
                <w:szCs w:val="22"/>
                <w:lang w:val="sr-Latn-ME"/>
              </w:rPr>
              <w:t>Vaskularni poremećaji</w:t>
            </w:r>
          </w:p>
        </w:tc>
      </w:tr>
      <w:tr w:rsidR="00FA2D3F" w:rsidRPr="0087318B" w14:paraId="3FC59207" w14:textId="77777777" w:rsidTr="0004360F">
        <w:tc>
          <w:tcPr>
            <w:tcW w:w="2545" w:type="pct"/>
            <w:shd w:val="clear" w:color="auto" w:fill="auto"/>
          </w:tcPr>
          <w:p w14:paraId="0093CAFC"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Često  </w:t>
            </w:r>
          </w:p>
        </w:tc>
        <w:tc>
          <w:tcPr>
            <w:tcW w:w="2455" w:type="pct"/>
            <w:shd w:val="clear" w:color="auto" w:fill="auto"/>
          </w:tcPr>
          <w:p w14:paraId="40DED607"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posturalna hipotenzija</w:t>
            </w:r>
          </w:p>
        </w:tc>
      </w:tr>
      <w:tr w:rsidR="00FA2D3F" w:rsidRPr="0087318B" w14:paraId="59D16CD2" w14:textId="77777777" w:rsidTr="0004360F">
        <w:tc>
          <w:tcPr>
            <w:tcW w:w="5000" w:type="pct"/>
            <w:gridSpan w:val="2"/>
            <w:shd w:val="clear" w:color="auto" w:fill="auto"/>
          </w:tcPr>
          <w:p w14:paraId="197FE06D"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Respiratorni, torakalni i medijastinalni poremećaji</w:t>
            </w:r>
          </w:p>
        </w:tc>
      </w:tr>
      <w:tr w:rsidR="00FA2D3F" w:rsidRPr="0087318B" w14:paraId="54EBCB1C" w14:textId="77777777" w:rsidTr="0004360F">
        <w:tc>
          <w:tcPr>
            <w:tcW w:w="2545" w:type="pct"/>
            <w:shd w:val="clear" w:color="auto" w:fill="auto"/>
          </w:tcPr>
          <w:p w14:paraId="5248891B"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Veoma r</w:t>
            </w:r>
            <w:r>
              <w:rPr>
                <w:sz w:val="22"/>
                <w:szCs w:val="22"/>
                <w:lang w:val="sr-Latn-ME"/>
              </w:rPr>
              <w:t>ij</w:t>
            </w:r>
            <w:r w:rsidRPr="0087318B">
              <w:rPr>
                <w:sz w:val="22"/>
                <w:szCs w:val="22"/>
                <w:lang w:val="sr-Latn-ME"/>
              </w:rPr>
              <w:t xml:space="preserve">etko </w:t>
            </w:r>
          </w:p>
        </w:tc>
        <w:tc>
          <w:tcPr>
            <w:tcW w:w="2455" w:type="pct"/>
            <w:shd w:val="clear" w:color="auto" w:fill="auto"/>
          </w:tcPr>
          <w:p w14:paraId="43C0C253" w14:textId="40D08BC3"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Akutni respiratorni distres sindrom (ARDS) (vidjeti </w:t>
            </w:r>
            <w:r w:rsidR="00C81D72">
              <w:rPr>
                <w:sz w:val="22"/>
                <w:szCs w:val="22"/>
                <w:lang w:val="sr-Latn-ME"/>
              </w:rPr>
              <w:t>dio</w:t>
            </w:r>
            <w:r w:rsidRPr="0087318B">
              <w:rPr>
                <w:sz w:val="22"/>
                <w:szCs w:val="22"/>
                <w:lang w:val="sr-Latn-ME"/>
              </w:rPr>
              <w:t xml:space="preserve"> 4.4), respiratorni distres uključujući pneumonitis i plućni edem</w:t>
            </w:r>
          </w:p>
        </w:tc>
      </w:tr>
      <w:tr w:rsidR="00FA2D3F" w:rsidRPr="0087318B" w14:paraId="2F4740EB" w14:textId="77777777" w:rsidTr="0004360F">
        <w:tc>
          <w:tcPr>
            <w:tcW w:w="5000" w:type="pct"/>
            <w:gridSpan w:val="2"/>
            <w:shd w:val="clear" w:color="auto" w:fill="auto"/>
          </w:tcPr>
          <w:p w14:paraId="74DBCCA8" w14:textId="77777777" w:rsidR="00FA2D3F" w:rsidRPr="0087318B" w:rsidRDefault="00FA2D3F" w:rsidP="008E420A">
            <w:pPr>
              <w:shd w:val="clear" w:color="auto" w:fill="FFFFFF"/>
              <w:tabs>
                <w:tab w:val="left" w:pos="284"/>
              </w:tabs>
              <w:rPr>
                <w:b/>
                <w:sz w:val="22"/>
                <w:szCs w:val="22"/>
                <w:lang w:val="sr-Latn-ME"/>
              </w:rPr>
            </w:pPr>
            <w:r w:rsidRPr="0087318B">
              <w:rPr>
                <w:b/>
                <w:sz w:val="22"/>
                <w:szCs w:val="22"/>
                <w:lang w:val="sr-Latn-ME"/>
              </w:rPr>
              <w:t>Gastrointestinalni poremećaji</w:t>
            </w:r>
          </w:p>
        </w:tc>
      </w:tr>
      <w:tr w:rsidR="00FA2D3F" w:rsidRPr="0087318B" w14:paraId="3225C344" w14:textId="77777777" w:rsidTr="0004360F">
        <w:tc>
          <w:tcPr>
            <w:tcW w:w="2545" w:type="pct"/>
            <w:shd w:val="clear" w:color="auto" w:fill="auto"/>
          </w:tcPr>
          <w:p w14:paraId="5B9242D3"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Često </w:t>
            </w:r>
          </w:p>
        </w:tc>
        <w:tc>
          <w:tcPr>
            <w:tcW w:w="2455" w:type="pct"/>
            <w:shd w:val="clear" w:color="auto" w:fill="auto"/>
          </w:tcPr>
          <w:p w14:paraId="151A6F1F"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gubitak apetita, blaga mučnina i povraćanje</w:t>
            </w:r>
          </w:p>
        </w:tc>
      </w:tr>
      <w:tr w:rsidR="00FA2D3F" w:rsidRPr="0087318B" w14:paraId="33769E09" w14:textId="77777777" w:rsidTr="0004360F">
        <w:tc>
          <w:tcPr>
            <w:tcW w:w="2545" w:type="pct"/>
            <w:shd w:val="clear" w:color="auto" w:fill="auto"/>
          </w:tcPr>
          <w:p w14:paraId="6DC0DAB9"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R</w:t>
            </w:r>
            <w:r>
              <w:rPr>
                <w:sz w:val="22"/>
                <w:szCs w:val="22"/>
                <w:lang w:val="sr-Latn-ME"/>
              </w:rPr>
              <w:t>ij</w:t>
            </w:r>
            <w:r w:rsidRPr="0087318B">
              <w:rPr>
                <w:sz w:val="22"/>
                <w:szCs w:val="22"/>
                <w:lang w:val="sr-Latn-ME"/>
              </w:rPr>
              <w:t xml:space="preserve">etko </w:t>
            </w:r>
          </w:p>
        </w:tc>
        <w:tc>
          <w:tcPr>
            <w:tcW w:w="2455" w:type="pct"/>
            <w:shd w:val="clear" w:color="auto" w:fill="auto"/>
          </w:tcPr>
          <w:p w14:paraId="1A93CEF0"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opstipacija, gastrointestinalna nelagodnost, dijareja</w:t>
            </w:r>
          </w:p>
        </w:tc>
      </w:tr>
      <w:tr w:rsidR="00FA2D3F" w:rsidRPr="0087318B" w14:paraId="7CFB5E67" w14:textId="77777777" w:rsidTr="0004360F">
        <w:tc>
          <w:tcPr>
            <w:tcW w:w="2545" w:type="pct"/>
            <w:shd w:val="clear" w:color="auto" w:fill="auto"/>
          </w:tcPr>
          <w:p w14:paraId="689998BB"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Veoma r</w:t>
            </w:r>
            <w:r>
              <w:rPr>
                <w:sz w:val="22"/>
                <w:szCs w:val="22"/>
                <w:lang w:val="sr-Latn-ME"/>
              </w:rPr>
              <w:t>ij</w:t>
            </w:r>
            <w:r w:rsidRPr="0087318B">
              <w:rPr>
                <w:sz w:val="22"/>
                <w:szCs w:val="22"/>
                <w:lang w:val="sr-Latn-ME"/>
              </w:rPr>
              <w:t xml:space="preserve">etko </w:t>
            </w:r>
          </w:p>
        </w:tc>
        <w:tc>
          <w:tcPr>
            <w:tcW w:w="2455" w:type="pct"/>
            <w:shd w:val="clear" w:color="auto" w:fill="auto"/>
          </w:tcPr>
          <w:p w14:paraId="6785397D"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pankreatitis</w:t>
            </w:r>
          </w:p>
        </w:tc>
      </w:tr>
      <w:tr w:rsidR="00FA2D3F" w:rsidRPr="0087318B" w14:paraId="02B05DCB" w14:textId="77777777" w:rsidTr="0004360F">
        <w:tc>
          <w:tcPr>
            <w:tcW w:w="5000" w:type="pct"/>
            <w:gridSpan w:val="2"/>
            <w:shd w:val="clear" w:color="auto" w:fill="auto"/>
          </w:tcPr>
          <w:p w14:paraId="52618822" w14:textId="77777777" w:rsidR="00FA2D3F" w:rsidRPr="0087318B" w:rsidRDefault="00FA2D3F" w:rsidP="008E420A">
            <w:pPr>
              <w:shd w:val="clear" w:color="auto" w:fill="FFFFFF"/>
              <w:tabs>
                <w:tab w:val="left" w:pos="284"/>
              </w:tabs>
              <w:rPr>
                <w:b/>
                <w:sz w:val="22"/>
                <w:szCs w:val="22"/>
                <w:lang w:val="sr-Latn-ME"/>
              </w:rPr>
            </w:pPr>
            <w:r w:rsidRPr="0087318B">
              <w:rPr>
                <w:b/>
                <w:sz w:val="22"/>
                <w:szCs w:val="22"/>
                <w:lang w:val="sr-Latn-ME"/>
              </w:rPr>
              <w:t>Hepatobilijarni poremećaji</w:t>
            </w:r>
          </w:p>
        </w:tc>
      </w:tr>
      <w:tr w:rsidR="00FA2D3F" w:rsidRPr="0087318B" w14:paraId="6AC7674A" w14:textId="77777777" w:rsidTr="0004360F">
        <w:tc>
          <w:tcPr>
            <w:tcW w:w="2545" w:type="pct"/>
            <w:shd w:val="clear" w:color="auto" w:fill="auto"/>
          </w:tcPr>
          <w:p w14:paraId="430AD544" w14:textId="20214EFA"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R</w:t>
            </w:r>
            <w:r w:rsidR="00F107F7">
              <w:rPr>
                <w:sz w:val="22"/>
                <w:szCs w:val="22"/>
                <w:lang w:val="sr-Latn-ME"/>
              </w:rPr>
              <w:t>ij</w:t>
            </w:r>
            <w:r w:rsidRPr="0087318B">
              <w:rPr>
                <w:sz w:val="22"/>
                <w:szCs w:val="22"/>
                <w:lang w:val="sr-Latn-ME"/>
              </w:rPr>
              <w:t xml:space="preserve">etko </w:t>
            </w:r>
          </w:p>
        </w:tc>
        <w:tc>
          <w:tcPr>
            <w:tcW w:w="2455" w:type="pct"/>
            <w:shd w:val="clear" w:color="auto" w:fill="auto"/>
          </w:tcPr>
          <w:p w14:paraId="11A4651B"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intrahepatička holestaza ili žutica</w:t>
            </w:r>
          </w:p>
        </w:tc>
      </w:tr>
      <w:tr w:rsidR="00FA2D3F" w:rsidRPr="0087318B" w14:paraId="6CC6F875" w14:textId="77777777" w:rsidTr="0004360F">
        <w:tc>
          <w:tcPr>
            <w:tcW w:w="5000" w:type="pct"/>
            <w:gridSpan w:val="2"/>
            <w:shd w:val="clear" w:color="auto" w:fill="auto"/>
          </w:tcPr>
          <w:p w14:paraId="7ED281B5"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lastRenderedPageBreak/>
              <w:t>Poremećaji bubrega i urinarnog sistema</w:t>
            </w:r>
          </w:p>
        </w:tc>
      </w:tr>
      <w:tr w:rsidR="00FA2D3F" w:rsidRPr="004E07E9" w14:paraId="0E0511FC" w14:textId="77777777" w:rsidTr="0004360F">
        <w:tc>
          <w:tcPr>
            <w:tcW w:w="2545" w:type="pct"/>
            <w:shd w:val="clear" w:color="auto" w:fill="auto"/>
          </w:tcPr>
          <w:p w14:paraId="28369C83"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Nepoznato </w:t>
            </w:r>
          </w:p>
        </w:tc>
        <w:tc>
          <w:tcPr>
            <w:tcW w:w="2455" w:type="pct"/>
            <w:shd w:val="clear" w:color="auto" w:fill="auto"/>
          </w:tcPr>
          <w:p w14:paraId="521F18BE"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bubrežna disfunkcija, akutna bubrežna insuficijencija</w:t>
            </w:r>
          </w:p>
        </w:tc>
      </w:tr>
      <w:tr w:rsidR="00FA2D3F" w:rsidRPr="004E07E9" w14:paraId="68D38901" w14:textId="77777777" w:rsidTr="0004360F">
        <w:tc>
          <w:tcPr>
            <w:tcW w:w="5000" w:type="pct"/>
            <w:gridSpan w:val="2"/>
            <w:shd w:val="clear" w:color="auto" w:fill="auto"/>
          </w:tcPr>
          <w:p w14:paraId="738FA5AB"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Poremećaji kože i potkožnog tkiva</w:t>
            </w:r>
          </w:p>
        </w:tc>
      </w:tr>
      <w:tr w:rsidR="00FA2D3F" w:rsidRPr="0087318B" w14:paraId="692A23B6" w14:textId="77777777" w:rsidTr="0004360F">
        <w:tc>
          <w:tcPr>
            <w:tcW w:w="2545" w:type="pct"/>
            <w:shd w:val="clear" w:color="auto" w:fill="auto"/>
          </w:tcPr>
          <w:p w14:paraId="163BDD2F"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Često </w:t>
            </w:r>
          </w:p>
        </w:tc>
        <w:tc>
          <w:tcPr>
            <w:tcW w:w="2455" w:type="pct"/>
            <w:shd w:val="clear" w:color="auto" w:fill="auto"/>
          </w:tcPr>
          <w:p w14:paraId="11A1042E"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urtikarija i drugi oblici osipa</w:t>
            </w:r>
          </w:p>
        </w:tc>
      </w:tr>
      <w:tr w:rsidR="00FA2D3F" w:rsidRPr="0087318B" w14:paraId="14AF5836" w14:textId="77777777" w:rsidTr="0004360F">
        <w:tc>
          <w:tcPr>
            <w:tcW w:w="2545" w:type="pct"/>
            <w:shd w:val="clear" w:color="auto" w:fill="auto"/>
          </w:tcPr>
          <w:p w14:paraId="10A8F681" w14:textId="77777777" w:rsidR="00FA2D3F" w:rsidRPr="0087318B" w:rsidRDefault="00FA2D3F" w:rsidP="008E420A">
            <w:pPr>
              <w:shd w:val="clear" w:color="auto" w:fill="FFFFFF"/>
              <w:tabs>
                <w:tab w:val="left" w:pos="284"/>
                <w:tab w:val="left" w:pos="2610"/>
              </w:tabs>
              <w:rPr>
                <w:sz w:val="22"/>
                <w:szCs w:val="22"/>
                <w:lang w:val="sr-Latn-ME"/>
              </w:rPr>
            </w:pPr>
            <w:r w:rsidRPr="0087318B">
              <w:rPr>
                <w:sz w:val="22"/>
                <w:szCs w:val="22"/>
                <w:lang w:val="sr-Latn-ME"/>
              </w:rPr>
              <w:t>R</w:t>
            </w:r>
            <w:r>
              <w:rPr>
                <w:sz w:val="22"/>
                <w:szCs w:val="22"/>
                <w:lang w:val="sr-Latn-ME"/>
              </w:rPr>
              <w:t>ij</w:t>
            </w:r>
            <w:r w:rsidRPr="0087318B">
              <w:rPr>
                <w:sz w:val="22"/>
                <w:szCs w:val="22"/>
                <w:lang w:val="sr-Latn-ME"/>
              </w:rPr>
              <w:t xml:space="preserve">etko </w:t>
            </w:r>
          </w:p>
        </w:tc>
        <w:tc>
          <w:tcPr>
            <w:tcW w:w="2455" w:type="pct"/>
            <w:shd w:val="clear" w:color="auto" w:fill="auto"/>
          </w:tcPr>
          <w:p w14:paraId="3D05703B" w14:textId="77777777" w:rsidR="00FA2D3F" w:rsidRPr="0087318B" w:rsidRDefault="00FA2D3F" w:rsidP="008E420A">
            <w:pPr>
              <w:shd w:val="clear" w:color="auto" w:fill="FFFFFF"/>
              <w:tabs>
                <w:tab w:val="left" w:pos="284"/>
                <w:tab w:val="left" w:pos="2610"/>
              </w:tabs>
              <w:rPr>
                <w:sz w:val="22"/>
                <w:szCs w:val="22"/>
                <w:lang w:val="sr-Latn-ME"/>
              </w:rPr>
            </w:pPr>
            <w:r w:rsidRPr="0087318B">
              <w:rPr>
                <w:sz w:val="22"/>
                <w:szCs w:val="22"/>
                <w:lang w:val="sr-Latn-ME"/>
              </w:rPr>
              <w:t>fotosenzitivnost</w:t>
            </w:r>
            <w:r w:rsidRPr="0087318B">
              <w:rPr>
                <w:sz w:val="22"/>
                <w:szCs w:val="22"/>
                <w:lang w:val="sr-Latn-ME"/>
              </w:rPr>
              <w:tab/>
            </w:r>
          </w:p>
        </w:tc>
      </w:tr>
      <w:tr w:rsidR="00FA2D3F" w:rsidRPr="004E07E9" w14:paraId="2738E96F" w14:textId="77777777" w:rsidTr="0004360F">
        <w:tc>
          <w:tcPr>
            <w:tcW w:w="2545" w:type="pct"/>
            <w:shd w:val="clear" w:color="auto" w:fill="auto"/>
          </w:tcPr>
          <w:p w14:paraId="25D7BBC0"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Veoma r</w:t>
            </w:r>
            <w:r>
              <w:rPr>
                <w:sz w:val="22"/>
                <w:szCs w:val="22"/>
                <w:lang w:val="sr-Latn-ME"/>
              </w:rPr>
              <w:t>ij</w:t>
            </w:r>
            <w:r w:rsidRPr="0087318B">
              <w:rPr>
                <w:sz w:val="22"/>
                <w:szCs w:val="22"/>
                <w:lang w:val="sr-Latn-ME"/>
              </w:rPr>
              <w:t xml:space="preserve">etko </w:t>
            </w:r>
          </w:p>
        </w:tc>
        <w:tc>
          <w:tcPr>
            <w:tcW w:w="2455" w:type="pct"/>
            <w:shd w:val="clear" w:color="auto" w:fill="auto"/>
          </w:tcPr>
          <w:p w14:paraId="604A8E10"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nekrotizirajući vaskulitis i toksična epidermalna nekroliza, kožne reakcije slične lupus eritematozus-u, reaktivacija kožnog lupus eritematozus-a</w:t>
            </w:r>
          </w:p>
        </w:tc>
      </w:tr>
      <w:tr w:rsidR="00FA2D3F" w:rsidRPr="0087318B" w14:paraId="548B9564" w14:textId="77777777" w:rsidTr="0004360F">
        <w:tc>
          <w:tcPr>
            <w:tcW w:w="2545" w:type="pct"/>
            <w:shd w:val="clear" w:color="auto" w:fill="auto"/>
          </w:tcPr>
          <w:p w14:paraId="4D601733"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 xml:space="preserve">Nepoznato  </w:t>
            </w:r>
          </w:p>
        </w:tc>
        <w:tc>
          <w:tcPr>
            <w:tcW w:w="2455" w:type="pct"/>
            <w:shd w:val="clear" w:color="auto" w:fill="auto"/>
          </w:tcPr>
          <w:p w14:paraId="7A66CB20"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eritema multiforme</w:t>
            </w:r>
          </w:p>
        </w:tc>
      </w:tr>
      <w:tr w:rsidR="00FA2D3F" w:rsidRPr="0087318B" w14:paraId="31D763E9" w14:textId="77777777" w:rsidTr="0004360F">
        <w:tc>
          <w:tcPr>
            <w:tcW w:w="5000" w:type="pct"/>
            <w:gridSpan w:val="2"/>
            <w:shd w:val="clear" w:color="auto" w:fill="auto"/>
          </w:tcPr>
          <w:p w14:paraId="09EF0675" w14:textId="59615390"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Opšti poremećaji i reakcije na m</w:t>
            </w:r>
            <w:r w:rsidR="00685093">
              <w:rPr>
                <w:b/>
                <w:bCs/>
                <w:sz w:val="22"/>
                <w:szCs w:val="22"/>
                <w:lang w:val="sr-Latn-ME"/>
              </w:rPr>
              <w:t>j</w:t>
            </w:r>
            <w:r w:rsidRPr="0087318B">
              <w:rPr>
                <w:b/>
                <w:bCs/>
                <w:sz w:val="22"/>
                <w:szCs w:val="22"/>
                <w:lang w:val="sr-Latn-ME"/>
              </w:rPr>
              <w:t xml:space="preserve">estu </w:t>
            </w:r>
            <w:r>
              <w:rPr>
                <w:b/>
                <w:bCs/>
                <w:sz w:val="22"/>
                <w:szCs w:val="22"/>
                <w:lang w:val="sr-Latn-ME"/>
              </w:rPr>
              <w:t>primjene</w:t>
            </w:r>
          </w:p>
        </w:tc>
      </w:tr>
      <w:tr w:rsidR="00FA2D3F" w:rsidRPr="0087318B" w14:paraId="2CEA0514" w14:textId="77777777" w:rsidTr="0004360F">
        <w:tc>
          <w:tcPr>
            <w:tcW w:w="2545" w:type="pct"/>
            <w:shd w:val="clear" w:color="auto" w:fill="auto"/>
          </w:tcPr>
          <w:p w14:paraId="2F20BE55"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 xml:space="preserve">Nepoznato </w:t>
            </w:r>
          </w:p>
        </w:tc>
        <w:tc>
          <w:tcPr>
            <w:tcW w:w="2455" w:type="pct"/>
            <w:shd w:val="clear" w:color="auto" w:fill="auto"/>
          </w:tcPr>
          <w:p w14:paraId="163290CF" w14:textId="77777777" w:rsidR="00FA2D3F" w:rsidRPr="0087318B" w:rsidRDefault="00FA2D3F" w:rsidP="008E420A">
            <w:pPr>
              <w:shd w:val="clear" w:color="auto" w:fill="FFFFFF"/>
              <w:tabs>
                <w:tab w:val="left" w:pos="284"/>
              </w:tabs>
              <w:rPr>
                <w:bCs/>
                <w:sz w:val="22"/>
                <w:szCs w:val="22"/>
                <w:lang w:val="sr-Latn-ME"/>
              </w:rPr>
            </w:pPr>
            <w:r w:rsidRPr="0087318B">
              <w:rPr>
                <w:bCs/>
                <w:sz w:val="22"/>
                <w:szCs w:val="22"/>
                <w:lang w:val="sr-Latn-ME"/>
              </w:rPr>
              <w:t>pireksija, astenija</w:t>
            </w:r>
          </w:p>
        </w:tc>
      </w:tr>
      <w:tr w:rsidR="00FA2D3F" w:rsidRPr="0087318B" w14:paraId="0EDC3AF5" w14:textId="77777777" w:rsidTr="0004360F">
        <w:tc>
          <w:tcPr>
            <w:tcW w:w="5000" w:type="pct"/>
            <w:gridSpan w:val="2"/>
            <w:shd w:val="clear" w:color="auto" w:fill="auto"/>
          </w:tcPr>
          <w:p w14:paraId="28D1ACBB" w14:textId="77777777" w:rsidR="00FA2D3F" w:rsidRPr="0087318B" w:rsidRDefault="00FA2D3F" w:rsidP="008E420A">
            <w:pPr>
              <w:shd w:val="clear" w:color="auto" w:fill="FFFFFF"/>
              <w:tabs>
                <w:tab w:val="left" w:pos="284"/>
              </w:tabs>
              <w:rPr>
                <w:b/>
                <w:bCs/>
                <w:sz w:val="22"/>
                <w:szCs w:val="22"/>
                <w:lang w:val="sr-Latn-ME"/>
              </w:rPr>
            </w:pPr>
            <w:r w:rsidRPr="0087318B">
              <w:rPr>
                <w:b/>
                <w:bCs/>
                <w:sz w:val="22"/>
                <w:szCs w:val="22"/>
                <w:lang w:val="sr-Latn-ME"/>
              </w:rPr>
              <w:t>Poremećaji mišićno-koštanog sistema i vezivnog tkiva</w:t>
            </w:r>
          </w:p>
        </w:tc>
      </w:tr>
      <w:tr w:rsidR="00FA2D3F" w:rsidRPr="0087318B" w14:paraId="0FCE7DA9" w14:textId="77777777" w:rsidTr="0004360F">
        <w:tc>
          <w:tcPr>
            <w:tcW w:w="2545" w:type="pct"/>
            <w:shd w:val="clear" w:color="auto" w:fill="auto"/>
          </w:tcPr>
          <w:p w14:paraId="31CE853F"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Nepoznato</w:t>
            </w:r>
          </w:p>
        </w:tc>
        <w:tc>
          <w:tcPr>
            <w:tcW w:w="2455" w:type="pct"/>
            <w:shd w:val="clear" w:color="auto" w:fill="auto"/>
          </w:tcPr>
          <w:p w14:paraId="5ADA9D39" w14:textId="77777777" w:rsidR="00FA2D3F" w:rsidRPr="0087318B" w:rsidRDefault="00FA2D3F" w:rsidP="008E420A">
            <w:pPr>
              <w:shd w:val="clear" w:color="auto" w:fill="FFFFFF"/>
              <w:tabs>
                <w:tab w:val="left" w:pos="284"/>
              </w:tabs>
              <w:rPr>
                <w:sz w:val="22"/>
                <w:szCs w:val="22"/>
                <w:lang w:val="sr-Latn-ME"/>
              </w:rPr>
            </w:pPr>
            <w:r w:rsidRPr="0087318B">
              <w:rPr>
                <w:sz w:val="22"/>
                <w:szCs w:val="22"/>
                <w:lang w:val="sr-Latn-ME"/>
              </w:rPr>
              <w:t>mišićni spazam</w:t>
            </w:r>
          </w:p>
        </w:tc>
      </w:tr>
      <w:tr w:rsidR="00FA2D3F" w:rsidRPr="0087318B" w14:paraId="3A5FDA4A" w14:textId="77777777" w:rsidTr="0004360F">
        <w:tc>
          <w:tcPr>
            <w:tcW w:w="5000" w:type="pct"/>
            <w:gridSpan w:val="2"/>
            <w:shd w:val="clear" w:color="auto" w:fill="auto"/>
          </w:tcPr>
          <w:p w14:paraId="7FB769B9" w14:textId="77777777" w:rsidR="00FA2D3F" w:rsidRPr="0087318B" w:rsidRDefault="00FA2D3F" w:rsidP="008E420A">
            <w:pPr>
              <w:shd w:val="clear" w:color="auto" w:fill="FFFFFF"/>
              <w:tabs>
                <w:tab w:val="left" w:pos="284"/>
              </w:tabs>
              <w:rPr>
                <w:b/>
                <w:sz w:val="22"/>
                <w:szCs w:val="22"/>
                <w:lang w:val="sr-Latn-ME"/>
              </w:rPr>
            </w:pPr>
            <w:r w:rsidRPr="0087318B">
              <w:rPr>
                <w:b/>
                <w:sz w:val="22"/>
                <w:szCs w:val="22"/>
                <w:lang w:val="sr-Latn-ME"/>
              </w:rPr>
              <w:t>Poremećaji reproduktivnog sistema i dojki</w:t>
            </w:r>
          </w:p>
        </w:tc>
      </w:tr>
      <w:tr w:rsidR="00FA2D3F" w:rsidRPr="0087318B" w14:paraId="66F4607F" w14:textId="77777777" w:rsidTr="0004360F">
        <w:tc>
          <w:tcPr>
            <w:tcW w:w="2545" w:type="pct"/>
            <w:shd w:val="clear" w:color="auto" w:fill="auto"/>
          </w:tcPr>
          <w:p w14:paraId="0A461AEF" w14:textId="77777777" w:rsidR="00FA2D3F" w:rsidRPr="0087318B" w:rsidRDefault="00FA2D3F" w:rsidP="008E420A">
            <w:pPr>
              <w:tabs>
                <w:tab w:val="left" w:pos="284"/>
              </w:tabs>
              <w:rPr>
                <w:sz w:val="22"/>
                <w:szCs w:val="22"/>
                <w:lang w:val="sr-Latn-ME"/>
              </w:rPr>
            </w:pPr>
            <w:r w:rsidRPr="0087318B">
              <w:rPr>
                <w:sz w:val="22"/>
                <w:szCs w:val="22"/>
                <w:lang w:val="sr-Latn-ME"/>
              </w:rPr>
              <w:t xml:space="preserve">Često </w:t>
            </w:r>
          </w:p>
        </w:tc>
        <w:tc>
          <w:tcPr>
            <w:tcW w:w="2455" w:type="pct"/>
            <w:shd w:val="clear" w:color="auto" w:fill="auto"/>
          </w:tcPr>
          <w:p w14:paraId="3E83F254" w14:textId="77777777" w:rsidR="00FA2D3F" w:rsidRPr="0087318B" w:rsidRDefault="00FA2D3F" w:rsidP="008E420A">
            <w:pPr>
              <w:tabs>
                <w:tab w:val="left" w:pos="284"/>
              </w:tabs>
              <w:rPr>
                <w:sz w:val="22"/>
                <w:szCs w:val="22"/>
                <w:lang w:val="sr-Latn-ME"/>
              </w:rPr>
            </w:pPr>
            <w:r w:rsidRPr="0087318B">
              <w:rPr>
                <w:sz w:val="22"/>
                <w:szCs w:val="22"/>
                <w:lang w:val="sr-Latn-ME"/>
              </w:rPr>
              <w:t>impotencija</w:t>
            </w:r>
          </w:p>
        </w:tc>
      </w:tr>
    </w:tbl>
    <w:p w14:paraId="18175838" w14:textId="77777777" w:rsidR="00FA2D3F" w:rsidRPr="0087318B" w:rsidRDefault="00FA2D3F" w:rsidP="00B857C4">
      <w:pPr>
        <w:tabs>
          <w:tab w:val="left" w:pos="540"/>
          <w:tab w:val="left" w:pos="569"/>
        </w:tabs>
        <w:rPr>
          <w:b/>
          <w:bCs/>
          <w:sz w:val="22"/>
          <w:szCs w:val="22"/>
          <w:lang w:val="sr-Latn-ME"/>
        </w:rPr>
      </w:pPr>
    </w:p>
    <w:p w14:paraId="3C413C7D" w14:textId="77777777" w:rsidR="00D836EE" w:rsidRPr="0087318B" w:rsidRDefault="00D836EE" w:rsidP="00B857C4">
      <w:pPr>
        <w:tabs>
          <w:tab w:val="left" w:pos="284"/>
        </w:tabs>
        <w:autoSpaceDE w:val="0"/>
        <w:autoSpaceDN w:val="0"/>
        <w:adjustRightInd w:val="0"/>
        <w:jc w:val="both"/>
        <w:rPr>
          <w:sz w:val="22"/>
          <w:szCs w:val="22"/>
          <w:u w:val="single"/>
          <w:lang w:val="sr-Latn-ME"/>
        </w:rPr>
      </w:pPr>
      <w:r w:rsidRPr="0087318B">
        <w:rPr>
          <w:sz w:val="22"/>
          <w:szCs w:val="22"/>
          <w:u w:val="single"/>
          <w:lang w:val="sr-Latn-ME"/>
        </w:rPr>
        <w:t>Opis odabranih neželjenih reakcija</w:t>
      </w:r>
    </w:p>
    <w:p w14:paraId="2DBA5C88" w14:textId="77777777" w:rsidR="00D836EE" w:rsidRPr="0087318B" w:rsidRDefault="00D836EE" w:rsidP="00B857C4">
      <w:pPr>
        <w:tabs>
          <w:tab w:val="left" w:pos="284"/>
        </w:tabs>
        <w:autoSpaceDE w:val="0"/>
        <w:autoSpaceDN w:val="0"/>
        <w:adjustRightInd w:val="0"/>
        <w:jc w:val="both"/>
        <w:rPr>
          <w:sz w:val="22"/>
          <w:szCs w:val="22"/>
          <w:u w:val="single"/>
          <w:lang w:val="sr-Latn-ME"/>
        </w:rPr>
      </w:pPr>
    </w:p>
    <w:p w14:paraId="57BB01CF" w14:textId="7171E04F" w:rsidR="00D836EE" w:rsidRPr="0087318B" w:rsidRDefault="00D836EE" w:rsidP="00B857C4">
      <w:pPr>
        <w:tabs>
          <w:tab w:val="left" w:pos="284"/>
        </w:tabs>
        <w:autoSpaceDE w:val="0"/>
        <w:autoSpaceDN w:val="0"/>
        <w:adjustRightInd w:val="0"/>
        <w:jc w:val="both"/>
        <w:rPr>
          <w:sz w:val="22"/>
          <w:szCs w:val="22"/>
          <w:lang w:val="sr-Latn-ME"/>
        </w:rPr>
      </w:pPr>
      <w:r w:rsidRPr="0087318B">
        <w:rPr>
          <w:sz w:val="22"/>
          <w:szCs w:val="22"/>
          <w:lang w:val="sr-Latn-ME"/>
        </w:rPr>
        <w:t>Nemelanomski karcinom kože: Na osnovu dostupnih podataka iz epidemioloških studija, između hidrohlortiazida i nemelanomskog karcinoma kože (NMSC) prim</w:t>
      </w:r>
      <w:r w:rsidR="00685093">
        <w:rPr>
          <w:sz w:val="22"/>
          <w:szCs w:val="22"/>
          <w:lang w:val="sr-Latn-ME"/>
        </w:rPr>
        <w:t>j</w:t>
      </w:r>
      <w:r w:rsidRPr="0087318B">
        <w:rPr>
          <w:sz w:val="22"/>
          <w:szCs w:val="22"/>
          <w:lang w:val="sr-Latn-ME"/>
        </w:rPr>
        <w:t xml:space="preserve">ećena je povezanost zavisna od kumulativne doze (takođe </w:t>
      </w:r>
      <w:r w:rsidR="003B0E37" w:rsidRPr="0087318B">
        <w:rPr>
          <w:sz w:val="22"/>
          <w:szCs w:val="22"/>
          <w:lang w:val="sr-Latn-ME"/>
        </w:rPr>
        <w:t>vidjeti</w:t>
      </w:r>
      <w:r w:rsidRPr="0087318B">
        <w:rPr>
          <w:sz w:val="22"/>
          <w:szCs w:val="22"/>
          <w:lang w:val="sr-Latn-ME"/>
        </w:rPr>
        <w:t xml:space="preserve"> </w:t>
      </w:r>
      <w:r w:rsidR="003B0E37" w:rsidRPr="0087318B">
        <w:rPr>
          <w:sz w:val="22"/>
          <w:szCs w:val="22"/>
          <w:lang w:val="sr-Latn-ME"/>
        </w:rPr>
        <w:t>djelove</w:t>
      </w:r>
      <w:r w:rsidRPr="0087318B">
        <w:rPr>
          <w:sz w:val="22"/>
          <w:szCs w:val="22"/>
          <w:lang w:val="sr-Latn-ME"/>
        </w:rPr>
        <w:t xml:space="preserve"> 4.4 i 5.1).</w:t>
      </w:r>
    </w:p>
    <w:p w14:paraId="6D2152A9" w14:textId="77777777" w:rsidR="00D836EE" w:rsidRPr="0087318B" w:rsidRDefault="00D836EE" w:rsidP="00B857C4">
      <w:pPr>
        <w:tabs>
          <w:tab w:val="left" w:pos="284"/>
        </w:tabs>
        <w:autoSpaceDE w:val="0"/>
        <w:autoSpaceDN w:val="0"/>
        <w:adjustRightInd w:val="0"/>
        <w:jc w:val="both"/>
        <w:rPr>
          <w:sz w:val="22"/>
          <w:szCs w:val="22"/>
          <w:lang w:val="sr-Latn-ME"/>
        </w:rPr>
      </w:pPr>
    </w:p>
    <w:p w14:paraId="4F42AB10" w14:textId="3FFC93B3" w:rsidR="005A23D2" w:rsidRPr="0087318B" w:rsidRDefault="005A23D2" w:rsidP="00B857C4">
      <w:pPr>
        <w:spacing w:line="276" w:lineRule="auto"/>
        <w:rPr>
          <w:rFonts w:eastAsia="Calibri"/>
          <w:sz w:val="22"/>
          <w:szCs w:val="22"/>
          <w:u w:val="single"/>
          <w:lang w:val="sr-Latn-ME"/>
        </w:rPr>
      </w:pPr>
      <w:r w:rsidRPr="0087318B">
        <w:rPr>
          <w:rFonts w:eastAsia="Calibri"/>
          <w:sz w:val="22"/>
          <w:szCs w:val="22"/>
          <w:u w:val="single"/>
          <w:lang w:val="sr-Latn-ME"/>
        </w:rPr>
        <w:t>Prijavljivanje sumnji na neželjena dejstva</w:t>
      </w:r>
    </w:p>
    <w:p w14:paraId="4BA95702" w14:textId="77777777" w:rsidR="005A23D2" w:rsidRPr="0087318B" w:rsidRDefault="005A23D2" w:rsidP="00B857C4">
      <w:pPr>
        <w:jc w:val="both"/>
        <w:rPr>
          <w:rFonts w:eastAsia="Calibri"/>
          <w:sz w:val="22"/>
          <w:szCs w:val="22"/>
          <w:lang w:val="sr-Latn-ME"/>
        </w:rPr>
      </w:pPr>
      <w:r w:rsidRPr="0087318B">
        <w:rPr>
          <w:rFonts w:eastAsia="Calibri"/>
          <w:sz w:val="22"/>
          <w:szCs w:val="22"/>
          <w:lang w:val="sr-Latn-ME"/>
        </w:rPr>
        <w:t>Prijavljivanje neželjenih dejstava nakon dobijanja dozvole je od velikog značaja jer obezbjeđuje kont</w:t>
      </w:r>
      <w:r w:rsidR="00EA5765" w:rsidRPr="0087318B">
        <w:rPr>
          <w:rFonts w:eastAsia="Calibri"/>
          <w:sz w:val="22"/>
          <w:szCs w:val="22"/>
          <w:lang w:val="sr-Latn-ME"/>
        </w:rPr>
        <w:t>inuirano praćenje odnosa korist</w:t>
      </w:r>
      <w:r w:rsidRPr="0087318B">
        <w:rPr>
          <w:rFonts w:eastAsia="Calibri"/>
          <w:sz w:val="22"/>
          <w:szCs w:val="22"/>
          <w:lang w:val="sr-Latn-ME"/>
        </w:rPr>
        <w:t>/rizik primjene lijeka. Zdravstveni radnici treba da prijave svaku sumnju na neželjeno</w:t>
      </w:r>
      <w:r w:rsidR="009B062A" w:rsidRPr="0087318B">
        <w:rPr>
          <w:rFonts w:eastAsia="Calibri"/>
          <w:sz w:val="22"/>
          <w:szCs w:val="22"/>
          <w:lang w:val="sr-Latn-ME"/>
        </w:rPr>
        <w:t xml:space="preserve"> </w:t>
      </w:r>
      <w:r w:rsidRPr="0087318B">
        <w:rPr>
          <w:rFonts w:eastAsia="Calibri"/>
          <w:sz w:val="22"/>
          <w:szCs w:val="22"/>
          <w:lang w:val="sr-Latn-ME"/>
        </w:rPr>
        <w:t xml:space="preserve">dejstvo ovog lijeka </w:t>
      </w:r>
      <w:r w:rsidR="004E70AD" w:rsidRPr="0087318B">
        <w:rPr>
          <w:rFonts w:eastAsia="Calibri"/>
          <w:sz w:val="22"/>
          <w:szCs w:val="22"/>
          <w:lang w:val="sr-Latn-ME"/>
        </w:rPr>
        <w:t>Institutu</w:t>
      </w:r>
      <w:r w:rsidRPr="0087318B">
        <w:rPr>
          <w:rFonts w:eastAsia="Calibri"/>
          <w:sz w:val="22"/>
          <w:szCs w:val="22"/>
          <w:lang w:val="sr-Latn-ME"/>
        </w:rPr>
        <w:t xml:space="preserve"> za ljekove i medicinska sredstva</w:t>
      </w:r>
      <w:r w:rsidR="004E70AD" w:rsidRPr="0087318B">
        <w:rPr>
          <w:rFonts w:eastAsia="Calibri"/>
          <w:sz w:val="22"/>
          <w:szCs w:val="22"/>
          <w:lang w:val="sr-Latn-ME"/>
        </w:rPr>
        <w:t xml:space="preserve"> </w:t>
      </w:r>
      <w:r w:rsidRPr="0087318B">
        <w:rPr>
          <w:rFonts w:eastAsia="Calibri"/>
          <w:sz w:val="22"/>
          <w:szCs w:val="22"/>
          <w:lang w:val="sr-Latn-ME"/>
        </w:rPr>
        <w:t>(</w:t>
      </w:r>
      <w:r w:rsidR="004E70AD" w:rsidRPr="0087318B">
        <w:rPr>
          <w:rFonts w:eastAsia="Calibri"/>
          <w:sz w:val="22"/>
          <w:szCs w:val="22"/>
          <w:lang w:val="sr-Latn-ME"/>
        </w:rPr>
        <w:t>CInMED</w:t>
      </w:r>
      <w:r w:rsidRPr="0087318B">
        <w:rPr>
          <w:rFonts w:eastAsia="Calibri"/>
          <w:sz w:val="22"/>
          <w:szCs w:val="22"/>
          <w:lang w:val="sr-Latn-ME"/>
        </w:rPr>
        <w:t>):</w:t>
      </w:r>
    </w:p>
    <w:p w14:paraId="3A7BCB88" w14:textId="77777777" w:rsidR="005A23D2" w:rsidRPr="0087318B" w:rsidRDefault="004E70AD" w:rsidP="00B857C4">
      <w:pPr>
        <w:pStyle w:val="NoSpacing"/>
        <w:jc w:val="both"/>
        <w:rPr>
          <w:rFonts w:eastAsia="Calibri"/>
          <w:sz w:val="22"/>
          <w:szCs w:val="22"/>
          <w:lang w:val="sr-Latn-ME"/>
        </w:rPr>
      </w:pPr>
      <w:r w:rsidRPr="0087318B">
        <w:rPr>
          <w:rFonts w:eastAsia="Calibri"/>
          <w:sz w:val="22"/>
          <w:szCs w:val="22"/>
          <w:lang w:val="sr-Latn-ME"/>
        </w:rPr>
        <w:t xml:space="preserve">Institut </w:t>
      </w:r>
      <w:r w:rsidR="005A23D2" w:rsidRPr="0087318B">
        <w:rPr>
          <w:rFonts w:eastAsia="Calibri"/>
          <w:sz w:val="22"/>
          <w:szCs w:val="22"/>
          <w:lang w:val="sr-Latn-ME"/>
        </w:rPr>
        <w:t xml:space="preserve">za ljekove i medicinska sredstva </w:t>
      </w:r>
    </w:p>
    <w:p w14:paraId="3A3BF826" w14:textId="77777777" w:rsidR="005A23D2" w:rsidRPr="0087318B" w:rsidRDefault="005A23D2" w:rsidP="00B857C4">
      <w:pPr>
        <w:pStyle w:val="NoSpacing"/>
        <w:jc w:val="both"/>
        <w:rPr>
          <w:rFonts w:eastAsia="Calibri"/>
          <w:sz w:val="22"/>
          <w:szCs w:val="22"/>
          <w:lang w:val="sr-Latn-ME"/>
        </w:rPr>
      </w:pPr>
      <w:r w:rsidRPr="0087318B">
        <w:rPr>
          <w:rFonts w:eastAsia="Calibri"/>
          <w:sz w:val="22"/>
          <w:szCs w:val="22"/>
          <w:lang w:val="sr-Latn-ME"/>
        </w:rPr>
        <w:t>Odjeljenje za farmakovigilancu</w:t>
      </w:r>
    </w:p>
    <w:p w14:paraId="29AB982E" w14:textId="77777777" w:rsidR="00EA5765" w:rsidRPr="0087318B" w:rsidRDefault="005A23D2" w:rsidP="00B857C4">
      <w:pPr>
        <w:pStyle w:val="NoSpacing"/>
        <w:jc w:val="both"/>
        <w:rPr>
          <w:rFonts w:eastAsia="Calibri"/>
          <w:sz w:val="22"/>
          <w:szCs w:val="22"/>
          <w:lang w:val="sr-Latn-ME"/>
        </w:rPr>
      </w:pPr>
      <w:r w:rsidRPr="0087318B">
        <w:rPr>
          <w:rFonts w:eastAsia="Calibri"/>
          <w:sz w:val="22"/>
          <w:szCs w:val="22"/>
          <w:lang w:val="sr-Latn-ME"/>
        </w:rPr>
        <w:t>Bulevar Ivana Crnojevića 64a, 81000 Podgorica</w:t>
      </w:r>
    </w:p>
    <w:p w14:paraId="36F9F667" w14:textId="77777777" w:rsidR="00EA5765" w:rsidRPr="0087318B" w:rsidRDefault="00EA5765" w:rsidP="00B857C4">
      <w:pPr>
        <w:pStyle w:val="NoSpacing"/>
        <w:rPr>
          <w:rFonts w:eastAsia="Calibri"/>
          <w:sz w:val="22"/>
          <w:szCs w:val="22"/>
          <w:lang w:val="sr-Latn-ME"/>
        </w:rPr>
      </w:pPr>
    </w:p>
    <w:p w14:paraId="2E6E9128" w14:textId="77777777" w:rsidR="005A23D2" w:rsidRPr="0087318B" w:rsidRDefault="005A23D2" w:rsidP="00B857C4">
      <w:pPr>
        <w:pStyle w:val="NoSpacing"/>
        <w:jc w:val="both"/>
        <w:rPr>
          <w:rFonts w:eastAsia="Calibri"/>
          <w:sz w:val="22"/>
          <w:szCs w:val="22"/>
          <w:lang w:val="sr-Latn-ME"/>
        </w:rPr>
      </w:pPr>
      <w:r w:rsidRPr="0087318B">
        <w:rPr>
          <w:rFonts w:eastAsia="Calibri"/>
          <w:sz w:val="22"/>
          <w:szCs w:val="22"/>
          <w:lang w:val="sr-Latn-ME"/>
        </w:rPr>
        <w:t>tel: +382 (0) 20 310 280</w:t>
      </w:r>
    </w:p>
    <w:p w14:paraId="62C366CC" w14:textId="77777777" w:rsidR="00EA5765" w:rsidRPr="0087318B" w:rsidRDefault="005A23D2" w:rsidP="00B857C4">
      <w:pPr>
        <w:pStyle w:val="NoSpacing"/>
        <w:tabs>
          <w:tab w:val="left" w:pos="6720"/>
        </w:tabs>
        <w:jc w:val="both"/>
        <w:rPr>
          <w:rFonts w:eastAsia="Calibri"/>
          <w:sz w:val="22"/>
          <w:szCs w:val="22"/>
          <w:lang w:val="sr-Latn-ME"/>
        </w:rPr>
      </w:pPr>
      <w:r w:rsidRPr="0087318B">
        <w:rPr>
          <w:rFonts w:eastAsia="Calibri"/>
          <w:sz w:val="22"/>
          <w:szCs w:val="22"/>
          <w:lang w:val="sr-Latn-ME"/>
        </w:rPr>
        <w:t>fax:</w:t>
      </w:r>
      <w:r w:rsidR="00EA5765" w:rsidRPr="0087318B">
        <w:rPr>
          <w:rFonts w:eastAsia="Calibri"/>
          <w:sz w:val="22"/>
          <w:szCs w:val="22"/>
          <w:lang w:val="sr-Latn-ME"/>
        </w:rPr>
        <w:t xml:space="preserve"> </w:t>
      </w:r>
      <w:r w:rsidRPr="0087318B">
        <w:rPr>
          <w:rFonts w:eastAsia="Calibri"/>
          <w:sz w:val="22"/>
          <w:szCs w:val="22"/>
          <w:lang w:val="sr-Latn-ME"/>
        </w:rPr>
        <w:t>+382 (0) 20 310 581</w:t>
      </w:r>
      <w:r w:rsidR="00FF3EDF" w:rsidRPr="0087318B">
        <w:rPr>
          <w:rFonts w:eastAsia="Calibri"/>
          <w:sz w:val="22"/>
          <w:szCs w:val="22"/>
          <w:lang w:val="sr-Latn-ME"/>
        </w:rPr>
        <w:tab/>
      </w:r>
    </w:p>
    <w:p w14:paraId="7D4B93F2" w14:textId="77777777" w:rsidR="005A23D2" w:rsidRPr="0087318B" w:rsidRDefault="00B43695" w:rsidP="00B857C4">
      <w:pPr>
        <w:pStyle w:val="NoSpacing"/>
        <w:jc w:val="both"/>
        <w:rPr>
          <w:rFonts w:eastAsia="Calibri"/>
          <w:sz w:val="22"/>
          <w:szCs w:val="22"/>
          <w:lang w:val="sr-Latn-ME"/>
        </w:rPr>
      </w:pPr>
      <w:hyperlink r:id="rId8" w:history="1">
        <w:r w:rsidR="004E70AD" w:rsidRPr="0087318B">
          <w:rPr>
            <w:rStyle w:val="Hyperlink"/>
            <w:rFonts w:eastAsia="Calibri"/>
            <w:sz w:val="22"/>
            <w:szCs w:val="22"/>
            <w:lang w:val="sr-Latn-ME"/>
          </w:rPr>
          <w:t>www.cinmed.me</w:t>
        </w:r>
      </w:hyperlink>
    </w:p>
    <w:p w14:paraId="5777A412" w14:textId="77777777" w:rsidR="00EA5765" w:rsidRPr="0087318B" w:rsidRDefault="00B43695" w:rsidP="00B857C4">
      <w:pPr>
        <w:pStyle w:val="NoSpacing"/>
        <w:jc w:val="both"/>
        <w:rPr>
          <w:rFonts w:eastAsia="Calibri"/>
          <w:color w:val="0000FF"/>
          <w:sz w:val="22"/>
          <w:szCs w:val="22"/>
          <w:u w:val="single"/>
          <w:lang w:val="sr-Latn-ME"/>
        </w:rPr>
      </w:pPr>
      <w:hyperlink r:id="rId9" w:history="1">
        <w:r w:rsidR="004E70AD" w:rsidRPr="0087318B">
          <w:rPr>
            <w:rStyle w:val="Hyperlink"/>
            <w:rFonts w:eastAsia="Calibri"/>
            <w:sz w:val="22"/>
            <w:szCs w:val="22"/>
            <w:lang w:val="sr-Latn-ME"/>
          </w:rPr>
          <w:t>nezeljenadejstva@cinmed.me</w:t>
        </w:r>
      </w:hyperlink>
    </w:p>
    <w:p w14:paraId="23DE3BCE" w14:textId="77777777" w:rsidR="005A23D2" w:rsidRPr="0087318B" w:rsidRDefault="005A23D2" w:rsidP="00B857C4">
      <w:pPr>
        <w:pStyle w:val="NoSpacing"/>
        <w:jc w:val="both"/>
        <w:rPr>
          <w:rFonts w:eastAsia="Calibri"/>
          <w:sz w:val="22"/>
          <w:szCs w:val="22"/>
          <w:lang w:val="sr-Latn-ME"/>
        </w:rPr>
      </w:pPr>
      <w:r w:rsidRPr="0087318B">
        <w:rPr>
          <w:rFonts w:eastAsia="Calibri"/>
          <w:sz w:val="22"/>
          <w:szCs w:val="22"/>
          <w:lang w:val="sr-Latn-ME"/>
        </w:rPr>
        <w:t>putem IS zdravstvene zaštite</w:t>
      </w:r>
    </w:p>
    <w:p w14:paraId="1FA90B94" w14:textId="77777777" w:rsidR="007E31E9" w:rsidRPr="0087318B" w:rsidRDefault="007E31E9" w:rsidP="00B857C4">
      <w:pPr>
        <w:pStyle w:val="NoSpacing"/>
        <w:jc w:val="both"/>
        <w:rPr>
          <w:rFonts w:eastAsia="Calibri"/>
          <w:sz w:val="22"/>
          <w:szCs w:val="22"/>
          <w:lang w:val="sr-Latn-ME"/>
        </w:rPr>
      </w:pPr>
      <w:r w:rsidRPr="0087318B">
        <w:rPr>
          <w:rFonts w:eastAsia="Calibri"/>
          <w:sz w:val="22"/>
          <w:szCs w:val="22"/>
          <w:lang w:val="sr-Latn-ME"/>
        </w:rPr>
        <w:t>QR kod za online prijavu</w:t>
      </w:r>
      <w:r w:rsidR="00D74CD2" w:rsidRPr="0087318B">
        <w:rPr>
          <w:rFonts w:eastAsia="Calibri"/>
          <w:sz w:val="22"/>
          <w:szCs w:val="22"/>
          <w:lang w:val="sr-Latn-ME"/>
        </w:rPr>
        <w:t xml:space="preserve"> sumnje na neželjeno dejstvo lijeka</w:t>
      </w:r>
      <w:r w:rsidRPr="0087318B">
        <w:rPr>
          <w:rFonts w:eastAsia="Calibri"/>
          <w:sz w:val="22"/>
          <w:szCs w:val="22"/>
          <w:lang w:val="sr-Latn-ME"/>
        </w:rPr>
        <w:t>:</w:t>
      </w:r>
    </w:p>
    <w:p w14:paraId="332DFA05" w14:textId="77777777" w:rsidR="007E31E9" w:rsidRPr="0087318B" w:rsidRDefault="007E31E9" w:rsidP="00B857C4">
      <w:pPr>
        <w:pStyle w:val="NoSpacing"/>
        <w:jc w:val="both"/>
        <w:rPr>
          <w:rFonts w:eastAsia="Calibri"/>
          <w:sz w:val="22"/>
          <w:szCs w:val="22"/>
          <w:lang w:val="sr-Latn-ME"/>
        </w:rPr>
      </w:pPr>
    </w:p>
    <w:p w14:paraId="05DD4FB6" w14:textId="4B2AF471" w:rsidR="004F17E2" w:rsidRPr="0087318B" w:rsidRDefault="007C0E56" w:rsidP="00B857C4">
      <w:pPr>
        <w:pStyle w:val="NoSpacing"/>
        <w:rPr>
          <w:rFonts w:eastAsia="Calibri"/>
          <w:sz w:val="22"/>
          <w:szCs w:val="22"/>
          <w:lang w:val="sr-Latn-ME"/>
        </w:rPr>
      </w:pPr>
      <w:r w:rsidRPr="007F661E">
        <w:rPr>
          <w:b/>
          <w:bCs/>
          <w:noProof/>
          <w:sz w:val="22"/>
          <w:szCs w:val="22"/>
        </w:rPr>
        <w:drawing>
          <wp:inline distT="0" distB="0" distL="0" distR="0" wp14:anchorId="49F07A01" wp14:editId="298541D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647ADF2" w14:textId="77777777" w:rsidR="00836B35" w:rsidRPr="0087318B" w:rsidRDefault="00836B35" w:rsidP="00B857C4">
      <w:pPr>
        <w:tabs>
          <w:tab w:val="left" w:pos="540"/>
          <w:tab w:val="left" w:pos="569"/>
        </w:tabs>
        <w:rPr>
          <w:b/>
          <w:bCs/>
          <w:sz w:val="22"/>
          <w:szCs w:val="22"/>
          <w:lang w:val="sr-Latn-ME"/>
        </w:rPr>
      </w:pPr>
    </w:p>
    <w:p w14:paraId="56E8D290" w14:textId="77777777" w:rsidR="00CD6F02" w:rsidRPr="0087318B" w:rsidRDefault="0072020E" w:rsidP="00A66F57">
      <w:pPr>
        <w:tabs>
          <w:tab w:val="left" w:pos="540"/>
          <w:tab w:val="left" w:pos="569"/>
        </w:tabs>
        <w:jc w:val="both"/>
        <w:rPr>
          <w:b/>
          <w:bCs/>
          <w:sz w:val="22"/>
          <w:szCs w:val="22"/>
          <w:lang w:val="sr-Latn-ME"/>
        </w:rPr>
      </w:pPr>
      <w:r w:rsidRPr="0087318B">
        <w:rPr>
          <w:b/>
          <w:bCs/>
          <w:sz w:val="22"/>
          <w:szCs w:val="22"/>
          <w:lang w:val="sr-Latn-ME"/>
        </w:rPr>
        <w:t xml:space="preserve">4.9. </w:t>
      </w:r>
      <w:r w:rsidR="00480FB1" w:rsidRPr="0087318B">
        <w:rPr>
          <w:b/>
          <w:bCs/>
          <w:sz w:val="22"/>
          <w:szCs w:val="22"/>
          <w:lang w:val="sr-Latn-ME"/>
        </w:rPr>
        <w:tab/>
      </w:r>
      <w:r w:rsidRPr="0087318B">
        <w:rPr>
          <w:b/>
          <w:bCs/>
          <w:sz w:val="22"/>
          <w:szCs w:val="22"/>
          <w:lang w:val="sr-Latn-ME"/>
        </w:rPr>
        <w:t>Predoziranje</w:t>
      </w:r>
      <w:r w:rsidR="002846DB" w:rsidRPr="0087318B">
        <w:rPr>
          <w:b/>
          <w:bCs/>
          <w:sz w:val="22"/>
          <w:szCs w:val="22"/>
          <w:lang w:val="sr-Latn-ME"/>
        </w:rPr>
        <w:t xml:space="preserve"> </w:t>
      </w:r>
    </w:p>
    <w:p w14:paraId="3CE2BA40" w14:textId="77777777" w:rsidR="00CD6F02" w:rsidRPr="0087318B" w:rsidRDefault="00CD6F02" w:rsidP="00A66F57">
      <w:pPr>
        <w:tabs>
          <w:tab w:val="left" w:pos="540"/>
          <w:tab w:val="left" w:pos="569"/>
        </w:tabs>
        <w:jc w:val="both"/>
        <w:rPr>
          <w:b/>
          <w:bCs/>
          <w:sz w:val="22"/>
          <w:szCs w:val="22"/>
          <w:lang w:val="sr-Latn-ME"/>
        </w:rPr>
      </w:pPr>
    </w:p>
    <w:p w14:paraId="39DA694B" w14:textId="77777777"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t>Simptomi</w:t>
      </w:r>
    </w:p>
    <w:p w14:paraId="0B063C2A" w14:textId="49D7DD82"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Predoziranje valsartanom može da rezultuje izrazitom hipotenzijom, koja može dovesti do snižavanja nivoa svijesti, cirkulatornog kolapsa i/ili šoka.  Dodatno, sljedeći znaci i simptomi se mogu javiti zbog predoziranja </w:t>
      </w:r>
      <w:r w:rsidR="0084780A" w:rsidRPr="0087318B">
        <w:rPr>
          <w:sz w:val="22"/>
          <w:szCs w:val="22"/>
          <w:lang w:val="sr-Latn-ME"/>
        </w:rPr>
        <w:t>hidrohlortiazid</w:t>
      </w:r>
      <w:r w:rsidRPr="0087318B">
        <w:rPr>
          <w:sz w:val="22"/>
          <w:szCs w:val="22"/>
          <w:lang w:val="sr-Latn-ME"/>
        </w:rPr>
        <w:t xml:space="preserve">nom komponentom: mučnina, pospanost, hipovolemija i poremećaji elektrolita povezani sa srčanim </w:t>
      </w:r>
      <w:proofErr w:type="spellStart"/>
      <w:r w:rsidRPr="0087318B">
        <w:rPr>
          <w:sz w:val="22"/>
          <w:szCs w:val="22"/>
          <w:lang w:val="sr-Latn-ME"/>
        </w:rPr>
        <w:t>artimijama</w:t>
      </w:r>
      <w:proofErr w:type="spellEnd"/>
      <w:r w:rsidRPr="0087318B">
        <w:rPr>
          <w:sz w:val="22"/>
          <w:szCs w:val="22"/>
          <w:lang w:val="sr-Latn-ME"/>
        </w:rPr>
        <w:t xml:space="preserve"> i grčevima mišića.</w:t>
      </w:r>
    </w:p>
    <w:p w14:paraId="2D60DE42" w14:textId="4C0E59A8" w:rsidR="006F2837" w:rsidRDefault="006F2837" w:rsidP="00A66F57">
      <w:pPr>
        <w:shd w:val="clear" w:color="auto" w:fill="FFFFFF"/>
        <w:tabs>
          <w:tab w:val="left" w:pos="284"/>
        </w:tabs>
        <w:jc w:val="both"/>
        <w:rPr>
          <w:i/>
          <w:sz w:val="22"/>
          <w:szCs w:val="22"/>
          <w:u w:val="single"/>
          <w:lang w:val="sr-Latn-ME"/>
        </w:rPr>
      </w:pPr>
    </w:p>
    <w:p w14:paraId="5D92635D" w14:textId="72CA4B4A" w:rsidR="008C67C3" w:rsidRDefault="008C67C3" w:rsidP="00A66F57">
      <w:pPr>
        <w:shd w:val="clear" w:color="auto" w:fill="FFFFFF"/>
        <w:tabs>
          <w:tab w:val="left" w:pos="284"/>
        </w:tabs>
        <w:jc w:val="both"/>
        <w:rPr>
          <w:i/>
          <w:sz w:val="22"/>
          <w:szCs w:val="22"/>
          <w:u w:val="single"/>
          <w:lang w:val="sr-Latn-ME"/>
        </w:rPr>
      </w:pPr>
    </w:p>
    <w:p w14:paraId="55B75137" w14:textId="77777777" w:rsidR="008C67C3" w:rsidRPr="0087318B" w:rsidRDefault="008C67C3" w:rsidP="00A66F57">
      <w:pPr>
        <w:shd w:val="clear" w:color="auto" w:fill="FFFFFF"/>
        <w:tabs>
          <w:tab w:val="left" w:pos="284"/>
        </w:tabs>
        <w:jc w:val="both"/>
        <w:rPr>
          <w:i/>
          <w:sz w:val="22"/>
          <w:szCs w:val="22"/>
          <w:u w:val="single"/>
          <w:lang w:val="sr-Latn-ME"/>
        </w:rPr>
      </w:pPr>
    </w:p>
    <w:p w14:paraId="093EC98A" w14:textId="06881381"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lastRenderedPageBreak/>
        <w:t>Liječenje</w:t>
      </w:r>
    </w:p>
    <w:p w14:paraId="48C6620A" w14:textId="68E3D842"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Terapijske mjere zavise od vremena unošenja i tipa i ozbiljnosti simptoma, pri čemu je stabilizacija uslova cirkulacije od primarnog značaja.</w:t>
      </w:r>
    </w:p>
    <w:p w14:paraId="7DABE83B" w14:textId="77777777"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Ako se pojavi hipotenzija, pacijent treba sa se postavi u ležeći položaj  uz brzo davanje soli i tečnosti. </w:t>
      </w:r>
    </w:p>
    <w:p w14:paraId="46F90E07" w14:textId="5DD0F0A3" w:rsidR="00D836EE" w:rsidRPr="0087318B" w:rsidRDefault="00D836EE" w:rsidP="00A66F57">
      <w:pPr>
        <w:tabs>
          <w:tab w:val="left" w:pos="284"/>
        </w:tabs>
        <w:jc w:val="both"/>
        <w:rPr>
          <w:sz w:val="22"/>
          <w:szCs w:val="22"/>
          <w:lang w:val="sr-Latn-ME"/>
        </w:rPr>
      </w:pPr>
      <w:r w:rsidRPr="0087318B">
        <w:rPr>
          <w:sz w:val="22"/>
          <w:szCs w:val="22"/>
          <w:lang w:val="sr-Latn-ME"/>
        </w:rPr>
        <w:t xml:space="preserve">Valsartan se ne može eliminisati putem hemodijalize zbog svog snažnog vezivanja u plazmi, dok se klirens </w:t>
      </w:r>
      <w:r w:rsidR="0084780A" w:rsidRPr="0087318B">
        <w:rPr>
          <w:sz w:val="22"/>
          <w:szCs w:val="22"/>
          <w:lang w:val="sr-Latn-ME"/>
        </w:rPr>
        <w:t>hidrohlortiazid</w:t>
      </w:r>
      <w:r w:rsidRPr="0087318B">
        <w:rPr>
          <w:sz w:val="22"/>
          <w:szCs w:val="22"/>
          <w:lang w:val="sr-Latn-ME"/>
        </w:rPr>
        <w:t>a može postići dijalizom.</w:t>
      </w:r>
    </w:p>
    <w:p w14:paraId="610FFE38" w14:textId="6C577A7B" w:rsidR="00227BDB" w:rsidRPr="0087318B" w:rsidRDefault="00227BDB" w:rsidP="00A66F57">
      <w:pPr>
        <w:tabs>
          <w:tab w:val="left" w:pos="540"/>
          <w:tab w:val="left" w:pos="569"/>
        </w:tabs>
        <w:jc w:val="both"/>
        <w:rPr>
          <w:b/>
          <w:bCs/>
          <w:sz w:val="22"/>
          <w:szCs w:val="22"/>
          <w:lang w:val="sr-Latn-ME"/>
        </w:rPr>
      </w:pPr>
    </w:p>
    <w:p w14:paraId="7302AD1A" w14:textId="77777777" w:rsidR="006F2837" w:rsidRPr="0087318B" w:rsidRDefault="006F2837" w:rsidP="00A66F57">
      <w:pPr>
        <w:tabs>
          <w:tab w:val="left" w:pos="540"/>
          <w:tab w:val="left" w:pos="569"/>
        </w:tabs>
        <w:jc w:val="both"/>
        <w:rPr>
          <w:b/>
          <w:bCs/>
          <w:sz w:val="22"/>
          <w:szCs w:val="22"/>
          <w:lang w:val="sr-Latn-ME"/>
        </w:rPr>
      </w:pPr>
    </w:p>
    <w:p w14:paraId="3D98836F" w14:textId="77777777" w:rsidR="0072020E" w:rsidRPr="0087318B" w:rsidRDefault="0072020E" w:rsidP="00A66F57">
      <w:pPr>
        <w:tabs>
          <w:tab w:val="left" w:pos="540"/>
          <w:tab w:val="left" w:pos="569"/>
        </w:tabs>
        <w:jc w:val="both"/>
        <w:rPr>
          <w:b/>
          <w:bCs/>
          <w:sz w:val="22"/>
          <w:szCs w:val="22"/>
          <w:lang w:val="sr-Latn-ME"/>
        </w:rPr>
      </w:pPr>
      <w:r w:rsidRPr="0087318B">
        <w:rPr>
          <w:b/>
          <w:bCs/>
          <w:sz w:val="22"/>
          <w:szCs w:val="22"/>
          <w:lang w:val="sr-Latn-ME"/>
        </w:rPr>
        <w:t xml:space="preserve">5. </w:t>
      </w:r>
      <w:r w:rsidR="00480FB1" w:rsidRPr="0087318B">
        <w:rPr>
          <w:b/>
          <w:bCs/>
          <w:sz w:val="22"/>
          <w:szCs w:val="22"/>
          <w:lang w:val="sr-Latn-ME"/>
        </w:rPr>
        <w:tab/>
      </w:r>
      <w:r w:rsidRPr="0087318B">
        <w:rPr>
          <w:b/>
          <w:bCs/>
          <w:sz w:val="22"/>
          <w:szCs w:val="22"/>
          <w:lang w:val="sr-Latn-ME"/>
        </w:rPr>
        <w:t>FARMAKOLOŠK</w:t>
      </w:r>
      <w:r w:rsidR="000D425A" w:rsidRPr="0087318B">
        <w:rPr>
          <w:b/>
          <w:bCs/>
          <w:sz w:val="22"/>
          <w:szCs w:val="22"/>
          <w:lang w:val="sr-Latn-ME"/>
        </w:rPr>
        <w:t>I</w:t>
      </w:r>
      <w:r w:rsidRPr="0087318B">
        <w:rPr>
          <w:b/>
          <w:bCs/>
          <w:sz w:val="22"/>
          <w:szCs w:val="22"/>
          <w:lang w:val="sr-Latn-ME"/>
        </w:rPr>
        <w:t xml:space="preserve"> PODACI</w:t>
      </w:r>
    </w:p>
    <w:p w14:paraId="1EF7120B" w14:textId="77777777" w:rsidR="0072020E" w:rsidRPr="0087318B" w:rsidRDefault="0072020E" w:rsidP="00A66F57">
      <w:pPr>
        <w:tabs>
          <w:tab w:val="left" w:pos="540"/>
          <w:tab w:val="left" w:pos="569"/>
        </w:tabs>
        <w:jc w:val="both"/>
        <w:rPr>
          <w:b/>
          <w:bCs/>
          <w:sz w:val="22"/>
          <w:szCs w:val="22"/>
          <w:lang w:val="sr-Latn-ME"/>
        </w:rPr>
      </w:pPr>
    </w:p>
    <w:p w14:paraId="077BE5E0" w14:textId="77777777" w:rsidR="0072020E" w:rsidRPr="0087318B" w:rsidRDefault="0072020E" w:rsidP="00A66F57">
      <w:pPr>
        <w:tabs>
          <w:tab w:val="left" w:pos="540"/>
          <w:tab w:val="left" w:pos="569"/>
        </w:tabs>
        <w:jc w:val="both"/>
        <w:rPr>
          <w:b/>
          <w:bCs/>
          <w:sz w:val="22"/>
          <w:szCs w:val="22"/>
          <w:lang w:val="sr-Latn-ME"/>
        </w:rPr>
      </w:pPr>
      <w:r w:rsidRPr="0087318B">
        <w:rPr>
          <w:b/>
          <w:bCs/>
          <w:sz w:val="22"/>
          <w:szCs w:val="22"/>
          <w:lang w:val="sr-Latn-ME"/>
        </w:rPr>
        <w:t xml:space="preserve">5.1. </w:t>
      </w:r>
      <w:r w:rsidR="00480FB1" w:rsidRPr="0087318B">
        <w:rPr>
          <w:b/>
          <w:bCs/>
          <w:sz w:val="22"/>
          <w:szCs w:val="22"/>
          <w:lang w:val="sr-Latn-ME"/>
        </w:rPr>
        <w:tab/>
      </w:r>
      <w:r w:rsidRPr="0087318B">
        <w:rPr>
          <w:b/>
          <w:bCs/>
          <w:sz w:val="22"/>
          <w:szCs w:val="22"/>
          <w:lang w:val="sr-Latn-ME"/>
        </w:rPr>
        <w:t>Farmakodinamski podaci</w:t>
      </w:r>
      <w:r w:rsidR="003A7059" w:rsidRPr="0087318B">
        <w:rPr>
          <w:b/>
          <w:bCs/>
          <w:sz w:val="22"/>
          <w:szCs w:val="22"/>
          <w:lang w:val="sr-Latn-ME"/>
        </w:rPr>
        <w:t xml:space="preserve"> </w:t>
      </w:r>
    </w:p>
    <w:p w14:paraId="372E667E" w14:textId="77777777" w:rsidR="00F45F77" w:rsidRPr="0087318B" w:rsidRDefault="00F45F77" w:rsidP="00A66F57">
      <w:pPr>
        <w:tabs>
          <w:tab w:val="left" w:pos="540"/>
          <w:tab w:val="left" w:pos="569"/>
        </w:tabs>
        <w:jc w:val="both"/>
        <w:rPr>
          <w:b/>
          <w:bCs/>
          <w:sz w:val="22"/>
          <w:szCs w:val="22"/>
          <w:lang w:val="sr-Latn-ME"/>
        </w:rPr>
      </w:pPr>
    </w:p>
    <w:p w14:paraId="0A1EB862" w14:textId="25F5B95B" w:rsidR="0072020E" w:rsidRPr="0087318B" w:rsidRDefault="0072020E" w:rsidP="00A66F57">
      <w:pPr>
        <w:tabs>
          <w:tab w:val="left" w:pos="540"/>
          <w:tab w:val="left" w:pos="569"/>
        </w:tabs>
        <w:jc w:val="both"/>
        <w:rPr>
          <w:bCs/>
          <w:sz w:val="22"/>
          <w:szCs w:val="22"/>
          <w:lang w:val="sr-Latn-ME"/>
        </w:rPr>
      </w:pPr>
      <w:r w:rsidRPr="0087318B">
        <w:rPr>
          <w:bCs/>
          <w:sz w:val="22"/>
          <w:szCs w:val="22"/>
          <w:lang w:val="sr-Latn-ME"/>
        </w:rPr>
        <w:t>Farmakoterapijska grupa:</w:t>
      </w:r>
      <w:r w:rsidR="00D836EE" w:rsidRPr="0087318B">
        <w:rPr>
          <w:color w:val="000000"/>
          <w:sz w:val="22"/>
          <w:szCs w:val="22"/>
          <w:lang w:val="sr-Latn-ME"/>
        </w:rPr>
        <w:t xml:space="preserve"> antagonisti receptora angiotenzina II (valsartan) i diuretici (hidrohlortiazid)</w:t>
      </w:r>
    </w:p>
    <w:p w14:paraId="57943B73" w14:textId="77777777" w:rsidR="0072020E" w:rsidRPr="0087318B" w:rsidRDefault="0072020E" w:rsidP="00A66F57">
      <w:pPr>
        <w:tabs>
          <w:tab w:val="left" w:pos="540"/>
          <w:tab w:val="left" w:pos="569"/>
        </w:tabs>
        <w:jc w:val="both"/>
        <w:rPr>
          <w:bCs/>
          <w:sz w:val="22"/>
          <w:szCs w:val="22"/>
          <w:lang w:val="sr-Latn-ME"/>
        </w:rPr>
      </w:pPr>
    </w:p>
    <w:p w14:paraId="6CB99F4A" w14:textId="47514EE3" w:rsidR="0072020E" w:rsidRPr="0087318B" w:rsidRDefault="0072020E" w:rsidP="00A66F57">
      <w:pPr>
        <w:tabs>
          <w:tab w:val="left" w:pos="540"/>
          <w:tab w:val="left" w:pos="569"/>
        </w:tabs>
        <w:jc w:val="both"/>
        <w:rPr>
          <w:color w:val="000000"/>
          <w:sz w:val="22"/>
          <w:szCs w:val="22"/>
          <w:lang w:val="sr-Latn-ME"/>
        </w:rPr>
      </w:pPr>
      <w:r w:rsidRPr="0087318B">
        <w:rPr>
          <w:bCs/>
          <w:sz w:val="22"/>
          <w:szCs w:val="22"/>
          <w:lang w:val="sr-Latn-ME"/>
        </w:rPr>
        <w:t>ATC kod:</w:t>
      </w:r>
      <w:r w:rsidR="00D836EE" w:rsidRPr="0087318B">
        <w:rPr>
          <w:color w:val="000000"/>
          <w:sz w:val="22"/>
          <w:szCs w:val="22"/>
          <w:lang w:val="sr-Latn-ME"/>
        </w:rPr>
        <w:t xml:space="preserve"> C09DA03</w:t>
      </w:r>
    </w:p>
    <w:p w14:paraId="418FC027" w14:textId="77777777" w:rsidR="00D836EE" w:rsidRPr="0087318B" w:rsidRDefault="00D836EE" w:rsidP="00A66F57">
      <w:pPr>
        <w:tabs>
          <w:tab w:val="left" w:pos="540"/>
          <w:tab w:val="left" w:pos="569"/>
        </w:tabs>
        <w:jc w:val="both"/>
        <w:rPr>
          <w:bCs/>
          <w:sz w:val="22"/>
          <w:szCs w:val="22"/>
          <w:lang w:val="sr-Latn-ME"/>
        </w:rPr>
      </w:pPr>
    </w:p>
    <w:p w14:paraId="1AEB59F5" w14:textId="087C4B0F" w:rsidR="00D836EE" w:rsidRPr="0087318B" w:rsidRDefault="00D836EE" w:rsidP="00A66F57">
      <w:pPr>
        <w:shd w:val="clear" w:color="auto" w:fill="FFFFFF"/>
        <w:tabs>
          <w:tab w:val="left" w:pos="284"/>
        </w:tabs>
        <w:jc w:val="both"/>
        <w:rPr>
          <w:i/>
          <w:color w:val="000000"/>
          <w:sz w:val="22"/>
          <w:szCs w:val="22"/>
          <w:u w:val="single"/>
          <w:lang w:val="sr-Latn-ME"/>
        </w:rPr>
      </w:pPr>
      <w:r w:rsidRPr="0087318B">
        <w:rPr>
          <w:i/>
          <w:color w:val="000000"/>
          <w:sz w:val="22"/>
          <w:szCs w:val="22"/>
          <w:u w:val="single"/>
          <w:lang w:val="sr-Latn-ME"/>
        </w:rPr>
        <w:t>Valsartan/</w:t>
      </w:r>
      <w:r w:rsidR="0084780A" w:rsidRPr="0087318B">
        <w:rPr>
          <w:i/>
          <w:color w:val="000000"/>
          <w:sz w:val="22"/>
          <w:szCs w:val="22"/>
          <w:u w:val="single"/>
          <w:lang w:val="sr-Latn-ME"/>
        </w:rPr>
        <w:t>hidrohlortiazid</w:t>
      </w:r>
    </w:p>
    <w:p w14:paraId="51E6BE8B" w14:textId="708C7BB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U dvostruko slijepoj, randomizovanoj, aktivno kontrolisanoj kliničkoj studiji sprovedenoj sa pacijentima koji </w:t>
      </w:r>
      <w:r w:rsidR="00C81D72">
        <w:rPr>
          <w:color w:val="000000"/>
          <w:sz w:val="22"/>
          <w:szCs w:val="22"/>
          <w:lang w:val="sr-Latn-ME"/>
        </w:rPr>
        <w:t>nijesu</w:t>
      </w:r>
      <w:r w:rsidRPr="0087318B">
        <w:rPr>
          <w:color w:val="000000"/>
          <w:sz w:val="22"/>
          <w:szCs w:val="22"/>
          <w:lang w:val="sr-Latn-ME"/>
        </w:rPr>
        <w:t xml:space="preserve"> odgovarajuće kontrolisani sa 12</w:t>
      </w:r>
      <w:r w:rsidR="00A44051">
        <w:rPr>
          <w:color w:val="000000"/>
          <w:sz w:val="22"/>
          <w:szCs w:val="22"/>
          <w:lang w:val="sr-Latn-ME"/>
        </w:rPr>
        <w:t>,</w:t>
      </w:r>
      <w:r w:rsidRPr="0087318B">
        <w:rPr>
          <w:color w:val="000000"/>
          <w:sz w:val="22"/>
          <w:szCs w:val="22"/>
          <w:lang w:val="sr-Latn-ME"/>
        </w:rPr>
        <w:t xml:space="preserve">5 mg </w:t>
      </w:r>
      <w:r w:rsidR="0084780A" w:rsidRPr="0087318B">
        <w:rPr>
          <w:color w:val="000000"/>
          <w:sz w:val="22"/>
          <w:szCs w:val="22"/>
          <w:lang w:val="sr-Latn-ME"/>
        </w:rPr>
        <w:t>hidrohlortiazid</w:t>
      </w:r>
      <w:r w:rsidRPr="0087318B">
        <w:rPr>
          <w:color w:val="000000"/>
          <w:sz w:val="22"/>
          <w:szCs w:val="22"/>
          <w:lang w:val="sr-Latn-ME"/>
        </w:rPr>
        <w:t xml:space="preserve">a, uočena su značajno veća sniženja srednje vrijednosti sistolnog/dijastolnog krvnog pritiska sa kombinacijom </w:t>
      </w:r>
      <w:r w:rsidR="007A6357">
        <w:rPr>
          <w:color w:val="000000"/>
          <w:sz w:val="22"/>
          <w:szCs w:val="22"/>
          <w:lang w:val="sr-Latn-ME"/>
        </w:rPr>
        <w:t>80 mg + 12</w:t>
      </w:r>
      <w:r w:rsidR="00A44051">
        <w:rPr>
          <w:color w:val="000000"/>
          <w:sz w:val="22"/>
          <w:szCs w:val="22"/>
          <w:lang w:val="sr-Latn-ME"/>
        </w:rPr>
        <w:t>,</w:t>
      </w:r>
      <w:r w:rsidR="007A6357">
        <w:rPr>
          <w:color w:val="000000"/>
          <w:sz w:val="22"/>
          <w:szCs w:val="22"/>
          <w:lang w:val="sr-Latn-ME"/>
        </w:rPr>
        <w:t>5 mg</w:t>
      </w:r>
      <w:r w:rsidRPr="0087318B">
        <w:rPr>
          <w:color w:val="000000"/>
          <w:sz w:val="22"/>
          <w:szCs w:val="22"/>
          <w:lang w:val="sr-Latn-ME"/>
        </w:rPr>
        <w:t xml:space="preserve"> valsartana/</w:t>
      </w:r>
      <w:r w:rsidR="0084780A" w:rsidRPr="0087318B">
        <w:rPr>
          <w:color w:val="000000"/>
          <w:sz w:val="22"/>
          <w:szCs w:val="22"/>
          <w:lang w:val="sr-Latn-ME"/>
        </w:rPr>
        <w:t>hidrohlortiazid</w:t>
      </w:r>
      <w:r w:rsidRPr="0087318B">
        <w:rPr>
          <w:color w:val="000000"/>
          <w:sz w:val="22"/>
          <w:szCs w:val="22"/>
          <w:lang w:val="sr-Latn-ME"/>
        </w:rPr>
        <w:t>a (14</w:t>
      </w:r>
      <w:r w:rsidR="00FA2D3F">
        <w:rPr>
          <w:color w:val="000000"/>
          <w:sz w:val="22"/>
          <w:szCs w:val="22"/>
          <w:lang w:val="sr-Latn-ME"/>
        </w:rPr>
        <w:t>.</w:t>
      </w:r>
      <w:r w:rsidRPr="0087318B">
        <w:rPr>
          <w:color w:val="000000"/>
          <w:sz w:val="22"/>
          <w:szCs w:val="22"/>
          <w:lang w:val="sr-Latn-ME"/>
        </w:rPr>
        <w:t>9/11.3 mmHg) u poređenju sa 12</w:t>
      </w:r>
      <w:r w:rsidR="00A44051">
        <w:rPr>
          <w:color w:val="000000"/>
          <w:sz w:val="22"/>
          <w:szCs w:val="22"/>
          <w:lang w:val="sr-Latn-ME"/>
        </w:rPr>
        <w:t>,</w:t>
      </w:r>
      <w:r w:rsidRPr="0087318B">
        <w:rPr>
          <w:color w:val="000000"/>
          <w:sz w:val="22"/>
          <w:szCs w:val="22"/>
          <w:lang w:val="sr-Latn-ME"/>
        </w:rPr>
        <w:t xml:space="preserve">5 mg </w:t>
      </w:r>
      <w:r w:rsidR="0084780A" w:rsidRPr="0087318B">
        <w:rPr>
          <w:color w:val="000000"/>
          <w:sz w:val="22"/>
          <w:szCs w:val="22"/>
          <w:lang w:val="sr-Latn-ME"/>
        </w:rPr>
        <w:t>hidrohlortiazid</w:t>
      </w:r>
      <w:r w:rsidRPr="0087318B">
        <w:rPr>
          <w:color w:val="000000"/>
          <w:sz w:val="22"/>
          <w:szCs w:val="22"/>
          <w:lang w:val="sr-Latn-ME"/>
        </w:rPr>
        <w:t>a (5</w:t>
      </w:r>
      <w:r w:rsidR="00FA2D3F">
        <w:rPr>
          <w:color w:val="000000"/>
          <w:sz w:val="22"/>
          <w:szCs w:val="22"/>
          <w:lang w:val="sr-Latn-ME"/>
        </w:rPr>
        <w:t>.</w:t>
      </w:r>
      <w:r w:rsidRPr="0087318B">
        <w:rPr>
          <w:color w:val="000000"/>
          <w:sz w:val="22"/>
          <w:szCs w:val="22"/>
          <w:lang w:val="sr-Latn-ME"/>
        </w:rPr>
        <w:t>2/2</w:t>
      </w:r>
      <w:r w:rsidR="00FA2D3F">
        <w:rPr>
          <w:color w:val="000000"/>
          <w:sz w:val="22"/>
          <w:szCs w:val="22"/>
          <w:lang w:val="sr-Latn-ME"/>
        </w:rPr>
        <w:t>.</w:t>
      </w:r>
      <w:r w:rsidRPr="0087318B">
        <w:rPr>
          <w:color w:val="000000"/>
          <w:sz w:val="22"/>
          <w:szCs w:val="22"/>
          <w:lang w:val="sr-Latn-ME"/>
        </w:rPr>
        <w:t xml:space="preserve">9 mmHg) i 25 mg </w:t>
      </w:r>
      <w:r w:rsidR="0084780A" w:rsidRPr="0087318B">
        <w:rPr>
          <w:color w:val="000000"/>
          <w:sz w:val="22"/>
          <w:szCs w:val="22"/>
          <w:lang w:val="sr-Latn-ME"/>
        </w:rPr>
        <w:t>hidrohlortiazid</w:t>
      </w:r>
      <w:r w:rsidRPr="0087318B">
        <w:rPr>
          <w:color w:val="000000"/>
          <w:sz w:val="22"/>
          <w:szCs w:val="22"/>
          <w:lang w:val="sr-Latn-ME"/>
        </w:rPr>
        <w:t>a (6</w:t>
      </w:r>
      <w:r w:rsidR="00FA2D3F">
        <w:rPr>
          <w:color w:val="000000"/>
          <w:sz w:val="22"/>
          <w:szCs w:val="22"/>
          <w:lang w:val="sr-Latn-ME"/>
        </w:rPr>
        <w:t>.</w:t>
      </w:r>
      <w:r w:rsidRPr="0087318B">
        <w:rPr>
          <w:color w:val="000000"/>
          <w:sz w:val="22"/>
          <w:szCs w:val="22"/>
          <w:lang w:val="sr-Latn-ME"/>
        </w:rPr>
        <w:t>8/5</w:t>
      </w:r>
      <w:r w:rsidR="00FA2D3F">
        <w:rPr>
          <w:color w:val="000000"/>
          <w:sz w:val="22"/>
          <w:szCs w:val="22"/>
          <w:lang w:val="sr-Latn-ME"/>
        </w:rPr>
        <w:t>.</w:t>
      </w:r>
      <w:r w:rsidRPr="0087318B">
        <w:rPr>
          <w:color w:val="000000"/>
          <w:sz w:val="22"/>
          <w:szCs w:val="22"/>
          <w:lang w:val="sr-Latn-ME"/>
        </w:rPr>
        <w:t xml:space="preserve">7 mmHg). Osim toga značajno veći procenat pacijenata je odgovorio (dijastolni krvni pritisak &lt;90 mmHg ili sniženje za ≥10 mmHg) sa </w:t>
      </w:r>
      <w:r w:rsidR="007A6357">
        <w:rPr>
          <w:color w:val="000000"/>
          <w:sz w:val="22"/>
          <w:szCs w:val="22"/>
          <w:lang w:val="sr-Latn-ME"/>
        </w:rPr>
        <w:t>80 mg + 12</w:t>
      </w:r>
      <w:r w:rsidR="00A44051">
        <w:rPr>
          <w:color w:val="000000"/>
          <w:sz w:val="22"/>
          <w:szCs w:val="22"/>
          <w:lang w:val="sr-Latn-ME"/>
        </w:rPr>
        <w:t>,</w:t>
      </w:r>
      <w:r w:rsidR="007A6357">
        <w:rPr>
          <w:color w:val="000000"/>
          <w:sz w:val="22"/>
          <w:szCs w:val="22"/>
          <w:lang w:val="sr-Latn-ME"/>
        </w:rPr>
        <w:t>5 mg</w:t>
      </w:r>
      <w:r w:rsidRPr="0087318B">
        <w:rPr>
          <w:color w:val="000000"/>
          <w:sz w:val="22"/>
          <w:szCs w:val="22"/>
          <w:lang w:val="sr-Latn-ME"/>
        </w:rPr>
        <w:t xml:space="preserve"> valsartana/</w:t>
      </w:r>
      <w:r w:rsidR="0084780A" w:rsidRPr="0087318B">
        <w:rPr>
          <w:color w:val="000000"/>
          <w:sz w:val="22"/>
          <w:szCs w:val="22"/>
          <w:lang w:val="sr-Latn-ME"/>
        </w:rPr>
        <w:t>hidrohlortiazid</w:t>
      </w:r>
      <w:r w:rsidR="007A6357">
        <w:rPr>
          <w:color w:val="000000"/>
          <w:sz w:val="22"/>
          <w:szCs w:val="22"/>
          <w:lang w:val="sr-Latn-ME"/>
        </w:rPr>
        <w:t>a (60</w:t>
      </w:r>
      <w:r w:rsidRPr="0087318B">
        <w:rPr>
          <w:color w:val="000000"/>
          <w:sz w:val="22"/>
          <w:szCs w:val="22"/>
          <w:lang w:val="sr-Latn-ME"/>
        </w:rPr>
        <w:t>%) u poređenju sa 1</w:t>
      </w:r>
      <w:r w:rsidR="00A44051">
        <w:rPr>
          <w:color w:val="000000"/>
          <w:sz w:val="22"/>
          <w:szCs w:val="22"/>
          <w:lang w:val="sr-Latn-ME"/>
        </w:rPr>
        <w:t>,</w:t>
      </w:r>
      <w:r w:rsidRPr="0087318B">
        <w:rPr>
          <w:color w:val="000000"/>
          <w:sz w:val="22"/>
          <w:szCs w:val="22"/>
          <w:lang w:val="sr-Latn-ME"/>
        </w:rPr>
        <w:t xml:space="preserve">5 mg </w:t>
      </w:r>
      <w:proofErr w:type="spellStart"/>
      <w:r w:rsidR="0084780A" w:rsidRPr="0087318B">
        <w:rPr>
          <w:color w:val="000000"/>
          <w:sz w:val="22"/>
          <w:szCs w:val="22"/>
          <w:lang w:val="sr-Latn-ME"/>
        </w:rPr>
        <w:t>hidrohlortiazid</w:t>
      </w:r>
      <w:r w:rsidRPr="0087318B">
        <w:rPr>
          <w:color w:val="000000"/>
          <w:sz w:val="22"/>
          <w:szCs w:val="22"/>
          <w:lang w:val="sr-Latn-ME"/>
        </w:rPr>
        <w:t>a</w:t>
      </w:r>
      <w:proofErr w:type="spellEnd"/>
      <w:r w:rsidRPr="0087318B">
        <w:rPr>
          <w:color w:val="000000"/>
          <w:sz w:val="22"/>
          <w:szCs w:val="22"/>
          <w:lang w:val="sr-Latn-ME"/>
        </w:rPr>
        <w:t xml:space="preserve"> (25%) i 25 mg </w:t>
      </w:r>
      <w:r w:rsidR="0084780A" w:rsidRPr="0087318B">
        <w:rPr>
          <w:color w:val="000000"/>
          <w:sz w:val="22"/>
          <w:szCs w:val="22"/>
          <w:lang w:val="sr-Latn-ME"/>
        </w:rPr>
        <w:t>hidrohlortiazid</w:t>
      </w:r>
      <w:r w:rsidRPr="0087318B">
        <w:rPr>
          <w:color w:val="000000"/>
          <w:sz w:val="22"/>
          <w:szCs w:val="22"/>
          <w:lang w:val="sr-Latn-ME"/>
        </w:rPr>
        <w:t>a (27%).</w:t>
      </w:r>
    </w:p>
    <w:p w14:paraId="1C28B4F9" w14:textId="77777777" w:rsidR="00D836EE" w:rsidRPr="0087318B" w:rsidRDefault="00D836EE" w:rsidP="00A66F57">
      <w:pPr>
        <w:shd w:val="clear" w:color="auto" w:fill="FFFFFF"/>
        <w:tabs>
          <w:tab w:val="left" w:pos="284"/>
        </w:tabs>
        <w:jc w:val="both"/>
        <w:rPr>
          <w:color w:val="000000"/>
          <w:sz w:val="22"/>
          <w:szCs w:val="22"/>
          <w:lang w:val="sr-Latn-ME"/>
        </w:rPr>
      </w:pPr>
    </w:p>
    <w:p w14:paraId="60B387C7" w14:textId="38A5BD38"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U dvostruko slijepoj, randomizovanoj, aktivno kontrolisanoj kliničkoj studiji sprovedenoj sa pacijentima koji </w:t>
      </w:r>
      <w:r w:rsidR="00C81D72">
        <w:rPr>
          <w:color w:val="000000"/>
          <w:sz w:val="22"/>
          <w:szCs w:val="22"/>
          <w:lang w:val="sr-Latn-ME"/>
        </w:rPr>
        <w:t>nijesu</w:t>
      </w:r>
      <w:r w:rsidRPr="0087318B">
        <w:rPr>
          <w:color w:val="000000"/>
          <w:sz w:val="22"/>
          <w:szCs w:val="22"/>
          <w:lang w:val="sr-Latn-ME"/>
        </w:rPr>
        <w:t xml:space="preserve"> odgovarajuće kontrolisani sa 80 mg valsartana, uočena su značajno veća sniženja srednje vrijednosti sistolnog/dijastolnog krvnog pritiska sa kombinacijom </w:t>
      </w:r>
      <w:r w:rsidR="007A6357">
        <w:rPr>
          <w:color w:val="000000"/>
          <w:sz w:val="22"/>
          <w:szCs w:val="22"/>
          <w:lang w:val="sr-Latn-ME"/>
        </w:rPr>
        <w:t>80 mg + 12</w:t>
      </w:r>
      <w:r w:rsidR="00A44051">
        <w:rPr>
          <w:color w:val="000000"/>
          <w:sz w:val="22"/>
          <w:szCs w:val="22"/>
          <w:lang w:val="sr-Latn-ME"/>
        </w:rPr>
        <w:t>,</w:t>
      </w:r>
      <w:r w:rsidR="007A6357">
        <w:rPr>
          <w:color w:val="000000"/>
          <w:sz w:val="22"/>
          <w:szCs w:val="22"/>
          <w:lang w:val="sr-Latn-ME"/>
        </w:rPr>
        <w:t>5 mg</w:t>
      </w:r>
      <w:r w:rsidRPr="0087318B">
        <w:rPr>
          <w:color w:val="000000"/>
          <w:sz w:val="22"/>
          <w:szCs w:val="22"/>
          <w:lang w:val="sr-Latn-ME"/>
        </w:rPr>
        <w:t xml:space="preserve"> valsartana/</w:t>
      </w:r>
      <w:r w:rsidR="0084780A" w:rsidRPr="0087318B">
        <w:rPr>
          <w:color w:val="000000"/>
          <w:sz w:val="22"/>
          <w:szCs w:val="22"/>
          <w:lang w:val="sr-Latn-ME"/>
        </w:rPr>
        <w:t>hidrohlortiazid</w:t>
      </w:r>
      <w:r w:rsidRPr="0087318B">
        <w:rPr>
          <w:color w:val="000000"/>
          <w:sz w:val="22"/>
          <w:szCs w:val="22"/>
          <w:lang w:val="sr-Latn-ME"/>
        </w:rPr>
        <w:t>a (9</w:t>
      </w:r>
      <w:r w:rsidR="00FA2D3F">
        <w:rPr>
          <w:color w:val="000000"/>
          <w:sz w:val="22"/>
          <w:szCs w:val="22"/>
          <w:lang w:val="sr-Latn-ME"/>
        </w:rPr>
        <w:t>.</w:t>
      </w:r>
      <w:r w:rsidRPr="0087318B">
        <w:rPr>
          <w:color w:val="000000"/>
          <w:sz w:val="22"/>
          <w:szCs w:val="22"/>
          <w:lang w:val="sr-Latn-ME"/>
        </w:rPr>
        <w:t>8/8</w:t>
      </w:r>
      <w:r w:rsidR="00FA2D3F">
        <w:rPr>
          <w:color w:val="000000"/>
          <w:sz w:val="22"/>
          <w:szCs w:val="22"/>
          <w:lang w:val="sr-Latn-ME"/>
        </w:rPr>
        <w:t>.</w:t>
      </w:r>
      <w:r w:rsidRPr="0087318B">
        <w:rPr>
          <w:color w:val="000000"/>
          <w:sz w:val="22"/>
          <w:szCs w:val="22"/>
          <w:lang w:val="sr-Latn-ME"/>
        </w:rPr>
        <w:t>2 mmHg) u poređenju sa 80 mg valsartana (3</w:t>
      </w:r>
      <w:r w:rsidR="00FA2D3F">
        <w:rPr>
          <w:color w:val="000000"/>
          <w:sz w:val="22"/>
          <w:szCs w:val="22"/>
          <w:lang w:val="sr-Latn-ME"/>
        </w:rPr>
        <w:t>.</w:t>
      </w:r>
      <w:r w:rsidRPr="0087318B">
        <w:rPr>
          <w:color w:val="000000"/>
          <w:sz w:val="22"/>
          <w:szCs w:val="22"/>
          <w:lang w:val="sr-Latn-ME"/>
        </w:rPr>
        <w:t>9/5</w:t>
      </w:r>
      <w:r w:rsidR="00FA2D3F">
        <w:rPr>
          <w:color w:val="000000"/>
          <w:sz w:val="22"/>
          <w:szCs w:val="22"/>
          <w:lang w:val="sr-Latn-ME"/>
        </w:rPr>
        <w:t>.</w:t>
      </w:r>
      <w:r w:rsidRPr="0087318B">
        <w:rPr>
          <w:color w:val="000000"/>
          <w:sz w:val="22"/>
          <w:szCs w:val="22"/>
          <w:lang w:val="sr-Latn-ME"/>
        </w:rPr>
        <w:t>1 mmHg) i 160 mg valsartana (6</w:t>
      </w:r>
      <w:r w:rsidR="00FA2D3F">
        <w:rPr>
          <w:color w:val="000000"/>
          <w:sz w:val="22"/>
          <w:szCs w:val="22"/>
          <w:lang w:val="sr-Latn-ME"/>
        </w:rPr>
        <w:t>.</w:t>
      </w:r>
      <w:r w:rsidRPr="0087318B">
        <w:rPr>
          <w:color w:val="000000"/>
          <w:sz w:val="22"/>
          <w:szCs w:val="22"/>
          <w:lang w:val="sr-Latn-ME"/>
        </w:rPr>
        <w:t>5/6</w:t>
      </w:r>
      <w:r w:rsidR="00FA2D3F">
        <w:rPr>
          <w:color w:val="000000"/>
          <w:sz w:val="22"/>
          <w:szCs w:val="22"/>
          <w:lang w:val="sr-Latn-ME"/>
        </w:rPr>
        <w:t>.</w:t>
      </w:r>
      <w:r w:rsidRPr="0087318B">
        <w:rPr>
          <w:color w:val="000000"/>
          <w:sz w:val="22"/>
          <w:szCs w:val="22"/>
          <w:lang w:val="sr-Latn-ME"/>
        </w:rPr>
        <w:t xml:space="preserve">2 mmHg). Osim toga, značajno veći procenat pacijenata je odgovorio (dijastolni krvni pritisak &lt;90 mmHg ili sniženje ≥10 mmHg) sa </w:t>
      </w:r>
      <w:r w:rsidR="007A6357">
        <w:rPr>
          <w:color w:val="000000"/>
          <w:sz w:val="22"/>
          <w:szCs w:val="22"/>
          <w:lang w:val="sr-Latn-ME"/>
        </w:rPr>
        <w:t>80 mg + 12</w:t>
      </w:r>
      <w:r w:rsidR="00A44051">
        <w:rPr>
          <w:color w:val="000000"/>
          <w:sz w:val="22"/>
          <w:szCs w:val="22"/>
          <w:lang w:val="sr-Latn-ME"/>
        </w:rPr>
        <w:t>,</w:t>
      </w:r>
      <w:r w:rsidR="007A6357">
        <w:rPr>
          <w:color w:val="000000"/>
          <w:sz w:val="22"/>
          <w:szCs w:val="22"/>
          <w:lang w:val="sr-Latn-ME"/>
        </w:rPr>
        <w:t>5 mg</w:t>
      </w:r>
      <w:r w:rsidRPr="0087318B">
        <w:rPr>
          <w:color w:val="000000"/>
          <w:sz w:val="22"/>
          <w:szCs w:val="22"/>
          <w:lang w:val="sr-Latn-ME"/>
        </w:rPr>
        <w:t xml:space="preserve"> valsartana/</w:t>
      </w:r>
      <w:r w:rsidR="0084780A" w:rsidRPr="0087318B">
        <w:rPr>
          <w:color w:val="000000"/>
          <w:sz w:val="22"/>
          <w:szCs w:val="22"/>
          <w:lang w:val="sr-Latn-ME"/>
        </w:rPr>
        <w:t>hidrohlortiazid</w:t>
      </w:r>
      <w:r w:rsidRPr="0087318B">
        <w:rPr>
          <w:color w:val="000000"/>
          <w:sz w:val="22"/>
          <w:szCs w:val="22"/>
          <w:lang w:val="sr-Latn-ME"/>
        </w:rPr>
        <w:t>a (51%) u poređenju sa 80 mg valsartana (36%) i 160 mg valsartana (37%).</w:t>
      </w:r>
    </w:p>
    <w:p w14:paraId="3E31993C" w14:textId="77777777" w:rsidR="00D836EE" w:rsidRPr="0087318B" w:rsidRDefault="00D836EE" w:rsidP="00A66F57">
      <w:pPr>
        <w:shd w:val="clear" w:color="auto" w:fill="FFFFFF"/>
        <w:tabs>
          <w:tab w:val="left" w:pos="284"/>
        </w:tabs>
        <w:jc w:val="both"/>
        <w:rPr>
          <w:color w:val="000000"/>
          <w:sz w:val="22"/>
          <w:szCs w:val="22"/>
          <w:lang w:val="sr-Latn-ME"/>
        </w:rPr>
      </w:pPr>
    </w:p>
    <w:p w14:paraId="3734CF06" w14:textId="23C6FC33"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U dvostruko slijepoj, randomizovanoj, placebo kontrolisanoj, faktorijalno dizajniranoj kliničkoj  studiji kojom su poređene različite kombinacije doza valsartana/</w:t>
      </w:r>
      <w:r w:rsidR="0084780A" w:rsidRPr="0087318B">
        <w:rPr>
          <w:color w:val="000000"/>
          <w:sz w:val="22"/>
          <w:szCs w:val="22"/>
          <w:lang w:val="sr-Latn-ME"/>
        </w:rPr>
        <w:t>hidrohlortiazid</w:t>
      </w:r>
      <w:r w:rsidRPr="0087318B">
        <w:rPr>
          <w:color w:val="000000"/>
          <w:sz w:val="22"/>
          <w:szCs w:val="22"/>
          <w:lang w:val="sr-Latn-ME"/>
        </w:rPr>
        <w:t xml:space="preserve">a, u odnosu na pojedinačne komponente, uočena su značajno veća sniženja srednje vrijednosti sistolnog/dijastolnog krvnog pritiska sa kombinacijom </w:t>
      </w:r>
      <w:r w:rsidR="007A6357">
        <w:rPr>
          <w:color w:val="000000"/>
          <w:sz w:val="22"/>
          <w:szCs w:val="22"/>
          <w:lang w:val="sr-Latn-ME"/>
        </w:rPr>
        <w:t>80 mg + 12</w:t>
      </w:r>
      <w:r w:rsidR="00A44051">
        <w:rPr>
          <w:color w:val="000000"/>
          <w:sz w:val="22"/>
          <w:szCs w:val="22"/>
          <w:lang w:val="sr-Latn-ME"/>
        </w:rPr>
        <w:t>,</w:t>
      </w:r>
      <w:r w:rsidR="007A6357">
        <w:rPr>
          <w:color w:val="000000"/>
          <w:sz w:val="22"/>
          <w:szCs w:val="22"/>
          <w:lang w:val="sr-Latn-ME"/>
        </w:rPr>
        <w:t>5 mg</w:t>
      </w:r>
      <w:r w:rsidRPr="0087318B">
        <w:rPr>
          <w:color w:val="000000"/>
          <w:sz w:val="22"/>
          <w:szCs w:val="22"/>
          <w:lang w:val="sr-Latn-ME"/>
        </w:rPr>
        <w:t xml:space="preserve"> valsartana/</w:t>
      </w:r>
      <w:r w:rsidR="0084780A" w:rsidRPr="0087318B">
        <w:rPr>
          <w:color w:val="000000"/>
          <w:sz w:val="22"/>
          <w:szCs w:val="22"/>
          <w:lang w:val="sr-Latn-ME"/>
        </w:rPr>
        <w:t>hidrohlortiazid</w:t>
      </w:r>
      <w:r w:rsidRPr="0087318B">
        <w:rPr>
          <w:color w:val="000000"/>
          <w:sz w:val="22"/>
          <w:szCs w:val="22"/>
          <w:lang w:val="sr-Latn-ME"/>
        </w:rPr>
        <w:t>a (16</w:t>
      </w:r>
      <w:r w:rsidR="00FA2D3F">
        <w:rPr>
          <w:color w:val="000000"/>
          <w:sz w:val="22"/>
          <w:szCs w:val="22"/>
          <w:lang w:val="sr-Latn-ME"/>
        </w:rPr>
        <w:t>.</w:t>
      </w:r>
      <w:r w:rsidRPr="0087318B">
        <w:rPr>
          <w:color w:val="000000"/>
          <w:sz w:val="22"/>
          <w:szCs w:val="22"/>
          <w:lang w:val="sr-Latn-ME"/>
        </w:rPr>
        <w:t>5/11</w:t>
      </w:r>
      <w:r w:rsidR="00FA2D3F">
        <w:rPr>
          <w:color w:val="000000"/>
          <w:sz w:val="22"/>
          <w:szCs w:val="22"/>
          <w:lang w:val="sr-Latn-ME"/>
        </w:rPr>
        <w:t>.</w:t>
      </w:r>
      <w:r w:rsidRPr="0087318B">
        <w:rPr>
          <w:color w:val="000000"/>
          <w:sz w:val="22"/>
          <w:szCs w:val="22"/>
          <w:lang w:val="sr-Latn-ME"/>
        </w:rPr>
        <w:t>8 mmHg) u poređenju sa placebom (1.9/4</w:t>
      </w:r>
      <w:r w:rsidR="00FA2D3F">
        <w:rPr>
          <w:color w:val="000000"/>
          <w:sz w:val="22"/>
          <w:szCs w:val="22"/>
          <w:lang w:val="sr-Latn-ME"/>
        </w:rPr>
        <w:t>.</w:t>
      </w:r>
      <w:r w:rsidRPr="0087318B">
        <w:rPr>
          <w:color w:val="000000"/>
          <w:sz w:val="22"/>
          <w:szCs w:val="22"/>
          <w:lang w:val="sr-Latn-ME"/>
        </w:rPr>
        <w:t>1 mmHg) i sa 12</w:t>
      </w:r>
      <w:r w:rsidR="00A44051">
        <w:rPr>
          <w:color w:val="000000"/>
          <w:sz w:val="22"/>
          <w:szCs w:val="22"/>
          <w:lang w:val="sr-Latn-ME"/>
        </w:rPr>
        <w:t>,</w:t>
      </w:r>
      <w:r w:rsidRPr="0087318B">
        <w:rPr>
          <w:color w:val="000000"/>
          <w:sz w:val="22"/>
          <w:szCs w:val="22"/>
          <w:lang w:val="sr-Latn-ME"/>
        </w:rPr>
        <w:t xml:space="preserve">5 mg </w:t>
      </w:r>
      <w:r w:rsidR="0084780A" w:rsidRPr="0087318B">
        <w:rPr>
          <w:color w:val="000000"/>
          <w:sz w:val="22"/>
          <w:szCs w:val="22"/>
          <w:lang w:val="sr-Latn-ME"/>
        </w:rPr>
        <w:t>hidrohlortiazid</w:t>
      </w:r>
      <w:r w:rsidRPr="0087318B">
        <w:rPr>
          <w:color w:val="000000"/>
          <w:sz w:val="22"/>
          <w:szCs w:val="22"/>
          <w:lang w:val="sr-Latn-ME"/>
        </w:rPr>
        <w:t>a (7</w:t>
      </w:r>
      <w:r w:rsidR="00FA2D3F">
        <w:rPr>
          <w:color w:val="000000"/>
          <w:sz w:val="22"/>
          <w:szCs w:val="22"/>
          <w:lang w:val="sr-Latn-ME"/>
        </w:rPr>
        <w:t>.</w:t>
      </w:r>
      <w:r w:rsidRPr="0087318B">
        <w:rPr>
          <w:color w:val="000000"/>
          <w:sz w:val="22"/>
          <w:szCs w:val="22"/>
          <w:lang w:val="sr-Latn-ME"/>
        </w:rPr>
        <w:t>3/7</w:t>
      </w:r>
      <w:r w:rsidR="00FA2D3F">
        <w:rPr>
          <w:color w:val="000000"/>
          <w:sz w:val="22"/>
          <w:szCs w:val="22"/>
          <w:lang w:val="sr-Latn-ME"/>
        </w:rPr>
        <w:t>.</w:t>
      </w:r>
      <w:r w:rsidRPr="0087318B">
        <w:rPr>
          <w:color w:val="000000"/>
          <w:sz w:val="22"/>
          <w:szCs w:val="22"/>
          <w:lang w:val="sr-Latn-ME"/>
        </w:rPr>
        <w:t>2 mmHg) i 80 mg valsartana (8</w:t>
      </w:r>
      <w:r w:rsidR="00FA2D3F">
        <w:rPr>
          <w:color w:val="000000"/>
          <w:sz w:val="22"/>
          <w:szCs w:val="22"/>
          <w:lang w:val="sr-Latn-ME"/>
        </w:rPr>
        <w:t>.</w:t>
      </w:r>
      <w:r w:rsidRPr="0087318B">
        <w:rPr>
          <w:color w:val="000000"/>
          <w:sz w:val="22"/>
          <w:szCs w:val="22"/>
          <w:lang w:val="sr-Latn-ME"/>
        </w:rPr>
        <w:t>8/8</w:t>
      </w:r>
      <w:r w:rsidR="00FA2D3F">
        <w:rPr>
          <w:color w:val="000000"/>
          <w:sz w:val="22"/>
          <w:szCs w:val="22"/>
          <w:lang w:val="sr-Latn-ME"/>
        </w:rPr>
        <w:t>.</w:t>
      </w:r>
      <w:r w:rsidRPr="0087318B">
        <w:rPr>
          <w:color w:val="000000"/>
          <w:sz w:val="22"/>
          <w:szCs w:val="22"/>
          <w:lang w:val="sr-Latn-ME"/>
        </w:rPr>
        <w:t>6 mmHg). Osim toga, značajno veći procenat pacijenata je o</w:t>
      </w:r>
      <w:r w:rsidR="00685093">
        <w:rPr>
          <w:color w:val="000000"/>
          <w:sz w:val="22"/>
          <w:szCs w:val="22"/>
          <w:lang w:val="sr-Latn-ME"/>
        </w:rPr>
        <w:t>d</w:t>
      </w:r>
      <w:r w:rsidRPr="0087318B">
        <w:rPr>
          <w:color w:val="000000"/>
          <w:sz w:val="22"/>
          <w:szCs w:val="22"/>
          <w:lang w:val="sr-Latn-ME"/>
        </w:rPr>
        <w:t xml:space="preserve">govorio (dijastolni krvni pritisak &lt;90 mmHg ili sniženje ≥10 mmHg) sa </w:t>
      </w:r>
      <w:r w:rsidR="007A6357">
        <w:rPr>
          <w:color w:val="000000"/>
          <w:sz w:val="22"/>
          <w:szCs w:val="22"/>
          <w:lang w:val="sr-Latn-ME"/>
        </w:rPr>
        <w:t>80 mg + 12</w:t>
      </w:r>
      <w:r w:rsidR="00A44051">
        <w:rPr>
          <w:color w:val="000000"/>
          <w:sz w:val="22"/>
          <w:szCs w:val="22"/>
          <w:lang w:val="sr-Latn-ME"/>
        </w:rPr>
        <w:t>,</w:t>
      </w:r>
      <w:r w:rsidR="007A6357">
        <w:rPr>
          <w:color w:val="000000"/>
          <w:sz w:val="22"/>
          <w:szCs w:val="22"/>
          <w:lang w:val="sr-Latn-ME"/>
        </w:rPr>
        <w:t>5 mg</w:t>
      </w:r>
      <w:r w:rsidRPr="0087318B">
        <w:rPr>
          <w:color w:val="000000"/>
          <w:sz w:val="22"/>
          <w:szCs w:val="22"/>
          <w:lang w:val="sr-Latn-ME"/>
        </w:rPr>
        <w:t xml:space="preserve"> valsartana/</w:t>
      </w:r>
      <w:r w:rsidR="0084780A" w:rsidRPr="0087318B">
        <w:rPr>
          <w:color w:val="000000"/>
          <w:sz w:val="22"/>
          <w:szCs w:val="22"/>
          <w:lang w:val="sr-Latn-ME"/>
        </w:rPr>
        <w:t>hidrohlortiazid</w:t>
      </w:r>
      <w:r w:rsidRPr="0087318B">
        <w:rPr>
          <w:color w:val="000000"/>
          <w:sz w:val="22"/>
          <w:szCs w:val="22"/>
          <w:lang w:val="sr-Latn-ME"/>
        </w:rPr>
        <w:t xml:space="preserve">a (64%) u poređenju sa placebom (29%) i </w:t>
      </w:r>
      <w:r w:rsidR="0084780A" w:rsidRPr="0087318B">
        <w:rPr>
          <w:color w:val="000000"/>
          <w:sz w:val="22"/>
          <w:szCs w:val="22"/>
          <w:lang w:val="sr-Latn-ME"/>
        </w:rPr>
        <w:t>hidrohlortiazid</w:t>
      </w:r>
      <w:r w:rsidRPr="0087318B">
        <w:rPr>
          <w:color w:val="000000"/>
          <w:sz w:val="22"/>
          <w:szCs w:val="22"/>
          <w:lang w:val="sr-Latn-ME"/>
        </w:rPr>
        <w:t>om (41%).</w:t>
      </w:r>
    </w:p>
    <w:p w14:paraId="7FF6F20B" w14:textId="77777777" w:rsidR="00D836EE" w:rsidRPr="0087318B" w:rsidRDefault="00D836EE" w:rsidP="00A66F57">
      <w:pPr>
        <w:shd w:val="clear" w:color="auto" w:fill="FFFFFF"/>
        <w:tabs>
          <w:tab w:val="left" w:pos="284"/>
        </w:tabs>
        <w:jc w:val="both"/>
        <w:rPr>
          <w:color w:val="000000"/>
          <w:sz w:val="22"/>
          <w:szCs w:val="22"/>
          <w:lang w:val="sr-Latn-ME"/>
        </w:rPr>
      </w:pPr>
    </w:p>
    <w:p w14:paraId="3FB07A2B" w14:textId="01645F9A"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U kontrolisanim kliničkim studijama sa valsartanom i </w:t>
      </w:r>
      <w:r w:rsidR="0084780A" w:rsidRPr="0087318B">
        <w:rPr>
          <w:color w:val="000000"/>
          <w:sz w:val="22"/>
          <w:szCs w:val="22"/>
          <w:lang w:val="sr-Latn-ME"/>
        </w:rPr>
        <w:t>hidrohlortiazid</w:t>
      </w:r>
      <w:r w:rsidRPr="0087318B">
        <w:rPr>
          <w:color w:val="000000"/>
          <w:sz w:val="22"/>
          <w:szCs w:val="22"/>
          <w:lang w:val="sr-Latn-ME"/>
        </w:rPr>
        <w:t>om javljala su se sniženja serumskog kalijuma zavisno od doze. Sniženje serumskog kalijuma se javljalo češće kod pacijenata kojima je davano 25</w:t>
      </w:r>
      <w:r w:rsidR="00FA2D3F">
        <w:rPr>
          <w:color w:val="000000"/>
          <w:sz w:val="22"/>
          <w:szCs w:val="22"/>
          <w:lang w:val="sr-Latn-ME"/>
        </w:rPr>
        <w:t xml:space="preserve"> </w:t>
      </w:r>
      <w:r w:rsidRPr="0087318B">
        <w:rPr>
          <w:color w:val="000000"/>
          <w:sz w:val="22"/>
          <w:szCs w:val="22"/>
          <w:lang w:val="sr-Latn-ME"/>
        </w:rPr>
        <w:t xml:space="preserve">mg </w:t>
      </w:r>
      <w:r w:rsidR="0084780A" w:rsidRPr="0087318B">
        <w:rPr>
          <w:color w:val="000000"/>
          <w:sz w:val="22"/>
          <w:szCs w:val="22"/>
          <w:lang w:val="sr-Latn-ME"/>
        </w:rPr>
        <w:t>hidrohlortiazid</w:t>
      </w:r>
      <w:r w:rsidRPr="0087318B">
        <w:rPr>
          <w:color w:val="000000"/>
          <w:sz w:val="22"/>
          <w:szCs w:val="22"/>
          <w:lang w:val="sr-Latn-ME"/>
        </w:rPr>
        <w:t>a, nego kod onih kojima je davano 12</w:t>
      </w:r>
      <w:r w:rsidR="00A44051">
        <w:rPr>
          <w:color w:val="000000"/>
          <w:sz w:val="22"/>
          <w:szCs w:val="22"/>
          <w:lang w:val="sr-Latn-ME"/>
        </w:rPr>
        <w:t>,</w:t>
      </w:r>
      <w:r w:rsidRPr="0087318B">
        <w:rPr>
          <w:color w:val="000000"/>
          <w:sz w:val="22"/>
          <w:szCs w:val="22"/>
          <w:lang w:val="sr-Latn-ME"/>
        </w:rPr>
        <w:t xml:space="preserve">5 mg </w:t>
      </w:r>
      <w:r w:rsidR="0084780A" w:rsidRPr="0087318B">
        <w:rPr>
          <w:color w:val="000000"/>
          <w:sz w:val="22"/>
          <w:szCs w:val="22"/>
          <w:lang w:val="sr-Latn-ME"/>
        </w:rPr>
        <w:t>hidrohlortiazid</w:t>
      </w:r>
      <w:r w:rsidRPr="0087318B">
        <w:rPr>
          <w:color w:val="000000"/>
          <w:sz w:val="22"/>
          <w:szCs w:val="22"/>
          <w:lang w:val="sr-Latn-ME"/>
        </w:rPr>
        <w:t xml:space="preserve">a. U kontrolisanim kliničkim studijama sa kombinacijom </w:t>
      </w:r>
      <w:proofErr w:type="spellStart"/>
      <w:r w:rsidRPr="0087318B">
        <w:rPr>
          <w:color w:val="000000"/>
          <w:sz w:val="22"/>
          <w:szCs w:val="22"/>
          <w:lang w:val="sr-Latn-ME"/>
        </w:rPr>
        <w:t>valsartan</w:t>
      </w:r>
      <w:proofErr w:type="spellEnd"/>
      <w:r w:rsidRPr="0087318B">
        <w:rPr>
          <w:color w:val="000000"/>
          <w:sz w:val="22"/>
          <w:szCs w:val="22"/>
          <w:lang w:val="sr-Latn-ME"/>
        </w:rPr>
        <w:t>/</w:t>
      </w:r>
      <w:proofErr w:type="spellStart"/>
      <w:r w:rsidRPr="0087318B">
        <w:rPr>
          <w:color w:val="000000"/>
          <w:sz w:val="22"/>
          <w:szCs w:val="22"/>
          <w:lang w:val="sr-Latn-ME"/>
        </w:rPr>
        <w:t>hidrihlortiazid</w:t>
      </w:r>
      <w:proofErr w:type="spellEnd"/>
      <w:r w:rsidRPr="0087318B">
        <w:rPr>
          <w:color w:val="000000"/>
          <w:sz w:val="22"/>
          <w:szCs w:val="22"/>
          <w:lang w:val="sr-Latn-ME"/>
        </w:rPr>
        <w:t xml:space="preserve">, dejstvo </w:t>
      </w:r>
      <w:proofErr w:type="spellStart"/>
      <w:r w:rsidR="0084780A" w:rsidRPr="0087318B">
        <w:rPr>
          <w:color w:val="000000"/>
          <w:sz w:val="22"/>
          <w:szCs w:val="22"/>
          <w:lang w:val="sr-Latn-ME"/>
        </w:rPr>
        <w:t>hidrohlortiazid</w:t>
      </w:r>
      <w:r w:rsidRPr="0087318B">
        <w:rPr>
          <w:color w:val="000000"/>
          <w:sz w:val="22"/>
          <w:szCs w:val="22"/>
          <w:lang w:val="sr-Latn-ME"/>
        </w:rPr>
        <w:t>a</w:t>
      </w:r>
      <w:proofErr w:type="spellEnd"/>
      <w:r w:rsidRPr="0087318B">
        <w:rPr>
          <w:color w:val="000000"/>
          <w:sz w:val="22"/>
          <w:szCs w:val="22"/>
          <w:lang w:val="sr-Latn-ME"/>
        </w:rPr>
        <w:t xml:space="preserve"> na smanjenje nivoa serumskog kalijuma je umanjeno valsartanom koji d</w:t>
      </w:r>
      <w:r w:rsidR="00685093">
        <w:rPr>
          <w:color w:val="000000"/>
          <w:sz w:val="22"/>
          <w:szCs w:val="22"/>
          <w:lang w:val="sr-Latn-ME"/>
        </w:rPr>
        <w:t>j</w:t>
      </w:r>
      <w:r w:rsidRPr="0087318B">
        <w:rPr>
          <w:color w:val="000000"/>
          <w:sz w:val="22"/>
          <w:szCs w:val="22"/>
          <w:lang w:val="sr-Latn-ME"/>
        </w:rPr>
        <w:t>eluje tako što štedi kalijum.</w:t>
      </w:r>
    </w:p>
    <w:p w14:paraId="704BAC4B" w14:textId="77777777" w:rsidR="00D836EE" w:rsidRPr="0087318B" w:rsidRDefault="00D836EE" w:rsidP="00A66F57">
      <w:pPr>
        <w:shd w:val="clear" w:color="auto" w:fill="FFFFFF"/>
        <w:tabs>
          <w:tab w:val="left" w:pos="284"/>
        </w:tabs>
        <w:jc w:val="both"/>
        <w:rPr>
          <w:color w:val="000000"/>
          <w:sz w:val="22"/>
          <w:szCs w:val="22"/>
          <w:lang w:val="sr-Latn-ME"/>
        </w:rPr>
      </w:pPr>
    </w:p>
    <w:p w14:paraId="221DAFEF" w14:textId="5E346BC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Korisna dejstva valsartana u kombinaciji sa </w:t>
      </w:r>
      <w:r w:rsidR="0084780A" w:rsidRPr="0087318B">
        <w:rPr>
          <w:color w:val="000000"/>
          <w:sz w:val="22"/>
          <w:szCs w:val="22"/>
          <w:lang w:val="sr-Latn-ME"/>
        </w:rPr>
        <w:t>hidrohlortiazid</w:t>
      </w:r>
      <w:r w:rsidRPr="0087318B">
        <w:rPr>
          <w:color w:val="000000"/>
          <w:sz w:val="22"/>
          <w:szCs w:val="22"/>
          <w:lang w:val="sr-Latn-ME"/>
        </w:rPr>
        <w:t>om na kardiovaskularni mortalitet i morbiditet su trenutno nepoznata.</w:t>
      </w:r>
    </w:p>
    <w:p w14:paraId="67F332DF" w14:textId="783009BE"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Epidemiološka ispitivanja su pokazala da dugotrajno liječenje </w:t>
      </w:r>
      <w:r w:rsidR="0084780A" w:rsidRPr="0087318B">
        <w:rPr>
          <w:color w:val="000000"/>
          <w:sz w:val="22"/>
          <w:szCs w:val="22"/>
          <w:lang w:val="sr-Latn-ME"/>
        </w:rPr>
        <w:t>hidrohlortiazid</w:t>
      </w:r>
      <w:r w:rsidRPr="0087318B">
        <w:rPr>
          <w:color w:val="000000"/>
          <w:sz w:val="22"/>
          <w:szCs w:val="22"/>
          <w:lang w:val="sr-Latn-ME"/>
        </w:rPr>
        <w:t>om smanjuje rizik od kardiovaskularnog mortaliteta i morbiditeta.</w:t>
      </w:r>
    </w:p>
    <w:p w14:paraId="78B0ACA8" w14:textId="77777777" w:rsidR="00555F5A" w:rsidRDefault="00555F5A" w:rsidP="00A66F57">
      <w:pPr>
        <w:shd w:val="clear" w:color="auto" w:fill="FFFFFF"/>
        <w:tabs>
          <w:tab w:val="left" w:pos="284"/>
        </w:tabs>
        <w:jc w:val="both"/>
        <w:rPr>
          <w:i/>
          <w:sz w:val="22"/>
          <w:szCs w:val="22"/>
          <w:u w:val="single"/>
          <w:lang w:val="sr-Latn-ME"/>
        </w:rPr>
      </w:pPr>
    </w:p>
    <w:p w14:paraId="77F3870D" w14:textId="49A276B4" w:rsidR="00D836EE" w:rsidRPr="0087318B" w:rsidRDefault="00D836EE" w:rsidP="00A66F57">
      <w:pPr>
        <w:shd w:val="clear" w:color="auto" w:fill="FFFFFF"/>
        <w:tabs>
          <w:tab w:val="left" w:pos="284"/>
        </w:tabs>
        <w:jc w:val="both"/>
        <w:rPr>
          <w:i/>
          <w:sz w:val="22"/>
          <w:szCs w:val="22"/>
          <w:u w:val="single"/>
          <w:lang w:val="sr-Latn-ME"/>
        </w:rPr>
      </w:pPr>
      <w:r w:rsidRPr="0087318B">
        <w:rPr>
          <w:i/>
          <w:sz w:val="22"/>
          <w:szCs w:val="22"/>
          <w:u w:val="single"/>
          <w:lang w:val="sr-Latn-ME"/>
        </w:rPr>
        <w:t>Valsartan</w:t>
      </w:r>
    </w:p>
    <w:p w14:paraId="5490E918" w14:textId="7118C6D0"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Valsartan je oralno aktivni i specifi</w:t>
      </w:r>
      <w:r w:rsidRPr="0087318B">
        <w:rPr>
          <w:color w:val="000000"/>
          <w:sz w:val="22"/>
          <w:szCs w:val="22"/>
          <w:lang w:val="sr-Latn-ME"/>
        </w:rPr>
        <w:softHyphen/>
      </w:r>
      <w:r w:rsidRPr="0087318B">
        <w:rPr>
          <w:color w:val="000000"/>
          <w:sz w:val="22"/>
          <w:szCs w:val="22"/>
          <w:lang w:val="sr-Latn-ME"/>
        </w:rPr>
        <w:softHyphen/>
      </w:r>
      <w:r w:rsidRPr="0087318B">
        <w:rPr>
          <w:color w:val="000000"/>
          <w:sz w:val="22"/>
          <w:szCs w:val="22"/>
          <w:lang w:val="sr-Latn-ME"/>
        </w:rPr>
        <w:softHyphen/>
        <w:t xml:space="preserve">čni antagonist receptora za angiotenzin II (Ang II). On djeluje selektivno na receptorski podtip AT1, koji je odgovoran za poznata dejstva angiotenzina II. Povišene </w:t>
      </w:r>
      <w:r w:rsidRPr="0087318B">
        <w:rPr>
          <w:color w:val="000000"/>
          <w:sz w:val="22"/>
          <w:szCs w:val="22"/>
          <w:lang w:val="sr-Latn-ME"/>
        </w:rPr>
        <w:lastRenderedPageBreak/>
        <w:t>koncentracije Ang II u plazmi nakon blokade AT1 receptora valsartanom mogu stimulisati  neblokirani AT2 receptor, koji je izgleda protivteža efektu receptora AT1. Valsartan ne ispoljava nikakvu parcijalnu agonističku aktivnost na receptor AT1 i ima mnogo veći (oko 20 000 puta) afinitet za receptor AT1 nego za receptor AT2. Za valsartan nije poznato da se vezuje ili da blokira druge hormonske receptore ili jonske kanale važne za kardiovaskularnu regulaciju.</w:t>
      </w:r>
    </w:p>
    <w:p w14:paraId="6BF9EDF1" w14:textId="77777777" w:rsidR="00555F5A" w:rsidRDefault="00555F5A" w:rsidP="00A66F57">
      <w:pPr>
        <w:shd w:val="clear" w:color="auto" w:fill="FFFFFF"/>
        <w:tabs>
          <w:tab w:val="left" w:pos="284"/>
        </w:tabs>
        <w:jc w:val="both"/>
        <w:rPr>
          <w:color w:val="000000"/>
          <w:sz w:val="22"/>
          <w:szCs w:val="22"/>
          <w:lang w:val="sr-Latn-ME"/>
        </w:rPr>
      </w:pPr>
    </w:p>
    <w:p w14:paraId="564B22CC" w14:textId="4E612A49"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Valsartan ne inhibira ACE, takođe poznat i kao kininaza II, koji konvertuje Ang I u Ang II i </w:t>
      </w:r>
      <w:r w:rsidRPr="0087318B">
        <w:rPr>
          <w:sz w:val="22"/>
          <w:szCs w:val="22"/>
          <w:lang w:val="sr-Latn-ME"/>
        </w:rPr>
        <w:t xml:space="preserve">razgrađuje </w:t>
      </w:r>
      <w:r w:rsidRPr="0087318B">
        <w:rPr>
          <w:color w:val="000000"/>
          <w:sz w:val="22"/>
          <w:szCs w:val="22"/>
          <w:lang w:val="sr-Latn-ME"/>
        </w:rPr>
        <w:t>bradikinin. Budući da nema efekat na ACE, niti pojačava d</w:t>
      </w:r>
      <w:r w:rsidR="00673A62">
        <w:rPr>
          <w:color w:val="000000"/>
          <w:sz w:val="22"/>
          <w:szCs w:val="22"/>
          <w:lang w:val="sr-Latn-ME"/>
        </w:rPr>
        <w:t>j</w:t>
      </w:r>
      <w:r w:rsidRPr="0087318B">
        <w:rPr>
          <w:color w:val="000000"/>
          <w:sz w:val="22"/>
          <w:szCs w:val="22"/>
          <w:lang w:val="sr-Latn-ME"/>
        </w:rPr>
        <w:t>elovanje bradikinina ni supstance P, antagonisti angiotenzina II vrlo v</w:t>
      </w:r>
      <w:r w:rsidR="00673A62">
        <w:rPr>
          <w:color w:val="000000"/>
          <w:sz w:val="22"/>
          <w:szCs w:val="22"/>
          <w:lang w:val="sr-Latn-ME"/>
        </w:rPr>
        <w:t>j</w:t>
      </w:r>
      <w:r w:rsidRPr="0087318B">
        <w:rPr>
          <w:color w:val="000000"/>
          <w:sz w:val="22"/>
          <w:szCs w:val="22"/>
          <w:lang w:val="sr-Latn-ME"/>
        </w:rPr>
        <w:t>erovatno ne mogu biti povezani sa kašljem. U kliničkim isptivanjima gdje je valsartan upoređivan sa ACE inhibitorom, incidenca suvog kašlja bila je značajno manja (p&lt;0</w:t>
      </w:r>
      <w:r w:rsidR="00576CE4">
        <w:rPr>
          <w:color w:val="000000"/>
          <w:sz w:val="22"/>
          <w:szCs w:val="22"/>
          <w:lang w:val="sr-Latn-ME"/>
        </w:rPr>
        <w:t>.</w:t>
      </w:r>
      <w:r w:rsidRPr="0087318B">
        <w:rPr>
          <w:color w:val="000000"/>
          <w:sz w:val="22"/>
          <w:szCs w:val="22"/>
          <w:lang w:val="sr-Latn-ME"/>
        </w:rPr>
        <w:t>05) kod pacijenata liječenih valsartanom nego kod onih liječenih ACE inhibitorom (2</w:t>
      </w:r>
      <w:r w:rsidR="00FA2D3F">
        <w:rPr>
          <w:color w:val="000000"/>
          <w:sz w:val="22"/>
          <w:szCs w:val="22"/>
          <w:lang w:val="sr-Latn-ME"/>
        </w:rPr>
        <w:t>.</w:t>
      </w:r>
      <w:r w:rsidRPr="0087318B">
        <w:rPr>
          <w:color w:val="000000"/>
          <w:sz w:val="22"/>
          <w:szCs w:val="22"/>
          <w:lang w:val="sr-Latn-ME"/>
        </w:rPr>
        <w:t>6% prema 7</w:t>
      </w:r>
      <w:r w:rsidR="00FA2D3F">
        <w:rPr>
          <w:color w:val="000000"/>
          <w:sz w:val="22"/>
          <w:szCs w:val="22"/>
          <w:lang w:val="sr-Latn-ME"/>
        </w:rPr>
        <w:t>.</w:t>
      </w:r>
      <w:r w:rsidRPr="0087318B">
        <w:rPr>
          <w:color w:val="000000"/>
          <w:sz w:val="22"/>
          <w:szCs w:val="22"/>
          <w:lang w:val="sr-Latn-ME"/>
        </w:rPr>
        <w:t>9% ). U kliničkom ispitivanju na pacijentima koji su imali suvi kašalj u anamnezi tokom terapije ACE inhibitorom, kašalj se javio kod 19</w:t>
      </w:r>
      <w:r w:rsidR="00FA2D3F">
        <w:rPr>
          <w:color w:val="000000"/>
          <w:sz w:val="22"/>
          <w:szCs w:val="22"/>
          <w:lang w:val="sr-Latn-ME"/>
        </w:rPr>
        <w:t>.</w:t>
      </w:r>
      <w:r w:rsidRPr="0087318B">
        <w:rPr>
          <w:color w:val="000000"/>
          <w:sz w:val="22"/>
          <w:szCs w:val="22"/>
          <w:lang w:val="sr-Latn-ME"/>
        </w:rPr>
        <w:t>5% ispitanika koji su primali valsartan  i 19</w:t>
      </w:r>
      <w:r w:rsidR="00576CE4">
        <w:rPr>
          <w:color w:val="000000"/>
          <w:sz w:val="22"/>
          <w:szCs w:val="22"/>
          <w:lang w:val="sr-Latn-ME"/>
        </w:rPr>
        <w:t>.</w:t>
      </w:r>
      <w:r w:rsidRPr="0087318B">
        <w:rPr>
          <w:color w:val="000000"/>
          <w:sz w:val="22"/>
          <w:szCs w:val="22"/>
          <w:lang w:val="sr-Latn-ME"/>
        </w:rPr>
        <w:t>0% onih koji su primali tiazidni diuretik, u poređenju sa 68</w:t>
      </w:r>
      <w:r w:rsidR="00FA2D3F">
        <w:rPr>
          <w:color w:val="000000"/>
          <w:sz w:val="22"/>
          <w:szCs w:val="22"/>
          <w:lang w:val="sr-Latn-ME"/>
        </w:rPr>
        <w:t>.</w:t>
      </w:r>
      <w:r w:rsidRPr="0087318B">
        <w:rPr>
          <w:color w:val="000000"/>
          <w:sz w:val="22"/>
          <w:szCs w:val="22"/>
          <w:lang w:val="sr-Latn-ME"/>
        </w:rPr>
        <w:t>5% pacijenata liječenih ACE inhibitorom (p&lt;0</w:t>
      </w:r>
      <w:r w:rsidR="00FA2D3F">
        <w:rPr>
          <w:color w:val="000000"/>
          <w:sz w:val="22"/>
          <w:szCs w:val="22"/>
          <w:lang w:val="sr-Latn-ME"/>
        </w:rPr>
        <w:t>.</w:t>
      </w:r>
      <w:r w:rsidRPr="0087318B">
        <w:rPr>
          <w:color w:val="000000"/>
          <w:sz w:val="22"/>
          <w:szCs w:val="22"/>
          <w:lang w:val="sr-Latn-ME"/>
        </w:rPr>
        <w:t xml:space="preserve">05). </w:t>
      </w:r>
    </w:p>
    <w:p w14:paraId="2820C508" w14:textId="3DF600C3" w:rsidR="002E37A5" w:rsidRPr="0087318B" w:rsidRDefault="00D836EE" w:rsidP="00A66F57">
      <w:pPr>
        <w:tabs>
          <w:tab w:val="left" w:pos="540"/>
          <w:tab w:val="left" w:pos="569"/>
        </w:tabs>
        <w:jc w:val="both"/>
        <w:rPr>
          <w:color w:val="000000"/>
          <w:sz w:val="22"/>
          <w:szCs w:val="22"/>
          <w:lang w:val="sr-Latn-ME"/>
        </w:rPr>
      </w:pPr>
      <w:r w:rsidRPr="0087318B">
        <w:rPr>
          <w:color w:val="000000"/>
          <w:sz w:val="22"/>
          <w:szCs w:val="22"/>
          <w:lang w:val="sr-Latn-ME"/>
        </w:rPr>
        <w:t>Primjena valsartana kod pacijenata sa hipertenzijom dovodi do snižavanja krvnog pritiska bez uticaja na frekvencu pulsa.</w:t>
      </w:r>
      <w:r w:rsidR="00577E12">
        <w:rPr>
          <w:color w:val="000000"/>
          <w:sz w:val="22"/>
          <w:szCs w:val="22"/>
          <w:lang w:val="sr-Latn-ME"/>
        </w:rPr>
        <w:t xml:space="preserve"> </w:t>
      </w:r>
      <w:r w:rsidRPr="0087318B">
        <w:rPr>
          <w:color w:val="000000"/>
          <w:sz w:val="22"/>
          <w:szCs w:val="22"/>
          <w:lang w:val="sr-Latn-ME"/>
        </w:rPr>
        <w:t xml:space="preserve">Kod većine pacijenata, nakon primjene pojedinačne oralne doze, do nastanka antihipertenzivne aktivnosti dolazi u roku od 2 sata, </w:t>
      </w:r>
      <w:r w:rsidRPr="0087318B">
        <w:rPr>
          <w:sz w:val="22"/>
          <w:szCs w:val="22"/>
          <w:lang w:val="sr-Latn-ME"/>
        </w:rPr>
        <w:t xml:space="preserve">a maksimalno </w:t>
      </w:r>
      <w:r w:rsidRPr="0087318B">
        <w:rPr>
          <w:color w:val="000000"/>
          <w:sz w:val="22"/>
          <w:szCs w:val="22"/>
          <w:lang w:val="sr-Latn-ME"/>
        </w:rPr>
        <w:t>smanjenje krvnog pritiska se postiže u roku od 4 do 6 sati.</w:t>
      </w:r>
    </w:p>
    <w:p w14:paraId="4BF28338" w14:textId="77777777" w:rsidR="00D836EE" w:rsidRPr="0087318B" w:rsidRDefault="00D836EE" w:rsidP="00A66F57">
      <w:pPr>
        <w:tabs>
          <w:tab w:val="left" w:pos="540"/>
          <w:tab w:val="left" w:pos="569"/>
        </w:tabs>
        <w:jc w:val="both"/>
        <w:rPr>
          <w:color w:val="000000"/>
          <w:sz w:val="22"/>
          <w:szCs w:val="22"/>
          <w:lang w:val="sr-Latn-ME"/>
        </w:rPr>
      </w:pPr>
    </w:p>
    <w:p w14:paraId="0C6BEEB5" w14:textId="54AB9711"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Antihipertenzivni efekat traje preko 24 sata poslije davanja. Pri ponovljenom doziranju, maksimalno smanjenje krvnog pritiska, bilo kojom dozom, obično se postiže u roku od 2 do 4 nedjelje i održava se tokom dugotrajne terapije. Kombinacijom sa </w:t>
      </w:r>
      <w:r w:rsidR="0084780A" w:rsidRPr="0087318B">
        <w:rPr>
          <w:color w:val="000000"/>
          <w:sz w:val="22"/>
          <w:szCs w:val="22"/>
          <w:lang w:val="sr-Latn-ME"/>
        </w:rPr>
        <w:t>hidrohlortiazid</w:t>
      </w:r>
      <w:r w:rsidRPr="0087318B">
        <w:rPr>
          <w:color w:val="000000"/>
          <w:sz w:val="22"/>
          <w:szCs w:val="22"/>
          <w:lang w:val="sr-Latn-ME"/>
        </w:rPr>
        <w:t>om, postiže se značajno dodatno sniženje krvnog pritiska.</w:t>
      </w:r>
    </w:p>
    <w:p w14:paraId="0BB3E3D5" w14:textId="77777777" w:rsidR="00555F5A" w:rsidRDefault="00555F5A" w:rsidP="00A66F57">
      <w:pPr>
        <w:shd w:val="clear" w:color="auto" w:fill="FFFFFF"/>
        <w:tabs>
          <w:tab w:val="left" w:pos="284"/>
        </w:tabs>
        <w:jc w:val="both"/>
        <w:rPr>
          <w:color w:val="000000"/>
          <w:sz w:val="22"/>
          <w:szCs w:val="22"/>
          <w:lang w:val="sr-Latn-ME"/>
        </w:rPr>
      </w:pPr>
    </w:p>
    <w:p w14:paraId="23B14EC7" w14:textId="78FC8CD6"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Pri naglom prekidu liječenja valsartanom nije bilo pojave povratne hipertenzije ni drugih klinički neželjenih događaja.</w:t>
      </w:r>
    </w:p>
    <w:p w14:paraId="44CDE730" w14:textId="77777777" w:rsidR="00555F5A" w:rsidRDefault="00555F5A" w:rsidP="00A66F57">
      <w:pPr>
        <w:shd w:val="clear" w:color="auto" w:fill="FFFFFF"/>
        <w:tabs>
          <w:tab w:val="left" w:pos="284"/>
        </w:tabs>
        <w:jc w:val="both"/>
        <w:rPr>
          <w:color w:val="000000"/>
          <w:sz w:val="22"/>
          <w:szCs w:val="22"/>
          <w:lang w:val="sr-Latn-ME"/>
        </w:rPr>
      </w:pPr>
    </w:p>
    <w:p w14:paraId="6427E489" w14:textId="06D34C2A"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Kod hipertenzivnih pacijenata sa dijabetes melitusom tipa 2 i mikroalbuminurijom, valsartan je smanjio izlučivanje albumina urinom. Klinička studija MARVAL (Micro Albuminuria Reduction with Valsartan) procjenjivala je smanjenje izlučivanja albumina urinom uzrokovano valsartanom (80-160 mg/jednom dnevno) u poređenju sa amlodipinom (5-10 mg/jednom dnevno) kod 332 pacijenta sa dijabetesom tipa 2 (pros</w:t>
      </w:r>
      <w:r w:rsidR="00FA2D3F">
        <w:rPr>
          <w:color w:val="000000"/>
          <w:sz w:val="22"/>
          <w:szCs w:val="22"/>
          <w:lang w:val="sr-Latn-ME"/>
        </w:rPr>
        <w:t>j</w:t>
      </w:r>
      <w:r w:rsidRPr="0087318B">
        <w:rPr>
          <w:color w:val="000000"/>
          <w:sz w:val="22"/>
          <w:szCs w:val="22"/>
          <w:lang w:val="sr-Latn-ME"/>
        </w:rPr>
        <w:t>ečna starost:</w:t>
      </w:r>
      <w:r w:rsidR="00FA2D3F">
        <w:rPr>
          <w:color w:val="000000"/>
          <w:sz w:val="22"/>
          <w:szCs w:val="22"/>
          <w:lang w:val="sr-Latn-ME"/>
        </w:rPr>
        <w:t xml:space="preserve"> </w:t>
      </w:r>
      <w:r w:rsidRPr="0087318B">
        <w:rPr>
          <w:color w:val="000000"/>
          <w:sz w:val="22"/>
          <w:szCs w:val="22"/>
          <w:lang w:val="sr-Latn-ME"/>
        </w:rPr>
        <w:t>58 godina; 265 muškaraca) sa mikroalbuminurijom (valsartan:</w:t>
      </w:r>
      <w:r w:rsidR="00DE6860">
        <w:rPr>
          <w:color w:val="000000"/>
          <w:sz w:val="22"/>
          <w:szCs w:val="22"/>
          <w:lang w:val="sr-Latn-ME"/>
        </w:rPr>
        <w:t xml:space="preserve"> </w:t>
      </w:r>
      <w:r w:rsidRPr="0087318B">
        <w:rPr>
          <w:color w:val="000000"/>
          <w:sz w:val="22"/>
          <w:szCs w:val="22"/>
          <w:lang w:val="sr-Latn-ME"/>
        </w:rPr>
        <w:t>58 µg/min; amlodipin: 55</w:t>
      </w:r>
      <w:r w:rsidR="00FA2D3F">
        <w:rPr>
          <w:color w:val="000000"/>
          <w:sz w:val="22"/>
          <w:szCs w:val="22"/>
          <w:lang w:val="sr-Latn-ME"/>
        </w:rPr>
        <w:t>.</w:t>
      </w:r>
      <w:r w:rsidRPr="0087318B">
        <w:rPr>
          <w:color w:val="000000"/>
          <w:sz w:val="22"/>
          <w:szCs w:val="22"/>
          <w:lang w:val="sr-Latn-ME"/>
        </w:rPr>
        <w:t>4 µg/min), normalnim ili povišenim krvnim pritiskom i očuvanom funkcijom bubrega (kreatinin u krvi &lt;120 µmol/l). U 24. nedjelji izlučivanje albumina mokraćom bilo je smanjeno (p&lt;0</w:t>
      </w:r>
      <w:r w:rsidR="00FA2D3F">
        <w:rPr>
          <w:color w:val="000000"/>
          <w:sz w:val="22"/>
          <w:szCs w:val="22"/>
          <w:lang w:val="sr-Latn-ME"/>
        </w:rPr>
        <w:t>.</w:t>
      </w:r>
      <w:r w:rsidRPr="0087318B">
        <w:rPr>
          <w:color w:val="000000"/>
          <w:sz w:val="22"/>
          <w:szCs w:val="22"/>
          <w:lang w:val="sr-Latn-ME"/>
        </w:rPr>
        <w:t>001) za 42% (-24</w:t>
      </w:r>
      <w:r w:rsidR="00FA2D3F">
        <w:rPr>
          <w:color w:val="000000"/>
          <w:sz w:val="22"/>
          <w:szCs w:val="22"/>
          <w:lang w:val="sr-Latn-ME"/>
        </w:rPr>
        <w:t>.</w:t>
      </w:r>
      <w:r w:rsidRPr="0087318B">
        <w:rPr>
          <w:color w:val="000000"/>
          <w:sz w:val="22"/>
          <w:szCs w:val="22"/>
          <w:lang w:val="sr-Latn-ME"/>
        </w:rPr>
        <w:t>2 µg/min; 95% CI : -40</w:t>
      </w:r>
      <w:r w:rsidR="00FA2D3F">
        <w:rPr>
          <w:color w:val="000000"/>
          <w:sz w:val="22"/>
          <w:szCs w:val="22"/>
          <w:lang w:val="sr-Latn-ME"/>
        </w:rPr>
        <w:t>.</w:t>
      </w:r>
      <w:r w:rsidRPr="0087318B">
        <w:rPr>
          <w:color w:val="000000"/>
          <w:sz w:val="22"/>
          <w:szCs w:val="22"/>
          <w:lang w:val="sr-Latn-ME"/>
        </w:rPr>
        <w:t>4 do -19</w:t>
      </w:r>
      <w:r w:rsidR="00FA2D3F">
        <w:rPr>
          <w:color w:val="000000"/>
          <w:sz w:val="22"/>
          <w:szCs w:val="22"/>
          <w:lang w:val="sr-Latn-ME"/>
        </w:rPr>
        <w:t>.</w:t>
      </w:r>
      <w:r w:rsidRPr="0087318B">
        <w:rPr>
          <w:color w:val="000000"/>
          <w:sz w:val="22"/>
          <w:szCs w:val="22"/>
          <w:lang w:val="sr-Latn-ME"/>
        </w:rPr>
        <w:t xml:space="preserve">1) sa </w:t>
      </w:r>
      <w:proofErr w:type="spellStart"/>
      <w:r w:rsidRPr="0087318B">
        <w:rPr>
          <w:color w:val="000000"/>
          <w:sz w:val="22"/>
          <w:szCs w:val="22"/>
          <w:lang w:val="sr-Latn-ME"/>
        </w:rPr>
        <w:t>valsartanom</w:t>
      </w:r>
      <w:proofErr w:type="spellEnd"/>
      <w:r w:rsidRPr="0087318B">
        <w:rPr>
          <w:color w:val="000000"/>
          <w:sz w:val="22"/>
          <w:szCs w:val="22"/>
          <w:lang w:val="sr-Latn-ME"/>
        </w:rPr>
        <w:t xml:space="preserve"> i oko 3% (-1</w:t>
      </w:r>
      <w:r w:rsidR="00FA2D3F">
        <w:rPr>
          <w:color w:val="000000"/>
          <w:sz w:val="22"/>
          <w:szCs w:val="22"/>
          <w:lang w:val="sr-Latn-ME"/>
        </w:rPr>
        <w:t>.</w:t>
      </w:r>
      <w:r w:rsidRPr="0087318B">
        <w:rPr>
          <w:color w:val="000000"/>
          <w:sz w:val="22"/>
          <w:szCs w:val="22"/>
          <w:lang w:val="sr-Latn-ME"/>
        </w:rPr>
        <w:t xml:space="preserve">7 </w:t>
      </w:r>
      <w:proofErr w:type="spellStart"/>
      <w:r w:rsidRPr="0087318B">
        <w:rPr>
          <w:color w:val="000000"/>
          <w:sz w:val="22"/>
          <w:szCs w:val="22"/>
          <w:lang w:val="sr-Latn-ME"/>
        </w:rPr>
        <w:t>mikrogram</w:t>
      </w:r>
      <w:proofErr w:type="spellEnd"/>
      <w:r w:rsidRPr="0087318B">
        <w:rPr>
          <w:color w:val="000000"/>
          <w:sz w:val="22"/>
          <w:szCs w:val="22"/>
          <w:lang w:val="sr-Latn-ME"/>
        </w:rPr>
        <w:t>/min; 95% CI: -5.5 do 14</w:t>
      </w:r>
      <w:r w:rsidR="00FA2D3F">
        <w:rPr>
          <w:color w:val="000000"/>
          <w:sz w:val="22"/>
          <w:szCs w:val="22"/>
          <w:lang w:val="sr-Latn-ME"/>
        </w:rPr>
        <w:t>.</w:t>
      </w:r>
      <w:r w:rsidRPr="0087318B">
        <w:rPr>
          <w:color w:val="000000"/>
          <w:sz w:val="22"/>
          <w:szCs w:val="22"/>
          <w:lang w:val="sr-Latn-ME"/>
        </w:rPr>
        <w:t>9) sa amlodipinom, uprkos sličnim stopama sniženja krvnog pritiska u ob</w:t>
      </w:r>
      <w:r w:rsidR="00673A62">
        <w:rPr>
          <w:color w:val="000000"/>
          <w:sz w:val="22"/>
          <w:szCs w:val="22"/>
          <w:lang w:val="sr-Latn-ME"/>
        </w:rPr>
        <w:t>j</w:t>
      </w:r>
      <w:r w:rsidRPr="0087318B">
        <w:rPr>
          <w:color w:val="000000"/>
          <w:sz w:val="22"/>
          <w:szCs w:val="22"/>
          <w:lang w:val="sr-Latn-ME"/>
        </w:rPr>
        <w:t>e grupe.</w:t>
      </w:r>
    </w:p>
    <w:p w14:paraId="6977371B" w14:textId="2BCEDAB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Klinička studija „Diovan Reduction of Proteinuria“ (DROP) dodatno je ispitivala efikasnost valsartana u smanjenju izlučivanja albumina urinom kod 391 pacijenta sa hipertenzijom (krvni pritisak = 150/88mmHg) sa dijabetes melitusom tipa 2, albuminurijom (srednja vrijednost = 102 µg/min; 20-700 µg/min) i očuvanom funkcijom bubrega (srednja vrijednost kreatinina u serumu = 80 µmol/l). Pacijenti su randomizovani da primaju jednu od tri doze valsartana (160</w:t>
      </w:r>
      <w:r w:rsidR="00FA2D3F">
        <w:rPr>
          <w:color w:val="000000"/>
          <w:sz w:val="22"/>
          <w:szCs w:val="22"/>
          <w:lang w:val="sr-Latn-ME"/>
        </w:rPr>
        <w:t>.</w:t>
      </w:r>
      <w:r w:rsidRPr="0087318B">
        <w:rPr>
          <w:color w:val="000000"/>
          <w:sz w:val="22"/>
          <w:szCs w:val="22"/>
          <w:lang w:val="sr-Latn-ME"/>
        </w:rPr>
        <w:t>320 i 640 mg/jednom dnevno) i  liječeni su 30 nedjelja. Cilj kliničkog ispitivanja bio je odrediti optimalnu dozu valsartana za smanjenje izlučivanja albumina urinom kod hipertenzivnih pacijenata sa di</w:t>
      </w:r>
      <w:r w:rsidR="00673A62">
        <w:rPr>
          <w:color w:val="000000"/>
          <w:sz w:val="22"/>
          <w:szCs w:val="22"/>
          <w:lang w:val="sr-Latn-ME"/>
        </w:rPr>
        <w:t>j</w:t>
      </w:r>
      <w:r w:rsidRPr="0087318B">
        <w:rPr>
          <w:color w:val="000000"/>
          <w:sz w:val="22"/>
          <w:szCs w:val="22"/>
          <w:lang w:val="sr-Latn-ME"/>
        </w:rPr>
        <w:t xml:space="preserve">abetes </w:t>
      </w:r>
      <w:proofErr w:type="spellStart"/>
      <w:r w:rsidRPr="0087318B">
        <w:rPr>
          <w:color w:val="000000"/>
          <w:sz w:val="22"/>
          <w:szCs w:val="22"/>
          <w:lang w:val="sr-Latn-ME"/>
        </w:rPr>
        <w:t>melitusom</w:t>
      </w:r>
      <w:proofErr w:type="spellEnd"/>
      <w:r w:rsidRPr="0087318B">
        <w:rPr>
          <w:color w:val="000000"/>
          <w:sz w:val="22"/>
          <w:szCs w:val="22"/>
          <w:lang w:val="sr-Latn-ME"/>
        </w:rPr>
        <w:t xml:space="preserve"> tip 2. U 30. nedjelji izlučivanje albumina urinom je značajno smanjeno za 36% od početne vrijednosti sa 160 mg valsartana (95% CI: 22 do 47%)  i  za 44% sa 320 mg valsartina (95% CI: 31 do 54%). Zaključeno je da 160-320 mg valsartana izaziva klinički značajna smanjenja izlučivanja albumina urinom kod </w:t>
      </w:r>
      <w:proofErr w:type="spellStart"/>
      <w:r w:rsidRPr="0087318B">
        <w:rPr>
          <w:color w:val="000000"/>
          <w:sz w:val="22"/>
          <w:szCs w:val="22"/>
          <w:lang w:val="sr-Latn-ME"/>
        </w:rPr>
        <w:t>hipertenzivnih</w:t>
      </w:r>
      <w:proofErr w:type="spellEnd"/>
      <w:r w:rsidRPr="0087318B">
        <w:rPr>
          <w:color w:val="000000"/>
          <w:sz w:val="22"/>
          <w:szCs w:val="22"/>
          <w:lang w:val="sr-Latn-ME"/>
        </w:rPr>
        <w:t xml:space="preserve"> pacijenata sa dijabetes melitusom tipa 2.</w:t>
      </w:r>
    </w:p>
    <w:p w14:paraId="1D89F0C2" w14:textId="77777777" w:rsidR="00D836EE" w:rsidRPr="0087318B" w:rsidRDefault="00D836EE" w:rsidP="006F2837">
      <w:pPr>
        <w:tabs>
          <w:tab w:val="left" w:pos="284"/>
        </w:tabs>
        <w:jc w:val="both"/>
        <w:rPr>
          <w:sz w:val="22"/>
          <w:szCs w:val="22"/>
          <w:u w:val="single"/>
          <w:lang w:val="sr-Latn-ME"/>
        </w:rPr>
      </w:pPr>
    </w:p>
    <w:p w14:paraId="4FE6162C" w14:textId="77777777" w:rsidR="00D836EE" w:rsidRPr="0087318B" w:rsidRDefault="00D836EE" w:rsidP="006F2837">
      <w:pPr>
        <w:tabs>
          <w:tab w:val="left" w:pos="284"/>
        </w:tabs>
        <w:jc w:val="both"/>
        <w:rPr>
          <w:sz w:val="22"/>
          <w:szCs w:val="22"/>
          <w:u w:val="single"/>
          <w:lang w:val="sr-Latn-ME"/>
        </w:rPr>
      </w:pPr>
      <w:r w:rsidRPr="0087318B">
        <w:rPr>
          <w:sz w:val="22"/>
          <w:szCs w:val="22"/>
          <w:u w:val="single"/>
          <w:lang w:val="sr-Latn-ME"/>
        </w:rPr>
        <w:t>Ostalo: dvostruka blokada sistema renin-angiotenzin-aldosteron (RAAS)</w:t>
      </w:r>
    </w:p>
    <w:p w14:paraId="48ED6BB4" w14:textId="04237FCB" w:rsidR="00D836EE" w:rsidRPr="0087318B" w:rsidRDefault="00D836EE" w:rsidP="006F2837">
      <w:pPr>
        <w:tabs>
          <w:tab w:val="left" w:pos="284"/>
        </w:tabs>
        <w:jc w:val="both"/>
        <w:rPr>
          <w:sz w:val="22"/>
          <w:szCs w:val="22"/>
          <w:lang w:val="sr-Latn-ME"/>
        </w:rPr>
      </w:pPr>
      <w:r w:rsidRPr="0087318B">
        <w:rPr>
          <w:sz w:val="22"/>
          <w:szCs w:val="22"/>
          <w:lang w:val="sr-Latn-ME"/>
        </w:rPr>
        <w:t>Dva velika, randomizovana klinička ispitivanja (ONTARGET (</w:t>
      </w:r>
      <w:r w:rsidRPr="0087318B">
        <w:rPr>
          <w:i/>
          <w:sz w:val="22"/>
          <w:szCs w:val="22"/>
          <w:lang w:val="sr-Latn-ME"/>
        </w:rPr>
        <w:t>ONgoing Telmisartan Alone and in combination with Ramipril Global Endpoint Trial</w:t>
      </w:r>
      <w:r w:rsidRPr="0087318B">
        <w:rPr>
          <w:sz w:val="22"/>
          <w:szCs w:val="22"/>
          <w:lang w:val="sr-Latn-ME"/>
        </w:rPr>
        <w:t>) i VA NEPHRON-D (</w:t>
      </w:r>
      <w:r w:rsidRPr="0087318B">
        <w:rPr>
          <w:i/>
          <w:sz w:val="22"/>
          <w:szCs w:val="22"/>
          <w:lang w:val="sr-Latn-ME"/>
        </w:rPr>
        <w:t>The Veterans Affairs Nephropathy in Diabetes</w:t>
      </w:r>
      <w:r w:rsidRPr="0087318B">
        <w:rPr>
          <w:sz w:val="22"/>
          <w:szCs w:val="22"/>
          <w:lang w:val="sr-Latn-ME"/>
        </w:rPr>
        <w:t xml:space="preserve">) su ispitivala upotrebu ACE inhibitora u kombinaciji sa </w:t>
      </w:r>
      <w:r w:rsidRPr="0087318B">
        <w:rPr>
          <w:color w:val="000000"/>
          <w:sz w:val="22"/>
          <w:szCs w:val="22"/>
          <w:lang w:val="sr-Latn-ME"/>
        </w:rPr>
        <w:t>blokatorom receptora za angiotenzin II</w:t>
      </w:r>
      <w:r w:rsidRPr="0087318B">
        <w:rPr>
          <w:sz w:val="22"/>
          <w:szCs w:val="22"/>
          <w:lang w:val="sr-Latn-ME"/>
        </w:rPr>
        <w:t>.</w:t>
      </w:r>
    </w:p>
    <w:p w14:paraId="5749AA70" w14:textId="77777777" w:rsidR="00D836EE" w:rsidRPr="0087318B" w:rsidRDefault="00D836EE">
      <w:pPr>
        <w:tabs>
          <w:tab w:val="left" w:pos="284"/>
        </w:tabs>
        <w:jc w:val="both"/>
        <w:rPr>
          <w:sz w:val="22"/>
          <w:szCs w:val="22"/>
          <w:lang w:val="sr-Latn-ME"/>
        </w:rPr>
      </w:pPr>
    </w:p>
    <w:p w14:paraId="401C608E" w14:textId="5AC03130" w:rsidR="00D836EE" w:rsidRPr="0087318B" w:rsidRDefault="00D836EE">
      <w:pPr>
        <w:tabs>
          <w:tab w:val="left" w:pos="284"/>
        </w:tabs>
        <w:jc w:val="both"/>
        <w:rPr>
          <w:sz w:val="22"/>
          <w:szCs w:val="22"/>
          <w:lang w:val="sr-Latn-ME"/>
        </w:rPr>
      </w:pPr>
      <w:r w:rsidRPr="0087318B">
        <w:rPr>
          <w:sz w:val="22"/>
          <w:szCs w:val="22"/>
          <w:lang w:val="sr-Latn-ME"/>
        </w:rPr>
        <w:t xml:space="preserve">ONTARGET je bila studija sprovedena kod pacijenata koji su u anamnezi imali kardiovaskularno ili cerebrovaskularno oboljenje ili dijabetes </w:t>
      </w:r>
      <w:proofErr w:type="spellStart"/>
      <w:r w:rsidRPr="0087318B">
        <w:rPr>
          <w:sz w:val="22"/>
          <w:szCs w:val="22"/>
          <w:lang w:val="sr-Latn-ME"/>
        </w:rPr>
        <w:t>melitus</w:t>
      </w:r>
      <w:proofErr w:type="spellEnd"/>
      <w:r w:rsidRPr="0087318B">
        <w:rPr>
          <w:sz w:val="22"/>
          <w:szCs w:val="22"/>
          <w:lang w:val="sr-Latn-ME"/>
        </w:rPr>
        <w:t xml:space="preserve"> tip 2 koji su praćeni vidljivim oštećenjem organa. </w:t>
      </w:r>
    </w:p>
    <w:p w14:paraId="1BB10792" w14:textId="55509EB9" w:rsidR="00D836EE" w:rsidRPr="0087318B" w:rsidRDefault="00D836EE">
      <w:pPr>
        <w:tabs>
          <w:tab w:val="left" w:pos="284"/>
        </w:tabs>
        <w:jc w:val="both"/>
        <w:rPr>
          <w:sz w:val="22"/>
          <w:szCs w:val="22"/>
          <w:lang w:val="sr-Latn-ME"/>
        </w:rPr>
      </w:pPr>
      <w:r w:rsidRPr="0087318B">
        <w:rPr>
          <w:sz w:val="22"/>
          <w:szCs w:val="22"/>
          <w:lang w:val="sr-Latn-ME"/>
        </w:rPr>
        <w:lastRenderedPageBreak/>
        <w:t xml:space="preserve">VA NEPHRON-D je bila studija kod pacijenata sa dijabetes </w:t>
      </w:r>
      <w:proofErr w:type="spellStart"/>
      <w:r w:rsidRPr="0087318B">
        <w:rPr>
          <w:sz w:val="22"/>
          <w:szCs w:val="22"/>
          <w:lang w:val="sr-Latn-ME"/>
        </w:rPr>
        <w:t>melitus</w:t>
      </w:r>
      <w:proofErr w:type="spellEnd"/>
      <w:r w:rsidRPr="0087318B">
        <w:rPr>
          <w:sz w:val="22"/>
          <w:szCs w:val="22"/>
          <w:lang w:val="sr-Latn-ME"/>
        </w:rPr>
        <w:t xml:space="preserve"> tip 2 i dijabetesnom nefropatijom.</w:t>
      </w:r>
    </w:p>
    <w:p w14:paraId="717C39A9" w14:textId="77777777" w:rsidR="00D836EE" w:rsidRPr="0087318B" w:rsidRDefault="00D836EE">
      <w:pPr>
        <w:tabs>
          <w:tab w:val="left" w:pos="284"/>
        </w:tabs>
        <w:jc w:val="both"/>
        <w:rPr>
          <w:sz w:val="22"/>
          <w:szCs w:val="22"/>
          <w:lang w:val="sr-Latn-ME"/>
        </w:rPr>
      </w:pPr>
      <w:r w:rsidRPr="0087318B">
        <w:rPr>
          <w:sz w:val="22"/>
          <w:szCs w:val="22"/>
          <w:lang w:val="sr-Latn-ME"/>
        </w:rPr>
        <w:t>Ove studije su pokazale da nema značajnog efekta na renalne i/ili kardiovaskularne ishode i smrtnost, dok je uočen povišeni rizik od hiperkalijemije, akutnih povreda bubrega i/ili hipotenzije, u poređenju sa monoterapijom. Uzevši u obzir njihove slične farmakodinamičke osobine, ovi rezultati su takođe relevantni za ostale ACE inhibitore i blokatore angiotenzin II receptora.</w:t>
      </w:r>
    </w:p>
    <w:p w14:paraId="45BD0F7D" w14:textId="31550C05" w:rsidR="00D836EE" w:rsidRPr="0087318B" w:rsidRDefault="00D836EE">
      <w:pPr>
        <w:tabs>
          <w:tab w:val="left" w:pos="284"/>
        </w:tabs>
        <w:jc w:val="both"/>
        <w:rPr>
          <w:sz w:val="22"/>
          <w:szCs w:val="22"/>
          <w:lang w:val="sr-Latn-ME"/>
        </w:rPr>
      </w:pPr>
      <w:r w:rsidRPr="0087318B">
        <w:rPr>
          <w:sz w:val="22"/>
          <w:szCs w:val="22"/>
          <w:lang w:val="sr-Latn-ME"/>
        </w:rPr>
        <w:t>Stoga, ACE inhibitori i blokatori angiotenzin II receptora se ne sm</w:t>
      </w:r>
      <w:r w:rsidR="00B70B23">
        <w:rPr>
          <w:sz w:val="22"/>
          <w:szCs w:val="22"/>
          <w:lang w:val="sr-Latn-ME"/>
        </w:rPr>
        <w:t>i</w:t>
      </w:r>
      <w:r w:rsidRPr="0087318B">
        <w:rPr>
          <w:sz w:val="22"/>
          <w:szCs w:val="22"/>
          <w:lang w:val="sr-Latn-ME"/>
        </w:rPr>
        <w:t>ju prim</w:t>
      </w:r>
      <w:r w:rsidR="00B70B23">
        <w:rPr>
          <w:sz w:val="22"/>
          <w:szCs w:val="22"/>
          <w:lang w:val="sr-Latn-ME"/>
        </w:rPr>
        <w:t>j</w:t>
      </w:r>
      <w:r w:rsidRPr="0087318B">
        <w:rPr>
          <w:sz w:val="22"/>
          <w:szCs w:val="22"/>
          <w:lang w:val="sr-Latn-ME"/>
        </w:rPr>
        <w:t>enjivati istovremeno kod pacijenata sa dijabetesnom nefropatijom.</w:t>
      </w:r>
    </w:p>
    <w:p w14:paraId="040507E5" w14:textId="77777777" w:rsidR="00D836EE" w:rsidRPr="0087318B" w:rsidRDefault="00D836EE" w:rsidP="00A66F57">
      <w:pPr>
        <w:tabs>
          <w:tab w:val="left" w:pos="540"/>
          <w:tab w:val="left" w:pos="569"/>
        </w:tabs>
        <w:jc w:val="both"/>
        <w:rPr>
          <w:b/>
          <w:bCs/>
          <w:sz w:val="22"/>
          <w:szCs w:val="22"/>
          <w:lang w:val="sr-Latn-ME"/>
        </w:rPr>
      </w:pPr>
    </w:p>
    <w:p w14:paraId="3A54D430" w14:textId="4A23E709" w:rsidR="00D836EE" w:rsidRPr="0087318B" w:rsidRDefault="00D836EE" w:rsidP="006F2837">
      <w:pPr>
        <w:tabs>
          <w:tab w:val="left" w:pos="284"/>
        </w:tabs>
        <w:jc w:val="both"/>
        <w:rPr>
          <w:sz w:val="22"/>
          <w:szCs w:val="22"/>
          <w:lang w:val="sr-Latn-ME"/>
        </w:rPr>
      </w:pPr>
      <w:r w:rsidRPr="0087318B">
        <w:rPr>
          <w:sz w:val="22"/>
          <w:szCs w:val="22"/>
          <w:lang w:val="sr-Latn-ME"/>
        </w:rPr>
        <w:t>ALTITUDE (</w:t>
      </w:r>
      <w:r w:rsidRPr="0087318B">
        <w:rPr>
          <w:i/>
          <w:sz w:val="22"/>
          <w:szCs w:val="22"/>
          <w:lang w:val="sr-Latn-ME"/>
        </w:rPr>
        <w:t>Aliskiren Trial in Type 2 Diabetes Using Cardiovascular and Renal Disease Endpoints</w:t>
      </w:r>
      <w:r w:rsidRPr="0087318B">
        <w:rPr>
          <w:sz w:val="22"/>
          <w:szCs w:val="22"/>
          <w:lang w:val="sr-Latn-ME"/>
        </w:rPr>
        <w:t xml:space="preserve">) je bila studija koja je napravljena kako bi se ispitala korist dodavanja aliskirena standardnoj terapiji ACE inhibitorom ili blokatorom angiotenzin II receptora kod pacijenata sa dijabetes </w:t>
      </w:r>
      <w:proofErr w:type="spellStart"/>
      <w:r w:rsidRPr="0087318B">
        <w:rPr>
          <w:sz w:val="22"/>
          <w:szCs w:val="22"/>
          <w:lang w:val="sr-Latn-ME"/>
        </w:rPr>
        <w:t>melitus</w:t>
      </w:r>
      <w:proofErr w:type="spellEnd"/>
      <w:r w:rsidRPr="0087318B">
        <w:rPr>
          <w:sz w:val="22"/>
          <w:szCs w:val="22"/>
          <w:lang w:val="sr-Latn-ME"/>
        </w:rPr>
        <w:t xml:space="preserve"> tipom 2 i hroničnom bubrežnom bolešću, kardiovaskularnom bolešću, ili ob</w:t>
      </w:r>
      <w:r w:rsidR="00B70B23">
        <w:rPr>
          <w:sz w:val="22"/>
          <w:szCs w:val="22"/>
          <w:lang w:val="sr-Latn-ME"/>
        </w:rPr>
        <w:t>j</w:t>
      </w:r>
      <w:r w:rsidRPr="0087318B">
        <w:rPr>
          <w:sz w:val="22"/>
          <w:szCs w:val="22"/>
          <w:lang w:val="sr-Latn-ME"/>
        </w:rPr>
        <w:t>ema. Studija je prekinuta ranije zbog povišenog rizika od neželjenih ishoda. Kardiovaskularna smrt i moždani udar, oba su bila učestalija u grupi na aliskirenu u odnosu na grupu na placebu, i neželjeni događaji i ozbiljni neželjeni događaji od značaja (hiperkalijemija, hipotenzija i renalna disfunkcija) su bili učestalije prijavljivani u grupi na aliskirenu u odnosu na grupu na placebu.</w:t>
      </w:r>
    </w:p>
    <w:p w14:paraId="1E7F5971" w14:textId="77777777" w:rsidR="00D836EE" w:rsidRPr="0087318B" w:rsidRDefault="00D836EE" w:rsidP="00A66F57">
      <w:pPr>
        <w:tabs>
          <w:tab w:val="left" w:pos="540"/>
          <w:tab w:val="left" w:pos="569"/>
        </w:tabs>
        <w:jc w:val="both"/>
        <w:rPr>
          <w:b/>
          <w:bCs/>
          <w:sz w:val="22"/>
          <w:szCs w:val="22"/>
          <w:lang w:val="sr-Latn-ME"/>
        </w:rPr>
      </w:pPr>
    </w:p>
    <w:p w14:paraId="7DCFA105" w14:textId="4E38D3C8" w:rsidR="00D836EE" w:rsidRPr="0087318B" w:rsidRDefault="0084780A" w:rsidP="00A66F57">
      <w:pPr>
        <w:shd w:val="clear" w:color="auto" w:fill="FFFFFF"/>
        <w:tabs>
          <w:tab w:val="left" w:pos="284"/>
        </w:tabs>
        <w:jc w:val="both"/>
        <w:rPr>
          <w:i/>
          <w:sz w:val="22"/>
          <w:szCs w:val="22"/>
          <w:u w:val="single"/>
          <w:lang w:val="sr-Latn-ME"/>
        </w:rPr>
      </w:pPr>
      <w:r w:rsidRPr="0087318B">
        <w:rPr>
          <w:i/>
          <w:sz w:val="22"/>
          <w:szCs w:val="22"/>
          <w:u w:val="single"/>
          <w:lang w:val="sr-Latn-ME"/>
        </w:rPr>
        <w:t>Hidrohlortiazid</w:t>
      </w:r>
    </w:p>
    <w:p w14:paraId="216132C1" w14:textId="22A98C98" w:rsidR="00D836EE" w:rsidRPr="0087318B" w:rsidRDefault="00D836EE" w:rsidP="00A66F57">
      <w:pPr>
        <w:shd w:val="clear" w:color="auto" w:fill="FFFFFF"/>
        <w:tabs>
          <w:tab w:val="left" w:pos="284"/>
        </w:tabs>
        <w:jc w:val="both"/>
        <w:rPr>
          <w:rFonts w:cs="Arial"/>
          <w:sz w:val="22"/>
          <w:lang w:val="sr-Latn-ME"/>
        </w:rPr>
      </w:pPr>
      <w:r w:rsidRPr="0087318B">
        <w:rPr>
          <w:color w:val="000000"/>
          <w:sz w:val="22"/>
          <w:szCs w:val="22"/>
          <w:lang w:val="sr-Latn-ME"/>
        </w:rPr>
        <w:t>Mjesto djelovanja tiazidnih diuretika je primarno u distalnim bubrežnim tubulima. Pokazano je da u bubrežnom korteksu postoji receptor visokog afiniteta za primarno m</w:t>
      </w:r>
      <w:r w:rsidR="00B70B23">
        <w:rPr>
          <w:color w:val="000000"/>
          <w:sz w:val="22"/>
          <w:szCs w:val="22"/>
          <w:lang w:val="sr-Latn-ME"/>
        </w:rPr>
        <w:t>j</w:t>
      </w:r>
      <w:r w:rsidRPr="0087318B">
        <w:rPr>
          <w:color w:val="000000"/>
          <w:sz w:val="22"/>
          <w:szCs w:val="22"/>
          <w:lang w:val="sr-Latn-ME"/>
        </w:rPr>
        <w:t>esto za vezivanje za dejstvo tiazidnog diuretika i inhibiciju transporta NaCl u distalnim tubulima. Način d</w:t>
      </w:r>
      <w:r w:rsidR="00B70B23">
        <w:rPr>
          <w:color w:val="000000"/>
          <w:sz w:val="22"/>
          <w:szCs w:val="22"/>
          <w:lang w:val="sr-Latn-ME"/>
        </w:rPr>
        <w:t>j</w:t>
      </w:r>
      <w:r w:rsidRPr="0087318B">
        <w:rPr>
          <w:color w:val="000000"/>
          <w:sz w:val="22"/>
          <w:szCs w:val="22"/>
          <w:lang w:val="sr-Latn-ME"/>
        </w:rPr>
        <w:t>elovanja tiazida je preko inhibicije Na</w:t>
      </w:r>
      <w:r w:rsidRPr="0087318B">
        <w:rPr>
          <w:color w:val="000000"/>
          <w:sz w:val="22"/>
          <w:szCs w:val="22"/>
          <w:vertAlign w:val="superscript"/>
          <w:lang w:val="sr-Latn-ME"/>
        </w:rPr>
        <w:t>+</w:t>
      </w:r>
      <w:r w:rsidRPr="0087318B">
        <w:rPr>
          <w:color w:val="000000"/>
          <w:sz w:val="22"/>
          <w:szCs w:val="22"/>
          <w:lang w:val="sr-Latn-ME"/>
        </w:rPr>
        <w:t>Cl</w:t>
      </w:r>
      <w:r w:rsidRPr="0087318B">
        <w:rPr>
          <w:color w:val="000000"/>
          <w:sz w:val="22"/>
          <w:szCs w:val="22"/>
          <w:vertAlign w:val="superscript"/>
          <w:lang w:val="sr-Latn-ME"/>
        </w:rPr>
        <w:t>–</w:t>
      </w:r>
      <w:r w:rsidRPr="0087318B">
        <w:rPr>
          <w:sz w:val="22"/>
          <w:szCs w:val="22"/>
          <w:lang w:val="sr-Latn-ME"/>
        </w:rPr>
        <w:t xml:space="preserve"> simportera, </w:t>
      </w:r>
      <w:r w:rsidRPr="0087318B">
        <w:rPr>
          <w:color w:val="000000"/>
          <w:sz w:val="22"/>
          <w:szCs w:val="22"/>
          <w:lang w:val="sr-Latn-ME"/>
        </w:rPr>
        <w:t>pretpostavlja se kompeticijom za m</w:t>
      </w:r>
      <w:r w:rsidR="00B70B23">
        <w:rPr>
          <w:color w:val="000000"/>
          <w:sz w:val="22"/>
          <w:szCs w:val="22"/>
          <w:lang w:val="sr-Latn-ME"/>
        </w:rPr>
        <w:t>j</w:t>
      </w:r>
      <w:r w:rsidRPr="0087318B">
        <w:rPr>
          <w:color w:val="000000"/>
          <w:sz w:val="22"/>
          <w:szCs w:val="22"/>
          <w:lang w:val="sr-Latn-ME"/>
        </w:rPr>
        <w:t>esto vezivanja Cl</w:t>
      </w:r>
      <w:r w:rsidRPr="0087318B">
        <w:rPr>
          <w:color w:val="000000"/>
          <w:sz w:val="22"/>
          <w:szCs w:val="22"/>
          <w:vertAlign w:val="superscript"/>
          <w:lang w:val="sr-Latn-ME"/>
        </w:rPr>
        <w:t xml:space="preserve">–   </w:t>
      </w:r>
      <w:r w:rsidRPr="0087318B">
        <w:rPr>
          <w:color w:val="000000"/>
          <w:sz w:val="22"/>
          <w:szCs w:val="22"/>
          <w:lang w:val="sr-Latn-ME"/>
        </w:rPr>
        <w:t>jona , čime se  utiče na mehanizam reapsorpcije elektrolita: direktnim povećanjem ekskrecije natrijuma i hlorida u približno ekvivalentnim količinama, a indirektno, diuretskim d</w:t>
      </w:r>
      <w:r w:rsidR="00B70B23">
        <w:rPr>
          <w:color w:val="000000"/>
          <w:sz w:val="22"/>
          <w:szCs w:val="22"/>
          <w:lang w:val="sr-Latn-ME"/>
        </w:rPr>
        <w:t>j</w:t>
      </w:r>
      <w:r w:rsidRPr="0087318B">
        <w:rPr>
          <w:color w:val="000000"/>
          <w:sz w:val="22"/>
          <w:szCs w:val="22"/>
          <w:lang w:val="sr-Latn-ME"/>
        </w:rPr>
        <w:t xml:space="preserve">elovanjem koje smanjuje volumen plazme, sa posljedičnim povećanjima reninske aktivnosti u plazmi, povećanjem sekrecije aldosterona, povećanjem izlučivanja kalijuma putem urina i smanjenjem serumskog kalijuma. Uzimajući u obzir da je veza između renina i aldosterona posredovana angiotenzinom II, smanjenje kalijuma u serumu je manje izraženo kod zajedničke primjene sa valsartanom, nego kod monoterapije </w:t>
      </w:r>
      <w:r w:rsidR="0084780A" w:rsidRPr="0087318B">
        <w:rPr>
          <w:color w:val="000000"/>
          <w:sz w:val="22"/>
          <w:szCs w:val="22"/>
          <w:lang w:val="sr-Latn-ME"/>
        </w:rPr>
        <w:t>hidrohlortiazid</w:t>
      </w:r>
      <w:r w:rsidRPr="0087318B">
        <w:rPr>
          <w:color w:val="000000"/>
          <w:sz w:val="22"/>
          <w:szCs w:val="22"/>
          <w:lang w:val="sr-Latn-ME"/>
        </w:rPr>
        <w:t xml:space="preserve">om. </w:t>
      </w:r>
    </w:p>
    <w:p w14:paraId="715220D2" w14:textId="77777777" w:rsidR="00555F5A" w:rsidRDefault="00555F5A" w:rsidP="006F2837">
      <w:pPr>
        <w:tabs>
          <w:tab w:val="left" w:pos="284"/>
        </w:tabs>
        <w:jc w:val="both"/>
        <w:rPr>
          <w:sz w:val="22"/>
          <w:szCs w:val="22"/>
          <w:lang w:val="sr-Latn-ME"/>
        </w:rPr>
      </w:pPr>
    </w:p>
    <w:p w14:paraId="461C5E96" w14:textId="77777777" w:rsidR="00555F5A" w:rsidRDefault="00D836EE" w:rsidP="006F2837">
      <w:pPr>
        <w:tabs>
          <w:tab w:val="left" w:pos="284"/>
        </w:tabs>
        <w:jc w:val="both"/>
        <w:rPr>
          <w:sz w:val="22"/>
          <w:szCs w:val="22"/>
          <w:lang w:val="sr-Latn-ME"/>
        </w:rPr>
      </w:pPr>
      <w:r w:rsidRPr="00A66F57">
        <w:rPr>
          <w:sz w:val="22"/>
          <w:szCs w:val="22"/>
          <w:u w:val="single"/>
          <w:lang w:val="sr-Latn-ME"/>
        </w:rPr>
        <w:t>Nemelanomski karcinom kože</w:t>
      </w:r>
      <w:r w:rsidRPr="0087318B">
        <w:rPr>
          <w:sz w:val="22"/>
          <w:szCs w:val="22"/>
          <w:lang w:val="sr-Latn-ME"/>
        </w:rPr>
        <w:t xml:space="preserve">: </w:t>
      </w:r>
    </w:p>
    <w:p w14:paraId="43051431" w14:textId="407BF1EB" w:rsidR="00D836EE" w:rsidRPr="0087318B" w:rsidRDefault="00D836EE" w:rsidP="006F2837">
      <w:pPr>
        <w:tabs>
          <w:tab w:val="left" w:pos="284"/>
        </w:tabs>
        <w:jc w:val="both"/>
        <w:rPr>
          <w:sz w:val="22"/>
          <w:szCs w:val="22"/>
          <w:lang w:val="sr-Latn-ME"/>
        </w:rPr>
      </w:pPr>
      <w:r w:rsidRPr="0087318B">
        <w:rPr>
          <w:sz w:val="22"/>
          <w:szCs w:val="22"/>
          <w:lang w:val="sr-Latn-ME"/>
        </w:rPr>
        <w:t>Na osnovu dostupnih podataka iz epidemioloških studija, između hidrohlortiazida i nemelanomskog karcinoma kože (NMSC) prim</w:t>
      </w:r>
      <w:r w:rsidR="00B70B23">
        <w:rPr>
          <w:sz w:val="22"/>
          <w:szCs w:val="22"/>
          <w:lang w:val="sr-Latn-ME"/>
        </w:rPr>
        <w:t>j</w:t>
      </w:r>
      <w:r w:rsidRPr="0087318B">
        <w:rPr>
          <w:sz w:val="22"/>
          <w:szCs w:val="22"/>
          <w:lang w:val="sr-Latn-ME"/>
        </w:rPr>
        <w:t>ećena je povezanost zavisna od kumulativne doze. Jedna studija uključila je populaciju koja se sastojala od 71 533 slučaja bazocelularnog karcinoma (BCC) i 8 629 slučajeva planocelularnog karcinoma (SCC), uparenih sa 1 430 833, odnosno 172 462 kontrole u populaciji. Velika upotreba hidrohlortiazida (≥</w:t>
      </w:r>
      <w:r w:rsidR="002B054B">
        <w:rPr>
          <w:sz w:val="22"/>
          <w:szCs w:val="22"/>
          <w:lang w:val="sr-Latn-ME"/>
        </w:rPr>
        <w:t xml:space="preserve"> </w:t>
      </w:r>
      <w:r w:rsidRPr="0087318B">
        <w:rPr>
          <w:sz w:val="22"/>
          <w:szCs w:val="22"/>
          <w:lang w:val="sr-Latn-ME"/>
        </w:rPr>
        <w:t>50 000 mg kumulativno) bila je povezana sa prilagođenim OR od 1</w:t>
      </w:r>
      <w:r w:rsidR="00576CE4">
        <w:rPr>
          <w:sz w:val="22"/>
          <w:szCs w:val="22"/>
          <w:lang w:val="sr-Latn-ME"/>
        </w:rPr>
        <w:t>.</w:t>
      </w:r>
      <w:r w:rsidRPr="0087318B">
        <w:rPr>
          <w:sz w:val="22"/>
          <w:szCs w:val="22"/>
          <w:lang w:val="sr-Latn-ME"/>
        </w:rPr>
        <w:t>29 (95% CI: 1</w:t>
      </w:r>
      <w:r w:rsidR="00FA2D3F">
        <w:rPr>
          <w:sz w:val="22"/>
          <w:szCs w:val="22"/>
          <w:lang w:val="sr-Latn-ME"/>
        </w:rPr>
        <w:t>.</w:t>
      </w:r>
      <w:r w:rsidRPr="0087318B">
        <w:rPr>
          <w:sz w:val="22"/>
          <w:szCs w:val="22"/>
          <w:lang w:val="sr-Latn-ME"/>
        </w:rPr>
        <w:t>23-1</w:t>
      </w:r>
      <w:r w:rsidR="00FA2D3F">
        <w:rPr>
          <w:sz w:val="22"/>
          <w:szCs w:val="22"/>
          <w:lang w:val="sr-Latn-ME"/>
        </w:rPr>
        <w:t>.</w:t>
      </w:r>
      <w:r w:rsidRPr="0087318B">
        <w:rPr>
          <w:sz w:val="22"/>
          <w:szCs w:val="22"/>
          <w:lang w:val="sr-Latn-ME"/>
        </w:rPr>
        <w:t>35) za BCC i 3</w:t>
      </w:r>
      <w:r w:rsidR="00FA2D3F">
        <w:rPr>
          <w:sz w:val="22"/>
          <w:szCs w:val="22"/>
          <w:lang w:val="sr-Latn-ME"/>
        </w:rPr>
        <w:t>.</w:t>
      </w:r>
      <w:r w:rsidRPr="0087318B">
        <w:rPr>
          <w:sz w:val="22"/>
          <w:szCs w:val="22"/>
          <w:lang w:val="sr-Latn-ME"/>
        </w:rPr>
        <w:t>98 (95% CI: 3</w:t>
      </w:r>
      <w:r w:rsidR="00FA2D3F">
        <w:rPr>
          <w:sz w:val="22"/>
          <w:szCs w:val="22"/>
          <w:lang w:val="sr-Latn-ME"/>
        </w:rPr>
        <w:t>.</w:t>
      </w:r>
      <w:r w:rsidRPr="0087318B">
        <w:rPr>
          <w:sz w:val="22"/>
          <w:szCs w:val="22"/>
          <w:lang w:val="sr-Latn-ME"/>
        </w:rPr>
        <w:t>68-4</w:t>
      </w:r>
      <w:r w:rsidR="00FA2D3F">
        <w:rPr>
          <w:sz w:val="22"/>
          <w:szCs w:val="22"/>
          <w:lang w:val="sr-Latn-ME"/>
        </w:rPr>
        <w:t>.</w:t>
      </w:r>
      <w:r w:rsidRPr="0087318B">
        <w:rPr>
          <w:sz w:val="22"/>
          <w:szCs w:val="22"/>
          <w:lang w:val="sr-Latn-ME"/>
        </w:rPr>
        <w:t>31) za SCC. Prim</w:t>
      </w:r>
      <w:r w:rsidR="00B70B23">
        <w:rPr>
          <w:sz w:val="22"/>
          <w:szCs w:val="22"/>
          <w:lang w:val="sr-Latn-ME"/>
        </w:rPr>
        <w:t>j</w:t>
      </w:r>
      <w:r w:rsidRPr="0087318B">
        <w:rPr>
          <w:sz w:val="22"/>
          <w:szCs w:val="22"/>
          <w:lang w:val="sr-Latn-ME"/>
        </w:rPr>
        <w:t>ećena je jasna povezanost odgovora i kumulativne doze i za BCC i za SCC. Druga studija pokazala je moguću povezanost između karcinoma usana (SCC) i izlaganja hidrohlortiazidu: 633 slučaja karcinoma usana upareno je sa 63 067 kontrola u populaciji, prim</w:t>
      </w:r>
      <w:r w:rsidR="00FA2D3F">
        <w:rPr>
          <w:sz w:val="22"/>
          <w:szCs w:val="22"/>
          <w:lang w:val="sr-Latn-ME"/>
        </w:rPr>
        <w:t>j</w:t>
      </w:r>
      <w:r w:rsidRPr="0087318B">
        <w:rPr>
          <w:sz w:val="22"/>
          <w:szCs w:val="22"/>
          <w:lang w:val="sr-Latn-ME"/>
        </w:rPr>
        <w:t xml:space="preserve">enom strategije uzorkovanja iz rizične grupe (eng. </w:t>
      </w:r>
      <w:r w:rsidRPr="0087318B">
        <w:rPr>
          <w:i/>
          <w:sz w:val="22"/>
          <w:szCs w:val="22"/>
          <w:lang w:val="sr-Latn-ME"/>
        </w:rPr>
        <w:t>risk-set sampling</w:t>
      </w:r>
      <w:r w:rsidRPr="0087318B">
        <w:rPr>
          <w:sz w:val="22"/>
          <w:szCs w:val="22"/>
          <w:lang w:val="sr-Latn-ME"/>
        </w:rPr>
        <w:t>). Pokazana je povezanost odgovora i kumulativne doze sa prilagođenim OR 2</w:t>
      </w:r>
      <w:r w:rsidR="00FA2D3F">
        <w:rPr>
          <w:sz w:val="22"/>
          <w:szCs w:val="22"/>
          <w:lang w:val="sr-Latn-ME"/>
        </w:rPr>
        <w:t>.</w:t>
      </w:r>
      <w:r w:rsidRPr="0087318B">
        <w:rPr>
          <w:sz w:val="22"/>
          <w:szCs w:val="22"/>
          <w:lang w:val="sr-Latn-ME"/>
        </w:rPr>
        <w:t>1 (95% CI: 1</w:t>
      </w:r>
      <w:r w:rsidR="00FA2D3F">
        <w:rPr>
          <w:sz w:val="22"/>
          <w:szCs w:val="22"/>
          <w:lang w:val="sr-Latn-ME"/>
        </w:rPr>
        <w:t>.</w:t>
      </w:r>
      <w:r w:rsidRPr="0087318B">
        <w:rPr>
          <w:sz w:val="22"/>
          <w:szCs w:val="22"/>
          <w:lang w:val="sr-Latn-ME"/>
        </w:rPr>
        <w:t>7-2</w:t>
      </w:r>
      <w:r w:rsidR="00FA2D3F">
        <w:rPr>
          <w:sz w:val="22"/>
          <w:szCs w:val="22"/>
          <w:lang w:val="sr-Latn-ME"/>
        </w:rPr>
        <w:t>.</w:t>
      </w:r>
      <w:r w:rsidRPr="0087318B">
        <w:rPr>
          <w:sz w:val="22"/>
          <w:szCs w:val="22"/>
          <w:lang w:val="sr-Latn-ME"/>
        </w:rPr>
        <w:t>6) sa povećanjem na OR 3</w:t>
      </w:r>
      <w:r w:rsidR="00FA2D3F">
        <w:rPr>
          <w:sz w:val="22"/>
          <w:szCs w:val="22"/>
          <w:lang w:val="sr-Latn-ME"/>
        </w:rPr>
        <w:t>.</w:t>
      </w:r>
      <w:r w:rsidRPr="0087318B">
        <w:rPr>
          <w:sz w:val="22"/>
          <w:szCs w:val="22"/>
          <w:lang w:val="sr-Latn-ME"/>
        </w:rPr>
        <w:t>9 (3</w:t>
      </w:r>
      <w:r w:rsidR="00FA2D3F">
        <w:rPr>
          <w:sz w:val="22"/>
          <w:szCs w:val="22"/>
          <w:lang w:val="sr-Latn-ME"/>
        </w:rPr>
        <w:t>.</w:t>
      </w:r>
      <w:r w:rsidRPr="0087318B">
        <w:rPr>
          <w:sz w:val="22"/>
          <w:szCs w:val="22"/>
          <w:lang w:val="sr-Latn-ME"/>
        </w:rPr>
        <w:t>0-4</w:t>
      </w:r>
      <w:r w:rsidR="00FA2D3F">
        <w:rPr>
          <w:sz w:val="22"/>
          <w:szCs w:val="22"/>
          <w:lang w:val="sr-Latn-ME"/>
        </w:rPr>
        <w:t>.</w:t>
      </w:r>
      <w:r w:rsidRPr="0087318B">
        <w:rPr>
          <w:sz w:val="22"/>
          <w:szCs w:val="22"/>
          <w:lang w:val="sr-Latn-ME"/>
        </w:rPr>
        <w:t>9) za veliku upotrebu hidrohlortiazida (~25 000 mg) i na OR 7</w:t>
      </w:r>
      <w:r w:rsidR="00FA2D3F">
        <w:rPr>
          <w:sz w:val="22"/>
          <w:szCs w:val="22"/>
          <w:lang w:val="sr-Latn-ME"/>
        </w:rPr>
        <w:t>.</w:t>
      </w:r>
      <w:r w:rsidRPr="0087318B">
        <w:rPr>
          <w:sz w:val="22"/>
          <w:szCs w:val="22"/>
          <w:lang w:val="sr-Latn-ME"/>
        </w:rPr>
        <w:t>7 (5</w:t>
      </w:r>
      <w:r w:rsidR="00FA2D3F">
        <w:rPr>
          <w:sz w:val="22"/>
          <w:szCs w:val="22"/>
          <w:lang w:val="sr-Latn-ME"/>
        </w:rPr>
        <w:t>.</w:t>
      </w:r>
      <w:r w:rsidRPr="0087318B">
        <w:rPr>
          <w:sz w:val="22"/>
          <w:szCs w:val="22"/>
          <w:lang w:val="sr-Latn-ME"/>
        </w:rPr>
        <w:t>7-10</w:t>
      </w:r>
      <w:r w:rsidR="00FA2D3F">
        <w:rPr>
          <w:sz w:val="22"/>
          <w:szCs w:val="22"/>
          <w:lang w:val="sr-Latn-ME"/>
        </w:rPr>
        <w:t>.</w:t>
      </w:r>
      <w:r w:rsidRPr="0087318B">
        <w:rPr>
          <w:sz w:val="22"/>
          <w:szCs w:val="22"/>
          <w:lang w:val="sr-Latn-ME"/>
        </w:rPr>
        <w:t xml:space="preserve">5) za najveću kumulativnu dozu (~100 000 mg) (takođe </w:t>
      </w:r>
      <w:r w:rsidR="003B0E37" w:rsidRPr="0087318B">
        <w:rPr>
          <w:sz w:val="22"/>
          <w:szCs w:val="22"/>
          <w:lang w:val="sr-Latn-ME"/>
        </w:rPr>
        <w:t>vidjeti</w:t>
      </w:r>
      <w:r w:rsidRPr="0087318B">
        <w:rPr>
          <w:sz w:val="22"/>
          <w:szCs w:val="22"/>
          <w:lang w:val="sr-Latn-ME"/>
        </w:rPr>
        <w:t xml:space="preserve"> </w:t>
      </w:r>
      <w:r w:rsidR="003B0E37" w:rsidRPr="0087318B">
        <w:rPr>
          <w:sz w:val="22"/>
          <w:szCs w:val="22"/>
          <w:lang w:val="sr-Latn-ME"/>
        </w:rPr>
        <w:t>dio</w:t>
      </w:r>
      <w:r w:rsidRPr="0087318B">
        <w:rPr>
          <w:sz w:val="22"/>
          <w:szCs w:val="22"/>
          <w:lang w:val="sr-Latn-ME"/>
        </w:rPr>
        <w:t xml:space="preserve"> 4.4).</w:t>
      </w:r>
    </w:p>
    <w:p w14:paraId="0BB85480" w14:textId="77777777" w:rsidR="00D836EE" w:rsidRPr="0087318B" w:rsidRDefault="00D836EE" w:rsidP="00A66F57">
      <w:pPr>
        <w:tabs>
          <w:tab w:val="left" w:pos="540"/>
          <w:tab w:val="left" w:pos="569"/>
        </w:tabs>
        <w:jc w:val="both"/>
        <w:rPr>
          <w:b/>
          <w:bCs/>
          <w:sz w:val="22"/>
          <w:szCs w:val="22"/>
          <w:lang w:val="sr-Latn-ME"/>
        </w:rPr>
      </w:pPr>
    </w:p>
    <w:p w14:paraId="0C339428" w14:textId="77777777" w:rsidR="0072020E" w:rsidRPr="0087318B" w:rsidRDefault="0072020E" w:rsidP="00A66F57">
      <w:pPr>
        <w:tabs>
          <w:tab w:val="left" w:pos="540"/>
          <w:tab w:val="left" w:pos="569"/>
        </w:tabs>
        <w:jc w:val="both"/>
        <w:rPr>
          <w:b/>
          <w:bCs/>
          <w:sz w:val="22"/>
          <w:szCs w:val="22"/>
          <w:lang w:val="sr-Latn-ME"/>
        </w:rPr>
      </w:pPr>
      <w:r w:rsidRPr="008C0B81">
        <w:rPr>
          <w:b/>
          <w:bCs/>
          <w:sz w:val="22"/>
          <w:szCs w:val="22"/>
          <w:lang w:val="sr-Latn-ME"/>
        </w:rPr>
        <w:t xml:space="preserve">5.2. </w:t>
      </w:r>
      <w:r w:rsidR="00480FB1" w:rsidRPr="008C0B81">
        <w:rPr>
          <w:b/>
          <w:bCs/>
          <w:sz w:val="22"/>
          <w:szCs w:val="22"/>
          <w:lang w:val="sr-Latn-ME"/>
        </w:rPr>
        <w:tab/>
      </w:r>
      <w:r w:rsidRPr="008C0B81">
        <w:rPr>
          <w:b/>
          <w:bCs/>
          <w:sz w:val="22"/>
          <w:szCs w:val="22"/>
          <w:lang w:val="sr-Latn-ME"/>
        </w:rPr>
        <w:t>Farmakokinetički podaci</w:t>
      </w:r>
      <w:r w:rsidR="003A7059" w:rsidRPr="0087318B">
        <w:rPr>
          <w:b/>
          <w:bCs/>
          <w:sz w:val="22"/>
          <w:szCs w:val="22"/>
          <w:lang w:val="sr-Latn-ME"/>
        </w:rPr>
        <w:t xml:space="preserve"> </w:t>
      </w:r>
    </w:p>
    <w:p w14:paraId="24959FCB" w14:textId="77777777" w:rsidR="00D836EE" w:rsidRPr="0087318B" w:rsidRDefault="00D836EE" w:rsidP="00A66F57">
      <w:pPr>
        <w:tabs>
          <w:tab w:val="left" w:pos="540"/>
          <w:tab w:val="left" w:pos="569"/>
        </w:tabs>
        <w:jc w:val="both"/>
        <w:rPr>
          <w:b/>
          <w:bCs/>
          <w:sz w:val="22"/>
          <w:szCs w:val="22"/>
          <w:lang w:val="sr-Latn-ME"/>
        </w:rPr>
      </w:pPr>
    </w:p>
    <w:p w14:paraId="03EAE0D6" w14:textId="14B1C202" w:rsidR="00D836EE" w:rsidRPr="0087318B" w:rsidRDefault="00D836EE" w:rsidP="00A66F57">
      <w:pPr>
        <w:tabs>
          <w:tab w:val="left" w:pos="284"/>
        </w:tabs>
        <w:jc w:val="both"/>
        <w:rPr>
          <w:bCs/>
          <w:i/>
          <w:sz w:val="22"/>
          <w:szCs w:val="22"/>
          <w:lang w:val="sr-Latn-ME"/>
        </w:rPr>
      </w:pPr>
      <w:r w:rsidRPr="0087318B">
        <w:rPr>
          <w:bCs/>
          <w:i/>
          <w:sz w:val="22"/>
          <w:szCs w:val="22"/>
          <w:lang w:val="sr-Latn-ME"/>
        </w:rPr>
        <w:t>Valsartan/</w:t>
      </w:r>
      <w:r w:rsidR="0084780A" w:rsidRPr="0087318B">
        <w:rPr>
          <w:bCs/>
          <w:i/>
          <w:sz w:val="22"/>
          <w:szCs w:val="22"/>
          <w:lang w:val="sr-Latn-ME"/>
        </w:rPr>
        <w:t>hidrohlortiazid</w:t>
      </w:r>
    </w:p>
    <w:p w14:paraId="64C03686" w14:textId="4DE96A50" w:rsidR="00D836EE" w:rsidRPr="0087318B" w:rsidRDefault="00D836EE" w:rsidP="00A66F57">
      <w:pPr>
        <w:tabs>
          <w:tab w:val="left" w:pos="284"/>
        </w:tabs>
        <w:jc w:val="both"/>
        <w:rPr>
          <w:bCs/>
          <w:sz w:val="22"/>
          <w:szCs w:val="22"/>
          <w:lang w:val="sr-Latn-ME"/>
        </w:rPr>
      </w:pPr>
      <w:r w:rsidRPr="0087318B">
        <w:rPr>
          <w:bCs/>
          <w:sz w:val="22"/>
          <w:szCs w:val="22"/>
          <w:lang w:val="sr-Latn-ME"/>
        </w:rPr>
        <w:t xml:space="preserve">Sistemska raspoloživost </w:t>
      </w:r>
      <w:r w:rsidR="0084780A" w:rsidRPr="0087318B">
        <w:rPr>
          <w:bCs/>
          <w:sz w:val="22"/>
          <w:szCs w:val="22"/>
          <w:lang w:val="sr-Latn-ME"/>
        </w:rPr>
        <w:t>hidrohlortiazid</w:t>
      </w:r>
      <w:r w:rsidRPr="0087318B">
        <w:rPr>
          <w:bCs/>
          <w:sz w:val="22"/>
          <w:szCs w:val="22"/>
          <w:lang w:val="sr-Latn-ME"/>
        </w:rPr>
        <w:t xml:space="preserve">a se smanjuje za oko 30% kad se primjenjuje istovremeno sa valsartanom. Na kinetiku valsartana ne utiče značajno zajednička primjena sa </w:t>
      </w:r>
      <w:r w:rsidR="0084780A" w:rsidRPr="0087318B">
        <w:rPr>
          <w:bCs/>
          <w:sz w:val="22"/>
          <w:szCs w:val="22"/>
          <w:lang w:val="sr-Latn-ME"/>
        </w:rPr>
        <w:t>hidrohlortiazid</w:t>
      </w:r>
      <w:r w:rsidRPr="0087318B">
        <w:rPr>
          <w:bCs/>
          <w:sz w:val="22"/>
          <w:szCs w:val="22"/>
          <w:lang w:val="sr-Latn-ME"/>
        </w:rPr>
        <w:t xml:space="preserve">om. Ova zapažena interakcija nema uticaja na kombinovanu primjenu valsartana i </w:t>
      </w:r>
      <w:r w:rsidR="0084780A" w:rsidRPr="0087318B">
        <w:rPr>
          <w:bCs/>
          <w:sz w:val="22"/>
          <w:szCs w:val="22"/>
          <w:lang w:val="sr-Latn-ME"/>
        </w:rPr>
        <w:t>hidrohlortiazid</w:t>
      </w:r>
      <w:r w:rsidRPr="0087318B">
        <w:rPr>
          <w:bCs/>
          <w:sz w:val="22"/>
          <w:szCs w:val="22"/>
          <w:lang w:val="sr-Latn-ME"/>
        </w:rPr>
        <w:t>a, pošto su kontrolisana klinička ispitivanja pokazala jasno antihipertenzivno djelovanje, veće od onog koje se dobije kad se lijek daje pojedinačno ili kod placeba.</w:t>
      </w:r>
    </w:p>
    <w:p w14:paraId="3CF8A924" w14:textId="77777777" w:rsidR="00D836EE" w:rsidRPr="0087318B" w:rsidRDefault="00D836EE" w:rsidP="00A66F57">
      <w:pPr>
        <w:tabs>
          <w:tab w:val="left" w:pos="284"/>
        </w:tabs>
        <w:jc w:val="both"/>
        <w:rPr>
          <w:bCs/>
          <w:sz w:val="22"/>
          <w:szCs w:val="22"/>
          <w:lang w:val="sr-Latn-ME"/>
        </w:rPr>
      </w:pPr>
    </w:p>
    <w:p w14:paraId="2A7DAA96" w14:textId="77777777" w:rsidR="00D836EE" w:rsidRPr="00A66F57" w:rsidRDefault="00D836EE" w:rsidP="00A66F57">
      <w:pPr>
        <w:shd w:val="clear" w:color="auto" w:fill="FFFFFF"/>
        <w:tabs>
          <w:tab w:val="left" w:pos="284"/>
        </w:tabs>
        <w:jc w:val="both"/>
        <w:rPr>
          <w:b/>
          <w:i/>
          <w:color w:val="000000"/>
          <w:sz w:val="22"/>
          <w:szCs w:val="22"/>
          <w:u w:val="single"/>
          <w:lang w:val="sr-Latn-ME"/>
        </w:rPr>
      </w:pPr>
      <w:r w:rsidRPr="00A66F57">
        <w:rPr>
          <w:b/>
          <w:i/>
          <w:color w:val="000000"/>
          <w:sz w:val="22"/>
          <w:szCs w:val="22"/>
          <w:u w:val="single"/>
          <w:lang w:val="sr-Latn-ME"/>
        </w:rPr>
        <w:t>Valsartan</w:t>
      </w:r>
    </w:p>
    <w:p w14:paraId="4EDDB7B2" w14:textId="77777777" w:rsidR="00555F5A" w:rsidRDefault="00555F5A" w:rsidP="00A66F57">
      <w:pPr>
        <w:shd w:val="clear" w:color="auto" w:fill="FFFFFF"/>
        <w:tabs>
          <w:tab w:val="left" w:pos="284"/>
        </w:tabs>
        <w:jc w:val="both"/>
        <w:rPr>
          <w:i/>
          <w:color w:val="000000"/>
          <w:sz w:val="22"/>
          <w:szCs w:val="22"/>
          <w:lang w:val="sr-Latn-ME"/>
        </w:rPr>
      </w:pPr>
    </w:p>
    <w:p w14:paraId="32061489" w14:textId="118C4FCA"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Resorpcija</w:t>
      </w:r>
    </w:p>
    <w:p w14:paraId="2E4E8FA8" w14:textId="1D7E2250"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Nakon oralne primjene samo valsartana maksimalne koncentracije valsartana u plazmi postižu se u roku od 2 do 4 sata. Srednja apsolutna bioraspoloživost za valsartan </w:t>
      </w:r>
      <w:r w:rsidRPr="0087318B">
        <w:rPr>
          <w:color w:val="000000"/>
          <w:sz w:val="22"/>
          <w:szCs w:val="22"/>
          <w:vertAlign w:val="superscript"/>
          <w:lang w:val="sr-Latn-ME"/>
        </w:rPr>
        <w:t xml:space="preserve"> </w:t>
      </w:r>
      <w:r w:rsidRPr="0087318B">
        <w:rPr>
          <w:color w:val="000000"/>
          <w:sz w:val="22"/>
          <w:szCs w:val="22"/>
          <w:lang w:val="sr-Latn-ME"/>
        </w:rPr>
        <w:t xml:space="preserve">je 23%. Hrana smanjuje izloženost </w:t>
      </w:r>
      <w:r w:rsidRPr="0087318B">
        <w:rPr>
          <w:color w:val="000000"/>
          <w:sz w:val="22"/>
          <w:szCs w:val="22"/>
          <w:lang w:val="sr-Latn-ME"/>
        </w:rPr>
        <w:lastRenderedPageBreak/>
        <w:t>(m</w:t>
      </w:r>
      <w:r w:rsidR="00A00073">
        <w:rPr>
          <w:color w:val="000000"/>
          <w:sz w:val="22"/>
          <w:szCs w:val="22"/>
          <w:lang w:val="sr-Latn-ME"/>
        </w:rPr>
        <w:t>j</w:t>
      </w:r>
      <w:r w:rsidRPr="0087318B">
        <w:rPr>
          <w:color w:val="000000"/>
          <w:sz w:val="22"/>
          <w:szCs w:val="22"/>
          <w:lang w:val="sr-Latn-ME"/>
        </w:rPr>
        <w:t>ereno pomoću PIK-a) valsartanu za oko 40% i maksimalnu koncentraciju u plazmi (C</w:t>
      </w:r>
      <w:r w:rsidRPr="0087318B">
        <w:rPr>
          <w:color w:val="000000"/>
          <w:sz w:val="22"/>
          <w:szCs w:val="22"/>
          <w:vertAlign w:val="subscript"/>
          <w:lang w:val="sr-Latn-ME"/>
        </w:rPr>
        <w:t>max</w:t>
      </w:r>
      <w:r w:rsidRPr="0087318B">
        <w:rPr>
          <w:color w:val="000000"/>
          <w:sz w:val="22"/>
          <w:szCs w:val="22"/>
          <w:lang w:val="sr-Latn-ME"/>
        </w:rPr>
        <w:t xml:space="preserve">) za oko 50%, mada su koncentracije </w:t>
      </w:r>
      <w:proofErr w:type="spellStart"/>
      <w:r w:rsidRPr="0087318B">
        <w:rPr>
          <w:color w:val="000000"/>
          <w:sz w:val="22"/>
          <w:szCs w:val="22"/>
          <w:lang w:val="sr-Latn-ME"/>
        </w:rPr>
        <w:t>valsartana</w:t>
      </w:r>
      <w:proofErr w:type="spellEnd"/>
      <w:r w:rsidRPr="0087318B">
        <w:rPr>
          <w:color w:val="000000"/>
          <w:sz w:val="22"/>
          <w:szCs w:val="22"/>
          <w:lang w:val="sr-Latn-ME"/>
        </w:rPr>
        <w:t xml:space="preserve"> u plazmi oko 8h nakon doziranja slične u grupi koja je uzimala hranu i grupi koja je bila našte. Međutim, navedeno smanjenje PIK-a nije praćeno klinički značajnim smanjenjem terapijskog efekta, pa se stoga valsartan može davati sa hranom ili bez nje. </w:t>
      </w:r>
    </w:p>
    <w:p w14:paraId="4B0F5DC6" w14:textId="77777777" w:rsidR="00576CE4" w:rsidRDefault="00576CE4" w:rsidP="00A66F57">
      <w:pPr>
        <w:shd w:val="clear" w:color="auto" w:fill="FFFFFF"/>
        <w:tabs>
          <w:tab w:val="left" w:pos="284"/>
        </w:tabs>
        <w:jc w:val="both"/>
        <w:rPr>
          <w:i/>
          <w:color w:val="000000"/>
          <w:sz w:val="22"/>
          <w:szCs w:val="22"/>
          <w:lang w:val="sr-Latn-ME"/>
        </w:rPr>
      </w:pPr>
    </w:p>
    <w:p w14:paraId="16E9E93D" w14:textId="60738703"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Distribucija</w:t>
      </w:r>
    </w:p>
    <w:p w14:paraId="26A58E65" w14:textId="6CA91112"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Volumen distribucije u ravnotežnom stanju nakon </w:t>
      </w:r>
      <w:proofErr w:type="spellStart"/>
      <w:r w:rsidRPr="0087318B">
        <w:rPr>
          <w:color w:val="000000"/>
          <w:sz w:val="22"/>
          <w:szCs w:val="22"/>
          <w:lang w:val="sr-Latn-ME"/>
        </w:rPr>
        <w:t>intravenske</w:t>
      </w:r>
      <w:proofErr w:type="spellEnd"/>
      <w:r w:rsidRPr="0087318B">
        <w:rPr>
          <w:color w:val="000000"/>
          <w:sz w:val="22"/>
          <w:szCs w:val="22"/>
          <w:lang w:val="sr-Latn-ME"/>
        </w:rPr>
        <w:t xml:space="preserve"> primjene lijeka je oko 17 l što upućuje na to da se valsartan ne raspodjeljuje u većoj m</w:t>
      </w:r>
      <w:r w:rsidR="00A00073">
        <w:rPr>
          <w:color w:val="000000"/>
          <w:sz w:val="22"/>
          <w:szCs w:val="22"/>
          <w:lang w:val="sr-Latn-ME"/>
        </w:rPr>
        <w:t>j</w:t>
      </w:r>
      <w:r w:rsidRPr="0087318B">
        <w:rPr>
          <w:color w:val="000000"/>
          <w:sz w:val="22"/>
          <w:szCs w:val="22"/>
          <w:lang w:val="sr-Latn-ME"/>
        </w:rPr>
        <w:t xml:space="preserve">eri u tkiva. Valsartan se ekstenzivno vezuje za serumske proteine (94–97%), uglavnom serumski albumin. </w:t>
      </w:r>
    </w:p>
    <w:p w14:paraId="702FCED3" w14:textId="77777777" w:rsidR="00555F5A" w:rsidRDefault="00555F5A" w:rsidP="00A66F57">
      <w:pPr>
        <w:tabs>
          <w:tab w:val="left" w:pos="540"/>
          <w:tab w:val="left" w:pos="569"/>
        </w:tabs>
        <w:jc w:val="both"/>
        <w:rPr>
          <w:i/>
          <w:color w:val="000000"/>
          <w:sz w:val="22"/>
          <w:szCs w:val="22"/>
          <w:lang w:val="sr-Latn-ME"/>
        </w:rPr>
      </w:pPr>
    </w:p>
    <w:p w14:paraId="31C78A9D" w14:textId="275E8562" w:rsidR="0072020E" w:rsidRPr="0087318B" w:rsidRDefault="00D836EE" w:rsidP="00A66F57">
      <w:pPr>
        <w:tabs>
          <w:tab w:val="left" w:pos="540"/>
          <w:tab w:val="left" w:pos="569"/>
        </w:tabs>
        <w:jc w:val="both"/>
        <w:rPr>
          <w:i/>
          <w:color w:val="000000"/>
          <w:sz w:val="22"/>
          <w:szCs w:val="22"/>
          <w:lang w:val="sr-Latn-ME"/>
        </w:rPr>
      </w:pPr>
      <w:r w:rsidRPr="0087318B">
        <w:rPr>
          <w:i/>
          <w:color w:val="000000"/>
          <w:sz w:val="22"/>
          <w:szCs w:val="22"/>
          <w:lang w:val="sr-Latn-ME"/>
        </w:rPr>
        <w:t>Biotransformacija</w:t>
      </w:r>
    </w:p>
    <w:p w14:paraId="283A3899"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Valsartan se ne transformiše u većoj mjeri, obzirom da se svega 20% doze može naći u obliku metabolita. U plazmi je nađen hidroksi-metabolit u niskoj koncentraciji (manje od 10% PIK valsartana). Taj metabolit nije farmakološki aktivan. </w:t>
      </w:r>
    </w:p>
    <w:p w14:paraId="50077C5D" w14:textId="77777777" w:rsidR="00555F5A" w:rsidRDefault="00555F5A" w:rsidP="00A66F57">
      <w:pPr>
        <w:shd w:val="clear" w:color="auto" w:fill="FFFFFF"/>
        <w:tabs>
          <w:tab w:val="left" w:pos="284"/>
        </w:tabs>
        <w:jc w:val="both"/>
        <w:rPr>
          <w:i/>
          <w:color w:val="000000"/>
          <w:sz w:val="22"/>
          <w:szCs w:val="22"/>
          <w:lang w:val="sr-Latn-ME"/>
        </w:rPr>
      </w:pPr>
    </w:p>
    <w:p w14:paraId="5C9A1EBF" w14:textId="6B08EA0A"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Eliminacija</w:t>
      </w:r>
    </w:p>
    <w:p w14:paraId="1F9A6513" w14:textId="796CC6BC"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Valsartan ispoljava multieksponencijalnu kinetiku raspadanja (t</w:t>
      </w:r>
      <w:r w:rsidRPr="0087318B">
        <w:rPr>
          <w:color w:val="000000"/>
          <w:sz w:val="22"/>
          <w:szCs w:val="22"/>
          <w:vertAlign w:val="subscript"/>
          <w:lang w:val="sr-Latn-ME"/>
        </w:rPr>
        <w:t xml:space="preserve">1/2 </w:t>
      </w:r>
      <w:r w:rsidRPr="0087318B">
        <w:rPr>
          <w:color w:val="000000"/>
          <w:sz w:val="22"/>
          <w:szCs w:val="22"/>
          <w:lang w:val="sr-Latn-ME"/>
        </w:rPr>
        <w:t>α &lt; 1 sat i t</w:t>
      </w:r>
      <w:r w:rsidRPr="0087318B">
        <w:rPr>
          <w:color w:val="000000"/>
          <w:sz w:val="22"/>
          <w:szCs w:val="22"/>
          <w:vertAlign w:val="subscript"/>
          <w:lang w:val="sr-Latn-ME"/>
        </w:rPr>
        <w:t xml:space="preserve">1/2 </w:t>
      </w:r>
      <w:r w:rsidRPr="0087318B">
        <w:rPr>
          <w:color w:val="000000"/>
          <w:sz w:val="22"/>
          <w:szCs w:val="22"/>
          <w:lang w:val="sr-Latn-ME"/>
        </w:rPr>
        <w:t xml:space="preserve"> β oko 9 sati).</w:t>
      </w:r>
      <w:r w:rsidR="00E73D2E">
        <w:rPr>
          <w:color w:val="000000"/>
          <w:sz w:val="22"/>
          <w:szCs w:val="22"/>
          <w:lang w:val="sr-Latn-ME"/>
        </w:rPr>
        <w:t xml:space="preserve"> </w:t>
      </w:r>
      <w:r w:rsidRPr="0087318B">
        <w:rPr>
          <w:color w:val="000000"/>
          <w:sz w:val="22"/>
          <w:szCs w:val="22"/>
          <w:lang w:val="sr-Latn-ME"/>
        </w:rPr>
        <w:t>Valsartan se prvenstveno uklanja stolicom (oko 83% doze) i urinom (oko 13% doze), uglavnom kao nepromijenjen lijek. Nakon intravenske primjene, klirens valsartana iz plazme iznosi oko 2 1/h, dok je njegov bubrežni klirens 0</w:t>
      </w:r>
      <w:r w:rsidR="00FA2D3F">
        <w:rPr>
          <w:color w:val="000000"/>
          <w:sz w:val="22"/>
          <w:szCs w:val="22"/>
          <w:lang w:val="sr-Latn-ME"/>
        </w:rPr>
        <w:t>.</w:t>
      </w:r>
      <w:r w:rsidRPr="0087318B">
        <w:rPr>
          <w:color w:val="000000"/>
          <w:sz w:val="22"/>
          <w:szCs w:val="22"/>
          <w:lang w:val="sr-Latn-ME"/>
        </w:rPr>
        <w:t>62 l/h (oko 30% ukupnog klirensa). Poluvr</w:t>
      </w:r>
      <w:r w:rsidR="00A00073">
        <w:rPr>
          <w:color w:val="000000"/>
          <w:sz w:val="22"/>
          <w:szCs w:val="22"/>
          <w:lang w:val="sr-Latn-ME"/>
        </w:rPr>
        <w:t>ij</w:t>
      </w:r>
      <w:r w:rsidRPr="0087318B">
        <w:rPr>
          <w:color w:val="000000"/>
          <w:sz w:val="22"/>
          <w:szCs w:val="22"/>
          <w:lang w:val="sr-Latn-ME"/>
        </w:rPr>
        <w:t>eme elminacije valsartana je 6 sati.</w:t>
      </w:r>
    </w:p>
    <w:p w14:paraId="2FC85C74" w14:textId="77777777" w:rsidR="00555F5A" w:rsidRDefault="00555F5A" w:rsidP="00A66F57">
      <w:pPr>
        <w:shd w:val="clear" w:color="auto" w:fill="FFFFFF"/>
        <w:tabs>
          <w:tab w:val="left" w:pos="284"/>
        </w:tabs>
        <w:jc w:val="both"/>
        <w:rPr>
          <w:i/>
          <w:color w:val="000000"/>
          <w:sz w:val="22"/>
          <w:szCs w:val="22"/>
          <w:u w:val="single"/>
          <w:lang w:val="sr-Latn-ME"/>
        </w:rPr>
      </w:pPr>
    </w:p>
    <w:p w14:paraId="01243BA9" w14:textId="6857ED89" w:rsidR="00D836EE" w:rsidRPr="00A66F57" w:rsidRDefault="0084780A" w:rsidP="00A66F57">
      <w:pPr>
        <w:shd w:val="clear" w:color="auto" w:fill="FFFFFF"/>
        <w:tabs>
          <w:tab w:val="left" w:pos="284"/>
        </w:tabs>
        <w:jc w:val="both"/>
        <w:rPr>
          <w:b/>
          <w:i/>
          <w:color w:val="000000"/>
          <w:sz w:val="22"/>
          <w:szCs w:val="22"/>
          <w:u w:val="single"/>
          <w:lang w:val="sr-Latn-ME"/>
        </w:rPr>
      </w:pPr>
      <w:r w:rsidRPr="00A66F57">
        <w:rPr>
          <w:b/>
          <w:i/>
          <w:color w:val="000000"/>
          <w:sz w:val="22"/>
          <w:szCs w:val="22"/>
          <w:u w:val="single"/>
          <w:lang w:val="sr-Latn-ME"/>
        </w:rPr>
        <w:t>Hidrohlortiazid</w:t>
      </w:r>
    </w:p>
    <w:p w14:paraId="47C44C9F" w14:textId="77777777" w:rsidR="00555F5A" w:rsidRDefault="00555F5A" w:rsidP="00A66F57">
      <w:pPr>
        <w:shd w:val="clear" w:color="auto" w:fill="FFFFFF"/>
        <w:tabs>
          <w:tab w:val="left" w:pos="284"/>
        </w:tabs>
        <w:jc w:val="both"/>
        <w:rPr>
          <w:i/>
          <w:color w:val="000000"/>
          <w:sz w:val="22"/>
          <w:szCs w:val="22"/>
          <w:lang w:val="sr-Latn-ME"/>
        </w:rPr>
      </w:pPr>
    </w:p>
    <w:p w14:paraId="661166E2" w14:textId="53FA6367"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Apsorpcija</w:t>
      </w:r>
    </w:p>
    <w:p w14:paraId="44A4D78D" w14:textId="5E45229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Resorpcija  </w:t>
      </w:r>
      <w:r w:rsidR="0084780A" w:rsidRPr="0087318B">
        <w:rPr>
          <w:color w:val="000000"/>
          <w:sz w:val="22"/>
          <w:szCs w:val="22"/>
          <w:lang w:val="sr-Latn-ME"/>
        </w:rPr>
        <w:t>hidrohlortiazid</w:t>
      </w:r>
      <w:r w:rsidRPr="0087318B">
        <w:rPr>
          <w:color w:val="000000"/>
          <w:sz w:val="22"/>
          <w:szCs w:val="22"/>
          <w:lang w:val="sr-Latn-ME"/>
        </w:rPr>
        <w:t>a nakon oralne primjene je brza (t</w:t>
      </w:r>
      <w:r w:rsidRPr="0087318B">
        <w:rPr>
          <w:color w:val="000000"/>
          <w:sz w:val="22"/>
          <w:szCs w:val="22"/>
          <w:vertAlign w:val="subscript"/>
          <w:lang w:val="sr-Latn-ME"/>
        </w:rPr>
        <w:t>max</w:t>
      </w:r>
      <w:r w:rsidRPr="0087318B">
        <w:rPr>
          <w:color w:val="000000"/>
          <w:sz w:val="22"/>
          <w:szCs w:val="22"/>
          <w:lang w:val="sr-Latn-ME"/>
        </w:rPr>
        <w:t xml:space="preserve"> oko 2 h). Povećanje srednje vrijednosti PIK-a  je linearno i proporcionalno dozi u terapijskom rasponu. </w:t>
      </w:r>
    </w:p>
    <w:p w14:paraId="02EE0D4D" w14:textId="59A9742A"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Efekat koji hrana ima na resorpciju </w:t>
      </w:r>
      <w:r w:rsidR="0084780A" w:rsidRPr="0087318B">
        <w:rPr>
          <w:color w:val="000000"/>
          <w:sz w:val="22"/>
          <w:szCs w:val="22"/>
          <w:lang w:val="sr-Latn-ME"/>
        </w:rPr>
        <w:t>hidrohlortiazid</w:t>
      </w:r>
      <w:r w:rsidRPr="0087318B">
        <w:rPr>
          <w:color w:val="000000"/>
          <w:sz w:val="22"/>
          <w:szCs w:val="22"/>
          <w:lang w:val="sr-Latn-ME"/>
        </w:rPr>
        <w:t xml:space="preserve">a, ako postoji, ima mali klinički značaj. Apsolutna bioraspoloživost </w:t>
      </w:r>
      <w:r w:rsidR="0084780A" w:rsidRPr="0087318B">
        <w:rPr>
          <w:color w:val="000000"/>
          <w:sz w:val="22"/>
          <w:szCs w:val="22"/>
          <w:lang w:val="sr-Latn-ME"/>
        </w:rPr>
        <w:t>hidrohlortiazid</w:t>
      </w:r>
      <w:r w:rsidRPr="0087318B">
        <w:rPr>
          <w:color w:val="000000"/>
          <w:sz w:val="22"/>
          <w:szCs w:val="22"/>
          <w:lang w:val="sr-Latn-ME"/>
        </w:rPr>
        <w:t>a je 70% nakon oralne primjene.</w:t>
      </w:r>
    </w:p>
    <w:p w14:paraId="024F2AF7" w14:textId="77777777" w:rsidR="00555F5A" w:rsidRDefault="00555F5A" w:rsidP="00A66F57">
      <w:pPr>
        <w:shd w:val="clear" w:color="auto" w:fill="FFFFFF"/>
        <w:tabs>
          <w:tab w:val="left" w:pos="284"/>
        </w:tabs>
        <w:jc w:val="both"/>
        <w:rPr>
          <w:i/>
          <w:sz w:val="22"/>
          <w:szCs w:val="22"/>
          <w:lang w:val="sr-Latn-ME"/>
        </w:rPr>
      </w:pPr>
    </w:p>
    <w:p w14:paraId="0180E49F" w14:textId="34B0EBB4" w:rsidR="00D836EE" w:rsidRPr="0087318B" w:rsidRDefault="00D836EE" w:rsidP="00A66F57">
      <w:pPr>
        <w:shd w:val="clear" w:color="auto" w:fill="FFFFFF"/>
        <w:tabs>
          <w:tab w:val="left" w:pos="284"/>
        </w:tabs>
        <w:jc w:val="both"/>
        <w:rPr>
          <w:i/>
          <w:sz w:val="22"/>
          <w:szCs w:val="22"/>
          <w:lang w:val="sr-Latn-ME"/>
        </w:rPr>
      </w:pPr>
      <w:r w:rsidRPr="0087318B">
        <w:rPr>
          <w:i/>
          <w:sz w:val="22"/>
          <w:szCs w:val="22"/>
          <w:lang w:val="sr-Latn-ME"/>
        </w:rPr>
        <w:t>Distribucija</w:t>
      </w:r>
    </w:p>
    <w:p w14:paraId="48CF4A3B" w14:textId="77777777"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Prividni volumen distribucije je 4-8 l/kg. </w:t>
      </w:r>
    </w:p>
    <w:p w14:paraId="535F992F" w14:textId="5771A98C"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Cirkulišući </w:t>
      </w:r>
      <w:r w:rsidR="0084780A" w:rsidRPr="0087318B">
        <w:rPr>
          <w:sz w:val="22"/>
          <w:szCs w:val="22"/>
          <w:lang w:val="sr-Latn-ME"/>
        </w:rPr>
        <w:t>hidrohlortiazid</w:t>
      </w:r>
      <w:r w:rsidRPr="0087318B">
        <w:rPr>
          <w:sz w:val="22"/>
          <w:szCs w:val="22"/>
          <w:lang w:val="sr-Latn-ME"/>
        </w:rPr>
        <w:t xml:space="preserve"> se veže za serumske proteine (40-70%) uglavnom za serumski albumin. </w:t>
      </w:r>
      <w:r w:rsidR="0084780A" w:rsidRPr="0087318B">
        <w:rPr>
          <w:sz w:val="22"/>
          <w:szCs w:val="22"/>
          <w:lang w:val="sr-Latn-ME"/>
        </w:rPr>
        <w:t>Hidrohlortiazid</w:t>
      </w:r>
      <w:r w:rsidRPr="0087318B">
        <w:rPr>
          <w:sz w:val="22"/>
          <w:szCs w:val="22"/>
          <w:lang w:val="sr-Latn-ME"/>
        </w:rPr>
        <w:t xml:space="preserve"> se takođe akumulira u eritrocitima približno 3 puta više od nivoa u plazmi.</w:t>
      </w:r>
    </w:p>
    <w:p w14:paraId="592D6717" w14:textId="77777777" w:rsidR="00555F5A" w:rsidRDefault="00555F5A" w:rsidP="00A66F57">
      <w:pPr>
        <w:shd w:val="clear" w:color="auto" w:fill="FFFFFF"/>
        <w:tabs>
          <w:tab w:val="left" w:pos="284"/>
        </w:tabs>
        <w:jc w:val="both"/>
        <w:rPr>
          <w:i/>
          <w:color w:val="000000"/>
          <w:sz w:val="22"/>
          <w:szCs w:val="22"/>
          <w:lang w:val="sr-Latn-ME"/>
        </w:rPr>
      </w:pPr>
    </w:p>
    <w:p w14:paraId="1584926B" w14:textId="0653D560" w:rsidR="00D836EE" w:rsidRPr="0087318B" w:rsidRDefault="00D836EE" w:rsidP="00A66F57">
      <w:pPr>
        <w:shd w:val="clear" w:color="auto" w:fill="FFFFFF"/>
        <w:tabs>
          <w:tab w:val="left" w:pos="284"/>
        </w:tabs>
        <w:jc w:val="both"/>
        <w:rPr>
          <w:i/>
          <w:color w:val="000000"/>
          <w:sz w:val="22"/>
          <w:szCs w:val="22"/>
          <w:lang w:val="sr-Latn-ME"/>
        </w:rPr>
      </w:pPr>
      <w:r w:rsidRPr="0087318B">
        <w:rPr>
          <w:i/>
          <w:color w:val="000000"/>
          <w:sz w:val="22"/>
          <w:szCs w:val="22"/>
          <w:lang w:val="sr-Latn-ME"/>
        </w:rPr>
        <w:t>Eliminacija</w:t>
      </w:r>
    </w:p>
    <w:p w14:paraId="19F1CD65" w14:textId="4C600F24" w:rsidR="00D836EE" w:rsidRPr="0087318B" w:rsidRDefault="0084780A" w:rsidP="00A66F57">
      <w:pPr>
        <w:shd w:val="clear" w:color="auto" w:fill="FFFFFF"/>
        <w:tabs>
          <w:tab w:val="left" w:pos="284"/>
        </w:tabs>
        <w:jc w:val="both"/>
        <w:rPr>
          <w:color w:val="000000"/>
          <w:sz w:val="22"/>
          <w:szCs w:val="22"/>
          <w:lang w:val="sr-Latn-ME"/>
        </w:rPr>
      </w:pPr>
      <w:r w:rsidRPr="0087318B">
        <w:rPr>
          <w:color w:val="000000"/>
          <w:sz w:val="22"/>
          <w:szCs w:val="22"/>
          <w:lang w:val="sr-Latn-ME"/>
        </w:rPr>
        <w:t>Hidrohlortiazid</w:t>
      </w:r>
      <w:r w:rsidR="00D836EE" w:rsidRPr="0087318B">
        <w:rPr>
          <w:color w:val="000000"/>
          <w:sz w:val="22"/>
          <w:szCs w:val="22"/>
          <w:lang w:val="sr-Latn-ME"/>
        </w:rPr>
        <w:t xml:space="preserve"> se eliminiše pretežno kao nepromijenjen lijek. </w:t>
      </w:r>
      <w:r w:rsidRPr="0087318B">
        <w:rPr>
          <w:color w:val="000000"/>
          <w:sz w:val="22"/>
          <w:szCs w:val="22"/>
          <w:lang w:val="sr-Latn-ME"/>
        </w:rPr>
        <w:t>Hidrohlortiazid</w:t>
      </w:r>
      <w:r w:rsidR="00D836EE" w:rsidRPr="0087318B">
        <w:rPr>
          <w:color w:val="000000"/>
          <w:sz w:val="22"/>
          <w:szCs w:val="22"/>
          <w:lang w:val="sr-Latn-ME"/>
        </w:rPr>
        <w:t xml:space="preserve"> se eliminiše iz plazme sa pros</w:t>
      </w:r>
      <w:r w:rsidR="002337F5">
        <w:rPr>
          <w:color w:val="000000"/>
          <w:sz w:val="22"/>
          <w:szCs w:val="22"/>
          <w:lang w:val="sr-Latn-ME"/>
        </w:rPr>
        <w:t>j</w:t>
      </w:r>
      <w:r w:rsidR="00D836EE" w:rsidRPr="0087318B">
        <w:rPr>
          <w:color w:val="000000"/>
          <w:sz w:val="22"/>
          <w:szCs w:val="22"/>
          <w:lang w:val="sr-Latn-ME"/>
        </w:rPr>
        <w:t xml:space="preserve">ečnim poluvremenom eliminacije od 6 do 15 sati u terminalnoj fazi eliminacije. Nema promjene u kinetici </w:t>
      </w:r>
      <w:r w:rsidRPr="0087318B">
        <w:rPr>
          <w:color w:val="000000"/>
          <w:sz w:val="22"/>
          <w:szCs w:val="22"/>
          <w:lang w:val="sr-Latn-ME"/>
        </w:rPr>
        <w:t>hidrohlortiazid</w:t>
      </w:r>
      <w:r w:rsidR="00D836EE" w:rsidRPr="0087318B">
        <w:rPr>
          <w:color w:val="000000"/>
          <w:sz w:val="22"/>
          <w:szCs w:val="22"/>
          <w:lang w:val="sr-Latn-ME"/>
        </w:rPr>
        <w:t>a pri ponovnom uzimanju doze, a akumulacija je minimalna ako je doza jednom dnevno. Više od 95% apsorbovane doze se izlučuje u neprom</w:t>
      </w:r>
      <w:r w:rsidR="002337F5">
        <w:rPr>
          <w:color w:val="000000"/>
          <w:sz w:val="22"/>
          <w:szCs w:val="22"/>
          <w:lang w:val="sr-Latn-ME"/>
        </w:rPr>
        <w:t>ij</w:t>
      </w:r>
      <w:r w:rsidR="00D836EE" w:rsidRPr="0087318B">
        <w:rPr>
          <w:color w:val="000000"/>
          <w:sz w:val="22"/>
          <w:szCs w:val="22"/>
          <w:lang w:val="sr-Latn-ME"/>
        </w:rPr>
        <w:t xml:space="preserve">enjenom obliku urinom. Bubrežni klirens se odvija pasivnom filtracijom i aktivnim izlučivanjem u bubrežne tubule. </w:t>
      </w:r>
    </w:p>
    <w:p w14:paraId="4F5441C6" w14:textId="77777777" w:rsidR="00555F5A" w:rsidRDefault="00555F5A" w:rsidP="00A66F57">
      <w:pPr>
        <w:shd w:val="clear" w:color="auto" w:fill="FFFFFF"/>
        <w:tabs>
          <w:tab w:val="left" w:pos="284"/>
        </w:tabs>
        <w:jc w:val="both"/>
        <w:rPr>
          <w:i/>
          <w:color w:val="000000"/>
          <w:sz w:val="22"/>
          <w:szCs w:val="22"/>
          <w:u w:val="single"/>
          <w:lang w:val="sr-Latn-ME"/>
        </w:rPr>
      </w:pPr>
    </w:p>
    <w:p w14:paraId="156EAF3D" w14:textId="0747249D" w:rsidR="00D836EE" w:rsidRPr="0087318B" w:rsidRDefault="00D836EE" w:rsidP="00A66F57">
      <w:pPr>
        <w:shd w:val="clear" w:color="auto" w:fill="FFFFFF"/>
        <w:tabs>
          <w:tab w:val="left" w:pos="284"/>
        </w:tabs>
        <w:jc w:val="both"/>
        <w:rPr>
          <w:i/>
          <w:color w:val="000000"/>
          <w:sz w:val="22"/>
          <w:szCs w:val="22"/>
          <w:u w:val="single"/>
          <w:lang w:val="sr-Latn-ME"/>
        </w:rPr>
      </w:pPr>
      <w:r w:rsidRPr="0087318B">
        <w:rPr>
          <w:i/>
          <w:color w:val="000000"/>
          <w:sz w:val="22"/>
          <w:szCs w:val="22"/>
          <w:u w:val="single"/>
          <w:lang w:val="sr-Latn-ME"/>
        </w:rPr>
        <w:t>Posebne populacije</w:t>
      </w:r>
    </w:p>
    <w:p w14:paraId="5F9DB63D" w14:textId="77777777" w:rsidR="00555F5A" w:rsidRDefault="00555F5A" w:rsidP="00A66F57">
      <w:pPr>
        <w:shd w:val="clear" w:color="auto" w:fill="FFFFFF"/>
        <w:tabs>
          <w:tab w:val="left" w:pos="284"/>
        </w:tabs>
        <w:jc w:val="both"/>
        <w:rPr>
          <w:bCs/>
          <w:i/>
          <w:color w:val="000000"/>
          <w:sz w:val="22"/>
          <w:szCs w:val="22"/>
          <w:lang w:val="sr-Latn-ME"/>
        </w:rPr>
      </w:pPr>
    </w:p>
    <w:p w14:paraId="5245634B" w14:textId="5B261919" w:rsidR="00D836EE" w:rsidRPr="0087318B" w:rsidRDefault="00D836EE" w:rsidP="00A66F57">
      <w:pPr>
        <w:shd w:val="clear" w:color="auto" w:fill="FFFFFF"/>
        <w:tabs>
          <w:tab w:val="left" w:pos="284"/>
        </w:tabs>
        <w:jc w:val="both"/>
        <w:rPr>
          <w:i/>
          <w:sz w:val="22"/>
          <w:szCs w:val="22"/>
          <w:lang w:val="sr-Latn-ME"/>
        </w:rPr>
      </w:pPr>
      <w:r w:rsidRPr="0087318B">
        <w:rPr>
          <w:bCs/>
          <w:i/>
          <w:color w:val="000000"/>
          <w:sz w:val="22"/>
          <w:szCs w:val="22"/>
          <w:lang w:val="sr-Latn-ME"/>
        </w:rPr>
        <w:t>Starije osobe</w:t>
      </w:r>
    </w:p>
    <w:p w14:paraId="4AFF0D8F" w14:textId="77777777"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Donekle više sistemsko izlaganje valsartanu je uočeno kod nekih starijih osoba nego kod mlađih osoba; međutim, nije dokazano da to ima ikakvog kliničkog značaja.</w:t>
      </w:r>
    </w:p>
    <w:p w14:paraId="35B81492" w14:textId="687BB691"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Ograničeni podaci sugerišu da je sistemski klirens </w:t>
      </w:r>
      <w:r w:rsidR="0084780A" w:rsidRPr="0087318B">
        <w:rPr>
          <w:color w:val="000000"/>
          <w:sz w:val="22"/>
          <w:szCs w:val="22"/>
          <w:lang w:val="sr-Latn-ME"/>
        </w:rPr>
        <w:t>hidrohlortiazid</w:t>
      </w:r>
      <w:r w:rsidRPr="0087318B">
        <w:rPr>
          <w:color w:val="000000"/>
          <w:sz w:val="22"/>
          <w:szCs w:val="22"/>
          <w:lang w:val="sr-Latn-ME"/>
        </w:rPr>
        <w:t>a smanjen i kod zdravih i kod hipertenzivnih starijih osoba u poređenju sa mladim zdravim dobrovoljcima.</w:t>
      </w:r>
    </w:p>
    <w:p w14:paraId="4C10F100" w14:textId="77777777" w:rsidR="00555F5A" w:rsidRDefault="00555F5A" w:rsidP="00A66F57">
      <w:pPr>
        <w:shd w:val="clear" w:color="auto" w:fill="FFFFFF"/>
        <w:tabs>
          <w:tab w:val="left" w:pos="284"/>
        </w:tabs>
        <w:jc w:val="both"/>
        <w:rPr>
          <w:bCs/>
          <w:i/>
          <w:color w:val="000000"/>
          <w:sz w:val="22"/>
          <w:szCs w:val="22"/>
          <w:lang w:val="sr-Latn-ME"/>
        </w:rPr>
      </w:pPr>
    </w:p>
    <w:p w14:paraId="71F9F4E9" w14:textId="2792F6C0" w:rsidR="00D836EE" w:rsidRPr="0087318B" w:rsidRDefault="00D836EE" w:rsidP="00A66F57">
      <w:pPr>
        <w:shd w:val="clear" w:color="auto" w:fill="FFFFFF"/>
        <w:tabs>
          <w:tab w:val="left" w:pos="284"/>
        </w:tabs>
        <w:jc w:val="both"/>
        <w:rPr>
          <w:i/>
          <w:sz w:val="22"/>
          <w:szCs w:val="22"/>
          <w:lang w:val="sr-Latn-ME"/>
        </w:rPr>
      </w:pPr>
      <w:r w:rsidRPr="0087318B">
        <w:rPr>
          <w:bCs/>
          <w:i/>
          <w:color w:val="000000"/>
          <w:sz w:val="22"/>
          <w:szCs w:val="22"/>
          <w:lang w:val="sr-Latn-ME"/>
        </w:rPr>
        <w:t>Oštećtećenje bubrega</w:t>
      </w:r>
    </w:p>
    <w:p w14:paraId="1D35809D" w14:textId="2F2F8B96"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Pri preporučenoj dozi lijeka </w:t>
      </w:r>
      <w:proofErr w:type="spellStart"/>
      <w:r w:rsidRPr="0087318B">
        <w:rPr>
          <w:color w:val="000000"/>
          <w:sz w:val="22"/>
          <w:szCs w:val="22"/>
          <w:lang w:val="sr-Latn-ME"/>
        </w:rPr>
        <w:t>Co-Diovan</w:t>
      </w:r>
      <w:proofErr w:type="spellEnd"/>
      <w:r w:rsidRPr="0087318B">
        <w:rPr>
          <w:color w:val="000000"/>
          <w:sz w:val="22"/>
          <w:szCs w:val="22"/>
          <w:lang w:val="sr-Latn-ME"/>
        </w:rPr>
        <w:t xml:space="preserve"> nije potrebno prilagođavanje doze kod pacijenata kod kojih je brzina glomerularne filtracije (GFR) od 30 do 70 ml/min.</w:t>
      </w:r>
    </w:p>
    <w:p w14:paraId="2893C527" w14:textId="202E138D"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Kod pacijenata sa teškim oštećenjem bubrega (GFR &lt;30 ml/min) i pacijenata podvrgnutih dijalizi, nema raspoloživih podataka za lijek Co-Diovan. Valsartan se ekstenzivno vezuje za proteine plazme i ne uklanja se dijalizom, dok se klirens </w:t>
      </w:r>
      <w:r w:rsidR="0084780A" w:rsidRPr="0087318B">
        <w:rPr>
          <w:color w:val="000000"/>
          <w:sz w:val="22"/>
          <w:szCs w:val="22"/>
          <w:lang w:val="sr-Latn-ME"/>
        </w:rPr>
        <w:t>hidrohlortiazid</w:t>
      </w:r>
      <w:r w:rsidRPr="0087318B">
        <w:rPr>
          <w:color w:val="000000"/>
          <w:sz w:val="22"/>
          <w:szCs w:val="22"/>
          <w:lang w:val="sr-Latn-ME"/>
        </w:rPr>
        <w:t>a postiže dijalizom.</w:t>
      </w:r>
    </w:p>
    <w:p w14:paraId="47FF32E6" w14:textId="22B0D3C1"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Ako postoji oštećenje bubrega, srednja vrijednost maksimalnih koncentracija u plazmi i vrijednost PIK za </w:t>
      </w:r>
      <w:r w:rsidR="0084780A" w:rsidRPr="0087318B">
        <w:rPr>
          <w:color w:val="000000"/>
          <w:sz w:val="22"/>
          <w:szCs w:val="22"/>
          <w:lang w:val="sr-Latn-ME"/>
        </w:rPr>
        <w:t>hidrohlortiazid</w:t>
      </w:r>
      <w:r w:rsidRPr="0087318B">
        <w:rPr>
          <w:color w:val="000000"/>
          <w:sz w:val="22"/>
          <w:szCs w:val="22"/>
          <w:lang w:val="sr-Latn-ME"/>
        </w:rPr>
        <w:t xml:space="preserve"> su povećane, a brzina urinarne ekskrecije je smanjena. Kod pacijenata sa blagim do </w:t>
      </w:r>
      <w:r w:rsidRPr="0087318B">
        <w:rPr>
          <w:color w:val="000000"/>
          <w:sz w:val="22"/>
          <w:szCs w:val="22"/>
          <w:lang w:val="sr-Latn-ME"/>
        </w:rPr>
        <w:lastRenderedPageBreak/>
        <w:t xml:space="preserve">umjerenim oštećenjem bubrega, zapaženo je 3 puta veće povećanje PIK-a </w:t>
      </w:r>
      <w:r w:rsidR="0084780A" w:rsidRPr="0087318B">
        <w:rPr>
          <w:color w:val="000000"/>
          <w:sz w:val="22"/>
          <w:szCs w:val="22"/>
          <w:lang w:val="sr-Latn-ME"/>
        </w:rPr>
        <w:t>hidrohlortiazid</w:t>
      </w:r>
      <w:r w:rsidRPr="0087318B">
        <w:rPr>
          <w:color w:val="000000"/>
          <w:sz w:val="22"/>
          <w:szCs w:val="22"/>
          <w:lang w:val="sr-Latn-ME"/>
        </w:rPr>
        <w:t xml:space="preserve">a. Kod pacijenata sa teškim oštećenjem bubrega zabilježeno je povećanje  PIK-a od 8 puta. </w:t>
      </w:r>
      <w:r w:rsidR="0084780A" w:rsidRPr="0087318B">
        <w:rPr>
          <w:color w:val="000000"/>
          <w:sz w:val="22"/>
          <w:szCs w:val="22"/>
          <w:lang w:val="sr-Latn-ME"/>
        </w:rPr>
        <w:t>Hidrohlortiazid</w:t>
      </w:r>
      <w:r w:rsidRPr="0087318B">
        <w:rPr>
          <w:color w:val="000000"/>
          <w:sz w:val="22"/>
          <w:szCs w:val="22"/>
          <w:lang w:val="sr-Latn-ME"/>
        </w:rPr>
        <w:t xml:space="preserve"> je kontraindikovan kod pacijenata sa teškim oštećenjem bubrega (vidjeti </w:t>
      </w:r>
      <w:r w:rsidR="00C81D72">
        <w:rPr>
          <w:color w:val="000000"/>
          <w:sz w:val="22"/>
          <w:szCs w:val="22"/>
          <w:lang w:val="sr-Latn-ME"/>
        </w:rPr>
        <w:t>dio</w:t>
      </w:r>
      <w:r w:rsidRPr="0087318B">
        <w:rPr>
          <w:color w:val="000000"/>
          <w:sz w:val="22"/>
          <w:szCs w:val="22"/>
          <w:lang w:val="sr-Latn-ME"/>
        </w:rPr>
        <w:t xml:space="preserve"> 4.3)</w:t>
      </w:r>
    </w:p>
    <w:p w14:paraId="08B6A4C0" w14:textId="77777777" w:rsidR="00FA2D3F" w:rsidRDefault="00FA2D3F" w:rsidP="00A66F57">
      <w:pPr>
        <w:shd w:val="clear" w:color="auto" w:fill="FFFFFF"/>
        <w:tabs>
          <w:tab w:val="left" w:pos="284"/>
        </w:tabs>
        <w:jc w:val="both"/>
        <w:rPr>
          <w:i/>
          <w:color w:val="000000"/>
          <w:sz w:val="22"/>
          <w:szCs w:val="22"/>
          <w:lang w:val="sr-Latn-ME"/>
        </w:rPr>
      </w:pPr>
    </w:p>
    <w:p w14:paraId="76C77EB7" w14:textId="32C3483A" w:rsidR="00D836EE" w:rsidRPr="0087318B" w:rsidRDefault="00D836EE" w:rsidP="00A66F57">
      <w:pPr>
        <w:shd w:val="clear" w:color="auto" w:fill="FFFFFF"/>
        <w:tabs>
          <w:tab w:val="left" w:pos="284"/>
        </w:tabs>
        <w:jc w:val="both"/>
        <w:rPr>
          <w:i/>
          <w:sz w:val="22"/>
          <w:szCs w:val="22"/>
          <w:lang w:val="sr-Latn-ME"/>
        </w:rPr>
      </w:pPr>
      <w:r w:rsidRPr="0087318B">
        <w:rPr>
          <w:i/>
          <w:color w:val="000000"/>
          <w:sz w:val="22"/>
          <w:szCs w:val="22"/>
          <w:lang w:val="sr-Latn-ME"/>
        </w:rPr>
        <w:t>Oštećenje</w:t>
      </w:r>
      <w:r w:rsidRPr="0087318B">
        <w:rPr>
          <w:bCs/>
          <w:i/>
          <w:sz w:val="22"/>
          <w:szCs w:val="22"/>
          <w:lang w:val="sr-Latn-ME"/>
        </w:rPr>
        <w:t xml:space="preserve"> je</w:t>
      </w:r>
      <w:r w:rsidRPr="0087318B">
        <w:rPr>
          <w:bCs/>
          <w:i/>
          <w:color w:val="000000"/>
          <w:sz w:val="22"/>
          <w:szCs w:val="22"/>
          <w:lang w:val="sr-Latn-ME"/>
        </w:rPr>
        <w:t>tre</w:t>
      </w:r>
    </w:p>
    <w:p w14:paraId="5E5523B2" w14:textId="5F99C1A6" w:rsidR="00D836EE" w:rsidRPr="0087318B" w:rsidRDefault="00D836EE" w:rsidP="00A66F57">
      <w:pPr>
        <w:shd w:val="clear" w:color="auto" w:fill="FFFFFF"/>
        <w:tabs>
          <w:tab w:val="left" w:pos="284"/>
        </w:tabs>
        <w:jc w:val="both"/>
        <w:rPr>
          <w:color w:val="000000"/>
          <w:sz w:val="22"/>
          <w:szCs w:val="22"/>
          <w:lang w:val="sr-Latn-ME"/>
        </w:rPr>
      </w:pPr>
      <w:r w:rsidRPr="0087318B">
        <w:rPr>
          <w:color w:val="000000"/>
          <w:sz w:val="22"/>
          <w:szCs w:val="22"/>
          <w:lang w:val="sr-Latn-ME"/>
        </w:rPr>
        <w:t xml:space="preserve">U farmakokinetičkoj studiji kod pacijenata sa blagim (n=6) do umjerenim (n=5) oštećenjem funkcije jetre, izloženost valsartanu se približno dvostruko povećala u poređenju sa zdravim dobrovoljcima (vidjeti </w:t>
      </w:r>
      <w:r w:rsidR="00FA2D3F">
        <w:rPr>
          <w:color w:val="000000"/>
          <w:sz w:val="22"/>
          <w:szCs w:val="22"/>
          <w:lang w:val="sr-Latn-ME"/>
        </w:rPr>
        <w:t>djelove</w:t>
      </w:r>
      <w:r w:rsidR="00FA2D3F" w:rsidRPr="0087318B">
        <w:rPr>
          <w:color w:val="000000"/>
          <w:sz w:val="22"/>
          <w:szCs w:val="22"/>
          <w:lang w:val="sr-Latn-ME"/>
        </w:rPr>
        <w:t xml:space="preserve"> </w:t>
      </w:r>
      <w:r w:rsidRPr="0087318B">
        <w:rPr>
          <w:color w:val="000000"/>
          <w:sz w:val="22"/>
          <w:szCs w:val="22"/>
          <w:lang w:val="sr-Latn-ME"/>
        </w:rPr>
        <w:t xml:space="preserve">4.2 i 4.4). </w:t>
      </w:r>
    </w:p>
    <w:p w14:paraId="50D3636D" w14:textId="77777777" w:rsidR="00555F5A" w:rsidRDefault="00555F5A" w:rsidP="00A66F57">
      <w:pPr>
        <w:tabs>
          <w:tab w:val="left" w:pos="540"/>
          <w:tab w:val="left" w:pos="569"/>
        </w:tabs>
        <w:jc w:val="both"/>
        <w:rPr>
          <w:color w:val="000000"/>
          <w:sz w:val="22"/>
          <w:szCs w:val="22"/>
          <w:lang w:val="sr-Latn-ME"/>
        </w:rPr>
      </w:pPr>
    </w:p>
    <w:p w14:paraId="4B587841" w14:textId="78BE896C" w:rsidR="00D836EE" w:rsidRPr="0087318B" w:rsidRDefault="00D836EE" w:rsidP="00A66F57">
      <w:pPr>
        <w:tabs>
          <w:tab w:val="left" w:pos="540"/>
          <w:tab w:val="left" w:pos="569"/>
        </w:tabs>
        <w:jc w:val="both"/>
        <w:rPr>
          <w:color w:val="000000"/>
          <w:sz w:val="22"/>
          <w:szCs w:val="22"/>
          <w:lang w:val="sr-Latn-ME"/>
        </w:rPr>
      </w:pPr>
      <w:r w:rsidRPr="0087318B">
        <w:rPr>
          <w:color w:val="000000"/>
          <w:sz w:val="22"/>
          <w:szCs w:val="22"/>
          <w:lang w:val="sr-Latn-ME"/>
        </w:rPr>
        <w:t xml:space="preserve">Nema raspoloživih podataka o primjeni valsartana kod pacijenata sa teškim oštećenjem funkcije jetre (vidjeti </w:t>
      </w:r>
      <w:r w:rsidR="00A411C7">
        <w:rPr>
          <w:color w:val="000000"/>
          <w:sz w:val="22"/>
          <w:szCs w:val="22"/>
          <w:lang w:val="sr-Latn-ME"/>
        </w:rPr>
        <w:t>dio</w:t>
      </w:r>
      <w:r w:rsidR="00B175F4">
        <w:rPr>
          <w:color w:val="000000"/>
          <w:sz w:val="22"/>
          <w:szCs w:val="22"/>
          <w:lang w:val="sr-Latn-ME"/>
        </w:rPr>
        <w:t xml:space="preserve"> </w:t>
      </w:r>
      <w:r w:rsidRPr="0087318B">
        <w:rPr>
          <w:color w:val="000000"/>
          <w:sz w:val="22"/>
          <w:szCs w:val="22"/>
          <w:lang w:val="sr-Latn-ME"/>
        </w:rPr>
        <w:t>4.3).</w:t>
      </w:r>
      <w:r w:rsidR="00FA2D3F">
        <w:rPr>
          <w:color w:val="000000"/>
          <w:sz w:val="22"/>
          <w:szCs w:val="22"/>
          <w:lang w:val="sr-Latn-ME"/>
        </w:rPr>
        <w:t xml:space="preserve"> </w:t>
      </w:r>
      <w:r w:rsidRPr="0087318B">
        <w:rPr>
          <w:color w:val="000000"/>
          <w:sz w:val="22"/>
          <w:szCs w:val="22"/>
          <w:lang w:val="sr-Latn-ME"/>
        </w:rPr>
        <w:t xml:space="preserve">Bolest jetre ne utiče značajno na farmakokinetiku </w:t>
      </w:r>
      <w:r w:rsidR="0084780A" w:rsidRPr="0087318B">
        <w:rPr>
          <w:color w:val="000000"/>
          <w:sz w:val="22"/>
          <w:szCs w:val="22"/>
          <w:lang w:val="sr-Latn-ME"/>
        </w:rPr>
        <w:t>hidrohlortiazid</w:t>
      </w:r>
      <w:r w:rsidRPr="0087318B">
        <w:rPr>
          <w:color w:val="000000"/>
          <w:sz w:val="22"/>
          <w:szCs w:val="22"/>
          <w:lang w:val="sr-Latn-ME"/>
        </w:rPr>
        <w:t>a.</w:t>
      </w:r>
    </w:p>
    <w:p w14:paraId="4FD0AF88" w14:textId="77777777" w:rsidR="00D836EE" w:rsidRPr="0087318B" w:rsidRDefault="00D836EE" w:rsidP="00A66F57">
      <w:pPr>
        <w:tabs>
          <w:tab w:val="left" w:pos="540"/>
          <w:tab w:val="left" w:pos="569"/>
        </w:tabs>
        <w:jc w:val="both"/>
        <w:rPr>
          <w:bCs/>
          <w:sz w:val="22"/>
          <w:szCs w:val="22"/>
          <w:lang w:val="sr-Latn-ME"/>
        </w:rPr>
      </w:pPr>
    </w:p>
    <w:p w14:paraId="4F1D78D5" w14:textId="77777777" w:rsidR="0072020E" w:rsidRPr="0087318B" w:rsidRDefault="0072020E" w:rsidP="00A66F57">
      <w:pPr>
        <w:tabs>
          <w:tab w:val="left" w:pos="540"/>
          <w:tab w:val="left" w:pos="569"/>
        </w:tabs>
        <w:jc w:val="both"/>
        <w:rPr>
          <w:b/>
          <w:bCs/>
          <w:sz w:val="22"/>
          <w:szCs w:val="22"/>
          <w:lang w:val="sr-Latn-ME"/>
        </w:rPr>
      </w:pPr>
      <w:r w:rsidRPr="00447A54">
        <w:rPr>
          <w:b/>
          <w:bCs/>
          <w:sz w:val="22"/>
          <w:szCs w:val="22"/>
          <w:lang w:val="sr-Latn-ME"/>
        </w:rPr>
        <w:t xml:space="preserve">5.3. </w:t>
      </w:r>
      <w:r w:rsidR="00480FB1" w:rsidRPr="00447A54">
        <w:rPr>
          <w:b/>
          <w:bCs/>
          <w:sz w:val="22"/>
          <w:szCs w:val="22"/>
          <w:lang w:val="sr-Latn-ME"/>
        </w:rPr>
        <w:tab/>
      </w:r>
      <w:r w:rsidRPr="00447A54">
        <w:rPr>
          <w:b/>
          <w:bCs/>
          <w:sz w:val="22"/>
          <w:szCs w:val="22"/>
          <w:lang w:val="sr-Latn-ME"/>
        </w:rPr>
        <w:t>Pretklinički podaci o bezbjednosti</w:t>
      </w:r>
      <w:r w:rsidRPr="0087318B">
        <w:rPr>
          <w:b/>
          <w:bCs/>
          <w:sz w:val="22"/>
          <w:szCs w:val="22"/>
          <w:lang w:val="sr-Latn-ME"/>
        </w:rPr>
        <w:t xml:space="preserve"> </w:t>
      </w:r>
    </w:p>
    <w:p w14:paraId="38B16E61" w14:textId="77777777" w:rsidR="00836B35" w:rsidRPr="0087318B" w:rsidRDefault="00836B35" w:rsidP="00A66F57">
      <w:pPr>
        <w:tabs>
          <w:tab w:val="left" w:pos="540"/>
          <w:tab w:val="left" w:pos="569"/>
        </w:tabs>
        <w:jc w:val="both"/>
        <w:rPr>
          <w:bCs/>
          <w:sz w:val="22"/>
          <w:szCs w:val="22"/>
          <w:lang w:val="sr-Latn-ME"/>
        </w:rPr>
      </w:pPr>
    </w:p>
    <w:p w14:paraId="30D67285" w14:textId="792D700E"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Potencijalna toksičnost kombinacije valsartana i </w:t>
      </w:r>
      <w:r w:rsidR="0084780A" w:rsidRPr="0087318B">
        <w:rPr>
          <w:sz w:val="22"/>
          <w:szCs w:val="22"/>
          <w:lang w:val="sr-Latn-ME"/>
        </w:rPr>
        <w:t>hidrohlortiazid</w:t>
      </w:r>
      <w:r w:rsidRPr="0087318B">
        <w:rPr>
          <w:sz w:val="22"/>
          <w:szCs w:val="22"/>
          <w:lang w:val="sr-Latn-ME"/>
        </w:rPr>
        <w:t>a poslije oralne primjene je ispitivana na pacovima i marmozet majmunima u studijama koje su trajale do šest mjeseci. Ni</w:t>
      </w:r>
      <w:r w:rsidR="008E420A">
        <w:rPr>
          <w:sz w:val="22"/>
          <w:szCs w:val="22"/>
          <w:lang w:val="sr-Latn-ME"/>
        </w:rPr>
        <w:t>je</w:t>
      </w:r>
      <w:r w:rsidRPr="0087318B">
        <w:rPr>
          <w:sz w:val="22"/>
          <w:szCs w:val="22"/>
          <w:lang w:val="sr-Latn-ME"/>
        </w:rPr>
        <w:t>su se pojavili podaci koji bi isključili primjenu terapijskih doza kod čov</w:t>
      </w:r>
      <w:r w:rsidR="008E420A">
        <w:rPr>
          <w:sz w:val="22"/>
          <w:szCs w:val="22"/>
          <w:lang w:val="sr-Latn-ME"/>
        </w:rPr>
        <w:t>j</w:t>
      </w:r>
      <w:r w:rsidRPr="0087318B">
        <w:rPr>
          <w:sz w:val="22"/>
          <w:szCs w:val="22"/>
          <w:lang w:val="sr-Latn-ME"/>
        </w:rPr>
        <w:t xml:space="preserve">eka. </w:t>
      </w:r>
    </w:p>
    <w:p w14:paraId="121C5AF5" w14:textId="77777777" w:rsidR="00555F5A" w:rsidRDefault="00555F5A" w:rsidP="00A66F57">
      <w:pPr>
        <w:shd w:val="clear" w:color="auto" w:fill="FFFFFF"/>
        <w:tabs>
          <w:tab w:val="left" w:pos="284"/>
        </w:tabs>
        <w:jc w:val="both"/>
        <w:rPr>
          <w:sz w:val="22"/>
          <w:szCs w:val="22"/>
          <w:lang w:val="sr-Latn-ME"/>
        </w:rPr>
      </w:pPr>
    </w:p>
    <w:p w14:paraId="2DF4383A" w14:textId="37B84F7D"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Pretpostavlja se da su promjene koje su se pojavile primjenom ove kombinacije u studijama hronične toksičnosti,</w:t>
      </w:r>
      <w:r w:rsidR="00B175F4">
        <w:rPr>
          <w:sz w:val="22"/>
          <w:szCs w:val="22"/>
          <w:lang w:val="sr-Latn-ME"/>
        </w:rPr>
        <w:t xml:space="preserve"> </w:t>
      </w:r>
      <w:r w:rsidRPr="0087318B">
        <w:rPr>
          <w:sz w:val="22"/>
          <w:szCs w:val="22"/>
          <w:lang w:val="sr-Latn-ME"/>
        </w:rPr>
        <w:t>najv</w:t>
      </w:r>
      <w:r w:rsidR="00E73D2E">
        <w:rPr>
          <w:sz w:val="22"/>
          <w:szCs w:val="22"/>
          <w:lang w:val="sr-Latn-ME"/>
        </w:rPr>
        <w:t>j</w:t>
      </w:r>
      <w:r w:rsidRPr="0087318B">
        <w:rPr>
          <w:sz w:val="22"/>
          <w:szCs w:val="22"/>
          <w:lang w:val="sr-Latn-ME"/>
        </w:rPr>
        <w:t xml:space="preserve">erovatnije posljedica dejstva </w:t>
      </w:r>
      <w:proofErr w:type="spellStart"/>
      <w:r w:rsidRPr="0087318B">
        <w:rPr>
          <w:sz w:val="22"/>
          <w:szCs w:val="22"/>
          <w:lang w:val="sr-Latn-ME"/>
        </w:rPr>
        <w:t>valsartana</w:t>
      </w:r>
      <w:proofErr w:type="spellEnd"/>
      <w:r w:rsidRPr="0087318B">
        <w:rPr>
          <w:sz w:val="22"/>
          <w:szCs w:val="22"/>
          <w:lang w:val="sr-Latn-ME"/>
        </w:rPr>
        <w:t>. Ciljni organ toksikološkog ispitivanja je bio bubreg, a reakcija je bila jače izražena kod marmozet majmuna nego kod pacova. Ova kombinacija dovodi do oštećenja bubrega (nefropatija sa tubularnom bazofilijom, povećanje uree u plazmi, kreatinina u plazmi i serumskog kalijuma, povećanje volumena urina i elektrolita u urinu pri dozi od  30 mg/kg/d valsartana + 9</w:t>
      </w:r>
      <w:r w:rsidR="00FA2D3F">
        <w:rPr>
          <w:sz w:val="22"/>
          <w:szCs w:val="22"/>
          <w:lang w:val="sr-Latn-ME"/>
        </w:rPr>
        <w:t xml:space="preserve"> </w:t>
      </w:r>
      <w:r w:rsidRPr="0087318B">
        <w:rPr>
          <w:sz w:val="22"/>
          <w:szCs w:val="22"/>
          <w:lang w:val="sr-Latn-ME"/>
        </w:rPr>
        <w:t xml:space="preserve">mg/kg/d </w:t>
      </w:r>
      <w:r w:rsidR="0084780A" w:rsidRPr="0087318B">
        <w:rPr>
          <w:sz w:val="22"/>
          <w:szCs w:val="22"/>
          <w:lang w:val="sr-Latn-ME"/>
        </w:rPr>
        <w:t>hidrohlortiazid</w:t>
      </w:r>
      <w:r w:rsidRPr="0087318B">
        <w:rPr>
          <w:sz w:val="22"/>
          <w:szCs w:val="22"/>
          <w:lang w:val="sr-Latn-ME"/>
        </w:rPr>
        <w:t>a kod pacova i 10</w:t>
      </w:r>
      <w:r w:rsidR="00FA2D3F">
        <w:rPr>
          <w:sz w:val="22"/>
          <w:szCs w:val="22"/>
          <w:lang w:val="sr-Latn-ME"/>
        </w:rPr>
        <w:t xml:space="preserve"> </w:t>
      </w:r>
      <w:r w:rsidRPr="0087318B">
        <w:rPr>
          <w:sz w:val="22"/>
          <w:szCs w:val="22"/>
          <w:lang w:val="sr-Latn-ME"/>
        </w:rPr>
        <w:t>+ 3</w:t>
      </w:r>
      <w:r w:rsidR="00FA2D3F">
        <w:rPr>
          <w:sz w:val="22"/>
          <w:szCs w:val="22"/>
          <w:lang w:val="sr-Latn-ME"/>
        </w:rPr>
        <w:t xml:space="preserve"> </w:t>
      </w:r>
      <w:r w:rsidRPr="0087318B">
        <w:rPr>
          <w:sz w:val="22"/>
          <w:szCs w:val="22"/>
          <w:lang w:val="sr-Latn-ME"/>
        </w:rPr>
        <w:t>mg/kg/d kod marmozet majmuna), najv</w:t>
      </w:r>
      <w:r w:rsidR="003804DF">
        <w:rPr>
          <w:sz w:val="22"/>
          <w:szCs w:val="22"/>
          <w:lang w:val="sr-Latn-ME"/>
        </w:rPr>
        <w:t>j</w:t>
      </w:r>
      <w:r w:rsidRPr="0087318B">
        <w:rPr>
          <w:sz w:val="22"/>
          <w:szCs w:val="22"/>
          <w:lang w:val="sr-Latn-ME"/>
        </w:rPr>
        <w:t>erovatnije m</w:t>
      </w:r>
      <w:r w:rsidR="003804DF">
        <w:rPr>
          <w:sz w:val="22"/>
          <w:szCs w:val="22"/>
          <w:lang w:val="sr-Latn-ME"/>
        </w:rPr>
        <w:t>j</w:t>
      </w:r>
      <w:r w:rsidRPr="0087318B">
        <w:rPr>
          <w:sz w:val="22"/>
          <w:szCs w:val="22"/>
          <w:lang w:val="sr-Latn-ME"/>
        </w:rPr>
        <w:t>enjajući bubrežnu hemodinamiku. Ove doze kod pacova su 0</w:t>
      </w:r>
      <w:r w:rsidR="00FA2D3F">
        <w:rPr>
          <w:sz w:val="22"/>
          <w:szCs w:val="22"/>
          <w:lang w:val="sr-Latn-ME"/>
        </w:rPr>
        <w:t>.</w:t>
      </w:r>
      <w:r w:rsidRPr="0087318B">
        <w:rPr>
          <w:sz w:val="22"/>
          <w:szCs w:val="22"/>
          <w:lang w:val="sr-Latn-ME"/>
        </w:rPr>
        <w:t>9 i 3</w:t>
      </w:r>
      <w:r w:rsidR="00FA2D3F">
        <w:rPr>
          <w:sz w:val="22"/>
          <w:szCs w:val="22"/>
          <w:lang w:val="sr-Latn-ME"/>
        </w:rPr>
        <w:t>.</w:t>
      </w:r>
      <w:r w:rsidRPr="0087318B">
        <w:rPr>
          <w:sz w:val="22"/>
          <w:szCs w:val="22"/>
          <w:lang w:val="sr-Latn-ME"/>
        </w:rPr>
        <w:t xml:space="preserve">5 puta veće od najveće preporučene doze valsartana i </w:t>
      </w:r>
      <w:r w:rsidR="0084780A" w:rsidRPr="0087318B">
        <w:rPr>
          <w:sz w:val="22"/>
          <w:szCs w:val="22"/>
          <w:lang w:val="sr-Latn-ME"/>
        </w:rPr>
        <w:t>hidrohlortiazid</w:t>
      </w:r>
      <w:r w:rsidRPr="0087318B">
        <w:rPr>
          <w:sz w:val="22"/>
          <w:szCs w:val="22"/>
          <w:lang w:val="sr-Latn-ME"/>
        </w:rPr>
        <w:t>a kod ljudi na osnovu mg/m</w:t>
      </w:r>
      <w:r w:rsidRPr="0087318B">
        <w:rPr>
          <w:sz w:val="22"/>
          <w:szCs w:val="22"/>
          <w:vertAlign w:val="superscript"/>
          <w:lang w:val="sr-Latn-ME"/>
        </w:rPr>
        <w:t>2</w:t>
      </w:r>
      <w:r w:rsidRPr="0087318B">
        <w:rPr>
          <w:sz w:val="22"/>
          <w:szCs w:val="22"/>
          <w:lang w:val="sr-Latn-ME"/>
        </w:rPr>
        <w:t>. Ove doze kod marmozet majmuna su 0</w:t>
      </w:r>
      <w:r w:rsidR="00FA2D3F">
        <w:rPr>
          <w:sz w:val="22"/>
          <w:szCs w:val="22"/>
          <w:lang w:val="sr-Latn-ME"/>
        </w:rPr>
        <w:t>.</w:t>
      </w:r>
      <w:r w:rsidRPr="0087318B">
        <w:rPr>
          <w:sz w:val="22"/>
          <w:szCs w:val="22"/>
          <w:lang w:val="sr-Latn-ME"/>
        </w:rPr>
        <w:t>3 i 1</w:t>
      </w:r>
      <w:r w:rsidR="00FA2D3F">
        <w:rPr>
          <w:sz w:val="22"/>
          <w:szCs w:val="22"/>
          <w:lang w:val="sr-Latn-ME"/>
        </w:rPr>
        <w:t>.</w:t>
      </w:r>
      <w:r w:rsidRPr="0087318B">
        <w:rPr>
          <w:sz w:val="22"/>
          <w:szCs w:val="22"/>
          <w:lang w:val="sr-Latn-ME"/>
        </w:rPr>
        <w:t xml:space="preserve">2 puta veće od najveće preporučene doze valsartana i </w:t>
      </w:r>
      <w:r w:rsidR="0084780A" w:rsidRPr="0087318B">
        <w:rPr>
          <w:sz w:val="22"/>
          <w:szCs w:val="22"/>
          <w:lang w:val="sr-Latn-ME"/>
        </w:rPr>
        <w:t>hidrohlortiazid</w:t>
      </w:r>
      <w:r w:rsidRPr="0087318B">
        <w:rPr>
          <w:sz w:val="22"/>
          <w:szCs w:val="22"/>
          <w:lang w:val="sr-Latn-ME"/>
        </w:rPr>
        <w:t xml:space="preserve">a kod ljudi na osnovu mg/m </w:t>
      </w:r>
      <w:r w:rsidRPr="0087318B">
        <w:rPr>
          <w:sz w:val="22"/>
          <w:szCs w:val="22"/>
          <w:vertAlign w:val="superscript"/>
          <w:lang w:val="sr-Latn-ME"/>
        </w:rPr>
        <w:t>2</w:t>
      </w:r>
      <w:r w:rsidRPr="0087318B">
        <w:rPr>
          <w:sz w:val="22"/>
          <w:szCs w:val="22"/>
          <w:lang w:val="sr-Latn-ME"/>
        </w:rPr>
        <w:t xml:space="preserve">. (Proračun podrazumijeva oralnu dozu od 320 mg/dan valsartana u kombinaciji sa 25 mg/dan </w:t>
      </w:r>
      <w:r w:rsidR="0084780A" w:rsidRPr="0087318B">
        <w:rPr>
          <w:sz w:val="22"/>
          <w:szCs w:val="22"/>
          <w:lang w:val="sr-Latn-ME"/>
        </w:rPr>
        <w:t>hidrohlortiazid</w:t>
      </w:r>
      <w:r w:rsidRPr="0087318B">
        <w:rPr>
          <w:sz w:val="22"/>
          <w:szCs w:val="22"/>
          <w:lang w:val="sr-Latn-ME"/>
        </w:rPr>
        <w:t>a kod pacijenta čija je tjelesna masa 60 kg).</w:t>
      </w:r>
    </w:p>
    <w:p w14:paraId="4A16F468" w14:textId="77777777" w:rsidR="00555F5A" w:rsidRDefault="00555F5A" w:rsidP="00A66F57">
      <w:pPr>
        <w:shd w:val="clear" w:color="auto" w:fill="FFFFFF"/>
        <w:tabs>
          <w:tab w:val="left" w:pos="284"/>
        </w:tabs>
        <w:jc w:val="both"/>
        <w:rPr>
          <w:sz w:val="22"/>
          <w:szCs w:val="22"/>
          <w:lang w:val="sr-Latn-ME"/>
        </w:rPr>
      </w:pPr>
    </w:p>
    <w:p w14:paraId="0D1DCFBB" w14:textId="0D0D2D45"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Visoke doze kombinacije valsartana i </w:t>
      </w:r>
      <w:r w:rsidR="0084780A" w:rsidRPr="0087318B">
        <w:rPr>
          <w:sz w:val="22"/>
          <w:szCs w:val="22"/>
          <w:lang w:val="sr-Latn-ME"/>
        </w:rPr>
        <w:t>hidrohlortiazid</w:t>
      </w:r>
      <w:r w:rsidRPr="0087318B">
        <w:rPr>
          <w:sz w:val="22"/>
          <w:szCs w:val="22"/>
          <w:lang w:val="sr-Latn-ME"/>
        </w:rPr>
        <w:t>a su dovele do smanjivanja parametara crvenih krvnih zrnaca (broj eritrocita, hemoglobin, hematokrit pri dozi od 100</w:t>
      </w:r>
      <w:r w:rsidR="00FA2D3F">
        <w:rPr>
          <w:sz w:val="22"/>
          <w:szCs w:val="22"/>
          <w:lang w:val="sr-Latn-ME"/>
        </w:rPr>
        <w:t xml:space="preserve"> </w:t>
      </w:r>
      <w:r w:rsidRPr="0087318B">
        <w:rPr>
          <w:sz w:val="22"/>
          <w:szCs w:val="22"/>
          <w:lang w:val="sr-Latn-ME"/>
        </w:rPr>
        <w:t>+</w:t>
      </w:r>
      <w:r w:rsidR="00FA2D3F">
        <w:rPr>
          <w:sz w:val="22"/>
          <w:szCs w:val="22"/>
          <w:lang w:val="sr-Latn-ME"/>
        </w:rPr>
        <w:t xml:space="preserve"> </w:t>
      </w:r>
      <w:r w:rsidRPr="0087318B">
        <w:rPr>
          <w:sz w:val="22"/>
          <w:szCs w:val="22"/>
          <w:lang w:val="sr-Latn-ME"/>
        </w:rPr>
        <w:t>31 mg/kg/d kod pacova i 30</w:t>
      </w:r>
      <w:r w:rsidR="00FA2D3F">
        <w:rPr>
          <w:sz w:val="22"/>
          <w:szCs w:val="22"/>
          <w:lang w:val="sr-Latn-ME"/>
        </w:rPr>
        <w:t xml:space="preserve"> </w:t>
      </w:r>
      <w:r w:rsidRPr="0087318B">
        <w:rPr>
          <w:sz w:val="22"/>
          <w:szCs w:val="22"/>
          <w:lang w:val="sr-Latn-ME"/>
        </w:rPr>
        <w:t>+</w:t>
      </w:r>
      <w:r w:rsidR="00FA2D3F">
        <w:rPr>
          <w:sz w:val="22"/>
          <w:szCs w:val="22"/>
          <w:lang w:val="sr-Latn-ME"/>
        </w:rPr>
        <w:t xml:space="preserve"> </w:t>
      </w:r>
      <w:r w:rsidRPr="0087318B">
        <w:rPr>
          <w:sz w:val="22"/>
          <w:szCs w:val="22"/>
          <w:lang w:val="sr-Latn-ME"/>
        </w:rPr>
        <w:t>9</w:t>
      </w:r>
      <w:r w:rsidR="00FA2D3F">
        <w:rPr>
          <w:sz w:val="22"/>
          <w:szCs w:val="22"/>
          <w:lang w:val="sr-Latn-ME"/>
        </w:rPr>
        <w:t xml:space="preserve"> </w:t>
      </w:r>
      <w:r w:rsidRPr="0087318B">
        <w:rPr>
          <w:sz w:val="22"/>
          <w:szCs w:val="22"/>
          <w:lang w:val="sr-Latn-ME"/>
        </w:rPr>
        <w:t>mg/kg/d kod marmozeta). Ove doze kod pacova su 3</w:t>
      </w:r>
      <w:r w:rsidR="008E420A">
        <w:rPr>
          <w:sz w:val="22"/>
          <w:szCs w:val="22"/>
          <w:lang w:val="sr-Latn-ME"/>
        </w:rPr>
        <w:t>.</w:t>
      </w:r>
      <w:r w:rsidRPr="0087318B">
        <w:rPr>
          <w:sz w:val="22"/>
          <w:szCs w:val="22"/>
          <w:lang w:val="sr-Latn-ME"/>
        </w:rPr>
        <w:t xml:space="preserve">0 i 12 puta veće od najveće preporučene doze valsartana i </w:t>
      </w:r>
      <w:r w:rsidR="0084780A" w:rsidRPr="0087318B">
        <w:rPr>
          <w:sz w:val="22"/>
          <w:szCs w:val="22"/>
          <w:lang w:val="sr-Latn-ME"/>
        </w:rPr>
        <w:t>hidrohlortiazid</w:t>
      </w:r>
      <w:r w:rsidRPr="0087318B">
        <w:rPr>
          <w:sz w:val="22"/>
          <w:szCs w:val="22"/>
          <w:lang w:val="sr-Latn-ME"/>
        </w:rPr>
        <w:t>a kod ljudi na osnovu mg/m</w:t>
      </w:r>
      <w:r w:rsidRPr="0087318B">
        <w:rPr>
          <w:sz w:val="22"/>
          <w:szCs w:val="22"/>
          <w:vertAlign w:val="superscript"/>
          <w:lang w:val="sr-Latn-ME"/>
        </w:rPr>
        <w:t>2</w:t>
      </w:r>
      <w:r w:rsidRPr="0087318B">
        <w:rPr>
          <w:sz w:val="22"/>
          <w:szCs w:val="22"/>
          <w:lang w:val="sr-Latn-ME"/>
        </w:rPr>
        <w:t>. Te doze kod marmozet majmuna su 0</w:t>
      </w:r>
      <w:r w:rsidR="00FA2D3F">
        <w:rPr>
          <w:sz w:val="22"/>
          <w:szCs w:val="22"/>
          <w:lang w:val="sr-Latn-ME"/>
        </w:rPr>
        <w:t>.</w:t>
      </w:r>
      <w:r w:rsidRPr="0087318B">
        <w:rPr>
          <w:sz w:val="22"/>
          <w:szCs w:val="22"/>
          <w:lang w:val="sr-Latn-ME"/>
        </w:rPr>
        <w:t>9 i 0</w:t>
      </w:r>
      <w:r w:rsidR="00FA2D3F">
        <w:rPr>
          <w:sz w:val="22"/>
          <w:szCs w:val="22"/>
          <w:lang w:val="sr-Latn-ME"/>
        </w:rPr>
        <w:t>.</w:t>
      </w:r>
      <w:r w:rsidRPr="0087318B">
        <w:rPr>
          <w:sz w:val="22"/>
          <w:szCs w:val="22"/>
          <w:lang w:val="sr-Latn-ME"/>
        </w:rPr>
        <w:t xml:space="preserve">3 puta veće od najveće preporučene doze valsartana i </w:t>
      </w:r>
      <w:r w:rsidR="0084780A" w:rsidRPr="0087318B">
        <w:rPr>
          <w:sz w:val="22"/>
          <w:szCs w:val="22"/>
          <w:lang w:val="sr-Latn-ME"/>
        </w:rPr>
        <w:t>hidrohlortiazid</w:t>
      </w:r>
      <w:r w:rsidRPr="0087318B">
        <w:rPr>
          <w:sz w:val="22"/>
          <w:szCs w:val="22"/>
          <w:lang w:val="sr-Latn-ME"/>
        </w:rPr>
        <w:t>a kod ljudi na osnovu mg/m</w:t>
      </w:r>
      <w:r w:rsidRPr="0087318B">
        <w:rPr>
          <w:sz w:val="22"/>
          <w:szCs w:val="22"/>
          <w:vertAlign w:val="superscript"/>
          <w:lang w:val="sr-Latn-ME"/>
        </w:rPr>
        <w:t>2</w:t>
      </w:r>
      <w:r w:rsidRPr="0087318B">
        <w:rPr>
          <w:sz w:val="22"/>
          <w:szCs w:val="22"/>
          <w:lang w:val="sr-Latn-ME"/>
        </w:rPr>
        <w:t xml:space="preserve">. (Proračun podrazumijeva oralnu dozu od 320 mg/dan valsartana u kombinaciji sa 25 mg/dan </w:t>
      </w:r>
      <w:r w:rsidR="0084780A" w:rsidRPr="0087318B">
        <w:rPr>
          <w:sz w:val="22"/>
          <w:szCs w:val="22"/>
          <w:lang w:val="sr-Latn-ME"/>
        </w:rPr>
        <w:t>hidrohlortiazid</w:t>
      </w:r>
      <w:r w:rsidRPr="0087318B">
        <w:rPr>
          <w:sz w:val="22"/>
          <w:szCs w:val="22"/>
          <w:lang w:val="sr-Latn-ME"/>
        </w:rPr>
        <w:t>a kod pacijenta čija je tjelesna masa 60 kg)</w:t>
      </w:r>
      <w:r w:rsidR="00FA2D3F">
        <w:rPr>
          <w:sz w:val="22"/>
          <w:szCs w:val="22"/>
          <w:lang w:val="sr-Latn-ME"/>
        </w:rPr>
        <w:t>.</w:t>
      </w:r>
      <w:r w:rsidRPr="0087318B">
        <w:rPr>
          <w:sz w:val="22"/>
          <w:szCs w:val="22"/>
          <w:lang w:val="sr-Latn-ME"/>
        </w:rPr>
        <w:t xml:space="preserve">  </w:t>
      </w:r>
    </w:p>
    <w:p w14:paraId="6F2729C2" w14:textId="77777777" w:rsidR="00555F5A" w:rsidRDefault="00555F5A" w:rsidP="00A66F57">
      <w:pPr>
        <w:shd w:val="clear" w:color="auto" w:fill="FFFFFF"/>
        <w:tabs>
          <w:tab w:val="left" w:pos="284"/>
        </w:tabs>
        <w:jc w:val="both"/>
        <w:rPr>
          <w:sz w:val="22"/>
          <w:szCs w:val="22"/>
          <w:lang w:val="sr-Latn-ME"/>
        </w:rPr>
      </w:pPr>
    </w:p>
    <w:p w14:paraId="4BB6F76C" w14:textId="5C68FAB0"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Kod marmozet majmuna primijećeno je oštećenje sluzokože želuca (pri dozi od 30</w:t>
      </w:r>
      <w:r w:rsidR="00FA2D3F">
        <w:rPr>
          <w:sz w:val="22"/>
          <w:szCs w:val="22"/>
          <w:lang w:val="sr-Latn-ME"/>
        </w:rPr>
        <w:t xml:space="preserve"> </w:t>
      </w:r>
      <w:r w:rsidRPr="0087318B">
        <w:rPr>
          <w:sz w:val="22"/>
          <w:szCs w:val="22"/>
          <w:lang w:val="sr-Latn-ME"/>
        </w:rPr>
        <w:t>+</w:t>
      </w:r>
      <w:r w:rsidR="00FA2D3F">
        <w:rPr>
          <w:sz w:val="22"/>
          <w:szCs w:val="22"/>
          <w:lang w:val="sr-Latn-ME"/>
        </w:rPr>
        <w:t xml:space="preserve"> </w:t>
      </w:r>
      <w:r w:rsidRPr="0087318B">
        <w:rPr>
          <w:sz w:val="22"/>
          <w:szCs w:val="22"/>
          <w:lang w:val="sr-Latn-ME"/>
        </w:rPr>
        <w:t>9</w:t>
      </w:r>
      <w:r w:rsidR="00FA2D3F">
        <w:rPr>
          <w:sz w:val="22"/>
          <w:szCs w:val="22"/>
          <w:lang w:val="sr-Latn-ME"/>
        </w:rPr>
        <w:t xml:space="preserve"> </w:t>
      </w:r>
      <w:r w:rsidRPr="0087318B">
        <w:rPr>
          <w:sz w:val="22"/>
          <w:szCs w:val="22"/>
          <w:lang w:val="sr-Latn-ME"/>
        </w:rPr>
        <w:t>mg/kg/d). Kombinacija takođe dovodi do hiperplazije aferentnih arteriola u bubrezima pri dozi od 600</w:t>
      </w:r>
      <w:r w:rsidR="00FA2D3F">
        <w:rPr>
          <w:sz w:val="22"/>
          <w:szCs w:val="22"/>
          <w:lang w:val="sr-Latn-ME"/>
        </w:rPr>
        <w:t xml:space="preserve"> </w:t>
      </w:r>
      <w:r w:rsidRPr="0087318B">
        <w:rPr>
          <w:sz w:val="22"/>
          <w:szCs w:val="22"/>
          <w:lang w:val="sr-Latn-ME"/>
        </w:rPr>
        <w:t>+</w:t>
      </w:r>
      <w:r w:rsidR="00FA2D3F">
        <w:rPr>
          <w:sz w:val="22"/>
          <w:szCs w:val="22"/>
          <w:lang w:val="sr-Latn-ME"/>
        </w:rPr>
        <w:t xml:space="preserve"> </w:t>
      </w:r>
      <w:r w:rsidRPr="0087318B">
        <w:rPr>
          <w:sz w:val="22"/>
          <w:szCs w:val="22"/>
          <w:lang w:val="sr-Latn-ME"/>
        </w:rPr>
        <w:t>188 mg/kg/d kod pacova i pri dozi od 30</w:t>
      </w:r>
      <w:r w:rsidR="00FA2D3F">
        <w:rPr>
          <w:sz w:val="22"/>
          <w:szCs w:val="22"/>
          <w:lang w:val="sr-Latn-ME"/>
        </w:rPr>
        <w:t xml:space="preserve"> </w:t>
      </w:r>
      <w:r w:rsidRPr="0087318B">
        <w:rPr>
          <w:sz w:val="22"/>
          <w:szCs w:val="22"/>
          <w:lang w:val="sr-Latn-ME"/>
        </w:rPr>
        <w:t>+</w:t>
      </w:r>
      <w:r w:rsidR="00FA2D3F">
        <w:rPr>
          <w:sz w:val="22"/>
          <w:szCs w:val="22"/>
          <w:lang w:val="sr-Latn-ME"/>
        </w:rPr>
        <w:t xml:space="preserve"> </w:t>
      </w:r>
      <w:r w:rsidRPr="0087318B">
        <w:rPr>
          <w:sz w:val="22"/>
          <w:szCs w:val="22"/>
          <w:lang w:val="sr-Latn-ME"/>
        </w:rPr>
        <w:t>9</w:t>
      </w:r>
      <w:r w:rsidR="00FA2D3F">
        <w:rPr>
          <w:sz w:val="22"/>
          <w:szCs w:val="22"/>
          <w:lang w:val="sr-Latn-ME"/>
        </w:rPr>
        <w:t xml:space="preserve"> </w:t>
      </w:r>
      <w:r w:rsidRPr="0087318B">
        <w:rPr>
          <w:sz w:val="22"/>
          <w:szCs w:val="22"/>
          <w:lang w:val="sr-Latn-ME"/>
        </w:rPr>
        <w:t>mg/kg/d kod marmozeta). Ove doze kod marmozet majmuna su 0</w:t>
      </w:r>
      <w:r w:rsidR="008E420A">
        <w:rPr>
          <w:sz w:val="22"/>
          <w:szCs w:val="22"/>
          <w:lang w:val="sr-Latn-ME"/>
        </w:rPr>
        <w:t>.</w:t>
      </w:r>
      <w:r w:rsidRPr="0087318B">
        <w:rPr>
          <w:sz w:val="22"/>
          <w:szCs w:val="22"/>
          <w:lang w:val="sr-Latn-ME"/>
        </w:rPr>
        <w:t>9 i 0</w:t>
      </w:r>
      <w:r w:rsidR="008E420A">
        <w:rPr>
          <w:sz w:val="22"/>
          <w:szCs w:val="22"/>
          <w:lang w:val="sr-Latn-ME"/>
        </w:rPr>
        <w:t>.</w:t>
      </w:r>
      <w:r w:rsidRPr="0087318B">
        <w:rPr>
          <w:sz w:val="22"/>
          <w:szCs w:val="22"/>
          <w:lang w:val="sr-Latn-ME"/>
        </w:rPr>
        <w:t xml:space="preserve">3 puta veće od najveće preporučene doze valsartana i </w:t>
      </w:r>
      <w:r w:rsidR="0084780A" w:rsidRPr="0087318B">
        <w:rPr>
          <w:sz w:val="22"/>
          <w:szCs w:val="22"/>
          <w:lang w:val="sr-Latn-ME"/>
        </w:rPr>
        <w:t>hidrohlortiazid</w:t>
      </w:r>
      <w:r w:rsidRPr="0087318B">
        <w:rPr>
          <w:sz w:val="22"/>
          <w:szCs w:val="22"/>
          <w:lang w:val="sr-Latn-ME"/>
        </w:rPr>
        <w:t>a kod ljudi na osnovu mg/m</w:t>
      </w:r>
      <w:r w:rsidRPr="0087318B">
        <w:rPr>
          <w:sz w:val="22"/>
          <w:szCs w:val="22"/>
          <w:vertAlign w:val="superscript"/>
          <w:lang w:val="sr-Latn-ME"/>
        </w:rPr>
        <w:t>2</w:t>
      </w:r>
      <w:r w:rsidRPr="0087318B">
        <w:rPr>
          <w:sz w:val="22"/>
          <w:szCs w:val="22"/>
          <w:lang w:val="sr-Latn-ME"/>
        </w:rPr>
        <w:t xml:space="preserve">. Ove doze kod pacova su 18 i 73 puta veće od najveće preporučene doze valsartana i </w:t>
      </w:r>
      <w:r w:rsidR="0084780A" w:rsidRPr="0087318B">
        <w:rPr>
          <w:sz w:val="22"/>
          <w:szCs w:val="22"/>
          <w:lang w:val="sr-Latn-ME"/>
        </w:rPr>
        <w:t>hidrohlortiazid</w:t>
      </w:r>
      <w:r w:rsidRPr="0087318B">
        <w:rPr>
          <w:sz w:val="22"/>
          <w:szCs w:val="22"/>
          <w:lang w:val="sr-Latn-ME"/>
        </w:rPr>
        <w:t>a kod ljudi na osnovu mg/m</w:t>
      </w:r>
      <w:r w:rsidRPr="0087318B">
        <w:rPr>
          <w:sz w:val="22"/>
          <w:szCs w:val="22"/>
          <w:vertAlign w:val="superscript"/>
          <w:lang w:val="sr-Latn-ME"/>
        </w:rPr>
        <w:t>2</w:t>
      </w:r>
      <w:r w:rsidRPr="0087318B">
        <w:rPr>
          <w:sz w:val="22"/>
          <w:szCs w:val="22"/>
          <w:lang w:val="sr-Latn-ME"/>
        </w:rPr>
        <w:t xml:space="preserve">. (Proračun podrazumijeva oralnu dozu od 320 mg/dan valsartana u kombinaciji sa 25 mg/dan </w:t>
      </w:r>
      <w:r w:rsidR="0084780A" w:rsidRPr="0087318B">
        <w:rPr>
          <w:sz w:val="22"/>
          <w:szCs w:val="22"/>
          <w:lang w:val="sr-Latn-ME"/>
        </w:rPr>
        <w:t>hidrohlortiazid</w:t>
      </w:r>
      <w:r w:rsidRPr="0087318B">
        <w:rPr>
          <w:sz w:val="22"/>
          <w:szCs w:val="22"/>
          <w:lang w:val="sr-Latn-ME"/>
        </w:rPr>
        <w:t>a kod pacijenata čija je tjelesna masa 60 kg)</w:t>
      </w:r>
      <w:r w:rsidR="008E420A">
        <w:rPr>
          <w:sz w:val="22"/>
          <w:szCs w:val="22"/>
          <w:lang w:val="sr-Latn-ME"/>
        </w:rPr>
        <w:t>.</w:t>
      </w:r>
      <w:r w:rsidRPr="0087318B">
        <w:rPr>
          <w:sz w:val="22"/>
          <w:szCs w:val="22"/>
          <w:lang w:val="sr-Latn-ME"/>
        </w:rPr>
        <w:t xml:space="preserve">  </w:t>
      </w:r>
    </w:p>
    <w:p w14:paraId="7669B021" w14:textId="77777777" w:rsidR="00555F5A" w:rsidRDefault="00555F5A" w:rsidP="00A66F57">
      <w:pPr>
        <w:shd w:val="clear" w:color="auto" w:fill="FFFFFF"/>
        <w:tabs>
          <w:tab w:val="left" w:pos="284"/>
        </w:tabs>
        <w:jc w:val="both"/>
        <w:rPr>
          <w:sz w:val="22"/>
          <w:szCs w:val="22"/>
          <w:lang w:val="sr-Latn-ME"/>
        </w:rPr>
      </w:pPr>
    </w:p>
    <w:p w14:paraId="453ED6CE" w14:textId="145B55B3"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Izgleda da su gore navedene promjene izazvane farmakološkim dejstvom visokih doza valsartana (blokada agiotenzin II indukovane inhibicije oslobađanja renina, uz stimulaciju ćelija da proizvode renin) i takođe se pojavljuju kod ACE inhibitora. Ovi rezultati nemaju značaj na upotrebu terapijskih doza valsartana kod čov</w:t>
      </w:r>
      <w:r w:rsidR="00447A54">
        <w:rPr>
          <w:sz w:val="22"/>
          <w:szCs w:val="22"/>
          <w:lang w:val="sr-Latn-ME"/>
        </w:rPr>
        <w:t>j</w:t>
      </w:r>
      <w:r w:rsidRPr="0087318B">
        <w:rPr>
          <w:sz w:val="22"/>
          <w:szCs w:val="22"/>
          <w:lang w:val="sr-Latn-ME"/>
        </w:rPr>
        <w:t xml:space="preserve">eka. </w:t>
      </w:r>
    </w:p>
    <w:p w14:paraId="1F90C3BB" w14:textId="77777777" w:rsidR="00555F5A" w:rsidRDefault="00555F5A" w:rsidP="00A66F57">
      <w:pPr>
        <w:shd w:val="clear" w:color="auto" w:fill="FFFFFF"/>
        <w:tabs>
          <w:tab w:val="left" w:pos="284"/>
        </w:tabs>
        <w:jc w:val="both"/>
        <w:rPr>
          <w:sz w:val="22"/>
          <w:szCs w:val="22"/>
          <w:lang w:val="sr-Latn-ME"/>
        </w:rPr>
      </w:pPr>
    </w:p>
    <w:p w14:paraId="16C37E3F" w14:textId="29F3BCB7" w:rsidR="00D836EE" w:rsidRPr="0087318B" w:rsidRDefault="00D836EE" w:rsidP="00A66F57">
      <w:pPr>
        <w:shd w:val="clear" w:color="auto" w:fill="FFFFFF"/>
        <w:tabs>
          <w:tab w:val="left" w:pos="284"/>
        </w:tabs>
        <w:jc w:val="both"/>
        <w:rPr>
          <w:sz w:val="22"/>
          <w:szCs w:val="22"/>
          <w:lang w:val="sr-Latn-ME"/>
        </w:rPr>
      </w:pPr>
      <w:r w:rsidRPr="0087318B">
        <w:rPr>
          <w:sz w:val="22"/>
          <w:szCs w:val="22"/>
          <w:lang w:val="sr-Latn-ME"/>
        </w:rPr>
        <w:t xml:space="preserve">Kombinacija valsartan i </w:t>
      </w:r>
      <w:r w:rsidR="0084780A" w:rsidRPr="0087318B">
        <w:rPr>
          <w:sz w:val="22"/>
          <w:szCs w:val="22"/>
          <w:lang w:val="sr-Latn-ME"/>
        </w:rPr>
        <w:t>hidrohlortiazid</w:t>
      </w:r>
      <w:r w:rsidRPr="0087318B">
        <w:rPr>
          <w:sz w:val="22"/>
          <w:szCs w:val="22"/>
          <w:lang w:val="sr-Latn-ME"/>
        </w:rPr>
        <w:t xml:space="preserve"> nije ispitana na mutagenost, hromozomske aberacije ili kancerogenost, pošto nema dokaza o inetrakciji između ove dvije supstance. Međutim, valsartan i </w:t>
      </w:r>
      <w:proofErr w:type="spellStart"/>
      <w:r w:rsidR="0084780A" w:rsidRPr="0087318B">
        <w:rPr>
          <w:sz w:val="22"/>
          <w:szCs w:val="22"/>
          <w:lang w:val="sr-Latn-ME"/>
        </w:rPr>
        <w:t>hidrohlortiazid</w:t>
      </w:r>
      <w:proofErr w:type="spellEnd"/>
      <w:r w:rsidRPr="0087318B">
        <w:rPr>
          <w:sz w:val="22"/>
          <w:szCs w:val="22"/>
          <w:lang w:val="sr-Latn-ME"/>
        </w:rPr>
        <w:t xml:space="preserve"> su pojedinačno testirani i </w:t>
      </w:r>
      <w:r w:rsidR="00C81D72">
        <w:rPr>
          <w:sz w:val="22"/>
          <w:szCs w:val="22"/>
          <w:lang w:val="sr-Latn-ME"/>
        </w:rPr>
        <w:t>nijesu</w:t>
      </w:r>
      <w:r w:rsidRPr="0087318B">
        <w:rPr>
          <w:sz w:val="22"/>
          <w:szCs w:val="22"/>
          <w:lang w:val="sr-Latn-ME"/>
        </w:rPr>
        <w:t xml:space="preserve"> pronađeni dokazi </w:t>
      </w:r>
      <w:proofErr w:type="spellStart"/>
      <w:r w:rsidRPr="0087318B">
        <w:rPr>
          <w:sz w:val="22"/>
          <w:szCs w:val="22"/>
          <w:lang w:val="sr-Latn-ME"/>
        </w:rPr>
        <w:t>mutagenosti</w:t>
      </w:r>
      <w:proofErr w:type="spellEnd"/>
      <w:r w:rsidRPr="0087318B">
        <w:rPr>
          <w:sz w:val="22"/>
          <w:szCs w:val="22"/>
          <w:lang w:val="sr-Latn-ME"/>
        </w:rPr>
        <w:t xml:space="preserve">, </w:t>
      </w:r>
      <w:proofErr w:type="spellStart"/>
      <w:r w:rsidRPr="0087318B">
        <w:rPr>
          <w:sz w:val="22"/>
          <w:szCs w:val="22"/>
          <w:lang w:val="sr-Latn-ME"/>
        </w:rPr>
        <w:t>hromozomskih</w:t>
      </w:r>
      <w:proofErr w:type="spellEnd"/>
      <w:r w:rsidRPr="0087318B">
        <w:rPr>
          <w:sz w:val="22"/>
          <w:szCs w:val="22"/>
          <w:lang w:val="sr-Latn-ME"/>
        </w:rPr>
        <w:t xml:space="preserve"> aberacija i kancerogenosti. </w:t>
      </w:r>
    </w:p>
    <w:p w14:paraId="11A014E4" w14:textId="77777777" w:rsidR="00555F5A" w:rsidRDefault="00555F5A" w:rsidP="00A66F57">
      <w:pPr>
        <w:tabs>
          <w:tab w:val="left" w:pos="540"/>
          <w:tab w:val="left" w:pos="569"/>
        </w:tabs>
        <w:jc w:val="both"/>
        <w:rPr>
          <w:sz w:val="22"/>
          <w:szCs w:val="22"/>
          <w:lang w:val="sr-Latn-ME"/>
        </w:rPr>
      </w:pPr>
    </w:p>
    <w:p w14:paraId="09E44167" w14:textId="25C1F96F" w:rsidR="00396DFD" w:rsidRPr="0087318B" w:rsidRDefault="00D836EE" w:rsidP="00A66F57">
      <w:pPr>
        <w:tabs>
          <w:tab w:val="left" w:pos="540"/>
          <w:tab w:val="left" w:pos="569"/>
        </w:tabs>
        <w:jc w:val="both"/>
        <w:rPr>
          <w:sz w:val="22"/>
          <w:szCs w:val="22"/>
          <w:lang w:val="sr-Latn-ME"/>
        </w:rPr>
      </w:pPr>
      <w:r w:rsidRPr="0087318B">
        <w:rPr>
          <w:sz w:val="22"/>
          <w:szCs w:val="22"/>
          <w:lang w:val="sr-Latn-ME"/>
        </w:rPr>
        <w:lastRenderedPageBreak/>
        <w:t>Kod pacova, toksična doza valsartana (600</w:t>
      </w:r>
      <w:r w:rsidR="008E420A">
        <w:rPr>
          <w:sz w:val="22"/>
          <w:szCs w:val="22"/>
          <w:lang w:val="sr-Latn-ME"/>
        </w:rPr>
        <w:t xml:space="preserve"> </w:t>
      </w:r>
      <w:r w:rsidRPr="0087318B">
        <w:rPr>
          <w:sz w:val="22"/>
          <w:szCs w:val="22"/>
          <w:lang w:val="sr-Latn-ME"/>
        </w:rPr>
        <w:t xml:space="preserve">mg/kg/dnevno) za majke tokom posljednjih dana gestacije i tokom laktacije dovela je do smanjenja procenta preživljavanja, manjeg dobijanja na tjelesnoj masi i usporenog razvoja (odvajanje ušne školjke i otvaranje ušnog kanala) kod potomstva (vidjeti </w:t>
      </w:r>
      <w:r w:rsidR="00793920">
        <w:rPr>
          <w:sz w:val="22"/>
          <w:szCs w:val="22"/>
          <w:lang w:val="sr-Latn-ME"/>
        </w:rPr>
        <w:t>dio</w:t>
      </w:r>
      <w:r w:rsidR="00793920" w:rsidRPr="0087318B">
        <w:rPr>
          <w:sz w:val="22"/>
          <w:szCs w:val="22"/>
          <w:lang w:val="sr-Latn-ME"/>
        </w:rPr>
        <w:t xml:space="preserve"> </w:t>
      </w:r>
      <w:r w:rsidRPr="0087318B">
        <w:rPr>
          <w:sz w:val="22"/>
          <w:szCs w:val="22"/>
          <w:lang w:val="sr-Latn-ME"/>
        </w:rPr>
        <w:t>4.6). Ove doze kod pacova (600</w:t>
      </w:r>
      <w:r w:rsidR="00793920">
        <w:rPr>
          <w:sz w:val="22"/>
          <w:szCs w:val="22"/>
          <w:lang w:val="sr-Latn-ME"/>
        </w:rPr>
        <w:t xml:space="preserve"> </w:t>
      </w:r>
      <w:r w:rsidRPr="0087318B">
        <w:rPr>
          <w:sz w:val="22"/>
          <w:szCs w:val="22"/>
          <w:lang w:val="sr-Latn-ME"/>
        </w:rPr>
        <w:t>mg/kg/dnevno) su približno 18 puta veće od maksimalne preporučene doze za ljude na osnovu mg/m</w:t>
      </w:r>
      <w:r w:rsidRPr="0087318B">
        <w:rPr>
          <w:sz w:val="22"/>
          <w:szCs w:val="22"/>
          <w:vertAlign w:val="superscript"/>
          <w:lang w:val="sr-Latn-ME"/>
        </w:rPr>
        <w:t>2</w:t>
      </w:r>
      <w:r w:rsidRPr="0087318B">
        <w:rPr>
          <w:sz w:val="22"/>
          <w:szCs w:val="22"/>
          <w:lang w:val="sr-Latn-ME"/>
        </w:rPr>
        <w:t xml:space="preserve"> (Proračun podrazumijeva oralnu dozu od 320 mg/dan valsartana u kombinaciji sa 25 mg/dan </w:t>
      </w:r>
      <w:r w:rsidR="0084780A" w:rsidRPr="0087318B">
        <w:rPr>
          <w:sz w:val="22"/>
          <w:szCs w:val="22"/>
          <w:lang w:val="sr-Latn-ME"/>
        </w:rPr>
        <w:t>hidrohlortiazid</w:t>
      </w:r>
      <w:r w:rsidRPr="0087318B">
        <w:rPr>
          <w:sz w:val="22"/>
          <w:szCs w:val="22"/>
          <w:lang w:val="sr-Latn-ME"/>
        </w:rPr>
        <w:t>a kod pacijenta čija je t</w:t>
      </w:r>
      <w:r w:rsidR="00195313">
        <w:rPr>
          <w:sz w:val="22"/>
          <w:szCs w:val="22"/>
          <w:lang w:val="sr-Latn-ME"/>
        </w:rPr>
        <w:t>j</w:t>
      </w:r>
      <w:r w:rsidRPr="0087318B">
        <w:rPr>
          <w:sz w:val="22"/>
          <w:szCs w:val="22"/>
          <w:lang w:val="sr-Latn-ME"/>
        </w:rPr>
        <w:t>elesna masa 60 kg). Slični nalazi su viđeni sa valsartan/</w:t>
      </w:r>
      <w:r w:rsidR="0084780A" w:rsidRPr="0087318B">
        <w:rPr>
          <w:sz w:val="22"/>
          <w:szCs w:val="22"/>
          <w:lang w:val="sr-Latn-ME"/>
        </w:rPr>
        <w:t>hidrohlortiazid</w:t>
      </w:r>
      <w:r w:rsidRPr="0087318B">
        <w:rPr>
          <w:sz w:val="22"/>
          <w:szCs w:val="22"/>
          <w:lang w:val="sr-Latn-ME"/>
        </w:rPr>
        <w:t xml:space="preserve"> kod zečeva i pacova. U proučavanju embrio-</w:t>
      </w:r>
      <w:proofErr w:type="spellStart"/>
      <w:r w:rsidRPr="0087318B">
        <w:rPr>
          <w:sz w:val="22"/>
          <w:szCs w:val="22"/>
          <w:lang w:val="sr-Latn-ME"/>
        </w:rPr>
        <w:t>fetalnog</w:t>
      </w:r>
      <w:proofErr w:type="spellEnd"/>
      <w:r w:rsidRPr="0087318B">
        <w:rPr>
          <w:sz w:val="22"/>
          <w:szCs w:val="22"/>
          <w:lang w:val="sr-Latn-ME"/>
        </w:rPr>
        <w:t xml:space="preserve"> razvoja (d</w:t>
      </w:r>
      <w:r w:rsidR="00195313">
        <w:rPr>
          <w:sz w:val="22"/>
          <w:szCs w:val="22"/>
          <w:lang w:val="sr-Latn-ME"/>
        </w:rPr>
        <w:t>i</w:t>
      </w:r>
      <w:r w:rsidRPr="0087318B">
        <w:rPr>
          <w:sz w:val="22"/>
          <w:szCs w:val="22"/>
          <w:lang w:val="sr-Latn-ME"/>
        </w:rPr>
        <w:t>o II), pri primjeni kombinacije valsartan/</w:t>
      </w:r>
      <w:r w:rsidR="0084780A" w:rsidRPr="0087318B">
        <w:rPr>
          <w:sz w:val="22"/>
          <w:szCs w:val="22"/>
          <w:lang w:val="sr-Latn-ME"/>
        </w:rPr>
        <w:t>hidrohlortiazid</w:t>
      </w:r>
      <w:r w:rsidRPr="0087318B">
        <w:rPr>
          <w:sz w:val="22"/>
          <w:szCs w:val="22"/>
          <w:lang w:val="sr-Latn-ME"/>
        </w:rPr>
        <w:t xml:space="preserve"> kod zečeva i pacova, nije bilo dokaza o teratogenosti, međutim zabilježena je fetotoksičnost udružena sa maternalnom toksičnošću.  </w:t>
      </w:r>
    </w:p>
    <w:p w14:paraId="52D6D079" w14:textId="3B0DB3FC" w:rsidR="00D836EE" w:rsidRPr="0087318B" w:rsidRDefault="00D836EE" w:rsidP="00A66F57">
      <w:pPr>
        <w:tabs>
          <w:tab w:val="left" w:pos="540"/>
          <w:tab w:val="left" w:pos="569"/>
        </w:tabs>
        <w:jc w:val="both"/>
        <w:rPr>
          <w:b/>
          <w:bCs/>
          <w:sz w:val="22"/>
          <w:szCs w:val="22"/>
          <w:lang w:val="sr-Latn-ME"/>
        </w:rPr>
      </w:pPr>
    </w:p>
    <w:p w14:paraId="17BEAF2E" w14:textId="77777777" w:rsidR="00B857C4" w:rsidRPr="0087318B" w:rsidRDefault="00B857C4" w:rsidP="00A66F57">
      <w:pPr>
        <w:tabs>
          <w:tab w:val="left" w:pos="540"/>
          <w:tab w:val="left" w:pos="569"/>
        </w:tabs>
        <w:jc w:val="both"/>
        <w:rPr>
          <w:b/>
          <w:bCs/>
          <w:sz w:val="22"/>
          <w:szCs w:val="22"/>
          <w:lang w:val="sr-Latn-ME"/>
        </w:rPr>
      </w:pPr>
    </w:p>
    <w:p w14:paraId="14ADCECF" w14:textId="77777777" w:rsidR="0072020E" w:rsidRPr="0087318B" w:rsidRDefault="0072020E" w:rsidP="00B857C4">
      <w:pPr>
        <w:tabs>
          <w:tab w:val="left" w:pos="540"/>
          <w:tab w:val="left" w:pos="569"/>
        </w:tabs>
        <w:rPr>
          <w:b/>
          <w:bCs/>
          <w:sz w:val="22"/>
          <w:szCs w:val="22"/>
          <w:lang w:val="sr-Latn-ME"/>
        </w:rPr>
      </w:pPr>
      <w:r w:rsidRPr="0087318B">
        <w:rPr>
          <w:b/>
          <w:bCs/>
          <w:sz w:val="22"/>
          <w:szCs w:val="22"/>
          <w:lang w:val="sr-Latn-ME"/>
        </w:rPr>
        <w:t xml:space="preserve">6. </w:t>
      </w:r>
      <w:r w:rsidR="00480FB1" w:rsidRPr="0087318B">
        <w:rPr>
          <w:b/>
          <w:bCs/>
          <w:sz w:val="22"/>
          <w:szCs w:val="22"/>
          <w:lang w:val="sr-Latn-ME"/>
        </w:rPr>
        <w:tab/>
      </w:r>
      <w:r w:rsidRPr="00E41AF9">
        <w:rPr>
          <w:b/>
          <w:bCs/>
          <w:sz w:val="22"/>
          <w:szCs w:val="22"/>
          <w:lang w:val="sr-Latn-ME"/>
        </w:rPr>
        <w:t>FARMACEUTSKI PODACI</w:t>
      </w:r>
    </w:p>
    <w:p w14:paraId="6AE38C20" w14:textId="77777777" w:rsidR="00836B35" w:rsidRPr="0087318B" w:rsidRDefault="00836B35" w:rsidP="00B857C4">
      <w:pPr>
        <w:tabs>
          <w:tab w:val="left" w:pos="540"/>
          <w:tab w:val="left" w:pos="569"/>
        </w:tabs>
        <w:rPr>
          <w:bCs/>
          <w:sz w:val="22"/>
          <w:szCs w:val="22"/>
          <w:lang w:val="sr-Latn-ME"/>
        </w:rPr>
      </w:pPr>
    </w:p>
    <w:p w14:paraId="368398EB" w14:textId="77777777" w:rsidR="0072020E" w:rsidRPr="0087318B" w:rsidRDefault="0072020E" w:rsidP="00B857C4">
      <w:pPr>
        <w:tabs>
          <w:tab w:val="left" w:pos="540"/>
          <w:tab w:val="left" w:pos="569"/>
        </w:tabs>
        <w:rPr>
          <w:b/>
          <w:bCs/>
          <w:sz w:val="22"/>
          <w:szCs w:val="22"/>
          <w:lang w:val="sr-Latn-ME"/>
        </w:rPr>
      </w:pPr>
      <w:r w:rsidRPr="0087318B">
        <w:rPr>
          <w:b/>
          <w:bCs/>
          <w:sz w:val="22"/>
          <w:szCs w:val="22"/>
          <w:lang w:val="sr-Latn-ME"/>
        </w:rPr>
        <w:t xml:space="preserve">6.1. </w:t>
      </w:r>
      <w:r w:rsidR="00480FB1" w:rsidRPr="0087318B">
        <w:rPr>
          <w:b/>
          <w:bCs/>
          <w:sz w:val="22"/>
          <w:szCs w:val="22"/>
          <w:lang w:val="sr-Latn-ME"/>
        </w:rPr>
        <w:tab/>
      </w:r>
      <w:r w:rsidRPr="0087318B">
        <w:rPr>
          <w:b/>
          <w:bCs/>
          <w:sz w:val="22"/>
          <w:szCs w:val="22"/>
          <w:lang w:val="sr-Latn-ME"/>
        </w:rPr>
        <w:t>Lista pomoćnih supstanci</w:t>
      </w:r>
      <w:r w:rsidR="002E0135" w:rsidRPr="0087318B">
        <w:rPr>
          <w:b/>
          <w:bCs/>
          <w:sz w:val="22"/>
          <w:szCs w:val="22"/>
          <w:lang w:val="sr-Latn-ME"/>
        </w:rPr>
        <w:t xml:space="preserve"> (ekscipijenasa)</w:t>
      </w:r>
    </w:p>
    <w:p w14:paraId="732EE20F" w14:textId="77777777" w:rsidR="00D836EE" w:rsidRPr="0087318B" w:rsidRDefault="00D836EE" w:rsidP="00B857C4">
      <w:pPr>
        <w:tabs>
          <w:tab w:val="left" w:pos="540"/>
          <w:tab w:val="left" w:pos="569"/>
        </w:tabs>
        <w:rPr>
          <w:b/>
          <w:bCs/>
          <w:sz w:val="22"/>
          <w:szCs w:val="22"/>
          <w:lang w:val="sr-Latn-ME"/>
        </w:rPr>
      </w:pPr>
    </w:p>
    <w:p w14:paraId="70309B4C" w14:textId="2A9E498D" w:rsidR="008C67C3" w:rsidRDefault="008C67C3" w:rsidP="002B054B">
      <w:pPr>
        <w:shd w:val="clear" w:color="auto" w:fill="FFFFFF"/>
        <w:tabs>
          <w:tab w:val="left" w:pos="284"/>
        </w:tabs>
        <w:jc w:val="both"/>
        <w:rPr>
          <w:sz w:val="22"/>
          <w:szCs w:val="22"/>
          <w:lang w:val="sr-Latn-ME"/>
        </w:rPr>
      </w:pPr>
      <w:r w:rsidRPr="002B054B">
        <w:rPr>
          <w:sz w:val="22"/>
          <w:szCs w:val="22"/>
          <w:u w:val="single"/>
          <w:lang w:val="sr-Latn-ME"/>
        </w:rPr>
        <w:t>Jezgro tablete</w:t>
      </w:r>
      <w:r>
        <w:rPr>
          <w:sz w:val="22"/>
          <w:szCs w:val="22"/>
          <w:lang w:val="sr-Latn-ME"/>
        </w:rPr>
        <w:t>:</w:t>
      </w:r>
    </w:p>
    <w:p w14:paraId="7D18194F" w14:textId="77777777" w:rsidR="008C67C3" w:rsidRPr="000D5092" w:rsidRDefault="008C67C3" w:rsidP="008C67C3">
      <w:pPr>
        <w:shd w:val="clear" w:color="auto" w:fill="FFFFFF"/>
        <w:tabs>
          <w:tab w:val="left" w:pos="284"/>
        </w:tabs>
        <w:jc w:val="both"/>
        <w:rPr>
          <w:sz w:val="22"/>
          <w:szCs w:val="22"/>
          <w:lang w:val="sr-Latn-ME"/>
        </w:rPr>
      </w:pPr>
      <w:r w:rsidRPr="000D5092">
        <w:rPr>
          <w:sz w:val="22"/>
          <w:szCs w:val="22"/>
          <w:lang w:val="sr-Latn-ME"/>
        </w:rPr>
        <w:t xml:space="preserve">Celuloza, mikrokristalna; </w:t>
      </w:r>
    </w:p>
    <w:p w14:paraId="1B5CA644" w14:textId="11C5E6B6" w:rsidR="007B31B2" w:rsidRPr="002B054B" w:rsidRDefault="00AD67AA" w:rsidP="002B054B">
      <w:pPr>
        <w:shd w:val="clear" w:color="auto" w:fill="FFFFFF"/>
        <w:tabs>
          <w:tab w:val="left" w:pos="284"/>
        </w:tabs>
        <w:jc w:val="both"/>
        <w:rPr>
          <w:sz w:val="22"/>
          <w:szCs w:val="22"/>
          <w:lang w:val="sr-Latn-ME"/>
        </w:rPr>
      </w:pPr>
      <w:r w:rsidRPr="002B054B">
        <w:rPr>
          <w:sz w:val="22"/>
          <w:szCs w:val="22"/>
          <w:lang w:val="sr-Latn-ME"/>
        </w:rPr>
        <w:t>S</w:t>
      </w:r>
      <w:r w:rsidR="00D836EE" w:rsidRPr="002B054B">
        <w:rPr>
          <w:sz w:val="22"/>
          <w:szCs w:val="22"/>
          <w:lang w:val="sr-Latn-ME"/>
        </w:rPr>
        <w:t>ilicijum</w:t>
      </w:r>
      <w:r w:rsidR="00B857C4" w:rsidRPr="002B054B">
        <w:rPr>
          <w:sz w:val="22"/>
          <w:szCs w:val="22"/>
          <w:lang w:val="sr-Latn-ME"/>
        </w:rPr>
        <w:t xml:space="preserve"> </w:t>
      </w:r>
      <w:r w:rsidR="00D836EE" w:rsidRPr="002B054B">
        <w:rPr>
          <w:sz w:val="22"/>
          <w:szCs w:val="22"/>
          <w:lang w:val="sr-Latn-ME"/>
        </w:rPr>
        <w:t>dioksid, koloidni, bezvodni</w:t>
      </w:r>
      <w:r w:rsidR="007B31B2" w:rsidRPr="002B054B">
        <w:rPr>
          <w:sz w:val="22"/>
          <w:szCs w:val="22"/>
          <w:lang w:val="sr-Latn-ME"/>
        </w:rPr>
        <w:t>;</w:t>
      </w:r>
    </w:p>
    <w:p w14:paraId="6DD06B2F" w14:textId="77E29F24" w:rsidR="007B31B2" w:rsidRPr="002B054B" w:rsidRDefault="007B31B2" w:rsidP="002B054B">
      <w:pPr>
        <w:shd w:val="clear" w:color="auto" w:fill="FFFFFF"/>
        <w:tabs>
          <w:tab w:val="left" w:pos="284"/>
        </w:tabs>
        <w:jc w:val="both"/>
        <w:rPr>
          <w:sz w:val="22"/>
          <w:szCs w:val="22"/>
          <w:lang w:val="sr-Latn-ME"/>
        </w:rPr>
      </w:pPr>
      <w:r w:rsidRPr="002B054B">
        <w:rPr>
          <w:sz w:val="22"/>
          <w:szCs w:val="22"/>
          <w:lang w:val="sr-Latn-ME"/>
        </w:rPr>
        <w:t>K</w:t>
      </w:r>
      <w:r w:rsidR="00D836EE" w:rsidRPr="002B054B">
        <w:rPr>
          <w:sz w:val="22"/>
          <w:szCs w:val="22"/>
          <w:lang w:val="sr-Latn-ME"/>
        </w:rPr>
        <w:t xml:space="preserve">rospovidon; </w:t>
      </w:r>
    </w:p>
    <w:p w14:paraId="179611CC" w14:textId="77777777" w:rsidR="008C67C3" w:rsidRPr="00E06816" w:rsidRDefault="008C67C3" w:rsidP="008C67C3">
      <w:pPr>
        <w:shd w:val="clear" w:color="auto" w:fill="FFFFFF"/>
        <w:tabs>
          <w:tab w:val="left" w:pos="284"/>
        </w:tabs>
        <w:jc w:val="both"/>
        <w:rPr>
          <w:sz w:val="22"/>
          <w:szCs w:val="22"/>
          <w:lang w:val="sr-Latn-ME"/>
        </w:rPr>
      </w:pPr>
      <w:r w:rsidRPr="00E06816">
        <w:rPr>
          <w:sz w:val="22"/>
          <w:szCs w:val="22"/>
          <w:lang w:val="sr-Latn-ME"/>
        </w:rPr>
        <w:t xml:space="preserve">Magnezijum stearat; </w:t>
      </w:r>
    </w:p>
    <w:p w14:paraId="7F0A7675" w14:textId="77777777" w:rsidR="008C67C3" w:rsidRDefault="008C67C3" w:rsidP="002B054B">
      <w:pPr>
        <w:shd w:val="clear" w:color="auto" w:fill="FFFFFF"/>
        <w:tabs>
          <w:tab w:val="left" w:pos="284"/>
        </w:tabs>
        <w:jc w:val="both"/>
        <w:rPr>
          <w:sz w:val="22"/>
          <w:szCs w:val="22"/>
          <w:lang w:val="sr-Latn-ME"/>
        </w:rPr>
      </w:pPr>
    </w:p>
    <w:p w14:paraId="52AC0E22" w14:textId="0A85A18C" w:rsidR="008C67C3" w:rsidRDefault="008C67C3" w:rsidP="002B054B">
      <w:pPr>
        <w:shd w:val="clear" w:color="auto" w:fill="FFFFFF"/>
        <w:tabs>
          <w:tab w:val="left" w:pos="284"/>
        </w:tabs>
        <w:jc w:val="both"/>
        <w:rPr>
          <w:sz w:val="22"/>
          <w:szCs w:val="22"/>
          <w:lang w:val="sr-Latn-ME"/>
        </w:rPr>
      </w:pPr>
      <w:r w:rsidRPr="002B054B">
        <w:rPr>
          <w:sz w:val="22"/>
          <w:szCs w:val="22"/>
          <w:u w:val="single"/>
          <w:lang w:val="sr-Latn-ME"/>
        </w:rPr>
        <w:t>Film (obloga) tablete</w:t>
      </w:r>
      <w:r>
        <w:rPr>
          <w:sz w:val="22"/>
          <w:szCs w:val="22"/>
          <w:lang w:val="sr-Latn-ME"/>
        </w:rPr>
        <w:t>:</w:t>
      </w:r>
    </w:p>
    <w:p w14:paraId="4EF59A63" w14:textId="45225F3A" w:rsidR="007B31B2" w:rsidRPr="002B054B" w:rsidRDefault="007B31B2" w:rsidP="002B054B">
      <w:pPr>
        <w:shd w:val="clear" w:color="auto" w:fill="FFFFFF"/>
        <w:tabs>
          <w:tab w:val="left" w:pos="284"/>
        </w:tabs>
        <w:jc w:val="both"/>
        <w:rPr>
          <w:sz w:val="22"/>
          <w:szCs w:val="22"/>
          <w:lang w:val="sr-Latn-ME"/>
        </w:rPr>
      </w:pPr>
      <w:r w:rsidRPr="002B054B">
        <w:rPr>
          <w:sz w:val="22"/>
          <w:szCs w:val="22"/>
          <w:lang w:val="sr-Latn-ME"/>
        </w:rPr>
        <w:t>H</w:t>
      </w:r>
      <w:r w:rsidR="00D836EE" w:rsidRPr="002B054B">
        <w:rPr>
          <w:sz w:val="22"/>
          <w:szCs w:val="22"/>
          <w:lang w:val="sr-Latn-ME"/>
        </w:rPr>
        <w:t xml:space="preserve">ipromeloza; </w:t>
      </w:r>
    </w:p>
    <w:p w14:paraId="4535781F" w14:textId="1107E862" w:rsidR="007B31B2" w:rsidRPr="002B054B" w:rsidRDefault="007B31B2" w:rsidP="002B054B">
      <w:pPr>
        <w:shd w:val="clear" w:color="auto" w:fill="FFFFFF"/>
        <w:tabs>
          <w:tab w:val="left" w:pos="284"/>
        </w:tabs>
        <w:jc w:val="both"/>
        <w:rPr>
          <w:sz w:val="22"/>
          <w:szCs w:val="22"/>
          <w:lang w:val="sr-Latn-ME"/>
        </w:rPr>
      </w:pPr>
      <w:r w:rsidRPr="002B054B">
        <w:rPr>
          <w:sz w:val="22"/>
          <w:szCs w:val="22"/>
          <w:lang w:val="sr-Latn-ME"/>
        </w:rPr>
        <w:t>M</w:t>
      </w:r>
      <w:r w:rsidR="00D836EE" w:rsidRPr="002B054B">
        <w:rPr>
          <w:sz w:val="22"/>
          <w:szCs w:val="22"/>
          <w:lang w:val="sr-Latn-ME"/>
        </w:rPr>
        <w:t xml:space="preserve">akrogol 8000; </w:t>
      </w:r>
    </w:p>
    <w:p w14:paraId="74C53FD5" w14:textId="70E5A963" w:rsidR="007B31B2" w:rsidRPr="002B054B" w:rsidRDefault="007B31B2" w:rsidP="002B054B">
      <w:pPr>
        <w:shd w:val="clear" w:color="auto" w:fill="FFFFFF"/>
        <w:tabs>
          <w:tab w:val="left" w:pos="284"/>
        </w:tabs>
        <w:jc w:val="both"/>
        <w:rPr>
          <w:sz w:val="22"/>
          <w:szCs w:val="22"/>
          <w:lang w:val="sr-Latn-ME"/>
        </w:rPr>
      </w:pPr>
      <w:r w:rsidRPr="002B054B">
        <w:rPr>
          <w:sz w:val="22"/>
          <w:szCs w:val="22"/>
          <w:lang w:val="sr-Latn-ME"/>
        </w:rPr>
        <w:t>T</w:t>
      </w:r>
      <w:r w:rsidR="00D836EE" w:rsidRPr="002B054B">
        <w:rPr>
          <w:sz w:val="22"/>
          <w:szCs w:val="22"/>
          <w:lang w:val="sr-Latn-ME"/>
        </w:rPr>
        <w:t xml:space="preserve">alk; </w:t>
      </w:r>
    </w:p>
    <w:p w14:paraId="61CBCE97" w14:textId="38C1D140" w:rsidR="007B31B2" w:rsidRPr="002B054B" w:rsidRDefault="007B31B2" w:rsidP="002B054B">
      <w:pPr>
        <w:shd w:val="clear" w:color="auto" w:fill="FFFFFF"/>
        <w:tabs>
          <w:tab w:val="left" w:pos="284"/>
        </w:tabs>
        <w:jc w:val="both"/>
        <w:rPr>
          <w:sz w:val="22"/>
          <w:szCs w:val="22"/>
          <w:lang w:val="sr-Latn-ME"/>
        </w:rPr>
      </w:pPr>
      <w:r w:rsidRPr="002B054B">
        <w:rPr>
          <w:sz w:val="22"/>
          <w:szCs w:val="22"/>
          <w:lang w:val="sr-Latn-ME"/>
        </w:rPr>
        <w:t>G</w:t>
      </w:r>
      <w:r w:rsidR="00D836EE" w:rsidRPr="002B054B">
        <w:rPr>
          <w:sz w:val="22"/>
          <w:szCs w:val="22"/>
          <w:lang w:val="sr-Latn-ME"/>
        </w:rPr>
        <w:t>vožđe</w:t>
      </w:r>
      <w:r w:rsidR="008C67C3">
        <w:rPr>
          <w:sz w:val="22"/>
          <w:szCs w:val="22"/>
          <w:lang w:val="sr-Latn-ME"/>
        </w:rPr>
        <w:t xml:space="preserve"> </w:t>
      </w:r>
      <w:r w:rsidR="00D836EE" w:rsidRPr="002B054B">
        <w:rPr>
          <w:sz w:val="22"/>
          <w:szCs w:val="22"/>
          <w:lang w:val="sr-Latn-ME"/>
        </w:rPr>
        <w:t>(III)</w:t>
      </w:r>
      <w:r w:rsidR="008C67C3">
        <w:rPr>
          <w:sz w:val="22"/>
          <w:szCs w:val="22"/>
          <w:lang w:val="sr-Latn-ME"/>
        </w:rPr>
        <w:t xml:space="preserve"> </w:t>
      </w:r>
      <w:r w:rsidR="00D836EE" w:rsidRPr="002B054B">
        <w:rPr>
          <w:sz w:val="22"/>
          <w:szCs w:val="22"/>
          <w:lang w:val="sr-Latn-ME"/>
        </w:rPr>
        <w:t xml:space="preserve">oksid, crveni (E172); </w:t>
      </w:r>
    </w:p>
    <w:p w14:paraId="22ABDE00" w14:textId="7E854489" w:rsidR="00D836EE" w:rsidRPr="002B054B" w:rsidRDefault="007B31B2" w:rsidP="002B054B">
      <w:pPr>
        <w:shd w:val="clear" w:color="auto" w:fill="FFFFFF"/>
        <w:tabs>
          <w:tab w:val="left" w:pos="284"/>
        </w:tabs>
        <w:jc w:val="both"/>
        <w:rPr>
          <w:sz w:val="22"/>
          <w:szCs w:val="22"/>
          <w:lang w:val="sr-Latn-ME"/>
        </w:rPr>
      </w:pPr>
      <w:r w:rsidRPr="002B054B">
        <w:rPr>
          <w:sz w:val="22"/>
          <w:szCs w:val="22"/>
          <w:lang w:val="sr-Latn-ME"/>
        </w:rPr>
        <w:t>G</w:t>
      </w:r>
      <w:r w:rsidR="00D836EE" w:rsidRPr="002B054B">
        <w:rPr>
          <w:sz w:val="22"/>
          <w:szCs w:val="22"/>
          <w:lang w:val="sr-Latn-ME"/>
        </w:rPr>
        <w:t>vožđe</w:t>
      </w:r>
      <w:r w:rsidR="008C67C3">
        <w:rPr>
          <w:sz w:val="22"/>
          <w:szCs w:val="22"/>
          <w:lang w:val="sr-Latn-ME"/>
        </w:rPr>
        <w:t xml:space="preserve"> </w:t>
      </w:r>
      <w:r w:rsidR="00D836EE" w:rsidRPr="002B054B">
        <w:rPr>
          <w:sz w:val="22"/>
          <w:szCs w:val="22"/>
          <w:lang w:val="sr-Latn-ME"/>
        </w:rPr>
        <w:t>(III)</w:t>
      </w:r>
      <w:r w:rsidR="008C67C3">
        <w:rPr>
          <w:sz w:val="22"/>
          <w:szCs w:val="22"/>
          <w:lang w:val="sr-Latn-ME"/>
        </w:rPr>
        <w:t xml:space="preserve"> </w:t>
      </w:r>
      <w:r w:rsidR="00D836EE" w:rsidRPr="002B054B">
        <w:rPr>
          <w:sz w:val="22"/>
          <w:szCs w:val="22"/>
          <w:lang w:val="sr-Latn-ME"/>
        </w:rPr>
        <w:t>oksid, žuti (E172).</w:t>
      </w:r>
    </w:p>
    <w:p w14:paraId="720A807B" w14:textId="77777777" w:rsidR="008C67C3" w:rsidRPr="00E80F20" w:rsidRDefault="008C67C3" w:rsidP="008C67C3">
      <w:pPr>
        <w:shd w:val="clear" w:color="auto" w:fill="FFFFFF"/>
        <w:tabs>
          <w:tab w:val="left" w:pos="284"/>
        </w:tabs>
        <w:jc w:val="both"/>
        <w:rPr>
          <w:sz w:val="22"/>
          <w:szCs w:val="22"/>
          <w:lang w:val="sr-Latn-ME"/>
        </w:rPr>
      </w:pPr>
      <w:r w:rsidRPr="00E80F20">
        <w:rPr>
          <w:sz w:val="22"/>
          <w:szCs w:val="22"/>
          <w:lang w:val="sr-Latn-ME"/>
        </w:rPr>
        <w:t xml:space="preserve">Titan dioksid (E171); </w:t>
      </w:r>
    </w:p>
    <w:p w14:paraId="718E3B6C" w14:textId="77777777" w:rsidR="0072020E" w:rsidRPr="0087318B" w:rsidRDefault="0072020E" w:rsidP="00A141C0">
      <w:pPr>
        <w:tabs>
          <w:tab w:val="left" w:pos="540"/>
          <w:tab w:val="left" w:pos="569"/>
        </w:tabs>
        <w:jc w:val="both"/>
        <w:rPr>
          <w:bCs/>
          <w:sz w:val="22"/>
          <w:szCs w:val="22"/>
          <w:lang w:val="sr-Latn-ME"/>
        </w:rPr>
      </w:pPr>
    </w:p>
    <w:p w14:paraId="788A8615" w14:textId="77777777" w:rsidR="0072020E" w:rsidRPr="0087318B" w:rsidRDefault="0072020E" w:rsidP="00A141C0">
      <w:pPr>
        <w:tabs>
          <w:tab w:val="left" w:pos="540"/>
          <w:tab w:val="left" w:pos="569"/>
        </w:tabs>
        <w:jc w:val="both"/>
        <w:rPr>
          <w:b/>
          <w:bCs/>
          <w:sz w:val="22"/>
          <w:szCs w:val="22"/>
          <w:lang w:val="sr-Latn-ME"/>
        </w:rPr>
      </w:pPr>
      <w:r w:rsidRPr="0087318B">
        <w:rPr>
          <w:b/>
          <w:bCs/>
          <w:sz w:val="22"/>
          <w:szCs w:val="22"/>
          <w:lang w:val="sr-Latn-ME"/>
        </w:rPr>
        <w:t xml:space="preserve">6.2. </w:t>
      </w:r>
      <w:r w:rsidR="00480FB1" w:rsidRPr="0087318B">
        <w:rPr>
          <w:b/>
          <w:bCs/>
          <w:sz w:val="22"/>
          <w:szCs w:val="22"/>
          <w:lang w:val="sr-Latn-ME"/>
        </w:rPr>
        <w:tab/>
      </w:r>
      <w:r w:rsidRPr="0087318B">
        <w:rPr>
          <w:b/>
          <w:bCs/>
          <w:sz w:val="22"/>
          <w:szCs w:val="22"/>
          <w:lang w:val="sr-Latn-ME"/>
        </w:rPr>
        <w:t>Inkompatibilnost</w:t>
      </w:r>
      <w:r w:rsidR="002846DB" w:rsidRPr="0087318B">
        <w:rPr>
          <w:b/>
          <w:bCs/>
          <w:sz w:val="22"/>
          <w:szCs w:val="22"/>
          <w:lang w:val="sr-Latn-ME"/>
        </w:rPr>
        <w:t>i</w:t>
      </w:r>
    </w:p>
    <w:p w14:paraId="1091D0B8" w14:textId="77777777" w:rsidR="00D836EE" w:rsidRPr="0087318B" w:rsidRDefault="00D836EE" w:rsidP="00A141C0">
      <w:pPr>
        <w:tabs>
          <w:tab w:val="left" w:pos="540"/>
          <w:tab w:val="left" w:pos="569"/>
        </w:tabs>
        <w:jc w:val="both"/>
        <w:rPr>
          <w:b/>
          <w:bCs/>
          <w:sz w:val="22"/>
          <w:szCs w:val="22"/>
          <w:lang w:val="sr-Latn-ME"/>
        </w:rPr>
      </w:pPr>
    </w:p>
    <w:p w14:paraId="7546CA8A" w14:textId="5BADC4B1" w:rsidR="0072020E" w:rsidRPr="0087318B" w:rsidRDefault="00D836EE" w:rsidP="00A141C0">
      <w:pPr>
        <w:tabs>
          <w:tab w:val="left" w:pos="540"/>
          <w:tab w:val="left" w:pos="569"/>
        </w:tabs>
        <w:jc w:val="both"/>
        <w:rPr>
          <w:sz w:val="22"/>
          <w:szCs w:val="22"/>
          <w:lang w:val="sr-Latn-ME"/>
        </w:rPr>
      </w:pPr>
      <w:r w:rsidRPr="0087318B">
        <w:rPr>
          <w:sz w:val="22"/>
          <w:szCs w:val="22"/>
          <w:lang w:val="sr-Latn-ME"/>
        </w:rPr>
        <w:t>Nije primjenljivo.</w:t>
      </w:r>
    </w:p>
    <w:p w14:paraId="4E30422F" w14:textId="77777777" w:rsidR="00D836EE" w:rsidRPr="0087318B" w:rsidRDefault="00D836EE" w:rsidP="00A141C0">
      <w:pPr>
        <w:tabs>
          <w:tab w:val="left" w:pos="540"/>
          <w:tab w:val="left" w:pos="569"/>
        </w:tabs>
        <w:jc w:val="both"/>
        <w:rPr>
          <w:bCs/>
          <w:sz w:val="22"/>
          <w:szCs w:val="22"/>
          <w:lang w:val="sr-Latn-ME"/>
        </w:rPr>
      </w:pPr>
    </w:p>
    <w:p w14:paraId="37D4F42A" w14:textId="77777777" w:rsidR="0072020E" w:rsidRPr="0087318B" w:rsidRDefault="0072020E" w:rsidP="00A141C0">
      <w:pPr>
        <w:tabs>
          <w:tab w:val="left" w:pos="540"/>
          <w:tab w:val="left" w:pos="569"/>
        </w:tabs>
        <w:jc w:val="both"/>
        <w:rPr>
          <w:b/>
          <w:bCs/>
          <w:sz w:val="22"/>
          <w:szCs w:val="22"/>
          <w:lang w:val="sr-Latn-ME"/>
        </w:rPr>
      </w:pPr>
      <w:r w:rsidRPr="0087318B">
        <w:rPr>
          <w:b/>
          <w:bCs/>
          <w:sz w:val="22"/>
          <w:szCs w:val="22"/>
          <w:lang w:val="sr-Latn-ME"/>
        </w:rPr>
        <w:t>6.3.</w:t>
      </w:r>
      <w:r w:rsidR="00C05DF8" w:rsidRPr="0087318B">
        <w:rPr>
          <w:b/>
          <w:bCs/>
          <w:sz w:val="22"/>
          <w:szCs w:val="22"/>
          <w:lang w:val="sr-Latn-ME"/>
        </w:rPr>
        <w:t xml:space="preserve"> </w:t>
      </w:r>
      <w:r w:rsidR="00480FB1" w:rsidRPr="0087318B">
        <w:rPr>
          <w:b/>
          <w:bCs/>
          <w:sz w:val="22"/>
          <w:szCs w:val="22"/>
          <w:lang w:val="sr-Latn-ME"/>
        </w:rPr>
        <w:tab/>
      </w:r>
      <w:r w:rsidRPr="0087318B">
        <w:rPr>
          <w:b/>
          <w:bCs/>
          <w:sz w:val="22"/>
          <w:szCs w:val="22"/>
          <w:lang w:val="sr-Latn-ME"/>
        </w:rPr>
        <w:t>Rok upotrebe</w:t>
      </w:r>
    </w:p>
    <w:p w14:paraId="10A2E7D1" w14:textId="77777777" w:rsidR="00D836EE" w:rsidRPr="0087318B" w:rsidRDefault="00D836EE" w:rsidP="00A141C0">
      <w:pPr>
        <w:tabs>
          <w:tab w:val="left" w:pos="540"/>
          <w:tab w:val="left" w:pos="569"/>
        </w:tabs>
        <w:jc w:val="both"/>
        <w:rPr>
          <w:b/>
          <w:bCs/>
          <w:sz w:val="22"/>
          <w:szCs w:val="22"/>
          <w:lang w:val="sr-Latn-ME"/>
        </w:rPr>
      </w:pPr>
    </w:p>
    <w:p w14:paraId="7FA7B59D" w14:textId="289F8C9F" w:rsidR="0072020E" w:rsidRPr="0087318B" w:rsidRDefault="00D836EE" w:rsidP="00A141C0">
      <w:pPr>
        <w:tabs>
          <w:tab w:val="left" w:pos="540"/>
          <w:tab w:val="left" w:pos="569"/>
        </w:tabs>
        <w:jc w:val="both"/>
        <w:rPr>
          <w:bCs/>
          <w:sz w:val="22"/>
          <w:lang w:val="sr-Latn-ME"/>
        </w:rPr>
      </w:pPr>
      <w:r w:rsidRPr="0087318B">
        <w:rPr>
          <w:bCs/>
          <w:sz w:val="22"/>
          <w:lang w:val="sr-Latn-ME"/>
        </w:rPr>
        <w:t>3 godine</w:t>
      </w:r>
      <w:r w:rsidR="008C67C3">
        <w:rPr>
          <w:bCs/>
          <w:sz w:val="22"/>
          <w:lang w:val="sr-Latn-ME"/>
        </w:rPr>
        <w:t>.</w:t>
      </w:r>
    </w:p>
    <w:p w14:paraId="2EA1043B" w14:textId="77777777" w:rsidR="00D836EE" w:rsidRPr="0087318B" w:rsidRDefault="00D836EE" w:rsidP="00A141C0">
      <w:pPr>
        <w:tabs>
          <w:tab w:val="left" w:pos="540"/>
          <w:tab w:val="left" w:pos="569"/>
        </w:tabs>
        <w:jc w:val="both"/>
        <w:rPr>
          <w:bCs/>
          <w:sz w:val="22"/>
          <w:szCs w:val="22"/>
          <w:lang w:val="sr-Latn-ME"/>
        </w:rPr>
      </w:pPr>
    </w:p>
    <w:p w14:paraId="5FEF3761" w14:textId="77777777" w:rsidR="0072020E" w:rsidRPr="0087318B" w:rsidRDefault="0072020E" w:rsidP="00A141C0">
      <w:pPr>
        <w:tabs>
          <w:tab w:val="left" w:pos="540"/>
          <w:tab w:val="left" w:pos="569"/>
        </w:tabs>
        <w:jc w:val="both"/>
        <w:rPr>
          <w:b/>
          <w:bCs/>
          <w:sz w:val="22"/>
          <w:szCs w:val="22"/>
          <w:lang w:val="sr-Latn-ME"/>
        </w:rPr>
      </w:pPr>
      <w:r w:rsidRPr="0087318B">
        <w:rPr>
          <w:b/>
          <w:bCs/>
          <w:sz w:val="22"/>
          <w:szCs w:val="22"/>
          <w:lang w:val="sr-Latn-ME"/>
        </w:rPr>
        <w:t xml:space="preserve">6.4. </w:t>
      </w:r>
      <w:r w:rsidR="00480FB1" w:rsidRPr="0087318B">
        <w:rPr>
          <w:b/>
          <w:bCs/>
          <w:sz w:val="22"/>
          <w:szCs w:val="22"/>
          <w:lang w:val="sr-Latn-ME"/>
        </w:rPr>
        <w:tab/>
      </w:r>
      <w:r w:rsidRPr="0087318B">
        <w:rPr>
          <w:b/>
          <w:bCs/>
          <w:sz w:val="22"/>
          <w:szCs w:val="22"/>
          <w:lang w:val="sr-Latn-ME"/>
        </w:rPr>
        <w:t>Posebne mjere upozorenja pri čuvanju</w:t>
      </w:r>
      <w:r w:rsidR="00F8570A" w:rsidRPr="0087318B">
        <w:rPr>
          <w:b/>
          <w:bCs/>
          <w:sz w:val="22"/>
          <w:szCs w:val="22"/>
          <w:lang w:val="sr-Latn-ME"/>
        </w:rPr>
        <w:t xml:space="preserve"> lijeka</w:t>
      </w:r>
    </w:p>
    <w:p w14:paraId="47B1FDAD" w14:textId="77777777" w:rsidR="00B857C4" w:rsidRPr="0087318B" w:rsidRDefault="00B857C4" w:rsidP="00A141C0">
      <w:pPr>
        <w:shd w:val="clear" w:color="auto" w:fill="FFFFFF"/>
        <w:tabs>
          <w:tab w:val="left" w:pos="284"/>
        </w:tabs>
        <w:jc w:val="both"/>
        <w:rPr>
          <w:color w:val="000000"/>
          <w:sz w:val="22"/>
          <w:szCs w:val="22"/>
          <w:lang w:val="sr-Latn-ME"/>
        </w:rPr>
      </w:pPr>
    </w:p>
    <w:p w14:paraId="4F907A35" w14:textId="3DC4AC37" w:rsidR="00D836EE" w:rsidRPr="0087318B" w:rsidRDefault="00D836EE" w:rsidP="00A141C0">
      <w:pPr>
        <w:shd w:val="clear" w:color="auto" w:fill="FFFFFF"/>
        <w:tabs>
          <w:tab w:val="left" w:pos="284"/>
        </w:tabs>
        <w:jc w:val="both"/>
        <w:rPr>
          <w:sz w:val="22"/>
          <w:szCs w:val="22"/>
          <w:lang w:val="sr-Latn-ME"/>
        </w:rPr>
      </w:pPr>
      <w:r w:rsidRPr="0087318B">
        <w:rPr>
          <w:color w:val="000000"/>
          <w:sz w:val="22"/>
          <w:szCs w:val="22"/>
          <w:lang w:val="sr-Latn-ME"/>
        </w:rPr>
        <w:t>Čuvati na temperaturi do 30°C,</w:t>
      </w:r>
      <w:r w:rsidRPr="0087318B">
        <w:rPr>
          <w:sz w:val="22"/>
          <w:szCs w:val="22"/>
          <w:lang w:val="sr-Latn-ME"/>
        </w:rPr>
        <w:t xml:space="preserve"> u originalnom pakovanju </w:t>
      </w:r>
      <w:r w:rsidR="00D900C9">
        <w:rPr>
          <w:sz w:val="22"/>
          <w:szCs w:val="22"/>
          <w:lang w:val="sr-Latn-ME"/>
        </w:rPr>
        <w:t>radi</w:t>
      </w:r>
      <w:r w:rsidRPr="0087318B">
        <w:rPr>
          <w:sz w:val="22"/>
          <w:szCs w:val="22"/>
          <w:lang w:val="sr-Latn-ME"/>
        </w:rPr>
        <w:t xml:space="preserve"> zaštite od vlage.</w:t>
      </w:r>
    </w:p>
    <w:p w14:paraId="772C5B14" w14:textId="77777777" w:rsidR="00EC2532" w:rsidRPr="0087318B" w:rsidRDefault="00EC2532" w:rsidP="00A141C0">
      <w:pPr>
        <w:tabs>
          <w:tab w:val="left" w:pos="540"/>
          <w:tab w:val="left" w:pos="569"/>
        </w:tabs>
        <w:jc w:val="both"/>
        <w:rPr>
          <w:bCs/>
          <w:sz w:val="22"/>
          <w:szCs w:val="22"/>
          <w:lang w:val="sr-Latn-ME"/>
        </w:rPr>
      </w:pPr>
    </w:p>
    <w:p w14:paraId="7BAEFC1B" w14:textId="77777777" w:rsidR="0072020E" w:rsidRPr="0087318B" w:rsidRDefault="0072020E" w:rsidP="00A141C0">
      <w:pPr>
        <w:tabs>
          <w:tab w:val="left" w:pos="540"/>
          <w:tab w:val="left" w:pos="569"/>
        </w:tabs>
        <w:jc w:val="both"/>
        <w:rPr>
          <w:b/>
          <w:bCs/>
          <w:sz w:val="22"/>
          <w:szCs w:val="22"/>
          <w:lang w:val="sr-Latn-ME"/>
        </w:rPr>
      </w:pPr>
      <w:r w:rsidRPr="0087318B">
        <w:rPr>
          <w:b/>
          <w:bCs/>
          <w:sz w:val="22"/>
          <w:szCs w:val="22"/>
          <w:lang w:val="sr-Latn-ME"/>
        </w:rPr>
        <w:t xml:space="preserve">6.5. </w:t>
      </w:r>
      <w:r w:rsidR="00480FB1" w:rsidRPr="0087318B">
        <w:rPr>
          <w:b/>
          <w:bCs/>
          <w:sz w:val="22"/>
          <w:szCs w:val="22"/>
          <w:lang w:val="sr-Latn-ME"/>
        </w:rPr>
        <w:tab/>
      </w:r>
      <w:r w:rsidR="002846DB" w:rsidRPr="0087318B">
        <w:rPr>
          <w:b/>
          <w:bCs/>
          <w:sz w:val="22"/>
          <w:szCs w:val="22"/>
          <w:lang w:val="sr-Latn-ME"/>
        </w:rPr>
        <w:t xml:space="preserve">Vrsta i sadržaj </w:t>
      </w:r>
      <w:r w:rsidR="00F8570A" w:rsidRPr="0087318B">
        <w:rPr>
          <w:b/>
          <w:bCs/>
          <w:sz w:val="22"/>
          <w:szCs w:val="22"/>
          <w:lang w:val="sr-Latn-ME"/>
        </w:rPr>
        <w:t>pakovanja</w:t>
      </w:r>
      <w:r w:rsidR="00C06864" w:rsidRPr="0087318B">
        <w:rPr>
          <w:b/>
          <w:bCs/>
          <w:sz w:val="22"/>
          <w:szCs w:val="22"/>
          <w:lang w:val="sr-Latn-ME"/>
        </w:rPr>
        <w:t xml:space="preserve"> </w:t>
      </w:r>
    </w:p>
    <w:p w14:paraId="15B4B17C" w14:textId="77777777" w:rsidR="00B857C4" w:rsidRPr="0087318B" w:rsidRDefault="00B857C4" w:rsidP="0084780A">
      <w:pPr>
        <w:shd w:val="clear" w:color="auto" w:fill="FFFFFF"/>
        <w:tabs>
          <w:tab w:val="left" w:pos="284"/>
        </w:tabs>
        <w:jc w:val="both"/>
        <w:rPr>
          <w:color w:val="000000"/>
          <w:sz w:val="22"/>
          <w:szCs w:val="22"/>
          <w:lang w:val="sr-Latn-ME"/>
        </w:rPr>
      </w:pPr>
    </w:p>
    <w:p w14:paraId="009ECD41" w14:textId="48ACCFA2" w:rsidR="00D836EE" w:rsidRPr="0087318B" w:rsidRDefault="00D900C9">
      <w:pPr>
        <w:shd w:val="clear" w:color="auto" w:fill="FFFFFF"/>
        <w:tabs>
          <w:tab w:val="left" w:pos="284"/>
        </w:tabs>
        <w:jc w:val="both"/>
        <w:rPr>
          <w:color w:val="000000"/>
          <w:sz w:val="22"/>
          <w:szCs w:val="22"/>
          <w:lang w:val="sr-Latn-ME"/>
        </w:rPr>
      </w:pPr>
      <w:r>
        <w:rPr>
          <w:color w:val="000000"/>
          <w:sz w:val="22"/>
          <w:szCs w:val="22"/>
          <w:lang w:val="sr-Latn-ME"/>
        </w:rPr>
        <w:t xml:space="preserve">Unutrašnje pakovanje je PVC/PVDC/Alu </w:t>
      </w:r>
      <w:r w:rsidR="00D836EE" w:rsidRPr="0087318B">
        <w:rPr>
          <w:color w:val="000000"/>
          <w:sz w:val="22"/>
          <w:szCs w:val="22"/>
          <w:lang w:val="sr-Latn-ME"/>
        </w:rPr>
        <w:t>blister sa 14 film tableta</w:t>
      </w:r>
      <w:r>
        <w:rPr>
          <w:color w:val="000000"/>
          <w:sz w:val="22"/>
          <w:szCs w:val="22"/>
          <w:lang w:val="sr-Latn-ME"/>
        </w:rPr>
        <w:t xml:space="preserve"> i označenim danima u ned</w:t>
      </w:r>
      <w:r w:rsidR="00F2267E">
        <w:rPr>
          <w:color w:val="000000"/>
          <w:sz w:val="22"/>
          <w:szCs w:val="22"/>
          <w:lang w:val="sr-Latn-ME"/>
        </w:rPr>
        <w:t>j</w:t>
      </w:r>
      <w:r>
        <w:rPr>
          <w:color w:val="000000"/>
          <w:sz w:val="22"/>
          <w:szCs w:val="22"/>
          <w:lang w:val="sr-Latn-ME"/>
        </w:rPr>
        <w:t>elji za doziranje (kalendarsko pakovanje)</w:t>
      </w:r>
      <w:r w:rsidR="00D836EE" w:rsidRPr="0087318B">
        <w:rPr>
          <w:color w:val="000000"/>
          <w:sz w:val="22"/>
          <w:szCs w:val="22"/>
          <w:lang w:val="sr-Latn-ME"/>
        </w:rPr>
        <w:t>.</w:t>
      </w:r>
    </w:p>
    <w:p w14:paraId="6734ED16" w14:textId="351429AC" w:rsidR="00D836EE" w:rsidRPr="0087318B" w:rsidRDefault="00D900C9">
      <w:pPr>
        <w:shd w:val="clear" w:color="auto" w:fill="FFFFFF"/>
        <w:tabs>
          <w:tab w:val="left" w:pos="284"/>
        </w:tabs>
        <w:jc w:val="both"/>
        <w:rPr>
          <w:sz w:val="22"/>
          <w:szCs w:val="22"/>
          <w:lang w:val="sr-Latn-ME"/>
        </w:rPr>
      </w:pPr>
      <w:r>
        <w:rPr>
          <w:sz w:val="22"/>
          <w:szCs w:val="22"/>
          <w:lang w:val="sr-Latn-ME"/>
        </w:rPr>
        <w:t xml:space="preserve">Spoljašnje pakovanje je složiva kartonska kutija u kojoj se nalaze </w:t>
      </w:r>
      <w:r w:rsidR="007C0E56">
        <w:rPr>
          <w:sz w:val="22"/>
          <w:szCs w:val="22"/>
          <w:lang w:val="sr-Latn-ME"/>
        </w:rPr>
        <w:t>2</w:t>
      </w:r>
      <w:r>
        <w:rPr>
          <w:sz w:val="22"/>
          <w:szCs w:val="22"/>
          <w:lang w:val="sr-Latn-ME"/>
        </w:rPr>
        <w:t xml:space="preserve"> </w:t>
      </w:r>
      <w:proofErr w:type="spellStart"/>
      <w:r>
        <w:rPr>
          <w:sz w:val="22"/>
          <w:szCs w:val="22"/>
          <w:lang w:val="sr-Latn-ME"/>
        </w:rPr>
        <w:t>blistera</w:t>
      </w:r>
      <w:proofErr w:type="spellEnd"/>
      <w:r>
        <w:rPr>
          <w:sz w:val="22"/>
          <w:szCs w:val="22"/>
          <w:lang w:val="sr-Latn-ME"/>
        </w:rPr>
        <w:t xml:space="preserve"> sa po 14 film tableta (ukupno 28 film tableta) i Uputstvo za lijek</w:t>
      </w:r>
      <w:r w:rsidR="00D836EE" w:rsidRPr="0087318B">
        <w:rPr>
          <w:sz w:val="22"/>
          <w:szCs w:val="22"/>
          <w:lang w:val="sr-Latn-ME"/>
        </w:rPr>
        <w:t>.</w:t>
      </w:r>
    </w:p>
    <w:p w14:paraId="030AA31B" w14:textId="77777777" w:rsidR="0072020E" w:rsidRPr="0087318B" w:rsidRDefault="0072020E" w:rsidP="00A141C0">
      <w:pPr>
        <w:tabs>
          <w:tab w:val="left" w:pos="540"/>
          <w:tab w:val="left" w:pos="569"/>
        </w:tabs>
        <w:jc w:val="both"/>
        <w:rPr>
          <w:bCs/>
          <w:sz w:val="22"/>
          <w:szCs w:val="22"/>
          <w:lang w:val="sr-Latn-ME"/>
        </w:rPr>
      </w:pPr>
    </w:p>
    <w:p w14:paraId="4A1FE9B2" w14:textId="77777777" w:rsidR="002846DB" w:rsidRPr="0087318B" w:rsidRDefault="0072020E" w:rsidP="00A141C0">
      <w:pPr>
        <w:tabs>
          <w:tab w:val="left" w:pos="540"/>
          <w:tab w:val="left" w:pos="569"/>
        </w:tabs>
        <w:jc w:val="both"/>
        <w:rPr>
          <w:b/>
          <w:bCs/>
          <w:sz w:val="22"/>
          <w:szCs w:val="22"/>
          <w:lang w:val="sr-Latn-ME"/>
        </w:rPr>
      </w:pPr>
      <w:r w:rsidRPr="0087318B">
        <w:rPr>
          <w:b/>
          <w:bCs/>
          <w:sz w:val="22"/>
          <w:szCs w:val="22"/>
          <w:lang w:val="sr-Latn-ME"/>
        </w:rPr>
        <w:t xml:space="preserve">6.6. </w:t>
      </w:r>
      <w:r w:rsidR="00480FB1" w:rsidRPr="0087318B">
        <w:rPr>
          <w:b/>
          <w:bCs/>
          <w:sz w:val="22"/>
          <w:szCs w:val="22"/>
          <w:lang w:val="sr-Latn-ME"/>
        </w:rPr>
        <w:tab/>
      </w:r>
      <w:r w:rsidRPr="0087318B">
        <w:rPr>
          <w:b/>
          <w:bCs/>
          <w:color w:val="000000"/>
          <w:sz w:val="22"/>
          <w:szCs w:val="22"/>
          <w:lang w:val="sr-Latn-ME"/>
        </w:rPr>
        <w:t>Posebne mjere opreza pri odlaganju materijala koji treba odbaciti nakon primjene lijeka</w:t>
      </w:r>
      <w:r w:rsidRPr="0087318B">
        <w:rPr>
          <w:b/>
          <w:bCs/>
          <w:sz w:val="22"/>
          <w:szCs w:val="22"/>
          <w:lang w:val="sr-Latn-ME"/>
        </w:rPr>
        <w:t xml:space="preserve"> </w:t>
      </w:r>
      <w:r w:rsidR="00310F03" w:rsidRPr="0087318B">
        <w:rPr>
          <w:b/>
          <w:bCs/>
          <w:sz w:val="22"/>
          <w:szCs w:val="22"/>
          <w:lang w:val="sr-Latn-ME"/>
        </w:rPr>
        <w:t>(i druga uputs</w:t>
      </w:r>
      <w:r w:rsidR="004109FA" w:rsidRPr="0087318B">
        <w:rPr>
          <w:b/>
          <w:bCs/>
          <w:sz w:val="22"/>
          <w:szCs w:val="22"/>
          <w:lang w:val="sr-Latn-ME"/>
        </w:rPr>
        <w:t>t</w:t>
      </w:r>
      <w:r w:rsidR="00310F03" w:rsidRPr="0087318B">
        <w:rPr>
          <w:b/>
          <w:bCs/>
          <w:sz w:val="22"/>
          <w:szCs w:val="22"/>
          <w:lang w:val="sr-Latn-ME"/>
        </w:rPr>
        <w:t xml:space="preserve">va za rukovanje lijekom) </w:t>
      </w:r>
    </w:p>
    <w:p w14:paraId="455535EC" w14:textId="77777777" w:rsidR="00B66A70" w:rsidRPr="0087318B" w:rsidRDefault="00B66A70" w:rsidP="00A141C0">
      <w:pPr>
        <w:tabs>
          <w:tab w:val="left" w:pos="540"/>
          <w:tab w:val="left" w:pos="569"/>
        </w:tabs>
        <w:jc w:val="both"/>
        <w:rPr>
          <w:b/>
          <w:bCs/>
          <w:sz w:val="22"/>
          <w:szCs w:val="22"/>
          <w:lang w:val="sr-Latn-ME"/>
        </w:rPr>
      </w:pPr>
    </w:p>
    <w:p w14:paraId="71026A8F" w14:textId="5BAFFB4F" w:rsidR="0072020E" w:rsidRPr="0087318B" w:rsidRDefault="00093209" w:rsidP="00A141C0">
      <w:pPr>
        <w:tabs>
          <w:tab w:val="left" w:pos="540"/>
          <w:tab w:val="left" w:pos="569"/>
        </w:tabs>
        <w:jc w:val="both"/>
        <w:rPr>
          <w:bCs/>
          <w:sz w:val="22"/>
          <w:szCs w:val="22"/>
          <w:lang w:val="sr-Latn-ME"/>
        </w:rPr>
      </w:pPr>
      <w:r w:rsidRPr="00093209">
        <w:rPr>
          <w:sz w:val="22"/>
          <w:lang w:val="sr-Latn-ME"/>
        </w:rPr>
        <w:t>Svu neiskorišćenu količinu l</w:t>
      </w:r>
      <w:r>
        <w:rPr>
          <w:sz w:val="22"/>
          <w:lang w:val="sr-Latn-ME"/>
        </w:rPr>
        <w:t>ij</w:t>
      </w:r>
      <w:r w:rsidRPr="00093209">
        <w:rPr>
          <w:sz w:val="22"/>
          <w:lang w:val="sr-Latn-ME"/>
        </w:rPr>
        <w:t>eka ili otpadnog materijala nakon njegove upotrebe treba ukloniti u skladu sa</w:t>
      </w:r>
      <w:r>
        <w:rPr>
          <w:sz w:val="22"/>
          <w:lang w:val="sr-Latn-ME"/>
        </w:rPr>
        <w:t xml:space="preserve"> </w:t>
      </w:r>
      <w:r w:rsidRPr="00093209">
        <w:rPr>
          <w:sz w:val="22"/>
          <w:lang w:val="sr-Latn-ME"/>
        </w:rPr>
        <w:t>važećim propisima.</w:t>
      </w:r>
    </w:p>
    <w:p w14:paraId="64B9634C" w14:textId="567B3E49" w:rsidR="00B857C4" w:rsidRDefault="00B857C4" w:rsidP="00A141C0">
      <w:pPr>
        <w:tabs>
          <w:tab w:val="left" w:pos="540"/>
          <w:tab w:val="left" w:pos="569"/>
        </w:tabs>
        <w:jc w:val="both"/>
        <w:rPr>
          <w:bCs/>
          <w:sz w:val="22"/>
          <w:szCs w:val="22"/>
          <w:lang w:val="sr-Latn-ME"/>
        </w:rPr>
      </w:pPr>
    </w:p>
    <w:p w14:paraId="51115634" w14:textId="04382B7B" w:rsidR="00093209" w:rsidRDefault="00093209" w:rsidP="00A141C0">
      <w:pPr>
        <w:tabs>
          <w:tab w:val="left" w:pos="540"/>
          <w:tab w:val="left" w:pos="569"/>
        </w:tabs>
        <w:jc w:val="both"/>
        <w:rPr>
          <w:bCs/>
          <w:sz w:val="22"/>
          <w:szCs w:val="22"/>
          <w:lang w:val="sr-Latn-ME"/>
        </w:rPr>
      </w:pPr>
    </w:p>
    <w:p w14:paraId="79E8CF8B" w14:textId="2A767539" w:rsidR="00093209" w:rsidRDefault="00093209" w:rsidP="00A141C0">
      <w:pPr>
        <w:tabs>
          <w:tab w:val="left" w:pos="540"/>
          <w:tab w:val="left" w:pos="569"/>
        </w:tabs>
        <w:jc w:val="both"/>
        <w:rPr>
          <w:bCs/>
          <w:sz w:val="22"/>
          <w:szCs w:val="22"/>
          <w:lang w:val="sr-Latn-ME"/>
        </w:rPr>
      </w:pPr>
    </w:p>
    <w:p w14:paraId="1D7BCE05" w14:textId="77777777" w:rsidR="00093209" w:rsidRPr="0087318B" w:rsidRDefault="00093209" w:rsidP="00A141C0">
      <w:pPr>
        <w:tabs>
          <w:tab w:val="left" w:pos="540"/>
          <w:tab w:val="left" w:pos="569"/>
        </w:tabs>
        <w:jc w:val="both"/>
        <w:rPr>
          <w:bCs/>
          <w:sz w:val="22"/>
          <w:szCs w:val="22"/>
          <w:lang w:val="sr-Latn-ME"/>
        </w:rPr>
      </w:pPr>
    </w:p>
    <w:p w14:paraId="04BEE943" w14:textId="77777777" w:rsidR="00F8570A" w:rsidRPr="0087318B" w:rsidRDefault="0072020E" w:rsidP="00A141C0">
      <w:pPr>
        <w:tabs>
          <w:tab w:val="left" w:pos="540"/>
          <w:tab w:val="left" w:pos="569"/>
        </w:tabs>
        <w:jc w:val="both"/>
        <w:rPr>
          <w:b/>
          <w:bCs/>
          <w:sz w:val="22"/>
          <w:szCs w:val="22"/>
          <w:lang w:val="sr-Latn-ME"/>
        </w:rPr>
      </w:pPr>
      <w:r w:rsidRPr="0087318B">
        <w:rPr>
          <w:b/>
          <w:bCs/>
          <w:sz w:val="22"/>
          <w:szCs w:val="22"/>
          <w:lang w:val="sr-Latn-ME"/>
        </w:rPr>
        <w:lastRenderedPageBreak/>
        <w:t xml:space="preserve">7. </w:t>
      </w:r>
      <w:r w:rsidR="00480FB1" w:rsidRPr="0087318B">
        <w:rPr>
          <w:b/>
          <w:bCs/>
          <w:sz w:val="22"/>
          <w:szCs w:val="22"/>
          <w:lang w:val="sr-Latn-ME"/>
        </w:rPr>
        <w:tab/>
      </w:r>
      <w:r w:rsidRPr="0087318B">
        <w:rPr>
          <w:b/>
          <w:bCs/>
          <w:sz w:val="22"/>
          <w:szCs w:val="22"/>
          <w:lang w:val="sr-Latn-ME"/>
        </w:rPr>
        <w:t>NOSILAC DOZVOLE</w:t>
      </w:r>
      <w:r w:rsidR="00483928" w:rsidRPr="0087318B">
        <w:rPr>
          <w:b/>
          <w:bCs/>
          <w:sz w:val="22"/>
          <w:szCs w:val="22"/>
          <w:lang w:val="sr-Latn-ME"/>
        </w:rPr>
        <w:t xml:space="preserve"> </w:t>
      </w:r>
    </w:p>
    <w:p w14:paraId="5786E97B" w14:textId="77777777" w:rsidR="003B0E37" w:rsidRPr="0087318B" w:rsidRDefault="003B0E37" w:rsidP="00A141C0">
      <w:pPr>
        <w:tabs>
          <w:tab w:val="center" w:pos="4536"/>
          <w:tab w:val="right" w:pos="9072"/>
        </w:tabs>
        <w:jc w:val="both"/>
        <w:rPr>
          <w:sz w:val="22"/>
          <w:szCs w:val="22"/>
          <w:lang w:val="sr-Latn-ME"/>
        </w:rPr>
      </w:pPr>
    </w:p>
    <w:p w14:paraId="5B3CCDBB" w14:textId="367C3EED" w:rsidR="003B0E37" w:rsidRPr="0087318B" w:rsidRDefault="003B0E37" w:rsidP="00A141C0">
      <w:pPr>
        <w:tabs>
          <w:tab w:val="center" w:pos="4536"/>
          <w:tab w:val="right" w:pos="9072"/>
        </w:tabs>
        <w:jc w:val="both"/>
        <w:rPr>
          <w:sz w:val="22"/>
          <w:szCs w:val="22"/>
          <w:lang w:val="sr-Latn-ME"/>
        </w:rPr>
      </w:pPr>
      <w:r w:rsidRPr="0087318B">
        <w:rPr>
          <w:sz w:val="22"/>
          <w:szCs w:val="22"/>
          <w:lang w:val="sr-Latn-ME"/>
        </w:rPr>
        <w:t>“Novartis Pharma Services AG” dio stranog društva Podgorica</w:t>
      </w:r>
    </w:p>
    <w:p w14:paraId="2B0765D0" w14:textId="4C24B589" w:rsidR="00C61BE0" w:rsidRPr="0087318B" w:rsidRDefault="003B0E37" w:rsidP="00A141C0">
      <w:pPr>
        <w:tabs>
          <w:tab w:val="left" w:pos="540"/>
          <w:tab w:val="left" w:pos="569"/>
        </w:tabs>
        <w:jc w:val="both"/>
        <w:rPr>
          <w:bCs/>
          <w:sz w:val="22"/>
          <w:szCs w:val="22"/>
          <w:lang w:val="sr-Latn-ME"/>
        </w:rPr>
      </w:pPr>
      <w:r w:rsidRPr="0087318B">
        <w:rPr>
          <w:sz w:val="22"/>
          <w:szCs w:val="22"/>
          <w:lang w:val="sr-Latn-ME"/>
        </w:rPr>
        <w:t>Ul. Svetlane Kane Radević br</w:t>
      </w:r>
      <w:r w:rsidR="00093209">
        <w:rPr>
          <w:sz w:val="22"/>
          <w:szCs w:val="22"/>
          <w:lang w:val="sr-Latn-ME"/>
        </w:rPr>
        <w:t>.</w:t>
      </w:r>
      <w:r w:rsidRPr="0087318B">
        <w:rPr>
          <w:sz w:val="22"/>
          <w:szCs w:val="22"/>
          <w:lang w:val="sr-Latn-ME"/>
        </w:rPr>
        <w:t xml:space="preserve"> 3, Podgorica</w:t>
      </w:r>
      <w:r w:rsidR="00093209">
        <w:rPr>
          <w:sz w:val="22"/>
          <w:szCs w:val="22"/>
          <w:lang w:val="sr-Latn-ME"/>
        </w:rPr>
        <w:t>, Crna Gora</w:t>
      </w:r>
    </w:p>
    <w:p w14:paraId="55D9B86C" w14:textId="3E5D85E4" w:rsidR="00C37FD7" w:rsidRPr="0087318B" w:rsidRDefault="00C37FD7" w:rsidP="00A141C0">
      <w:pPr>
        <w:tabs>
          <w:tab w:val="left" w:pos="540"/>
          <w:tab w:val="left" w:pos="569"/>
        </w:tabs>
        <w:jc w:val="both"/>
        <w:rPr>
          <w:bCs/>
          <w:sz w:val="22"/>
          <w:szCs w:val="22"/>
          <w:lang w:val="sr-Latn-ME"/>
        </w:rPr>
      </w:pPr>
    </w:p>
    <w:p w14:paraId="24E66148" w14:textId="77777777" w:rsidR="00B857C4" w:rsidRPr="0087318B" w:rsidRDefault="00B857C4" w:rsidP="00A141C0">
      <w:pPr>
        <w:tabs>
          <w:tab w:val="left" w:pos="540"/>
          <w:tab w:val="left" w:pos="569"/>
        </w:tabs>
        <w:jc w:val="both"/>
        <w:rPr>
          <w:bCs/>
          <w:sz w:val="22"/>
          <w:szCs w:val="22"/>
          <w:lang w:val="sr-Latn-ME"/>
        </w:rPr>
      </w:pPr>
    </w:p>
    <w:p w14:paraId="1C84FB9A" w14:textId="77777777" w:rsidR="0072020E" w:rsidRPr="0087318B" w:rsidRDefault="0072020E" w:rsidP="00A141C0">
      <w:pPr>
        <w:tabs>
          <w:tab w:val="left" w:pos="540"/>
          <w:tab w:val="left" w:pos="569"/>
        </w:tabs>
        <w:jc w:val="both"/>
        <w:rPr>
          <w:b/>
          <w:bCs/>
          <w:sz w:val="22"/>
          <w:szCs w:val="22"/>
          <w:lang w:val="sr-Latn-ME"/>
        </w:rPr>
      </w:pPr>
      <w:r w:rsidRPr="0087318B">
        <w:rPr>
          <w:b/>
          <w:bCs/>
          <w:sz w:val="22"/>
          <w:szCs w:val="22"/>
          <w:lang w:val="sr-Latn-ME"/>
        </w:rPr>
        <w:t xml:space="preserve">8. </w:t>
      </w:r>
      <w:r w:rsidR="00480FB1" w:rsidRPr="0087318B">
        <w:rPr>
          <w:b/>
          <w:bCs/>
          <w:sz w:val="22"/>
          <w:szCs w:val="22"/>
          <w:lang w:val="sr-Latn-ME"/>
        </w:rPr>
        <w:tab/>
      </w:r>
      <w:r w:rsidRPr="0087318B">
        <w:rPr>
          <w:b/>
          <w:bCs/>
          <w:sz w:val="22"/>
          <w:szCs w:val="22"/>
          <w:lang w:val="sr-Latn-ME"/>
        </w:rPr>
        <w:t>BROJ DOZVOLE</w:t>
      </w:r>
      <w:r w:rsidR="008A6D43" w:rsidRPr="0087318B">
        <w:rPr>
          <w:b/>
          <w:bCs/>
          <w:sz w:val="22"/>
          <w:szCs w:val="22"/>
          <w:lang w:val="sr-Latn-ME"/>
        </w:rPr>
        <w:t xml:space="preserve"> ZA STAVLJANJE LIJEKA U PROMET</w:t>
      </w:r>
    </w:p>
    <w:p w14:paraId="5E218F11" w14:textId="77777777" w:rsidR="00F844F4" w:rsidRPr="0087318B" w:rsidRDefault="00F844F4" w:rsidP="00A141C0">
      <w:pPr>
        <w:tabs>
          <w:tab w:val="left" w:pos="540"/>
          <w:tab w:val="left" w:pos="569"/>
        </w:tabs>
        <w:jc w:val="both"/>
        <w:rPr>
          <w:b/>
          <w:bCs/>
          <w:sz w:val="22"/>
          <w:szCs w:val="22"/>
          <w:lang w:val="sr-Latn-ME"/>
        </w:rPr>
      </w:pPr>
    </w:p>
    <w:p w14:paraId="1DDFB917" w14:textId="551AFD48" w:rsidR="00F45F77" w:rsidRPr="0087318B" w:rsidRDefault="007C0E56" w:rsidP="00A141C0">
      <w:pPr>
        <w:tabs>
          <w:tab w:val="left" w:pos="540"/>
          <w:tab w:val="left" w:pos="569"/>
        </w:tabs>
        <w:jc w:val="both"/>
        <w:rPr>
          <w:bCs/>
          <w:sz w:val="22"/>
          <w:szCs w:val="22"/>
          <w:lang w:val="sr-Latn-ME"/>
        </w:rPr>
      </w:pPr>
      <w:r w:rsidRPr="007C0E56">
        <w:rPr>
          <w:bCs/>
          <w:sz w:val="22"/>
          <w:szCs w:val="22"/>
        </w:rPr>
        <w:t>2030/25/170 - 4175</w:t>
      </w:r>
    </w:p>
    <w:p w14:paraId="033C76AA" w14:textId="48585F5D" w:rsidR="00B857C4" w:rsidRDefault="00B857C4" w:rsidP="00A141C0">
      <w:pPr>
        <w:tabs>
          <w:tab w:val="left" w:pos="540"/>
          <w:tab w:val="left" w:pos="569"/>
        </w:tabs>
        <w:jc w:val="both"/>
        <w:rPr>
          <w:bCs/>
          <w:sz w:val="22"/>
          <w:szCs w:val="22"/>
          <w:lang w:val="sr-Latn-ME"/>
        </w:rPr>
      </w:pPr>
    </w:p>
    <w:p w14:paraId="014F4536" w14:textId="77777777" w:rsidR="007C0E56" w:rsidRPr="0087318B" w:rsidRDefault="007C0E56" w:rsidP="00A141C0">
      <w:pPr>
        <w:tabs>
          <w:tab w:val="left" w:pos="540"/>
          <w:tab w:val="left" w:pos="569"/>
        </w:tabs>
        <w:jc w:val="both"/>
        <w:rPr>
          <w:bCs/>
          <w:sz w:val="22"/>
          <w:szCs w:val="22"/>
          <w:lang w:val="sr-Latn-ME"/>
        </w:rPr>
      </w:pPr>
    </w:p>
    <w:p w14:paraId="2ACC60C1" w14:textId="77777777" w:rsidR="0072020E" w:rsidRPr="0087318B" w:rsidRDefault="0072020E" w:rsidP="00A141C0">
      <w:pPr>
        <w:tabs>
          <w:tab w:val="left" w:pos="540"/>
          <w:tab w:val="left" w:pos="569"/>
        </w:tabs>
        <w:jc w:val="both"/>
        <w:rPr>
          <w:b/>
          <w:bCs/>
          <w:sz w:val="22"/>
          <w:szCs w:val="22"/>
          <w:lang w:val="sr-Latn-ME"/>
        </w:rPr>
      </w:pPr>
      <w:r w:rsidRPr="0087318B">
        <w:rPr>
          <w:b/>
          <w:bCs/>
          <w:sz w:val="22"/>
          <w:szCs w:val="22"/>
          <w:lang w:val="sr-Latn-ME"/>
        </w:rPr>
        <w:t xml:space="preserve">9. </w:t>
      </w:r>
      <w:r w:rsidR="00480FB1" w:rsidRPr="0087318B">
        <w:rPr>
          <w:b/>
          <w:bCs/>
          <w:sz w:val="22"/>
          <w:szCs w:val="22"/>
          <w:lang w:val="sr-Latn-ME"/>
        </w:rPr>
        <w:tab/>
      </w:r>
      <w:r w:rsidRPr="0087318B">
        <w:rPr>
          <w:b/>
          <w:bCs/>
          <w:sz w:val="22"/>
          <w:szCs w:val="22"/>
          <w:lang w:val="sr-Latn-ME"/>
        </w:rPr>
        <w:t xml:space="preserve">DATUM </w:t>
      </w:r>
      <w:r w:rsidR="00C05DF8" w:rsidRPr="0087318B">
        <w:rPr>
          <w:b/>
          <w:bCs/>
          <w:sz w:val="22"/>
          <w:szCs w:val="22"/>
          <w:lang w:val="sr-Latn-ME"/>
        </w:rPr>
        <w:t xml:space="preserve">PRVE </w:t>
      </w:r>
      <w:r w:rsidR="008A6D43" w:rsidRPr="0087318B">
        <w:rPr>
          <w:b/>
          <w:bCs/>
          <w:sz w:val="22"/>
          <w:szCs w:val="22"/>
          <w:lang w:val="sr-Latn-ME"/>
        </w:rPr>
        <w:t>DOZVOLE</w:t>
      </w:r>
      <w:r w:rsidR="00C05DF8" w:rsidRPr="0087318B">
        <w:rPr>
          <w:b/>
          <w:bCs/>
          <w:sz w:val="22"/>
          <w:szCs w:val="22"/>
          <w:lang w:val="sr-Latn-ME"/>
        </w:rPr>
        <w:t>/OBNOVE DOZVOLE</w:t>
      </w:r>
      <w:r w:rsidR="008A6D43" w:rsidRPr="0087318B">
        <w:rPr>
          <w:b/>
          <w:bCs/>
          <w:sz w:val="22"/>
          <w:szCs w:val="22"/>
          <w:lang w:val="sr-Latn-ME"/>
        </w:rPr>
        <w:t xml:space="preserve"> ZA STAVLJANJE LIJEKA U PROMET</w:t>
      </w:r>
    </w:p>
    <w:p w14:paraId="14BDA531" w14:textId="77777777" w:rsidR="003B0E37" w:rsidRPr="0087318B" w:rsidRDefault="003B0E37" w:rsidP="00A141C0">
      <w:pPr>
        <w:tabs>
          <w:tab w:val="left" w:pos="540"/>
          <w:tab w:val="left" w:pos="569"/>
        </w:tabs>
        <w:jc w:val="both"/>
        <w:rPr>
          <w:b/>
          <w:bCs/>
          <w:sz w:val="22"/>
          <w:szCs w:val="22"/>
          <w:lang w:val="sr-Latn-ME"/>
        </w:rPr>
      </w:pPr>
    </w:p>
    <w:p w14:paraId="00C25E5F" w14:textId="59C9F3D2" w:rsidR="003B0E37" w:rsidRPr="0087318B" w:rsidRDefault="00093209" w:rsidP="002B054B">
      <w:pPr>
        <w:tabs>
          <w:tab w:val="left" w:pos="284"/>
        </w:tabs>
        <w:rPr>
          <w:sz w:val="22"/>
          <w:szCs w:val="22"/>
          <w:lang w:val="sr-Latn-ME"/>
        </w:rPr>
      </w:pPr>
      <w:r>
        <w:rPr>
          <w:sz w:val="22"/>
          <w:szCs w:val="22"/>
          <w:lang w:val="sr-Latn-ME"/>
        </w:rPr>
        <w:t>Datum prve dozvole</w:t>
      </w:r>
      <w:r w:rsidR="003B0E37" w:rsidRPr="0087318B">
        <w:rPr>
          <w:sz w:val="22"/>
          <w:szCs w:val="22"/>
          <w:lang w:val="sr-Latn-ME"/>
        </w:rPr>
        <w:t>: 10.03.2014. godine</w:t>
      </w:r>
      <w:r>
        <w:rPr>
          <w:sz w:val="22"/>
          <w:szCs w:val="22"/>
          <w:lang w:val="sr-Latn-ME"/>
        </w:rPr>
        <w:br/>
        <w:t>Datum posl</w:t>
      </w:r>
      <w:r w:rsidR="00EC2374">
        <w:rPr>
          <w:sz w:val="22"/>
          <w:szCs w:val="22"/>
          <w:lang w:val="sr-Latn-ME"/>
        </w:rPr>
        <w:t>j</w:t>
      </w:r>
      <w:r>
        <w:rPr>
          <w:sz w:val="22"/>
          <w:szCs w:val="22"/>
          <w:lang w:val="sr-Latn-ME"/>
        </w:rPr>
        <w:t>ednje obnove dozvole:</w:t>
      </w:r>
      <w:r w:rsidR="007C0E56">
        <w:rPr>
          <w:sz w:val="22"/>
          <w:szCs w:val="22"/>
          <w:lang w:val="sr-Latn-ME"/>
        </w:rPr>
        <w:t xml:space="preserve"> </w:t>
      </w:r>
      <w:r w:rsidR="007C0E56" w:rsidRPr="007C0E56">
        <w:rPr>
          <w:sz w:val="22"/>
          <w:szCs w:val="22"/>
        </w:rPr>
        <w:t xml:space="preserve">16.01.2025. </w:t>
      </w:r>
      <w:proofErr w:type="spellStart"/>
      <w:proofErr w:type="gramStart"/>
      <w:r w:rsidR="007C0E56" w:rsidRPr="007C0E56">
        <w:rPr>
          <w:sz w:val="22"/>
          <w:szCs w:val="22"/>
        </w:rPr>
        <w:t>godine</w:t>
      </w:r>
      <w:proofErr w:type="spellEnd"/>
      <w:proofErr w:type="gramEnd"/>
    </w:p>
    <w:p w14:paraId="44FCCC79" w14:textId="0B06CF9E" w:rsidR="00836B35" w:rsidRPr="0087318B" w:rsidRDefault="00836B35" w:rsidP="00A141C0">
      <w:pPr>
        <w:tabs>
          <w:tab w:val="left" w:pos="540"/>
          <w:tab w:val="left" w:pos="569"/>
        </w:tabs>
        <w:jc w:val="both"/>
        <w:rPr>
          <w:bCs/>
          <w:sz w:val="22"/>
          <w:szCs w:val="22"/>
          <w:lang w:val="sr-Latn-ME"/>
        </w:rPr>
      </w:pPr>
    </w:p>
    <w:p w14:paraId="1F579E97" w14:textId="77777777" w:rsidR="00B857C4" w:rsidRPr="0087318B" w:rsidRDefault="00B857C4" w:rsidP="00B857C4">
      <w:pPr>
        <w:tabs>
          <w:tab w:val="left" w:pos="540"/>
          <w:tab w:val="left" w:pos="569"/>
        </w:tabs>
        <w:rPr>
          <w:bCs/>
          <w:sz w:val="22"/>
          <w:szCs w:val="22"/>
          <w:lang w:val="sr-Latn-ME"/>
        </w:rPr>
      </w:pPr>
    </w:p>
    <w:p w14:paraId="313D29C8" w14:textId="77777777" w:rsidR="003F6A59" w:rsidRPr="0087318B" w:rsidRDefault="0072020E" w:rsidP="00B857C4">
      <w:pPr>
        <w:tabs>
          <w:tab w:val="left" w:pos="540"/>
          <w:tab w:val="left" w:pos="569"/>
        </w:tabs>
        <w:ind w:left="540" w:hanging="540"/>
        <w:rPr>
          <w:bCs/>
          <w:sz w:val="22"/>
          <w:szCs w:val="22"/>
          <w:lang w:val="sr-Latn-ME"/>
        </w:rPr>
      </w:pPr>
      <w:r w:rsidRPr="0087318B">
        <w:rPr>
          <w:b/>
          <w:bCs/>
          <w:sz w:val="22"/>
          <w:szCs w:val="22"/>
          <w:lang w:val="sr-Latn-ME"/>
        </w:rPr>
        <w:t xml:space="preserve">10. </w:t>
      </w:r>
      <w:r w:rsidR="00480FB1" w:rsidRPr="0087318B">
        <w:rPr>
          <w:b/>
          <w:bCs/>
          <w:sz w:val="22"/>
          <w:szCs w:val="22"/>
          <w:lang w:val="sr-Latn-ME"/>
        </w:rPr>
        <w:tab/>
      </w:r>
      <w:r w:rsidR="002846DB" w:rsidRPr="0087318B">
        <w:rPr>
          <w:b/>
          <w:bCs/>
          <w:sz w:val="22"/>
          <w:szCs w:val="22"/>
          <w:lang w:val="sr-Latn-ME"/>
        </w:rPr>
        <w:t>D</w:t>
      </w:r>
      <w:r w:rsidR="00EC2532" w:rsidRPr="0087318B">
        <w:rPr>
          <w:b/>
          <w:bCs/>
          <w:sz w:val="22"/>
          <w:szCs w:val="22"/>
          <w:lang w:val="sr-Latn-ME"/>
        </w:rPr>
        <w:t xml:space="preserve">ATUM REVIZIJE TEKSTA </w:t>
      </w:r>
    </w:p>
    <w:p w14:paraId="12789FBF" w14:textId="77777777" w:rsidR="003F6A59" w:rsidRPr="0087318B" w:rsidRDefault="003F6A59" w:rsidP="00B857C4">
      <w:pPr>
        <w:tabs>
          <w:tab w:val="left" w:pos="540"/>
          <w:tab w:val="left" w:pos="569"/>
        </w:tabs>
        <w:rPr>
          <w:bCs/>
          <w:sz w:val="22"/>
          <w:szCs w:val="22"/>
          <w:lang w:val="sr-Latn-ME"/>
        </w:rPr>
      </w:pPr>
    </w:p>
    <w:p w14:paraId="28EB8669" w14:textId="348D944E" w:rsidR="003F6A59" w:rsidRPr="007C0E56" w:rsidRDefault="007C0E56" w:rsidP="00B857C4">
      <w:pPr>
        <w:tabs>
          <w:tab w:val="left" w:pos="540"/>
          <w:tab w:val="left" w:pos="569"/>
        </w:tabs>
        <w:rPr>
          <w:bCs/>
          <w:sz w:val="22"/>
          <w:szCs w:val="22"/>
          <w:lang w:val="sr-Latn-ME"/>
        </w:rPr>
      </w:pPr>
      <w:bookmarkStart w:id="0" w:name="_GoBack"/>
      <w:r w:rsidRPr="007C0E56">
        <w:rPr>
          <w:bCs/>
          <w:sz w:val="22"/>
          <w:szCs w:val="22"/>
          <w:lang w:val="sr-Latn-ME"/>
        </w:rPr>
        <w:t>Januar, 2025. godine</w:t>
      </w:r>
    </w:p>
    <w:bookmarkEnd w:id="0"/>
    <w:p w14:paraId="67E7C562" w14:textId="08AB9396" w:rsidR="003F6A59" w:rsidRPr="0087318B" w:rsidRDefault="003F6A59" w:rsidP="00B857C4">
      <w:pPr>
        <w:rPr>
          <w:sz w:val="22"/>
          <w:szCs w:val="22"/>
          <w:lang w:val="sr-Latn-ME"/>
        </w:rPr>
      </w:pPr>
    </w:p>
    <w:sectPr w:rsidR="003F6A59" w:rsidRPr="0087318B" w:rsidSect="002C0BC5">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DC3C2" w14:textId="77777777" w:rsidR="003D5F9A" w:rsidRDefault="003D5F9A">
      <w:r>
        <w:separator/>
      </w:r>
    </w:p>
  </w:endnote>
  <w:endnote w:type="continuationSeparator" w:id="0">
    <w:p w14:paraId="61214253" w14:textId="77777777" w:rsidR="003D5F9A" w:rsidRDefault="003D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4E0B" w14:textId="4118BE30" w:rsidR="00B43695" w:rsidRPr="00B23F69" w:rsidRDefault="00B4369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C0E56">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C0E56">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716D" w14:textId="77777777" w:rsidR="003D5F9A" w:rsidRDefault="003D5F9A">
      <w:r>
        <w:separator/>
      </w:r>
    </w:p>
  </w:footnote>
  <w:footnote w:type="continuationSeparator" w:id="0">
    <w:p w14:paraId="4AD96B97" w14:textId="77777777" w:rsidR="003D5F9A" w:rsidRDefault="003D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2B5BB0"/>
    <w:multiLevelType w:val="hybridMultilevel"/>
    <w:tmpl w:val="E11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AFD36D3"/>
    <w:multiLevelType w:val="hybridMultilevel"/>
    <w:tmpl w:val="DD50DCEC"/>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916"/>
    <w:rsid w:val="00033469"/>
    <w:rsid w:val="00036FA0"/>
    <w:rsid w:val="0003793F"/>
    <w:rsid w:val="0004360F"/>
    <w:rsid w:val="00045130"/>
    <w:rsid w:val="00057E35"/>
    <w:rsid w:val="00067C2E"/>
    <w:rsid w:val="00074969"/>
    <w:rsid w:val="00075E28"/>
    <w:rsid w:val="00076726"/>
    <w:rsid w:val="00080303"/>
    <w:rsid w:val="00083D02"/>
    <w:rsid w:val="0009261C"/>
    <w:rsid w:val="00093209"/>
    <w:rsid w:val="000A3F58"/>
    <w:rsid w:val="000C571F"/>
    <w:rsid w:val="000D2343"/>
    <w:rsid w:val="000D3449"/>
    <w:rsid w:val="000D425A"/>
    <w:rsid w:val="000D60CC"/>
    <w:rsid w:val="000D645C"/>
    <w:rsid w:val="000E2084"/>
    <w:rsid w:val="000E3C60"/>
    <w:rsid w:val="000E511D"/>
    <w:rsid w:val="000E6F55"/>
    <w:rsid w:val="000F4042"/>
    <w:rsid w:val="000F77FA"/>
    <w:rsid w:val="00107BF7"/>
    <w:rsid w:val="00126F53"/>
    <w:rsid w:val="00130403"/>
    <w:rsid w:val="0014766D"/>
    <w:rsid w:val="001536CC"/>
    <w:rsid w:val="00176621"/>
    <w:rsid w:val="001861A3"/>
    <w:rsid w:val="00195313"/>
    <w:rsid w:val="001A3FBA"/>
    <w:rsid w:val="001A5518"/>
    <w:rsid w:val="001B1C6A"/>
    <w:rsid w:val="001C1263"/>
    <w:rsid w:val="001C1417"/>
    <w:rsid w:val="001E390B"/>
    <w:rsid w:val="001F42FB"/>
    <w:rsid w:val="001F719A"/>
    <w:rsid w:val="002031B3"/>
    <w:rsid w:val="0021127C"/>
    <w:rsid w:val="00215931"/>
    <w:rsid w:val="00215D5A"/>
    <w:rsid w:val="00224C91"/>
    <w:rsid w:val="00227BDB"/>
    <w:rsid w:val="002337F5"/>
    <w:rsid w:val="00234CB1"/>
    <w:rsid w:val="002352F8"/>
    <w:rsid w:val="002510A5"/>
    <w:rsid w:val="00254A0A"/>
    <w:rsid w:val="00261A0C"/>
    <w:rsid w:val="00266046"/>
    <w:rsid w:val="002846DB"/>
    <w:rsid w:val="00284CCD"/>
    <w:rsid w:val="002B054B"/>
    <w:rsid w:val="002C0BC5"/>
    <w:rsid w:val="002C2126"/>
    <w:rsid w:val="002C6637"/>
    <w:rsid w:val="002E0135"/>
    <w:rsid w:val="002E37A5"/>
    <w:rsid w:val="00310F03"/>
    <w:rsid w:val="003247D2"/>
    <w:rsid w:val="003445C1"/>
    <w:rsid w:val="0034697F"/>
    <w:rsid w:val="00355B61"/>
    <w:rsid w:val="00362686"/>
    <w:rsid w:val="003668EA"/>
    <w:rsid w:val="00371510"/>
    <w:rsid w:val="003804DF"/>
    <w:rsid w:val="00396DFD"/>
    <w:rsid w:val="003A7059"/>
    <w:rsid w:val="003B0E37"/>
    <w:rsid w:val="003B7A36"/>
    <w:rsid w:val="003C17AB"/>
    <w:rsid w:val="003C6529"/>
    <w:rsid w:val="003C7823"/>
    <w:rsid w:val="003D5F9A"/>
    <w:rsid w:val="003E1DCC"/>
    <w:rsid w:val="003F11A1"/>
    <w:rsid w:val="003F6A59"/>
    <w:rsid w:val="004065C8"/>
    <w:rsid w:val="004109FA"/>
    <w:rsid w:val="00411B4B"/>
    <w:rsid w:val="00415BEE"/>
    <w:rsid w:val="00423274"/>
    <w:rsid w:val="004254E9"/>
    <w:rsid w:val="00427F85"/>
    <w:rsid w:val="00436F42"/>
    <w:rsid w:val="004378B4"/>
    <w:rsid w:val="00447A54"/>
    <w:rsid w:val="00451314"/>
    <w:rsid w:val="00452E9D"/>
    <w:rsid w:val="004534C7"/>
    <w:rsid w:val="004671AA"/>
    <w:rsid w:val="00471DF8"/>
    <w:rsid w:val="00475BEA"/>
    <w:rsid w:val="00480FB1"/>
    <w:rsid w:val="00483928"/>
    <w:rsid w:val="004C331F"/>
    <w:rsid w:val="004D6103"/>
    <w:rsid w:val="004E3BCE"/>
    <w:rsid w:val="004E70AD"/>
    <w:rsid w:val="004F0E97"/>
    <w:rsid w:val="004F17E2"/>
    <w:rsid w:val="004F44EC"/>
    <w:rsid w:val="00501DD1"/>
    <w:rsid w:val="00515C21"/>
    <w:rsid w:val="00530BD7"/>
    <w:rsid w:val="00545CD2"/>
    <w:rsid w:val="005476F3"/>
    <w:rsid w:val="00555F5A"/>
    <w:rsid w:val="00572527"/>
    <w:rsid w:val="00573E40"/>
    <w:rsid w:val="00576348"/>
    <w:rsid w:val="00576CE4"/>
    <w:rsid w:val="00577E12"/>
    <w:rsid w:val="005A0B2E"/>
    <w:rsid w:val="005A23D2"/>
    <w:rsid w:val="005A36CB"/>
    <w:rsid w:val="005B49B8"/>
    <w:rsid w:val="005C0741"/>
    <w:rsid w:val="005C5EF4"/>
    <w:rsid w:val="005D0AEA"/>
    <w:rsid w:val="005E2E0B"/>
    <w:rsid w:val="005E67AD"/>
    <w:rsid w:val="005E7A7D"/>
    <w:rsid w:val="00600722"/>
    <w:rsid w:val="00602457"/>
    <w:rsid w:val="006343EA"/>
    <w:rsid w:val="00644FC3"/>
    <w:rsid w:val="00645B10"/>
    <w:rsid w:val="00646BD1"/>
    <w:rsid w:val="006561C2"/>
    <w:rsid w:val="00671CB3"/>
    <w:rsid w:val="00673A62"/>
    <w:rsid w:val="00674BAF"/>
    <w:rsid w:val="00682200"/>
    <w:rsid w:val="00685093"/>
    <w:rsid w:val="00692BF6"/>
    <w:rsid w:val="006A1351"/>
    <w:rsid w:val="006A1497"/>
    <w:rsid w:val="006B0BD1"/>
    <w:rsid w:val="006B4923"/>
    <w:rsid w:val="006B5404"/>
    <w:rsid w:val="006D20A5"/>
    <w:rsid w:val="006D37BF"/>
    <w:rsid w:val="006F2837"/>
    <w:rsid w:val="00702E22"/>
    <w:rsid w:val="0072020E"/>
    <w:rsid w:val="00726006"/>
    <w:rsid w:val="00732FEB"/>
    <w:rsid w:val="00754902"/>
    <w:rsid w:val="00786071"/>
    <w:rsid w:val="00793920"/>
    <w:rsid w:val="007A3ECB"/>
    <w:rsid w:val="007A6357"/>
    <w:rsid w:val="007B31B2"/>
    <w:rsid w:val="007B55E6"/>
    <w:rsid w:val="007C0E56"/>
    <w:rsid w:val="007C149F"/>
    <w:rsid w:val="007D7BB3"/>
    <w:rsid w:val="007E02BD"/>
    <w:rsid w:val="007E31E9"/>
    <w:rsid w:val="007F05E3"/>
    <w:rsid w:val="007F5227"/>
    <w:rsid w:val="00810CB1"/>
    <w:rsid w:val="00824AB9"/>
    <w:rsid w:val="0083038C"/>
    <w:rsid w:val="00836B35"/>
    <w:rsid w:val="00843BDE"/>
    <w:rsid w:val="0084780A"/>
    <w:rsid w:val="0087318B"/>
    <w:rsid w:val="0087588C"/>
    <w:rsid w:val="0089705C"/>
    <w:rsid w:val="008A5F27"/>
    <w:rsid w:val="008A6D43"/>
    <w:rsid w:val="008B491E"/>
    <w:rsid w:val="008C0B81"/>
    <w:rsid w:val="008C1A28"/>
    <w:rsid w:val="008C2E98"/>
    <w:rsid w:val="008C67C3"/>
    <w:rsid w:val="008D041F"/>
    <w:rsid w:val="008D4E1F"/>
    <w:rsid w:val="008E420A"/>
    <w:rsid w:val="008E49BD"/>
    <w:rsid w:val="008E519A"/>
    <w:rsid w:val="008E53E9"/>
    <w:rsid w:val="008E5771"/>
    <w:rsid w:val="008F4ACF"/>
    <w:rsid w:val="00924166"/>
    <w:rsid w:val="00940B9B"/>
    <w:rsid w:val="00953573"/>
    <w:rsid w:val="0095676E"/>
    <w:rsid w:val="00956983"/>
    <w:rsid w:val="00963CF0"/>
    <w:rsid w:val="00964BB1"/>
    <w:rsid w:val="009775D9"/>
    <w:rsid w:val="00985242"/>
    <w:rsid w:val="00997175"/>
    <w:rsid w:val="009A1847"/>
    <w:rsid w:val="009B062A"/>
    <w:rsid w:val="009B125D"/>
    <w:rsid w:val="009C4DAA"/>
    <w:rsid w:val="009E7C6F"/>
    <w:rsid w:val="009F1793"/>
    <w:rsid w:val="009F2D23"/>
    <w:rsid w:val="009F3FFA"/>
    <w:rsid w:val="00A00073"/>
    <w:rsid w:val="00A01D69"/>
    <w:rsid w:val="00A02335"/>
    <w:rsid w:val="00A141C0"/>
    <w:rsid w:val="00A22E53"/>
    <w:rsid w:val="00A411C7"/>
    <w:rsid w:val="00A44051"/>
    <w:rsid w:val="00A46C9A"/>
    <w:rsid w:val="00A619F3"/>
    <w:rsid w:val="00A62A73"/>
    <w:rsid w:val="00A66F57"/>
    <w:rsid w:val="00A87FF6"/>
    <w:rsid w:val="00A91997"/>
    <w:rsid w:val="00A922C6"/>
    <w:rsid w:val="00AA0A3B"/>
    <w:rsid w:val="00AA2763"/>
    <w:rsid w:val="00AA33B6"/>
    <w:rsid w:val="00AB50CA"/>
    <w:rsid w:val="00AB6D64"/>
    <w:rsid w:val="00AC5275"/>
    <w:rsid w:val="00AC53CE"/>
    <w:rsid w:val="00AD2193"/>
    <w:rsid w:val="00AD67AA"/>
    <w:rsid w:val="00AF19F4"/>
    <w:rsid w:val="00AF2AC7"/>
    <w:rsid w:val="00AF5FC7"/>
    <w:rsid w:val="00AF74CE"/>
    <w:rsid w:val="00B175F4"/>
    <w:rsid w:val="00B208DB"/>
    <w:rsid w:val="00B23F69"/>
    <w:rsid w:val="00B43695"/>
    <w:rsid w:val="00B55F58"/>
    <w:rsid w:val="00B60619"/>
    <w:rsid w:val="00B6239E"/>
    <w:rsid w:val="00B6676F"/>
    <w:rsid w:val="00B66A70"/>
    <w:rsid w:val="00B67366"/>
    <w:rsid w:val="00B70B23"/>
    <w:rsid w:val="00B80EE1"/>
    <w:rsid w:val="00B84135"/>
    <w:rsid w:val="00B857C4"/>
    <w:rsid w:val="00C04D34"/>
    <w:rsid w:val="00C05DF8"/>
    <w:rsid w:val="00C06864"/>
    <w:rsid w:val="00C10F54"/>
    <w:rsid w:val="00C23D8D"/>
    <w:rsid w:val="00C37AA3"/>
    <w:rsid w:val="00C37FD7"/>
    <w:rsid w:val="00C43419"/>
    <w:rsid w:val="00C44CF3"/>
    <w:rsid w:val="00C61BE0"/>
    <w:rsid w:val="00C641FF"/>
    <w:rsid w:val="00C6707E"/>
    <w:rsid w:val="00C70B0E"/>
    <w:rsid w:val="00C773CA"/>
    <w:rsid w:val="00C81D72"/>
    <w:rsid w:val="00C83785"/>
    <w:rsid w:val="00C87FA8"/>
    <w:rsid w:val="00C94C0D"/>
    <w:rsid w:val="00CA1FEB"/>
    <w:rsid w:val="00CC2A80"/>
    <w:rsid w:val="00CD4F85"/>
    <w:rsid w:val="00CD6F02"/>
    <w:rsid w:val="00CE246D"/>
    <w:rsid w:val="00CF07A0"/>
    <w:rsid w:val="00CF3E03"/>
    <w:rsid w:val="00D0082A"/>
    <w:rsid w:val="00D21455"/>
    <w:rsid w:val="00D37A65"/>
    <w:rsid w:val="00D46BB3"/>
    <w:rsid w:val="00D47634"/>
    <w:rsid w:val="00D6679F"/>
    <w:rsid w:val="00D709B3"/>
    <w:rsid w:val="00D74AD0"/>
    <w:rsid w:val="00D74CD2"/>
    <w:rsid w:val="00D7592D"/>
    <w:rsid w:val="00D81023"/>
    <w:rsid w:val="00D836EE"/>
    <w:rsid w:val="00D900C9"/>
    <w:rsid w:val="00D9745C"/>
    <w:rsid w:val="00DA2ED6"/>
    <w:rsid w:val="00DA7351"/>
    <w:rsid w:val="00DB1D55"/>
    <w:rsid w:val="00DB76B8"/>
    <w:rsid w:val="00DC2EA1"/>
    <w:rsid w:val="00DD6AAF"/>
    <w:rsid w:val="00DE3F5C"/>
    <w:rsid w:val="00DE6860"/>
    <w:rsid w:val="00DF17E1"/>
    <w:rsid w:val="00DF1D20"/>
    <w:rsid w:val="00E21324"/>
    <w:rsid w:val="00E246B9"/>
    <w:rsid w:val="00E31FEA"/>
    <w:rsid w:val="00E4197D"/>
    <w:rsid w:val="00E41AF9"/>
    <w:rsid w:val="00E45169"/>
    <w:rsid w:val="00E47787"/>
    <w:rsid w:val="00E51C30"/>
    <w:rsid w:val="00E64180"/>
    <w:rsid w:val="00E7235D"/>
    <w:rsid w:val="00E73D2E"/>
    <w:rsid w:val="00E74AEE"/>
    <w:rsid w:val="00E76ABD"/>
    <w:rsid w:val="00E868E5"/>
    <w:rsid w:val="00E9237A"/>
    <w:rsid w:val="00E939FA"/>
    <w:rsid w:val="00EA5765"/>
    <w:rsid w:val="00EC2374"/>
    <w:rsid w:val="00EC2532"/>
    <w:rsid w:val="00EC2D7B"/>
    <w:rsid w:val="00EC41F7"/>
    <w:rsid w:val="00ED2C7C"/>
    <w:rsid w:val="00ED7812"/>
    <w:rsid w:val="00EF3B86"/>
    <w:rsid w:val="00F107F7"/>
    <w:rsid w:val="00F21413"/>
    <w:rsid w:val="00F2267E"/>
    <w:rsid w:val="00F317E9"/>
    <w:rsid w:val="00F34554"/>
    <w:rsid w:val="00F35B68"/>
    <w:rsid w:val="00F45F77"/>
    <w:rsid w:val="00F5167F"/>
    <w:rsid w:val="00F52258"/>
    <w:rsid w:val="00F82A78"/>
    <w:rsid w:val="00F844F4"/>
    <w:rsid w:val="00F8570A"/>
    <w:rsid w:val="00F91C7B"/>
    <w:rsid w:val="00FA2D3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F2EA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D836EE"/>
    <w:rPr>
      <w:sz w:val="24"/>
      <w:szCs w:val="24"/>
      <w:lang w:val="en-US" w:eastAsia="en-US"/>
    </w:rPr>
  </w:style>
  <w:style w:type="paragraph" w:styleId="ListParagraph">
    <w:name w:val="List Paragraph"/>
    <w:basedOn w:val="Normal"/>
    <w:uiPriority w:val="34"/>
    <w:qFormat/>
    <w:rsid w:val="007B3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D147E-D755-490F-A278-90042E65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8044</Words>
  <Characters>45851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53788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2025-01-16T08:27:00Z</dcterms:created>
  <dcterms:modified xsi:type="dcterms:W3CDTF">2025-01-16T09:21:00Z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2024-04-01T14:22:08Z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224648b1-c26a-4f29-82a1-3fa38ea82854</vt:lpwstr>
  </property>
  <property fmtid="{D5CDD505-2E9C-101B-9397-08002B2CF9AE}" pid="9" name="MSIP_Label_3c9bec58-8084-492e-8360-0e1cfe36408c_ContentBits">
    <vt:lpwstr>0</vt:lpwstr>
  </property>
</Properties>
</file>