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4002" w14:textId="77777777" w:rsidR="007A5334" w:rsidRPr="00BE18A2" w:rsidRDefault="007A5334" w:rsidP="007A5334">
      <w:pPr>
        <w:widowControl w:val="0"/>
        <w:jc w:val="center"/>
        <w:rPr>
          <w:b/>
          <w:bCs/>
          <w:iCs/>
          <w:noProof/>
          <w:szCs w:val="22"/>
          <w:u w:val="single"/>
          <w:lang w:val="sr-Latn-ME"/>
        </w:rPr>
      </w:pPr>
      <w:r w:rsidRPr="00BE18A2">
        <w:rPr>
          <w:b/>
          <w:bCs/>
          <w:iCs/>
          <w:noProof/>
          <w:szCs w:val="22"/>
          <w:u w:val="single"/>
          <w:lang w:val="sr-Latn-ME"/>
        </w:rPr>
        <w:t>SAŽETAK KARAKTERISTIKA LIJEKA</w:t>
      </w:r>
    </w:p>
    <w:p w14:paraId="6387601F" w14:textId="77777777" w:rsidR="007A5334" w:rsidRPr="00BE18A2" w:rsidRDefault="007A5334" w:rsidP="007A5334">
      <w:pPr>
        <w:widowControl w:val="0"/>
        <w:jc w:val="both"/>
        <w:rPr>
          <w:bCs/>
          <w:iCs/>
          <w:noProof/>
          <w:szCs w:val="22"/>
          <w:lang w:val="sr-Latn-ME"/>
        </w:rPr>
      </w:pPr>
    </w:p>
    <w:p w14:paraId="5B7F6578" w14:textId="77777777" w:rsidR="007A5334" w:rsidRPr="00BE18A2" w:rsidRDefault="007A5334" w:rsidP="007A5334">
      <w:pPr>
        <w:widowControl w:val="0"/>
        <w:jc w:val="both"/>
        <w:rPr>
          <w:bCs/>
          <w:iCs/>
          <w:noProof/>
          <w:szCs w:val="22"/>
          <w:lang w:val="sr-Latn-ME"/>
        </w:rPr>
      </w:pPr>
    </w:p>
    <w:p w14:paraId="41648F20" w14:textId="77777777" w:rsidR="007A5334" w:rsidRPr="00BE18A2" w:rsidRDefault="007A5334" w:rsidP="007A5334">
      <w:pPr>
        <w:widowControl w:val="0"/>
        <w:jc w:val="both"/>
        <w:rPr>
          <w:b/>
          <w:szCs w:val="22"/>
          <w:lang w:val="sr-Latn-ME"/>
        </w:rPr>
      </w:pPr>
      <w:r w:rsidRPr="00BE18A2">
        <w:rPr>
          <w:b/>
          <w:bCs/>
          <w:iCs/>
          <w:noProof/>
          <w:szCs w:val="22"/>
          <w:lang w:val="sr-Latn-ME"/>
        </w:rPr>
        <w:t>1.</w:t>
      </w:r>
      <w:r w:rsidRPr="00BE18A2">
        <w:rPr>
          <w:b/>
          <w:bCs/>
          <w:iCs/>
          <w:noProof/>
          <w:szCs w:val="22"/>
          <w:lang w:val="sr-Latn-ME"/>
        </w:rPr>
        <w:tab/>
      </w:r>
      <w:r w:rsidRPr="00BE18A2">
        <w:rPr>
          <w:b/>
          <w:szCs w:val="22"/>
          <w:lang w:val="sr-Latn-ME"/>
        </w:rPr>
        <w:t>NAZIV LIJEKA</w:t>
      </w:r>
    </w:p>
    <w:p w14:paraId="49D392FE" w14:textId="77777777" w:rsidR="007A5334" w:rsidRPr="00BE18A2" w:rsidRDefault="007A5334" w:rsidP="007A5334">
      <w:pPr>
        <w:widowControl w:val="0"/>
        <w:jc w:val="both"/>
        <w:rPr>
          <w:iCs/>
          <w:szCs w:val="22"/>
          <w:lang w:val="sr-Latn-ME"/>
        </w:rPr>
      </w:pPr>
    </w:p>
    <w:p w14:paraId="54BB0858" w14:textId="4631BAF2" w:rsidR="007A5334" w:rsidRPr="00BE18A2" w:rsidRDefault="007A5334" w:rsidP="007A5334">
      <w:pPr>
        <w:widowControl w:val="0"/>
        <w:jc w:val="both"/>
        <w:rPr>
          <w:noProof/>
          <w:szCs w:val="22"/>
          <w:lang w:val="sr-Latn-ME"/>
        </w:rPr>
      </w:pPr>
      <w:r w:rsidRPr="00BE18A2">
        <w:rPr>
          <w:noProof/>
          <w:szCs w:val="22"/>
          <w:lang w:val="sr-Latn-ME"/>
        </w:rPr>
        <w:t>Septolete total limun i zova, 3 mg + 1 mg, lozenga</w:t>
      </w:r>
    </w:p>
    <w:p w14:paraId="263BEB4A" w14:textId="77777777" w:rsidR="007A5334" w:rsidRPr="00BE18A2" w:rsidRDefault="007A5334" w:rsidP="007A5334">
      <w:pPr>
        <w:widowControl w:val="0"/>
        <w:jc w:val="both"/>
        <w:rPr>
          <w:noProof/>
          <w:szCs w:val="22"/>
          <w:lang w:val="sr-Latn-ME"/>
        </w:rPr>
      </w:pPr>
    </w:p>
    <w:p w14:paraId="63BE4F1F" w14:textId="77777777" w:rsidR="007A5334" w:rsidRPr="00BE18A2" w:rsidRDefault="007A5334" w:rsidP="007A5334">
      <w:pPr>
        <w:jc w:val="both"/>
        <w:rPr>
          <w:i/>
          <w:szCs w:val="22"/>
          <w:lang w:val="sr-Latn-ME" w:eastAsia="hr-HR"/>
        </w:rPr>
      </w:pPr>
      <w:r w:rsidRPr="00BE18A2">
        <w:rPr>
          <w:szCs w:val="22"/>
          <w:lang w:val="sr-Latn-ME" w:eastAsia="ar-SA"/>
        </w:rPr>
        <w:t>INN:</w:t>
      </w:r>
      <w:r w:rsidRPr="00BE18A2">
        <w:rPr>
          <w:i/>
          <w:szCs w:val="22"/>
          <w:lang w:val="sr-Latn-ME" w:eastAsia="hr-HR"/>
        </w:rPr>
        <w:t xml:space="preserve"> </w:t>
      </w:r>
      <w:r w:rsidRPr="00BE18A2">
        <w:rPr>
          <w:szCs w:val="22"/>
          <w:lang w:val="sr-Latn-ME" w:eastAsia="hr-HR"/>
        </w:rPr>
        <w:t>benzidamin, cetilpiridinijum</w:t>
      </w:r>
    </w:p>
    <w:p w14:paraId="16EE3EEB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4CF06B01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3E45D097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  <w:r w:rsidRPr="00BE18A2">
        <w:rPr>
          <w:b/>
          <w:szCs w:val="22"/>
          <w:lang w:val="sr-Latn-ME"/>
        </w:rPr>
        <w:t>2.</w:t>
      </w:r>
      <w:r w:rsidRPr="00BE18A2">
        <w:rPr>
          <w:b/>
          <w:szCs w:val="22"/>
          <w:lang w:val="sr-Latn-ME"/>
        </w:rPr>
        <w:tab/>
        <w:t>KVALITATIVNI I KVANTITATIVNI SASTAV</w:t>
      </w:r>
    </w:p>
    <w:p w14:paraId="176018C9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5CA38805" w14:textId="77777777" w:rsidR="007A5334" w:rsidRPr="00BE18A2" w:rsidRDefault="007A5334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BE18A2">
        <w:rPr>
          <w:szCs w:val="22"/>
          <w:lang w:val="sr-Latn-ME"/>
        </w:rPr>
        <w:t>Svaka lozenga sadrži 3 mg benzidamin hidrohlorida i 1 mg cetilpiridinijum hlorida (u obliku cetilpiridinijum hlorid monohidrata).</w:t>
      </w:r>
    </w:p>
    <w:p w14:paraId="08A62014" w14:textId="77777777" w:rsidR="007A5334" w:rsidRPr="00BE18A2" w:rsidRDefault="007A5334">
      <w:pPr>
        <w:widowControl w:val="0"/>
        <w:autoSpaceDE w:val="0"/>
        <w:autoSpaceDN w:val="0"/>
        <w:adjustRightInd w:val="0"/>
        <w:jc w:val="both"/>
        <w:rPr>
          <w:bCs/>
          <w:noProof/>
          <w:szCs w:val="22"/>
          <w:lang w:val="sr-Latn-ME"/>
        </w:rPr>
      </w:pPr>
    </w:p>
    <w:p w14:paraId="68296732" w14:textId="77777777" w:rsidR="007A5334" w:rsidRPr="00BE18A2" w:rsidRDefault="007A5334">
      <w:pPr>
        <w:widowControl w:val="0"/>
        <w:autoSpaceDE w:val="0"/>
        <w:autoSpaceDN w:val="0"/>
        <w:adjustRightInd w:val="0"/>
        <w:jc w:val="both"/>
        <w:rPr>
          <w:bCs/>
          <w:noProof/>
          <w:szCs w:val="22"/>
          <w:lang w:val="sr-Latn-ME"/>
        </w:rPr>
      </w:pPr>
      <w:r w:rsidRPr="00BE18A2">
        <w:rPr>
          <w:bCs/>
          <w:noProof/>
          <w:szCs w:val="22"/>
          <w:u w:val="single"/>
          <w:lang w:val="sr-Latn-ME"/>
        </w:rPr>
        <w:t>Pomoćne supstance sa potvrđenim dejstvom</w:t>
      </w:r>
      <w:r w:rsidRPr="00BE18A2">
        <w:rPr>
          <w:bCs/>
          <w:noProof/>
          <w:szCs w:val="22"/>
          <w:lang w:val="sr-Latn-ME"/>
        </w:rPr>
        <w:t>:</w:t>
      </w:r>
    </w:p>
    <w:p w14:paraId="44B390D5" w14:textId="0FE40C77" w:rsidR="00E327E5" w:rsidRPr="00F42139" w:rsidRDefault="00E327E5" w:rsidP="00E327E5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szCs w:val="22"/>
          <w:lang w:val="hr-HR"/>
        </w:rPr>
      </w:pPr>
      <w:r w:rsidRPr="00F42139">
        <w:rPr>
          <w:noProof/>
          <w:szCs w:val="22"/>
          <w:lang w:val="hr-HR"/>
        </w:rPr>
        <w:t xml:space="preserve">izomalt (E 953): 2448,3 mg po </w:t>
      </w:r>
      <w:r w:rsidR="00F42139" w:rsidRPr="00F42139">
        <w:rPr>
          <w:noProof/>
          <w:szCs w:val="22"/>
          <w:lang w:val="hr-HR"/>
        </w:rPr>
        <w:t>lozengi</w:t>
      </w:r>
    </w:p>
    <w:p w14:paraId="37C81E0F" w14:textId="4AFE8E06" w:rsidR="00E327E5" w:rsidRPr="00F42139" w:rsidRDefault="00E327E5" w:rsidP="00E327E5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szCs w:val="22"/>
          <w:lang w:val="hr-HR"/>
        </w:rPr>
      </w:pPr>
      <w:r w:rsidRPr="00F42139">
        <w:rPr>
          <w:noProof/>
          <w:szCs w:val="22"/>
          <w:lang w:val="hr-HR"/>
        </w:rPr>
        <w:t xml:space="preserve">butilhidroksianisol (E 320): </w:t>
      </w:r>
      <w:r w:rsidRPr="00F42139">
        <w:rPr>
          <w:bCs/>
          <w:noProof/>
          <w:szCs w:val="22"/>
          <w:lang w:val="hr-HR"/>
        </w:rPr>
        <w:t xml:space="preserve">0,0004 mg </w:t>
      </w:r>
      <w:r w:rsidRPr="00F42139">
        <w:rPr>
          <w:noProof/>
          <w:szCs w:val="22"/>
          <w:lang w:val="hr-HR"/>
        </w:rPr>
        <w:t xml:space="preserve">po </w:t>
      </w:r>
      <w:r w:rsidR="00F42139" w:rsidRPr="00F42139">
        <w:rPr>
          <w:noProof/>
          <w:szCs w:val="22"/>
          <w:lang w:val="hr-HR"/>
        </w:rPr>
        <w:t>lozengi</w:t>
      </w:r>
    </w:p>
    <w:p w14:paraId="4AFB937D" w14:textId="1C894414" w:rsidR="008D74FB" w:rsidRPr="00F42139" w:rsidRDefault="00E327E5" w:rsidP="00E327E5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szCs w:val="22"/>
          <w:lang w:val="hr-HR"/>
        </w:rPr>
      </w:pPr>
      <w:r w:rsidRPr="00F42139">
        <w:rPr>
          <w:bCs/>
          <w:noProof/>
          <w:szCs w:val="22"/>
          <w:lang w:val="hr-HR"/>
        </w:rPr>
        <w:t>natrij</w:t>
      </w:r>
      <w:r w:rsidR="00693497">
        <w:rPr>
          <w:bCs/>
          <w:noProof/>
          <w:szCs w:val="22"/>
          <w:lang w:val="hr-HR"/>
        </w:rPr>
        <w:t>um</w:t>
      </w:r>
      <w:r w:rsidRPr="00F42139">
        <w:rPr>
          <w:bCs/>
          <w:noProof/>
          <w:szCs w:val="22"/>
          <w:lang w:val="hr-HR"/>
        </w:rPr>
        <w:t xml:space="preserve"> benzoat (E 211): do 0,00075 mg </w:t>
      </w:r>
      <w:r w:rsidRPr="00F42139">
        <w:rPr>
          <w:noProof/>
          <w:szCs w:val="22"/>
          <w:lang w:val="hr-HR"/>
        </w:rPr>
        <w:t xml:space="preserve">po </w:t>
      </w:r>
      <w:r w:rsidR="00F42139" w:rsidRPr="00F42139">
        <w:rPr>
          <w:noProof/>
          <w:szCs w:val="22"/>
          <w:lang w:val="hr-HR"/>
        </w:rPr>
        <w:t>lozengi</w:t>
      </w:r>
    </w:p>
    <w:p w14:paraId="133607C2" w14:textId="53F1F2E7" w:rsidR="00E327E5" w:rsidRPr="00F42139" w:rsidRDefault="008D74FB" w:rsidP="008D74FB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szCs w:val="22"/>
        </w:rPr>
      </w:pPr>
      <w:r w:rsidRPr="00F42139">
        <w:rPr>
          <w:bCs/>
          <w:noProof/>
          <w:szCs w:val="22"/>
        </w:rPr>
        <w:t xml:space="preserve">propilenglikol (E1520): 4,8 mg </w:t>
      </w:r>
      <w:r w:rsidRPr="00F42139">
        <w:rPr>
          <w:noProof/>
          <w:szCs w:val="22"/>
        </w:rPr>
        <w:t xml:space="preserve">po </w:t>
      </w:r>
      <w:r w:rsidR="00F42139" w:rsidRPr="00F42139">
        <w:rPr>
          <w:noProof/>
          <w:szCs w:val="22"/>
        </w:rPr>
        <w:t>lozengi</w:t>
      </w:r>
    </w:p>
    <w:p w14:paraId="2B35B635" w14:textId="77777777" w:rsidR="007A5334" w:rsidRPr="00BE18A2" w:rsidRDefault="007A5334" w:rsidP="00F42139">
      <w:pPr>
        <w:ind w:left="720"/>
        <w:jc w:val="both"/>
        <w:rPr>
          <w:szCs w:val="22"/>
          <w:lang w:val="sr-Latn-ME"/>
        </w:rPr>
      </w:pPr>
    </w:p>
    <w:p w14:paraId="469BD0AB" w14:textId="77777777" w:rsidR="007A5334" w:rsidRPr="00BE18A2" w:rsidRDefault="007A5334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BE18A2">
        <w:rPr>
          <w:szCs w:val="22"/>
          <w:lang w:val="sr-Latn-ME"/>
        </w:rPr>
        <w:t>Za spisak svih ekscipijenasa, pogledati dio 6.1.</w:t>
      </w:r>
    </w:p>
    <w:p w14:paraId="62A0F98D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5492705C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10ED66F8" w14:textId="77777777" w:rsidR="007A5334" w:rsidRPr="00BE18A2" w:rsidRDefault="007A5334" w:rsidP="007A5334">
      <w:pPr>
        <w:widowControl w:val="0"/>
        <w:jc w:val="both"/>
        <w:rPr>
          <w:b/>
          <w:caps/>
          <w:szCs w:val="22"/>
          <w:lang w:val="sr-Latn-ME"/>
        </w:rPr>
      </w:pPr>
      <w:r w:rsidRPr="00BE18A2">
        <w:rPr>
          <w:b/>
          <w:szCs w:val="22"/>
          <w:lang w:val="sr-Latn-ME"/>
        </w:rPr>
        <w:t>3.</w:t>
      </w:r>
      <w:r w:rsidRPr="00BE18A2">
        <w:rPr>
          <w:b/>
          <w:szCs w:val="22"/>
          <w:lang w:val="sr-Latn-ME"/>
        </w:rPr>
        <w:tab/>
        <w:t>FARMACEUTSKI OBLIK</w:t>
      </w:r>
    </w:p>
    <w:p w14:paraId="7E9400FF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0EF72CBA" w14:textId="15E6170C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  <w:r w:rsidRPr="00BE18A2">
        <w:rPr>
          <w:szCs w:val="22"/>
          <w:lang w:val="sr-Latn-ME"/>
        </w:rPr>
        <w:t>Lozenga</w:t>
      </w:r>
      <w:r w:rsidR="0052010E">
        <w:rPr>
          <w:szCs w:val="22"/>
          <w:lang w:val="sr-Latn-ME"/>
        </w:rPr>
        <w:t>.</w:t>
      </w:r>
    </w:p>
    <w:p w14:paraId="3B7B993D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0FB27F72" w14:textId="77777777" w:rsidR="007A5334" w:rsidRPr="00BE18A2" w:rsidRDefault="007A5334" w:rsidP="007A5334">
      <w:pPr>
        <w:widowControl w:val="0"/>
        <w:jc w:val="both"/>
        <w:rPr>
          <w:color w:val="222222"/>
          <w:szCs w:val="22"/>
          <w:lang w:val="sr-Latn-ME"/>
        </w:rPr>
      </w:pPr>
      <w:r w:rsidRPr="00BE18A2">
        <w:rPr>
          <w:color w:val="222222"/>
          <w:szCs w:val="22"/>
          <w:lang w:val="sr-Latn-ME"/>
        </w:rPr>
        <w:t xml:space="preserve">Okrugle, blijedo zelene do zelene lozenge ukošenih ivica i grube površine. Mogu biti prisutne bijele mrlje, neujednačena boja, prisutnost mjehurića vazduha u tvrdoj masi i male nazubljene ivice. Promjer lozengi: 18,0 mm </w:t>
      </w:r>
      <w:r w:rsidRPr="00BE18A2">
        <w:rPr>
          <w:szCs w:val="22"/>
          <w:lang w:val="sr-Latn-ME"/>
        </w:rPr>
        <w:t xml:space="preserve">– </w:t>
      </w:r>
      <w:r w:rsidRPr="00BE18A2">
        <w:rPr>
          <w:color w:val="222222"/>
          <w:szCs w:val="22"/>
          <w:lang w:val="sr-Latn-ME"/>
        </w:rPr>
        <w:t xml:space="preserve">19,0 mm, debljina: 7,0 mm </w:t>
      </w:r>
      <w:r w:rsidRPr="00BE18A2">
        <w:rPr>
          <w:szCs w:val="22"/>
          <w:lang w:val="sr-Latn-ME"/>
        </w:rPr>
        <w:t xml:space="preserve">– </w:t>
      </w:r>
      <w:r w:rsidRPr="00BE18A2">
        <w:rPr>
          <w:color w:val="222222"/>
          <w:szCs w:val="22"/>
          <w:lang w:val="sr-Latn-ME"/>
        </w:rPr>
        <w:t>8,0 mm.</w:t>
      </w:r>
    </w:p>
    <w:p w14:paraId="4DCFFA6D" w14:textId="77777777" w:rsidR="007A5334" w:rsidRPr="00BE18A2" w:rsidRDefault="007A5334" w:rsidP="007A5334">
      <w:pPr>
        <w:widowControl w:val="0"/>
        <w:jc w:val="both"/>
        <w:rPr>
          <w:i/>
          <w:szCs w:val="22"/>
          <w:lang w:val="sr-Latn-ME"/>
        </w:rPr>
      </w:pPr>
    </w:p>
    <w:p w14:paraId="3EC70269" w14:textId="77777777" w:rsidR="007A5334" w:rsidRPr="00BE18A2" w:rsidRDefault="007A5334" w:rsidP="007A5334">
      <w:pPr>
        <w:widowControl w:val="0"/>
        <w:jc w:val="both"/>
        <w:rPr>
          <w:i/>
          <w:szCs w:val="22"/>
          <w:lang w:val="sr-Latn-ME"/>
        </w:rPr>
      </w:pPr>
    </w:p>
    <w:p w14:paraId="73B455AD" w14:textId="77777777" w:rsidR="007A5334" w:rsidRPr="00B220D9" w:rsidRDefault="007A5334" w:rsidP="00B220D9">
      <w:pPr>
        <w:widowControl w:val="0"/>
        <w:ind w:left="567" w:hanging="567"/>
        <w:jc w:val="both"/>
        <w:rPr>
          <w:caps/>
          <w:szCs w:val="22"/>
          <w:lang w:val="sr-Latn-ME"/>
        </w:rPr>
      </w:pPr>
      <w:r w:rsidRPr="00B220D9">
        <w:rPr>
          <w:b/>
          <w:caps/>
          <w:szCs w:val="22"/>
          <w:lang w:val="sr-Latn-ME"/>
        </w:rPr>
        <w:t>4.</w:t>
      </w:r>
      <w:r w:rsidRPr="00B220D9">
        <w:rPr>
          <w:b/>
          <w:caps/>
          <w:szCs w:val="22"/>
          <w:lang w:val="sr-Latn-ME"/>
        </w:rPr>
        <w:tab/>
        <w:t>KLINIČKI PODACI</w:t>
      </w:r>
    </w:p>
    <w:p w14:paraId="6847BE63" w14:textId="77777777" w:rsidR="007A5334" w:rsidRPr="00B220D9" w:rsidRDefault="007A5334" w:rsidP="00B220D9">
      <w:pPr>
        <w:widowControl w:val="0"/>
        <w:jc w:val="both"/>
        <w:rPr>
          <w:szCs w:val="22"/>
          <w:lang w:val="sr-Latn-ME"/>
        </w:rPr>
      </w:pPr>
    </w:p>
    <w:p w14:paraId="235FD593" w14:textId="77777777" w:rsidR="007A5334" w:rsidRPr="00B220D9" w:rsidRDefault="007A5334" w:rsidP="00B220D9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B220D9">
        <w:rPr>
          <w:b/>
          <w:szCs w:val="22"/>
          <w:lang w:val="sr-Latn-ME"/>
        </w:rPr>
        <w:t>4.1</w:t>
      </w:r>
      <w:r w:rsidRPr="00B220D9">
        <w:rPr>
          <w:b/>
          <w:szCs w:val="22"/>
          <w:lang w:val="sr-Latn-ME"/>
        </w:rPr>
        <w:tab/>
        <w:t>Terapijske indikacije</w:t>
      </w:r>
    </w:p>
    <w:p w14:paraId="2E913AAD" w14:textId="77777777" w:rsidR="007A5334" w:rsidRPr="00B220D9" w:rsidRDefault="007A5334" w:rsidP="00B220D9">
      <w:pPr>
        <w:widowControl w:val="0"/>
        <w:tabs>
          <w:tab w:val="left" w:pos="6946"/>
        </w:tabs>
        <w:jc w:val="both"/>
        <w:rPr>
          <w:szCs w:val="22"/>
          <w:lang w:val="sr-Latn-ME"/>
        </w:rPr>
      </w:pPr>
    </w:p>
    <w:p w14:paraId="1484C343" w14:textId="77777777" w:rsidR="007A5334" w:rsidRPr="00B220D9" w:rsidRDefault="007A5334" w:rsidP="00B220D9">
      <w:pPr>
        <w:widowControl w:val="0"/>
        <w:jc w:val="both"/>
        <w:rPr>
          <w:noProof/>
          <w:szCs w:val="22"/>
          <w:lang w:val="sr-Latn-ME"/>
        </w:rPr>
      </w:pPr>
      <w:r w:rsidRPr="00AB5B63">
        <w:rPr>
          <w:noProof/>
          <w:szCs w:val="22"/>
          <w:lang w:val="sr-Latn-ME"/>
        </w:rPr>
        <w:t>Lijek Septolete total limun i zova je indikovan kod odraslih, adolescenata i djece starije od 6 godina za antiinflamatorno, analgetičko i antiseptičko liječenje nadražaja u grlu, ustima i desnima, kod ging</w:t>
      </w:r>
      <w:r w:rsidRPr="00A01E28">
        <w:rPr>
          <w:noProof/>
          <w:szCs w:val="22"/>
          <w:lang w:val="sr-Latn-ME"/>
        </w:rPr>
        <w:t>ivitisa i faringitisa.</w:t>
      </w:r>
    </w:p>
    <w:p w14:paraId="44438E99" w14:textId="77777777" w:rsidR="007A5334" w:rsidRPr="00B220D9" w:rsidRDefault="007A5334" w:rsidP="00B220D9">
      <w:pPr>
        <w:widowControl w:val="0"/>
        <w:jc w:val="both"/>
        <w:rPr>
          <w:szCs w:val="22"/>
          <w:lang w:val="sr-Latn-ME"/>
        </w:rPr>
      </w:pPr>
    </w:p>
    <w:p w14:paraId="6EC25254" w14:textId="77777777" w:rsidR="007A5334" w:rsidRPr="00B220D9" w:rsidRDefault="007A5334" w:rsidP="00AB5B63">
      <w:pPr>
        <w:widowControl w:val="0"/>
        <w:numPr>
          <w:ilvl w:val="1"/>
          <w:numId w:val="13"/>
        </w:numPr>
        <w:tabs>
          <w:tab w:val="clear" w:pos="570"/>
          <w:tab w:val="left" w:pos="567"/>
          <w:tab w:val="num" w:pos="712"/>
        </w:tabs>
        <w:spacing w:line="240" w:lineRule="auto"/>
        <w:ind w:left="712" w:hanging="712"/>
        <w:jc w:val="both"/>
        <w:outlineLvl w:val="0"/>
        <w:rPr>
          <w:b/>
          <w:szCs w:val="22"/>
          <w:lang w:val="sr-Latn-ME"/>
        </w:rPr>
      </w:pPr>
      <w:r w:rsidRPr="00B220D9">
        <w:rPr>
          <w:b/>
          <w:szCs w:val="22"/>
          <w:lang w:val="sr-Latn-ME"/>
        </w:rPr>
        <w:t>Doziranje i način primjene</w:t>
      </w:r>
    </w:p>
    <w:p w14:paraId="2FDD5D0C" w14:textId="77777777" w:rsidR="007A5334" w:rsidRPr="00B220D9" w:rsidRDefault="007A5334" w:rsidP="00A01E28">
      <w:pPr>
        <w:widowControl w:val="0"/>
        <w:jc w:val="both"/>
        <w:rPr>
          <w:szCs w:val="22"/>
          <w:lang w:val="sr-Latn-ME"/>
        </w:rPr>
      </w:pPr>
    </w:p>
    <w:p w14:paraId="5A476B00" w14:textId="77777777" w:rsidR="007A5334" w:rsidRPr="00B220D9" w:rsidRDefault="007A5334">
      <w:pPr>
        <w:widowControl w:val="0"/>
        <w:jc w:val="both"/>
        <w:rPr>
          <w:iCs/>
          <w:szCs w:val="22"/>
          <w:u w:val="single"/>
          <w:lang w:val="sr-Latn-ME"/>
        </w:rPr>
      </w:pPr>
      <w:r w:rsidRPr="00B220D9">
        <w:rPr>
          <w:iCs/>
          <w:szCs w:val="22"/>
          <w:u w:val="single"/>
          <w:lang w:val="sr-Latn-ME"/>
        </w:rPr>
        <w:t>Doziranje</w:t>
      </w:r>
    </w:p>
    <w:p w14:paraId="00E0D072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4BA9590A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B220D9">
        <w:rPr>
          <w:b/>
          <w:szCs w:val="22"/>
          <w:lang w:val="sr-Latn-ME"/>
        </w:rPr>
        <w:t>Odrasli</w:t>
      </w:r>
      <w:r w:rsidRPr="00B220D9">
        <w:rPr>
          <w:szCs w:val="22"/>
          <w:lang w:val="sr-Latn-ME"/>
        </w:rPr>
        <w:t>: Preporučeno doziranje je 3-4 lozenge dnevno. Lozengu treba polako rastopiti u ustima svakih 3 do 6 sati.</w:t>
      </w:r>
    </w:p>
    <w:p w14:paraId="3AC9B43E" w14:textId="77777777" w:rsidR="007A5334" w:rsidRPr="00B220D9" w:rsidRDefault="007A5334">
      <w:pPr>
        <w:widowControl w:val="0"/>
        <w:jc w:val="both"/>
        <w:rPr>
          <w:iCs/>
          <w:szCs w:val="22"/>
          <w:u w:val="single"/>
          <w:lang w:val="sr-Latn-ME"/>
        </w:rPr>
      </w:pPr>
    </w:p>
    <w:p w14:paraId="67148B22" w14:textId="77777777" w:rsidR="007A5334" w:rsidRPr="00B220D9" w:rsidRDefault="007A5334">
      <w:pPr>
        <w:widowControl w:val="0"/>
        <w:jc w:val="both"/>
        <w:rPr>
          <w:b/>
          <w:iCs/>
          <w:szCs w:val="22"/>
          <w:lang w:val="sr-Latn-ME"/>
        </w:rPr>
      </w:pPr>
      <w:r w:rsidRPr="00B220D9">
        <w:rPr>
          <w:b/>
          <w:iCs/>
          <w:szCs w:val="22"/>
          <w:lang w:val="sr-Latn-ME"/>
        </w:rPr>
        <w:t xml:space="preserve">Stariji pacijenti: </w:t>
      </w:r>
      <w:r w:rsidRPr="00B220D9">
        <w:rPr>
          <w:iCs/>
          <w:szCs w:val="22"/>
          <w:lang w:val="sr-Latn-ME"/>
        </w:rPr>
        <w:t>Preporučena doza je ista kao i za odrasle.</w:t>
      </w:r>
    </w:p>
    <w:p w14:paraId="1A2A84AD" w14:textId="77777777" w:rsidR="007A5334" w:rsidRPr="00B220D9" w:rsidRDefault="007A5334">
      <w:pPr>
        <w:widowControl w:val="0"/>
        <w:jc w:val="both"/>
        <w:rPr>
          <w:i/>
          <w:iCs/>
          <w:szCs w:val="22"/>
          <w:lang w:val="sr-Latn-ME"/>
        </w:rPr>
      </w:pPr>
    </w:p>
    <w:p w14:paraId="6C3094D8" w14:textId="77777777" w:rsidR="007A5334" w:rsidRPr="00B220D9" w:rsidRDefault="007A5334">
      <w:pPr>
        <w:widowControl w:val="0"/>
        <w:jc w:val="both"/>
        <w:rPr>
          <w:i/>
          <w:iCs/>
          <w:szCs w:val="22"/>
          <w:lang w:val="sr-Latn-ME"/>
        </w:rPr>
      </w:pPr>
      <w:r w:rsidRPr="00B220D9">
        <w:rPr>
          <w:i/>
          <w:iCs/>
          <w:szCs w:val="22"/>
          <w:lang w:val="sr-Latn-ME"/>
        </w:rPr>
        <w:t>Pedijatrijska populacija</w:t>
      </w:r>
    </w:p>
    <w:p w14:paraId="1ECB24EC" w14:textId="1C9F2D91" w:rsidR="007A5334" w:rsidRPr="00B220D9" w:rsidRDefault="00B220D9">
      <w:pPr>
        <w:widowControl w:val="0"/>
        <w:jc w:val="both"/>
        <w:rPr>
          <w:szCs w:val="22"/>
          <w:lang w:val="sr-Latn-ME"/>
        </w:rPr>
      </w:pPr>
      <w:r>
        <w:rPr>
          <w:b/>
          <w:szCs w:val="22"/>
          <w:lang w:val="sr-Latn-ME"/>
        </w:rPr>
        <w:t>Adolescenti</w:t>
      </w:r>
      <w:r w:rsidR="007A5334" w:rsidRPr="00B220D9">
        <w:rPr>
          <w:b/>
          <w:szCs w:val="22"/>
          <w:lang w:val="sr-Latn-ME"/>
        </w:rPr>
        <w:t xml:space="preserve"> starij</w:t>
      </w:r>
      <w:r>
        <w:rPr>
          <w:b/>
          <w:szCs w:val="22"/>
          <w:lang w:val="sr-Latn-ME"/>
        </w:rPr>
        <w:t>i</w:t>
      </w:r>
      <w:r w:rsidR="007A5334" w:rsidRPr="00B220D9">
        <w:rPr>
          <w:b/>
          <w:szCs w:val="22"/>
          <w:lang w:val="sr-Latn-ME"/>
        </w:rPr>
        <w:t xml:space="preserve"> od 12 godina: </w:t>
      </w:r>
      <w:r w:rsidR="007A5334" w:rsidRPr="00B220D9">
        <w:rPr>
          <w:szCs w:val="22"/>
          <w:lang w:val="sr-Latn-ME"/>
        </w:rPr>
        <w:t>Preporučeno doziranje je 3</w:t>
      </w:r>
      <w:r w:rsidR="007A5334" w:rsidRPr="00B220D9">
        <w:rPr>
          <w:szCs w:val="22"/>
          <w:lang w:val="sr-Latn-ME"/>
        </w:rPr>
        <w:sym w:font="Symbol" w:char="F02D"/>
      </w:r>
      <w:r w:rsidR="007A5334" w:rsidRPr="00B220D9">
        <w:rPr>
          <w:szCs w:val="22"/>
          <w:lang w:val="sr-Latn-ME"/>
        </w:rPr>
        <w:t>4 lozenge dnevno. Lozengu treba polako rastopiti u ustima svakih 3 do 6 sati.</w:t>
      </w:r>
    </w:p>
    <w:p w14:paraId="72542E59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22830A83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B220D9">
        <w:rPr>
          <w:b/>
          <w:szCs w:val="22"/>
          <w:lang w:val="sr-Latn-ME"/>
        </w:rPr>
        <w:t>Djeca uzrasta od 6 do 12 godina</w:t>
      </w:r>
      <w:r w:rsidRPr="00B220D9">
        <w:rPr>
          <w:szCs w:val="22"/>
          <w:lang w:val="sr-Latn-ME"/>
        </w:rPr>
        <w:t>: Preporučeno doziranje je 3 lozenge dnevno. Lozengu treba polako rastopiti u ustima svakih 3 do 6 sati.</w:t>
      </w:r>
    </w:p>
    <w:p w14:paraId="183718F0" w14:textId="77777777" w:rsidR="007A5334" w:rsidRPr="00AB5B63" w:rsidRDefault="007A5334">
      <w:pPr>
        <w:widowControl w:val="0"/>
        <w:jc w:val="both"/>
        <w:rPr>
          <w:szCs w:val="22"/>
          <w:lang w:val="sr-Latn-ME"/>
        </w:rPr>
      </w:pPr>
    </w:p>
    <w:p w14:paraId="14C45E65" w14:textId="77777777" w:rsidR="007A5334" w:rsidRPr="00A01E28" w:rsidRDefault="007A5334">
      <w:pPr>
        <w:widowControl w:val="0"/>
        <w:jc w:val="both"/>
        <w:rPr>
          <w:b/>
          <w:szCs w:val="22"/>
          <w:lang w:val="sr-Latn-ME"/>
        </w:rPr>
      </w:pPr>
    </w:p>
    <w:p w14:paraId="4C660CCD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A01E28">
        <w:rPr>
          <w:b/>
          <w:szCs w:val="22"/>
          <w:lang w:val="sr-Latn-ME"/>
        </w:rPr>
        <w:t>Djeca mlađa od 6 godina</w:t>
      </w:r>
      <w:r w:rsidRPr="00B220D9">
        <w:rPr>
          <w:szCs w:val="22"/>
          <w:lang w:val="sr-Latn-ME"/>
        </w:rPr>
        <w:t>: Lijek Septolete total limun i zova je kontraindikovan kod djece mlađe od 6 godina.</w:t>
      </w:r>
    </w:p>
    <w:p w14:paraId="0205F296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B220D9">
        <w:rPr>
          <w:i/>
          <w:iCs/>
          <w:szCs w:val="22"/>
          <w:lang w:val="sr-Latn-ME"/>
        </w:rPr>
        <w:t xml:space="preserve"> </w:t>
      </w:r>
    </w:p>
    <w:p w14:paraId="39381D5D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>Da bi se postiglo optimalno dejstvo, ne preporučuje se primjena lijeka neposredno prije ili poslije pranja zuba.</w:t>
      </w:r>
    </w:p>
    <w:p w14:paraId="38CB4D75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6A6755B9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>Navedena doza se ne smije prekoračiti.</w:t>
      </w:r>
    </w:p>
    <w:p w14:paraId="19507A58" w14:textId="77777777" w:rsidR="007A5334" w:rsidRPr="00B220D9" w:rsidRDefault="007A5334">
      <w:pPr>
        <w:widowControl w:val="0"/>
        <w:jc w:val="both"/>
        <w:rPr>
          <w:noProof/>
          <w:szCs w:val="22"/>
          <w:lang w:val="sr-Latn-ME"/>
        </w:rPr>
      </w:pPr>
    </w:p>
    <w:p w14:paraId="3F72372B" w14:textId="77777777" w:rsidR="007A5334" w:rsidRPr="00B220D9" w:rsidRDefault="007A5334">
      <w:pPr>
        <w:widowControl w:val="0"/>
        <w:jc w:val="both"/>
        <w:rPr>
          <w:noProof/>
          <w:szCs w:val="22"/>
          <w:lang w:val="sr-Latn-ME"/>
        </w:rPr>
      </w:pPr>
      <w:r w:rsidRPr="00B220D9">
        <w:rPr>
          <w:noProof/>
          <w:szCs w:val="22"/>
          <w:lang w:val="sr-Latn-ME"/>
        </w:rPr>
        <w:t>Lijek Septolete total limun i zova mogu da se koriste do 7 dana.</w:t>
      </w:r>
    </w:p>
    <w:p w14:paraId="1BBB451D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7A5730DD" w14:textId="77777777" w:rsidR="007A5334" w:rsidRPr="00B220D9" w:rsidRDefault="007A5334">
      <w:pPr>
        <w:widowControl w:val="0"/>
        <w:jc w:val="both"/>
        <w:rPr>
          <w:szCs w:val="22"/>
          <w:u w:val="single"/>
          <w:lang w:val="sr-Latn-ME"/>
        </w:rPr>
      </w:pPr>
      <w:r w:rsidRPr="00B220D9">
        <w:rPr>
          <w:szCs w:val="22"/>
          <w:u w:val="single"/>
          <w:lang w:val="sr-Latn-ME"/>
        </w:rPr>
        <w:t>Način primjene</w:t>
      </w:r>
    </w:p>
    <w:p w14:paraId="7DFA8B7D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>Lozengu treba polako rastopiti u ustima svakih 3 do 6 sati.</w:t>
      </w:r>
    </w:p>
    <w:p w14:paraId="0FC62855" w14:textId="77777777" w:rsidR="007A5334" w:rsidRPr="00B220D9" w:rsidRDefault="007A5334">
      <w:pPr>
        <w:widowControl w:val="0"/>
        <w:jc w:val="both"/>
        <w:rPr>
          <w:i/>
          <w:iCs/>
          <w:szCs w:val="22"/>
          <w:lang w:val="sr-Latn-ME"/>
        </w:rPr>
      </w:pPr>
    </w:p>
    <w:p w14:paraId="40060A56" w14:textId="77777777" w:rsidR="007A5334" w:rsidRPr="00B220D9" w:rsidRDefault="007A5334">
      <w:pPr>
        <w:widowControl w:val="0"/>
        <w:ind w:left="567" w:hanging="567"/>
        <w:jc w:val="both"/>
        <w:rPr>
          <w:noProof/>
          <w:szCs w:val="22"/>
          <w:lang w:val="sr-Latn-ME"/>
        </w:rPr>
      </w:pPr>
      <w:r w:rsidRPr="00B220D9">
        <w:rPr>
          <w:b/>
          <w:noProof/>
          <w:szCs w:val="22"/>
          <w:lang w:val="sr-Latn-ME"/>
        </w:rPr>
        <w:t>4.3</w:t>
      </w:r>
      <w:r w:rsidRPr="00B220D9">
        <w:rPr>
          <w:b/>
          <w:noProof/>
          <w:szCs w:val="22"/>
          <w:lang w:val="sr-Latn-ME"/>
        </w:rPr>
        <w:tab/>
        <w:t>Kontraindikacije</w:t>
      </w:r>
    </w:p>
    <w:p w14:paraId="42C76DB1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77C80114" w14:textId="3DE67369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>Preosjetljivost na aktivne supstance ili</w:t>
      </w:r>
      <w:r w:rsidR="00813607">
        <w:rPr>
          <w:szCs w:val="22"/>
          <w:lang w:val="sr-Latn-ME"/>
        </w:rPr>
        <w:t xml:space="preserve"> na</w:t>
      </w:r>
      <w:r w:rsidRPr="00B220D9">
        <w:rPr>
          <w:szCs w:val="22"/>
          <w:lang w:val="sr-Latn-ME"/>
        </w:rPr>
        <w:t xml:space="preserve"> neku od pomoćnih supstanci navedenih u dijelu 6.1. </w:t>
      </w:r>
    </w:p>
    <w:p w14:paraId="4EDE5E0A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>Djeca mlađa od 6 godina.</w:t>
      </w:r>
    </w:p>
    <w:p w14:paraId="43CA968D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4DFE6ECC" w14:textId="77777777" w:rsidR="007A5334" w:rsidRPr="00B220D9" w:rsidRDefault="007A5334">
      <w:pPr>
        <w:widowControl w:val="0"/>
        <w:ind w:left="567" w:hanging="567"/>
        <w:jc w:val="both"/>
        <w:rPr>
          <w:b/>
          <w:noProof/>
          <w:szCs w:val="22"/>
          <w:lang w:val="sr-Latn-ME"/>
        </w:rPr>
      </w:pPr>
      <w:r w:rsidRPr="00B220D9">
        <w:rPr>
          <w:b/>
          <w:noProof/>
          <w:szCs w:val="22"/>
          <w:lang w:val="sr-Latn-ME"/>
        </w:rPr>
        <w:t>4.4</w:t>
      </w:r>
      <w:r w:rsidRPr="00B220D9">
        <w:rPr>
          <w:b/>
          <w:noProof/>
          <w:szCs w:val="22"/>
          <w:lang w:val="sr-Latn-ME"/>
        </w:rPr>
        <w:tab/>
        <w:t>Posebna upozorenja i mjere opreza pri upotrebi lijeka</w:t>
      </w:r>
    </w:p>
    <w:p w14:paraId="34ED5E34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1143BF6B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  <w:r w:rsidRPr="00B220D9">
        <w:rPr>
          <w:szCs w:val="22"/>
          <w:lang w:val="sr-Latn-ME"/>
        </w:rPr>
        <w:t>Lijek Septolete total limun i zova se ne smije primjenjivati duže od</w:t>
      </w:r>
      <w:r w:rsidRPr="00B220D9">
        <w:rPr>
          <w:iCs/>
          <w:szCs w:val="22"/>
          <w:lang w:val="sr-Latn-ME"/>
        </w:rPr>
        <w:t xml:space="preserve"> 7 dana. Ako nema primjetnih rezultata nakon 3 dana, potrebno je obratiti se ljekaru.</w:t>
      </w:r>
    </w:p>
    <w:p w14:paraId="6F132D22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</w:p>
    <w:p w14:paraId="4DB75335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  <w:r w:rsidRPr="00B220D9">
        <w:rPr>
          <w:iCs/>
          <w:szCs w:val="22"/>
          <w:lang w:val="sr-Latn-ME"/>
        </w:rPr>
        <w:t>Primjena lokalnih preparata, naročito tokom dugog vremenskog perioda, može dovesti do preosjetljivosti.</w:t>
      </w:r>
      <w:r w:rsidRPr="00B220D9">
        <w:rPr>
          <w:szCs w:val="22"/>
        </w:rPr>
        <w:t xml:space="preserve"> </w:t>
      </w:r>
      <w:r w:rsidRPr="00B220D9">
        <w:rPr>
          <w:iCs/>
          <w:szCs w:val="22"/>
          <w:lang w:val="sr-Latn-ME"/>
        </w:rPr>
        <w:t xml:space="preserve">Pacijentu treba objasniti da u tom slučaju liječenje mora odmah obustaviti, i zatražiti savjet ljekara koji će po potrebi propisati odgovarajuću terapiju. </w:t>
      </w:r>
    </w:p>
    <w:p w14:paraId="0CFFFACA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5344C563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  <w:r w:rsidRPr="00B220D9">
        <w:rPr>
          <w:szCs w:val="22"/>
          <w:lang w:val="sr-Latn-ME"/>
        </w:rPr>
        <w:t xml:space="preserve">Lijek Septolete total limun i zova se </w:t>
      </w:r>
      <w:r w:rsidRPr="00B220D9">
        <w:rPr>
          <w:iCs/>
          <w:szCs w:val="22"/>
          <w:lang w:val="sr-Latn-ME"/>
        </w:rPr>
        <w:t>ne smije koristiti u kombinaciji sa anjonskim jedinjenjima, poput onih koja se nalaze u zubnim pastama. Zbog toga se ne preporučuje primjena ovog lijeka neposredno prije ili poslije pranja zuba.</w:t>
      </w:r>
    </w:p>
    <w:p w14:paraId="1055550A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  <w:r w:rsidRPr="00B220D9">
        <w:rPr>
          <w:szCs w:val="22"/>
          <w:lang w:val="sr-Latn-ME"/>
        </w:rPr>
        <w:t xml:space="preserve"> </w:t>
      </w:r>
    </w:p>
    <w:p w14:paraId="34AC0D97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  <w:r w:rsidRPr="00B220D9">
        <w:rPr>
          <w:color w:val="222222"/>
          <w:szCs w:val="22"/>
          <w:lang w:val="sr-Latn-ME"/>
        </w:rPr>
        <w:t>Primjena benzidamina se ne preporučuje kod pacijenata preosjetljivih na salicilate (npr. acetilsalicilatna kiselina i salicilna kiselina) ili druge nesteroidne antiinflamatorne ljekove (NSAIL).</w:t>
      </w:r>
    </w:p>
    <w:p w14:paraId="47923318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</w:p>
    <w:p w14:paraId="4EBF065F" w14:textId="77777777" w:rsidR="007A5334" w:rsidRPr="00B220D9" w:rsidRDefault="007A5334">
      <w:pPr>
        <w:widowControl w:val="0"/>
        <w:jc w:val="both"/>
        <w:rPr>
          <w:color w:val="222222"/>
          <w:szCs w:val="22"/>
          <w:lang w:val="sr-Latn-ME"/>
        </w:rPr>
      </w:pPr>
      <w:r w:rsidRPr="00B220D9">
        <w:rPr>
          <w:color w:val="222222"/>
          <w:szCs w:val="22"/>
          <w:lang w:val="sr-Latn-ME"/>
        </w:rPr>
        <w:t>Bronhospazam se može brže pojaviti kod pacijenata koji boluju od bronhijalne astme ili su prije imali bronhijalnu astmu. Potreban je oprez kod ovih pacijenata.</w:t>
      </w:r>
    </w:p>
    <w:p w14:paraId="11643E82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</w:p>
    <w:p w14:paraId="4DBECC74" w14:textId="77777777" w:rsidR="007A5334" w:rsidRPr="00B220D9" w:rsidRDefault="007A5334">
      <w:pPr>
        <w:autoSpaceDE w:val="0"/>
        <w:autoSpaceDN w:val="0"/>
        <w:adjustRightInd w:val="0"/>
        <w:jc w:val="both"/>
        <w:rPr>
          <w:szCs w:val="22"/>
          <w:lang w:val="sr-Latn-ME" w:eastAsia="hr-HR"/>
        </w:rPr>
      </w:pPr>
      <w:r w:rsidRPr="00B220D9">
        <w:rPr>
          <w:noProof/>
          <w:szCs w:val="22"/>
          <w:lang w:val="sr-Latn-ME"/>
        </w:rPr>
        <w:t xml:space="preserve">Lijek Septolete total limun i zova sadrži izomalt (E953). </w:t>
      </w:r>
      <w:r w:rsidRPr="00B220D9">
        <w:rPr>
          <w:szCs w:val="22"/>
          <w:lang w:val="sr-Latn-ME" w:eastAsia="hr-HR"/>
        </w:rPr>
        <w:t>Pacijenti sa rijetkim nasljednim oboljenjem intolerancije na fruktozu ne smiju uzimati ovaj lijek.</w:t>
      </w:r>
    </w:p>
    <w:p w14:paraId="2BB66611" w14:textId="77777777" w:rsidR="007A5334" w:rsidRPr="00B220D9" w:rsidRDefault="007A5334">
      <w:pPr>
        <w:autoSpaceDE w:val="0"/>
        <w:autoSpaceDN w:val="0"/>
        <w:adjustRightInd w:val="0"/>
        <w:jc w:val="both"/>
        <w:rPr>
          <w:szCs w:val="22"/>
          <w:lang w:val="sr-Latn-ME" w:eastAsia="hr-HR"/>
        </w:rPr>
      </w:pPr>
      <w:r w:rsidRPr="00B220D9">
        <w:rPr>
          <w:noProof/>
          <w:szCs w:val="22"/>
          <w:lang w:val="sr-Latn-ME"/>
        </w:rPr>
        <w:t>Lijek Septolete total limun i zova sadrži butilhidroksianizol (E320) koji m</w:t>
      </w:r>
      <w:r w:rsidRPr="00B220D9">
        <w:rPr>
          <w:szCs w:val="22"/>
          <w:lang w:val="sr-Latn-ME" w:eastAsia="hr-HR"/>
        </w:rPr>
        <w:t>ože uzrokovati lokalne kožne reakcije (npr. kontaktni dermatitis) ili nadražiti oči i sluznicu</w:t>
      </w:r>
      <w:r w:rsidRPr="00B220D9">
        <w:rPr>
          <w:szCs w:val="22"/>
          <w:lang w:val="sr-Latn-ME"/>
        </w:rPr>
        <w:t>.</w:t>
      </w:r>
    </w:p>
    <w:p w14:paraId="0F76718C" w14:textId="77777777" w:rsidR="007A5334" w:rsidRPr="00B220D9" w:rsidRDefault="007A5334">
      <w:pPr>
        <w:widowControl w:val="0"/>
        <w:jc w:val="both"/>
        <w:rPr>
          <w:bCs/>
          <w:noProof/>
          <w:szCs w:val="22"/>
          <w:lang w:val="sr-Latn-ME"/>
        </w:rPr>
      </w:pPr>
      <w:r w:rsidRPr="00B220D9">
        <w:rPr>
          <w:noProof/>
          <w:szCs w:val="22"/>
          <w:lang w:val="sr-Latn-ME"/>
        </w:rPr>
        <w:t xml:space="preserve">Lijek Septolete total limun i zova sadrži </w:t>
      </w:r>
      <w:r w:rsidRPr="00B220D9">
        <w:rPr>
          <w:bCs/>
          <w:noProof/>
          <w:szCs w:val="22"/>
          <w:lang w:val="sr-Latn-ME"/>
        </w:rPr>
        <w:t>natrijum benzoat (E211)</w:t>
      </w:r>
      <w:r w:rsidRPr="00B220D9">
        <w:rPr>
          <w:szCs w:val="22"/>
          <w:lang w:val="sr-Latn-ME" w:eastAsia="hr-HR"/>
        </w:rPr>
        <w:t>, koji blago nadražuje kožu, oči i sluznice.</w:t>
      </w:r>
    </w:p>
    <w:p w14:paraId="4DEEB364" w14:textId="3659BAA6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  <w:r w:rsidRPr="008D74FB">
        <w:rPr>
          <w:noProof/>
          <w:szCs w:val="22"/>
          <w:lang w:val="sr-Latn-ME"/>
        </w:rPr>
        <w:t xml:space="preserve">Lijek Septolete total limun i zova sadrži </w:t>
      </w:r>
      <w:r w:rsidRPr="008D74FB">
        <w:rPr>
          <w:bCs/>
          <w:noProof/>
          <w:szCs w:val="22"/>
          <w:lang w:val="sr-Latn-ME"/>
        </w:rPr>
        <w:t>propilenglikol</w:t>
      </w:r>
      <w:r w:rsidR="008D74FB" w:rsidRPr="008D74FB">
        <w:rPr>
          <w:bCs/>
          <w:noProof/>
          <w:szCs w:val="22"/>
          <w:lang w:val="sr-Latn-ME"/>
        </w:rPr>
        <w:t xml:space="preserve"> </w:t>
      </w:r>
      <w:r w:rsidR="008D74FB" w:rsidRPr="00F42139">
        <w:rPr>
          <w:bCs/>
          <w:noProof/>
          <w:szCs w:val="22"/>
          <w:lang w:val="sl-SI"/>
        </w:rPr>
        <w:t>(E1520)</w:t>
      </w:r>
      <w:r w:rsidRPr="008D74FB">
        <w:rPr>
          <w:bCs/>
          <w:noProof/>
          <w:szCs w:val="22"/>
          <w:lang w:val="sr-Latn-ME"/>
        </w:rPr>
        <w:t xml:space="preserve"> koji može nadražiti kožu.</w:t>
      </w:r>
    </w:p>
    <w:p w14:paraId="5964F19F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</w:p>
    <w:p w14:paraId="109648FD" w14:textId="77777777" w:rsidR="007A5334" w:rsidRPr="00B220D9" w:rsidRDefault="007A533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B220D9">
        <w:rPr>
          <w:b/>
          <w:szCs w:val="22"/>
          <w:lang w:val="sr-Latn-ME"/>
        </w:rPr>
        <w:t>4.5</w:t>
      </w:r>
      <w:r w:rsidRPr="00B220D9">
        <w:rPr>
          <w:b/>
          <w:szCs w:val="22"/>
          <w:lang w:val="sr-Latn-ME"/>
        </w:rPr>
        <w:tab/>
      </w:r>
      <w:r w:rsidRPr="00B220D9">
        <w:rPr>
          <w:b/>
          <w:bCs/>
          <w:szCs w:val="22"/>
          <w:lang w:val="sr-Latn-ME"/>
        </w:rPr>
        <w:t>Interakcije sa drugim ljekovima i druge vrste interakcija</w:t>
      </w:r>
    </w:p>
    <w:p w14:paraId="707ADEC9" w14:textId="77777777" w:rsidR="007A5334" w:rsidRPr="00B220D9" w:rsidRDefault="007A533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</w:p>
    <w:p w14:paraId="34C1ACCC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  <w:r w:rsidRPr="00B220D9">
        <w:rPr>
          <w:noProof/>
          <w:szCs w:val="22"/>
          <w:lang w:val="sr-Latn-ME"/>
        </w:rPr>
        <w:t>Lijek Septolete total limun i zova ne bi trebalo primjenjivati u isto vrijeme sa drugim antisepticima</w:t>
      </w:r>
      <w:r w:rsidRPr="00B220D9">
        <w:rPr>
          <w:szCs w:val="22"/>
          <w:lang w:val="sr-Latn-ME"/>
        </w:rPr>
        <w:t>.</w:t>
      </w:r>
    </w:p>
    <w:p w14:paraId="050ED79E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>Lozenge ne treba uzimati zajedno sa mlijekom, jer mlijeko smanjuje antimikrobno dejstvo cetilpiridinijum hlorida.</w:t>
      </w:r>
    </w:p>
    <w:p w14:paraId="25728325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351DE581" w14:textId="77777777" w:rsidR="007A5334" w:rsidRPr="00B220D9" w:rsidRDefault="007A5334">
      <w:pPr>
        <w:widowControl w:val="0"/>
        <w:ind w:left="567" w:hanging="567"/>
        <w:jc w:val="both"/>
        <w:outlineLvl w:val="0"/>
        <w:rPr>
          <w:b/>
          <w:szCs w:val="22"/>
          <w:lang w:val="sr-Latn-ME"/>
        </w:rPr>
      </w:pPr>
      <w:r w:rsidRPr="00B220D9">
        <w:rPr>
          <w:b/>
          <w:szCs w:val="22"/>
          <w:lang w:val="sr-Latn-ME"/>
        </w:rPr>
        <w:t>4.6</w:t>
      </w:r>
      <w:r w:rsidRPr="00B220D9">
        <w:rPr>
          <w:b/>
          <w:szCs w:val="22"/>
          <w:lang w:val="sr-Latn-ME"/>
        </w:rPr>
        <w:tab/>
      </w:r>
      <w:r w:rsidRPr="00B220D9">
        <w:rPr>
          <w:b/>
          <w:bCs/>
          <w:szCs w:val="22"/>
          <w:lang w:val="sr-Latn-ME"/>
        </w:rPr>
        <w:t>Plodnost, trudnoća i dojenje</w:t>
      </w:r>
    </w:p>
    <w:p w14:paraId="56FA4F24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5BBB0AA4" w14:textId="77777777" w:rsidR="007A5334" w:rsidRPr="00B220D9" w:rsidRDefault="007A5334">
      <w:pPr>
        <w:widowControl w:val="0"/>
        <w:jc w:val="both"/>
        <w:outlineLvl w:val="0"/>
        <w:rPr>
          <w:szCs w:val="22"/>
          <w:u w:val="single"/>
          <w:lang w:val="sr-Latn-ME"/>
        </w:rPr>
      </w:pPr>
      <w:r w:rsidRPr="00B220D9">
        <w:rPr>
          <w:szCs w:val="22"/>
          <w:u w:val="single"/>
          <w:lang w:val="sr-Latn-ME"/>
        </w:rPr>
        <w:t>Trudnoća</w:t>
      </w:r>
    </w:p>
    <w:p w14:paraId="31942B5E" w14:textId="77777777" w:rsidR="007A5334" w:rsidRPr="00B220D9" w:rsidRDefault="007A5334">
      <w:pPr>
        <w:autoSpaceDE w:val="0"/>
        <w:autoSpaceDN w:val="0"/>
        <w:adjustRightInd w:val="0"/>
        <w:jc w:val="both"/>
        <w:rPr>
          <w:szCs w:val="22"/>
          <w:lang w:val="sr-Latn-ME" w:eastAsia="hr-HR"/>
        </w:rPr>
      </w:pPr>
      <w:r w:rsidRPr="00B220D9">
        <w:rPr>
          <w:szCs w:val="22"/>
          <w:lang w:val="sr-Latn-ME" w:eastAsia="hr-HR"/>
        </w:rPr>
        <w:lastRenderedPageBreak/>
        <w:t>Ne postoje ili su ograničeni podaci o primjeni benzidamin hidrohlorida i cetilpiridinijum hlorida kod trudnica. Ne preporučuje se primjena lijeka Septolete total limun i zova tokom trudnoće.</w:t>
      </w:r>
    </w:p>
    <w:p w14:paraId="1C507D4F" w14:textId="77777777" w:rsidR="007A5334" w:rsidRPr="00B220D9" w:rsidRDefault="007A5334">
      <w:pPr>
        <w:keepNext/>
        <w:widowControl w:val="0"/>
        <w:jc w:val="both"/>
        <w:outlineLvl w:val="0"/>
        <w:rPr>
          <w:szCs w:val="22"/>
          <w:u w:val="single"/>
          <w:lang w:val="sr-Latn-ME"/>
        </w:rPr>
      </w:pPr>
      <w:r w:rsidRPr="00B220D9">
        <w:rPr>
          <w:szCs w:val="22"/>
          <w:u w:val="single"/>
          <w:lang w:val="sr-Latn-ME"/>
        </w:rPr>
        <w:t>Dojenje</w:t>
      </w:r>
    </w:p>
    <w:p w14:paraId="56E3F01A" w14:textId="21A3D2B1" w:rsidR="007A5334" w:rsidRPr="00B220D9" w:rsidRDefault="007A5334">
      <w:pPr>
        <w:widowControl w:val="0"/>
        <w:jc w:val="both"/>
        <w:rPr>
          <w:szCs w:val="22"/>
          <w:lang w:val="sr-Latn-ME" w:eastAsia="hr-HR"/>
        </w:rPr>
      </w:pPr>
      <w:r w:rsidRPr="00B220D9">
        <w:rPr>
          <w:szCs w:val="22"/>
          <w:lang w:val="sr-Latn-ME"/>
        </w:rPr>
        <w:t xml:space="preserve">Nije poznato da li se </w:t>
      </w:r>
      <w:r w:rsidRPr="00B220D9">
        <w:rPr>
          <w:szCs w:val="22"/>
          <w:lang w:val="sr-Latn-ME" w:eastAsia="hr-HR"/>
        </w:rPr>
        <w:t>benzidamin hidrohlorid/metaboliti izlučuju u majčino mlijeko.</w:t>
      </w:r>
    </w:p>
    <w:p w14:paraId="017EFC53" w14:textId="24D6A0ED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B220D9">
        <w:rPr>
          <w:szCs w:val="22"/>
          <w:lang w:val="sr-Latn-ME" w:eastAsia="hr-HR"/>
        </w:rPr>
        <w:t>Rizik za novorođenčad/</w:t>
      </w:r>
      <w:r w:rsidR="00813607">
        <w:rPr>
          <w:szCs w:val="22"/>
          <w:lang w:val="sr-Latn-ME" w:eastAsia="hr-HR"/>
        </w:rPr>
        <w:t>odoj</w:t>
      </w:r>
      <w:r w:rsidRPr="00B220D9">
        <w:rPr>
          <w:szCs w:val="22"/>
          <w:lang w:val="sr-Latn-ME" w:eastAsia="hr-HR"/>
        </w:rPr>
        <w:t>čad ne može se isključiti. Mora se odlučiti da li će se prekinuti dojenje ili primjena lijeka Septolete total limun i zova, uzimajući u obzir korist dojenja za dijete i korist terapije za dojilju.</w:t>
      </w:r>
    </w:p>
    <w:p w14:paraId="7FA2BEAF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217A4B2B" w14:textId="77777777" w:rsidR="007A5334" w:rsidRPr="00B220D9" w:rsidRDefault="007A5334">
      <w:pPr>
        <w:widowControl w:val="0"/>
        <w:ind w:left="567" w:hanging="567"/>
        <w:jc w:val="both"/>
        <w:outlineLvl w:val="0"/>
        <w:rPr>
          <w:b/>
          <w:bCs/>
          <w:szCs w:val="22"/>
          <w:lang w:val="sr-Latn-ME"/>
        </w:rPr>
      </w:pPr>
      <w:r w:rsidRPr="00B220D9">
        <w:rPr>
          <w:b/>
          <w:szCs w:val="22"/>
          <w:lang w:val="sr-Latn-ME"/>
        </w:rPr>
        <w:t>4.7</w:t>
      </w:r>
      <w:r w:rsidRPr="00B220D9">
        <w:rPr>
          <w:b/>
          <w:szCs w:val="22"/>
          <w:lang w:val="sr-Latn-ME"/>
        </w:rPr>
        <w:tab/>
      </w:r>
      <w:r w:rsidRPr="00B220D9">
        <w:rPr>
          <w:b/>
          <w:bCs/>
          <w:szCs w:val="22"/>
          <w:lang w:val="sr-Latn-ME"/>
        </w:rPr>
        <w:t>Uticaj na sposobnost upravljanja vozilima i rukovanje mašinama</w:t>
      </w:r>
    </w:p>
    <w:p w14:paraId="6BA27EEB" w14:textId="77777777" w:rsidR="007A5334" w:rsidRPr="00B220D9" w:rsidRDefault="007A533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</w:p>
    <w:p w14:paraId="53EBF674" w14:textId="77777777" w:rsidR="007A5334" w:rsidRPr="00B220D9" w:rsidRDefault="007A5334">
      <w:pPr>
        <w:widowControl w:val="0"/>
        <w:jc w:val="both"/>
        <w:rPr>
          <w:i/>
          <w:szCs w:val="22"/>
          <w:lang w:val="sr-Latn-ME"/>
        </w:rPr>
      </w:pPr>
      <w:r w:rsidRPr="00B220D9">
        <w:rPr>
          <w:szCs w:val="22"/>
          <w:lang w:val="sr-Latn-ME"/>
        </w:rPr>
        <w:t>Lijek Septolete total limun i zova nema ili ima zanemarljiv uticaj na sposobnost upravljanja vozilima ili rukovanje mašinama.</w:t>
      </w:r>
    </w:p>
    <w:p w14:paraId="1E5AAE5D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17DFE0AE" w14:textId="77777777" w:rsidR="007A5334" w:rsidRPr="00B220D9" w:rsidRDefault="007A5334">
      <w:pPr>
        <w:widowControl w:val="0"/>
        <w:jc w:val="both"/>
        <w:rPr>
          <w:b/>
          <w:szCs w:val="22"/>
          <w:lang w:val="sr-Latn-ME"/>
        </w:rPr>
      </w:pPr>
      <w:r w:rsidRPr="00B220D9">
        <w:rPr>
          <w:b/>
          <w:bCs/>
          <w:szCs w:val="22"/>
          <w:lang w:val="sr-Latn-ME"/>
        </w:rPr>
        <w:t>4.8</w:t>
      </w:r>
      <w:r w:rsidRPr="00B220D9">
        <w:rPr>
          <w:b/>
          <w:bCs/>
          <w:szCs w:val="22"/>
          <w:lang w:val="sr-Latn-ME"/>
        </w:rPr>
        <w:tab/>
        <w:t>Neželjena dejstva</w:t>
      </w:r>
      <w:r w:rsidRPr="00B220D9" w:rsidDel="0098713C">
        <w:rPr>
          <w:b/>
          <w:szCs w:val="22"/>
          <w:lang w:val="sr-Latn-ME"/>
        </w:rPr>
        <w:t xml:space="preserve"> </w:t>
      </w:r>
    </w:p>
    <w:p w14:paraId="02BB4436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65348CA7" w14:textId="77777777" w:rsidR="007A5334" w:rsidRPr="00B220D9" w:rsidRDefault="007A5334">
      <w:pPr>
        <w:suppressAutoHyphens/>
        <w:jc w:val="both"/>
        <w:rPr>
          <w:szCs w:val="22"/>
          <w:lang w:val="sr-Latn-ME" w:eastAsia="ar-SA"/>
        </w:rPr>
      </w:pPr>
      <w:r w:rsidRPr="00B220D9">
        <w:rPr>
          <w:szCs w:val="22"/>
          <w:lang w:val="sr-Latn-ME" w:eastAsia="ar-SA"/>
        </w:rPr>
        <w:t>Neželjena dejstva koja se mogu javiti tokom terapije lijekom Septolete</w:t>
      </w:r>
      <w:r w:rsidRPr="00B220D9">
        <w:rPr>
          <w:bCs/>
          <w:szCs w:val="22"/>
          <w:vertAlign w:val="superscript"/>
          <w:lang w:val="sr-Latn-ME" w:eastAsia="ar-SA"/>
        </w:rPr>
        <w:t xml:space="preserve"> </w:t>
      </w:r>
      <w:r w:rsidRPr="00B220D9">
        <w:rPr>
          <w:bCs/>
          <w:szCs w:val="22"/>
          <w:lang w:val="sr-Latn-ME" w:eastAsia="ar-SA"/>
        </w:rPr>
        <w:t>total</w:t>
      </w:r>
      <w:r w:rsidRPr="00B220D9">
        <w:rPr>
          <w:szCs w:val="22"/>
          <w:lang w:val="sr-Latn-ME" w:eastAsia="ar-SA"/>
        </w:rPr>
        <w:t xml:space="preserve"> limun i zova razvrstana su prema učestalosti ispoljavanja u sljedeće grupe:</w:t>
      </w:r>
    </w:p>
    <w:p w14:paraId="2C04D5FD" w14:textId="77777777" w:rsidR="007A5334" w:rsidRPr="00B220D9" w:rsidRDefault="007A5334" w:rsidP="00F42139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>veoma često (≥ 1/10),</w:t>
      </w:r>
    </w:p>
    <w:p w14:paraId="509203EE" w14:textId="77777777" w:rsidR="007A5334" w:rsidRPr="00B220D9" w:rsidRDefault="007A5334" w:rsidP="00F42139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>često (≥ 1/100 do &lt; 1/10),</w:t>
      </w:r>
    </w:p>
    <w:p w14:paraId="0CADA412" w14:textId="77777777" w:rsidR="007A5334" w:rsidRPr="00B220D9" w:rsidRDefault="007A5334" w:rsidP="00F42139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>povremeno (≥ 1/1000 do &lt; 1/100),</w:t>
      </w:r>
    </w:p>
    <w:p w14:paraId="7C7BFB83" w14:textId="77777777" w:rsidR="007A5334" w:rsidRPr="00B220D9" w:rsidRDefault="007A5334" w:rsidP="00F42139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>rijetko (≥ 1/10000 do &lt; 1/1000),</w:t>
      </w:r>
    </w:p>
    <w:p w14:paraId="3B6CBA8A" w14:textId="77777777" w:rsidR="007A5334" w:rsidRPr="00B220D9" w:rsidRDefault="007A5334" w:rsidP="00F42139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 xml:space="preserve">veoma rijetko (&lt; 1/10000), </w:t>
      </w:r>
    </w:p>
    <w:p w14:paraId="553D13FA" w14:textId="77777777" w:rsidR="007A5334" w:rsidRPr="00B220D9" w:rsidRDefault="007A5334" w:rsidP="00F42139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r w:rsidRPr="00B220D9">
        <w:rPr>
          <w:szCs w:val="22"/>
          <w:lang w:val="sr-Latn-ME"/>
        </w:rPr>
        <w:t xml:space="preserve">nepoznate učestalosti (ne može se procijeniti na osnovu raspoloživih podataka). </w:t>
      </w:r>
    </w:p>
    <w:p w14:paraId="2334417A" w14:textId="77777777" w:rsidR="007A5334" w:rsidRPr="00B220D9" w:rsidRDefault="007A5334" w:rsidP="00B220D9">
      <w:pPr>
        <w:suppressAutoHyphens/>
        <w:jc w:val="both"/>
        <w:rPr>
          <w:szCs w:val="22"/>
          <w:lang w:val="sr-Latn-ME" w:eastAsia="ar-SA"/>
        </w:rPr>
      </w:pPr>
    </w:p>
    <w:p w14:paraId="26C0AF20" w14:textId="77777777" w:rsidR="007A5334" w:rsidRPr="00B220D9" w:rsidRDefault="007A5334" w:rsidP="00B220D9">
      <w:pPr>
        <w:suppressAutoHyphens/>
        <w:jc w:val="both"/>
        <w:rPr>
          <w:szCs w:val="22"/>
          <w:u w:val="single"/>
          <w:lang w:val="sr-Latn-ME" w:eastAsia="ar-SA"/>
        </w:rPr>
      </w:pPr>
      <w:r w:rsidRPr="00B220D9">
        <w:rPr>
          <w:szCs w:val="22"/>
          <w:u w:val="single"/>
          <w:lang w:val="sr-Latn-ME" w:eastAsia="ar-SA"/>
        </w:rPr>
        <w:t>Tabelarni prikaz neželjenih dejstava</w:t>
      </w:r>
    </w:p>
    <w:p w14:paraId="490B353E" w14:textId="77777777" w:rsidR="007A5334" w:rsidRPr="00B220D9" w:rsidRDefault="007A5334" w:rsidP="00B220D9">
      <w:pPr>
        <w:widowControl w:val="0"/>
        <w:jc w:val="both"/>
        <w:rPr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1622"/>
        <w:gridCol w:w="1827"/>
        <w:gridCol w:w="2749"/>
      </w:tblGrid>
      <w:tr w:rsidR="007A5334" w:rsidRPr="00B220D9" w14:paraId="28EB6233" w14:textId="77777777" w:rsidTr="008C4D23">
        <w:tc>
          <w:tcPr>
            <w:tcW w:w="0" w:type="auto"/>
            <w:vAlign w:val="center"/>
          </w:tcPr>
          <w:p w14:paraId="4E066476" w14:textId="77777777" w:rsidR="007A5334" w:rsidRPr="00B220D9" w:rsidRDefault="007A5334" w:rsidP="00F42139">
            <w:pPr>
              <w:widowControl w:val="0"/>
              <w:jc w:val="both"/>
              <w:rPr>
                <w:szCs w:val="22"/>
                <w:lang w:val="sr-Latn-ME"/>
              </w:rPr>
            </w:pPr>
            <w:r w:rsidRPr="00B220D9">
              <w:rPr>
                <w:b/>
                <w:szCs w:val="22"/>
                <w:lang w:val="sr-Latn-ME"/>
              </w:rPr>
              <w:t>Klasifikacija po sistemu organa</w:t>
            </w:r>
          </w:p>
        </w:tc>
        <w:tc>
          <w:tcPr>
            <w:tcW w:w="0" w:type="auto"/>
            <w:vAlign w:val="center"/>
          </w:tcPr>
          <w:p w14:paraId="6648F402" w14:textId="77777777" w:rsidR="007A5334" w:rsidRPr="00B220D9" w:rsidRDefault="007A5334" w:rsidP="00F42139">
            <w:pPr>
              <w:widowControl w:val="0"/>
              <w:jc w:val="both"/>
              <w:rPr>
                <w:szCs w:val="22"/>
                <w:lang w:val="sr-Latn-ME"/>
              </w:rPr>
            </w:pPr>
            <w:r w:rsidRPr="00B220D9">
              <w:rPr>
                <w:b/>
                <w:noProof/>
                <w:szCs w:val="22"/>
                <w:lang w:val="sr-Latn-ME"/>
              </w:rPr>
              <w:t>Rijetko</w:t>
            </w:r>
          </w:p>
        </w:tc>
        <w:tc>
          <w:tcPr>
            <w:tcW w:w="0" w:type="auto"/>
            <w:vAlign w:val="center"/>
          </w:tcPr>
          <w:p w14:paraId="17C5D535" w14:textId="77777777" w:rsidR="007A5334" w:rsidRPr="00B220D9" w:rsidRDefault="007A5334" w:rsidP="00F42139">
            <w:pPr>
              <w:widowControl w:val="0"/>
              <w:jc w:val="both"/>
              <w:rPr>
                <w:szCs w:val="22"/>
                <w:lang w:val="sr-Latn-ME"/>
              </w:rPr>
            </w:pPr>
            <w:r w:rsidRPr="00B220D9">
              <w:rPr>
                <w:b/>
                <w:noProof/>
                <w:szCs w:val="22"/>
                <w:lang w:val="sr-Latn-ME"/>
              </w:rPr>
              <w:t>Veoma rijetko</w:t>
            </w:r>
          </w:p>
        </w:tc>
        <w:tc>
          <w:tcPr>
            <w:tcW w:w="0" w:type="auto"/>
            <w:vAlign w:val="center"/>
          </w:tcPr>
          <w:p w14:paraId="1B911BFC" w14:textId="77777777" w:rsidR="007A5334" w:rsidRPr="00B220D9" w:rsidRDefault="007A5334" w:rsidP="00F42139">
            <w:pPr>
              <w:widowControl w:val="0"/>
              <w:jc w:val="both"/>
              <w:rPr>
                <w:noProof/>
                <w:szCs w:val="22"/>
                <w:lang w:val="sr-Latn-ME"/>
              </w:rPr>
            </w:pPr>
            <w:r w:rsidRPr="00B220D9">
              <w:rPr>
                <w:b/>
                <w:noProof/>
                <w:szCs w:val="22"/>
                <w:lang w:val="sr-Latn-ME"/>
              </w:rPr>
              <w:t>Nepoznata učestalost</w:t>
            </w:r>
          </w:p>
        </w:tc>
      </w:tr>
      <w:tr w:rsidR="007A5334" w:rsidRPr="00B220D9" w14:paraId="7ADE7561" w14:textId="77777777" w:rsidTr="008C4D23">
        <w:trPr>
          <w:trHeight w:val="737"/>
        </w:trPr>
        <w:tc>
          <w:tcPr>
            <w:tcW w:w="0" w:type="auto"/>
            <w:vAlign w:val="center"/>
          </w:tcPr>
          <w:p w14:paraId="6922F539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Poremećaji imunološkog sistema</w:t>
            </w:r>
          </w:p>
        </w:tc>
        <w:tc>
          <w:tcPr>
            <w:tcW w:w="0" w:type="auto"/>
            <w:vAlign w:val="center"/>
          </w:tcPr>
          <w:p w14:paraId="7D267C78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488215F5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41913657" w14:textId="77777777" w:rsidR="007A5334" w:rsidRPr="00B220D9" w:rsidRDefault="00BC6686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 xml:space="preserve">reakcija preosjetljivosti, </w:t>
            </w:r>
            <w:r w:rsidRPr="00B220D9">
              <w:rPr>
                <w:szCs w:val="22"/>
                <w:lang w:val="hr-HR"/>
              </w:rPr>
              <w:t>anafilaktička reakcija</w:t>
            </w:r>
          </w:p>
        </w:tc>
      </w:tr>
      <w:tr w:rsidR="007A5334" w:rsidRPr="00B220D9" w14:paraId="2B884AE2" w14:textId="77777777" w:rsidTr="008C4D23">
        <w:trPr>
          <w:trHeight w:val="737"/>
        </w:trPr>
        <w:tc>
          <w:tcPr>
            <w:tcW w:w="0" w:type="auto"/>
            <w:vAlign w:val="center"/>
          </w:tcPr>
          <w:p w14:paraId="4349F8E8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Poremećaji nervnog sistema</w:t>
            </w:r>
          </w:p>
        </w:tc>
        <w:tc>
          <w:tcPr>
            <w:tcW w:w="0" w:type="auto"/>
            <w:vAlign w:val="center"/>
          </w:tcPr>
          <w:p w14:paraId="07DEC110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07A1420E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506FD240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osjećaj peckanja sluzokože</w:t>
            </w:r>
          </w:p>
          <w:p w14:paraId="6CE1BFCF" w14:textId="77777777" w:rsidR="007A5334" w:rsidRPr="00AB5B63" w:rsidRDefault="007A5334" w:rsidP="00F42139">
            <w:pPr>
              <w:jc w:val="both"/>
              <w:rPr>
                <w:szCs w:val="22"/>
                <w:lang w:val="sr-Latn-ME"/>
              </w:rPr>
            </w:pPr>
          </w:p>
        </w:tc>
      </w:tr>
      <w:tr w:rsidR="007A5334" w:rsidRPr="00B220D9" w14:paraId="0D901EBF" w14:textId="77777777" w:rsidTr="008C4D23">
        <w:trPr>
          <w:trHeight w:val="737"/>
        </w:trPr>
        <w:tc>
          <w:tcPr>
            <w:tcW w:w="0" w:type="auto"/>
            <w:vAlign w:val="center"/>
          </w:tcPr>
          <w:p w14:paraId="26AD7C1F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Respiratorni, torakalni i medijastinalni poremećaji</w:t>
            </w:r>
          </w:p>
        </w:tc>
        <w:tc>
          <w:tcPr>
            <w:tcW w:w="0" w:type="auto"/>
            <w:vAlign w:val="center"/>
          </w:tcPr>
          <w:p w14:paraId="687F77B1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bronhospazam</w:t>
            </w:r>
          </w:p>
        </w:tc>
        <w:tc>
          <w:tcPr>
            <w:tcW w:w="0" w:type="auto"/>
            <w:vAlign w:val="center"/>
          </w:tcPr>
          <w:p w14:paraId="7D1FB79C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44D3D49B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</w:p>
        </w:tc>
      </w:tr>
      <w:tr w:rsidR="007A5334" w:rsidRPr="00B220D9" w14:paraId="38B0A1C1" w14:textId="77777777" w:rsidTr="008C4D23">
        <w:trPr>
          <w:trHeight w:val="737"/>
        </w:trPr>
        <w:tc>
          <w:tcPr>
            <w:tcW w:w="0" w:type="auto"/>
            <w:vAlign w:val="center"/>
          </w:tcPr>
          <w:p w14:paraId="6CF83018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Poremećaji gastrointestinalnog sistema</w:t>
            </w:r>
          </w:p>
        </w:tc>
        <w:tc>
          <w:tcPr>
            <w:tcW w:w="0" w:type="auto"/>
            <w:vAlign w:val="center"/>
          </w:tcPr>
          <w:p w14:paraId="0859F718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7E68F642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nadraženost usne sluznice,</w:t>
            </w:r>
          </w:p>
          <w:p w14:paraId="1BBC3811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osjećaj peckanja u ustima</w:t>
            </w:r>
          </w:p>
        </w:tc>
        <w:tc>
          <w:tcPr>
            <w:tcW w:w="0" w:type="auto"/>
            <w:vAlign w:val="center"/>
          </w:tcPr>
          <w:p w14:paraId="1EBFA1D8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anestezija usne sluznice</w:t>
            </w:r>
          </w:p>
        </w:tc>
      </w:tr>
      <w:tr w:rsidR="007A5334" w:rsidRPr="00B220D9" w14:paraId="724804B8" w14:textId="77777777" w:rsidTr="008C4D23">
        <w:trPr>
          <w:trHeight w:val="737"/>
        </w:trPr>
        <w:tc>
          <w:tcPr>
            <w:tcW w:w="0" w:type="auto"/>
            <w:vAlign w:val="center"/>
          </w:tcPr>
          <w:p w14:paraId="6B3A2B1F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Poremećaji kože i potkožnog tkiva</w:t>
            </w:r>
          </w:p>
        </w:tc>
        <w:tc>
          <w:tcPr>
            <w:tcW w:w="0" w:type="auto"/>
            <w:vAlign w:val="center"/>
          </w:tcPr>
          <w:p w14:paraId="31954570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urtikarija,</w:t>
            </w:r>
          </w:p>
          <w:p w14:paraId="4695B939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  <w:r w:rsidRPr="00B220D9">
              <w:rPr>
                <w:szCs w:val="22"/>
                <w:lang w:val="sr-Latn-ME"/>
              </w:rPr>
              <w:t>fotosenzitivnost</w:t>
            </w:r>
          </w:p>
        </w:tc>
        <w:tc>
          <w:tcPr>
            <w:tcW w:w="0" w:type="auto"/>
            <w:vAlign w:val="center"/>
          </w:tcPr>
          <w:p w14:paraId="78EF89E2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</w:p>
        </w:tc>
        <w:tc>
          <w:tcPr>
            <w:tcW w:w="0" w:type="auto"/>
            <w:vAlign w:val="center"/>
          </w:tcPr>
          <w:p w14:paraId="18899C90" w14:textId="77777777" w:rsidR="007A5334" w:rsidRPr="00B220D9" w:rsidRDefault="007A5334" w:rsidP="00F42139">
            <w:pPr>
              <w:jc w:val="both"/>
              <w:rPr>
                <w:szCs w:val="22"/>
                <w:lang w:val="sr-Latn-ME"/>
              </w:rPr>
            </w:pPr>
          </w:p>
        </w:tc>
      </w:tr>
    </w:tbl>
    <w:p w14:paraId="4FEA00D4" w14:textId="77777777" w:rsidR="007A5334" w:rsidRPr="00B220D9" w:rsidRDefault="007A5334" w:rsidP="00B220D9">
      <w:pPr>
        <w:widowControl w:val="0"/>
        <w:jc w:val="both"/>
        <w:rPr>
          <w:szCs w:val="22"/>
          <w:lang w:val="sr-Latn-ME"/>
        </w:rPr>
      </w:pPr>
    </w:p>
    <w:p w14:paraId="5F2E93C4" w14:textId="77777777" w:rsidR="007A5334" w:rsidRPr="00B220D9" w:rsidRDefault="007A5334" w:rsidP="00B220D9">
      <w:pPr>
        <w:jc w:val="both"/>
        <w:rPr>
          <w:rFonts w:eastAsia="Calibri"/>
          <w:bCs/>
          <w:szCs w:val="22"/>
          <w:u w:val="single"/>
          <w:lang w:val="sr-Latn-ME"/>
        </w:rPr>
      </w:pPr>
      <w:r w:rsidRPr="00B220D9">
        <w:rPr>
          <w:rFonts w:eastAsia="Calibri"/>
          <w:bCs/>
          <w:szCs w:val="22"/>
          <w:u w:val="single"/>
          <w:lang w:val="sr-Latn-ME"/>
        </w:rPr>
        <w:t>Prijavljivanje sumnji na neželjena dejstva</w:t>
      </w:r>
    </w:p>
    <w:p w14:paraId="18E79C60" w14:textId="77777777" w:rsidR="007A5334" w:rsidRPr="00B220D9" w:rsidRDefault="007A5334" w:rsidP="00B220D9">
      <w:pPr>
        <w:jc w:val="both"/>
        <w:rPr>
          <w:rFonts w:eastAsia="Calibri"/>
          <w:bCs/>
          <w:szCs w:val="22"/>
          <w:u w:val="single"/>
          <w:lang w:val="sr-Latn-ME"/>
        </w:rPr>
      </w:pPr>
    </w:p>
    <w:p w14:paraId="0866BE02" w14:textId="77777777" w:rsidR="007A5334" w:rsidRPr="00B220D9" w:rsidRDefault="007A5334" w:rsidP="00AB5B63">
      <w:pPr>
        <w:spacing w:after="200"/>
        <w:jc w:val="both"/>
        <w:rPr>
          <w:rFonts w:eastAsia="Calibri"/>
          <w:szCs w:val="22"/>
          <w:lang w:val="sr-Latn-RS"/>
        </w:rPr>
      </w:pPr>
      <w:r w:rsidRPr="00B220D9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8940FDE" w14:textId="77777777" w:rsidR="007A5334" w:rsidRPr="00B220D9" w:rsidRDefault="007A5334" w:rsidP="00A01E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B220D9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14:paraId="133199E2" w14:textId="77777777" w:rsidR="007A5334" w:rsidRPr="00B220D9" w:rsidRDefault="007A533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B220D9">
        <w:rPr>
          <w:rFonts w:eastAsia="Calibri"/>
          <w:sz w:val="22"/>
          <w:szCs w:val="22"/>
          <w:lang w:val="sr-Latn-RS"/>
        </w:rPr>
        <w:t>Odjeljenje za farmakovigilancu</w:t>
      </w:r>
    </w:p>
    <w:p w14:paraId="70E92B98" w14:textId="77777777" w:rsidR="007A5334" w:rsidRPr="00B220D9" w:rsidRDefault="007A533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B220D9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3C3A64C6" w14:textId="77777777" w:rsidR="007A5334" w:rsidRPr="00B220D9" w:rsidRDefault="007A5334" w:rsidP="00F4213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738D1D4" w14:textId="77777777" w:rsidR="007A5334" w:rsidRPr="00B220D9" w:rsidRDefault="007A5334" w:rsidP="00B220D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B220D9">
        <w:rPr>
          <w:rFonts w:eastAsia="Calibri"/>
          <w:sz w:val="22"/>
          <w:szCs w:val="22"/>
          <w:lang w:val="sr-Latn-RS"/>
        </w:rPr>
        <w:t>tel: +382 (0) 20 310 280</w:t>
      </w:r>
    </w:p>
    <w:p w14:paraId="49D679F2" w14:textId="77777777" w:rsidR="007A5334" w:rsidRPr="00B220D9" w:rsidRDefault="007A5334" w:rsidP="00B220D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B220D9">
        <w:rPr>
          <w:rFonts w:eastAsia="Calibri"/>
          <w:sz w:val="22"/>
          <w:szCs w:val="22"/>
          <w:lang w:val="sr-Latn-RS"/>
        </w:rPr>
        <w:lastRenderedPageBreak/>
        <w:t>fax: +382 (0) 20 310 581</w:t>
      </w:r>
    </w:p>
    <w:p w14:paraId="44112124" w14:textId="77777777" w:rsidR="007A5334" w:rsidRPr="00B220D9" w:rsidRDefault="007A5334" w:rsidP="00B220D9">
      <w:pPr>
        <w:pStyle w:val="NoSpacing"/>
        <w:jc w:val="both"/>
        <w:rPr>
          <w:sz w:val="22"/>
          <w:szCs w:val="22"/>
        </w:rPr>
      </w:pPr>
    </w:p>
    <w:p w14:paraId="60312EF4" w14:textId="58C660ED" w:rsidR="007A5334" w:rsidRPr="00B220D9" w:rsidRDefault="005224D1" w:rsidP="00B220D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F42139" w:rsidRPr="00F42139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59E32E6A" w14:textId="77777777" w:rsidR="007A5334" w:rsidRPr="00B220D9" w:rsidRDefault="005224D1" w:rsidP="00B220D9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7A5334" w:rsidRPr="00B220D9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7B78884C" w14:textId="77777777" w:rsidR="007A5334" w:rsidRPr="00A01E28" w:rsidRDefault="007A5334" w:rsidP="00A01E28">
      <w:pPr>
        <w:widowControl w:val="0"/>
        <w:jc w:val="both"/>
        <w:rPr>
          <w:rFonts w:eastAsia="Calibri"/>
          <w:szCs w:val="22"/>
          <w:lang w:val="sr-Latn-RS"/>
        </w:rPr>
      </w:pPr>
      <w:r w:rsidRPr="00A01E28">
        <w:rPr>
          <w:rFonts w:eastAsia="Calibri"/>
          <w:szCs w:val="22"/>
          <w:lang w:val="sr-Latn-RS"/>
        </w:rPr>
        <w:t>putem IS zdravstvene zaštite.</w:t>
      </w:r>
    </w:p>
    <w:p w14:paraId="4B6E76C5" w14:textId="77777777" w:rsidR="002F1E7D" w:rsidRPr="00A01E28" w:rsidRDefault="002F1E7D" w:rsidP="00A01E28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RS"/>
        </w:rPr>
      </w:pPr>
      <w:r w:rsidRPr="00A01E28">
        <w:rPr>
          <w:rFonts w:eastAsia="Calibri"/>
          <w:szCs w:val="22"/>
          <w:lang w:val="sr-Latn-RS"/>
        </w:rPr>
        <w:t>QR kod za online prijavu sumnje na neželjeno dejstvo lijeka:</w:t>
      </w:r>
    </w:p>
    <w:p w14:paraId="67CF3C48" w14:textId="77777777" w:rsidR="002F1E7D" w:rsidRPr="00B220D9" w:rsidRDefault="002F1E7D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RS"/>
        </w:rPr>
      </w:pPr>
    </w:p>
    <w:p w14:paraId="14487265" w14:textId="4CB8CA9B" w:rsidR="002F1E7D" w:rsidRPr="00B220D9" w:rsidRDefault="00986E9F" w:rsidP="00F42139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RS"/>
        </w:rPr>
      </w:pPr>
      <w:hyperlink r:id="rId10" w:history="1">
        <w:r w:rsidRPr="00986E9F">
          <w:rPr>
            <w:b/>
            <w:noProof/>
            <w:szCs w:val="22"/>
            <w:lang w:val="en-US"/>
          </w:rPr>
          <w:pict w14:anchorId="5FF172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i1027" type="#_x0000_t75" href="https://vigiflow-eforms.who-umc.org/me/meadr" style="width:77pt;height:76.4pt;visibility:visible;mso-wrap-style:square" o:button="t">
              <v:fill o:detectmouseclick="t"/>
              <v:imagedata r:id="rId11" o:title="" croptop="6394f" cropbottom="6805f" cropleft="6631f" cropright="6094f"/>
            </v:shape>
          </w:pict>
        </w:r>
      </w:hyperlink>
      <w:bookmarkStart w:id="0" w:name="_GoBack"/>
      <w:bookmarkEnd w:id="0"/>
      <w:r w:rsidR="005224D1">
        <w:fldChar w:fldCharType="begin"/>
      </w:r>
      <w:r w:rsidR="005224D1">
        <w:instrText xml:space="preserve"> HYPERLINK "https://primaryreporting.who-umc.org/ME" </w:instrText>
      </w:r>
      <w:r w:rsidR="005224D1">
        <w:fldChar w:fldCharType="separate"/>
      </w:r>
      <w:r w:rsidR="005224D1">
        <w:rPr>
          <w:noProof/>
          <w:szCs w:val="22"/>
          <w:lang w:val="mk-MK" w:eastAsia="mk-MK"/>
        </w:rPr>
        <w:fldChar w:fldCharType="end"/>
      </w:r>
    </w:p>
    <w:p w14:paraId="5A11CC1C" w14:textId="77777777" w:rsidR="007A5334" w:rsidRPr="00A01E28" w:rsidRDefault="007A5334" w:rsidP="00B220D9">
      <w:pPr>
        <w:widowControl w:val="0"/>
        <w:jc w:val="both"/>
        <w:rPr>
          <w:szCs w:val="22"/>
          <w:lang w:val="sr-Latn-ME"/>
        </w:rPr>
      </w:pPr>
    </w:p>
    <w:p w14:paraId="77D03BCA" w14:textId="77777777" w:rsidR="007A5334" w:rsidRPr="00A01E28" w:rsidRDefault="007A5334" w:rsidP="00B220D9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A01E28">
        <w:rPr>
          <w:b/>
          <w:szCs w:val="22"/>
          <w:lang w:val="sr-Latn-ME"/>
        </w:rPr>
        <w:t>4.9</w:t>
      </w:r>
      <w:r w:rsidRPr="00A01E28">
        <w:rPr>
          <w:b/>
          <w:szCs w:val="22"/>
          <w:lang w:val="sr-Latn-ME"/>
        </w:rPr>
        <w:tab/>
        <w:t xml:space="preserve">Predoziranje </w:t>
      </w:r>
    </w:p>
    <w:p w14:paraId="0A92AAA0" w14:textId="77777777" w:rsidR="007A5334" w:rsidRPr="00B220D9" w:rsidRDefault="007A5334" w:rsidP="00B220D9">
      <w:pPr>
        <w:widowControl w:val="0"/>
        <w:jc w:val="both"/>
        <w:rPr>
          <w:szCs w:val="22"/>
          <w:lang w:val="sr-Latn-ME"/>
        </w:rPr>
      </w:pPr>
    </w:p>
    <w:p w14:paraId="37A86184" w14:textId="77777777" w:rsidR="007A5334" w:rsidRPr="00B220D9" w:rsidRDefault="007A5334" w:rsidP="00A01E28">
      <w:pPr>
        <w:widowControl w:val="0"/>
        <w:jc w:val="both"/>
        <w:rPr>
          <w:iCs/>
          <w:szCs w:val="22"/>
          <w:u w:val="single"/>
          <w:lang w:val="sr-Latn-ME"/>
        </w:rPr>
      </w:pPr>
      <w:r w:rsidRPr="00B220D9">
        <w:rPr>
          <w:iCs/>
          <w:szCs w:val="22"/>
          <w:u w:val="single"/>
          <w:lang w:val="sr-Latn-ME"/>
        </w:rPr>
        <w:t>Simptomi</w:t>
      </w:r>
    </w:p>
    <w:p w14:paraId="51B1D0EE" w14:textId="77777777" w:rsidR="007A5334" w:rsidRPr="00B220D9" w:rsidRDefault="007A5334" w:rsidP="00A01E28">
      <w:pPr>
        <w:widowControl w:val="0"/>
        <w:jc w:val="both"/>
        <w:rPr>
          <w:color w:val="000000"/>
          <w:szCs w:val="22"/>
          <w:lang w:val="sr-Latn-ME"/>
        </w:rPr>
      </w:pPr>
      <w:r w:rsidRPr="00B220D9">
        <w:rPr>
          <w:color w:val="000000"/>
          <w:szCs w:val="22"/>
          <w:lang w:val="sr-Latn-ME"/>
        </w:rPr>
        <w:t xml:space="preserve">Toksične manifestacije kod predoziranja benzidaminom obuhvataju: ekscitaciju, konvulzije, znojenje, ataksiju, drhtavicu i povraćanje. Budući da nema specifičnog antidota, liječenje akutne intoksikacije benzidaminom je isključivo simptomatsko. </w:t>
      </w:r>
    </w:p>
    <w:p w14:paraId="2DA91B58" w14:textId="77777777" w:rsidR="007A5334" w:rsidRPr="00B220D9" w:rsidRDefault="007A5334">
      <w:pPr>
        <w:widowControl w:val="0"/>
        <w:jc w:val="both"/>
        <w:rPr>
          <w:color w:val="000000"/>
          <w:szCs w:val="22"/>
          <w:lang w:val="sr-Latn-ME"/>
        </w:rPr>
      </w:pPr>
      <w:r w:rsidRPr="00B220D9">
        <w:rPr>
          <w:color w:val="000000"/>
          <w:szCs w:val="22"/>
          <w:lang w:val="sr-Latn-ME"/>
        </w:rPr>
        <w:t>Znaci i simptomi intoksikacije koji su rezultat unosa značajne količine cetilpiridinijum hlorida uključuju mučninu, povraćanje, dispneju, cijanozu, asfiksiju, praćenu paralizom respiratornih mišića, depresiju CNS-a, hipotenziju i komu. Letalna doza za ljude je približno 1-3 grama.</w:t>
      </w:r>
    </w:p>
    <w:p w14:paraId="4B8AD37D" w14:textId="77777777" w:rsidR="007A5334" w:rsidRPr="00B220D9" w:rsidRDefault="007A5334">
      <w:pPr>
        <w:widowControl w:val="0"/>
        <w:jc w:val="both"/>
        <w:rPr>
          <w:iCs/>
          <w:szCs w:val="22"/>
          <w:u w:val="single"/>
          <w:lang w:val="sr-Latn-ME"/>
        </w:rPr>
      </w:pPr>
    </w:p>
    <w:p w14:paraId="27E0380E" w14:textId="77777777" w:rsidR="007A5334" w:rsidRPr="00B220D9" w:rsidRDefault="007A5334">
      <w:pPr>
        <w:widowControl w:val="0"/>
        <w:jc w:val="both"/>
        <w:rPr>
          <w:iCs/>
          <w:szCs w:val="22"/>
          <w:u w:val="single"/>
          <w:lang w:val="sr-Latn-ME"/>
        </w:rPr>
      </w:pPr>
      <w:r w:rsidRPr="00B220D9">
        <w:rPr>
          <w:iCs/>
          <w:szCs w:val="22"/>
          <w:u w:val="single"/>
          <w:lang w:val="sr-Latn-ME"/>
        </w:rPr>
        <w:t>Liječenje</w:t>
      </w:r>
    </w:p>
    <w:p w14:paraId="5FD33C2A" w14:textId="77777777" w:rsidR="007A5334" w:rsidRPr="00B220D9" w:rsidRDefault="007A5334">
      <w:pPr>
        <w:widowControl w:val="0"/>
        <w:jc w:val="both"/>
        <w:rPr>
          <w:color w:val="000000"/>
          <w:szCs w:val="22"/>
          <w:lang w:val="sr-Latn-ME"/>
        </w:rPr>
      </w:pPr>
      <w:r w:rsidRPr="00B220D9">
        <w:rPr>
          <w:color w:val="000000"/>
          <w:szCs w:val="22"/>
          <w:lang w:val="sr-Latn-ME"/>
        </w:rPr>
        <w:t>Budući da nema specifičnog antidota, liječenje akutnog predoziranja isključivo je simptomatsko.</w:t>
      </w:r>
    </w:p>
    <w:p w14:paraId="45B7F13F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3CAEDD7F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1B742249" w14:textId="77777777" w:rsidR="007A5334" w:rsidRPr="00B220D9" w:rsidRDefault="007A533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B220D9">
        <w:rPr>
          <w:b/>
          <w:szCs w:val="22"/>
          <w:lang w:val="sr-Latn-ME"/>
        </w:rPr>
        <w:t>5.</w:t>
      </w:r>
      <w:r w:rsidRPr="00B220D9">
        <w:rPr>
          <w:b/>
          <w:szCs w:val="22"/>
          <w:lang w:val="sr-Latn-ME"/>
        </w:rPr>
        <w:tab/>
      </w:r>
      <w:r w:rsidRPr="00B220D9">
        <w:rPr>
          <w:b/>
          <w:bCs/>
          <w:szCs w:val="22"/>
          <w:lang w:val="sr-Latn-ME"/>
        </w:rPr>
        <w:t>FARMAKOLOŠKI PODACI</w:t>
      </w:r>
    </w:p>
    <w:p w14:paraId="5154197E" w14:textId="77777777" w:rsidR="007A5334" w:rsidRPr="00B220D9" w:rsidRDefault="007A533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2262E1D9" w14:textId="77777777" w:rsidR="007A5334" w:rsidRPr="00B220D9" w:rsidRDefault="007A533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B220D9">
        <w:rPr>
          <w:b/>
          <w:bCs/>
          <w:szCs w:val="22"/>
          <w:lang w:val="sr-Latn-ME"/>
        </w:rPr>
        <w:t xml:space="preserve">5.1. </w:t>
      </w:r>
      <w:r w:rsidRPr="00B220D9">
        <w:rPr>
          <w:b/>
          <w:bCs/>
          <w:szCs w:val="22"/>
          <w:lang w:val="sr-Latn-ME"/>
        </w:rPr>
        <w:tab/>
        <w:t>Farmakodinamski podaci</w:t>
      </w:r>
    </w:p>
    <w:p w14:paraId="467F0AF6" w14:textId="77777777" w:rsidR="007A5334" w:rsidRPr="00B220D9" w:rsidRDefault="007A5334">
      <w:pPr>
        <w:widowControl w:val="0"/>
        <w:ind w:hanging="567"/>
        <w:jc w:val="both"/>
        <w:rPr>
          <w:szCs w:val="22"/>
          <w:lang w:val="sr-Latn-ME"/>
        </w:rPr>
      </w:pPr>
    </w:p>
    <w:p w14:paraId="12D46400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  <w:r w:rsidRPr="00B220D9">
        <w:rPr>
          <w:szCs w:val="22"/>
          <w:lang w:val="sr-Latn-ME" w:eastAsia="ar-SA"/>
        </w:rPr>
        <w:t xml:space="preserve">Farmakoterapijska grupa: </w:t>
      </w:r>
      <w:r w:rsidRPr="00B220D9">
        <w:rPr>
          <w:szCs w:val="22"/>
          <w:lang w:val="sr-Latn-ME"/>
        </w:rPr>
        <w:t>preparati za grlo;</w:t>
      </w:r>
    </w:p>
    <w:p w14:paraId="790D054D" w14:textId="77777777" w:rsidR="007A5334" w:rsidRPr="00B220D9" w:rsidRDefault="007A5334">
      <w:pPr>
        <w:suppressAutoHyphens/>
        <w:jc w:val="both"/>
        <w:rPr>
          <w:szCs w:val="22"/>
          <w:lang w:val="sr-Latn-ME" w:eastAsia="ar-SA"/>
        </w:rPr>
      </w:pPr>
    </w:p>
    <w:p w14:paraId="039148BF" w14:textId="77777777" w:rsidR="007A5334" w:rsidRPr="00B220D9" w:rsidRDefault="007A5334">
      <w:pPr>
        <w:suppressAutoHyphens/>
        <w:jc w:val="both"/>
        <w:rPr>
          <w:szCs w:val="22"/>
          <w:lang w:val="sr-Latn-ME" w:eastAsia="ar-SA"/>
        </w:rPr>
      </w:pPr>
      <w:r w:rsidRPr="00B220D9">
        <w:rPr>
          <w:szCs w:val="22"/>
          <w:lang w:val="sr-Latn-ME" w:eastAsia="ar-SA"/>
        </w:rPr>
        <w:t xml:space="preserve">ATC kod: </w:t>
      </w:r>
      <w:r w:rsidR="00BA5727" w:rsidRPr="00B220D9">
        <w:rPr>
          <w:szCs w:val="22"/>
          <w:lang w:val="sr-Latn-ME"/>
        </w:rPr>
        <w:t>R02AX03</w:t>
      </w:r>
    </w:p>
    <w:p w14:paraId="77A07EE8" w14:textId="77777777" w:rsidR="007A5334" w:rsidRPr="00B220D9" w:rsidRDefault="007A5334">
      <w:pPr>
        <w:widowControl w:val="0"/>
        <w:jc w:val="both"/>
        <w:rPr>
          <w:noProof/>
          <w:szCs w:val="22"/>
          <w:lang w:val="sr-Latn-ME"/>
        </w:rPr>
      </w:pPr>
      <w:r w:rsidRPr="00B220D9">
        <w:rPr>
          <w:szCs w:val="22"/>
          <w:lang w:val="sr-Latn-ME"/>
        </w:rPr>
        <w:t xml:space="preserve"> </w:t>
      </w:r>
    </w:p>
    <w:p w14:paraId="63317AF9" w14:textId="77777777" w:rsidR="007A5334" w:rsidRPr="00B220D9" w:rsidRDefault="007A5334">
      <w:pPr>
        <w:widowControl w:val="0"/>
        <w:jc w:val="both"/>
        <w:rPr>
          <w:noProof/>
          <w:szCs w:val="22"/>
          <w:u w:val="single"/>
          <w:lang w:val="sr-Latn-ME"/>
        </w:rPr>
      </w:pPr>
      <w:r w:rsidRPr="00B220D9">
        <w:rPr>
          <w:noProof/>
          <w:szCs w:val="22"/>
          <w:u w:val="single"/>
          <w:lang w:val="sr-Latn-ME"/>
        </w:rPr>
        <w:t>Mehanizam djelovanja</w:t>
      </w:r>
    </w:p>
    <w:p w14:paraId="7C47837C" w14:textId="77777777" w:rsidR="007A5334" w:rsidRPr="00B220D9" w:rsidRDefault="007A5334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r-Latn-ME"/>
        </w:rPr>
      </w:pPr>
      <w:r w:rsidRPr="00B220D9">
        <w:rPr>
          <w:color w:val="000000"/>
          <w:szCs w:val="22"/>
          <w:lang w:val="sr-Latn-ME"/>
        </w:rPr>
        <w:t>Benzidamin hidrohlorid je molekul sa nesteroidnom hemijskom strukturom, sa antiinflamatornim i analgetskim svojstvima. Mehanizam djelovanja može se pripisati inhibiciji sinteze prostaglandina, čime se smanjuju lokalni znaci zapaljenja (kao što su bol, crvenilo, oticanje, toplota i umanjena funkcija). Benzidamin hidrohlorid ima i umjereni lokalni anestetski efekat.</w:t>
      </w:r>
    </w:p>
    <w:p w14:paraId="5E8C34DD" w14:textId="77777777" w:rsidR="00330912" w:rsidRPr="00B220D9" w:rsidRDefault="007A5334">
      <w:pPr>
        <w:widowControl w:val="0"/>
        <w:autoSpaceDE w:val="0"/>
        <w:autoSpaceDN w:val="0"/>
        <w:adjustRightInd w:val="0"/>
        <w:jc w:val="both"/>
        <w:rPr>
          <w:i/>
          <w:color w:val="000000"/>
          <w:szCs w:val="22"/>
        </w:rPr>
      </w:pPr>
      <w:r w:rsidRPr="00B220D9">
        <w:rPr>
          <w:color w:val="000000"/>
          <w:szCs w:val="22"/>
          <w:lang w:val="sr-Latn-ME"/>
        </w:rPr>
        <w:t>Cetilpiridinijum hlorid je katjonski antiseptik iz grupe kvarternarnih amonijum soli.</w:t>
      </w:r>
      <w:r w:rsidR="00BC6686" w:rsidRPr="00B220D9">
        <w:rPr>
          <w:i/>
          <w:color w:val="000000"/>
          <w:szCs w:val="22"/>
          <w:lang w:eastAsia="sl-SI"/>
        </w:rPr>
        <w:t xml:space="preserve"> </w:t>
      </w:r>
    </w:p>
    <w:p w14:paraId="43D4F633" w14:textId="77777777" w:rsidR="00330912" w:rsidRPr="00B220D9" w:rsidRDefault="00330912">
      <w:pPr>
        <w:widowControl w:val="0"/>
        <w:autoSpaceDE w:val="0"/>
        <w:autoSpaceDN w:val="0"/>
        <w:adjustRightInd w:val="0"/>
        <w:jc w:val="both"/>
        <w:rPr>
          <w:i/>
          <w:color w:val="000000"/>
          <w:szCs w:val="22"/>
          <w:lang w:val="sr-Latn-ME"/>
        </w:rPr>
      </w:pPr>
      <w:r w:rsidRPr="00B220D9">
        <w:rPr>
          <w:i/>
          <w:color w:val="000000"/>
          <w:szCs w:val="22"/>
        </w:rPr>
        <w:t xml:space="preserve">In vitro </w:t>
      </w:r>
      <w:r w:rsidRPr="00B220D9">
        <w:rPr>
          <w:color w:val="000000"/>
          <w:szCs w:val="22"/>
        </w:rPr>
        <w:t>studije s cetilpiridinijum hloridom pokazale su antivirusno djelovanje; međutim klinički značaj nije poznat.</w:t>
      </w:r>
    </w:p>
    <w:p w14:paraId="0210F3F4" w14:textId="77777777" w:rsidR="007A5334" w:rsidRPr="00B220D9" w:rsidRDefault="007A5334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sr-Latn-ME"/>
        </w:rPr>
      </w:pPr>
    </w:p>
    <w:p w14:paraId="5F6B8EC9" w14:textId="77777777" w:rsidR="007A5334" w:rsidRPr="00B220D9" w:rsidRDefault="007A5334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sr-Latn-ME"/>
        </w:rPr>
      </w:pPr>
      <w:r w:rsidRPr="00B220D9">
        <w:rPr>
          <w:color w:val="000000"/>
          <w:szCs w:val="22"/>
          <w:u w:val="single"/>
          <w:lang w:val="sr-Latn-ME"/>
        </w:rPr>
        <w:t xml:space="preserve">Klinička efikasnost i bezbjednost </w:t>
      </w:r>
    </w:p>
    <w:p w14:paraId="3C51A93C" w14:textId="77777777" w:rsidR="007A5334" w:rsidRPr="00B220D9" w:rsidRDefault="007A5334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  <w:lang w:val="sr-Latn-ME"/>
        </w:rPr>
      </w:pPr>
      <w:r w:rsidRPr="00B220D9">
        <w:rPr>
          <w:color w:val="000000"/>
          <w:szCs w:val="22"/>
          <w:lang w:val="sr-Latn-ME"/>
        </w:rPr>
        <w:t>Benzidamin se prevashodno primjenjuje u liječenju poremećaja orofaringealne regije. Cetilpiridinijum hlorid je aktivan protiv gram-pozitivnih bakterija i manje aktivan protiv gram-negativnih bakterija, i zato ima optimalno antiseptičko i germicidno djelovanje. Takođe ima antifungalna svojstva.</w:t>
      </w:r>
    </w:p>
    <w:p w14:paraId="23D64913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  <w:r w:rsidRPr="00B220D9">
        <w:rPr>
          <w:iCs/>
          <w:szCs w:val="22"/>
          <w:lang w:val="sr-Latn-ME"/>
        </w:rPr>
        <w:t>U placebo kontrolisanom kliničkom ispitivanju sa lijekom Septolete total limun i zova, početak olakšanja bola (smanjenje bola i otoka u grlu) je uočen 15 minuta nakon uzimanja lozenge i dejstvo je bilo produženo do 3 sata.</w:t>
      </w:r>
    </w:p>
    <w:p w14:paraId="6EBE356B" w14:textId="77777777" w:rsidR="007A5334" w:rsidRPr="00B220D9" w:rsidRDefault="007A5334">
      <w:pPr>
        <w:widowControl w:val="0"/>
        <w:jc w:val="both"/>
        <w:rPr>
          <w:iCs/>
          <w:szCs w:val="22"/>
          <w:lang w:val="sr-Latn-ME"/>
        </w:rPr>
      </w:pPr>
    </w:p>
    <w:p w14:paraId="121429B5" w14:textId="77777777" w:rsidR="007A5334" w:rsidRPr="00B220D9" w:rsidRDefault="007A5334">
      <w:pPr>
        <w:widowControl w:val="0"/>
        <w:ind w:left="567" w:hanging="567"/>
        <w:jc w:val="both"/>
        <w:outlineLvl w:val="0"/>
        <w:rPr>
          <w:b/>
          <w:szCs w:val="22"/>
          <w:lang w:val="sr-Latn-ME"/>
        </w:rPr>
      </w:pPr>
      <w:r w:rsidRPr="00B220D9">
        <w:rPr>
          <w:b/>
          <w:szCs w:val="22"/>
          <w:lang w:val="sr-Latn-ME"/>
        </w:rPr>
        <w:t>5.2</w:t>
      </w:r>
      <w:r w:rsidRPr="00B220D9">
        <w:rPr>
          <w:b/>
          <w:szCs w:val="22"/>
          <w:lang w:val="sr-Latn-ME"/>
        </w:rPr>
        <w:tab/>
      </w:r>
      <w:r w:rsidRPr="00B220D9">
        <w:rPr>
          <w:b/>
          <w:bCs/>
          <w:szCs w:val="22"/>
          <w:lang w:val="sr-Latn-ME"/>
        </w:rPr>
        <w:t>Farmakokinetički podaci</w:t>
      </w:r>
    </w:p>
    <w:p w14:paraId="2A90C485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0ECFEBE6" w14:textId="77777777" w:rsidR="007A5334" w:rsidRPr="00B220D9" w:rsidRDefault="007A533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B220D9">
        <w:rPr>
          <w:szCs w:val="22"/>
          <w:u w:val="single"/>
          <w:lang w:val="sr-Latn-ME"/>
        </w:rPr>
        <w:t>Resorpcija</w:t>
      </w:r>
    </w:p>
    <w:p w14:paraId="2F5740E3" w14:textId="734B164C" w:rsidR="00C40716" w:rsidRPr="00B220D9" w:rsidRDefault="007A533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B220D9">
        <w:rPr>
          <w:iCs/>
          <w:szCs w:val="22"/>
          <w:lang w:val="sr-Latn-ME"/>
        </w:rPr>
        <w:lastRenderedPageBreak/>
        <w:t>Od dvije aktivne supstance, cetilpiridinijuma i benzidamina, samo se benzidamin resorbuje. Zbog toga, cetilpiridinijum ne može dovesti do farmakokinetičkih interakcija sa benzidaminom na sistemskom nivou.</w:t>
      </w:r>
    </w:p>
    <w:p w14:paraId="74734E01" w14:textId="77777777" w:rsidR="007A5334" w:rsidRPr="00B220D9" w:rsidRDefault="007A533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B220D9">
        <w:rPr>
          <w:iCs/>
          <w:szCs w:val="22"/>
          <w:lang w:val="sr-Latn-ME"/>
        </w:rPr>
        <w:t>Resorpcija benzidamina preko orofaringealne sluzokože dokazana je otkrivanjem mjerljive količine aktivne supstance u serumu, koja nije dovoljna za izazivanje sistemskog djelovanja.</w:t>
      </w:r>
    </w:p>
    <w:p w14:paraId="06846C63" w14:textId="77777777" w:rsidR="007A5334" w:rsidRPr="00B220D9" w:rsidRDefault="007A533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B220D9">
        <w:rPr>
          <w:iCs/>
          <w:szCs w:val="22"/>
          <w:lang w:val="sr-Latn-ME"/>
        </w:rPr>
        <w:t>Međutim, benzidamin se resorbuje kada se primjenjuje sistemski. Stoga je resorpcija benzidamina veća kod farmaceutskih oblika koji se rastvaraju u ustima, u poređenju sa primjenom lokalnim putem (kao što je sprej za usnu sluznicu).</w:t>
      </w:r>
    </w:p>
    <w:p w14:paraId="213EB45C" w14:textId="77777777" w:rsidR="007A5334" w:rsidRPr="00B220D9" w:rsidRDefault="007A533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</w:p>
    <w:p w14:paraId="7D99EF35" w14:textId="77777777" w:rsidR="007A5334" w:rsidRPr="00B220D9" w:rsidRDefault="007A5334">
      <w:pPr>
        <w:widowControl w:val="0"/>
        <w:numPr>
          <w:ilvl w:val="12"/>
          <w:numId w:val="0"/>
        </w:numPr>
        <w:jc w:val="both"/>
        <w:rPr>
          <w:iCs/>
          <w:szCs w:val="22"/>
          <w:u w:val="single"/>
          <w:lang w:val="sr-Latn-ME"/>
        </w:rPr>
      </w:pPr>
      <w:r w:rsidRPr="00B220D9">
        <w:rPr>
          <w:szCs w:val="22"/>
          <w:u w:val="single"/>
          <w:lang w:val="sr-Latn-ME"/>
        </w:rPr>
        <w:t>Distribucija</w:t>
      </w:r>
    </w:p>
    <w:p w14:paraId="157AB087" w14:textId="77777777" w:rsidR="007A5334" w:rsidRPr="00B220D9" w:rsidRDefault="007A533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B220D9">
        <w:rPr>
          <w:color w:val="222222"/>
          <w:szCs w:val="22"/>
          <w:lang w:val="sr-Latn-ME"/>
        </w:rPr>
        <w:t>Kada se primjenjuje lokalno, benzidamin se nakuplja u upaljenim tkivima gdje dostiže efektivnu koncentraciju zbog svoje sposobnosti prodiranja u sluznicu epitela.</w:t>
      </w:r>
    </w:p>
    <w:p w14:paraId="1ED2F0A7" w14:textId="77777777" w:rsidR="007A5334" w:rsidRPr="00B220D9" w:rsidRDefault="007A5334">
      <w:pPr>
        <w:widowControl w:val="0"/>
        <w:numPr>
          <w:ilvl w:val="12"/>
          <w:numId w:val="0"/>
        </w:numPr>
        <w:jc w:val="both"/>
        <w:rPr>
          <w:iCs/>
          <w:szCs w:val="22"/>
          <w:u w:val="single"/>
          <w:lang w:val="sr-Latn-ME"/>
        </w:rPr>
      </w:pPr>
      <w:r w:rsidRPr="00B220D9">
        <w:rPr>
          <w:szCs w:val="22"/>
          <w:u w:val="single"/>
          <w:lang w:val="sr-Latn-ME"/>
        </w:rPr>
        <w:t>Eliminacija</w:t>
      </w:r>
    </w:p>
    <w:p w14:paraId="1D6706B2" w14:textId="77777777" w:rsidR="007A5334" w:rsidRPr="00B220D9" w:rsidRDefault="007A5334">
      <w:pPr>
        <w:widowControl w:val="0"/>
        <w:numPr>
          <w:ilvl w:val="12"/>
          <w:numId w:val="0"/>
        </w:numPr>
        <w:jc w:val="both"/>
        <w:rPr>
          <w:iCs/>
          <w:szCs w:val="22"/>
          <w:lang w:val="sr-Latn-ME"/>
        </w:rPr>
      </w:pPr>
      <w:r w:rsidRPr="00B220D9">
        <w:rPr>
          <w:iCs/>
          <w:szCs w:val="22"/>
          <w:lang w:val="sr-Latn-ME"/>
        </w:rPr>
        <w:t>Izlučivanje se odvija u prvom redu putem urina i najvećim dijelom u obliku neaktivnih metabolita.</w:t>
      </w:r>
    </w:p>
    <w:p w14:paraId="14788DD8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6FE64D44" w14:textId="77777777" w:rsidR="007A5334" w:rsidRPr="00B220D9" w:rsidRDefault="007A533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B220D9">
        <w:rPr>
          <w:b/>
          <w:szCs w:val="22"/>
          <w:lang w:val="sr-Latn-ME"/>
        </w:rPr>
        <w:t>5.3</w:t>
      </w:r>
      <w:r w:rsidRPr="00B220D9">
        <w:rPr>
          <w:b/>
          <w:szCs w:val="22"/>
          <w:lang w:val="sr-Latn-ME"/>
        </w:rPr>
        <w:tab/>
      </w:r>
      <w:r w:rsidRPr="00B220D9">
        <w:rPr>
          <w:b/>
          <w:bCs/>
          <w:szCs w:val="22"/>
          <w:lang w:val="sr-Latn-ME"/>
        </w:rPr>
        <w:t>Pretklinički podaci o bezbjednosti</w:t>
      </w:r>
    </w:p>
    <w:p w14:paraId="712F1393" w14:textId="77777777" w:rsidR="007A5334" w:rsidRPr="00B220D9" w:rsidRDefault="007A5334">
      <w:pPr>
        <w:widowControl w:val="0"/>
        <w:jc w:val="both"/>
        <w:rPr>
          <w:szCs w:val="22"/>
          <w:lang w:val="sr-Latn-ME"/>
        </w:rPr>
      </w:pPr>
    </w:p>
    <w:p w14:paraId="360EE191" w14:textId="77777777" w:rsidR="007A5334" w:rsidRPr="00B220D9" w:rsidRDefault="007A5334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B220D9">
        <w:rPr>
          <w:noProof/>
          <w:szCs w:val="22"/>
          <w:lang w:val="sr-Latn-ME"/>
        </w:rPr>
        <w:t>Pretklinički podaci dobijeni na osnovu konvencionalnih studija o farmakološkoj bezbjednosti, toksičnosti ponovljenih doza, genotoksičnosti, kancerogenom potencijalu i toksičnom efektu na reprodukciju i razvoj ne ukazuju na posebnu opasnost za ljude.</w:t>
      </w:r>
    </w:p>
    <w:p w14:paraId="73F0588E" w14:textId="77777777" w:rsidR="007A5334" w:rsidRPr="00B220D9" w:rsidRDefault="007A5334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</w:p>
    <w:p w14:paraId="66823A77" w14:textId="77777777" w:rsidR="007A5334" w:rsidRPr="00B220D9" w:rsidRDefault="007A5334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B220D9">
        <w:rPr>
          <w:noProof/>
          <w:szCs w:val="22"/>
          <w:lang w:val="sr-Latn-ME"/>
        </w:rPr>
        <w:t>U ispitivanjima za potvrdu racionalne kombinacije ove dvije aktivne supstance pokazalo se da ovaj lijek ima optimalnu toleranciju i da nije toksičan. Testovi tolerancije na životinjama sa kombinacijom benzidamin hidrohlorida i cetilpiridinijum hlorida pokazali su dobar profil tolerancije. Benzidamin hidrohlorid i cetilpiridinijum hlorid u kombinaciji nijesu doveli do promjena u crijevnoj bakterijskoj flori.</w:t>
      </w:r>
    </w:p>
    <w:p w14:paraId="2D09E33D" w14:textId="77777777" w:rsidR="007A5334" w:rsidRPr="00B220D9" w:rsidRDefault="007A5334">
      <w:pPr>
        <w:suppressAutoHyphens/>
        <w:jc w:val="both"/>
        <w:rPr>
          <w:noProof/>
          <w:szCs w:val="22"/>
          <w:lang w:val="sr-Latn-ME"/>
        </w:rPr>
      </w:pPr>
    </w:p>
    <w:p w14:paraId="6F5F663C" w14:textId="77777777" w:rsidR="007A5334" w:rsidRPr="00B220D9" w:rsidRDefault="007A5334">
      <w:pPr>
        <w:suppressAutoHyphens/>
        <w:jc w:val="both"/>
        <w:rPr>
          <w:szCs w:val="22"/>
          <w:lang w:val="sr-Latn-ME" w:eastAsia="ar-SA"/>
        </w:rPr>
      </w:pPr>
      <w:r w:rsidRPr="00B220D9">
        <w:rPr>
          <w:noProof/>
          <w:szCs w:val="22"/>
          <w:lang w:val="sr-Latn-ME"/>
        </w:rPr>
        <w:t>Za benzidamin hidrohlorid i cetilpiridinijum hlorid u obliku lozenge dokazana je optimalna tolerancija kod pacijenata, pošto se nijesu javila toksična dejstva, ni lokalna ni sistemska.</w:t>
      </w:r>
    </w:p>
    <w:p w14:paraId="39E20C26" w14:textId="77777777" w:rsidR="007A5334" w:rsidRPr="00B220D9" w:rsidRDefault="007A5334">
      <w:pPr>
        <w:widowControl w:val="0"/>
        <w:jc w:val="both"/>
        <w:rPr>
          <w:noProof/>
          <w:szCs w:val="22"/>
          <w:lang w:val="sr-Latn-ME"/>
        </w:rPr>
      </w:pPr>
    </w:p>
    <w:p w14:paraId="2FF8ED7D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7BBBAC86" w14:textId="77777777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BE18A2">
        <w:rPr>
          <w:b/>
          <w:szCs w:val="22"/>
          <w:lang w:val="sr-Latn-ME"/>
        </w:rPr>
        <w:t>6.</w:t>
      </w:r>
      <w:r w:rsidRPr="00BE18A2">
        <w:rPr>
          <w:b/>
          <w:szCs w:val="22"/>
          <w:lang w:val="sr-Latn-ME"/>
        </w:rPr>
        <w:tab/>
      </w:r>
      <w:r w:rsidRPr="00BE18A2">
        <w:rPr>
          <w:b/>
          <w:bCs/>
          <w:szCs w:val="22"/>
          <w:lang w:val="sr-Latn-ME"/>
        </w:rPr>
        <w:t>FARMACEUTSKI PODACI</w:t>
      </w:r>
    </w:p>
    <w:p w14:paraId="69D681E5" w14:textId="77777777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654219B6" w14:textId="77777777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BE18A2">
        <w:rPr>
          <w:b/>
          <w:bCs/>
          <w:szCs w:val="22"/>
          <w:lang w:val="sr-Latn-ME"/>
        </w:rPr>
        <w:t xml:space="preserve">6.1. </w:t>
      </w:r>
      <w:r w:rsidRPr="00BE18A2">
        <w:rPr>
          <w:b/>
          <w:bCs/>
          <w:szCs w:val="22"/>
          <w:lang w:val="sr-Latn-ME"/>
        </w:rPr>
        <w:tab/>
        <w:t>Lista pomoćnih supstanci (ekscipijenasa)</w:t>
      </w:r>
    </w:p>
    <w:p w14:paraId="33E14E0F" w14:textId="77777777" w:rsidR="007A5334" w:rsidRPr="00BE18A2" w:rsidRDefault="007A5334" w:rsidP="007A5334">
      <w:pPr>
        <w:widowControl w:val="0"/>
        <w:jc w:val="both"/>
        <w:rPr>
          <w:bCs/>
          <w:noProof/>
          <w:szCs w:val="22"/>
          <w:lang w:val="sr-Latn-ME"/>
        </w:rPr>
      </w:pPr>
    </w:p>
    <w:p w14:paraId="657C615A" w14:textId="6F9B67A1" w:rsidR="007A5334" w:rsidRPr="00BE18A2" w:rsidRDefault="0052010E" w:rsidP="007A5334">
      <w:pPr>
        <w:widowControl w:val="0"/>
        <w:rPr>
          <w:szCs w:val="22"/>
        </w:rPr>
      </w:pPr>
      <w:r>
        <w:rPr>
          <w:szCs w:val="22"/>
        </w:rPr>
        <w:t xml:space="preserve">- </w:t>
      </w:r>
      <w:r w:rsidR="007A5334" w:rsidRPr="00BE18A2">
        <w:rPr>
          <w:szCs w:val="22"/>
        </w:rPr>
        <w:t>Etarsko ulje pitome nane</w:t>
      </w:r>
      <w:r>
        <w:rPr>
          <w:szCs w:val="22"/>
        </w:rPr>
        <w:t>;</w:t>
      </w:r>
    </w:p>
    <w:p w14:paraId="6FAF939B" w14:textId="22A35620" w:rsidR="007A5334" w:rsidRPr="00BE18A2" w:rsidRDefault="0052010E" w:rsidP="007A5334">
      <w:pPr>
        <w:widowControl w:val="0"/>
        <w:rPr>
          <w:szCs w:val="22"/>
        </w:rPr>
      </w:pPr>
      <w:r>
        <w:rPr>
          <w:szCs w:val="22"/>
        </w:rPr>
        <w:t>- l</w:t>
      </w:r>
      <w:r w:rsidRPr="00BE18A2">
        <w:rPr>
          <w:szCs w:val="22"/>
        </w:rPr>
        <w:t>evomentol</w:t>
      </w:r>
      <w:r>
        <w:rPr>
          <w:szCs w:val="22"/>
        </w:rPr>
        <w:t>;</w:t>
      </w:r>
    </w:p>
    <w:p w14:paraId="3DBEA050" w14:textId="6F2BCE7B" w:rsidR="007A5334" w:rsidRPr="00BE18A2" w:rsidRDefault="0052010E" w:rsidP="007A5334">
      <w:pPr>
        <w:widowControl w:val="0"/>
        <w:rPr>
          <w:szCs w:val="22"/>
        </w:rPr>
      </w:pPr>
      <w:r>
        <w:rPr>
          <w:szCs w:val="22"/>
        </w:rPr>
        <w:t>- s</w:t>
      </w:r>
      <w:r w:rsidRPr="00BE18A2">
        <w:rPr>
          <w:szCs w:val="22"/>
        </w:rPr>
        <w:t xml:space="preserve">ukraloza </w:t>
      </w:r>
      <w:r w:rsidR="007A5334" w:rsidRPr="00BE18A2">
        <w:rPr>
          <w:szCs w:val="22"/>
        </w:rPr>
        <w:t>(E955)</w:t>
      </w:r>
      <w:r>
        <w:rPr>
          <w:szCs w:val="22"/>
        </w:rPr>
        <w:t>;</w:t>
      </w:r>
    </w:p>
    <w:p w14:paraId="5518F268" w14:textId="7E9D421C" w:rsidR="007A5334" w:rsidRPr="00BE18A2" w:rsidRDefault="0052010E" w:rsidP="007A5334">
      <w:pPr>
        <w:widowControl w:val="0"/>
        <w:rPr>
          <w:szCs w:val="22"/>
        </w:rPr>
      </w:pPr>
      <w:r>
        <w:rPr>
          <w:szCs w:val="22"/>
        </w:rPr>
        <w:t>- l</w:t>
      </w:r>
      <w:r w:rsidRPr="00BE18A2">
        <w:rPr>
          <w:szCs w:val="22"/>
        </w:rPr>
        <w:t xml:space="preserve">imunska </w:t>
      </w:r>
      <w:r w:rsidR="007A5334" w:rsidRPr="00BE18A2">
        <w:rPr>
          <w:szCs w:val="22"/>
        </w:rPr>
        <w:t>kiselina  (E330)</w:t>
      </w:r>
      <w:r>
        <w:rPr>
          <w:szCs w:val="22"/>
        </w:rPr>
        <w:t>;</w:t>
      </w:r>
    </w:p>
    <w:p w14:paraId="3918555A" w14:textId="3F60ABF7" w:rsidR="007A5334" w:rsidRPr="00BE18A2" w:rsidRDefault="0052010E" w:rsidP="007A5334">
      <w:pPr>
        <w:widowControl w:val="0"/>
        <w:rPr>
          <w:szCs w:val="22"/>
        </w:rPr>
      </w:pPr>
      <w:r>
        <w:rPr>
          <w:szCs w:val="22"/>
        </w:rPr>
        <w:t>- i</w:t>
      </w:r>
      <w:r w:rsidRPr="00BE18A2">
        <w:rPr>
          <w:szCs w:val="22"/>
        </w:rPr>
        <w:t xml:space="preserve">zomalt </w:t>
      </w:r>
      <w:r w:rsidR="007A5334" w:rsidRPr="00BE18A2">
        <w:rPr>
          <w:szCs w:val="22"/>
        </w:rPr>
        <w:t xml:space="preserve"> (E953)</w:t>
      </w:r>
      <w:r>
        <w:rPr>
          <w:szCs w:val="22"/>
        </w:rPr>
        <w:t>;</w:t>
      </w:r>
    </w:p>
    <w:p w14:paraId="758F21CD" w14:textId="7F8DE4F7" w:rsidR="007A5334" w:rsidRPr="00F42139" w:rsidRDefault="0052010E" w:rsidP="007A5334">
      <w:pPr>
        <w:widowControl w:val="0"/>
        <w:rPr>
          <w:szCs w:val="22"/>
        </w:rPr>
      </w:pPr>
      <w:r>
        <w:rPr>
          <w:szCs w:val="22"/>
        </w:rPr>
        <w:t xml:space="preserve">- </w:t>
      </w:r>
      <w:r w:rsidRPr="00F42139">
        <w:rPr>
          <w:szCs w:val="22"/>
        </w:rPr>
        <w:t xml:space="preserve">aroma </w:t>
      </w:r>
      <w:r w:rsidR="007A5334" w:rsidRPr="00F42139">
        <w:rPr>
          <w:szCs w:val="22"/>
        </w:rPr>
        <w:t>limuna (</w:t>
      </w:r>
      <w:r w:rsidR="008D74FB" w:rsidRPr="00F42139">
        <w:rPr>
          <w:szCs w:val="22"/>
        </w:rPr>
        <w:t xml:space="preserve">sadrži </w:t>
      </w:r>
      <w:r w:rsidR="007A5334" w:rsidRPr="00F42139">
        <w:rPr>
          <w:szCs w:val="22"/>
        </w:rPr>
        <w:t>butilhidroksianizol (E320)</w:t>
      </w:r>
      <w:r w:rsidR="00B80CC7">
        <w:rPr>
          <w:szCs w:val="22"/>
        </w:rPr>
        <w:t>)</w:t>
      </w:r>
      <w:r w:rsidR="007A5334" w:rsidRPr="00F42139">
        <w:rPr>
          <w:szCs w:val="22"/>
        </w:rPr>
        <w:t>;</w:t>
      </w:r>
    </w:p>
    <w:p w14:paraId="0F10B9F3" w14:textId="622C1956" w:rsidR="007A5334" w:rsidRPr="00F42139" w:rsidRDefault="0052010E" w:rsidP="007A5334">
      <w:pPr>
        <w:widowControl w:val="0"/>
        <w:rPr>
          <w:szCs w:val="22"/>
        </w:rPr>
      </w:pPr>
      <w:r w:rsidRPr="00F42139">
        <w:rPr>
          <w:szCs w:val="22"/>
        </w:rPr>
        <w:t xml:space="preserve">- aroma </w:t>
      </w:r>
      <w:r w:rsidR="007A5334" w:rsidRPr="00F42139">
        <w:rPr>
          <w:szCs w:val="22"/>
        </w:rPr>
        <w:t>zove (propilen glikol (E1520)</w:t>
      </w:r>
      <w:r w:rsidR="008D74FB" w:rsidRPr="00F42139">
        <w:rPr>
          <w:szCs w:val="22"/>
        </w:rPr>
        <w:t>)</w:t>
      </w:r>
      <w:r w:rsidR="007A5334" w:rsidRPr="00F42139">
        <w:rPr>
          <w:szCs w:val="22"/>
        </w:rPr>
        <w:t xml:space="preserve"> </w:t>
      </w:r>
      <w:r w:rsidRPr="00F42139">
        <w:rPr>
          <w:szCs w:val="22"/>
        </w:rPr>
        <w:t>;</w:t>
      </w:r>
    </w:p>
    <w:p w14:paraId="0FBA5827" w14:textId="0B168147" w:rsidR="007A5334" w:rsidRPr="00F42139" w:rsidRDefault="0052010E" w:rsidP="007A5334">
      <w:pPr>
        <w:widowControl w:val="0"/>
        <w:rPr>
          <w:szCs w:val="22"/>
        </w:rPr>
      </w:pPr>
      <w:r w:rsidRPr="00F42139">
        <w:rPr>
          <w:szCs w:val="22"/>
        </w:rPr>
        <w:t xml:space="preserve">- </w:t>
      </w:r>
      <w:r w:rsidR="0028280B" w:rsidRPr="00F42139">
        <w:rPr>
          <w:noProof/>
          <w:szCs w:val="22"/>
          <w:lang w:val="sl-SI"/>
        </w:rPr>
        <w:t>kurkumin</w:t>
      </w:r>
      <w:r w:rsidR="007A5334" w:rsidRPr="00F42139">
        <w:rPr>
          <w:sz w:val="24"/>
          <w:szCs w:val="24"/>
        </w:rPr>
        <w:t xml:space="preserve"> </w:t>
      </w:r>
      <w:r w:rsidR="007A5334" w:rsidRPr="00F42139">
        <w:rPr>
          <w:szCs w:val="22"/>
        </w:rPr>
        <w:t>(E100) (sadrži natrijum benzoat (E211))</w:t>
      </w:r>
      <w:r w:rsidRPr="00F42139">
        <w:rPr>
          <w:szCs w:val="22"/>
        </w:rPr>
        <w:t>;</w:t>
      </w:r>
    </w:p>
    <w:p w14:paraId="7AD47E78" w14:textId="41968323" w:rsidR="007A5334" w:rsidRPr="00F42139" w:rsidRDefault="0052010E" w:rsidP="00F42139">
      <w:pPr>
        <w:widowControl w:val="0"/>
        <w:jc w:val="both"/>
        <w:rPr>
          <w:szCs w:val="22"/>
          <w:lang w:val="sr-Latn-ME"/>
        </w:rPr>
      </w:pPr>
      <w:r w:rsidRPr="00F42139">
        <w:rPr>
          <w:szCs w:val="22"/>
        </w:rPr>
        <w:t xml:space="preserve">- </w:t>
      </w:r>
      <w:r w:rsidR="0028280B" w:rsidRPr="00F42139">
        <w:rPr>
          <w:noProof/>
          <w:szCs w:val="22"/>
        </w:rPr>
        <w:t xml:space="preserve">bakrovi kompleksi </w:t>
      </w:r>
      <w:r w:rsidR="00F42139" w:rsidRPr="00F42139">
        <w:rPr>
          <w:noProof/>
          <w:szCs w:val="22"/>
        </w:rPr>
        <w:t>h</w:t>
      </w:r>
      <w:r w:rsidR="0028280B" w:rsidRPr="00F42139">
        <w:rPr>
          <w:noProof/>
          <w:szCs w:val="22"/>
        </w:rPr>
        <w:t xml:space="preserve">lorofila i </w:t>
      </w:r>
      <w:r w:rsidR="00F42139" w:rsidRPr="00F42139">
        <w:rPr>
          <w:noProof/>
          <w:szCs w:val="22"/>
        </w:rPr>
        <w:t>h</w:t>
      </w:r>
      <w:r w:rsidR="0028280B" w:rsidRPr="00F42139">
        <w:rPr>
          <w:noProof/>
          <w:szCs w:val="22"/>
        </w:rPr>
        <w:t>lorofilina</w:t>
      </w:r>
      <w:r w:rsidR="0028280B" w:rsidRPr="00F42139" w:rsidDel="00385D46">
        <w:rPr>
          <w:szCs w:val="22"/>
          <w:lang w:val="sr-Latn-ME"/>
        </w:rPr>
        <w:t xml:space="preserve"> </w:t>
      </w:r>
      <w:r w:rsidR="007A5334" w:rsidRPr="00F42139">
        <w:rPr>
          <w:szCs w:val="22"/>
        </w:rPr>
        <w:t>(E141) (sadrži propilen glikol (E1520)).</w:t>
      </w:r>
    </w:p>
    <w:p w14:paraId="4504CB89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6401300B" w14:textId="77777777" w:rsidR="007A5334" w:rsidRPr="00BE18A2" w:rsidRDefault="007A5334" w:rsidP="007A533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BE18A2">
        <w:rPr>
          <w:b/>
          <w:szCs w:val="22"/>
          <w:lang w:val="sr-Latn-ME"/>
        </w:rPr>
        <w:t>6.2</w:t>
      </w:r>
      <w:r w:rsidRPr="00BE18A2">
        <w:rPr>
          <w:b/>
          <w:szCs w:val="22"/>
          <w:lang w:val="sr-Latn-ME"/>
        </w:rPr>
        <w:tab/>
        <w:t>Inkompatibilnosti</w:t>
      </w:r>
    </w:p>
    <w:p w14:paraId="1C9CF7B4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4CD788D6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  <w:r w:rsidRPr="00BE18A2">
        <w:rPr>
          <w:szCs w:val="22"/>
          <w:lang w:val="sr-Latn-ME"/>
        </w:rPr>
        <w:t>Nije primjenjivo.</w:t>
      </w:r>
    </w:p>
    <w:p w14:paraId="03A9486C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104C0013" w14:textId="77777777" w:rsidR="007A5334" w:rsidRPr="00BE18A2" w:rsidRDefault="007A5334" w:rsidP="007A533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BE18A2">
        <w:rPr>
          <w:b/>
          <w:szCs w:val="22"/>
          <w:lang w:val="sr-Latn-ME"/>
        </w:rPr>
        <w:t>6.3</w:t>
      </w:r>
      <w:r w:rsidRPr="00BE18A2">
        <w:rPr>
          <w:b/>
          <w:szCs w:val="22"/>
          <w:lang w:val="sr-Latn-ME"/>
        </w:rPr>
        <w:tab/>
        <w:t>Rok upotrebe</w:t>
      </w:r>
    </w:p>
    <w:p w14:paraId="4EAB8C27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262C974D" w14:textId="77777777" w:rsidR="007A5334" w:rsidRPr="00BE18A2" w:rsidRDefault="00C661F5" w:rsidP="007A5334">
      <w:pPr>
        <w:widowControl w:val="0"/>
        <w:jc w:val="both"/>
        <w:rPr>
          <w:szCs w:val="22"/>
          <w:lang w:val="sr-Latn-ME"/>
        </w:rPr>
      </w:pPr>
      <w:r>
        <w:rPr>
          <w:szCs w:val="22"/>
          <w:lang w:val="sr-Latn-ME"/>
        </w:rPr>
        <w:t>4</w:t>
      </w:r>
      <w:r w:rsidRPr="00BE18A2">
        <w:rPr>
          <w:szCs w:val="22"/>
          <w:lang w:val="sr-Latn-ME"/>
        </w:rPr>
        <w:t xml:space="preserve"> </w:t>
      </w:r>
      <w:r w:rsidR="007A5334" w:rsidRPr="00BE18A2">
        <w:rPr>
          <w:szCs w:val="22"/>
          <w:lang w:val="sr-Latn-ME"/>
        </w:rPr>
        <w:t>godine</w:t>
      </w:r>
    </w:p>
    <w:p w14:paraId="17B5245D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1B40D0E4" w14:textId="77777777" w:rsidR="007A5334" w:rsidRPr="00BE18A2" w:rsidRDefault="007A5334" w:rsidP="007A5334">
      <w:pPr>
        <w:widowControl w:val="0"/>
        <w:ind w:left="567" w:hanging="567"/>
        <w:jc w:val="both"/>
        <w:outlineLvl w:val="0"/>
        <w:rPr>
          <w:szCs w:val="22"/>
          <w:lang w:val="sr-Latn-ME"/>
        </w:rPr>
      </w:pPr>
      <w:r w:rsidRPr="00BE18A2">
        <w:rPr>
          <w:b/>
          <w:szCs w:val="22"/>
          <w:lang w:val="sr-Latn-ME"/>
        </w:rPr>
        <w:t>6.4</w:t>
      </w:r>
      <w:r w:rsidRPr="00BE18A2">
        <w:rPr>
          <w:b/>
          <w:szCs w:val="22"/>
          <w:lang w:val="sr-Latn-ME"/>
        </w:rPr>
        <w:tab/>
      </w:r>
      <w:r w:rsidRPr="00BE18A2">
        <w:rPr>
          <w:b/>
          <w:bCs/>
          <w:szCs w:val="22"/>
          <w:lang w:val="sr-Latn-ME"/>
        </w:rPr>
        <w:t>Posebne mjere upozorenja pri čuvanju lijeka</w:t>
      </w:r>
    </w:p>
    <w:p w14:paraId="209A6AC9" w14:textId="77777777" w:rsidR="007A5334" w:rsidRPr="00BE18A2" w:rsidRDefault="007A5334" w:rsidP="007A5334">
      <w:pPr>
        <w:widowControl w:val="0"/>
        <w:jc w:val="both"/>
        <w:rPr>
          <w:i/>
          <w:iCs/>
          <w:szCs w:val="22"/>
          <w:lang w:val="sr-Latn-ME"/>
        </w:rPr>
      </w:pPr>
    </w:p>
    <w:p w14:paraId="5EFF5E16" w14:textId="0E5B036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  <w:r w:rsidRPr="00BE18A2">
        <w:rPr>
          <w:szCs w:val="22"/>
          <w:lang w:val="sr-Latn-ME"/>
        </w:rPr>
        <w:t xml:space="preserve">Lijek čuvajte u originalnom pakovanju </w:t>
      </w:r>
      <w:r w:rsidR="001A0BB8">
        <w:rPr>
          <w:szCs w:val="22"/>
          <w:lang w:val="sr-Latn-ME"/>
        </w:rPr>
        <w:t>radi</w:t>
      </w:r>
      <w:r w:rsidRPr="00BE18A2">
        <w:rPr>
          <w:szCs w:val="22"/>
          <w:lang w:val="sr-Latn-ME"/>
        </w:rPr>
        <w:t xml:space="preserve"> zaštite od svjetlosti.</w:t>
      </w:r>
    </w:p>
    <w:p w14:paraId="05C94D42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  <w:r w:rsidRPr="00BE18A2">
        <w:rPr>
          <w:szCs w:val="22"/>
          <w:lang w:val="sr-Latn-ME"/>
        </w:rPr>
        <w:lastRenderedPageBreak/>
        <w:t xml:space="preserve">Lijek ne zahtijeva posebne temperaturne uslove čuvanja. </w:t>
      </w:r>
    </w:p>
    <w:p w14:paraId="16A59999" w14:textId="77777777" w:rsidR="007A5334" w:rsidRPr="00BE18A2" w:rsidRDefault="007A5334" w:rsidP="007A5334">
      <w:pPr>
        <w:widowControl w:val="0"/>
        <w:jc w:val="both"/>
        <w:rPr>
          <w:noProof/>
          <w:szCs w:val="22"/>
          <w:lang w:val="sr-Latn-ME"/>
        </w:rPr>
      </w:pPr>
    </w:p>
    <w:p w14:paraId="6A023408" w14:textId="77777777" w:rsidR="007A5334" w:rsidRPr="00BE18A2" w:rsidRDefault="007A5334" w:rsidP="007A5334">
      <w:pPr>
        <w:widowControl w:val="0"/>
        <w:jc w:val="both"/>
        <w:outlineLvl w:val="0"/>
        <w:rPr>
          <w:b/>
          <w:szCs w:val="22"/>
          <w:lang w:val="sr-Latn-ME"/>
        </w:rPr>
      </w:pPr>
      <w:r w:rsidRPr="00BE18A2">
        <w:rPr>
          <w:b/>
          <w:szCs w:val="22"/>
          <w:lang w:val="sr-Latn-ME"/>
        </w:rPr>
        <w:t>6.5</w:t>
      </w:r>
      <w:r w:rsidRPr="00BE18A2">
        <w:rPr>
          <w:b/>
          <w:szCs w:val="22"/>
          <w:lang w:val="sr-Latn-ME"/>
        </w:rPr>
        <w:tab/>
        <w:t>Vrsta i sadržaj pakovanja</w:t>
      </w:r>
    </w:p>
    <w:p w14:paraId="7193129C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323DE69B" w14:textId="7E4E9B1A" w:rsidR="007A5334" w:rsidRDefault="007A5334" w:rsidP="007A5334">
      <w:pPr>
        <w:widowControl w:val="0"/>
        <w:jc w:val="both"/>
        <w:rPr>
          <w:szCs w:val="22"/>
        </w:rPr>
      </w:pPr>
      <w:r w:rsidRPr="00BE18A2">
        <w:rPr>
          <w:szCs w:val="22"/>
        </w:rPr>
        <w:t xml:space="preserve">Unutrašnje pakovanje je blister (PVC/PE/PVDC//Al) sa 8 lozengi. </w:t>
      </w:r>
    </w:p>
    <w:p w14:paraId="28A139E5" w14:textId="77777777" w:rsidR="00986E9F" w:rsidRPr="00BE18A2" w:rsidRDefault="00986E9F" w:rsidP="007A5334">
      <w:pPr>
        <w:widowControl w:val="0"/>
        <w:jc w:val="both"/>
        <w:rPr>
          <w:szCs w:val="22"/>
        </w:rPr>
      </w:pPr>
    </w:p>
    <w:p w14:paraId="0BC48C92" w14:textId="77777777" w:rsidR="007A5334" w:rsidRPr="00BE18A2" w:rsidRDefault="007A5334" w:rsidP="007A5334">
      <w:pPr>
        <w:widowControl w:val="0"/>
        <w:jc w:val="both"/>
        <w:rPr>
          <w:szCs w:val="22"/>
        </w:rPr>
      </w:pPr>
      <w:r w:rsidRPr="00BE18A2">
        <w:rPr>
          <w:szCs w:val="22"/>
        </w:rPr>
        <w:t>Spoljnje pakovanje je složiva kartonska kutija koja sadrži:</w:t>
      </w:r>
    </w:p>
    <w:p w14:paraId="0E5182BA" w14:textId="77777777" w:rsidR="007A5334" w:rsidRPr="00BE18A2" w:rsidRDefault="007A5334" w:rsidP="007A5334">
      <w:pPr>
        <w:widowControl w:val="0"/>
        <w:jc w:val="both"/>
        <w:rPr>
          <w:szCs w:val="22"/>
        </w:rPr>
      </w:pPr>
      <w:r w:rsidRPr="00BE18A2">
        <w:rPr>
          <w:szCs w:val="22"/>
        </w:rPr>
        <w:t>- dva blistera (ukupno 16 (2x8) lozengi), ili</w:t>
      </w:r>
    </w:p>
    <w:p w14:paraId="6810CA32" w14:textId="77777777" w:rsidR="007A5334" w:rsidRPr="00BE18A2" w:rsidRDefault="007A5334" w:rsidP="007A5334">
      <w:pPr>
        <w:widowControl w:val="0"/>
        <w:jc w:val="both"/>
        <w:rPr>
          <w:szCs w:val="22"/>
        </w:rPr>
      </w:pPr>
      <w:r w:rsidRPr="00BE18A2">
        <w:rPr>
          <w:szCs w:val="22"/>
        </w:rPr>
        <w:t xml:space="preserve">- četiri blistera (ukupno 32 (4x8) lozenge) i Uputstvo za lijek. </w:t>
      </w:r>
    </w:p>
    <w:p w14:paraId="6729DBF2" w14:textId="77777777" w:rsidR="007A5334" w:rsidRPr="00BE18A2" w:rsidRDefault="007A5334" w:rsidP="007A5334">
      <w:pPr>
        <w:widowControl w:val="0"/>
        <w:jc w:val="both"/>
        <w:rPr>
          <w:szCs w:val="22"/>
        </w:rPr>
      </w:pPr>
    </w:p>
    <w:p w14:paraId="4BE7AF73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  <w:r w:rsidRPr="00BE18A2">
        <w:rPr>
          <w:szCs w:val="22"/>
          <w:lang w:val="sr-Latn-ME"/>
        </w:rPr>
        <w:t>Na tržištu se ne moraju nalaziti sve veličine pakovanja.</w:t>
      </w:r>
    </w:p>
    <w:p w14:paraId="1242B522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242B917A" w14:textId="77777777" w:rsidR="007A5334" w:rsidRPr="00BE18A2" w:rsidRDefault="007A5334" w:rsidP="007A5334">
      <w:pPr>
        <w:widowControl w:val="0"/>
        <w:ind w:left="567" w:hanging="567"/>
        <w:jc w:val="both"/>
        <w:outlineLvl w:val="0"/>
        <w:rPr>
          <w:b/>
          <w:szCs w:val="22"/>
          <w:lang w:val="sr-Latn-ME"/>
        </w:rPr>
      </w:pPr>
      <w:r w:rsidRPr="00BE18A2">
        <w:rPr>
          <w:b/>
          <w:szCs w:val="22"/>
          <w:lang w:val="sr-Latn-ME"/>
        </w:rPr>
        <w:t>6.6</w:t>
      </w:r>
      <w:r w:rsidRPr="00BE18A2">
        <w:rPr>
          <w:b/>
          <w:szCs w:val="22"/>
          <w:lang w:val="sr-Latn-ME"/>
        </w:rPr>
        <w:tab/>
      </w:r>
      <w:r w:rsidRPr="00BE18A2">
        <w:rPr>
          <w:b/>
          <w:bCs/>
          <w:szCs w:val="22"/>
          <w:lang w:val="sr-Latn-ME"/>
        </w:rPr>
        <w:t>Posebne mjere opreza pri odlaganju materijala koji treba odbaciti nakon primjene lijeka (i druga uputstva za rukovanje lijekom)</w:t>
      </w:r>
    </w:p>
    <w:p w14:paraId="3678AAAC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4E38488C" w14:textId="77777777" w:rsidR="007A5334" w:rsidRPr="00BE18A2" w:rsidRDefault="007A5334" w:rsidP="007A5334">
      <w:pPr>
        <w:suppressAutoHyphens/>
        <w:jc w:val="both"/>
        <w:rPr>
          <w:szCs w:val="22"/>
          <w:lang w:val="sr-Latn-ME" w:eastAsia="ar-SA"/>
        </w:rPr>
      </w:pPr>
      <w:r w:rsidRPr="00BE18A2">
        <w:rPr>
          <w:szCs w:val="22"/>
          <w:lang w:val="sr-Latn-ME" w:eastAsia="ar-SA"/>
        </w:rPr>
        <w:t>Neupotrijebljeni lijek se uništava u skladu sa važećim propisima.</w:t>
      </w:r>
    </w:p>
    <w:p w14:paraId="60440850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2CFFBCA8" w14:textId="77777777" w:rsidR="007A5334" w:rsidRPr="00BE18A2" w:rsidRDefault="007A5334" w:rsidP="007A5334">
      <w:pPr>
        <w:widowControl w:val="0"/>
        <w:jc w:val="both"/>
        <w:rPr>
          <w:szCs w:val="22"/>
          <w:lang w:val="sr-Latn-ME"/>
        </w:rPr>
      </w:pPr>
    </w:p>
    <w:p w14:paraId="69F53978" w14:textId="77777777" w:rsidR="007A5334" w:rsidRPr="00BE18A2" w:rsidRDefault="007A5334" w:rsidP="007A5334">
      <w:pPr>
        <w:suppressAutoHyphens/>
        <w:jc w:val="both"/>
        <w:rPr>
          <w:b/>
          <w:bCs/>
          <w:szCs w:val="22"/>
          <w:lang w:val="sr-Latn-ME" w:eastAsia="ar-SA"/>
        </w:rPr>
      </w:pPr>
      <w:r w:rsidRPr="00BE18A2">
        <w:rPr>
          <w:b/>
          <w:szCs w:val="22"/>
          <w:lang w:val="sr-Latn-ME"/>
        </w:rPr>
        <w:t>7.</w:t>
      </w:r>
      <w:r w:rsidRPr="00BE18A2">
        <w:rPr>
          <w:b/>
          <w:szCs w:val="22"/>
          <w:lang w:val="sr-Latn-ME"/>
        </w:rPr>
        <w:tab/>
      </w:r>
      <w:r w:rsidRPr="00BE18A2">
        <w:rPr>
          <w:b/>
          <w:bCs/>
          <w:szCs w:val="22"/>
          <w:lang w:val="sr-Latn-ME" w:eastAsia="ar-SA"/>
        </w:rPr>
        <w:t>NOSILAC DOZVOLE</w:t>
      </w:r>
    </w:p>
    <w:p w14:paraId="7FAA9285" w14:textId="77777777" w:rsidR="007A5334" w:rsidRPr="00BE18A2" w:rsidRDefault="007A5334" w:rsidP="007A5334">
      <w:pPr>
        <w:suppressAutoHyphens/>
        <w:jc w:val="both"/>
        <w:rPr>
          <w:szCs w:val="22"/>
          <w:lang w:val="sr-Latn-ME" w:eastAsia="ar-SA"/>
        </w:rPr>
      </w:pPr>
    </w:p>
    <w:p w14:paraId="4DC40807" w14:textId="77777777" w:rsidR="007A5334" w:rsidRPr="00BE18A2" w:rsidRDefault="007A5334" w:rsidP="007A5334">
      <w:pPr>
        <w:rPr>
          <w:szCs w:val="22"/>
          <w:lang w:val="sr-Latn-ME"/>
        </w:rPr>
      </w:pPr>
      <w:r w:rsidRPr="00BE18A2">
        <w:rPr>
          <w:szCs w:val="22"/>
          <w:lang w:val="sr-Latn-ME"/>
        </w:rPr>
        <w:t>D.S.D. „KRKA, d.d., Novo mesto“ - predstavništvo Podgorica</w:t>
      </w:r>
    </w:p>
    <w:p w14:paraId="7474DD5D" w14:textId="77777777" w:rsidR="007A5334" w:rsidRPr="00BE18A2" w:rsidRDefault="007A5334" w:rsidP="007A5334">
      <w:pPr>
        <w:rPr>
          <w:szCs w:val="22"/>
          <w:lang w:val="sr-Latn-ME"/>
        </w:rPr>
      </w:pPr>
      <w:r w:rsidRPr="00BE18A2">
        <w:rPr>
          <w:szCs w:val="22"/>
          <w:lang w:val="sr-Latn-ME"/>
        </w:rPr>
        <w:t>Svetlane Kane Radević br. 3, 81000 Podgorica, Crna Gora</w:t>
      </w:r>
    </w:p>
    <w:p w14:paraId="425D3D69" w14:textId="77777777" w:rsidR="007A5334" w:rsidRPr="00BE18A2" w:rsidRDefault="007A5334" w:rsidP="007A5334">
      <w:pPr>
        <w:suppressAutoHyphens/>
        <w:jc w:val="both"/>
        <w:rPr>
          <w:szCs w:val="22"/>
          <w:lang w:val="sr-Latn-ME" w:eastAsia="ar-SA"/>
        </w:rPr>
      </w:pPr>
    </w:p>
    <w:p w14:paraId="0E09AC1B" w14:textId="77777777" w:rsidR="007A5334" w:rsidRPr="00BE18A2" w:rsidRDefault="007A5334" w:rsidP="007A5334">
      <w:pPr>
        <w:suppressAutoHyphens/>
        <w:jc w:val="both"/>
        <w:rPr>
          <w:szCs w:val="22"/>
          <w:lang w:val="sr-Latn-ME" w:eastAsia="ar-SA"/>
        </w:rPr>
      </w:pPr>
    </w:p>
    <w:p w14:paraId="241C3BD0" w14:textId="77777777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BE18A2">
        <w:rPr>
          <w:b/>
          <w:bCs/>
          <w:szCs w:val="22"/>
          <w:lang w:val="sr-Latn-ME"/>
        </w:rPr>
        <w:t xml:space="preserve">8. </w:t>
      </w:r>
      <w:r w:rsidRPr="00BE18A2">
        <w:rPr>
          <w:b/>
          <w:bCs/>
          <w:szCs w:val="22"/>
          <w:lang w:val="sr-Latn-ME"/>
        </w:rPr>
        <w:tab/>
        <w:t>BROJ DOZVOLE ZA STAVLJANJE LIJEKA U PROMET</w:t>
      </w:r>
    </w:p>
    <w:p w14:paraId="6A2F5049" w14:textId="77777777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3427E36D" w14:textId="7CDDAF9A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BE18A2">
        <w:rPr>
          <w:bCs/>
          <w:szCs w:val="22"/>
          <w:lang w:val="sr-Latn-ME"/>
        </w:rPr>
        <w:t>Septolete total limun i zova, lozenga, 3 mg + 1 mg, blister, 16 (2x8) lozengi:</w:t>
      </w:r>
      <w:r w:rsidRPr="009301DB">
        <w:t xml:space="preserve"> </w:t>
      </w:r>
      <w:r w:rsidRPr="009301DB">
        <w:rPr>
          <w:bCs/>
          <w:szCs w:val="22"/>
          <w:lang w:val="sr-Latn-ME"/>
        </w:rPr>
        <w:t>2030/21/444 - 4170</w:t>
      </w:r>
    </w:p>
    <w:p w14:paraId="794C9D71" w14:textId="5FA6910B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BE18A2">
        <w:rPr>
          <w:bCs/>
          <w:szCs w:val="22"/>
          <w:lang w:val="sr-Latn-ME"/>
        </w:rPr>
        <w:t>Septolete total limun i zova, lozenga, 3 mg + 1 mg, blister, 32 (4x8) lozenge:</w:t>
      </w:r>
      <w:r w:rsidRPr="00D22037">
        <w:t xml:space="preserve"> </w:t>
      </w:r>
      <w:r w:rsidRPr="00D22037">
        <w:rPr>
          <w:bCs/>
          <w:szCs w:val="22"/>
          <w:lang w:val="sr-Latn-ME"/>
        </w:rPr>
        <w:t>2030/21/445 - 4171</w:t>
      </w:r>
    </w:p>
    <w:p w14:paraId="0B40F7E2" w14:textId="77777777" w:rsidR="007A5334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56724815" w14:textId="77777777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79442332" w14:textId="77777777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BE18A2">
        <w:rPr>
          <w:b/>
          <w:bCs/>
          <w:szCs w:val="22"/>
          <w:lang w:val="sr-Latn-ME"/>
        </w:rPr>
        <w:t xml:space="preserve">9. </w:t>
      </w:r>
      <w:r w:rsidRPr="00BE18A2">
        <w:rPr>
          <w:b/>
          <w:bCs/>
          <w:szCs w:val="22"/>
          <w:lang w:val="sr-Latn-ME"/>
        </w:rPr>
        <w:tab/>
        <w:t>DATUM PRVE DOZVOLE/ OBNOVE DOZVOLE ZA STAVLJANJE LIJEKA U PROMET</w:t>
      </w:r>
    </w:p>
    <w:p w14:paraId="46071FA3" w14:textId="77777777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1A558E67" w14:textId="141734A1" w:rsidR="007A5334" w:rsidRPr="008826B9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8826B9">
        <w:rPr>
          <w:bCs/>
          <w:szCs w:val="22"/>
          <w:lang w:val="sr-Latn-ME"/>
        </w:rPr>
        <w:t>Septolete total limun i zova, lozenga, 3 mg + 1 mg, blister, 16 (2x8) lozengi:</w:t>
      </w:r>
      <w:r w:rsidRPr="008826B9">
        <w:rPr>
          <w:rFonts w:eastAsia="TimesNewRoman"/>
          <w:szCs w:val="22"/>
          <w:lang w:val="en-US"/>
        </w:rPr>
        <w:t xml:space="preserve"> 16.03.2021. godine</w:t>
      </w:r>
    </w:p>
    <w:p w14:paraId="5F44C541" w14:textId="594AD1F7" w:rsidR="007A5334" w:rsidRPr="008826B9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8826B9">
        <w:rPr>
          <w:bCs/>
          <w:szCs w:val="22"/>
          <w:lang w:val="sr-Latn-ME"/>
        </w:rPr>
        <w:t>Septolete total limun i zova, lozenga, 3 mg + 1 mg, blister, 32 (4x8) lozenge:</w:t>
      </w:r>
      <w:r w:rsidRPr="008826B9">
        <w:rPr>
          <w:rFonts w:eastAsia="TimesNewRoman"/>
          <w:szCs w:val="22"/>
          <w:lang w:val="en-US"/>
        </w:rPr>
        <w:t xml:space="preserve"> 16.03.2021. godine</w:t>
      </w:r>
    </w:p>
    <w:p w14:paraId="6C504586" w14:textId="77777777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5E8809A2" w14:textId="77777777" w:rsidR="007A5334" w:rsidRPr="00BE18A2" w:rsidRDefault="007A5334" w:rsidP="007A5334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23E671AE" w14:textId="77777777" w:rsidR="007A5334" w:rsidRDefault="007A5334" w:rsidP="007A5334">
      <w:pPr>
        <w:tabs>
          <w:tab w:val="clear" w:pos="567"/>
          <w:tab w:val="left" w:pos="540"/>
          <w:tab w:val="left" w:pos="569"/>
        </w:tabs>
        <w:ind w:left="540" w:hanging="540"/>
        <w:jc w:val="both"/>
        <w:rPr>
          <w:b/>
          <w:bCs/>
          <w:szCs w:val="22"/>
          <w:lang w:val="sr-Latn-ME"/>
        </w:rPr>
      </w:pPr>
      <w:r w:rsidRPr="00BE18A2">
        <w:rPr>
          <w:b/>
          <w:bCs/>
          <w:szCs w:val="22"/>
          <w:lang w:val="sr-Latn-ME"/>
        </w:rPr>
        <w:t xml:space="preserve">10. </w:t>
      </w:r>
      <w:r w:rsidRPr="00BE18A2">
        <w:rPr>
          <w:b/>
          <w:bCs/>
          <w:szCs w:val="22"/>
          <w:lang w:val="sr-Latn-ME"/>
        </w:rPr>
        <w:tab/>
        <w:t xml:space="preserve">DATUM REVIZIJE TEKSTA </w:t>
      </w:r>
    </w:p>
    <w:p w14:paraId="5AA3F447" w14:textId="77777777" w:rsidR="007A5334" w:rsidRPr="0041219E" w:rsidRDefault="007A5334" w:rsidP="007A5334">
      <w:pPr>
        <w:rPr>
          <w:szCs w:val="22"/>
          <w:lang w:val="sr-Latn-ME"/>
        </w:rPr>
      </w:pPr>
    </w:p>
    <w:p w14:paraId="5EDF405A" w14:textId="379F96CD" w:rsidR="00812D16" w:rsidRPr="004E5A77" w:rsidRDefault="00986E9F" w:rsidP="004E5A77">
      <w:r>
        <w:t>Januar</w:t>
      </w:r>
      <w:r w:rsidR="0052010E">
        <w:t>, 202</w:t>
      </w:r>
      <w:r>
        <w:t>5</w:t>
      </w:r>
      <w:r w:rsidR="0052010E">
        <w:t>. godine</w:t>
      </w:r>
    </w:p>
    <w:sectPr w:rsidR="00812D16" w:rsidRPr="004E5A77" w:rsidSect="001374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DA3D9" w14:textId="77777777" w:rsidR="005224D1" w:rsidRDefault="005224D1">
      <w:pPr>
        <w:spacing w:line="240" w:lineRule="auto"/>
      </w:pPr>
      <w:r>
        <w:separator/>
      </w:r>
    </w:p>
  </w:endnote>
  <w:endnote w:type="continuationSeparator" w:id="0">
    <w:p w14:paraId="5A79E6CA" w14:textId="77777777" w:rsidR="005224D1" w:rsidRDefault="00522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4094" w14:textId="77777777" w:rsidR="001821E7" w:rsidRDefault="00182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8F563" w14:textId="21DDEF8A" w:rsidR="006B4557" w:rsidRDefault="006C3553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F42139">
      <w:rPr>
        <w:rStyle w:val="PageNumber"/>
        <w:rFonts w:ascii="Times New Roman" w:hAnsi="Times New Roman"/>
        <w:sz w:val="20"/>
      </w:rPr>
      <w:fldChar w:fldCharType="begin"/>
    </w:r>
    <w:r w:rsidRPr="00F42139">
      <w:rPr>
        <w:rStyle w:val="PageNumber"/>
        <w:rFonts w:ascii="Times New Roman" w:hAnsi="Times New Roman"/>
        <w:sz w:val="20"/>
      </w:rPr>
      <w:instrText xml:space="preserve">PAGE  </w:instrText>
    </w:r>
    <w:r w:rsidRPr="00F42139">
      <w:rPr>
        <w:rStyle w:val="PageNumber"/>
        <w:rFonts w:ascii="Times New Roman" w:hAnsi="Times New Roman"/>
        <w:sz w:val="20"/>
      </w:rPr>
      <w:fldChar w:fldCharType="separate"/>
    </w:r>
    <w:r w:rsidR="00986E9F">
      <w:rPr>
        <w:rStyle w:val="PageNumber"/>
        <w:rFonts w:ascii="Times New Roman" w:hAnsi="Times New Roman"/>
        <w:sz w:val="20"/>
      </w:rPr>
      <w:t>3</w:t>
    </w:r>
    <w:r w:rsidRPr="00F42139">
      <w:rPr>
        <w:rStyle w:val="PageNumber"/>
        <w:rFonts w:ascii="Times New Roman" w:hAnsi="Times New Roman"/>
        <w:sz w:val="20"/>
      </w:rPr>
      <w:fldChar w:fldCharType="end"/>
    </w:r>
    <w:r w:rsidR="00A01E28" w:rsidRPr="00F42139">
      <w:rPr>
        <w:rStyle w:val="PageNumber"/>
        <w:rFonts w:ascii="Times New Roman" w:hAnsi="Times New Roman"/>
        <w:sz w:val="20"/>
      </w:rPr>
      <w:t>/6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6690" w14:textId="77777777" w:rsidR="006B4557" w:rsidRPr="006C3553" w:rsidRDefault="006C3553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1F0A1" w14:textId="77777777" w:rsidR="005224D1" w:rsidRDefault="005224D1">
      <w:pPr>
        <w:spacing w:line="240" w:lineRule="auto"/>
      </w:pPr>
      <w:r>
        <w:separator/>
      </w:r>
    </w:p>
  </w:footnote>
  <w:footnote w:type="continuationSeparator" w:id="0">
    <w:p w14:paraId="2B3285DD" w14:textId="77777777" w:rsidR="005224D1" w:rsidRDefault="005224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554F8" w14:textId="77777777" w:rsidR="001821E7" w:rsidRDefault="00182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195B4" w14:textId="77777777" w:rsidR="001821E7" w:rsidRDefault="00182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4680E" w14:textId="77777777" w:rsidR="001821E7" w:rsidRDefault="00182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93C7F"/>
    <w:multiLevelType w:val="hybridMultilevel"/>
    <w:tmpl w:val="3A2AD73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3"/>
  </w:num>
  <w:num w:numId="7">
    <w:abstractNumId w:val="6"/>
  </w:num>
  <w:num w:numId="8">
    <w:abstractNumId w:val="8"/>
  </w:num>
  <w:num w:numId="9">
    <w:abstractNumId w:val="21"/>
  </w:num>
  <w:num w:numId="10">
    <w:abstractNumId w:val="1"/>
  </w:num>
  <w:num w:numId="11">
    <w:abstractNumId w:val="18"/>
  </w:num>
  <w:num w:numId="12">
    <w:abstractNumId w:val="7"/>
  </w:num>
  <w:num w:numId="13">
    <w:abstractNumId w:val="4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9"/>
  </w:num>
  <w:num w:numId="17">
    <w:abstractNumId w:val="11"/>
  </w:num>
  <w:num w:numId="18">
    <w:abstractNumId w:val="12"/>
  </w:num>
  <w:num w:numId="19">
    <w:abstractNumId w:val="22"/>
  </w:num>
  <w:num w:numId="20">
    <w:abstractNumId w:val="14"/>
  </w:num>
  <w:num w:numId="21">
    <w:abstractNumId w:val="20"/>
  </w:num>
  <w:num w:numId="22">
    <w:abstractNumId w:val="17"/>
  </w:num>
  <w:num w:numId="23">
    <w:abstractNumId w:val="5"/>
  </w:num>
  <w:num w:numId="24">
    <w:abstractNumId w:val="20"/>
  </w:num>
  <w:num w:numId="25">
    <w:abstractNumId w:val="3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4E4A"/>
    <w:rsid w:val="001364FB"/>
    <w:rsid w:val="001365F2"/>
    <w:rsid w:val="00136D50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4BC"/>
    <w:rsid w:val="00173F63"/>
    <w:rsid w:val="001752D8"/>
    <w:rsid w:val="00175931"/>
    <w:rsid w:val="00176B25"/>
    <w:rsid w:val="001821E7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0BB8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3053"/>
    <w:rsid w:val="00203FFE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533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280B"/>
    <w:rsid w:val="00283B02"/>
    <w:rsid w:val="00283C5D"/>
    <w:rsid w:val="002844B0"/>
    <w:rsid w:val="00286322"/>
    <w:rsid w:val="0029482C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271E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E7D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3091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2454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153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349"/>
    <w:rsid w:val="004677C9"/>
    <w:rsid w:val="00470CB5"/>
    <w:rsid w:val="00471EAB"/>
    <w:rsid w:val="004723EE"/>
    <w:rsid w:val="00475A92"/>
    <w:rsid w:val="0047629A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D022C"/>
    <w:rsid w:val="004D2675"/>
    <w:rsid w:val="004D4080"/>
    <w:rsid w:val="004D7CA7"/>
    <w:rsid w:val="004E05FD"/>
    <w:rsid w:val="004E1A0D"/>
    <w:rsid w:val="004E23F5"/>
    <w:rsid w:val="004E5418"/>
    <w:rsid w:val="004E5A77"/>
    <w:rsid w:val="004E63E5"/>
    <w:rsid w:val="004E6A47"/>
    <w:rsid w:val="004E6B76"/>
    <w:rsid w:val="004F1261"/>
    <w:rsid w:val="004F1437"/>
    <w:rsid w:val="004F3540"/>
    <w:rsid w:val="004F4FE2"/>
    <w:rsid w:val="004F52DB"/>
    <w:rsid w:val="004F5624"/>
    <w:rsid w:val="004F5DA4"/>
    <w:rsid w:val="004F62B2"/>
    <w:rsid w:val="004F6424"/>
    <w:rsid w:val="005036F3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3F88"/>
    <w:rsid w:val="0051587A"/>
    <w:rsid w:val="005158FA"/>
    <w:rsid w:val="005169AD"/>
    <w:rsid w:val="0052010E"/>
    <w:rsid w:val="005208B9"/>
    <w:rsid w:val="005221F0"/>
    <w:rsid w:val="005224D1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2C8"/>
    <w:rsid w:val="00575EB8"/>
    <w:rsid w:val="0057613A"/>
    <w:rsid w:val="00582A9B"/>
    <w:rsid w:val="005832AB"/>
    <w:rsid w:val="0058437C"/>
    <w:rsid w:val="005935F4"/>
    <w:rsid w:val="00593E0A"/>
    <w:rsid w:val="005971B0"/>
    <w:rsid w:val="005A167F"/>
    <w:rsid w:val="005A346E"/>
    <w:rsid w:val="005A5F2B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B7C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070AF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3497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44AA1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BE4"/>
    <w:rsid w:val="0078031B"/>
    <w:rsid w:val="00781062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334"/>
    <w:rsid w:val="007A5719"/>
    <w:rsid w:val="007A6E6D"/>
    <w:rsid w:val="007A7377"/>
    <w:rsid w:val="007B03DE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589A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3607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D74FB"/>
    <w:rsid w:val="008E27E9"/>
    <w:rsid w:val="008E42DE"/>
    <w:rsid w:val="008F2BD1"/>
    <w:rsid w:val="008F2C49"/>
    <w:rsid w:val="008F36F0"/>
    <w:rsid w:val="008F41A8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FE0"/>
    <w:rsid w:val="00985F8B"/>
    <w:rsid w:val="00986E9F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3A35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9F74BF"/>
    <w:rsid w:val="00A00D9C"/>
    <w:rsid w:val="00A010E7"/>
    <w:rsid w:val="00A01A17"/>
    <w:rsid w:val="00A01A60"/>
    <w:rsid w:val="00A01E28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4771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5B63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5CD"/>
    <w:rsid w:val="00AF5CD5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0D9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0CC7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572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686"/>
    <w:rsid w:val="00BC6DC2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0716"/>
    <w:rsid w:val="00C41CD3"/>
    <w:rsid w:val="00C43438"/>
    <w:rsid w:val="00C44264"/>
    <w:rsid w:val="00C44AE1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61F5"/>
    <w:rsid w:val="00C67446"/>
    <w:rsid w:val="00C70962"/>
    <w:rsid w:val="00C71674"/>
    <w:rsid w:val="00C72567"/>
    <w:rsid w:val="00C733F7"/>
    <w:rsid w:val="00C7697F"/>
    <w:rsid w:val="00C7716A"/>
    <w:rsid w:val="00C8136C"/>
    <w:rsid w:val="00C81760"/>
    <w:rsid w:val="00C82FAC"/>
    <w:rsid w:val="00C82FFA"/>
    <w:rsid w:val="00C84032"/>
    <w:rsid w:val="00C84A1B"/>
    <w:rsid w:val="00C85521"/>
    <w:rsid w:val="00C856C0"/>
    <w:rsid w:val="00C863EE"/>
    <w:rsid w:val="00C87B73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7DF6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2BCE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75767"/>
    <w:rsid w:val="00D7635D"/>
    <w:rsid w:val="00D80127"/>
    <w:rsid w:val="00D804E2"/>
    <w:rsid w:val="00D805D1"/>
    <w:rsid w:val="00D81FB3"/>
    <w:rsid w:val="00D82FD7"/>
    <w:rsid w:val="00D84FA6"/>
    <w:rsid w:val="00D852CF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54E"/>
    <w:rsid w:val="00E26C55"/>
    <w:rsid w:val="00E26F6C"/>
    <w:rsid w:val="00E31BD0"/>
    <w:rsid w:val="00E327E5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723CD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C87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B6072"/>
    <w:rsid w:val="00EC098E"/>
    <w:rsid w:val="00EC0BCB"/>
    <w:rsid w:val="00EC0E71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E01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0CCE"/>
    <w:rsid w:val="00F3381E"/>
    <w:rsid w:val="00F34C92"/>
    <w:rsid w:val="00F35D19"/>
    <w:rsid w:val="00F377AE"/>
    <w:rsid w:val="00F41269"/>
    <w:rsid w:val="00F41319"/>
    <w:rsid w:val="00F4213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0E05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5BE3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E5649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515DF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/>
    </w:rPr>
  </w:style>
  <w:style w:type="paragraph" w:styleId="NoSpacing">
    <w:name w:val="No Spacing"/>
    <w:uiPriority w:val="1"/>
    <w:qFormat/>
    <w:rsid w:val="007A5334"/>
    <w:rPr>
      <w:rFonts w:eastAsia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F42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giflow-eforms.who-umc.org/me/mead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3256-FC47-4960-80F1-4729570C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Aleksandra Minić</cp:lastModifiedBy>
  <cp:revision>61</cp:revision>
  <dcterms:created xsi:type="dcterms:W3CDTF">2019-04-02T15:23:00Z</dcterms:created>
  <dcterms:modified xsi:type="dcterms:W3CDTF">2025-01-21T09:48:00Z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