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7B936" w14:textId="77777777" w:rsidR="00E32343" w:rsidRPr="00814B5B" w:rsidRDefault="00E32343" w:rsidP="00816D2E">
      <w:pPr>
        <w:spacing w:before="120" w:after="120"/>
        <w:jc w:val="center"/>
        <w:rPr>
          <w:b/>
          <w:bCs/>
          <w:iCs/>
          <w:szCs w:val="22"/>
          <w:u w:val="single"/>
          <w:lang w:val="sr-Latn-RS"/>
        </w:rPr>
      </w:pPr>
    </w:p>
    <w:p w14:paraId="7703E90C" w14:textId="04623E96" w:rsidR="00007EF9" w:rsidRPr="00814B5B" w:rsidRDefault="00007EF9" w:rsidP="00816D2E">
      <w:pPr>
        <w:spacing w:before="120" w:after="120"/>
        <w:jc w:val="center"/>
        <w:rPr>
          <w:b/>
          <w:bCs/>
          <w:iCs/>
          <w:szCs w:val="22"/>
          <w:u w:val="single"/>
          <w:lang w:val="sr-Latn-RS"/>
        </w:rPr>
      </w:pPr>
      <w:r w:rsidRPr="00814B5B">
        <w:rPr>
          <w:b/>
          <w:bCs/>
          <w:iCs/>
          <w:szCs w:val="22"/>
          <w:u w:val="single"/>
          <w:lang w:val="sr-Latn-RS"/>
        </w:rPr>
        <w:t>SAŽETAK KARAKTERISTIKA L</w:t>
      </w:r>
      <w:r w:rsidR="007E4572" w:rsidRPr="00814B5B">
        <w:rPr>
          <w:b/>
          <w:bCs/>
          <w:iCs/>
          <w:szCs w:val="22"/>
          <w:u w:val="single"/>
          <w:lang w:val="sr-Latn-RS"/>
        </w:rPr>
        <w:t>IJ</w:t>
      </w:r>
      <w:r w:rsidRPr="00814B5B">
        <w:rPr>
          <w:b/>
          <w:bCs/>
          <w:iCs/>
          <w:szCs w:val="22"/>
          <w:u w:val="single"/>
          <w:lang w:val="sr-Latn-RS"/>
        </w:rPr>
        <w:t>EKA</w:t>
      </w:r>
    </w:p>
    <w:p w14:paraId="5ECCCDF7" w14:textId="61E63942" w:rsidR="00007EF9" w:rsidRPr="00814B5B" w:rsidRDefault="00007EF9" w:rsidP="00816D2E">
      <w:pPr>
        <w:spacing w:before="120" w:after="120"/>
        <w:rPr>
          <w:b/>
          <w:bCs/>
          <w:szCs w:val="22"/>
          <w:lang w:val="sr-Latn-RS"/>
        </w:rPr>
      </w:pPr>
      <w:r w:rsidRPr="00814B5B">
        <w:rPr>
          <w:szCs w:val="22"/>
          <w:lang w:val="sr-Latn-RS"/>
        </w:rPr>
        <w:t xml:space="preserve"> </w:t>
      </w:r>
    </w:p>
    <w:p w14:paraId="720677C3" w14:textId="2CD9BD66" w:rsidR="00007EF9" w:rsidRPr="00814B5B" w:rsidRDefault="00007EF9" w:rsidP="00D67A33">
      <w:pPr>
        <w:pStyle w:val="NASLOV123"/>
        <w:spacing w:before="0" w:after="0"/>
        <w:jc w:val="both"/>
        <w:rPr>
          <w:lang w:val="sr-Latn-RS"/>
        </w:rPr>
      </w:pPr>
      <w:r w:rsidRPr="00814B5B">
        <w:rPr>
          <w:lang w:val="sr-Latn-RS"/>
        </w:rPr>
        <w:t xml:space="preserve">1. </w:t>
      </w:r>
      <w:r w:rsidR="007E4572" w:rsidRPr="00814B5B">
        <w:rPr>
          <w:lang w:val="sr-Latn-RS"/>
        </w:rPr>
        <w:t>NAZIV</w:t>
      </w:r>
      <w:r w:rsidRPr="00814B5B">
        <w:rPr>
          <w:lang w:val="sr-Latn-RS"/>
        </w:rPr>
        <w:t xml:space="preserve"> L</w:t>
      </w:r>
      <w:r w:rsidR="007E4572" w:rsidRPr="00814B5B">
        <w:rPr>
          <w:lang w:val="sr-Latn-RS"/>
        </w:rPr>
        <w:t>IJ</w:t>
      </w:r>
      <w:r w:rsidRPr="00814B5B">
        <w:rPr>
          <w:lang w:val="sr-Latn-RS"/>
        </w:rPr>
        <w:t>EKA</w:t>
      </w:r>
    </w:p>
    <w:p w14:paraId="3E53D5D2" w14:textId="77777777" w:rsidR="00E32343" w:rsidRPr="00814B5B" w:rsidRDefault="00E32343" w:rsidP="00D67A33">
      <w:pPr>
        <w:rPr>
          <w:szCs w:val="22"/>
          <w:lang w:val="sr-Latn-RS"/>
        </w:rPr>
      </w:pPr>
    </w:p>
    <w:p w14:paraId="7D2D576B" w14:textId="186C2D94" w:rsidR="00007EF9" w:rsidRPr="00814B5B" w:rsidRDefault="006C7972" w:rsidP="00D67A33">
      <w:pPr>
        <w:rPr>
          <w:szCs w:val="22"/>
          <w:lang w:val="sr-Latn-RS"/>
        </w:rPr>
      </w:pPr>
      <w:r w:rsidRPr="00814B5B">
        <w:rPr>
          <w:szCs w:val="22"/>
          <w:lang w:val="sr-Latn-RS"/>
        </w:rPr>
        <w:t>Losar plus, 50</w:t>
      </w:r>
      <w:r w:rsidR="00814B5B">
        <w:rPr>
          <w:szCs w:val="22"/>
          <w:lang w:val="sr-Latn-RS"/>
        </w:rPr>
        <w:t xml:space="preserve"> </w:t>
      </w:r>
      <w:r w:rsidRPr="00814B5B">
        <w:rPr>
          <w:szCs w:val="22"/>
          <w:lang w:val="sr-Latn-RS"/>
        </w:rPr>
        <w:t>mg</w:t>
      </w:r>
      <w:r w:rsidR="007E4572" w:rsidRPr="00814B5B">
        <w:rPr>
          <w:szCs w:val="22"/>
          <w:lang w:val="sr-Latn-RS"/>
        </w:rPr>
        <w:t xml:space="preserve"> + </w:t>
      </w:r>
      <w:r w:rsidRPr="00814B5B">
        <w:rPr>
          <w:szCs w:val="22"/>
          <w:lang w:val="sr-Latn-RS"/>
        </w:rPr>
        <w:t>12,5</w:t>
      </w:r>
      <w:r w:rsidR="00814B5B">
        <w:rPr>
          <w:szCs w:val="22"/>
          <w:lang w:val="sr-Latn-RS"/>
        </w:rPr>
        <w:t xml:space="preserve"> </w:t>
      </w:r>
      <w:r w:rsidRPr="00814B5B">
        <w:rPr>
          <w:szCs w:val="22"/>
          <w:lang w:val="sr-Latn-RS"/>
        </w:rPr>
        <w:t>mg, film tablet</w:t>
      </w:r>
      <w:r w:rsidR="00E32343" w:rsidRPr="00814B5B">
        <w:rPr>
          <w:szCs w:val="22"/>
          <w:lang w:val="sr-Latn-RS"/>
        </w:rPr>
        <w:t>a</w:t>
      </w:r>
    </w:p>
    <w:p w14:paraId="0D0F6173" w14:textId="77777777" w:rsidR="00E32343" w:rsidRPr="00814B5B" w:rsidRDefault="00E32343" w:rsidP="00D67A33">
      <w:pPr>
        <w:rPr>
          <w:szCs w:val="22"/>
          <w:lang w:val="sr-Latn-RS"/>
        </w:rPr>
      </w:pPr>
    </w:p>
    <w:p w14:paraId="6B56A638" w14:textId="58350E4E" w:rsidR="00007EF9" w:rsidRPr="00814B5B" w:rsidRDefault="00007EF9" w:rsidP="00D67A33">
      <w:pPr>
        <w:rPr>
          <w:szCs w:val="22"/>
          <w:lang w:val="sr-Latn-RS"/>
        </w:rPr>
      </w:pPr>
      <w:r w:rsidRPr="00814B5B">
        <w:rPr>
          <w:szCs w:val="22"/>
          <w:lang w:val="sr-Latn-RS"/>
        </w:rPr>
        <w:t>INN:</w:t>
      </w:r>
      <w:r w:rsidR="006C7972" w:rsidRPr="00814B5B">
        <w:rPr>
          <w:szCs w:val="22"/>
          <w:lang w:val="sr-Latn-RS"/>
        </w:rPr>
        <w:t xml:space="preserve"> losartan</w:t>
      </w:r>
      <w:r w:rsidR="007E4572" w:rsidRPr="00814B5B">
        <w:rPr>
          <w:szCs w:val="22"/>
          <w:lang w:val="sr-Latn-RS"/>
        </w:rPr>
        <w:t xml:space="preserve">, </w:t>
      </w:r>
      <w:r w:rsidR="006C7972" w:rsidRPr="00814B5B">
        <w:rPr>
          <w:szCs w:val="22"/>
          <w:lang w:val="sr-Latn-RS"/>
        </w:rPr>
        <w:t>hidrohlortiazid</w:t>
      </w:r>
    </w:p>
    <w:p w14:paraId="06729FBB" w14:textId="4E82B0FD" w:rsidR="00E32343" w:rsidRPr="00814B5B" w:rsidRDefault="00E32343" w:rsidP="00D67A33">
      <w:pPr>
        <w:rPr>
          <w:szCs w:val="22"/>
          <w:lang w:val="sr-Latn-RS"/>
        </w:rPr>
      </w:pPr>
    </w:p>
    <w:p w14:paraId="06CCB853" w14:textId="77777777" w:rsidR="00E32343" w:rsidRPr="00814B5B" w:rsidRDefault="00E32343" w:rsidP="00D67A33">
      <w:pPr>
        <w:rPr>
          <w:szCs w:val="22"/>
          <w:lang w:val="sr-Latn-RS"/>
        </w:rPr>
      </w:pPr>
    </w:p>
    <w:p w14:paraId="3891D3D1" w14:textId="77777777" w:rsidR="00007EF9" w:rsidRPr="00814B5B" w:rsidRDefault="00007EF9" w:rsidP="00D67A33">
      <w:pPr>
        <w:pStyle w:val="NASLOV123"/>
        <w:spacing w:before="0" w:after="0"/>
        <w:jc w:val="both"/>
        <w:rPr>
          <w:lang w:val="sr-Latn-RS"/>
        </w:rPr>
      </w:pPr>
      <w:r w:rsidRPr="00814B5B">
        <w:rPr>
          <w:lang w:val="sr-Latn-RS"/>
        </w:rPr>
        <w:t>2. KVALITATIVNI I KVANTITATIVNI SASTAV</w:t>
      </w:r>
    </w:p>
    <w:p w14:paraId="2813F941" w14:textId="77777777" w:rsidR="00E32343" w:rsidRPr="00814B5B" w:rsidRDefault="00E32343" w:rsidP="00D67A33">
      <w:pPr>
        <w:pStyle w:val="Header"/>
        <w:tabs>
          <w:tab w:val="clear" w:pos="4536"/>
          <w:tab w:val="clear" w:pos="9072"/>
          <w:tab w:val="left" w:pos="284"/>
        </w:tabs>
        <w:rPr>
          <w:szCs w:val="22"/>
          <w:lang w:val="sr-Latn-RS"/>
        </w:rPr>
      </w:pPr>
    </w:p>
    <w:p w14:paraId="4D77C893" w14:textId="4FE6C8C5" w:rsidR="006C7972" w:rsidRPr="00814B5B" w:rsidRDefault="00E32343" w:rsidP="00D67A33">
      <w:pPr>
        <w:pStyle w:val="Header"/>
        <w:tabs>
          <w:tab w:val="clear" w:pos="4536"/>
          <w:tab w:val="clear" w:pos="9072"/>
          <w:tab w:val="left" w:pos="284"/>
        </w:tabs>
        <w:rPr>
          <w:szCs w:val="22"/>
          <w:lang w:val="sr-Latn-RS"/>
        </w:rPr>
      </w:pPr>
      <w:r w:rsidRPr="00814B5B">
        <w:rPr>
          <w:szCs w:val="22"/>
          <w:lang w:val="sr-Latn-RS"/>
        </w:rPr>
        <w:t>Jedna</w:t>
      </w:r>
      <w:r w:rsidR="006C7972" w:rsidRPr="00814B5B">
        <w:rPr>
          <w:szCs w:val="22"/>
          <w:lang w:val="sr-Latn-RS"/>
        </w:rPr>
        <w:t xml:space="preserve"> film tableta sadrži 50 mg losartan</w:t>
      </w:r>
      <w:r w:rsidR="007E4572" w:rsidRPr="00814B5B">
        <w:rPr>
          <w:szCs w:val="22"/>
          <w:lang w:val="sr-Latn-RS"/>
        </w:rPr>
        <w:t xml:space="preserve"> </w:t>
      </w:r>
      <w:r w:rsidR="006C7972" w:rsidRPr="00814B5B">
        <w:rPr>
          <w:szCs w:val="22"/>
          <w:lang w:val="sr-Latn-RS"/>
        </w:rPr>
        <w:t>kalijuma i 12,5 mg hidrohlortiazida</w:t>
      </w:r>
      <w:r w:rsidR="00A672A2" w:rsidRPr="00814B5B">
        <w:rPr>
          <w:szCs w:val="22"/>
          <w:lang w:val="sr-Latn-RS"/>
        </w:rPr>
        <w:t>.</w:t>
      </w:r>
    </w:p>
    <w:p w14:paraId="3C66DBE6" w14:textId="77777777" w:rsidR="00E32343" w:rsidRPr="00814B5B" w:rsidRDefault="00E32343" w:rsidP="00D67A33">
      <w:pPr>
        <w:pStyle w:val="Header"/>
        <w:tabs>
          <w:tab w:val="clear" w:pos="4536"/>
          <w:tab w:val="clear" w:pos="9072"/>
          <w:tab w:val="left" w:pos="284"/>
        </w:tabs>
        <w:rPr>
          <w:szCs w:val="22"/>
          <w:lang w:val="sr-Latn-RS"/>
        </w:rPr>
      </w:pPr>
    </w:p>
    <w:p w14:paraId="07568C78" w14:textId="63B118DD" w:rsidR="006C7972" w:rsidRPr="00814B5B" w:rsidRDefault="006C7972" w:rsidP="00D67A33">
      <w:pPr>
        <w:pStyle w:val="Header"/>
        <w:tabs>
          <w:tab w:val="clear" w:pos="4536"/>
          <w:tab w:val="clear" w:pos="9072"/>
          <w:tab w:val="left" w:pos="284"/>
        </w:tabs>
        <w:rPr>
          <w:szCs w:val="22"/>
          <w:lang w:val="sr-Latn-RS"/>
        </w:rPr>
      </w:pPr>
      <w:r w:rsidRPr="00814B5B">
        <w:rPr>
          <w:szCs w:val="22"/>
          <w:lang w:val="sr-Latn-RS"/>
        </w:rPr>
        <w:t>Pomoćna supstanca sa potvrđenim dejstvom: laktoza monohidrat</w:t>
      </w:r>
      <w:r w:rsidR="00A672A2" w:rsidRPr="00814B5B">
        <w:rPr>
          <w:szCs w:val="22"/>
          <w:lang w:val="sr-Latn-RS"/>
        </w:rPr>
        <w:t>.</w:t>
      </w:r>
    </w:p>
    <w:p w14:paraId="72B75096" w14:textId="1C13B453" w:rsidR="00A672A2" w:rsidRPr="00814B5B" w:rsidRDefault="00A672A2" w:rsidP="00D67A33">
      <w:pPr>
        <w:pStyle w:val="Header"/>
        <w:tabs>
          <w:tab w:val="clear" w:pos="4536"/>
          <w:tab w:val="clear" w:pos="9072"/>
          <w:tab w:val="left" w:pos="284"/>
        </w:tabs>
        <w:rPr>
          <w:szCs w:val="22"/>
          <w:lang w:val="sr-Latn-RS"/>
        </w:rPr>
      </w:pPr>
      <w:r w:rsidRPr="00814B5B">
        <w:rPr>
          <w:szCs w:val="22"/>
          <w:lang w:val="sr-Latn-RS"/>
        </w:rPr>
        <w:t>Jedna film tableta sadrži 61,50 mg laktoz</w:t>
      </w:r>
      <w:r w:rsidR="009C64DE" w:rsidRPr="00814B5B">
        <w:rPr>
          <w:szCs w:val="22"/>
          <w:lang w:val="sr-Latn-RS"/>
        </w:rPr>
        <w:t>e</w:t>
      </w:r>
      <w:r w:rsidRPr="00814B5B">
        <w:rPr>
          <w:szCs w:val="22"/>
          <w:lang w:val="sr-Latn-RS"/>
        </w:rPr>
        <w:t xml:space="preserve"> monohidrata.</w:t>
      </w:r>
    </w:p>
    <w:p w14:paraId="45E66162" w14:textId="77777777" w:rsidR="00E32343" w:rsidRPr="00814B5B" w:rsidRDefault="00E32343">
      <w:pPr>
        <w:tabs>
          <w:tab w:val="clear" w:pos="284"/>
        </w:tabs>
        <w:jc w:val="left"/>
        <w:rPr>
          <w:szCs w:val="22"/>
          <w:lang w:val="sr-Latn-CS"/>
        </w:rPr>
      </w:pPr>
    </w:p>
    <w:p w14:paraId="4A959C33" w14:textId="5F150ED1" w:rsidR="00565237" w:rsidRPr="00814B5B" w:rsidRDefault="00565237">
      <w:pPr>
        <w:tabs>
          <w:tab w:val="clear" w:pos="284"/>
        </w:tabs>
        <w:jc w:val="left"/>
        <w:rPr>
          <w:szCs w:val="22"/>
          <w:lang w:val="sr-Latn-CS"/>
        </w:rPr>
      </w:pPr>
      <w:r w:rsidRPr="00814B5B">
        <w:rPr>
          <w:szCs w:val="22"/>
          <w:lang w:val="sr-Latn-CS"/>
        </w:rPr>
        <w:t>Za spisak svih ekscipijenasa, pogledati dio 6.1.</w:t>
      </w:r>
    </w:p>
    <w:p w14:paraId="26AD2167" w14:textId="77777777" w:rsidR="00E32343" w:rsidRPr="00814B5B" w:rsidRDefault="00E32343" w:rsidP="00D67A33">
      <w:pPr>
        <w:pStyle w:val="NASLOV123"/>
        <w:spacing w:before="0" w:after="0"/>
        <w:rPr>
          <w:lang w:val="sr-Latn-RS"/>
        </w:rPr>
      </w:pPr>
    </w:p>
    <w:p w14:paraId="3E704278" w14:textId="77777777" w:rsidR="00E32343" w:rsidRPr="00814B5B" w:rsidRDefault="00E32343" w:rsidP="00D67A33">
      <w:pPr>
        <w:pStyle w:val="NASLOV123"/>
        <w:spacing w:before="0" w:after="0"/>
        <w:rPr>
          <w:lang w:val="sr-Latn-RS"/>
        </w:rPr>
      </w:pPr>
    </w:p>
    <w:p w14:paraId="2A01D288" w14:textId="5D91D39E" w:rsidR="00007EF9" w:rsidRPr="00814B5B" w:rsidRDefault="00007EF9" w:rsidP="00D67A33">
      <w:pPr>
        <w:pStyle w:val="NASLOV123"/>
        <w:spacing w:before="0" w:after="0"/>
        <w:rPr>
          <w:lang w:val="sr-Latn-RS"/>
        </w:rPr>
      </w:pPr>
      <w:r w:rsidRPr="00814B5B">
        <w:rPr>
          <w:lang w:val="sr-Latn-RS"/>
        </w:rPr>
        <w:t>3. FARMACEUTSKI OBLIK</w:t>
      </w:r>
    </w:p>
    <w:p w14:paraId="2E55D2DA" w14:textId="77777777" w:rsidR="00E32343" w:rsidRPr="00814B5B" w:rsidRDefault="00E32343" w:rsidP="00D67A33">
      <w:pPr>
        <w:pStyle w:val="Header"/>
        <w:tabs>
          <w:tab w:val="clear" w:pos="4536"/>
          <w:tab w:val="clear" w:pos="9072"/>
          <w:tab w:val="left" w:pos="284"/>
        </w:tabs>
        <w:jc w:val="left"/>
        <w:rPr>
          <w:szCs w:val="22"/>
          <w:lang w:val="sr-Latn-RS"/>
        </w:rPr>
      </w:pPr>
    </w:p>
    <w:p w14:paraId="22F6792F" w14:textId="7B0FF5CE" w:rsidR="006C7972" w:rsidRPr="00814B5B" w:rsidRDefault="006C7972" w:rsidP="00D67A33">
      <w:pPr>
        <w:pStyle w:val="Header"/>
        <w:tabs>
          <w:tab w:val="clear" w:pos="4536"/>
          <w:tab w:val="clear" w:pos="9072"/>
          <w:tab w:val="left" w:pos="284"/>
        </w:tabs>
        <w:jc w:val="left"/>
        <w:rPr>
          <w:szCs w:val="22"/>
          <w:lang w:val="sr-Latn-RS"/>
        </w:rPr>
      </w:pPr>
      <w:r w:rsidRPr="00814B5B">
        <w:rPr>
          <w:szCs w:val="22"/>
          <w:lang w:val="sr-Latn-RS"/>
        </w:rPr>
        <w:t>Film tableta.</w:t>
      </w:r>
    </w:p>
    <w:p w14:paraId="147B15F2" w14:textId="7F73157C" w:rsidR="00007EF9" w:rsidRPr="00814B5B" w:rsidRDefault="00E32343" w:rsidP="00D67A33">
      <w:pPr>
        <w:jc w:val="left"/>
        <w:rPr>
          <w:szCs w:val="22"/>
          <w:lang w:val="sr-Latn-RS"/>
        </w:rPr>
      </w:pPr>
      <w:r w:rsidRPr="00814B5B">
        <w:rPr>
          <w:szCs w:val="22"/>
          <w:lang w:val="sr-Latn-RS"/>
        </w:rPr>
        <w:t>O</w:t>
      </w:r>
      <w:r w:rsidR="006C7972" w:rsidRPr="00814B5B">
        <w:rPr>
          <w:szCs w:val="22"/>
          <w:lang w:val="sr-Latn-RS"/>
        </w:rPr>
        <w:t xml:space="preserve">krugle, bikonveksne, film </w:t>
      </w:r>
      <w:r w:rsidRPr="00814B5B">
        <w:rPr>
          <w:szCs w:val="22"/>
          <w:lang w:val="sr-Latn-RS"/>
        </w:rPr>
        <w:t>tablete</w:t>
      </w:r>
      <w:r w:rsidR="006C7972" w:rsidRPr="00814B5B">
        <w:rPr>
          <w:szCs w:val="22"/>
          <w:lang w:val="sr-Latn-RS"/>
        </w:rPr>
        <w:t xml:space="preserve"> b</w:t>
      </w:r>
      <w:r w:rsidR="007E4572" w:rsidRPr="00814B5B">
        <w:rPr>
          <w:szCs w:val="22"/>
          <w:lang w:val="sr-Latn-RS"/>
        </w:rPr>
        <w:t>ij</w:t>
      </w:r>
      <w:r w:rsidR="006C7972" w:rsidRPr="00814B5B">
        <w:rPr>
          <w:szCs w:val="22"/>
          <w:lang w:val="sr-Latn-RS"/>
        </w:rPr>
        <w:t>ele boje.</w:t>
      </w:r>
    </w:p>
    <w:p w14:paraId="49BF97EA" w14:textId="77777777" w:rsidR="00E32343" w:rsidRPr="00814B5B" w:rsidRDefault="00E32343" w:rsidP="00D67A33">
      <w:pPr>
        <w:pStyle w:val="NASLOV123"/>
        <w:spacing w:before="0" w:after="0"/>
        <w:rPr>
          <w:lang w:val="sr-Latn-RS"/>
        </w:rPr>
      </w:pPr>
    </w:p>
    <w:p w14:paraId="322447E8" w14:textId="77777777" w:rsidR="00E32343" w:rsidRPr="00814B5B" w:rsidRDefault="00E32343" w:rsidP="00D67A33">
      <w:pPr>
        <w:pStyle w:val="NASLOV123"/>
        <w:spacing w:before="0" w:after="0"/>
        <w:rPr>
          <w:lang w:val="sr-Latn-RS"/>
        </w:rPr>
      </w:pPr>
    </w:p>
    <w:p w14:paraId="51059D2F" w14:textId="0DAFF3AF" w:rsidR="00007EF9" w:rsidRPr="00814B5B" w:rsidRDefault="00007EF9" w:rsidP="00D67A33">
      <w:pPr>
        <w:pStyle w:val="NASLOV123"/>
        <w:spacing w:before="0" w:after="0"/>
        <w:rPr>
          <w:lang w:val="sr-Latn-RS"/>
        </w:rPr>
      </w:pPr>
      <w:r w:rsidRPr="00814B5B">
        <w:rPr>
          <w:lang w:val="sr-Latn-RS"/>
        </w:rPr>
        <w:t>4. KLINIČKI PODACI</w:t>
      </w:r>
    </w:p>
    <w:p w14:paraId="738BB152" w14:textId="77777777" w:rsidR="009B0D39" w:rsidRPr="00814B5B" w:rsidRDefault="009B0D39" w:rsidP="00D67A33">
      <w:pPr>
        <w:jc w:val="left"/>
        <w:rPr>
          <w:b/>
          <w:bCs/>
          <w:szCs w:val="22"/>
          <w:lang w:val="sr-Latn-RS"/>
        </w:rPr>
      </w:pPr>
    </w:p>
    <w:p w14:paraId="5F6BFDB9" w14:textId="315A62C3" w:rsidR="00007EF9" w:rsidRPr="00814B5B" w:rsidRDefault="00007EF9" w:rsidP="00D67A33">
      <w:pPr>
        <w:jc w:val="left"/>
        <w:rPr>
          <w:b/>
          <w:bCs/>
          <w:szCs w:val="22"/>
          <w:lang w:val="sr-Latn-RS"/>
        </w:rPr>
      </w:pPr>
      <w:r w:rsidRPr="00814B5B">
        <w:rPr>
          <w:b/>
          <w:bCs/>
          <w:szCs w:val="22"/>
          <w:lang w:val="sr-Latn-RS"/>
        </w:rPr>
        <w:t>4.1. Terapijske indikacije</w:t>
      </w:r>
    </w:p>
    <w:p w14:paraId="4CF18064" w14:textId="700DC136" w:rsidR="00007EF9" w:rsidRDefault="008960D1" w:rsidP="00814B5B">
      <w:pPr>
        <w:rPr>
          <w:szCs w:val="22"/>
          <w:lang w:val="sr-Latn-RS"/>
        </w:rPr>
      </w:pPr>
      <w:r w:rsidRPr="00814B5B">
        <w:rPr>
          <w:szCs w:val="22"/>
          <w:lang w:val="sr-Latn-RS"/>
        </w:rPr>
        <w:t>L</w:t>
      </w:r>
      <w:r w:rsidR="007E4572" w:rsidRPr="00814B5B">
        <w:rPr>
          <w:szCs w:val="22"/>
          <w:lang w:val="sr-Latn-RS"/>
        </w:rPr>
        <w:t>ij</w:t>
      </w:r>
      <w:r w:rsidRPr="00814B5B">
        <w:rPr>
          <w:szCs w:val="22"/>
          <w:lang w:val="sr-Latn-RS"/>
        </w:rPr>
        <w:t xml:space="preserve">ek </w:t>
      </w:r>
      <w:r w:rsidR="006C7972" w:rsidRPr="00814B5B">
        <w:rPr>
          <w:szCs w:val="22"/>
          <w:lang w:val="sr-Latn-RS"/>
        </w:rPr>
        <w:t xml:space="preserve">Losar </w:t>
      </w:r>
      <w:r w:rsidR="006C7972" w:rsidRPr="00814B5B">
        <w:rPr>
          <w:bCs/>
          <w:szCs w:val="22"/>
          <w:lang w:val="sr-Latn-RS"/>
        </w:rPr>
        <w:t>plus</w:t>
      </w:r>
      <w:r w:rsidR="006C7972" w:rsidRPr="00814B5B">
        <w:rPr>
          <w:szCs w:val="22"/>
          <w:lang w:val="sr-Latn-RS"/>
        </w:rPr>
        <w:t xml:space="preserve"> </w:t>
      </w:r>
      <w:r w:rsidRPr="00814B5B">
        <w:rPr>
          <w:szCs w:val="22"/>
          <w:lang w:val="sr-Latn-RS"/>
        </w:rPr>
        <w:t>je</w:t>
      </w:r>
      <w:r w:rsidR="006C7972" w:rsidRPr="00814B5B">
        <w:rPr>
          <w:szCs w:val="22"/>
          <w:lang w:val="sr-Latn-RS"/>
        </w:rPr>
        <w:t xml:space="preserve"> </w:t>
      </w:r>
      <w:r w:rsidRPr="00814B5B">
        <w:rPr>
          <w:szCs w:val="22"/>
          <w:lang w:val="sr-Latn-RS"/>
        </w:rPr>
        <w:t>indikovan</w:t>
      </w:r>
      <w:r w:rsidR="006C7972" w:rsidRPr="00814B5B">
        <w:rPr>
          <w:szCs w:val="22"/>
          <w:lang w:val="sr-Latn-RS"/>
        </w:rPr>
        <w:t xml:space="preserve"> u terapiji esencijalne hipertenzije kod pacijenata </w:t>
      </w:r>
      <w:r w:rsidRPr="00814B5B">
        <w:rPr>
          <w:szCs w:val="22"/>
          <w:lang w:val="sr-Latn-RS"/>
        </w:rPr>
        <w:t>čiji</w:t>
      </w:r>
      <w:r w:rsidR="006C7972" w:rsidRPr="00814B5B">
        <w:rPr>
          <w:szCs w:val="22"/>
          <w:lang w:val="sr-Latn-RS"/>
        </w:rPr>
        <w:t xml:space="preserve"> krvni pritisak n</w:t>
      </w:r>
      <w:r w:rsidRPr="00814B5B">
        <w:rPr>
          <w:szCs w:val="22"/>
          <w:lang w:val="sr-Latn-RS"/>
        </w:rPr>
        <w:t>ij</w:t>
      </w:r>
      <w:r w:rsidR="006C7972" w:rsidRPr="00814B5B">
        <w:rPr>
          <w:szCs w:val="22"/>
          <w:lang w:val="sr-Latn-RS"/>
        </w:rPr>
        <w:t>e adekvatno kontrolisa</w:t>
      </w:r>
      <w:r w:rsidRPr="00814B5B">
        <w:rPr>
          <w:szCs w:val="22"/>
          <w:lang w:val="sr-Latn-RS"/>
        </w:rPr>
        <w:t>n</w:t>
      </w:r>
      <w:r w:rsidR="006C7972" w:rsidRPr="00814B5B">
        <w:rPr>
          <w:szCs w:val="22"/>
          <w:lang w:val="sr-Latn-RS"/>
        </w:rPr>
        <w:t xml:space="preserve"> </w:t>
      </w:r>
      <w:r w:rsidRPr="00814B5B">
        <w:rPr>
          <w:szCs w:val="22"/>
          <w:lang w:val="sr-Latn-RS"/>
        </w:rPr>
        <w:t>pojedinačnom prim</w:t>
      </w:r>
      <w:r w:rsidR="007E4572" w:rsidRPr="00814B5B">
        <w:rPr>
          <w:szCs w:val="22"/>
          <w:lang w:val="sr-Latn-RS"/>
        </w:rPr>
        <w:t>j</w:t>
      </w:r>
      <w:r w:rsidRPr="00814B5B">
        <w:rPr>
          <w:szCs w:val="22"/>
          <w:lang w:val="sr-Latn-RS"/>
        </w:rPr>
        <w:t>enom</w:t>
      </w:r>
      <w:r w:rsidR="006C7972" w:rsidRPr="00814B5B">
        <w:rPr>
          <w:szCs w:val="22"/>
          <w:lang w:val="sr-Latn-RS"/>
        </w:rPr>
        <w:t xml:space="preserve"> losartan</w:t>
      </w:r>
      <w:r w:rsidRPr="00814B5B">
        <w:rPr>
          <w:szCs w:val="22"/>
          <w:lang w:val="sr-Latn-RS"/>
        </w:rPr>
        <w:t>a</w:t>
      </w:r>
      <w:r w:rsidR="006C7972" w:rsidRPr="00814B5B">
        <w:rPr>
          <w:szCs w:val="22"/>
          <w:lang w:val="sr-Latn-RS"/>
        </w:rPr>
        <w:t xml:space="preserve"> ili hidrohlortiazid</w:t>
      </w:r>
      <w:r w:rsidRPr="00814B5B">
        <w:rPr>
          <w:szCs w:val="22"/>
          <w:lang w:val="sr-Latn-RS"/>
        </w:rPr>
        <w:t>a</w:t>
      </w:r>
      <w:r w:rsidR="006C7972" w:rsidRPr="00814B5B">
        <w:rPr>
          <w:szCs w:val="22"/>
          <w:lang w:val="sr-Latn-RS"/>
        </w:rPr>
        <w:t>.</w:t>
      </w:r>
    </w:p>
    <w:p w14:paraId="5ABA39D7" w14:textId="77777777" w:rsidR="00814B5B" w:rsidRPr="00814B5B" w:rsidRDefault="00814B5B" w:rsidP="00814B5B">
      <w:pPr>
        <w:rPr>
          <w:szCs w:val="22"/>
          <w:lang w:val="sr-Latn-RS"/>
        </w:rPr>
      </w:pPr>
    </w:p>
    <w:p w14:paraId="4CEBCBF4" w14:textId="5BB2D5B6" w:rsidR="00007EF9" w:rsidRPr="00814B5B" w:rsidRDefault="00007EF9" w:rsidP="00814B5B">
      <w:pPr>
        <w:rPr>
          <w:b/>
          <w:bCs/>
          <w:szCs w:val="22"/>
          <w:lang w:val="sr-Latn-RS"/>
        </w:rPr>
      </w:pPr>
      <w:r w:rsidRPr="00814B5B">
        <w:rPr>
          <w:b/>
          <w:bCs/>
          <w:szCs w:val="22"/>
          <w:lang w:val="sr-Latn-RS"/>
        </w:rPr>
        <w:t>4.2. Doziranje i način prim</w:t>
      </w:r>
      <w:r w:rsidR="007E4572" w:rsidRPr="00814B5B">
        <w:rPr>
          <w:b/>
          <w:bCs/>
          <w:szCs w:val="22"/>
          <w:lang w:val="sr-Latn-RS"/>
        </w:rPr>
        <w:t>j</w:t>
      </w:r>
      <w:r w:rsidRPr="00814B5B">
        <w:rPr>
          <w:b/>
          <w:bCs/>
          <w:szCs w:val="22"/>
          <w:lang w:val="sr-Latn-RS"/>
        </w:rPr>
        <w:t>ene</w:t>
      </w:r>
    </w:p>
    <w:p w14:paraId="5EBBAAC8" w14:textId="77777777" w:rsidR="00814B5B" w:rsidRDefault="00814B5B" w:rsidP="00814B5B">
      <w:pPr>
        <w:pStyle w:val="Header"/>
        <w:tabs>
          <w:tab w:val="clear" w:pos="4536"/>
          <w:tab w:val="clear" w:pos="9072"/>
          <w:tab w:val="left" w:pos="284"/>
        </w:tabs>
        <w:rPr>
          <w:bCs/>
          <w:szCs w:val="22"/>
          <w:u w:val="single"/>
          <w:lang w:val="sr-Latn-RS"/>
        </w:rPr>
      </w:pPr>
    </w:p>
    <w:p w14:paraId="51FEAA9C" w14:textId="1907E3D2" w:rsidR="008960D1" w:rsidRPr="00814B5B" w:rsidRDefault="008960D1" w:rsidP="00814B5B">
      <w:pPr>
        <w:pStyle w:val="Header"/>
        <w:tabs>
          <w:tab w:val="clear" w:pos="4536"/>
          <w:tab w:val="clear" w:pos="9072"/>
          <w:tab w:val="left" w:pos="284"/>
        </w:tabs>
        <w:rPr>
          <w:bCs/>
          <w:szCs w:val="22"/>
          <w:u w:val="single"/>
          <w:lang w:val="sr-Latn-RS"/>
        </w:rPr>
      </w:pPr>
      <w:r w:rsidRPr="00814B5B">
        <w:rPr>
          <w:bCs/>
          <w:szCs w:val="22"/>
          <w:u w:val="single"/>
          <w:lang w:val="sr-Latn-RS"/>
        </w:rPr>
        <w:t>Doziranje</w:t>
      </w:r>
    </w:p>
    <w:p w14:paraId="0CFC3399" w14:textId="77777777" w:rsidR="006C7972" w:rsidRPr="00814B5B" w:rsidRDefault="006C7972" w:rsidP="007B600E">
      <w:pPr>
        <w:pStyle w:val="Header"/>
        <w:tabs>
          <w:tab w:val="clear" w:pos="4536"/>
          <w:tab w:val="clear" w:pos="9072"/>
          <w:tab w:val="left" w:pos="284"/>
        </w:tabs>
        <w:spacing w:before="120" w:after="120"/>
        <w:rPr>
          <w:i/>
          <w:szCs w:val="22"/>
          <w:u w:val="single"/>
          <w:lang w:val="sr-Latn-RS"/>
        </w:rPr>
      </w:pPr>
      <w:r w:rsidRPr="00814B5B">
        <w:rPr>
          <w:i/>
          <w:szCs w:val="22"/>
          <w:u w:val="single"/>
          <w:lang w:val="sr-Latn-RS"/>
        </w:rPr>
        <w:t>Hipertenzija</w:t>
      </w:r>
    </w:p>
    <w:p w14:paraId="425433E6" w14:textId="5E904E1B" w:rsidR="006C7972" w:rsidRPr="00814B5B" w:rsidRDefault="00520754" w:rsidP="007B600E">
      <w:pPr>
        <w:pStyle w:val="Header"/>
        <w:tabs>
          <w:tab w:val="clear" w:pos="4536"/>
          <w:tab w:val="clear" w:pos="9072"/>
          <w:tab w:val="left" w:pos="284"/>
        </w:tabs>
        <w:spacing w:before="120" w:after="120"/>
        <w:ind w:right="-108"/>
        <w:rPr>
          <w:szCs w:val="22"/>
          <w:lang w:val="sr-Latn-RS"/>
        </w:rPr>
      </w:pPr>
      <w:r w:rsidRPr="00814B5B">
        <w:rPr>
          <w:szCs w:val="22"/>
          <w:lang w:val="sr-Latn-RS"/>
        </w:rPr>
        <w:t>Kombinacija l</w:t>
      </w:r>
      <w:r w:rsidR="006C7972" w:rsidRPr="00814B5B">
        <w:rPr>
          <w:szCs w:val="22"/>
          <w:lang w:val="sr-Latn-RS"/>
        </w:rPr>
        <w:t>osartan</w:t>
      </w:r>
      <w:r w:rsidRPr="00814B5B">
        <w:rPr>
          <w:szCs w:val="22"/>
          <w:lang w:val="sr-Latn-RS"/>
        </w:rPr>
        <w:t>a</w:t>
      </w:r>
      <w:r w:rsidR="006C7972" w:rsidRPr="00814B5B">
        <w:rPr>
          <w:szCs w:val="22"/>
          <w:lang w:val="sr-Latn-RS"/>
        </w:rPr>
        <w:t xml:space="preserve"> </w:t>
      </w:r>
      <w:r w:rsidRPr="00814B5B">
        <w:rPr>
          <w:szCs w:val="22"/>
          <w:lang w:val="sr-Latn-RS"/>
        </w:rPr>
        <w:t>i</w:t>
      </w:r>
      <w:r w:rsidR="006C7972" w:rsidRPr="00814B5B">
        <w:rPr>
          <w:szCs w:val="22"/>
          <w:lang w:val="sr-Latn-RS"/>
        </w:rPr>
        <w:t xml:space="preserve"> hidrohlortiazid</w:t>
      </w:r>
      <w:r w:rsidRPr="00814B5B">
        <w:rPr>
          <w:szCs w:val="22"/>
          <w:lang w:val="sr-Latn-RS"/>
        </w:rPr>
        <w:t>a</w:t>
      </w:r>
      <w:r w:rsidR="006C7972" w:rsidRPr="00814B5B">
        <w:rPr>
          <w:szCs w:val="22"/>
          <w:lang w:val="sr-Latn-RS"/>
        </w:rPr>
        <w:t xml:space="preserve"> </w:t>
      </w:r>
      <w:r w:rsidRPr="00814B5B">
        <w:rPr>
          <w:szCs w:val="22"/>
          <w:lang w:val="sr-Latn-RS"/>
        </w:rPr>
        <w:t xml:space="preserve">se </w:t>
      </w:r>
      <w:r w:rsidR="006C7972" w:rsidRPr="00814B5B">
        <w:rPr>
          <w:szCs w:val="22"/>
          <w:lang w:val="sr-Latn-RS"/>
        </w:rPr>
        <w:t xml:space="preserve">ne </w:t>
      </w:r>
      <w:r w:rsidRPr="00814B5B">
        <w:rPr>
          <w:szCs w:val="22"/>
          <w:lang w:val="sr-Latn-RS"/>
        </w:rPr>
        <w:t>prim</w:t>
      </w:r>
      <w:r w:rsidR="007E4572" w:rsidRPr="00814B5B">
        <w:rPr>
          <w:szCs w:val="22"/>
          <w:lang w:val="sr-Latn-RS"/>
        </w:rPr>
        <w:t>j</w:t>
      </w:r>
      <w:r w:rsidRPr="00814B5B">
        <w:rPr>
          <w:szCs w:val="22"/>
          <w:lang w:val="sr-Latn-RS"/>
        </w:rPr>
        <w:t>enjuje</w:t>
      </w:r>
      <w:r w:rsidR="006C7972" w:rsidRPr="00814B5B">
        <w:rPr>
          <w:szCs w:val="22"/>
          <w:lang w:val="sr-Latn-RS"/>
        </w:rPr>
        <w:t xml:space="preserve"> </w:t>
      </w:r>
      <w:r w:rsidRPr="00814B5B">
        <w:rPr>
          <w:szCs w:val="22"/>
          <w:lang w:val="sr-Latn-RS"/>
        </w:rPr>
        <w:t>kao</w:t>
      </w:r>
      <w:r w:rsidR="006C7972" w:rsidRPr="00814B5B">
        <w:rPr>
          <w:szCs w:val="22"/>
          <w:lang w:val="sr-Latn-RS"/>
        </w:rPr>
        <w:t xml:space="preserve"> inicijaln</w:t>
      </w:r>
      <w:r w:rsidRPr="00814B5B">
        <w:rPr>
          <w:szCs w:val="22"/>
          <w:lang w:val="sr-Latn-RS"/>
        </w:rPr>
        <w:t>a</w:t>
      </w:r>
      <w:r w:rsidR="006C7972" w:rsidRPr="00814B5B">
        <w:rPr>
          <w:szCs w:val="22"/>
          <w:lang w:val="sr-Latn-RS"/>
        </w:rPr>
        <w:t xml:space="preserve"> terapij</w:t>
      </w:r>
      <w:r w:rsidRPr="00814B5B">
        <w:rPr>
          <w:szCs w:val="22"/>
          <w:lang w:val="sr-Latn-RS"/>
        </w:rPr>
        <w:t>a, već</w:t>
      </w:r>
      <w:r w:rsidR="006C7972" w:rsidRPr="00814B5B">
        <w:rPr>
          <w:szCs w:val="22"/>
          <w:lang w:val="sr-Latn-RS"/>
        </w:rPr>
        <w:t xml:space="preserve"> kod pacijenata </w:t>
      </w:r>
      <w:r w:rsidRPr="00814B5B">
        <w:rPr>
          <w:szCs w:val="22"/>
          <w:lang w:val="sr-Latn-RS"/>
        </w:rPr>
        <w:t>čiji</w:t>
      </w:r>
      <w:r w:rsidR="006C7972" w:rsidRPr="00814B5B">
        <w:rPr>
          <w:szCs w:val="22"/>
          <w:lang w:val="sr-Latn-RS"/>
        </w:rPr>
        <w:t xml:space="preserve"> krvni pritisak nije adekvatno </w:t>
      </w:r>
      <w:r w:rsidRPr="00814B5B">
        <w:rPr>
          <w:szCs w:val="22"/>
          <w:lang w:val="sr-Latn-RS"/>
        </w:rPr>
        <w:t>kontrolisan</w:t>
      </w:r>
      <w:r w:rsidR="006C7972" w:rsidRPr="00814B5B">
        <w:rPr>
          <w:szCs w:val="22"/>
          <w:lang w:val="sr-Latn-RS"/>
        </w:rPr>
        <w:t xml:space="preserve"> </w:t>
      </w:r>
      <w:r w:rsidRPr="00814B5B">
        <w:rPr>
          <w:szCs w:val="22"/>
          <w:lang w:val="sr-Latn-RS"/>
        </w:rPr>
        <w:t>pojedinačnom prim</w:t>
      </w:r>
      <w:r w:rsidR="007E4572" w:rsidRPr="00814B5B">
        <w:rPr>
          <w:szCs w:val="22"/>
          <w:lang w:val="sr-Latn-RS"/>
        </w:rPr>
        <w:t>j</w:t>
      </w:r>
      <w:r w:rsidRPr="00814B5B">
        <w:rPr>
          <w:szCs w:val="22"/>
          <w:lang w:val="sr-Latn-RS"/>
        </w:rPr>
        <w:t xml:space="preserve">enom </w:t>
      </w:r>
      <w:r w:rsidR="006C7972" w:rsidRPr="00814B5B">
        <w:rPr>
          <w:szCs w:val="22"/>
          <w:lang w:val="sr-Latn-RS"/>
        </w:rPr>
        <w:t>losartan</w:t>
      </w:r>
      <w:r w:rsidRPr="00814B5B">
        <w:rPr>
          <w:szCs w:val="22"/>
          <w:lang w:val="sr-Latn-RS"/>
        </w:rPr>
        <w:t>a</w:t>
      </w:r>
      <w:r w:rsidR="006C7972" w:rsidRPr="00814B5B">
        <w:rPr>
          <w:szCs w:val="22"/>
          <w:lang w:val="sr-Latn-RS"/>
        </w:rPr>
        <w:t xml:space="preserve"> ili hidrohlortiazid</w:t>
      </w:r>
      <w:r w:rsidRPr="00814B5B">
        <w:rPr>
          <w:szCs w:val="22"/>
          <w:lang w:val="sr-Latn-RS"/>
        </w:rPr>
        <w:t>a</w:t>
      </w:r>
      <w:r w:rsidR="006C7972" w:rsidRPr="00814B5B">
        <w:rPr>
          <w:szCs w:val="22"/>
          <w:lang w:val="sr-Latn-RS"/>
        </w:rPr>
        <w:t>.</w:t>
      </w:r>
    </w:p>
    <w:p w14:paraId="3357C4B0" w14:textId="7009FFDE" w:rsidR="006C7972" w:rsidRPr="00814B5B" w:rsidRDefault="006C7972" w:rsidP="007B600E">
      <w:pPr>
        <w:pStyle w:val="Header"/>
        <w:tabs>
          <w:tab w:val="clear" w:pos="4536"/>
          <w:tab w:val="clear" w:pos="9072"/>
          <w:tab w:val="left" w:pos="284"/>
        </w:tabs>
        <w:spacing w:before="120" w:after="120"/>
        <w:rPr>
          <w:szCs w:val="22"/>
          <w:lang w:val="sr-Latn-RS"/>
        </w:rPr>
      </w:pPr>
      <w:r w:rsidRPr="00814B5B">
        <w:rPr>
          <w:szCs w:val="22"/>
          <w:lang w:val="sr-Latn-RS"/>
        </w:rPr>
        <w:t xml:space="preserve">Preporučuje se </w:t>
      </w:r>
      <w:r w:rsidR="004419D1" w:rsidRPr="00814B5B">
        <w:rPr>
          <w:szCs w:val="22"/>
          <w:lang w:val="sr-Latn-RS"/>
        </w:rPr>
        <w:t>titriranje</w:t>
      </w:r>
      <w:r w:rsidRPr="00814B5B">
        <w:rPr>
          <w:szCs w:val="22"/>
          <w:lang w:val="sr-Latn-RS"/>
        </w:rPr>
        <w:t xml:space="preserve"> doze </w:t>
      </w:r>
      <w:r w:rsidR="004419D1" w:rsidRPr="00814B5B">
        <w:rPr>
          <w:szCs w:val="22"/>
          <w:lang w:val="sr-Latn-RS"/>
        </w:rPr>
        <w:t>pojedinačnih</w:t>
      </w:r>
      <w:r w:rsidRPr="00814B5B">
        <w:rPr>
          <w:szCs w:val="22"/>
          <w:lang w:val="sr-Latn-RS"/>
        </w:rPr>
        <w:t xml:space="preserve"> komponent</w:t>
      </w:r>
      <w:r w:rsidR="004419D1" w:rsidRPr="00814B5B">
        <w:rPr>
          <w:szCs w:val="22"/>
          <w:lang w:val="sr-Latn-RS"/>
        </w:rPr>
        <w:t>i</w:t>
      </w:r>
      <w:r w:rsidRPr="00814B5B">
        <w:rPr>
          <w:szCs w:val="22"/>
          <w:lang w:val="sr-Latn-RS"/>
        </w:rPr>
        <w:t xml:space="preserve"> l</w:t>
      </w:r>
      <w:r w:rsidR="007E4572" w:rsidRPr="00814B5B">
        <w:rPr>
          <w:szCs w:val="22"/>
          <w:lang w:val="sr-Latn-RS"/>
        </w:rPr>
        <w:t>ij</w:t>
      </w:r>
      <w:r w:rsidRPr="00814B5B">
        <w:rPr>
          <w:szCs w:val="22"/>
          <w:lang w:val="sr-Latn-RS"/>
        </w:rPr>
        <w:t>eka (losartan i hidrohlortiazid).</w:t>
      </w:r>
    </w:p>
    <w:p w14:paraId="49216E60" w14:textId="6383B246" w:rsidR="006C7972" w:rsidRPr="00814B5B" w:rsidRDefault="004419D1" w:rsidP="007B600E">
      <w:pPr>
        <w:pStyle w:val="Header"/>
        <w:tabs>
          <w:tab w:val="clear" w:pos="4536"/>
          <w:tab w:val="clear" w:pos="9072"/>
          <w:tab w:val="left" w:pos="284"/>
        </w:tabs>
        <w:spacing w:before="120" w:after="120"/>
        <w:ind w:right="-108"/>
        <w:rPr>
          <w:szCs w:val="22"/>
          <w:lang w:val="sr-Latn-RS"/>
        </w:rPr>
      </w:pPr>
      <w:r w:rsidRPr="00814B5B">
        <w:rPr>
          <w:szCs w:val="22"/>
          <w:lang w:val="sr-Latn-RS"/>
        </w:rPr>
        <w:t>Kada</w:t>
      </w:r>
      <w:r w:rsidR="006C7972" w:rsidRPr="00814B5B">
        <w:rPr>
          <w:szCs w:val="22"/>
          <w:lang w:val="sr-Latn-RS"/>
        </w:rPr>
        <w:t xml:space="preserve"> je</w:t>
      </w:r>
      <w:r w:rsidRPr="00814B5B">
        <w:rPr>
          <w:szCs w:val="22"/>
          <w:lang w:val="sr-Latn-RS"/>
        </w:rPr>
        <w:t xml:space="preserve"> </w:t>
      </w:r>
      <w:r w:rsidR="006C7972" w:rsidRPr="00814B5B">
        <w:rPr>
          <w:szCs w:val="22"/>
          <w:lang w:val="sr-Latn-RS"/>
        </w:rPr>
        <w:t xml:space="preserve">klinički </w:t>
      </w:r>
      <w:r w:rsidRPr="00814B5B">
        <w:rPr>
          <w:szCs w:val="22"/>
          <w:lang w:val="sr-Latn-RS"/>
        </w:rPr>
        <w:t>opravdano</w:t>
      </w:r>
      <w:r w:rsidR="006C7972" w:rsidRPr="00814B5B">
        <w:rPr>
          <w:szCs w:val="22"/>
          <w:lang w:val="sr-Latn-RS"/>
        </w:rPr>
        <w:t xml:space="preserve">, može se razmotriti direktan prelaz sa monoterapije na terapiju fiksnom kombinacijom </w:t>
      </w:r>
      <w:r w:rsidRPr="00814B5B">
        <w:rPr>
          <w:szCs w:val="22"/>
          <w:lang w:val="sr-Latn-RS"/>
        </w:rPr>
        <w:t>kod pacijenata čiji krvni pritisak nije adekvatno kontrolisan</w:t>
      </w:r>
      <w:r w:rsidR="006C7972" w:rsidRPr="00814B5B">
        <w:rPr>
          <w:szCs w:val="22"/>
          <w:lang w:val="sr-Latn-RS"/>
        </w:rPr>
        <w:t>.</w:t>
      </w:r>
    </w:p>
    <w:p w14:paraId="22943BEF" w14:textId="68763E96" w:rsidR="006C7972" w:rsidRPr="00814B5B" w:rsidRDefault="004419D1" w:rsidP="007B600E">
      <w:pPr>
        <w:pStyle w:val="Header"/>
        <w:tabs>
          <w:tab w:val="clear" w:pos="4536"/>
          <w:tab w:val="clear" w:pos="9072"/>
          <w:tab w:val="left" w:pos="284"/>
        </w:tabs>
        <w:spacing w:before="120" w:after="120"/>
        <w:ind w:right="-108"/>
        <w:rPr>
          <w:szCs w:val="22"/>
          <w:lang w:val="sr-Latn-RS"/>
        </w:rPr>
      </w:pPr>
      <w:r w:rsidRPr="00814B5B">
        <w:rPr>
          <w:szCs w:val="22"/>
          <w:lang w:val="sr-Latn-RS"/>
        </w:rPr>
        <w:t>Uobičajena d</w:t>
      </w:r>
      <w:r w:rsidR="006C7972" w:rsidRPr="00814B5B">
        <w:rPr>
          <w:szCs w:val="22"/>
          <w:lang w:val="sr-Latn-RS"/>
        </w:rPr>
        <w:t xml:space="preserve">oza održavanja je jedna tableta </w:t>
      </w:r>
      <w:r w:rsidRPr="00814B5B">
        <w:rPr>
          <w:szCs w:val="22"/>
          <w:lang w:val="sr-Latn-RS"/>
        </w:rPr>
        <w:t>l</w:t>
      </w:r>
      <w:r w:rsidR="007E4572" w:rsidRPr="00814B5B">
        <w:rPr>
          <w:szCs w:val="22"/>
          <w:lang w:val="sr-Latn-RS"/>
        </w:rPr>
        <w:t>ij</w:t>
      </w:r>
      <w:r w:rsidRPr="00814B5B">
        <w:rPr>
          <w:szCs w:val="22"/>
          <w:lang w:val="sr-Latn-RS"/>
        </w:rPr>
        <w:t>eka Losar plus</w:t>
      </w:r>
      <w:r w:rsidR="006C7972" w:rsidRPr="00814B5B">
        <w:rPr>
          <w:szCs w:val="22"/>
          <w:lang w:val="sr-Latn-RS"/>
        </w:rPr>
        <w:t xml:space="preserve"> (losartan 50 mg</w:t>
      </w:r>
      <w:r w:rsidR="007E4572" w:rsidRPr="00814B5B">
        <w:rPr>
          <w:szCs w:val="22"/>
          <w:lang w:val="sr-Latn-RS"/>
        </w:rPr>
        <w:t xml:space="preserve">, </w:t>
      </w:r>
      <w:r w:rsidR="006C7972" w:rsidRPr="00814B5B">
        <w:rPr>
          <w:szCs w:val="22"/>
          <w:lang w:val="sr-Latn-RS"/>
        </w:rPr>
        <w:t>hidrohlortiazid 12,5 mg)</w:t>
      </w:r>
      <w:r w:rsidRPr="00814B5B">
        <w:rPr>
          <w:szCs w:val="22"/>
          <w:lang w:val="sr-Latn-RS"/>
        </w:rPr>
        <w:t xml:space="preserve"> jednom dnevno</w:t>
      </w:r>
      <w:r w:rsidR="006C7972" w:rsidRPr="00814B5B">
        <w:rPr>
          <w:szCs w:val="22"/>
          <w:lang w:val="sr-Latn-RS"/>
        </w:rPr>
        <w:t>. Kod pacijenata kod kojih se ne postiže adekvatan odgovor</w:t>
      </w:r>
      <w:r w:rsidRPr="00814B5B">
        <w:rPr>
          <w:szCs w:val="22"/>
          <w:lang w:val="sr-Latn-RS"/>
        </w:rPr>
        <w:t xml:space="preserve"> na ovu dozu</w:t>
      </w:r>
      <w:r w:rsidR="006C7972" w:rsidRPr="00814B5B">
        <w:rPr>
          <w:szCs w:val="22"/>
          <w:lang w:val="sr-Latn-RS"/>
        </w:rPr>
        <w:t>, doza se može povećati na dv</w:t>
      </w:r>
      <w:r w:rsidR="007E4572" w:rsidRPr="00814B5B">
        <w:rPr>
          <w:szCs w:val="22"/>
          <w:lang w:val="sr-Latn-RS"/>
        </w:rPr>
        <w:t>ij</w:t>
      </w:r>
      <w:r w:rsidR="006C7972" w:rsidRPr="00814B5B">
        <w:rPr>
          <w:szCs w:val="22"/>
          <w:lang w:val="sr-Latn-RS"/>
        </w:rPr>
        <w:t xml:space="preserve">e tablete jednom dnevno (losartan 100 mg/hidrohlortiazid 25 mg), što predstavlja i maksimalnu dnevnu dozu. </w:t>
      </w:r>
      <w:r w:rsidRPr="00814B5B">
        <w:rPr>
          <w:szCs w:val="22"/>
          <w:lang w:val="sr-Latn-RS"/>
        </w:rPr>
        <w:t>Uopšteno, a</w:t>
      </w:r>
      <w:r w:rsidR="006C7972" w:rsidRPr="00814B5B">
        <w:rPr>
          <w:szCs w:val="22"/>
          <w:lang w:val="sr-Latn-RS"/>
        </w:rPr>
        <w:t>ntihipertenzivn</w:t>
      </w:r>
      <w:r w:rsidRPr="00814B5B">
        <w:rPr>
          <w:szCs w:val="22"/>
          <w:lang w:val="sr-Latn-RS"/>
        </w:rPr>
        <w:t>o</w:t>
      </w:r>
      <w:r w:rsidR="006C7972" w:rsidRPr="00814B5B">
        <w:rPr>
          <w:szCs w:val="22"/>
          <w:lang w:val="sr-Latn-RS"/>
        </w:rPr>
        <w:t xml:space="preserve"> </w:t>
      </w:r>
      <w:r w:rsidRPr="00814B5B">
        <w:rPr>
          <w:szCs w:val="22"/>
          <w:lang w:val="sr-Latn-RS"/>
        </w:rPr>
        <w:t>dejstvo</w:t>
      </w:r>
      <w:r w:rsidR="006C7972" w:rsidRPr="00814B5B">
        <w:rPr>
          <w:szCs w:val="22"/>
          <w:lang w:val="sr-Latn-RS"/>
        </w:rPr>
        <w:t xml:space="preserve"> se postiže tok</w:t>
      </w:r>
      <w:r w:rsidRPr="00814B5B">
        <w:rPr>
          <w:szCs w:val="22"/>
          <w:lang w:val="sr-Latn-RS"/>
        </w:rPr>
        <w:t>om</w:t>
      </w:r>
      <w:r w:rsidR="006C7972" w:rsidRPr="00814B5B">
        <w:rPr>
          <w:szCs w:val="22"/>
          <w:lang w:val="sr-Latn-RS"/>
        </w:rPr>
        <w:t xml:space="preserve"> 3-4 ned</w:t>
      </w:r>
      <w:r w:rsidR="007E4572" w:rsidRPr="00814B5B">
        <w:rPr>
          <w:szCs w:val="22"/>
          <w:lang w:val="sr-Latn-RS"/>
        </w:rPr>
        <w:t>j</w:t>
      </w:r>
      <w:r w:rsidR="006C7972" w:rsidRPr="00814B5B">
        <w:rPr>
          <w:szCs w:val="22"/>
          <w:lang w:val="sr-Latn-RS"/>
        </w:rPr>
        <w:t xml:space="preserve">elje </w:t>
      </w:r>
      <w:r w:rsidRPr="00814B5B">
        <w:rPr>
          <w:szCs w:val="22"/>
          <w:lang w:val="sr-Latn-RS"/>
        </w:rPr>
        <w:t>nakon</w:t>
      </w:r>
      <w:r w:rsidR="006C7972" w:rsidRPr="00814B5B">
        <w:rPr>
          <w:szCs w:val="22"/>
          <w:lang w:val="sr-Latn-RS"/>
        </w:rPr>
        <w:t xml:space="preserve"> početka terapije. </w:t>
      </w:r>
    </w:p>
    <w:p w14:paraId="2BCBF83F" w14:textId="4433F03B" w:rsidR="006C7972" w:rsidRPr="00814B5B" w:rsidRDefault="007E4572" w:rsidP="007B600E">
      <w:pPr>
        <w:pStyle w:val="Header"/>
        <w:tabs>
          <w:tab w:val="clear" w:pos="4536"/>
          <w:tab w:val="clear" w:pos="9072"/>
          <w:tab w:val="left" w:pos="284"/>
        </w:tabs>
        <w:spacing w:before="120" w:after="120"/>
        <w:rPr>
          <w:i/>
          <w:szCs w:val="22"/>
          <w:u w:val="single"/>
          <w:lang w:val="sr-Latn-RS"/>
        </w:rPr>
      </w:pPr>
      <w:r w:rsidRPr="00814B5B">
        <w:rPr>
          <w:i/>
          <w:szCs w:val="22"/>
          <w:u w:val="single"/>
          <w:lang w:val="sr-Latn-RS"/>
        </w:rPr>
        <w:t>Primjena</w:t>
      </w:r>
      <w:r w:rsidR="006C7972" w:rsidRPr="00814B5B">
        <w:rPr>
          <w:i/>
          <w:szCs w:val="22"/>
          <w:u w:val="single"/>
          <w:lang w:val="sr-Latn-RS"/>
        </w:rPr>
        <w:t xml:space="preserve"> kod pacijenata sa oštećen</w:t>
      </w:r>
      <w:r w:rsidR="00BF0E1C" w:rsidRPr="00814B5B">
        <w:rPr>
          <w:i/>
          <w:szCs w:val="22"/>
          <w:u w:val="single"/>
          <w:lang w:val="sr-Latn-RS"/>
        </w:rPr>
        <w:t>je</w:t>
      </w:r>
      <w:r w:rsidR="006C7972" w:rsidRPr="00814B5B">
        <w:rPr>
          <w:i/>
          <w:szCs w:val="22"/>
          <w:u w:val="single"/>
          <w:lang w:val="sr-Latn-RS"/>
        </w:rPr>
        <w:t>m funkcij</w:t>
      </w:r>
      <w:r w:rsidR="00BF0E1C" w:rsidRPr="00814B5B">
        <w:rPr>
          <w:i/>
          <w:szCs w:val="22"/>
          <w:u w:val="single"/>
          <w:lang w:val="sr-Latn-RS"/>
        </w:rPr>
        <w:t>e</w:t>
      </w:r>
      <w:r w:rsidR="006C7972" w:rsidRPr="00814B5B">
        <w:rPr>
          <w:i/>
          <w:szCs w:val="22"/>
          <w:u w:val="single"/>
          <w:lang w:val="sr-Latn-RS"/>
        </w:rPr>
        <w:t xml:space="preserve"> bubrega i pacijenata na hemodijalizi</w:t>
      </w:r>
    </w:p>
    <w:p w14:paraId="4AFF5A1C" w14:textId="0F2C324D" w:rsidR="006C7972" w:rsidRPr="00814B5B" w:rsidRDefault="006C7972" w:rsidP="007B600E">
      <w:pPr>
        <w:pStyle w:val="Header"/>
        <w:tabs>
          <w:tab w:val="clear" w:pos="4536"/>
          <w:tab w:val="clear" w:pos="9072"/>
          <w:tab w:val="left" w:pos="284"/>
        </w:tabs>
        <w:spacing w:before="120" w:after="120"/>
        <w:ind w:right="-108"/>
        <w:rPr>
          <w:szCs w:val="22"/>
          <w:lang w:val="sr-Latn-RS"/>
        </w:rPr>
      </w:pPr>
      <w:r w:rsidRPr="00814B5B">
        <w:rPr>
          <w:szCs w:val="22"/>
          <w:lang w:val="sr-Latn-RS"/>
        </w:rPr>
        <w:t>Kod pacijenata sa um</w:t>
      </w:r>
      <w:r w:rsidR="007E4572" w:rsidRPr="00814B5B">
        <w:rPr>
          <w:szCs w:val="22"/>
          <w:lang w:val="sr-Latn-RS"/>
        </w:rPr>
        <w:t>j</w:t>
      </w:r>
      <w:r w:rsidRPr="00814B5B">
        <w:rPr>
          <w:szCs w:val="22"/>
          <w:lang w:val="sr-Latn-RS"/>
        </w:rPr>
        <w:t>erenim oštećenjem bubrežne funkcije (</w:t>
      </w:r>
      <w:r w:rsidR="00BF0E1C" w:rsidRPr="00814B5B">
        <w:rPr>
          <w:szCs w:val="22"/>
          <w:lang w:val="sr-Latn-RS"/>
        </w:rPr>
        <w:t xml:space="preserve">tj. </w:t>
      </w:r>
      <w:r w:rsidRPr="00814B5B">
        <w:rPr>
          <w:szCs w:val="22"/>
          <w:lang w:val="sr-Latn-RS"/>
        </w:rPr>
        <w:t>klirens kreatinina 30-50 m</w:t>
      </w:r>
      <w:r w:rsidR="007E4572" w:rsidRPr="00814B5B">
        <w:rPr>
          <w:szCs w:val="22"/>
          <w:lang w:val="sr-Latn-RS"/>
        </w:rPr>
        <w:t>l</w:t>
      </w:r>
      <w:r w:rsidRPr="00814B5B">
        <w:rPr>
          <w:szCs w:val="22"/>
          <w:lang w:val="sr-Latn-RS"/>
        </w:rPr>
        <w:t xml:space="preserve">/min) nije </w:t>
      </w:r>
      <w:r w:rsidR="00BF0E1C" w:rsidRPr="00814B5B">
        <w:rPr>
          <w:szCs w:val="22"/>
          <w:lang w:val="sr-Latn-RS"/>
        </w:rPr>
        <w:t>potrebno</w:t>
      </w:r>
      <w:r w:rsidRPr="00814B5B">
        <w:rPr>
          <w:szCs w:val="22"/>
          <w:lang w:val="sr-Latn-RS"/>
        </w:rPr>
        <w:t xml:space="preserve"> prilagođavanje početne doze. </w:t>
      </w:r>
      <w:r w:rsidR="00BF0E1C" w:rsidRPr="00814B5B">
        <w:rPr>
          <w:szCs w:val="22"/>
          <w:lang w:val="sr-Latn-RS"/>
        </w:rPr>
        <w:t>Tablete koje sadrže k</w:t>
      </w:r>
      <w:r w:rsidRPr="00814B5B">
        <w:rPr>
          <w:szCs w:val="22"/>
          <w:lang w:val="sr-Latn-RS"/>
        </w:rPr>
        <w:t>ombinacij</w:t>
      </w:r>
      <w:r w:rsidR="00BF0E1C" w:rsidRPr="00814B5B">
        <w:rPr>
          <w:szCs w:val="22"/>
          <w:lang w:val="sr-Latn-RS"/>
        </w:rPr>
        <w:t>u</w:t>
      </w:r>
      <w:r w:rsidRPr="00814B5B">
        <w:rPr>
          <w:szCs w:val="22"/>
          <w:lang w:val="sr-Latn-RS"/>
        </w:rPr>
        <w:t xml:space="preserve"> losartana i hidrohlortiazida se ne preporučuj</w:t>
      </w:r>
      <w:r w:rsidR="00BF0E1C" w:rsidRPr="00814B5B">
        <w:rPr>
          <w:szCs w:val="22"/>
          <w:lang w:val="sr-Latn-RS"/>
        </w:rPr>
        <w:t>u</w:t>
      </w:r>
      <w:r w:rsidRPr="00814B5B">
        <w:rPr>
          <w:szCs w:val="22"/>
          <w:lang w:val="sr-Latn-RS"/>
        </w:rPr>
        <w:t xml:space="preserve"> pacijentima na hemodijalizi. </w:t>
      </w:r>
      <w:r w:rsidR="00BF0E1C" w:rsidRPr="00814B5B">
        <w:rPr>
          <w:szCs w:val="22"/>
          <w:lang w:val="sr-Latn-RS"/>
        </w:rPr>
        <w:t>Tablete koje sadrže kombinaciju losartana i hidrohlortiazida</w:t>
      </w:r>
      <w:r w:rsidRPr="00814B5B">
        <w:rPr>
          <w:szCs w:val="22"/>
          <w:lang w:val="sr-Latn-RS"/>
        </w:rPr>
        <w:t xml:space="preserve"> se ne sm</w:t>
      </w:r>
      <w:r w:rsidR="007E4572" w:rsidRPr="00814B5B">
        <w:rPr>
          <w:szCs w:val="22"/>
          <w:lang w:val="sr-Latn-RS"/>
        </w:rPr>
        <w:t>i</w:t>
      </w:r>
      <w:r w:rsidR="00BF0E1C" w:rsidRPr="00814B5B">
        <w:rPr>
          <w:szCs w:val="22"/>
          <w:lang w:val="sr-Latn-RS"/>
        </w:rPr>
        <w:t>ju</w:t>
      </w:r>
      <w:r w:rsidRPr="00814B5B">
        <w:rPr>
          <w:szCs w:val="22"/>
          <w:lang w:val="sr-Latn-RS"/>
        </w:rPr>
        <w:t xml:space="preserve"> prim</w:t>
      </w:r>
      <w:r w:rsidR="007E4572" w:rsidRPr="00814B5B">
        <w:rPr>
          <w:szCs w:val="22"/>
          <w:lang w:val="sr-Latn-RS"/>
        </w:rPr>
        <w:t>j</w:t>
      </w:r>
      <w:r w:rsidRPr="00814B5B">
        <w:rPr>
          <w:szCs w:val="22"/>
          <w:lang w:val="sr-Latn-RS"/>
        </w:rPr>
        <w:t>enjivati kod pacijenata sa teškim oštećenjem funkcije bubrega (</w:t>
      </w:r>
      <w:r w:rsidR="00BF0E1C" w:rsidRPr="00814B5B">
        <w:rPr>
          <w:szCs w:val="22"/>
          <w:lang w:val="sr-Latn-RS"/>
        </w:rPr>
        <w:t xml:space="preserve">tj. </w:t>
      </w:r>
      <w:r w:rsidRPr="00814B5B">
        <w:rPr>
          <w:szCs w:val="22"/>
          <w:lang w:val="sr-Latn-RS"/>
        </w:rPr>
        <w:t>klirens kreatinina &lt;</w:t>
      </w:r>
      <w:r w:rsidR="00B45F3C" w:rsidRPr="00814B5B">
        <w:rPr>
          <w:szCs w:val="22"/>
          <w:lang w:val="sr-Latn-RS"/>
        </w:rPr>
        <w:t xml:space="preserve"> </w:t>
      </w:r>
      <w:r w:rsidRPr="00814B5B">
        <w:rPr>
          <w:szCs w:val="22"/>
          <w:lang w:val="sr-Latn-RS"/>
        </w:rPr>
        <w:t>30 m</w:t>
      </w:r>
      <w:r w:rsidR="007E4572" w:rsidRPr="00814B5B">
        <w:rPr>
          <w:szCs w:val="22"/>
          <w:lang w:val="sr-Latn-RS"/>
        </w:rPr>
        <w:t>l</w:t>
      </w:r>
      <w:r w:rsidRPr="00814B5B">
        <w:rPr>
          <w:szCs w:val="22"/>
          <w:lang w:val="sr-Latn-RS"/>
        </w:rPr>
        <w:t>/min) (vid</w:t>
      </w:r>
      <w:r w:rsidR="007E4572" w:rsidRPr="00814B5B">
        <w:rPr>
          <w:szCs w:val="22"/>
          <w:lang w:val="sr-Latn-RS"/>
        </w:rPr>
        <w:t>j</w:t>
      </w:r>
      <w:r w:rsidRPr="00814B5B">
        <w:rPr>
          <w:szCs w:val="22"/>
          <w:lang w:val="sr-Latn-RS"/>
        </w:rPr>
        <w:t xml:space="preserve">eti </w:t>
      </w:r>
      <w:r w:rsidR="007E4572" w:rsidRPr="00814B5B">
        <w:rPr>
          <w:szCs w:val="22"/>
          <w:lang w:val="sr-Latn-RS"/>
        </w:rPr>
        <w:t>dio</w:t>
      </w:r>
      <w:r w:rsidRPr="00814B5B">
        <w:rPr>
          <w:szCs w:val="22"/>
          <w:lang w:val="sr-Latn-RS"/>
        </w:rPr>
        <w:t xml:space="preserve"> 4.3). </w:t>
      </w:r>
    </w:p>
    <w:p w14:paraId="4130BA1D" w14:textId="1F9207F7" w:rsidR="006C7972" w:rsidRPr="00814B5B" w:rsidRDefault="007E4572" w:rsidP="007B600E">
      <w:pPr>
        <w:pStyle w:val="Header"/>
        <w:tabs>
          <w:tab w:val="clear" w:pos="4536"/>
          <w:tab w:val="clear" w:pos="9072"/>
          <w:tab w:val="left" w:pos="284"/>
        </w:tabs>
        <w:spacing w:before="120" w:after="120"/>
        <w:rPr>
          <w:i/>
          <w:szCs w:val="22"/>
          <w:u w:val="single"/>
          <w:lang w:val="sr-Latn-RS"/>
        </w:rPr>
      </w:pPr>
      <w:r w:rsidRPr="00814B5B">
        <w:rPr>
          <w:i/>
          <w:szCs w:val="22"/>
          <w:u w:val="single"/>
          <w:lang w:val="sr-Latn-RS"/>
        </w:rPr>
        <w:lastRenderedPageBreak/>
        <w:t>Primjena</w:t>
      </w:r>
      <w:r w:rsidR="006C7972" w:rsidRPr="00814B5B">
        <w:rPr>
          <w:i/>
          <w:szCs w:val="22"/>
          <w:u w:val="single"/>
          <w:lang w:val="sr-Latn-RS"/>
        </w:rPr>
        <w:t xml:space="preserve"> kod pacijenata sa </w:t>
      </w:r>
      <w:r w:rsidR="00BF0E1C" w:rsidRPr="00814B5B">
        <w:rPr>
          <w:i/>
          <w:szCs w:val="22"/>
          <w:u w:val="single"/>
          <w:lang w:val="sr-Latn-RS"/>
        </w:rPr>
        <w:t>deplecijom</w:t>
      </w:r>
      <w:r w:rsidR="006C7972" w:rsidRPr="00814B5B">
        <w:rPr>
          <w:i/>
          <w:szCs w:val="22"/>
          <w:u w:val="single"/>
          <w:lang w:val="sr-Latn-RS"/>
        </w:rPr>
        <w:t xml:space="preserve"> intravaskularn</w:t>
      </w:r>
      <w:r w:rsidR="00BF0E1C" w:rsidRPr="00814B5B">
        <w:rPr>
          <w:i/>
          <w:szCs w:val="22"/>
          <w:u w:val="single"/>
          <w:lang w:val="sr-Latn-RS"/>
        </w:rPr>
        <w:t>og</w:t>
      </w:r>
      <w:r w:rsidR="006C7972" w:rsidRPr="00814B5B">
        <w:rPr>
          <w:i/>
          <w:szCs w:val="22"/>
          <w:u w:val="single"/>
          <w:lang w:val="sr-Latn-RS"/>
        </w:rPr>
        <w:t xml:space="preserve"> volumen</w:t>
      </w:r>
      <w:r w:rsidR="00BF0E1C" w:rsidRPr="00814B5B">
        <w:rPr>
          <w:i/>
          <w:szCs w:val="22"/>
          <w:u w:val="single"/>
          <w:lang w:val="sr-Latn-RS"/>
        </w:rPr>
        <w:t>a</w:t>
      </w:r>
    </w:p>
    <w:p w14:paraId="0560D17E" w14:textId="364A8719" w:rsidR="006C7972" w:rsidRPr="00814B5B" w:rsidRDefault="00BF0E1C" w:rsidP="007B600E">
      <w:pPr>
        <w:pStyle w:val="Header"/>
        <w:tabs>
          <w:tab w:val="clear" w:pos="4536"/>
          <w:tab w:val="clear" w:pos="9072"/>
          <w:tab w:val="left" w:pos="284"/>
        </w:tabs>
        <w:spacing w:before="120" w:after="120"/>
        <w:rPr>
          <w:szCs w:val="22"/>
          <w:lang w:val="sr-Latn-RS"/>
        </w:rPr>
      </w:pPr>
      <w:r w:rsidRPr="00814B5B">
        <w:rPr>
          <w:szCs w:val="22"/>
          <w:lang w:val="sr-Latn-RS"/>
        </w:rPr>
        <w:t>Pr</w:t>
      </w:r>
      <w:r w:rsidR="00677B12" w:rsidRPr="00814B5B">
        <w:rPr>
          <w:szCs w:val="22"/>
          <w:lang w:val="sr-Latn-RS"/>
        </w:rPr>
        <w:t>ij</w:t>
      </w:r>
      <w:r w:rsidRPr="00814B5B">
        <w:rPr>
          <w:szCs w:val="22"/>
          <w:lang w:val="sr-Latn-RS"/>
        </w:rPr>
        <w:t>e prim</w:t>
      </w:r>
      <w:r w:rsidR="00677B12" w:rsidRPr="00814B5B">
        <w:rPr>
          <w:szCs w:val="22"/>
          <w:lang w:val="sr-Latn-RS"/>
        </w:rPr>
        <w:t>j</w:t>
      </w:r>
      <w:r w:rsidRPr="00814B5B">
        <w:rPr>
          <w:szCs w:val="22"/>
          <w:lang w:val="sr-Latn-RS"/>
        </w:rPr>
        <w:t>ene tableta koje sadrže kombinaciju losartana i hidrohlortiazida</w:t>
      </w:r>
      <w:r w:rsidR="00B45F3C" w:rsidRPr="00814B5B">
        <w:rPr>
          <w:szCs w:val="22"/>
          <w:lang w:val="sr-Latn-RS"/>
        </w:rPr>
        <w:t>,</w:t>
      </w:r>
      <w:r w:rsidRPr="00814B5B">
        <w:rPr>
          <w:szCs w:val="22"/>
          <w:lang w:val="sr-Latn-RS"/>
        </w:rPr>
        <w:t xml:space="preserve"> treba</w:t>
      </w:r>
      <w:r w:rsidR="006C7972" w:rsidRPr="00814B5B">
        <w:rPr>
          <w:szCs w:val="22"/>
          <w:lang w:val="sr-Latn-RS"/>
        </w:rPr>
        <w:t xml:space="preserve"> korigovati </w:t>
      </w:r>
      <w:r w:rsidR="00B45F3C" w:rsidRPr="00814B5B">
        <w:rPr>
          <w:szCs w:val="22"/>
          <w:lang w:val="sr-Latn-RS"/>
        </w:rPr>
        <w:t xml:space="preserve">nedostatak </w:t>
      </w:r>
      <w:r w:rsidRPr="00814B5B">
        <w:rPr>
          <w:szCs w:val="22"/>
          <w:lang w:val="sr-Latn-RS"/>
        </w:rPr>
        <w:t xml:space="preserve">intravaskularnog </w:t>
      </w:r>
      <w:r w:rsidR="006C7972" w:rsidRPr="00814B5B">
        <w:rPr>
          <w:szCs w:val="22"/>
          <w:lang w:val="sr-Latn-RS"/>
        </w:rPr>
        <w:t>volumen</w:t>
      </w:r>
      <w:r w:rsidRPr="00814B5B">
        <w:rPr>
          <w:szCs w:val="22"/>
          <w:lang w:val="sr-Latn-RS"/>
        </w:rPr>
        <w:t>a</w:t>
      </w:r>
      <w:r w:rsidR="006C7972" w:rsidRPr="00814B5B">
        <w:rPr>
          <w:szCs w:val="22"/>
          <w:lang w:val="sr-Latn-RS"/>
        </w:rPr>
        <w:t xml:space="preserve"> i/ili smanjenu koncentraciju natrijuma.</w:t>
      </w:r>
    </w:p>
    <w:p w14:paraId="6E5171EA" w14:textId="324B5875" w:rsidR="006C7972" w:rsidRPr="00814B5B" w:rsidRDefault="007E4572" w:rsidP="007B600E">
      <w:pPr>
        <w:pStyle w:val="Header"/>
        <w:tabs>
          <w:tab w:val="clear" w:pos="4536"/>
          <w:tab w:val="clear" w:pos="9072"/>
          <w:tab w:val="left" w:pos="284"/>
        </w:tabs>
        <w:spacing w:before="120" w:after="120"/>
        <w:rPr>
          <w:i/>
          <w:szCs w:val="22"/>
          <w:u w:val="single"/>
          <w:lang w:val="sr-Latn-RS"/>
        </w:rPr>
      </w:pPr>
      <w:bookmarkStart w:id="0" w:name="OLE_LINK10"/>
      <w:bookmarkStart w:id="1" w:name="OLE_LINK11"/>
      <w:r w:rsidRPr="00814B5B">
        <w:rPr>
          <w:i/>
          <w:szCs w:val="22"/>
          <w:u w:val="single"/>
          <w:lang w:val="sr-Latn-RS"/>
        </w:rPr>
        <w:t>Primjena</w:t>
      </w:r>
      <w:r w:rsidR="006C7972" w:rsidRPr="00814B5B">
        <w:rPr>
          <w:i/>
          <w:szCs w:val="22"/>
          <w:u w:val="single"/>
          <w:lang w:val="sr-Latn-RS"/>
        </w:rPr>
        <w:t xml:space="preserve"> kod</w:t>
      </w:r>
      <w:bookmarkEnd w:id="0"/>
      <w:bookmarkEnd w:id="1"/>
      <w:r w:rsidR="006C7972" w:rsidRPr="00814B5B">
        <w:rPr>
          <w:i/>
          <w:szCs w:val="22"/>
          <w:u w:val="single"/>
          <w:lang w:val="sr-Latn-RS"/>
        </w:rPr>
        <w:t xml:space="preserve"> pacijenata sa oštećen</w:t>
      </w:r>
      <w:r w:rsidR="00BF0E1C" w:rsidRPr="00814B5B">
        <w:rPr>
          <w:i/>
          <w:szCs w:val="22"/>
          <w:u w:val="single"/>
          <w:lang w:val="sr-Latn-RS"/>
        </w:rPr>
        <w:t>je</w:t>
      </w:r>
      <w:r w:rsidR="006C7972" w:rsidRPr="00814B5B">
        <w:rPr>
          <w:i/>
          <w:szCs w:val="22"/>
          <w:u w:val="single"/>
          <w:lang w:val="sr-Latn-RS"/>
        </w:rPr>
        <w:t>m funkcij</w:t>
      </w:r>
      <w:r w:rsidR="00BF0E1C" w:rsidRPr="00814B5B">
        <w:rPr>
          <w:i/>
          <w:szCs w:val="22"/>
          <w:u w:val="single"/>
          <w:lang w:val="sr-Latn-RS"/>
        </w:rPr>
        <w:t>e</w:t>
      </w:r>
      <w:r w:rsidR="006C7972" w:rsidRPr="00814B5B">
        <w:rPr>
          <w:i/>
          <w:szCs w:val="22"/>
          <w:u w:val="single"/>
          <w:lang w:val="sr-Latn-RS"/>
        </w:rPr>
        <w:t xml:space="preserve"> jetre</w:t>
      </w:r>
    </w:p>
    <w:p w14:paraId="458BFF1D" w14:textId="3627BD6F" w:rsidR="006C7972" w:rsidRPr="00814B5B" w:rsidRDefault="007E4572" w:rsidP="007B600E">
      <w:pPr>
        <w:pStyle w:val="Header"/>
        <w:tabs>
          <w:tab w:val="clear" w:pos="4536"/>
          <w:tab w:val="clear" w:pos="9072"/>
          <w:tab w:val="left" w:pos="284"/>
        </w:tabs>
        <w:spacing w:before="120" w:after="120"/>
        <w:rPr>
          <w:szCs w:val="22"/>
          <w:lang w:val="sr-Latn-RS"/>
        </w:rPr>
      </w:pPr>
      <w:r w:rsidRPr="00814B5B">
        <w:rPr>
          <w:iCs/>
          <w:szCs w:val="22"/>
          <w:lang w:val="sr-Latn-RS"/>
        </w:rPr>
        <w:t>Primjena</w:t>
      </w:r>
      <w:r w:rsidR="00BF0E1C" w:rsidRPr="00814B5B">
        <w:rPr>
          <w:iCs/>
          <w:szCs w:val="22"/>
          <w:lang w:val="sr-Latn-RS"/>
        </w:rPr>
        <w:t xml:space="preserve"> kombinacije losartana i hidr</w:t>
      </w:r>
      <w:r w:rsidR="00ED227F" w:rsidRPr="00814B5B">
        <w:rPr>
          <w:iCs/>
          <w:szCs w:val="22"/>
          <w:lang w:val="sr-Latn-RS"/>
        </w:rPr>
        <w:t>ohlortiazida</w:t>
      </w:r>
      <w:r w:rsidR="00BF0E1C" w:rsidRPr="00814B5B">
        <w:rPr>
          <w:iCs/>
          <w:szCs w:val="22"/>
          <w:lang w:val="sr-Latn-RS"/>
        </w:rPr>
        <w:t xml:space="preserve"> je kontraindikovana</w:t>
      </w:r>
      <w:r w:rsidR="006C7972" w:rsidRPr="00814B5B">
        <w:rPr>
          <w:iCs/>
          <w:szCs w:val="22"/>
          <w:lang w:val="sr-Latn-RS"/>
        </w:rPr>
        <w:t xml:space="preserve"> kod pacijenata sa teškim oštećenjem funkcije jetre (vid</w:t>
      </w:r>
      <w:r w:rsidR="00677B12" w:rsidRPr="00814B5B">
        <w:rPr>
          <w:iCs/>
          <w:szCs w:val="22"/>
          <w:lang w:val="sr-Latn-RS"/>
        </w:rPr>
        <w:t>j</w:t>
      </w:r>
      <w:r w:rsidR="006C7972" w:rsidRPr="00814B5B">
        <w:rPr>
          <w:iCs/>
          <w:szCs w:val="22"/>
          <w:lang w:val="sr-Latn-RS"/>
        </w:rPr>
        <w:t xml:space="preserve">eti </w:t>
      </w:r>
      <w:r w:rsidR="00677B12" w:rsidRPr="00814B5B">
        <w:rPr>
          <w:iCs/>
          <w:szCs w:val="22"/>
          <w:lang w:val="sr-Latn-RS"/>
        </w:rPr>
        <w:t>dio</w:t>
      </w:r>
      <w:r w:rsidR="006C7972" w:rsidRPr="00814B5B">
        <w:rPr>
          <w:iCs/>
          <w:szCs w:val="22"/>
          <w:lang w:val="sr-Latn-RS"/>
        </w:rPr>
        <w:t xml:space="preserve"> 4.3)</w:t>
      </w:r>
      <w:r w:rsidR="00BF0E1C" w:rsidRPr="00814B5B">
        <w:rPr>
          <w:iCs/>
          <w:szCs w:val="22"/>
          <w:lang w:val="sr-Latn-RS"/>
        </w:rPr>
        <w:t>.</w:t>
      </w:r>
      <w:r w:rsidR="006C7972" w:rsidRPr="00814B5B">
        <w:rPr>
          <w:szCs w:val="22"/>
          <w:lang w:val="sr-Latn-RS"/>
        </w:rPr>
        <w:t xml:space="preserve"> </w:t>
      </w:r>
    </w:p>
    <w:p w14:paraId="26C6E4F6" w14:textId="191B42BF" w:rsidR="006C7972" w:rsidRPr="00814B5B" w:rsidRDefault="007E4572" w:rsidP="007B600E">
      <w:pPr>
        <w:pStyle w:val="Header"/>
        <w:tabs>
          <w:tab w:val="clear" w:pos="4536"/>
          <w:tab w:val="clear" w:pos="9072"/>
          <w:tab w:val="left" w:pos="284"/>
        </w:tabs>
        <w:spacing w:before="120" w:after="120"/>
        <w:rPr>
          <w:i/>
          <w:szCs w:val="22"/>
          <w:u w:val="single"/>
          <w:lang w:val="sr-Latn-RS"/>
        </w:rPr>
      </w:pPr>
      <w:r w:rsidRPr="00814B5B">
        <w:rPr>
          <w:i/>
          <w:szCs w:val="22"/>
          <w:u w:val="single"/>
          <w:lang w:val="sr-Latn-RS"/>
        </w:rPr>
        <w:t>Primjena</w:t>
      </w:r>
      <w:r w:rsidR="006C7972" w:rsidRPr="00814B5B">
        <w:rPr>
          <w:i/>
          <w:szCs w:val="22"/>
          <w:u w:val="single"/>
          <w:lang w:val="sr-Latn-RS"/>
        </w:rPr>
        <w:t xml:space="preserve"> kod starijih </w:t>
      </w:r>
      <w:r w:rsidR="00BF0E1C" w:rsidRPr="00814B5B">
        <w:rPr>
          <w:i/>
          <w:szCs w:val="22"/>
          <w:u w:val="single"/>
          <w:lang w:val="sr-Latn-RS"/>
        </w:rPr>
        <w:t>pacijenata</w:t>
      </w:r>
    </w:p>
    <w:p w14:paraId="374A7AA6" w14:textId="6ABB1082" w:rsidR="006C7972" w:rsidRPr="00814B5B" w:rsidRDefault="007B6DAB" w:rsidP="007B600E">
      <w:pPr>
        <w:pStyle w:val="Header"/>
        <w:tabs>
          <w:tab w:val="clear" w:pos="4536"/>
          <w:tab w:val="clear" w:pos="9072"/>
          <w:tab w:val="left" w:pos="284"/>
        </w:tabs>
        <w:spacing w:before="120" w:after="120"/>
        <w:rPr>
          <w:szCs w:val="22"/>
          <w:lang w:val="sr-Latn-RS"/>
        </w:rPr>
      </w:pPr>
      <w:r w:rsidRPr="00814B5B">
        <w:rPr>
          <w:szCs w:val="22"/>
          <w:lang w:val="sr-Latn-RS"/>
        </w:rPr>
        <w:t>P</w:t>
      </w:r>
      <w:r w:rsidR="006C7972" w:rsidRPr="00814B5B">
        <w:rPr>
          <w:szCs w:val="22"/>
          <w:lang w:val="sr-Latn-RS"/>
        </w:rPr>
        <w:t xml:space="preserve">rilagođavanje doze </w:t>
      </w:r>
      <w:r w:rsidRPr="00814B5B">
        <w:rPr>
          <w:szCs w:val="22"/>
          <w:lang w:val="sr-Latn-RS"/>
        </w:rPr>
        <w:t>uglavnom nije potrebno</w:t>
      </w:r>
      <w:r w:rsidR="006C7972" w:rsidRPr="00814B5B">
        <w:rPr>
          <w:szCs w:val="22"/>
          <w:lang w:val="sr-Latn-RS"/>
        </w:rPr>
        <w:t xml:space="preserve"> kod starijih </w:t>
      </w:r>
      <w:r w:rsidRPr="00814B5B">
        <w:rPr>
          <w:szCs w:val="22"/>
          <w:lang w:val="sr-Latn-RS"/>
        </w:rPr>
        <w:t>pacijenata</w:t>
      </w:r>
      <w:r w:rsidR="006C7972" w:rsidRPr="00814B5B">
        <w:rPr>
          <w:szCs w:val="22"/>
          <w:lang w:val="sr-Latn-RS"/>
        </w:rPr>
        <w:t xml:space="preserve">. </w:t>
      </w:r>
    </w:p>
    <w:p w14:paraId="1D0BD50B" w14:textId="3C2ED970" w:rsidR="007B6DAB" w:rsidRPr="00814B5B" w:rsidRDefault="007B6DAB" w:rsidP="007B600E">
      <w:pPr>
        <w:pStyle w:val="Header"/>
        <w:tabs>
          <w:tab w:val="clear" w:pos="4536"/>
          <w:tab w:val="clear" w:pos="9072"/>
          <w:tab w:val="left" w:pos="284"/>
        </w:tabs>
        <w:spacing w:before="120" w:after="120"/>
        <w:rPr>
          <w:i/>
          <w:szCs w:val="22"/>
          <w:lang w:val="sr-Latn-RS"/>
        </w:rPr>
      </w:pPr>
      <w:r w:rsidRPr="00814B5B">
        <w:rPr>
          <w:i/>
          <w:szCs w:val="22"/>
          <w:lang w:val="sr-Latn-RS"/>
        </w:rPr>
        <w:t>Pedijatrijska populacija</w:t>
      </w:r>
    </w:p>
    <w:p w14:paraId="3F4FFE82" w14:textId="2D9B13C8" w:rsidR="006C7972" w:rsidRPr="00814B5B" w:rsidRDefault="007E4572" w:rsidP="007B600E">
      <w:pPr>
        <w:pStyle w:val="Header"/>
        <w:tabs>
          <w:tab w:val="clear" w:pos="4536"/>
          <w:tab w:val="clear" w:pos="9072"/>
          <w:tab w:val="left" w:pos="284"/>
        </w:tabs>
        <w:spacing w:before="120" w:after="120"/>
        <w:rPr>
          <w:i/>
          <w:szCs w:val="22"/>
          <w:u w:val="single"/>
          <w:lang w:val="sr-Latn-RS"/>
        </w:rPr>
      </w:pPr>
      <w:r w:rsidRPr="00814B5B">
        <w:rPr>
          <w:i/>
          <w:szCs w:val="22"/>
          <w:u w:val="single"/>
          <w:lang w:val="sr-Latn-RS"/>
        </w:rPr>
        <w:t>Primjena</w:t>
      </w:r>
      <w:r w:rsidR="006C7972" w:rsidRPr="00814B5B">
        <w:rPr>
          <w:i/>
          <w:szCs w:val="22"/>
          <w:u w:val="single"/>
          <w:lang w:val="sr-Latn-RS"/>
        </w:rPr>
        <w:t xml:space="preserve"> kod d</w:t>
      </w:r>
      <w:r w:rsidR="00677B12" w:rsidRPr="00814B5B">
        <w:rPr>
          <w:i/>
          <w:szCs w:val="22"/>
          <w:u w:val="single"/>
          <w:lang w:val="sr-Latn-RS"/>
        </w:rPr>
        <w:t>j</w:t>
      </w:r>
      <w:r w:rsidR="006C7972" w:rsidRPr="00814B5B">
        <w:rPr>
          <w:i/>
          <w:szCs w:val="22"/>
          <w:u w:val="single"/>
          <w:lang w:val="sr-Latn-RS"/>
        </w:rPr>
        <w:t>ece i adolescenata (&lt;</w:t>
      </w:r>
      <w:r w:rsidR="008A361C" w:rsidRPr="00814B5B">
        <w:rPr>
          <w:i/>
          <w:szCs w:val="22"/>
          <w:u w:val="single"/>
          <w:lang w:val="sr-Latn-RS"/>
        </w:rPr>
        <w:t xml:space="preserve"> </w:t>
      </w:r>
      <w:r w:rsidR="006C7972" w:rsidRPr="00814B5B">
        <w:rPr>
          <w:i/>
          <w:szCs w:val="22"/>
          <w:u w:val="single"/>
          <w:lang w:val="sr-Latn-RS"/>
        </w:rPr>
        <w:t>18 godina)</w:t>
      </w:r>
    </w:p>
    <w:p w14:paraId="7AE390A6" w14:textId="6A2FA5A9" w:rsidR="006C7972" w:rsidRPr="00814B5B" w:rsidRDefault="006C7972" w:rsidP="007B600E">
      <w:pPr>
        <w:pStyle w:val="Header"/>
        <w:tabs>
          <w:tab w:val="clear" w:pos="4536"/>
          <w:tab w:val="clear" w:pos="9072"/>
          <w:tab w:val="left" w:pos="284"/>
        </w:tabs>
        <w:spacing w:before="120" w:after="120"/>
        <w:rPr>
          <w:szCs w:val="22"/>
          <w:lang w:val="sr-Latn-RS"/>
        </w:rPr>
      </w:pPr>
      <w:r w:rsidRPr="00814B5B">
        <w:rPr>
          <w:szCs w:val="22"/>
          <w:lang w:val="sr-Latn-RS"/>
        </w:rPr>
        <w:t>Nema iskustava sa prim</w:t>
      </w:r>
      <w:r w:rsidR="00677B12" w:rsidRPr="00814B5B">
        <w:rPr>
          <w:szCs w:val="22"/>
          <w:lang w:val="sr-Latn-RS"/>
        </w:rPr>
        <w:t>j</w:t>
      </w:r>
      <w:r w:rsidRPr="00814B5B">
        <w:rPr>
          <w:szCs w:val="22"/>
          <w:lang w:val="sr-Latn-RS"/>
        </w:rPr>
        <w:t>enom l</w:t>
      </w:r>
      <w:r w:rsidR="00677B12" w:rsidRPr="00814B5B">
        <w:rPr>
          <w:szCs w:val="22"/>
          <w:lang w:val="sr-Latn-RS"/>
        </w:rPr>
        <w:t>ij</w:t>
      </w:r>
      <w:r w:rsidRPr="00814B5B">
        <w:rPr>
          <w:szCs w:val="22"/>
          <w:lang w:val="sr-Latn-RS"/>
        </w:rPr>
        <w:t>eka kod d</w:t>
      </w:r>
      <w:r w:rsidR="00677B12" w:rsidRPr="00814B5B">
        <w:rPr>
          <w:szCs w:val="22"/>
          <w:lang w:val="sr-Latn-RS"/>
        </w:rPr>
        <w:t>j</w:t>
      </w:r>
      <w:r w:rsidRPr="00814B5B">
        <w:rPr>
          <w:szCs w:val="22"/>
          <w:lang w:val="sr-Latn-RS"/>
        </w:rPr>
        <w:t>ece i adolescenata. Zbog toga</w:t>
      </w:r>
      <w:r w:rsidR="00F61E53" w:rsidRPr="00814B5B">
        <w:rPr>
          <w:szCs w:val="22"/>
          <w:lang w:val="sr-Latn-RS"/>
        </w:rPr>
        <w:t>,</w:t>
      </w:r>
      <w:r w:rsidRPr="00814B5B">
        <w:rPr>
          <w:szCs w:val="22"/>
          <w:lang w:val="sr-Latn-RS"/>
        </w:rPr>
        <w:t xml:space="preserve"> kombinaciju losartana i hidrohlortiazida ne treba prim</w:t>
      </w:r>
      <w:r w:rsidR="00677B12" w:rsidRPr="00814B5B">
        <w:rPr>
          <w:szCs w:val="22"/>
          <w:lang w:val="sr-Latn-RS"/>
        </w:rPr>
        <w:t>j</w:t>
      </w:r>
      <w:r w:rsidRPr="00814B5B">
        <w:rPr>
          <w:szCs w:val="22"/>
          <w:lang w:val="sr-Latn-RS"/>
        </w:rPr>
        <w:t>enjivati kod d</w:t>
      </w:r>
      <w:r w:rsidR="00677B12" w:rsidRPr="00814B5B">
        <w:rPr>
          <w:szCs w:val="22"/>
          <w:lang w:val="sr-Latn-RS"/>
        </w:rPr>
        <w:t>j</w:t>
      </w:r>
      <w:r w:rsidRPr="00814B5B">
        <w:rPr>
          <w:szCs w:val="22"/>
          <w:lang w:val="sr-Latn-RS"/>
        </w:rPr>
        <w:t>ece i adolescenata.</w:t>
      </w:r>
    </w:p>
    <w:p w14:paraId="07311ED4" w14:textId="40F3396F" w:rsidR="006C7972" w:rsidRPr="00814B5B" w:rsidRDefault="006C7972" w:rsidP="007B600E">
      <w:pPr>
        <w:pStyle w:val="Header"/>
        <w:tabs>
          <w:tab w:val="clear" w:pos="4536"/>
          <w:tab w:val="clear" w:pos="9072"/>
          <w:tab w:val="left" w:pos="284"/>
        </w:tabs>
        <w:spacing w:before="120" w:after="120"/>
        <w:rPr>
          <w:bCs/>
          <w:szCs w:val="22"/>
          <w:u w:val="single"/>
          <w:lang w:val="sr-Latn-RS"/>
        </w:rPr>
      </w:pPr>
      <w:r w:rsidRPr="00814B5B">
        <w:rPr>
          <w:bCs/>
          <w:szCs w:val="22"/>
          <w:u w:val="single"/>
          <w:lang w:val="sr-Latn-RS"/>
        </w:rPr>
        <w:t>Način prim</w:t>
      </w:r>
      <w:r w:rsidR="00677B12" w:rsidRPr="00814B5B">
        <w:rPr>
          <w:bCs/>
          <w:szCs w:val="22"/>
          <w:u w:val="single"/>
          <w:lang w:val="sr-Latn-RS"/>
        </w:rPr>
        <w:t>j</w:t>
      </w:r>
      <w:r w:rsidRPr="00814B5B">
        <w:rPr>
          <w:bCs/>
          <w:szCs w:val="22"/>
          <w:u w:val="single"/>
          <w:lang w:val="sr-Latn-RS"/>
        </w:rPr>
        <w:t>ene</w:t>
      </w:r>
    </w:p>
    <w:p w14:paraId="02785B80" w14:textId="38D9ED23" w:rsidR="006C7972" w:rsidRPr="00814B5B" w:rsidRDefault="00F61E53" w:rsidP="007B600E">
      <w:pPr>
        <w:pStyle w:val="Header"/>
        <w:tabs>
          <w:tab w:val="clear" w:pos="4536"/>
          <w:tab w:val="clear" w:pos="9072"/>
          <w:tab w:val="left" w:pos="284"/>
        </w:tabs>
        <w:spacing w:before="120" w:after="120"/>
        <w:rPr>
          <w:szCs w:val="22"/>
          <w:lang w:val="sr-Latn-RS"/>
        </w:rPr>
      </w:pPr>
      <w:r w:rsidRPr="00814B5B">
        <w:rPr>
          <w:szCs w:val="22"/>
          <w:lang w:val="sr-Latn-RS"/>
        </w:rPr>
        <w:t>L</w:t>
      </w:r>
      <w:r w:rsidR="00677B12" w:rsidRPr="00814B5B">
        <w:rPr>
          <w:szCs w:val="22"/>
          <w:lang w:val="sr-Latn-RS"/>
        </w:rPr>
        <w:t>ij</w:t>
      </w:r>
      <w:r w:rsidRPr="00814B5B">
        <w:rPr>
          <w:szCs w:val="22"/>
          <w:lang w:val="sr-Latn-RS"/>
        </w:rPr>
        <w:t xml:space="preserve">ek </w:t>
      </w:r>
      <w:r w:rsidR="006C7972" w:rsidRPr="00814B5B">
        <w:rPr>
          <w:szCs w:val="22"/>
          <w:lang w:val="sr-Latn-RS"/>
        </w:rPr>
        <w:t xml:space="preserve">Losar </w:t>
      </w:r>
      <w:r w:rsidR="006C7972" w:rsidRPr="00814B5B">
        <w:rPr>
          <w:bCs/>
          <w:szCs w:val="22"/>
          <w:lang w:val="sr-Latn-RS"/>
        </w:rPr>
        <w:t>plus</w:t>
      </w:r>
      <w:r w:rsidR="006C7972" w:rsidRPr="00814B5B">
        <w:rPr>
          <w:b/>
          <w:bCs/>
          <w:szCs w:val="22"/>
          <w:vertAlign w:val="superscript"/>
          <w:lang w:val="sr-Latn-RS"/>
        </w:rPr>
        <w:t xml:space="preserve"> </w:t>
      </w:r>
      <w:r w:rsidR="006C7972" w:rsidRPr="00814B5B">
        <w:rPr>
          <w:bCs/>
          <w:szCs w:val="22"/>
          <w:lang w:val="sr-Latn-RS"/>
        </w:rPr>
        <w:t>se može prim</w:t>
      </w:r>
      <w:r w:rsidR="00677B12" w:rsidRPr="00814B5B">
        <w:rPr>
          <w:bCs/>
          <w:szCs w:val="22"/>
          <w:lang w:val="sr-Latn-RS"/>
        </w:rPr>
        <w:t>j</w:t>
      </w:r>
      <w:r w:rsidR="006C7972" w:rsidRPr="00814B5B">
        <w:rPr>
          <w:bCs/>
          <w:szCs w:val="22"/>
          <w:lang w:val="sr-Latn-RS"/>
        </w:rPr>
        <w:t>enjivati sa ostalim antihipertenzivima</w:t>
      </w:r>
      <w:r w:rsidR="00742C90" w:rsidRPr="00814B5B">
        <w:rPr>
          <w:bCs/>
          <w:szCs w:val="22"/>
          <w:lang w:val="sr-Latn-RS"/>
        </w:rPr>
        <w:t xml:space="preserve"> (vid</w:t>
      </w:r>
      <w:r w:rsidR="00677B12" w:rsidRPr="00814B5B">
        <w:rPr>
          <w:bCs/>
          <w:szCs w:val="22"/>
          <w:lang w:val="sr-Latn-RS"/>
        </w:rPr>
        <w:t>j</w:t>
      </w:r>
      <w:r w:rsidR="00742C90" w:rsidRPr="00814B5B">
        <w:rPr>
          <w:bCs/>
          <w:szCs w:val="22"/>
          <w:lang w:val="sr-Latn-RS"/>
        </w:rPr>
        <w:t xml:space="preserve">eti </w:t>
      </w:r>
      <w:r w:rsidR="00677B12" w:rsidRPr="00814B5B">
        <w:rPr>
          <w:bCs/>
          <w:szCs w:val="22"/>
          <w:lang w:val="sr-Latn-RS"/>
        </w:rPr>
        <w:t>djelove</w:t>
      </w:r>
      <w:r w:rsidR="00742C90" w:rsidRPr="00814B5B">
        <w:rPr>
          <w:bCs/>
          <w:szCs w:val="22"/>
          <w:lang w:val="sr-Latn-RS"/>
        </w:rPr>
        <w:t xml:space="preserve"> 4.3, 4.4, 4.5 i 5.1)</w:t>
      </w:r>
      <w:r w:rsidR="006C7972" w:rsidRPr="00814B5B">
        <w:rPr>
          <w:bCs/>
          <w:szCs w:val="22"/>
          <w:lang w:val="sr-Latn-RS"/>
        </w:rPr>
        <w:t>.</w:t>
      </w:r>
    </w:p>
    <w:p w14:paraId="5E5ADE9E" w14:textId="74BCF207" w:rsidR="006C7972" w:rsidRPr="00814B5B" w:rsidRDefault="006C7972" w:rsidP="007B600E">
      <w:pPr>
        <w:pStyle w:val="Header"/>
        <w:tabs>
          <w:tab w:val="clear" w:pos="4536"/>
          <w:tab w:val="clear" w:pos="9072"/>
          <w:tab w:val="left" w:pos="284"/>
        </w:tabs>
        <w:spacing w:before="120" w:after="120"/>
        <w:rPr>
          <w:szCs w:val="22"/>
          <w:lang w:val="sr-Latn-RS"/>
        </w:rPr>
      </w:pPr>
      <w:r w:rsidRPr="00814B5B">
        <w:rPr>
          <w:szCs w:val="22"/>
          <w:lang w:val="sr-Latn-RS"/>
        </w:rPr>
        <w:t xml:space="preserve">Tabletu </w:t>
      </w:r>
      <w:r w:rsidR="00F61E53" w:rsidRPr="00814B5B">
        <w:rPr>
          <w:szCs w:val="22"/>
          <w:lang w:val="sr-Latn-RS"/>
        </w:rPr>
        <w:t>l</w:t>
      </w:r>
      <w:r w:rsidR="00677B12" w:rsidRPr="00814B5B">
        <w:rPr>
          <w:szCs w:val="22"/>
          <w:lang w:val="sr-Latn-RS"/>
        </w:rPr>
        <w:t>ij</w:t>
      </w:r>
      <w:r w:rsidR="00F61E53" w:rsidRPr="00814B5B">
        <w:rPr>
          <w:szCs w:val="22"/>
          <w:lang w:val="sr-Latn-RS"/>
        </w:rPr>
        <w:t xml:space="preserve">eka Losar </w:t>
      </w:r>
      <w:r w:rsidR="00ED227F" w:rsidRPr="00814B5B">
        <w:rPr>
          <w:szCs w:val="22"/>
          <w:lang w:val="sr-Latn-RS"/>
        </w:rPr>
        <w:t xml:space="preserve">plus </w:t>
      </w:r>
      <w:r w:rsidRPr="00814B5B">
        <w:rPr>
          <w:szCs w:val="22"/>
          <w:lang w:val="sr-Latn-RS"/>
        </w:rPr>
        <w:t>treba progutati c</w:t>
      </w:r>
      <w:r w:rsidR="00677B12" w:rsidRPr="00814B5B">
        <w:rPr>
          <w:szCs w:val="22"/>
          <w:lang w:val="sr-Latn-RS"/>
        </w:rPr>
        <w:t>ij</w:t>
      </w:r>
      <w:r w:rsidRPr="00814B5B">
        <w:rPr>
          <w:szCs w:val="22"/>
          <w:lang w:val="sr-Latn-RS"/>
        </w:rPr>
        <w:t xml:space="preserve">elu, sa </w:t>
      </w:r>
      <w:r w:rsidR="00F61E53" w:rsidRPr="00814B5B">
        <w:rPr>
          <w:szCs w:val="22"/>
          <w:lang w:val="sr-Latn-RS"/>
        </w:rPr>
        <w:t>dovoljnom količinom</w:t>
      </w:r>
      <w:r w:rsidRPr="00814B5B">
        <w:rPr>
          <w:szCs w:val="22"/>
          <w:lang w:val="sr-Latn-RS"/>
        </w:rPr>
        <w:t xml:space="preserve"> vode.</w:t>
      </w:r>
    </w:p>
    <w:p w14:paraId="5F1B382E" w14:textId="19B265F0" w:rsidR="00007EF9" w:rsidRDefault="00F61E53" w:rsidP="00814B5B">
      <w:pPr>
        <w:rPr>
          <w:szCs w:val="22"/>
          <w:lang w:val="sr-Latn-RS"/>
        </w:rPr>
      </w:pPr>
      <w:r w:rsidRPr="00814B5B">
        <w:rPr>
          <w:szCs w:val="22"/>
          <w:lang w:val="sr-Latn-RS"/>
        </w:rPr>
        <w:t>L</w:t>
      </w:r>
      <w:r w:rsidR="00677B12" w:rsidRPr="00814B5B">
        <w:rPr>
          <w:szCs w:val="22"/>
          <w:lang w:val="sr-Latn-RS"/>
        </w:rPr>
        <w:t>ij</w:t>
      </w:r>
      <w:r w:rsidRPr="00814B5B">
        <w:rPr>
          <w:szCs w:val="22"/>
          <w:lang w:val="sr-Latn-RS"/>
        </w:rPr>
        <w:t xml:space="preserve">ek </w:t>
      </w:r>
      <w:r w:rsidR="006C7972" w:rsidRPr="00814B5B">
        <w:rPr>
          <w:szCs w:val="22"/>
          <w:lang w:val="sr-Latn-RS"/>
        </w:rPr>
        <w:t>Losar</w:t>
      </w:r>
      <w:r w:rsidR="006C7972" w:rsidRPr="00814B5B">
        <w:rPr>
          <w:b/>
          <w:bCs/>
          <w:szCs w:val="22"/>
          <w:vertAlign w:val="superscript"/>
          <w:lang w:val="sr-Latn-RS"/>
        </w:rPr>
        <w:t xml:space="preserve"> </w:t>
      </w:r>
      <w:r w:rsidR="006C7972" w:rsidRPr="00814B5B">
        <w:rPr>
          <w:bCs/>
          <w:szCs w:val="22"/>
          <w:lang w:val="sr-Latn-RS"/>
        </w:rPr>
        <w:t>plus</w:t>
      </w:r>
      <w:r w:rsidR="006C7972" w:rsidRPr="00814B5B">
        <w:rPr>
          <w:szCs w:val="22"/>
          <w:lang w:val="sr-Latn-RS"/>
        </w:rPr>
        <w:t xml:space="preserve"> se</w:t>
      </w:r>
      <w:r w:rsidRPr="00814B5B">
        <w:rPr>
          <w:szCs w:val="22"/>
          <w:lang w:val="sr-Latn-RS"/>
        </w:rPr>
        <w:t xml:space="preserve"> može</w:t>
      </w:r>
      <w:r w:rsidR="00EF70B8" w:rsidRPr="00814B5B">
        <w:rPr>
          <w:szCs w:val="22"/>
          <w:lang w:val="sr-Latn-RS"/>
        </w:rPr>
        <w:t xml:space="preserve"> uzimati sa ili bez hrane.</w:t>
      </w:r>
    </w:p>
    <w:p w14:paraId="6BFD66E6" w14:textId="77777777" w:rsidR="00814B5B" w:rsidRPr="00814B5B" w:rsidRDefault="00814B5B" w:rsidP="00814B5B">
      <w:pPr>
        <w:rPr>
          <w:szCs w:val="22"/>
          <w:lang w:val="sr-Latn-RS"/>
        </w:rPr>
      </w:pPr>
    </w:p>
    <w:p w14:paraId="6BAEF71A" w14:textId="4A987786" w:rsidR="00007EF9" w:rsidRPr="00814B5B" w:rsidRDefault="00007EF9" w:rsidP="00814B5B">
      <w:pPr>
        <w:contextualSpacing/>
        <w:rPr>
          <w:b/>
          <w:bCs/>
          <w:szCs w:val="22"/>
          <w:lang w:val="sr-Latn-RS"/>
        </w:rPr>
      </w:pPr>
      <w:r w:rsidRPr="00814B5B">
        <w:rPr>
          <w:b/>
          <w:bCs/>
          <w:szCs w:val="22"/>
          <w:lang w:val="sr-Latn-RS"/>
        </w:rPr>
        <w:t>4.3. Kontraindikacije</w:t>
      </w:r>
    </w:p>
    <w:p w14:paraId="562E37D4" w14:textId="77777777" w:rsidR="001419DE" w:rsidRPr="00814B5B" w:rsidRDefault="001419DE" w:rsidP="00814B5B">
      <w:pPr>
        <w:contextualSpacing/>
        <w:rPr>
          <w:b/>
          <w:bCs/>
          <w:szCs w:val="22"/>
          <w:lang w:val="sr-Latn-RS"/>
        </w:rPr>
      </w:pPr>
    </w:p>
    <w:p w14:paraId="3C1705B2" w14:textId="0CB0740E" w:rsidR="00C82C4C" w:rsidRPr="00814B5B" w:rsidRDefault="00C82C4C" w:rsidP="00814B5B">
      <w:pPr>
        <w:numPr>
          <w:ilvl w:val="0"/>
          <w:numId w:val="5"/>
        </w:numPr>
        <w:tabs>
          <w:tab w:val="clear" w:pos="284"/>
          <w:tab w:val="clear" w:pos="720"/>
        </w:tabs>
        <w:autoSpaceDE w:val="0"/>
        <w:autoSpaceDN w:val="0"/>
        <w:adjustRightInd w:val="0"/>
        <w:ind w:left="567" w:hanging="567"/>
        <w:contextualSpacing/>
        <w:rPr>
          <w:szCs w:val="22"/>
          <w:lang w:val="sl-SI"/>
        </w:rPr>
      </w:pPr>
      <w:r w:rsidRPr="00814B5B">
        <w:rPr>
          <w:szCs w:val="22"/>
          <w:lang w:val="sr-Latn-CS"/>
        </w:rPr>
        <w:t>Preos</w:t>
      </w:r>
      <w:r w:rsidR="00677B12" w:rsidRPr="00814B5B">
        <w:rPr>
          <w:szCs w:val="22"/>
          <w:lang w:val="sr-Latn-CS"/>
        </w:rPr>
        <w:t>j</w:t>
      </w:r>
      <w:r w:rsidRPr="00814B5B">
        <w:rPr>
          <w:szCs w:val="22"/>
          <w:lang w:val="sr-Latn-CS"/>
        </w:rPr>
        <w:t xml:space="preserve">etljivost na losartan, derivate sulfonamida (kao što je hidrohlortiazid) ili na bilo koju od pomoćnih supstanci navedenih u </w:t>
      </w:r>
      <w:r w:rsidR="00677B12" w:rsidRPr="00814B5B">
        <w:rPr>
          <w:szCs w:val="22"/>
          <w:lang w:val="sr-Latn-CS"/>
        </w:rPr>
        <w:t>dijelu</w:t>
      </w:r>
      <w:r w:rsidRPr="00814B5B">
        <w:rPr>
          <w:szCs w:val="22"/>
          <w:lang w:val="sr-Latn-CS"/>
        </w:rPr>
        <w:t xml:space="preserve"> 6.1;</w:t>
      </w:r>
    </w:p>
    <w:p w14:paraId="5A424226" w14:textId="77777777" w:rsidR="00C82C4C" w:rsidRPr="00814B5B" w:rsidRDefault="00C82C4C" w:rsidP="007B600E">
      <w:pPr>
        <w:numPr>
          <w:ilvl w:val="0"/>
          <w:numId w:val="5"/>
        </w:numPr>
        <w:tabs>
          <w:tab w:val="clear" w:pos="284"/>
          <w:tab w:val="clear" w:pos="720"/>
        </w:tabs>
        <w:autoSpaceDE w:val="0"/>
        <w:autoSpaceDN w:val="0"/>
        <w:adjustRightInd w:val="0"/>
        <w:spacing w:before="120" w:after="120"/>
        <w:ind w:left="567" w:hanging="567"/>
        <w:contextualSpacing/>
        <w:rPr>
          <w:szCs w:val="22"/>
          <w:lang w:val="sl-SI"/>
        </w:rPr>
      </w:pPr>
      <w:r w:rsidRPr="00814B5B">
        <w:rPr>
          <w:szCs w:val="22"/>
          <w:lang w:val="sr-Latn-CS"/>
        </w:rPr>
        <w:t>Hipokalemija ili hiperkalcemija rezistentna na terapiju;</w:t>
      </w:r>
    </w:p>
    <w:p w14:paraId="3AF08665" w14:textId="77777777" w:rsidR="00C82C4C" w:rsidRPr="00814B5B" w:rsidRDefault="00C82C4C" w:rsidP="007B600E">
      <w:pPr>
        <w:numPr>
          <w:ilvl w:val="0"/>
          <w:numId w:val="5"/>
        </w:numPr>
        <w:tabs>
          <w:tab w:val="clear" w:pos="284"/>
          <w:tab w:val="clear" w:pos="720"/>
        </w:tabs>
        <w:autoSpaceDE w:val="0"/>
        <w:autoSpaceDN w:val="0"/>
        <w:adjustRightInd w:val="0"/>
        <w:spacing w:before="120" w:after="120"/>
        <w:ind w:left="567" w:hanging="567"/>
        <w:contextualSpacing/>
        <w:rPr>
          <w:szCs w:val="22"/>
          <w:lang w:val="sl-SI"/>
        </w:rPr>
      </w:pPr>
      <w:r w:rsidRPr="00814B5B">
        <w:rPr>
          <w:szCs w:val="22"/>
          <w:lang w:val="sr-Latn-CS"/>
        </w:rPr>
        <w:t>Teško oštećenje funkcije jetre; holestaza i bilijarna opstrukcija;</w:t>
      </w:r>
    </w:p>
    <w:p w14:paraId="38609B52" w14:textId="77777777" w:rsidR="00C82C4C" w:rsidRPr="00814B5B" w:rsidRDefault="00C82C4C" w:rsidP="007B600E">
      <w:pPr>
        <w:numPr>
          <w:ilvl w:val="0"/>
          <w:numId w:val="5"/>
        </w:numPr>
        <w:tabs>
          <w:tab w:val="clear" w:pos="284"/>
          <w:tab w:val="clear" w:pos="720"/>
        </w:tabs>
        <w:autoSpaceDE w:val="0"/>
        <w:autoSpaceDN w:val="0"/>
        <w:adjustRightInd w:val="0"/>
        <w:spacing w:before="120" w:after="120"/>
        <w:ind w:left="567" w:hanging="567"/>
        <w:contextualSpacing/>
        <w:rPr>
          <w:szCs w:val="22"/>
          <w:lang w:val="sl-SI"/>
        </w:rPr>
      </w:pPr>
      <w:r w:rsidRPr="00814B5B">
        <w:rPr>
          <w:szCs w:val="22"/>
          <w:lang w:val="sr-Latn-CS"/>
        </w:rPr>
        <w:t>Refraktorna hiponatremija;</w:t>
      </w:r>
    </w:p>
    <w:p w14:paraId="6D336F54" w14:textId="77777777" w:rsidR="00C82C4C" w:rsidRPr="00814B5B" w:rsidRDefault="00C82C4C" w:rsidP="007B600E">
      <w:pPr>
        <w:numPr>
          <w:ilvl w:val="0"/>
          <w:numId w:val="5"/>
        </w:numPr>
        <w:tabs>
          <w:tab w:val="clear" w:pos="284"/>
          <w:tab w:val="clear" w:pos="720"/>
        </w:tabs>
        <w:autoSpaceDE w:val="0"/>
        <w:autoSpaceDN w:val="0"/>
        <w:adjustRightInd w:val="0"/>
        <w:spacing w:before="120" w:after="120"/>
        <w:ind w:left="567" w:hanging="567"/>
        <w:contextualSpacing/>
        <w:rPr>
          <w:szCs w:val="22"/>
          <w:lang w:val="sl-SI"/>
        </w:rPr>
      </w:pPr>
      <w:r w:rsidRPr="00814B5B">
        <w:rPr>
          <w:szCs w:val="22"/>
          <w:lang w:val="sr-Latn-CS"/>
        </w:rPr>
        <w:t>Simptomatska hiperurikemija/giht;</w:t>
      </w:r>
    </w:p>
    <w:p w14:paraId="6942E1D9" w14:textId="3875178B" w:rsidR="00C82C4C" w:rsidRPr="00814B5B" w:rsidRDefault="00C82C4C" w:rsidP="007B600E">
      <w:pPr>
        <w:numPr>
          <w:ilvl w:val="0"/>
          <w:numId w:val="5"/>
        </w:numPr>
        <w:tabs>
          <w:tab w:val="clear" w:pos="284"/>
          <w:tab w:val="clear" w:pos="720"/>
        </w:tabs>
        <w:autoSpaceDE w:val="0"/>
        <w:autoSpaceDN w:val="0"/>
        <w:adjustRightInd w:val="0"/>
        <w:spacing w:before="120" w:after="120"/>
        <w:ind w:left="567" w:hanging="567"/>
        <w:contextualSpacing/>
        <w:rPr>
          <w:szCs w:val="22"/>
          <w:lang w:val="sl-SI"/>
        </w:rPr>
      </w:pPr>
      <w:r w:rsidRPr="00814B5B">
        <w:rPr>
          <w:szCs w:val="22"/>
          <w:lang w:val="sr-Latn-CS"/>
        </w:rPr>
        <w:t>Drugi i treći trimestar trudnoće (vid</w:t>
      </w:r>
      <w:r w:rsidR="00677B12" w:rsidRPr="00814B5B">
        <w:rPr>
          <w:szCs w:val="22"/>
          <w:lang w:val="sr-Latn-CS"/>
        </w:rPr>
        <w:t>j</w:t>
      </w:r>
      <w:r w:rsidRPr="00814B5B">
        <w:rPr>
          <w:szCs w:val="22"/>
          <w:lang w:val="sr-Latn-CS"/>
        </w:rPr>
        <w:t xml:space="preserve">eti </w:t>
      </w:r>
      <w:r w:rsidR="00677B12" w:rsidRPr="00814B5B">
        <w:rPr>
          <w:szCs w:val="22"/>
          <w:lang w:val="sr-Latn-CS"/>
        </w:rPr>
        <w:t>djelove</w:t>
      </w:r>
      <w:r w:rsidRPr="00814B5B">
        <w:rPr>
          <w:szCs w:val="22"/>
          <w:lang w:val="sr-Latn-CS"/>
        </w:rPr>
        <w:t xml:space="preserve"> 4.4 i 4.6);</w:t>
      </w:r>
    </w:p>
    <w:p w14:paraId="75832347" w14:textId="62B85512" w:rsidR="001B35F3" w:rsidRPr="00814B5B" w:rsidRDefault="00C82C4C" w:rsidP="007B600E">
      <w:pPr>
        <w:numPr>
          <w:ilvl w:val="0"/>
          <w:numId w:val="5"/>
        </w:numPr>
        <w:tabs>
          <w:tab w:val="clear" w:pos="284"/>
          <w:tab w:val="clear" w:pos="720"/>
        </w:tabs>
        <w:autoSpaceDE w:val="0"/>
        <w:autoSpaceDN w:val="0"/>
        <w:adjustRightInd w:val="0"/>
        <w:spacing w:before="120" w:after="120"/>
        <w:ind w:left="567" w:hanging="567"/>
        <w:contextualSpacing/>
        <w:rPr>
          <w:szCs w:val="22"/>
          <w:lang w:val="sl-SI"/>
        </w:rPr>
      </w:pPr>
      <w:r w:rsidRPr="00814B5B">
        <w:rPr>
          <w:szCs w:val="22"/>
          <w:lang w:val="sr-Latn-CS"/>
        </w:rPr>
        <w:t>Teško oštećenje funkcije bubrega (tj. klirens kreatinina &lt;</w:t>
      </w:r>
      <w:r w:rsidR="00243785" w:rsidRPr="00814B5B">
        <w:rPr>
          <w:szCs w:val="22"/>
          <w:lang w:val="sr-Latn-CS"/>
        </w:rPr>
        <w:t xml:space="preserve"> </w:t>
      </w:r>
      <w:r w:rsidRPr="00814B5B">
        <w:rPr>
          <w:szCs w:val="22"/>
          <w:lang w:val="sr-Latn-CS"/>
        </w:rPr>
        <w:t>30 m</w:t>
      </w:r>
      <w:r w:rsidR="00677B12" w:rsidRPr="00814B5B">
        <w:rPr>
          <w:szCs w:val="22"/>
          <w:lang w:val="sr-Latn-CS"/>
        </w:rPr>
        <w:t>l</w:t>
      </w:r>
      <w:r w:rsidRPr="00814B5B">
        <w:rPr>
          <w:szCs w:val="22"/>
          <w:lang w:val="sr-Latn-CS"/>
        </w:rPr>
        <w:t>/min);</w:t>
      </w:r>
    </w:p>
    <w:p w14:paraId="20EC099A" w14:textId="77777777" w:rsidR="001B35F3" w:rsidRPr="00814B5B" w:rsidRDefault="00C82C4C" w:rsidP="007B600E">
      <w:pPr>
        <w:numPr>
          <w:ilvl w:val="0"/>
          <w:numId w:val="5"/>
        </w:numPr>
        <w:tabs>
          <w:tab w:val="clear" w:pos="284"/>
          <w:tab w:val="clear" w:pos="720"/>
        </w:tabs>
        <w:autoSpaceDE w:val="0"/>
        <w:autoSpaceDN w:val="0"/>
        <w:adjustRightInd w:val="0"/>
        <w:spacing w:before="120" w:after="120"/>
        <w:ind w:left="567" w:hanging="567"/>
        <w:contextualSpacing/>
        <w:rPr>
          <w:szCs w:val="22"/>
          <w:lang w:val="sl-SI"/>
        </w:rPr>
      </w:pPr>
      <w:r w:rsidRPr="00814B5B">
        <w:rPr>
          <w:szCs w:val="22"/>
          <w:lang w:val="sr-Latn-CS"/>
        </w:rPr>
        <w:t>Anurija;</w:t>
      </w:r>
    </w:p>
    <w:p w14:paraId="165A5E4D" w14:textId="136D11A0" w:rsidR="00007EF9" w:rsidRPr="00814B5B" w:rsidRDefault="006C7972" w:rsidP="00814B5B">
      <w:pPr>
        <w:numPr>
          <w:ilvl w:val="0"/>
          <w:numId w:val="5"/>
        </w:numPr>
        <w:tabs>
          <w:tab w:val="clear" w:pos="284"/>
          <w:tab w:val="clear" w:pos="720"/>
        </w:tabs>
        <w:autoSpaceDE w:val="0"/>
        <w:autoSpaceDN w:val="0"/>
        <w:adjustRightInd w:val="0"/>
        <w:ind w:left="567" w:hanging="567"/>
        <w:contextualSpacing/>
        <w:rPr>
          <w:szCs w:val="22"/>
          <w:lang w:val="sl-SI"/>
        </w:rPr>
      </w:pPr>
      <w:r w:rsidRPr="00814B5B">
        <w:rPr>
          <w:szCs w:val="22"/>
          <w:lang w:val="sr-Latn-RS"/>
        </w:rPr>
        <w:t>L</w:t>
      </w:r>
      <w:r w:rsidR="00677B12" w:rsidRPr="00814B5B">
        <w:rPr>
          <w:szCs w:val="22"/>
          <w:lang w:val="sr-Latn-RS"/>
        </w:rPr>
        <w:t>j</w:t>
      </w:r>
      <w:r w:rsidRPr="00814B5B">
        <w:rPr>
          <w:szCs w:val="22"/>
          <w:lang w:val="sr-Latn-RS"/>
        </w:rPr>
        <w:t>ekovi koji sadrže losartan ne sm</w:t>
      </w:r>
      <w:r w:rsidR="00677B12" w:rsidRPr="00814B5B">
        <w:rPr>
          <w:szCs w:val="22"/>
          <w:lang w:val="sr-Latn-RS"/>
        </w:rPr>
        <w:t>i</w:t>
      </w:r>
      <w:r w:rsidRPr="00814B5B">
        <w:rPr>
          <w:szCs w:val="22"/>
          <w:lang w:val="sr-Latn-RS"/>
        </w:rPr>
        <w:t>ju se prim</w:t>
      </w:r>
      <w:r w:rsidR="00677B12" w:rsidRPr="00814B5B">
        <w:rPr>
          <w:szCs w:val="22"/>
          <w:lang w:val="sr-Latn-RS"/>
        </w:rPr>
        <w:t>j</w:t>
      </w:r>
      <w:r w:rsidRPr="00814B5B">
        <w:rPr>
          <w:szCs w:val="22"/>
          <w:lang w:val="sr-Latn-RS"/>
        </w:rPr>
        <w:t>enjivati u kombinaciji sa aliskirenom kod pacijenata sa dijabetes melitusom ili pacijenata sa oštećenjem funkcije bubrega (GFR</w:t>
      </w:r>
      <w:r w:rsidR="00243785" w:rsidRPr="00814B5B">
        <w:rPr>
          <w:szCs w:val="22"/>
          <w:lang w:val="sr-Latn-RS"/>
        </w:rPr>
        <w:t xml:space="preserve"> </w:t>
      </w:r>
      <w:r w:rsidR="00742C90" w:rsidRPr="00814B5B">
        <w:rPr>
          <w:szCs w:val="22"/>
          <w:lang w:val="sr-Latn-RS"/>
        </w:rPr>
        <w:t>&lt;</w:t>
      </w:r>
      <w:r w:rsidR="00243785" w:rsidRPr="00814B5B">
        <w:rPr>
          <w:szCs w:val="22"/>
          <w:lang w:val="sr-Latn-RS"/>
        </w:rPr>
        <w:t xml:space="preserve"> </w:t>
      </w:r>
      <w:r w:rsidRPr="00814B5B">
        <w:rPr>
          <w:szCs w:val="22"/>
          <w:lang w:val="sr-Latn-RS"/>
        </w:rPr>
        <w:t>60 m</w:t>
      </w:r>
      <w:r w:rsidR="00677B12" w:rsidRPr="00814B5B">
        <w:rPr>
          <w:szCs w:val="22"/>
          <w:lang w:val="sr-Latn-RS"/>
        </w:rPr>
        <w:t>l</w:t>
      </w:r>
      <w:r w:rsidRPr="00814B5B">
        <w:rPr>
          <w:szCs w:val="22"/>
          <w:lang w:val="sr-Latn-RS"/>
        </w:rPr>
        <w:t>/min/1</w:t>
      </w:r>
      <w:r w:rsidR="00C82C4C" w:rsidRPr="00814B5B">
        <w:rPr>
          <w:szCs w:val="22"/>
          <w:lang w:val="sr-Latn-RS"/>
        </w:rPr>
        <w:t>,</w:t>
      </w:r>
      <w:r w:rsidRPr="00814B5B">
        <w:rPr>
          <w:szCs w:val="22"/>
          <w:lang w:val="sr-Latn-RS"/>
        </w:rPr>
        <w:t>73m</w:t>
      </w:r>
      <w:r w:rsidRPr="00814B5B">
        <w:rPr>
          <w:szCs w:val="22"/>
          <w:vertAlign w:val="superscript"/>
          <w:lang w:val="sr-Latn-RS"/>
        </w:rPr>
        <w:t>2</w:t>
      </w:r>
      <w:r w:rsidRPr="00814B5B">
        <w:rPr>
          <w:szCs w:val="22"/>
          <w:lang w:val="sr-Latn-RS"/>
        </w:rPr>
        <w:t>)</w:t>
      </w:r>
      <w:r w:rsidR="00742C90" w:rsidRPr="00814B5B">
        <w:rPr>
          <w:szCs w:val="22"/>
          <w:lang w:val="sr-Latn-RS"/>
        </w:rPr>
        <w:t xml:space="preserve"> (vid</w:t>
      </w:r>
      <w:r w:rsidR="00677B12" w:rsidRPr="00814B5B">
        <w:rPr>
          <w:szCs w:val="22"/>
          <w:lang w:val="sr-Latn-RS"/>
        </w:rPr>
        <w:t>j</w:t>
      </w:r>
      <w:r w:rsidR="00742C90" w:rsidRPr="00814B5B">
        <w:rPr>
          <w:szCs w:val="22"/>
          <w:lang w:val="sr-Latn-RS"/>
        </w:rPr>
        <w:t xml:space="preserve">eti </w:t>
      </w:r>
      <w:r w:rsidR="00677B12" w:rsidRPr="00814B5B">
        <w:rPr>
          <w:szCs w:val="22"/>
          <w:lang w:val="sr-Latn-RS"/>
        </w:rPr>
        <w:t>djelove</w:t>
      </w:r>
      <w:r w:rsidR="00742C90" w:rsidRPr="00814B5B">
        <w:rPr>
          <w:szCs w:val="22"/>
          <w:lang w:val="sr-Latn-RS"/>
        </w:rPr>
        <w:t xml:space="preserve"> 4.5 i 5.1)</w:t>
      </w:r>
      <w:r w:rsidR="00C82C4C" w:rsidRPr="00814B5B">
        <w:rPr>
          <w:szCs w:val="22"/>
          <w:lang w:val="sr-Latn-RS"/>
        </w:rPr>
        <w:t>.</w:t>
      </w:r>
    </w:p>
    <w:p w14:paraId="5A49EC35" w14:textId="77777777" w:rsidR="001419DE" w:rsidRPr="00814B5B" w:rsidRDefault="001419DE" w:rsidP="00814B5B">
      <w:pPr>
        <w:tabs>
          <w:tab w:val="clear" w:pos="284"/>
        </w:tabs>
        <w:autoSpaceDE w:val="0"/>
        <w:autoSpaceDN w:val="0"/>
        <w:adjustRightInd w:val="0"/>
        <w:ind w:left="567"/>
        <w:contextualSpacing/>
        <w:rPr>
          <w:szCs w:val="22"/>
          <w:lang w:val="sl-SI"/>
        </w:rPr>
      </w:pPr>
    </w:p>
    <w:p w14:paraId="72540472" w14:textId="67D4846B" w:rsidR="00007EF9" w:rsidRPr="00814B5B" w:rsidRDefault="00007EF9" w:rsidP="00814B5B">
      <w:pPr>
        <w:rPr>
          <w:b/>
          <w:bCs/>
          <w:szCs w:val="22"/>
          <w:lang w:val="sr-Latn-RS"/>
        </w:rPr>
      </w:pPr>
      <w:r w:rsidRPr="00814B5B">
        <w:rPr>
          <w:b/>
          <w:bCs/>
          <w:szCs w:val="22"/>
          <w:lang w:val="sr-Latn-RS"/>
        </w:rPr>
        <w:t>4.4. Posebna upozorenja i m</w:t>
      </w:r>
      <w:r w:rsidR="00677B12" w:rsidRPr="00814B5B">
        <w:rPr>
          <w:b/>
          <w:bCs/>
          <w:szCs w:val="22"/>
          <w:lang w:val="sr-Latn-RS"/>
        </w:rPr>
        <w:t>j</w:t>
      </w:r>
      <w:r w:rsidRPr="00814B5B">
        <w:rPr>
          <w:b/>
          <w:bCs/>
          <w:szCs w:val="22"/>
          <w:lang w:val="sr-Latn-RS"/>
        </w:rPr>
        <w:t>ere opreza pri upotrebi l</w:t>
      </w:r>
      <w:r w:rsidR="00677B12" w:rsidRPr="00814B5B">
        <w:rPr>
          <w:b/>
          <w:bCs/>
          <w:szCs w:val="22"/>
          <w:lang w:val="sr-Latn-RS"/>
        </w:rPr>
        <w:t>ij</w:t>
      </w:r>
      <w:r w:rsidRPr="00814B5B">
        <w:rPr>
          <w:b/>
          <w:bCs/>
          <w:szCs w:val="22"/>
          <w:lang w:val="sr-Latn-RS"/>
        </w:rPr>
        <w:t>eka</w:t>
      </w:r>
    </w:p>
    <w:p w14:paraId="70D095DE" w14:textId="77777777" w:rsidR="002A65F1" w:rsidRDefault="002A65F1" w:rsidP="00814B5B">
      <w:pPr>
        <w:tabs>
          <w:tab w:val="clear" w:pos="284"/>
        </w:tabs>
        <w:autoSpaceDE w:val="0"/>
        <w:autoSpaceDN w:val="0"/>
        <w:adjustRightInd w:val="0"/>
        <w:rPr>
          <w:szCs w:val="22"/>
          <w:u w:val="single"/>
          <w:lang w:val="sr-Latn-CS"/>
        </w:rPr>
      </w:pPr>
    </w:p>
    <w:p w14:paraId="72C98EED" w14:textId="73FA9FC7" w:rsidR="00C82C4C" w:rsidRPr="00814B5B" w:rsidRDefault="00C82C4C" w:rsidP="00814B5B">
      <w:pPr>
        <w:tabs>
          <w:tab w:val="clear" w:pos="284"/>
        </w:tabs>
        <w:autoSpaceDE w:val="0"/>
        <w:autoSpaceDN w:val="0"/>
        <w:adjustRightInd w:val="0"/>
        <w:rPr>
          <w:szCs w:val="22"/>
          <w:u w:val="single"/>
          <w:lang w:val="sl-SI"/>
        </w:rPr>
      </w:pPr>
      <w:r w:rsidRPr="00814B5B">
        <w:rPr>
          <w:szCs w:val="22"/>
          <w:u w:val="single"/>
          <w:lang w:val="sr-Latn-CS"/>
        </w:rPr>
        <w:t>Losartan</w:t>
      </w:r>
    </w:p>
    <w:p w14:paraId="0C3392A8" w14:textId="77777777" w:rsidR="00C82C4C" w:rsidRPr="00814B5B" w:rsidRDefault="00C82C4C" w:rsidP="007B600E">
      <w:pPr>
        <w:tabs>
          <w:tab w:val="clear" w:pos="284"/>
        </w:tabs>
        <w:autoSpaceDE w:val="0"/>
        <w:autoSpaceDN w:val="0"/>
        <w:adjustRightInd w:val="0"/>
        <w:spacing w:before="120" w:after="120"/>
        <w:rPr>
          <w:i/>
          <w:iCs/>
          <w:szCs w:val="22"/>
          <w:lang w:val="sl-SI"/>
        </w:rPr>
      </w:pPr>
      <w:r w:rsidRPr="00814B5B">
        <w:rPr>
          <w:i/>
          <w:iCs/>
          <w:szCs w:val="22"/>
          <w:lang w:val="sr-Latn-CS"/>
        </w:rPr>
        <w:t>Angioedem</w:t>
      </w:r>
    </w:p>
    <w:p w14:paraId="318DE93C" w14:textId="2B52FFB9" w:rsidR="00C82C4C" w:rsidRPr="00814B5B" w:rsidRDefault="00C82C4C" w:rsidP="007B600E">
      <w:pPr>
        <w:tabs>
          <w:tab w:val="clear" w:pos="284"/>
        </w:tabs>
        <w:autoSpaceDE w:val="0"/>
        <w:autoSpaceDN w:val="0"/>
        <w:adjustRightInd w:val="0"/>
        <w:spacing w:before="120" w:after="120"/>
        <w:rPr>
          <w:szCs w:val="22"/>
          <w:lang w:val="sl-SI"/>
        </w:rPr>
      </w:pPr>
      <w:r w:rsidRPr="00814B5B">
        <w:rPr>
          <w:szCs w:val="22"/>
          <w:lang w:val="sr-Latn-CS"/>
        </w:rPr>
        <w:t>Pacijente sa angioedemom u anamnezi (oticanje lica, usana, grla i/ili jezika) treba pažljivo pratiti (vid</w:t>
      </w:r>
      <w:r w:rsidR="00677B12" w:rsidRPr="00814B5B">
        <w:rPr>
          <w:szCs w:val="22"/>
          <w:lang w:val="sr-Latn-CS"/>
        </w:rPr>
        <w:t>j</w:t>
      </w:r>
      <w:r w:rsidRPr="00814B5B">
        <w:rPr>
          <w:szCs w:val="22"/>
          <w:lang w:val="sr-Latn-CS"/>
        </w:rPr>
        <w:t xml:space="preserve">eti </w:t>
      </w:r>
      <w:r w:rsidR="00677B12" w:rsidRPr="00814B5B">
        <w:rPr>
          <w:szCs w:val="22"/>
          <w:lang w:val="sr-Latn-CS"/>
        </w:rPr>
        <w:t>dio</w:t>
      </w:r>
      <w:r w:rsidRPr="00814B5B">
        <w:rPr>
          <w:szCs w:val="22"/>
          <w:lang w:val="sr-Latn-CS"/>
        </w:rPr>
        <w:t xml:space="preserve"> 4.8).</w:t>
      </w:r>
    </w:p>
    <w:p w14:paraId="7F1CC38E" w14:textId="77777777" w:rsidR="00C82C4C" w:rsidRPr="00814B5B" w:rsidRDefault="00C82C4C" w:rsidP="007B600E">
      <w:pPr>
        <w:tabs>
          <w:tab w:val="clear" w:pos="284"/>
        </w:tabs>
        <w:autoSpaceDE w:val="0"/>
        <w:autoSpaceDN w:val="0"/>
        <w:adjustRightInd w:val="0"/>
        <w:spacing w:before="120" w:after="120"/>
        <w:rPr>
          <w:i/>
          <w:iCs/>
          <w:szCs w:val="22"/>
          <w:lang w:val="sl-SI"/>
        </w:rPr>
      </w:pPr>
      <w:r w:rsidRPr="00814B5B">
        <w:rPr>
          <w:i/>
          <w:iCs/>
          <w:szCs w:val="22"/>
          <w:lang w:val="sr-Latn-CS"/>
        </w:rPr>
        <w:t>Hipotenzija i deplecija intravaskularnog volumena</w:t>
      </w:r>
    </w:p>
    <w:p w14:paraId="1261CC65" w14:textId="08A4E22D" w:rsidR="00C82C4C" w:rsidRPr="00814B5B" w:rsidRDefault="00C82C4C" w:rsidP="007B600E">
      <w:pPr>
        <w:tabs>
          <w:tab w:val="clear" w:pos="284"/>
        </w:tabs>
        <w:autoSpaceDE w:val="0"/>
        <w:autoSpaceDN w:val="0"/>
        <w:adjustRightInd w:val="0"/>
        <w:spacing w:before="120" w:after="120"/>
        <w:rPr>
          <w:szCs w:val="22"/>
          <w:lang w:val="sl-SI"/>
        </w:rPr>
      </w:pPr>
      <w:r w:rsidRPr="00814B5B">
        <w:rPr>
          <w:szCs w:val="22"/>
          <w:lang w:val="sr-Latn-CS"/>
        </w:rPr>
        <w:t>Može doći do simptomatske hipotenzije, naročito posl</w:t>
      </w:r>
      <w:r w:rsidR="00677B12" w:rsidRPr="00814B5B">
        <w:rPr>
          <w:szCs w:val="22"/>
          <w:lang w:val="sr-Latn-CS"/>
        </w:rPr>
        <w:t>ij</w:t>
      </w:r>
      <w:r w:rsidRPr="00814B5B">
        <w:rPr>
          <w:szCs w:val="22"/>
          <w:lang w:val="sr-Latn-CS"/>
        </w:rPr>
        <w:t xml:space="preserve">e prve doze, kod pacijenata sa deplecijom volumena </w:t>
      </w:r>
      <w:r w:rsidR="00C009F3" w:rsidRPr="00814B5B">
        <w:rPr>
          <w:szCs w:val="22"/>
          <w:lang w:val="sr-Latn-CS"/>
        </w:rPr>
        <w:t>cirku</w:t>
      </w:r>
      <w:r w:rsidR="00C009F3" w:rsidRPr="00814B5B">
        <w:rPr>
          <w:szCs w:val="22"/>
          <w:lang w:val="sr-Latn-RS"/>
        </w:rPr>
        <w:t xml:space="preserve">lišuće tečnosti </w:t>
      </w:r>
      <w:r w:rsidRPr="00814B5B">
        <w:rPr>
          <w:szCs w:val="22"/>
          <w:lang w:val="sr-Latn-CS"/>
        </w:rPr>
        <w:t>i/ili natrijuma, nastalom usl</w:t>
      </w:r>
      <w:r w:rsidR="00677B12" w:rsidRPr="00814B5B">
        <w:rPr>
          <w:szCs w:val="22"/>
          <w:lang w:val="sr-Latn-CS"/>
        </w:rPr>
        <w:t>j</w:t>
      </w:r>
      <w:r w:rsidRPr="00814B5B">
        <w:rPr>
          <w:szCs w:val="22"/>
          <w:lang w:val="sr-Latn-CS"/>
        </w:rPr>
        <w:t>ed snažne terapije diureticima, režima ishrane sa ograničenim unosom soli, dijareje ili povraćanja.</w:t>
      </w:r>
      <w:r w:rsidR="00AF71E0" w:rsidRPr="00814B5B">
        <w:rPr>
          <w:szCs w:val="22"/>
          <w:lang w:val="sr-Latn-CS"/>
        </w:rPr>
        <w:t xml:space="preserve"> </w:t>
      </w:r>
      <w:r w:rsidRPr="00814B5B">
        <w:rPr>
          <w:szCs w:val="22"/>
          <w:lang w:val="sr-Latn-CS"/>
        </w:rPr>
        <w:t>Ovakva stanja treba korigovati pr</w:t>
      </w:r>
      <w:r w:rsidR="00677B12" w:rsidRPr="00814B5B">
        <w:rPr>
          <w:szCs w:val="22"/>
          <w:lang w:val="sr-Latn-CS"/>
        </w:rPr>
        <w:t>ij</w:t>
      </w:r>
      <w:r w:rsidRPr="00814B5B">
        <w:rPr>
          <w:szCs w:val="22"/>
          <w:lang w:val="sr-Latn-CS"/>
        </w:rPr>
        <w:t>e prim</w:t>
      </w:r>
      <w:r w:rsidR="00677B12" w:rsidRPr="00814B5B">
        <w:rPr>
          <w:szCs w:val="22"/>
          <w:lang w:val="sr-Latn-CS"/>
        </w:rPr>
        <w:t>j</w:t>
      </w:r>
      <w:r w:rsidRPr="00814B5B">
        <w:rPr>
          <w:szCs w:val="22"/>
          <w:lang w:val="sr-Latn-CS"/>
        </w:rPr>
        <w:t>ene l</w:t>
      </w:r>
      <w:r w:rsidR="00677B12" w:rsidRPr="00814B5B">
        <w:rPr>
          <w:szCs w:val="22"/>
          <w:lang w:val="sr-Latn-CS"/>
        </w:rPr>
        <w:t>ij</w:t>
      </w:r>
      <w:r w:rsidRPr="00814B5B">
        <w:rPr>
          <w:szCs w:val="22"/>
          <w:lang w:val="sr-Latn-CS"/>
        </w:rPr>
        <w:t xml:space="preserve">eka </w:t>
      </w:r>
      <w:r w:rsidR="000E7FD6" w:rsidRPr="00814B5B">
        <w:rPr>
          <w:szCs w:val="22"/>
          <w:lang w:val="sr-Latn-CS"/>
        </w:rPr>
        <w:t>Losar plus</w:t>
      </w:r>
      <w:r w:rsidRPr="00814B5B">
        <w:rPr>
          <w:szCs w:val="22"/>
          <w:lang w:val="sr-Latn-CS"/>
        </w:rPr>
        <w:t xml:space="preserve"> (vid</w:t>
      </w:r>
      <w:r w:rsidR="00677B12" w:rsidRPr="00814B5B">
        <w:rPr>
          <w:szCs w:val="22"/>
          <w:lang w:val="sr-Latn-CS"/>
        </w:rPr>
        <w:t>j</w:t>
      </w:r>
      <w:r w:rsidRPr="00814B5B">
        <w:rPr>
          <w:szCs w:val="22"/>
          <w:lang w:val="sr-Latn-CS"/>
        </w:rPr>
        <w:t xml:space="preserve">eti </w:t>
      </w:r>
      <w:r w:rsidR="00677B12" w:rsidRPr="00814B5B">
        <w:rPr>
          <w:szCs w:val="22"/>
          <w:lang w:val="sr-Latn-CS"/>
        </w:rPr>
        <w:t>djelove</w:t>
      </w:r>
      <w:r w:rsidRPr="00814B5B">
        <w:rPr>
          <w:szCs w:val="22"/>
          <w:lang w:val="sr-Latn-CS"/>
        </w:rPr>
        <w:t xml:space="preserve"> 4.2 i 4.3).</w:t>
      </w:r>
    </w:p>
    <w:p w14:paraId="6B761782" w14:textId="77777777" w:rsidR="00C82C4C" w:rsidRPr="00814B5B" w:rsidRDefault="00C82C4C" w:rsidP="007B600E">
      <w:pPr>
        <w:tabs>
          <w:tab w:val="clear" w:pos="284"/>
        </w:tabs>
        <w:autoSpaceDE w:val="0"/>
        <w:autoSpaceDN w:val="0"/>
        <w:adjustRightInd w:val="0"/>
        <w:spacing w:before="120" w:after="120"/>
        <w:rPr>
          <w:i/>
          <w:iCs/>
          <w:szCs w:val="22"/>
          <w:lang w:val="sl-SI"/>
        </w:rPr>
      </w:pPr>
      <w:r w:rsidRPr="00814B5B">
        <w:rPr>
          <w:i/>
          <w:iCs/>
          <w:szCs w:val="22"/>
          <w:lang w:val="sr-Latn-CS"/>
        </w:rPr>
        <w:t>Disbalans elektrolita</w:t>
      </w:r>
    </w:p>
    <w:p w14:paraId="7CD9CE91" w14:textId="1082913C" w:rsidR="00C82C4C" w:rsidRPr="00814B5B" w:rsidRDefault="00C82C4C" w:rsidP="007B600E">
      <w:pPr>
        <w:tabs>
          <w:tab w:val="clear" w:pos="284"/>
        </w:tabs>
        <w:autoSpaceDE w:val="0"/>
        <w:autoSpaceDN w:val="0"/>
        <w:adjustRightInd w:val="0"/>
        <w:spacing w:before="120" w:after="120"/>
        <w:rPr>
          <w:szCs w:val="22"/>
          <w:lang w:val="sl-SI"/>
        </w:rPr>
      </w:pPr>
      <w:r w:rsidRPr="00814B5B">
        <w:rPr>
          <w:szCs w:val="22"/>
          <w:lang w:val="sr-Latn-CS"/>
        </w:rPr>
        <w:t xml:space="preserve">Kod pacijenata sa oštećenjem funkcije bubrega, sa ili bez dijabetesa, disbalans elektrolita je česta pojava i treba ga </w:t>
      </w:r>
      <w:r w:rsidR="00785A0F" w:rsidRPr="00814B5B">
        <w:rPr>
          <w:szCs w:val="22"/>
          <w:lang w:val="sr-Latn-CS"/>
        </w:rPr>
        <w:t>korigovati.</w:t>
      </w:r>
      <w:r w:rsidRPr="00814B5B">
        <w:rPr>
          <w:szCs w:val="22"/>
          <w:lang w:val="sl-SI"/>
        </w:rPr>
        <w:t xml:space="preserve"> </w:t>
      </w:r>
      <w:r w:rsidRPr="00814B5B">
        <w:rPr>
          <w:szCs w:val="22"/>
          <w:lang w:val="sr-Latn-CS"/>
        </w:rPr>
        <w:t>Zbog toga treba pažljivo pratiti koncentracije kalijuma u plazmi i vr</w:t>
      </w:r>
      <w:r w:rsidR="00677B12" w:rsidRPr="00814B5B">
        <w:rPr>
          <w:szCs w:val="22"/>
          <w:lang w:val="sr-Latn-CS"/>
        </w:rPr>
        <w:t>ij</w:t>
      </w:r>
      <w:r w:rsidRPr="00814B5B">
        <w:rPr>
          <w:szCs w:val="22"/>
          <w:lang w:val="sr-Latn-CS"/>
        </w:rPr>
        <w:t>ednosti klirensa kreatinina</w:t>
      </w:r>
      <w:r w:rsidR="0021668D" w:rsidRPr="00814B5B">
        <w:rPr>
          <w:szCs w:val="22"/>
          <w:lang w:val="sr-Latn-CS"/>
        </w:rPr>
        <w:t>.</w:t>
      </w:r>
      <w:r w:rsidRPr="00814B5B">
        <w:rPr>
          <w:szCs w:val="22"/>
          <w:lang w:val="sr-Latn-CS"/>
        </w:rPr>
        <w:t xml:space="preserve"> </w:t>
      </w:r>
      <w:r w:rsidR="0021668D" w:rsidRPr="00814B5B">
        <w:rPr>
          <w:szCs w:val="22"/>
          <w:lang w:val="sr-Latn-CS"/>
        </w:rPr>
        <w:t>N</w:t>
      </w:r>
      <w:r w:rsidRPr="00814B5B">
        <w:rPr>
          <w:szCs w:val="22"/>
          <w:lang w:val="sr-Latn-CS"/>
        </w:rPr>
        <w:t xml:space="preserve">aročito treba </w:t>
      </w:r>
      <w:r w:rsidR="00220ABE" w:rsidRPr="00814B5B">
        <w:rPr>
          <w:szCs w:val="22"/>
          <w:lang w:val="sr-Latn-CS"/>
        </w:rPr>
        <w:t>pa</w:t>
      </w:r>
      <w:r w:rsidR="00220ABE" w:rsidRPr="00814B5B">
        <w:rPr>
          <w:szCs w:val="22"/>
          <w:lang w:val="sr-Latn-RS"/>
        </w:rPr>
        <w:t xml:space="preserve">žljivo </w:t>
      </w:r>
      <w:r w:rsidRPr="00814B5B">
        <w:rPr>
          <w:szCs w:val="22"/>
          <w:lang w:val="sr-Latn-CS"/>
        </w:rPr>
        <w:t>pratiti pacijente sa insuficijencijom srca i klirensom kreatinina između 30-50 m</w:t>
      </w:r>
      <w:r w:rsidR="00677B12" w:rsidRPr="00814B5B">
        <w:rPr>
          <w:szCs w:val="22"/>
          <w:lang w:val="sr-Latn-CS"/>
        </w:rPr>
        <w:t>l</w:t>
      </w:r>
      <w:r w:rsidRPr="00814B5B">
        <w:rPr>
          <w:szCs w:val="22"/>
          <w:lang w:val="sr-Latn-CS"/>
        </w:rPr>
        <w:t>/min.</w:t>
      </w:r>
    </w:p>
    <w:p w14:paraId="4AD69A65" w14:textId="45B01B28" w:rsidR="00C82C4C" w:rsidRPr="00814B5B" w:rsidRDefault="00C82C4C" w:rsidP="007B600E">
      <w:pPr>
        <w:tabs>
          <w:tab w:val="clear" w:pos="284"/>
        </w:tabs>
        <w:autoSpaceDE w:val="0"/>
        <w:autoSpaceDN w:val="0"/>
        <w:adjustRightInd w:val="0"/>
        <w:spacing w:before="120" w:after="120"/>
        <w:rPr>
          <w:szCs w:val="22"/>
          <w:lang w:val="sl-SI"/>
        </w:rPr>
      </w:pPr>
      <w:r w:rsidRPr="00814B5B">
        <w:rPr>
          <w:szCs w:val="22"/>
          <w:lang w:val="sr-Latn-CS"/>
        </w:rPr>
        <w:lastRenderedPageBreak/>
        <w:t xml:space="preserve">Istovremena </w:t>
      </w:r>
      <w:r w:rsidR="007E4572" w:rsidRPr="00814B5B">
        <w:rPr>
          <w:szCs w:val="22"/>
          <w:lang w:val="sr-Latn-CS"/>
        </w:rPr>
        <w:t>primjena</w:t>
      </w:r>
      <w:r w:rsidRPr="00814B5B">
        <w:rPr>
          <w:szCs w:val="22"/>
          <w:lang w:val="sr-Latn-CS"/>
        </w:rPr>
        <w:t xml:space="preserve"> diuretika koji štede kalijum, suplemenata kalijuma, zam</w:t>
      </w:r>
      <w:r w:rsidR="00677B12" w:rsidRPr="00814B5B">
        <w:rPr>
          <w:szCs w:val="22"/>
          <w:lang w:val="sr-Latn-CS"/>
        </w:rPr>
        <w:t>j</w:t>
      </w:r>
      <w:r w:rsidRPr="00814B5B">
        <w:rPr>
          <w:szCs w:val="22"/>
          <w:lang w:val="sr-Latn-CS"/>
        </w:rPr>
        <w:t>ena za so koje sadrže kalijum ili drugih l</w:t>
      </w:r>
      <w:r w:rsidR="00677B12" w:rsidRPr="00814B5B">
        <w:rPr>
          <w:szCs w:val="22"/>
          <w:lang w:val="sr-Latn-CS"/>
        </w:rPr>
        <w:t>j</w:t>
      </w:r>
      <w:r w:rsidRPr="00814B5B">
        <w:rPr>
          <w:szCs w:val="22"/>
          <w:lang w:val="sr-Latn-CS"/>
        </w:rPr>
        <w:t>ekova koji mogu da povećaju koncentraciju kalijuma u serumu (npr. l</w:t>
      </w:r>
      <w:r w:rsidR="00677B12" w:rsidRPr="00814B5B">
        <w:rPr>
          <w:szCs w:val="22"/>
          <w:lang w:val="sr-Latn-CS"/>
        </w:rPr>
        <w:t>j</w:t>
      </w:r>
      <w:r w:rsidRPr="00814B5B">
        <w:rPr>
          <w:szCs w:val="22"/>
          <w:lang w:val="sr-Latn-CS"/>
        </w:rPr>
        <w:t>ekovi koji sadrže trimetoprim) sa kombinacijom losartan/hidrohlortiazid se ne preporučuje (vid</w:t>
      </w:r>
      <w:r w:rsidR="00677B12" w:rsidRPr="00814B5B">
        <w:rPr>
          <w:szCs w:val="22"/>
          <w:lang w:val="sr-Latn-CS"/>
        </w:rPr>
        <w:t>j</w:t>
      </w:r>
      <w:r w:rsidRPr="00814B5B">
        <w:rPr>
          <w:szCs w:val="22"/>
          <w:lang w:val="sr-Latn-CS"/>
        </w:rPr>
        <w:t xml:space="preserve">eti </w:t>
      </w:r>
      <w:r w:rsidR="00677B12" w:rsidRPr="00814B5B">
        <w:rPr>
          <w:szCs w:val="22"/>
          <w:lang w:val="sr-Latn-CS"/>
        </w:rPr>
        <w:t>dio</w:t>
      </w:r>
      <w:r w:rsidRPr="00814B5B">
        <w:rPr>
          <w:szCs w:val="22"/>
          <w:lang w:val="sr-Latn-CS"/>
        </w:rPr>
        <w:t xml:space="preserve"> 4.5).</w:t>
      </w:r>
    </w:p>
    <w:p w14:paraId="3315B264" w14:textId="77777777" w:rsidR="00C82C4C" w:rsidRPr="00814B5B" w:rsidRDefault="00C82C4C" w:rsidP="007B600E">
      <w:pPr>
        <w:tabs>
          <w:tab w:val="clear" w:pos="284"/>
        </w:tabs>
        <w:autoSpaceDE w:val="0"/>
        <w:autoSpaceDN w:val="0"/>
        <w:adjustRightInd w:val="0"/>
        <w:spacing w:before="120" w:after="120"/>
        <w:rPr>
          <w:i/>
          <w:iCs/>
          <w:szCs w:val="22"/>
          <w:lang w:val="sl-SI"/>
        </w:rPr>
      </w:pPr>
      <w:r w:rsidRPr="00814B5B">
        <w:rPr>
          <w:i/>
          <w:iCs/>
          <w:szCs w:val="22"/>
          <w:lang w:val="sr-Latn-CS"/>
        </w:rPr>
        <w:t>Oštećenje funkcije jetre</w:t>
      </w:r>
    </w:p>
    <w:p w14:paraId="62697587" w14:textId="0601B6C8" w:rsidR="00C82C4C" w:rsidRPr="00814B5B" w:rsidRDefault="00C82C4C" w:rsidP="007B600E">
      <w:pPr>
        <w:tabs>
          <w:tab w:val="clear" w:pos="284"/>
        </w:tabs>
        <w:autoSpaceDE w:val="0"/>
        <w:autoSpaceDN w:val="0"/>
        <w:adjustRightInd w:val="0"/>
        <w:spacing w:before="120" w:after="120"/>
        <w:rPr>
          <w:szCs w:val="22"/>
          <w:lang w:val="sl-SI"/>
        </w:rPr>
      </w:pPr>
      <w:r w:rsidRPr="00814B5B">
        <w:rPr>
          <w:szCs w:val="22"/>
          <w:lang w:val="sr-Latn-CS"/>
        </w:rPr>
        <w:t>Na osnovu farmakokinetičkih podataka koji ukazuju na značajno povećanje koncentracije losartana u plazmi kod pacijenta sa cirozom jetre, l</w:t>
      </w:r>
      <w:r w:rsidR="00677B12" w:rsidRPr="00814B5B">
        <w:rPr>
          <w:szCs w:val="22"/>
          <w:lang w:val="sr-Latn-CS"/>
        </w:rPr>
        <w:t>ij</w:t>
      </w:r>
      <w:r w:rsidRPr="00814B5B">
        <w:rPr>
          <w:szCs w:val="22"/>
          <w:lang w:val="sr-Latn-CS"/>
        </w:rPr>
        <w:t xml:space="preserve">ek </w:t>
      </w:r>
      <w:r w:rsidR="000E7FD6" w:rsidRPr="00814B5B">
        <w:rPr>
          <w:szCs w:val="22"/>
          <w:lang w:val="sr-Latn-CS"/>
        </w:rPr>
        <w:t>Losar plus</w:t>
      </w:r>
      <w:r w:rsidRPr="00814B5B">
        <w:rPr>
          <w:szCs w:val="22"/>
          <w:lang w:val="sr-Latn-CS"/>
        </w:rPr>
        <w:t xml:space="preserve"> treba </w:t>
      </w:r>
      <w:r w:rsidR="00704A7B" w:rsidRPr="00814B5B">
        <w:rPr>
          <w:szCs w:val="22"/>
          <w:lang w:val="sr-Latn-CS"/>
        </w:rPr>
        <w:t>prim</w:t>
      </w:r>
      <w:r w:rsidR="00677B12" w:rsidRPr="00814B5B">
        <w:rPr>
          <w:szCs w:val="22"/>
          <w:lang w:val="sr-Latn-CS"/>
        </w:rPr>
        <w:t>j</w:t>
      </w:r>
      <w:r w:rsidR="00704A7B" w:rsidRPr="00814B5B">
        <w:rPr>
          <w:szCs w:val="22"/>
          <w:lang w:val="sr-Latn-CS"/>
        </w:rPr>
        <w:t>enjivati sa oprezom</w:t>
      </w:r>
      <w:r w:rsidRPr="00814B5B">
        <w:rPr>
          <w:szCs w:val="22"/>
          <w:lang w:val="sr-Latn-CS"/>
        </w:rPr>
        <w:t xml:space="preserve"> kod pacijenta sa blagim do um</w:t>
      </w:r>
      <w:r w:rsidR="00677B12" w:rsidRPr="00814B5B">
        <w:rPr>
          <w:szCs w:val="22"/>
          <w:lang w:val="sr-Latn-CS"/>
        </w:rPr>
        <w:t>j</w:t>
      </w:r>
      <w:r w:rsidRPr="00814B5B">
        <w:rPr>
          <w:szCs w:val="22"/>
          <w:lang w:val="sr-Latn-CS"/>
        </w:rPr>
        <w:t>erenim oštećenjem funkcije jetre u anamnezi.</w:t>
      </w:r>
      <w:r w:rsidRPr="00814B5B">
        <w:rPr>
          <w:szCs w:val="22"/>
          <w:lang w:val="sl-SI"/>
        </w:rPr>
        <w:t xml:space="preserve"> </w:t>
      </w:r>
      <w:r w:rsidRPr="00814B5B">
        <w:rPr>
          <w:szCs w:val="22"/>
          <w:lang w:val="sr-Latn-CS"/>
        </w:rPr>
        <w:t>Nema terapijskog iskustva sa losartanom kod pacijenata koji imaju teško oštećenje funkcije jetre.</w:t>
      </w:r>
      <w:r w:rsidRPr="00814B5B">
        <w:rPr>
          <w:szCs w:val="22"/>
          <w:lang w:val="sl-SI"/>
        </w:rPr>
        <w:t xml:space="preserve"> </w:t>
      </w:r>
      <w:r w:rsidRPr="00814B5B">
        <w:rPr>
          <w:szCs w:val="22"/>
          <w:lang w:val="sr-Latn-CS"/>
        </w:rPr>
        <w:t>Zbog toga je l</w:t>
      </w:r>
      <w:r w:rsidR="00677B12" w:rsidRPr="00814B5B">
        <w:rPr>
          <w:szCs w:val="22"/>
          <w:lang w:val="sr-Latn-CS"/>
        </w:rPr>
        <w:t>ij</w:t>
      </w:r>
      <w:r w:rsidRPr="00814B5B">
        <w:rPr>
          <w:szCs w:val="22"/>
          <w:lang w:val="sr-Latn-CS"/>
        </w:rPr>
        <w:t xml:space="preserve">ek </w:t>
      </w:r>
      <w:r w:rsidR="000E7FD6" w:rsidRPr="00814B5B">
        <w:rPr>
          <w:szCs w:val="22"/>
          <w:lang w:val="sr-Latn-CS"/>
        </w:rPr>
        <w:t>Losar plus</w:t>
      </w:r>
      <w:r w:rsidRPr="00814B5B">
        <w:rPr>
          <w:szCs w:val="22"/>
          <w:lang w:val="sr-Latn-CS"/>
        </w:rPr>
        <w:t xml:space="preserve"> kontraindikovan kod pacijenata sa teškim oštećenjem funkcije jetre (vid</w:t>
      </w:r>
      <w:r w:rsidR="004A4D84" w:rsidRPr="00814B5B">
        <w:rPr>
          <w:szCs w:val="22"/>
          <w:lang w:val="sr-Latn-CS"/>
        </w:rPr>
        <w:t>j</w:t>
      </w:r>
      <w:r w:rsidRPr="00814B5B">
        <w:rPr>
          <w:szCs w:val="22"/>
          <w:lang w:val="sr-Latn-CS"/>
        </w:rPr>
        <w:t xml:space="preserve">eti </w:t>
      </w:r>
      <w:r w:rsidR="004A4D84" w:rsidRPr="00814B5B">
        <w:rPr>
          <w:szCs w:val="22"/>
          <w:lang w:val="sr-Latn-CS"/>
        </w:rPr>
        <w:t>djelove</w:t>
      </w:r>
      <w:r w:rsidRPr="00814B5B">
        <w:rPr>
          <w:szCs w:val="22"/>
          <w:lang w:val="sr-Latn-CS"/>
        </w:rPr>
        <w:t xml:space="preserve"> 4.2, 4.3 i 5.2).</w:t>
      </w:r>
    </w:p>
    <w:p w14:paraId="4A503129" w14:textId="77777777" w:rsidR="00C82C4C" w:rsidRPr="00814B5B" w:rsidRDefault="00C82C4C" w:rsidP="007B600E">
      <w:pPr>
        <w:tabs>
          <w:tab w:val="clear" w:pos="284"/>
        </w:tabs>
        <w:autoSpaceDE w:val="0"/>
        <w:autoSpaceDN w:val="0"/>
        <w:adjustRightInd w:val="0"/>
        <w:spacing w:before="120" w:after="120"/>
        <w:rPr>
          <w:i/>
          <w:iCs/>
          <w:szCs w:val="22"/>
          <w:lang w:val="sl-SI"/>
        </w:rPr>
      </w:pPr>
      <w:r w:rsidRPr="00814B5B">
        <w:rPr>
          <w:i/>
          <w:iCs/>
          <w:szCs w:val="22"/>
          <w:lang w:val="sr-Latn-CS"/>
        </w:rPr>
        <w:t>Oštećenje funkcije bubrega</w:t>
      </w:r>
    </w:p>
    <w:p w14:paraId="017AD7A7" w14:textId="33AB4671" w:rsidR="00C82C4C" w:rsidRPr="00814B5B" w:rsidRDefault="00C82C4C" w:rsidP="007B600E">
      <w:pPr>
        <w:tabs>
          <w:tab w:val="clear" w:pos="284"/>
        </w:tabs>
        <w:autoSpaceDE w:val="0"/>
        <w:autoSpaceDN w:val="0"/>
        <w:adjustRightInd w:val="0"/>
        <w:spacing w:before="120" w:after="120"/>
        <w:rPr>
          <w:szCs w:val="22"/>
          <w:lang w:val="sl-SI"/>
        </w:rPr>
      </w:pPr>
      <w:r w:rsidRPr="00814B5B">
        <w:rPr>
          <w:szCs w:val="22"/>
          <w:lang w:val="sr-Latn-CS"/>
        </w:rPr>
        <w:t>Kao posl</w:t>
      </w:r>
      <w:r w:rsidR="004A4D84" w:rsidRPr="00814B5B">
        <w:rPr>
          <w:szCs w:val="22"/>
          <w:lang w:val="sr-Latn-CS"/>
        </w:rPr>
        <w:t>j</w:t>
      </w:r>
      <w:r w:rsidRPr="00814B5B">
        <w:rPr>
          <w:szCs w:val="22"/>
          <w:lang w:val="sr-Latn-CS"/>
        </w:rPr>
        <w:t>edica inhibicije sistema renin-angiotenzin-aldosteron, zab</w:t>
      </w:r>
      <w:r w:rsidR="004A4D84" w:rsidRPr="00814B5B">
        <w:rPr>
          <w:szCs w:val="22"/>
          <w:lang w:val="sr-Latn-CS"/>
        </w:rPr>
        <w:t>i</w:t>
      </w:r>
      <w:r w:rsidRPr="00814B5B">
        <w:rPr>
          <w:szCs w:val="22"/>
          <w:lang w:val="sr-Latn-CS"/>
        </w:rPr>
        <w:t>l</w:t>
      </w:r>
      <w:r w:rsidR="004A4D84" w:rsidRPr="00814B5B">
        <w:rPr>
          <w:szCs w:val="22"/>
          <w:lang w:val="sr-Latn-CS"/>
        </w:rPr>
        <w:t>j</w:t>
      </w:r>
      <w:r w:rsidRPr="00814B5B">
        <w:rPr>
          <w:szCs w:val="22"/>
          <w:lang w:val="sr-Latn-CS"/>
        </w:rPr>
        <w:t>ežene su prom</w:t>
      </w:r>
      <w:r w:rsidR="004A4D84" w:rsidRPr="00814B5B">
        <w:rPr>
          <w:szCs w:val="22"/>
          <w:lang w:val="sr-Latn-CS"/>
        </w:rPr>
        <w:t>j</w:t>
      </w:r>
      <w:r w:rsidRPr="00814B5B">
        <w:rPr>
          <w:szCs w:val="22"/>
          <w:lang w:val="sr-Latn-CS"/>
        </w:rPr>
        <w:t>ene u funkciji bubrega, uključujući i bubrežnu insuficijenciju (naročito kod pacijenata kod kojih funkcija</w:t>
      </w:r>
      <w:r w:rsidR="00011F3D" w:rsidRPr="00814B5B">
        <w:rPr>
          <w:szCs w:val="22"/>
          <w:lang w:val="sr-Latn-CS"/>
        </w:rPr>
        <w:t xml:space="preserve"> bubrega </w:t>
      </w:r>
      <w:r w:rsidRPr="00814B5B">
        <w:rPr>
          <w:szCs w:val="22"/>
          <w:lang w:val="sr-Latn-CS"/>
        </w:rPr>
        <w:t>zavisi od sistema renin-angiotenzin-aldosteron, kao što su oni sa teškom srčanom insuficijencijom ili pacijenti sa postojećim poremećajem renalne funkcije).</w:t>
      </w:r>
    </w:p>
    <w:p w14:paraId="60AFDF68" w14:textId="35834506" w:rsidR="00C82C4C" w:rsidRPr="00814B5B" w:rsidRDefault="00C82C4C" w:rsidP="007B600E">
      <w:pPr>
        <w:tabs>
          <w:tab w:val="clear" w:pos="284"/>
        </w:tabs>
        <w:autoSpaceDE w:val="0"/>
        <w:autoSpaceDN w:val="0"/>
        <w:adjustRightInd w:val="0"/>
        <w:spacing w:before="120" w:after="120"/>
        <w:rPr>
          <w:szCs w:val="22"/>
          <w:lang w:val="sl-SI"/>
        </w:rPr>
      </w:pPr>
      <w:r w:rsidRPr="00814B5B">
        <w:rPr>
          <w:szCs w:val="22"/>
          <w:lang w:val="sr-Latn-CS"/>
        </w:rPr>
        <w:t>Kao i sa drugim l</w:t>
      </w:r>
      <w:r w:rsidR="004A4D84" w:rsidRPr="00814B5B">
        <w:rPr>
          <w:szCs w:val="22"/>
          <w:lang w:val="sr-Latn-CS"/>
        </w:rPr>
        <w:t>j</w:t>
      </w:r>
      <w:r w:rsidRPr="00814B5B">
        <w:rPr>
          <w:szCs w:val="22"/>
          <w:lang w:val="sr-Latn-CS"/>
        </w:rPr>
        <w:t>ekovima koji utiču na sistem renin-angiotenzin-aldosteron, zab</w:t>
      </w:r>
      <w:r w:rsidR="004A4D84" w:rsidRPr="00814B5B">
        <w:rPr>
          <w:szCs w:val="22"/>
          <w:lang w:val="sr-Latn-CS"/>
        </w:rPr>
        <w:t>i</w:t>
      </w:r>
      <w:r w:rsidRPr="00814B5B">
        <w:rPr>
          <w:szCs w:val="22"/>
          <w:lang w:val="sr-Latn-CS"/>
        </w:rPr>
        <w:t>l</w:t>
      </w:r>
      <w:r w:rsidR="004A4D84" w:rsidRPr="00814B5B">
        <w:rPr>
          <w:szCs w:val="22"/>
          <w:lang w:val="sr-Latn-CS"/>
        </w:rPr>
        <w:t>j</w:t>
      </w:r>
      <w:r w:rsidRPr="00814B5B">
        <w:rPr>
          <w:szCs w:val="22"/>
          <w:lang w:val="sr-Latn-CS"/>
        </w:rPr>
        <w:t xml:space="preserve">eženo je i povećanje koncentracije uree u krvi i kreatinina u serumu kod pacijenata </w:t>
      </w:r>
      <w:r w:rsidR="00015B43" w:rsidRPr="00814B5B">
        <w:rPr>
          <w:szCs w:val="22"/>
          <w:lang w:val="sr-Latn-CS"/>
        </w:rPr>
        <w:t>sa</w:t>
      </w:r>
      <w:r w:rsidRPr="00814B5B">
        <w:rPr>
          <w:szCs w:val="22"/>
          <w:lang w:val="sr-Latn-CS"/>
        </w:rPr>
        <w:t xml:space="preserve"> </w:t>
      </w:r>
      <w:r w:rsidR="00015B43" w:rsidRPr="00814B5B">
        <w:rPr>
          <w:szCs w:val="22"/>
          <w:lang w:val="sr-Latn-CS"/>
        </w:rPr>
        <w:t xml:space="preserve">bilateralnom </w:t>
      </w:r>
      <w:r w:rsidRPr="00814B5B">
        <w:rPr>
          <w:szCs w:val="22"/>
          <w:lang w:val="sr-Latn-CS"/>
        </w:rPr>
        <w:t>stenoz</w:t>
      </w:r>
      <w:r w:rsidR="00015B43" w:rsidRPr="00814B5B">
        <w:rPr>
          <w:szCs w:val="22"/>
          <w:lang w:val="sr-Latn-CS"/>
        </w:rPr>
        <w:t>om</w:t>
      </w:r>
      <w:r w:rsidRPr="00814B5B">
        <w:rPr>
          <w:szCs w:val="22"/>
          <w:lang w:val="sr-Latn-CS"/>
        </w:rPr>
        <w:t xml:space="preserve"> bubrežnih arterija ili stenoz</w:t>
      </w:r>
      <w:r w:rsidR="00A344C9" w:rsidRPr="00814B5B">
        <w:rPr>
          <w:szCs w:val="22"/>
          <w:lang w:val="sr-Latn-CS"/>
        </w:rPr>
        <w:t>om</w:t>
      </w:r>
      <w:r w:rsidR="004C3FA5" w:rsidRPr="00814B5B">
        <w:rPr>
          <w:szCs w:val="22"/>
          <w:lang w:val="sr-Latn-CS"/>
        </w:rPr>
        <w:t xml:space="preserve"> bubrežne</w:t>
      </w:r>
      <w:r w:rsidRPr="00814B5B">
        <w:rPr>
          <w:szCs w:val="22"/>
          <w:lang w:val="sr-Latn-CS"/>
        </w:rPr>
        <w:t xml:space="preserve"> arterije </w:t>
      </w:r>
      <w:r w:rsidR="004C3FA5" w:rsidRPr="00814B5B">
        <w:rPr>
          <w:szCs w:val="22"/>
          <w:lang w:val="sr-Latn-CS"/>
        </w:rPr>
        <w:t xml:space="preserve">kod pacijenata sa </w:t>
      </w:r>
      <w:r w:rsidR="00F03F10" w:rsidRPr="00814B5B">
        <w:rPr>
          <w:szCs w:val="22"/>
          <w:lang w:val="sr-Latn-CS"/>
        </w:rPr>
        <w:t>jednim</w:t>
      </w:r>
      <w:r w:rsidR="004C3FA5" w:rsidRPr="00814B5B">
        <w:rPr>
          <w:szCs w:val="22"/>
          <w:lang w:val="sr-Latn-CS"/>
        </w:rPr>
        <w:t xml:space="preserve"> </w:t>
      </w:r>
      <w:r w:rsidRPr="00814B5B">
        <w:rPr>
          <w:szCs w:val="22"/>
          <w:lang w:val="sr-Latn-CS"/>
        </w:rPr>
        <w:t>bubreg</w:t>
      </w:r>
      <w:r w:rsidR="00F03F10" w:rsidRPr="00814B5B">
        <w:rPr>
          <w:szCs w:val="22"/>
          <w:lang w:val="sr-Latn-CS"/>
        </w:rPr>
        <w:t>om</w:t>
      </w:r>
      <w:r w:rsidRPr="00814B5B">
        <w:rPr>
          <w:szCs w:val="22"/>
          <w:lang w:val="sr-Latn-CS"/>
        </w:rPr>
        <w:t>. Ove prom</w:t>
      </w:r>
      <w:r w:rsidR="004A4D84" w:rsidRPr="00814B5B">
        <w:rPr>
          <w:szCs w:val="22"/>
          <w:lang w:val="sr-Latn-CS"/>
        </w:rPr>
        <w:t>j</w:t>
      </w:r>
      <w:r w:rsidRPr="00814B5B">
        <w:rPr>
          <w:szCs w:val="22"/>
          <w:lang w:val="sr-Latn-CS"/>
        </w:rPr>
        <w:t xml:space="preserve">ene </w:t>
      </w:r>
      <w:r w:rsidR="0076357C" w:rsidRPr="00814B5B">
        <w:rPr>
          <w:szCs w:val="22"/>
          <w:lang w:val="sr-Latn-CS"/>
        </w:rPr>
        <w:t>bubrežne</w:t>
      </w:r>
      <w:r w:rsidRPr="00814B5B">
        <w:rPr>
          <w:szCs w:val="22"/>
          <w:lang w:val="sr-Latn-CS"/>
        </w:rPr>
        <w:t xml:space="preserve"> funkcij</w:t>
      </w:r>
      <w:r w:rsidR="0076357C" w:rsidRPr="00814B5B">
        <w:rPr>
          <w:szCs w:val="22"/>
          <w:lang w:val="sr-Latn-CS"/>
        </w:rPr>
        <w:t>e</w:t>
      </w:r>
      <w:r w:rsidRPr="00814B5B">
        <w:rPr>
          <w:szCs w:val="22"/>
          <w:lang w:val="sr-Latn-CS"/>
        </w:rPr>
        <w:t xml:space="preserve"> mogu biti reverzibilne nakon prekida terapije.</w:t>
      </w:r>
      <w:r w:rsidRPr="00814B5B">
        <w:rPr>
          <w:szCs w:val="22"/>
          <w:lang w:val="sl-SI"/>
        </w:rPr>
        <w:t xml:space="preserve"> </w:t>
      </w:r>
      <w:r w:rsidRPr="00814B5B">
        <w:rPr>
          <w:szCs w:val="22"/>
          <w:lang w:val="sr-Latn-CS"/>
        </w:rPr>
        <w:t>Losartan treba prim</w:t>
      </w:r>
      <w:r w:rsidR="004A4D84" w:rsidRPr="00814B5B">
        <w:rPr>
          <w:szCs w:val="22"/>
          <w:lang w:val="sr-Latn-CS"/>
        </w:rPr>
        <w:t>j</w:t>
      </w:r>
      <w:r w:rsidRPr="00814B5B">
        <w:rPr>
          <w:szCs w:val="22"/>
          <w:lang w:val="sr-Latn-CS"/>
        </w:rPr>
        <w:t xml:space="preserve">enjivati </w:t>
      </w:r>
      <w:r w:rsidR="0029392D" w:rsidRPr="00814B5B">
        <w:rPr>
          <w:szCs w:val="22"/>
          <w:lang w:val="sr-Latn-CS"/>
        </w:rPr>
        <w:t xml:space="preserve">sa oprezom </w:t>
      </w:r>
      <w:r w:rsidRPr="00814B5B">
        <w:rPr>
          <w:szCs w:val="22"/>
          <w:lang w:val="sr-Latn-CS"/>
        </w:rPr>
        <w:t xml:space="preserve">kod pacijenata sa bilateralnom stenozom bubrežnih arterija ili </w:t>
      </w:r>
      <w:r w:rsidR="00D451DA" w:rsidRPr="00814B5B">
        <w:rPr>
          <w:szCs w:val="22"/>
          <w:lang w:val="sr-Latn-CS"/>
        </w:rPr>
        <w:t xml:space="preserve">unilateralnom </w:t>
      </w:r>
      <w:r w:rsidRPr="00814B5B">
        <w:rPr>
          <w:szCs w:val="22"/>
          <w:lang w:val="sr-Latn-CS"/>
        </w:rPr>
        <w:t>stenozom arterije jedinog bubrega.</w:t>
      </w:r>
    </w:p>
    <w:p w14:paraId="5388EE69" w14:textId="77777777" w:rsidR="00C82C4C" w:rsidRPr="00814B5B" w:rsidRDefault="00C82C4C" w:rsidP="007B600E">
      <w:pPr>
        <w:tabs>
          <w:tab w:val="clear" w:pos="284"/>
        </w:tabs>
        <w:autoSpaceDE w:val="0"/>
        <w:autoSpaceDN w:val="0"/>
        <w:adjustRightInd w:val="0"/>
        <w:spacing w:before="120" w:after="120"/>
        <w:rPr>
          <w:i/>
          <w:iCs/>
          <w:szCs w:val="22"/>
          <w:lang w:val="sl-SI"/>
        </w:rPr>
      </w:pPr>
      <w:r w:rsidRPr="00814B5B">
        <w:rPr>
          <w:i/>
          <w:iCs/>
          <w:szCs w:val="22"/>
          <w:lang w:val="sr-Latn-CS"/>
        </w:rPr>
        <w:t>Transplantacija bubrega</w:t>
      </w:r>
    </w:p>
    <w:p w14:paraId="472F0551" w14:textId="07FBCD81" w:rsidR="00C82C4C" w:rsidRPr="00814B5B" w:rsidRDefault="00C82C4C" w:rsidP="007B600E">
      <w:pPr>
        <w:tabs>
          <w:tab w:val="clear" w:pos="284"/>
        </w:tabs>
        <w:autoSpaceDE w:val="0"/>
        <w:autoSpaceDN w:val="0"/>
        <w:adjustRightInd w:val="0"/>
        <w:spacing w:before="120" w:after="120"/>
        <w:rPr>
          <w:szCs w:val="22"/>
          <w:lang w:val="sl-SI"/>
        </w:rPr>
      </w:pPr>
      <w:r w:rsidRPr="00814B5B">
        <w:rPr>
          <w:szCs w:val="22"/>
          <w:lang w:val="sr-Latn-CS"/>
        </w:rPr>
        <w:t>Nema dostupnih podataka o prim</w:t>
      </w:r>
      <w:r w:rsidR="004A4D84" w:rsidRPr="00814B5B">
        <w:rPr>
          <w:szCs w:val="22"/>
          <w:lang w:val="sr-Latn-CS"/>
        </w:rPr>
        <w:t>j</w:t>
      </w:r>
      <w:r w:rsidRPr="00814B5B">
        <w:rPr>
          <w:szCs w:val="22"/>
          <w:lang w:val="sr-Latn-CS"/>
        </w:rPr>
        <w:t>eni losartana kod pacijenata kojima je nedavno transplantiran bubreg.</w:t>
      </w:r>
    </w:p>
    <w:p w14:paraId="7C273176" w14:textId="77777777" w:rsidR="00C82C4C" w:rsidRPr="00814B5B" w:rsidRDefault="00C82C4C" w:rsidP="007B600E">
      <w:pPr>
        <w:tabs>
          <w:tab w:val="clear" w:pos="284"/>
        </w:tabs>
        <w:autoSpaceDE w:val="0"/>
        <w:autoSpaceDN w:val="0"/>
        <w:adjustRightInd w:val="0"/>
        <w:spacing w:before="120" w:after="120"/>
        <w:rPr>
          <w:i/>
          <w:iCs/>
          <w:szCs w:val="22"/>
          <w:lang w:val="sl-SI"/>
        </w:rPr>
      </w:pPr>
      <w:r w:rsidRPr="00814B5B">
        <w:rPr>
          <w:i/>
          <w:iCs/>
          <w:szCs w:val="22"/>
          <w:lang w:val="sr-Latn-CS"/>
        </w:rPr>
        <w:t>Primarni hiperaldosteronizam</w:t>
      </w:r>
    </w:p>
    <w:p w14:paraId="06A1757B" w14:textId="4E1F9AB0" w:rsidR="00C82C4C" w:rsidRPr="00814B5B" w:rsidRDefault="00C82C4C" w:rsidP="007B600E">
      <w:pPr>
        <w:tabs>
          <w:tab w:val="clear" w:pos="284"/>
        </w:tabs>
        <w:autoSpaceDE w:val="0"/>
        <w:autoSpaceDN w:val="0"/>
        <w:adjustRightInd w:val="0"/>
        <w:spacing w:before="120" w:after="120"/>
        <w:rPr>
          <w:szCs w:val="22"/>
          <w:lang w:val="sl-SI"/>
        </w:rPr>
      </w:pPr>
      <w:r w:rsidRPr="00814B5B">
        <w:rPr>
          <w:szCs w:val="22"/>
          <w:lang w:val="sr-Latn-CS"/>
        </w:rPr>
        <w:t xml:space="preserve">Pacijenti sa primarnim hiperaldosteronizmom </w:t>
      </w:r>
      <w:r w:rsidR="00935E43" w:rsidRPr="00814B5B">
        <w:rPr>
          <w:szCs w:val="22"/>
          <w:lang w:val="sr-Latn-CS"/>
        </w:rPr>
        <w:t xml:space="preserve">uglavnom </w:t>
      </w:r>
      <w:r w:rsidRPr="00814B5B">
        <w:rPr>
          <w:szCs w:val="22"/>
          <w:lang w:val="sr-Latn-CS"/>
        </w:rPr>
        <w:t>neće imati terapijski odgovor na antihipertenzivne l</w:t>
      </w:r>
      <w:r w:rsidR="004A4D84" w:rsidRPr="00814B5B">
        <w:rPr>
          <w:szCs w:val="22"/>
          <w:lang w:val="sr-Latn-CS"/>
        </w:rPr>
        <w:t>j</w:t>
      </w:r>
      <w:r w:rsidRPr="00814B5B">
        <w:rPr>
          <w:szCs w:val="22"/>
          <w:lang w:val="sr-Latn-CS"/>
        </w:rPr>
        <w:t>ekove koji d</w:t>
      </w:r>
      <w:r w:rsidR="004A4D84" w:rsidRPr="00814B5B">
        <w:rPr>
          <w:szCs w:val="22"/>
          <w:lang w:val="sr-Latn-CS"/>
        </w:rPr>
        <w:t>j</w:t>
      </w:r>
      <w:r w:rsidRPr="00814B5B">
        <w:rPr>
          <w:szCs w:val="22"/>
          <w:lang w:val="sr-Latn-CS"/>
        </w:rPr>
        <w:t>eluju putem inhibicije renin-angiotenzin sistema.</w:t>
      </w:r>
      <w:r w:rsidRPr="00814B5B">
        <w:rPr>
          <w:szCs w:val="22"/>
          <w:lang w:val="sl-SI"/>
        </w:rPr>
        <w:t xml:space="preserve"> </w:t>
      </w:r>
      <w:r w:rsidRPr="00814B5B">
        <w:rPr>
          <w:szCs w:val="22"/>
          <w:lang w:val="sr-Latn-CS"/>
        </w:rPr>
        <w:t xml:space="preserve">Zbog toga se kod </w:t>
      </w:r>
      <w:r w:rsidR="00315E20" w:rsidRPr="00814B5B">
        <w:rPr>
          <w:szCs w:val="22"/>
          <w:lang w:val="sr-Latn-CS"/>
        </w:rPr>
        <w:t xml:space="preserve">ovih pacijenata </w:t>
      </w:r>
      <w:r w:rsidRPr="00814B5B">
        <w:rPr>
          <w:szCs w:val="22"/>
          <w:lang w:val="sr-Latn-CS"/>
        </w:rPr>
        <w:t xml:space="preserve">ne preporučuje </w:t>
      </w:r>
      <w:r w:rsidR="007E4572" w:rsidRPr="00814B5B">
        <w:rPr>
          <w:szCs w:val="22"/>
          <w:lang w:val="sr-Latn-CS"/>
        </w:rPr>
        <w:t>primjena</w:t>
      </w:r>
      <w:r w:rsidRPr="00814B5B">
        <w:rPr>
          <w:szCs w:val="22"/>
          <w:lang w:val="sr-Latn-CS"/>
        </w:rPr>
        <w:t xml:space="preserve"> l</w:t>
      </w:r>
      <w:r w:rsidR="004A4D84" w:rsidRPr="00814B5B">
        <w:rPr>
          <w:szCs w:val="22"/>
          <w:lang w:val="sr-Latn-CS"/>
        </w:rPr>
        <w:t>ij</w:t>
      </w:r>
      <w:r w:rsidRPr="00814B5B">
        <w:rPr>
          <w:szCs w:val="22"/>
          <w:lang w:val="sr-Latn-CS"/>
        </w:rPr>
        <w:t xml:space="preserve">eka </w:t>
      </w:r>
      <w:r w:rsidR="000E7FD6" w:rsidRPr="00814B5B">
        <w:rPr>
          <w:szCs w:val="22"/>
          <w:lang w:val="sr-Latn-CS"/>
        </w:rPr>
        <w:t>Losar plus</w:t>
      </w:r>
      <w:r w:rsidRPr="00814B5B">
        <w:rPr>
          <w:szCs w:val="22"/>
          <w:lang w:val="sr-Latn-CS"/>
        </w:rPr>
        <w:t>.</w:t>
      </w:r>
    </w:p>
    <w:p w14:paraId="4674BA80" w14:textId="2A5E34B7" w:rsidR="00C82C4C" w:rsidRPr="00814B5B" w:rsidRDefault="0031014D" w:rsidP="007B600E">
      <w:pPr>
        <w:tabs>
          <w:tab w:val="clear" w:pos="284"/>
        </w:tabs>
        <w:autoSpaceDE w:val="0"/>
        <w:autoSpaceDN w:val="0"/>
        <w:adjustRightInd w:val="0"/>
        <w:spacing w:before="120" w:after="120"/>
        <w:rPr>
          <w:i/>
          <w:iCs/>
          <w:szCs w:val="22"/>
          <w:lang w:val="sl-SI"/>
        </w:rPr>
      </w:pPr>
      <w:r w:rsidRPr="00814B5B">
        <w:rPr>
          <w:i/>
          <w:iCs/>
          <w:szCs w:val="22"/>
          <w:lang w:val="sr-Latn-CS"/>
        </w:rPr>
        <w:t xml:space="preserve">Koronarna bolest </w:t>
      </w:r>
      <w:r w:rsidR="00C82C4C" w:rsidRPr="00814B5B">
        <w:rPr>
          <w:i/>
          <w:iCs/>
          <w:szCs w:val="22"/>
          <w:lang w:val="sr-Latn-CS"/>
        </w:rPr>
        <w:t>i cerebrovaskularna oboljenja</w:t>
      </w:r>
    </w:p>
    <w:p w14:paraId="07239027" w14:textId="2D7E2050" w:rsidR="00C82C4C" w:rsidRPr="00814B5B" w:rsidRDefault="00C82C4C" w:rsidP="007B600E">
      <w:pPr>
        <w:tabs>
          <w:tab w:val="clear" w:pos="284"/>
        </w:tabs>
        <w:autoSpaceDE w:val="0"/>
        <w:autoSpaceDN w:val="0"/>
        <w:adjustRightInd w:val="0"/>
        <w:spacing w:before="120" w:after="120"/>
        <w:rPr>
          <w:szCs w:val="22"/>
          <w:lang w:val="sl-SI"/>
        </w:rPr>
      </w:pPr>
      <w:r w:rsidRPr="00814B5B">
        <w:rPr>
          <w:szCs w:val="22"/>
          <w:lang w:val="sr-Latn-CS"/>
        </w:rPr>
        <w:t xml:space="preserve">Kao </w:t>
      </w:r>
      <w:r w:rsidR="00812D02" w:rsidRPr="00814B5B">
        <w:rPr>
          <w:szCs w:val="22"/>
          <w:lang w:val="sr-Latn-CS"/>
        </w:rPr>
        <w:t>i kod</w:t>
      </w:r>
      <w:r w:rsidRPr="00814B5B">
        <w:rPr>
          <w:szCs w:val="22"/>
          <w:lang w:val="sr-Latn-CS"/>
        </w:rPr>
        <w:t xml:space="preserve"> drugi</w:t>
      </w:r>
      <w:r w:rsidR="00812D02" w:rsidRPr="00814B5B">
        <w:rPr>
          <w:szCs w:val="22"/>
          <w:lang w:val="sr-Latn-CS"/>
        </w:rPr>
        <w:t>h</w:t>
      </w:r>
      <w:r w:rsidRPr="00814B5B">
        <w:rPr>
          <w:szCs w:val="22"/>
          <w:lang w:val="sr-Latn-CS"/>
        </w:rPr>
        <w:t xml:space="preserve"> antihipertenziv</w:t>
      </w:r>
      <w:r w:rsidR="00812D02" w:rsidRPr="00814B5B">
        <w:rPr>
          <w:szCs w:val="22"/>
          <w:lang w:val="sr-Latn-CS"/>
        </w:rPr>
        <w:t>a</w:t>
      </w:r>
      <w:r w:rsidRPr="00814B5B">
        <w:rPr>
          <w:szCs w:val="22"/>
          <w:lang w:val="sr-Latn-CS"/>
        </w:rPr>
        <w:t>, pret</w:t>
      </w:r>
      <w:r w:rsidR="004A4D84" w:rsidRPr="00814B5B">
        <w:rPr>
          <w:szCs w:val="22"/>
          <w:lang w:val="sr-Latn-CS"/>
        </w:rPr>
        <w:t>j</w:t>
      </w:r>
      <w:r w:rsidRPr="00814B5B">
        <w:rPr>
          <w:szCs w:val="22"/>
          <w:lang w:val="sr-Latn-CS"/>
        </w:rPr>
        <w:t>erano sniženje krvnog pritiska kod pacijenata sa ishemijskim kardiovaskularnim i cerebrovaskularnim oboljenjima može da dovede do infarkta miokarda ili moždanog udara.</w:t>
      </w:r>
    </w:p>
    <w:p w14:paraId="7E3BB50C" w14:textId="77777777" w:rsidR="00C82C4C" w:rsidRPr="00814B5B" w:rsidRDefault="00C82C4C" w:rsidP="007B600E">
      <w:pPr>
        <w:tabs>
          <w:tab w:val="clear" w:pos="284"/>
        </w:tabs>
        <w:autoSpaceDE w:val="0"/>
        <w:autoSpaceDN w:val="0"/>
        <w:adjustRightInd w:val="0"/>
        <w:spacing w:before="120" w:after="120"/>
        <w:rPr>
          <w:i/>
          <w:iCs/>
          <w:szCs w:val="22"/>
          <w:lang w:val="sl-SI"/>
        </w:rPr>
      </w:pPr>
      <w:r w:rsidRPr="00814B5B">
        <w:rPr>
          <w:i/>
          <w:iCs/>
          <w:szCs w:val="22"/>
          <w:lang w:val="sr-Latn-CS"/>
        </w:rPr>
        <w:t>Insuficijencija srca</w:t>
      </w:r>
    </w:p>
    <w:p w14:paraId="539D9BCC" w14:textId="3C409F77" w:rsidR="00C82C4C" w:rsidRPr="00814B5B" w:rsidRDefault="00C82C4C" w:rsidP="007B600E">
      <w:pPr>
        <w:tabs>
          <w:tab w:val="clear" w:pos="284"/>
        </w:tabs>
        <w:autoSpaceDE w:val="0"/>
        <w:autoSpaceDN w:val="0"/>
        <w:adjustRightInd w:val="0"/>
        <w:spacing w:before="120" w:after="120"/>
        <w:rPr>
          <w:szCs w:val="22"/>
          <w:lang w:val="sl-SI"/>
        </w:rPr>
      </w:pPr>
      <w:r w:rsidRPr="00814B5B">
        <w:rPr>
          <w:szCs w:val="22"/>
          <w:lang w:val="sr-Latn-CS"/>
        </w:rPr>
        <w:t>Kod pacijenata sa srčanom insuficijencijom, sa ili bez oštećenja funkcije bubrega, kao i pri prim</w:t>
      </w:r>
      <w:r w:rsidR="004A4D84" w:rsidRPr="00814B5B">
        <w:rPr>
          <w:szCs w:val="22"/>
          <w:lang w:val="sr-Latn-CS"/>
        </w:rPr>
        <w:t>j</w:t>
      </w:r>
      <w:r w:rsidRPr="00814B5B">
        <w:rPr>
          <w:szCs w:val="22"/>
          <w:lang w:val="sr-Latn-CS"/>
        </w:rPr>
        <w:t>eni drugih l</w:t>
      </w:r>
      <w:r w:rsidR="004A4D84" w:rsidRPr="00814B5B">
        <w:rPr>
          <w:szCs w:val="22"/>
          <w:lang w:val="sr-Latn-CS"/>
        </w:rPr>
        <w:t>j</w:t>
      </w:r>
      <w:r w:rsidRPr="00814B5B">
        <w:rPr>
          <w:szCs w:val="22"/>
          <w:lang w:val="sr-Latn-CS"/>
        </w:rPr>
        <w:t>ekova koji d</w:t>
      </w:r>
      <w:r w:rsidR="004A4D84" w:rsidRPr="00814B5B">
        <w:rPr>
          <w:szCs w:val="22"/>
          <w:lang w:val="sr-Latn-CS"/>
        </w:rPr>
        <w:t>j</w:t>
      </w:r>
      <w:r w:rsidRPr="00814B5B">
        <w:rPr>
          <w:szCs w:val="22"/>
          <w:lang w:val="sr-Latn-CS"/>
        </w:rPr>
        <w:t>eluju na sistem renin-angiotenzin, postoji rizik od pojave teške arterijske hipotenzije i (često akutnog) oštećenja funkcije bubrega.</w:t>
      </w:r>
    </w:p>
    <w:p w14:paraId="14C17A09" w14:textId="0BF65E07" w:rsidR="00C82C4C" w:rsidRPr="00814B5B" w:rsidRDefault="00C82C4C" w:rsidP="007B600E">
      <w:pPr>
        <w:tabs>
          <w:tab w:val="clear" w:pos="284"/>
        </w:tabs>
        <w:autoSpaceDE w:val="0"/>
        <w:autoSpaceDN w:val="0"/>
        <w:adjustRightInd w:val="0"/>
        <w:spacing w:before="120" w:after="120"/>
        <w:rPr>
          <w:i/>
          <w:iCs/>
          <w:szCs w:val="22"/>
          <w:lang w:val="sl-SI"/>
        </w:rPr>
      </w:pPr>
      <w:r w:rsidRPr="00814B5B">
        <w:rPr>
          <w:i/>
          <w:iCs/>
          <w:szCs w:val="22"/>
          <w:lang w:val="sr-Latn-CS"/>
        </w:rPr>
        <w:t xml:space="preserve">Stenoza </w:t>
      </w:r>
      <w:r w:rsidR="00DA6329" w:rsidRPr="00814B5B">
        <w:rPr>
          <w:i/>
          <w:iCs/>
          <w:szCs w:val="22"/>
          <w:lang w:val="sr-Latn-CS"/>
        </w:rPr>
        <w:t xml:space="preserve">aortnog </w:t>
      </w:r>
      <w:r w:rsidRPr="00814B5B">
        <w:rPr>
          <w:i/>
          <w:iCs/>
          <w:szCs w:val="22"/>
          <w:lang w:val="sr-Latn-CS"/>
        </w:rPr>
        <w:t>i mitralnog zaliska, opstruktivna hipertrofična kardiomiopatija</w:t>
      </w:r>
    </w:p>
    <w:p w14:paraId="5D736FD4" w14:textId="163265B6" w:rsidR="00C82C4C" w:rsidRPr="00814B5B" w:rsidRDefault="00C82C4C" w:rsidP="007B600E">
      <w:pPr>
        <w:tabs>
          <w:tab w:val="clear" w:pos="284"/>
        </w:tabs>
        <w:autoSpaceDE w:val="0"/>
        <w:autoSpaceDN w:val="0"/>
        <w:adjustRightInd w:val="0"/>
        <w:spacing w:before="120" w:after="120"/>
        <w:rPr>
          <w:szCs w:val="22"/>
          <w:lang w:val="sl-SI"/>
        </w:rPr>
      </w:pPr>
      <w:r w:rsidRPr="00814B5B">
        <w:rPr>
          <w:szCs w:val="22"/>
          <w:lang w:val="sr-Latn-CS"/>
        </w:rPr>
        <w:t>Kao i pri prim</w:t>
      </w:r>
      <w:r w:rsidR="004A4D84" w:rsidRPr="00814B5B">
        <w:rPr>
          <w:szCs w:val="22"/>
          <w:lang w:val="sr-Latn-CS"/>
        </w:rPr>
        <w:t>j</w:t>
      </w:r>
      <w:r w:rsidRPr="00814B5B">
        <w:rPr>
          <w:szCs w:val="22"/>
          <w:lang w:val="sr-Latn-CS"/>
        </w:rPr>
        <w:t>eni drugih vazodilatatora, potreban je poseban oprez kod pacijenata sa aortnom ili mitralnom stenozom ili opstruktivnom hipertrofičnom kardiomiopatijom.</w:t>
      </w:r>
    </w:p>
    <w:p w14:paraId="049442EA" w14:textId="77777777" w:rsidR="00C82C4C" w:rsidRPr="00814B5B" w:rsidRDefault="00C82C4C" w:rsidP="007B600E">
      <w:pPr>
        <w:tabs>
          <w:tab w:val="clear" w:pos="284"/>
        </w:tabs>
        <w:autoSpaceDE w:val="0"/>
        <w:autoSpaceDN w:val="0"/>
        <w:adjustRightInd w:val="0"/>
        <w:spacing w:before="120" w:after="120"/>
        <w:rPr>
          <w:i/>
          <w:iCs/>
          <w:szCs w:val="22"/>
          <w:lang w:val="sl-SI"/>
        </w:rPr>
      </w:pPr>
      <w:r w:rsidRPr="00814B5B">
        <w:rPr>
          <w:i/>
          <w:iCs/>
          <w:szCs w:val="22"/>
          <w:lang w:val="sr-Latn-CS"/>
        </w:rPr>
        <w:t>Etničke razlike</w:t>
      </w:r>
    </w:p>
    <w:p w14:paraId="46D7BB90" w14:textId="6627A841" w:rsidR="00C82C4C" w:rsidRPr="00814B5B" w:rsidRDefault="00C82C4C" w:rsidP="007B600E">
      <w:pPr>
        <w:tabs>
          <w:tab w:val="clear" w:pos="284"/>
        </w:tabs>
        <w:autoSpaceDE w:val="0"/>
        <w:autoSpaceDN w:val="0"/>
        <w:adjustRightInd w:val="0"/>
        <w:spacing w:before="120" w:after="120"/>
        <w:rPr>
          <w:szCs w:val="22"/>
          <w:lang w:val="sl-SI"/>
        </w:rPr>
      </w:pPr>
      <w:r w:rsidRPr="00814B5B">
        <w:rPr>
          <w:szCs w:val="22"/>
          <w:lang w:val="sr-Latn-CS"/>
        </w:rPr>
        <w:t>Kako je prim</w:t>
      </w:r>
      <w:r w:rsidR="004A4D84" w:rsidRPr="00814B5B">
        <w:rPr>
          <w:szCs w:val="22"/>
          <w:lang w:val="sr-Latn-CS"/>
        </w:rPr>
        <w:t>ij</w:t>
      </w:r>
      <w:r w:rsidRPr="00814B5B">
        <w:rPr>
          <w:szCs w:val="22"/>
          <w:lang w:val="sr-Latn-CS"/>
        </w:rPr>
        <w:t>ećeno</w:t>
      </w:r>
      <w:r w:rsidR="006801A8" w:rsidRPr="00814B5B">
        <w:rPr>
          <w:szCs w:val="22"/>
          <w:lang w:val="sr-Latn-CS"/>
        </w:rPr>
        <w:t xml:space="preserve"> </w:t>
      </w:r>
      <w:r w:rsidRPr="00814B5B">
        <w:rPr>
          <w:szCs w:val="22"/>
          <w:lang w:val="sr-Latn-CS"/>
        </w:rPr>
        <w:t>kod inhibitora angiotenzin konvertujućeg enzima (ACE inhibitori), losartan i ostali antagonisti angiotenzina su manje efikasni u snižavanju krvnog pritiska kod pripadnika crne rase nego kod drugih rasa, v</w:t>
      </w:r>
      <w:r w:rsidR="004A4D84" w:rsidRPr="00814B5B">
        <w:rPr>
          <w:szCs w:val="22"/>
          <w:lang w:val="sr-Latn-CS"/>
        </w:rPr>
        <w:t>j</w:t>
      </w:r>
      <w:r w:rsidRPr="00814B5B">
        <w:rPr>
          <w:szCs w:val="22"/>
          <w:lang w:val="sr-Latn-CS"/>
        </w:rPr>
        <w:t xml:space="preserve">erovatno zbog veće </w:t>
      </w:r>
      <w:r w:rsidR="00525AFC" w:rsidRPr="00814B5B">
        <w:rPr>
          <w:szCs w:val="22"/>
          <w:lang w:val="sr-Latn-CS"/>
        </w:rPr>
        <w:t xml:space="preserve">učestalosti </w:t>
      </w:r>
      <w:r w:rsidRPr="00814B5B">
        <w:rPr>
          <w:szCs w:val="22"/>
          <w:lang w:val="sr-Latn-CS"/>
        </w:rPr>
        <w:t xml:space="preserve">stanja </w:t>
      </w:r>
      <w:r w:rsidR="00875F95" w:rsidRPr="00814B5B">
        <w:rPr>
          <w:szCs w:val="22"/>
          <w:lang w:val="sr-Latn-CS"/>
        </w:rPr>
        <w:t xml:space="preserve">sa niskim </w:t>
      </w:r>
      <w:r w:rsidRPr="00814B5B">
        <w:rPr>
          <w:szCs w:val="22"/>
          <w:lang w:val="sr-Latn-CS"/>
        </w:rPr>
        <w:t>vr</w:t>
      </w:r>
      <w:r w:rsidR="004A4D84" w:rsidRPr="00814B5B">
        <w:rPr>
          <w:szCs w:val="22"/>
          <w:lang w:val="sr-Latn-CS"/>
        </w:rPr>
        <w:t>ij</w:t>
      </w:r>
      <w:r w:rsidRPr="00814B5B">
        <w:rPr>
          <w:szCs w:val="22"/>
          <w:lang w:val="sr-Latn-CS"/>
        </w:rPr>
        <w:t>ednosti</w:t>
      </w:r>
      <w:r w:rsidR="00875F95" w:rsidRPr="00814B5B">
        <w:rPr>
          <w:szCs w:val="22"/>
          <w:lang w:val="sr-Latn-CS"/>
        </w:rPr>
        <w:t>ma</w:t>
      </w:r>
      <w:r w:rsidRPr="00814B5B">
        <w:rPr>
          <w:szCs w:val="22"/>
          <w:lang w:val="sr-Latn-CS"/>
        </w:rPr>
        <w:t xml:space="preserve"> renina kod pripadnika crne rase sa hipertenzijom.</w:t>
      </w:r>
    </w:p>
    <w:p w14:paraId="7AA4867E" w14:textId="77777777" w:rsidR="00C82C4C" w:rsidRPr="00814B5B" w:rsidRDefault="00C82C4C" w:rsidP="007B600E">
      <w:pPr>
        <w:tabs>
          <w:tab w:val="clear" w:pos="284"/>
        </w:tabs>
        <w:autoSpaceDE w:val="0"/>
        <w:autoSpaceDN w:val="0"/>
        <w:adjustRightInd w:val="0"/>
        <w:spacing w:before="120" w:after="120"/>
        <w:rPr>
          <w:i/>
          <w:iCs/>
          <w:szCs w:val="22"/>
          <w:lang w:val="sl-SI"/>
        </w:rPr>
      </w:pPr>
      <w:r w:rsidRPr="00814B5B">
        <w:rPr>
          <w:i/>
          <w:iCs/>
          <w:szCs w:val="22"/>
          <w:lang w:val="sr-Latn-CS"/>
        </w:rPr>
        <w:t>Trudnoća</w:t>
      </w:r>
    </w:p>
    <w:p w14:paraId="14C89C1E" w14:textId="7D0C2563" w:rsidR="00C82C4C" w:rsidRPr="00814B5B" w:rsidRDefault="00C82C4C" w:rsidP="007B600E">
      <w:pPr>
        <w:tabs>
          <w:tab w:val="clear" w:pos="284"/>
        </w:tabs>
        <w:autoSpaceDE w:val="0"/>
        <w:autoSpaceDN w:val="0"/>
        <w:adjustRightInd w:val="0"/>
        <w:spacing w:before="120" w:after="120"/>
        <w:rPr>
          <w:szCs w:val="22"/>
          <w:lang w:val="sl-SI"/>
        </w:rPr>
      </w:pPr>
      <w:r w:rsidRPr="00814B5B">
        <w:rPr>
          <w:szCs w:val="22"/>
          <w:lang w:val="sr-Latn-CS" w:eastAsia="sr-Latn-CS"/>
        </w:rPr>
        <w:t>L</w:t>
      </w:r>
      <w:r w:rsidR="004A4D84" w:rsidRPr="00814B5B">
        <w:rPr>
          <w:szCs w:val="22"/>
          <w:lang w:val="sr-Latn-CS" w:eastAsia="sr-Latn-CS"/>
        </w:rPr>
        <w:t>j</w:t>
      </w:r>
      <w:r w:rsidRPr="00814B5B">
        <w:rPr>
          <w:szCs w:val="22"/>
          <w:lang w:val="sr-Latn-CS" w:eastAsia="sr-Latn-CS"/>
        </w:rPr>
        <w:t>ekove iz grupe a</w:t>
      </w:r>
      <w:r w:rsidRPr="00814B5B">
        <w:rPr>
          <w:szCs w:val="22"/>
          <w:lang w:val="sr-Latn-CS"/>
        </w:rPr>
        <w:t>ntagonista receptora angiotenzina II ne treba uvoditi tokom trudnoće.</w:t>
      </w:r>
      <w:r w:rsidRPr="00814B5B">
        <w:rPr>
          <w:szCs w:val="22"/>
          <w:lang w:val="sl-SI"/>
        </w:rPr>
        <w:t xml:space="preserve"> </w:t>
      </w:r>
      <w:r w:rsidR="00664EA3" w:rsidRPr="00814B5B">
        <w:rPr>
          <w:szCs w:val="22"/>
          <w:lang w:val="sr-Latn-CS"/>
        </w:rPr>
        <w:t>Ukoliko</w:t>
      </w:r>
      <w:r w:rsidRPr="00814B5B">
        <w:rPr>
          <w:szCs w:val="22"/>
          <w:lang w:val="sr-Latn-CS"/>
        </w:rPr>
        <w:t xml:space="preserve"> se smatra da je nastavak terapije l</w:t>
      </w:r>
      <w:r w:rsidR="004A4D84" w:rsidRPr="00814B5B">
        <w:rPr>
          <w:szCs w:val="22"/>
          <w:lang w:val="sr-Latn-CS"/>
        </w:rPr>
        <w:t>j</w:t>
      </w:r>
      <w:r w:rsidRPr="00814B5B">
        <w:rPr>
          <w:szCs w:val="22"/>
          <w:lang w:val="sr-Latn-CS"/>
        </w:rPr>
        <w:t>ekovima iz grupe a</w:t>
      </w:r>
      <w:r w:rsidRPr="00814B5B">
        <w:rPr>
          <w:noProof/>
          <w:snapToGrid w:val="0"/>
          <w:szCs w:val="22"/>
          <w:lang w:val="sr-Latn-CS"/>
        </w:rPr>
        <w:t xml:space="preserve">ntagonista receptora angiotenzina II </w:t>
      </w:r>
      <w:r w:rsidRPr="00814B5B">
        <w:rPr>
          <w:szCs w:val="22"/>
          <w:lang w:val="sr-Latn-CS"/>
        </w:rPr>
        <w:t xml:space="preserve">neophodan, pacijentkinje koje planiraju trudnoću treba prebaciti na </w:t>
      </w:r>
      <w:r w:rsidR="008032D4" w:rsidRPr="00814B5B">
        <w:rPr>
          <w:szCs w:val="22"/>
          <w:lang w:val="sr-Latn-CS"/>
        </w:rPr>
        <w:t>alternativnu antihipertenzivnu terapiju</w:t>
      </w:r>
      <w:r w:rsidRPr="00814B5B">
        <w:rPr>
          <w:szCs w:val="22"/>
          <w:lang w:val="sr-Latn-CS"/>
        </w:rPr>
        <w:t xml:space="preserve">, </w:t>
      </w:r>
      <w:r w:rsidR="008032D4" w:rsidRPr="00814B5B">
        <w:rPr>
          <w:szCs w:val="22"/>
          <w:lang w:val="sr-Latn-CS"/>
        </w:rPr>
        <w:t>čij</w:t>
      </w:r>
      <w:r w:rsidR="004A707A" w:rsidRPr="00814B5B">
        <w:rPr>
          <w:szCs w:val="22"/>
          <w:lang w:val="sr-Latn-CS"/>
        </w:rPr>
        <w:t>a je bezb</w:t>
      </w:r>
      <w:r w:rsidR="004A4D84" w:rsidRPr="00814B5B">
        <w:rPr>
          <w:szCs w:val="22"/>
          <w:lang w:val="sr-Latn-CS"/>
        </w:rPr>
        <w:t>j</w:t>
      </w:r>
      <w:r w:rsidR="004A707A" w:rsidRPr="00814B5B">
        <w:rPr>
          <w:szCs w:val="22"/>
          <w:lang w:val="sr-Latn-CS"/>
        </w:rPr>
        <w:t xml:space="preserve">ednost </w:t>
      </w:r>
      <w:r w:rsidR="005C3564" w:rsidRPr="00814B5B">
        <w:rPr>
          <w:szCs w:val="22"/>
          <w:lang w:val="sr-Latn-CS"/>
        </w:rPr>
        <w:t>prim</w:t>
      </w:r>
      <w:r w:rsidR="004A4D84" w:rsidRPr="00814B5B">
        <w:rPr>
          <w:szCs w:val="22"/>
          <w:lang w:val="sr-Latn-CS"/>
        </w:rPr>
        <w:t>j</w:t>
      </w:r>
      <w:r w:rsidR="005C3564" w:rsidRPr="00814B5B">
        <w:rPr>
          <w:szCs w:val="22"/>
          <w:lang w:val="sr-Latn-CS"/>
        </w:rPr>
        <w:t xml:space="preserve">ene u trudnoći </w:t>
      </w:r>
      <w:r w:rsidR="0029175B" w:rsidRPr="00814B5B">
        <w:rPr>
          <w:szCs w:val="22"/>
          <w:lang w:val="sr-Latn-CS"/>
        </w:rPr>
        <w:t>potvrđena</w:t>
      </w:r>
      <w:r w:rsidRPr="00814B5B">
        <w:rPr>
          <w:szCs w:val="22"/>
          <w:lang w:val="sr-Latn-CS"/>
        </w:rPr>
        <w:t>.</w:t>
      </w:r>
      <w:r w:rsidRPr="00814B5B">
        <w:rPr>
          <w:szCs w:val="22"/>
          <w:lang w:val="sl-SI"/>
        </w:rPr>
        <w:t xml:space="preserve"> </w:t>
      </w:r>
      <w:r w:rsidRPr="00814B5B">
        <w:rPr>
          <w:szCs w:val="22"/>
          <w:lang w:val="sr-Latn-CS"/>
        </w:rPr>
        <w:t>Kada se utvrdi trudnoća, terapiju antagonistima receptora angiotenzina II treba odmah obustaviti i</w:t>
      </w:r>
      <w:r w:rsidR="00FB1719" w:rsidRPr="00814B5B">
        <w:rPr>
          <w:szCs w:val="22"/>
          <w:lang w:val="sr-Latn-CS"/>
        </w:rPr>
        <w:t>,</w:t>
      </w:r>
      <w:r w:rsidRPr="00814B5B">
        <w:rPr>
          <w:szCs w:val="22"/>
          <w:lang w:val="sr-Latn-CS"/>
        </w:rPr>
        <w:t xml:space="preserve"> ukoliko je moguće, započeti sa alternativnom terapijom (vid</w:t>
      </w:r>
      <w:r w:rsidR="004A4D84" w:rsidRPr="00814B5B">
        <w:rPr>
          <w:szCs w:val="22"/>
          <w:lang w:val="sr-Latn-CS"/>
        </w:rPr>
        <w:t>j</w:t>
      </w:r>
      <w:r w:rsidRPr="00814B5B">
        <w:rPr>
          <w:szCs w:val="22"/>
          <w:lang w:val="sr-Latn-CS"/>
        </w:rPr>
        <w:t xml:space="preserve">eti </w:t>
      </w:r>
      <w:r w:rsidR="004A4D84" w:rsidRPr="00814B5B">
        <w:rPr>
          <w:szCs w:val="22"/>
          <w:lang w:val="sr-Latn-CS"/>
        </w:rPr>
        <w:t>djelove</w:t>
      </w:r>
      <w:r w:rsidRPr="00814B5B">
        <w:rPr>
          <w:szCs w:val="22"/>
          <w:lang w:val="sr-Latn-CS"/>
        </w:rPr>
        <w:t xml:space="preserve"> 4.3 i 4.6).</w:t>
      </w:r>
    </w:p>
    <w:p w14:paraId="4FB10C52" w14:textId="77777777" w:rsidR="00C82C4C" w:rsidRPr="00814B5B" w:rsidRDefault="00C82C4C" w:rsidP="007B600E">
      <w:pPr>
        <w:tabs>
          <w:tab w:val="clear" w:pos="284"/>
        </w:tabs>
        <w:autoSpaceDE w:val="0"/>
        <w:autoSpaceDN w:val="0"/>
        <w:adjustRightInd w:val="0"/>
        <w:spacing w:before="120" w:after="120"/>
        <w:rPr>
          <w:i/>
          <w:szCs w:val="22"/>
          <w:lang w:val="sr-Latn-CS"/>
        </w:rPr>
      </w:pPr>
      <w:r w:rsidRPr="00814B5B">
        <w:rPr>
          <w:i/>
          <w:szCs w:val="22"/>
          <w:lang w:val="sr-Latn-CS"/>
        </w:rPr>
        <w:lastRenderedPageBreak/>
        <w:t>Dvostruka blokada sistema renin-angiotenzin-aldosteron (RAAS)</w:t>
      </w:r>
    </w:p>
    <w:p w14:paraId="56328639" w14:textId="437343D4" w:rsidR="00C82C4C" w:rsidRPr="00814B5B" w:rsidRDefault="00C82C4C" w:rsidP="007B600E">
      <w:pPr>
        <w:widowControl w:val="0"/>
        <w:tabs>
          <w:tab w:val="clear" w:pos="284"/>
        </w:tabs>
        <w:spacing w:before="120" w:after="120"/>
        <w:rPr>
          <w:iCs/>
          <w:szCs w:val="22"/>
          <w:lang w:val="sr-Latn-CS"/>
        </w:rPr>
      </w:pPr>
      <w:r w:rsidRPr="00814B5B">
        <w:rPr>
          <w:iCs/>
          <w:szCs w:val="22"/>
          <w:lang w:val="sr-Latn-CS"/>
        </w:rPr>
        <w:t xml:space="preserve">Postoje dokazi da istovremena </w:t>
      </w:r>
      <w:r w:rsidR="007E4572" w:rsidRPr="00814B5B">
        <w:rPr>
          <w:iCs/>
          <w:szCs w:val="22"/>
          <w:lang w:val="sr-Latn-CS"/>
        </w:rPr>
        <w:t>primjena</w:t>
      </w:r>
      <w:r w:rsidRPr="00814B5B">
        <w:rPr>
          <w:iCs/>
          <w:szCs w:val="22"/>
          <w:lang w:val="sr-Latn-CS"/>
        </w:rPr>
        <w:t xml:space="preserve"> ACE-inhibitora, blokatora receptora angiotenzina II ili aliskirena povećava rizik od hipotenzije, hiperkalemije i smanjene funkcije bubrega (uključujući akutnu bubrežnu insuficijenciju). Stoga se ne preporučuje dvostruka blokada sistema renin-angiotenzin-aldosteron kombinovanom prim</w:t>
      </w:r>
      <w:r w:rsidR="004A4D84" w:rsidRPr="00814B5B">
        <w:rPr>
          <w:iCs/>
          <w:szCs w:val="22"/>
          <w:lang w:val="sr-Latn-CS"/>
        </w:rPr>
        <w:t>j</w:t>
      </w:r>
      <w:r w:rsidRPr="00814B5B">
        <w:rPr>
          <w:iCs/>
          <w:szCs w:val="22"/>
          <w:lang w:val="sr-Latn-CS"/>
        </w:rPr>
        <w:t>enom ACE inhibitora, blokatora receptora angiotenzina II ili aliskirena (vid</w:t>
      </w:r>
      <w:r w:rsidR="004A4D84" w:rsidRPr="00814B5B">
        <w:rPr>
          <w:iCs/>
          <w:szCs w:val="22"/>
          <w:lang w:val="sr-Latn-CS"/>
        </w:rPr>
        <w:t>j</w:t>
      </w:r>
      <w:r w:rsidRPr="00814B5B">
        <w:rPr>
          <w:iCs/>
          <w:szCs w:val="22"/>
          <w:lang w:val="sr-Latn-CS"/>
        </w:rPr>
        <w:t xml:space="preserve">eti </w:t>
      </w:r>
      <w:r w:rsidR="004A4D84" w:rsidRPr="00814B5B">
        <w:rPr>
          <w:iCs/>
          <w:szCs w:val="22"/>
          <w:lang w:val="sr-Latn-CS"/>
        </w:rPr>
        <w:t>djelove</w:t>
      </w:r>
      <w:r w:rsidRPr="00814B5B">
        <w:rPr>
          <w:iCs/>
          <w:szCs w:val="22"/>
          <w:lang w:val="sr-Latn-CS"/>
        </w:rPr>
        <w:t xml:space="preserve"> 4.5 i 5.1).</w:t>
      </w:r>
    </w:p>
    <w:p w14:paraId="6B5409C7" w14:textId="225B006D" w:rsidR="00C82C4C" w:rsidRPr="00814B5B" w:rsidRDefault="00C82C4C" w:rsidP="007B600E">
      <w:pPr>
        <w:widowControl w:val="0"/>
        <w:tabs>
          <w:tab w:val="clear" w:pos="284"/>
        </w:tabs>
        <w:spacing w:before="120" w:after="120"/>
        <w:rPr>
          <w:iCs/>
          <w:szCs w:val="22"/>
          <w:lang w:val="sr-Latn-CS"/>
        </w:rPr>
      </w:pPr>
      <w:r w:rsidRPr="00814B5B">
        <w:rPr>
          <w:iCs/>
          <w:szCs w:val="22"/>
          <w:lang w:val="sr-Latn-CS"/>
        </w:rPr>
        <w:t>Ukoliko se dvostruk</w:t>
      </w:r>
      <w:r w:rsidR="009341C2" w:rsidRPr="00814B5B">
        <w:rPr>
          <w:iCs/>
          <w:szCs w:val="22"/>
          <w:lang w:val="sr-Latn-CS"/>
        </w:rPr>
        <w:t>a</w:t>
      </w:r>
      <w:r w:rsidRPr="00814B5B">
        <w:rPr>
          <w:iCs/>
          <w:szCs w:val="22"/>
          <w:lang w:val="sr-Latn-CS"/>
        </w:rPr>
        <w:t xml:space="preserve"> </w:t>
      </w:r>
      <w:r w:rsidR="009341C2" w:rsidRPr="00814B5B">
        <w:rPr>
          <w:iCs/>
          <w:szCs w:val="22"/>
          <w:lang w:val="sr-Latn-CS"/>
        </w:rPr>
        <w:t xml:space="preserve">blokada </w:t>
      </w:r>
      <w:r w:rsidRPr="00814B5B">
        <w:rPr>
          <w:iCs/>
          <w:szCs w:val="22"/>
          <w:lang w:val="sr-Latn-CS"/>
        </w:rPr>
        <w:t>smatra apsolutno neophodnom, treba da se sprovede pod nadzorom l</w:t>
      </w:r>
      <w:r w:rsidR="004A4D84" w:rsidRPr="00814B5B">
        <w:rPr>
          <w:iCs/>
          <w:szCs w:val="22"/>
          <w:lang w:val="sr-Latn-CS"/>
        </w:rPr>
        <w:t>j</w:t>
      </w:r>
      <w:r w:rsidRPr="00814B5B">
        <w:rPr>
          <w:iCs/>
          <w:szCs w:val="22"/>
          <w:lang w:val="sr-Latn-CS"/>
        </w:rPr>
        <w:t>ekara specijaliste uz redovno pažljivo praćenje funkcije bubrega, elektrolita i krvnog pritiska. ACE-inhibitor</w:t>
      </w:r>
      <w:r w:rsidR="00AB78A4" w:rsidRPr="00814B5B">
        <w:rPr>
          <w:iCs/>
          <w:szCs w:val="22"/>
          <w:lang w:val="sr-Latn-CS"/>
        </w:rPr>
        <w:t>e</w:t>
      </w:r>
      <w:r w:rsidRPr="00814B5B">
        <w:rPr>
          <w:iCs/>
          <w:szCs w:val="22"/>
          <w:lang w:val="sr-Latn-CS"/>
        </w:rPr>
        <w:t xml:space="preserve"> i blokator</w:t>
      </w:r>
      <w:r w:rsidR="00AB78A4" w:rsidRPr="00814B5B">
        <w:rPr>
          <w:iCs/>
          <w:szCs w:val="22"/>
          <w:lang w:val="sr-Latn-CS"/>
        </w:rPr>
        <w:t>e</w:t>
      </w:r>
      <w:r w:rsidRPr="00814B5B">
        <w:rPr>
          <w:iCs/>
          <w:szCs w:val="22"/>
          <w:lang w:val="sr-Latn-CS"/>
        </w:rPr>
        <w:t xml:space="preserve"> receptora angiotenzina II ne treba istovremeno prim</w:t>
      </w:r>
      <w:r w:rsidR="004A4D84" w:rsidRPr="00814B5B">
        <w:rPr>
          <w:iCs/>
          <w:szCs w:val="22"/>
          <w:lang w:val="sr-Latn-CS"/>
        </w:rPr>
        <w:t>j</w:t>
      </w:r>
      <w:r w:rsidRPr="00814B5B">
        <w:rPr>
          <w:iCs/>
          <w:szCs w:val="22"/>
          <w:lang w:val="sr-Latn-CS"/>
        </w:rPr>
        <w:t>enjivati kod pacijenata sa dijabetesnom nefropatijom.</w:t>
      </w:r>
    </w:p>
    <w:p w14:paraId="58CE13A9" w14:textId="77777777" w:rsidR="00C82C4C" w:rsidRPr="00814B5B" w:rsidRDefault="00C82C4C" w:rsidP="007B600E">
      <w:pPr>
        <w:tabs>
          <w:tab w:val="clear" w:pos="284"/>
        </w:tabs>
        <w:autoSpaceDE w:val="0"/>
        <w:autoSpaceDN w:val="0"/>
        <w:adjustRightInd w:val="0"/>
        <w:spacing w:before="120" w:after="120"/>
        <w:rPr>
          <w:szCs w:val="22"/>
          <w:u w:val="single"/>
          <w:lang w:val="sl-SI"/>
        </w:rPr>
      </w:pPr>
      <w:r w:rsidRPr="00814B5B">
        <w:rPr>
          <w:szCs w:val="22"/>
          <w:u w:val="single"/>
          <w:lang w:val="sr-Latn-CS"/>
        </w:rPr>
        <w:t>Hidrohlortiazid</w:t>
      </w:r>
    </w:p>
    <w:p w14:paraId="31B1C2B7" w14:textId="77777777" w:rsidR="00C82C4C" w:rsidRPr="00814B5B" w:rsidRDefault="00C82C4C" w:rsidP="007B600E">
      <w:pPr>
        <w:tabs>
          <w:tab w:val="clear" w:pos="284"/>
        </w:tabs>
        <w:autoSpaceDE w:val="0"/>
        <w:autoSpaceDN w:val="0"/>
        <w:adjustRightInd w:val="0"/>
        <w:spacing w:before="120" w:after="120"/>
        <w:rPr>
          <w:i/>
          <w:iCs/>
          <w:szCs w:val="22"/>
          <w:lang w:val="sl-SI"/>
        </w:rPr>
      </w:pPr>
      <w:r w:rsidRPr="00814B5B">
        <w:rPr>
          <w:i/>
          <w:iCs/>
          <w:szCs w:val="22"/>
          <w:lang w:val="sr-Latn-CS"/>
        </w:rPr>
        <w:t>Hipotenzija i disbalans elektrolita/tečnosti</w:t>
      </w:r>
    </w:p>
    <w:p w14:paraId="0B87ACD7" w14:textId="182C18A9" w:rsidR="00C82C4C" w:rsidRPr="00814B5B" w:rsidRDefault="00C82C4C" w:rsidP="007B600E">
      <w:pPr>
        <w:tabs>
          <w:tab w:val="clear" w:pos="284"/>
        </w:tabs>
        <w:autoSpaceDE w:val="0"/>
        <w:autoSpaceDN w:val="0"/>
        <w:adjustRightInd w:val="0"/>
        <w:spacing w:before="120" w:after="120"/>
        <w:rPr>
          <w:szCs w:val="22"/>
          <w:lang w:val="sl-SI"/>
        </w:rPr>
      </w:pPr>
      <w:r w:rsidRPr="00814B5B">
        <w:rPr>
          <w:szCs w:val="22"/>
          <w:lang w:val="sr-Latn-CS"/>
        </w:rPr>
        <w:t>Kao i pri prim</w:t>
      </w:r>
      <w:r w:rsidR="004A4D84" w:rsidRPr="00814B5B">
        <w:rPr>
          <w:szCs w:val="22"/>
          <w:lang w:val="sr-Latn-CS"/>
        </w:rPr>
        <w:t>j</w:t>
      </w:r>
      <w:r w:rsidRPr="00814B5B">
        <w:rPr>
          <w:szCs w:val="22"/>
          <w:lang w:val="sr-Latn-CS"/>
        </w:rPr>
        <w:t xml:space="preserve">eni </w:t>
      </w:r>
      <w:r w:rsidR="006F0FFE" w:rsidRPr="00814B5B">
        <w:rPr>
          <w:szCs w:val="22"/>
          <w:lang w:val="sr-Latn-CS"/>
        </w:rPr>
        <w:t>druge antihipertenzivne terapije</w:t>
      </w:r>
      <w:r w:rsidRPr="00814B5B">
        <w:rPr>
          <w:szCs w:val="22"/>
          <w:lang w:val="sr-Latn-CS"/>
        </w:rPr>
        <w:t>, može se javiti simptomatska hipotenzija kod nekih pacijenata.</w:t>
      </w:r>
      <w:r w:rsidRPr="00814B5B">
        <w:rPr>
          <w:szCs w:val="22"/>
          <w:lang w:val="sl-SI"/>
        </w:rPr>
        <w:t xml:space="preserve"> </w:t>
      </w:r>
      <w:r w:rsidRPr="00814B5B">
        <w:rPr>
          <w:szCs w:val="22"/>
          <w:lang w:val="sr-Latn-CS"/>
        </w:rPr>
        <w:t>Treba pratiti kliničke znake disbalansa tečnosti ili elektrolita kod pacijenata, npr. deplecija volumena, hiponatremija, hipohloremična alkaloza, hipomagnezemija ili hipokalemija, koji mogu da se jave tokom dijareje ili povraćanja.</w:t>
      </w:r>
      <w:r w:rsidRPr="00814B5B">
        <w:rPr>
          <w:szCs w:val="22"/>
          <w:lang w:val="sl-SI"/>
        </w:rPr>
        <w:t xml:space="preserve"> </w:t>
      </w:r>
      <w:r w:rsidRPr="00814B5B">
        <w:rPr>
          <w:szCs w:val="22"/>
          <w:lang w:val="sr-Latn-CS"/>
        </w:rPr>
        <w:t>Kod ovakvih pacijenata treba</w:t>
      </w:r>
      <w:r w:rsidR="00F16FAB" w:rsidRPr="00814B5B">
        <w:rPr>
          <w:szCs w:val="22"/>
          <w:lang w:val="sr-Latn-CS"/>
        </w:rPr>
        <w:t xml:space="preserve"> određivati koncentraciju elektrolita u serumu</w:t>
      </w:r>
      <w:r w:rsidRPr="00814B5B">
        <w:rPr>
          <w:szCs w:val="22"/>
          <w:lang w:val="sr-Latn-CS"/>
        </w:rPr>
        <w:t xml:space="preserve"> periodično, u odgovarajućim intervalima.</w:t>
      </w:r>
      <w:r w:rsidRPr="00814B5B">
        <w:rPr>
          <w:szCs w:val="22"/>
          <w:lang w:val="sl-SI"/>
        </w:rPr>
        <w:t xml:space="preserve"> </w:t>
      </w:r>
      <w:r w:rsidRPr="00814B5B">
        <w:rPr>
          <w:szCs w:val="22"/>
          <w:lang w:val="sr-Latn-CS"/>
        </w:rPr>
        <w:t>Kod edematoznih pacijenata, može da se pojavi diluciona hiponatremija u toplim vremenskim uslovima.</w:t>
      </w:r>
    </w:p>
    <w:p w14:paraId="34118BAF" w14:textId="77777777" w:rsidR="00C82C4C" w:rsidRPr="00814B5B" w:rsidRDefault="00C82C4C" w:rsidP="007B600E">
      <w:pPr>
        <w:tabs>
          <w:tab w:val="clear" w:pos="284"/>
        </w:tabs>
        <w:autoSpaceDE w:val="0"/>
        <w:autoSpaceDN w:val="0"/>
        <w:adjustRightInd w:val="0"/>
        <w:spacing w:before="120" w:after="120"/>
        <w:rPr>
          <w:i/>
          <w:iCs/>
          <w:szCs w:val="22"/>
          <w:lang w:val="sl-SI"/>
        </w:rPr>
      </w:pPr>
      <w:r w:rsidRPr="00814B5B">
        <w:rPr>
          <w:i/>
          <w:iCs/>
          <w:szCs w:val="22"/>
          <w:lang w:val="sr-Latn-CS"/>
        </w:rPr>
        <w:t>Metabolička i endokrina dejstva</w:t>
      </w:r>
    </w:p>
    <w:p w14:paraId="2028988F" w14:textId="757B0261" w:rsidR="00C82C4C" w:rsidRPr="00814B5B" w:rsidRDefault="00C82C4C" w:rsidP="007B600E">
      <w:pPr>
        <w:tabs>
          <w:tab w:val="clear" w:pos="284"/>
        </w:tabs>
        <w:autoSpaceDE w:val="0"/>
        <w:autoSpaceDN w:val="0"/>
        <w:adjustRightInd w:val="0"/>
        <w:spacing w:before="120" w:after="120"/>
        <w:rPr>
          <w:szCs w:val="22"/>
          <w:lang w:val="sl-SI"/>
        </w:rPr>
      </w:pPr>
      <w:r w:rsidRPr="00814B5B">
        <w:rPr>
          <w:szCs w:val="22"/>
          <w:lang w:val="sr-Latn-CS"/>
        </w:rPr>
        <w:t>Terapija tiazidima može da umanji toleranciju na glukozu.</w:t>
      </w:r>
      <w:r w:rsidRPr="00814B5B">
        <w:rPr>
          <w:szCs w:val="22"/>
          <w:lang w:val="sl-SI"/>
        </w:rPr>
        <w:t xml:space="preserve"> </w:t>
      </w:r>
      <w:r w:rsidRPr="00814B5B">
        <w:rPr>
          <w:szCs w:val="22"/>
          <w:lang w:val="sr-Latn-CS"/>
        </w:rPr>
        <w:t>Možda će biti neophodno prilagođavanje doze antidijabetičkih l</w:t>
      </w:r>
      <w:r w:rsidR="004A4D84" w:rsidRPr="00814B5B">
        <w:rPr>
          <w:szCs w:val="22"/>
          <w:lang w:val="sr-Latn-CS"/>
        </w:rPr>
        <w:t>j</w:t>
      </w:r>
      <w:r w:rsidRPr="00814B5B">
        <w:rPr>
          <w:szCs w:val="22"/>
          <w:lang w:val="sr-Latn-CS"/>
        </w:rPr>
        <w:t>ekova, uključujući insulin (vid</w:t>
      </w:r>
      <w:r w:rsidR="004A4D84" w:rsidRPr="00814B5B">
        <w:rPr>
          <w:szCs w:val="22"/>
          <w:lang w:val="sr-Latn-CS"/>
        </w:rPr>
        <w:t>j</w:t>
      </w:r>
      <w:r w:rsidRPr="00814B5B">
        <w:rPr>
          <w:szCs w:val="22"/>
          <w:lang w:val="sr-Latn-CS"/>
        </w:rPr>
        <w:t xml:space="preserve">eti </w:t>
      </w:r>
      <w:r w:rsidR="004A4D84" w:rsidRPr="00814B5B">
        <w:rPr>
          <w:szCs w:val="22"/>
          <w:lang w:val="sr-Latn-CS"/>
        </w:rPr>
        <w:t>dio</w:t>
      </w:r>
      <w:r w:rsidRPr="00814B5B">
        <w:rPr>
          <w:szCs w:val="22"/>
          <w:lang w:val="sr-Latn-CS"/>
        </w:rPr>
        <w:t xml:space="preserve"> 4.5).</w:t>
      </w:r>
      <w:r w:rsidRPr="00814B5B">
        <w:rPr>
          <w:szCs w:val="22"/>
          <w:lang w:val="sl-SI"/>
        </w:rPr>
        <w:t xml:space="preserve"> </w:t>
      </w:r>
      <w:r w:rsidRPr="00814B5B">
        <w:rPr>
          <w:szCs w:val="22"/>
          <w:lang w:val="sr-Latn-CS"/>
        </w:rPr>
        <w:t>U toku terapije tiazidom, latentni dijabetes melitus može postati manifestan.</w:t>
      </w:r>
    </w:p>
    <w:p w14:paraId="4621797F" w14:textId="1E14DCB9" w:rsidR="00C82C4C" w:rsidRPr="00814B5B" w:rsidRDefault="00C82C4C" w:rsidP="007B600E">
      <w:pPr>
        <w:tabs>
          <w:tab w:val="clear" w:pos="284"/>
        </w:tabs>
        <w:autoSpaceDE w:val="0"/>
        <w:autoSpaceDN w:val="0"/>
        <w:adjustRightInd w:val="0"/>
        <w:spacing w:before="120" w:after="120"/>
        <w:rPr>
          <w:szCs w:val="22"/>
          <w:lang w:val="sl-SI"/>
        </w:rPr>
      </w:pPr>
      <w:r w:rsidRPr="00814B5B">
        <w:rPr>
          <w:szCs w:val="22"/>
          <w:lang w:val="sr-Latn-CS"/>
        </w:rPr>
        <w:t>Tiazidi mogu da smanje urinarnu ekskreciju kalcijuma i prouzrokuju povremeno i neznatno povećanje koncentracije kalcijuma u serumu.</w:t>
      </w:r>
      <w:r w:rsidRPr="00814B5B">
        <w:rPr>
          <w:szCs w:val="22"/>
          <w:lang w:val="sl-SI"/>
        </w:rPr>
        <w:t xml:space="preserve"> </w:t>
      </w:r>
      <w:r w:rsidRPr="00814B5B">
        <w:rPr>
          <w:szCs w:val="22"/>
          <w:lang w:val="sr-Latn-CS"/>
        </w:rPr>
        <w:t>Izražena hiperkalcemija može biti dokaz skrivenog hiperparatireoidizma.</w:t>
      </w:r>
      <w:r w:rsidR="00F54501" w:rsidRPr="00814B5B">
        <w:rPr>
          <w:szCs w:val="22"/>
          <w:lang w:val="sr-Latn-CS"/>
        </w:rPr>
        <w:t xml:space="preserve"> </w:t>
      </w:r>
      <w:r w:rsidRPr="00814B5B">
        <w:rPr>
          <w:szCs w:val="22"/>
          <w:lang w:val="sr-Latn-CS"/>
        </w:rPr>
        <w:t>Prim</w:t>
      </w:r>
      <w:r w:rsidR="00AC2BEE" w:rsidRPr="00814B5B">
        <w:rPr>
          <w:szCs w:val="22"/>
          <w:lang w:val="sr-Latn-CS"/>
        </w:rPr>
        <w:t>j</w:t>
      </w:r>
      <w:r w:rsidRPr="00814B5B">
        <w:rPr>
          <w:szCs w:val="22"/>
          <w:lang w:val="sr-Latn-CS"/>
        </w:rPr>
        <w:t>enu tiazida treba obustaviti pr</w:t>
      </w:r>
      <w:r w:rsidR="00AC2BEE" w:rsidRPr="00814B5B">
        <w:rPr>
          <w:szCs w:val="22"/>
          <w:lang w:val="sr-Latn-CS"/>
        </w:rPr>
        <w:t>ij</w:t>
      </w:r>
      <w:r w:rsidRPr="00814B5B">
        <w:rPr>
          <w:szCs w:val="22"/>
          <w:lang w:val="sr-Latn-CS"/>
        </w:rPr>
        <w:t xml:space="preserve">e </w:t>
      </w:r>
      <w:r w:rsidR="00F54501" w:rsidRPr="00814B5B">
        <w:rPr>
          <w:szCs w:val="22"/>
          <w:lang w:val="sr-Latn-CS"/>
        </w:rPr>
        <w:t>sprovođenja t</w:t>
      </w:r>
      <w:r w:rsidRPr="00814B5B">
        <w:rPr>
          <w:szCs w:val="22"/>
          <w:lang w:val="sr-Latn-CS"/>
        </w:rPr>
        <w:t>estiranja funkcije paratireoidnih žl</w:t>
      </w:r>
      <w:r w:rsidR="00AC2BEE" w:rsidRPr="00814B5B">
        <w:rPr>
          <w:szCs w:val="22"/>
          <w:lang w:val="sr-Latn-CS"/>
        </w:rPr>
        <w:t>ij</w:t>
      </w:r>
      <w:r w:rsidRPr="00814B5B">
        <w:rPr>
          <w:szCs w:val="22"/>
          <w:lang w:val="sr-Latn-CS"/>
        </w:rPr>
        <w:t>ezda.</w:t>
      </w:r>
    </w:p>
    <w:p w14:paraId="3C770143" w14:textId="77777777" w:rsidR="00C82C4C" w:rsidRPr="00814B5B" w:rsidRDefault="00C82C4C" w:rsidP="007B600E">
      <w:pPr>
        <w:tabs>
          <w:tab w:val="clear" w:pos="284"/>
        </w:tabs>
        <w:autoSpaceDE w:val="0"/>
        <w:autoSpaceDN w:val="0"/>
        <w:adjustRightInd w:val="0"/>
        <w:spacing w:before="120" w:after="120"/>
        <w:rPr>
          <w:szCs w:val="22"/>
          <w:lang w:val="sl-SI"/>
        </w:rPr>
      </w:pPr>
      <w:r w:rsidRPr="00814B5B">
        <w:rPr>
          <w:szCs w:val="22"/>
          <w:lang w:val="sr-Latn-CS"/>
        </w:rPr>
        <w:t>Povećanje koncentracije holesterola i triglicerida može biti povezano sa terapijom tiazidnim diureticima.</w:t>
      </w:r>
    </w:p>
    <w:p w14:paraId="6DB3E482" w14:textId="46F17F09" w:rsidR="00C82C4C" w:rsidRPr="00814B5B" w:rsidRDefault="00C82C4C" w:rsidP="007B600E">
      <w:pPr>
        <w:tabs>
          <w:tab w:val="clear" w:pos="284"/>
        </w:tabs>
        <w:autoSpaceDE w:val="0"/>
        <w:autoSpaceDN w:val="0"/>
        <w:adjustRightInd w:val="0"/>
        <w:spacing w:before="120" w:after="120"/>
        <w:rPr>
          <w:szCs w:val="22"/>
          <w:lang w:val="sr-Latn-CS"/>
        </w:rPr>
      </w:pPr>
      <w:r w:rsidRPr="00814B5B">
        <w:rPr>
          <w:szCs w:val="22"/>
          <w:lang w:val="sr-Latn-CS"/>
        </w:rPr>
        <w:t>Terapija tiazidima može da izazove hiperurikemiju i/ili giht kod određenih pacijenata.</w:t>
      </w:r>
      <w:r w:rsidRPr="00814B5B">
        <w:rPr>
          <w:szCs w:val="22"/>
          <w:lang w:val="sl-SI"/>
        </w:rPr>
        <w:t xml:space="preserve"> </w:t>
      </w:r>
      <w:r w:rsidR="006C667F" w:rsidRPr="00814B5B">
        <w:rPr>
          <w:szCs w:val="22"/>
          <w:lang w:val="sr-Latn-CS"/>
        </w:rPr>
        <w:t>Po</w:t>
      </w:r>
      <w:r w:rsidRPr="00814B5B">
        <w:rPr>
          <w:szCs w:val="22"/>
          <w:lang w:val="sr-Latn-CS"/>
        </w:rPr>
        <w:t>što losartan smanjuje koncentraciju mokraćne kiseline, losartan u kombinaciji sa hidrohlortiazidom ublažava hiperurikemiju izazvanu diureticima.</w:t>
      </w:r>
    </w:p>
    <w:p w14:paraId="4DA268C4" w14:textId="200AC988" w:rsidR="00445C37" w:rsidRPr="00814B5B" w:rsidRDefault="00445C37" w:rsidP="007B600E">
      <w:pPr>
        <w:tabs>
          <w:tab w:val="clear" w:pos="284"/>
        </w:tabs>
        <w:autoSpaceDE w:val="0"/>
        <w:autoSpaceDN w:val="0"/>
        <w:adjustRightInd w:val="0"/>
        <w:spacing w:before="120" w:after="120"/>
        <w:rPr>
          <w:i/>
          <w:iCs/>
          <w:szCs w:val="22"/>
          <w:lang w:val="sr-Latn-CS"/>
        </w:rPr>
      </w:pPr>
      <w:r w:rsidRPr="00814B5B">
        <w:rPr>
          <w:i/>
          <w:iCs/>
          <w:szCs w:val="22"/>
          <w:lang w:val="sr-Latn-CS"/>
        </w:rPr>
        <w:t>Poremećaji oka</w:t>
      </w:r>
    </w:p>
    <w:p w14:paraId="7AE727F6" w14:textId="3B40AC9C" w:rsidR="00445C37" w:rsidRPr="00814B5B" w:rsidRDefault="009C57A3" w:rsidP="007B600E">
      <w:pPr>
        <w:tabs>
          <w:tab w:val="clear" w:pos="284"/>
        </w:tabs>
        <w:autoSpaceDE w:val="0"/>
        <w:autoSpaceDN w:val="0"/>
        <w:adjustRightInd w:val="0"/>
        <w:spacing w:before="120" w:after="120"/>
        <w:rPr>
          <w:szCs w:val="22"/>
          <w:lang w:val="sr-Latn-CS"/>
        </w:rPr>
      </w:pPr>
      <w:r w:rsidRPr="00814B5B">
        <w:rPr>
          <w:szCs w:val="22"/>
          <w:lang w:val="sr-Latn-CS"/>
        </w:rPr>
        <w:t>Horoidalna efu</w:t>
      </w:r>
      <w:r w:rsidR="00B34AD0" w:rsidRPr="00814B5B">
        <w:rPr>
          <w:szCs w:val="22"/>
          <w:lang w:val="sr-Latn-CS"/>
        </w:rPr>
        <w:t>z</w:t>
      </w:r>
      <w:r w:rsidRPr="00814B5B">
        <w:rPr>
          <w:szCs w:val="22"/>
          <w:lang w:val="sr-Latn-CS"/>
        </w:rPr>
        <w:t>ija, akutna miopija i sekundarni glaukom zatvorenog ugla</w:t>
      </w:r>
      <w:r w:rsidR="00B34AD0" w:rsidRPr="00814B5B">
        <w:rPr>
          <w:szCs w:val="22"/>
          <w:lang w:val="sr-Latn-CS"/>
        </w:rPr>
        <w:t xml:space="preserve">: sulfonamidi i derivati sulfonamida </w:t>
      </w:r>
      <w:r w:rsidR="004E2EB1" w:rsidRPr="00814B5B">
        <w:rPr>
          <w:szCs w:val="22"/>
          <w:lang w:val="sr-Latn-CS"/>
        </w:rPr>
        <w:t xml:space="preserve">mogu izazvati idiosinkratsku reakciju koja dovodi do horoidalne efuzije sa oštećenjem vidnog polja, </w:t>
      </w:r>
      <w:r w:rsidR="00724382" w:rsidRPr="00814B5B">
        <w:rPr>
          <w:szCs w:val="22"/>
          <w:lang w:val="sr-Latn-CS"/>
        </w:rPr>
        <w:t xml:space="preserve">akutne miopije i akutnog glaukoma zatvorenog ugla. Simptomi obuhvataju </w:t>
      </w:r>
      <w:r w:rsidR="00ED70E1" w:rsidRPr="00814B5B">
        <w:rPr>
          <w:szCs w:val="22"/>
          <w:lang w:val="sr-Latn-CS"/>
        </w:rPr>
        <w:t>akutno smanjenje vidne oštrine</w:t>
      </w:r>
      <w:r w:rsidR="00A53B4F" w:rsidRPr="00814B5B">
        <w:rPr>
          <w:szCs w:val="22"/>
          <w:lang w:val="sr-Latn-CS"/>
        </w:rPr>
        <w:t xml:space="preserve"> ili bol u oku, koji se uglavnom javljaju unutar nekoliko sati do ned</w:t>
      </w:r>
      <w:r w:rsidR="00AC2BEE" w:rsidRPr="00814B5B">
        <w:rPr>
          <w:szCs w:val="22"/>
          <w:lang w:val="sr-Latn-CS"/>
        </w:rPr>
        <w:t>j</w:t>
      </w:r>
      <w:r w:rsidR="00A53B4F" w:rsidRPr="00814B5B">
        <w:rPr>
          <w:szCs w:val="22"/>
          <w:lang w:val="sr-Latn-CS"/>
        </w:rPr>
        <w:t xml:space="preserve">elja od </w:t>
      </w:r>
      <w:r w:rsidR="009160BD" w:rsidRPr="00814B5B">
        <w:rPr>
          <w:szCs w:val="22"/>
          <w:lang w:val="sr-Latn-CS"/>
        </w:rPr>
        <w:t>početka terapije. Nel</w:t>
      </w:r>
      <w:r w:rsidR="00AC2BEE" w:rsidRPr="00814B5B">
        <w:rPr>
          <w:szCs w:val="22"/>
          <w:lang w:val="sr-Latn-CS"/>
        </w:rPr>
        <w:t>ij</w:t>
      </w:r>
      <w:r w:rsidR="009160BD" w:rsidRPr="00814B5B">
        <w:rPr>
          <w:szCs w:val="22"/>
          <w:lang w:val="sr-Latn-CS"/>
        </w:rPr>
        <w:t xml:space="preserve">ečeni glaukom zatvorenog ugla može dovesti do trajnog </w:t>
      </w:r>
      <w:r w:rsidR="008871BE" w:rsidRPr="00814B5B">
        <w:rPr>
          <w:szCs w:val="22"/>
          <w:lang w:val="sr-Latn-CS"/>
        </w:rPr>
        <w:t>gubitka vida. Primarna terapija je što brža obustava prim</w:t>
      </w:r>
      <w:r w:rsidR="00AC2BEE" w:rsidRPr="00814B5B">
        <w:rPr>
          <w:szCs w:val="22"/>
          <w:lang w:val="sr-Latn-CS"/>
        </w:rPr>
        <w:t>j</w:t>
      </w:r>
      <w:r w:rsidR="008871BE" w:rsidRPr="00814B5B">
        <w:rPr>
          <w:szCs w:val="22"/>
          <w:lang w:val="sr-Latn-CS"/>
        </w:rPr>
        <w:t>ene l</w:t>
      </w:r>
      <w:r w:rsidR="00AC2BEE" w:rsidRPr="00814B5B">
        <w:rPr>
          <w:szCs w:val="22"/>
          <w:lang w:val="sr-Latn-CS"/>
        </w:rPr>
        <w:t>ij</w:t>
      </w:r>
      <w:r w:rsidR="008871BE" w:rsidRPr="00814B5B">
        <w:rPr>
          <w:szCs w:val="22"/>
          <w:lang w:val="sr-Latn-CS"/>
        </w:rPr>
        <w:t xml:space="preserve">eka. Ako se intraokularni pritisak ne dovode pod kontrolu, </w:t>
      </w:r>
      <w:r w:rsidR="00AA0AAD" w:rsidRPr="00814B5B">
        <w:rPr>
          <w:szCs w:val="22"/>
          <w:lang w:val="sr-Latn-CS"/>
        </w:rPr>
        <w:t>treba razmotriti hitno farmakološko ili hirurško l</w:t>
      </w:r>
      <w:r w:rsidR="00741F1E" w:rsidRPr="00814B5B">
        <w:rPr>
          <w:szCs w:val="22"/>
          <w:lang w:val="sr-Latn-CS"/>
        </w:rPr>
        <w:t>ij</w:t>
      </w:r>
      <w:r w:rsidR="00AA0AAD" w:rsidRPr="00814B5B">
        <w:rPr>
          <w:szCs w:val="22"/>
          <w:lang w:val="sr-Latn-CS"/>
        </w:rPr>
        <w:t xml:space="preserve">ečenje. </w:t>
      </w:r>
      <w:r w:rsidR="00C71A7F" w:rsidRPr="00814B5B">
        <w:rPr>
          <w:szCs w:val="22"/>
          <w:lang w:val="sr-Latn-CS"/>
        </w:rPr>
        <w:t xml:space="preserve">Faktori rizika za razvoj akutnog glaukoma zatvorenog ugla obuhvataju </w:t>
      </w:r>
      <w:r w:rsidR="00860310" w:rsidRPr="00814B5B">
        <w:rPr>
          <w:szCs w:val="22"/>
          <w:lang w:val="sr-Latn-CS"/>
        </w:rPr>
        <w:t>alergiju na sulfonamide ili penicilin u anamnezi.</w:t>
      </w:r>
    </w:p>
    <w:p w14:paraId="7CCD9E21" w14:textId="0E3BA0AA" w:rsidR="00860310" w:rsidRPr="00814B5B" w:rsidRDefault="00860310" w:rsidP="007B600E">
      <w:pPr>
        <w:tabs>
          <w:tab w:val="clear" w:pos="284"/>
        </w:tabs>
        <w:autoSpaceDE w:val="0"/>
        <w:autoSpaceDN w:val="0"/>
        <w:adjustRightInd w:val="0"/>
        <w:spacing w:before="120" w:after="120"/>
        <w:rPr>
          <w:i/>
          <w:iCs/>
          <w:szCs w:val="22"/>
          <w:lang w:val="sr-Latn-CS"/>
        </w:rPr>
      </w:pPr>
      <w:r w:rsidRPr="00814B5B">
        <w:rPr>
          <w:i/>
          <w:iCs/>
          <w:szCs w:val="22"/>
          <w:lang w:val="sr-Latn-CS"/>
        </w:rPr>
        <w:t>Akutna respiratorna toksičnost</w:t>
      </w:r>
    </w:p>
    <w:p w14:paraId="40F0BC4C" w14:textId="392C6644" w:rsidR="00B34AD0" w:rsidRPr="00814B5B" w:rsidRDefault="009B077F" w:rsidP="007B600E">
      <w:pPr>
        <w:tabs>
          <w:tab w:val="clear" w:pos="284"/>
        </w:tabs>
        <w:autoSpaceDE w:val="0"/>
        <w:autoSpaceDN w:val="0"/>
        <w:adjustRightInd w:val="0"/>
        <w:spacing w:before="120" w:after="120"/>
        <w:rPr>
          <w:szCs w:val="22"/>
          <w:lang w:val="sl-SI"/>
        </w:rPr>
      </w:pPr>
      <w:r w:rsidRPr="00814B5B">
        <w:rPr>
          <w:szCs w:val="22"/>
          <w:lang w:val="sl-SI"/>
        </w:rPr>
        <w:t>Nakon prim</w:t>
      </w:r>
      <w:r w:rsidR="00741F1E" w:rsidRPr="00814B5B">
        <w:rPr>
          <w:szCs w:val="22"/>
          <w:lang w:val="sl-SI"/>
        </w:rPr>
        <w:t>j</w:t>
      </w:r>
      <w:r w:rsidRPr="00814B5B">
        <w:rPr>
          <w:szCs w:val="22"/>
          <w:lang w:val="sl-SI"/>
        </w:rPr>
        <w:t>ene hidrohlortiazida, zab</w:t>
      </w:r>
      <w:r w:rsidR="00741F1E" w:rsidRPr="00814B5B">
        <w:rPr>
          <w:szCs w:val="22"/>
          <w:lang w:val="sl-SI"/>
        </w:rPr>
        <w:t>i</w:t>
      </w:r>
      <w:r w:rsidRPr="00814B5B">
        <w:rPr>
          <w:szCs w:val="22"/>
          <w:lang w:val="sl-SI"/>
        </w:rPr>
        <w:t>l</w:t>
      </w:r>
      <w:r w:rsidR="00741F1E" w:rsidRPr="00814B5B">
        <w:rPr>
          <w:szCs w:val="22"/>
          <w:lang w:val="sl-SI"/>
        </w:rPr>
        <w:t>j</w:t>
      </w:r>
      <w:r w:rsidRPr="00814B5B">
        <w:rPr>
          <w:szCs w:val="22"/>
          <w:lang w:val="sl-SI"/>
        </w:rPr>
        <w:t>eženi su veoma r</w:t>
      </w:r>
      <w:r w:rsidR="00741F1E" w:rsidRPr="00814B5B">
        <w:rPr>
          <w:szCs w:val="22"/>
          <w:lang w:val="sl-SI"/>
        </w:rPr>
        <w:t>ij</w:t>
      </w:r>
      <w:r w:rsidRPr="00814B5B">
        <w:rPr>
          <w:szCs w:val="22"/>
          <w:lang w:val="sl-SI"/>
        </w:rPr>
        <w:t xml:space="preserve">etki </w:t>
      </w:r>
      <w:r w:rsidR="00E14037" w:rsidRPr="00814B5B">
        <w:rPr>
          <w:szCs w:val="22"/>
          <w:lang w:val="sl-SI"/>
        </w:rPr>
        <w:t>sluča</w:t>
      </w:r>
      <w:r w:rsidRPr="00814B5B">
        <w:rPr>
          <w:szCs w:val="22"/>
          <w:lang w:val="sl-SI"/>
        </w:rPr>
        <w:t xml:space="preserve">jevi teške akutne respiratorne toksičnosti, uključujući </w:t>
      </w:r>
      <w:r w:rsidR="007308E6" w:rsidRPr="00814B5B">
        <w:rPr>
          <w:szCs w:val="22"/>
          <w:lang w:val="sl-SI"/>
        </w:rPr>
        <w:t>akutni respiratorni distres sindrom</w:t>
      </w:r>
      <w:r w:rsidR="007308E6" w:rsidRPr="00814B5B">
        <w:rPr>
          <w:i/>
          <w:iCs/>
          <w:szCs w:val="22"/>
          <w:lang w:val="sl-SI"/>
        </w:rPr>
        <w:t xml:space="preserve"> (</w:t>
      </w:r>
      <w:r w:rsidR="007308E6" w:rsidRPr="00814B5B">
        <w:rPr>
          <w:szCs w:val="22"/>
          <w:lang w:val="sl-SI"/>
        </w:rPr>
        <w:t>engl</w:t>
      </w:r>
      <w:r w:rsidR="007308E6" w:rsidRPr="00814B5B">
        <w:rPr>
          <w:i/>
          <w:iCs/>
          <w:szCs w:val="22"/>
          <w:lang w:val="sl-SI"/>
        </w:rPr>
        <w:t>. acute respiratory distress syndrome, ARDS)</w:t>
      </w:r>
      <w:r w:rsidR="00E14037" w:rsidRPr="00814B5B">
        <w:rPr>
          <w:szCs w:val="22"/>
          <w:lang w:val="sl-SI"/>
        </w:rPr>
        <w:t>. Edem pluća se uglavnom javlja nekoliko minuta do sati nakon prim</w:t>
      </w:r>
      <w:r w:rsidR="00741F1E" w:rsidRPr="00814B5B">
        <w:rPr>
          <w:szCs w:val="22"/>
          <w:lang w:val="sl-SI"/>
        </w:rPr>
        <w:t>j</w:t>
      </w:r>
      <w:r w:rsidR="00E14037" w:rsidRPr="00814B5B">
        <w:rPr>
          <w:szCs w:val="22"/>
          <w:lang w:val="sl-SI"/>
        </w:rPr>
        <w:t xml:space="preserve">ene hidrohlortiazida. </w:t>
      </w:r>
      <w:r w:rsidR="00483D74" w:rsidRPr="00814B5B">
        <w:rPr>
          <w:szCs w:val="22"/>
          <w:lang w:val="sl-SI"/>
        </w:rPr>
        <w:t>Prvi simptomi obuhvataju dispneju, gro</w:t>
      </w:r>
      <w:r w:rsidR="00741F1E" w:rsidRPr="00814B5B">
        <w:rPr>
          <w:szCs w:val="22"/>
          <w:lang w:val="sl-SI"/>
        </w:rPr>
        <w:t>z</w:t>
      </w:r>
      <w:r w:rsidR="00483D74" w:rsidRPr="00814B5B">
        <w:rPr>
          <w:szCs w:val="22"/>
          <w:lang w:val="sl-SI"/>
        </w:rPr>
        <w:t xml:space="preserve">nicu, </w:t>
      </w:r>
      <w:r w:rsidR="00324F6A" w:rsidRPr="00814B5B">
        <w:rPr>
          <w:szCs w:val="22"/>
          <w:lang w:val="sl-SI"/>
        </w:rPr>
        <w:t>pogoršanje funkcije pluća i hipotenziju. Ako se sumnja na ARDS, prim</w:t>
      </w:r>
      <w:r w:rsidR="00741F1E" w:rsidRPr="00814B5B">
        <w:rPr>
          <w:szCs w:val="22"/>
          <w:lang w:val="sl-SI"/>
        </w:rPr>
        <w:t>j</w:t>
      </w:r>
      <w:r w:rsidR="00324F6A" w:rsidRPr="00814B5B">
        <w:rPr>
          <w:szCs w:val="22"/>
          <w:lang w:val="sl-SI"/>
        </w:rPr>
        <w:t>enu l</w:t>
      </w:r>
      <w:r w:rsidR="00741F1E" w:rsidRPr="00814B5B">
        <w:rPr>
          <w:szCs w:val="22"/>
          <w:lang w:val="sl-SI"/>
        </w:rPr>
        <w:t>ij</w:t>
      </w:r>
      <w:r w:rsidR="00324F6A" w:rsidRPr="00814B5B">
        <w:rPr>
          <w:szCs w:val="22"/>
          <w:lang w:val="sl-SI"/>
        </w:rPr>
        <w:t xml:space="preserve">eka Losar plus treba obustaviti i </w:t>
      </w:r>
      <w:r w:rsidR="00D7519A" w:rsidRPr="00814B5B">
        <w:rPr>
          <w:szCs w:val="22"/>
          <w:lang w:val="sl-SI"/>
        </w:rPr>
        <w:t>dati odgovarajuću terapiju. Hidrohlortiazid ne treba prim</w:t>
      </w:r>
      <w:r w:rsidR="00741F1E" w:rsidRPr="00814B5B">
        <w:rPr>
          <w:szCs w:val="22"/>
          <w:lang w:val="sl-SI"/>
        </w:rPr>
        <w:t>j</w:t>
      </w:r>
      <w:r w:rsidR="00D7519A" w:rsidRPr="00814B5B">
        <w:rPr>
          <w:szCs w:val="22"/>
          <w:lang w:val="sl-SI"/>
        </w:rPr>
        <w:t xml:space="preserve">enjivati kod pacijenata sa </w:t>
      </w:r>
      <w:r w:rsidR="007953CF" w:rsidRPr="00814B5B">
        <w:rPr>
          <w:szCs w:val="22"/>
          <w:lang w:val="sl-SI"/>
        </w:rPr>
        <w:t>ranijim ARDS-om nakon prim</w:t>
      </w:r>
      <w:r w:rsidR="00741F1E" w:rsidRPr="00814B5B">
        <w:rPr>
          <w:szCs w:val="22"/>
          <w:lang w:val="sl-SI"/>
        </w:rPr>
        <w:t>j</w:t>
      </w:r>
      <w:r w:rsidR="007953CF" w:rsidRPr="00814B5B">
        <w:rPr>
          <w:szCs w:val="22"/>
          <w:lang w:val="sl-SI"/>
        </w:rPr>
        <w:t>ene hidrohlortiazida.</w:t>
      </w:r>
    </w:p>
    <w:p w14:paraId="53A478D1" w14:textId="77777777" w:rsidR="00C82C4C" w:rsidRPr="00814B5B" w:rsidRDefault="00C82C4C" w:rsidP="007B600E">
      <w:pPr>
        <w:tabs>
          <w:tab w:val="clear" w:pos="284"/>
        </w:tabs>
        <w:autoSpaceDE w:val="0"/>
        <w:autoSpaceDN w:val="0"/>
        <w:adjustRightInd w:val="0"/>
        <w:spacing w:before="120" w:after="120"/>
        <w:rPr>
          <w:i/>
          <w:iCs/>
          <w:szCs w:val="22"/>
          <w:lang w:val="sl-SI"/>
        </w:rPr>
      </w:pPr>
      <w:r w:rsidRPr="00814B5B">
        <w:rPr>
          <w:i/>
          <w:iCs/>
          <w:szCs w:val="22"/>
          <w:lang w:val="sr-Latn-CS"/>
        </w:rPr>
        <w:t>Oštećenje funkcije jetre</w:t>
      </w:r>
    </w:p>
    <w:p w14:paraId="67BBC6AF" w14:textId="243771E2" w:rsidR="00C82C4C" w:rsidRPr="00814B5B" w:rsidRDefault="00C82C4C" w:rsidP="007B600E">
      <w:pPr>
        <w:tabs>
          <w:tab w:val="clear" w:pos="284"/>
        </w:tabs>
        <w:autoSpaceDE w:val="0"/>
        <w:autoSpaceDN w:val="0"/>
        <w:adjustRightInd w:val="0"/>
        <w:spacing w:before="120" w:after="120"/>
        <w:rPr>
          <w:szCs w:val="22"/>
          <w:lang w:val="sr-Latn-CS"/>
        </w:rPr>
      </w:pPr>
      <w:r w:rsidRPr="00814B5B">
        <w:rPr>
          <w:szCs w:val="22"/>
          <w:lang w:val="sr-Latn-CS"/>
        </w:rPr>
        <w:t>Tiazide treba prim</w:t>
      </w:r>
      <w:r w:rsidR="00741F1E" w:rsidRPr="00814B5B">
        <w:rPr>
          <w:szCs w:val="22"/>
          <w:lang w:val="sr-Latn-CS"/>
        </w:rPr>
        <w:t>j</w:t>
      </w:r>
      <w:r w:rsidRPr="00814B5B">
        <w:rPr>
          <w:szCs w:val="22"/>
          <w:lang w:val="sr-Latn-CS"/>
        </w:rPr>
        <w:t xml:space="preserve">enjivati </w:t>
      </w:r>
      <w:r w:rsidR="007953CF" w:rsidRPr="00814B5B">
        <w:rPr>
          <w:szCs w:val="22"/>
          <w:lang w:val="sr-Latn-CS"/>
        </w:rPr>
        <w:t xml:space="preserve">sa oprezom </w:t>
      </w:r>
      <w:r w:rsidRPr="00814B5B">
        <w:rPr>
          <w:szCs w:val="22"/>
          <w:lang w:val="sr-Latn-CS"/>
        </w:rPr>
        <w:t>kod pacijenata sa oštećen</w:t>
      </w:r>
      <w:r w:rsidR="007953CF" w:rsidRPr="00814B5B">
        <w:rPr>
          <w:szCs w:val="22"/>
          <w:lang w:val="sr-Latn-CS"/>
        </w:rPr>
        <w:t>je</w:t>
      </w:r>
      <w:r w:rsidRPr="00814B5B">
        <w:rPr>
          <w:szCs w:val="22"/>
          <w:lang w:val="sr-Latn-CS"/>
        </w:rPr>
        <w:t>m funkcij</w:t>
      </w:r>
      <w:r w:rsidR="007953CF" w:rsidRPr="00814B5B">
        <w:rPr>
          <w:szCs w:val="22"/>
          <w:lang w:val="sr-Latn-CS"/>
        </w:rPr>
        <w:t>e</w:t>
      </w:r>
      <w:r w:rsidRPr="00814B5B">
        <w:rPr>
          <w:szCs w:val="22"/>
          <w:lang w:val="sr-Latn-CS"/>
        </w:rPr>
        <w:t xml:space="preserve"> jetre ili progresivnim oboljenjem jetre, </w:t>
      </w:r>
      <w:r w:rsidR="007953CF" w:rsidRPr="00814B5B">
        <w:rPr>
          <w:szCs w:val="22"/>
          <w:lang w:val="sr-Latn-CS"/>
        </w:rPr>
        <w:t>jer</w:t>
      </w:r>
      <w:r w:rsidRPr="00814B5B">
        <w:rPr>
          <w:szCs w:val="22"/>
          <w:lang w:val="sr-Latn-CS"/>
        </w:rPr>
        <w:t xml:space="preserve"> mogu da izazovu intrahepatičnu holestazu</w:t>
      </w:r>
      <w:r w:rsidR="00EA0707" w:rsidRPr="00814B5B">
        <w:rPr>
          <w:szCs w:val="22"/>
          <w:lang w:val="sr-Latn-CS"/>
        </w:rPr>
        <w:t>, a</w:t>
      </w:r>
      <w:r w:rsidRPr="00814B5B">
        <w:rPr>
          <w:szCs w:val="22"/>
          <w:lang w:val="sr-Latn-CS"/>
        </w:rPr>
        <w:t xml:space="preserve"> male prom</w:t>
      </w:r>
      <w:r w:rsidR="00741F1E" w:rsidRPr="00814B5B">
        <w:rPr>
          <w:szCs w:val="22"/>
          <w:lang w:val="sr-Latn-CS"/>
        </w:rPr>
        <w:t>j</w:t>
      </w:r>
      <w:r w:rsidRPr="00814B5B">
        <w:rPr>
          <w:szCs w:val="22"/>
          <w:lang w:val="sr-Latn-CS"/>
        </w:rPr>
        <w:t>ene u ravnoteži tečnosti i elektrolita mogu da izazovu hepatičku komu.</w:t>
      </w:r>
    </w:p>
    <w:p w14:paraId="17E2BBC0" w14:textId="6EE26557" w:rsidR="006C7972" w:rsidRPr="00814B5B" w:rsidRDefault="00C82C4C" w:rsidP="007B600E">
      <w:pPr>
        <w:pStyle w:val="Header"/>
        <w:tabs>
          <w:tab w:val="clear" w:pos="4536"/>
          <w:tab w:val="clear" w:pos="9072"/>
          <w:tab w:val="left" w:pos="284"/>
        </w:tabs>
        <w:spacing w:before="120" w:after="120"/>
        <w:rPr>
          <w:szCs w:val="22"/>
          <w:lang w:val="sr-Latn-CS"/>
        </w:rPr>
      </w:pPr>
      <w:r w:rsidRPr="00814B5B">
        <w:rPr>
          <w:szCs w:val="22"/>
          <w:lang w:val="sr-Latn-CS"/>
        </w:rPr>
        <w:lastRenderedPageBreak/>
        <w:t>L</w:t>
      </w:r>
      <w:r w:rsidR="00741F1E" w:rsidRPr="00814B5B">
        <w:rPr>
          <w:szCs w:val="22"/>
          <w:lang w:val="sr-Latn-CS"/>
        </w:rPr>
        <w:t>ij</w:t>
      </w:r>
      <w:r w:rsidRPr="00814B5B">
        <w:rPr>
          <w:szCs w:val="22"/>
          <w:lang w:val="sr-Latn-CS"/>
        </w:rPr>
        <w:t xml:space="preserve">ek </w:t>
      </w:r>
      <w:r w:rsidR="000E7FD6" w:rsidRPr="00814B5B">
        <w:rPr>
          <w:szCs w:val="22"/>
          <w:lang w:val="sr-Latn-CS"/>
        </w:rPr>
        <w:t>Losar plus</w:t>
      </w:r>
      <w:r w:rsidRPr="00814B5B">
        <w:rPr>
          <w:szCs w:val="22"/>
          <w:lang w:val="sr-Latn-CS"/>
        </w:rPr>
        <w:t xml:space="preserve"> je kontraindikovan kod pacijenata sa teškim oštećenjem funkcije jetre (vid</w:t>
      </w:r>
      <w:r w:rsidR="00741F1E" w:rsidRPr="00814B5B">
        <w:rPr>
          <w:szCs w:val="22"/>
          <w:lang w:val="sr-Latn-CS"/>
        </w:rPr>
        <w:t>j</w:t>
      </w:r>
      <w:r w:rsidRPr="00814B5B">
        <w:rPr>
          <w:szCs w:val="22"/>
          <w:lang w:val="sr-Latn-CS"/>
        </w:rPr>
        <w:t xml:space="preserve">eti </w:t>
      </w:r>
      <w:r w:rsidR="00741F1E" w:rsidRPr="00814B5B">
        <w:rPr>
          <w:szCs w:val="22"/>
          <w:lang w:val="sr-Latn-CS"/>
        </w:rPr>
        <w:t>djelove</w:t>
      </w:r>
      <w:r w:rsidRPr="00814B5B">
        <w:rPr>
          <w:szCs w:val="22"/>
          <w:lang w:val="sr-Latn-CS"/>
        </w:rPr>
        <w:t xml:space="preserve"> 4.3 i 5.2).</w:t>
      </w:r>
    </w:p>
    <w:p w14:paraId="70496646" w14:textId="77777777" w:rsidR="004A3836" w:rsidRPr="00814B5B" w:rsidRDefault="004A3836" w:rsidP="007B600E">
      <w:pPr>
        <w:spacing w:before="120" w:after="120"/>
        <w:rPr>
          <w:i/>
          <w:szCs w:val="22"/>
          <w:lang w:val="sr-Latn-RS"/>
        </w:rPr>
      </w:pPr>
      <w:r w:rsidRPr="00814B5B">
        <w:rPr>
          <w:i/>
          <w:szCs w:val="22"/>
          <w:lang w:val="sr-Latn-RS"/>
        </w:rPr>
        <w:t>Nemelanomski karcinom kože</w:t>
      </w:r>
    </w:p>
    <w:p w14:paraId="4AE58E1B" w14:textId="1F26E031" w:rsidR="004A3836" w:rsidRPr="00814B5B" w:rsidRDefault="004A3836" w:rsidP="007B600E">
      <w:pPr>
        <w:spacing w:before="120" w:after="120"/>
        <w:rPr>
          <w:szCs w:val="22"/>
          <w:lang w:val="sr-Latn-RS"/>
        </w:rPr>
      </w:pPr>
      <w:r w:rsidRPr="00814B5B">
        <w:rPr>
          <w:szCs w:val="22"/>
          <w:lang w:val="sr-Latn-RS"/>
        </w:rPr>
        <w:t xml:space="preserve">Povećan rizik od nemelanomskog karcinoma kože (eng. </w:t>
      </w:r>
      <w:r w:rsidRPr="00814B5B">
        <w:rPr>
          <w:i/>
          <w:szCs w:val="22"/>
          <w:lang w:val="sr-Latn-RS"/>
        </w:rPr>
        <w:t>non-melanoma skin cancer</w:t>
      </w:r>
      <w:r w:rsidRPr="00814B5B">
        <w:rPr>
          <w:szCs w:val="22"/>
          <w:lang w:val="sr-Latn-RS"/>
        </w:rPr>
        <w:t>, NMSC) [bazocelularni karcinom</w:t>
      </w:r>
      <w:r w:rsidRPr="00814B5B">
        <w:rPr>
          <w:b/>
          <w:szCs w:val="22"/>
          <w:lang w:val="sr-Latn-RS"/>
        </w:rPr>
        <w:t xml:space="preserve"> </w:t>
      </w:r>
      <w:r w:rsidRPr="00814B5B">
        <w:rPr>
          <w:szCs w:val="22"/>
          <w:lang w:val="sr-Latn-RS"/>
        </w:rPr>
        <w:t>(eng</w:t>
      </w:r>
      <w:r w:rsidR="00A476FE" w:rsidRPr="00814B5B">
        <w:rPr>
          <w:szCs w:val="22"/>
          <w:lang w:val="sr-Latn-RS"/>
        </w:rPr>
        <w:t>l</w:t>
      </w:r>
      <w:r w:rsidRPr="00814B5B">
        <w:rPr>
          <w:szCs w:val="22"/>
          <w:lang w:val="sr-Latn-RS"/>
        </w:rPr>
        <w:t xml:space="preserve">. </w:t>
      </w:r>
      <w:r w:rsidRPr="00814B5B">
        <w:rPr>
          <w:i/>
          <w:szCs w:val="22"/>
          <w:lang w:val="sr-Latn-RS"/>
        </w:rPr>
        <w:t>basal cell carcinoma</w:t>
      </w:r>
      <w:r w:rsidRPr="00814B5B">
        <w:rPr>
          <w:szCs w:val="22"/>
          <w:lang w:val="sr-Latn-RS"/>
        </w:rPr>
        <w:t>, BCC) i planocelularni karcinom (eng</w:t>
      </w:r>
      <w:r w:rsidR="00A476FE" w:rsidRPr="00814B5B">
        <w:rPr>
          <w:szCs w:val="22"/>
          <w:lang w:val="sr-Latn-RS"/>
        </w:rPr>
        <w:t>l</w:t>
      </w:r>
      <w:r w:rsidRPr="00814B5B">
        <w:rPr>
          <w:szCs w:val="22"/>
          <w:lang w:val="sr-Latn-RS"/>
        </w:rPr>
        <w:t xml:space="preserve">. </w:t>
      </w:r>
      <w:r w:rsidRPr="00814B5B">
        <w:rPr>
          <w:i/>
          <w:szCs w:val="22"/>
          <w:lang w:val="sr-Latn-RS"/>
        </w:rPr>
        <w:t>squamous cell carcinoma</w:t>
      </w:r>
      <w:r w:rsidRPr="00814B5B">
        <w:rPr>
          <w:szCs w:val="22"/>
          <w:lang w:val="sr-Latn-RS"/>
        </w:rPr>
        <w:t>, SCC)] kod povećane kumulativne izloženosti hidrohlortiazidu zab</w:t>
      </w:r>
      <w:r w:rsidR="00741F1E" w:rsidRPr="00814B5B">
        <w:rPr>
          <w:szCs w:val="22"/>
          <w:lang w:val="sr-Latn-RS"/>
        </w:rPr>
        <w:t>i</w:t>
      </w:r>
      <w:r w:rsidRPr="00814B5B">
        <w:rPr>
          <w:szCs w:val="22"/>
          <w:lang w:val="sr-Latn-RS"/>
        </w:rPr>
        <w:t>l</w:t>
      </w:r>
      <w:r w:rsidR="00741F1E" w:rsidRPr="00814B5B">
        <w:rPr>
          <w:szCs w:val="22"/>
          <w:lang w:val="sr-Latn-RS"/>
        </w:rPr>
        <w:t>j</w:t>
      </w:r>
      <w:r w:rsidRPr="00814B5B">
        <w:rPr>
          <w:szCs w:val="22"/>
          <w:lang w:val="sr-Latn-RS"/>
        </w:rPr>
        <w:t>ežen je u dv</w:t>
      </w:r>
      <w:r w:rsidR="00741F1E" w:rsidRPr="00814B5B">
        <w:rPr>
          <w:szCs w:val="22"/>
          <w:lang w:val="sr-Latn-RS"/>
        </w:rPr>
        <w:t>ij</w:t>
      </w:r>
      <w:r w:rsidRPr="00814B5B">
        <w:rPr>
          <w:szCs w:val="22"/>
          <w:lang w:val="sr-Latn-RS"/>
        </w:rPr>
        <w:t>e epidemiološke studije zasnovane na Nacionalnom registru malignih oboljenja Danske. Fotosenzitivno dejstvo hidrohlortiazida može da predstavlja mogući mehanizam za nastanak NMSC.</w:t>
      </w:r>
    </w:p>
    <w:p w14:paraId="63897341" w14:textId="5B31442C" w:rsidR="004A3836" w:rsidRPr="00814B5B" w:rsidRDefault="004A3836" w:rsidP="007B600E">
      <w:pPr>
        <w:pStyle w:val="Header"/>
        <w:tabs>
          <w:tab w:val="clear" w:pos="4536"/>
          <w:tab w:val="clear" w:pos="9072"/>
          <w:tab w:val="left" w:pos="284"/>
        </w:tabs>
        <w:spacing w:before="120" w:after="120"/>
        <w:rPr>
          <w:szCs w:val="22"/>
          <w:lang w:val="sr-Latn-RS"/>
        </w:rPr>
      </w:pPr>
      <w:r w:rsidRPr="00814B5B">
        <w:rPr>
          <w:szCs w:val="22"/>
          <w:lang w:val="sr-Latn-RS"/>
        </w:rPr>
        <w:t xml:space="preserve">Pacijente koji uzimaju hidrohloriazid </w:t>
      </w:r>
      <w:r w:rsidR="009942B3" w:rsidRPr="00814B5B">
        <w:rPr>
          <w:szCs w:val="22"/>
          <w:lang w:val="sr-Latn-RS"/>
        </w:rPr>
        <w:t>treba</w:t>
      </w:r>
      <w:r w:rsidRPr="00814B5B">
        <w:rPr>
          <w:szCs w:val="22"/>
          <w:lang w:val="sr-Latn-RS"/>
        </w:rPr>
        <w:t xml:space="preserve"> informisati o riziku od NMSC-a i sav</w:t>
      </w:r>
      <w:r w:rsidR="00741F1E" w:rsidRPr="00814B5B">
        <w:rPr>
          <w:szCs w:val="22"/>
          <w:lang w:val="sr-Latn-RS"/>
        </w:rPr>
        <w:t>j</w:t>
      </w:r>
      <w:r w:rsidRPr="00814B5B">
        <w:rPr>
          <w:szCs w:val="22"/>
          <w:lang w:val="sr-Latn-RS"/>
        </w:rPr>
        <w:t xml:space="preserve">etovati da redovno </w:t>
      </w:r>
      <w:r w:rsidR="00A476FE" w:rsidRPr="00814B5B">
        <w:rPr>
          <w:szCs w:val="22"/>
          <w:lang w:val="sr-Latn-RS"/>
        </w:rPr>
        <w:t>kontrolišu</w:t>
      </w:r>
      <w:r w:rsidRPr="00814B5B">
        <w:rPr>
          <w:szCs w:val="22"/>
          <w:lang w:val="sr-Latn-RS"/>
        </w:rPr>
        <w:t xml:space="preserve"> svoju kožu kako bi uočil</w:t>
      </w:r>
      <w:r w:rsidR="001B3693" w:rsidRPr="00814B5B">
        <w:rPr>
          <w:szCs w:val="22"/>
          <w:lang w:val="sr-Latn-RS"/>
        </w:rPr>
        <w:t>i</w:t>
      </w:r>
      <w:r w:rsidRPr="00814B5B">
        <w:rPr>
          <w:szCs w:val="22"/>
          <w:lang w:val="sr-Latn-RS"/>
        </w:rPr>
        <w:t xml:space="preserve"> </w:t>
      </w:r>
      <w:r w:rsidR="001B3693" w:rsidRPr="00814B5B">
        <w:rPr>
          <w:szCs w:val="22"/>
          <w:lang w:val="sr-Latn-RS"/>
        </w:rPr>
        <w:t xml:space="preserve">pojavu </w:t>
      </w:r>
      <w:r w:rsidRPr="00814B5B">
        <w:rPr>
          <w:szCs w:val="22"/>
          <w:lang w:val="sr-Latn-RS"/>
        </w:rPr>
        <w:t>svake nove lezije</w:t>
      </w:r>
      <w:r w:rsidR="001B3693" w:rsidRPr="00814B5B">
        <w:rPr>
          <w:szCs w:val="22"/>
          <w:lang w:val="sr-Latn-RS"/>
        </w:rPr>
        <w:t>, kao</w:t>
      </w:r>
      <w:r w:rsidRPr="00814B5B">
        <w:rPr>
          <w:szCs w:val="22"/>
          <w:lang w:val="sr-Latn-RS"/>
        </w:rPr>
        <w:t xml:space="preserve"> i da hitno prijave svaku sumnjivu leziju na koži. Pacijente treba posav</w:t>
      </w:r>
      <w:r w:rsidR="00741F1E" w:rsidRPr="00814B5B">
        <w:rPr>
          <w:szCs w:val="22"/>
          <w:lang w:val="sr-Latn-RS"/>
        </w:rPr>
        <w:t>j</w:t>
      </w:r>
      <w:r w:rsidRPr="00814B5B">
        <w:rPr>
          <w:szCs w:val="22"/>
          <w:lang w:val="sr-Latn-RS"/>
        </w:rPr>
        <w:t>etovati o mogućim preventivnim m</w:t>
      </w:r>
      <w:r w:rsidR="00741F1E" w:rsidRPr="00814B5B">
        <w:rPr>
          <w:szCs w:val="22"/>
          <w:lang w:val="sr-Latn-RS"/>
        </w:rPr>
        <w:t>j</w:t>
      </w:r>
      <w:r w:rsidRPr="00814B5B">
        <w:rPr>
          <w:szCs w:val="22"/>
          <w:lang w:val="sr-Latn-RS"/>
        </w:rPr>
        <w:t xml:space="preserve">erama, kao što je </w:t>
      </w:r>
      <w:r w:rsidR="00AE5827" w:rsidRPr="00814B5B">
        <w:rPr>
          <w:szCs w:val="22"/>
          <w:lang w:val="sr-Latn-RS"/>
        </w:rPr>
        <w:t xml:space="preserve">ograničenje </w:t>
      </w:r>
      <w:r w:rsidRPr="00814B5B">
        <w:rPr>
          <w:szCs w:val="22"/>
          <w:lang w:val="sr-Latn-RS"/>
        </w:rPr>
        <w:t>izloženost</w:t>
      </w:r>
      <w:r w:rsidR="00AE5827" w:rsidRPr="00814B5B">
        <w:rPr>
          <w:szCs w:val="22"/>
          <w:lang w:val="sr-Latn-RS"/>
        </w:rPr>
        <w:t>i</w:t>
      </w:r>
      <w:r w:rsidRPr="00814B5B">
        <w:rPr>
          <w:szCs w:val="22"/>
          <w:lang w:val="sr-Latn-RS"/>
        </w:rPr>
        <w:t xml:space="preserve"> sunčevoj sv</w:t>
      </w:r>
      <w:r w:rsidR="00741F1E" w:rsidRPr="00814B5B">
        <w:rPr>
          <w:szCs w:val="22"/>
          <w:lang w:val="sr-Latn-RS"/>
        </w:rPr>
        <w:t>j</w:t>
      </w:r>
      <w:r w:rsidRPr="00814B5B">
        <w:rPr>
          <w:szCs w:val="22"/>
          <w:lang w:val="sr-Latn-RS"/>
        </w:rPr>
        <w:t xml:space="preserve">etlosti i UV zracima i, u slučaju izloženosti, korišćenje odgovarajuće zaštite, radi minimiziranja rizika od karcinoma kože. Sumnjive lezije na koži </w:t>
      </w:r>
      <w:r w:rsidR="001830BC" w:rsidRPr="00814B5B">
        <w:rPr>
          <w:szCs w:val="22"/>
          <w:lang w:val="sr-Latn-RS"/>
        </w:rPr>
        <w:t>treba</w:t>
      </w:r>
      <w:r w:rsidRPr="00814B5B">
        <w:rPr>
          <w:szCs w:val="22"/>
          <w:lang w:val="sr-Latn-RS"/>
        </w:rPr>
        <w:t xml:space="preserve"> hitno pregledati, potencijalno </w:t>
      </w:r>
      <w:r w:rsidR="00055BF5" w:rsidRPr="00814B5B">
        <w:rPr>
          <w:szCs w:val="22"/>
          <w:lang w:val="sr-Latn-RS"/>
        </w:rPr>
        <w:t xml:space="preserve">i histološkim pregledom </w:t>
      </w:r>
      <w:r w:rsidRPr="00814B5B">
        <w:rPr>
          <w:szCs w:val="22"/>
          <w:lang w:val="sr-Latn-RS"/>
        </w:rPr>
        <w:t xml:space="preserve">uzorka dobijenog biopsijom. Takođe može </w:t>
      </w:r>
      <w:r w:rsidR="00055BF5" w:rsidRPr="00814B5B">
        <w:rPr>
          <w:szCs w:val="22"/>
          <w:lang w:val="sr-Latn-RS"/>
        </w:rPr>
        <w:t>biti</w:t>
      </w:r>
      <w:r w:rsidRPr="00814B5B">
        <w:rPr>
          <w:szCs w:val="22"/>
          <w:lang w:val="sr-Latn-RS"/>
        </w:rPr>
        <w:t xml:space="preserve"> potrebno razmotri</w:t>
      </w:r>
      <w:r w:rsidR="00055BF5" w:rsidRPr="00814B5B">
        <w:rPr>
          <w:szCs w:val="22"/>
          <w:lang w:val="sr-Latn-RS"/>
        </w:rPr>
        <w:t>ti</w:t>
      </w:r>
      <w:r w:rsidRPr="00814B5B">
        <w:rPr>
          <w:szCs w:val="22"/>
          <w:lang w:val="sr-Latn-RS"/>
        </w:rPr>
        <w:t xml:space="preserve"> opravdanost prim</w:t>
      </w:r>
      <w:r w:rsidR="00741F1E" w:rsidRPr="00814B5B">
        <w:rPr>
          <w:szCs w:val="22"/>
          <w:lang w:val="sr-Latn-RS"/>
        </w:rPr>
        <w:t>j</w:t>
      </w:r>
      <w:r w:rsidRPr="00814B5B">
        <w:rPr>
          <w:szCs w:val="22"/>
          <w:lang w:val="sr-Latn-RS"/>
        </w:rPr>
        <w:t>ene hidrohlrotiazida kod pacijenata koji su ranije imali NMSC (takođe vid</w:t>
      </w:r>
      <w:r w:rsidR="00741F1E" w:rsidRPr="00814B5B">
        <w:rPr>
          <w:szCs w:val="22"/>
          <w:lang w:val="sr-Latn-RS"/>
        </w:rPr>
        <w:t>j</w:t>
      </w:r>
      <w:r w:rsidRPr="00814B5B">
        <w:rPr>
          <w:szCs w:val="22"/>
          <w:lang w:val="sr-Latn-RS"/>
        </w:rPr>
        <w:t xml:space="preserve">eti </w:t>
      </w:r>
      <w:r w:rsidR="00741F1E" w:rsidRPr="00814B5B">
        <w:rPr>
          <w:szCs w:val="22"/>
          <w:lang w:val="sr-Latn-RS"/>
        </w:rPr>
        <w:t>dio</w:t>
      </w:r>
      <w:r w:rsidRPr="00814B5B">
        <w:rPr>
          <w:szCs w:val="22"/>
          <w:lang w:val="sr-Latn-RS"/>
        </w:rPr>
        <w:t xml:space="preserve"> 4.</w:t>
      </w:r>
      <w:r w:rsidR="006C198F" w:rsidRPr="00814B5B">
        <w:rPr>
          <w:szCs w:val="22"/>
          <w:lang w:val="sr-Latn-RS"/>
        </w:rPr>
        <w:t>8</w:t>
      </w:r>
      <w:r w:rsidRPr="00814B5B">
        <w:rPr>
          <w:szCs w:val="22"/>
          <w:lang w:val="sr-Latn-RS"/>
        </w:rPr>
        <w:t>.</w:t>
      </w:r>
      <w:r w:rsidR="006D513B" w:rsidRPr="00814B5B">
        <w:rPr>
          <w:szCs w:val="22"/>
          <w:lang w:val="sr-Latn-RS"/>
        </w:rPr>
        <w:t>)</w:t>
      </w:r>
    </w:p>
    <w:p w14:paraId="17D8418D" w14:textId="77777777" w:rsidR="00105830" w:rsidRPr="00814B5B" w:rsidRDefault="00105830" w:rsidP="007B600E">
      <w:pPr>
        <w:tabs>
          <w:tab w:val="clear" w:pos="284"/>
        </w:tabs>
        <w:autoSpaceDE w:val="0"/>
        <w:autoSpaceDN w:val="0"/>
        <w:adjustRightInd w:val="0"/>
        <w:spacing w:before="120" w:after="120"/>
        <w:rPr>
          <w:i/>
          <w:iCs/>
          <w:szCs w:val="22"/>
          <w:lang w:val="sl-SI"/>
        </w:rPr>
      </w:pPr>
      <w:r w:rsidRPr="00814B5B">
        <w:rPr>
          <w:i/>
          <w:iCs/>
          <w:szCs w:val="22"/>
          <w:lang w:val="sr-Latn-CS"/>
        </w:rPr>
        <w:t>Ostalo</w:t>
      </w:r>
    </w:p>
    <w:p w14:paraId="5E577884" w14:textId="59D1B8B7" w:rsidR="00105830" w:rsidRPr="00814B5B" w:rsidRDefault="00105830" w:rsidP="007B600E">
      <w:pPr>
        <w:tabs>
          <w:tab w:val="clear" w:pos="284"/>
        </w:tabs>
        <w:autoSpaceDE w:val="0"/>
        <w:autoSpaceDN w:val="0"/>
        <w:adjustRightInd w:val="0"/>
        <w:spacing w:before="120" w:after="120"/>
        <w:rPr>
          <w:szCs w:val="22"/>
          <w:lang w:val="sl-SI"/>
        </w:rPr>
      </w:pPr>
      <w:r w:rsidRPr="00814B5B">
        <w:rPr>
          <w:szCs w:val="22"/>
          <w:lang w:val="sr-Latn-CS"/>
        </w:rPr>
        <w:t xml:space="preserve">Kod pacijenata koji primaju tiazide, mogu se </w:t>
      </w:r>
      <w:r w:rsidR="000C1B7F" w:rsidRPr="00814B5B">
        <w:rPr>
          <w:szCs w:val="22"/>
          <w:lang w:val="sr-Latn-CS"/>
        </w:rPr>
        <w:t xml:space="preserve">javiti </w:t>
      </w:r>
      <w:r w:rsidRPr="00814B5B">
        <w:rPr>
          <w:szCs w:val="22"/>
          <w:lang w:val="sr-Latn-CS"/>
        </w:rPr>
        <w:t>reakcije preos</w:t>
      </w:r>
      <w:r w:rsidR="00741F1E" w:rsidRPr="00814B5B">
        <w:rPr>
          <w:szCs w:val="22"/>
          <w:lang w:val="sr-Latn-CS"/>
        </w:rPr>
        <w:t>j</w:t>
      </w:r>
      <w:r w:rsidRPr="00814B5B">
        <w:rPr>
          <w:szCs w:val="22"/>
          <w:lang w:val="sr-Latn-CS"/>
        </w:rPr>
        <w:t xml:space="preserve">etljivosti sa ili bez prisustva </w:t>
      </w:r>
      <w:r w:rsidR="000C1B7F" w:rsidRPr="00814B5B">
        <w:rPr>
          <w:szCs w:val="22"/>
          <w:lang w:val="sr-Latn-CS"/>
        </w:rPr>
        <w:t xml:space="preserve">alergije </w:t>
      </w:r>
      <w:r w:rsidRPr="00814B5B">
        <w:rPr>
          <w:szCs w:val="22"/>
          <w:lang w:val="sr-Latn-CS"/>
        </w:rPr>
        <w:t>ili bronhijalne astme u anamnezi.</w:t>
      </w:r>
      <w:r w:rsidRPr="00814B5B">
        <w:rPr>
          <w:szCs w:val="22"/>
          <w:lang w:val="sl-SI"/>
        </w:rPr>
        <w:t xml:space="preserve"> </w:t>
      </w:r>
      <w:r w:rsidRPr="00814B5B">
        <w:rPr>
          <w:szCs w:val="22"/>
          <w:lang w:val="sr-Latn-CS"/>
        </w:rPr>
        <w:t>Zab</w:t>
      </w:r>
      <w:r w:rsidR="00741F1E" w:rsidRPr="00814B5B">
        <w:rPr>
          <w:szCs w:val="22"/>
          <w:lang w:val="sr-Latn-CS"/>
        </w:rPr>
        <w:t>i</w:t>
      </w:r>
      <w:r w:rsidRPr="00814B5B">
        <w:rPr>
          <w:szCs w:val="22"/>
          <w:lang w:val="sr-Latn-CS"/>
        </w:rPr>
        <w:t>l</w:t>
      </w:r>
      <w:r w:rsidR="00741F1E" w:rsidRPr="00814B5B">
        <w:rPr>
          <w:szCs w:val="22"/>
          <w:lang w:val="sr-Latn-CS"/>
        </w:rPr>
        <w:t>j</w:t>
      </w:r>
      <w:r w:rsidRPr="00814B5B">
        <w:rPr>
          <w:szCs w:val="22"/>
          <w:lang w:val="sr-Latn-CS"/>
        </w:rPr>
        <w:t>eženo je pogoršanje ili aktivacija sistemskog eritemskog lupusa pri prim</w:t>
      </w:r>
      <w:r w:rsidR="00741F1E" w:rsidRPr="00814B5B">
        <w:rPr>
          <w:szCs w:val="22"/>
          <w:lang w:val="sr-Latn-CS"/>
        </w:rPr>
        <w:t>j</w:t>
      </w:r>
      <w:r w:rsidRPr="00814B5B">
        <w:rPr>
          <w:szCs w:val="22"/>
          <w:lang w:val="sr-Latn-CS"/>
        </w:rPr>
        <w:t>eni tiazida.</w:t>
      </w:r>
    </w:p>
    <w:p w14:paraId="7E029D77" w14:textId="77777777" w:rsidR="00105830" w:rsidRPr="00814B5B" w:rsidRDefault="00105830" w:rsidP="007B600E">
      <w:pPr>
        <w:pStyle w:val="Header"/>
        <w:tabs>
          <w:tab w:val="clear" w:pos="4536"/>
          <w:tab w:val="clear" w:pos="9072"/>
          <w:tab w:val="left" w:pos="284"/>
        </w:tabs>
        <w:spacing w:before="120" w:after="120"/>
        <w:rPr>
          <w:i/>
          <w:iCs/>
          <w:szCs w:val="22"/>
          <w:lang w:val="sr-Latn-CS"/>
        </w:rPr>
      </w:pPr>
      <w:r w:rsidRPr="00814B5B">
        <w:rPr>
          <w:i/>
          <w:iCs/>
          <w:noProof/>
          <w:szCs w:val="22"/>
          <w:lang w:val="sr-Latn-CS"/>
        </w:rPr>
        <w:t>Posebna upozorenja o pomoćnim supstancama</w:t>
      </w:r>
    </w:p>
    <w:p w14:paraId="70E53F21" w14:textId="1900E92F" w:rsidR="00007EF9" w:rsidRDefault="00105830" w:rsidP="002A65F1">
      <w:pPr>
        <w:rPr>
          <w:szCs w:val="22"/>
        </w:rPr>
      </w:pPr>
      <w:r w:rsidRPr="00814B5B">
        <w:rPr>
          <w:szCs w:val="22"/>
        </w:rPr>
        <w:t>Ovaj l</w:t>
      </w:r>
      <w:r w:rsidR="00741F1E" w:rsidRPr="00814B5B">
        <w:rPr>
          <w:szCs w:val="22"/>
        </w:rPr>
        <w:t>ij</w:t>
      </w:r>
      <w:r w:rsidRPr="00814B5B">
        <w:rPr>
          <w:szCs w:val="22"/>
        </w:rPr>
        <w:t xml:space="preserve">ek sadrži laktozu, monohidrat. Pacijenti </w:t>
      </w:r>
      <w:proofErr w:type="gramStart"/>
      <w:r w:rsidRPr="00814B5B">
        <w:rPr>
          <w:szCs w:val="22"/>
        </w:rPr>
        <w:t>sa</w:t>
      </w:r>
      <w:proofErr w:type="gramEnd"/>
      <w:r w:rsidRPr="00814B5B">
        <w:rPr>
          <w:szCs w:val="22"/>
        </w:rPr>
        <w:t xml:space="preserve"> r</w:t>
      </w:r>
      <w:r w:rsidR="00741F1E" w:rsidRPr="00814B5B">
        <w:rPr>
          <w:szCs w:val="22"/>
        </w:rPr>
        <w:t>ij</w:t>
      </w:r>
      <w:r w:rsidRPr="00814B5B">
        <w:rPr>
          <w:szCs w:val="22"/>
        </w:rPr>
        <w:t>etkim nasl</w:t>
      </w:r>
      <w:r w:rsidR="00741F1E" w:rsidRPr="00814B5B">
        <w:rPr>
          <w:szCs w:val="22"/>
        </w:rPr>
        <w:t>j</w:t>
      </w:r>
      <w:r w:rsidRPr="00814B5B">
        <w:rPr>
          <w:szCs w:val="22"/>
        </w:rPr>
        <w:t xml:space="preserve">ednim oboljenjem intolerancije na galaktozu, </w:t>
      </w:r>
      <w:r w:rsidR="00664EA3" w:rsidRPr="00814B5B">
        <w:rPr>
          <w:szCs w:val="22"/>
        </w:rPr>
        <w:t xml:space="preserve">potpunim </w:t>
      </w:r>
      <w:r w:rsidRPr="00814B5B">
        <w:rPr>
          <w:szCs w:val="22"/>
        </w:rPr>
        <w:t>nedostatkom laktaze ili glukozno-galaktoznom malapsorpcijom ne sm</w:t>
      </w:r>
      <w:r w:rsidR="00741F1E" w:rsidRPr="00814B5B">
        <w:rPr>
          <w:szCs w:val="22"/>
        </w:rPr>
        <w:t>i</w:t>
      </w:r>
      <w:r w:rsidRPr="00814B5B">
        <w:rPr>
          <w:szCs w:val="22"/>
        </w:rPr>
        <w:t>ju da uzimaju ovaj l</w:t>
      </w:r>
      <w:r w:rsidR="00741F1E" w:rsidRPr="00814B5B">
        <w:rPr>
          <w:szCs w:val="22"/>
        </w:rPr>
        <w:t>ij</w:t>
      </w:r>
      <w:r w:rsidRPr="00814B5B">
        <w:rPr>
          <w:szCs w:val="22"/>
        </w:rPr>
        <w:t>ek.</w:t>
      </w:r>
    </w:p>
    <w:p w14:paraId="52FE67D2" w14:textId="77777777" w:rsidR="002A65F1" w:rsidRPr="00814B5B" w:rsidRDefault="002A65F1" w:rsidP="002A65F1">
      <w:pPr>
        <w:rPr>
          <w:szCs w:val="22"/>
          <w:lang w:val="sr-Latn-RS"/>
        </w:rPr>
      </w:pPr>
    </w:p>
    <w:p w14:paraId="7E88103C" w14:textId="671E236F" w:rsidR="00007EF9" w:rsidRPr="00814B5B" w:rsidRDefault="00007EF9" w:rsidP="002A65F1">
      <w:pPr>
        <w:rPr>
          <w:b/>
          <w:bCs/>
          <w:szCs w:val="22"/>
          <w:lang w:val="sr-Latn-RS"/>
        </w:rPr>
      </w:pPr>
      <w:r w:rsidRPr="00814B5B">
        <w:rPr>
          <w:b/>
          <w:bCs/>
          <w:szCs w:val="22"/>
          <w:lang w:val="sr-Latn-RS"/>
        </w:rPr>
        <w:t>4.5. Interakcije sa drugim l</w:t>
      </w:r>
      <w:r w:rsidR="00741F1E" w:rsidRPr="00814B5B">
        <w:rPr>
          <w:b/>
          <w:bCs/>
          <w:szCs w:val="22"/>
          <w:lang w:val="sr-Latn-RS"/>
        </w:rPr>
        <w:t>j</w:t>
      </w:r>
      <w:r w:rsidRPr="00814B5B">
        <w:rPr>
          <w:b/>
          <w:bCs/>
          <w:szCs w:val="22"/>
          <w:lang w:val="sr-Latn-RS"/>
        </w:rPr>
        <w:t>ekovima i druge vrste interakcija</w:t>
      </w:r>
    </w:p>
    <w:p w14:paraId="591B533F" w14:textId="77777777" w:rsidR="002A65F1" w:rsidRDefault="002A65F1" w:rsidP="002A65F1">
      <w:pPr>
        <w:tabs>
          <w:tab w:val="clear" w:pos="284"/>
        </w:tabs>
        <w:autoSpaceDE w:val="0"/>
        <w:autoSpaceDN w:val="0"/>
        <w:adjustRightInd w:val="0"/>
        <w:rPr>
          <w:szCs w:val="22"/>
          <w:u w:val="single"/>
          <w:lang w:val="sr-Latn-CS"/>
        </w:rPr>
      </w:pPr>
    </w:p>
    <w:p w14:paraId="1D8AD738" w14:textId="09A34F06" w:rsidR="00A476FE" w:rsidRPr="00814B5B" w:rsidRDefault="00A476FE" w:rsidP="002A65F1">
      <w:pPr>
        <w:tabs>
          <w:tab w:val="clear" w:pos="284"/>
        </w:tabs>
        <w:autoSpaceDE w:val="0"/>
        <w:autoSpaceDN w:val="0"/>
        <w:adjustRightInd w:val="0"/>
        <w:rPr>
          <w:szCs w:val="22"/>
          <w:u w:val="single"/>
          <w:lang w:val="sl-SI"/>
        </w:rPr>
      </w:pPr>
      <w:r w:rsidRPr="00814B5B">
        <w:rPr>
          <w:szCs w:val="22"/>
          <w:u w:val="single"/>
          <w:lang w:val="sr-Latn-CS"/>
        </w:rPr>
        <w:t>Losartan</w:t>
      </w:r>
    </w:p>
    <w:p w14:paraId="33308398" w14:textId="535A9B7A"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Zab</w:t>
      </w:r>
      <w:r w:rsidR="00741F1E" w:rsidRPr="00814B5B">
        <w:rPr>
          <w:szCs w:val="22"/>
          <w:lang w:val="sr-Latn-CS"/>
        </w:rPr>
        <w:t>i</w:t>
      </w:r>
      <w:r w:rsidRPr="00814B5B">
        <w:rPr>
          <w:szCs w:val="22"/>
          <w:lang w:val="sr-Latn-CS"/>
        </w:rPr>
        <w:t>l</w:t>
      </w:r>
      <w:r w:rsidR="00741F1E" w:rsidRPr="00814B5B">
        <w:rPr>
          <w:szCs w:val="22"/>
          <w:lang w:val="sr-Latn-CS"/>
        </w:rPr>
        <w:t>j</w:t>
      </w:r>
      <w:r w:rsidRPr="00814B5B">
        <w:rPr>
          <w:szCs w:val="22"/>
          <w:lang w:val="sr-Latn-CS"/>
        </w:rPr>
        <w:t>eženo je da rifampicin i flukonazol smanjuju koncentraciju aktivnog metabolita.</w:t>
      </w:r>
      <w:r w:rsidRPr="00814B5B">
        <w:rPr>
          <w:szCs w:val="22"/>
          <w:lang w:val="sl-SI"/>
        </w:rPr>
        <w:t xml:space="preserve"> </w:t>
      </w:r>
      <w:r w:rsidR="00FF59EA" w:rsidRPr="00814B5B">
        <w:rPr>
          <w:szCs w:val="22"/>
          <w:lang w:val="sl-SI"/>
        </w:rPr>
        <w:t>Ni</w:t>
      </w:r>
      <w:r w:rsidR="00664EA3" w:rsidRPr="00814B5B">
        <w:rPr>
          <w:szCs w:val="22"/>
          <w:lang w:val="sl-SI"/>
        </w:rPr>
        <w:t>je</w:t>
      </w:r>
      <w:r w:rsidR="00FF59EA" w:rsidRPr="00814B5B">
        <w:rPr>
          <w:szCs w:val="22"/>
          <w:lang w:val="sl-SI"/>
        </w:rPr>
        <w:t>su proc</w:t>
      </w:r>
      <w:r w:rsidR="00741F1E" w:rsidRPr="00814B5B">
        <w:rPr>
          <w:szCs w:val="22"/>
          <w:lang w:val="sl-SI"/>
        </w:rPr>
        <w:t>ij</w:t>
      </w:r>
      <w:r w:rsidR="00FF59EA" w:rsidRPr="00814B5B">
        <w:rPr>
          <w:szCs w:val="22"/>
          <w:lang w:val="sl-SI"/>
        </w:rPr>
        <w:t xml:space="preserve">enjene </w:t>
      </w:r>
      <w:r w:rsidR="00FF59EA" w:rsidRPr="00814B5B">
        <w:rPr>
          <w:szCs w:val="22"/>
          <w:lang w:val="sr-Latn-CS"/>
        </w:rPr>
        <w:t>k</w:t>
      </w:r>
      <w:r w:rsidRPr="00814B5B">
        <w:rPr>
          <w:szCs w:val="22"/>
          <w:lang w:val="sr-Latn-CS"/>
        </w:rPr>
        <w:t>liničke posl</w:t>
      </w:r>
      <w:r w:rsidR="00741F1E" w:rsidRPr="00814B5B">
        <w:rPr>
          <w:szCs w:val="22"/>
          <w:lang w:val="sr-Latn-CS"/>
        </w:rPr>
        <w:t>j</w:t>
      </w:r>
      <w:r w:rsidRPr="00814B5B">
        <w:rPr>
          <w:szCs w:val="22"/>
          <w:lang w:val="sr-Latn-CS"/>
        </w:rPr>
        <w:t>edice ovih interakcija.</w:t>
      </w:r>
    </w:p>
    <w:p w14:paraId="6CC9EE25" w14:textId="54E8AC81"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 xml:space="preserve">Kao i </w:t>
      </w:r>
      <w:r w:rsidR="0071569B" w:rsidRPr="00814B5B">
        <w:rPr>
          <w:szCs w:val="22"/>
          <w:lang w:val="sr-Latn-CS"/>
        </w:rPr>
        <w:t>kod</w:t>
      </w:r>
      <w:r w:rsidRPr="00814B5B">
        <w:rPr>
          <w:szCs w:val="22"/>
          <w:lang w:val="sr-Latn-CS"/>
        </w:rPr>
        <w:t xml:space="preserve"> drugih l</w:t>
      </w:r>
      <w:r w:rsidR="00741F1E" w:rsidRPr="00814B5B">
        <w:rPr>
          <w:szCs w:val="22"/>
          <w:lang w:val="sr-Latn-CS"/>
        </w:rPr>
        <w:t>j</w:t>
      </w:r>
      <w:r w:rsidRPr="00814B5B">
        <w:rPr>
          <w:szCs w:val="22"/>
          <w:lang w:val="sr-Latn-CS"/>
        </w:rPr>
        <w:t xml:space="preserve">ekova koji blokiraju angiotenzin II ili njegova dejstva, istovremena </w:t>
      </w:r>
      <w:r w:rsidR="007E4572" w:rsidRPr="00814B5B">
        <w:rPr>
          <w:szCs w:val="22"/>
          <w:lang w:val="sr-Latn-CS"/>
        </w:rPr>
        <w:t>primjena</w:t>
      </w:r>
      <w:r w:rsidRPr="00814B5B">
        <w:rPr>
          <w:szCs w:val="22"/>
          <w:lang w:val="sr-Latn-CS"/>
        </w:rPr>
        <w:t xml:space="preserve"> </w:t>
      </w:r>
      <w:r w:rsidR="00774AA9" w:rsidRPr="00814B5B">
        <w:rPr>
          <w:szCs w:val="22"/>
          <w:lang w:val="sr-Latn-CS"/>
        </w:rPr>
        <w:t xml:space="preserve">sa </w:t>
      </w:r>
      <w:r w:rsidRPr="00814B5B">
        <w:rPr>
          <w:szCs w:val="22"/>
          <w:lang w:val="sr-Latn-CS"/>
        </w:rPr>
        <w:t>diureti</w:t>
      </w:r>
      <w:r w:rsidR="00774AA9" w:rsidRPr="00814B5B">
        <w:rPr>
          <w:szCs w:val="22"/>
          <w:lang w:val="sr-Latn-CS"/>
        </w:rPr>
        <w:t>cima</w:t>
      </w:r>
      <w:r w:rsidRPr="00814B5B">
        <w:rPr>
          <w:szCs w:val="22"/>
          <w:lang w:val="sr-Latn-CS"/>
        </w:rPr>
        <w:t xml:space="preserve"> koji štede kalijum (npr. spironolakton, triamteren, amilorid), suplement</w:t>
      </w:r>
      <w:r w:rsidR="00526D55" w:rsidRPr="00814B5B">
        <w:rPr>
          <w:szCs w:val="22"/>
          <w:lang w:val="sr-Latn-CS"/>
        </w:rPr>
        <w:t>ima</w:t>
      </w:r>
      <w:r w:rsidRPr="00814B5B">
        <w:rPr>
          <w:szCs w:val="22"/>
          <w:lang w:val="sr-Latn-CS"/>
        </w:rPr>
        <w:t xml:space="preserve"> koji sadrže kalijum, zam</w:t>
      </w:r>
      <w:r w:rsidR="00741F1E" w:rsidRPr="00814B5B">
        <w:rPr>
          <w:szCs w:val="22"/>
          <w:lang w:val="sr-Latn-CS"/>
        </w:rPr>
        <w:t>j</w:t>
      </w:r>
      <w:r w:rsidRPr="00814B5B">
        <w:rPr>
          <w:szCs w:val="22"/>
          <w:lang w:val="sr-Latn-CS"/>
        </w:rPr>
        <w:t>ena</w:t>
      </w:r>
      <w:r w:rsidR="00526D55" w:rsidRPr="00814B5B">
        <w:rPr>
          <w:szCs w:val="22"/>
          <w:lang w:val="sr-Latn-CS"/>
        </w:rPr>
        <w:t>ma</w:t>
      </w:r>
      <w:r w:rsidRPr="00814B5B">
        <w:rPr>
          <w:szCs w:val="22"/>
          <w:lang w:val="sr-Latn-CS"/>
        </w:rPr>
        <w:t xml:space="preserve"> za so koje sadrže kalijum ili drugi</w:t>
      </w:r>
      <w:r w:rsidR="00526D55" w:rsidRPr="00814B5B">
        <w:rPr>
          <w:szCs w:val="22"/>
          <w:lang w:val="sr-Latn-CS"/>
        </w:rPr>
        <w:t>m</w:t>
      </w:r>
      <w:r w:rsidRPr="00814B5B">
        <w:rPr>
          <w:szCs w:val="22"/>
          <w:lang w:val="sr-Latn-CS"/>
        </w:rPr>
        <w:t xml:space="preserve"> l</w:t>
      </w:r>
      <w:r w:rsidR="00741F1E" w:rsidRPr="00814B5B">
        <w:rPr>
          <w:szCs w:val="22"/>
          <w:lang w:val="sr-Latn-CS"/>
        </w:rPr>
        <w:t>j</w:t>
      </w:r>
      <w:r w:rsidRPr="00814B5B">
        <w:rPr>
          <w:szCs w:val="22"/>
          <w:lang w:val="sr-Latn-CS"/>
        </w:rPr>
        <w:t>ekov</w:t>
      </w:r>
      <w:r w:rsidR="00526D55" w:rsidRPr="00814B5B">
        <w:rPr>
          <w:szCs w:val="22"/>
          <w:lang w:val="sr-Latn-CS"/>
        </w:rPr>
        <w:t>ima</w:t>
      </w:r>
      <w:r w:rsidRPr="00814B5B">
        <w:rPr>
          <w:szCs w:val="22"/>
          <w:lang w:val="sr-Latn-CS"/>
        </w:rPr>
        <w:t xml:space="preserve"> koji mogu da povećaju koncentraciju kalijuma u serumu (npr. l</w:t>
      </w:r>
      <w:r w:rsidR="00741F1E" w:rsidRPr="00814B5B">
        <w:rPr>
          <w:szCs w:val="22"/>
          <w:lang w:val="sr-Latn-CS"/>
        </w:rPr>
        <w:t>j</w:t>
      </w:r>
      <w:r w:rsidRPr="00814B5B">
        <w:rPr>
          <w:szCs w:val="22"/>
          <w:lang w:val="sr-Latn-CS"/>
        </w:rPr>
        <w:t>ekovi koji sadrže trimetoprim), može da dovede do povećanja koncentracije kalijuma u serumu.</w:t>
      </w:r>
      <w:r w:rsidRPr="00814B5B">
        <w:rPr>
          <w:szCs w:val="22"/>
          <w:lang w:val="sl-SI"/>
        </w:rPr>
        <w:t xml:space="preserve"> </w:t>
      </w:r>
      <w:r w:rsidRPr="00814B5B">
        <w:rPr>
          <w:szCs w:val="22"/>
          <w:lang w:val="sr-Latn-CS"/>
        </w:rPr>
        <w:t xml:space="preserve">Ne preporučuje se istovremena </w:t>
      </w:r>
      <w:r w:rsidR="007E4572" w:rsidRPr="00814B5B">
        <w:rPr>
          <w:szCs w:val="22"/>
          <w:lang w:val="sr-Latn-CS"/>
        </w:rPr>
        <w:t>primjena</w:t>
      </w:r>
      <w:r w:rsidRPr="00814B5B">
        <w:rPr>
          <w:szCs w:val="22"/>
          <w:lang w:val="sr-Latn-CS"/>
        </w:rPr>
        <w:t>.</w:t>
      </w:r>
    </w:p>
    <w:p w14:paraId="41673877" w14:textId="0576A91D"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 xml:space="preserve">Kao i </w:t>
      </w:r>
      <w:r w:rsidR="00946785" w:rsidRPr="00814B5B">
        <w:rPr>
          <w:szCs w:val="22"/>
          <w:lang w:val="sr-Latn-CS"/>
        </w:rPr>
        <w:t xml:space="preserve">kod </w:t>
      </w:r>
      <w:r w:rsidRPr="00814B5B">
        <w:rPr>
          <w:szCs w:val="22"/>
          <w:lang w:val="sr-Latn-CS"/>
        </w:rPr>
        <w:t>drugih l</w:t>
      </w:r>
      <w:r w:rsidR="00741F1E" w:rsidRPr="00814B5B">
        <w:rPr>
          <w:szCs w:val="22"/>
          <w:lang w:val="sr-Latn-CS"/>
        </w:rPr>
        <w:t>j</w:t>
      </w:r>
      <w:r w:rsidRPr="00814B5B">
        <w:rPr>
          <w:szCs w:val="22"/>
          <w:lang w:val="sr-Latn-CS"/>
        </w:rPr>
        <w:t>ekova koji utiču na ekskreciju natrijuma, može biti smanjena ekskrecija litijuma.</w:t>
      </w:r>
      <w:r w:rsidRPr="00814B5B">
        <w:rPr>
          <w:szCs w:val="22"/>
          <w:lang w:val="sl-SI"/>
        </w:rPr>
        <w:t xml:space="preserve"> </w:t>
      </w:r>
      <w:r w:rsidRPr="00814B5B">
        <w:rPr>
          <w:szCs w:val="22"/>
          <w:lang w:val="sr-Latn-CS"/>
        </w:rPr>
        <w:t>Zbog toga treba pažljivo pratiti koncentraciju litijuma u serumu ako se soli litijuma prim</w:t>
      </w:r>
      <w:r w:rsidR="00741F1E" w:rsidRPr="00814B5B">
        <w:rPr>
          <w:szCs w:val="22"/>
          <w:lang w:val="sr-Latn-CS"/>
        </w:rPr>
        <w:t>j</w:t>
      </w:r>
      <w:r w:rsidRPr="00814B5B">
        <w:rPr>
          <w:szCs w:val="22"/>
          <w:lang w:val="sr-Latn-CS"/>
        </w:rPr>
        <w:t>enjuju istovremeno sa antagonistima receptora angiotenzina II.</w:t>
      </w:r>
    </w:p>
    <w:p w14:paraId="5B275CFA" w14:textId="5D45F83B"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Kada se antagonisti angiotenzina II prim</w:t>
      </w:r>
      <w:r w:rsidR="00741F1E" w:rsidRPr="00814B5B">
        <w:rPr>
          <w:szCs w:val="22"/>
          <w:lang w:val="sr-Latn-CS"/>
        </w:rPr>
        <w:t>j</w:t>
      </w:r>
      <w:r w:rsidRPr="00814B5B">
        <w:rPr>
          <w:szCs w:val="22"/>
          <w:lang w:val="sr-Latn-CS"/>
        </w:rPr>
        <w:t>enjuju istovremeno sa nesteroidnim antiinflamatornim l</w:t>
      </w:r>
      <w:r w:rsidR="00741F1E" w:rsidRPr="00814B5B">
        <w:rPr>
          <w:szCs w:val="22"/>
          <w:lang w:val="sr-Latn-CS"/>
        </w:rPr>
        <w:t>j</w:t>
      </w:r>
      <w:r w:rsidRPr="00814B5B">
        <w:rPr>
          <w:szCs w:val="22"/>
          <w:lang w:val="sr-Latn-CS"/>
        </w:rPr>
        <w:t>ekovima (NSAIL, npr. selektivnim COX-2 inhibitorima, acetilsalicilnom kiselinom u antiinflamatornim dozama i neselektivnim NSAIL</w:t>
      </w:r>
      <w:r w:rsidR="001D0F7C" w:rsidRPr="00814B5B">
        <w:rPr>
          <w:szCs w:val="22"/>
          <w:lang w:val="sr-Latn-CS"/>
        </w:rPr>
        <w:t>-ima</w:t>
      </w:r>
      <w:r w:rsidRPr="00814B5B">
        <w:rPr>
          <w:szCs w:val="22"/>
          <w:lang w:val="sr-Latn-CS"/>
        </w:rPr>
        <w:t>), može doći do smanjenja antihipertenzivnog dejstva.</w:t>
      </w:r>
      <w:r w:rsidRPr="00814B5B">
        <w:rPr>
          <w:szCs w:val="22"/>
          <w:lang w:val="sl-SI"/>
        </w:rPr>
        <w:t xml:space="preserve"> </w:t>
      </w:r>
      <w:r w:rsidRPr="00814B5B">
        <w:rPr>
          <w:szCs w:val="22"/>
          <w:lang w:val="sr-Latn-CS"/>
        </w:rPr>
        <w:t xml:space="preserve">Istovremena </w:t>
      </w:r>
      <w:r w:rsidR="007E4572" w:rsidRPr="00814B5B">
        <w:rPr>
          <w:szCs w:val="22"/>
          <w:lang w:val="sr-Latn-CS"/>
        </w:rPr>
        <w:t>primjena</w:t>
      </w:r>
      <w:r w:rsidRPr="00814B5B">
        <w:rPr>
          <w:szCs w:val="22"/>
          <w:lang w:val="sr-Latn-CS"/>
        </w:rPr>
        <w:t xml:space="preserve"> antagonista angiotenzina II ili diuretika i NSAIL</w:t>
      </w:r>
      <w:r w:rsidR="001D0F7C" w:rsidRPr="00814B5B">
        <w:rPr>
          <w:szCs w:val="22"/>
          <w:lang w:val="sr-Latn-CS"/>
        </w:rPr>
        <w:t>-a</w:t>
      </w:r>
      <w:r w:rsidRPr="00814B5B">
        <w:rPr>
          <w:szCs w:val="22"/>
          <w:lang w:val="sr-Latn-CS"/>
        </w:rPr>
        <w:t xml:space="preserve"> može da dovede do povećanog rizika od pogoršanja funkcije</w:t>
      </w:r>
      <w:r w:rsidR="001D0F7C" w:rsidRPr="00814B5B">
        <w:rPr>
          <w:szCs w:val="22"/>
          <w:lang w:val="sr-Latn-CS"/>
        </w:rPr>
        <w:t xml:space="preserve"> bubrega</w:t>
      </w:r>
      <w:r w:rsidRPr="00814B5B">
        <w:rPr>
          <w:szCs w:val="22"/>
          <w:lang w:val="sr-Latn-CS"/>
        </w:rPr>
        <w:t>, uključujući moguću akutnu bubrežnu insuficijenciju, kao i povećanje koncentracije kalijuma u serumu, naročito kod pacijenata sa već oslabljenom funkcijom</w:t>
      </w:r>
      <w:r w:rsidR="00A51761" w:rsidRPr="00814B5B">
        <w:rPr>
          <w:szCs w:val="22"/>
          <w:lang w:val="sr-Latn-CS"/>
        </w:rPr>
        <w:t xml:space="preserve"> bubrega</w:t>
      </w:r>
      <w:r w:rsidRPr="00814B5B">
        <w:rPr>
          <w:szCs w:val="22"/>
          <w:lang w:val="sr-Latn-CS"/>
        </w:rPr>
        <w:t>.</w:t>
      </w:r>
      <w:r w:rsidRPr="00814B5B">
        <w:rPr>
          <w:szCs w:val="22"/>
          <w:lang w:val="sl-SI"/>
        </w:rPr>
        <w:t xml:space="preserve"> </w:t>
      </w:r>
      <w:r w:rsidRPr="00814B5B">
        <w:rPr>
          <w:szCs w:val="22"/>
          <w:lang w:val="sr-Latn-CS"/>
        </w:rPr>
        <w:t>Ovu kombinaciju treba prim</w:t>
      </w:r>
      <w:r w:rsidR="00741F1E" w:rsidRPr="00814B5B">
        <w:rPr>
          <w:szCs w:val="22"/>
          <w:lang w:val="sr-Latn-CS"/>
        </w:rPr>
        <w:t>j</w:t>
      </w:r>
      <w:r w:rsidRPr="00814B5B">
        <w:rPr>
          <w:szCs w:val="22"/>
          <w:lang w:val="sr-Latn-CS"/>
        </w:rPr>
        <w:t>enjivati</w:t>
      </w:r>
      <w:r w:rsidR="00A51761" w:rsidRPr="00814B5B">
        <w:rPr>
          <w:szCs w:val="22"/>
          <w:lang w:val="sr-Latn-CS"/>
        </w:rPr>
        <w:t xml:space="preserve"> sa oprezom</w:t>
      </w:r>
      <w:r w:rsidRPr="00814B5B">
        <w:rPr>
          <w:szCs w:val="22"/>
          <w:lang w:val="sr-Latn-CS"/>
        </w:rPr>
        <w:t>, naročito kod starijih osoba.</w:t>
      </w:r>
      <w:r w:rsidRPr="00814B5B">
        <w:rPr>
          <w:szCs w:val="22"/>
          <w:lang w:val="sl-SI"/>
        </w:rPr>
        <w:t xml:space="preserve"> </w:t>
      </w:r>
      <w:r w:rsidR="00A07219" w:rsidRPr="00814B5B">
        <w:rPr>
          <w:szCs w:val="22"/>
          <w:lang w:val="sr-Latn-CS"/>
        </w:rPr>
        <w:t xml:space="preserve">Pacijenti </w:t>
      </w:r>
      <w:r w:rsidRPr="00814B5B">
        <w:rPr>
          <w:szCs w:val="22"/>
          <w:lang w:val="sr-Latn-CS"/>
        </w:rPr>
        <w:t xml:space="preserve">treba </w:t>
      </w:r>
      <w:r w:rsidR="00A07219" w:rsidRPr="00814B5B">
        <w:rPr>
          <w:szCs w:val="22"/>
          <w:lang w:val="sr-Latn-CS"/>
        </w:rPr>
        <w:t xml:space="preserve">da budu </w:t>
      </w:r>
      <w:r w:rsidRPr="00814B5B">
        <w:rPr>
          <w:szCs w:val="22"/>
          <w:lang w:val="sr-Latn-CS"/>
        </w:rPr>
        <w:t xml:space="preserve">adekvatno </w:t>
      </w:r>
      <w:r w:rsidR="00A07219" w:rsidRPr="00814B5B">
        <w:rPr>
          <w:szCs w:val="22"/>
          <w:lang w:val="sr-Latn-CS"/>
        </w:rPr>
        <w:t>hidrirani</w:t>
      </w:r>
      <w:r w:rsidRPr="00814B5B">
        <w:rPr>
          <w:szCs w:val="22"/>
          <w:lang w:val="sr-Latn-CS"/>
        </w:rPr>
        <w:t>, a treba razmotriti i praćenje funkcije</w:t>
      </w:r>
      <w:r w:rsidR="00A07219" w:rsidRPr="00814B5B">
        <w:rPr>
          <w:szCs w:val="22"/>
          <w:lang w:val="sr-Latn-CS"/>
        </w:rPr>
        <w:t xml:space="preserve"> bubrega </w:t>
      </w:r>
      <w:r w:rsidRPr="00814B5B">
        <w:rPr>
          <w:szCs w:val="22"/>
          <w:lang w:val="sr-Latn-CS"/>
        </w:rPr>
        <w:t xml:space="preserve">nakon </w:t>
      </w:r>
      <w:r w:rsidR="00A07219" w:rsidRPr="00814B5B">
        <w:rPr>
          <w:szCs w:val="22"/>
          <w:lang w:val="sr-Latn-CS"/>
        </w:rPr>
        <w:t xml:space="preserve">započinjanja </w:t>
      </w:r>
      <w:r w:rsidRPr="00814B5B">
        <w:rPr>
          <w:szCs w:val="22"/>
          <w:lang w:val="sr-Latn-CS"/>
        </w:rPr>
        <w:t xml:space="preserve">istovremene terapije i </w:t>
      </w:r>
      <w:r w:rsidR="00A07219" w:rsidRPr="00814B5B">
        <w:rPr>
          <w:szCs w:val="22"/>
          <w:lang w:val="sr-Latn-CS"/>
        </w:rPr>
        <w:t xml:space="preserve">kasnije </w:t>
      </w:r>
      <w:r w:rsidRPr="00814B5B">
        <w:rPr>
          <w:szCs w:val="22"/>
          <w:lang w:val="sr-Latn-CS"/>
        </w:rPr>
        <w:t>periodično.</w:t>
      </w:r>
    </w:p>
    <w:p w14:paraId="38379B8B" w14:textId="6D09D8D7" w:rsidR="00A476FE" w:rsidRPr="00814B5B" w:rsidRDefault="00A476FE" w:rsidP="007B600E">
      <w:pPr>
        <w:tabs>
          <w:tab w:val="clear" w:pos="284"/>
        </w:tabs>
        <w:autoSpaceDE w:val="0"/>
        <w:autoSpaceDN w:val="0"/>
        <w:adjustRightInd w:val="0"/>
        <w:spacing w:before="120" w:after="120"/>
        <w:rPr>
          <w:szCs w:val="22"/>
          <w:lang w:val="sr-Latn-CS"/>
        </w:rPr>
      </w:pPr>
      <w:r w:rsidRPr="00814B5B">
        <w:rPr>
          <w:szCs w:val="22"/>
          <w:lang w:val="sr-Latn-CS"/>
        </w:rPr>
        <w:t xml:space="preserve">Kod nekih pacijenata sa </w:t>
      </w:r>
      <w:r w:rsidR="00352FAD" w:rsidRPr="00814B5B">
        <w:rPr>
          <w:szCs w:val="22"/>
          <w:lang w:val="sr-Latn-CS"/>
        </w:rPr>
        <w:t xml:space="preserve">narušenom </w:t>
      </w:r>
      <w:r w:rsidRPr="00814B5B">
        <w:rPr>
          <w:szCs w:val="22"/>
          <w:lang w:val="sr-Latn-CS"/>
        </w:rPr>
        <w:t xml:space="preserve">funkcijom </w:t>
      </w:r>
      <w:r w:rsidR="00352FAD" w:rsidRPr="00814B5B">
        <w:rPr>
          <w:szCs w:val="22"/>
          <w:lang w:val="sr-Latn-CS"/>
        </w:rPr>
        <w:t xml:space="preserve">bubrega </w:t>
      </w:r>
      <w:r w:rsidRPr="00814B5B">
        <w:rPr>
          <w:szCs w:val="22"/>
          <w:lang w:val="sr-Latn-CS"/>
        </w:rPr>
        <w:t>koji su na terapiji NSAIL</w:t>
      </w:r>
      <w:r w:rsidR="00352FAD" w:rsidRPr="00814B5B">
        <w:rPr>
          <w:szCs w:val="22"/>
          <w:lang w:val="sr-Latn-CS"/>
        </w:rPr>
        <w:t>-ima</w:t>
      </w:r>
      <w:r w:rsidRPr="00814B5B">
        <w:rPr>
          <w:szCs w:val="22"/>
          <w:lang w:val="sr-Latn-CS"/>
        </w:rPr>
        <w:t xml:space="preserve">, uključujući selektivne inhibitore ciklooksigenaze-2, istovremena </w:t>
      </w:r>
      <w:r w:rsidR="007E4572" w:rsidRPr="00814B5B">
        <w:rPr>
          <w:szCs w:val="22"/>
          <w:lang w:val="sr-Latn-CS"/>
        </w:rPr>
        <w:t>primjena</w:t>
      </w:r>
      <w:r w:rsidRPr="00814B5B">
        <w:rPr>
          <w:szCs w:val="22"/>
          <w:lang w:val="sr-Latn-CS"/>
        </w:rPr>
        <w:t xml:space="preserve"> antagonista receptora angiotenzina II može da dovede do daljeg pogoršanja funkcije bubrega.</w:t>
      </w:r>
      <w:r w:rsidRPr="00814B5B">
        <w:rPr>
          <w:szCs w:val="22"/>
          <w:lang w:val="sl-SI"/>
        </w:rPr>
        <w:t xml:space="preserve"> </w:t>
      </w:r>
      <w:r w:rsidRPr="00814B5B">
        <w:rPr>
          <w:szCs w:val="22"/>
          <w:lang w:val="sr-Latn-CS"/>
        </w:rPr>
        <w:t>Ova dejstva su obično reverzibilna.</w:t>
      </w:r>
    </w:p>
    <w:p w14:paraId="4A78927A" w14:textId="75B85865" w:rsidR="00A476FE" w:rsidRPr="00814B5B" w:rsidRDefault="00A476FE" w:rsidP="007B600E">
      <w:pPr>
        <w:tabs>
          <w:tab w:val="center" w:pos="4536"/>
          <w:tab w:val="right" w:pos="9072"/>
        </w:tabs>
        <w:spacing w:before="120" w:after="120"/>
        <w:rPr>
          <w:szCs w:val="22"/>
          <w:lang w:val="sl-SI"/>
        </w:rPr>
      </w:pPr>
      <w:r w:rsidRPr="00814B5B">
        <w:rPr>
          <w:szCs w:val="22"/>
          <w:lang w:val="sl-SI"/>
        </w:rPr>
        <w:t xml:space="preserve">Podaci iz kliničkih studija su pokazali da </w:t>
      </w:r>
      <w:r w:rsidR="00A95B99" w:rsidRPr="00814B5B">
        <w:rPr>
          <w:szCs w:val="22"/>
          <w:lang w:val="sl-SI"/>
        </w:rPr>
        <w:t xml:space="preserve">je </w:t>
      </w:r>
      <w:r w:rsidRPr="00814B5B">
        <w:rPr>
          <w:szCs w:val="22"/>
          <w:lang w:val="sl-SI"/>
        </w:rPr>
        <w:t xml:space="preserve">dvostruka blokada sistema renin-angiotenzin aldosteron (RAAS) </w:t>
      </w:r>
      <w:r w:rsidR="00A95B99" w:rsidRPr="00814B5B">
        <w:rPr>
          <w:szCs w:val="22"/>
          <w:lang w:val="sl-SI"/>
        </w:rPr>
        <w:t>kombinovanom prim</w:t>
      </w:r>
      <w:r w:rsidR="00741F1E" w:rsidRPr="00814B5B">
        <w:rPr>
          <w:szCs w:val="22"/>
          <w:lang w:val="sl-SI"/>
        </w:rPr>
        <w:t>j</w:t>
      </w:r>
      <w:r w:rsidR="00A95B99" w:rsidRPr="00814B5B">
        <w:rPr>
          <w:szCs w:val="22"/>
          <w:lang w:val="sl-SI"/>
        </w:rPr>
        <w:t>enom</w:t>
      </w:r>
      <w:r w:rsidRPr="00814B5B">
        <w:rPr>
          <w:szCs w:val="22"/>
          <w:lang w:val="sl-SI"/>
        </w:rPr>
        <w:t xml:space="preserve"> ACE-inhibitora, blokatora receptora angiotenzina II ili aliskirena povezana sa </w:t>
      </w:r>
      <w:r w:rsidR="00A95B99" w:rsidRPr="00814B5B">
        <w:rPr>
          <w:szCs w:val="22"/>
          <w:lang w:val="sl-SI"/>
        </w:rPr>
        <w:t xml:space="preserve">povećanom </w:t>
      </w:r>
      <w:r w:rsidRPr="00814B5B">
        <w:rPr>
          <w:szCs w:val="22"/>
          <w:lang w:val="sl-SI"/>
        </w:rPr>
        <w:t>učestalošću neželjenih događaja kao što su hipotenzija, hiperkalemija i smanjen</w:t>
      </w:r>
      <w:r w:rsidR="00364D34" w:rsidRPr="00814B5B">
        <w:rPr>
          <w:szCs w:val="22"/>
          <w:lang w:val="sl-SI"/>
        </w:rPr>
        <w:t>je</w:t>
      </w:r>
      <w:r w:rsidRPr="00814B5B">
        <w:rPr>
          <w:szCs w:val="22"/>
          <w:lang w:val="sl-SI"/>
        </w:rPr>
        <w:t xml:space="preserve"> </w:t>
      </w:r>
      <w:r w:rsidR="00A95B99" w:rsidRPr="00814B5B">
        <w:rPr>
          <w:szCs w:val="22"/>
          <w:lang w:val="sl-SI"/>
        </w:rPr>
        <w:t>funkcij</w:t>
      </w:r>
      <w:r w:rsidR="00364D34" w:rsidRPr="00814B5B">
        <w:rPr>
          <w:szCs w:val="22"/>
          <w:lang w:val="sl-SI"/>
        </w:rPr>
        <w:t>e</w:t>
      </w:r>
      <w:r w:rsidR="00A95B99" w:rsidRPr="00814B5B">
        <w:rPr>
          <w:szCs w:val="22"/>
          <w:lang w:val="sl-SI"/>
        </w:rPr>
        <w:t xml:space="preserve"> </w:t>
      </w:r>
      <w:r w:rsidR="00364D34" w:rsidRPr="00814B5B">
        <w:rPr>
          <w:szCs w:val="22"/>
          <w:lang w:val="sl-SI"/>
        </w:rPr>
        <w:t xml:space="preserve">bubrega </w:t>
      </w:r>
      <w:r w:rsidRPr="00814B5B">
        <w:rPr>
          <w:szCs w:val="22"/>
          <w:lang w:val="sl-SI"/>
        </w:rPr>
        <w:lastRenderedPageBreak/>
        <w:t xml:space="preserve">(uključujući akutnu bubrežnu insuficijenciju) u </w:t>
      </w:r>
      <w:r w:rsidR="00364D34" w:rsidRPr="00814B5B">
        <w:rPr>
          <w:szCs w:val="22"/>
          <w:lang w:val="sl-SI"/>
        </w:rPr>
        <w:t>poređenju sa</w:t>
      </w:r>
      <w:r w:rsidRPr="00814B5B">
        <w:rPr>
          <w:szCs w:val="22"/>
          <w:lang w:val="sl-SI"/>
        </w:rPr>
        <w:t xml:space="preserve"> prim</w:t>
      </w:r>
      <w:r w:rsidR="001133D7" w:rsidRPr="00814B5B">
        <w:rPr>
          <w:szCs w:val="22"/>
          <w:lang w:val="sl-SI"/>
        </w:rPr>
        <w:t>j</w:t>
      </w:r>
      <w:r w:rsidRPr="00814B5B">
        <w:rPr>
          <w:szCs w:val="22"/>
          <w:lang w:val="sl-SI"/>
        </w:rPr>
        <w:t>en</w:t>
      </w:r>
      <w:r w:rsidR="00364D34" w:rsidRPr="00814B5B">
        <w:rPr>
          <w:szCs w:val="22"/>
          <w:lang w:val="sl-SI"/>
        </w:rPr>
        <w:t>om</w:t>
      </w:r>
      <w:r w:rsidRPr="00814B5B">
        <w:rPr>
          <w:szCs w:val="22"/>
          <w:lang w:val="sl-SI"/>
        </w:rPr>
        <w:t xml:space="preserve"> samo jednog l</w:t>
      </w:r>
      <w:r w:rsidR="001133D7" w:rsidRPr="00814B5B">
        <w:rPr>
          <w:szCs w:val="22"/>
          <w:lang w:val="sl-SI"/>
        </w:rPr>
        <w:t>ij</w:t>
      </w:r>
      <w:r w:rsidRPr="00814B5B">
        <w:rPr>
          <w:szCs w:val="22"/>
          <w:lang w:val="sl-SI"/>
        </w:rPr>
        <w:t>eka koji d</w:t>
      </w:r>
      <w:r w:rsidR="001133D7" w:rsidRPr="00814B5B">
        <w:rPr>
          <w:szCs w:val="22"/>
          <w:lang w:val="sl-SI"/>
        </w:rPr>
        <w:t>j</w:t>
      </w:r>
      <w:r w:rsidRPr="00814B5B">
        <w:rPr>
          <w:szCs w:val="22"/>
          <w:lang w:val="sl-SI"/>
        </w:rPr>
        <w:t>eluje na RAAS (vid</w:t>
      </w:r>
      <w:r w:rsidR="001133D7" w:rsidRPr="00814B5B">
        <w:rPr>
          <w:szCs w:val="22"/>
          <w:lang w:val="sl-SI"/>
        </w:rPr>
        <w:t>j</w:t>
      </w:r>
      <w:r w:rsidRPr="00814B5B">
        <w:rPr>
          <w:szCs w:val="22"/>
          <w:lang w:val="sl-SI"/>
        </w:rPr>
        <w:t xml:space="preserve">eti </w:t>
      </w:r>
      <w:r w:rsidR="001133D7" w:rsidRPr="00814B5B">
        <w:rPr>
          <w:szCs w:val="22"/>
          <w:lang w:val="sl-SI"/>
        </w:rPr>
        <w:t>djelove</w:t>
      </w:r>
      <w:r w:rsidRPr="00814B5B">
        <w:rPr>
          <w:szCs w:val="22"/>
          <w:lang w:val="sl-SI"/>
        </w:rPr>
        <w:t xml:space="preserve"> 4.3, 4.4 i 5.1).</w:t>
      </w:r>
    </w:p>
    <w:p w14:paraId="7F478E09" w14:textId="4D31B714" w:rsidR="00A476FE" w:rsidRPr="00814B5B" w:rsidRDefault="00A476FE" w:rsidP="007B600E">
      <w:pPr>
        <w:tabs>
          <w:tab w:val="clear" w:pos="284"/>
        </w:tabs>
        <w:autoSpaceDE w:val="0"/>
        <w:autoSpaceDN w:val="0"/>
        <w:adjustRightInd w:val="0"/>
        <w:spacing w:before="120" w:after="120"/>
        <w:rPr>
          <w:szCs w:val="22"/>
          <w:lang w:val="sr-Latn-CS"/>
        </w:rPr>
      </w:pPr>
      <w:r w:rsidRPr="00814B5B">
        <w:rPr>
          <w:szCs w:val="22"/>
          <w:lang w:val="sr-Latn-CS"/>
        </w:rPr>
        <w:t>Drugi l</w:t>
      </w:r>
      <w:r w:rsidR="001133D7" w:rsidRPr="00814B5B">
        <w:rPr>
          <w:szCs w:val="22"/>
          <w:lang w:val="sr-Latn-CS"/>
        </w:rPr>
        <w:t>j</w:t>
      </w:r>
      <w:r w:rsidRPr="00814B5B">
        <w:rPr>
          <w:szCs w:val="22"/>
          <w:lang w:val="sr-Latn-CS"/>
        </w:rPr>
        <w:t>ekovi koji dovode do hipotenzije, kao što su triciklični antidepresivi, antipsihotici, baklofen, amifostin</w:t>
      </w:r>
      <w:r w:rsidR="00C937D4" w:rsidRPr="00814B5B">
        <w:rPr>
          <w:szCs w:val="22"/>
          <w:lang w:val="sl-SI"/>
        </w:rPr>
        <w:t xml:space="preserve">: </w:t>
      </w:r>
      <w:r w:rsidR="00C937D4" w:rsidRPr="00814B5B">
        <w:rPr>
          <w:szCs w:val="22"/>
          <w:lang w:val="sr-Latn-CS"/>
        </w:rPr>
        <w:t>i</w:t>
      </w:r>
      <w:r w:rsidRPr="00814B5B">
        <w:rPr>
          <w:szCs w:val="22"/>
          <w:lang w:val="sr-Latn-CS"/>
        </w:rPr>
        <w:t xml:space="preserve">stovremena </w:t>
      </w:r>
      <w:r w:rsidR="007E4572" w:rsidRPr="00814B5B">
        <w:rPr>
          <w:szCs w:val="22"/>
          <w:lang w:val="sr-Latn-CS"/>
        </w:rPr>
        <w:t>primjena</w:t>
      </w:r>
      <w:r w:rsidRPr="00814B5B">
        <w:rPr>
          <w:szCs w:val="22"/>
          <w:lang w:val="sr-Latn-CS"/>
        </w:rPr>
        <w:t xml:space="preserve"> sa ovim l</w:t>
      </w:r>
      <w:r w:rsidR="001133D7" w:rsidRPr="00814B5B">
        <w:rPr>
          <w:szCs w:val="22"/>
          <w:lang w:val="sr-Latn-CS"/>
        </w:rPr>
        <w:t>j</w:t>
      </w:r>
      <w:r w:rsidRPr="00814B5B">
        <w:rPr>
          <w:szCs w:val="22"/>
          <w:lang w:val="sr-Latn-CS"/>
        </w:rPr>
        <w:t>ekovima koji snižavaju krvni pritisak</w:t>
      </w:r>
      <w:r w:rsidR="00C937D4" w:rsidRPr="00814B5B">
        <w:rPr>
          <w:szCs w:val="22"/>
          <w:lang w:val="sr-Latn-CS"/>
        </w:rPr>
        <w:t>,</w:t>
      </w:r>
      <w:r w:rsidRPr="00814B5B">
        <w:rPr>
          <w:szCs w:val="22"/>
          <w:lang w:val="sr-Latn-CS"/>
        </w:rPr>
        <w:t xml:space="preserve"> kao glavno ili neželjeno dejstvo, može povećati rizik od hipotenzije.</w:t>
      </w:r>
    </w:p>
    <w:p w14:paraId="2575B0B2" w14:textId="26375E6F" w:rsidR="00924504" w:rsidRPr="00814B5B" w:rsidRDefault="00924504" w:rsidP="00924504">
      <w:pPr>
        <w:tabs>
          <w:tab w:val="clear" w:pos="284"/>
        </w:tabs>
        <w:autoSpaceDE w:val="0"/>
        <w:autoSpaceDN w:val="0"/>
        <w:adjustRightInd w:val="0"/>
        <w:spacing w:before="120" w:after="120"/>
        <w:rPr>
          <w:szCs w:val="22"/>
          <w:lang w:val="sr-Latn-RS"/>
        </w:rPr>
      </w:pPr>
      <w:r w:rsidRPr="00814B5B">
        <w:rPr>
          <w:szCs w:val="22"/>
          <w:lang w:val="sr-Latn-RS"/>
        </w:rPr>
        <w:t>Sok od grejpfruta sadrži jedinjenja koja inhibiraju CYP450 enzime i mogu smanjiti koncentraciju aktivnog metabolita losartana, što može smanjiti terapijski efekat. Tokom prim</w:t>
      </w:r>
      <w:r w:rsidR="001133D7" w:rsidRPr="00814B5B">
        <w:rPr>
          <w:szCs w:val="22"/>
          <w:lang w:val="sr-Latn-RS"/>
        </w:rPr>
        <w:t>j</w:t>
      </w:r>
      <w:r w:rsidRPr="00814B5B">
        <w:rPr>
          <w:szCs w:val="22"/>
          <w:lang w:val="sr-Latn-RS"/>
        </w:rPr>
        <w:t>ene kombinacije losartan/hidrohlortiazid treba izb</w:t>
      </w:r>
      <w:r w:rsidR="001133D7" w:rsidRPr="00814B5B">
        <w:rPr>
          <w:szCs w:val="22"/>
          <w:lang w:val="sr-Latn-RS"/>
        </w:rPr>
        <w:t>j</w:t>
      </w:r>
      <w:r w:rsidRPr="00814B5B">
        <w:rPr>
          <w:szCs w:val="22"/>
          <w:lang w:val="sr-Latn-RS"/>
        </w:rPr>
        <w:t>egavati konzumiranje soka od grejpfruta.</w:t>
      </w:r>
    </w:p>
    <w:p w14:paraId="46E0177F" w14:textId="77777777" w:rsidR="00A476FE" w:rsidRPr="00814B5B" w:rsidRDefault="00A476FE" w:rsidP="007B600E">
      <w:pPr>
        <w:tabs>
          <w:tab w:val="clear" w:pos="284"/>
        </w:tabs>
        <w:autoSpaceDE w:val="0"/>
        <w:autoSpaceDN w:val="0"/>
        <w:adjustRightInd w:val="0"/>
        <w:spacing w:before="120" w:after="120"/>
        <w:rPr>
          <w:szCs w:val="22"/>
          <w:u w:val="single"/>
          <w:lang w:val="sl-SI"/>
        </w:rPr>
      </w:pPr>
      <w:r w:rsidRPr="00814B5B">
        <w:rPr>
          <w:szCs w:val="22"/>
          <w:u w:val="single"/>
          <w:lang w:val="sr-Latn-CS"/>
        </w:rPr>
        <w:t>Hidrohlortiazid</w:t>
      </w:r>
    </w:p>
    <w:p w14:paraId="7386F88E" w14:textId="312CD2BD"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Kada se prim</w:t>
      </w:r>
      <w:r w:rsidR="001133D7" w:rsidRPr="00814B5B">
        <w:rPr>
          <w:szCs w:val="22"/>
          <w:lang w:val="sr-Latn-CS"/>
        </w:rPr>
        <w:t>j</w:t>
      </w:r>
      <w:r w:rsidRPr="00814B5B">
        <w:rPr>
          <w:szCs w:val="22"/>
          <w:lang w:val="sr-Latn-CS"/>
        </w:rPr>
        <w:t>enjuju istovremeno, sl</w:t>
      </w:r>
      <w:r w:rsidR="001133D7" w:rsidRPr="00814B5B">
        <w:rPr>
          <w:szCs w:val="22"/>
          <w:lang w:val="sr-Latn-CS"/>
        </w:rPr>
        <w:t>j</w:t>
      </w:r>
      <w:r w:rsidRPr="00814B5B">
        <w:rPr>
          <w:szCs w:val="22"/>
          <w:lang w:val="sr-Latn-CS"/>
        </w:rPr>
        <w:t>edeći l</w:t>
      </w:r>
      <w:r w:rsidR="001133D7" w:rsidRPr="00814B5B">
        <w:rPr>
          <w:szCs w:val="22"/>
          <w:lang w:val="sr-Latn-CS"/>
        </w:rPr>
        <w:t>j</w:t>
      </w:r>
      <w:r w:rsidRPr="00814B5B">
        <w:rPr>
          <w:szCs w:val="22"/>
          <w:lang w:val="sr-Latn-CS"/>
        </w:rPr>
        <w:t>ekovi mogu stupiti u interakciju sa tiazidnim diureticima:</w:t>
      </w:r>
    </w:p>
    <w:p w14:paraId="6DFD685A" w14:textId="0F3B614A" w:rsidR="00A476FE" w:rsidRPr="00814B5B" w:rsidRDefault="00A476FE" w:rsidP="007B600E">
      <w:pPr>
        <w:tabs>
          <w:tab w:val="clear" w:pos="284"/>
        </w:tabs>
        <w:autoSpaceDE w:val="0"/>
        <w:autoSpaceDN w:val="0"/>
        <w:adjustRightInd w:val="0"/>
        <w:spacing w:before="120" w:after="120"/>
        <w:rPr>
          <w:i/>
          <w:iCs/>
          <w:szCs w:val="22"/>
          <w:lang w:val="sl-SI"/>
        </w:rPr>
      </w:pPr>
      <w:r w:rsidRPr="00814B5B">
        <w:rPr>
          <w:i/>
          <w:iCs/>
          <w:szCs w:val="22"/>
          <w:lang w:val="sr-Latn-CS"/>
        </w:rPr>
        <w:t>Alkohol, barbiturati, narkotici ili antidepresivi</w:t>
      </w:r>
    </w:p>
    <w:p w14:paraId="2D994460" w14:textId="77777777"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Može doći do potenciranja ortostatske hipotenzije.</w:t>
      </w:r>
    </w:p>
    <w:p w14:paraId="727B12D2" w14:textId="1F9D79A6" w:rsidR="00A476FE" w:rsidRPr="00814B5B" w:rsidRDefault="00A476FE" w:rsidP="007B600E">
      <w:pPr>
        <w:tabs>
          <w:tab w:val="clear" w:pos="284"/>
        </w:tabs>
        <w:autoSpaceDE w:val="0"/>
        <w:autoSpaceDN w:val="0"/>
        <w:adjustRightInd w:val="0"/>
        <w:spacing w:before="120" w:after="120"/>
        <w:rPr>
          <w:i/>
          <w:iCs/>
          <w:szCs w:val="22"/>
          <w:lang w:val="sl-SI"/>
        </w:rPr>
      </w:pPr>
      <w:r w:rsidRPr="00814B5B">
        <w:rPr>
          <w:i/>
          <w:iCs/>
          <w:szCs w:val="22"/>
          <w:lang w:val="sr-Latn-CS"/>
        </w:rPr>
        <w:t>Antidijabetici (l</w:t>
      </w:r>
      <w:r w:rsidR="001133D7" w:rsidRPr="00814B5B">
        <w:rPr>
          <w:i/>
          <w:iCs/>
          <w:szCs w:val="22"/>
          <w:lang w:val="sr-Latn-CS"/>
        </w:rPr>
        <w:t>j</w:t>
      </w:r>
      <w:r w:rsidRPr="00814B5B">
        <w:rPr>
          <w:i/>
          <w:iCs/>
          <w:szCs w:val="22"/>
          <w:lang w:val="sr-Latn-CS"/>
        </w:rPr>
        <w:t>ekovi za oralnu upotrebu i insulin)</w:t>
      </w:r>
    </w:p>
    <w:p w14:paraId="768DF4A0" w14:textId="6A0076C8"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Terapija tiazidima može da utiče na toleranciju glukoze.</w:t>
      </w:r>
      <w:r w:rsidRPr="00814B5B">
        <w:rPr>
          <w:szCs w:val="22"/>
          <w:lang w:val="sl-SI"/>
        </w:rPr>
        <w:t xml:space="preserve"> </w:t>
      </w:r>
      <w:r w:rsidRPr="00814B5B">
        <w:rPr>
          <w:szCs w:val="22"/>
          <w:lang w:val="sr-Latn-CS"/>
        </w:rPr>
        <w:t>Može biti potrebno prilagođavanje doze antidijabetika.</w:t>
      </w:r>
      <w:r w:rsidRPr="00814B5B">
        <w:rPr>
          <w:szCs w:val="22"/>
          <w:lang w:val="sl-SI"/>
        </w:rPr>
        <w:t xml:space="preserve"> </w:t>
      </w:r>
      <w:r w:rsidRPr="00814B5B">
        <w:rPr>
          <w:szCs w:val="22"/>
          <w:lang w:val="sr-Latn-CS"/>
        </w:rPr>
        <w:t>Metformin treba prim</w:t>
      </w:r>
      <w:r w:rsidR="001133D7" w:rsidRPr="00814B5B">
        <w:rPr>
          <w:szCs w:val="22"/>
          <w:lang w:val="sr-Latn-CS"/>
        </w:rPr>
        <w:t>j</w:t>
      </w:r>
      <w:r w:rsidRPr="00814B5B">
        <w:rPr>
          <w:szCs w:val="22"/>
          <w:lang w:val="sr-Latn-CS"/>
        </w:rPr>
        <w:t>enjivati</w:t>
      </w:r>
      <w:r w:rsidR="00281FE1" w:rsidRPr="00814B5B">
        <w:rPr>
          <w:szCs w:val="22"/>
          <w:lang w:val="sr-Latn-CS"/>
        </w:rPr>
        <w:t xml:space="preserve"> sa oprezom</w:t>
      </w:r>
      <w:r w:rsidRPr="00814B5B">
        <w:rPr>
          <w:szCs w:val="22"/>
          <w:lang w:val="sr-Latn-CS"/>
        </w:rPr>
        <w:t xml:space="preserve"> zbog rizika od laktatne acidoze indukovane mogućom funkcionalnom bubrežnom insuficijencijom, povezanom sa prim</w:t>
      </w:r>
      <w:r w:rsidR="001133D7" w:rsidRPr="00814B5B">
        <w:rPr>
          <w:szCs w:val="22"/>
          <w:lang w:val="sr-Latn-CS"/>
        </w:rPr>
        <w:t>j</w:t>
      </w:r>
      <w:r w:rsidRPr="00814B5B">
        <w:rPr>
          <w:szCs w:val="22"/>
          <w:lang w:val="sr-Latn-CS"/>
        </w:rPr>
        <w:t>enom hidrohlortiazida.</w:t>
      </w:r>
    </w:p>
    <w:p w14:paraId="6450C1D8" w14:textId="2ED9B4B1" w:rsidR="00A476FE" w:rsidRPr="00814B5B" w:rsidRDefault="00A476FE" w:rsidP="007B600E">
      <w:pPr>
        <w:tabs>
          <w:tab w:val="clear" w:pos="284"/>
        </w:tabs>
        <w:autoSpaceDE w:val="0"/>
        <w:autoSpaceDN w:val="0"/>
        <w:adjustRightInd w:val="0"/>
        <w:spacing w:before="120" w:after="120"/>
        <w:rPr>
          <w:i/>
          <w:iCs/>
          <w:szCs w:val="22"/>
          <w:lang w:val="sl-SI"/>
        </w:rPr>
      </w:pPr>
      <w:r w:rsidRPr="00814B5B">
        <w:rPr>
          <w:i/>
          <w:iCs/>
          <w:szCs w:val="22"/>
          <w:lang w:val="sr-Latn-CS"/>
        </w:rPr>
        <w:t>Drugi antihipertenzivni l</w:t>
      </w:r>
      <w:r w:rsidR="001133D7" w:rsidRPr="00814B5B">
        <w:rPr>
          <w:i/>
          <w:iCs/>
          <w:szCs w:val="22"/>
          <w:lang w:val="sr-Latn-CS"/>
        </w:rPr>
        <w:t>j</w:t>
      </w:r>
      <w:r w:rsidRPr="00814B5B">
        <w:rPr>
          <w:i/>
          <w:iCs/>
          <w:szCs w:val="22"/>
          <w:lang w:val="sr-Latn-CS"/>
        </w:rPr>
        <w:t>ekovi</w:t>
      </w:r>
    </w:p>
    <w:p w14:paraId="09297634" w14:textId="77777777"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Aditivno dejstvo.</w:t>
      </w:r>
    </w:p>
    <w:p w14:paraId="56F470E7" w14:textId="36F13A89" w:rsidR="00A476FE" w:rsidRPr="00814B5B" w:rsidRDefault="00A476FE" w:rsidP="007B600E">
      <w:pPr>
        <w:tabs>
          <w:tab w:val="clear" w:pos="284"/>
        </w:tabs>
        <w:autoSpaceDE w:val="0"/>
        <w:autoSpaceDN w:val="0"/>
        <w:adjustRightInd w:val="0"/>
        <w:spacing w:before="120" w:after="120"/>
        <w:rPr>
          <w:i/>
          <w:iCs/>
          <w:szCs w:val="22"/>
          <w:lang w:val="sl-SI"/>
        </w:rPr>
      </w:pPr>
      <w:r w:rsidRPr="00814B5B">
        <w:rPr>
          <w:i/>
          <w:iCs/>
          <w:szCs w:val="22"/>
          <w:lang w:val="sr-Latn-CS"/>
        </w:rPr>
        <w:t>Holestiramin i holestipol smole</w:t>
      </w:r>
    </w:p>
    <w:p w14:paraId="7A9C2728" w14:textId="70F5C290"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U prisustvu anjonskih jonoizm</w:t>
      </w:r>
      <w:r w:rsidR="001133D7" w:rsidRPr="00814B5B">
        <w:rPr>
          <w:szCs w:val="22"/>
          <w:lang w:val="sr-Latn-CS"/>
        </w:rPr>
        <w:t>j</w:t>
      </w:r>
      <w:r w:rsidRPr="00814B5B">
        <w:rPr>
          <w:szCs w:val="22"/>
          <w:lang w:val="sr-Latn-CS"/>
        </w:rPr>
        <w:t>enjivačkih smola dolazi do poremećaja resorpcije hidrohlortiazida.</w:t>
      </w:r>
      <w:r w:rsidRPr="00814B5B">
        <w:rPr>
          <w:szCs w:val="22"/>
          <w:lang w:val="sl-SI"/>
        </w:rPr>
        <w:t xml:space="preserve"> </w:t>
      </w:r>
      <w:r w:rsidRPr="00814B5B">
        <w:rPr>
          <w:szCs w:val="22"/>
          <w:lang w:val="sr-Latn-CS"/>
        </w:rPr>
        <w:t>Pojedinačne doze holestiramina ili holestipola vezuju hidrohlortiazid i smanjuju njegovu resorpciju iz gastrointestinalnog trakta do 85%, odnosno 43%.</w:t>
      </w:r>
    </w:p>
    <w:p w14:paraId="6554AF37" w14:textId="5F5F72DC" w:rsidR="00A476FE" w:rsidRPr="00814B5B" w:rsidRDefault="00A476FE" w:rsidP="007B600E">
      <w:pPr>
        <w:tabs>
          <w:tab w:val="clear" w:pos="284"/>
        </w:tabs>
        <w:autoSpaceDE w:val="0"/>
        <w:autoSpaceDN w:val="0"/>
        <w:adjustRightInd w:val="0"/>
        <w:spacing w:before="120" w:after="120"/>
        <w:rPr>
          <w:i/>
          <w:iCs/>
          <w:szCs w:val="22"/>
          <w:lang w:val="sl-SI"/>
        </w:rPr>
      </w:pPr>
      <w:r w:rsidRPr="00814B5B">
        <w:rPr>
          <w:i/>
          <w:iCs/>
          <w:szCs w:val="22"/>
          <w:lang w:val="sr-Latn-CS"/>
        </w:rPr>
        <w:t>Kortikosteroidi, ACTH</w:t>
      </w:r>
    </w:p>
    <w:p w14:paraId="7CD2D081" w14:textId="77777777"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Izraženo smanjenje koncentracije elektrolita, naročito hipokalemija.</w:t>
      </w:r>
    </w:p>
    <w:p w14:paraId="1861C4D6" w14:textId="6BC63AA2" w:rsidR="00A476FE" w:rsidRPr="00814B5B" w:rsidRDefault="00896FA3" w:rsidP="007B600E">
      <w:pPr>
        <w:tabs>
          <w:tab w:val="clear" w:pos="284"/>
        </w:tabs>
        <w:autoSpaceDE w:val="0"/>
        <w:autoSpaceDN w:val="0"/>
        <w:adjustRightInd w:val="0"/>
        <w:spacing w:before="120" w:after="120"/>
        <w:rPr>
          <w:i/>
          <w:iCs/>
          <w:szCs w:val="22"/>
          <w:lang w:val="sl-SI"/>
        </w:rPr>
      </w:pPr>
      <w:r w:rsidRPr="00814B5B">
        <w:rPr>
          <w:i/>
          <w:iCs/>
          <w:szCs w:val="22"/>
          <w:lang w:val="sr-Latn-CS"/>
        </w:rPr>
        <w:t xml:space="preserve">Vazoaktivni amini </w:t>
      </w:r>
      <w:r w:rsidR="00A476FE" w:rsidRPr="00814B5B">
        <w:rPr>
          <w:i/>
          <w:iCs/>
          <w:szCs w:val="22"/>
          <w:lang w:val="sr-Latn-CS"/>
        </w:rPr>
        <w:t>(npr. adrenalin)</w:t>
      </w:r>
    </w:p>
    <w:p w14:paraId="79C91790" w14:textId="1F360D78"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 xml:space="preserve">Moguć je smanjen odgovor na </w:t>
      </w:r>
      <w:r w:rsidR="00896FA3" w:rsidRPr="00814B5B">
        <w:rPr>
          <w:szCs w:val="22"/>
          <w:lang w:val="sr-Latn-CS"/>
        </w:rPr>
        <w:t>vazoaktivne amine</w:t>
      </w:r>
      <w:r w:rsidRPr="00814B5B">
        <w:rPr>
          <w:szCs w:val="22"/>
          <w:lang w:val="sr-Latn-CS"/>
        </w:rPr>
        <w:t>, ali ne u toj m</w:t>
      </w:r>
      <w:r w:rsidR="001133D7" w:rsidRPr="00814B5B">
        <w:rPr>
          <w:szCs w:val="22"/>
          <w:lang w:val="sr-Latn-CS"/>
        </w:rPr>
        <w:t>j</w:t>
      </w:r>
      <w:r w:rsidRPr="00814B5B">
        <w:rPr>
          <w:szCs w:val="22"/>
          <w:lang w:val="sr-Latn-CS"/>
        </w:rPr>
        <w:t xml:space="preserve">eri da bi se isključila njihova </w:t>
      </w:r>
      <w:r w:rsidR="007E4572" w:rsidRPr="00814B5B">
        <w:rPr>
          <w:szCs w:val="22"/>
          <w:lang w:val="sr-Latn-CS"/>
        </w:rPr>
        <w:t>primjena</w:t>
      </w:r>
      <w:r w:rsidRPr="00814B5B">
        <w:rPr>
          <w:szCs w:val="22"/>
          <w:lang w:val="sr-Latn-CS"/>
        </w:rPr>
        <w:t>.</w:t>
      </w:r>
    </w:p>
    <w:p w14:paraId="52CC17A3" w14:textId="77777777" w:rsidR="00A476FE" w:rsidRPr="00814B5B" w:rsidRDefault="00A476FE" w:rsidP="007B600E">
      <w:pPr>
        <w:tabs>
          <w:tab w:val="clear" w:pos="284"/>
        </w:tabs>
        <w:autoSpaceDE w:val="0"/>
        <w:autoSpaceDN w:val="0"/>
        <w:adjustRightInd w:val="0"/>
        <w:spacing w:before="120" w:after="120"/>
        <w:rPr>
          <w:i/>
          <w:iCs/>
          <w:szCs w:val="22"/>
          <w:lang w:val="sl-SI"/>
        </w:rPr>
      </w:pPr>
      <w:r w:rsidRPr="00814B5B">
        <w:rPr>
          <w:i/>
          <w:iCs/>
          <w:szCs w:val="22"/>
          <w:lang w:val="sr-Latn-CS"/>
        </w:rPr>
        <w:t>Mišićni relaksansi, nedepolarizujući (npr. tubokurarin)</w:t>
      </w:r>
    </w:p>
    <w:p w14:paraId="7AB39BAF" w14:textId="77777777"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Moguće pojačanje odgovora na mišićne relaksanse.</w:t>
      </w:r>
    </w:p>
    <w:p w14:paraId="5C93F73C" w14:textId="77777777" w:rsidR="00A476FE" w:rsidRPr="00814B5B" w:rsidRDefault="00A476FE" w:rsidP="007B600E">
      <w:pPr>
        <w:tabs>
          <w:tab w:val="clear" w:pos="284"/>
        </w:tabs>
        <w:autoSpaceDE w:val="0"/>
        <w:autoSpaceDN w:val="0"/>
        <w:adjustRightInd w:val="0"/>
        <w:spacing w:before="120" w:after="120"/>
        <w:rPr>
          <w:i/>
          <w:iCs/>
          <w:szCs w:val="22"/>
          <w:lang w:val="sl-SI"/>
        </w:rPr>
      </w:pPr>
      <w:r w:rsidRPr="00814B5B">
        <w:rPr>
          <w:i/>
          <w:iCs/>
          <w:szCs w:val="22"/>
          <w:lang w:val="sr-Latn-CS"/>
        </w:rPr>
        <w:t>Litijum</w:t>
      </w:r>
    </w:p>
    <w:p w14:paraId="33809483" w14:textId="794872D7"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 xml:space="preserve">Diuretici smanjuju bubrežni klirens litijuma i </w:t>
      </w:r>
      <w:r w:rsidR="00304AA9" w:rsidRPr="00814B5B">
        <w:rPr>
          <w:szCs w:val="22"/>
          <w:lang w:val="sr-Latn-CS"/>
        </w:rPr>
        <w:t>povećavaju rizik</w:t>
      </w:r>
      <w:r w:rsidRPr="00814B5B">
        <w:rPr>
          <w:szCs w:val="22"/>
          <w:lang w:val="sr-Latn-CS"/>
        </w:rPr>
        <w:t xml:space="preserve"> od toksičnosti litijuma. Istovremena </w:t>
      </w:r>
      <w:r w:rsidR="007E4572" w:rsidRPr="00814B5B">
        <w:rPr>
          <w:szCs w:val="22"/>
          <w:lang w:val="sr-Latn-CS"/>
        </w:rPr>
        <w:t>primjena</w:t>
      </w:r>
      <w:r w:rsidRPr="00814B5B">
        <w:rPr>
          <w:szCs w:val="22"/>
          <w:lang w:val="sr-Latn-CS"/>
        </w:rPr>
        <w:t xml:space="preserve"> se ne preporučuje.</w:t>
      </w:r>
    </w:p>
    <w:p w14:paraId="0D875D20" w14:textId="20A27BEB" w:rsidR="00A476FE" w:rsidRPr="00814B5B" w:rsidRDefault="00A476FE" w:rsidP="007B600E">
      <w:pPr>
        <w:tabs>
          <w:tab w:val="clear" w:pos="284"/>
        </w:tabs>
        <w:autoSpaceDE w:val="0"/>
        <w:autoSpaceDN w:val="0"/>
        <w:adjustRightInd w:val="0"/>
        <w:spacing w:before="120" w:after="120"/>
        <w:rPr>
          <w:i/>
          <w:iCs/>
          <w:szCs w:val="22"/>
          <w:lang w:val="sl-SI"/>
        </w:rPr>
      </w:pPr>
      <w:r w:rsidRPr="00814B5B">
        <w:rPr>
          <w:i/>
          <w:iCs/>
          <w:szCs w:val="22"/>
          <w:lang w:val="sr-Latn-CS"/>
        </w:rPr>
        <w:t>L</w:t>
      </w:r>
      <w:r w:rsidR="001133D7" w:rsidRPr="00814B5B">
        <w:rPr>
          <w:i/>
          <w:iCs/>
          <w:szCs w:val="22"/>
          <w:lang w:val="sr-Latn-CS"/>
        </w:rPr>
        <w:t>j</w:t>
      </w:r>
      <w:r w:rsidRPr="00814B5B">
        <w:rPr>
          <w:i/>
          <w:iCs/>
          <w:szCs w:val="22"/>
          <w:lang w:val="sr-Latn-CS"/>
        </w:rPr>
        <w:t>ekovi koji se prim</w:t>
      </w:r>
      <w:r w:rsidR="001133D7" w:rsidRPr="00814B5B">
        <w:rPr>
          <w:i/>
          <w:iCs/>
          <w:szCs w:val="22"/>
          <w:lang w:val="sr-Latn-CS"/>
        </w:rPr>
        <w:t>j</w:t>
      </w:r>
      <w:r w:rsidRPr="00814B5B">
        <w:rPr>
          <w:i/>
          <w:iCs/>
          <w:szCs w:val="22"/>
          <w:lang w:val="sr-Latn-CS"/>
        </w:rPr>
        <w:t>enjuju u terapiji gihta (probenecid, sulfinpirazon i alopurinol)</w:t>
      </w:r>
    </w:p>
    <w:p w14:paraId="1D0C45DB" w14:textId="744DCD7F"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Prilagođavanje doze urikozuričnih l</w:t>
      </w:r>
      <w:r w:rsidR="001133D7" w:rsidRPr="00814B5B">
        <w:rPr>
          <w:szCs w:val="22"/>
          <w:lang w:val="sr-Latn-CS"/>
        </w:rPr>
        <w:t>j</w:t>
      </w:r>
      <w:r w:rsidRPr="00814B5B">
        <w:rPr>
          <w:szCs w:val="22"/>
          <w:lang w:val="sr-Latn-CS"/>
        </w:rPr>
        <w:t>ekova može da bude neophodno</w:t>
      </w:r>
      <w:r w:rsidR="003C3824" w:rsidRPr="00814B5B">
        <w:rPr>
          <w:szCs w:val="22"/>
          <w:lang w:val="sr-Latn-CS"/>
        </w:rPr>
        <w:t>,</w:t>
      </w:r>
      <w:r w:rsidRPr="00814B5B">
        <w:rPr>
          <w:szCs w:val="22"/>
          <w:lang w:val="sr-Latn-CS"/>
        </w:rPr>
        <w:t xml:space="preserve"> pošto hidrohlortiazid može da poveća koncentraciju mokraćne kiseline u serumu.</w:t>
      </w:r>
      <w:r w:rsidRPr="00814B5B">
        <w:rPr>
          <w:szCs w:val="22"/>
          <w:lang w:val="sl-SI"/>
        </w:rPr>
        <w:t xml:space="preserve"> </w:t>
      </w:r>
      <w:r w:rsidRPr="00814B5B">
        <w:rPr>
          <w:szCs w:val="22"/>
          <w:lang w:val="sr-Latn-CS"/>
        </w:rPr>
        <w:t xml:space="preserve">Može biti neophodno povećavanje doze probenecida ili sulfinpirazona. Istovremena </w:t>
      </w:r>
      <w:r w:rsidR="007E4572" w:rsidRPr="00814B5B">
        <w:rPr>
          <w:szCs w:val="22"/>
          <w:lang w:val="sr-Latn-CS"/>
        </w:rPr>
        <w:t>primjena</w:t>
      </w:r>
      <w:r w:rsidRPr="00814B5B">
        <w:rPr>
          <w:szCs w:val="22"/>
          <w:lang w:val="sr-Latn-CS"/>
        </w:rPr>
        <w:t xml:space="preserve"> tiazida može da poveća </w:t>
      </w:r>
      <w:r w:rsidR="00453111" w:rsidRPr="00814B5B">
        <w:rPr>
          <w:szCs w:val="22"/>
          <w:lang w:val="sr-Latn-CS"/>
        </w:rPr>
        <w:t xml:space="preserve">učestalost </w:t>
      </w:r>
      <w:r w:rsidRPr="00814B5B">
        <w:rPr>
          <w:szCs w:val="22"/>
          <w:lang w:val="sr-Latn-CS"/>
        </w:rPr>
        <w:t>reakcija preos</w:t>
      </w:r>
      <w:r w:rsidR="001133D7" w:rsidRPr="00814B5B">
        <w:rPr>
          <w:szCs w:val="22"/>
          <w:lang w:val="sr-Latn-CS"/>
        </w:rPr>
        <w:t>j</w:t>
      </w:r>
      <w:r w:rsidRPr="00814B5B">
        <w:rPr>
          <w:szCs w:val="22"/>
          <w:lang w:val="sr-Latn-CS"/>
        </w:rPr>
        <w:t>etljivosti na alopurinol.</w:t>
      </w:r>
    </w:p>
    <w:p w14:paraId="16D9F292" w14:textId="67D183E2" w:rsidR="00A476FE" w:rsidRPr="00814B5B" w:rsidRDefault="00A476FE" w:rsidP="007B600E">
      <w:pPr>
        <w:tabs>
          <w:tab w:val="clear" w:pos="284"/>
        </w:tabs>
        <w:autoSpaceDE w:val="0"/>
        <w:autoSpaceDN w:val="0"/>
        <w:adjustRightInd w:val="0"/>
        <w:spacing w:before="120" w:after="120"/>
        <w:rPr>
          <w:i/>
          <w:iCs/>
          <w:szCs w:val="22"/>
          <w:lang w:val="sl-SI"/>
        </w:rPr>
      </w:pPr>
      <w:r w:rsidRPr="00814B5B">
        <w:rPr>
          <w:i/>
          <w:iCs/>
          <w:szCs w:val="22"/>
          <w:lang w:val="sr-Latn-CS"/>
        </w:rPr>
        <w:t>Antiholinergički l</w:t>
      </w:r>
      <w:r w:rsidR="001133D7" w:rsidRPr="00814B5B">
        <w:rPr>
          <w:i/>
          <w:iCs/>
          <w:szCs w:val="22"/>
          <w:lang w:val="sr-Latn-CS"/>
        </w:rPr>
        <w:t>j</w:t>
      </w:r>
      <w:r w:rsidRPr="00814B5B">
        <w:rPr>
          <w:i/>
          <w:iCs/>
          <w:szCs w:val="22"/>
          <w:lang w:val="sr-Latn-CS"/>
        </w:rPr>
        <w:t>ekovi (npr. atropin, biperiden)</w:t>
      </w:r>
    </w:p>
    <w:p w14:paraId="423B8E1A" w14:textId="6BBD73F4"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 xml:space="preserve">Povećanje bioraspoloživosti tiazidnih diuretika </w:t>
      </w:r>
      <w:r w:rsidR="008350E2" w:rsidRPr="00814B5B">
        <w:rPr>
          <w:szCs w:val="22"/>
          <w:lang w:val="sr-Latn-CS"/>
        </w:rPr>
        <w:t>usl</w:t>
      </w:r>
      <w:r w:rsidR="001133D7" w:rsidRPr="00814B5B">
        <w:rPr>
          <w:szCs w:val="22"/>
          <w:lang w:val="sr-Latn-CS"/>
        </w:rPr>
        <w:t>j</w:t>
      </w:r>
      <w:r w:rsidR="008350E2" w:rsidRPr="00814B5B">
        <w:rPr>
          <w:szCs w:val="22"/>
          <w:lang w:val="sr-Latn-CS"/>
        </w:rPr>
        <w:t xml:space="preserve">ed </w:t>
      </w:r>
      <w:r w:rsidRPr="00814B5B">
        <w:rPr>
          <w:szCs w:val="22"/>
          <w:lang w:val="sr-Latn-CS"/>
        </w:rPr>
        <w:t>smanjenj</w:t>
      </w:r>
      <w:r w:rsidR="008350E2" w:rsidRPr="00814B5B">
        <w:rPr>
          <w:szCs w:val="22"/>
          <w:lang w:val="sr-Latn-CS"/>
        </w:rPr>
        <w:t>a</w:t>
      </w:r>
      <w:r w:rsidRPr="00814B5B">
        <w:rPr>
          <w:szCs w:val="22"/>
          <w:lang w:val="sr-Latn-CS"/>
        </w:rPr>
        <w:t xml:space="preserve"> gastrointestinalnog motiliteta i brzine pražnjenja želuca.</w:t>
      </w:r>
    </w:p>
    <w:p w14:paraId="54A45FC5" w14:textId="5E164556" w:rsidR="00A476FE" w:rsidRPr="00814B5B" w:rsidRDefault="00A476FE" w:rsidP="007B600E">
      <w:pPr>
        <w:tabs>
          <w:tab w:val="clear" w:pos="284"/>
        </w:tabs>
        <w:autoSpaceDE w:val="0"/>
        <w:autoSpaceDN w:val="0"/>
        <w:adjustRightInd w:val="0"/>
        <w:spacing w:before="120" w:after="120"/>
        <w:rPr>
          <w:i/>
          <w:iCs/>
          <w:szCs w:val="22"/>
          <w:lang w:val="sl-SI"/>
        </w:rPr>
      </w:pPr>
      <w:r w:rsidRPr="00814B5B">
        <w:rPr>
          <w:i/>
          <w:iCs/>
          <w:szCs w:val="22"/>
          <w:lang w:val="sr-Latn-CS"/>
        </w:rPr>
        <w:t>Citotoksični l</w:t>
      </w:r>
      <w:r w:rsidR="001133D7" w:rsidRPr="00814B5B">
        <w:rPr>
          <w:i/>
          <w:iCs/>
          <w:szCs w:val="22"/>
          <w:lang w:val="sr-Latn-CS"/>
        </w:rPr>
        <w:t>j</w:t>
      </w:r>
      <w:r w:rsidRPr="00814B5B">
        <w:rPr>
          <w:i/>
          <w:iCs/>
          <w:szCs w:val="22"/>
          <w:lang w:val="sr-Latn-CS"/>
        </w:rPr>
        <w:t>ekovi (npr. ciklofosfamid, metotreksat)</w:t>
      </w:r>
    </w:p>
    <w:p w14:paraId="40FAFE5B" w14:textId="176ECB16"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 xml:space="preserve">Tiazidi mogu </w:t>
      </w:r>
      <w:r w:rsidR="008350E2" w:rsidRPr="00814B5B">
        <w:rPr>
          <w:szCs w:val="22"/>
          <w:lang w:val="sr-Latn-CS"/>
        </w:rPr>
        <w:t>smanjiti</w:t>
      </w:r>
      <w:r w:rsidRPr="00814B5B">
        <w:rPr>
          <w:szCs w:val="22"/>
          <w:lang w:val="sr-Latn-CS"/>
        </w:rPr>
        <w:t xml:space="preserve"> renalnu ekskreciju citotoksičnih l</w:t>
      </w:r>
      <w:r w:rsidR="001133D7" w:rsidRPr="00814B5B">
        <w:rPr>
          <w:szCs w:val="22"/>
          <w:lang w:val="sr-Latn-CS"/>
        </w:rPr>
        <w:t>j</w:t>
      </w:r>
      <w:r w:rsidRPr="00814B5B">
        <w:rPr>
          <w:szCs w:val="22"/>
          <w:lang w:val="sr-Latn-CS"/>
        </w:rPr>
        <w:t>ekova i pojača</w:t>
      </w:r>
      <w:r w:rsidR="008350E2" w:rsidRPr="00814B5B">
        <w:rPr>
          <w:szCs w:val="22"/>
          <w:lang w:val="sr-Latn-CS"/>
        </w:rPr>
        <w:t>ti</w:t>
      </w:r>
      <w:r w:rsidRPr="00814B5B">
        <w:rPr>
          <w:szCs w:val="22"/>
          <w:lang w:val="sr-Latn-CS"/>
        </w:rPr>
        <w:t xml:space="preserve"> njihovo mijelosupresivno dejstvo.</w:t>
      </w:r>
    </w:p>
    <w:p w14:paraId="3799DA0C" w14:textId="77777777" w:rsidR="00A476FE" w:rsidRPr="00814B5B" w:rsidRDefault="00A476FE" w:rsidP="007B600E">
      <w:pPr>
        <w:tabs>
          <w:tab w:val="clear" w:pos="284"/>
        </w:tabs>
        <w:autoSpaceDE w:val="0"/>
        <w:autoSpaceDN w:val="0"/>
        <w:adjustRightInd w:val="0"/>
        <w:spacing w:before="120" w:after="120"/>
        <w:rPr>
          <w:i/>
          <w:iCs/>
          <w:szCs w:val="22"/>
          <w:lang w:val="sl-SI"/>
        </w:rPr>
      </w:pPr>
      <w:r w:rsidRPr="00814B5B">
        <w:rPr>
          <w:i/>
          <w:iCs/>
          <w:szCs w:val="22"/>
          <w:lang w:val="sr-Latn-CS"/>
        </w:rPr>
        <w:t>Salicilati</w:t>
      </w:r>
    </w:p>
    <w:p w14:paraId="244EBFC6" w14:textId="1071D27A"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U slučaju prim</w:t>
      </w:r>
      <w:r w:rsidR="001133D7" w:rsidRPr="00814B5B">
        <w:rPr>
          <w:szCs w:val="22"/>
          <w:lang w:val="sr-Latn-CS"/>
        </w:rPr>
        <w:t>j</w:t>
      </w:r>
      <w:r w:rsidRPr="00814B5B">
        <w:rPr>
          <w:szCs w:val="22"/>
          <w:lang w:val="sr-Latn-CS"/>
        </w:rPr>
        <w:t>ene velikih doza salicilata, hidrohlortiazid može da pojača toksično dejstvo salicilata na centralni nervni sistem.</w:t>
      </w:r>
    </w:p>
    <w:p w14:paraId="6CBC1B8F" w14:textId="77777777" w:rsidR="00A476FE" w:rsidRPr="00814B5B" w:rsidRDefault="00A476FE" w:rsidP="007B600E">
      <w:pPr>
        <w:tabs>
          <w:tab w:val="clear" w:pos="284"/>
        </w:tabs>
        <w:autoSpaceDE w:val="0"/>
        <w:autoSpaceDN w:val="0"/>
        <w:adjustRightInd w:val="0"/>
        <w:spacing w:before="120" w:after="120"/>
        <w:rPr>
          <w:i/>
          <w:iCs/>
          <w:szCs w:val="22"/>
          <w:lang w:val="sl-SI"/>
        </w:rPr>
      </w:pPr>
      <w:r w:rsidRPr="00814B5B">
        <w:rPr>
          <w:i/>
          <w:iCs/>
          <w:szCs w:val="22"/>
          <w:lang w:val="sr-Latn-CS"/>
        </w:rPr>
        <w:lastRenderedPageBreak/>
        <w:t>Metildopa</w:t>
      </w:r>
    </w:p>
    <w:p w14:paraId="077A2A93" w14:textId="0593B631" w:rsidR="00A476FE" w:rsidRPr="00814B5B" w:rsidRDefault="00A97609" w:rsidP="007B600E">
      <w:pPr>
        <w:tabs>
          <w:tab w:val="clear" w:pos="284"/>
        </w:tabs>
        <w:autoSpaceDE w:val="0"/>
        <w:autoSpaceDN w:val="0"/>
        <w:adjustRightInd w:val="0"/>
        <w:spacing w:before="120" w:after="120"/>
        <w:rPr>
          <w:szCs w:val="22"/>
          <w:lang w:val="sl-SI"/>
        </w:rPr>
      </w:pPr>
      <w:r w:rsidRPr="00814B5B">
        <w:rPr>
          <w:szCs w:val="22"/>
          <w:lang w:val="sr-Latn-CS"/>
        </w:rPr>
        <w:t>Zab</w:t>
      </w:r>
      <w:r w:rsidR="001133D7" w:rsidRPr="00814B5B">
        <w:rPr>
          <w:szCs w:val="22"/>
          <w:lang w:val="sr-Latn-CS"/>
        </w:rPr>
        <w:t>i</w:t>
      </w:r>
      <w:r w:rsidRPr="00814B5B">
        <w:rPr>
          <w:szCs w:val="22"/>
          <w:lang w:val="sr-Latn-CS"/>
        </w:rPr>
        <w:t>l</w:t>
      </w:r>
      <w:r w:rsidR="001133D7" w:rsidRPr="00814B5B">
        <w:rPr>
          <w:szCs w:val="22"/>
          <w:lang w:val="sr-Latn-CS"/>
        </w:rPr>
        <w:t>j</w:t>
      </w:r>
      <w:r w:rsidRPr="00814B5B">
        <w:rPr>
          <w:szCs w:val="22"/>
          <w:lang w:val="sr-Latn-CS"/>
        </w:rPr>
        <w:t>eženi su izolovani slučajevi</w:t>
      </w:r>
      <w:r w:rsidR="00A476FE" w:rsidRPr="00814B5B">
        <w:rPr>
          <w:szCs w:val="22"/>
          <w:lang w:val="sr-Latn-CS"/>
        </w:rPr>
        <w:t xml:space="preserve"> </w:t>
      </w:r>
      <w:r w:rsidRPr="00814B5B">
        <w:rPr>
          <w:szCs w:val="22"/>
          <w:lang w:val="sr-Latn-CS"/>
        </w:rPr>
        <w:t>hemolitičke anemije tokom</w:t>
      </w:r>
      <w:r w:rsidR="00A476FE" w:rsidRPr="00814B5B">
        <w:rPr>
          <w:szCs w:val="22"/>
          <w:lang w:val="sr-Latn-CS"/>
        </w:rPr>
        <w:t xml:space="preserve"> </w:t>
      </w:r>
      <w:r w:rsidRPr="00814B5B">
        <w:rPr>
          <w:szCs w:val="22"/>
          <w:lang w:val="sr-Latn-CS"/>
        </w:rPr>
        <w:t>istovremene prim</w:t>
      </w:r>
      <w:r w:rsidR="001133D7" w:rsidRPr="00814B5B">
        <w:rPr>
          <w:szCs w:val="22"/>
          <w:lang w:val="sr-Latn-CS"/>
        </w:rPr>
        <w:t>j</w:t>
      </w:r>
      <w:r w:rsidRPr="00814B5B">
        <w:rPr>
          <w:szCs w:val="22"/>
          <w:lang w:val="sr-Latn-CS"/>
        </w:rPr>
        <w:t xml:space="preserve">ene </w:t>
      </w:r>
      <w:r w:rsidR="00A476FE" w:rsidRPr="00814B5B">
        <w:rPr>
          <w:szCs w:val="22"/>
          <w:lang w:val="sr-Latn-CS"/>
        </w:rPr>
        <w:t>hidrohlortiazida i metildope.</w:t>
      </w:r>
    </w:p>
    <w:p w14:paraId="02D9A67C" w14:textId="77777777" w:rsidR="00A476FE" w:rsidRPr="00814B5B" w:rsidRDefault="00A476FE" w:rsidP="007B600E">
      <w:pPr>
        <w:tabs>
          <w:tab w:val="clear" w:pos="284"/>
        </w:tabs>
        <w:autoSpaceDE w:val="0"/>
        <w:autoSpaceDN w:val="0"/>
        <w:adjustRightInd w:val="0"/>
        <w:spacing w:before="120" w:after="120"/>
        <w:rPr>
          <w:i/>
          <w:iCs/>
          <w:szCs w:val="22"/>
          <w:lang w:val="sl-SI"/>
        </w:rPr>
      </w:pPr>
      <w:r w:rsidRPr="00814B5B">
        <w:rPr>
          <w:i/>
          <w:iCs/>
          <w:szCs w:val="22"/>
          <w:lang w:val="sr-Latn-CS"/>
        </w:rPr>
        <w:t>Ciklosporin</w:t>
      </w:r>
    </w:p>
    <w:p w14:paraId="72D49D1D" w14:textId="761DC9EF"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 xml:space="preserve">Istovremena terapija ciklosporinom može da poveća rizik od hiperurikemije i </w:t>
      </w:r>
      <w:r w:rsidR="006A1861" w:rsidRPr="00814B5B">
        <w:rPr>
          <w:szCs w:val="22"/>
          <w:lang w:val="sr-Latn-CS"/>
        </w:rPr>
        <w:t xml:space="preserve">komplikacija </w:t>
      </w:r>
      <w:r w:rsidRPr="00814B5B">
        <w:rPr>
          <w:szCs w:val="22"/>
          <w:lang w:val="sr-Latn-CS"/>
        </w:rPr>
        <w:t>tipa gihta.</w:t>
      </w:r>
    </w:p>
    <w:p w14:paraId="460E278A" w14:textId="77777777" w:rsidR="00A476FE" w:rsidRPr="00814B5B" w:rsidRDefault="00A476FE" w:rsidP="007B600E">
      <w:pPr>
        <w:tabs>
          <w:tab w:val="clear" w:pos="284"/>
        </w:tabs>
        <w:autoSpaceDE w:val="0"/>
        <w:autoSpaceDN w:val="0"/>
        <w:adjustRightInd w:val="0"/>
        <w:spacing w:before="120" w:after="120"/>
        <w:rPr>
          <w:i/>
          <w:iCs/>
          <w:szCs w:val="22"/>
          <w:lang w:val="sl-SI"/>
        </w:rPr>
      </w:pPr>
      <w:r w:rsidRPr="00814B5B">
        <w:rPr>
          <w:i/>
          <w:iCs/>
          <w:szCs w:val="22"/>
          <w:lang w:val="sr-Latn-CS"/>
        </w:rPr>
        <w:t>Glikozidi digitalisa</w:t>
      </w:r>
    </w:p>
    <w:p w14:paraId="280FC63B" w14:textId="6FD8D068"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 xml:space="preserve">Hipokalemija ili hipomagnezemija indukovane tiazidima mogu da </w:t>
      </w:r>
      <w:r w:rsidR="00906428" w:rsidRPr="00814B5B">
        <w:rPr>
          <w:szCs w:val="22"/>
          <w:lang w:val="sr-Latn-CS"/>
        </w:rPr>
        <w:t>potenciraju</w:t>
      </w:r>
      <w:r w:rsidRPr="00814B5B">
        <w:rPr>
          <w:szCs w:val="22"/>
          <w:lang w:val="sr-Latn-CS"/>
        </w:rPr>
        <w:t xml:space="preserve"> pojavu srčanih aritmija indukovanih digitalisom.</w:t>
      </w:r>
    </w:p>
    <w:p w14:paraId="6125C693" w14:textId="0EC1321F" w:rsidR="00A476FE" w:rsidRPr="00814B5B" w:rsidRDefault="00A476FE" w:rsidP="007B600E">
      <w:pPr>
        <w:tabs>
          <w:tab w:val="clear" w:pos="284"/>
        </w:tabs>
        <w:autoSpaceDE w:val="0"/>
        <w:autoSpaceDN w:val="0"/>
        <w:adjustRightInd w:val="0"/>
        <w:spacing w:before="120" w:after="120"/>
        <w:rPr>
          <w:i/>
          <w:iCs/>
          <w:szCs w:val="22"/>
          <w:lang w:val="sl-SI"/>
        </w:rPr>
      </w:pPr>
      <w:r w:rsidRPr="00814B5B">
        <w:rPr>
          <w:i/>
          <w:iCs/>
          <w:szCs w:val="22"/>
          <w:lang w:val="sr-Latn-CS"/>
        </w:rPr>
        <w:t>L</w:t>
      </w:r>
      <w:r w:rsidR="001133D7" w:rsidRPr="00814B5B">
        <w:rPr>
          <w:i/>
          <w:iCs/>
          <w:szCs w:val="22"/>
          <w:lang w:val="sr-Latn-CS"/>
        </w:rPr>
        <w:t>j</w:t>
      </w:r>
      <w:r w:rsidRPr="00814B5B">
        <w:rPr>
          <w:i/>
          <w:iCs/>
          <w:szCs w:val="22"/>
          <w:lang w:val="sr-Latn-CS"/>
        </w:rPr>
        <w:t>ekovi na koje utiču poremećaji koncentracije kalijuma u serumu</w:t>
      </w:r>
    </w:p>
    <w:p w14:paraId="013FDF48" w14:textId="6625D834" w:rsidR="00A476FE" w:rsidRPr="00814B5B" w:rsidRDefault="00A476FE" w:rsidP="007B600E">
      <w:pPr>
        <w:tabs>
          <w:tab w:val="clear" w:pos="284"/>
        </w:tabs>
        <w:autoSpaceDE w:val="0"/>
        <w:autoSpaceDN w:val="0"/>
        <w:adjustRightInd w:val="0"/>
        <w:spacing w:before="120" w:after="120"/>
        <w:contextualSpacing/>
        <w:rPr>
          <w:szCs w:val="22"/>
          <w:lang w:val="sl-SI"/>
        </w:rPr>
      </w:pPr>
      <w:r w:rsidRPr="00814B5B">
        <w:rPr>
          <w:szCs w:val="22"/>
          <w:lang w:val="sr-Latn-CS"/>
        </w:rPr>
        <w:t>Preporučuje se periodično praćenje koncentracije kalijuma u serumu i EKG-a kada se kombinacija losartan/hidrohlortiazid prim</w:t>
      </w:r>
      <w:r w:rsidR="001133D7" w:rsidRPr="00814B5B">
        <w:rPr>
          <w:szCs w:val="22"/>
          <w:lang w:val="sr-Latn-CS"/>
        </w:rPr>
        <w:t>j</w:t>
      </w:r>
      <w:r w:rsidRPr="00814B5B">
        <w:rPr>
          <w:szCs w:val="22"/>
          <w:lang w:val="sr-Latn-CS"/>
        </w:rPr>
        <w:t>enjuje sa l</w:t>
      </w:r>
      <w:r w:rsidR="001133D7" w:rsidRPr="00814B5B">
        <w:rPr>
          <w:szCs w:val="22"/>
          <w:lang w:val="sr-Latn-CS"/>
        </w:rPr>
        <w:t>j</w:t>
      </w:r>
      <w:r w:rsidRPr="00814B5B">
        <w:rPr>
          <w:szCs w:val="22"/>
          <w:lang w:val="sr-Latn-CS"/>
        </w:rPr>
        <w:t>ekovima na koje utiču poremećaji koncentracije kalijuma u serumu (npr. glikozidi digitalisa i antiaritmici), kao i sa sl</w:t>
      </w:r>
      <w:r w:rsidR="001133D7" w:rsidRPr="00814B5B">
        <w:rPr>
          <w:szCs w:val="22"/>
          <w:lang w:val="sr-Latn-CS"/>
        </w:rPr>
        <w:t>j</w:t>
      </w:r>
      <w:r w:rsidRPr="00814B5B">
        <w:rPr>
          <w:szCs w:val="22"/>
          <w:lang w:val="sr-Latn-CS"/>
        </w:rPr>
        <w:t>edećim l</w:t>
      </w:r>
      <w:r w:rsidR="001133D7" w:rsidRPr="00814B5B">
        <w:rPr>
          <w:szCs w:val="22"/>
          <w:lang w:val="sr-Latn-CS"/>
        </w:rPr>
        <w:t>j</w:t>
      </w:r>
      <w:r w:rsidRPr="00814B5B">
        <w:rPr>
          <w:szCs w:val="22"/>
          <w:lang w:val="sr-Latn-CS"/>
        </w:rPr>
        <w:t xml:space="preserve">ekovima koji indukuju </w:t>
      </w:r>
      <w:r w:rsidRPr="00814B5B">
        <w:rPr>
          <w:i/>
          <w:iCs/>
          <w:szCs w:val="22"/>
          <w:lang w:val="sr-Latn-CS"/>
        </w:rPr>
        <w:t>torsades de pointes</w:t>
      </w:r>
      <w:r w:rsidRPr="00814B5B">
        <w:rPr>
          <w:szCs w:val="22"/>
          <w:lang w:val="sr-Latn-CS"/>
        </w:rPr>
        <w:t xml:space="preserve"> (tip ventrikularne tahikardije), uključujući i neke antiaritmike, </w:t>
      </w:r>
      <w:r w:rsidR="00194E1A" w:rsidRPr="00814B5B">
        <w:rPr>
          <w:szCs w:val="22"/>
          <w:lang w:val="sr-Latn-CS"/>
        </w:rPr>
        <w:t xml:space="preserve">pošto </w:t>
      </w:r>
      <w:r w:rsidRPr="00814B5B">
        <w:rPr>
          <w:szCs w:val="22"/>
          <w:lang w:val="sr-Latn-CS"/>
        </w:rPr>
        <w:t xml:space="preserve">je hipokalemija predisponirajući faktor za nastanak </w:t>
      </w:r>
      <w:r w:rsidRPr="00814B5B">
        <w:rPr>
          <w:i/>
          <w:iCs/>
          <w:szCs w:val="22"/>
          <w:lang w:val="sr-Latn-CS"/>
        </w:rPr>
        <w:t>torsades de pointes</w:t>
      </w:r>
      <w:r w:rsidRPr="00814B5B">
        <w:rPr>
          <w:szCs w:val="22"/>
          <w:lang w:val="sr-Latn-CS"/>
        </w:rPr>
        <w:t xml:space="preserve"> (tip ventrikularne tahikardije):</w:t>
      </w:r>
    </w:p>
    <w:p w14:paraId="0A657386" w14:textId="77777777" w:rsidR="00A476FE" w:rsidRPr="00814B5B" w:rsidRDefault="00A476FE" w:rsidP="007B600E">
      <w:pPr>
        <w:numPr>
          <w:ilvl w:val="0"/>
          <w:numId w:val="6"/>
        </w:numPr>
        <w:tabs>
          <w:tab w:val="clear" w:pos="284"/>
        </w:tabs>
        <w:autoSpaceDE w:val="0"/>
        <w:autoSpaceDN w:val="0"/>
        <w:adjustRightInd w:val="0"/>
        <w:spacing w:before="120" w:after="120"/>
        <w:ind w:left="567" w:hanging="567"/>
        <w:contextualSpacing/>
        <w:rPr>
          <w:szCs w:val="22"/>
          <w:lang w:val="sl-SI"/>
        </w:rPr>
      </w:pPr>
      <w:r w:rsidRPr="00814B5B">
        <w:rPr>
          <w:szCs w:val="22"/>
          <w:lang w:val="sr-Latn-CS"/>
        </w:rPr>
        <w:t>antiaritmici grupe Ia (npr. hinidin, hidrohinidin, dizopiramid);</w:t>
      </w:r>
    </w:p>
    <w:p w14:paraId="710D8F27" w14:textId="77777777" w:rsidR="00A476FE" w:rsidRPr="00814B5B" w:rsidRDefault="00A476FE" w:rsidP="007B600E">
      <w:pPr>
        <w:numPr>
          <w:ilvl w:val="0"/>
          <w:numId w:val="6"/>
        </w:numPr>
        <w:tabs>
          <w:tab w:val="clear" w:pos="284"/>
        </w:tabs>
        <w:autoSpaceDE w:val="0"/>
        <w:autoSpaceDN w:val="0"/>
        <w:adjustRightInd w:val="0"/>
        <w:spacing w:before="120" w:after="120"/>
        <w:ind w:left="567" w:hanging="567"/>
        <w:contextualSpacing/>
        <w:rPr>
          <w:szCs w:val="22"/>
          <w:lang w:val="sl-SI"/>
        </w:rPr>
      </w:pPr>
      <w:r w:rsidRPr="00814B5B">
        <w:rPr>
          <w:szCs w:val="22"/>
          <w:lang w:val="sr-Latn-CS"/>
        </w:rPr>
        <w:t>antiaritmici grupe III (npr. amjodaron, sotalol, dofetilid, ibutilid);</w:t>
      </w:r>
    </w:p>
    <w:p w14:paraId="3039CEB5" w14:textId="18020C81" w:rsidR="00A476FE" w:rsidRPr="00814B5B" w:rsidRDefault="005708F2" w:rsidP="007B600E">
      <w:pPr>
        <w:numPr>
          <w:ilvl w:val="0"/>
          <w:numId w:val="6"/>
        </w:numPr>
        <w:tabs>
          <w:tab w:val="clear" w:pos="284"/>
        </w:tabs>
        <w:autoSpaceDE w:val="0"/>
        <w:autoSpaceDN w:val="0"/>
        <w:adjustRightInd w:val="0"/>
        <w:spacing w:before="120" w:after="120"/>
        <w:ind w:left="567" w:hanging="567"/>
        <w:contextualSpacing/>
        <w:rPr>
          <w:szCs w:val="22"/>
          <w:lang w:val="sl-SI"/>
        </w:rPr>
      </w:pPr>
      <w:r w:rsidRPr="00814B5B">
        <w:rPr>
          <w:szCs w:val="22"/>
          <w:lang w:val="sr-Latn-CS"/>
        </w:rPr>
        <w:t xml:space="preserve">određeni </w:t>
      </w:r>
      <w:r w:rsidR="00A476FE" w:rsidRPr="00814B5B">
        <w:rPr>
          <w:szCs w:val="22"/>
          <w:lang w:val="sr-Latn-CS"/>
        </w:rPr>
        <w:t>antipsihotici (npr. tioridazin, hlorpromazin, levomepromazin, trifluoperazin, ciamemazin, sulpirid, sultoprid, amisulprid, tiaprid, pimozid, haloperidol, droperidol),</w:t>
      </w:r>
    </w:p>
    <w:p w14:paraId="34BBB778" w14:textId="54E426B2" w:rsidR="00A476FE" w:rsidRPr="00814B5B" w:rsidRDefault="00A476FE" w:rsidP="007B600E">
      <w:pPr>
        <w:numPr>
          <w:ilvl w:val="0"/>
          <w:numId w:val="6"/>
        </w:numPr>
        <w:tabs>
          <w:tab w:val="clear" w:pos="284"/>
        </w:tabs>
        <w:autoSpaceDE w:val="0"/>
        <w:autoSpaceDN w:val="0"/>
        <w:adjustRightInd w:val="0"/>
        <w:spacing w:before="120" w:after="120"/>
        <w:ind w:left="567" w:hanging="567"/>
        <w:rPr>
          <w:szCs w:val="22"/>
          <w:lang w:val="sl-SI"/>
        </w:rPr>
      </w:pPr>
      <w:r w:rsidRPr="00814B5B">
        <w:rPr>
          <w:szCs w:val="22"/>
          <w:lang w:val="sr-Latn-CS"/>
        </w:rPr>
        <w:t>drugi l</w:t>
      </w:r>
      <w:r w:rsidR="001133D7" w:rsidRPr="00814B5B">
        <w:rPr>
          <w:szCs w:val="22"/>
          <w:lang w:val="sr-Latn-CS"/>
        </w:rPr>
        <w:t>j</w:t>
      </w:r>
      <w:r w:rsidRPr="00814B5B">
        <w:rPr>
          <w:szCs w:val="22"/>
          <w:lang w:val="sr-Latn-CS"/>
        </w:rPr>
        <w:t>ekovi (npr. bepridil, cisaprid, difemanil, eritromicin i.v., halofantrin, mizolastin, pentamidin, terfenadin, vinkamin i.v.).</w:t>
      </w:r>
    </w:p>
    <w:p w14:paraId="0B64926D" w14:textId="77777777" w:rsidR="00A476FE" w:rsidRPr="00814B5B" w:rsidRDefault="00A476FE" w:rsidP="007B600E">
      <w:pPr>
        <w:tabs>
          <w:tab w:val="clear" w:pos="284"/>
        </w:tabs>
        <w:autoSpaceDE w:val="0"/>
        <w:autoSpaceDN w:val="0"/>
        <w:adjustRightInd w:val="0"/>
        <w:spacing w:before="120" w:after="120"/>
        <w:rPr>
          <w:i/>
          <w:iCs/>
          <w:szCs w:val="22"/>
          <w:lang w:val="sl-SI"/>
        </w:rPr>
      </w:pPr>
      <w:r w:rsidRPr="00814B5B">
        <w:rPr>
          <w:i/>
          <w:iCs/>
          <w:szCs w:val="22"/>
          <w:lang w:val="sr-Latn-CS"/>
        </w:rPr>
        <w:t>Soli kalcijuma</w:t>
      </w:r>
    </w:p>
    <w:p w14:paraId="2C522848" w14:textId="4FAD5268"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Tiazidni diuretici mogu da povećaju koncentraciju kalcijuma u serumu</w:t>
      </w:r>
      <w:r w:rsidR="002E17EE" w:rsidRPr="00814B5B">
        <w:rPr>
          <w:szCs w:val="22"/>
          <w:lang w:val="sr-Latn-CS"/>
        </w:rPr>
        <w:t>,</w:t>
      </w:r>
      <w:r w:rsidRPr="00814B5B">
        <w:rPr>
          <w:szCs w:val="22"/>
          <w:lang w:val="sr-Latn-CS"/>
        </w:rPr>
        <w:t xml:space="preserve"> usl</w:t>
      </w:r>
      <w:r w:rsidR="001133D7" w:rsidRPr="00814B5B">
        <w:rPr>
          <w:szCs w:val="22"/>
          <w:lang w:val="sr-Latn-CS"/>
        </w:rPr>
        <w:t>j</w:t>
      </w:r>
      <w:r w:rsidRPr="00814B5B">
        <w:rPr>
          <w:szCs w:val="22"/>
          <w:lang w:val="sr-Latn-CS"/>
        </w:rPr>
        <w:t>ed smanjene ekskrecije.</w:t>
      </w:r>
      <w:r w:rsidRPr="00814B5B">
        <w:rPr>
          <w:szCs w:val="22"/>
          <w:lang w:val="sl-SI"/>
        </w:rPr>
        <w:t xml:space="preserve"> </w:t>
      </w:r>
      <w:r w:rsidRPr="00814B5B">
        <w:rPr>
          <w:szCs w:val="22"/>
          <w:lang w:val="sr-Latn-CS"/>
        </w:rPr>
        <w:t xml:space="preserve">Ako </w:t>
      </w:r>
      <w:r w:rsidR="002E17EE" w:rsidRPr="00814B5B">
        <w:rPr>
          <w:szCs w:val="22"/>
          <w:lang w:val="sr-Latn-CS"/>
        </w:rPr>
        <w:t>je neophodno propisati</w:t>
      </w:r>
      <w:r w:rsidRPr="00814B5B">
        <w:rPr>
          <w:szCs w:val="22"/>
          <w:lang w:val="sr-Latn-CS"/>
        </w:rPr>
        <w:t xml:space="preserve"> suplement</w:t>
      </w:r>
      <w:r w:rsidR="002E17EE" w:rsidRPr="00814B5B">
        <w:rPr>
          <w:szCs w:val="22"/>
          <w:lang w:val="sr-Latn-CS"/>
        </w:rPr>
        <w:t>e</w:t>
      </w:r>
      <w:r w:rsidRPr="00814B5B">
        <w:rPr>
          <w:szCs w:val="22"/>
          <w:lang w:val="sr-Latn-CS"/>
        </w:rPr>
        <w:t xml:space="preserve"> kalcijuma, treba pratiti koncentraciju kalcijuma u serumu i u skladu sa tim prilagoditi doziranje kalcijuma.</w:t>
      </w:r>
    </w:p>
    <w:p w14:paraId="3C5E9CDA" w14:textId="77777777" w:rsidR="00A476FE" w:rsidRPr="00814B5B" w:rsidRDefault="00A476FE" w:rsidP="007B600E">
      <w:pPr>
        <w:tabs>
          <w:tab w:val="clear" w:pos="284"/>
        </w:tabs>
        <w:autoSpaceDE w:val="0"/>
        <w:autoSpaceDN w:val="0"/>
        <w:adjustRightInd w:val="0"/>
        <w:spacing w:before="120" w:after="120"/>
        <w:rPr>
          <w:i/>
          <w:iCs/>
          <w:szCs w:val="22"/>
          <w:lang w:val="sl-SI"/>
        </w:rPr>
      </w:pPr>
      <w:r w:rsidRPr="00814B5B">
        <w:rPr>
          <w:i/>
          <w:iCs/>
          <w:szCs w:val="22"/>
          <w:lang w:val="sr-Latn-CS"/>
        </w:rPr>
        <w:t>Interakcije sa laboratorijskim testovima</w:t>
      </w:r>
    </w:p>
    <w:p w14:paraId="14B41C5B" w14:textId="524DF3E6"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 xml:space="preserve">Zbog dejstva na metabolizam kalcijuma, tiazidi mogu da </w:t>
      </w:r>
      <w:r w:rsidR="00A31B39" w:rsidRPr="00814B5B">
        <w:rPr>
          <w:szCs w:val="22"/>
          <w:lang w:val="sr-Latn-CS"/>
        </w:rPr>
        <w:t>iterferiraju sa</w:t>
      </w:r>
      <w:r w:rsidRPr="00814B5B">
        <w:rPr>
          <w:szCs w:val="22"/>
          <w:lang w:val="sr-Latn-CS"/>
        </w:rPr>
        <w:t xml:space="preserve"> testov</w:t>
      </w:r>
      <w:r w:rsidR="00A31B39" w:rsidRPr="00814B5B">
        <w:rPr>
          <w:szCs w:val="22"/>
          <w:lang w:val="sr-Latn-CS"/>
        </w:rPr>
        <w:t>ima</w:t>
      </w:r>
      <w:r w:rsidRPr="00814B5B">
        <w:rPr>
          <w:szCs w:val="22"/>
          <w:lang w:val="sr-Latn-CS"/>
        </w:rPr>
        <w:t xml:space="preserve"> za ispitivanje funkcije paratireoidne žl</w:t>
      </w:r>
      <w:r w:rsidR="00291404" w:rsidRPr="00814B5B">
        <w:rPr>
          <w:szCs w:val="22"/>
          <w:lang w:val="sr-Latn-CS"/>
        </w:rPr>
        <w:t>ij</w:t>
      </w:r>
      <w:r w:rsidRPr="00814B5B">
        <w:rPr>
          <w:szCs w:val="22"/>
          <w:lang w:val="sr-Latn-CS"/>
        </w:rPr>
        <w:t>ezde (vid</w:t>
      </w:r>
      <w:r w:rsidR="00291404" w:rsidRPr="00814B5B">
        <w:rPr>
          <w:szCs w:val="22"/>
          <w:lang w:val="sr-Latn-CS"/>
        </w:rPr>
        <w:t>j</w:t>
      </w:r>
      <w:r w:rsidRPr="00814B5B">
        <w:rPr>
          <w:szCs w:val="22"/>
          <w:lang w:val="sr-Latn-CS"/>
        </w:rPr>
        <w:t xml:space="preserve">eti </w:t>
      </w:r>
      <w:r w:rsidR="00291404" w:rsidRPr="00814B5B">
        <w:rPr>
          <w:szCs w:val="22"/>
          <w:lang w:val="sr-Latn-CS"/>
        </w:rPr>
        <w:t>dio</w:t>
      </w:r>
      <w:r w:rsidRPr="00814B5B">
        <w:rPr>
          <w:szCs w:val="22"/>
          <w:lang w:val="sr-Latn-CS"/>
        </w:rPr>
        <w:t xml:space="preserve"> 4.4).</w:t>
      </w:r>
    </w:p>
    <w:p w14:paraId="7E4F881D" w14:textId="77777777" w:rsidR="00A476FE" w:rsidRPr="00814B5B" w:rsidRDefault="00A476FE" w:rsidP="007B600E">
      <w:pPr>
        <w:tabs>
          <w:tab w:val="clear" w:pos="284"/>
        </w:tabs>
        <w:autoSpaceDE w:val="0"/>
        <w:autoSpaceDN w:val="0"/>
        <w:adjustRightInd w:val="0"/>
        <w:spacing w:before="120" w:after="120"/>
        <w:rPr>
          <w:i/>
          <w:iCs/>
          <w:szCs w:val="22"/>
          <w:lang w:val="sl-SI"/>
        </w:rPr>
      </w:pPr>
      <w:r w:rsidRPr="00814B5B">
        <w:rPr>
          <w:i/>
          <w:iCs/>
          <w:szCs w:val="22"/>
          <w:lang w:val="sr-Latn-CS"/>
        </w:rPr>
        <w:t>Karbamazepin</w:t>
      </w:r>
    </w:p>
    <w:p w14:paraId="4C25C0D0" w14:textId="77777777"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Rizik od simptomatske hiponatremije.</w:t>
      </w:r>
      <w:r w:rsidRPr="00814B5B">
        <w:rPr>
          <w:szCs w:val="22"/>
          <w:lang w:val="sl-SI"/>
        </w:rPr>
        <w:t xml:space="preserve"> </w:t>
      </w:r>
      <w:r w:rsidRPr="00814B5B">
        <w:rPr>
          <w:szCs w:val="22"/>
          <w:lang w:val="sr-Latn-CS"/>
        </w:rPr>
        <w:t>Neophodno je kliničko i biološko praćenje.</w:t>
      </w:r>
    </w:p>
    <w:p w14:paraId="6B0DD428" w14:textId="77777777" w:rsidR="00A476FE" w:rsidRPr="00814B5B" w:rsidRDefault="00A476FE" w:rsidP="007B600E">
      <w:pPr>
        <w:tabs>
          <w:tab w:val="clear" w:pos="284"/>
        </w:tabs>
        <w:autoSpaceDE w:val="0"/>
        <w:autoSpaceDN w:val="0"/>
        <w:adjustRightInd w:val="0"/>
        <w:spacing w:before="120" w:after="120"/>
        <w:rPr>
          <w:i/>
          <w:iCs/>
          <w:szCs w:val="22"/>
          <w:lang w:val="sl-SI"/>
        </w:rPr>
      </w:pPr>
      <w:r w:rsidRPr="00814B5B">
        <w:rPr>
          <w:i/>
          <w:iCs/>
          <w:szCs w:val="22"/>
          <w:lang w:val="sr-Latn-CS"/>
        </w:rPr>
        <w:t>Jodna kontrastna sredstva</w:t>
      </w:r>
    </w:p>
    <w:p w14:paraId="30738B72" w14:textId="0B32BD27"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 xml:space="preserve">U slučaju dehidratacije indukovane diureticima, povećan </w:t>
      </w:r>
      <w:r w:rsidR="002B5792" w:rsidRPr="00814B5B">
        <w:rPr>
          <w:szCs w:val="22"/>
          <w:lang w:val="sr-Latn-CS"/>
        </w:rPr>
        <w:t xml:space="preserve">je </w:t>
      </w:r>
      <w:r w:rsidRPr="00814B5B">
        <w:rPr>
          <w:szCs w:val="22"/>
          <w:lang w:val="sr-Latn-CS"/>
        </w:rPr>
        <w:t>rizik od akutn</w:t>
      </w:r>
      <w:r w:rsidR="002B5792" w:rsidRPr="00814B5B">
        <w:rPr>
          <w:szCs w:val="22"/>
          <w:lang w:val="sr-Latn-CS"/>
        </w:rPr>
        <w:t>e</w:t>
      </w:r>
      <w:r w:rsidRPr="00814B5B">
        <w:rPr>
          <w:szCs w:val="22"/>
          <w:lang w:val="sr-Latn-CS"/>
        </w:rPr>
        <w:t xml:space="preserve"> bubrežne insuficijencije, naročito pri prim</w:t>
      </w:r>
      <w:r w:rsidR="00291404" w:rsidRPr="00814B5B">
        <w:rPr>
          <w:szCs w:val="22"/>
          <w:lang w:val="sr-Latn-CS"/>
        </w:rPr>
        <w:t>j</w:t>
      </w:r>
      <w:r w:rsidRPr="00814B5B">
        <w:rPr>
          <w:szCs w:val="22"/>
          <w:lang w:val="sr-Latn-CS"/>
        </w:rPr>
        <w:t>eni velikih doza proizvoda na bazi joda.</w:t>
      </w:r>
      <w:r w:rsidR="00FA54ED" w:rsidRPr="00814B5B">
        <w:rPr>
          <w:szCs w:val="22"/>
          <w:lang w:val="sr-Latn-CS"/>
        </w:rPr>
        <w:t xml:space="preserve"> </w:t>
      </w:r>
      <w:r w:rsidRPr="00814B5B">
        <w:rPr>
          <w:szCs w:val="22"/>
          <w:lang w:val="sr-Latn-CS"/>
        </w:rPr>
        <w:t>Pr</w:t>
      </w:r>
      <w:r w:rsidR="00291404" w:rsidRPr="00814B5B">
        <w:rPr>
          <w:szCs w:val="22"/>
          <w:lang w:val="sr-Latn-CS"/>
        </w:rPr>
        <w:t>ij</w:t>
      </w:r>
      <w:r w:rsidRPr="00814B5B">
        <w:rPr>
          <w:szCs w:val="22"/>
          <w:lang w:val="sr-Latn-CS"/>
        </w:rPr>
        <w:t>e njihove prim</w:t>
      </w:r>
      <w:r w:rsidR="00291404" w:rsidRPr="00814B5B">
        <w:rPr>
          <w:szCs w:val="22"/>
          <w:lang w:val="sr-Latn-CS"/>
        </w:rPr>
        <w:t>j</w:t>
      </w:r>
      <w:r w:rsidRPr="00814B5B">
        <w:rPr>
          <w:szCs w:val="22"/>
          <w:lang w:val="sr-Latn-CS"/>
        </w:rPr>
        <w:t>ene treba rehidrirati pacijenta.</w:t>
      </w:r>
    </w:p>
    <w:p w14:paraId="6FA894BF" w14:textId="77777777" w:rsidR="00A476FE" w:rsidRPr="00814B5B" w:rsidRDefault="00A476FE" w:rsidP="007B600E">
      <w:pPr>
        <w:tabs>
          <w:tab w:val="clear" w:pos="284"/>
        </w:tabs>
        <w:autoSpaceDE w:val="0"/>
        <w:autoSpaceDN w:val="0"/>
        <w:adjustRightInd w:val="0"/>
        <w:spacing w:before="120" w:after="120"/>
        <w:rPr>
          <w:i/>
          <w:iCs/>
          <w:szCs w:val="22"/>
          <w:lang w:val="sl-SI"/>
        </w:rPr>
      </w:pPr>
      <w:r w:rsidRPr="00814B5B">
        <w:rPr>
          <w:i/>
          <w:iCs/>
          <w:szCs w:val="22"/>
          <w:lang w:val="sr-Latn-CS"/>
        </w:rPr>
        <w:t xml:space="preserve">Amfotericin B (parenteralno), kortikosteroidi, ACTH, stimulativni laksativi </w:t>
      </w:r>
      <w:r w:rsidRPr="00814B5B">
        <w:rPr>
          <w:i/>
          <w:iCs/>
          <w:szCs w:val="22"/>
          <w:lang w:val="sl-SI"/>
        </w:rPr>
        <w:t>ili glicirizin (nalazi se u sladiću)</w:t>
      </w:r>
    </w:p>
    <w:p w14:paraId="0FB485D2" w14:textId="4255754E" w:rsidR="00007EF9" w:rsidRDefault="00A476FE" w:rsidP="002A65F1">
      <w:pPr>
        <w:rPr>
          <w:szCs w:val="22"/>
          <w:lang w:val="sr-Latn-CS"/>
        </w:rPr>
      </w:pPr>
      <w:r w:rsidRPr="00814B5B">
        <w:rPr>
          <w:szCs w:val="22"/>
          <w:lang w:val="sr-Latn-CS"/>
        </w:rPr>
        <w:t xml:space="preserve">Hidrohlortiazid može da </w:t>
      </w:r>
      <w:r w:rsidR="009F7923" w:rsidRPr="00814B5B">
        <w:rPr>
          <w:szCs w:val="22"/>
          <w:lang w:val="sr-Latn-CS"/>
        </w:rPr>
        <w:t xml:space="preserve">potencira </w:t>
      </w:r>
      <w:r w:rsidRPr="00814B5B">
        <w:rPr>
          <w:szCs w:val="22"/>
          <w:lang w:val="sr-Latn-CS"/>
        </w:rPr>
        <w:t>poremećaj ravnoteže elektrolita, a posebno hipokalemiju.</w:t>
      </w:r>
    </w:p>
    <w:p w14:paraId="63820C72" w14:textId="77777777" w:rsidR="002A65F1" w:rsidRPr="00814B5B" w:rsidRDefault="002A65F1" w:rsidP="002A65F1">
      <w:pPr>
        <w:rPr>
          <w:szCs w:val="22"/>
          <w:lang w:val="sr-Latn-CS"/>
        </w:rPr>
      </w:pPr>
    </w:p>
    <w:p w14:paraId="607C463E" w14:textId="77777777" w:rsidR="00007EF9" w:rsidRPr="00814B5B" w:rsidRDefault="00007EF9" w:rsidP="002A65F1">
      <w:pPr>
        <w:rPr>
          <w:b/>
          <w:bCs/>
          <w:szCs w:val="22"/>
          <w:lang w:val="sr-Latn-RS"/>
        </w:rPr>
      </w:pPr>
      <w:r w:rsidRPr="00814B5B">
        <w:rPr>
          <w:b/>
          <w:bCs/>
          <w:szCs w:val="22"/>
          <w:lang w:val="sr-Latn-RS"/>
        </w:rPr>
        <w:t>4.6. Plodnost, trudnoća i dojenje</w:t>
      </w:r>
    </w:p>
    <w:p w14:paraId="1870FAFA" w14:textId="77777777" w:rsidR="002A65F1" w:rsidRDefault="002A65F1" w:rsidP="002A65F1">
      <w:pPr>
        <w:tabs>
          <w:tab w:val="clear" w:pos="284"/>
        </w:tabs>
        <w:autoSpaceDE w:val="0"/>
        <w:autoSpaceDN w:val="0"/>
        <w:adjustRightInd w:val="0"/>
        <w:rPr>
          <w:iCs/>
          <w:szCs w:val="22"/>
          <w:u w:val="single"/>
          <w:lang w:val="sr-Latn-CS"/>
        </w:rPr>
      </w:pPr>
    </w:p>
    <w:p w14:paraId="7335AF94" w14:textId="37C194A9" w:rsidR="00A476FE" w:rsidRPr="00814B5B" w:rsidRDefault="00A476FE" w:rsidP="002A65F1">
      <w:pPr>
        <w:tabs>
          <w:tab w:val="clear" w:pos="284"/>
        </w:tabs>
        <w:autoSpaceDE w:val="0"/>
        <w:autoSpaceDN w:val="0"/>
        <w:adjustRightInd w:val="0"/>
        <w:rPr>
          <w:szCs w:val="22"/>
          <w:u w:val="single"/>
          <w:lang w:val="sl-SI"/>
        </w:rPr>
      </w:pPr>
      <w:r w:rsidRPr="00814B5B">
        <w:rPr>
          <w:iCs/>
          <w:szCs w:val="22"/>
          <w:u w:val="single"/>
          <w:lang w:val="sr-Latn-CS"/>
        </w:rPr>
        <w:t>Trudnoća</w:t>
      </w:r>
    </w:p>
    <w:p w14:paraId="540449AD" w14:textId="66F80CE7" w:rsidR="00A476FE" w:rsidRPr="00814B5B" w:rsidRDefault="00A476FE" w:rsidP="007B600E">
      <w:pPr>
        <w:tabs>
          <w:tab w:val="clear" w:pos="284"/>
        </w:tabs>
        <w:autoSpaceDE w:val="0"/>
        <w:autoSpaceDN w:val="0"/>
        <w:adjustRightInd w:val="0"/>
        <w:spacing w:before="120" w:after="120"/>
        <w:rPr>
          <w:szCs w:val="22"/>
          <w:lang w:val="sl-SI"/>
        </w:rPr>
      </w:pPr>
      <w:r w:rsidRPr="00814B5B">
        <w:rPr>
          <w:i/>
          <w:iCs/>
          <w:szCs w:val="22"/>
          <w:lang w:val="sr-Latn-CS"/>
        </w:rPr>
        <w:t>Antagonisti receptora angiotenzina II</w:t>
      </w:r>
    </w:p>
    <w:p w14:paraId="7FEECF72" w14:textId="6D97BB80" w:rsidR="009F7923" w:rsidRPr="00814B5B" w:rsidRDefault="009F7923" w:rsidP="007B600E">
      <w:pPr>
        <w:tabs>
          <w:tab w:val="clear" w:pos="284"/>
        </w:tabs>
        <w:autoSpaceDE w:val="0"/>
        <w:autoSpaceDN w:val="0"/>
        <w:adjustRightInd w:val="0"/>
        <w:spacing w:before="120" w:after="120"/>
        <w:rPr>
          <w:szCs w:val="22"/>
          <w:lang w:val="sr-Latn-CS"/>
        </w:rPr>
      </w:pPr>
      <w:r w:rsidRPr="00814B5B">
        <w:rPr>
          <w:szCs w:val="22"/>
          <w:lang w:val="sr-Latn-CS"/>
        </w:rPr>
        <w:t xml:space="preserve">Ne preporučuje se </w:t>
      </w:r>
      <w:r w:rsidR="007E4572" w:rsidRPr="00814B5B">
        <w:rPr>
          <w:szCs w:val="22"/>
          <w:lang w:val="sr-Latn-CS"/>
        </w:rPr>
        <w:t>primjena</w:t>
      </w:r>
      <w:r w:rsidRPr="00814B5B">
        <w:rPr>
          <w:szCs w:val="22"/>
          <w:lang w:val="sr-Latn-CS"/>
        </w:rPr>
        <w:t xml:space="preserve"> antagonista receptora angiotenzina II tokom prvog trimestra trudnoće (vid</w:t>
      </w:r>
      <w:r w:rsidR="00291404" w:rsidRPr="00814B5B">
        <w:rPr>
          <w:szCs w:val="22"/>
          <w:lang w:val="sr-Latn-CS"/>
        </w:rPr>
        <w:t>j</w:t>
      </w:r>
      <w:r w:rsidRPr="00814B5B">
        <w:rPr>
          <w:szCs w:val="22"/>
          <w:lang w:val="sr-Latn-CS"/>
        </w:rPr>
        <w:t xml:space="preserve">eti </w:t>
      </w:r>
      <w:r w:rsidR="00291404" w:rsidRPr="00814B5B">
        <w:rPr>
          <w:szCs w:val="22"/>
          <w:lang w:val="sr-Latn-CS"/>
        </w:rPr>
        <w:t>dio</w:t>
      </w:r>
      <w:r w:rsidRPr="00814B5B">
        <w:rPr>
          <w:szCs w:val="22"/>
          <w:lang w:val="sr-Latn-CS"/>
        </w:rPr>
        <w:t xml:space="preserve"> 4.4).</w:t>
      </w:r>
      <w:r w:rsidRPr="00814B5B">
        <w:rPr>
          <w:szCs w:val="22"/>
          <w:lang w:val="sl-SI"/>
        </w:rPr>
        <w:t xml:space="preserve"> </w:t>
      </w:r>
      <w:r w:rsidR="007E4572" w:rsidRPr="00814B5B">
        <w:rPr>
          <w:szCs w:val="22"/>
          <w:lang w:val="sl-SI"/>
        </w:rPr>
        <w:t>Primjena</w:t>
      </w:r>
      <w:r w:rsidRPr="00814B5B">
        <w:rPr>
          <w:szCs w:val="22"/>
          <w:lang w:val="sr-Latn-CS"/>
        </w:rPr>
        <w:t xml:space="preserve"> antagonista receptora angiotenzina II je kontraindikovana tokom drugog i trećeg trimestra trudnoće (vid</w:t>
      </w:r>
      <w:r w:rsidR="00291404" w:rsidRPr="00814B5B">
        <w:rPr>
          <w:szCs w:val="22"/>
          <w:lang w:val="sr-Latn-CS"/>
        </w:rPr>
        <w:t>j</w:t>
      </w:r>
      <w:r w:rsidRPr="00814B5B">
        <w:rPr>
          <w:szCs w:val="22"/>
          <w:lang w:val="sr-Latn-CS"/>
        </w:rPr>
        <w:t xml:space="preserve">eti </w:t>
      </w:r>
      <w:r w:rsidR="00291404" w:rsidRPr="00814B5B">
        <w:rPr>
          <w:szCs w:val="22"/>
          <w:lang w:val="sr-Latn-CS"/>
        </w:rPr>
        <w:t>djelove</w:t>
      </w:r>
      <w:r w:rsidRPr="00814B5B">
        <w:rPr>
          <w:szCs w:val="22"/>
          <w:lang w:val="sr-Latn-CS"/>
        </w:rPr>
        <w:t xml:space="preserve"> 4.3 i 4.4).</w:t>
      </w:r>
    </w:p>
    <w:p w14:paraId="702B4303" w14:textId="50C6FB2A"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 xml:space="preserve">Epidemiološki dokazi vezani za rizik od teratogenosti nakon izlaganja ACE inhibitorima tokom prvog trimestra trudnoće </w:t>
      </w:r>
      <w:r w:rsidR="00490F4B" w:rsidRPr="00814B5B">
        <w:rPr>
          <w:szCs w:val="22"/>
          <w:lang w:val="sr-Latn-CS"/>
        </w:rPr>
        <w:t>ni</w:t>
      </w:r>
      <w:r w:rsidR="000C0432" w:rsidRPr="00814B5B">
        <w:rPr>
          <w:szCs w:val="22"/>
          <w:lang w:val="sr-Latn-CS"/>
        </w:rPr>
        <w:t>je</w:t>
      </w:r>
      <w:r w:rsidR="00490F4B" w:rsidRPr="00814B5B">
        <w:rPr>
          <w:szCs w:val="22"/>
          <w:lang w:val="sr-Latn-CS"/>
        </w:rPr>
        <w:t>su bili ub</w:t>
      </w:r>
      <w:r w:rsidR="00291404" w:rsidRPr="00814B5B">
        <w:rPr>
          <w:szCs w:val="22"/>
          <w:lang w:val="sr-Latn-CS"/>
        </w:rPr>
        <w:t>j</w:t>
      </w:r>
      <w:r w:rsidR="00490F4B" w:rsidRPr="00814B5B">
        <w:rPr>
          <w:szCs w:val="22"/>
          <w:lang w:val="sr-Latn-CS"/>
        </w:rPr>
        <w:t>edljivi</w:t>
      </w:r>
      <w:r w:rsidRPr="00814B5B">
        <w:rPr>
          <w:szCs w:val="22"/>
          <w:lang w:val="sr-Latn-CS"/>
        </w:rPr>
        <w:t xml:space="preserve">, </w:t>
      </w:r>
      <w:r w:rsidR="00B65ED0" w:rsidRPr="00814B5B">
        <w:rPr>
          <w:szCs w:val="22"/>
          <w:lang w:val="sr-Latn-CS"/>
        </w:rPr>
        <w:t xml:space="preserve">ali se </w:t>
      </w:r>
      <w:r w:rsidRPr="00814B5B">
        <w:rPr>
          <w:szCs w:val="22"/>
          <w:lang w:val="sr-Latn-CS"/>
        </w:rPr>
        <w:t xml:space="preserve">ne može isključiti </w:t>
      </w:r>
      <w:r w:rsidR="00B65ED0" w:rsidRPr="00814B5B">
        <w:rPr>
          <w:szCs w:val="22"/>
          <w:lang w:val="sr-Latn-CS"/>
        </w:rPr>
        <w:t xml:space="preserve">blago </w:t>
      </w:r>
      <w:r w:rsidRPr="00814B5B">
        <w:rPr>
          <w:szCs w:val="22"/>
          <w:lang w:val="sr-Latn-CS"/>
        </w:rPr>
        <w:t>povećanje rizika.</w:t>
      </w:r>
      <w:r w:rsidRPr="00814B5B">
        <w:rPr>
          <w:szCs w:val="22"/>
          <w:lang w:val="sl-SI"/>
        </w:rPr>
        <w:t xml:space="preserve"> </w:t>
      </w:r>
      <w:r w:rsidRPr="00814B5B">
        <w:rPr>
          <w:szCs w:val="22"/>
          <w:lang w:val="sr-Latn-CS"/>
        </w:rPr>
        <w:t>Iako ne postoje kontrolisani epidemiološki podaci o riziku prim</w:t>
      </w:r>
      <w:r w:rsidR="00291404" w:rsidRPr="00814B5B">
        <w:rPr>
          <w:szCs w:val="22"/>
          <w:lang w:val="sr-Latn-CS"/>
        </w:rPr>
        <w:t>j</w:t>
      </w:r>
      <w:r w:rsidRPr="00814B5B">
        <w:rPr>
          <w:szCs w:val="22"/>
          <w:lang w:val="sr-Latn-CS"/>
        </w:rPr>
        <w:t>ene antagonista receptora angiotenzina II, može postojati sličan rizik za ovu grupu l</w:t>
      </w:r>
      <w:r w:rsidR="00291404" w:rsidRPr="00814B5B">
        <w:rPr>
          <w:szCs w:val="22"/>
          <w:lang w:val="sr-Latn-CS"/>
        </w:rPr>
        <w:t>j</w:t>
      </w:r>
      <w:r w:rsidRPr="00814B5B">
        <w:rPr>
          <w:szCs w:val="22"/>
          <w:lang w:val="sr-Latn-CS"/>
        </w:rPr>
        <w:t>ekova.</w:t>
      </w:r>
      <w:r w:rsidRPr="00814B5B">
        <w:rPr>
          <w:szCs w:val="22"/>
          <w:lang w:val="sl-SI"/>
        </w:rPr>
        <w:t xml:space="preserve"> </w:t>
      </w:r>
      <w:r w:rsidRPr="00814B5B">
        <w:rPr>
          <w:szCs w:val="22"/>
          <w:lang w:val="sr-Latn-CS"/>
        </w:rPr>
        <w:t xml:space="preserve">Osim kada se smatra da je nastavak terapije antagonistima receptora angiotenzina II neophodan, pacijentkinjama koje planiraju trudnoću treba uvesti </w:t>
      </w:r>
      <w:r w:rsidR="0062710B" w:rsidRPr="00814B5B">
        <w:rPr>
          <w:szCs w:val="22"/>
          <w:lang w:val="sr-Latn-CS"/>
        </w:rPr>
        <w:t xml:space="preserve">alternativnu antihipertenzivnu </w:t>
      </w:r>
      <w:r w:rsidR="0062710B" w:rsidRPr="00814B5B">
        <w:rPr>
          <w:szCs w:val="22"/>
          <w:lang w:val="sr-Latn-CS"/>
        </w:rPr>
        <w:lastRenderedPageBreak/>
        <w:t>terapiju</w:t>
      </w:r>
      <w:r w:rsidRPr="00814B5B">
        <w:rPr>
          <w:szCs w:val="22"/>
          <w:lang w:val="sr-Latn-CS"/>
        </w:rPr>
        <w:t xml:space="preserve">, </w:t>
      </w:r>
      <w:r w:rsidR="007D5D77" w:rsidRPr="00814B5B">
        <w:rPr>
          <w:szCs w:val="22"/>
          <w:lang w:val="sr-Latn-CS"/>
        </w:rPr>
        <w:t>čija je bezb</w:t>
      </w:r>
      <w:r w:rsidR="00291404" w:rsidRPr="00814B5B">
        <w:rPr>
          <w:szCs w:val="22"/>
          <w:lang w:val="sr-Latn-CS"/>
        </w:rPr>
        <w:t>j</w:t>
      </w:r>
      <w:r w:rsidR="007D5D77" w:rsidRPr="00814B5B">
        <w:rPr>
          <w:szCs w:val="22"/>
          <w:lang w:val="sr-Latn-CS"/>
        </w:rPr>
        <w:t>ednost prim</w:t>
      </w:r>
      <w:r w:rsidR="00291404" w:rsidRPr="00814B5B">
        <w:rPr>
          <w:szCs w:val="22"/>
          <w:lang w:val="sr-Latn-CS"/>
        </w:rPr>
        <w:t>j</w:t>
      </w:r>
      <w:r w:rsidR="007D5D77" w:rsidRPr="00814B5B">
        <w:rPr>
          <w:szCs w:val="22"/>
          <w:lang w:val="sr-Latn-CS"/>
        </w:rPr>
        <w:t>ene u trudnoći potvrđena</w:t>
      </w:r>
      <w:r w:rsidRPr="00814B5B">
        <w:rPr>
          <w:szCs w:val="22"/>
          <w:lang w:val="sr-Latn-CS"/>
        </w:rPr>
        <w:t>.</w:t>
      </w:r>
      <w:r w:rsidRPr="00814B5B">
        <w:rPr>
          <w:szCs w:val="22"/>
          <w:lang w:val="sl-SI"/>
        </w:rPr>
        <w:t xml:space="preserve"> </w:t>
      </w:r>
      <w:r w:rsidRPr="00814B5B">
        <w:rPr>
          <w:szCs w:val="22"/>
          <w:lang w:val="sr-Latn-CS"/>
        </w:rPr>
        <w:t xml:space="preserve">Kada </w:t>
      </w:r>
      <w:r w:rsidR="006F28B8" w:rsidRPr="00814B5B">
        <w:rPr>
          <w:szCs w:val="22"/>
          <w:lang w:val="sr-Latn-CS"/>
        </w:rPr>
        <w:t xml:space="preserve">se </w:t>
      </w:r>
      <w:r w:rsidRPr="00814B5B">
        <w:rPr>
          <w:szCs w:val="22"/>
          <w:lang w:val="sr-Latn-CS"/>
        </w:rPr>
        <w:t>utvr</w:t>
      </w:r>
      <w:r w:rsidR="006F28B8" w:rsidRPr="00814B5B">
        <w:rPr>
          <w:szCs w:val="22"/>
          <w:lang w:val="sr-Latn-CS"/>
        </w:rPr>
        <w:t>di</w:t>
      </w:r>
      <w:r w:rsidRPr="00814B5B">
        <w:rPr>
          <w:szCs w:val="22"/>
          <w:lang w:val="sr-Latn-CS"/>
        </w:rPr>
        <w:t xml:space="preserve"> trudnoća, terapiju antagonistima receptora angiotenzina II treba odmah prekinuti i</w:t>
      </w:r>
      <w:r w:rsidR="00DA3AAC" w:rsidRPr="00814B5B">
        <w:rPr>
          <w:szCs w:val="22"/>
          <w:lang w:val="sr-Latn-CS"/>
        </w:rPr>
        <w:t>,</w:t>
      </w:r>
      <w:r w:rsidRPr="00814B5B">
        <w:rPr>
          <w:szCs w:val="22"/>
          <w:lang w:val="sr-Latn-CS"/>
        </w:rPr>
        <w:t xml:space="preserve"> ukoliko je moguće, </w:t>
      </w:r>
      <w:r w:rsidR="0065521C" w:rsidRPr="00814B5B">
        <w:rPr>
          <w:szCs w:val="22"/>
          <w:lang w:val="sr-Latn-CS"/>
        </w:rPr>
        <w:t>za</w:t>
      </w:r>
      <w:r w:rsidRPr="00814B5B">
        <w:rPr>
          <w:szCs w:val="22"/>
          <w:lang w:val="sr-Latn-CS"/>
        </w:rPr>
        <w:t>početi alternativnu terapiju.</w:t>
      </w:r>
    </w:p>
    <w:p w14:paraId="6C170107" w14:textId="28267C1C" w:rsidR="00A476FE" w:rsidRPr="00814B5B" w:rsidRDefault="00652597" w:rsidP="007B600E">
      <w:pPr>
        <w:tabs>
          <w:tab w:val="clear" w:pos="284"/>
        </w:tabs>
        <w:autoSpaceDE w:val="0"/>
        <w:autoSpaceDN w:val="0"/>
        <w:adjustRightInd w:val="0"/>
        <w:spacing w:before="120" w:after="120"/>
        <w:rPr>
          <w:szCs w:val="22"/>
          <w:lang w:val="sl-SI"/>
        </w:rPr>
      </w:pPr>
      <w:r w:rsidRPr="00814B5B">
        <w:rPr>
          <w:szCs w:val="22"/>
          <w:lang w:val="sr-Latn-CS"/>
        </w:rPr>
        <w:t xml:space="preserve">Poznato </w:t>
      </w:r>
      <w:r w:rsidR="00A476FE" w:rsidRPr="00814B5B">
        <w:rPr>
          <w:szCs w:val="22"/>
          <w:lang w:val="sr-Latn-CS"/>
        </w:rPr>
        <w:t xml:space="preserve">je da </w:t>
      </w:r>
      <w:r w:rsidR="007E4572" w:rsidRPr="00814B5B">
        <w:rPr>
          <w:szCs w:val="22"/>
          <w:lang w:val="sr-Latn-CS"/>
        </w:rPr>
        <w:t>primjena</w:t>
      </w:r>
      <w:r w:rsidR="00A476FE" w:rsidRPr="00814B5B">
        <w:rPr>
          <w:szCs w:val="22"/>
          <w:lang w:val="sr-Latn-CS"/>
        </w:rPr>
        <w:t xml:space="preserve"> antagonista receptora angiotenzina II tokom drugog i trećeg trom</w:t>
      </w:r>
      <w:r w:rsidR="00291404" w:rsidRPr="00814B5B">
        <w:rPr>
          <w:szCs w:val="22"/>
          <w:lang w:val="sr-Latn-CS"/>
        </w:rPr>
        <w:t>j</w:t>
      </w:r>
      <w:r w:rsidR="00A476FE" w:rsidRPr="00814B5B">
        <w:rPr>
          <w:szCs w:val="22"/>
          <w:lang w:val="sr-Latn-CS"/>
        </w:rPr>
        <w:t xml:space="preserve">esečja </w:t>
      </w:r>
      <w:r w:rsidR="000C0432" w:rsidRPr="00814B5B">
        <w:rPr>
          <w:szCs w:val="22"/>
          <w:lang w:val="sr-Latn-CS"/>
        </w:rPr>
        <w:t xml:space="preserve">trudnoće </w:t>
      </w:r>
      <w:r w:rsidR="00BC592A" w:rsidRPr="00814B5B">
        <w:rPr>
          <w:szCs w:val="22"/>
          <w:lang w:val="sr-Latn-CS"/>
        </w:rPr>
        <w:t xml:space="preserve">kod ljudi </w:t>
      </w:r>
      <w:r w:rsidR="00A476FE" w:rsidRPr="00814B5B">
        <w:rPr>
          <w:szCs w:val="22"/>
          <w:lang w:val="sr-Latn-CS"/>
        </w:rPr>
        <w:t>dovodi do fetotoksičnosti (smanjenje funkcije</w:t>
      </w:r>
      <w:r w:rsidR="009874E7" w:rsidRPr="00814B5B">
        <w:rPr>
          <w:szCs w:val="22"/>
          <w:lang w:val="sr-Latn-CS"/>
        </w:rPr>
        <w:t xml:space="preserve"> bubrega</w:t>
      </w:r>
      <w:r w:rsidR="00A476FE" w:rsidRPr="00814B5B">
        <w:rPr>
          <w:szCs w:val="22"/>
          <w:lang w:val="sr-Latn-CS"/>
        </w:rPr>
        <w:t>, oligohidramnion, usporena osifikacija kostiju lobanje) i neonatalne toksičnosti (bubrežna insuficijencija, hipotenzija, hiperkalemija)</w:t>
      </w:r>
      <w:r w:rsidR="00A476FE" w:rsidRPr="00814B5B">
        <w:rPr>
          <w:szCs w:val="22"/>
          <w:lang w:val="sl-SI"/>
        </w:rPr>
        <w:t xml:space="preserve"> </w:t>
      </w:r>
      <w:r w:rsidR="00A476FE" w:rsidRPr="00814B5B">
        <w:rPr>
          <w:szCs w:val="22"/>
          <w:lang w:val="sr-Latn-CS"/>
        </w:rPr>
        <w:t>(vid</w:t>
      </w:r>
      <w:r w:rsidR="00291404" w:rsidRPr="00814B5B">
        <w:rPr>
          <w:szCs w:val="22"/>
          <w:lang w:val="sr-Latn-CS"/>
        </w:rPr>
        <w:t>j</w:t>
      </w:r>
      <w:r w:rsidR="00A476FE" w:rsidRPr="00814B5B">
        <w:rPr>
          <w:szCs w:val="22"/>
          <w:lang w:val="sr-Latn-CS"/>
        </w:rPr>
        <w:t xml:space="preserve">eti </w:t>
      </w:r>
      <w:r w:rsidR="00291404" w:rsidRPr="00814B5B">
        <w:rPr>
          <w:szCs w:val="22"/>
          <w:lang w:val="sr-Latn-CS"/>
        </w:rPr>
        <w:t>dio</w:t>
      </w:r>
      <w:r w:rsidR="00A476FE" w:rsidRPr="00814B5B">
        <w:rPr>
          <w:szCs w:val="22"/>
          <w:lang w:val="sr-Latn-CS"/>
        </w:rPr>
        <w:t xml:space="preserve"> 5.3).</w:t>
      </w:r>
    </w:p>
    <w:p w14:paraId="1AEA57F7" w14:textId="104FDF5B"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 xml:space="preserve">Ako </w:t>
      </w:r>
      <w:r w:rsidR="00392C45" w:rsidRPr="00814B5B">
        <w:rPr>
          <w:szCs w:val="22"/>
          <w:lang w:val="sr-Latn-CS"/>
        </w:rPr>
        <w:t>do</w:t>
      </w:r>
      <w:r w:rsidR="00392C45" w:rsidRPr="00814B5B">
        <w:rPr>
          <w:szCs w:val="22"/>
          <w:lang w:val="sr-Latn-RS"/>
        </w:rPr>
        <w:t>đe do</w:t>
      </w:r>
      <w:r w:rsidR="001A01B0" w:rsidRPr="00814B5B">
        <w:rPr>
          <w:szCs w:val="22"/>
          <w:lang w:val="sr-Latn-RS"/>
        </w:rPr>
        <w:t xml:space="preserve"> izloženosti</w:t>
      </w:r>
      <w:r w:rsidRPr="00814B5B">
        <w:rPr>
          <w:szCs w:val="22"/>
          <w:lang w:val="sr-Latn-CS"/>
        </w:rPr>
        <w:t xml:space="preserve"> antagonist</w:t>
      </w:r>
      <w:r w:rsidR="001A01B0" w:rsidRPr="00814B5B">
        <w:rPr>
          <w:szCs w:val="22"/>
          <w:lang w:val="sr-Latn-CS"/>
        </w:rPr>
        <w:t>ima</w:t>
      </w:r>
      <w:r w:rsidRPr="00814B5B">
        <w:rPr>
          <w:szCs w:val="22"/>
          <w:lang w:val="sr-Latn-CS"/>
        </w:rPr>
        <w:t xml:space="preserve"> receptora angiotenzina II </w:t>
      </w:r>
      <w:r w:rsidR="006428A3" w:rsidRPr="00814B5B">
        <w:rPr>
          <w:szCs w:val="22"/>
          <w:lang w:val="sr-Latn-CS"/>
        </w:rPr>
        <w:t xml:space="preserve">nakon ulaska u </w:t>
      </w:r>
      <w:r w:rsidRPr="00814B5B">
        <w:rPr>
          <w:szCs w:val="22"/>
          <w:lang w:val="sr-Latn-CS"/>
        </w:rPr>
        <w:t>drug</w:t>
      </w:r>
      <w:r w:rsidR="006428A3" w:rsidRPr="00814B5B">
        <w:rPr>
          <w:szCs w:val="22"/>
          <w:lang w:val="sr-Latn-CS"/>
        </w:rPr>
        <w:t>i</w:t>
      </w:r>
      <w:r w:rsidRPr="00814B5B">
        <w:rPr>
          <w:szCs w:val="22"/>
          <w:lang w:val="sr-Latn-CS"/>
        </w:rPr>
        <w:t xml:space="preserve"> trimest</w:t>
      </w:r>
      <w:r w:rsidR="006428A3" w:rsidRPr="00814B5B">
        <w:rPr>
          <w:szCs w:val="22"/>
          <w:lang w:val="sr-Latn-CS"/>
        </w:rPr>
        <w:t>a</w:t>
      </w:r>
      <w:r w:rsidRPr="00814B5B">
        <w:rPr>
          <w:szCs w:val="22"/>
          <w:lang w:val="sr-Latn-CS"/>
        </w:rPr>
        <w:t xml:space="preserve">r, preporučuje se </w:t>
      </w:r>
      <w:r w:rsidR="009B5FFC" w:rsidRPr="00814B5B">
        <w:rPr>
          <w:szCs w:val="22"/>
          <w:lang w:val="sr-Latn-CS"/>
        </w:rPr>
        <w:t xml:space="preserve">kontrolni </w:t>
      </w:r>
      <w:r w:rsidRPr="00814B5B">
        <w:rPr>
          <w:szCs w:val="22"/>
          <w:lang w:val="sr-Latn-CS"/>
        </w:rPr>
        <w:t>ultrazvučn</w:t>
      </w:r>
      <w:r w:rsidR="009B5FFC" w:rsidRPr="00814B5B">
        <w:rPr>
          <w:szCs w:val="22"/>
          <w:lang w:val="sr-Latn-CS"/>
        </w:rPr>
        <w:t>i</w:t>
      </w:r>
      <w:r w:rsidRPr="00814B5B">
        <w:rPr>
          <w:szCs w:val="22"/>
          <w:lang w:val="sr-Latn-CS"/>
        </w:rPr>
        <w:t xml:space="preserve"> </w:t>
      </w:r>
      <w:r w:rsidR="009B5FFC" w:rsidRPr="00814B5B">
        <w:rPr>
          <w:szCs w:val="22"/>
          <w:lang w:val="sr-Latn-CS"/>
        </w:rPr>
        <w:t xml:space="preserve">pregled </w:t>
      </w:r>
      <w:r w:rsidR="004557EE" w:rsidRPr="00814B5B">
        <w:rPr>
          <w:szCs w:val="22"/>
          <w:lang w:val="sr-Latn-CS"/>
        </w:rPr>
        <w:t>bubrega</w:t>
      </w:r>
      <w:r w:rsidRPr="00814B5B">
        <w:rPr>
          <w:szCs w:val="22"/>
          <w:lang w:val="sr-Latn-CS"/>
        </w:rPr>
        <w:t xml:space="preserve"> i lobanje.</w:t>
      </w:r>
    </w:p>
    <w:p w14:paraId="6CC39330" w14:textId="5F188CF9" w:rsidR="00A476FE" w:rsidRPr="00814B5B" w:rsidRDefault="00A476FE" w:rsidP="007B600E">
      <w:pPr>
        <w:tabs>
          <w:tab w:val="clear" w:pos="284"/>
        </w:tabs>
        <w:autoSpaceDE w:val="0"/>
        <w:autoSpaceDN w:val="0"/>
        <w:adjustRightInd w:val="0"/>
        <w:spacing w:before="120" w:after="120"/>
        <w:rPr>
          <w:szCs w:val="22"/>
          <w:lang w:val="sr-Latn-CS"/>
        </w:rPr>
      </w:pPr>
      <w:r w:rsidRPr="00814B5B">
        <w:rPr>
          <w:szCs w:val="22"/>
          <w:lang w:val="sr-Latn-CS"/>
        </w:rPr>
        <w:t>Odojčad čije su majke uzimale antagoniste receptora angiotenzina II treba pažljivo pratiti zbog moguće hipotenzije (vid</w:t>
      </w:r>
      <w:r w:rsidR="00291404" w:rsidRPr="00814B5B">
        <w:rPr>
          <w:szCs w:val="22"/>
          <w:lang w:val="sr-Latn-CS"/>
        </w:rPr>
        <w:t>j</w:t>
      </w:r>
      <w:r w:rsidRPr="00814B5B">
        <w:rPr>
          <w:szCs w:val="22"/>
          <w:lang w:val="sr-Latn-CS"/>
        </w:rPr>
        <w:t xml:space="preserve">eti </w:t>
      </w:r>
      <w:r w:rsidR="00291404" w:rsidRPr="00814B5B">
        <w:rPr>
          <w:szCs w:val="22"/>
          <w:lang w:val="sr-Latn-CS"/>
        </w:rPr>
        <w:t>djelove</w:t>
      </w:r>
      <w:r w:rsidRPr="00814B5B">
        <w:rPr>
          <w:szCs w:val="22"/>
          <w:lang w:val="sr-Latn-CS"/>
        </w:rPr>
        <w:t xml:space="preserve"> 4.3 i 4.4).</w:t>
      </w:r>
    </w:p>
    <w:p w14:paraId="649A96FC" w14:textId="1C181F02" w:rsidR="00A476FE" w:rsidRPr="00814B5B" w:rsidRDefault="00A476FE" w:rsidP="007B600E">
      <w:pPr>
        <w:tabs>
          <w:tab w:val="clear" w:pos="284"/>
        </w:tabs>
        <w:autoSpaceDE w:val="0"/>
        <w:autoSpaceDN w:val="0"/>
        <w:adjustRightInd w:val="0"/>
        <w:spacing w:before="120" w:after="120"/>
        <w:rPr>
          <w:i/>
          <w:szCs w:val="22"/>
          <w:lang w:val="sr-Latn-CS"/>
        </w:rPr>
      </w:pPr>
      <w:r w:rsidRPr="00814B5B">
        <w:rPr>
          <w:i/>
          <w:szCs w:val="22"/>
          <w:lang w:val="sr-Latn-CS"/>
        </w:rPr>
        <w:t>Hidrohlortiazid</w:t>
      </w:r>
    </w:p>
    <w:p w14:paraId="0A03FE75" w14:textId="4323D892" w:rsidR="00A476FE" w:rsidRPr="00814B5B" w:rsidRDefault="00A476FE" w:rsidP="007B600E">
      <w:pPr>
        <w:tabs>
          <w:tab w:val="clear" w:pos="284"/>
        </w:tabs>
        <w:autoSpaceDE w:val="0"/>
        <w:autoSpaceDN w:val="0"/>
        <w:adjustRightInd w:val="0"/>
        <w:spacing w:before="120" w:after="120"/>
        <w:rPr>
          <w:szCs w:val="22"/>
          <w:lang w:val="sr-Latn-CS"/>
        </w:rPr>
      </w:pPr>
      <w:r w:rsidRPr="00814B5B">
        <w:rPr>
          <w:szCs w:val="22"/>
          <w:lang w:val="sr-Latn-CS"/>
        </w:rPr>
        <w:t>Podaci o prim</w:t>
      </w:r>
      <w:r w:rsidR="00291404" w:rsidRPr="00814B5B">
        <w:rPr>
          <w:szCs w:val="22"/>
          <w:lang w:val="sr-Latn-CS"/>
        </w:rPr>
        <w:t>j</w:t>
      </w:r>
      <w:r w:rsidRPr="00814B5B">
        <w:rPr>
          <w:szCs w:val="22"/>
          <w:lang w:val="sr-Latn-CS"/>
        </w:rPr>
        <w:t>eni hidrohlortiazida tokom trudnoće su ograničeni, naročito u periodu prvog trimestra.</w:t>
      </w:r>
      <w:r w:rsidRPr="00814B5B">
        <w:rPr>
          <w:szCs w:val="22"/>
          <w:lang w:val="sl-SI"/>
        </w:rPr>
        <w:t xml:space="preserve"> </w:t>
      </w:r>
      <w:r w:rsidRPr="00814B5B">
        <w:rPr>
          <w:szCs w:val="22"/>
          <w:lang w:val="sr-Latn-CS"/>
        </w:rPr>
        <w:t>Studije na životinjama ni</w:t>
      </w:r>
      <w:r w:rsidR="000C0432" w:rsidRPr="00814B5B">
        <w:rPr>
          <w:szCs w:val="22"/>
          <w:lang w:val="sr-Latn-CS"/>
        </w:rPr>
        <w:t>je</w:t>
      </w:r>
      <w:r w:rsidRPr="00814B5B">
        <w:rPr>
          <w:szCs w:val="22"/>
          <w:lang w:val="sr-Latn-CS"/>
        </w:rPr>
        <w:t>su pružile dovoljno podataka.</w:t>
      </w:r>
    </w:p>
    <w:p w14:paraId="4305B274" w14:textId="534AB36A"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Hidrohlortiazid prolazi kroz placentu.</w:t>
      </w:r>
      <w:r w:rsidRPr="00814B5B">
        <w:rPr>
          <w:szCs w:val="22"/>
          <w:lang w:val="sl-SI"/>
        </w:rPr>
        <w:t xml:space="preserve"> </w:t>
      </w:r>
      <w:r w:rsidRPr="00814B5B">
        <w:rPr>
          <w:szCs w:val="22"/>
          <w:lang w:val="sr-Latn-CS"/>
        </w:rPr>
        <w:t xml:space="preserve">Na osnovu farmakološkog mehanizma dejstva hidrohlortiazida, njegova </w:t>
      </w:r>
      <w:r w:rsidR="007E4572" w:rsidRPr="00814B5B">
        <w:rPr>
          <w:szCs w:val="22"/>
          <w:lang w:val="sr-Latn-CS"/>
        </w:rPr>
        <w:t>primjena</w:t>
      </w:r>
      <w:r w:rsidRPr="00814B5B">
        <w:rPr>
          <w:szCs w:val="22"/>
          <w:lang w:val="sr-Latn-CS"/>
        </w:rPr>
        <w:t xml:space="preserve"> tokom drugog i trećeg trimestra može kompromitovati feto-placentalnu perfuziju i prouzrok</w:t>
      </w:r>
      <w:r w:rsidR="003C30AB" w:rsidRPr="00814B5B">
        <w:rPr>
          <w:szCs w:val="22"/>
          <w:lang w:val="sr-Latn-CS"/>
        </w:rPr>
        <w:t>ovati</w:t>
      </w:r>
      <w:r w:rsidRPr="00814B5B">
        <w:rPr>
          <w:szCs w:val="22"/>
          <w:lang w:val="sr-Latn-CS"/>
        </w:rPr>
        <w:t xml:space="preserve"> dejstva na fetus i novorođenče kao što su ikterus, poremećaj ravnoteže elektrolita i trombocitopenija.</w:t>
      </w:r>
    </w:p>
    <w:p w14:paraId="10C1E32A" w14:textId="2E294C85"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Hidrohlortiazid ne treba prim</w:t>
      </w:r>
      <w:r w:rsidR="00291404" w:rsidRPr="00814B5B">
        <w:rPr>
          <w:szCs w:val="22"/>
          <w:lang w:val="sr-Latn-CS"/>
        </w:rPr>
        <w:t>j</w:t>
      </w:r>
      <w:r w:rsidRPr="00814B5B">
        <w:rPr>
          <w:szCs w:val="22"/>
          <w:lang w:val="sr-Latn-CS"/>
        </w:rPr>
        <w:t>enjivati u terapiji gestacijskog edema, gestacijske hipertenzije ili preeklampsije</w:t>
      </w:r>
      <w:r w:rsidR="00285E12" w:rsidRPr="00814B5B">
        <w:rPr>
          <w:szCs w:val="22"/>
          <w:lang w:val="sr-Latn-CS"/>
        </w:rPr>
        <w:t>,</w:t>
      </w:r>
      <w:r w:rsidRPr="00814B5B">
        <w:rPr>
          <w:szCs w:val="22"/>
          <w:lang w:val="sr-Latn-CS"/>
        </w:rPr>
        <w:t xml:space="preserve"> zbog rizika od smanjenja volumena plazme i placentalne hipoperfuzije, a bez korisnog dejstva na tok bolesti.</w:t>
      </w:r>
    </w:p>
    <w:p w14:paraId="793481CB" w14:textId="1FC64D11" w:rsidR="00A476FE" w:rsidRPr="00814B5B" w:rsidRDefault="00A476FE" w:rsidP="007B600E">
      <w:pPr>
        <w:tabs>
          <w:tab w:val="clear" w:pos="284"/>
        </w:tabs>
        <w:autoSpaceDE w:val="0"/>
        <w:autoSpaceDN w:val="0"/>
        <w:adjustRightInd w:val="0"/>
        <w:spacing w:before="120" w:after="120"/>
        <w:rPr>
          <w:szCs w:val="22"/>
          <w:lang w:val="sr-Latn-CS"/>
        </w:rPr>
      </w:pPr>
      <w:r w:rsidRPr="00814B5B">
        <w:rPr>
          <w:szCs w:val="22"/>
          <w:lang w:val="sr-Latn-CS"/>
        </w:rPr>
        <w:t>Hidrohlortiazid ne treba prim</w:t>
      </w:r>
      <w:r w:rsidR="00291404" w:rsidRPr="00814B5B">
        <w:rPr>
          <w:szCs w:val="22"/>
          <w:lang w:val="sr-Latn-CS"/>
        </w:rPr>
        <w:t>j</w:t>
      </w:r>
      <w:r w:rsidRPr="00814B5B">
        <w:rPr>
          <w:szCs w:val="22"/>
          <w:lang w:val="sr-Latn-CS"/>
        </w:rPr>
        <w:t>enjivati u terapiji esencijalne hipertenzije kod trudnica, osim u r</w:t>
      </w:r>
      <w:r w:rsidR="00291404" w:rsidRPr="00814B5B">
        <w:rPr>
          <w:szCs w:val="22"/>
          <w:lang w:val="sr-Latn-CS"/>
        </w:rPr>
        <w:t>ij</w:t>
      </w:r>
      <w:r w:rsidRPr="00814B5B">
        <w:rPr>
          <w:szCs w:val="22"/>
          <w:lang w:val="sr-Latn-CS"/>
        </w:rPr>
        <w:t>etkim slučajevima kada se ne može prim</w:t>
      </w:r>
      <w:r w:rsidR="00291404" w:rsidRPr="00814B5B">
        <w:rPr>
          <w:szCs w:val="22"/>
          <w:lang w:val="sr-Latn-CS"/>
        </w:rPr>
        <w:t>ij</w:t>
      </w:r>
      <w:r w:rsidRPr="00814B5B">
        <w:rPr>
          <w:szCs w:val="22"/>
          <w:lang w:val="sr-Latn-CS"/>
        </w:rPr>
        <w:t>eniti druga terapija.</w:t>
      </w:r>
    </w:p>
    <w:p w14:paraId="187D61F5" w14:textId="77777777" w:rsidR="00A476FE" w:rsidRPr="00814B5B" w:rsidRDefault="00A476FE" w:rsidP="007B600E">
      <w:pPr>
        <w:tabs>
          <w:tab w:val="clear" w:pos="284"/>
        </w:tabs>
        <w:autoSpaceDE w:val="0"/>
        <w:autoSpaceDN w:val="0"/>
        <w:adjustRightInd w:val="0"/>
        <w:spacing w:before="120" w:after="120"/>
        <w:rPr>
          <w:szCs w:val="22"/>
          <w:u w:val="single"/>
          <w:lang w:val="sr-Latn-CS"/>
        </w:rPr>
      </w:pPr>
      <w:r w:rsidRPr="00814B5B">
        <w:rPr>
          <w:szCs w:val="22"/>
          <w:u w:val="single"/>
          <w:lang w:val="sr-Latn-CS"/>
        </w:rPr>
        <w:t>Dojenje</w:t>
      </w:r>
    </w:p>
    <w:p w14:paraId="7E77CD59" w14:textId="77777777" w:rsidR="00A476FE" w:rsidRPr="00814B5B" w:rsidRDefault="00A476FE" w:rsidP="007B600E">
      <w:pPr>
        <w:tabs>
          <w:tab w:val="clear" w:pos="284"/>
        </w:tabs>
        <w:autoSpaceDE w:val="0"/>
        <w:autoSpaceDN w:val="0"/>
        <w:adjustRightInd w:val="0"/>
        <w:spacing w:before="120" w:after="120"/>
        <w:rPr>
          <w:szCs w:val="22"/>
          <w:lang w:val="sl-SI"/>
        </w:rPr>
      </w:pPr>
      <w:r w:rsidRPr="00814B5B">
        <w:rPr>
          <w:i/>
          <w:iCs/>
          <w:szCs w:val="22"/>
          <w:lang w:val="sr-Latn-CS"/>
        </w:rPr>
        <w:t>Antagonisti receptora angiotenzina II</w:t>
      </w:r>
    </w:p>
    <w:p w14:paraId="0E41481F" w14:textId="444AA4D7" w:rsidR="00A476FE" w:rsidRPr="00814B5B" w:rsidRDefault="00285E12" w:rsidP="007B600E">
      <w:pPr>
        <w:pStyle w:val="NormalWeb"/>
        <w:spacing w:before="120" w:beforeAutospacing="0" w:after="120"/>
        <w:jc w:val="both"/>
        <w:rPr>
          <w:color w:val="auto"/>
          <w:sz w:val="22"/>
          <w:szCs w:val="22"/>
          <w:lang w:val="sr-Latn-CS"/>
        </w:rPr>
      </w:pPr>
      <w:r w:rsidRPr="00814B5B">
        <w:rPr>
          <w:color w:val="auto"/>
          <w:sz w:val="22"/>
          <w:szCs w:val="22"/>
          <w:lang w:val="sr-Latn-CS"/>
        </w:rPr>
        <w:t>Pošto</w:t>
      </w:r>
      <w:r w:rsidR="00A476FE" w:rsidRPr="00814B5B">
        <w:rPr>
          <w:color w:val="auto"/>
          <w:sz w:val="22"/>
          <w:szCs w:val="22"/>
          <w:lang w:val="sr-Latn-CS"/>
        </w:rPr>
        <w:t xml:space="preserve"> nema dostupnih podataka o prim</w:t>
      </w:r>
      <w:r w:rsidR="000C0432" w:rsidRPr="00814B5B">
        <w:rPr>
          <w:color w:val="auto"/>
          <w:sz w:val="22"/>
          <w:szCs w:val="22"/>
          <w:lang w:val="sr-Latn-CS"/>
        </w:rPr>
        <w:t>j</w:t>
      </w:r>
      <w:r w:rsidR="00A476FE" w:rsidRPr="00814B5B">
        <w:rPr>
          <w:color w:val="auto"/>
          <w:sz w:val="22"/>
          <w:szCs w:val="22"/>
          <w:lang w:val="sr-Latn-CS"/>
        </w:rPr>
        <w:t>eni kombinacije losartan/hidrohlortiazid</w:t>
      </w:r>
      <w:r w:rsidR="00A476FE" w:rsidRPr="00814B5B">
        <w:rPr>
          <w:noProof/>
          <w:sz w:val="22"/>
          <w:szCs w:val="22"/>
          <w:lang w:val="sr-Latn-CS"/>
        </w:rPr>
        <w:t xml:space="preserve"> </w:t>
      </w:r>
      <w:r w:rsidR="00A476FE" w:rsidRPr="00814B5B">
        <w:rPr>
          <w:color w:val="auto"/>
          <w:sz w:val="22"/>
          <w:szCs w:val="22"/>
          <w:lang w:val="sr-Latn-CS"/>
        </w:rPr>
        <w:t xml:space="preserve">tokom perioda dojenja, </w:t>
      </w:r>
      <w:r w:rsidR="007E4572" w:rsidRPr="00814B5B">
        <w:rPr>
          <w:color w:val="auto"/>
          <w:sz w:val="22"/>
          <w:szCs w:val="22"/>
          <w:lang w:val="sr-Latn-CS"/>
        </w:rPr>
        <w:t>primjena</w:t>
      </w:r>
      <w:r w:rsidR="00216CA1" w:rsidRPr="00814B5B">
        <w:rPr>
          <w:color w:val="auto"/>
          <w:sz w:val="22"/>
          <w:szCs w:val="22"/>
          <w:lang w:val="sr-Latn-CS"/>
        </w:rPr>
        <w:t xml:space="preserve"> l</w:t>
      </w:r>
      <w:r w:rsidR="000C0432" w:rsidRPr="00814B5B">
        <w:rPr>
          <w:color w:val="auto"/>
          <w:sz w:val="22"/>
          <w:szCs w:val="22"/>
          <w:lang w:val="sr-Latn-CS"/>
        </w:rPr>
        <w:t>ij</w:t>
      </w:r>
      <w:r w:rsidR="00216CA1" w:rsidRPr="00814B5B">
        <w:rPr>
          <w:color w:val="auto"/>
          <w:sz w:val="22"/>
          <w:szCs w:val="22"/>
          <w:lang w:val="sr-Latn-CS"/>
        </w:rPr>
        <w:t>eka Losar plus</w:t>
      </w:r>
      <w:r w:rsidR="00A476FE" w:rsidRPr="00814B5B">
        <w:rPr>
          <w:color w:val="auto"/>
          <w:sz w:val="22"/>
          <w:szCs w:val="22"/>
          <w:lang w:val="sr-Latn-CS"/>
        </w:rPr>
        <w:t xml:space="preserve"> se ne preporučuje, </w:t>
      </w:r>
      <w:r w:rsidR="00216CA1" w:rsidRPr="00814B5B">
        <w:rPr>
          <w:color w:val="auto"/>
          <w:sz w:val="22"/>
          <w:szCs w:val="22"/>
          <w:lang w:val="sr-Latn-CS"/>
        </w:rPr>
        <w:t>a</w:t>
      </w:r>
      <w:r w:rsidR="00A476FE" w:rsidRPr="00814B5B">
        <w:rPr>
          <w:color w:val="auto"/>
          <w:sz w:val="22"/>
          <w:szCs w:val="22"/>
          <w:lang w:val="sr-Latn-CS"/>
        </w:rPr>
        <w:t xml:space="preserve"> prednost se daje alternativnim terapijama kod kojih je bezb</w:t>
      </w:r>
      <w:r w:rsidR="000C0432" w:rsidRPr="00814B5B">
        <w:rPr>
          <w:color w:val="auto"/>
          <w:sz w:val="22"/>
          <w:szCs w:val="22"/>
          <w:lang w:val="sr-Latn-CS"/>
        </w:rPr>
        <w:t>j</w:t>
      </w:r>
      <w:r w:rsidR="00A476FE" w:rsidRPr="00814B5B">
        <w:rPr>
          <w:color w:val="auto"/>
          <w:sz w:val="22"/>
          <w:szCs w:val="22"/>
          <w:lang w:val="sr-Latn-CS"/>
        </w:rPr>
        <w:t>ednosni profil tokom dojenja bolje utvrđen, naročito tokom dojenja novorođenčadi i pr</w:t>
      </w:r>
      <w:r w:rsidR="000C0432" w:rsidRPr="00814B5B">
        <w:rPr>
          <w:color w:val="auto"/>
          <w:sz w:val="22"/>
          <w:szCs w:val="22"/>
          <w:lang w:val="sr-Latn-CS"/>
        </w:rPr>
        <w:t>ij</w:t>
      </w:r>
      <w:r w:rsidR="00A476FE" w:rsidRPr="00814B5B">
        <w:rPr>
          <w:color w:val="auto"/>
          <w:sz w:val="22"/>
          <w:szCs w:val="22"/>
          <w:lang w:val="sr-Latn-CS"/>
        </w:rPr>
        <w:t>evremeno rođenih beba.</w:t>
      </w:r>
    </w:p>
    <w:p w14:paraId="21E96210" w14:textId="110503A7" w:rsidR="00A476FE" w:rsidRPr="00814B5B" w:rsidRDefault="00A476FE" w:rsidP="007B600E">
      <w:pPr>
        <w:tabs>
          <w:tab w:val="clear" w:pos="284"/>
        </w:tabs>
        <w:autoSpaceDE w:val="0"/>
        <w:autoSpaceDN w:val="0"/>
        <w:adjustRightInd w:val="0"/>
        <w:spacing w:before="120" w:after="120"/>
        <w:rPr>
          <w:i/>
          <w:szCs w:val="22"/>
          <w:lang w:val="sr-Latn-CS"/>
        </w:rPr>
      </w:pPr>
      <w:r w:rsidRPr="00814B5B">
        <w:rPr>
          <w:i/>
          <w:szCs w:val="22"/>
          <w:lang w:val="sr-Latn-CS"/>
        </w:rPr>
        <w:t>Hidrohlortiazid</w:t>
      </w:r>
    </w:p>
    <w:p w14:paraId="7AC807D1" w14:textId="511D0057" w:rsidR="00007EF9" w:rsidRDefault="00A476FE" w:rsidP="002A65F1">
      <w:pPr>
        <w:rPr>
          <w:szCs w:val="22"/>
          <w:lang w:val="sr-Latn-CS"/>
        </w:rPr>
      </w:pPr>
      <w:r w:rsidRPr="00814B5B">
        <w:rPr>
          <w:szCs w:val="22"/>
          <w:lang w:val="sr-Latn-CS"/>
        </w:rPr>
        <w:t>Hidrohlortiazid se izlučuje u majčino ml</w:t>
      </w:r>
      <w:r w:rsidR="00291404" w:rsidRPr="00814B5B">
        <w:rPr>
          <w:szCs w:val="22"/>
          <w:lang w:val="sr-Latn-CS"/>
        </w:rPr>
        <w:t>ij</w:t>
      </w:r>
      <w:r w:rsidRPr="00814B5B">
        <w:rPr>
          <w:szCs w:val="22"/>
          <w:lang w:val="sr-Latn-CS"/>
        </w:rPr>
        <w:t>eko u malim količinama.</w:t>
      </w:r>
      <w:r w:rsidRPr="00814B5B">
        <w:rPr>
          <w:szCs w:val="22"/>
          <w:lang w:val="sl-SI"/>
        </w:rPr>
        <w:t xml:space="preserve"> </w:t>
      </w:r>
      <w:r w:rsidRPr="00814B5B">
        <w:rPr>
          <w:szCs w:val="22"/>
          <w:lang w:val="sr-Latn-CS"/>
        </w:rPr>
        <w:t>Velike doze tiazida izazivaju intenzivnu diurezu, pa mogu da inhibiraju produkciju ml</w:t>
      </w:r>
      <w:r w:rsidR="00291404" w:rsidRPr="00814B5B">
        <w:rPr>
          <w:szCs w:val="22"/>
          <w:lang w:val="sr-Latn-CS"/>
        </w:rPr>
        <w:t>ij</w:t>
      </w:r>
      <w:r w:rsidRPr="00814B5B">
        <w:rPr>
          <w:szCs w:val="22"/>
          <w:lang w:val="sr-Latn-CS"/>
        </w:rPr>
        <w:t>eka.</w:t>
      </w:r>
      <w:r w:rsidRPr="00814B5B">
        <w:rPr>
          <w:szCs w:val="22"/>
          <w:lang w:val="sl-SI"/>
        </w:rPr>
        <w:t xml:space="preserve"> </w:t>
      </w:r>
      <w:r w:rsidR="007E4572" w:rsidRPr="00814B5B">
        <w:rPr>
          <w:szCs w:val="22"/>
          <w:lang w:val="sl-SI"/>
        </w:rPr>
        <w:t>Primjena</w:t>
      </w:r>
      <w:r w:rsidRPr="00814B5B">
        <w:rPr>
          <w:szCs w:val="22"/>
          <w:lang w:val="sr-Latn-CS"/>
        </w:rPr>
        <w:t xml:space="preserve"> l</w:t>
      </w:r>
      <w:r w:rsidR="00291404" w:rsidRPr="00814B5B">
        <w:rPr>
          <w:szCs w:val="22"/>
          <w:lang w:val="sr-Latn-CS"/>
        </w:rPr>
        <w:t>ij</w:t>
      </w:r>
      <w:r w:rsidRPr="00814B5B">
        <w:rPr>
          <w:szCs w:val="22"/>
          <w:lang w:val="sr-Latn-CS"/>
        </w:rPr>
        <w:t xml:space="preserve">eka </w:t>
      </w:r>
      <w:r w:rsidR="000E7FD6" w:rsidRPr="00814B5B">
        <w:rPr>
          <w:szCs w:val="22"/>
          <w:lang w:val="sr-Latn-CS"/>
        </w:rPr>
        <w:t>Losar plus</w:t>
      </w:r>
      <w:r w:rsidRPr="00814B5B">
        <w:rPr>
          <w:szCs w:val="22"/>
          <w:lang w:val="sr-Latn-CS"/>
        </w:rPr>
        <w:t xml:space="preserve"> se ne preporučuje tokom perioda dojenja.</w:t>
      </w:r>
      <w:r w:rsidRPr="00814B5B">
        <w:rPr>
          <w:szCs w:val="22"/>
          <w:lang w:val="sl-SI"/>
        </w:rPr>
        <w:t xml:space="preserve"> </w:t>
      </w:r>
      <w:r w:rsidRPr="00814B5B">
        <w:rPr>
          <w:szCs w:val="22"/>
          <w:lang w:val="sr-Latn-CS"/>
        </w:rPr>
        <w:t>Ako se l</w:t>
      </w:r>
      <w:r w:rsidR="00291404" w:rsidRPr="00814B5B">
        <w:rPr>
          <w:szCs w:val="22"/>
          <w:lang w:val="sr-Latn-CS"/>
        </w:rPr>
        <w:t>ij</w:t>
      </w:r>
      <w:r w:rsidRPr="00814B5B">
        <w:rPr>
          <w:szCs w:val="22"/>
          <w:lang w:val="sr-Latn-CS"/>
        </w:rPr>
        <w:t xml:space="preserve">ek </w:t>
      </w:r>
      <w:r w:rsidR="000E7FD6" w:rsidRPr="00814B5B">
        <w:rPr>
          <w:szCs w:val="22"/>
          <w:lang w:val="sr-Latn-CS"/>
        </w:rPr>
        <w:t>Losar plus</w:t>
      </w:r>
      <w:r w:rsidRPr="00814B5B">
        <w:rPr>
          <w:szCs w:val="22"/>
          <w:lang w:val="sr-Latn-CS"/>
        </w:rPr>
        <w:t xml:space="preserve"> prim</w:t>
      </w:r>
      <w:r w:rsidR="00291404" w:rsidRPr="00814B5B">
        <w:rPr>
          <w:szCs w:val="22"/>
          <w:lang w:val="sr-Latn-CS"/>
        </w:rPr>
        <w:t>j</w:t>
      </w:r>
      <w:r w:rsidRPr="00814B5B">
        <w:rPr>
          <w:szCs w:val="22"/>
          <w:lang w:val="sr-Latn-CS"/>
        </w:rPr>
        <w:t>enjuje tokom dojenja, treba prim</w:t>
      </w:r>
      <w:r w:rsidR="00291404" w:rsidRPr="00814B5B">
        <w:rPr>
          <w:szCs w:val="22"/>
          <w:lang w:val="sr-Latn-CS"/>
        </w:rPr>
        <w:t>ij</w:t>
      </w:r>
      <w:r w:rsidRPr="00814B5B">
        <w:rPr>
          <w:szCs w:val="22"/>
          <w:lang w:val="sr-Latn-CS"/>
        </w:rPr>
        <w:t>eniti što je moguće manju dozu.</w:t>
      </w:r>
    </w:p>
    <w:p w14:paraId="60A2EBAF" w14:textId="77777777" w:rsidR="002A65F1" w:rsidRPr="00814B5B" w:rsidRDefault="002A65F1" w:rsidP="002A65F1">
      <w:pPr>
        <w:rPr>
          <w:szCs w:val="22"/>
          <w:lang w:val="sr-Latn-RS"/>
        </w:rPr>
      </w:pPr>
    </w:p>
    <w:p w14:paraId="23D39534" w14:textId="77777777" w:rsidR="001419DE" w:rsidRPr="00814B5B" w:rsidRDefault="001419DE" w:rsidP="002A65F1">
      <w:pPr>
        <w:tabs>
          <w:tab w:val="left" w:pos="540"/>
          <w:tab w:val="left" w:pos="569"/>
        </w:tabs>
        <w:ind w:left="540" w:hanging="540"/>
        <w:rPr>
          <w:b/>
          <w:bCs/>
          <w:szCs w:val="22"/>
        </w:rPr>
      </w:pPr>
      <w:r w:rsidRPr="00814B5B">
        <w:rPr>
          <w:b/>
          <w:bCs/>
          <w:szCs w:val="22"/>
        </w:rPr>
        <w:t xml:space="preserve">4.7. </w:t>
      </w:r>
      <w:r w:rsidRPr="00814B5B">
        <w:rPr>
          <w:b/>
          <w:bCs/>
          <w:szCs w:val="22"/>
        </w:rPr>
        <w:tab/>
        <w:t xml:space="preserve">Uticaj </w:t>
      </w:r>
      <w:proofErr w:type="gramStart"/>
      <w:r w:rsidRPr="00814B5B">
        <w:rPr>
          <w:b/>
          <w:bCs/>
          <w:szCs w:val="22"/>
        </w:rPr>
        <w:t>na</w:t>
      </w:r>
      <w:proofErr w:type="gramEnd"/>
      <w:r w:rsidRPr="00814B5B">
        <w:rPr>
          <w:b/>
          <w:bCs/>
          <w:szCs w:val="22"/>
        </w:rPr>
        <w:t xml:space="preserve"> sposobnost upravljanja vozilima i rukovanje mašinama</w:t>
      </w:r>
    </w:p>
    <w:p w14:paraId="1514057C" w14:textId="77777777" w:rsidR="002A65F1" w:rsidRDefault="002A65F1" w:rsidP="002A65F1">
      <w:pPr>
        <w:tabs>
          <w:tab w:val="clear" w:pos="284"/>
        </w:tabs>
        <w:autoSpaceDE w:val="0"/>
        <w:autoSpaceDN w:val="0"/>
        <w:adjustRightInd w:val="0"/>
        <w:rPr>
          <w:szCs w:val="22"/>
          <w:lang w:val="sr-Latn-CS"/>
        </w:rPr>
      </w:pPr>
    </w:p>
    <w:p w14:paraId="0B65BC14" w14:textId="2DBAAC0C" w:rsidR="00A476FE" w:rsidRDefault="00A476FE" w:rsidP="002A65F1">
      <w:pPr>
        <w:tabs>
          <w:tab w:val="clear" w:pos="284"/>
        </w:tabs>
        <w:autoSpaceDE w:val="0"/>
        <w:autoSpaceDN w:val="0"/>
        <w:adjustRightInd w:val="0"/>
        <w:rPr>
          <w:szCs w:val="22"/>
          <w:lang w:val="sr-Latn-CS"/>
        </w:rPr>
      </w:pPr>
      <w:r w:rsidRPr="00814B5B">
        <w:rPr>
          <w:szCs w:val="22"/>
          <w:lang w:val="sr-Latn-CS"/>
        </w:rPr>
        <w:t>Ni</w:t>
      </w:r>
      <w:r w:rsidR="000C0432" w:rsidRPr="00814B5B">
        <w:rPr>
          <w:szCs w:val="22"/>
          <w:lang w:val="sr-Latn-CS"/>
        </w:rPr>
        <w:t>je</w:t>
      </w:r>
      <w:r w:rsidRPr="00814B5B">
        <w:rPr>
          <w:szCs w:val="22"/>
          <w:lang w:val="sr-Latn-CS"/>
        </w:rPr>
        <w:t>su sprovedena ispitivanja uticaja kombinacije losartan/hidrohlortiazid na sposobnost upravljanja motornim vozilom i rukovanja mašinama.</w:t>
      </w:r>
      <w:r w:rsidR="00136CDB" w:rsidRPr="00814B5B">
        <w:rPr>
          <w:szCs w:val="22"/>
          <w:lang w:val="sr-Latn-CS"/>
        </w:rPr>
        <w:t xml:space="preserve"> </w:t>
      </w:r>
      <w:r w:rsidRPr="00814B5B">
        <w:rPr>
          <w:szCs w:val="22"/>
          <w:lang w:val="sr-Latn-CS"/>
        </w:rPr>
        <w:t xml:space="preserve">Ipak, prilikom upravljanja vozilima ili rukovanja mašinama treba uzeti u obzir </w:t>
      </w:r>
      <w:r w:rsidR="00F909FE" w:rsidRPr="00814B5B">
        <w:rPr>
          <w:szCs w:val="22"/>
          <w:lang w:val="sr-Latn-CS"/>
        </w:rPr>
        <w:t xml:space="preserve">mogućnost </w:t>
      </w:r>
      <w:r w:rsidRPr="00814B5B">
        <w:rPr>
          <w:szCs w:val="22"/>
          <w:lang w:val="sr-Latn-CS"/>
        </w:rPr>
        <w:t>pojav</w:t>
      </w:r>
      <w:r w:rsidR="00F909FE" w:rsidRPr="00814B5B">
        <w:rPr>
          <w:szCs w:val="22"/>
          <w:lang w:val="sr-Latn-CS"/>
        </w:rPr>
        <w:t>e</w:t>
      </w:r>
      <w:r w:rsidRPr="00814B5B">
        <w:rPr>
          <w:szCs w:val="22"/>
          <w:lang w:val="sr-Latn-CS"/>
        </w:rPr>
        <w:t xml:space="preserve"> vrtoglavice ili ošamućenosti, pri </w:t>
      </w:r>
      <w:r w:rsidR="00F909FE" w:rsidRPr="00814B5B">
        <w:rPr>
          <w:szCs w:val="22"/>
          <w:lang w:val="sr-Latn-CS"/>
        </w:rPr>
        <w:t>prim</w:t>
      </w:r>
      <w:r w:rsidR="00291404" w:rsidRPr="00814B5B">
        <w:rPr>
          <w:szCs w:val="22"/>
          <w:lang w:val="sr-Latn-CS"/>
        </w:rPr>
        <w:t>j</w:t>
      </w:r>
      <w:r w:rsidR="00F909FE" w:rsidRPr="00814B5B">
        <w:rPr>
          <w:szCs w:val="22"/>
          <w:lang w:val="sr-Latn-CS"/>
        </w:rPr>
        <w:t xml:space="preserve">eni </w:t>
      </w:r>
      <w:r w:rsidRPr="00814B5B">
        <w:rPr>
          <w:szCs w:val="22"/>
          <w:lang w:val="sr-Latn-CS"/>
        </w:rPr>
        <w:t>antihipertenzivne terapije, a naročito pri započinjanju terapije ili povećanju doze.</w:t>
      </w:r>
    </w:p>
    <w:p w14:paraId="6D672232" w14:textId="77777777" w:rsidR="002A65F1" w:rsidRPr="00814B5B" w:rsidRDefault="002A65F1" w:rsidP="002A65F1">
      <w:pPr>
        <w:tabs>
          <w:tab w:val="clear" w:pos="284"/>
        </w:tabs>
        <w:autoSpaceDE w:val="0"/>
        <w:autoSpaceDN w:val="0"/>
        <w:adjustRightInd w:val="0"/>
        <w:rPr>
          <w:szCs w:val="22"/>
          <w:lang w:val="sl-SI"/>
        </w:rPr>
      </w:pPr>
    </w:p>
    <w:p w14:paraId="5B38D6B8" w14:textId="77777777" w:rsidR="00007EF9" w:rsidRPr="00814B5B" w:rsidRDefault="00007EF9" w:rsidP="002A65F1">
      <w:pPr>
        <w:rPr>
          <w:b/>
          <w:bCs/>
          <w:szCs w:val="22"/>
          <w:lang w:val="sr-Latn-RS"/>
        </w:rPr>
      </w:pPr>
      <w:r w:rsidRPr="00814B5B">
        <w:rPr>
          <w:b/>
          <w:bCs/>
          <w:szCs w:val="22"/>
          <w:lang w:val="sr-Latn-RS"/>
        </w:rPr>
        <w:t>4.8. Neželjena dejstva</w:t>
      </w:r>
    </w:p>
    <w:p w14:paraId="6670A710" w14:textId="77777777" w:rsidR="002A65F1" w:rsidRDefault="002A65F1" w:rsidP="002A65F1">
      <w:pPr>
        <w:widowControl w:val="0"/>
        <w:rPr>
          <w:noProof/>
          <w:szCs w:val="22"/>
          <w:lang w:val="sr-Latn-CS"/>
        </w:rPr>
      </w:pPr>
    </w:p>
    <w:p w14:paraId="0688EB66" w14:textId="0967994C" w:rsidR="00A476FE" w:rsidRPr="00814B5B" w:rsidRDefault="00124F69" w:rsidP="002A65F1">
      <w:pPr>
        <w:widowControl w:val="0"/>
        <w:rPr>
          <w:szCs w:val="22"/>
          <w:lang w:val="sr-Latn-CS"/>
        </w:rPr>
      </w:pPr>
      <w:r w:rsidRPr="00814B5B">
        <w:rPr>
          <w:noProof/>
          <w:szCs w:val="22"/>
          <w:lang w:val="sr-Latn-CS"/>
        </w:rPr>
        <w:t>N</w:t>
      </w:r>
      <w:r w:rsidR="00A476FE" w:rsidRPr="00814B5B">
        <w:rPr>
          <w:noProof/>
          <w:szCs w:val="22"/>
          <w:lang w:val="sr-Latn-CS"/>
        </w:rPr>
        <w:t xml:space="preserve">eželjene reakcije </w:t>
      </w:r>
      <w:r w:rsidRPr="00814B5B">
        <w:rPr>
          <w:noProof/>
          <w:szCs w:val="22"/>
          <w:lang w:val="sr-Latn-CS"/>
        </w:rPr>
        <w:t xml:space="preserve">navedene u nastavku teksta </w:t>
      </w:r>
      <w:r w:rsidR="00A476FE" w:rsidRPr="00814B5B">
        <w:rPr>
          <w:noProof/>
          <w:szCs w:val="22"/>
          <w:lang w:val="sr-Latn-CS"/>
        </w:rPr>
        <w:t>razvrstane su prema klasi sistema organa i kategoriji učestalosti na sl</w:t>
      </w:r>
      <w:r w:rsidR="00291404" w:rsidRPr="00814B5B">
        <w:rPr>
          <w:noProof/>
          <w:szCs w:val="22"/>
          <w:lang w:val="sr-Latn-CS"/>
        </w:rPr>
        <w:t>j</w:t>
      </w:r>
      <w:r w:rsidR="00A476FE" w:rsidRPr="00814B5B">
        <w:rPr>
          <w:noProof/>
          <w:szCs w:val="22"/>
          <w:lang w:val="sr-Latn-CS"/>
        </w:rPr>
        <w:t xml:space="preserve">edeći način: </w:t>
      </w:r>
      <w:r w:rsidR="00EF70B8" w:rsidRPr="00814B5B">
        <w:rPr>
          <w:noProof/>
          <w:szCs w:val="22"/>
        </w:rPr>
        <w:t>veoma često (≥</w:t>
      </w:r>
      <w:r w:rsidRPr="00814B5B">
        <w:rPr>
          <w:noProof/>
          <w:szCs w:val="22"/>
        </w:rPr>
        <w:t xml:space="preserve"> </w:t>
      </w:r>
      <w:r w:rsidR="00A476FE" w:rsidRPr="00814B5B">
        <w:rPr>
          <w:noProof/>
          <w:szCs w:val="22"/>
        </w:rPr>
        <w:t>1/10), često (≥</w:t>
      </w:r>
      <w:r w:rsidRPr="00814B5B">
        <w:rPr>
          <w:noProof/>
          <w:szCs w:val="22"/>
        </w:rPr>
        <w:t xml:space="preserve"> </w:t>
      </w:r>
      <w:r w:rsidR="00A476FE" w:rsidRPr="00814B5B">
        <w:rPr>
          <w:noProof/>
          <w:szCs w:val="22"/>
        </w:rPr>
        <w:t>1/100</w:t>
      </w:r>
      <w:r w:rsidR="00EF70B8" w:rsidRPr="00814B5B">
        <w:rPr>
          <w:noProof/>
          <w:szCs w:val="22"/>
        </w:rPr>
        <w:t xml:space="preserve"> do &lt;</w:t>
      </w:r>
      <w:r w:rsidRPr="00814B5B">
        <w:rPr>
          <w:noProof/>
          <w:szCs w:val="22"/>
        </w:rPr>
        <w:t xml:space="preserve"> </w:t>
      </w:r>
      <w:r w:rsidR="00A476FE" w:rsidRPr="00814B5B">
        <w:rPr>
          <w:noProof/>
          <w:szCs w:val="22"/>
        </w:rPr>
        <w:t>1/10), povremeno (≥</w:t>
      </w:r>
      <w:r w:rsidRPr="00814B5B">
        <w:rPr>
          <w:noProof/>
          <w:szCs w:val="22"/>
        </w:rPr>
        <w:t xml:space="preserve"> </w:t>
      </w:r>
      <w:r w:rsidR="00A476FE" w:rsidRPr="00814B5B">
        <w:rPr>
          <w:noProof/>
          <w:szCs w:val="22"/>
        </w:rPr>
        <w:t>1/1000</w:t>
      </w:r>
      <w:r w:rsidR="00EF70B8" w:rsidRPr="00814B5B">
        <w:rPr>
          <w:noProof/>
          <w:szCs w:val="22"/>
        </w:rPr>
        <w:t xml:space="preserve"> do &lt;</w:t>
      </w:r>
      <w:r w:rsidRPr="00814B5B">
        <w:rPr>
          <w:noProof/>
          <w:szCs w:val="22"/>
        </w:rPr>
        <w:t xml:space="preserve"> </w:t>
      </w:r>
      <w:r w:rsidR="00A476FE" w:rsidRPr="00814B5B">
        <w:rPr>
          <w:noProof/>
          <w:szCs w:val="22"/>
        </w:rPr>
        <w:t>1/100), r</w:t>
      </w:r>
      <w:r w:rsidR="00291404" w:rsidRPr="00814B5B">
        <w:rPr>
          <w:noProof/>
          <w:szCs w:val="22"/>
        </w:rPr>
        <w:t>ij</w:t>
      </w:r>
      <w:r w:rsidR="00A476FE" w:rsidRPr="00814B5B">
        <w:rPr>
          <w:noProof/>
          <w:szCs w:val="22"/>
        </w:rPr>
        <w:t>etko (≥ 1/10000</w:t>
      </w:r>
      <w:r w:rsidR="00EF70B8" w:rsidRPr="00814B5B">
        <w:rPr>
          <w:noProof/>
          <w:szCs w:val="22"/>
        </w:rPr>
        <w:t xml:space="preserve"> do</w:t>
      </w:r>
      <w:r w:rsidRPr="00814B5B">
        <w:rPr>
          <w:noProof/>
          <w:szCs w:val="22"/>
        </w:rPr>
        <w:t xml:space="preserve"> </w:t>
      </w:r>
      <w:r w:rsidR="00A476FE" w:rsidRPr="00814B5B">
        <w:rPr>
          <w:noProof/>
          <w:szCs w:val="22"/>
        </w:rPr>
        <w:t>&lt;</w:t>
      </w:r>
      <w:r w:rsidRPr="00814B5B">
        <w:rPr>
          <w:noProof/>
          <w:szCs w:val="22"/>
        </w:rPr>
        <w:t xml:space="preserve"> </w:t>
      </w:r>
      <w:r w:rsidR="00A476FE" w:rsidRPr="00814B5B">
        <w:rPr>
          <w:noProof/>
          <w:szCs w:val="22"/>
        </w:rPr>
        <w:t xml:space="preserve">1/1000), </w:t>
      </w:r>
      <w:r w:rsidR="00A476FE" w:rsidRPr="00814B5B">
        <w:rPr>
          <w:noProof/>
          <w:szCs w:val="22"/>
          <w:lang w:val="sr-Latn-CS"/>
        </w:rPr>
        <w:t>veoma r</w:t>
      </w:r>
      <w:r w:rsidR="00291404" w:rsidRPr="00814B5B">
        <w:rPr>
          <w:noProof/>
          <w:szCs w:val="22"/>
          <w:lang w:val="sr-Latn-CS"/>
        </w:rPr>
        <w:t>ij</w:t>
      </w:r>
      <w:r w:rsidR="00A476FE" w:rsidRPr="00814B5B">
        <w:rPr>
          <w:noProof/>
          <w:szCs w:val="22"/>
          <w:lang w:val="sr-Latn-CS"/>
        </w:rPr>
        <w:t>etko (&lt;</w:t>
      </w:r>
      <w:r w:rsidRPr="00814B5B">
        <w:rPr>
          <w:noProof/>
          <w:szCs w:val="22"/>
          <w:lang w:val="sr-Latn-CS"/>
        </w:rPr>
        <w:t xml:space="preserve"> </w:t>
      </w:r>
      <w:r w:rsidR="00A476FE" w:rsidRPr="00814B5B">
        <w:rPr>
          <w:noProof/>
          <w:szCs w:val="22"/>
          <w:lang w:val="sr-Latn-CS"/>
        </w:rPr>
        <w:t>1/10000), nepoznato (ne može se proc</w:t>
      </w:r>
      <w:r w:rsidR="00291404" w:rsidRPr="00814B5B">
        <w:rPr>
          <w:noProof/>
          <w:szCs w:val="22"/>
          <w:lang w:val="sr-Latn-CS"/>
        </w:rPr>
        <w:t>ij</w:t>
      </w:r>
      <w:r w:rsidR="00A476FE" w:rsidRPr="00814B5B">
        <w:rPr>
          <w:noProof/>
          <w:szCs w:val="22"/>
          <w:lang w:val="sr-Latn-CS"/>
        </w:rPr>
        <w:t xml:space="preserve">eniti na osnovu </w:t>
      </w:r>
      <w:r w:rsidR="00EF70B8" w:rsidRPr="00814B5B">
        <w:rPr>
          <w:noProof/>
          <w:szCs w:val="22"/>
          <w:lang w:val="sr-Latn-CS"/>
        </w:rPr>
        <w:t>dostupnih</w:t>
      </w:r>
      <w:r w:rsidR="00A476FE" w:rsidRPr="00814B5B">
        <w:rPr>
          <w:noProof/>
          <w:szCs w:val="22"/>
          <w:lang w:val="sr-Latn-CS"/>
        </w:rPr>
        <w:t xml:space="preserve"> podataka).</w:t>
      </w:r>
    </w:p>
    <w:p w14:paraId="297C4D84" w14:textId="03A1AE32"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U kliničkim ispitivanjima sa losartan</w:t>
      </w:r>
      <w:r w:rsidR="00291404" w:rsidRPr="00814B5B">
        <w:rPr>
          <w:szCs w:val="22"/>
          <w:lang w:val="sr-Latn-CS"/>
        </w:rPr>
        <w:t xml:space="preserve"> </w:t>
      </w:r>
      <w:r w:rsidRPr="00814B5B">
        <w:rPr>
          <w:szCs w:val="22"/>
          <w:lang w:val="sr-Latn-CS"/>
        </w:rPr>
        <w:t>kalijumom i hidrohlortiazidom, ni</w:t>
      </w:r>
      <w:r w:rsidR="00337E99" w:rsidRPr="00814B5B">
        <w:rPr>
          <w:szCs w:val="22"/>
          <w:lang w:val="sr-Latn-CS"/>
        </w:rPr>
        <w:t>je</w:t>
      </w:r>
      <w:r w:rsidRPr="00814B5B">
        <w:rPr>
          <w:szCs w:val="22"/>
          <w:lang w:val="sr-Latn-CS"/>
        </w:rPr>
        <w:t>su zab</w:t>
      </w:r>
      <w:r w:rsidR="00291404" w:rsidRPr="00814B5B">
        <w:rPr>
          <w:szCs w:val="22"/>
          <w:lang w:val="sr-Latn-CS"/>
        </w:rPr>
        <w:t>i</w:t>
      </w:r>
      <w:r w:rsidRPr="00814B5B">
        <w:rPr>
          <w:szCs w:val="22"/>
          <w:lang w:val="sr-Latn-CS"/>
        </w:rPr>
        <w:t>l</w:t>
      </w:r>
      <w:r w:rsidR="00291404" w:rsidRPr="00814B5B">
        <w:rPr>
          <w:szCs w:val="22"/>
          <w:lang w:val="sr-Latn-CS"/>
        </w:rPr>
        <w:t>j</w:t>
      </w:r>
      <w:r w:rsidRPr="00814B5B">
        <w:rPr>
          <w:szCs w:val="22"/>
          <w:lang w:val="sr-Latn-CS"/>
        </w:rPr>
        <w:t>ežene neželjene reakcije svojstvene ovoj kombinaciji aktivnih supstanci.</w:t>
      </w:r>
      <w:r w:rsidRPr="00814B5B">
        <w:rPr>
          <w:szCs w:val="22"/>
          <w:lang w:val="sl-SI"/>
        </w:rPr>
        <w:t xml:space="preserve"> </w:t>
      </w:r>
      <w:r w:rsidRPr="00814B5B">
        <w:rPr>
          <w:szCs w:val="22"/>
          <w:lang w:val="sr-Latn-CS"/>
        </w:rPr>
        <w:t xml:space="preserve">Neželjene reakcije bile su ograničene na one koje su </w:t>
      </w:r>
      <w:r w:rsidR="00391306" w:rsidRPr="00814B5B">
        <w:rPr>
          <w:szCs w:val="22"/>
          <w:lang w:val="sr-Latn-CS"/>
        </w:rPr>
        <w:t xml:space="preserve">ranije </w:t>
      </w:r>
      <w:r w:rsidRPr="00814B5B">
        <w:rPr>
          <w:szCs w:val="22"/>
          <w:lang w:val="sr-Latn-CS"/>
        </w:rPr>
        <w:t>zab</w:t>
      </w:r>
      <w:r w:rsidR="00291404" w:rsidRPr="00814B5B">
        <w:rPr>
          <w:szCs w:val="22"/>
          <w:lang w:val="sr-Latn-CS"/>
        </w:rPr>
        <w:t>i</w:t>
      </w:r>
      <w:r w:rsidRPr="00814B5B">
        <w:rPr>
          <w:szCs w:val="22"/>
          <w:lang w:val="sr-Latn-CS"/>
        </w:rPr>
        <w:t>l</w:t>
      </w:r>
      <w:r w:rsidR="00291404" w:rsidRPr="00814B5B">
        <w:rPr>
          <w:szCs w:val="22"/>
          <w:lang w:val="sr-Latn-CS"/>
        </w:rPr>
        <w:t>j</w:t>
      </w:r>
      <w:r w:rsidRPr="00814B5B">
        <w:rPr>
          <w:szCs w:val="22"/>
          <w:lang w:val="sr-Latn-CS"/>
        </w:rPr>
        <w:t>ežene sa losartan</w:t>
      </w:r>
      <w:r w:rsidR="00291404" w:rsidRPr="00814B5B">
        <w:rPr>
          <w:szCs w:val="22"/>
          <w:lang w:val="sr-Latn-CS"/>
        </w:rPr>
        <w:t xml:space="preserve"> </w:t>
      </w:r>
      <w:r w:rsidRPr="00814B5B">
        <w:rPr>
          <w:szCs w:val="22"/>
          <w:lang w:val="sr-Latn-CS"/>
        </w:rPr>
        <w:t>kalijumom i/ili hidrohlortiazidom.</w:t>
      </w:r>
    </w:p>
    <w:p w14:paraId="17D61580" w14:textId="466C69DF" w:rsidR="00A476FE" w:rsidRPr="00814B5B" w:rsidRDefault="00A476FE" w:rsidP="007B600E">
      <w:pPr>
        <w:tabs>
          <w:tab w:val="clear" w:pos="284"/>
        </w:tabs>
        <w:autoSpaceDE w:val="0"/>
        <w:autoSpaceDN w:val="0"/>
        <w:adjustRightInd w:val="0"/>
        <w:spacing w:before="120" w:after="120"/>
        <w:rPr>
          <w:szCs w:val="22"/>
          <w:lang w:val="sl-SI"/>
        </w:rPr>
      </w:pPr>
      <w:r w:rsidRPr="00814B5B">
        <w:rPr>
          <w:szCs w:val="22"/>
          <w:lang w:val="sr-Latn-CS"/>
        </w:rPr>
        <w:t>U kontrolisanim kliničkim ispitivanjima esencijalne hipertenzije, vrtoglavica je bila jedina neželjena reakcija zab</w:t>
      </w:r>
      <w:r w:rsidR="00291404" w:rsidRPr="00814B5B">
        <w:rPr>
          <w:szCs w:val="22"/>
          <w:lang w:val="sr-Latn-CS"/>
        </w:rPr>
        <w:t>i</w:t>
      </w:r>
      <w:r w:rsidRPr="00814B5B">
        <w:rPr>
          <w:szCs w:val="22"/>
          <w:lang w:val="sr-Latn-CS"/>
        </w:rPr>
        <w:t>l</w:t>
      </w:r>
      <w:r w:rsidR="00291404" w:rsidRPr="00814B5B">
        <w:rPr>
          <w:szCs w:val="22"/>
          <w:lang w:val="sr-Latn-CS"/>
        </w:rPr>
        <w:t>j</w:t>
      </w:r>
      <w:r w:rsidRPr="00814B5B">
        <w:rPr>
          <w:szCs w:val="22"/>
          <w:lang w:val="sr-Latn-CS"/>
        </w:rPr>
        <w:t xml:space="preserve">ežena kao specifična za aktivnu supstancu i koja se javila sa većom </w:t>
      </w:r>
      <w:r w:rsidR="00391306" w:rsidRPr="00814B5B">
        <w:rPr>
          <w:szCs w:val="22"/>
          <w:lang w:val="sr-Latn-CS"/>
        </w:rPr>
        <w:t xml:space="preserve">učestalošću </w:t>
      </w:r>
      <w:r w:rsidRPr="00814B5B">
        <w:rPr>
          <w:szCs w:val="22"/>
          <w:lang w:val="sr-Latn-CS"/>
        </w:rPr>
        <w:t>u odnosu na placebo kod 1% ili više pacijenata koji su primali losartan i hidrohlortiazid.</w:t>
      </w:r>
    </w:p>
    <w:p w14:paraId="5D08D116" w14:textId="7D31A8B1" w:rsidR="00A476FE" w:rsidRPr="00814B5B" w:rsidRDefault="00F548AF" w:rsidP="007B600E">
      <w:pPr>
        <w:tabs>
          <w:tab w:val="clear" w:pos="284"/>
        </w:tabs>
        <w:autoSpaceDE w:val="0"/>
        <w:autoSpaceDN w:val="0"/>
        <w:adjustRightInd w:val="0"/>
        <w:spacing w:before="120" w:after="120"/>
        <w:rPr>
          <w:szCs w:val="22"/>
          <w:lang w:val="sr-Latn-CS"/>
        </w:rPr>
      </w:pPr>
      <w:r w:rsidRPr="00814B5B">
        <w:rPr>
          <w:szCs w:val="22"/>
          <w:lang w:val="sr-Latn-CS"/>
        </w:rPr>
        <w:lastRenderedPageBreak/>
        <w:t xml:space="preserve">Pored </w:t>
      </w:r>
      <w:r w:rsidR="00A476FE" w:rsidRPr="00814B5B">
        <w:rPr>
          <w:szCs w:val="22"/>
          <w:lang w:val="sr-Latn-CS"/>
        </w:rPr>
        <w:t xml:space="preserve">ovih </w:t>
      </w:r>
      <w:r w:rsidRPr="00814B5B">
        <w:rPr>
          <w:szCs w:val="22"/>
          <w:lang w:val="sr-Latn-CS"/>
        </w:rPr>
        <w:t xml:space="preserve">neželjenih </w:t>
      </w:r>
      <w:r w:rsidR="00A476FE" w:rsidRPr="00814B5B">
        <w:rPr>
          <w:szCs w:val="22"/>
          <w:lang w:val="sr-Latn-CS"/>
        </w:rPr>
        <w:t>dejstava, zab</w:t>
      </w:r>
      <w:r w:rsidR="00291404" w:rsidRPr="00814B5B">
        <w:rPr>
          <w:szCs w:val="22"/>
          <w:lang w:val="sr-Latn-CS"/>
        </w:rPr>
        <w:t>i</w:t>
      </w:r>
      <w:r w:rsidR="00A476FE" w:rsidRPr="00814B5B">
        <w:rPr>
          <w:szCs w:val="22"/>
          <w:lang w:val="sr-Latn-CS"/>
        </w:rPr>
        <w:t>l</w:t>
      </w:r>
      <w:r w:rsidR="00291404" w:rsidRPr="00814B5B">
        <w:rPr>
          <w:szCs w:val="22"/>
          <w:lang w:val="sr-Latn-CS"/>
        </w:rPr>
        <w:t>j</w:t>
      </w:r>
      <w:r w:rsidR="00A476FE" w:rsidRPr="00814B5B">
        <w:rPr>
          <w:szCs w:val="22"/>
          <w:lang w:val="sr-Latn-CS"/>
        </w:rPr>
        <w:t>ežene su i sl</w:t>
      </w:r>
      <w:r w:rsidR="00291404" w:rsidRPr="00814B5B">
        <w:rPr>
          <w:szCs w:val="22"/>
          <w:lang w:val="sr-Latn-CS"/>
        </w:rPr>
        <w:t>j</w:t>
      </w:r>
      <w:r w:rsidR="00A476FE" w:rsidRPr="00814B5B">
        <w:rPr>
          <w:szCs w:val="22"/>
          <w:lang w:val="sr-Latn-CS"/>
        </w:rPr>
        <w:t>edeće neželjene reakcije nakon stavljanja l</w:t>
      </w:r>
      <w:r w:rsidR="00291404" w:rsidRPr="00814B5B">
        <w:rPr>
          <w:szCs w:val="22"/>
          <w:lang w:val="sr-Latn-CS"/>
        </w:rPr>
        <w:t>ij</w:t>
      </w:r>
      <w:r w:rsidR="00A476FE" w:rsidRPr="00814B5B">
        <w:rPr>
          <w:szCs w:val="22"/>
          <w:lang w:val="sr-Latn-CS"/>
        </w:rPr>
        <w:t>eka u promet: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4"/>
        <w:gridCol w:w="3757"/>
        <w:gridCol w:w="2598"/>
      </w:tblGrid>
      <w:tr w:rsidR="00A476FE" w:rsidRPr="00814B5B" w14:paraId="6FCEE774" w14:textId="77777777" w:rsidTr="00587B79">
        <w:tc>
          <w:tcPr>
            <w:tcW w:w="1700" w:type="pct"/>
            <w:shd w:val="clear" w:color="auto" w:fill="auto"/>
            <w:hideMark/>
          </w:tcPr>
          <w:p w14:paraId="5214CECF" w14:textId="77777777" w:rsidR="00A476FE" w:rsidRPr="00814B5B" w:rsidRDefault="00A476FE" w:rsidP="007B600E">
            <w:pPr>
              <w:tabs>
                <w:tab w:val="clear" w:pos="284"/>
              </w:tabs>
              <w:autoSpaceDE w:val="0"/>
              <w:autoSpaceDN w:val="0"/>
              <w:adjustRightInd w:val="0"/>
              <w:rPr>
                <w:rFonts w:eastAsia="Calibri"/>
                <w:iCs/>
                <w:szCs w:val="22"/>
                <w:lang w:val="en-GB"/>
              </w:rPr>
            </w:pPr>
            <w:r w:rsidRPr="00814B5B">
              <w:rPr>
                <w:rFonts w:eastAsia="Calibri"/>
                <w:b/>
                <w:bCs/>
                <w:iCs/>
                <w:szCs w:val="22"/>
                <w:lang w:val="en-GB"/>
              </w:rPr>
              <w:t>Klasa sistema organa</w:t>
            </w:r>
          </w:p>
        </w:tc>
        <w:tc>
          <w:tcPr>
            <w:tcW w:w="1951" w:type="pct"/>
            <w:shd w:val="clear" w:color="auto" w:fill="auto"/>
            <w:hideMark/>
          </w:tcPr>
          <w:p w14:paraId="034EC5AD" w14:textId="77777777" w:rsidR="00A476FE" w:rsidRPr="00814B5B" w:rsidRDefault="00A476FE" w:rsidP="007B600E">
            <w:pPr>
              <w:tabs>
                <w:tab w:val="clear" w:pos="284"/>
              </w:tabs>
              <w:autoSpaceDE w:val="0"/>
              <w:autoSpaceDN w:val="0"/>
              <w:adjustRightInd w:val="0"/>
              <w:rPr>
                <w:rFonts w:eastAsia="Calibri"/>
                <w:iCs/>
                <w:szCs w:val="22"/>
                <w:lang w:val="en-GB"/>
              </w:rPr>
            </w:pPr>
            <w:r w:rsidRPr="00814B5B">
              <w:rPr>
                <w:rFonts w:eastAsia="Calibri"/>
                <w:b/>
                <w:bCs/>
                <w:iCs/>
                <w:szCs w:val="22"/>
                <w:lang w:val="en-GB"/>
              </w:rPr>
              <w:t>Neželjena reakcija</w:t>
            </w:r>
          </w:p>
        </w:tc>
        <w:tc>
          <w:tcPr>
            <w:tcW w:w="1349" w:type="pct"/>
            <w:shd w:val="clear" w:color="auto" w:fill="auto"/>
            <w:hideMark/>
          </w:tcPr>
          <w:p w14:paraId="00023599" w14:textId="77777777" w:rsidR="00A476FE" w:rsidRPr="00814B5B" w:rsidRDefault="00A476FE" w:rsidP="007B600E">
            <w:pPr>
              <w:tabs>
                <w:tab w:val="clear" w:pos="284"/>
              </w:tabs>
              <w:autoSpaceDE w:val="0"/>
              <w:autoSpaceDN w:val="0"/>
              <w:adjustRightInd w:val="0"/>
              <w:rPr>
                <w:rFonts w:eastAsia="Calibri"/>
                <w:iCs/>
                <w:szCs w:val="22"/>
                <w:lang w:val="en-GB"/>
              </w:rPr>
            </w:pPr>
            <w:r w:rsidRPr="00814B5B">
              <w:rPr>
                <w:rFonts w:eastAsia="Calibri"/>
                <w:b/>
                <w:bCs/>
                <w:iCs/>
                <w:szCs w:val="22"/>
                <w:lang w:val="en-GB"/>
              </w:rPr>
              <w:t>Učestalost</w:t>
            </w:r>
          </w:p>
        </w:tc>
      </w:tr>
      <w:tr w:rsidR="00A476FE" w:rsidRPr="00814B5B" w14:paraId="0C2880FF" w14:textId="77777777" w:rsidTr="00587B79">
        <w:tc>
          <w:tcPr>
            <w:tcW w:w="1700" w:type="pct"/>
            <w:shd w:val="clear" w:color="auto" w:fill="auto"/>
            <w:hideMark/>
          </w:tcPr>
          <w:p w14:paraId="6F9238CE" w14:textId="77777777" w:rsidR="00A476FE" w:rsidRPr="00814B5B" w:rsidRDefault="00A476FE" w:rsidP="007B600E">
            <w:pPr>
              <w:tabs>
                <w:tab w:val="clear" w:pos="284"/>
              </w:tabs>
              <w:autoSpaceDE w:val="0"/>
              <w:autoSpaceDN w:val="0"/>
              <w:adjustRightInd w:val="0"/>
              <w:rPr>
                <w:rFonts w:eastAsia="Calibri"/>
                <w:i/>
                <w:szCs w:val="22"/>
                <w:lang w:val="en-GB"/>
              </w:rPr>
            </w:pPr>
            <w:r w:rsidRPr="00814B5B">
              <w:rPr>
                <w:rFonts w:eastAsia="Calibri"/>
                <w:i/>
                <w:szCs w:val="22"/>
                <w:lang w:val="en-GB"/>
              </w:rPr>
              <w:t>Hepatobilijarni poremećaji</w:t>
            </w:r>
          </w:p>
        </w:tc>
        <w:tc>
          <w:tcPr>
            <w:tcW w:w="1951" w:type="pct"/>
            <w:shd w:val="clear" w:color="auto" w:fill="auto"/>
            <w:hideMark/>
          </w:tcPr>
          <w:p w14:paraId="579A2701" w14:textId="77777777" w:rsidR="00A476FE" w:rsidRPr="00814B5B" w:rsidRDefault="00A476FE" w:rsidP="007B600E">
            <w:pPr>
              <w:tabs>
                <w:tab w:val="clear" w:pos="284"/>
              </w:tabs>
              <w:autoSpaceDE w:val="0"/>
              <w:autoSpaceDN w:val="0"/>
              <w:adjustRightInd w:val="0"/>
              <w:rPr>
                <w:rFonts w:eastAsia="Calibri"/>
                <w:iCs/>
                <w:szCs w:val="22"/>
                <w:lang w:val="en-GB"/>
              </w:rPr>
            </w:pPr>
            <w:r w:rsidRPr="00814B5B">
              <w:rPr>
                <w:rFonts w:eastAsia="Calibri"/>
                <w:iCs/>
                <w:szCs w:val="22"/>
                <w:lang w:val="en-GB"/>
              </w:rPr>
              <w:t>Hepatitis</w:t>
            </w:r>
          </w:p>
        </w:tc>
        <w:tc>
          <w:tcPr>
            <w:tcW w:w="1349" w:type="pct"/>
            <w:shd w:val="clear" w:color="auto" w:fill="auto"/>
            <w:hideMark/>
          </w:tcPr>
          <w:p w14:paraId="4FD7280E" w14:textId="1CF1E3A2" w:rsidR="00A476FE" w:rsidRPr="00814B5B" w:rsidRDefault="00A476FE" w:rsidP="007B600E">
            <w:pPr>
              <w:tabs>
                <w:tab w:val="clear" w:pos="284"/>
              </w:tabs>
              <w:autoSpaceDE w:val="0"/>
              <w:autoSpaceDN w:val="0"/>
              <w:adjustRightInd w:val="0"/>
              <w:rPr>
                <w:rFonts w:eastAsia="Calibri"/>
                <w:iCs/>
                <w:szCs w:val="22"/>
                <w:lang w:val="en-GB"/>
              </w:rPr>
            </w:pPr>
            <w:r w:rsidRPr="00814B5B">
              <w:rPr>
                <w:rFonts w:eastAsia="Calibri"/>
                <w:iCs/>
                <w:szCs w:val="22"/>
                <w:lang w:val="en-GB"/>
              </w:rPr>
              <w:t>R</w:t>
            </w:r>
            <w:r w:rsidR="00291404" w:rsidRPr="00814B5B">
              <w:rPr>
                <w:rFonts w:eastAsia="Calibri"/>
                <w:iCs/>
                <w:szCs w:val="22"/>
                <w:lang w:val="en-GB"/>
              </w:rPr>
              <w:t>ij</w:t>
            </w:r>
            <w:r w:rsidRPr="00814B5B">
              <w:rPr>
                <w:rFonts w:eastAsia="Calibri"/>
                <w:iCs/>
                <w:szCs w:val="22"/>
                <w:lang w:val="en-GB"/>
              </w:rPr>
              <w:t>etko</w:t>
            </w:r>
          </w:p>
        </w:tc>
      </w:tr>
      <w:tr w:rsidR="00A476FE" w:rsidRPr="00814B5B" w14:paraId="7BDA2A13" w14:textId="77777777" w:rsidTr="00587B79">
        <w:tc>
          <w:tcPr>
            <w:tcW w:w="1700" w:type="pct"/>
            <w:shd w:val="clear" w:color="auto" w:fill="auto"/>
            <w:hideMark/>
          </w:tcPr>
          <w:p w14:paraId="08E97D4C" w14:textId="472092A0" w:rsidR="00A476FE" w:rsidRPr="00814B5B" w:rsidRDefault="00522F9F" w:rsidP="007B600E">
            <w:pPr>
              <w:tabs>
                <w:tab w:val="clear" w:pos="284"/>
              </w:tabs>
              <w:autoSpaceDE w:val="0"/>
              <w:autoSpaceDN w:val="0"/>
              <w:adjustRightInd w:val="0"/>
              <w:rPr>
                <w:rFonts w:eastAsia="Calibri"/>
                <w:i/>
                <w:szCs w:val="22"/>
                <w:lang w:val="en-GB"/>
              </w:rPr>
            </w:pPr>
            <w:r w:rsidRPr="00814B5B">
              <w:rPr>
                <w:rFonts w:eastAsia="Calibri"/>
                <w:i/>
                <w:szCs w:val="22"/>
                <w:lang w:val="en-GB"/>
              </w:rPr>
              <w:t>I</w:t>
            </w:r>
            <w:r w:rsidR="00A476FE" w:rsidRPr="00814B5B">
              <w:rPr>
                <w:rFonts w:eastAsia="Calibri"/>
                <w:i/>
                <w:szCs w:val="22"/>
                <w:lang w:val="en-GB"/>
              </w:rPr>
              <w:t>spitivanja</w:t>
            </w:r>
          </w:p>
        </w:tc>
        <w:tc>
          <w:tcPr>
            <w:tcW w:w="1951" w:type="pct"/>
            <w:shd w:val="clear" w:color="auto" w:fill="auto"/>
            <w:hideMark/>
          </w:tcPr>
          <w:p w14:paraId="00788B1B" w14:textId="22620840" w:rsidR="00A476FE" w:rsidRPr="00814B5B" w:rsidRDefault="00A476FE" w:rsidP="007B600E">
            <w:pPr>
              <w:tabs>
                <w:tab w:val="clear" w:pos="284"/>
              </w:tabs>
              <w:autoSpaceDE w:val="0"/>
              <w:autoSpaceDN w:val="0"/>
              <w:adjustRightInd w:val="0"/>
              <w:rPr>
                <w:rFonts w:eastAsia="Calibri"/>
                <w:iCs/>
                <w:szCs w:val="22"/>
                <w:lang w:val="en-GB"/>
              </w:rPr>
            </w:pPr>
            <w:r w:rsidRPr="00814B5B">
              <w:rPr>
                <w:rFonts w:eastAsia="Calibri"/>
                <w:iCs/>
                <w:szCs w:val="22"/>
                <w:lang w:val="en-GB"/>
              </w:rPr>
              <w:t>Hiperkalemija, povišene vr</w:t>
            </w:r>
            <w:r w:rsidR="00291404" w:rsidRPr="00814B5B">
              <w:rPr>
                <w:rFonts w:eastAsia="Calibri"/>
                <w:iCs/>
                <w:szCs w:val="22"/>
                <w:lang w:val="en-GB"/>
              </w:rPr>
              <w:t>ij</w:t>
            </w:r>
            <w:r w:rsidRPr="00814B5B">
              <w:rPr>
                <w:rFonts w:eastAsia="Calibri"/>
                <w:iCs/>
                <w:szCs w:val="22"/>
                <w:lang w:val="en-GB"/>
              </w:rPr>
              <w:t>ednosti ALT</w:t>
            </w:r>
          </w:p>
        </w:tc>
        <w:tc>
          <w:tcPr>
            <w:tcW w:w="1349" w:type="pct"/>
            <w:shd w:val="clear" w:color="auto" w:fill="auto"/>
            <w:hideMark/>
          </w:tcPr>
          <w:p w14:paraId="2B7D2AA8" w14:textId="24BB406D" w:rsidR="00A476FE" w:rsidRPr="00814B5B" w:rsidRDefault="00A476FE" w:rsidP="007B600E">
            <w:pPr>
              <w:tabs>
                <w:tab w:val="clear" w:pos="284"/>
              </w:tabs>
              <w:autoSpaceDE w:val="0"/>
              <w:autoSpaceDN w:val="0"/>
              <w:adjustRightInd w:val="0"/>
              <w:rPr>
                <w:rFonts w:eastAsia="Calibri"/>
                <w:iCs/>
                <w:szCs w:val="22"/>
                <w:lang w:val="en-GB"/>
              </w:rPr>
            </w:pPr>
            <w:r w:rsidRPr="00814B5B">
              <w:rPr>
                <w:rFonts w:eastAsia="Calibri"/>
                <w:iCs/>
                <w:szCs w:val="22"/>
                <w:lang w:val="en-GB"/>
              </w:rPr>
              <w:t>R</w:t>
            </w:r>
            <w:r w:rsidR="00291404" w:rsidRPr="00814B5B">
              <w:rPr>
                <w:rFonts w:eastAsia="Calibri"/>
                <w:iCs/>
                <w:szCs w:val="22"/>
                <w:lang w:val="en-GB"/>
              </w:rPr>
              <w:t>ij</w:t>
            </w:r>
            <w:r w:rsidRPr="00814B5B">
              <w:rPr>
                <w:rFonts w:eastAsia="Calibri"/>
                <w:iCs/>
                <w:szCs w:val="22"/>
                <w:lang w:val="en-GB"/>
              </w:rPr>
              <w:t>etko</w:t>
            </w:r>
          </w:p>
        </w:tc>
      </w:tr>
    </w:tbl>
    <w:p w14:paraId="6C12A229" w14:textId="47B6DED3" w:rsidR="00A476FE" w:rsidRPr="00814B5B" w:rsidRDefault="005D488C" w:rsidP="007B600E">
      <w:pPr>
        <w:tabs>
          <w:tab w:val="clear" w:pos="284"/>
        </w:tabs>
        <w:autoSpaceDE w:val="0"/>
        <w:autoSpaceDN w:val="0"/>
        <w:adjustRightInd w:val="0"/>
        <w:spacing w:before="120" w:after="120"/>
        <w:rPr>
          <w:szCs w:val="22"/>
          <w:lang w:val="sl-SI"/>
        </w:rPr>
      </w:pPr>
      <w:r w:rsidRPr="00814B5B">
        <w:rPr>
          <w:szCs w:val="22"/>
          <w:lang w:val="sr-Latn-CS"/>
        </w:rPr>
        <w:t>N</w:t>
      </w:r>
      <w:r w:rsidR="00A476FE" w:rsidRPr="00814B5B">
        <w:rPr>
          <w:szCs w:val="22"/>
          <w:lang w:val="sr-Latn-CS"/>
        </w:rPr>
        <w:t>eželjene reakcije koje su uočene kod pojedinačnih komponenti, a potencijalno mogu biti neželjene reakcije kombinacije losartan</w:t>
      </w:r>
      <w:r w:rsidR="00291404" w:rsidRPr="00814B5B">
        <w:rPr>
          <w:szCs w:val="22"/>
          <w:lang w:val="sr-Latn-CS"/>
        </w:rPr>
        <w:t xml:space="preserve"> </w:t>
      </w:r>
      <w:r w:rsidR="00A476FE" w:rsidRPr="00814B5B">
        <w:rPr>
          <w:szCs w:val="22"/>
          <w:lang w:val="sr-Latn-CS"/>
        </w:rPr>
        <w:t>kalijum/hidrohlortiazid</w:t>
      </w:r>
      <w:r w:rsidRPr="00814B5B">
        <w:rPr>
          <w:szCs w:val="22"/>
          <w:lang w:val="sr-Latn-CS"/>
        </w:rPr>
        <w:t xml:space="preserve"> su sl</w:t>
      </w:r>
      <w:r w:rsidR="00291404" w:rsidRPr="00814B5B">
        <w:rPr>
          <w:szCs w:val="22"/>
          <w:lang w:val="sr-Latn-CS"/>
        </w:rPr>
        <w:t>j</w:t>
      </w:r>
      <w:r w:rsidRPr="00814B5B">
        <w:rPr>
          <w:szCs w:val="22"/>
          <w:lang w:val="sr-Latn-CS"/>
        </w:rPr>
        <w:t>edeće:</w:t>
      </w:r>
    </w:p>
    <w:p w14:paraId="3FB05701" w14:textId="77777777" w:rsidR="00A476FE" w:rsidRPr="00814B5B" w:rsidRDefault="00A476FE" w:rsidP="007B600E">
      <w:pPr>
        <w:tabs>
          <w:tab w:val="clear" w:pos="284"/>
        </w:tabs>
        <w:autoSpaceDE w:val="0"/>
        <w:autoSpaceDN w:val="0"/>
        <w:adjustRightInd w:val="0"/>
        <w:spacing w:before="120" w:after="120"/>
        <w:rPr>
          <w:szCs w:val="22"/>
          <w:u w:val="single"/>
          <w:lang w:val="sr-Latn-CS"/>
        </w:rPr>
      </w:pPr>
      <w:r w:rsidRPr="00814B5B">
        <w:rPr>
          <w:szCs w:val="22"/>
          <w:u w:val="single"/>
          <w:lang w:val="sr-Latn-CS"/>
        </w:rPr>
        <w:t>Losartan</w:t>
      </w:r>
    </w:p>
    <w:p w14:paraId="47221D05" w14:textId="7CA927C3" w:rsidR="00A476FE" w:rsidRPr="00814B5B" w:rsidRDefault="00A476FE" w:rsidP="007B600E">
      <w:pPr>
        <w:tabs>
          <w:tab w:val="clear" w:pos="284"/>
        </w:tabs>
        <w:autoSpaceDE w:val="0"/>
        <w:autoSpaceDN w:val="0"/>
        <w:adjustRightInd w:val="0"/>
        <w:spacing w:before="120" w:after="120"/>
        <w:rPr>
          <w:szCs w:val="22"/>
          <w:lang w:val="sr-Latn-CS"/>
        </w:rPr>
      </w:pPr>
      <w:r w:rsidRPr="00814B5B">
        <w:rPr>
          <w:szCs w:val="22"/>
          <w:lang w:val="sr-Latn-CS"/>
        </w:rPr>
        <w:t>Sl</w:t>
      </w:r>
      <w:r w:rsidR="00291404" w:rsidRPr="00814B5B">
        <w:rPr>
          <w:szCs w:val="22"/>
          <w:lang w:val="sr-Latn-CS"/>
        </w:rPr>
        <w:t>j</w:t>
      </w:r>
      <w:r w:rsidRPr="00814B5B">
        <w:rPr>
          <w:szCs w:val="22"/>
          <w:lang w:val="sr-Latn-CS"/>
        </w:rPr>
        <w:t>edeće neželjene reakcije su prijavljene</w:t>
      </w:r>
      <w:r w:rsidR="00291404" w:rsidRPr="00814B5B">
        <w:rPr>
          <w:szCs w:val="22"/>
          <w:lang w:val="sr-Latn-CS"/>
        </w:rPr>
        <w:t xml:space="preserve"> </w:t>
      </w:r>
      <w:r w:rsidRPr="00814B5B">
        <w:rPr>
          <w:szCs w:val="22"/>
          <w:lang w:val="sr-Latn-CS"/>
        </w:rPr>
        <w:t>prilikom prim</w:t>
      </w:r>
      <w:r w:rsidR="00291404" w:rsidRPr="00814B5B">
        <w:rPr>
          <w:szCs w:val="22"/>
          <w:lang w:val="sr-Latn-CS"/>
        </w:rPr>
        <w:t>j</w:t>
      </w:r>
      <w:r w:rsidRPr="00814B5B">
        <w:rPr>
          <w:szCs w:val="22"/>
          <w:lang w:val="sr-Latn-CS"/>
        </w:rPr>
        <w:t>ene losartana tokom kliničkih ispitivanja i postmarketinškog praćenja: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9"/>
        <w:gridCol w:w="5111"/>
        <w:gridCol w:w="1629"/>
      </w:tblGrid>
      <w:tr w:rsidR="00A476FE" w:rsidRPr="00814B5B" w14:paraId="4508F2F1" w14:textId="77777777" w:rsidTr="00587B79">
        <w:tc>
          <w:tcPr>
            <w:tcW w:w="1500" w:type="pct"/>
            <w:shd w:val="clear" w:color="auto" w:fill="auto"/>
            <w:hideMark/>
          </w:tcPr>
          <w:p w14:paraId="1EFBA458" w14:textId="77777777" w:rsidR="00A476FE" w:rsidRPr="00814B5B" w:rsidRDefault="00A476FE" w:rsidP="007B600E">
            <w:pPr>
              <w:tabs>
                <w:tab w:val="clear" w:pos="284"/>
              </w:tabs>
              <w:autoSpaceDE w:val="0"/>
              <w:autoSpaceDN w:val="0"/>
              <w:adjustRightInd w:val="0"/>
              <w:rPr>
                <w:rFonts w:eastAsia="Calibri"/>
                <w:b/>
                <w:szCs w:val="22"/>
                <w:lang w:val="en-GB"/>
              </w:rPr>
            </w:pPr>
            <w:r w:rsidRPr="00814B5B">
              <w:rPr>
                <w:rFonts w:eastAsia="Calibri"/>
                <w:b/>
                <w:bCs/>
                <w:iCs/>
                <w:szCs w:val="22"/>
                <w:lang w:val="en-GB"/>
              </w:rPr>
              <w:t>Klasa sistema organa</w:t>
            </w:r>
          </w:p>
        </w:tc>
        <w:tc>
          <w:tcPr>
            <w:tcW w:w="2654" w:type="pct"/>
            <w:shd w:val="clear" w:color="auto" w:fill="auto"/>
            <w:hideMark/>
          </w:tcPr>
          <w:p w14:paraId="36DC90A0" w14:textId="77777777" w:rsidR="00A476FE" w:rsidRPr="00814B5B" w:rsidRDefault="00A476FE" w:rsidP="007B600E">
            <w:pPr>
              <w:tabs>
                <w:tab w:val="clear" w:pos="284"/>
              </w:tabs>
              <w:autoSpaceDE w:val="0"/>
              <w:autoSpaceDN w:val="0"/>
              <w:adjustRightInd w:val="0"/>
              <w:rPr>
                <w:rFonts w:eastAsia="Calibri"/>
                <w:b/>
                <w:szCs w:val="22"/>
                <w:lang w:val="en-GB"/>
              </w:rPr>
            </w:pPr>
            <w:r w:rsidRPr="00814B5B">
              <w:rPr>
                <w:rFonts w:eastAsia="Calibri"/>
                <w:b/>
                <w:szCs w:val="22"/>
                <w:lang w:val="en-GB"/>
              </w:rPr>
              <w:t>Neželjena reakcija</w:t>
            </w:r>
          </w:p>
        </w:tc>
        <w:tc>
          <w:tcPr>
            <w:tcW w:w="846" w:type="pct"/>
            <w:shd w:val="clear" w:color="auto" w:fill="auto"/>
            <w:hideMark/>
          </w:tcPr>
          <w:p w14:paraId="46A50DA3" w14:textId="77777777" w:rsidR="00A476FE" w:rsidRPr="00814B5B" w:rsidRDefault="00A476FE" w:rsidP="007B600E">
            <w:pPr>
              <w:tabs>
                <w:tab w:val="clear" w:pos="284"/>
              </w:tabs>
              <w:autoSpaceDE w:val="0"/>
              <w:autoSpaceDN w:val="0"/>
              <w:adjustRightInd w:val="0"/>
              <w:rPr>
                <w:rFonts w:eastAsia="Calibri"/>
                <w:b/>
                <w:szCs w:val="22"/>
                <w:lang w:val="en-GB"/>
              </w:rPr>
            </w:pPr>
            <w:r w:rsidRPr="00814B5B">
              <w:rPr>
                <w:rFonts w:eastAsia="Calibri"/>
                <w:b/>
                <w:szCs w:val="22"/>
                <w:lang w:val="en-GB"/>
              </w:rPr>
              <w:t xml:space="preserve">Učestalost </w:t>
            </w:r>
          </w:p>
        </w:tc>
      </w:tr>
      <w:tr w:rsidR="00A476FE" w:rsidRPr="00814B5B" w14:paraId="6C7FC28D" w14:textId="77777777" w:rsidTr="00587B79">
        <w:tc>
          <w:tcPr>
            <w:tcW w:w="1500" w:type="pct"/>
            <w:vMerge w:val="restart"/>
            <w:shd w:val="clear" w:color="auto" w:fill="auto"/>
            <w:hideMark/>
          </w:tcPr>
          <w:p w14:paraId="035CE165" w14:textId="77777777" w:rsidR="00A476FE" w:rsidRPr="00814B5B" w:rsidRDefault="00A476FE" w:rsidP="007B600E">
            <w:pPr>
              <w:tabs>
                <w:tab w:val="clear" w:pos="284"/>
              </w:tabs>
              <w:autoSpaceDE w:val="0"/>
              <w:autoSpaceDN w:val="0"/>
              <w:adjustRightInd w:val="0"/>
              <w:rPr>
                <w:rFonts w:eastAsia="Calibri"/>
                <w:i/>
                <w:iCs/>
                <w:szCs w:val="22"/>
                <w:lang w:val="en-GB"/>
              </w:rPr>
            </w:pPr>
            <w:r w:rsidRPr="00814B5B">
              <w:rPr>
                <w:rFonts w:eastAsia="Calibri"/>
                <w:i/>
                <w:iCs/>
                <w:szCs w:val="22"/>
                <w:lang w:val="en-GB"/>
              </w:rPr>
              <w:t>Poremećaji krvi i limfnog sistema</w:t>
            </w:r>
          </w:p>
        </w:tc>
        <w:tc>
          <w:tcPr>
            <w:tcW w:w="2654" w:type="pct"/>
            <w:shd w:val="clear" w:color="auto" w:fill="auto"/>
            <w:hideMark/>
          </w:tcPr>
          <w:p w14:paraId="1D3F8B01" w14:textId="50404189"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 xml:space="preserve">Anemija, </w:t>
            </w:r>
            <w:r w:rsidRPr="00814B5B">
              <w:rPr>
                <w:i/>
                <w:iCs/>
                <w:szCs w:val="22"/>
              </w:rPr>
              <w:t>Henoch-Schönlein</w:t>
            </w:r>
            <w:r w:rsidR="00CD7343" w:rsidRPr="00814B5B">
              <w:rPr>
                <w:szCs w:val="22"/>
              </w:rPr>
              <w:t>-ova</w:t>
            </w:r>
            <w:r w:rsidRPr="00814B5B">
              <w:rPr>
                <w:rFonts w:eastAsia="Calibri"/>
                <w:szCs w:val="22"/>
                <w:lang w:val="en-GB"/>
              </w:rPr>
              <w:t xml:space="preserve"> purpura, ekhimoze, hemoliza</w:t>
            </w:r>
          </w:p>
        </w:tc>
        <w:tc>
          <w:tcPr>
            <w:tcW w:w="846" w:type="pct"/>
            <w:shd w:val="clear" w:color="auto" w:fill="auto"/>
            <w:hideMark/>
          </w:tcPr>
          <w:p w14:paraId="29C45864"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Povremeno</w:t>
            </w:r>
          </w:p>
        </w:tc>
      </w:tr>
      <w:tr w:rsidR="00A476FE" w:rsidRPr="00814B5B" w14:paraId="6E65D05E" w14:textId="77777777" w:rsidTr="00587B79">
        <w:tc>
          <w:tcPr>
            <w:tcW w:w="1500" w:type="pct"/>
            <w:vMerge/>
            <w:shd w:val="clear" w:color="auto" w:fill="auto"/>
            <w:hideMark/>
          </w:tcPr>
          <w:p w14:paraId="7C578D56" w14:textId="77777777" w:rsidR="00A476FE" w:rsidRPr="00814B5B" w:rsidRDefault="00A476FE" w:rsidP="007B600E">
            <w:pPr>
              <w:tabs>
                <w:tab w:val="clear" w:pos="284"/>
              </w:tabs>
              <w:autoSpaceDE w:val="0"/>
              <w:autoSpaceDN w:val="0"/>
              <w:adjustRightInd w:val="0"/>
              <w:rPr>
                <w:rFonts w:eastAsia="Calibri"/>
                <w:szCs w:val="22"/>
                <w:lang w:val="en-GB"/>
              </w:rPr>
            </w:pPr>
          </w:p>
        </w:tc>
        <w:tc>
          <w:tcPr>
            <w:tcW w:w="2654" w:type="pct"/>
            <w:shd w:val="clear" w:color="auto" w:fill="auto"/>
            <w:hideMark/>
          </w:tcPr>
          <w:p w14:paraId="45D60EA8" w14:textId="2482191D" w:rsidR="00A476FE" w:rsidRPr="00814B5B" w:rsidRDefault="00CD7343" w:rsidP="007B600E">
            <w:pPr>
              <w:tabs>
                <w:tab w:val="clear" w:pos="284"/>
              </w:tabs>
              <w:autoSpaceDE w:val="0"/>
              <w:autoSpaceDN w:val="0"/>
              <w:adjustRightInd w:val="0"/>
              <w:rPr>
                <w:rFonts w:eastAsia="Calibri"/>
                <w:szCs w:val="22"/>
                <w:lang w:val="en-GB"/>
              </w:rPr>
            </w:pPr>
            <w:r w:rsidRPr="00814B5B">
              <w:rPr>
                <w:rFonts w:eastAsia="Calibri"/>
                <w:szCs w:val="22"/>
                <w:lang w:val="en-GB"/>
              </w:rPr>
              <w:t>T</w:t>
            </w:r>
            <w:r w:rsidR="00A476FE" w:rsidRPr="00814B5B">
              <w:rPr>
                <w:rFonts w:eastAsia="Calibri"/>
                <w:szCs w:val="22"/>
                <w:lang w:val="en-GB"/>
              </w:rPr>
              <w:t>rombocitopenija</w:t>
            </w:r>
          </w:p>
        </w:tc>
        <w:tc>
          <w:tcPr>
            <w:tcW w:w="846" w:type="pct"/>
            <w:shd w:val="clear" w:color="auto" w:fill="auto"/>
            <w:hideMark/>
          </w:tcPr>
          <w:p w14:paraId="3FFD2AF5"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Nepoznato</w:t>
            </w:r>
          </w:p>
        </w:tc>
      </w:tr>
      <w:tr w:rsidR="00A476FE" w:rsidRPr="00814B5B" w14:paraId="53D4FFC1" w14:textId="77777777" w:rsidTr="00587B79">
        <w:tc>
          <w:tcPr>
            <w:tcW w:w="1500" w:type="pct"/>
            <w:shd w:val="clear" w:color="auto" w:fill="auto"/>
            <w:hideMark/>
          </w:tcPr>
          <w:p w14:paraId="52F79E68" w14:textId="77777777" w:rsidR="00A476FE" w:rsidRPr="00814B5B" w:rsidRDefault="00A476FE" w:rsidP="007B600E">
            <w:pPr>
              <w:tabs>
                <w:tab w:val="clear" w:pos="284"/>
              </w:tabs>
              <w:autoSpaceDE w:val="0"/>
              <w:autoSpaceDN w:val="0"/>
              <w:adjustRightInd w:val="0"/>
              <w:rPr>
                <w:rFonts w:eastAsia="Calibri"/>
                <w:i/>
                <w:iCs/>
                <w:szCs w:val="22"/>
                <w:lang w:val="en-GB"/>
              </w:rPr>
            </w:pPr>
            <w:r w:rsidRPr="00814B5B">
              <w:rPr>
                <w:rFonts w:eastAsia="Calibri"/>
                <w:i/>
                <w:iCs/>
                <w:szCs w:val="22"/>
                <w:lang w:val="en-GB"/>
              </w:rPr>
              <w:t>Kardiološki poremećaji</w:t>
            </w:r>
          </w:p>
        </w:tc>
        <w:tc>
          <w:tcPr>
            <w:tcW w:w="2654" w:type="pct"/>
            <w:shd w:val="clear" w:color="auto" w:fill="auto"/>
            <w:hideMark/>
          </w:tcPr>
          <w:p w14:paraId="0084EA28"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 xml:space="preserve">Hipotenzija, ortostatska hipotenzija, sternalgija, angina pektoris, AV blok II stepena, cerebrovaskularni događaj, infarkt miokarda, palpitacije, aritmije (atrijalna fibrilacija, sinusna bradikardija, tahikardija, ventrikularna tahikardija, ventrikularna fibrilacija) </w:t>
            </w:r>
          </w:p>
        </w:tc>
        <w:tc>
          <w:tcPr>
            <w:tcW w:w="846" w:type="pct"/>
            <w:shd w:val="clear" w:color="auto" w:fill="auto"/>
            <w:hideMark/>
          </w:tcPr>
          <w:p w14:paraId="0617A301"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Povremeno</w:t>
            </w:r>
          </w:p>
        </w:tc>
      </w:tr>
      <w:tr w:rsidR="00A476FE" w:rsidRPr="00814B5B" w14:paraId="06B1124D" w14:textId="77777777" w:rsidTr="00587B79">
        <w:tc>
          <w:tcPr>
            <w:tcW w:w="1500" w:type="pct"/>
            <w:shd w:val="clear" w:color="auto" w:fill="auto"/>
            <w:hideMark/>
          </w:tcPr>
          <w:p w14:paraId="2D6482C3" w14:textId="77777777" w:rsidR="00A476FE" w:rsidRPr="00814B5B" w:rsidRDefault="00A476FE" w:rsidP="007B600E">
            <w:pPr>
              <w:tabs>
                <w:tab w:val="clear" w:pos="284"/>
              </w:tabs>
              <w:autoSpaceDE w:val="0"/>
              <w:autoSpaceDN w:val="0"/>
              <w:adjustRightInd w:val="0"/>
              <w:rPr>
                <w:rFonts w:eastAsia="Calibri"/>
                <w:i/>
                <w:iCs/>
                <w:szCs w:val="22"/>
                <w:lang w:val="pl-PL"/>
              </w:rPr>
            </w:pPr>
            <w:r w:rsidRPr="00814B5B">
              <w:rPr>
                <w:rFonts w:eastAsia="Calibri"/>
                <w:i/>
                <w:iCs/>
                <w:szCs w:val="22"/>
                <w:lang w:val="pl-PL"/>
              </w:rPr>
              <w:t>Poremećaji uha i labirinta</w:t>
            </w:r>
          </w:p>
        </w:tc>
        <w:tc>
          <w:tcPr>
            <w:tcW w:w="2654" w:type="pct"/>
            <w:shd w:val="clear" w:color="auto" w:fill="auto"/>
            <w:hideMark/>
          </w:tcPr>
          <w:p w14:paraId="03F93FCC"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Vertigo, tinitus</w:t>
            </w:r>
          </w:p>
        </w:tc>
        <w:tc>
          <w:tcPr>
            <w:tcW w:w="846" w:type="pct"/>
            <w:shd w:val="clear" w:color="auto" w:fill="auto"/>
            <w:hideMark/>
          </w:tcPr>
          <w:p w14:paraId="0C111721"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Povremeno</w:t>
            </w:r>
          </w:p>
        </w:tc>
      </w:tr>
      <w:tr w:rsidR="00A476FE" w:rsidRPr="00814B5B" w14:paraId="69EDCAD2" w14:textId="77777777" w:rsidTr="00587B79">
        <w:tc>
          <w:tcPr>
            <w:tcW w:w="1500" w:type="pct"/>
            <w:shd w:val="clear" w:color="auto" w:fill="auto"/>
            <w:hideMark/>
          </w:tcPr>
          <w:p w14:paraId="5217C81F" w14:textId="77777777" w:rsidR="00A476FE" w:rsidRPr="00814B5B" w:rsidRDefault="00A476FE" w:rsidP="007B600E">
            <w:pPr>
              <w:tabs>
                <w:tab w:val="clear" w:pos="284"/>
              </w:tabs>
              <w:autoSpaceDE w:val="0"/>
              <w:autoSpaceDN w:val="0"/>
              <w:adjustRightInd w:val="0"/>
              <w:rPr>
                <w:rFonts w:eastAsia="Calibri"/>
                <w:i/>
                <w:iCs/>
                <w:szCs w:val="22"/>
                <w:lang w:val="en-GB"/>
              </w:rPr>
            </w:pPr>
            <w:r w:rsidRPr="00814B5B">
              <w:rPr>
                <w:rFonts w:eastAsia="Calibri"/>
                <w:i/>
                <w:iCs/>
                <w:szCs w:val="22"/>
                <w:lang w:val="en-GB"/>
              </w:rPr>
              <w:t>Poremećaji oka</w:t>
            </w:r>
          </w:p>
        </w:tc>
        <w:tc>
          <w:tcPr>
            <w:tcW w:w="2654" w:type="pct"/>
            <w:shd w:val="clear" w:color="auto" w:fill="auto"/>
            <w:hideMark/>
          </w:tcPr>
          <w:p w14:paraId="75653748" w14:textId="00676CBD"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Zamućen vid, os</w:t>
            </w:r>
            <w:r w:rsidR="00291404" w:rsidRPr="00814B5B">
              <w:rPr>
                <w:rFonts w:eastAsia="Calibri"/>
                <w:szCs w:val="22"/>
                <w:lang w:val="en-GB"/>
              </w:rPr>
              <w:t>j</w:t>
            </w:r>
            <w:r w:rsidRPr="00814B5B">
              <w:rPr>
                <w:rFonts w:eastAsia="Calibri"/>
                <w:szCs w:val="22"/>
                <w:lang w:val="en-GB"/>
              </w:rPr>
              <w:t>ećaj peckanja/bockanja u oku, konjunktivitis, smanjenje oštrine vida</w:t>
            </w:r>
          </w:p>
        </w:tc>
        <w:tc>
          <w:tcPr>
            <w:tcW w:w="846" w:type="pct"/>
            <w:shd w:val="clear" w:color="auto" w:fill="auto"/>
            <w:hideMark/>
          </w:tcPr>
          <w:p w14:paraId="4706C62F"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Povremeno</w:t>
            </w:r>
          </w:p>
        </w:tc>
      </w:tr>
      <w:tr w:rsidR="00A476FE" w:rsidRPr="00814B5B" w14:paraId="41BEC9E3" w14:textId="77777777" w:rsidTr="00587B79">
        <w:tc>
          <w:tcPr>
            <w:tcW w:w="1500" w:type="pct"/>
            <w:vMerge w:val="restart"/>
            <w:shd w:val="clear" w:color="auto" w:fill="auto"/>
            <w:hideMark/>
          </w:tcPr>
          <w:p w14:paraId="628ABAA5" w14:textId="77777777" w:rsidR="00A476FE" w:rsidRPr="00814B5B" w:rsidRDefault="00A476FE" w:rsidP="007B600E">
            <w:pPr>
              <w:tabs>
                <w:tab w:val="clear" w:pos="284"/>
              </w:tabs>
              <w:autoSpaceDE w:val="0"/>
              <w:autoSpaceDN w:val="0"/>
              <w:adjustRightInd w:val="0"/>
              <w:rPr>
                <w:rFonts w:eastAsia="Calibri"/>
                <w:i/>
                <w:iCs/>
                <w:szCs w:val="22"/>
                <w:lang w:val="en-GB"/>
              </w:rPr>
            </w:pPr>
            <w:r w:rsidRPr="00814B5B">
              <w:rPr>
                <w:rFonts w:eastAsia="Calibri"/>
                <w:i/>
                <w:iCs/>
                <w:szCs w:val="22"/>
                <w:lang w:val="en-GB"/>
              </w:rPr>
              <w:t>Gastrointestinalni poremećaji</w:t>
            </w:r>
          </w:p>
        </w:tc>
        <w:tc>
          <w:tcPr>
            <w:tcW w:w="2654" w:type="pct"/>
            <w:shd w:val="clear" w:color="auto" w:fill="auto"/>
            <w:hideMark/>
          </w:tcPr>
          <w:p w14:paraId="7F273C68"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Bol u abdomenu, mučnina, dijareja, dispepsija</w:t>
            </w:r>
          </w:p>
        </w:tc>
        <w:tc>
          <w:tcPr>
            <w:tcW w:w="846" w:type="pct"/>
            <w:shd w:val="clear" w:color="auto" w:fill="auto"/>
            <w:hideMark/>
          </w:tcPr>
          <w:p w14:paraId="1F455446"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Često</w:t>
            </w:r>
          </w:p>
        </w:tc>
      </w:tr>
      <w:tr w:rsidR="00A476FE" w:rsidRPr="00814B5B" w14:paraId="18BAE76D" w14:textId="77777777" w:rsidTr="00587B79">
        <w:tc>
          <w:tcPr>
            <w:tcW w:w="1500" w:type="pct"/>
            <w:vMerge/>
            <w:shd w:val="clear" w:color="auto" w:fill="auto"/>
            <w:hideMark/>
          </w:tcPr>
          <w:p w14:paraId="4F53D5BE" w14:textId="77777777" w:rsidR="00A476FE" w:rsidRPr="00814B5B" w:rsidRDefault="00A476FE" w:rsidP="007B600E">
            <w:pPr>
              <w:tabs>
                <w:tab w:val="clear" w:pos="284"/>
              </w:tabs>
              <w:autoSpaceDE w:val="0"/>
              <w:autoSpaceDN w:val="0"/>
              <w:adjustRightInd w:val="0"/>
              <w:rPr>
                <w:rFonts w:eastAsia="Calibri"/>
                <w:szCs w:val="22"/>
                <w:lang w:val="en-GB"/>
              </w:rPr>
            </w:pPr>
          </w:p>
        </w:tc>
        <w:tc>
          <w:tcPr>
            <w:tcW w:w="2654" w:type="pct"/>
            <w:shd w:val="clear" w:color="auto" w:fill="auto"/>
            <w:hideMark/>
          </w:tcPr>
          <w:p w14:paraId="5E3BB06A"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Konstipacija, zubobolja, suvoća usta, flatulencija, gastritis, povraćanje, opstipacija</w:t>
            </w:r>
          </w:p>
        </w:tc>
        <w:tc>
          <w:tcPr>
            <w:tcW w:w="846" w:type="pct"/>
            <w:shd w:val="clear" w:color="auto" w:fill="auto"/>
            <w:hideMark/>
          </w:tcPr>
          <w:p w14:paraId="32EBBCE8"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Povremeno</w:t>
            </w:r>
          </w:p>
        </w:tc>
      </w:tr>
      <w:tr w:rsidR="00A476FE" w:rsidRPr="00814B5B" w14:paraId="51E1A1B9" w14:textId="77777777" w:rsidTr="00587B79">
        <w:tc>
          <w:tcPr>
            <w:tcW w:w="1500" w:type="pct"/>
            <w:vMerge/>
            <w:shd w:val="clear" w:color="auto" w:fill="auto"/>
            <w:hideMark/>
          </w:tcPr>
          <w:p w14:paraId="554CFD97" w14:textId="77777777" w:rsidR="00A476FE" w:rsidRPr="00814B5B" w:rsidRDefault="00A476FE" w:rsidP="007B600E">
            <w:pPr>
              <w:tabs>
                <w:tab w:val="clear" w:pos="284"/>
              </w:tabs>
              <w:autoSpaceDE w:val="0"/>
              <w:autoSpaceDN w:val="0"/>
              <w:adjustRightInd w:val="0"/>
              <w:rPr>
                <w:rFonts w:eastAsia="Calibri"/>
                <w:szCs w:val="22"/>
                <w:lang w:val="en-GB"/>
              </w:rPr>
            </w:pPr>
          </w:p>
        </w:tc>
        <w:tc>
          <w:tcPr>
            <w:tcW w:w="2654" w:type="pct"/>
            <w:shd w:val="clear" w:color="auto" w:fill="auto"/>
            <w:hideMark/>
          </w:tcPr>
          <w:p w14:paraId="05A95E27" w14:textId="2E0A40B5" w:rsidR="00A476FE" w:rsidRPr="00814B5B" w:rsidRDefault="000162AE" w:rsidP="007B600E">
            <w:pPr>
              <w:tabs>
                <w:tab w:val="clear" w:pos="284"/>
              </w:tabs>
              <w:autoSpaceDE w:val="0"/>
              <w:autoSpaceDN w:val="0"/>
              <w:adjustRightInd w:val="0"/>
              <w:rPr>
                <w:rFonts w:eastAsia="Calibri"/>
                <w:szCs w:val="22"/>
                <w:lang w:val="en-GB"/>
              </w:rPr>
            </w:pPr>
            <w:r w:rsidRPr="00814B5B">
              <w:rPr>
                <w:rFonts w:eastAsia="Calibri"/>
                <w:szCs w:val="22"/>
                <w:lang w:val="en-GB"/>
              </w:rPr>
              <w:t>P</w:t>
            </w:r>
            <w:r w:rsidR="00A476FE" w:rsidRPr="00814B5B">
              <w:rPr>
                <w:rFonts w:eastAsia="Calibri"/>
                <w:szCs w:val="22"/>
                <w:lang w:val="en-GB"/>
              </w:rPr>
              <w:t>ankreatitis</w:t>
            </w:r>
          </w:p>
        </w:tc>
        <w:tc>
          <w:tcPr>
            <w:tcW w:w="846" w:type="pct"/>
            <w:shd w:val="clear" w:color="auto" w:fill="auto"/>
            <w:hideMark/>
          </w:tcPr>
          <w:p w14:paraId="4D8DBEE8"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Nepoznato</w:t>
            </w:r>
          </w:p>
        </w:tc>
      </w:tr>
      <w:tr w:rsidR="00A476FE" w:rsidRPr="00814B5B" w14:paraId="69D8D932" w14:textId="77777777" w:rsidTr="00587B79">
        <w:tc>
          <w:tcPr>
            <w:tcW w:w="1500" w:type="pct"/>
            <w:vMerge w:val="restart"/>
            <w:shd w:val="clear" w:color="auto" w:fill="auto"/>
            <w:hideMark/>
          </w:tcPr>
          <w:p w14:paraId="58060F12" w14:textId="4EFE13B3" w:rsidR="00A476FE" w:rsidRPr="00814B5B" w:rsidRDefault="00A476FE" w:rsidP="007B600E">
            <w:pPr>
              <w:tabs>
                <w:tab w:val="clear" w:pos="284"/>
              </w:tabs>
              <w:autoSpaceDE w:val="0"/>
              <w:autoSpaceDN w:val="0"/>
              <w:adjustRightInd w:val="0"/>
              <w:rPr>
                <w:rFonts w:eastAsia="Calibri"/>
                <w:i/>
                <w:iCs/>
                <w:szCs w:val="22"/>
                <w:lang w:val="pl-PL"/>
              </w:rPr>
            </w:pPr>
            <w:r w:rsidRPr="00814B5B">
              <w:rPr>
                <w:rFonts w:eastAsia="Calibri"/>
                <w:i/>
                <w:iCs/>
                <w:szCs w:val="22"/>
                <w:lang w:val="pl-PL"/>
              </w:rPr>
              <w:t>Opšti poremećaji i reakcije na m</w:t>
            </w:r>
            <w:r w:rsidR="00291404" w:rsidRPr="00814B5B">
              <w:rPr>
                <w:rFonts w:eastAsia="Calibri"/>
                <w:i/>
                <w:iCs/>
                <w:szCs w:val="22"/>
                <w:lang w:val="pl-PL"/>
              </w:rPr>
              <w:t>j</w:t>
            </w:r>
            <w:r w:rsidRPr="00814B5B">
              <w:rPr>
                <w:rFonts w:eastAsia="Calibri"/>
                <w:i/>
                <w:iCs/>
                <w:szCs w:val="22"/>
                <w:lang w:val="pl-PL"/>
              </w:rPr>
              <w:t>estu prim</w:t>
            </w:r>
            <w:r w:rsidR="00291404" w:rsidRPr="00814B5B">
              <w:rPr>
                <w:rFonts w:eastAsia="Calibri"/>
                <w:i/>
                <w:iCs/>
                <w:szCs w:val="22"/>
                <w:lang w:val="pl-PL"/>
              </w:rPr>
              <w:t>j</w:t>
            </w:r>
            <w:r w:rsidRPr="00814B5B">
              <w:rPr>
                <w:rFonts w:eastAsia="Calibri"/>
                <w:i/>
                <w:iCs/>
                <w:szCs w:val="22"/>
                <w:lang w:val="pl-PL"/>
              </w:rPr>
              <w:t>ene</w:t>
            </w:r>
          </w:p>
        </w:tc>
        <w:tc>
          <w:tcPr>
            <w:tcW w:w="2654" w:type="pct"/>
            <w:shd w:val="clear" w:color="auto" w:fill="auto"/>
            <w:hideMark/>
          </w:tcPr>
          <w:p w14:paraId="7B7D0FB6" w14:textId="77777777" w:rsidR="00A476FE" w:rsidRPr="00814B5B" w:rsidRDefault="00A476FE" w:rsidP="007B600E">
            <w:pPr>
              <w:tabs>
                <w:tab w:val="clear" w:pos="284"/>
              </w:tabs>
              <w:autoSpaceDE w:val="0"/>
              <w:autoSpaceDN w:val="0"/>
              <w:adjustRightInd w:val="0"/>
              <w:rPr>
                <w:rFonts w:eastAsia="Calibri"/>
                <w:szCs w:val="22"/>
                <w:lang w:val="es-ES_tradnl"/>
              </w:rPr>
            </w:pPr>
            <w:r w:rsidRPr="00814B5B">
              <w:rPr>
                <w:rFonts w:eastAsia="Calibri"/>
                <w:szCs w:val="22"/>
                <w:lang w:val="es-ES_tradnl"/>
              </w:rPr>
              <w:t>Astenija, umor, bol u grudima</w:t>
            </w:r>
          </w:p>
        </w:tc>
        <w:tc>
          <w:tcPr>
            <w:tcW w:w="846" w:type="pct"/>
            <w:shd w:val="clear" w:color="auto" w:fill="auto"/>
            <w:hideMark/>
          </w:tcPr>
          <w:p w14:paraId="07D0A1B9"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Često</w:t>
            </w:r>
          </w:p>
        </w:tc>
      </w:tr>
      <w:tr w:rsidR="00A476FE" w:rsidRPr="00814B5B" w14:paraId="13976A65" w14:textId="77777777" w:rsidTr="00587B79">
        <w:tc>
          <w:tcPr>
            <w:tcW w:w="1500" w:type="pct"/>
            <w:vMerge/>
            <w:shd w:val="clear" w:color="auto" w:fill="auto"/>
            <w:hideMark/>
          </w:tcPr>
          <w:p w14:paraId="3F114CB3" w14:textId="77777777" w:rsidR="00A476FE" w:rsidRPr="00814B5B" w:rsidRDefault="00A476FE" w:rsidP="007B600E">
            <w:pPr>
              <w:tabs>
                <w:tab w:val="clear" w:pos="284"/>
              </w:tabs>
              <w:autoSpaceDE w:val="0"/>
              <w:autoSpaceDN w:val="0"/>
              <w:adjustRightInd w:val="0"/>
              <w:rPr>
                <w:rFonts w:eastAsia="Calibri"/>
                <w:szCs w:val="22"/>
                <w:lang w:val="en-GB"/>
              </w:rPr>
            </w:pPr>
          </w:p>
        </w:tc>
        <w:tc>
          <w:tcPr>
            <w:tcW w:w="2654" w:type="pct"/>
            <w:shd w:val="clear" w:color="auto" w:fill="auto"/>
            <w:hideMark/>
          </w:tcPr>
          <w:p w14:paraId="15B83A55" w14:textId="0446979E"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Edem lica, edem, povišena t</w:t>
            </w:r>
            <w:r w:rsidR="00291404" w:rsidRPr="00814B5B">
              <w:rPr>
                <w:rFonts w:eastAsia="Calibri"/>
                <w:szCs w:val="22"/>
                <w:lang w:val="en-GB"/>
              </w:rPr>
              <w:t>j</w:t>
            </w:r>
            <w:r w:rsidRPr="00814B5B">
              <w:rPr>
                <w:rFonts w:eastAsia="Calibri"/>
                <w:szCs w:val="22"/>
                <w:lang w:val="en-GB"/>
              </w:rPr>
              <w:t>elesna temperatura</w:t>
            </w:r>
          </w:p>
        </w:tc>
        <w:tc>
          <w:tcPr>
            <w:tcW w:w="846" w:type="pct"/>
            <w:shd w:val="clear" w:color="auto" w:fill="auto"/>
            <w:hideMark/>
          </w:tcPr>
          <w:p w14:paraId="57A29769"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Povremeno</w:t>
            </w:r>
          </w:p>
        </w:tc>
      </w:tr>
      <w:tr w:rsidR="00A476FE" w:rsidRPr="00814B5B" w14:paraId="03A2E7F7" w14:textId="77777777" w:rsidTr="00587B79">
        <w:tc>
          <w:tcPr>
            <w:tcW w:w="1500" w:type="pct"/>
            <w:vMerge/>
            <w:shd w:val="clear" w:color="auto" w:fill="auto"/>
            <w:hideMark/>
          </w:tcPr>
          <w:p w14:paraId="32D9509A" w14:textId="77777777" w:rsidR="00A476FE" w:rsidRPr="00814B5B" w:rsidRDefault="00A476FE" w:rsidP="007B600E">
            <w:pPr>
              <w:tabs>
                <w:tab w:val="clear" w:pos="284"/>
              </w:tabs>
              <w:autoSpaceDE w:val="0"/>
              <w:autoSpaceDN w:val="0"/>
              <w:adjustRightInd w:val="0"/>
              <w:rPr>
                <w:rFonts w:eastAsia="Calibri"/>
                <w:szCs w:val="22"/>
                <w:lang w:val="en-GB"/>
              </w:rPr>
            </w:pPr>
          </w:p>
        </w:tc>
        <w:tc>
          <w:tcPr>
            <w:tcW w:w="2654" w:type="pct"/>
            <w:shd w:val="clear" w:color="auto" w:fill="auto"/>
            <w:hideMark/>
          </w:tcPr>
          <w:p w14:paraId="55F5E85B"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Simptomi slični gripu, slabost</w:t>
            </w:r>
          </w:p>
        </w:tc>
        <w:tc>
          <w:tcPr>
            <w:tcW w:w="846" w:type="pct"/>
            <w:shd w:val="clear" w:color="auto" w:fill="auto"/>
            <w:hideMark/>
          </w:tcPr>
          <w:p w14:paraId="55DFBEAD"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Nepoznato</w:t>
            </w:r>
          </w:p>
        </w:tc>
      </w:tr>
      <w:tr w:rsidR="00A476FE" w:rsidRPr="00814B5B" w14:paraId="734A74B2" w14:textId="77777777" w:rsidTr="00587B79">
        <w:tc>
          <w:tcPr>
            <w:tcW w:w="1500" w:type="pct"/>
            <w:shd w:val="clear" w:color="auto" w:fill="auto"/>
            <w:hideMark/>
          </w:tcPr>
          <w:p w14:paraId="1BA99E8A" w14:textId="77777777" w:rsidR="00A476FE" w:rsidRPr="00814B5B" w:rsidRDefault="00A476FE" w:rsidP="007B600E">
            <w:pPr>
              <w:tabs>
                <w:tab w:val="clear" w:pos="284"/>
              </w:tabs>
              <w:autoSpaceDE w:val="0"/>
              <w:autoSpaceDN w:val="0"/>
              <w:adjustRightInd w:val="0"/>
              <w:rPr>
                <w:rFonts w:eastAsia="Calibri"/>
                <w:i/>
                <w:iCs/>
                <w:szCs w:val="22"/>
                <w:lang w:val="en-GB"/>
              </w:rPr>
            </w:pPr>
            <w:r w:rsidRPr="00814B5B">
              <w:rPr>
                <w:rFonts w:eastAsia="Calibri"/>
                <w:i/>
                <w:iCs/>
                <w:szCs w:val="22"/>
                <w:lang w:val="en-GB"/>
              </w:rPr>
              <w:t>Hepatobilijarni poremećaji</w:t>
            </w:r>
          </w:p>
        </w:tc>
        <w:tc>
          <w:tcPr>
            <w:tcW w:w="2654" w:type="pct"/>
            <w:shd w:val="clear" w:color="auto" w:fill="auto"/>
            <w:hideMark/>
          </w:tcPr>
          <w:p w14:paraId="5533C343"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Poremećaji funkcije jetre</w:t>
            </w:r>
          </w:p>
        </w:tc>
        <w:tc>
          <w:tcPr>
            <w:tcW w:w="846" w:type="pct"/>
            <w:shd w:val="clear" w:color="auto" w:fill="auto"/>
            <w:hideMark/>
          </w:tcPr>
          <w:p w14:paraId="3DD6C4D8"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Nepoznato</w:t>
            </w:r>
          </w:p>
        </w:tc>
      </w:tr>
      <w:tr w:rsidR="00A476FE" w:rsidRPr="00814B5B" w14:paraId="0DF5914E" w14:textId="77777777" w:rsidTr="00587B79">
        <w:tc>
          <w:tcPr>
            <w:tcW w:w="1500" w:type="pct"/>
            <w:shd w:val="clear" w:color="auto" w:fill="auto"/>
            <w:hideMark/>
          </w:tcPr>
          <w:p w14:paraId="0A6BD5E4" w14:textId="77777777" w:rsidR="00A476FE" w:rsidRPr="00814B5B" w:rsidRDefault="00A476FE" w:rsidP="007B600E">
            <w:pPr>
              <w:tabs>
                <w:tab w:val="clear" w:pos="284"/>
              </w:tabs>
              <w:autoSpaceDE w:val="0"/>
              <w:autoSpaceDN w:val="0"/>
              <w:adjustRightInd w:val="0"/>
              <w:rPr>
                <w:rFonts w:eastAsia="Calibri"/>
                <w:i/>
                <w:iCs/>
                <w:szCs w:val="22"/>
                <w:lang w:val="en-GB"/>
              </w:rPr>
            </w:pPr>
            <w:r w:rsidRPr="00814B5B">
              <w:rPr>
                <w:rFonts w:eastAsia="Calibri"/>
                <w:i/>
                <w:iCs/>
                <w:szCs w:val="22"/>
                <w:lang w:val="en-GB"/>
              </w:rPr>
              <w:t>Poremećaji imunskog sistema</w:t>
            </w:r>
          </w:p>
        </w:tc>
        <w:tc>
          <w:tcPr>
            <w:tcW w:w="2654" w:type="pct"/>
            <w:shd w:val="clear" w:color="auto" w:fill="auto"/>
            <w:hideMark/>
          </w:tcPr>
          <w:p w14:paraId="65F93DCE" w14:textId="2A2CB2AB"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Preos</w:t>
            </w:r>
            <w:r w:rsidR="00291404" w:rsidRPr="00814B5B">
              <w:rPr>
                <w:rFonts w:eastAsia="Calibri"/>
                <w:szCs w:val="22"/>
                <w:lang w:val="en-GB"/>
              </w:rPr>
              <w:t>j</w:t>
            </w:r>
            <w:r w:rsidRPr="00814B5B">
              <w:rPr>
                <w:rFonts w:eastAsia="Calibri"/>
                <w:szCs w:val="22"/>
                <w:lang w:val="en-GB"/>
              </w:rPr>
              <w:t xml:space="preserve">etljivost: anafilaktičke reakcije, </w:t>
            </w:r>
            <w:r w:rsidR="00B6418D" w:rsidRPr="00814B5B">
              <w:rPr>
                <w:rFonts w:eastAsia="Calibri"/>
                <w:szCs w:val="22"/>
                <w:lang w:val="en-GB"/>
              </w:rPr>
              <w:t>angioedem,</w:t>
            </w:r>
            <w:r w:rsidRPr="00814B5B">
              <w:rPr>
                <w:rFonts w:eastAsia="Calibri"/>
                <w:szCs w:val="22"/>
                <w:lang w:val="en-GB"/>
              </w:rPr>
              <w:t xml:space="preserve"> uključujući oticanje larinksa i glotisa što uzrokuje opstrukciju disajnih puteva i/ili oticanje lica, usana, ždr</w:t>
            </w:r>
            <w:r w:rsidR="00291404" w:rsidRPr="00814B5B">
              <w:rPr>
                <w:rFonts w:eastAsia="Calibri"/>
                <w:szCs w:val="22"/>
                <w:lang w:val="en-GB"/>
              </w:rPr>
              <w:t>ij</w:t>
            </w:r>
            <w:r w:rsidRPr="00814B5B">
              <w:rPr>
                <w:rFonts w:eastAsia="Calibri"/>
                <w:szCs w:val="22"/>
                <w:lang w:val="en-GB"/>
              </w:rPr>
              <w:t xml:space="preserve">ela i/ili jezika; kod nekih pacijenata, angioedem je prijavljen u anamnezi i </w:t>
            </w:r>
            <w:r w:rsidR="008274FC" w:rsidRPr="00814B5B">
              <w:rPr>
                <w:rFonts w:eastAsia="Calibri"/>
                <w:szCs w:val="22"/>
                <w:lang w:val="en-GB"/>
              </w:rPr>
              <w:t>bio je povezan</w:t>
            </w:r>
            <w:r w:rsidRPr="00814B5B">
              <w:rPr>
                <w:rFonts w:eastAsia="Calibri"/>
                <w:szCs w:val="22"/>
                <w:lang w:val="en-GB"/>
              </w:rPr>
              <w:t xml:space="preserve"> sa prim</w:t>
            </w:r>
            <w:r w:rsidR="00291404" w:rsidRPr="00814B5B">
              <w:rPr>
                <w:rFonts w:eastAsia="Calibri"/>
                <w:szCs w:val="22"/>
                <w:lang w:val="en-GB"/>
              </w:rPr>
              <w:t>j</w:t>
            </w:r>
            <w:r w:rsidRPr="00814B5B">
              <w:rPr>
                <w:rFonts w:eastAsia="Calibri"/>
                <w:szCs w:val="22"/>
                <w:lang w:val="en-GB"/>
              </w:rPr>
              <w:t>enom drugih l</w:t>
            </w:r>
            <w:r w:rsidR="00291404" w:rsidRPr="00814B5B">
              <w:rPr>
                <w:rFonts w:eastAsia="Calibri"/>
                <w:szCs w:val="22"/>
                <w:lang w:val="en-GB"/>
              </w:rPr>
              <w:t>j</w:t>
            </w:r>
            <w:r w:rsidRPr="00814B5B">
              <w:rPr>
                <w:rFonts w:eastAsia="Calibri"/>
                <w:szCs w:val="22"/>
                <w:lang w:val="en-GB"/>
              </w:rPr>
              <w:t>ekova, uključujući ACE inhibitore</w:t>
            </w:r>
          </w:p>
        </w:tc>
        <w:tc>
          <w:tcPr>
            <w:tcW w:w="846" w:type="pct"/>
            <w:shd w:val="clear" w:color="auto" w:fill="auto"/>
            <w:hideMark/>
          </w:tcPr>
          <w:p w14:paraId="25C4E799" w14:textId="164AA112"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R</w:t>
            </w:r>
            <w:r w:rsidR="00291404" w:rsidRPr="00814B5B">
              <w:rPr>
                <w:rFonts w:eastAsia="Calibri"/>
                <w:szCs w:val="22"/>
                <w:lang w:val="en-GB"/>
              </w:rPr>
              <w:t>ij</w:t>
            </w:r>
            <w:r w:rsidRPr="00814B5B">
              <w:rPr>
                <w:rFonts w:eastAsia="Calibri"/>
                <w:szCs w:val="22"/>
                <w:lang w:val="en-GB"/>
              </w:rPr>
              <w:t>etko</w:t>
            </w:r>
          </w:p>
        </w:tc>
      </w:tr>
      <w:tr w:rsidR="00A476FE" w:rsidRPr="00814B5B" w14:paraId="128093C7" w14:textId="77777777" w:rsidTr="00587B79">
        <w:tc>
          <w:tcPr>
            <w:tcW w:w="1500" w:type="pct"/>
            <w:shd w:val="clear" w:color="auto" w:fill="auto"/>
            <w:hideMark/>
          </w:tcPr>
          <w:p w14:paraId="20D42412" w14:textId="77777777" w:rsidR="00A476FE" w:rsidRPr="00814B5B" w:rsidRDefault="00A476FE" w:rsidP="007B600E">
            <w:pPr>
              <w:tabs>
                <w:tab w:val="clear" w:pos="284"/>
              </w:tabs>
              <w:autoSpaceDE w:val="0"/>
              <w:autoSpaceDN w:val="0"/>
              <w:adjustRightInd w:val="0"/>
              <w:rPr>
                <w:rFonts w:eastAsia="Calibri"/>
                <w:i/>
                <w:iCs/>
                <w:szCs w:val="22"/>
                <w:lang w:val="en-GB"/>
              </w:rPr>
            </w:pPr>
            <w:r w:rsidRPr="00814B5B">
              <w:rPr>
                <w:rFonts w:eastAsia="Calibri"/>
                <w:i/>
                <w:iCs/>
                <w:szCs w:val="22"/>
                <w:lang w:val="en-GB"/>
              </w:rPr>
              <w:t>Poremećaji metabolizma i ishrane</w:t>
            </w:r>
          </w:p>
        </w:tc>
        <w:tc>
          <w:tcPr>
            <w:tcW w:w="2654" w:type="pct"/>
            <w:shd w:val="clear" w:color="auto" w:fill="auto"/>
            <w:hideMark/>
          </w:tcPr>
          <w:p w14:paraId="05788C00"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Anoreksija, giht</w:t>
            </w:r>
          </w:p>
        </w:tc>
        <w:tc>
          <w:tcPr>
            <w:tcW w:w="846" w:type="pct"/>
            <w:shd w:val="clear" w:color="auto" w:fill="auto"/>
            <w:hideMark/>
          </w:tcPr>
          <w:p w14:paraId="7C9F9E15"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Povremeno</w:t>
            </w:r>
          </w:p>
        </w:tc>
      </w:tr>
      <w:tr w:rsidR="00A476FE" w:rsidRPr="00814B5B" w14:paraId="128EA7E9" w14:textId="77777777" w:rsidTr="00587B79">
        <w:tc>
          <w:tcPr>
            <w:tcW w:w="1500" w:type="pct"/>
            <w:vMerge w:val="restart"/>
            <w:shd w:val="clear" w:color="auto" w:fill="auto"/>
            <w:hideMark/>
          </w:tcPr>
          <w:p w14:paraId="69B1EE6A" w14:textId="77777777" w:rsidR="00A476FE" w:rsidRPr="00814B5B" w:rsidRDefault="00A476FE" w:rsidP="007B600E">
            <w:pPr>
              <w:tabs>
                <w:tab w:val="clear" w:pos="284"/>
              </w:tabs>
              <w:autoSpaceDE w:val="0"/>
              <w:autoSpaceDN w:val="0"/>
              <w:adjustRightInd w:val="0"/>
              <w:rPr>
                <w:rFonts w:eastAsia="Calibri"/>
                <w:i/>
                <w:iCs/>
                <w:szCs w:val="22"/>
                <w:lang w:val="en-GB"/>
              </w:rPr>
            </w:pPr>
            <w:r w:rsidRPr="00814B5B">
              <w:rPr>
                <w:rFonts w:eastAsia="Calibri"/>
                <w:i/>
                <w:iCs/>
                <w:szCs w:val="22"/>
                <w:lang w:val="en-GB"/>
              </w:rPr>
              <w:t>Poremećaji mišićno-koštanog sistema i vezivnog tkiva</w:t>
            </w:r>
          </w:p>
        </w:tc>
        <w:tc>
          <w:tcPr>
            <w:tcW w:w="2654" w:type="pct"/>
            <w:shd w:val="clear" w:color="auto" w:fill="auto"/>
            <w:hideMark/>
          </w:tcPr>
          <w:p w14:paraId="6A145064"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Grčevi u mišićima, bol u leđima, bol u nogama, mijalgija</w:t>
            </w:r>
          </w:p>
        </w:tc>
        <w:tc>
          <w:tcPr>
            <w:tcW w:w="846" w:type="pct"/>
            <w:shd w:val="clear" w:color="auto" w:fill="auto"/>
            <w:hideMark/>
          </w:tcPr>
          <w:p w14:paraId="285CFE25"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Često</w:t>
            </w:r>
          </w:p>
        </w:tc>
      </w:tr>
      <w:tr w:rsidR="00A476FE" w:rsidRPr="00814B5B" w14:paraId="507240E0" w14:textId="77777777" w:rsidTr="00587B79">
        <w:tc>
          <w:tcPr>
            <w:tcW w:w="1500" w:type="pct"/>
            <w:vMerge/>
            <w:shd w:val="clear" w:color="auto" w:fill="auto"/>
            <w:hideMark/>
          </w:tcPr>
          <w:p w14:paraId="05CC60A7" w14:textId="77777777" w:rsidR="00A476FE" w:rsidRPr="00814B5B" w:rsidRDefault="00A476FE" w:rsidP="007B600E">
            <w:pPr>
              <w:tabs>
                <w:tab w:val="clear" w:pos="284"/>
              </w:tabs>
              <w:autoSpaceDE w:val="0"/>
              <w:autoSpaceDN w:val="0"/>
              <w:adjustRightInd w:val="0"/>
              <w:rPr>
                <w:rFonts w:eastAsia="Calibri"/>
                <w:szCs w:val="22"/>
                <w:lang w:val="en-GB"/>
              </w:rPr>
            </w:pPr>
          </w:p>
        </w:tc>
        <w:tc>
          <w:tcPr>
            <w:tcW w:w="2654" w:type="pct"/>
            <w:shd w:val="clear" w:color="auto" w:fill="auto"/>
            <w:hideMark/>
          </w:tcPr>
          <w:p w14:paraId="0CA49354" w14:textId="4811F3E0"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Bol u ruci, oticanje zglobova, bol u kol</w:t>
            </w:r>
            <w:r w:rsidR="00291404" w:rsidRPr="00814B5B">
              <w:rPr>
                <w:rFonts w:eastAsia="Calibri"/>
                <w:szCs w:val="22"/>
                <w:lang w:val="en-GB"/>
              </w:rPr>
              <w:t>j</w:t>
            </w:r>
            <w:r w:rsidRPr="00814B5B">
              <w:rPr>
                <w:rFonts w:eastAsia="Calibri"/>
                <w:szCs w:val="22"/>
                <w:lang w:val="en-GB"/>
              </w:rPr>
              <w:t>enu, mišićnoskeletni bol, bol u ramenu, ukočenost, artralgija, artritis, koksalgija, fibromijalgija, slabost mišića</w:t>
            </w:r>
          </w:p>
        </w:tc>
        <w:tc>
          <w:tcPr>
            <w:tcW w:w="846" w:type="pct"/>
            <w:shd w:val="clear" w:color="auto" w:fill="auto"/>
            <w:hideMark/>
          </w:tcPr>
          <w:p w14:paraId="20B4BAE2"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Povremeno</w:t>
            </w:r>
          </w:p>
        </w:tc>
      </w:tr>
      <w:tr w:rsidR="00A476FE" w:rsidRPr="00814B5B" w14:paraId="75FCD7CD" w14:textId="77777777" w:rsidTr="00587B79">
        <w:tc>
          <w:tcPr>
            <w:tcW w:w="1500" w:type="pct"/>
            <w:vMerge/>
            <w:shd w:val="clear" w:color="auto" w:fill="auto"/>
            <w:hideMark/>
          </w:tcPr>
          <w:p w14:paraId="4A2FA3DF" w14:textId="77777777" w:rsidR="00A476FE" w:rsidRPr="00814B5B" w:rsidRDefault="00A476FE" w:rsidP="007B600E">
            <w:pPr>
              <w:tabs>
                <w:tab w:val="clear" w:pos="284"/>
              </w:tabs>
              <w:autoSpaceDE w:val="0"/>
              <w:autoSpaceDN w:val="0"/>
              <w:adjustRightInd w:val="0"/>
              <w:rPr>
                <w:rFonts w:eastAsia="Calibri"/>
                <w:szCs w:val="22"/>
                <w:lang w:val="en-GB"/>
              </w:rPr>
            </w:pPr>
          </w:p>
        </w:tc>
        <w:tc>
          <w:tcPr>
            <w:tcW w:w="2654" w:type="pct"/>
            <w:shd w:val="clear" w:color="auto" w:fill="auto"/>
            <w:hideMark/>
          </w:tcPr>
          <w:p w14:paraId="20AE7B54"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 xml:space="preserve">Rabdomioliza </w:t>
            </w:r>
          </w:p>
        </w:tc>
        <w:tc>
          <w:tcPr>
            <w:tcW w:w="846" w:type="pct"/>
            <w:shd w:val="clear" w:color="auto" w:fill="auto"/>
            <w:hideMark/>
          </w:tcPr>
          <w:p w14:paraId="60BE0CC5"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Nepoznato</w:t>
            </w:r>
          </w:p>
        </w:tc>
      </w:tr>
      <w:tr w:rsidR="00A476FE" w:rsidRPr="00814B5B" w14:paraId="42784937" w14:textId="77777777" w:rsidTr="00587B79">
        <w:tc>
          <w:tcPr>
            <w:tcW w:w="1500" w:type="pct"/>
            <w:vMerge w:val="restart"/>
            <w:shd w:val="clear" w:color="auto" w:fill="auto"/>
            <w:hideMark/>
          </w:tcPr>
          <w:p w14:paraId="7FEFC56F" w14:textId="77777777" w:rsidR="00A476FE" w:rsidRPr="00814B5B" w:rsidRDefault="00A476FE" w:rsidP="007B600E">
            <w:pPr>
              <w:tabs>
                <w:tab w:val="clear" w:pos="284"/>
              </w:tabs>
              <w:autoSpaceDE w:val="0"/>
              <w:autoSpaceDN w:val="0"/>
              <w:adjustRightInd w:val="0"/>
              <w:rPr>
                <w:rFonts w:eastAsia="Calibri"/>
                <w:i/>
                <w:iCs/>
                <w:szCs w:val="22"/>
                <w:lang w:val="en-GB"/>
              </w:rPr>
            </w:pPr>
            <w:r w:rsidRPr="00814B5B">
              <w:rPr>
                <w:rFonts w:eastAsia="Calibri"/>
                <w:i/>
                <w:iCs/>
                <w:szCs w:val="22"/>
                <w:lang w:val="en-GB"/>
              </w:rPr>
              <w:t>Poremećaji nervnog sistema</w:t>
            </w:r>
          </w:p>
        </w:tc>
        <w:tc>
          <w:tcPr>
            <w:tcW w:w="2654" w:type="pct"/>
            <w:shd w:val="clear" w:color="auto" w:fill="auto"/>
            <w:hideMark/>
          </w:tcPr>
          <w:p w14:paraId="2C763E2B"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Glavobolja, vrtoglavica</w:t>
            </w:r>
          </w:p>
        </w:tc>
        <w:tc>
          <w:tcPr>
            <w:tcW w:w="846" w:type="pct"/>
            <w:shd w:val="clear" w:color="auto" w:fill="auto"/>
            <w:hideMark/>
          </w:tcPr>
          <w:p w14:paraId="4F3BC16D"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Često</w:t>
            </w:r>
          </w:p>
        </w:tc>
      </w:tr>
      <w:tr w:rsidR="00A476FE" w:rsidRPr="00814B5B" w14:paraId="74479944" w14:textId="77777777" w:rsidTr="00587B79">
        <w:tc>
          <w:tcPr>
            <w:tcW w:w="1500" w:type="pct"/>
            <w:vMerge/>
            <w:shd w:val="clear" w:color="auto" w:fill="auto"/>
            <w:hideMark/>
          </w:tcPr>
          <w:p w14:paraId="1B9D9BEC" w14:textId="77777777" w:rsidR="00A476FE" w:rsidRPr="00814B5B" w:rsidRDefault="00A476FE" w:rsidP="007B600E">
            <w:pPr>
              <w:tabs>
                <w:tab w:val="clear" w:pos="284"/>
              </w:tabs>
              <w:autoSpaceDE w:val="0"/>
              <w:autoSpaceDN w:val="0"/>
              <w:adjustRightInd w:val="0"/>
              <w:rPr>
                <w:rFonts w:eastAsia="Calibri"/>
                <w:szCs w:val="22"/>
                <w:lang w:val="en-GB"/>
              </w:rPr>
            </w:pPr>
          </w:p>
        </w:tc>
        <w:tc>
          <w:tcPr>
            <w:tcW w:w="2654" w:type="pct"/>
            <w:shd w:val="clear" w:color="auto" w:fill="auto"/>
            <w:hideMark/>
          </w:tcPr>
          <w:p w14:paraId="08737784"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Nervoza, parestezija, periferna neuropatija, tremor, migrena, sinkopa</w:t>
            </w:r>
          </w:p>
        </w:tc>
        <w:tc>
          <w:tcPr>
            <w:tcW w:w="846" w:type="pct"/>
            <w:shd w:val="clear" w:color="auto" w:fill="auto"/>
            <w:hideMark/>
          </w:tcPr>
          <w:p w14:paraId="50BCC111"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Povremeno</w:t>
            </w:r>
          </w:p>
        </w:tc>
      </w:tr>
      <w:tr w:rsidR="00A476FE" w:rsidRPr="00814B5B" w14:paraId="35D00751" w14:textId="77777777" w:rsidTr="00587B79">
        <w:tc>
          <w:tcPr>
            <w:tcW w:w="1500" w:type="pct"/>
            <w:vMerge/>
            <w:shd w:val="clear" w:color="auto" w:fill="auto"/>
            <w:hideMark/>
          </w:tcPr>
          <w:p w14:paraId="79CFBBB6" w14:textId="77777777" w:rsidR="00A476FE" w:rsidRPr="00814B5B" w:rsidRDefault="00A476FE" w:rsidP="007B600E">
            <w:pPr>
              <w:tabs>
                <w:tab w:val="clear" w:pos="284"/>
              </w:tabs>
              <w:autoSpaceDE w:val="0"/>
              <w:autoSpaceDN w:val="0"/>
              <w:adjustRightInd w:val="0"/>
              <w:rPr>
                <w:rFonts w:eastAsia="Calibri"/>
                <w:szCs w:val="22"/>
                <w:lang w:val="en-GB"/>
              </w:rPr>
            </w:pPr>
          </w:p>
        </w:tc>
        <w:tc>
          <w:tcPr>
            <w:tcW w:w="2654" w:type="pct"/>
            <w:shd w:val="clear" w:color="auto" w:fill="auto"/>
            <w:hideMark/>
          </w:tcPr>
          <w:p w14:paraId="3161389E"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Disgeuzija</w:t>
            </w:r>
          </w:p>
        </w:tc>
        <w:tc>
          <w:tcPr>
            <w:tcW w:w="846" w:type="pct"/>
            <w:shd w:val="clear" w:color="auto" w:fill="auto"/>
            <w:hideMark/>
          </w:tcPr>
          <w:p w14:paraId="79C5D6D8"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Nepoznato</w:t>
            </w:r>
          </w:p>
        </w:tc>
      </w:tr>
      <w:tr w:rsidR="00A476FE" w:rsidRPr="00814B5B" w14:paraId="7BCDC75C" w14:textId="77777777" w:rsidTr="00587B79">
        <w:tc>
          <w:tcPr>
            <w:tcW w:w="1500" w:type="pct"/>
            <w:vMerge w:val="restart"/>
            <w:shd w:val="clear" w:color="auto" w:fill="auto"/>
            <w:hideMark/>
          </w:tcPr>
          <w:p w14:paraId="08B5892B" w14:textId="77777777" w:rsidR="00A476FE" w:rsidRPr="00814B5B" w:rsidRDefault="00A476FE" w:rsidP="007B600E">
            <w:pPr>
              <w:tabs>
                <w:tab w:val="clear" w:pos="284"/>
              </w:tabs>
              <w:autoSpaceDE w:val="0"/>
              <w:autoSpaceDN w:val="0"/>
              <w:adjustRightInd w:val="0"/>
              <w:rPr>
                <w:rFonts w:eastAsia="Calibri"/>
                <w:i/>
                <w:iCs/>
                <w:szCs w:val="22"/>
                <w:lang w:val="en-GB"/>
              </w:rPr>
            </w:pPr>
            <w:r w:rsidRPr="00814B5B">
              <w:rPr>
                <w:rFonts w:eastAsia="Calibri"/>
                <w:i/>
                <w:iCs/>
                <w:szCs w:val="22"/>
                <w:lang w:val="en-GB"/>
              </w:rPr>
              <w:t>Psihijatrijski poremećaji</w:t>
            </w:r>
          </w:p>
        </w:tc>
        <w:tc>
          <w:tcPr>
            <w:tcW w:w="2654" w:type="pct"/>
            <w:shd w:val="clear" w:color="auto" w:fill="auto"/>
            <w:hideMark/>
          </w:tcPr>
          <w:p w14:paraId="375BE8D3"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Insomnija</w:t>
            </w:r>
          </w:p>
        </w:tc>
        <w:tc>
          <w:tcPr>
            <w:tcW w:w="846" w:type="pct"/>
            <w:shd w:val="clear" w:color="auto" w:fill="auto"/>
            <w:hideMark/>
          </w:tcPr>
          <w:p w14:paraId="5BFFB4F3"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Često</w:t>
            </w:r>
          </w:p>
        </w:tc>
      </w:tr>
      <w:tr w:rsidR="00A476FE" w:rsidRPr="00814B5B" w14:paraId="0EE3DBF5" w14:textId="77777777" w:rsidTr="00587B79">
        <w:tc>
          <w:tcPr>
            <w:tcW w:w="1500" w:type="pct"/>
            <w:vMerge/>
            <w:shd w:val="clear" w:color="auto" w:fill="auto"/>
            <w:hideMark/>
          </w:tcPr>
          <w:p w14:paraId="206602A5" w14:textId="77777777" w:rsidR="00A476FE" w:rsidRPr="00814B5B" w:rsidRDefault="00A476FE" w:rsidP="007B600E">
            <w:pPr>
              <w:tabs>
                <w:tab w:val="clear" w:pos="284"/>
              </w:tabs>
              <w:autoSpaceDE w:val="0"/>
              <w:autoSpaceDN w:val="0"/>
              <w:adjustRightInd w:val="0"/>
              <w:rPr>
                <w:rFonts w:eastAsia="Calibri"/>
                <w:szCs w:val="22"/>
                <w:lang w:val="en-GB"/>
              </w:rPr>
            </w:pPr>
          </w:p>
        </w:tc>
        <w:tc>
          <w:tcPr>
            <w:tcW w:w="2654" w:type="pct"/>
            <w:shd w:val="clear" w:color="auto" w:fill="auto"/>
            <w:hideMark/>
          </w:tcPr>
          <w:p w14:paraId="04802EEA"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Anksioznost, anksiozni poremećaj, panični poremećaj, konfuzija, depresija, neuobičajeni snovi, poremećaj sna, somnolencija, poremećaj pamćenja</w:t>
            </w:r>
          </w:p>
        </w:tc>
        <w:tc>
          <w:tcPr>
            <w:tcW w:w="846" w:type="pct"/>
            <w:shd w:val="clear" w:color="auto" w:fill="auto"/>
            <w:hideMark/>
          </w:tcPr>
          <w:p w14:paraId="4494789C"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Povremeno</w:t>
            </w:r>
          </w:p>
        </w:tc>
      </w:tr>
      <w:tr w:rsidR="00A476FE" w:rsidRPr="00814B5B" w14:paraId="0F0FE125" w14:textId="77777777" w:rsidTr="00587B79">
        <w:tc>
          <w:tcPr>
            <w:tcW w:w="1500" w:type="pct"/>
            <w:vMerge w:val="restart"/>
            <w:shd w:val="clear" w:color="auto" w:fill="auto"/>
            <w:hideMark/>
          </w:tcPr>
          <w:p w14:paraId="5679ECF7" w14:textId="77777777" w:rsidR="00A476FE" w:rsidRPr="00814B5B" w:rsidRDefault="00A476FE" w:rsidP="007B600E">
            <w:pPr>
              <w:tabs>
                <w:tab w:val="clear" w:pos="284"/>
              </w:tabs>
              <w:autoSpaceDE w:val="0"/>
              <w:autoSpaceDN w:val="0"/>
              <w:adjustRightInd w:val="0"/>
              <w:rPr>
                <w:rFonts w:eastAsia="Calibri"/>
                <w:i/>
                <w:iCs/>
                <w:szCs w:val="22"/>
                <w:lang w:val="en-GB"/>
              </w:rPr>
            </w:pPr>
            <w:r w:rsidRPr="00814B5B">
              <w:rPr>
                <w:rFonts w:eastAsia="Calibri"/>
                <w:i/>
                <w:iCs/>
                <w:szCs w:val="22"/>
                <w:lang w:val="en-GB"/>
              </w:rPr>
              <w:t>Poremećaji bubrega i urinarnog sistema</w:t>
            </w:r>
          </w:p>
        </w:tc>
        <w:tc>
          <w:tcPr>
            <w:tcW w:w="2654" w:type="pct"/>
            <w:shd w:val="clear" w:color="auto" w:fill="auto"/>
            <w:hideMark/>
          </w:tcPr>
          <w:p w14:paraId="1E84AAF5"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Oštećenje funkcije bubrega, insuficijencija bubrega</w:t>
            </w:r>
          </w:p>
        </w:tc>
        <w:tc>
          <w:tcPr>
            <w:tcW w:w="846" w:type="pct"/>
            <w:shd w:val="clear" w:color="auto" w:fill="auto"/>
            <w:hideMark/>
          </w:tcPr>
          <w:p w14:paraId="629F29B5"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Često</w:t>
            </w:r>
          </w:p>
        </w:tc>
      </w:tr>
      <w:tr w:rsidR="00A476FE" w:rsidRPr="00814B5B" w14:paraId="0F37AB36" w14:textId="77777777" w:rsidTr="00587B79">
        <w:tc>
          <w:tcPr>
            <w:tcW w:w="1500" w:type="pct"/>
            <w:vMerge/>
            <w:shd w:val="clear" w:color="auto" w:fill="auto"/>
            <w:hideMark/>
          </w:tcPr>
          <w:p w14:paraId="6F3CFA7E" w14:textId="77777777" w:rsidR="00A476FE" w:rsidRPr="00814B5B" w:rsidRDefault="00A476FE" w:rsidP="007B600E">
            <w:pPr>
              <w:tabs>
                <w:tab w:val="clear" w:pos="284"/>
              </w:tabs>
              <w:autoSpaceDE w:val="0"/>
              <w:autoSpaceDN w:val="0"/>
              <w:adjustRightInd w:val="0"/>
              <w:rPr>
                <w:rFonts w:eastAsia="Calibri"/>
                <w:szCs w:val="22"/>
                <w:lang w:val="en-GB"/>
              </w:rPr>
            </w:pPr>
          </w:p>
        </w:tc>
        <w:tc>
          <w:tcPr>
            <w:tcW w:w="2654" w:type="pct"/>
            <w:shd w:val="clear" w:color="auto" w:fill="auto"/>
            <w:hideMark/>
          </w:tcPr>
          <w:p w14:paraId="11629A81"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Noćno mokrenje, učestalost mokrenja, infekcije urinarnog trakta</w:t>
            </w:r>
          </w:p>
        </w:tc>
        <w:tc>
          <w:tcPr>
            <w:tcW w:w="846" w:type="pct"/>
            <w:shd w:val="clear" w:color="auto" w:fill="auto"/>
            <w:hideMark/>
          </w:tcPr>
          <w:p w14:paraId="0ECDFB8B"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Povremeno</w:t>
            </w:r>
          </w:p>
        </w:tc>
      </w:tr>
      <w:tr w:rsidR="00A476FE" w:rsidRPr="00814B5B" w14:paraId="1A6ACA0E" w14:textId="77777777" w:rsidTr="00587B79">
        <w:tc>
          <w:tcPr>
            <w:tcW w:w="1500" w:type="pct"/>
            <w:shd w:val="clear" w:color="auto" w:fill="auto"/>
            <w:hideMark/>
          </w:tcPr>
          <w:p w14:paraId="65AFF46E" w14:textId="77777777" w:rsidR="00A476FE" w:rsidRPr="00814B5B" w:rsidRDefault="00A476FE" w:rsidP="007B600E">
            <w:pPr>
              <w:tabs>
                <w:tab w:val="clear" w:pos="284"/>
              </w:tabs>
              <w:autoSpaceDE w:val="0"/>
              <w:autoSpaceDN w:val="0"/>
              <w:adjustRightInd w:val="0"/>
              <w:rPr>
                <w:rFonts w:eastAsia="Calibri"/>
                <w:i/>
                <w:iCs/>
                <w:szCs w:val="22"/>
                <w:lang w:val="pl-PL"/>
              </w:rPr>
            </w:pPr>
            <w:r w:rsidRPr="00814B5B">
              <w:rPr>
                <w:rFonts w:eastAsia="Calibri"/>
                <w:i/>
                <w:iCs/>
                <w:szCs w:val="22"/>
                <w:lang w:val="pl-PL"/>
              </w:rPr>
              <w:t>Poremećaji reproduktivnog sistema i dojki</w:t>
            </w:r>
          </w:p>
        </w:tc>
        <w:tc>
          <w:tcPr>
            <w:tcW w:w="2654" w:type="pct"/>
            <w:shd w:val="clear" w:color="auto" w:fill="auto"/>
            <w:hideMark/>
          </w:tcPr>
          <w:p w14:paraId="2A411A8C" w14:textId="77777777" w:rsidR="00A476FE" w:rsidRPr="00814B5B" w:rsidRDefault="00A476FE" w:rsidP="007B600E">
            <w:pPr>
              <w:tabs>
                <w:tab w:val="clear" w:pos="284"/>
              </w:tabs>
              <w:autoSpaceDE w:val="0"/>
              <w:autoSpaceDN w:val="0"/>
              <w:adjustRightInd w:val="0"/>
              <w:rPr>
                <w:rFonts w:eastAsia="Calibri"/>
                <w:szCs w:val="22"/>
                <w:lang w:val="es-ES_tradnl"/>
              </w:rPr>
            </w:pPr>
            <w:r w:rsidRPr="00814B5B">
              <w:rPr>
                <w:rFonts w:eastAsia="Calibri"/>
                <w:szCs w:val="22"/>
                <w:lang w:val="es-ES_tradnl"/>
              </w:rPr>
              <w:t>Smanjen libido, erektilna disfunkcija/impotencija</w:t>
            </w:r>
          </w:p>
        </w:tc>
        <w:tc>
          <w:tcPr>
            <w:tcW w:w="846" w:type="pct"/>
            <w:shd w:val="clear" w:color="auto" w:fill="auto"/>
            <w:hideMark/>
          </w:tcPr>
          <w:p w14:paraId="1EA426A2"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Povremeno</w:t>
            </w:r>
          </w:p>
        </w:tc>
      </w:tr>
      <w:tr w:rsidR="00A476FE" w:rsidRPr="00814B5B" w14:paraId="550F00D6" w14:textId="77777777" w:rsidTr="00587B79">
        <w:tc>
          <w:tcPr>
            <w:tcW w:w="1500" w:type="pct"/>
            <w:vMerge w:val="restart"/>
            <w:shd w:val="clear" w:color="auto" w:fill="auto"/>
            <w:hideMark/>
          </w:tcPr>
          <w:p w14:paraId="0DD62D37" w14:textId="77777777" w:rsidR="00A476FE" w:rsidRPr="00814B5B" w:rsidRDefault="00A476FE" w:rsidP="007B600E">
            <w:pPr>
              <w:tabs>
                <w:tab w:val="clear" w:pos="284"/>
              </w:tabs>
              <w:autoSpaceDE w:val="0"/>
              <w:autoSpaceDN w:val="0"/>
              <w:adjustRightInd w:val="0"/>
              <w:rPr>
                <w:rFonts w:eastAsia="Calibri"/>
                <w:i/>
                <w:iCs/>
                <w:szCs w:val="22"/>
                <w:lang w:val="en-GB"/>
              </w:rPr>
            </w:pPr>
            <w:r w:rsidRPr="00814B5B">
              <w:rPr>
                <w:rFonts w:eastAsia="Calibri"/>
                <w:i/>
                <w:iCs/>
                <w:szCs w:val="22"/>
                <w:lang w:val="en-GB"/>
              </w:rPr>
              <w:t>Respiratorni, torakalni i medijastinalni poremećaji</w:t>
            </w:r>
          </w:p>
        </w:tc>
        <w:tc>
          <w:tcPr>
            <w:tcW w:w="2654" w:type="pct"/>
            <w:shd w:val="clear" w:color="auto" w:fill="auto"/>
            <w:hideMark/>
          </w:tcPr>
          <w:p w14:paraId="6C915E4F" w14:textId="77777777" w:rsidR="00A476FE" w:rsidRPr="00814B5B" w:rsidRDefault="00A476FE" w:rsidP="007B600E">
            <w:pPr>
              <w:tabs>
                <w:tab w:val="clear" w:pos="284"/>
              </w:tabs>
              <w:autoSpaceDE w:val="0"/>
              <w:autoSpaceDN w:val="0"/>
              <w:adjustRightInd w:val="0"/>
              <w:rPr>
                <w:rFonts w:eastAsia="Calibri"/>
                <w:szCs w:val="22"/>
                <w:lang w:val="sv-SE"/>
              </w:rPr>
            </w:pPr>
            <w:r w:rsidRPr="00814B5B">
              <w:rPr>
                <w:rFonts w:eastAsia="Calibri"/>
                <w:szCs w:val="22"/>
                <w:lang w:val="sv-SE"/>
              </w:rPr>
              <w:t>Kašalj, infekcije gornjeg respiratornog trakta, nazalna kongestija, sinuzitis, poremećaj na nivou sinusa</w:t>
            </w:r>
          </w:p>
        </w:tc>
        <w:tc>
          <w:tcPr>
            <w:tcW w:w="846" w:type="pct"/>
            <w:shd w:val="clear" w:color="auto" w:fill="auto"/>
            <w:hideMark/>
          </w:tcPr>
          <w:p w14:paraId="1FDBF9E8"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Često</w:t>
            </w:r>
          </w:p>
        </w:tc>
      </w:tr>
      <w:tr w:rsidR="00A476FE" w:rsidRPr="00814B5B" w14:paraId="2C671DF9" w14:textId="77777777" w:rsidTr="00587B79">
        <w:tc>
          <w:tcPr>
            <w:tcW w:w="1500" w:type="pct"/>
            <w:vMerge/>
            <w:shd w:val="clear" w:color="auto" w:fill="auto"/>
            <w:hideMark/>
          </w:tcPr>
          <w:p w14:paraId="3B9FFD7D" w14:textId="77777777" w:rsidR="00A476FE" w:rsidRPr="00814B5B" w:rsidRDefault="00A476FE" w:rsidP="007B600E">
            <w:pPr>
              <w:tabs>
                <w:tab w:val="clear" w:pos="284"/>
              </w:tabs>
              <w:autoSpaceDE w:val="0"/>
              <w:autoSpaceDN w:val="0"/>
              <w:adjustRightInd w:val="0"/>
              <w:rPr>
                <w:rFonts w:eastAsia="Calibri"/>
                <w:szCs w:val="22"/>
                <w:lang w:val="en-GB"/>
              </w:rPr>
            </w:pPr>
          </w:p>
        </w:tc>
        <w:tc>
          <w:tcPr>
            <w:tcW w:w="2654" w:type="pct"/>
            <w:shd w:val="clear" w:color="auto" w:fill="auto"/>
            <w:hideMark/>
          </w:tcPr>
          <w:p w14:paraId="03CC85E5" w14:textId="0058D06B"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Nelagodnost u ždr</w:t>
            </w:r>
            <w:r w:rsidR="00291404" w:rsidRPr="00814B5B">
              <w:rPr>
                <w:rFonts w:eastAsia="Calibri"/>
                <w:szCs w:val="22"/>
                <w:lang w:val="en-GB"/>
              </w:rPr>
              <w:t>ij</w:t>
            </w:r>
            <w:r w:rsidRPr="00814B5B">
              <w:rPr>
                <w:rFonts w:eastAsia="Calibri"/>
                <w:szCs w:val="22"/>
                <w:lang w:val="en-GB"/>
              </w:rPr>
              <w:t xml:space="preserve">elu, faringitis, laringitis, dispneja, bronhitis, epistaksa, rinitis, respiratorna kongestija </w:t>
            </w:r>
          </w:p>
        </w:tc>
        <w:tc>
          <w:tcPr>
            <w:tcW w:w="846" w:type="pct"/>
            <w:shd w:val="clear" w:color="auto" w:fill="auto"/>
            <w:hideMark/>
          </w:tcPr>
          <w:p w14:paraId="583961BB"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Povremeno</w:t>
            </w:r>
          </w:p>
        </w:tc>
      </w:tr>
      <w:tr w:rsidR="00A476FE" w:rsidRPr="00814B5B" w14:paraId="52E3EC40" w14:textId="77777777" w:rsidTr="00587B79">
        <w:tc>
          <w:tcPr>
            <w:tcW w:w="1500" w:type="pct"/>
            <w:shd w:val="clear" w:color="auto" w:fill="auto"/>
            <w:hideMark/>
          </w:tcPr>
          <w:p w14:paraId="0AF5A789" w14:textId="77777777" w:rsidR="00A476FE" w:rsidRPr="00814B5B" w:rsidRDefault="00A476FE" w:rsidP="007B600E">
            <w:pPr>
              <w:tabs>
                <w:tab w:val="clear" w:pos="284"/>
              </w:tabs>
              <w:autoSpaceDE w:val="0"/>
              <w:autoSpaceDN w:val="0"/>
              <w:adjustRightInd w:val="0"/>
              <w:rPr>
                <w:rFonts w:eastAsia="Calibri"/>
                <w:i/>
                <w:iCs/>
                <w:szCs w:val="22"/>
                <w:lang w:val="en-GB"/>
              </w:rPr>
            </w:pPr>
            <w:r w:rsidRPr="00814B5B">
              <w:rPr>
                <w:rFonts w:eastAsia="Calibri"/>
                <w:i/>
                <w:iCs/>
                <w:szCs w:val="22"/>
                <w:lang w:val="en-GB"/>
              </w:rPr>
              <w:t>Poremećaji kože i potkožnog tkiva</w:t>
            </w:r>
          </w:p>
        </w:tc>
        <w:tc>
          <w:tcPr>
            <w:tcW w:w="2654" w:type="pct"/>
            <w:shd w:val="clear" w:color="auto" w:fill="auto"/>
            <w:hideMark/>
          </w:tcPr>
          <w:p w14:paraId="0D28F097"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 xml:space="preserve">Alopecija, dermatitis, suvoća kože, eritem, naleti crvenila, fotosenzitivnost, pruritus, osip, urtikarija, znojenje </w:t>
            </w:r>
          </w:p>
        </w:tc>
        <w:tc>
          <w:tcPr>
            <w:tcW w:w="846" w:type="pct"/>
            <w:shd w:val="clear" w:color="auto" w:fill="auto"/>
            <w:hideMark/>
          </w:tcPr>
          <w:p w14:paraId="76A27EB5"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Povremeno</w:t>
            </w:r>
          </w:p>
        </w:tc>
      </w:tr>
      <w:tr w:rsidR="00A476FE" w:rsidRPr="00814B5B" w14:paraId="5F1B99EA" w14:textId="77777777" w:rsidTr="00587B79">
        <w:tc>
          <w:tcPr>
            <w:tcW w:w="1500" w:type="pct"/>
            <w:vMerge w:val="restart"/>
            <w:shd w:val="clear" w:color="auto" w:fill="auto"/>
            <w:hideMark/>
          </w:tcPr>
          <w:p w14:paraId="0CEB2EE4" w14:textId="77777777" w:rsidR="00A476FE" w:rsidRPr="00814B5B" w:rsidRDefault="00A476FE" w:rsidP="007B600E">
            <w:pPr>
              <w:tabs>
                <w:tab w:val="clear" w:pos="284"/>
              </w:tabs>
              <w:autoSpaceDE w:val="0"/>
              <w:autoSpaceDN w:val="0"/>
              <w:adjustRightInd w:val="0"/>
              <w:rPr>
                <w:rFonts w:eastAsia="Calibri"/>
                <w:i/>
                <w:iCs/>
                <w:szCs w:val="22"/>
                <w:lang w:val="en-GB"/>
              </w:rPr>
            </w:pPr>
            <w:r w:rsidRPr="00814B5B">
              <w:rPr>
                <w:rFonts w:eastAsia="Calibri"/>
                <w:i/>
                <w:iCs/>
                <w:szCs w:val="22"/>
                <w:lang w:val="en-GB"/>
              </w:rPr>
              <w:t>Vaskularni poremećaji</w:t>
            </w:r>
          </w:p>
        </w:tc>
        <w:tc>
          <w:tcPr>
            <w:tcW w:w="2654" w:type="pct"/>
            <w:shd w:val="clear" w:color="auto" w:fill="auto"/>
            <w:hideMark/>
          </w:tcPr>
          <w:p w14:paraId="357299ED"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Vaskulitis</w:t>
            </w:r>
          </w:p>
        </w:tc>
        <w:tc>
          <w:tcPr>
            <w:tcW w:w="846" w:type="pct"/>
            <w:shd w:val="clear" w:color="auto" w:fill="auto"/>
            <w:hideMark/>
          </w:tcPr>
          <w:p w14:paraId="0887DC50"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Povremeno</w:t>
            </w:r>
          </w:p>
        </w:tc>
      </w:tr>
      <w:tr w:rsidR="00A476FE" w:rsidRPr="00814B5B" w14:paraId="401D2F73" w14:textId="77777777" w:rsidTr="00587B79">
        <w:tc>
          <w:tcPr>
            <w:tcW w:w="1500" w:type="pct"/>
            <w:vMerge/>
            <w:shd w:val="clear" w:color="auto" w:fill="auto"/>
            <w:hideMark/>
          </w:tcPr>
          <w:p w14:paraId="40EC9055" w14:textId="77777777" w:rsidR="00A476FE" w:rsidRPr="00814B5B" w:rsidRDefault="00A476FE" w:rsidP="007B600E">
            <w:pPr>
              <w:tabs>
                <w:tab w:val="clear" w:pos="284"/>
              </w:tabs>
              <w:autoSpaceDE w:val="0"/>
              <w:autoSpaceDN w:val="0"/>
              <w:adjustRightInd w:val="0"/>
              <w:rPr>
                <w:rFonts w:eastAsia="Calibri"/>
                <w:szCs w:val="22"/>
                <w:lang w:val="en-GB"/>
              </w:rPr>
            </w:pPr>
          </w:p>
        </w:tc>
        <w:tc>
          <w:tcPr>
            <w:tcW w:w="2654" w:type="pct"/>
            <w:shd w:val="clear" w:color="auto" w:fill="auto"/>
            <w:hideMark/>
          </w:tcPr>
          <w:p w14:paraId="4E69DD0D"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Dozno-zavisni ortostatski efekti</w:t>
            </w:r>
          </w:p>
        </w:tc>
        <w:tc>
          <w:tcPr>
            <w:tcW w:w="846" w:type="pct"/>
            <w:shd w:val="clear" w:color="auto" w:fill="auto"/>
            <w:hideMark/>
          </w:tcPr>
          <w:p w14:paraId="4E522333"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Nepoznato</w:t>
            </w:r>
          </w:p>
        </w:tc>
      </w:tr>
      <w:tr w:rsidR="00A476FE" w:rsidRPr="00814B5B" w14:paraId="57C33C4A" w14:textId="77777777" w:rsidTr="00587B79">
        <w:tc>
          <w:tcPr>
            <w:tcW w:w="1500" w:type="pct"/>
            <w:vMerge w:val="restart"/>
            <w:shd w:val="clear" w:color="auto" w:fill="auto"/>
            <w:hideMark/>
          </w:tcPr>
          <w:p w14:paraId="3AB2130A" w14:textId="77777777" w:rsidR="00A476FE" w:rsidRPr="00814B5B" w:rsidRDefault="00A476FE" w:rsidP="007B600E">
            <w:pPr>
              <w:tabs>
                <w:tab w:val="clear" w:pos="284"/>
              </w:tabs>
              <w:autoSpaceDE w:val="0"/>
              <w:autoSpaceDN w:val="0"/>
              <w:adjustRightInd w:val="0"/>
              <w:rPr>
                <w:rFonts w:eastAsia="Calibri"/>
                <w:i/>
                <w:iCs/>
                <w:szCs w:val="22"/>
                <w:lang w:val="en-GB"/>
              </w:rPr>
            </w:pPr>
            <w:r w:rsidRPr="00814B5B">
              <w:rPr>
                <w:rFonts w:eastAsia="Calibri"/>
                <w:i/>
                <w:iCs/>
                <w:szCs w:val="22"/>
                <w:lang w:val="en-GB"/>
              </w:rPr>
              <w:t>Ispitivanja</w:t>
            </w:r>
          </w:p>
        </w:tc>
        <w:tc>
          <w:tcPr>
            <w:tcW w:w="2654" w:type="pct"/>
            <w:shd w:val="clear" w:color="auto" w:fill="auto"/>
            <w:hideMark/>
          </w:tcPr>
          <w:p w14:paraId="5C912C51"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Hiperkalemija, blago smanjenje hematokrita i hemoglobina, hipoglikemija</w:t>
            </w:r>
          </w:p>
        </w:tc>
        <w:tc>
          <w:tcPr>
            <w:tcW w:w="846" w:type="pct"/>
            <w:shd w:val="clear" w:color="auto" w:fill="auto"/>
            <w:hideMark/>
          </w:tcPr>
          <w:p w14:paraId="485DF66B"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Često</w:t>
            </w:r>
          </w:p>
        </w:tc>
      </w:tr>
      <w:tr w:rsidR="00A476FE" w:rsidRPr="00814B5B" w14:paraId="50797A41" w14:textId="77777777" w:rsidTr="00587B79">
        <w:tc>
          <w:tcPr>
            <w:tcW w:w="1500" w:type="pct"/>
            <w:vMerge/>
            <w:shd w:val="clear" w:color="auto" w:fill="auto"/>
            <w:hideMark/>
          </w:tcPr>
          <w:p w14:paraId="77ECBF6B" w14:textId="77777777" w:rsidR="00A476FE" w:rsidRPr="00814B5B" w:rsidRDefault="00A476FE" w:rsidP="007B600E">
            <w:pPr>
              <w:tabs>
                <w:tab w:val="clear" w:pos="284"/>
              </w:tabs>
              <w:autoSpaceDE w:val="0"/>
              <w:autoSpaceDN w:val="0"/>
              <w:adjustRightInd w:val="0"/>
              <w:rPr>
                <w:rFonts w:eastAsia="Calibri"/>
                <w:szCs w:val="22"/>
                <w:lang w:val="en-GB"/>
              </w:rPr>
            </w:pPr>
          </w:p>
        </w:tc>
        <w:tc>
          <w:tcPr>
            <w:tcW w:w="2654" w:type="pct"/>
            <w:shd w:val="clear" w:color="auto" w:fill="auto"/>
            <w:hideMark/>
          </w:tcPr>
          <w:p w14:paraId="50785239"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Blago povećanje koncentracije uree i kreatinina u serumu</w:t>
            </w:r>
          </w:p>
        </w:tc>
        <w:tc>
          <w:tcPr>
            <w:tcW w:w="846" w:type="pct"/>
            <w:shd w:val="clear" w:color="auto" w:fill="auto"/>
            <w:hideMark/>
          </w:tcPr>
          <w:p w14:paraId="32F73358"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Povremeno</w:t>
            </w:r>
          </w:p>
        </w:tc>
      </w:tr>
      <w:tr w:rsidR="00A476FE" w:rsidRPr="00814B5B" w14:paraId="5B1996A0" w14:textId="77777777" w:rsidTr="00587B79">
        <w:tc>
          <w:tcPr>
            <w:tcW w:w="1500" w:type="pct"/>
            <w:vMerge/>
            <w:shd w:val="clear" w:color="auto" w:fill="auto"/>
            <w:hideMark/>
          </w:tcPr>
          <w:p w14:paraId="5F53EDCC" w14:textId="77777777" w:rsidR="00A476FE" w:rsidRPr="00814B5B" w:rsidRDefault="00A476FE" w:rsidP="007B600E">
            <w:pPr>
              <w:tabs>
                <w:tab w:val="clear" w:pos="284"/>
              </w:tabs>
              <w:autoSpaceDE w:val="0"/>
              <w:autoSpaceDN w:val="0"/>
              <w:adjustRightInd w:val="0"/>
              <w:rPr>
                <w:rFonts w:eastAsia="Calibri"/>
                <w:szCs w:val="22"/>
                <w:lang w:val="en-GB"/>
              </w:rPr>
            </w:pPr>
          </w:p>
        </w:tc>
        <w:tc>
          <w:tcPr>
            <w:tcW w:w="2654" w:type="pct"/>
            <w:shd w:val="clear" w:color="auto" w:fill="auto"/>
            <w:hideMark/>
          </w:tcPr>
          <w:p w14:paraId="31D69150" w14:textId="3F284ABB"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Povećanje vr</w:t>
            </w:r>
            <w:r w:rsidR="00291404" w:rsidRPr="00814B5B">
              <w:rPr>
                <w:rFonts w:eastAsia="Calibri"/>
                <w:szCs w:val="22"/>
                <w:lang w:val="en-GB"/>
              </w:rPr>
              <w:t>ij</w:t>
            </w:r>
            <w:r w:rsidRPr="00814B5B">
              <w:rPr>
                <w:rFonts w:eastAsia="Calibri"/>
                <w:szCs w:val="22"/>
                <w:lang w:val="en-GB"/>
              </w:rPr>
              <w:t>ednosti enzima jetre i bilirubina</w:t>
            </w:r>
          </w:p>
        </w:tc>
        <w:tc>
          <w:tcPr>
            <w:tcW w:w="846" w:type="pct"/>
            <w:shd w:val="clear" w:color="auto" w:fill="auto"/>
            <w:hideMark/>
          </w:tcPr>
          <w:p w14:paraId="0F917A9D" w14:textId="1516DDF8"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Veoma r</w:t>
            </w:r>
            <w:r w:rsidR="00291404" w:rsidRPr="00814B5B">
              <w:rPr>
                <w:rFonts w:eastAsia="Calibri"/>
                <w:szCs w:val="22"/>
                <w:lang w:val="en-GB"/>
              </w:rPr>
              <w:t>ij</w:t>
            </w:r>
            <w:r w:rsidRPr="00814B5B">
              <w:rPr>
                <w:rFonts w:eastAsia="Calibri"/>
                <w:szCs w:val="22"/>
                <w:lang w:val="en-GB"/>
              </w:rPr>
              <w:t>etko</w:t>
            </w:r>
          </w:p>
        </w:tc>
      </w:tr>
      <w:tr w:rsidR="00A476FE" w:rsidRPr="00814B5B" w14:paraId="606A4D76" w14:textId="77777777" w:rsidTr="00587B79">
        <w:tc>
          <w:tcPr>
            <w:tcW w:w="1500" w:type="pct"/>
            <w:vMerge/>
            <w:shd w:val="clear" w:color="auto" w:fill="auto"/>
            <w:hideMark/>
          </w:tcPr>
          <w:p w14:paraId="7FB45DCD" w14:textId="77777777" w:rsidR="00A476FE" w:rsidRPr="00814B5B" w:rsidRDefault="00A476FE" w:rsidP="007B600E">
            <w:pPr>
              <w:tabs>
                <w:tab w:val="clear" w:pos="284"/>
              </w:tabs>
              <w:autoSpaceDE w:val="0"/>
              <w:autoSpaceDN w:val="0"/>
              <w:adjustRightInd w:val="0"/>
              <w:rPr>
                <w:rFonts w:eastAsia="Calibri"/>
                <w:szCs w:val="22"/>
                <w:lang w:val="en-GB"/>
              </w:rPr>
            </w:pPr>
          </w:p>
        </w:tc>
        <w:tc>
          <w:tcPr>
            <w:tcW w:w="2654" w:type="pct"/>
            <w:shd w:val="clear" w:color="auto" w:fill="auto"/>
            <w:hideMark/>
          </w:tcPr>
          <w:p w14:paraId="457F6DF8"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Hiponatremija</w:t>
            </w:r>
          </w:p>
        </w:tc>
        <w:tc>
          <w:tcPr>
            <w:tcW w:w="846" w:type="pct"/>
            <w:shd w:val="clear" w:color="auto" w:fill="auto"/>
            <w:hideMark/>
          </w:tcPr>
          <w:p w14:paraId="44AA9D88" w14:textId="77777777" w:rsidR="00A476FE" w:rsidRPr="00814B5B" w:rsidRDefault="00A476FE" w:rsidP="007B600E">
            <w:pPr>
              <w:tabs>
                <w:tab w:val="clear" w:pos="284"/>
              </w:tabs>
              <w:autoSpaceDE w:val="0"/>
              <w:autoSpaceDN w:val="0"/>
              <w:adjustRightInd w:val="0"/>
              <w:rPr>
                <w:rFonts w:eastAsia="Calibri"/>
                <w:szCs w:val="22"/>
                <w:lang w:val="en-GB"/>
              </w:rPr>
            </w:pPr>
            <w:r w:rsidRPr="00814B5B">
              <w:rPr>
                <w:rFonts w:eastAsia="Calibri"/>
                <w:szCs w:val="22"/>
                <w:lang w:val="en-GB"/>
              </w:rPr>
              <w:t>Nepoznato</w:t>
            </w:r>
          </w:p>
        </w:tc>
      </w:tr>
    </w:tbl>
    <w:p w14:paraId="072951C6" w14:textId="6C9DACCF" w:rsidR="00A476FE" w:rsidRPr="00814B5B" w:rsidRDefault="00A476FE" w:rsidP="007B600E">
      <w:pPr>
        <w:shd w:val="clear" w:color="auto" w:fill="FFFFFF"/>
        <w:tabs>
          <w:tab w:val="clear" w:pos="284"/>
        </w:tabs>
        <w:spacing w:before="120" w:after="120"/>
        <w:rPr>
          <w:szCs w:val="22"/>
          <w:u w:val="single"/>
          <w:lang w:val="en-GB"/>
        </w:rPr>
      </w:pPr>
      <w:r w:rsidRPr="00814B5B">
        <w:rPr>
          <w:szCs w:val="22"/>
          <w:u w:val="single"/>
          <w:lang w:val="en-GB"/>
        </w:rPr>
        <w:t>Hidrohlortiazid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9"/>
        <w:gridCol w:w="5111"/>
        <w:gridCol w:w="1629"/>
      </w:tblGrid>
      <w:tr w:rsidR="00A476FE" w:rsidRPr="00814B5B" w14:paraId="54BF4D1D" w14:textId="77777777" w:rsidTr="00983D10">
        <w:tc>
          <w:tcPr>
            <w:tcW w:w="1500" w:type="pct"/>
            <w:shd w:val="clear" w:color="auto" w:fill="auto"/>
            <w:hideMark/>
          </w:tcPr>
          <w:p w14:paraId="5732D984" w14:textId="77777777" w:rsidR="00A476FE" w:rsidRPr="00814B5B" w:rsidRDefault="00A476FE" w:rsidP="007B600E">
            <w:pPr>
              <w:tabs>
                <w:tab w:val="clear" w:pos="284"/>
              </w:tabs>
              <w:rPr>
                <w:rFonts w:eastAsia="Calibri"/>
                <w:b/>
                <w:szCs w:val="22"/>
                <w:lang w:val="en-GB"/>
              </w:rPr>
            </w:pPr>
            <w:r w:rsidRPr="00814B5B">
              <w:rPr>
                <w:rFonts w:eastAsia="Calibri"/>
                <w:b/>
                <w:bCs/>
                <w:iCs/>
                <w:szCs w:val="22"/>
                <w:lang w:val="en-GB"/>
              </w:rPr>
              <w:t>Klasa sistema organa</w:t>
            </w:r>
          </w:p>
        </w:tc>
        <w:tc>
          <w:tcPr>
            <w:tcW w:w="2654" w:type="pct"/>
            <w:shd w:val="clear" w:color="auto" w:fill="auto"/>
            <w:hideMark/>
          </w:tcPr>
          <w:p w14:paraId="54CF8CD2" w14:textId="77777777" w:rsidR="00A476FE" w:rsidRPr="00814B5B" w:rsidRDefault="00A476FE" w:rsidP="007B600E">
            <w:pPr>
              <w:tabs>
                <w:tab w:val="clear" w:pos="284"/>
              </w:tabs>
              <w:rPr>
                <w:rFonts w:eastAsia="Calibri"/>
                <w:b/>
                <w:szCs w:val="22"/>
                <w:lang w:val="en-GB"/>
              </w:rPr>
            </w:pPr>
            <w:r w:rsidRPr="00814B5B">
              <w:rPr>
                <w:rFonts w:eastAsia="Calibri"/>
                <w:b/>
                <w:szCs w:val="22"/>
                <w:lang w:val="en-GB"/>
              </w:rPr>
              <w:t>Neželjena reakcija</w:t>
            </w:r>
          </w:p>
        </w:tc>
        <w:tc>
          <w:tcPr>
            <w:tcW w:w="846" w:type="pct"/>
            <w:shd w:val="clear" w:color="auto" w:fill="auto"/>
            <w:hideMark/>
          </w:tcPr>
          <w:p w14:paraId="395A3566" w14:textId="77777777" w:rsidR="00A476FE" w:rsidRPr="00814B5B" w:rsidRDefault="00A476FE" w:rsidP="007B600E">
            <w:pPr>
              <w:tabs>
                <w:tab w:val="clear" w:pos="284"/>
              </w:tabs>
              <w:rPr>
                <w:rFonts w:eastAsia="Calibri"/>
                <w:b/>
                <w:szCs w:val="22"/>
                <w:lang w:val="en-GB"/>
              </w:rPr>
            </w:pPr>
            <w:r w:rsidRPr="00814B5B">
              <w:rPr>
                <w:rFonts w:eastAsia="Calibri"/>
                <w:b/>
                <w:szCs w:val="22"/>
                <w:lang w:val="en-GB"/>
              </w:rPr>
              <w:t>Učestalost</w:t>
            </w:r>
          </w:p>
        </w:tc>
      </w:tr>
      <w:tr w:rsidR="00A476FE" w:rsidRPr="00814B5B" w14:paraId="59E63F7B" w14:textId="77777777" w:rsidTr="00983D10">
        <w:tc>
          <w:tcPr>
            <w:tcW w:w="1500" w:type="pct"/>
            <w:shd w:val="clear" w:color="auto" w:fill="auto"/>
            <w:hideMark/>
          </w:tcPr>
          <w:p w14:paraId="49FE412E" w14:textId="77777777" w:rsidR="00A476FE" w:rsidRPr="00814B5B" w:rsidRDefault="00A476FE" w:rsidP="007B600E">
            <w:pPr>
              <w:tabs>
                <w:tab w:val="clear" w:pos="284"/>
              </w:tabs>
              <w:rPr>
                <w:rFonts w:eastAsia="Calibri"/>
                <w:i/>
                <w:iCs/>
                <w:szCs w:val="22"/>
                <w:lang w:val="en-GB"/>
              </w:rPr>
            </w:pPr>
            <w:r w:rsidRPr="00814B5B">
              <w:rPr>
                <w:rFonts w:eastAsia="Calibri"/>
                <w:i/>
                <w:iCs/>
                <w:szCs w:val="22"/>
                <w:lang w:val="en-GB"/>
              </w:rPr>
              <w:t>Poremećaji krvi i limfnog sistema</w:t>
            </w:r>
          </w:p>
        </w:tc>
        <w:tc>
          <w:tcPr>
            <w:tcW w:w="2654" w:type="pct"/>
            <w:shd w:val="clear" w:color="auto" w:fill="auto"/>
            <w:hideMark/>
          </w:tcPr>
          <w:p w14:paraId="3A174DEA" w14:textId="77777777" w:rsidR="00A476FE" w:rsidRPr="00814B5B" w:rsidRDefault="00A476FE" w:rsidP="007B600E">
            <w:pPr>
              <w:tabs>
                <w:tab w:val="clear" w:pos="284"/>
              </w:tabs>
              <w:rPr>
                <w:rFonts w:eastAsia="Calibri"/>
                <w:szCs w:val="22"/>
                <w:lang w:val="es-ES_tradnl"/>
              </w:rPr>
            </w:pPr>
            <w:r w:rsidRPr="00814B5B">
              <w:rPr>
                <w:rFonts w:eastAsia="Calibri"/>
                <w:szCs w:val="22"/>
                <w:lang w:val="es-ES_tradnl"/>
              </w:rPr>
              <w:t>Agranulocitoza, aplastična anemija, hemolitička anemija, leukopenija, purpura, trombocitopenija</w:t>
            </w:r>
          </w:p>
        </w:tc>
        <w:tc>
          <w:tcPr>
            <w:tcW w:w="846" w:type="pct"/>
            <w:shd w:val="clear" w:color="auto" w:fill="auto"/>
            <w:hideMark/>
          </w:tcPr>
          <w:p w14:paraId="2B14D96F" w14:textId="77777777" w:rsidR="00A476FE" w:rsidRPr="00814B5B" w:rsidRDefault="00A476FE" w:rsidP="007B600E">
            <w:pPr>
              <w:tabs>
                <w:tab w:val="clear" w:pos="284"/>
              </w:tabs>
              <w:rPr>
                <w:rFonts w:eastAsia="Calibri"/>
                <w:szCs w:val="22"/>
                <w:lang w:val="en-GB"/>
              </w:rPr>
            </w:pPr>
            <w:r w:rsidRPr="00814B5B">
              <w:rPr>
                <w:rFonts w:eastAsia="Calibri"/>
                <w:szCs w:val="22"/>
                <w:lang w:val="en-GB"/>
              </w:rPr>
              <w:t>Povremeno</w:t>
            </w:r>
          </w:p>
        </w:tc>
      </w:tr>
      <w:tr w:rsidR="00A476FE" w:rsidRPr="00814B5B" w14:paraId="3E00CCC6" w14:textId="77777777" w:rsidTr="00983D10">
        <w:tc>
          <w:tcPr>
            <w:tcW w:w="1500" w:type="pct"/>
            <w:shd w:val="clear" w:color="auto" w:fill="auto"/>
            <w:hideMark/>
          </w:tcPr>
          <w:p w14:paraId="711E2873" w14:textId="77777777" w:rsidR="00A476FE" w:rsidRPr="00814B5B" w:rsidRDefault="00A476FE" w:rsidP="007B600E">
            <w:pPr>
              <w:tabs>
                <w:tab w:val="clear" w:pos="284"/>
              </w:tabs>
              <w:rPr>
                <w:rFonts w:eastAsia="Calibri"/>
                <w:i/>
                <w:iCs/>
                <w:szCs w:val="22"/>
                <w:lang w:val="en-GB"/>
              </w:rPr>
            </w:pPr>
            <w:r w:rsidRPr="00814B5B">
              <w:rPr>
                <w:rFonts w:eastAsia="Calibri"/>
                <w:i/>
                <w:iCs/>
                <w:szCs w:val="22"/>
                <w:lang w:val="en-GB"/>
              </w:rPr>
              <w:t>Poremećaji imunskog sistema</w:t>
            </w:r>
          </w:p>
        </w:tc>
        <w:tc>
          <w:tcPr>
            <w:tcW w:w="2654" w:type="pct"/>
            <w:shd w:val="clear" w:color="auto" w:fill="auto"/>
            <w:hideMark/>
          </w:tcPr>
          <w:p w14:paraId="2D02AAA8" w14:textId="77777777" w:rsidR="00A476FE" w:rsidRPr="00814B5B" w:rsidRDefault="00A476FE" w:rsidP="007B600E">
            <w:pPr>
              <w:tabs>
                <w:tab w:val="clear" w:pos="284"/>
              </w:tabs>
              <w:rPr>
                <w:rFonts w:eastAsia="Calibri"/>
                <w:szCs w:val="22"/>
                <w:lang w:val="en-GB"/>
              </w:rPr>
            </w:pPr>
            <w:r w:rsidRPr="00814B5B">
              <w:rPr>
                <w:rFonts w:eastAsia="Calibri"/>
                <w:szCs w:val="22"/>
                <w:lang w:val="en-GB"/>
              </w:rPr>
              <w:t>Anafilaktička reakcija</w:t>
            </w:r>
          </w:p>
        </w:tc>
        <w:tc>
          <w:tcPr>
            <w:tcW w:w="846" w:type="pct"/>
            <w:shd w:val="clear" w:color="auto" w:fill="auto"/>
            <w:hideMark/>
          </w:tcPr>
          <w:p w14:paraId="5A59B1A4" w14:textId="039D3323" w:rsidR="00A476FE" w:rsidRPr="00814B5B" w:rsidRDefault="00A476FE" w:rsidP="007B600E">
            <w:pPr>
              <w:tabs>
                <w:tab w:val="clear" w:pos="284"/>
              </w:tabs>
              <w:rPr>
                <w:rFonts w:eastAsia="Calibri"/>
                <w:szCs w:val="22"/>
                <w:lang w:val="en-GB"/>
              </w:rPr>
            </w:pPr>
            <w:r w:rsidRPr="00814B5B">
              <w:rPr>
                <w:rFonts w:eastAsia="Calibri"/>
                <w:szCs w:val="22"/>
                <w:lang w:val="en-GB"/>
              </w:rPr>
              <w:t>R</w:t>
            </w:r>
            <w:r w:rsidR="00337E99" w:rsidRPr="00814B5B">
              <w:rPr>
                <w:rFonts w:eastAsia="Calibri"/>
                <w:szCs w:val="22"/>
                <w:lang w:val="en-GB"/>
              </w:rPr>
              <w:t>ij</w:t>
            </w:r>
            <w:r w:rsidRPr="00814B5B">
              <w:rPr>
                <w:rFonts w:eastAsia="Calibri"/>
                <w:szCs w:val="22"/>
                <w:lang w:val="en-GB"/>
              </w:rPr>
              <w:t xml:space="preserve">etko </w:t>
            </w:r>
          </w:p>
        </w:tc>
      </w:tr>
      <w:tr w:rsidR="00A476FE" w:rsidRPr="00814B5B" w14:paraId="6CBBAA74" w14:textId="77777777" w:rsidTr="00983D10">
        <w:tc>
          <w:tcPr>
            <w:tcW w:w="1500" w:type="pct"/>
            <w:shd w:val="clear" w:color="auto" w:fill="auto"/>
            <w:hideMark/>
          </w:tcPr>
          <w:p w14:paraId="3FBCACDC" w14:textId="77777777" w:rsidR="00A476FE" w:rsidRPr="00814B5B" w:rsidRDefault="00A476FE" w:rsidP="007B600E">
            <w:pPr>
              <w:tabs>
                <w:tab w:val="clear" w:pos="284"/>
              </w:tabs>
              <w:rPr>
                <w:rFonts w:eastAsia="Calibri"/>
                <w:i/>
                <w:iCs/>
                <w:szCs w:val="22"/>
                <w:lang w:val="en-GB"/>
              </w:rPr>
            </w:pPr>
            <w:r w:rsidRPr="00814B5B">
              <w:rPr>
                <w:rFonts w:eastAsia="Calibri"/>
                <w:i/>
                <w:iCs/>
                <w:szCs w:val="22"/>
                <w:lang w:val="en-GB"/>
              </w:rPr>
              <w:t>Poremećaji metabolizma i ishrane</w:t>
            </w:r>
          </w:p>
        </w:tc>
        <w:tc>
          <w:tcPr>
            <w:tcW w:w="2654" w:type="pct"/>
            <w:shd w:val="clear" w:color="auto" w:fill="auto"/>
            <w:hideMark/>
          </w:tcPr>
          <w:p w14:paraId="44404119" w14:textId="77777777" w:rsidR="00A476FE" w:rsidRPr="00814B5B" w:rsidRDefault="00A476FE" w:rsidP="007B600E">
            <w:pPr>
              <w:tabs>
                <w:tab w:val="clear" w:pos="284"/>
              </w:tabs>
              <w:rPr>
                <w:rFonts w:eastAsia="Calibri"/>
                <w:szCs w:val="22"/>
                <w:lang w:val="en-GB"/>
              </w:rPr>
            </w:pPr>
            <w:r w:rsidRPr="00814B5B">
              <w:rPr>
                <w:rFonts w:eastAsia="Calibri"/>
                <w:szCs w:val="22"/>
                <w:lang w:val="en-GB"/>
              </w:rPr>
              <w:t>Anoreksija, hiperglikemija, hiperurikemija, hipokalemija, hiponatremija</w:t>
            </w:r>
          </w:p>
        </w:tc>
        <w:tc>
          <w:tcPr>
            <w:tcW w:w="846" w:type="pct"/>
            <w:shd w:val="clear" w:color="auto" w:fill="auto"/>
            <w:hideMark/>
          </w:tcPr>
          <w:p w14:paraId="700E395D" w14:textId="77777777" w:rsidR="00A476FE" w:rsidRPr="00814B5B" w:rsidRDefault="00A476FE" w:rsidP="007B600E">
            <w:pPr>
              <w:tabs>
                <w:tab w:val="clear" w:pos="284"/>
              </w:tabs>
              <w:rPr>
                <w:rFonts w:eastAsia="Calibri"/>
                <w:szCs w:val="22"/>
                <w:lang w:val="en-GB"/>
              </w:rPr>
            </w:pPr>
            <w:r w:rsidRPr="00814B5B">
              <w:rPr>
                <w:rFonts w:eastAsia="Calibri"/>
                <w:szCs w:val="22"/>
                <w:lang w:val="en-GB"/>
              </w:rPr>
              <w:t>Povremeno</w:t>
            </w:r>
          </w:p>
        </w:tc>
      </w:tr>
      <w:tr w:rsidR="00A476FE" w:rsidRPr="00814B5B" w14:paraId="0D2E7FF3" w14:textId="77777777" w:rsidTr="00983D10">
        <w:tc>
          <w:tcPr>
            <w:tcW w:w="1500" w:type="pct"/>
            <w:shd w:val="clear" w:color="auto" w:fill="auto"/>
            <w:hideMark/>
          </w:tcPr>
          <w:p w14:paraId="76872623" w14:textId="77777777" w:rsidR="00A476FE" w:rsidRPr="00814B5B" w:rsidRDefault="00A476FE" w:rsidP="007B600E">
            <w:pPr>
              <w:tabs>
                <w:tab w:val="clear" w:pos="284"/>
              </w:tabs>
              <w:rPr>
                <w:rFonts w:eastAsia="Calibri"/>
                <w:i/>
                <w:iCs/>
                <w:szCs w:val="22"/>
                <w:lang w:val="en-GB"/>
              </w:rPr>
            </w:pPr>
            <w:r w:rsidRPr="00814B5B">
              <w:rPr>
                <w:rFonts w:eastAsia="Calibri"/>
                <w:i/>
                <w:iCs/>
                <w:szCs w:val="22"/>
                <w:lang w:val="en-GB"/>
              </w:rPr>
              <w:t>Psihijatrijski poremećaji</w:t>
            </w:r>
          </w:p>
        </w:tc>
        <w:tc>
          <w:tcPr>
            <w:tcW w:w="2654" w:type="pct"/>
            <w:shd w:val="clear" w:color="auto" w:fill="auto"/>
            <w:hideMark/>
          </w:tcPr>
          <w:p w14:paraId="39CF129D" w14:textId="77777777" w:rsidR="00A476FE" w:rsidRPr="00814B5B" w:rsidRDefault="00A476FE" w:rsidP="007B600E">
            <w:pPr>
              <w:tabs>
                <w:tab w:val="clear" w:pos="284"/>
              </w:tabs>
              <w:rPr>
                <w:rFonts w:eastAsia="Calibri"/>
                <w:szCs w:val="22"/>
                <w:lang w:val="en-GB"/>
              </w:rPr>
            </w:pPr>
            <w:r w:rsidRPr="00814B5B">
              <w:rPr>
                <w:rFonts w:eastAsia="Calibri"/>
                <w:szCs w:val="22"/>
                <w:lang w:val="en-GB"/>
              </w:rPr>
              <w:t>Insomnija</w:t>
            </w:r>
          </w:p>
        </w:tc>
        <w:tc>
          <w:tcPr>
            <w:tcW w:w="846" w:type="pct"/>
            <w:shd w:val="clear" w:color="auto" w:fill="auto"/>
            <w:hideMark/>
          </w:tcPr>
          <w:p w14:paraId="5809DB4A" w14:textId="77777777" w:rsidR="00A476FE" w:rsidRPr="00814B5B" w:rsidRDefault="00A476FE" w:rsidP="007B600E">
            <w:pPr>
              <w:tabs>
                <w:tab w:val="clear" w:pos="284"/>
              </w:tabs>
              <w:rPr>
                <w:rFonts w:eastAsia="Calibri"/>
                <w:szCs w:val="22"/>
                <w:lang w:val="en-GB"/>
              </w:rPr>
            </w:pPr>
            <w:r w:rsidRPr="00814B5B">
              <w:rPr>
                <w:rFonts w:eastAsia="Calibri"/>
                <w:szCs w:val="22"/>
                <w:lang w:val="en-GB"/>
              </w:rPr>
              <w:t>Povremeno</w:t>
            </w:r>
          </w:p>
        </w:tc>
      </w:tr>
      <w:tr w:rsidR="00A476FE" w:rsidRPr="00814B5B" w14:paraId="583089D7" w14:textId="77777777" w:rsidTr="00983D10">
        <w:tc>
          <w:tcPr>
            <w:tcW w:w="1500" w:type="pct"/>
            <w:shd w:val="clear" w:color="auto" w:fill="auto"/>
            <w:hideMark/>
          </w:tcPr>
          <w:p w14:paraId="4BEF4D7E" w14:textId="77777777" w:rsidR="00A476FE" w:rsidRPr="00814B5B" w:rsidRDefault="00A476FE" w:rsidP="007B600E">
            <w:pPr>
              <w:tabs>
                <w:tab w:val="clear" w:pos="284"/>
              </w:tabs>
              <w:rPr>
                <w:rFonts w:eastAsia="Calibri"/>
                <w:i/>
                <w:iCs/>
                <w:szCs w:val="22"/>
                <w:lang w:val="en-GB"/>
              </w:rPr>
            </w:pPr>
            <w:r w:rsidRPr="00814B5B">
              <w:rPr>
                <w:rFonts w:eastAsia="Calibri"/>
                <w:i/>
                <w:iCs/>
                <w:szCs w:val="22"/>
                <w:lang w:val="en-GB"/>
              </w:rPr>
              <w:t>Poremećaji nervnog sistema</w:t>
            </w:r>
          </w:p>
        </w:tc>
        <w:tc>
          <w:tcPr>
            <w:tcW w:w="2654" w:type="pct"/>
            <w:shd w:val="clear" w:color="auto" w:fill="auto"/>
            <w:hideMark/>
          </w:tcPr>
          <w:p w14:paraId="367CA7CD" w14:textId="77777777" w:rsidR="00A476FE" w:rsidRPr="00814B5B" w:rsidRDefault="00A476FE" w:rsidP="007B600E">
            <w:pPr>
              <w:tabs>
                <w:tab w:val="clear" w:pos="284"/>
              </w:tabs>
              <w:rPr>
                <w:rFonts w:eastAsia="Calibri"/>
                <w:szCs w:val="22"/>
                <w:lang w:val="en-GB"/>
              </w:rPr>
            </w:pPr>
            <w:r w:rsidRPr="00814B5B">
              <w:rPr>
                <w:rFonts w:eastAsia="Calibri"/>
                <w:szCs w:val="22"/>
                <w:lang w:val="en-GB"/>
              </w:rPr>
              <w:t>Cefalgija</w:t>
            </w:r>
          </w:p>
        </w:tc>
        <w:tc>
          <w:tcPr>
            <w:tcW w:w="846" w:type="pct"/>
            <w:shd w:val="clear" w:color="auto" w:fill="auto"/>
            <w:hideMark/>
          </w:tcPr>
          <w:p w14:paraId="673E32D2" w14:textId="77777777" w:rsidR="00A476FE" w:rsidRPr="00814B5B" w:rsidRDefault="00A476FE" w:rsidP="007B600E">
            <w:pPr>
              <w:tabs>
                <w:tab w:val="clear" w:pos="284"/>
              </w:tabs>
              <w:rPr>
                <w:rFonts w:eastAsia="Calibri"/>
                <w:szCs w:val="22"/>
                <w:lang w:val="en-GB"/>
              </w:rPr>
            </w:pPr>
            <w:r w:rsidRPr="00814B5B">
              <w:rPr>
                <w:rFonts w:eastAsia="Calibri"/>
                <w:szCs w:val="22"/>
                <w:lang w:val="en-GB"/>
              </w:rPr>
              <w:t>Često</w:t>
            </w:r>
          </w:p>
        </w:tc>
      </w:tr>
      <w:tr w:rsidR="004D0D70" w:rsidRPr="00814B5B" w14:paraId="0B74E13E" w14:textId="77777777" w:rsidTr="00983D10">
        <w:tc>
          <w:tcPr>
            <w:tcW w:w="1500" w:type="pct"/>
            <w:vMerge w:val="restart"/>
            <w:shd w:val="clear" w:color="auto" w:fill="auto"/>
            <w:hideMark/>
          </w:tcPr>
          <w:p w14:paraId="5924D7FE" w14:textId="77777777" w:rsidR="004D0D70" w:rsidRPr="00814B5B" w:rsidRDefault="004D0D70" w:rsidP="007B600E">
            <w:pPr>
              <w:tabs>
                <w:tab w:val="clear" w:pos="284"/>
              </w:tabs>
              <w:rPr>
                <w:rFonts w:eastAsia="Calibri"/>
                <w:i/>
                <w:iCs/>
                <w:szCs w:val="22"/>
                <w:lang w:val="en-GB"/>
              </w:rPr>
            </w:pPr>
            <w:r w:rsidRPr="00814B5B">
              <w:rPr>
                <w:rFonts w:eastAsia="Calibri"/>
                <w:i/>
                <w:iCs/>
                <w:szCs w:val="22"/>
                <w:lang w:val="en-GB"/>
              </w:rPr>
              <w:t>Poremećaji oka</w:t>
            </w:r>
          </w:p>
        </w:tc>
        <w:tc>
          <w:tcPr>
            <w:tcW w:w="2654" w:type="pct"/>
            <w:shd w:val="clear" w:color="auto" w:fill="auto"/>
            <w:hideMark/>
          </w:tcPr>
          <w:p w14:paraId="757F11C6" w14:textId="77777777" w:rsidR="004D0D70" w:rsidRPr="00814B5B" w:rsidRDefault="004D0D70" w:rsidP="007B600E">
            <w:pPr>
              <w:tabs>
                <w:tab w:val="clear" w:pos="284"/>
              </w:tabs>
              <w:rPr>
                <w:rFonts w:eastAsia="Calibri"/>
                <w:szCs w:val="22"/>
                <w:lang w:val="en-GB"/>
              </w:rPr>
            </w:pPr>
            <w:r w:rsidRPr="00814B5B">
              <w:rPr>
                <w:rFonts w:eastAsia="Calibri"/>
                <w:szCs w:val="22"/>
                <w:lang w:val="en-GB"/>
              </w:rPr>
              <w:t>Prolazno zamućenje vida, ksantopsija</w:t>
            </w:r>
          </w:p>
        </w:tc>
        <w:tc>
          <w:tcPr>
            <w:tcW w:w="846" w:type="pct"/>
            <w:shd w:val="clear" w:color="auto" w:fill="auto"/>
            <w:hideMark/>
          </w:tcPr>
          <w:p w14:paraId="26D9C55A" w14:textId="77777777" w:rsidR="004D0D70" w:rsidRPr="00814B5B" w:rsidRDefault="004D0D70" w:rsidP="007B600E">
            <w:pPr>
              <w:tabs>
                <w:tab w:val="clear" w:pos="284"/>
              </w:tabs>
              <w:rPr>
                <w:rFonts w:eastAsia="Calibri"/>
                <w:szCs w:val="22"/>
                <w:lang w:val="en-GB"/>
              </w:rPr>
            </w:pPr>
            <w:r w:rsidRPr="00814B5B">
              <w:rPr>
                <w:rFonts w:eastAsia="Calibri"/>
                <w:szCs w:val="22"/>
                <w:lang w:val="en-GB"/>
              </w:rPr>
              <w:t>Povremeno</w:t>
            </w:r>
          </w:p>
        </w:tc>
      </w:tr>
      <w:tr w:rsidR="004D0D70" w:rsidRPr="00814B5B" w14:paraId="7E876F24" w14:textId="77777777" w:rsidTr="00983D10">
        <w:tc>
          <w:tcPr>
            <w:tcW w:w="1500" w:type="pct"/>
            <w:vMerge/>
            <w:shd w:val="clear" w:color="auto" w:fill="auto"/>
          </w:tcPr>
          <w:p w14:paraId="51263CEB" w14:textId="77777777" w:rsidR="004D0D70" w:rsidRPr="00814B5B" w:rsidRDefault="004D0D70" w:rsidP="007B600E">
            <w:pPr>
              <w:tabs>
                <w:tab w:val="clear" w:pos="284"/>
              </w:tabs>
              <w:rPr>
                <w:rFonts w:eastAsia="Calibri"/>
                <w:i/>
                <w:iCs/>
                <w:szCs w:val="22"/>
                <w:lang w:val="en-GB"/>
              </w:rPr>
            </w:pPr>
          </w:p>
        </w:tc>
        <w:tc>
          <w:tcPr>
            <w:tcW w:w="2654" w:type="pct"/>
            <w:shd w:val="clear" w:color="auto" w:fill="auto"/>
          </w:tcPr>
          <w:p w14:paraId="42FBF3EA" w14:textId="7FEADF93" w:rsidR="004D0D70" w:rsidRPr="00814B5B" w:rsidRDefault="004D0D70" w:rsidP="007B600E">
            <w:pPr>
              <w:tabs>
                <w:tab w:val="clear" w:pos="284"/>
              </w:tabs>
              <w:rPr>
                <w:rFonts w:eastAsia="Calibri"/>
                <w:szCs w:val="22"/>
                <w:lang w:val="en-GB"/>
              </w:rPr>
            </w:pPr>
            <w:r w:rsidRPr="00814B5B">
              <w:rPr>
                <w:rFonts w:eastAsia="Calibri"/>
                <w:szCs w:val="22"/>
                <w:lang w:val="en-GB"/>
              </w:rPr>
              <w:t>Horoidalna efuzija, akutna miopija, akutni glaukom zatvorenog ugla</w:t>
            </w:r>
          </w:p>
        </w:tc>
        <w:tc>
          <w:tcPr>
            <w:tcW w:w="846" w:type="pct"/>
            <w:shd w:val="clear" w:color="auto" w:fill="auto"/>
          </w:tcPr>
          <w:p w14:paraId="56C92B1A" w14:textId="036238BD" w:rsidR="004D0D70" w:rsidRPr="00814B5B" w:rsidRDefault="004D0D70" w:rsidP="007B600E">
            <w:pPr>
              <w:tabs>
                <w:tab w:val="clear" w:pos="284"/>
              </w:tabs>
              <w:rPr>
                <w:rFonts w:eastAsia="Calibri"/>
                <w:szCs w:val="22"/>
                <w:lang w:val="en-GB"/>
              </w:rPr>
            </w:pPr>
            <w:r w:rsidRPr="00814B5B">
              <w:rPr>
                <w:rFonts w:eastAsia="Calibri"/>
                <w:szCs w:val="22"/>
                <w:lang w:val="en-GB"/>
              </w:rPr>
              <w:t>Nepoznato</w:t>
            </w:r>
          </w:p>
        </w:tc>
      </w:tr>
      <w:tr w:rsidR="00A476FE" w:rsidRPr="00814B5B" w14:paraId="64C6C98C" w14:textId="77777777" w:rsidTr="00983D10">
        <w:tc>
          <w:tcPr>
            <w:tcW w:w="1500" w:type="pct"/>
            <w:shd w:val="clear" w:color="auto" w:fill="auto"/>
            <w:hideMark/>
          </w:tcPr>
          <w:p w14:paraId="1DF1CF4F" w14:textId="77777777" w:rsidR="00A476FE" w:rsidRPr="00814B5B" w:rsidRDefault="00A476FE" w:rsidP="007B600E">
            <w:pPr>
              <w:tabs>
                <w:tab w:val="clear" w:pos="284"/>
              </w:tabs>
              <w:rPr>
                <w:rFonts w:eastAsia="Calibri"/>
                <w:i/>
                <w:iCs/>
                <w:szCs w:val="22"/>
                <w:lang w:val="en-GB"/>
              </w:rPr>
            </w:pPr>
            <w:r w:rsidRPr="00814B5B">
              <w:rPr>
                <w:rFonts w:eastAsia="Calibri"/>
                <w:i/>
                <w:iCs/>
                <w:szCs w:val="22"/>
                <w:lang w:val="en-GB"/>
              </w:rPr>
              <w:t>Vaskularni poremećaji</w:t>
            </w:r>
          </w:p>
        </w:tc>
        <w:tc>
          <w:tcPr>
            <w:tcW w:w="2654" w:type="pct"/>
            <w:shd w:val="clear" w:color="auto" w:fill="auto"/>
            <w:hideMark/>
          </w:tcPr>
          <w:p w14:paraId="60AABD9F" w14:textId="77777777" w:rsidR="00A476FE" w:rsidRPr="00814B5B" w:rsidRDefault="00A476FE" w:rsidP="007B600E">
            <w:pPr>
              <w:tabs>
                <w:tab w:val="clear" w:pos="284"/>
              </w:tabs>
              <w:rPr>
                <w:rFonts w:eastAsia="Calibri"/>
                <w:szCs w:val="22"/>
                <w:lang w:val="en-GB"/>
              </w:rPr>
            </w:pPr>
            <w:r w:rsidRPr="00814B5B">
              <w:rPr>
                <w:rFonts w:eastAsia="Calibri"/>
                <w:szCs w:val="22"/>
                <w:lang w:val="en-GB"/>
              </w:rPr>
              <w:t>Nekrotizirajući angiitis (vaskulitis, kutani vaskulitis)</w:t>
            </w:r>
          </w:p>
        </w:tc>
        <w:tc>
          <w:tcPr>
            <w:tcW w:w="846" w:type="pct"/>
            <w:shd w:val="clear" w:color="auto" w:fill="auto"/>
            <w:hideMark/>
          </w:tcPr>
          <w:p w14:paraId="1139783F" w14:textId="77777777" w:rsidR="00A476FE" w:rsidRPr="00814B5B" w:rsidRDefault="00A476FE" w:rsidP="007B600E">
            <w:pPr>
              <w:tabs>
                <w:tab w:val="clear" w:pos="284"/>
              </w:tabs>
              <w:rPr>
                <w:rFonts w:eastAsia="Calibri"/>
                <w:szCs w:val="22"/>
                <w:lang w:val="en-GB"/>
              </w:rPr>
            </w:pPr>
            <w:r w:rsidRPr="00814B5B">
              <w:rPr>
                <w:rFonts w:eastAsia="Calibri"/>
                <w:szCs w:val="22"/>
                <w:lang w:val="en-GB"/>
              </w:rPr>
              <w:t>Povremeno</w:t>
            </w:r>
          </w:p>
        </w:tc>
      </w:tr>
      <w:tr w:rsidR="00657876" w:rsidRPr="00814B5B" w14:paraId="5D119291" w14:textId="77777777" w:rsidTr="00983D10">
        <w:tc>
          <w:tcPr>
            <w:tcW w:w="1500" w:type="pct"/>
            <w:vMerge w:val="restart"/>
            <w:shd w:val="clear" w:color="auto" w:fill="auto"/>
            <w:hideMark/>
          </w:tcPr>
          <w:p w14:paraId="392EF6B2" w14:textId="77777777" w:rsidR="00657876" w:rsidRPr="00814B5B" w:rsidRDefault="00657876" w:rsidP="007B600E">
            <w:pPr>
              <w:tabs>
                <w:tab w:val="clear" w:pos="284"/>
              </w:tabs>
              <w:rPr>
                <w:rFonts w:eastAsia="Calibri"/>
                <w:szCs w:val="22"/>
                <w:lang w:val="en-GB"/>
              </w:rPr>
            </w:pPr>
            <w:r w:rsidRPr="00814B5B">
              <w:rPr>
                <w:rFonts w:eastAsia="Calibri"/>
                <w:szCs w:val="22"/>
                <w:lang w:val="en-GB"/>
              </w:rPr>
              <w:t>Respiratorni, torakalni i medijastinalni poremećaji</w:t>
            </w:r>
          </w:p>
        </w:tc>
        <w:tc>
          <w:tcPr>
            <w:tcW w:w="2654" w:type="pct"/>
            <w:shd w:val="clear" w:color="auto" w:fill="auto"/>
            <w:hideMark/>
          </w:tcPr>
          <w:p w14:paraId="59BAE7A6" w14:textId="40FD465B" w:rsidR="00657876" w:rsidRPr="00814B5B" w:rsidRDefault="00657876" w:rsidP="007B600E">
            <w:pPr>
              <w:tabs>
                <w:tab w:val="clear" w:pos="284"/>
              </w:tabs>
              <w:rPr>
                <w:rFonts w:eastAsia="Calibri"/>
                <w:szCs w:val="22"/>
                <w:lang w:val="it-IT"/>
              </w:rPr>
            </w:pPr>
            <w:r w:rsidRPr="00814B5B">
              <w:rPr>
                <w:rFonts w:eastAsia="Calibri"/>
                <w:szCs w:val="22"/>
                <w:lang w:val="it-IT"/>
              </w:rPr>
              <w:t>Respiratorni poremećaji, uključujući pneumonitis i pulmonarni edem</w:t>
            </w:r>
          </w:p>
        </w:tc>
        <w:tc>
          <w:tcPr>
            <w:tcW w:w="846" w:type="pct"/>
            <w:shd w:val="clear" w:color="auto" w:fill="auto"/>
            <w:hideMark/>
          </w:tcPr>
          <w:p w14:paraId="7255B51A" w14:textId="77777777" w:rsidR="00657876" w:rsidRPr="00814B5B" w:rsidRDefault="00657876" w:rsidP="007B600E">
            <w:pPr>
              <w:tabs>
                <w:tab w:val="clear" w:pos="284"/>
              </w:tabs>
              <w:rPr>
                <w:rFonts w:eastAsia="Calibri"/>
                <w:szCs w:val="22"/>
                <w:lang w:val="en-GB"/>
              </w:rPr>
            </w:pPr>
            <w:r w:rsidRPr="00814B5B">
              <w:rPr>
                <w:rFonts w:eastAsia="Calibri"/>
                <w:szCs w:val="22"/>
                <w:lang w:val="en-GB"/>
              </w:rPr>
              <w:t>Povremeno</w:t>
            </w:r>
          </w:p>
        </w:tc>
      </w:tr>
      <w:tr w:rsidR="00657876" w:rsidRPr="00814B5B" w14:paraId="63045040" w14:textId="77777777" w:rsidTr="00983D10">
        <w:tc>
          <w:tcPr>
            <w:tcW w:w="1500" w:type="pct"/>
            <w:vMerge/>
            <w:shd w:val="clear" w:color="auto" w:fill="auto"/>
          </w:tcPr>
          <w:p w14:paraId="087B87EB" w14:textId="77777777" w:rsidR="00657876" w:rsidRPr="00814B5B" w:rsidRDefault="00657876" w:rsidP="007B600E">
            <w:pPr>
              <w:tabs>
                <w:tab w:val="clear" w:pos="284"/>
              </w:tabs>
              <w:rPr>
                <w:rFonts w:eastAsia="Calibri"/>
                <w:szCs w:val="22"/>
                <w:lang w:val="en-GB"/>
              </w:rPr>
            </w:pPr>
          </w:p>
        </w:tc>
        <w:tc>
          <w:tcPr>
            <w:tcW w:w="2654" w:type="pct"/>
            <w:shd w:val="clear" w:color="auto" w:fill="auto"/>
          </w:tcPr>
          <w:p w14:paraId="0619F10E" w14:textId="420E2561" w:rsidR="00657876" w:rsidRPr="00814B5B" w:rsidRDefault="00642E09" w:rsidP="007B600E">
            <w:pPr>
              <w:tabs>
                <w:tab w:val="clear" w:pos="284"/>
              </w:tabs>
              <w:rPr>
                <w:rFonts w:eastAsia="Calibri"/>
                <w:szCs w:val="22"/>
                <w:lang w:val="it-IT"/>
              </w:rPr>
            </w:pPr>
            <w:r w:rsidRPr="00814B5B">
              <w:rPr>
                <w:rFonts w:eastAsia="Calibri"/>
                <w:szCs w:val="22"/>
                <w:lang w:val="it-IT"/>
              </w:rPr>
              <w:t>Akutni respiratorni distres sindrom (ARDS) (vid</w:t>
            </w:r>
            <w:r w:rsidR="00873C90" w:rsidRPr="00814B5B">
              <w:rPr>
                <w:rFonts w:eastAsia="Calibri"/>
                <w:szCs w:val="22"/>
                <w:lang w:val="it-IT"/>
              </w:rPr>
              <w:t>j</w:t>
            </w:r>
            <w:r w:rsidRPr="00814B5B">
              <w:rPr>
                <w:rFonts w:eastAsia="Calibri"/>
                <w:szCs w:val="22"/>
                <w:lang w:val="it-IT"/>
              </w:rPr>
              <w:t xml:space="preserve">eti </w:t>
            </w:r>
            <w:r w:rsidR="00873C90" w:rsidRPr="00814B5B">
              <w:rPr>
                <w:rFonts w:eastAsia="Calibri"/>
                <w:szCs w:val="22"/>
                <w:lang w:val="it-IT"/>
              </w:rPr>
              <w:t>dio</w:t>
            </w:r>
            <w:r w:rsidRPr="00814B5B">
              <w:rPr>
                <w:rFonts w:eastAsia="Calibri"/>
                <w:szCs w:val="22"/>
                <w:lang w:val="it-IT"/>
              </w:rPr>
              <w:t xml:space="preserve"> 4.4)</w:t>
            </w:r>
          </w:p>
        </w:tc>
        <w:tc>
          <w:tcPr>
            <w:tcW w:w="846" w:type="pct"/>
            <w:shd w:val="clear" w:color="auto" w:fill="auto"/>
          </w:tcPr>
          <w:p w14:paraId="2C415FC8" w14:textId="6B91726C" w:rsidR="00657876" w:rsidRPr="00814B5B" w:rsidRDefault="00642E09" w:rsidP="007B600E">
            <w:pPr>
              <w:tabs>
                <w:tab w:val="clear" w:pos="284"/>
              </w:tabs>
              <w:rPr>
                <w:rFonts w:eastAsia="Calibri"/>
                <w:szCs w:val="22"/>
                <w:lang w:val="en-GB"/>
              </w:rPr>
            </w:pPr>
            <w:r w:rsidRPr="00814B5B">
              <w:rPr>
                <w:rFonts w:eastAsia="Calibri"/>
                <w:szCs w:val="22"/>
                <w:lang w:val="en-GB"/>
              </w:rPr>
              <w:t>Veoma r</w:t>
            </w:r>
            <w:r w:rsidR="00873C90" w:rsidRPr="00814B5B">
              <w:rPr>
                <w:rFonts w:eastAsia="Calibri"/>
                <w:szCs w:val="22"/>
                <w:lang w:val="en-GB"/>
              </w:rPr>
              <w:t>ij</w:t>
            </w:r>
            <w:r w:rsidRPr="00814B5B">
              <w:rPr>
                <w:rFonts w:eastAsia="Calibri"/>
                <w:szCs w:val="22"/>
                <w:lang w:val="en-GB"/>
              </w:rPr>
              <w:t>etko</w:t>
            </w:r>
          </w:p>
        </w:tc>
      </w:tr>
      <w:tr w:rsidR="00A476FE" w:rsidRPr="00814B5B" w14:paraId="0074FF8A" w14:textId="77777777" w:rsidTr="00983D10">
        <w:tc>
          <w:tcPr>
            <w:tcW w:w="1500" w:type="pct"/>
            <w:shd w:val="clear" w:color="auto" w:fill="auto"/>
            <w:hideMark/>
          </w:tcPr>
          <w:p w14:paraId="0630A2B7" w14:textId="77777777" w:rsidR="00A476FE" w:rsidRPr="00814B5B" w:rsidRDefault="00A476FE" w:rsidP="007B600E">
            <w:pPr>
              <w:tabs>
                <w:tab w:val="clear" w:pos="284"/>
              </w:tabs>
              <w:rPr>
                <w:rFonts w:eastAsia="Calibri"/>
                <w:i/>
                <w:iCs/>
                <w:szCs w:val="22"/>
                <w:lang w:val="en-GB"/>
              </w:rPr>
            </w:pPr>
            <w:r w:rsidRPr="00814B5B">
              <w:rPr>
                <w:rFonts w:eastAsia="Calibri"/>
                <w:i/>
                <w:iCs/>
                <w:szCs w:val="22"/>
                <w:lang w:val="en-GB"/>
              </w:rPr>
              <w:t>Gastrointestinalni poremećaji</w:t>
            </w:r>
          </w:p>
        </w:tc>
        <w:tc>
          <w:tcPr>
            <w:tcW w:w="2654" w:type="pct"/>
            <w:shd w:val="clear" w:color="auto" w:fill="auto"/>
            <w:hideMark/>
          </w:tcPr>
          <w:p w14:paraId="12DEF863" w14:textId="77777777" w:rsidR="00A476FE" w:rsidRPr="00814B5B" w:rsidRDefault="00A476FE" w:rsidP="007B600E">
            <w:pPr>
              <w:tabs>
                <w:tab w:val="clear" w:pos="284"/>
              </w:tabs>
              <w:rPr>
                <w:rFonts w:eastAsia="Calibri"/>
                <w:szCs w:val="22"/>
                <w:lang w:val="en-GB"/>
              </w:rPr>
            </w:pPr>
            <w:r w:rsidRPr="00814B5B">
              <w:rPr>
                <w:rFonts w:eastAsia="Calibri"/>
                <w:szCs w:val="22"/>
                <w:lang w:val="en-GB"/>
              </w:rPr>
              <w:t>Sijaloadenitis, spazmi, iritacija želuca, mučnina, povraćanje, dijareja, konstipacija</w:t>
            </w:r>
          </w:p>
        </w:tc>
        <w:tc>
          <w:tcPr>
            <w:tcW w:w="846" w:type="pct"/>
            <w:shd w:val="clear" w:color="auto" w:fill="auto"/>
            <w:hideMark/>
          </w:tcPr>
          <w:p w14:paraId="0EEBA065" w14:textId="77777777" w:rsidR="00A476FE" w:rsidRPr="00814B5B" w:rsidRDefault="00A476FE" w:rsidP="007B600E">
            <w:pPr>
              <w:tabs>
                <w:tab w:val="clear" w:pos="284"/>
              </w:tabs>
              <w:rPr>
                <w:rFonts w:eastAsia="Calibri"/>
                <w:szCs w:val="22"/>
                <w:lang w:val="en-GB"/>
              </w:rPr>
            </w:pPr>
            <w:r w:rsidRPr="00814B5B">
              <w:rPr>
                <w:rFonts w:eastAsia="Calibri"/>
                <w:szCs w:val="22"/>
                <w:lang w:val="en-GB"/>
              </w:rPr>
              <w:t>Povremeno</w:t>
            </w:r>
          </w:p>
        </w:tc>
      </w:tr>
      <w:tr w:rsidR="00A476FE" w:rsidRPr="00814B5B" w14:paraId="2FFEFA1D" w14:textId="77777777" w:rsidTr="00983D10">
        <w:tc>
          <w:tcPr>
            <w:tcW w:w="1500" w:type="pct"/>
            <w:shd w:val="clear" w:color="auto" w:fill="auto"/>
            <w:hideMark/>
          </w:tcPr>
          <w:p w14:paraId="237BF121" w14:textId="77777777" w:rsidR="00A476FE" w:rsidRPr="00814B5B" w:rsidRDefault="00A476FE" w:rsidP="007B600E">
            <w:pPr>
              <w:tabs>
                <w:tab w:val="clear" w:pos="284"/>
              </w:tabs>
              <w:rPr>
                <w:rFonts w:eastAsia="Calibri"/>
                <w:i/>
                <w:iCs/>
                <w:szCs w:val="22"/>
                <w:lang w:val="en-GB"/>
              </w:rPr>
            </w:pPr>
            <w:r w:rsidRPr="00814B5B">
              <w:rPr>
                <w:rFonts w:eastAsia="Calibri"/>
                <w:i/>
                <w:iCs/>
                <w:szCs w:val="22"/>
                <w:lang w:val="en-GB"/>
              </w:rPr>
              <w:t>Hepatobilijarni poremećaji</w:t>
            </w:r>
          </w:p>
        </w:tc>
        <w:tc>
          <w:tcPr>
            <w:tcW w:w="2654" w:type="pct"/>
            <w:shd w:val="clear" w:color="auto" w:fill="auto"/>
            <w:hideMark/>
          </w:tcPr>
          <w:p w14:paraId="64DE47F8" w14:textId="77777777" w:rsidR="00A476FE" w:rsidRPr="00814B5B" w:rsidRDefault="00A476FE" w:rsidP="007B600E">
            <w:pPr>
              <w:tabs>
                <w:tab w:val="clear" w:pos="284"/>
              </w:tabs>
              <w:rPr>
                <w:rFonts w:eastAsia="Calibri"/>
                <w:szCs w:val="22"/>
                <w:lang w:val="en-GB"/>
              </w:rPr>
            </w:pPr>
            <w:r w:rsidRPr="00814B5B">
              <w:rPr>
                <w:rFonts w:eastAsia="Calibri"/>
                <w:szCs w:val="22"/>
                <w:lang w:val="en-GB"/>
              </w:rPr>
              <w:t>Ikterus (intrahepatička holestaza), pankreatitis</w:t>
            </w:r>
          </w:p>
        </w:tc>
        <w:tc>
          <w:tcPr>
            <w:tcW w:w="846" w:type="pct"/>
            <w:shd w:val="clear" w:color="auto" w:fill="auto"/>
            <w:hideMark/>
          </w:tcPr>
          <w:p w14:paraId="3E7BD74A" w14:textId="77777777" w:rsidR="00A476FE" w:rsidRPr="00814B5B" w:rsidRDefault="00A476FE" w:rsidP="007B600E">
            <w:pPr>
              <w:tabs>
                <w:tab w:val="clear" w:pos="284"/>
              </w:tabs>
              <w:rPr>
                <w:rFonts w:eastAsia="Calibri"/>
                <w:szCs w:val="22"/>
                <w:lang w:val="en-GB"/>
              </w:rPr>
            </w:pPr>
            <w:r w:rsidRPr="00814B5B">
              <w:rPr>
                <w:rFonts w:eastAsia="Calibri"/>
                <w:szCs w:val="22"/>
                <w:lang w:val="en-GB"/>
              </w:rPr>
              <w:t>Povremeno</w:t>
            </w:r>
          </w:p>
        </w:tc>
      </w:tr>
      <w:tr w:rsidR="00A476FE" w:rsidRPr="00814B5B" w14:paraId="033E9C19" w14:textId="77777777" w:rsidTr="00983D10">
        <w:tc>
          <w:tcPr>
            <w:tcW w:w="1500" w:type="pct"/>
            <w:vMerge w:val="restart"/>
            <w:shd w:val="clear" w:color="auto" w:fill="auto"/>
            <w:hideMark/>
          </w:tcPr>
          <w:p w14:paraId="63CE0845" w14:textId="77777777" w:rsidR="00A476FE" w:rsidRPr="00814B5B" w:rsidRDefault="00A476FE" w:rsidP="007B600E">
            <w:pPr>
              <w:tabs>
                <w:tab w:val="clear" w:pos="284"/>
              </w:tabs>
              <w:rPr>
                <w:rFonts w:eastAsia="Calibri"/>
                <w:i/>
                <w:iCs/>
                <w:szCs w:val="22"/>
                <w:lang w:val="en-GB"/>
              </w:rPr>
            </w:pPr>
            <w:r w:rsidRPr="00814B5B">
              <w:rPr>
                <w:rFonts w:eastAsia="Calibri"/>
                <w:i/>
                <w:iCs/>
                <w:szCs w:val="22"/>
                <w:lang w:val="en-GB"/>
              </w:rPr>
              <w:t>Poremećaji kože i potkožnog tkiva</w:t>
            </w:r>
          </w:p>
        </w:tc>
        <w:tc>
          <w:tcPr>
            <w:tcW w:w="2654" w:type="pct"/>
            <w:shd w:val="clear" w:color="auto" w:fill="auto"/>
            <w:hideMark/>
          </w:tcPr>
          <w:p w14:paraId="722021D2" w14:textId="77777777" w:rsidR="00A476FE" w:rsidRPr="00814B5B" w:rsidRDefault="00A476FE" w:rsidP="007B600E">
            <w:pPr>
              <w:tabs>
                <w:tab w:val="clear" w:pos="284"/>
              </w:tabs>
              <w:rPr>
                <w:rFonts w:eastAsia="Calibri"/>
                <w:szCs w:val="22"/>
                <w:lang w:val="en-GB"/>
              </w:rPr>
            </w:pPr>
            <w:r w:rsidRPr="00814B5B">
              <w:rPr>
                <w:rFonts w:eastAsia="Calibri"/>
                <w:szCs w:val="22"/>
                <w:lang w:val="en-GB"/>
              </w:rPr>
              <w:t>Fotosenzitivnost, urtikarija, toksična epidermalna nekroliza</w:t>
            </w:r>
          </w:p>
        </w:tc>
        <w:tc>
          <w:tcPr>
            <w:tcW w:w="846" w:type="pct"/>
            <w:shd w:val="clear" w:color="auto" w:fill="auto"/>
            <w:hideMark/>
          </w:tcPr>
          <w:p w14:paraId="55BE5E90" w14:textId="77777777" w:rsidR="00A476FE" w:rsidRPr="00814B5B" w:rsidRDefault="00A476FE" w:rsidP="007B600E">
            <w:pPr>
              <w:tabs>
                <w:tab w:val="clear" w:pos="284"/>
              </w:tabs>
              <w:rPr>
                <w:rFonts w:eastAsia="Calibri"/>
                <w:szCs w:val="22"/>
                <w:lang w:val="en-GB"/>
              </w:rPr>
            </w:pPr>
            <w:r w:rsidRPr="00814B5B">
              <w:rPr>
                <w:rFonts w:eastAsia="Calibri"/>
                <w:szCs w:val="22"/>
                <w:lang w:val="en-GB"/>
              </w:rPr>
              <w:t>Povremeno</w:t>
            </w:r>
          </w:p>
        </w:tc>
      </w:tr>
      <w:tr w:rsidR="00A476FE" w:rsidRPr="00814B5B" w14:paraId="767298F2" w14:textId="77777777" w:rsidTr="00983D10">
        <w:tc>
          <w:tcPr>
            <w:tcW w:w="1500" w:type="pct"/>
            <w:vMerge/>
            <w:shd w:val="clear" w:color="auto" w:fill="auto"/>
            <w:hideMark/>
          </w:tcPr>
          <w:p w14:paraId="13F72022" w14:textId="77777777" w:rsidR="00A476FE" w:rsidRPr="00814B5B" w:rsidRDefault="00A476FE" w:rsidP="007B600E">
            <w:pPr>
              <w:tabs>
                <w:tab w:val="clear" w:pos="284"/>
              </w:tabs>
              <w:rPr>
                <w:rFonts w:eastAsia="Calibri"/>
                <w:szCs w:val="22"/>
                <w:lang w:val="en-GB"/>
              </w:rPr>
            </w:pPr>
          </w:p>
        </w:tc>
        <w:tc>
          <w:tcPr>
            <w:tcW w:w="2654" w:type="pct"/>
            <w:shd w:val="clear" w:color="auto" w:fill="auto"/>
            <w:hideMark/>
          </w:tcPr>
          <w:p w14:paraId="0A9882E9" w14:textId="77777777" w:rsidR="00A476FE" w:rsidRPr="00814B5B" w:rsidRDefault="00A476FE" w:rsidP="007B600E">
            <w:pPr>
              <w:tabs>
                <w:tab w:val="clear" w:pos="284"/>
              </w:tabs>
              <w:rPr>
                <w:rFonts w:eastAsia="Calibri"/>
                <w:szCs w:val="22"/>
                <w:lang w:val="en-GB"/>
              </w:rPr>
            </w:pPr>
            <w:r w:rsidRPr="00814B5B">
              <w:rPr>
                <w:rFonts w:eastAsia="Calibri"/>
                <w:szCs w:val="22"/>
                <w:lang w:val="en-GB"/>
              </w:rPr>
              <w:t xml:space="preserve">Kutani </w:t>
            </w:r>
            <w:r w:rsidRPr="00814B5B">
              <w:rPr>
                <w:rFonts w:eastAsia="Calibri"/>
                <w:i/>
                <w:szCs w:val="22"/>
                <w:lang w:val="en-GB"/>
              </w:rPr>
              <w:t>lupus erythematosus</w:t>
            </w:r>
          </w:p>
        </w:tc>
        <w:tc>
          <w:tcPr>
            <w:tcW w:w="846" w:type="pct"/>
            <w:shd w:val="clear" w:color="auto" w:fill="auto"/>
            <w:hideMark/>
          </w:tcPr>
          <w:p w14:paraId="17E2E4DC" w14:textId="77777777" w:rsidR="00A476FE" w:rsidRPr="00814B5B" w:rsidRDefault="00A476FE" w:rsidP="007B600E">
            <w:pPr>
              <w:tabs>
                <w:tab w:val="clear" w:pos="284"/>
              </w:tabs>
              <w:rPr>
                <w:rFonts w:eastAsia="Calibri"/>
                <w:szCs w:val="22"/>
                <w:lang w:val="en-GB"/>
              </w:rPr>
            </w:pPr>
            <w:r w:rsidRPr="00814B5B">
              <w:rPr>
                <w:rFonts w:eastAsia="Calibri"/>
                <w:szCs w:val="22"/>
                <w:lang w:val="en-GB"/>
              </w:rPr>
              <w:t>Nepoznato</w:t>
            </w:r>
          </w:p>
        </w:tc>
      </w:tr>
      <w:tr w:rsidR="00A476FE" w:rsidRPr="00814B5B" w14:paraId="5755A5B0" w14:textId="77777777" w:rsidTr="00983D10">
        <w:tc>
          <w:tcPr>
            <w:tcW w:w="1500" w:type="pct"/>
            <w:shd w:val="clear" w:color="auto" w:fill="auto"/>
            <w:hideMark/>
          </w:tcPr>
          <w:p w14:paraId="256271A1" w14:textId="77777777" w:rsidR="00A476FE" w:rsidRPr="00814B5B" w:rsidRDefault="00A476FE" w:rsidP="007B600E">
            <w:pPr>
              <w:tabs>
                <w:tab w:val="clear" w:pos="284"/>
              </w:tabs>
              <w:rPr>
                <w:rFonts w:eastAsia="Calibri"/>
                <w:i/>
                <w:iCs/>
                <w:szCs w:val="22"/>
                <w:lang w:val="en-GB"/>
              </w:rPr>
            </w:pPr>
            <w:r w:rsidRPr="00814B5B">
              <w:rPr>
                <w:rFonts w:eastAsia="Calibri"/>
                <w:i/>
                <w:iCs/>
                <w:szCs w:val="22"/>
                <w:lang w:val="en-GB"/>
              </w:rPr>
              <w:t>Poremećaji mišićno-koštanog sistema i vezivnog tkiva</w:t>
            </w:r>
          </w:p>
        </w:tc>
        <w:tc>
          <w:tcPr>
            <w:tcW w:w="2654" w:type="pct"/>
            <w:shd w:val="clear" w:color="auto" w:fill="auto"/>
            <w:hideMark/>
          </w:tcPr>
          <w:p w14:paraId="4CADEEC0" w14:textId="77777777" w:rsidR="00A476FE" w:rsidRPr="00814B5B" w:rsidRDefault="00A476FE" w:rsidP="007B600E">
            <w:pPr>
              <w:tabs>
                <w:tab w:val="clear" w:pos="284"/>
              </w:tabs>
              <w:rPr>
                <w:rFonts w:eastAsia="Calibri"/>
                <w:szCs w:val="22"/>
                <w:lang w:val="en-GB"/>
              </w:rPr>
            </w:pPr>
            <w:r w:rsidRPr="00814B5B">
              <w:rPr>
                <w:rFonts w:eastAsia="Calibri"/>
                <w:szCs w:val="22"/>
                <w:lang w:val="en-GB"/>
              </w:rPr>
              <w:t>Mišićni grčevi</w:t>
            </w:r>
          </w:p>
        </w:tc>
        <w:tc>
          <w:tcPr>
            <w:tcW w:w="846" w:type="pct"/>
            <w:shd w:val="clear" w:color="auto" w:fill="auto"/>
            <w:hideMark/>
          </w:tcPr>
          <w:p w14:paraId="47AD1D9B" w14:textId="77777777" w:rsidR="00A476FE" w:rsidRPr="00814B5B" w:rsidRDefault="00A476FE" w:rsidP="007B600E">
            <w:pPr>
              <w:tabs>
                <w:tab w:val="clear" w:pos="284"/>
              </w:tabs>
              <w:rPr>
                <w:rFonts w:eastAsia="Calibri"/>
                <w:szCs w:val="22"/>
                <w:lang w:val="en-GB"/>
              </w:rPr>
            </w:pPr>
            <w:r w:rsidRPr="00814B5B">
              <w:rPr>
                <w:rFonts w:eastAsia="Calibri"/>
                <w:szCs w:val="22"/>
                <w:lang w:val="en-GB"/>
              </w:rPr>
              <w:t>Povremeno</w:t>
            </w:r>
          </w:p>
        </w:tc>
      </w:tr>
      <w:tr w:rsidR="00C05056" w:rsidRPr="00814B5B" w14:paraId="66997081" w14:textId="77777777" w:rsidTr="00983D10">
        <w:trPr>
          <w:trHeight w:val="461"/>
        </w:trPr>
        <w:tc>
          <w:tcPr>
            <w:tcW w:w="1500" w:type="pct"/>
            <w:shd w:val="clear" w:color="auto" w:fill="auto"/>
          </w:tcPr>
          <w:p w14:paraId="7E04F2A3" w14:textId="4C28C221" w:rsidR="00C05056" w:rsidRPr="00814B5B" w:rsidRDefault="00C05056" w:rsidP="007B600E">
            <w:pPr>
              <w:tabs>
                <w:tab w:val="clear" w:pos="284"/>
              </w:tabs>
              <w:rPr>
                <w:rFonts w:eastAsia="Calibri"/>
                <w:i/>
                <w:iCs/>
                <w:szCs w:val="22"/>
                <w:lang w:val="en-GB"/>
              </w:rPr>
            </w:pPr>
            <w:r w:rsidRPr="00814B5B">
              <w:rPr>
                <w:rFonts w:eastAsia="Calibri"/>
                <w:i/>
                <w:iCs/>
                <w:szCs w:val="22"/>
                <w:lang w:val="en-GB"/>
              </w:rPr>
              <w:t>Neoplazme - benigne, maligne i neodređene (uključujući ciste i polipe)</w:t>
            </w:r>
          </w:p>
        </w:tc>
        <w:tc>
          <w:tcPr>
            <w:tcW w:w="2654" w:type="pct"/>
            <w:shd w:val="clear" w:color="auto" w:fill="auto"/>
          </w:tcPr>
          <w:p w14:paraId="1EDD5638" w14:textId="2553945B" w:rsidR="00C05056" w:rsidRPr="00814B5B" w:rsidRDefault="00C05056" w:rsidP="007B600E">
            <w:pPr>
              <w:tabs>
                <w:tab w:val="clear" w:pos="284"/>
              </w:tabs>
              <w:rPr>
                <w:rFonts w:eastAsia="Calibri"/>
                <w:szCs w:val="22"/>
                <w:lang w:val="en-GB"/>
              </w:rPr>
            </w:pPr>
            <w:r w:rsidRPr="00814B5B">
              <w:rPr>
                <w:rFonts w:eastAsia="Calibri"/>
                <w:szCs w:val="22"/>
                <w:lang w:val="en-GB"/>
              </w:rPr>
              <w:t>Nemelanomski karcinom kože (bazocelularni i planocelularni)</w:t>
            </w:r>
          </w:p>
        </w:tc>
        <w:tc>
          <w:tcPr>
            <w:tcW w:w="846" w:type="pct"/>
            <w:shd w:val="clear" w:color="auto" w:fill="auto"/>
          </w:tcPr>
          <w:p w14:paraId="2C4177B0" w14:textId="43AF7942" w:rsidR="00C05056" w:rsidRPr="00814B5B" w:rsidRDefault="000B38A6" w:rsidP="007B600E">
            <w:pPr>
              <w:tabs>
                <w:tab w:val="clear" w:pos="284"/>
              </w:tabs>
              <w:rPr>
                <w:rFonts w:eastAsia="Calibri"/>
                <w:szCs w:val="22"/>
                <w:lang w:val="en-GB"/>
              </w:rPr>
            </w:pPr>
            <w:r w:rsidRPr="00814B5B">
              <w:rPr>
                <w:rFonts w:eastAsia="Calibri"/>
                <w:szCs w:val="22"/>
                <w:lang w:val="en-GB"/>
              </w:rPr>
              <w:t>Nepoznato</w:t>
            </w:r>
          </w:p>
        </w:tc>
      </w:tr>
      <w:tr w:rsidR="00A476FE" w:rsidRPr="00814B5B" w14:paraId="1AD3CCCA" w14:textId="77777777" w:rsidTr="00983D10">
        <w:tc>
          <w:tcPr>
            <w:tcW w:w="1500" w:type="pct"/>
            <w:shd w:val="clear" w:color="auto" w:fill="auto"/>
            <w:hideMark/>
          </w:tcPr>
          <w:p w14:paraId="0BC23DBD" w14:textId="77777777" w:rsidR="00A476FE" w:rsidRPr="00814B5B" w:rsidRDefault="00A476FE" w:rsidP="007B600E">
            <w:pPr>
              <w:tabs>
                <w:tab w:val="clear" w:pos="284"/>
              </w:tabs>
              <w:rPr>
                <w:rFonts w:eastAsia="Calibri"/>
                <w:i/>
                <w:iCs/>
                <w:szCs w:val="22"/>
                <w:lang w:val="en-GB"/>
              </w:rPr>
            </w:pPr>
            <w:r w:rsidRPr="00814B5B">
              <w:rPr>
                <w:rFonts w:eastAsia="Calibri"/>
                <w:i/>
                <w:iCs/>
                <w:szCs w:val="22"/>
                <w:lang w:val="en-GB"/>
              </w:rPr>
              <w:t>Poremećaji bubrega i urinarnog sistema</w:t>
            </w:r>
          </w:p>
        </w:tc>
        <w:tc>
          <w:tcPr>
            <w:tcW w:w="2654" w:type="pct"/>
            <w:shd w:val="clear" w:color="auto" w:fill="auto"/>
            <w:hideMark/>
          </w:tcPr>
          <w:p w14:paraId="35C7253F" w14:textId="20E85DE8" w:rsidR="00A476FE" w:rsidRPr="00814B5B" w:rsidRDefault="00A476FE" w:rsidP="007B600E">
            <w:pPr>
              <w:tabs>
                <w:tab w:val="clear" w:pos="284"/>
              </w:tabs>
              <w:rPr>
                <w:rFonts w:eastAsia="Calibri"/>
                <w:szCs w:val="22"/>
                <w:lang w:val="en-GB"/>
              </w:rPr>
            </w:pPr>
            <w:r w:rsidRPr="00814B5B">
              <w:rPr>
                <w:rFonts w:eastAsia="Calibri"/>
                <w:szCs w:val="22"/>
                <w:lang w:val="en-GB"/>
              </w:rPr>
              <w:t>Glikozurija, intersticijalni nefritis, disfunkcija</w:t>
            </w:r>
            <w:r w:rsidR="00806B89" w:rsidRPr="00814B5B">
              <w:rPr>
                <w:rFonts w:eastAsia="Calibri"/>
                <w:szCs w:val="22"/>
                <w:lang w:val="en-GB"/>
              </w:rPr>
              <w:t xml:space="preserve"> bubrega</w:t>
            </w:r>
            <w:r w:rsidRPr="00814B5B">
              <w:rPr>
                <w:rFonts w:eastAsia="Calibri"/>
                <w:szCs w:val="22"/>
                <w:lang w:val="en-GB"/>
              </w:rPr>
              <w:t xml:space="preserve">, </w:t>
            </w:r>
            <w:r w:rsidR="00806B89" w:rsidRPr="00814B5B">
              <w:rPr>
                <w:rFonts w:eastAsia="Calibri"/>
                <w:szCs w:val="22"/>
                <w:lang w:val="en-GB"/>
              </w:rPr>
              <w:t xml:space="preserve">bubrežna </w:t>
            </w:r>
            <w:r w:rsidRPr="00814B5B">
              <w:rPr>
                <w:rFonts w:eastAsia="Calibri"/>
                <w:szCs w:val="22"/>
                <w:lang w:val="en-GB"/>
              </w:rPr>
              <w:t>insuficijencija</w:t>
            </w:r>
          </w:p>
        </w:tc>
        <w:tc>
          <w:tcPr>
            <w:tcW w:w="846" w:type="pct"/>
            <w:shd w:val="clear" w:color="auto" w:fill="auto"/>
            <w:hideMark/>
          </w:tcPr>
          <w:p w14:paraId="33ECB475" w14:textId="77777777" w:rsidR="00A476FE" w:rsidRPr="00814B5B" w:rsidRDefault="00A476FE" w:rsidP="007B600E">
            <w:pPr>
              <w:tabs>
                <w:tab w:val="clear" w:pos="284"/>
              </w:tabs>
              <w:rPr>
                <w:rFonts w:eastAsia="Calibri"/>
                <w:szCs w:val="22"/>
                <w:lang w:val="en-GB"/>
              </w:rPr>
            </w:pPr>
            <w:r w:rsidRPr="00814B5B">
              <w:rPr>
                <w:rFonts w:eastAsia="Calibri"/>
                <w:szCs w:val="22"/>
                <w:lang w:val="en-GB"/>
              </w:rPr>
              <w:t>Povremeno</w:t>
            </w:r>
          </w:p>
        </w:tc>
      </w:tr>
      <w:tr w:rsidR="00A476FE" w:rsidRPr="00814B5B" w14:paraId="2D0EFE6D" w14:textId="77777777" w:rsidTr="00983D10">
        <w:tc>
          <w:tcPr>
            <w:tcW w:w="1500" w:type="pct"/>
            <w:shd w:val="clear" w:color="auto" w:fill="auto"/>
            <w:hideMark/>
          </w:tcPr>
          <w:p w14:paraId="4A642485" w14:textId="2B1191D6" w:rsidR="00A476FE" w:rsidRPr="00814B5B" w:rsidRDefault="00A476FE" w:rsidP="007B600E">
            <w:pPr>
              <w:tabs>
                <w:tab w:val="clear" w:pos="284"/>
              </w:tabs>
              <w:rPr>
                <w:rFonts w:eastAsia="Calibri"/>
                <w:i/>
                <w:iCs/>
                <w:szCs w:val="22"/>
                <w:lang w:val="pl-PL"/>
              </w:rPr>
            </w:pPr>
            <w:r w:rsidRPr="00814B5B">
              <w:rPr>
                <w:rFonts w:eastAsia="Calibri"/>
                <w:i/>
                <w:iCs/>
                <w:szCs w:val="22"/>
                <w:lang w:val="pl-PL"/>
              </w:rPr>
              <w:t>Opšti poremećaji i reakcije na m</w:t>
            </w:r>
            <w:r w:rsidR="00873C90" w:rsidRPr="00814B5B">
              <w:rPr>
                <w:rFonts w:eastAsia="Calibri"/>
                <w:i/>
                <w:iCs/>
                <w:szCs w:val="22"/>
                <w:lang w:val="pl-PL"/>
              </w:rPr>
              <w:t>j</w:t>
            </w:r>
            <w:r w:rsidRPr="00814B5B">
              <w:rPr>
                <w:rFonts w:eastAsia="Calibri"/>
                <w:i/>
                <w:iCs/>
                <w:szCs w:val="22"/>
                <w:lang w:val="pl-PL"/>
              </w:rPr>
              <w:t>estu prim</w:t>
            </w:r>
            <w:r w:rsidR="00873C90" w:rsidRPr="00814B5B">
              <w:rPr>
                <w:rFonts w:eastAsia="Calibri"/>
                <w:i/>
                <w:iCs/>
                <w:szCs w:val="22"/>
                <w:lang w:val="pl-PL"/>
              </w:rPr>
              <w:t>j</w:t>
            </w:r>
            <w:r w:rsidRPr="00814B5B">
              <w:rPr>
                <w:rFonts w:eastAsia="Calibri"/>
                <w:i/>
                <w:iCs/>
                <w:szCs w:val="22"/>
                <w:lang w:val="pl-PL"/>
              </w:rPr>
              <w:t>ene</w:t>
            </w:r>
          </w:p>
        </w:tc>
        <w:tc>
          <w:tcPr>
            <w:tcW w:w="2654" w:type="pct"/>
            <w:shd w:val="clear" w:color="auto" w:fill="auto"/>
            <w:hideMark/>
          </w:tcPr>
          <w:p w14:paraId="7ED9D290" w14:textId="5C148EC4" w:rsidR="00A476FE" w:rsidRPr="00814B5B" w:rsidRDefault="00A476FE" w:rsidP="007B600E">
            <w:pPr>
              <w:tabs>
                <w:tab w:val="clear" w:pos="284"/>
              </w:tabs>
              <w:rPr>
                <w:rFonts w:eastAsia="Calibri"/>
                <w:szCs w:val="22"/>
                <w:lang w:val="en-GB"/>
              </w:rPr>
            </w:pPr>
            <w:r w:rsidRPr="00814B5B">
              <w:rPr>
                <w:rFonts w:eastAsia="Calibri"/>
                <w:szCs w:val="22"/>
                <w:lang w:val="en-GB"/>
              </w:rPr>
              <w:t>Povišena t</w:t>
            </w:r>
            <w:r w:rsidR="00873C90" w:rsidRPr="00814B5B">
              <w:rPr>
                <w:rFonts w:eastAsia="Calibri"/>
                <w:szCs w:val="22"/>
                <w:lang w:val="en-GB"/>
              </w:rPr>
              <w:t>j</w:t>
            </w:r>
            <w:r w:rsidRPr="00814B5B">
              <w:rPr>
                <w:rFonts w:eastAsia="Calibri"/>
                <w:szCs w:val="22"/>
                <w:lang w:val="en-GB"/>
              </w:rPr>
              <w:t>elesna temperatura, vrtoglavica</w:t>
            </w:r>
          </w:p>
        </w:tc>
        <w:tc>
          <w:tcPr>
            <w:tcW w:w="846" w:type="pct"/>
            <w:shd w:val="clear" w:color="auto" w:fill="auto"/>
            <w:hideMark/>
          </w:tcPr>
          <w:p w14:paraId="056FCCC3" w14:textId="77777777" w:rsidR="00A476FE" w:rsidRPr="00814B5B" w:rsidRDefault="00A476FE" w:rsidP="007B600E">
            <w:pPr>
              <w:tabs>
                <w:tab w:val="clear" w:pos="284"/>
              </w:tabs>
              <w:rPr>
                <w:rFonts w:eastAsia="Calibri"/>
                <w:szCs w:val="22"/>
                <w:lang w:val="en-GB"/>
              </w:rPr>
            </w:pPr>
            <w:r w:rsidRPr="00814B5B">
              <w:rPr>
                <w:rFonts w:eastAsia="Calibri"/>
                <w:szCs w:val="22"/>
                <w:lang w:val="en-GB"/>
              </w:rPr>
              <w:t>Povremeno</w:t>
            </w:r>
          </w:p>
        </w:tc>
      </w:tr>
    </w:tbl>
    <w:p w14:paraId="56352A2C" w14:textId="77777777" w:rsidR="002A65F1" w:rsidRDefault="002A65F1" w:rsidP="007B600E">
      <w:pPr>
        <w:spacing w:before="120" w:after="120"/>
        <w:rPr>
          <w:szCs w:val="22"/>
          <w:u w:val="single"/>
          <w:lang w:val="sr-Latn-RS"/>
        </w:rPr>
      </w:pPr>
    </w:p>
    <w:p w14:paraId="477456D5" w14:textId="77777777" w:rsidR="002A65F1" w:rsidRDefault="002A65F1" w:rsidP="007B600E">
      <w:pPr>
        <w:spacing w:before="120" w:after="120"/>
        <w:rPr>
          <w:szCs w:val="22"/>
          <w:u w:val="single"/>
          <w:lang w:val="sr-Latn-RS"/>
        </w:rPr>
      </w:pPr>
    </w:p>
    <w:p w14:paraId="4D3B4619" w14:textId="25ABB610" w:rsidR="00754CFF" w:rsidRPr="00814B5B" w:rsidRDefault="00754CFF" w:rsidP="007B600E">
      <w:pPr>
        <w:spacing w:before="120" w:after="120"/>
        <w:rPr>
          <w:szCs w:val="22"/>
          <w:u w:val="single"/>
          <w:lang w:val="sr-Latn-RS"/>
        </w:rPr>
      </w:pPr>
      <w:r w:rsidRPr="00814B5B">
        <w:rPr>
          <w:szCs w:val="22"/>
          <w:u w:val="single"/>
          <w:lang w:val="sr-Latn-RS"/>
        </w:rPr>
        <w:lastRenderedPageBreak/>
        <w:t>Opis odabranih neželjenih reakcija</w:t>
      </w:r>
    </w:p>
    <w:p w14:paraId="75FD0365" w14:textId="512EEC5A" w:rsidR="00754CFF" w:rsidRPr="00814B5B" w:rsidRDefault="00754CFF" w:rsidP="007B600E">
      <w:pPr>
        <w:spacing w:before="120" w:after="120"/>
        <w:rPr>
          <w:noProof/>
          <w:szCs w:val="22"/>
          <w:u w:val="single"/>
          <w:lang w:val="sr-Latn-RS"/>
        </w:rPr>
      </w:pPr>
      <w:r w:rsidRPr="00814B5B">
        <w:rPr>
          <w:i/>
          <w:iCs/>
          <w:szCs w:val="22"/>
          <w:lang w:val="sr-Latn-RS"/>
        </w:rPr>
        <w:t>Nemelanomski karcinom kože:</w:t>
      </w:r>
      <w:r w:rsidRPr="00814B5B">
        <w:rPr>
          <w:szCs w:val="22"/>
          <w:lang w:val="sr-Latn-RS"/>
        </w:rPr>
        <w:t xml:space="preserve"> </w:t>
      </w:r>
      <w:r w:rsidR="00A94549" w:rsidRPr="00814B5B">
        <w:rPr>
          <w:szCs w:val="22"/>
          <w:lang w:val="sr-Latn-RS"/>
        </w:rPr>
        <w:t xml:space="preserve">na </w:t>
      </w:r>
      <w:r w:rsidRPr="00814B5B">
        <w:rPr>
          <w:szCs w:val="22"/>
          <w:lang w:val="sr-Latn-RS"/>
        </w:rPr>
        <w:t>osnovu dostupnih podataka iz epidemioloških studija,</w:t>
      </w:r>
      <w:r w:rsidR="00E070DE" w:rsidRPr="00814B5B">
        <w:rPr>
          <w:szCs w:val="22"/>
          <w:lang w:val="sr-Latn-RS"/>
        </w:rPr>
        <w:t xml:space="preserve"> zab</w:t>
      </w:r>
      <w:r w:rsidR="00873C90" w:rsidRPr="00814B5B">
        <w:rPr>
          <w:szCs w:val="22"/>
          <w:lang w:val="sr-Latn-RS"/>
        </w:rPr>
        <w:t>i</w:t>
      </w:r>
      <w:r w:rsidR="00E070DE" w:rsidRPr="00814B5B">
        <w:rPr>
          <w:szCs w:val="22"/>
          <w:lang w:val="sr-Latn-RS"/>
        </w:rPr>
        <w:t>l</w:t>
      </w:r>
      <w:r w:rsidR="00873C90" w:rsidRPr="00814B5B">
        <w:rPr>
          <w:szCs w:val="22"/>
          <w:lang w:val="sr-Latn-RS"/>
        </w:rPr>
        <w:t>j</w:t>
      </w:r>
      <w:r w:rsidR="00E070DE" w:rsidRPr="00814B5B">
        <w:rPr>
          <w:szCs w:val="22"/>
          <w:lang w:val="sr-Latn-RS"/>
        </w:rPr>
        <w:t>ežena je povezanost</w:t>
      </w:r>
      <w:r w:rsidRPr="00814B5B">
        <w:rPr>
          <w:szCs w:val="22"/>
          <w:lang w:val="sr-Latn-RS"/>
        </w:rPr>
        <w:t xml:space="preserve"> između hidrohlo</w:t>
      </w:r>
      <w:r w:rsidR="00E070DE" w:rsidRPr="00814B5B">
        <w:rPr>
          <w:szCs w:val="22"/>
          <w:lang w:val="sr-Latn-RS"/>
        </w:rPr>
        <w:t>r</w:t>
      </w:r>
      <w:r w:rsidRPr="00814B5B">
        <w:rPr>
          <w:szCs w:val="22"/>
          <w:lang w:val="sr-Latn-RS"/>
        </w:rPr>
        <w:t>tiazida i nemelanomskog karcinoma kože (NMSC) zavisna od kumulativne doze (takođe vid</w:t>
      </w:r>
      <w:r w:rsidR="00873C90" w:rsidRPr="00814B5B">
        <w:rPr>
          <w:szCs w:val="22"/>
          <w:lang w:val="sr-Latn-RS"/>
        </w:rPr>
        <w:t>j</w:t>
      </w:r>
      <w:r w:rsidRPr="00814B5B">
        <w:rPr>
          <w:szCs w:val="22"/>
          <w:lang w:val="sr-Latn-RS"/>
        </w:rPr>
        <w:t xml:space="preserve">eti </w:t>
      </w:r>
      <w:r w:rsidR="00873C90" w:rsidRPr="00814B5B">
        <w:rPr>
          <w:szCs w:val="22"/>
          <w:lang w:val="sr-Latn-RS"/>
        </w:rPr>
        <w:t>djelove</w:t>
      </w:r>
      <w:r w:rsidRPr="00814B5B">
        <w:rPr>
          <w:szCs w:val="22"/>
          <w:lang w:val="sr-Latn-RS"/>
        </w:rPr>
        <w:t xml:space="preserve"> 4.4 i 5.1).</w:t>
      </w:r>
    </w:p>
    <w:p w14:paraId="74C0606E" w14:textId="77777777" w:rsidR="00565237" w:rsidRPr="00814B5B" w:rsidRDefault="00565237" w:rsidP="00565237">
      <w:pPr>
        <w:tabs>
          <w:tab w:val="clear" w:pos="284"/>
        </w:tabs>
        <w:spacing w:after="200" w:line="276" w:lineRule="auto"/>
        <w:jc w:val="left"/>
        <w:rPr>
          <w:rFonts w:eastAsia="Calibri"/>
          <w:szCs w:val="22"/>
          <w:u w:val="single"/>
          <w:lang w:val="sr-Latn-RS"/>
        </w:rPr>
      </w:pPr>
      <w:r w:rsidRPr="00814B5B">
        <w:rPr>
          <w:rFonts w:eastAsia="Calibri"/>
          <w:szCs w:val="22"/>
          <w:u w:val="single"/>
          <w:lang w:val="sr-Latn-RS"/>
        </w:rPr>
        <w:t>Prijavljivanje sumnji na neželjena dejstva</w:t>
      </w:r>
    </w:p>
    <w:p w14:paraId="13404DC8" w14:textId="77777777" w:rsidR="00565237" w:rsidRPr="00814B5B" w:rsidRDefault="00565237" w:rsidP="00565237">
      <w:pPr>
        <w:tabs>
          <w:tab w:val="clear" w:pos="284"/>
        </w:tabs>
        <w:spacing w:after="200"/>
        <w:rPr>
          <w:rFonts w:eastAsia="Calibri"/>
          <w:szCs w:val="22"/>
          <w:lang w:val="sr-Latn-RS"/>
        </w:rPr>
      </w:pPr>
      <w:r w:rsidRPr="00814B5B">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4F4AD60" w14:textId="77777777" w:rsidR="00565237" w:rsidRPr="00814B5B" w:rsidRDefault="00565237" w:rsidP="00565237">
      <w:pPr>
        <w:tabs>
          <w:tab w:val="clear" w:pos="284"/>
        </w:tabs>
        <w:rPr>
          <w:rFonts w:eastAsia="Calibri"/>
          <w:szCs w:val="22"/>
          <w:lang w:val="sr-Latn-RS"/>
        </w:rPr>
      </w:pPr>
      <w:r w:rsidRPr="00814B5B">
        <w:rPr>
          <w:rFonts w:eastAsia="Calibri"/>
          <w:szCs w:val="22"/>
          <w:lang w:val="sr-Latn-RS"/>
        </w:rPr>
        <w:t xml:space="preserve">Institut za ljekove i medicinska sredstva </w:t>
      </w:r>
    </w:p>
    <w:p w14:paraId="59AC0CCC" w14:textId="77777777" w:rsidR="00565237" w:rsidRPr="00814B5B" w:rsidRDefault="00565237" w:rsidP="00565237">
      <w:pPr>
        <w:tabs>
          <w:tab w:val="clear" w:pos="284"/>
        </w:tabs>
        <w:rPr>
          <w:rFonts w:eastAsia="Calibri"/>
          <w:szCs w:val="22"/>
          <w:lang w:val="sr-Latn-RS"/>
        </w:rPr>
      </w:pPr>
      <w:r w:rsidRPr="00814B5B">
        <w:rPr>
          <w:rFonts w:eastAsia="Calibri"/>
          <w:szCs w:val="22"/>
          <w:lang w:val="sr-Latn-RS"/>
        </w:rPr>
        <w:t>Odjeljenje za farmakovigilancu</w:t>
      </w:r>
    </w:p>
    <w:p w14:paraId="3873CE8B" w14:textId="77777777" w:rsidR="00565237" w:rsidRPr="00814B5B" w:rsidRDefault="00565237" w:rsidP="00565237">
      <w:pPr>
        <w:tabs>
          <w:tab w:val="clear" w:pos="284"/>
        </w:tabs>
        <w:rPr>
          <w:rFonts w:eastAsia="Calibri"/>
          <w:szCs w:val="22"/>
          <w:lang w:val="sr-Latn-RS"/>
        </w:rPr>
      </w:pPr>
      <w:r w:rsidRPr="00814B5B">
        <w:rPr>
          <w:rFonts w:eastAsia="Calibri"/>
          <w:szCs w:val="22"/>
          <w:lang w:val="sr-Latn-RS"/>
        </w:rPr>
        <w:t>Bulevar Ivana Crnojevića 64a, 81000 Podgorica</w:t>
      </w:r>
    </w:p>
    <w:p w14:paraId="4DC77B91" w14:textId="77777777" w:rsidR="00565237" w:rsidRPr="00814B5B" w:rsidRDefault="00565237" w:rsidP="00565237">
      <w:pPr>
        <w:tabs>
          <w:tab w:val="clear" w:pos="284"/>
        </w:tabs>
        <w:jc w:val="left"/>
        <w:rPr>
          <w:rFonts w:eastAsia="Calibri"/>
          <w:szCs w:val="22"/>
          <w:lang w:val="sr-Latn-RS"/>
        </w:rPr>
      </w:pPr>
    </w:p>
    <w:p w14:paraId="78DC580B" w14:textId="77777777" w:rsidR="00565237" w:rsidRPr="00814B5B" w:rsidRDefault="00565237" w:rsidP="00565237">
      <w:pPr>
        <w:tabs>
          <w:tab w:val="clear" w:pos="284"/>
        </w:tabs>
        <w:rPr>
          <w:rFonts w:eastAsia="Calibri"/>
          <w:szCs w:val="22"/>
          <w:lang w:val="sr-Latn-RS"/>
        </w:rPr>
      </w:pPr>
      <w:r w:rsidRPr="00814B5B">
        <w:rPr>
          <w:rFonts w:eastAsia="Calibri"/>
          <w:szCs w:val="22"/>
          <w:lang w:val="sr-Latn-RS"/>
        </w:rPr>
        <w:t>tel: +382 (0) 20 310 280</w:t>
      </w:r>
    </w:p>
    <w:p w14:paraId="382A8D31" w14:textId="77777777" w:rsidR="00565237" w:rsidRPr="00814B5B" w:rsidRDefault="00565237" w:rsidP="00565237">
      <w:pPr>
        <w:tabs>
          <w:tab w:val="clear" w:pos="284"/>
          <w:tab w:val="left" w:pos="6720"/>
        </w:tabs>
        <w:rPr>
          <w:rFonts w:eastAsia="Calibri"/>
          <w:szCs w:val="22"/>
          <w:lang w:val="sr-Latn-RS"/>
        </w:rPr>
      </w:pPr>
      <w:r w:rsidRPr="00814B5B">
        <w:rPr>
          <w:rFonts w:eastAsia="Calibri"/>
          <w:szCs w:val="22"/>
          <w:lang w:val="sr-Latn-RS"/>
        </w:rPr>
        <w:t>fax: +382 (0) 20 310 581</w:t>
      </w:r>
      <w:r w:rsidRPr="00814B5B">
        <w:rPr>
          <w:rFonts w:eastAsia="Calibri"/>
          <w:szCs w:val="22"/>
          <w:lang w:val="sr-Latn-RS"/>
        </w:rPr>
        <w:tab/>
      </w:r>
    </w:p>
    <w:p w14:paraId="5377598E" w14:textId="77777777" w:rsidR="00565237" w:rsidRPr="00814B5B" w:rsidRDefault="00814B5B" w:rsidP="00565237">
      <w:pPr>
        <w:tabs>
          <w:tab w:val="clear" w:pos="284"/>
        </w:tabs>
        <w:rPr>
          <w:rFonts w:eastAsia="Calibri"/>
          <w:szCs w:val="22"/>
          <w:lang w:val="sr-Latn-RS"/>
        </w:rPr>
      </w:pPr>
      <w:hyperlink r:id="rId12" w:history="1">
        <w:r w:rsidR="00565237" w:rsidRPr="00814B5B">
          <w:rPr>
            <w:rFonts w:eastAsia="Calibri"/>
            <w:color w:val="0563C1"/>
            <w:szCs w:val="22"/>
            <w:u w:val="single"/>
            <w:lang w:val="sr-Latn-RS"/>
          </w:rPr>
          <w:t>www.cinmed.me</w:t>
        </w:r>
      </w:hyperlink>
    </w:p>
    <w:p w14:paraId="24B384BD" w14:textId="77777777" w:rsidR="00565237" w:rsidRPr="00814B5B" w:rsidRDefault="00814B5B" w:rsidP="00565237">
      <w:pPr>
        <w:tabs>
          <w:tab w:val="clear" w:pos="284"/>
        </w:tabs>
        <w:rPr>
          <w:rFonts w:eastAsia="Calibri"/>
          <w:color w:val="0000FF"/>
          <w:szCs w:val="22"/>
          <w:u w:val="single"/>
          <w:lang w:val="sr-Latn-RS"/>
        </w:rPr>
      </w:pPr>
      <w:hyperlink r:id="rId13" w:history="1">
        <w:r w:rsidR="00565237" w:rsidRPr="00814B5B">
          <w:rPr>
            <w:rFonts w:eastAsia="Calibri"/>
            <w:color w:val="0563C1"/>
            <w:szCs w:val="22"/>
            <w:u w:val="single"/>
            <w:lang w:val="sr-Latn-RS"/>
          </w:rPr>
          <w:t>nezeljenadejstva@cinmed.me</w:t>
        </w:r>
      </w:hyperlink>
    </w:p>
    <w:p w14:paraId="15F80C92" w14:textId="77777777" w:rsidR="00565237" w:rsidRPr="00814B5B" w:rsidRDefault="00565237" w:rsidP="00565237">
      <w:pPr>
        <w:tabs>
          <w:tab w:val="clear" w:pos="284"/>
        </w:tabs>
        <w:rPr>
          <w:rFonts w:eastAsia="Calibri"/>
          <w:szCs w:val="22"/>
          <w:lang w:val="sr-Latn-RS"/>
        </w:rPr>
      </w:pPr>
      <w:r w:rsidRPr="00814B5B">
        <w:rPr>
          <w:rFonts w:eastAsia="Calibri"/>
          <w:szCs w:val="22"/>
          <w:lang w:val="sr-Latn-RS"/>
        </w:rPr>
        <w:t>putem IS zdravstvene zaštite</w:t>
      </w:r>
    </w:p>
    <w:p w14:paraId="68070292" w14:textId="77777777" w:rsidR="00565237" w:rsidRPr="00814B5B" w:rsidRDefault="00565237" w:rsidP="00565237">
      <w:pPr>
        <w:tabs>
          <w:tab w:val="clear" w:pos="284"/>
        </w:tabs>
        <w:rPr>
          <w:rFonts w:eastAsia="Calibri"/>
          <w:szCs w:val="22"/>
          <w:lang w:val="sr-Latn-RS"/>
        </w:rPr>
      </w:pPr>
      <w:r w:rsidRPr="00814B5B">
        <w:rPr>
          <w:rFonts w:eastAsia="Calibri"/>
          <w:szCs w:val="22"/>
          <w:lang w:val="sr-Latn-RS"/>
        </w:rPr>
        <w:t>QR kod za online prijavu sumnje na neželjeno dejstvo lijeka:</w:t>
      </w:r>
    </w:p>
    <w:p w14:paraId="6FFA8A74" w14:textId="77777777" w:rsidR="00565237" w:rsidRPr="00814B5B" w:rsidRDefault="00565237" w:rsidP="00565237">
      <w:pPr>
        <w:tabs>
          <w:tab w:val="clear" w:pos="284"/>
        </w:tabs>
        <w:jc w:val="left"/>
        <w:rPr>
          <w:rFonts w:eastAsia="Calibri"/>
          <w:szCs w:val="22"/>
          <w:lang w:val="sr-Latn-RS"/>
        </w:rPr>
      </w:pPr>
    </w:p>
    <w:p w14:paraId="799E8829" w14:textId="77777777" w:rsidR="00565237" w:rsidRPr="00814B5B" w:rsidRDefault="00565237" w:rsidP="002A65F1">
      <w:pPr>
        <w:tabs>
          <w:tab w:val="clear" w:pos="284"/>
          <w:tab w:val="left" w:pos="540"/>
          <w:tab w:val="left" w:pos="569"/>
        </w:tabs>
        <w:jc w:val="left"/>
        <w:rPr>
          <w:b/>
          <w:bCs/>
          <w:szCs w:val="22"/>
        </w:rPr>
      </w:pPr>
      <w:r w:rsidRPr="00814B5B">
        <w:rPr>
          <w:b/>
          <w:bCs/>
          <w:noProof/>
          <w:szCs w:val="22"/>
        </w:rPr>
        <w:drawing>
          <wp:inline distT="0" distB="0" distL="0" distR="0" wp14:anchorId="51DA8F32" wp14:editId="0D434551">
            <wp:extent cx="980796" cy="972000"/>
            <wp:effectExtent l="0" t="0" r="0" b="0"/>
            <wp:docPr id="10" name="Picture 9" descr="A qr code on a white background&#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4"/>
                    </pic:cNvPr>
                    <pic:cNvPicPr>
                      <a:picLocks noChangeAspect="1"/>
                    </pic:cNvPicPr>
                  </pic:nvPicPr>
                  <pic:blipFill rotWithShape="1">
                    <a:blip r:embed="rId15"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2B56F57" w14:textId="77777777" w:rsidR="00565237" w:rsidRPr="00814B5B" w:rsidRDefault="00565237" w:rsidP="002A65F1">
      <w:pPr>
        <w:rPr>
          <w:b/>
          <w:bCs/>
          <w:szCs w:val="22"/>
          <w:lang w:val="sr-Latn-RS"/>
        </w:rPr>
      </w:pPr>
    </w:p>
    <w:p w14:paraId="4AA28A21" w14:textId="68C6EE6B" w:rsidR="00007EF9" w:rsidRPr="00814B5B" w:rsidRDefault="00007EF9" w:rsidP="002A65F1">
      <w:pPr>
        <w:rPr>
          <w:b/>
          <w:bCs/>
          <w:szCs w:val="22"/>
          <w:lang w:val="sr-Latn-RS"/>
        </w:rPr>
      </w:pPr>
      <w:r w:rsidRPr="00814B5B">
        <w:rPr>
          <w:b/>
          <w:bCs/>
          <w:szCs w:val="22"/>
          <w:lang w:val="sr-Latn-RS"/>
        </w:rPr>
        <w:t>4.9. Predoziranje</w:t>
      </w:r>
    </w:p>
    <w:p w14:paraId="7167C42A" w14:textId="153BA9EE" w:rsidR="00923494" w:rsidRPr="00814B5B" w:rsidRDefault="00923494" w:rsidP="007B600E">
      <w:pPr>
        <w:tabs>
          <w:tab w:val="clear" w:pos="284"/>
        </w:tabs>
        <w:autoSpaceDE w:val="0"/>
        <w:autoSpaceDN w:val="0"/>
        <w:adjustRightInd w:val="0"/>
        <w:spacing w:before="120" w:after="120"/>
        <w:rPr>
          <w:szCs w:val="22"/>
          <w:lang w:val="sl-SI"/>
        </w:rPr>
      </w:pPr>
      <w:r w:rsidRPr="00814B5B">
        <w:rPr>
          <w:szCs w:val="22"/>
          <w:lang w:val="sr-Latn-CS"/>
        </w:rPr>
        <w:t>Ni</w:t>
      </w:r>
      <w:r w:rsidR="00337E99" w:rsidRPr="00814B5B">
        <w:rPr>
          <w:szCs w:val="22"/>
          <w:lang w:val="sr-Latn-CS"/>
        </w:rPr>
        <w:t>je</w:t>
      </w:r>
      <w:r w:rsidRPr="00814B5B">
        <w:rPr>
          <w:szCs w:val="22"/>
          <w:lang w:val="sr-Latn-CS"/>
        </w:rPr>
        <w:t>su dostupni specifični podaci o terapiji predoziranja kombinacijom losartan/hidrohlortiazid.</w:t>
      </w:r>
      <w:r w:rsidRPr="00814B5B">
        <w:rPr>
          <w:szCs w:val="22"/>
          <w:lang w:val="sl-SI"/>
        </w:rPr>
        <w:t xml:space="preserve"> </w:t>
      </w:r>
      <w:r w:rsidRPr="00814B5B">
        <w:rPr>
          <w:szCs w:val="22"/>
          <w:lang w:val="sr-Latn-CS"/>
        </w:rPr>
        <w:t>Terapija je simptomatska i suportivna.</w:t>
      </w:r>
      <w:r w:rsidRPr="00814B5B">
        <w:rPr>
          <w:szCs w:val="22"/>
          <w:lang w:val="sl-SI"/>
        </w:rPr>
        <w:t xml:space="preserve"> </w:t>
      </w:r>
      <w:r w:rsidRPr="00814B5B">
        <w:rPr>
          <w:szCs w:val="22"/>
          <w:lang w:val="sr-Latn-CS"/>
        </w:rPr>
        <w:t xml:space="preserve">Terapiju kombinacijom losartan/hidrohlortiazid treba </w:t>
      </w:r>
      <w:r w:rsidR="003B756E" w:rsidRPr="00814B5B">
        <w:rPr>
          <w:szCs w:val="22"/>
          <w:lang w:val="sr-Latn-CS"/>
        </w:rPr>
        <w:t>obustaviti</w:t>
      </w:r>
      <w:r w:rsidRPr="00814B5B">
        <w:rPr>
          <w:szCs w:val="22"/>
          <w:lang w:val="sr-Latn-CS"/>
        </w:rPr>
        <w:t>, a pacijenta pažljivo pratiti.</w:t>
      </w:r>
      <w:r w:rsidRPr="00814B5B">
        <w:rPr>
          <w:szCs w:val="22"/>
          <w:lang w:val="sl-SI"/>
        </w:rPr>
        <w:t xml:space="preserve"> </w:t>
      </w:r>
      <w:r w:rsidRPr="00814B5B">
        <w:rPr>
          <w:szCs w:val="22"/>
          <w:lang w:val="sr-Latn-CS"/>
        </w:rPr>
        <w:t>Predložene m</w:t>
      </w:r>
      <w:r w:rsidR="00873C90" w:rsidRPr="00814B5B">
        <w:rPr>
          <w:szCs w:val="22"/>
          <w:lang w:val="sr-Latn-CS"/>
        </w:rPr>
        <w:t>j</w:t>
      </w:r>
      <w:r w:rsidRPr="00814B5B">
        <w:rPr>
          <w:szCs w:val="22"/>
          <w:lang w:val="sr-Latn-CS"/>
        </w:rPr>
        <w:t>ere uključuju izazivanje povraćanja</w:t>
      </w:r>
      <w:r w:rsidR="0049207E" w:rsidRPr="00814B5B">
        <w:rPr>
          <w:szCs w:val="22"/>
          <w:lang w:val="sr-Latn-CS"/>
        </w:rPr>
        <w:t>,</w:t>
      </w:r>
      <w:r w:rsidRPr="00814B5B">
        <w:rPr>
          <w:szCs w:val="22"/>
          <w:lang w:val="sr-Latn-CS"/>
        </w:rPr>
        <w:t xml:space="preserve"> ako je l</w:t>
      </w:r>
      <w:r w:rsidR="00873C90" w:rsidRPr="00814B5B">
        <w:rPr>
          <w:szCs w:val="22"/>
          <w:lang w:val="sr-Latn-CS"/>
        </w:rPr>
        <w:t>ij</w:t>
      </w:r>
      <w:r w:rsidRPr="00814B5B">
        <w:rPr>
          <w:szCs w:val="22"/>
          <w:lang w:val="sr-Latn-CS"/>
        </w:rPr>
        <w:t>ek nedavno un</w:t>
      </w:r>
      <w:r w:rsidR="00873C90" w:rsidRPr="00814B5B">
        <w:rPr>
          <w:szCs w:val="22"/>
          <w:lang w:val="sr-Latn-CS"/>
        </w:rPr>
        <w:t>ij</w:t>
      </w:r>
      <w:r w:rsidRPr="00814B5B">
        <w:rPr>
          <w:szCs w:val="22"/>
          <w:lang w:val="sr-Latn-CS"/>
        </w:rPr>
        <w:t>et, kao i korigovanje dehidracije, disbalansa elektrolita, hepatičke kome i hipotenzije ustanovljenim procedurama.</w:t>
      </w:r>
    </w:p>
    <w:p w14:paraId="30A3614A" w14:textId="77777777" w:rsidR="00923494" w:rsidRPr="00814B5B" w:rsidRDefault="00923494" w:rsidP="007B600E">
      <w:pPr>
        <w:tabs>
          <w:tab w:val="clear" w:pos="284"/>
        </w:tabs>
        <w:autoSpaceDE w:val="0"/>
        <w:autoSpaceDN w:val="0"/>
        <w:adjustRightInd w:val="0"/>
        <w:spacing w:before="120" w:after="120"/>
        <w:rPr>
          <w:szCs w:val="22"/>
          <w:u w:val="single"/>
          <w:lang w:val="sl-SI"/>
        </w:rPr>
      </w:pPr>
      <w:r w:rsidRPr="00814B5B">
        <w:rPr>
          <w:szCs w:val="22"/>
          <w:u w:val="single"/>
          <w:lang w:val="sr-Latn-CS"/>
        </w:rPr>
        <w:t>Losartan</w:t>
      </w:r>
    </w:p>
    <w:p w14:paraId="06D8106E" w14:textId="46AA716E" w:rsidR="00923494" w:rsidRPr="00814B5B" w:rsidRDefault="00923494" w:rsidP="007B600E">
      <w:pPr>
        <w:tabs>
          <w:tab w:val="clear" w:pos="284"/>
        </w:tabs>
        <w:autoSpaceDE w:val="0"/>
        <w:autoSpaceDN w:val="0"/>
        <w:adjustRightInd w:val="0"/>
        <w:spacing w:before="120" w:after="120"/>
        <w:rPr>
          <w:szCs w:val="22"/>
          <w:lang w:val="sl-SI"/>
        </w:rPr>
      </w:pPr>
      <w:r w:rsidRPr="00814B5B">
        <w:rPr>
          <w:szCs w:val="22"/>
          <w:lang w:val="sr-Latn-CS"/>
        </w:rPr>
        <w:t>Ograničeni su podaci o predoziranju kod ljudi.</w:t>
      </w:r>
      <w:r w:rsidRPr="00814B5B">
        <w:rPr>
          <w:szCs w:val="22"/>
          <w:lang w:val="sl-SI"/>
        </w:rPr>
        <w:t xml:space="preserve"> </w:t>
      </w:r>
      <w:r w:rsidRPr="00814B5B">
        <w:rPr>
          <w:szCs w:val="22"/>
          <w:lang w:val="sr-Latn-CS"/>
        </w:rPr>
        <w:t>Najv</w:t>
      </w:r>
      <w:r w:rsidR="00873C90" w:rsidRPr="00814B5B">
        <w:rPr>
          <w:szCs w:val="22"/>
          <w:lang w:val="sr-Latn-CS"/>
        </w:rPr>
        <w:t>j</w:t>
      </w:r>
      <w:r w:rsidRPr="00814B5B">
        <w:rPr>
          <w:szCs w:val="22"/>
          <w:lang w:val="sr-Latn-CS"/>
        </w:rPr>
        <w:t xml:space="preserve">erovatnije manifestacije predoziranja bile bi hipotenzija i tahikardija, a bradikardija bi mogla da se javi </w:t>
      </w:r>
      <w:r w:rsidR="000F601A" w:rsidRPr="00814B5B">
        <w:rPr>
          <w:szCs w:val="22"/>
          <w:lang w:val="sr-Latn-CS"/>
        </w:rPr>
        <w:t>usl</w:t>
      </w:r>
      <w:r w:rsidR="00873C90" w:rsidRPr="00814B5B">
        <w:rPr>
          <w:szCs w:val="22"/>
          <w:lang w:val="sr-Latn-CS"/>
        </w:rPr>
        <w:t>j</w:t>
      </w:r>
      <w:r w:rsidR="000F601A" w:rsidRPr="00814B5B">
        <w:rPr>
          <w:szCs w:val="22"/>
          <w:lang w:val="sr-Latn-CS"/>
        </w:rPr>
        <w:t xml:space="preserve">ed </w:t>
      </w:r>
      <w:r w:rsidRPr="00814B5B">
        <w:rPr>
          <w:szCs w:val="22"/>
          <w:lang w:val="sr-Latn-CS"/>
        </w:rPr>
        <w:t>stimulacije parasimpatikusa (vagusa).</w:t>
      </w:r>
      <w:r w:rsidRPr="00814B5B">
        <w:rPr>
          <w:szCs w:val="22"/>
          <w:lang w:val="sl-SI"/>
        </w:rPr>
        <w:t xml:space="preserve"> </w:t>
      </w:r>
      <w:r w:rsidRPr="00814B5B">
        <w:rPr>
          <w:szCs w:val="22"/>
          <w:lang w:val="sr-Latn-CS"/>
        </w:rPr>
        <w:t>Ako se javi simptomatska hipotenzija, treba uvesti suportivnu terapiju.</w:t>
      </w:r>
    </w:p>
    <w:p w14:paraId="1BCD4CE2" w14:textId="77777777" w:rsidR="00923494" w:rsidRPr="00814B5B" w:rsidRDefault="00923494" w:rsidP="007B600E">
      <w:pPr>
        <w:tabs>
          <w:tab w:val="clear" w:pos="284"/>
        </w:tabs>
        <w:autoSpaceDE w:val="0"/>
        <w:autoSpaceDN w:val="0"/>
        <w:adjustRightInd w:val="0"/>
        <w:spacing w:before="120" w:after="120"/>
        <w:rPr>
          <w:szCs w:val="22"/>
          <w:lang w:val="sl-SI"/>
        </w:rPr>
      </w:pPr>
      <w:r w:rsidRPr="00814B5B">
        <w:rPr>
          <w:szCs w:val="22"/>
          <w:lang w:val="sr-Latn-CS"/>
        </w:rPr>
        <w:t>Ni losartan ni njegovi aktivni metaboliti se ne mogu ukloniti hemodijalizom.</w:t>
      </w:r>
    </w:p>
    <w:p w14:paraId="7D2E2074" w14:textId="77777777" w:rsidR="00923494" w:rsidRPr="00814B5B" w:rsidRDefault="00923494" w:rsidP="007B600E">
      <w:pPr>
        <w:tabs>
          <w:tab w:val="clear" w:pos="284"/>
        </w:tabs>
        <w:autoSpaceDE w:val="0"/>
        <w:autoSpaceDN w:val="0"/>
        <w:adjustRightInd w:val="0"/>
        <w:spacing w:before="120" w:after="120"/>
        <w:rPr>
          <w:szCs w:val="22"/>
          <w:u w:val="single"/>
          <w:lang w:val="sl-SI"/>
        </w:rPr>
      </w:pPr>
      <w:r w:rsidRPr="00814B5B">
        <w:rPr>
          <w:szCs w:val="22"/>
          <w:u w:val="single"/>
          <w:lang w:val="sr-Latn-CS"/>
        </w:rPr>
        <w:t>Hidrohlortiazid</w:t>
      </w:r>
    </w:p>
    <w:p w14:paraId="6D9FF4DA" w14:textId="30E612C1" w:rsidR="00923494" w:rsidRPr="00814B5B" w:rsidRDefault="00923494" w:rsidP="007B600E">
      <w:pPr>
        <w:tabs>
          <w:tab w:val="clear" w:pos="284"/>
        </w:tabs>
        <w:autoSpaceDE w:val="0"/>
        <w:autoSpaceDN w:val="0"/>
        <w:adjustRightInd w:val="0"/>
        <w:spacing w:before="120" w:after="120"/>
        <w:rPr>
          <w:szCs w:val="22"/>
          <w:lang w:val="sl-SI"/>
        </w:rPr>
      </w:pPr>
      <w:r w:rsidRPr="00814B5B">
        <w:rPr>
          <w:szCs w:val="22"/>
          <w:lang w:val="sr-Latn-CS"/>
        </w:rPr>
        <w:t xml:space="preserve">Najčešće </w:t>
      </w:r>
      <w:r w:rsidR="000F601A" w:rsidRPr="00814B5B">
        <w:rPr>
          <w:szCs w:val="22"/>
          <w:lang w:val="sr-Latn-CS"/>
        </w:rPr>
        <w:t>zab</w:t>
      </w:r>
      <w:r w:rsidR="00873C90" w:rsidRPr="00814B5B">
        <w:rPr>
          <w:szCs w:val="22"/>
          <w:lang w:val="sr-Latn-CS"/>
        </w:rPr>
        <w:t>i</w:t>
      </w:r>
      <w:r w:rsidR="000F601A" w:rsidRPr="00814B5B">
        <w:rPr>
          <w:szCs w:val="22"/>
          <w:lang w:val="sr-Latn-CS"/>
        </w:rPr>
        <w:t>l</w:t>
      </w:r>
      <w:r w:rsidR="00873C90" w:rsidRPr="00814B5B">
        <w:rPr>
          <w:szCs w:val="22"/>
          <w:lang w:val="sr-Latn-CS"/>
        </w:rPr>
        <w:t>j</w:t>
      </w:r>
      <w:r w:rsidR="000F601A" w:rsidRPr="00814B5B">
        <w:rPr>
          <w:szCs w:val="22"/>
          <w:lang w:val="sr-Latn-CS"/>
        </w:rPr>
        <w:t xml:space="preserve">eženi </w:t>
      </w:r>
      <w:r w:rsidRPr="00814B5B">
        <w:rPr>
          <w:szCs w:val="22"/>
          <w:lang w:val="sr-Latn-CS"/>
        </w:rPr>
        <w:t xml:space="preserve">znaci i simptomi su oni </w:t>
      </w:r>
      <w:r w:rsidR="00195035" w:rsidRPr="00814B5B">
        <w:rPr>
          <w:szCs w:val="22"/>
          <w:lang w:val="sr-Latn-CS"/>
        </w:rPr>
        <w:t>p</w:t>
      </w:r>
      <w:r w:rsidRPr="00814B5B">
        <w:rPr>
          <w:szCs w:val="22"/>
          <w:lang w:val="sr-Latn-CS"/>
        </w:rPr>
        <w:t>rouzrokovani smanjenjem koncentracije elektrolita (hipokalemija, hipohloremija, hiponatremija) i dehidratacija, kao posl</w:t>
      </w:r>
      <w:r w:rsidR="00873C90" w:rsidRPr="00814B5B">
        <w:rPr>
          <w:szCs w:val="22"/>
          <w:lang w:val="sr-Latn-CS"/>
        </w:rPr>
        <w:t>j</w:t>
      </w:r>
      <w:r w:rsidRPr="00814B5B">
        <w:rPr>
          <w:szCs w:val="22"/>
          <w:lang w:val="sr-Latn-CS"/>
        </w:rPr>
        <w:t>edica prekom</w:t>
      </w:r>
      <w:r w:rsidR="00873C90" w:rsidRPr="00814B5B">
        <w:rPr>
          <w:szCs w:val="22"/>
          <w:lang w:val="sr-Latn-CS"/>
        </w:rPr>
        <w:t>j</w:t>
      </w:r>
      <w:r w:rsidRPr="00814B5B">
        <w:rPr>
          <w:szCs w:val="22"/>
          <w:lang w:val="sr-Latn-CS"/>
        </w:rPr>
        <w:t>erne diureze.</w:t>
      </w:r>
      <w:r w:rsidRPr="00814B5B">
        <w:rPr>
          <w:szCs w:val="22"/>
          <w:lang w:val="sl-SI"/>
        </w:rPr>
        <w:t xml:space="preserve"> </w:t>
      </w:r>
      <w:r w:rsidRPr="00814B5B">
        <w:rPr>
          <w:szCs w:val="22"/>
          <w:lang w:val="sr-Latn-CS"/>
        </w:rPr>
        <w:t>Ako je prim</w:t>
      </w:r>
      <w:r w:rsidR="00873C90" w:rsidRPr="00814B5B">
        <w:rPr>
          <w:szCs w:val="22"/>
          <w:lang w:val="sr-Latn-CS"/>
        </w:rPr>
        <w:t>ij</w:t>
      </w:r>
      <w:r w:rsidRPr="00814B5B">
        <w:rPr>
          <w:szCs w:val="22"/>
          <w:lang w:val="sr-Latn-CS"/>
        </w:rPr>
        <w:t xml:space="preserve">enjen i digitalis, hipokalemija može da </w:t>
      </w:r>
      <w:r w:rsidR="00195035" w:rsidRPr="00814B5B">
        <w:rPr>
          <w:szCs w:val="22"/>
          <w:lang w:val="sr-Latn-CS"/>
        </w:rPr>
        <w:t xml:space="preserve">potencira </w:t>
      </w:r>
      <w:r w:rsidRPr="00814B5B">
        <w:rPr>
          <w:szCs w:val="22"/>
          <w:lang w:val="sr-Latn-CS"/>
        </w:rPr>
        <w:t>srčane aritmije.</w:t>
      </w:r>
    </w:p>
    <w:p w14:paraId="594C5E1C" w14:textId="5D83DA84" w:rsidR="00007EF9" w:rsidRPr="00814B5B" w:rsidRDefault="00923494" w:rsidP="002A65F1">
      <w:pPr>
        <w:rPr>
          <w:szCs w:val="22"/>
          <w:lang w:val="sr-Latn-RS"/>
        </w:rPr>
      </w:pPr>
      <w:r w:rsidRPr="00814B5B">
        <w:rPr>
          <w:szCs w:val="22"/>
          <w:lang w:val="sr-Latn-CS"/>
        </w:rPr>
        <w:t>Stepen u kojem se hidrohlortiazid uklanja hemodijalizom nije ustanovljen.</w:t>
      </w:r>
    </w:p>
    <w:p w14:paraId="5D907CC0" w14:textId="0C51F4B9" w:rsidR="00565237" w:rsidRDefault="00565237" w:rsidP="002A65F1">
      <w:pPr>
        <w:pStyle w:val="NASLOV123"/>
        <w:spacing w:before="0" w:after="0"/>
        <w:jc w:val="both"/>
        <w:rPr>
          <w:lang w:val="sr-Latn-RS"/>
        </w:rPr>
      </w:pPr>
    </w:p>
    <w:p w14:paraId="3F261780" w14:textId="77777777" w:rsidR="002A65F1" w:rsidRPr="00814B5B" w:rsidRDefault="002A65F1" w:rsidP="002A65F1">
      <w:pPr>
        <w:pStyle w:val="NASLOV123"/>
        <w:spacing w:before="0" w:after="0"/>
        <w:jc w:val="both"/>
        <w:rPr>
          <w:lang w:val="sr-Latn-RS"/>
        </w:rPr>
      </w:pPr>
    </w:p>
    <w:p w14:paraId="1CCEFBCF" w14:textId="757D28BB" w:rsidR="00007EF9" w:rsidRPr="00814B5B" w:rsidRDefault="00007EF9" w:rsidP="002A65F1">
      <w:pPr>
        <w:pStyle w:val="NASLOV123"/>
        <w:spacing w:before="0" w:after="0"/>
        <w:jc w:val="both"/>
        <w:rPr>
          <w:lang w:val="sr-Latn-RS"/>
        </w:rPr>
      </w:pPr>
      <w:r w:rsidRPr="00814B5B">
        <w:rPr>
          <w:lang w:val="sr-Latn-RS"/>
        </w:rPr>
        <w:t>5. FARMAKOLOŠKI PODACI</w:t>
      </w:r>
    </w:p>
    <w:p w14:paraId="3ACBE105" w14:textId="77777777" w:rsidR="002A65F1" w:rsidRDefault="002A65F1" w:rsidP="002A65F1">
      <w:pPr>
        <w:rPr>
          <w:b/>
          <w:bCs/>
          <w:szCs w:val="22"/>
          <w:lang w:val="sr-Latn-RS"/>
        </w:rPr>
      </w:pPr>
    </w:p>
    <w:p w14:paraId="4B9F0126" w14:textId="04729507" w:rsidR="00007EF9" w:rsidRPr="00814B5B" w:rsidRDefault="00007EF9" w:rsidP="002A65F1">
      <w:pPr>
        <w:rPr>
          <w:b/>
          <w:bCs/>
          <w:szCs w:val="22"/>
          <w:lang w:val="sr-Latn-RS"/>
        </w:rPr>
      </w:pPr>
      <w:r w:rsidRPr="00814B5B">
        <w:rPr>
          <w:b/>
          <w:bCs/>
          <w:szCs w:val="22"/>
          <w:lang w:val="sr-Latn-RS"/>
        </w:rPr>
        <w:t>5.1. Farmakodinamski podaci</w:t>
      </w:r>
    </w:p>
    <w:p w14:paraId="2DFBFD8D" w14:textId="77777777" w:rsidR="00007EF9" w:rsidRPr="00814B5B" w:rsidRDefault="00007EF9" w:rsidP="007B600E">
      <w:pPr>
        <w:spacing w:before="120" w:after="120"/>
        <w:rPr>
          <w:szCs w:val="22"/>
          <w:lang w:val="sr-Latn-RS"/>
        </w:rPr>
      </w:pPr>
      <w:r w:rsidRPr="00814B5B">
        <w:rPr>
          <w:szCs w:val="22"/>
          <w:lang w:val="sr-Latn-RS"/>
        </w:rPr>
        <w:t>Farmakoterapijska grupa:</w:t>
      </w:r>
      <w:r w:rsidR="005F625C" w:rsidRPr="00814B5B">
        <w:rPr>
          <w:szCs w:val="22"/>
          <w:lang w:val="sr-Latn-RS"/>
        </w:rPr>
        <w:t xml:space="preserve"> Antagonisti receptora angiotenzina II i diuretici</w:t>
      </w:r>
    </w:p>
    <w:p w14:paraId="66386EEB" w14:textId="1BE18A4E" w:rsidR="00007EF9" w:rsidRDefault="00007EF9" w:rsidP="007B600E">
      <w:pPr>
        <w:spacing w:before="120" w:after="120"/>
        <w:rPr>
          <w:szCs w:val="22"/>
          <w:lang w:val="sr-Latn-RS"/>
        </w:rPr>
      </w:pPr>
      <w:r w:rsidRPr="00814B5B">
        <w:rPr>
          <w:szCs w:val="22"/>
          <w:lang w:val="sr-Latn-RS"/>
        </w:rPr>
        <w:t xml:space="preserve">ATC </w:t>
      </w:r>
      <w:r w:rsidR="00873C90" w:rsidRPr="00814B5B">
        <w:rPr>
          <w:szCs w:val="22"/>
          <w:lang w:val="sr-Latn-RS"/>
        </w:rPr>
        <w:t>kod</w:t>
      </w:r>
      <w:r w:rsidRPr="00814B5B">
        <w:rPr>
          <w:szCs w:val="22"/>
          <w:lang w:val="sr-Latn-RS"/>
        </w:rPr>
        <w:t>:</w:t>
      </w:r>
      <w:r w:rsidR="005F625C" w:rsidRPr="00814B5B">
        <w:rPr>
          <w:szCs w:val="22"/>
          <w:lang w:val="sr-Latn-RS"/>
        </w:rPr>
        <w:t xml:space="preserve"> C09DA01</w:t>
      </w:r>
    </w:p>
    <w:p w14:paraId="36838B35" w14:textId="77777777" w:rsidR="002A65F1" w:rsidRPr="00814B5B" w:rsidRDefault="002A65F1" w:rsidP="007B600E">
      <w:pPr>
        <w:spacing w:before="120" w:after="120"/>
        <w:rPr>
          <w:szCs w:val="22"/>
          <w:lang w:val="sr-Latn-RS"/>
        </w:rPr>
      </w:pPr>
    </w:p>
    <w:p w14:paraId="1E041766" w14:textId="13CAFD24" w:rsidR="005F625C" w:rsidRPr="00814B5B" w:rsidRDefault="00CC15CB" w:rsidP="007B600E">
      <w:pPr>
        <w:pStyle w:val="Header"/>
        <w:tabs>
          <w:tab w:val="clear" w:pos="4536"/>
          <w:tab w:val="clear" w:pos="9072"/>
          <w:tab w:val="left" w:pos="284"/>
        </w:tabs>
        <w:spacing w:before="120" w:after="120"/>
        <w:rPr>
          <w:szCs w:val="22"/>
          <w:u w:val="single"/>
          <w:lang w:val="sr-Latn-RS"/>
        </w:rPr>
      </w:pPr>
      <w:r w:rsidRPr="00814B5B">
        <w:rPr>
          <w:szCs w:val="22"/>
          <w:u w:val="single"/>
          <w:lang w:val="sr-Latn-RS"/>
        </w:rPr>
        <w:lastRenderedPageBreak/>
        <w:t>Kombinacija l</w:t>
      </w:r>
      <w:r w:rsidR="005F625C" w:rsidRPr="00814B5B">
        <w:rPr>
          <w:szCs w:val="22"/>
          <w:u w:val="single"/>
          <w:lang w:val="sr-Latn-RS"/>
        </w:rPr>
        <w:t>osartan</w:t>
      </w:r>
      <w:r w:rsidRPr="00814B5B">
        <w:rPr>
          <w:szCs w:val="22"/>
          <w:u w:val="single"/>
          <w:lang w:val="sr-Latn-RS"/>
        </w:rPr>
        <w:t>a i h</w:t>
      </w:r>
      <w:r w:rsidR="005F625C" w:rsidRPr="00814B5B">
        <w:rPr>
          <w:szCs w:val="22"/>
          <w:u w:val="single"/>
          <w:lang w:val="sr-Latn-RS"/>
        </w:rPr>
        <w:t>idrohlortiazid</w:t>
      </w:r>
      <w:r w:rsidRPr="00814B5B">
        <w:rPr>
          <w:szCs w:val="22"/>
          <w:u w:val="single"/>
          <w:lang w:val="sr-Latn-RS"/>
        </w:rPr>
        <w:t>a</w:t>
      </w:r>
    </w:p>
    <w:p w14:paraId="1E02585B" w14:textId="5F5F9D64" w:rsidR="005F625C" w:rsidRPr="00814B5B" w:rsidRDefault="00BA7DDF" w:rsidP="007B600E">
      <w:pPr>
        <w:pStyle w:val="Header"/>
        <w:tabs>
          <w:tab w:val="clear" w:pos="4536"/>
          <w:tab w:val="clear" w:pos="9072"/>
          <w:tab w:val="left" w:pos="284"/>
        </w:tabs>
        <w:spacing w:before="120" w:after="120"/>
        <w:rPr>
          <w:szCs w:val="22"/>
          <w:lang w:val="sr-Latn-RS"/>
        </w:rPr>
      </w:pPr>
      <w:r w:rsidRPr="00814B5B">
        <w:rPr>
          <w:szCs w:val="22"/>
          <w:lang w:val="sr-Latn-RS"/>
        </w:rPr>
        <w:t>P</w:t>
      </w:r>
      <w:r w:rsidR="005F625C" w:rsidRPr="00814B5B">
        <w:rPr>
          <w:szCs w:val="22"/>
          <w:lang w:val="sr-Latn-RS"/>
        </w:rPr>
        <w:t>okazano je da komponente l</w:t>
      </w:r>
      <w:r w:rsidR="00873C90" w:rsidRPr="00814B5B">
        <w:rPr>
          <w:szCs w:val="22"/>
          <w:lang w:val="sr-Latn-RS"/>
        </w:rPr>
        <w:t>ij</w:t>
      </w:r>
      <w:r w:rsidR="005F625C" w:rsidRPr="00814B5B">
        <w:rPr>
          <w:szCs w:val="22"/>
          <w:lang w:val="sr-Latn-RS"/>
        </w:rPr>
        <w:t>eka Losar plus imaju aditivn</w:t>
      </w:r>
      <w:r w:rsidRPr="00814B5B">
        <w:rPr>
          <w:szCs w:val="22"/>
          <w:lang w:val="sr-Latn-RS"/>
        </w:rPr>
        <w:t>o</w:t>
      </w:r>
      <w:r w:rsidR="005F625C" w:rsidRPr="00814B5B">
        <w:rPr>
          <w:szCs w:val="22"/>
          <w:lang w:val="sr-Latn-RS"/>
        </w:rPr>
        <w:t xml:space="preserve"> </w:t>
      </w:r>
      <w:r w:rsidRPr="00814B5B">
        <w:rPr>
          <w:szCs w:val="22"/>
          <w:lang w:val="sr-Latn-RS"/>
        </w:rPr>
        <w:t>dejstvo na sniženje krvnog pritiska</w:t>
      </w:r>
      <w:r w:rsidR="005F625C" w:rsidRPr="00814B5B">
        <w:rPr>
          <w:szCs w:val="22"/>
          <w:lang w:val="sr-Latn-RS"/>
        </w:rPr>
        <w:t xml:space="preserve">, snižavajući </w:t>
      </w:r>
      <w:r w:rsidRPr="00814B5B">
        <w:rPr>
          <w:szCs w:val="22"/>
          <w:lang w:val="sr-Latn-RS"/>
        </w:rPr>
        <w:t xml:space="preserve">krvni </w:t>
      </w:r>
      <w:r w:rsidR="005F625C" w:rsidRPr="00814B5B">
        <w:rPr>
          <w:szCs w:val="22"/>
          <w:lang w:val="sr-Latn-RS"/>
        </w:rPr>
        <w:t>pritisak u većoj m</w:t>
      </w:r>
      <w:r w:rsidR="00873C90" w:rsidRPr="00814B5B">
        <w:rPr>
          <w:szCs w:val="22"/>
          <w:lang w:val="sr-Latn-RS"/>
        </w:rPr>
        <w:t>j</w:t>
      </w:r>
      <w:r w:rsidR="005F625C" w:rsidRPr="00814B5B">
        <w:rPr>
          <w:szCs w:val="22"/>
          <w:lang w:val="sr-Latn-RS"/>
        </w:rPr>
        <w:t xml:space="preserve">eri nego što to čini svaka od komponenti pojedinačno. Smatra se da je ovaj efekat rezultat komplementarnog </w:t>
      </w:r>
      <w:r w:rsidRPr="00814B5B">
        <w:rPr>
          <w:szCs w:val="22"/>
          <w:lang w:val="sr-Latn-RS"/>
        </w:rPr>
        <w:t>dejstva</w:t>
      </w:r>
      <w:r w:rsidR="005F625C" w:rsidRPr="00814B5B">
        <w:rPr>
          <w:szCs w:val="22"/>
          <w:lang w:val="sr-Latn-RS"/>
        </w:rPr>
        <w:t xml:space="preserve">. Osim toga, </w:t>
      </w:r>
      <w:r w:rsidRPr="00814B5B">
        <w:rPr>
          <w:szCs w:val="22"/>
          <w:lang w:val="sr-Latn-RS"/>
        </w:rPr>
        <w:t>kao rezultat</w:t>
      </w:r>
      <w:r w:rsidR="005F625C" w:rsidRPr="00814B5B">
        <w:rPr>
          <w:szCs w:val="22"/>
          <w:lang w:val="sr-Latn-RS"/>
        </w:rPr>
        <w:t xml:space="preserve"> diuret</w:t>
      </w:r>
      <w:r w:rsidRPr="00814B5B">
        <w:rPr>
          <w:szCs w:val="22"/>
          <w:lang w:val="sr-Latn-RS"/>
        </w:rPr>
        <w:t>ičkog</w:t>
      </w:r>
      <w:r w:rsidR="005F625C" w:rsidRPr="00814B5B">
        <w:rPr>
          <w:szCs w:val="22"/>
          <w:lang w:val="sr-Latn-RS"/>
        </w:rPr>
        <w:t xml:space="preserve"> dejstva, hidrohlortiazid povećava aktivnost renina u plazmi, povećava sekreciju aldosterona, </w:t>
      </w:r>
      <w:r w:rsidRPr="00814B5B">
        <w:rPr>
          <w:szCs w:val="22"/>
          <w:lang w:val="sr-Latn-RS"/>
        </w:rPr>
        <w:t>smanjuje</w:t>
      </w:r>
      <w:r w:rsidR="005F625C" w:rsidRPr="00814B5B">
        <w:rPr>
          <w:szCs w:val="22"/>
          <w:lang w:val="sr-Latn-RS"/>
        </w:rPr>
        <w:t xml:space="preserve"> </w:t>
      </w:r>
      <w:r w:rsidRPr="00814B5B">
        <w:rPr>
          <w:szCs w:val="22"/>
          <w:lang w:val="sr-Latn-RS"/>
        </w:rPr>
        <w:t>koncentraciju</w:t>
      </w:r>
      <w:r w:rsidR="005F625C" w:rsidRPr="00814B5B">
        <w:rPr>
          <w:szCs w:val="22"/>
          <w:lang w:val="sr-Latn-RS"/>
        </w:rPr>
        <w:t xml:space="preserve"> kalijuma u serumu i povećava </w:t>
      </w:r>
      <w:r w:rsidRPr="00814B5B">
        <w:rPr>
          <w:szCs w:val="22"/>
          <w:lang w:val="sr-Latn-RS"/>
        </w:rPr>
        <w:t>koncentraciju</w:t>
      </w:r>
      <w:r w:rsidR="005F625C" w:rsidRPr="00814B5B">
        <w:rPr>
          <w:szCs w:val="22"/>
          <w:lang w:val="sr-Latn-RS"/>
        </w:rPr>
        <w:t xml:space="preserve"> angiotenzina II. </w:t>
      </w:r>
      <w:r w:rsidR="007E4572" w:rsidRPr="00814B5B">
        <w:rPr>
          <w:szCs w:val="22"/>
          <w:lang w:val="sr-Latn-RS"/>
        </w:rPr>
        <w:t>Primjena</w:t>
      </w:r>
      <w:r w:rsidR="005F625C" w:rsidRPr="00814B5B">
        <w:rPr>
          <w:szCs w:val="22"/>
          <w:lang w:val="sr-Latn-RS"/>
        </w:rPr>
        <w:t xml:space="preserve"> losartana blokira sv</w:t>
      </w:r>
      <w:r w:rsidRPr="00814B5B">
        <w:rPr>
          <w:szCs w:val="22"/>
          <w:lang w:val="sr-Latn-RS"/>
        </w:rPr>
        <w:t>a</w:t>
      </w:r>
      <w:r w:rsidR="005F625C" w:rsidRPr="00814B5B">
        <w:rPr>
          <w:szCs w:val="22"/>
          <w:lang w:val="sr-Latn-RS"/>
        </w:rPr>
        <w:t xml:space="preserve"> fiziološki </w:t>
      </w:r>
      <w:r w:rsidR="003352F1" w:rsidRPr="00814B5B">
        <w:rPr>
          <w:szCs w:val="22"/>
          <w:lang w:val="sr-Latn-RS"/>
        </w:rPr>
        <w:t xml:space="preserve">značajna </w:t>
      </w:r>
      <w:r w:rsidRPr="00814B5B">
        <w:rPr>
          <w:szCs w:val="22"/>
          <w:lang w:val="sr-Latn-RS"/>
        </w:rPr>
        <w:t>dejstva</w:t>
      </w:r>
      <w:r w:rsidR="005F625C" w:rsidRPr="00814B5B">
        <w:rPr>
          <w:szCs w:val="22"/>
          <w:lang w:val="sr-Latn-RS"/>
        </w:rPr>
        <w:t xml:space="preserve"> angiotenzina II </w:t>
      </w:r>
      <w:r w:rsidRPr="00814B5B">
        <w:rPr>
          <w:szCs w:val="22"/>
          <w:lang w:val="sr-Latn-RS"/>
        </w:rPr>
        <w:t>i</w:t>
      </w:r>
      <w:r w:rsidR="005F625C" w:rsidRPr="00814B5B">
        <w:rPr>
          <w:szCs w:val="22"/>
          <w:lang w:val="sr-Latn-RS"/>
        </w:rPr>
        <w:t xml:space="preserve"> putem inhibicije aldosterona </w:t>
      </w:r>
      <w:r w:rsidRPr="00814B5B">
        <w:rPr>
          <w:szCs w:val="22"/>
          <w:lang w:val="sr-Latn-RS"/>
        </w:rPr>
        <w:t xml:space="preserve">može </w:t>
      </w:r>
      <w:r w:rsidR="005F625C" w:rsidRPr="00814B5B">
        <w:rPr>
          <w:szCs w:val="22"/>
          <w:lang w:val="sr-Latn-RS"/>
        </w:rPr>
        <w:t>ublaž</w:t>
      </w:r>
      <w:r w:rsidRPr="00814B5B">
        <w:rPr>
          <w:szCs w:val="22"/>
          <w:lang w:val="sr-Latn-RS"/>
        </w:rPr>
        <w:t>iti</w:t>
      </w:r>
      <w:r w:rsidR="005F625C" w:rsidRPr="00814B5B">
        <w:rPr>
          <w:szCs w:val="22"/>
          <w:lang w:val="sr-Latn-RS"/>
        </w:rPr>
        <w:t xml:space="preserve"> gubitak kalijuma </w:t>
      </w:r>
      <w:r w:rsidRPr="00814B5B">
        <w:rPr>
          <w:szCs w:val="22"/>
          <w:lang w:val="sr-Latn-RS"/>
        </w:rPr>
        <w:t>povezan sa prim</w:t>
      </w:r>
      <w:r w:rsidR="00873C90" w:rsidRPr="00814B5B">
        <w:rPr>
          <w:szCs w:val="22"/>
          <w:lang w:val="sr-Latn-RS"/>
        </w:rPr>
        <w:t>j</w:t>
      </w:r>
      <w:r w:rsidRPr="00814B5B">
        <w:rPr>
          <w:szCs w:val="22"/>
          <w:lang w:val="sr-Latn-RS"/>
        </w:rPr>
        <w:t>enom</w:t>
      </w:r>
      <w:r w:rsidR="005F625C" w:rsidRPr="00814B5B">
        <w:rPr>
          <w:szCs w:val="22"/>
          <w:lang w:val="sr-Latn-RS"/>
        </w:rPr>
        <w:t xml:space="preserve"> diuretik</w:t>
      </w:r>
      <w:r w:rsidRPr="00814B5B">
        <w:rPr>
          <w:szCs w:val="22"/>
          <w:lang w:val="sr-Latn-RS"/>
        </w:rPr>
        <w:t>a</w:t>
      </w:r>
      <w:r w:rsidR="005F625C" w:rsidRPr="00814B5B">
        <w:rPr>
          <w:szCs w:val="22"/>
          <w:lang w:val="sr-Latn-RS"/>
        </w:rPr>
        <w:t>.</w:t>
      </w:r>
    </w:p>
    <w:p w14:paraId="5B046CA7" w14:textId="72260095" w:rsidR="005F625C" w:rsidRPr="00814B5B" w:rsidRDefault="001D32B4" w:rsidP="007B600E">
      <w:pPr>
        <w:pStyle w:val="Header"/>
        <w:tabs>
          <w:tab w:val="clear" w:pos="4536"/>
          <w:tab w:val="clear" w:pos="9072"/>
          <w:tab w:val="left" w:pos="284"/>
        </w:tabs>
        <w:spacing w:before="120" w:after="120"/>
        <w:rPr>
          <w:szCs w:val="22"/>
          <w:lang w:val="sr-Latn-RS"/>
        </w:rPr>
      </w:pPr>
      <w:r w:rsidRPr="00814B5B">
        <w:rPr>
          <w:szCs w:val="22"/>
          <w:lang w:val="sr-Latn-RS"/>
        </w:rPr>
        <w:t>Pokazano je da l</w:t>
      </w:r>
      <w:r w:rsidR="005F625C" w:rsidRPr="00814B5B">
        <w:rPr>
          <w:szCs w:val="22"/>
          <w:lang w:val="sr-Latn-RS"/>
        </w:rPr>
        <w:t xml:space="preserve">osartan </w:t>
      </w:r>
      <w:r w:rsidRPr="00814B5B">
        <w:rPr>
          <w:szCs w:val="22"/>
          <w:lang w:val="sr-Latn-RS"/>
        </w:rPr>
        <w:t>ima</w:t>
      </w:r>
      <w:r w:rsidR="005F625C" w:rsidRPr="00814B5B">
        <w:rPr>
          <w:szCs w:val="22"/>
          <w:lang w:val="sr-Latn-RS"/>
        </w:rPr>
        <w:t xml:space="preserve"> blag i prolazan urikozurič</w:t>
      </w:r>
      <w:r w:rsidRPr="00814B5B">
        <w:rPr>
          <w:szCs w:val="22"/>
          <w:lang w:val="sr-Latn-RS"/>
        </w:rPr>
        <w:t>n</w:t>
      </w:r>
      <w:r w:rsidR="005F625C" w:rsidRPr="00814B5B">
        <w:rPr>
          <w:szCs w:val="22"/>
          <w:lang w:val="sr-Latn-RS"/>
        </w:rPr>
        <w:t>i efekat. Pokazano je da hidrohlortiazid uzrokuje um</w:t>
      </w:r>
      <w:r w:rsidR="00873C90" w:rsidRPr="00814B5B">
        <w:rPr>
          <w:szCs w:val="22"/>
          <w:lang w:val="sr-Latn-RS"/>
        </w:rPr>
        <w:t>j</w:t>
      </w:r>
      <w:r w:rsidR="005F625C" w:rsidRPr="00814B5B">
        <w:rPr>
          <w:szCs w:val="22"/>
          <w:lang w:val="sr-Latn-RS"/>
        </w:rPr>
        <w:t xml:space="preserve">eren porast </w:t>
      </w:r>
      <w:r w:rsidRPr="00814B5B">
        <w:rPr>
          <w:szCs w:val="22"/>
          <w:lang w:val="sr-Latn-RS"/>
        </w:rPr>
        <w:t>koncentracije</w:t>
      </w:r>
      <w:r w:rsidR="005F625C" w:rsidRPr="00814B5B">
        <w:rPr>
          <w:szCs w:val="22"/>
          <w:lang w:val="sr-Latn-RS"/>
        </w:rPr>
        <w:t xml:space="preserve"> mokraćne kiseline; kombinacija</w:t>
      </w:r>
      <w:r w:rsidRPr="00814B5B">
        <w:rPr>
          <w:szCs w:val="22"/>
          <w:lang w:val="sr-Latn-RS"/>
        </w:rPr>
        <w:t xml:space="preserve"> losartana i hidrohlo</w:t>
      </w:r>
      <w:r w:rsidR="00CB5CE5" w:rsidRPr="00814B5B">
        <w:rPr>
          <w:szCs w:val="22"/>
          <w:lang w:val="sr-Latn-RS"/>
        </w:rPr>
        <w:t>r</w:t>
      </w:r>
      <w:r w:rsidRPr="00814B5B">
        <w:rPr>
          <w:szCs w:val="22"/>
          <w:lang w:val="sr-Latn-RS"/>
        </w:rPr>
        <w:t>tiazida</w:t>
      </w:r>
      <w:r w:rsidR="005F625C" w:rsidRPr="00814B5B">
        <w:rPr>
          <w:szCs w:val="22"/>
          <w:lang w:val="sr-Latn-RS"/>
        </w:rPr>
        <w:t xml:space="preserve"> ublažava hiperurikemiju prouzrokovanu diureticima. </w:t>
      </w:r>
    </w:p>
    <w:p w14:paraId="53C93B74" w14:textId="2AFEB537" w:rsidR="005F625C" w:rsidRPr="00814B5B" w:rsidRDefault="005F625C" w:rsidP="007B600E">
      <w:pPr>
        <w:pStyle w:val="Header"/>
        <w:tabs>
          <w:tab w:val="clear" w:pos="4536"/>
          <w:tab w:val="clear" w:pos="9072"/>
          <w:tab w:val="left" w:pos="284"/>
        </w:tabs>
        <w:spacing w:before="120" w:after="120"/>
        <w:rPr>
          <w:szCs w:val="22"/>
          <w:lang w:val="sr-Latn-RS"/>
        </w:rPr>
      </w:pPr>
      <w:r w:rsidRPr="00814B5B">
        <w:rPr>
          <w:szCs w:val="22"/>
          <w:lang w:val="sr-Latn-RS"/>
        </w:rPr>
        <w:t>Antihipertenzivn</w:t>
      </w:r>
      <w:r w:rsidR="002C26DA" w:rsidRPr="00814B5B">
        <w:rPr>
          <w:szCs w:val="22"/>
          <w:lang w:val="sr-Latn-RS"/>
        </w:rPr>
        <w:t>o</w:t>
      </w:r>
      <w:r w:rsidRPr="00814B5B">
        <w:rPr>
          <w:szCs w:val="22"/>
          <w:lang w:val="sr-Latn-RS"/>
        </w:rPr>
        <w:t xml:space="preserve"> </w:t>
      </w:r>
      <w:r w:rsidR="002C26DA" w:rsidRPr="00814B5B">
        <w:rPr>
          <w:szCs w:val="22"/>
          <w:lang w:val="sr-Latn-RS"/>
        </w:rPr>
        <w:t>dejstvo</w:t>
      </w:r>
      <w:r w:rsidRPr="00814B5B">
        <w:rPr>
          <w:szCs w:val="22"/>
          <w:lang w:val="sr-Latn-RS"/>
        </w:rPr>
        <w:t xml:space="preserve"> kombin</w:t>
      </w:r>
      <w:r w:rsidR="002C26DA" w:rsidRPr="00814B5B">
        <w:rPr>
          <w:szCs w:val="22"/>
          <w:lang w:val="sr-Latn-RS"/>
        </w:rPr>
        <w:t>acije</w:t>
      </w:r>
      <w:r w:rsidRPr="00814B5B">
        <w:rPr>
          <w:szCs w:val="22"/>
          <w:lang w:val="sr-Latn-RS"/>
        </w:rPr>
        <w:t xml:space="preserve"> losartana i hidrohlortiazida održava se tokom </w:t>
      </w:r>
      <w:r w:rsidR="002C26DA" w:rsidRPr="00814B5B">
        <w:rPr>
          <w:szCs w:val="22"/>
          <w:lang w:val="sr-Latn-RS"/>
        </w:rPr>
        <w:t xml:space="preserve">perioda od </w:t>
      </w:r>
      <w:r w:rsidRPr="00814B5B">
        <w:rPr>
          <w:szCs w:val="22"/>
          <w:lang w:val="sr-Latn-RS"/>
        </w:rPr>
        <w:t xml:space="preserve">24 sata. </w:t>
      </w:r>
      <w:r w:rsidR="002C26DA" w:rsidRPr="00814B5B">
        <w:rPr>
          <w:szCs w:val="22"/>
          <w:lang w:val="sr-Latn-RS"/>
        </w:rPr>
        <w:t>U k</w:t>
      </w:r>
      <w:r w:rsidRPr="00814B5B">
        <w:rPr>
          <w:szCs w:val="22"/>
          <w:lang w:val="sr-Latn-RS"/>
        </w:rPr>
        <w:t>liničk</w:t>
      </w:r>
      <w:r w:rsidR="002C26DA" w:rsidRPr="00814B5B">
        <w:rPr>
          <w:szCs w:val="22"/>
          <w:lang w:val="sr-Latn-RS"/>
        </w:rPr>
        <w:t>im</w:t>
      </w:r>
      <w:r w:rsidRPr="00814B5B">
        <w:rPr>
          <w:szCs w:val="22"/>
          <w:lang w:val="sr-Latn-RS"/>
        </w:rPr>
        <w:t xml:space="preserve"> ispitivanj</w:t>
      </w:r>
      <w:r w:rsidR="002C26DA" w:rsidRPr="00814B5B">
        <w:rPr>
          <w:szCs w:val="22"/>
          <w:lang w:val="sr-Latn-RS"/>
        </w:rPr>
        <w:t>im</w:t>
      </w:r>
      <w:r w:rsidRPr="00814B5B">
        <w:rPr>
          <w:szCs w:val="22"/>
          <w:lang w:val="sr-Latn-RS"/>
        </w:rPr>
        <w:t>a koja su trajala najmanje godinu dana</w:t>
      </w:r>
      <w:r w:rsidR="002C26DA" w:rsidRPr="00814B5B">
        <w:rPr>
          <w:szCs w:val="22"/>
          <w:lang w:val="sr-Latn-RS"/>
        </w:rPr>
        <w:t>,</w:t>
      </w:r>
      <w:r w:rsidRPr="00814B5B">
        <w:rPr>
          <w:szCs w:val="22"/>
          <w:lang w:val="sr-Latn-RS"/>
        </w:rPr>
        <w:t xml:space="preserve"> </w:t>
      </w:r>
      <w:r w:rsidR="002C26DA" w:rsidRPr="00814B5B">
        <w:rPr>
          <w:szCs w:val="22"/>
          <w:lang w:val="sr-Latn-RS"/>
        </w:rPr>
        <w:t>antihipertenzivno dejstvo</w:t>
      </w:r>
      <w:r w:rsidRPr="00814B5B">
        <w:rPr>
          <w:szCs w:val="22"/>
          <w:lang w:val="sr-Latn-RS"/>
        </w:rPr>
        <w:t xml:space="preserve"> </w:t>
      </w:r>
      <w:r w:rsidR="002C26DA" w:rsidRPr="00814B5B">
        <w:rPr>
          <w:szCs w:val="22"/>
          <w:lang w:val="sr-Latn-RS"/>
        </w:rPr>
        <w:t>je</w:t>
      </w:r>
      <w:r w:rsidRPr="00814B5B">
        <w:rPr>
          <w:szCs w:val="22"/>
          <w:lang w:val="sr-Latn-RS"/>
        </w:rPr>
        <w:t xml:space="preserve"> održa</w:t>
      </w:r>
      <w:r w:rsidR="002C26DA" w:rsidRPr="00814B5B">
        <w:rPr>
          <w:szCs w:val="22"/>
          <w:lang w:val="sr-Latn-RS"/>
        </w:rPr>
        <w:t>no</w:t>
      </w:r>
      <w:r w:rsidRPr="00814B5B">
        <w:rPr>
          <w:szCs w:val="22"/>
          <w:lang w:val="sr-Latn-RS"/>
        </w:rPr>
        <w:t xml:space="preserve"> </w:t>
      </w:r>
      <w:r w:rsidR="002C26DA" w:rsidRPr="00814B5B">
        <w:rPr>
          <w:szCs w:val="22"/>
          <w:lang w:val="sr-Latn-RS"/>
        </w:rPr>
        <w:t xml:space="preserve">pri </w:t>
      </w:r>
      <w:r w:rsidRPr="00814B5B">
        <w:rPr>
          <w:szCs w:val="22"/>
          <w:lang w:val="sr-Latn-RS"/>
        </w:rPr>
        <w:t>kontinuirano</w:t>
      </w:r>
      <w:r w:rsidR="002C26DA" w:rsidRPr="00814B5B">
        <w:rPr>
          <w:szCs w:val="22"/>
          <w:lang w:val="sr-Latn-RS"/>
        </w:rPr>
        <w:t>j</w:t>
      </w:r>
      <w:r w:rsidRPr="00814B5B">
        <w:rPr>
          <w:szCs w:val="22"/>
          <w:lang w:val="sr-Latn-RS"/>
        </w:rPr>
        <w:t xml:space="preserve"> </w:t>
      </w:r>
      <w:r w:rsidR="002C26DA" w:rsidRPr="00814B5B">
        <w:rPr>
          <w:szCs w:val="22"/>
          <w:lang w:val="sr-Latn-RS"/>
        </w:rPr>
        <w:t>prim</w:t>
      </w:r>
      <w:r w:rsidR="00873C90" w:rsidRPr="00814B5B">
        <w:rPr>
          <w:szCs w:val="22"/>
          <w:lang w:val="sr-Latn-RS"/>
        </w:rPr>
        <w:t>j</w:t>
      </w:r>
      <w:r w:rsidR="002C26DA" w:rsidRPr="00814B5B">
        <w:rPr>
          <w:szCs w:val="22"/>
          <w:lang w:val="sr-Latn-RS"/>
        </w:rPr>
        <w:t>eni</w:t>
      </w:r>
      <w:r w:rsidRPr="00814B5B">
        <w:rPr>
          <w:szCs w:val="22"/>
          <w:lang w:val="sr-Latn-RS"/>
        </w:rPr>
        <w:t xml:space="preserve">. I pored značajnog sniženja krvnog pritiska, </w:t>
      </w:r>
      <w:r w:rsidR="007E4572" w:rsidRPr="00814B5B">
        <w:rPr>
          <w:szCs w:val="22"/>
          <w:lang w:val="sr-Latn-RS"/>
        </w:rPr>
        <w:t>primjena</w:t>
      </w:r>
      <w:r w:rsidRPr="00814B5B">
        <w:rPr>
          <w:szCs w:val="22"/>
          <w:lang w:val="sr-Latn-RS"/>
        </w:rPr>
        <w:t xml:space="preserve"> kombinacije losartan/hidrohlortiazid n</w:t>
      </w:r>
      <w:r w:rsidR="002C26DA" w:rsidRPr="00814B5B">
        <w:rPr>
          <w:szCs w:val="22"/>
          <w:lang w:val="sr-Latn-RS"/>
        </w:rPr>
        <w:t>ije</w:t>
      </w:r>
      <w:r w:rsidRPr="00814B5B">
        <w:rPr>
          <w:szCs w:val="22"/>
          <w:lang w:val="sr-Latn-RS"/>
        </w:rPr>
        <w:t xml:space="preserve"> </w:t>
      </w:r>
      <w:r w:rsidR="002C26DA" w:rsidRPr="00814B5B">
        <w:rPr>
          <w:szCs w:val="22"/>
          <w:lang w:val="sr-Latn-RS"/>
        </w:rPr>
        <w:t xml:space="preserve">imala </w:t>
      </w:r>
      <w:r w:rsidRPr="00814B5B">
        <w:rPr>
          <w:szCs w:val="22"/>
          <w:lang w:val="sr-Latn-RS"/>
        </w:rPr>
        <w:t>klinički značajan uticaj na</w:t>
      </w:r>
      <w:r w:rsidR="002C26DA" w:rsidRPr="00814B5B">
        <w:rPr>
          <w:szCs w:val="22"/>
          <w:lang w:val="sr-Latn-RS"/>
        </w:rPr>
        <w:t xml:space="preserve"> srčanu</w:t>
      </w:r>
      <w:r w:rsidRPr="00814B5B">
        <w:rPr>
          <w:szCs w:val="22"/>
          <w:lang w:val="sr-Latn-RS"/>
        </w:rPr>
        <w:t xml:space="preserve"> frekvencu. </w:t>
      </w:r>
      <w:r w:rsidR="002C26DA" w:rsidRPr="00814B5B">
        <w:rPr>
          <w:szCs w:val="22"/>
          <w:lang w:val="sr-Latn-RS"/>
        </w:rPr>
        <w:t>U k</w:t>
      </w:r>
      <w:r w:rsidRPr="00814B5B">
        <w:rPr>
          <w:szCs w:val="22"/>
          <w:lang w:val="sr-Latn-RS"/>
        </w:rPr>
        <w:t>liničk</w:t>
      </w:r>
      <w:r w:rsidR="002C26DA" w:rsidRPr="00814B5B">
        <w:rPr>
          <w:szCs w:val="22"/>
          <w:lang w:val="sr-Latn-RS"/>
        </w:rPr>
        <w:t>im</w:t>
      </w:r>
      <w:r w:rsidRPr="00814B5B">
        <w:rPr>
          <w:szCs w:val="22"/>
          <w:lang w:val="sr-Latn-RS"/>
        </w:rPr>
        <w:t xml:space="preserve"> ispitivanj</w:t>
      </w:r>
      <w:r w:rsidR="002C26DA" w:rsidRPr="00814B5B">
        <w:rPr>
          <w:szCs w:val="22"/>
          <w:lang w:val="sr-Latn-RS"/>
        </w:rPr>
        <w:t>im</w:t>
      </w:r>
      <w:r w:rsidRPr="00814B5B">
        <w:rPr>
          <w:szCs w:val="22"/>
          <w:lang w:val="sr-Latn-RS"/>
        </w:rPr>
        <w:t>a</w:t>
      </w:r>
      <w:r w:rsidR="002C26DA" w:rsidRPr="00814B5B">
        <w:rPr>
          <w:szCs w:val="22"/>
          <w:lang w:val="sr-Latn-RS"/>
        </w:rPr>
        <w:t>,</w:t>
      </w:r>
      <w:r w:rsidRPr="00814B5B">
        <w:rPr>
          <w:szCs w:val="22"/>
          <w:lang w:val="sr-Latn-RS"/>
        </w:rPr>
        <w:t xml:space="preserve"> </w:t>
      </w:r>
      <w:r w:rsidR="002C26DA" w:rsidRPr="00814B5B">
        <w:rPr>
          <w:szCs w:val="22"/>
          <w:lang w:val="sr-Latn-RS"/>
        </w:rPr>
        <w:t>nakon 12 ned</w:t>
      </w:r>
      <w:r w:rsidR="00873C90" w:rsidRPr="00814B5B">
        <w:rPr>
          <w:szCs w:val="22"/>
          <w:lang w:val="sr-Latn-RS"/>
        </w:rPr>
        <w:t>j</w:t>
      </w:r>
      <w:r w:rsidR="002C26DA" w:rsidRPr="00814B5B">
        <w:rPr>
          <w:szCs w:val="22"/>
          <w:lang w:val="sr-Latn-RS"/>
        </w:rPr>
        <w:t xml:space="preserve">elja </w:t>
      </w:r>
      <w:r w:rsidRPr="00814B5B">
        <w:rPr>
          <w:szCs w:val="22"/>
          <w:lang w:val="sr-Latn-RS"/>
        </w:rPr>
        <w:t>prim</w:t>
      </w:r>
      <w:r w:rsidR="00873C90" w:rsidRPr="00814B5B">
        <w:rPr>
          <w:szCs w:val="22"/>
          <w:lang w:val="sr-Latn-RS"/>
        </w:rPr>
        <w:t>j</w:t>
      </w:r>
      <w:r w:rsidRPr="00814B5B">
        <w:rPr>
          <w:szCs w:val="22"/>
          <w:lang w:val="sr-Latn-RS"/>
        </w:rPr>
        <w:t>ene</w:t>
      </w:r>
      <w:r w:rsidR="002C26DA" w:rsidRPr="00814B5B">
        <w:rPr>
          <w:szCs w:val="22"/>
          <w:lang w:val="sr-Latn-RS"/>
        </w:rPr>
        <w:t xml:space="preserve"> kombinacije</w:t>
      </w:r>
      <w:r w:rsidRPr="00814B5B">
        <w:rPr>
          <w:szCs w:val="22"/>
          <w:lang w:val="sr-Latn-RS"/>
        </w:rPr>
        <w:t xml:space="preserve"> losartana</w:t>
      </w:r>
      <w:r w:rsidR="002C26DA" w:rsidRPr="00814B5B">
        <w:rPr>
          <w:szCs w:val="22"/>
          <w:lang w:val="sr-Latn-RS"/>
        </w:rPr>
        <w:t xml:space="preserve"> u dozi od</w:t>
      </w:r>
      <w:r w:rsidRPr="00814B5B">
        <w:rPr>
          <w:szCs w:val="22"/>
          <w:lang w:val="sr-Latn-RS"/>
        </w:rPr>
        <w:t xml:space="preserve"> 50 mg i hidrohlortiazida</w:t>
      </w:r>
      <w:r w:rsidR="002C26DA" w:rsidRPr="00814B5B">
        <w:rPr>
          <w:szCs w:val="22"/>
          <w:lang w:val="sr-Latn-RS"/>
        </w:rPr>
        <w:t xml:space="preserve"> u dozi od</w:t>
      </w:r>
      <w:r w:rsidRPr="00814B5B">
        <w:rPr>
          <w:szCs w:val="22"/>
          <w:lang w:val="sr-Latn-RS"/>
        </w:rPr>
        <w:t xml:space="preserve"> 12,5 mg</w:t>
      </w:r>
      <w:r w:rsidR="002C26DA" w:rsidRPr="00814B5B">
        <w:rPr>
          <w:szCs w:val="22"/>
          <w:lang w:val="sr-Latn-RS"/>
        </w:rPr>
        <w:t>,</w:t>
      </w:r>
      <w:r w:rsidRPr="00814B5B">
        <w:rPr>
          <w:szCs w:val="22"/>
          <w:lang w:val="sr-Latn-RS"/>
        </w:rPr>
        <w:t xml:space="preserve"> </w:t>
      </w:r>
      <w:r w:rsidR="002C26DA" w:rsidRPr="00814B5B">
        <w:rPr>
          <w:szCs w:val="22"/>
          <w:lang w:val="sr-Latn-RS"/>
        </w:rPr>
        <w:t xml:space="preserve">najniži </w:t>
      </w:r>
      <w:r w:rsidRPr="00814B5B">
        <w:rPr>
          <w:szCs w:val="22"/>
          <w:lang w:val="sr-Latn-RS"/>
        </w:rPr>
        <w:t>dijastoln</w:t>
      </w:r>
      <w:r w:rsidR="002C26DA" w:rsidRPr="00814B5B">
        <w:rPr>
          <w:szCs w:val="22"/>
          <w:lang w:val="sr-Latn-RS"/>
        </w:rPr>
        <w:t>i krvni</w:t>
      </w:r>
      <w:r w:rsidRPr="00814B5B">
        <w:rPr>
          <w:szCs w:val="22"/>
          <w:lang w:val="sr-Latn-RS"/>
        </w:rPr>
        <w:t xml:space="preserve"> pritis</w:t>
      </w:r>
      <w:r w:rsidR="002C26DA" w:rsidRPr="00814B5B">
        <w:rPr>
          <w:szCs w:val="22"/>
          <w:lang w:val="sr-Latn-RS"/>
        </w:rPr>
        <w:t>a</w:t>
      </w:r>
      <w:r w:rsidRPr="00814B5B">
        <w:rPr>
          <w:szCs w:val="22"/>
          <w:lang w:val="sr-Latn-RS"/>
        </w:rPr>
        <w:t>k</w:t>
      </w:r>
      <w:r w:rsidR="002C26DA" w:rsidRPr="00814B5B">
        <w:rPr>
          <w:szCs w:val="22"/>
          <w:lang w:val="sr-Latn-RS"/>
        </w:rPr>
        <w:t xml:space="preserve"> </w:t>
      </w:r>
      <w:r w:rsidR="005A24BD" w:rsidRPr="00814B5B">
        <w:rPr>
          <w:szCs w:val="22"/>
          <w:lang w:val="sr-Latn-RS"/>
        </w:rPr>
        <w:t>iz</w:t>
      </w:r>
      <w:r w:rsidR="002C26DA" w:rsidRPr="00814B5B">
        <w:rPr>
          <w:szCs w:val="22"/>
          <w:lang w:val="sr-Latn-RS"/>
        </w:rPr>
        <w:t>m</w:t>
      </w:r>
      <w:r w:rsidR="00873C90" w:rsidRPr="00814B5B">
        <w:rPr>
          <w:szCs w:val="22"/>
          <w:lang w:val="sr-Latn-RS"/>
        </w:rPr>
        <w:t>j</w:t>
      </w:r>
      <w:r w:rsidR="002C26DA" w:rsidRPr="00814B5B">
        <w:rPr>
          <w:szCs w:val="22"/>
          <w:lang w:val="sr-Latn-RS"/>
        </w:rPr>
        <w:t>eren u s</w:t>
      </w:r>
      <w:r w:rsidR="00873C90" w:rsidRPr="00814B5B">
        <w:rPr>
          <w:szCs w:val="22"/>
          <w:lang w:val="sr-Latn-RS"/>
        </w:rPr>
        <w:t>j</w:t>
      </w:r>
      <w:r w:rsidR="002C26DA" w:rsidRPr="00814B5B">
        <w:rPr>
          <w:szCs w:val="22"/>
          <w:lang w:val="sr-Latn-RS"/>
        </w:rPr>
        <w:t>edećem položaju je bio snižen u pros</w:t>
      </w:r>
      <w:r w:rsidR="00873C90" w:rsidRPr="00814B5B">
        <w:rPr>
          <w:szCs w:val="22"/>
          <w:lang w:val="sr-Latn-RS"/>
        </w:rPr>
        <w:t>j</w:t>
      </w:r>
      <w:r w:rsidR="002C26DA" w:rsidRPr="00814B5B">
        <w:rPr>
          <w:szCs w:val="22"/>
          <w:lang w:val="sr-Latn-RS"/>
        </w:rPr>
        <w:t>eku do</w:t>
      </w:r>
      <w:r w:rsidRPr="00814B5B">
        <w:rPr>
          <w:szCs w:val="22"/>
          <w:lang w:val="sr-Latn-RS"/>
        </w:rPr>
        <w:t xml:space="preserve"> 13,2 mmHg. </w:t>
      </w:r>
    </w:p>
    <w:p w14:paraId="69FAA37C" w14:textId="6FFBB653" w:rsidR="005F625C" w:rsidRPr="00814B5B" w:rsidRDefault="005F625C" w:rsidP="007B600E">
      <w:pPr>
        <w:pStyle w:val="Header"/>
        <w:tabs>
          <w:tab w:val="clear" w:pos="4536"/>
          <w:tab w:val="clear" w:pos="9072"/>
          <w:tab w:val="left" w:pos="284"/>
        </w:tabs>
        <w:spacing w:before="120" w:after="120"/>
        <w:rPr>
          <w:szCs w:val="22"/>
          <w:lang w:val="sr-Latn-RS"/>
        </w:rPr>
      </w:pPr>
      <w:r w:rsidRPr="00814B5B">
        <w:rPr>
          <w:szCs w:val="22"/>
          <w:lang w:val="sr-Latn-RS"/>
        </w:rPr>
        <w:t xml:space="preserve">Kombinacija losartan/hidrohlortiazid </w:t>
      </w:r>
      <w:r w:rsidR="00C07840" w:rsidRPr="00814B5B">
        <w:rPr>
          <w:szCs w:val="22"/>
          <w:lang w:val="sr-Latn-RS"/>
        </w:rPr>
        <w:t>je efektivna u</w:t>
      </w:r>
      <w:r w:rsidRPr="00814B5B">
        <w:rPr>
          <w:szCs w:val="22"/>
          <w:lang w:val="sr-Latn-RS"/>
        </w:rPr>
        <w:t xml:space="preserve"> snižava</w:t>
      </w:r>
      <w:r w:rsidR="00C07840" w:rsidRPr="00814B5B">
        <w:rPr>
          <w:szCs w:val="22"/>
          <w:lang w:val="sr-Latn-RS"/>
        </w:rPr>
        <w:t>nju</w:t>
      </w:r>
      <w:r w:rsidRPr="00814B5B">
        <w:rPr>
          <w:szCs w:val="22"/>
          <w:lang w:val="sr-Latn-RS"/>
        </w:rPr>
        <w:t xml:space="preserve"> krvn</w:t>
      </w:r>
      <w:r w:rsidR="00C07840" w:rsidRPr="00814B5B">
        <w:rPr>
          <w:szCs w:val="22"/>
          <w:lang w:val="sr-Latn-RS"/>
        </w:rPr>
        <w:t>og</w:t>
      </w:r>
      <w:r w:rsidRPr="00814B5B">
        <w:rPr>
          <w:szCs w:val="22"/>
          <w:lang w:val="sr-Latn-RS"/>
        </w:rPr>
        <w:t xml:space="preserve"> pritisk</w:t>
      </w:r>
      <w:r w:rsidR="00C07840" w:rsidRPr="00814B5B">
        <w:rPr>
          <w:szCs w:val="22"/>
          <w:lang w:val="sr-Latn-RS"/>
        </w:rPr>
        <w:t>a</w:t>
      </w:r>
      <w:r w:rsidRPr="00814B5B">
        <w:rPr>
          <w:szCs w:val="22"/>
          <w:lang w:val="sr-Latn-RS"/>
        </w:rPr>
        <w:t xml:space="preserve"> bez obzira na pol, rasu, godine života (mlađi ili stariji od 65 godina) ili stepen hipertenzije.</w:t>
      </w:r>
    </w:p>
    <w:p w14:paraId="4F5EBDCA" w14:textId="77777777" w:rsidR="005F625C" w:rsidRPr="00814B5B" w:rsidRDefault="005F625C" w:rsidP="007B600E">
      <w:pPr>
        <w:pStyle w:val="Header"/>
        <w:tabs>
          <w:tab w:val="clear" w:pos="4536"/>
          <w:tab w:val="clear" w:pos="9072"/>
          <w:tab w:val="left" w:pos="284"/>
        </w:tabs>
        <w:spacing w:before="120" w:after="120"/>
        <w:rPr>
          <w:szCs w:val="22"/>
          <w:u w:val="single"/>
          <w:lang w:val="sr-Latn-RS"/>
        </w:rPr>
      </w:pPr>
      <w:r w:rsidRPr="00814B5B">
        <w:rPr>
          <w:szCs w:val="22"/>
          <w:u w:val="single"/>
          <w:lang w:val="sr-Latn-RS"/>
        </w:rPr>
        <w:t>Losartan</w:t>
      </w:r>
    </w:p>
    <w:p w14:paraId="0ED7AD34" w14:textId="684D8AF4" w:rsidR="00434C78" w:rsidRPr="00814B5B" w:rsidRDefault="00434C78" w:rsidP="007B600E">
      <w:pPr>
        <w:pStyle w:val="Header"/>
        <w:tabs>
          <w:tab w:val="clear" w:pos="4536"/>
          <w:tab w:val="clear" w:pos="9072"/>
          <w:tab w:val="left" w:pos="284"/>
        </w:tabs>
        <w:spacing w:before="120" w:after="120"/>
        <w:rPr>
          <w:szCs w:val="22"/>
          <w:lang w:val="sr-Latn-CS"/>
        </w:rPr>
      </w:pPr>
      <w:r w:rsidRPr="00814B5B">
        <w:rPr>
          <w:szCs w:val="22"/>
          <w:lang w:val="sr-Latn-CS"/>
        </w:rPr>
        <w:t>Losartan je sintetski antagonist</w:t>
      </w:r>
      <w:r w:rsidR="000061A8" w:rsidRPr="00814B5B">
        <w:rPr>
          <w:szCs w:val="22"/>
          <w:lang w:val="sr-Latn-CS"/>
        </w:rPr>
        <w:t>a</w:t>
      </w:r>
      <w:r w:rsidRPr="00814B5B">
        <w:rPr>
          <w:szCs w:val="22"/>
          <w:lang w:val="sr-Latn-CS"/>
        </w:rPr>
        <w:t xml:space="preserve"> receptora angiotenzina II (tip AT</w:t>
      </w:r>
      <w:r w:rsidRPr="00814B5B">
        <w:rPr>
          <w:szCs w:val="22"/>
          <w:vertAlign w:val="subscript"/>
          <w:lang w:val="sr-Latn-CS"/>
        </w:rPr>
        <w:t>1</w:t>
      </w:r>
      <w:r w:rsidRPr="00814B5B">
        <w:rPr>
          <w:szCs w:val="22"/>
          <w:lang w:val="sr-Latn-CS"/>
        </w:rPr>
        <w:t xml:space="preserve">) za oralnu upotrebu. Angiotenzin II, snažan vazokonstriktor, je </w:t>
      </w:r>
      <w:r w:rsidR="00C820AE" w:rsidRPr="00814B5B">
        <w:rPr>
          <w:szCs w:val="22"/>
          <w:lang w:val="sr-Latn-CS"/>
        </w:rPr>
        <w:t xml:space="preserve">glavni </w:t>
      </w:r>
      <w:r w:rsidRPr="00814B5B">
        <w:rPr>
          <w:szCs w:val="22"/>
          <w:lang w:val="sr-Latn-CS"/>
        </w:rPr>
        <w:t xml:space="preserve">aktivni hormon sistema renin-angiotenzin i važan </w:t>
      </w:r>
      <w:r w:rsidR="004F6ABD" w:rsidRPr="00814B5B">
        <w:rPr>
          <w:szCs w:val="22"/>
          <w:lang w:val="sr-Latn-CS"/>
        </w:rPr>
        <w:t xml:space="preserve">faktor </w:t>
      </w:r>
      <w:r w:rsidRPr="00814B5B">
        <w:rPr>
          <w:szCs w:val="22"/>
          <w:lang w:val="sr-Latn-CS"/>
        </w:rPr>
        <w:t>patofiziologije hipertenzije. Angiotenzin II se vezuje za AT</w:t>
      </w:r>
      <w:r w:rsidRPr="00814B5B">
        <w:rPr>
          <w:szCs w:val="22"/>
          <w:vertAlign w:val="subscript"/>
          <w:lang w:val="sr-Latn-CS"/>
        </w:rPr>
        <w:t xml:space="preserve">1 </w:t>
      </w:r>
      <w:r w:rsidRPr="00814B5B">
        <w:rPr>
          <w:szCs w:val="22"/>
          <w:lang w:val="sr-Latn-CS"/>
        </w:rPr>
        <w:t>receptor koji se nalazi u mnogim tkivima (npr. glatki mišići krvnih sudova, nadbubrežna žl</w:t>
      </w:r>
      <w:r w:rsidR="00873C90" w:rsidRPr="00814B5B">
        <w:rPr>
          <w:szCs w:val="22"/>
          <w:lang w:val="sr-Latn-CS"/>
        </w:rPr>
        <w:t>ij</w:t>
      </w:r>
      <w:r w:rsidRPr="00814B5B">
        <w:rPr>
          <w:szCs w:val="22"/>
          <w:lang w:val="sr-Latn-CS"/>
        </w:rPr>
        <w:t xml:space="preserve">ezda, bubrezi, srce) i </w:t>
      </w:r>
      <w:r w:rsidR="00B3118F" w:rsidRPr="00814B5B">
        <w:rPr>
          <w:szCs w:val="22"/>
          <w:lang w:val="sr-Latn-CS"/>
        </w:rPr>
        <w:t xml:space="preserve">ispoljava </w:t>
      </w:r>
      <w:r w:rsidRPr="00814B5B">
        <w:rPr>
          <w:szCs w:val="22"/>
          <w:lang w:val="sr-Latn-CS"/>
        </w:rPr>
        <w:t>nekoliko značajnih bioloških dejstava, uključujući vazokonstrikciju i oslobađanje aldosterona. Angiotenzin II takođe stimuliše proliferaciju glatkih mišićnih ćelija.</w:t>
      </w:r>
    </w:p>
    <w:p w14:paraId="7424E23A" w14:textId="4EAC25FD" w:rsidR="00434C78" w:rsidRPr="00814B5B" w:rsidRDefault="00434C78" w:rsidP="007B600E">
      <w:pPr>
        <w:pStyle w:val="Header"/>
        <w:tabs>
          <w:tab w:val="clear" w:pos="4536"/>
          <w:tab w:val="clear" w:pos="9072"/>
          <w:tab w:val="left" w:pos="284"/>
        </w:tabs>
        <w:spacing w:before="120" w:after="120"/>
        <w:rPr>
          <w:szCs w:val="22"/>
          <w:lang w:val="sr-Latn-CS"/>
        </w:rPr>
      </w:pPr>
      <w:r w:rsidRPr="00814B5B">
        <w:rPr>
          <w:szCs w:val="22"/>
          <w:lang w:val="sr-Latn-CS"/>
        </w:rPr>
        <w:t>Losartan selektivno blokira AT</w:t>
      </w:r>
      <w:r w:rsidRPr="00814B5B">
        <w:rPr>
          <w:szCs w:val="22"/>
          <w:vertAlign w:val="subscript"/>
          <w:lang w:val="sr-Latn-CS"/>
        </w:rPr>
        <w:t xml:space="preserve">1 </w:t>
      </w:r>
      <w:r w:rsidRPr="00814B5B">
        <w:rPr>
          <w:szCs w:val="22"/>
          <w:lang w:val="sr-Latn-CS"/>
        </w:rPr>
        <w:t xml:space="preserve">receptor. </w:t>
      </w:r>
      <w:r w:rsidRPr="00814B5B">
        <w:rPr>
          <w:i/>
          <w:szCs w:val="22"/>
          <w:lang w:val="sr-Latn-CS"/>
        </w:rPr>
        <w:t xml:space="preserve">In vitro </w:t>
      </w:r>
      <w:r w:rsidRPr="00814B5B">
        <w:rPr>
          <w:szCs w:val="22"/>
          <w:lang w:val="sr-Latn-CS"/>
        </w:rPr>
        <w:t xml:space="preserve">i </w:t>
      </w:r>
      <w:r w:rsidRPr="00814B5B">
        <w:rPr>
          <w:i/>
          <w:szCs w:val="22"/>
          <w:lang w:val="sr-Latn-CS"/>
        </w:rPr>
        <w:t>in vivo</w:t>
      </w:r>
      <w:r w:rsidRPr="00814B5B">
        <w:rPr>
          <w:szCs w:val="22"/>
          <w:lang w:val="sr-Latn-CS"/>
        </w:rPr>
        <w:t>, losartan i njegov farmakološki aktivni metabolit</w:t>
      </w:r>
      <w:r w:rsidR="002B4BC2" w:rsidRPr="00814B5B">
        <w:rPr>
          <w:szCs w:val="22"/>
          <w:lang w:val="sr-Latn-CS"/>
        </w:rPr>
        <w:t xml:space="preserve"> karboksilne kiseline</w:t>
      </w:r>
      <w:r w:rsidRPr="00814B5B">
        <w:rPr>
          <w:szCs w:val="22"/>
          <w:lang w:val="sr-Latn-CS"/>
        </w:rPr>
        <w:t xml:space="preserve"> E-3174 blokiraju sva fiziološki </w:t>
      </w:r>
      <w:r w:rsidR="001251B2" w:rsidRPr="00814B5B">
        <w:rPr>
          <w:szCs w:val="22"/>
          <w:lang w:val="sr-Latn-CS"/>
        </w:rPr>
        <w:t xml:space="preserve">značajna </w:t>
      </w:r>
      <w:r w:rsidRPr="00814B5B">
        <w:rPr>
          <w:szCs w:val="22"/>
          <w:lang w:val="sr-Latn-CS"/>
        </w:rPr>
        <w:t>dejstva angiotenzina II, bez obzira na izvor ili put njegove sinteze.</w:t>
      </w:r>
    </w:p>
    <w:p w14:paraId="33956A8A" w14:textId="01D8B46C" w:rsidR="00434C78" w:rsidRPr="00814B5B" w:rsidRDefault="00434C78" w:rsidP="007B600E">
      <w:pPr>
        <w:pStyle w:val="Header"/>
        <w:tabs>
          <w:tab w:val="clear" w:pos="4536"/>
          <w:tab w:val="clear" w:pos="9072"/>
          <w:tab w:val="left" w:pos="284"/>
        </w:tabs>
        <w:spacing w:before="120" w:after="120"/>
        <w:rPr>
          <w:szCs w:val="22"/>
          <w:lang w:val="sr-Latn-CS"/>
        </w:rPr>
      </w:pPr>
      <w:r w:rsidRPr="00814B5B">
        <w:rPr>
          <w:szCs w:val="22"/>
          <w:lang w:val="sr-Latn-CS"/>
        </w:rPr>
        <w:t>Losartan ne ispoljava agonističko dejstvo, niti blokira druge receptore</w:t>
      </w:r>
      <w:r w:rsidR="005F7EE0" w:rsidRPr="00814B5B">
        <w:rPr>
          <w:szCs w:val="22"/>
          <w:lang w:val="sr-Latn-CS"/>
        </w:rPr>
        <w:t xml:space="preserve"> za hormone</w:t>
      </w:r>
      <w:r w:rsidRPr="00814B5B">
        <w:rPr>
          <w:szCs w:val="22"/>
          <w:lang w:val="sr-Latn-CS"/>
        </w:rPr>
        <w:t xml:space="preserve"> ili jonske kanale koji su </w:t>
      </w:r>
      <w:r w:rsidR="000C4CBB" w:rsidRPr="00814B5B">
        <w:rPr>
          <w:szCs w:val="22"/>
          <w:lang w:val="sr-Latn-CS"/>
        </w:rPr>
        <w:t>značajni za</w:t>
      </w:r>
      <w:r w:rsidRPr="00814B5B">
        <w:rPr>
          <w:szCs w:val="22"/>
          <w:lang w:val="sr-Latn-CS"/>
        </w:rPr>
        <w:t xml:space="preserve"> </w:t>
      </w:r>
      <w:r w:rsidR="000C4CBB" w:rsidRPr="00814B5B">
        <w:rPr>
          <w:szCs w:val="22"/>
          <w:lang w:val="sr-Latn-CS"/>
        </w:rPr>
        <w:t>kardiovaskularnu regulaciju</w:t>
      </w:r>
      <w:r w:rsidRPr="00814B5B">
        <w:rPr>
          <w:szCs w:val="22"/>
          <w:lang w:val="sr-Latn-CS"/>
        </w:rPr>
        <w:t xml:space="preserve">. </w:t>
      </w:r>
      <w:r w:rsidR="00EA6366" w:rsidRPr="00814B5B">
        <w:rPr>
          <w:szCs w:val="22"/>
          <w:lang w:val="sr-Latn-CS"/>
        </w:rPr>
        <w:t>Dodatno</w:t>
      </w:r>
      <w:r w:rsidRPr="00814B5B">
        <w:rPr>
          <w:szCs w:val="22"/>
          <w:lang w:val="sr-Latn-CS"/>
        </w:rPr>
        <w:t>, losartan ne inhibira ACE (kininaza II)</w:t>
      </w:r>
      <w:r w:rsidR="004D2CF9" w:rsidRPr="00814B5B">
        <w:rPr>
          <w:szCs w:val="22"/>
          <w:lang w:val="sr-Latn-CS"/>
        </w:rPr>
        <w:t>,</w:t>
      </w:r>
      <w:r w:rsidRPr="00814B5B">
        <w:rPr>
          <w:szCs w:val="22"/>
          <w:lang w:val="sr-Latn-CS"/>
        </w:rPr>
        <w:t xml:space="preserve"> enzim koji razgrađuje bradikinin. Posl</w:t>
      </w:r>
      <w:r w:rsidR="00873C90" w:rsidRPr="00814B5B">
        <w:rPr>
          <w:szCs w:val="22"/>
          <w:lang w:val="sr-Latn-CS"/>
        </w:rPr>
        <w:t>j</w:t>
      </w:r>
      <w:r w:rsidRPr="00814B5B">
        <w:rPr>
          <w:szCs w:val="22"/>
          <w:lang w:val="sr-Latn-CS"/>
        </w:rPr>
        <w:t>edično, nema potenciranja neželjenih dejstava posredovanih bradikininom.</w:t>
      </w:r>
    </w:p>
    <w:p w14:paraId="51C0B7E2" w14:textId="74518ACB" w:rsidR="00434C78" w:rsidRPr="00814B5B" w:rsidRDefault="00434C78" w:rsidP="007B600E">
      <w:pPr>
        <w:pStyle w:val="Header"/>
        <w:tabs>
          <w:tab w:val="clear" w:pos="4536"/>
          <w:tab w:val="clear" w:pos="9072"/>
          <w:tab w:val="left" w:pos="284"/>
        </w:tabs>
        <w:spacing w:before="120" w:after="120"/>
        <w:rPr>
          <w:szCs w:val="22"/>
          <w:lang w:val="sr-Latn-CS"/>
        </w:rPr>
      </w:pPr>
      <w:r w:rsidRPr="00814B5B">
        <w:rPr>
          <w:szCs w:val="22"/>
          <w:lang w:val="sr-Latn-CS"/>
        </w:rPr>
        <w:t>Tokom prim</w:t>
      </w:r>
      <w:r w:rsidR="00873C90" w:rsidRPr="00814B5B">
        <w:rPr>
          <w:szCs w:val="22"/>
          <w:lang w:val="sr-Latn-CS"/>
        </w:rPr>
        <w:t>j</w:t>
      </w:r>
      <w:r w:rsidRPr="00814B5B">
        <w:rPr>
          <w:szCs w:val="22"/>
          <w:lang w:val="sr-Latn-CS"/>
        </w:rPr>
        <w:t>ene losartana, uklanjanje</w:t>
      </w:r>
      <w:r w:rsidR="00000CE0" w:rsidRPr="00814B5B">
        <w:rPr>
          <w:szCs w:val="22"/>
          <w:lang w:val="sr-Latn-CS"/>
        </w:rPr>
        <w:t xml:space="preserve"> </w:t>
      </w:r>
      <w:r w:rsidRPr="00814B5B">
        <w:rPr>
          <w:szCs w:val="22"/>
          <w:lang w:val="sr-Latn-CS"/>
        </w:rPr>
        <w:t>negativne povratne sprege kojom angiotenzin II d</w:t>
      </w:r>
      <w:r w:rsidR="00873C90" w:rsidRPr="00814B5B">
        <w:rPr>
          <w:szCs w:val="22"/>
          <w:lang w:val="sr-Latn-CS"/>
        </w:rPr>
        <w:t>j</w:t>
      </w:r>
      <w:r w:rsidRPr="00814B5B">
        <w:rPr>
          <w:szCs w:val="22"/>
          <w:lang w:val="sr-Latn-CS"/>
        </w:rPr>
        <w:t xml:space="preserve">eluje na sekreciju renina dovodi do </w:t>
      </w:r>
      <w:r w:rsidR="002B633D" w:rsidRPr="00814B5B">
        <w:rPr>
          <w:szCs w:val="22"/>
          <w:lang w:val="sr-Latn-CS"/>
        </w:rPr>
        <w:t xml:space="preserve">povećanja </w:t>
      </w:r>
      <w:r w:rsidRPr="00814B5B">
        <w:rPr>
          <w:szCs w:val="22"/>
          <w:lang w:val="sr-Latn-CS"/>
        </w:rPr>
        <w:t>aktivnosti renina u plazmi. Povećanje aktivnosti renina u plazmi dovodi do povećanja angiotenzina II u plazmi. Uprkos ovim povećanjima, antihipertenzivno dejstvo i supresija koncentracije aldosterona u plazmi</w:t>
      </w:r>
      <w:r w:rsidR="004B5967" w:rsidRPr="00814B5B">
        <w:rPr>
          <w:szCs w:val="22"/>
          <w:lang w:val="sr-Latn-CS"/>
        </w:rPr>
        <w:t xml:space="preserve"> se održavaju</w:t>
      </w:r>
      <w:r w:rsidRPr="00814B5B">
        <w:rPr>
          <w:szCs w:val="22"/>
          <w:lang w:val="sr-Latn-CS"/>
        </w:rPr>
        <w:t xml:space="preserve">, što ukazuje na efikasnu blokadu receptora angiotenzina II. Nakon </w:t>
      </w:r>
      <w:r w:rsidR="002C36CA" w:rsidRPr="00814B5B">
        <w:rPr>
          <w:szCs w:val="22"/>
          <w:lang w:val="sr-Latn-CS"/>
        </w:rPr>
        <w:t xml:space="preserve">obustave </w:t>
      </w:r>
      <w:r w:rsidRPr="00814B5B">
        <w:rPr>
          <w:szCs w:val="22"/>
          <w:lang w:val="sr-Latn-CS"/>
        </w:rPr>
        <w:t>terapije losartanom, aktivnost renina u plazmi i vr</w:t>
      </w:r>
      <w:r w:rsidR="00873C90" w:rsidRPr="00814B5B">
        <w:rPr>
          <w:szCs w:val="22"/>
          <w:lang w:val="sr-Latn-CS"/>
        </w:rPr>
        <w:t>ij</w:t>
      </w:r>
      <w:r w:rsidRPr="00814B5B">
        <w:rPr>
          <w:szCs w:val="22"/>
          <w:lang w:val="sr-Latn-CS"/>
        </w:rPr>
        <w:t>ednosti angiotenzina II se vraćaju na početne vr</w:t>
      </w:r>
      <w:r w:rsidR="00873C90" w:rsidRPr="00814B5B">
        <w:rPr>
          <w:szCs w:val="22"/>
          <w:lang w:val="sr-Latn-CS"/>
        </w:rPr>
        <w:t>ij</w:t>
      </w:r>
      <w:r w:rsidRPr="00814B5B">
        <w:rPr>
          <w:szCs w:val="22"/>
          <w:lang w:val="sr-Latn-CS"/>
        </w:rPr>
        <w:t>ednosti u toku tri dana.</w:t>
      </w:r>
    </w:p>
    <w:p w14:paraId="763ED76B" w14:textId="653B9E3F" w:rsidR="005F625C" w:rsidRPr="00814B5B" w:rsidRDefault="006615A1" w:rsidP="007B600E">
      <w:pPr>
        <w:pStyle w:val="Header"/>
        <w:tabs>
          <w:tab w:val="clear" w:pos="4536"/>
          <w:tab w:val="clear" w:pos="9072"/>
          <w:tab w:val="left" w:pos="284"/>
        </w:tabs>
        <w:spacing w:before="120" w:after="120"/>
        <w:rPr>
          <w:szCs w:val="22"/>
          <w:lang w:val="sr-Latn-RS"/>
        </w:rPr>
      </w:pPr>
      <w:r w:rsidRPr="00814B5B">
        <w:rPr>
          <w:szCs w:val="22"/>
          <w:lang w:val="sr-Latn-CS"/>
        </w:rPr>
        <w:t>L</w:t>
      </w:r>
      <w:r w:rsidR="00434C78" w:rsidRPr="00814B5B">
        <w:rPr>
          <w:szCs w:val="22"/>
          <w:lang w:val="sr-Latn-CS"/>
        </w:rPr>
        <w:t>osartan i njegov glavni aktivni metabolit imaju mnogo veći afinitet za AT</w:t>
      </w:r>
      <w:r w:rsidR="00434C78" w:rsidRPr="00814B5B">
        <w:rPr>
          <w:szCs w:val="22"/>
          <w:vertAlign w:val="subscript"/>
          <w:lang w:val="sr-Latn-CS"/>
        </w:rPr>
        <w:t xml:space="preserve">1 </w:t>
      </w:r>
      <w:r w:rsidR="00434C78" w:rsidRPr="00814B5B">
        <w:rPr>
          <w:szCs w:val="22"/>
          <w:lang w:val="sr-Latn-CS"/>
        </w:rPr>
        <w:t>nego za AT</w:t>
      </w:r>
      <w:r w:rsidR="00434C78" w:rsidRPr="00814B5B">
        <w:rPr>
          <w:szCs w:val="22"/>
          <w:vertAlign w:val="subscript"/>
          <w:lang w:val="sr-Latn-CS"/>
        </w:rPr>
        <w:t>2</w:t>
      </w:r>
      <w:r w:rsidR="00434C78" w:rsidRPr="00814B5B">
        <w:rPr>
          <w:szCs w:val="22"/>
          <w:lang w:val="sr-Latn-CS"/>
        </w:rPr>
        <w:t xml:space="preserve"> receptor. Aktivni metabolit pokazuje 10 do 40 puta veću aktivnost u odnosu na losartan izraženo u težinsko-težinskom (</w:t>
      </w:r>
      <w:r w:rsidR="00434C78" w:rsidRPr="00814B5B">
        <w:rPr>
          <w:i/>
          <w:szCs w:val="22"/>
          <w:lang w:val="sr-Latn-CS"/>
        </w:rPr>
        <w:t>w/w</w:t>
      </w:r>
      <w:r w:rsidR="00434C78" w:rsidRPr="00814B5B">
        <w:rPr>
          <w:szCs w:val="22"/>
          <w:lang w:val="sr-Latn-CS"/>
        </w:rPr>
        <w:t>) odnosu.</w:t>
      </w:r>
      <w:r w:rsidR="005F625C" w:rsidRPr="00814B5B">
        <w:rPr>
          <w:szCs w:val="22"/>
          <w:lang w:val="sr-Latn-RS"/>
        </w:rPr>
        <w:t xml:space="preserve"> </w:t>
      </w:r>
    </w:p>
    <w:p w14:paraId="6D1D10DF" w14:textId="205E53B3" w:rsidR="005E7904" w:rsidRPr="00814B5B" w:rsidRDefault="005E7904" w:rsidP="007B600E">
      <w:pPr>
        <w:tabs>
          <w:tab w:val="clear" w:pos="284"/>
        </w:tabs>
        <w:autoSpaceDE w:val="0"/>
        <w:autoSpaceDN w:val="0"/>
        <w:adjustRightInd w:val="0"/>
        <w:spacing w:before="120" w:after="120"/>
        <w:rPr>
          <w:szCs w:val="22"/>
        </w:rPr>
      </w:pPr>
      <w:r w:rsidRPr="00814B5B">
        <w:rPr>
          <w:szCs w:val="22"/>
        </w:rPr>
        <w:t>U studiji posebno dizajniranoj da proc</w:t>
      </w:r>
      <w:r w:rsidR="00873C90" w:rsidRPr="00814B5B">
        <w:rPr>
          <w:szCs w:val="22"/>
        </w:rPr>
        <w:t>ij</w:t>
      </w:r>
      <w:r w:rsidRPr="00814B5B">
        <w:rPr>
          <w:szCs w:val="22"/>
        </w:rPr>
        <w:t xml:space="preserve">eni </w:t>
      </w:r>
      <w:r w:rsidR="0069106A" w:rsidRPr="00814B5B">
        <w:rPr>
          <w:szCs w:val="22"/>
        </w:rPr>
        <w:t xml:space="preserve">učestalost </w:t>
      </w:r>
      <w:r w:rsidRPr="00814B5B">
        <w:rPr>
          <w:szCs w:val="22"/>
        </w:rPr>
        <w:t xml:space="preserve">kašlja kod pacijenata </w:t>
      </w:r>
      <w:proofErr w:type="gramStart"/>
      <w:r w:rsidRPr="00814B5B">
        <w:rPr>
          <w:szCs w:val="22"/>
        </w:rPr>
        <w:t>na</w:t>
      </w:r>
      <w:proofErr w:type="gramEnd"/>
      <w:r w:rsidRPr="00814B5B">
        <w:rPr>
          <w:szCs w:val="22"/>
        </w:rPr>
        <w:t xml:space="preserve"> terapiji losartanom</w:t>
      </w:r>
      <w:r w:rsidR="00816D2E" w:rsidRPr="00814B5B">
        <w:rPr>
          <w:szCs w:val="22"/>
        </w:rPr>
        <w:t xml:space="preserve"> </w:t>
      </w:r>
      <w:r w:rsidRPr="00814B5B">
        <w:rPr>
          <w:szCs w:val="22"/>
        </w:rPr>
        <w:t xml:space="preserve">u odnosu na pacijente na terapiji ACE inhibitorima, </w:t>
      </w:r>
      <w:r w:rsidR="0069106A" w:rsidRPr="00814B5B">
        <w:rPr>
          <w:szCs w:val="22"/>
        </w:rPr>
        <w:t xml:space="preserve">učestalost </w:t>
      </w:r>
      <w:r w:rsidRPr="00814B5B">
        <w:rPr>
          <w:szCs w:val="22"/>
        </w:rPr>
        <w:t>kašlja prijavljena od strane</w:t>
      </w:r>
      <w:r w:rsidR="00816D2E" w:rsidRPr="00814B5B">
        <w:rPr>
          <w:szCs w:val="22"/>
        </w:rPr>
        <w:t xml:space="preserve"> </w:t>
      </w:r>
      <w:r w:rsidRPr="00814B5B">
        <w:rPr>
          <w:szCs w:val="22"/>
        </w:rPr>
        <w:t>pacijenata koji su uzimali losartan ili hidrohlortiazid je bila slična i značajno manja u odnosu na</w:t>
      </w:r>
      <w:r w:rsidR="00816D2E" w:rsidRPr="00814B5B">
        <w:rPr>
          <w:szCs w:val="22"/>
        </w:rPr>
        <w:t xml:space="preserve"> </w:t>
      </w:r>
      <w:r w:rsidRPr="00814B5B">
        <w:rPr>
          <w:szCs w:val="22"/>
        </w:rPr>
        <w:t>pacijente koji su bili na terapiji ACE inhibitorom. Dodatno, u ukupnoj analizi 16 dvostruko</w:t>
      </w:r>
      <w:r w:rsidR="00816D2E" w:rsidRPr="00814B5B">
        <w:rPr>
          <w:szCs w:val="22"/>
        </w:rPr>
        <w:t xml:space="preserve"> </w:t>
      </w:r>
      <w:r w:rsidRPr="00814B5B">
        <w:rPr>
          <w:szCs w:val="22"/>
        </w:rPr>
        <w:t>sl</w:t>
      </w:r>
      <w:r w:rsidR="00873C90" w:rsidRPr="00814B5B">
        <w:rPr>
          <w:szCs w:val="22"/>
        </w:rPr>
        <w:t>ij</w:t>
      </w:r>
      <w:r w:rsidRPr="00814B5B">
        <w:rPr>
          <w:szCs w:val="22"/>
        </w:rPr>
        <w:t xml:space="preserve">epih kliničkih studija sa 4131 pacijenta, </w:t>
      </w:r>
      <w:r w:rsidR="00613308" w:rsidRPr="00814B5B">
        <w:rPr>
          <w:szCs w:val="22"/>
        </w:rPr>
        <w:t xml:space="preserve">učestalost </w:t>
      </w:r>
      <w:r w:rsidRPr="00814B5B">
        <w:rPr>
          <w:szCs w:val="22"/>
        </w:rPr>
        <w:t>spontano prijavljenog kašlja kod pacijenata</w:t>
      </w:r>
      <w:r w:rsidR="00816D2E" w:rsidRPr="00814B5B">
        <w:rPr>
          <w:szCs w:val="22"/>
        </w:rPr>
        <w:t xml:space="preserve"> </w:t>
      </w:r>
      <w:r w:rsidRPr="00814B5B">
        <w:rPr>
          <w:szCs w:val="22"/>
        </w:rPr>
        <w:t>na terapiji losartanom bila je slična (3,1%) onoj kod pacijenata koji su primali placebo (2,6%) ili</w:t>
      </w:r>
      <w:r w:rsidR="00816D2E" w:rsidRPr="00814B5B">
        <w:rPr>
          <w:szCs w:val="22"/>
        </w:rPr>
        <w:t xml:space="preserve"> </w:t>
      </w:r>
      <w:r w:rsidRPr="00814B5B">
        <w:rPr>
          <w:szCs w:val="22"/>
        </w:rPr>
        <w:t xml:space="preserve">hidrohlortiazid (4,1%), dok je </w:t>
      </w:r>
      <w:r w:rsidR="00C3307A" w:rsidRPr="00814B5B">
        <w:rPr>
          <w:szCs w:val="22"/>
        </w:rPr>
        <w:t xml:space="preserve">učestalost </w:t>
      </w:r>
      <w:r w:rsidRPr="00814B5B">
        <w:rPr>
          <w:szCs w:val="22"/>
        </w:rPr>
        <w:t>sa ACE inhibitorima bila 8,8%.</w:t>
      </w:r>
    </w:p>
    <w:p w14:paraId="5E9530C8" w14:textId="53ACDD64" w:rsidR="005E7904" w:rsidRPr="00814B5B" w:rsidRDefault="005E7904" w:rsidP="007B600E">
      <w:pPr>
        <w:tabs>
          <w:tab w:val="clear" w:pos="284"/>
        </w:tabs>
        <w:autoSpaceDE w:val="0"/>
        <w:autoSpaceDN w:val="0"/>
        <w:adjustRightInd w:val="0"/>
        <w:spacing w:before="120" w:after="120"/>
        <w:rPr>
          <w:szCs w:val="22"/>
        </w:rPr>
      </w:pPr>
      <w:r w:rsidRPr="00814B5B">
        <w:rPr>
          <w:szCs w:val="22"/>
        </w:rPr>
        <w:t xml:space="preserve">Kod hipertenzivnih pacijenata </w:t>
      </w:r>
      <w:proofErr w:type="gramStart"/>
      <w:r w:rsidRPr="00814B5B">
        <w:rPr>
          <w:szCs w:val="22"/>
        </w:rPr>
        <w:t>sa</w:t>
      </w:r>
      <w:proofErr w:type="gramEnd"/>
      <w:r w:rsidRPr="00814B5B">
        <w:rPr>
          <w:szCs w:val="22"/>
        </w:rPr>
        <w:t xml:space="preserve"> proteinurijom</w:t>
      </w:r>
      <w:r w:rsidR="0049274B" w:rsidRPr="00814B5B">
        <w:rPr>
          <w:szCs w:val="22"/>
        </w:rPr>
        <w:t xml:space="preserve"> </w:t>
      </w:r>
      <w:r w:rsidRPr="00814B5B">
        <w:rPr>
          <w:szCs w:val="22"/>
        </w:rPr>
        <w:t xml:space="preserve">koji nemaju dijabetes, </w:t>
      </w:r>
      <w:r w:rsidR="007E4572" w:rsidRPr="00814B5B">
        <w:rPr>
          <w:szCs w:val="22"/>
        </w:rPr>
        <w:t>primjena</w:t>
      </w:r>
      <w:r w:rsidRPr="00814B5B">
        <w:rPr>
          <w:szCs w:val="22"/>
        </w:rPr>
        <w:t xml:space="preserve"> losartan</w:t>
      </w:r>
      <w:r w:rsidR="00000CE0" w:rsidRPr="00814B5B">
        <w:rPr>
          <w:szCs w:val="22"/>
        </w:rPr>
        <w:t>-</w:t>
      </w:r>
      <w:r w:rsidRPr="00814B5B">
        <w:rPr>
          <w:szCs w:val="22"/>
        </w:rPr>
        <w:t>kalijuma</w:t>
      </w:r>
      <w:r w:rsidR="00816D2E" w:rsidRPr="00814B5B">
        <w:rPr>
          <w:szCs w:val="22"/>
        </w:rPr>
        <w:t xml:space="preserve"> </w:t>
      </w:r>
      <w:r w:rsidRPr="00814B5B">
        <w:rPr>
          <w:szCs w:val="22"/>
        </w:rPr>
        <w:t>značajno smanjuje proteinuriju, frakcionu ekskreciju albumina i IgG. Losartan održava</w:t>
      </w:r>
      <w:r w:rsidR="00816D2E" w:rsidRPr="00814B5B">
        <w:rPr>
          <w:szCs w:val="22"/>
        </w:rPr>
        <w:t xml:space="preserve"> </w:t>
      </w:r>
      <w:r w:rsidRPr="00814B5B">
        <w:rPr>
          <w:szCs w:val="22"/>
        </w:rPr>
        <w:t xml:space="preserve">brzinu glomerularne filtracije i smanjuje frakciju filtracije. Uopšteno, losartan </w:t>
      </w:r>
      <w:r w:rsidR="001E574A" w:rsidRPr="00814B5B">
        <w:rPr>
          <w:szCs w:val="22"/>
        </w:rPr>
        <w:t xml:space="preserve">dovodi do </w:t>
      </w:r>
      <w:r w:rsidRPr="00814B5B">
        <w:rPr>
          <w:szCs w:val="22"/>
        </w:rPr>
        <w:t>smanjenj</w:t>
      </w:r>
      <w:r w:rsidR="001E574A" w:rsidRPr="00814B5B">
        <w:rPr>
          <w:szCs w:val="22"/>
        </w:rPr>
        <w:t>a</w:t>
      </w:r>
      <w:r w:rsidR="00816D2E" w:rsidRPr="00814B5B">
        <w:rPr>
          <w:szCs w:val="22"/>
        </w:rPr>
        <w:t xml:space="preserve"> </w:t>
      </w:r>
      <w:r w:rsidRPr="00814B5B">
        <w:rPr>
          <w:szCs w:val="22"/>
        </w:rPr>
        <w:t>koncentracije mokraćne kiseline u serumu (obično ˂</w:t>
      </w:r>
      <w:r w:rsidR="001E574A" w:rsidRPr="00814B5B">
        <w:rPr>
          <w:szCs w:val="22"/>
        </w:rPr>
        <w:t xml:space="preserve"> </w:t>
      </w:r>
      <w:r w:rsidRPr="00814B5B">
        <w:rPr>
          <w:szCs w:val="22"/>
        </w:rPr>
        <w:t>0</w:t>
      </w:r>
      <w:proofErr w:type="gramStart"/>
      <w:r w:rsidRPr="00814B5B">
        <w:rPr>
          <w:szCs w:val="22"/>
        </w:rPr>
        <w:t>,4</w:t>
      </w:r>
      <w:proofErr w:type="gramEnd"/>
      <w:r w:rsidRPr="00814B5B">
        <w:rPr>
          <w:szCs w:val="22"/>
        </w:rPr>
        <w:t xml:space="preserve"> mg/d</w:t>
      </w:r>
      <w:r w:rsidR="00873C90" w:rsidRPr="00814B5B">
        <w:rPr>
          <w:szCs w:val="22"/>
        </w:rPr>
        <w:t>l</w:t>
      </w:r>
      <w:r w:rsidRPr="00814B5B">
        <w:rPr>
          <w:szCs w:val="22"/>
        </w:rPr>
        <w:t>)</w:t>
      </w:r>
      <w:r w:rsidR="001E574A" w:rsidRPr="00814B5B">
        <w:rPr>
          <w:szCs w:val="22"/>
        </w:rPr>
        <w:t>,</w:t>
      </w:r>
      <w:r w:rsidRPr="00814B5B">
        <w:rPr>
          <w:szCs w:val="22"/>
        </w:rPr>
        <w:t xml:space="preserve"> koje je bilo perzistentno tokom</w:t>
      </w:r>
      <w:r w:rsidR="00816D2E" w:rsidRPr="00814B5B">
        <w:rPr>
          <w:szCs w:val="22"/>
        </w:rPr>
        <w:t xml:space="preserve"> </w:t>
      </w:r>
      <w:r w:rsidRPr="00814B5B">
        <w:rPr>
          <w:szCs w:val="22"/>
        </w:rPr>
        <w:t>hronične terapije.</w:t>
      </w:r>
    </w:p>
    <w:p w14:paraId="1C7D61D1" w14:textId="1C2F8BE7" w:rsidR="005E7904" w:rsidRPr="00814B5B" w:rsidRDefault="005E7904" w:rsidP="007B600E">
      <w:pPr>
        <w:tabs>
          <w:tab w:val="clear" w:pos="284"/>
        </w:tabs>
        <w:autoSpaceDE w:val="0"/>
        <w:autoSpaceDN w:val="0"/>
        <w:adjustRightInd w:val="0"/>
        <w:spacing w:before="120" w:after="120"/>
        <w:rPr>
          <w:szCs w:val="22"/>
        </w:rPr>
      </w:pPr>
      <w:r w:rsidRPr="00814B5B">
        <w:rPr>
          <w:szCs w:val="22"/>
        </w:rPr>
        <w:lastRenderedPageBreak/>
        <w:t xml:space="preserve">Losartan </w:t>
      </w:r>
      <w:proofErr w:type="gramStart"/>
      <w:r w:rsidRPr="00814B5B">
        <w:rPr>
          <w:szCs w:val="22"/>
        </w:rPr>
        <w:t>nema</w:t>
      </w:r>
      <w:proofErr w:type="gramEnd"/>
      <w:r w:rsidRPr="00814B5B">
        <w:rPr>
          <w:szCs w:val="22"/>
        </w:rPr>
        <w:t xml:space="preserve"> dejstvo na autonomne reflekse </w:t>
      </w:r>
      <w:r w:rsidR="00773110" w:rsidRPr="00814B5B">
        <w:rPr>
          <w:szCs w:val="22"/>
        </w:rPr>
        <w:t>niti</w:t>
      </w:r>
      <w:r w:rsidRPr="00814B5B">
        <w:rPr>
          <w:szCs w:val="22"/>
        </w:rPr>
        <w:t xml:space="preserve"> dugotrajno dejstvo na noradrenalin u plazmi.</w:t>
      </w:r>
    </w:p>
    <w:p w14:paraId="3B000484" w14:textId="4E741CA6" w:rsidR="005F625C" w:rsidRPr="00814B5B" w:rsidRDefault="005E7904" w:rsidP="007B600E">
      <w:pPr>
        <w:tabs>
          <w:tab w:val="clear" w:pos="284"/>
        </w:tabs>
        <w:autoSpaceDE w:val="0"/>
        <w:autoSpaceDN w:val="0"/>
        <w:adjustRightInd w:val="0"/>
        <w:spacing w:before="120" w:after="120"/>
        <w:rPr>
          <w:szCs w:val="22"/>
          <w:lang w:val="sr-Latn-RS"/>
        </w:rPr>
      </w:pPr>
      <w:r w:rsidRPr="00814B5B">
        <w:rPr>
          <w:szCs w:val="22"/>
        </w:rPr>
        <w:t xml:space="preserve">Kod pacijenata </w:t>
      </w:r>
      <w:proofErr w:type="gramStart"/>
      <w:r w:rsidRPr="00814B5B">
        <w:rPr>
          <w:szCs w:val="22"/>
        </w:rPr>
        <w:t>sa</w:t>
      </w:r>
      <w:proofErr w:type="gramEnd"/>
      <w:r w:rsidRPr="00814B5B">
        <w:rPr>
          <w:szCs w:val="22"/>
        </w:rPr>
        <w:t xml:space="preserve"> insuficijencijom l</w:t>
      </w:r>
      <w:r w:rsidR="00873C90" w:rsidRPr="00814B5B">
        <w:rPr>
          <w:szCs w:val="22"/>
        </w:rPr>
        <w:t>ij</w:t>
      </w:r>
      <w:r w:rsidRPr="00814B5B">
        <w:rPr>
          <w:szCs w:val="22"/>
        </w:rPr>
        <w:t xml:space="preserve">eve komore, doze </w:t>
      </w:r>
      <w:r w:rsidR="00E41D34" w:rsidRPr="00814B5B">
        <w:rPr>
          <w:szCs w:val="22"/>
        </w:rPr>
        <w:t xml:space="preserve">losartana </w:t>
      </w:r>
      <w:r w:rsidRPr="00814B5B">
        <w:rPr>
          <w:szCs w:val="22"/>
        </w:rPr>
        <w:t>od 25 mg i 50 mg su</w:t>
      </w:r>
      <w:r w:rsidR="00816D2E" w:rsidRPr="00814B5B">
        <w:rPr>
          <w:szCs w:val="22"/>
        </w:rPr>
        <w:t xml:space="preserve"> </w:t>
      </w:r>
      <w:r w:rsidR="00EC6056" w:rsidRPr="00814B5B">
        <w:rPr>
          <w:szCs w:val="22"/>
        </w:rPr>
        <w:t xml:space="preserve">ispoljile </w:t>
      </w:r>
      <w:r w:rsidRPr="00814B5B">
        <w:rPr>
          <w:szCs w:val="22"/>
        </w:rPr>
        <w:t xml:space="preserve">pozitivna hemodinamska i neurohormonalna dejstva koja karakterišu povećanje srčanog indeksa </w:t>
      </w:r>
      <w:r w:rsidR="00EC6056" w:rsidRPr="00814B5B">
        <w:rPr>
          <w:szCs w:val="22"/>
        </w:rPr>
        <w:t>i</w:t>
      </w:r>
      <w:r w:rsidR="00816D2E" w:rsidRPr="00814B5B">
        <w:rPr>
          <w:szCs w:val="22"/>
        </w:rPr>
        <w:t xml:space="preserve"> </w:t>
      </w:r>
      <w:r w:rsidR="00E63714" w:rsidRPr="00814B5B">
        <w:rPr>
          <w:szCs w:val="22"/>
        </w:rPr>
        <w:t>s</w:t>
      </w:r>
      <w:r w:rsidRPr="00814B5B">
        <w:rPr>
          <w:szCs w:val="22"/>
        </w:rPr>
        <w:t xml:space="preserve">manjenje plućnog kapilarnog </w:t>
      </w:r>
      <w:r w:rsidRPr="00814B5B">
        <w:rPr>
          <w:i/>
          <w:iCs/>
          <w:szCs w:val="22"/>
        </w:rPr>
        <w:t xml:space="preserve">wedge </w:t>
      </w:r>
      <w:r w:rsidRPr="00814B5B">
        <w:rPr>
          <w:szCs w:val="22"/>
        </w:rPr>
        <w:t>pritiska, sistemskog vaskularnog otpora, srednjeg</w:t>
      </w:r>
      <w:r w:rsidR="00E63714" w:rsidRPr="00814B5B">
        <w:rPr>
          <w:szCs w:val="22"/>
        </w:rPr>
        <w:t xml:space="preserve"> </w:t>
      </w:r>
      <w:r w:rsidRPr="00814B5B">
        <w:rPr>
          <w:szCs w:val="22"/>
        </w:rPr>
        <w:t>sistemskog artrerijskog pritiska i srčane frekvence</w:t>
      </w:r>
      <w:r w:rsidR="00241D98" w:rsidRPr="00814B5B">
        <w:rPr>
          <w:szCs w:val="22"/>
        </w:rPr>
        <w:t>, kao</w:t>
      </w:r>
      <w:r w:rsidRPr="00814B5B">
        <w:rPr>
          <w:szCs w:val="22"/>
        </w:rPr>
        <w:t xml:space="preserve"> i smanjenje koncentracije aldosterona i noradrenalina u cirkulaciji. Pojava hipotenzije je bila dozno</w:t>
      </w:r>
      <w:r w:rsidR="00241D98" w:rsidRPr="00814B5B">
        <w:rPr>
          <w:szCs w:val="22"/>
        </w:rPr>
        <w:t>-</w:t>
      </w:r>
      <w:r w:rsidRPr="00814B5B">
        <w:rPr>
          <w:szCs w:val="22"/>
        </w:rPr>
        <w:t xml:space="preserve">zavisna kod ovih pacijenata </w:t>
      </w:r>
      <w:proofErr w:type="gramStart"/>
      <w:r w:rsidRPr="00814B5B">
        <w:rPr>
          <w:szCs w:val="22"/>
        </w:rPr>
        <w:t>sa</w:t>
      </w:r>
      <w:proofErr w:type="gramEnd"/>
      <w:r w:rsidRPr="00814B5B">
        <w:rPr>
          <w:szCs w:val="22"/>
        </w:rPr>
        <w:t xml:space="preserve"> srčanom</w:t>
      </w:r>
      <w:r w:rsidR="00E63714" w:rsidRPr="00814B5B">
        <w:rPr>
          <w:szCs w:val="22"/>
        </w:rPr>
        <w:t xml:space="preserve"> </w:t>
      </w:r>
      <w:r w:rsidRPr="00814B5B">
        <w:rPr>
          <w:szCs w:val="22"/>
        </w:rPr>
        <w:t>insuficijencijom.</w:t>
      </w:r>
    </w:p>
    <w:p w14:paraId="15FE0982" w14:textId="77777777" w:rsidR="00F140F3" w:rsidRPr="00814B5B" w:rsidRDefault="00F140F3" w:rsidP="007B600E">
      <w:pPr>
        <w:pStyle w:val="Header"/>
        <w:tabs>
          <w:tab w:val="clear" w:pos="4536"/>
          <w:tab w:val="clear" w:pos="9072"/>
          <w:tab w:val="left" w:pos="284"/>
        </w:tabs>
        <w:spacing w:before="120" w:after="120"/>
        <w:rPr>
          <w:szCs w:val="22"/>
          <w:u w:val="single"/>
          <w:lang w:val="sr-Latn-CS"/>
        </w:rPr>
      </w:pPr>
      <w:r w:rsidRPr="00814B5B">
        <w:rPr>
          <w:szCs w:val="22"/>
          <w:u w:val="single"/>
          <w:lang w:val="sr-Latn-CS"/>
        </w:rPr>
        <w:t>Studije kod pacijenata sa hipertenzijom</w:t>
      </w:r>
    </w:p>
    <w:p w14:paraId="45730A4E" w14:textId="4196AC3C" w:rsidR="00F140F3" w:rsidRPr="00814B5B" w:rsidRDefault="00F140F3" w:rsidP="007B600E">
      <w:pPr>
        <w:pStyle w:val="Header"/>
        <w:tabs>
          <w:tab w:val="clear" w:pos="4536"/>
          <w:tab w:val="clear" w:pos="9072"/>
          <w:tab w:val="left" w:pos="284"/>
        </w:tabs>
        <w:spacing w:before="120" w:after="120"/>
        <w:rPr>
          <w:szCs w:val="22"/>
          <w:lang w:val="sr-Latn-CS"/>
        </w:rPr>
      </w:pPr>
      <w:r w:rsidRPr="00814B5B">
        <w:rPr>
          <w:szCs w:val="22"/>
          <w:lang w:val="sr-Latn-CS"/>
        </w:rPr>
        <w:t xml:space="preserve">U kontrolisanim kliničkim studijama, </w:t>
      </w:r>
      <w:r w:rsidR="007E4572" w:rsidRPr="00814B5B">
        <w:rPr>
          <w:szCs w:val="22"/>
          <w:lang w:val="sr-Latn-CS"/>
        </w:rPr>
        <w:t>primjena</w:t>
      </w:r>
      <w:r w:rsidRPr="00814B5B">
        <w:rPr>
          <w:szCs w:val="22"/>
          <w:lang w:val="sr-Latn-CS"/>
        </w:rPr>
        <w:t xml:space="preserve"> losartana jednom dnevno kod pacijenata sa blagom </w:t>
      </w:r>
      <w:r w:rsidR="00802B99" w:rsidRPr="00814B5B">
        <w:rPr>
          <w:szCs w:val="22"/>
          <w:lang w:val="sr-Latn-CS"/>
        </w:rPr>
        <w:t>do</w:t>
      </w:r>
      <w:r w:rsidRPr="00814B5B">
        <w:rPr>
          <w:szCs w:val="22"/>
          <w:lang w:val="sr-Latn-CS"/>
        </w:rPr>
        <w:t xml:space="preserve"> um</w:t>
      </w:r>
      <w:r w:rsidR="00873C90" w:rsidRPr="00814B5B">
        <w:rPr>
          <w:szCs w:val="22"/>
          <w:lang w:val="sr-Latn-CS"/>
        </w:rPr>
        <w:t>j</w:t>
      </w:r>
      <w:r w:rsidRPr="00814B5B">
        <w:rPr>
          <w:szCs w:val="22"/>
          <w:lang w:val="sr-Latn-CS"/>
        </w:rPr>
        <w:t xml:space="preserve">erenom esencijalnom hipertenzijom dovela je do statistički značajnog sniženja sistolnog i dijastolnog krvnog pritiska. </w:t>
      </w:r>
      <w:r w:rsidR="004778BF" w:rsidRPr="00814B5B">
        <w:rPr>
          <w:szCs w:val="22"/>
          <w:lang w:val="sr-Latn-CS"/>
        </w:rPr>
        <w:t>M</w:t>
      </w:r>
      <w:r w:rsidR="00873C90" w:rsidRPr="00814B5B">
        <w:rPr>
          <w:szCs w:val="22"/>
          <w:lang w:val="sr-Latn-CS"/>
        </w:rPr>
        <w:t>j</w:t>
      </w:r>
      <w:r w:rsidR="004778BF" w:rsidRPr="00814B5B">
        <w:rPr>
          <w:szCs w:val="22"/>
          <w:lang w:val="sr-Latn-CS"/>
        </w:rPr>
        <w:t xml:space="preserve">erenja </w:t>
      </w:r>
      <w:r w:rsidRPr="00814B5B">
        <w:rPr>
          <w:szCs w:val="22"/>
          <w:lang w:val="sr-Latn-CS"/>
        </w:rPr>
        <w:t>krvnog pritiska 24 sata nakon prim</w:t>
      </w:r>
      <w:r w:rsidR="00873C90" w:rsidRPr="00814B5B">
        <w:rPr>
          <w:szCs w:val="22"/>
          <w:lang w:val="sr-Latn-CS"/>
        </w:rPr>
        <w:t>j</w:t>
      </w:r>
      <w:r w:rsidRPr="00814B5B">
        <w:rPr>
          <w:szCs w:val="22"/>
          <w:lang w:val="sr-Latn-CS"/>
        </w:rPr>
        <w:t>ene doze u odnosu na m</w:t>
      </w:r>
      <w:r w:rsidR="00873C90" w:rsidRPr="00814B5B">
        <w:rPr>
          <w:szCs w:val="22"/>
          <w:lang w:val="sr-Latn-CS"/>
        </w:rPr>
        <w:t>j</w:t>
      </w:r>
      <w:r w:rsidRPr="00814B5B">
        <w:rPr>
          <w:szCs w:val="22"/>
          <w:lang w:val="sr-Latn-CS"/>
        </w:rPr>
        <w:t>erenja 5-6 sati nakon prim</w:t>
      </w:r>
      <w:r w:rsidR="00873C90" w:rsidRPr="00814B5B">
        <w:rPr>
          <w:szCs w:val="22"/>
          <w:lang w:val="sr-Latn-CS"/>
        </w:rPr>
        <w:t>j</w:t>
      </w:r>
      <w:r w:rsidRPr="00814B5B">
        <w:rPr>
          <w:szCs w:val="22"/>
          <w:lang w:val="sr-Latn-CS"/>
        </w:rPr>
        <w:t xml:space="preserve">ene doze, pokazala su </w:t>
      </w:r>
      <w:r w:rsidR="001A53F2" w:rsidRPr="00814B5B">
        <w:rPr>
          <w:szCs w:val="22"/>
          <w:lang w:val="sr-Latn-CS"/>
        </w:rPr>
        <w:t xml:space="preserve">da se </w:t>
      </w:r>
      <w:r w:rsidRPr="00814B5B">
        <w:rPr>
          <w:szCs w:val="22"/>
          <w:lang w:val="sr-Latn-CS"/>
        </w:rPr>
        <w:t>sniženje krvnog pritiska</w:t>
      </w:r>
      <w:r w:rsidR="003A5638" w:rsidRPr="00814B5B">
        <w:rPr>
          <w:szCs w:val="22"/>
          <w:lang w:val="sr-Latn-CS"/>
        </w:rPr>
        <w:t xml:space="preserve"> održava</w:t>
      </w:r>
      <w:r w:rsidRPr="00814B5B">
        <w:rPr>
          <w:szCs w:val="22"/>
          <w:lang w:val="sr-Latn-CS"/>
        </w:rPr>
        <w:t xml:space="preserve"> tokom 24 sata; prirodni dnevni ritam bio je zadržan. Sniženje arterijskog pritiska na kraju intervala doziranja bilo je 70-80% dejstva zab</w:t>
      </w:r>
      <w:r w:rsidR="00873C90" w:rsidRPr="00814B5B">
        <w:rPr>
          <w:szCs w:val="22"/>
          <w:lang w:val="sr-Latn-CS"/>
        </w:rPr>
        <w:t>i</w:t>
      </w:r>
      <w:r w:rsidRPr="00814B5B">
        <w:rPr>
          <w:szCs w:val="22"/>
          <w:lang w:val="sr-Latn-CS"/>
        </w:rPr>
        <w:t>l</w:t>
      </w:r>
      <w:r w:rsidR="00873C90" w:rsidRPr="00814B5B">
        <w:rPr>
          <w:szCs w:val="22"/>
          <w:lang w:val="sr-Latn-CS"/>
        </w:rPr>
        <w:t>j</w:t>
      </w:r>
      <w:r w:rsidRPr="00814B5B">
        <w:rPr>
          <w:szCs w:val="22"/>
          <w:lang w:val="sr-Latn-CS"/>
        </w:rPr>
        <w:t>eženog 5-6 sati nakon prim</w:t>
      </w:r>
      <w:r w:rsidR="00873C90" w:rsidRPr="00814B5B">
        <w:rPr>
          <w:szCs w:val="22"/>
          <w:lang w:val="sr-Latn-CS"/>
        </w:rPr>
        <w:t>j</w:t>
      </w:r>
      <w:r w:rsidRPr="00814B5B">
        <w:rPr>
          <w:szCs w:val="22"/>
          <w:lang w:val="sr-Latn-CS"/>
        </w:rPr>
        <w:t>ene doze.</w:t>
      </w:r>
    </w:p>
    <w:p w14:paraId="008DEA49" w14:textId="0DF3F599" w:rsidR="00F140F3" w:rsidRPr="00814B5B" w:rsidRDefault="00870A3B" w:rsidP="007B600E">
      <w:pPr>
        <w:pStyle w:val="Header"/>
        <w:tabs>
          <w:tab w:val="clear" w:pos="4536"/>
          <w:tab w:val="clear" w:pos="9072"/>
          <w:tab w:val="left" w:pos="284"/>
        </w:tabs>
        <w:spacing w:before="120" w:after="120"/>
        <w:rPr>
          <w:szCs w:val="22"/>
          <w:lang w:val="sr-Latn-CS"/>
        </w:rPr>
      </w:pPr>
      <w:r w:rsidRPr="00814B5B">
        <w:rPr>
          <w:szCs w:val="22"/>
          <w:lang w:val="sr-Latn-CS"/>
        </w:rPr>
        <w:t>Obustava</w:t>
      </w:r>
      <w:r w:rsidR="00F140F3" w:rsidRPr="00814B5B">
        <w:rPr>
          <w:szCs w:val="22"/>
          <w:lang w:val="sr-Latn-CS"/>
        </w:rPr>
        <w:t xml:space="preserve"> losartana kod pacijenata sa hipertenzijom nije </w:t>
      </w:r>
      <w:r w:rsidRPr="00814B5B">
        <w:rPr>
          <w:szCs w:val="22"/>
          <w:lang w:val="sr-Latn-CS"/>
        </w:rPr>
        <w:t xml:space="preserve">dovela </w:t>
      </w:r>
      <w:r w:rsidR="00F140F3" w:rsidRPr="00814B5B">
        <w:rPr>
          <w:szCs w:val="22"/>
          <w:lang w:val="sr-Latn-CS"/>
        </w:rPr>
        <w:t>do naglog porasta krvnog pritiska (</w:t>
      </w:r>
      <w:r w:rsidR="00F140F3" w:rsidRPr="00814B5B">
        <w:rPr>
          <w:i/>
          <w:szCs w:val="22"/>
          <w:lang w:val="sr-Latn-CS"/>
        </w:rPr>
        <w:t>rebound</w:t>
      </w:r>
      <w:r w:rsidR="00F140F3" w:rsidRPr="00814B5B">
        <w:rPr>
          <w:szCs w:val="22"/>
          <w:lang w:val="sr-Latn-CS"/>
        </w:rPr>
        <w:t xml:space="preserve"> efekat). Uprkos izraženom sniženju krvnog pritiska, losartan nije imao klinički značajno dejstvo na srčanu frekvencu. </w:t>
      </w:r>
    </w:p>
    <w:p w14:paraId="40E1F108" w14:textId="77777777" w:rsidR="00F140F3" w:rsidRPr="00814B5B" w:rsidRDefault="00F140F3" w:rsidP="007B600E">
      <w:pPr>
        <w:pStyle w:val="Header"/>
        <w:tabs>
          <w:tab w:val="clear" w:pos="4536"/>
          <w:tab w:val="clear" w:pos="9072"/>
          <w:tab w:val="left" w:pos="284"/>
        </w:tabs>
        <w:spacing w:before="120" w:after="120"/>
        <w:rPr>
          <w:szCs w:val="22"/>
          <w:lang w:val="sr-Latn-CS"/>
        </w:rPr>
      </w:pPr>
      <w:r w:rsidRPr="00814B5B">
        <w:rPr>
          <w:szCs w:val="22"/>
          <w:lang w:val="sr-Latn-CS"/>
        </w:rPr>
        <w:t>Losartan je podjednako efektivan kod muškaraca i žena, kao i kod mlađih (mlađih od 65 godina) i starijih pacijenata sa hipertenzijom.</w:t>
      </w:r>
    </w:p>
    <w:p w14:paraId="16BD8AC6" w14:textId="77777777" w:rsidR="00F140F3" w:rsidRPr="00814B5B" w:rsidRDefault="00F140F3" w:rsidP="007B600E">
      <w:pPr>
        <w:pStyle w:val="Header"/>
        <w:tabs>
          <w:tab w:val="clear" w:pos="4536"/>
          <w:tab w:val="clear" w:pos="9072"/>
          <w:tab w:val="left" w:pos="284"/>
        </w:tabs>
        <w:spacing w:before="120" w:after="120"/>
        <w:rPr>
          <w:szCs w:val="22"/>
          <w:lang w:val="sr-Latn-CS"/>
        </w:rPr>
      </w:pPr>
      <w:r w:rsidRPr="00814B5B">
        <w:rPr>
          <w:szCs w:val="22"/>
          <w:u w:val="single"/>
          <w:lang w:val="sr-Latn-CS"/>
        </w:rPr>
        <w:t>Studija LIFE</w:t>
      </w:r>
    </w:p>
    <w:p w14:paraId="00818DC6" w14:textId="3865639F" w:rsidR="00F140F3" w:rsidRPr="00814B5B" w:rsidRDefault="00F140F3" w:rsidP="007B600E">
      <w:pPr>
        <w:pStyle w:val="Header"/>
        <w:tabs>
          <w:tab w:val="clear" w:pos="4536"/>
          <w:tab w:val="clear" w:pos="9072"/>
          <w:tab w:val="left" w:pos="284"/>
        </w:tabs>
        <w:spacing w:before="120" w:after="120"/>
        <w:rPr>
          <w:szCs w:val="22"/>
          <w:lang w:val="sr-Latn-CS"/>
        </w:rPr>
      </w:pPr>
      <w:r w:rsidRPr="00814B5B">
        <w:rPr>
          <w:szCs w:val="22"/>
          <w:lang w:val="sr-Latn-CS"/>
        </w:rPr>
        <w:t xml:space="preserve">Studija LIFE (engl. </w:t>
      </w:r>
      <w:r w:rsidRPr="00814B5B">
        <w:rPr>
          <w:i/>
          <w:szCs w:val="22"/>
          <w:lang w:val="sr-Latn-CS"/>
        </w:rPr>
        <w:t>Losartan Intervention for Endpoint Reduction in Hypertension</w:t>
      </w:r>
      <w:r w:rsidRPr="00814B5B">
        <w:rPr>
          <w:szCs w:val="22"/>
          <w:lang w:val="sr-Latn-CS"/>
        </w:rPr>
        <w:t>) bila je randomizovana, trostruko-sl</w:t>
      </w:r>
      <w:r w:rsidR="00873C90" w:rsidRPr="00814B5B">
        <w:rPr>
          <w:szCs w:val="22"/>
          <w:lang w:val="sr-Latn-CS"/>
        </w:rPr>
        <w:t>ij</w:t>
      </w:r>
      <w:r w:rsidRPr="00814B5B">
        <w:rPr>
          <w:szCs w:val="22"/>
          <w:lang w:val="sr-Latn-CS"/>
        </w:rPr>
        <w:t xml:space="preserve">epa studija sa aktivnom kontrolom u kojoj je učestvovalo 9193 pacijenata sa hipertenzijom </w:t>
      </w:r>
      <w:r w:rsidR="00593D4D" w:rsidRPr="00814B5B">
        <w:rPr>
          <w:szCs w:val="22"/>
          <w:lang w:val="sr-Latn-CS"/>
        </w:rPr>
        <w:t>i elektrokardiografski potvrđenom hipertrofijom l</w:t>
      </w:r>
      <w:r w:rsidR="00873C90" w:rsidRPr="00814B5B">
        <w:rPr>
          <w:szCs w:val="22"/>
          <w:lang w:val="sr-Latn-CS"/>
        </w:rPr>
        <w:t>ij</w:t>
      </w:r>
      <w:r w:rsidR="00593D4D" w:rsidRPr="00814B5B">
        <w:rPr>
          <w:szCs w:val="22"/>
          <w:lang w:val="sr-Latn-CS"/>
        </w:rPr>
        <w:t xml:space="preserve">eve komore, </w:t>
      </w:r>
      <w:r w:rsidRPr="00814B5B">
        <w:rPr>
          <w:szCs w:val="22"/>
          <w:lang w:val="sr-Latn-CS"/>
        </w:rPr>
        <w:t>starosti od 55 do 80 godina. Pacijenti su randomizovani u dv</w:t>
      </w:r>
      <w:r w:rsidR="00873C90" w:rsidRPr="00814B5B">
        <w:rPr>
          <w:szCs w:val="22"/>
          <w:lang w:val="sr-Latn-CS"/>
        </w:rPr>
        <w:t>ij</w:t>
      </w:r>
      <w:r w:rsidRPr="00814B5B">
        <w:rPr>
          <w:szCs w:val="22"/>
          <w:lang w:val="sr-Latn-CS"/>
        </w:rPr>
        <w:t xml:space="preserve">e grupe, da primaju losartan u dozi od 50 mg jednom dnevno ili atenolol u dozi od 50 mg jednom dnevno. Kod pacijenata kod kojih nije </w:t>
      </w:r>
      <w:r w:rsidR="00D13802" w:rsidRPr="00814B5B">
        <w:rPr>
          <w:szCs w:val="22"/>
          <w:lang w:val="sr-Latn-CS"/>
        </w:rPr>
        <w:t xml:space="preserve">postignuta </w:t>
      </w:r>
      <w:r w:rsidRPr="00814B5B">
        <w:rPr>
          <w:szCs w:val="22"/>
          <w:lang w:val="sr-Latn-CS"/>
        </w:rPr>
        <w:t>ciljna vr</w:t>
      </w:r>
      <w:r w:rsidR="00873C90" w:rsidRPr="00814B5B">
        <w:rPr>
          <w:szCs w:val="22"/>
          <w:lang w:val="sr-Latn-CS"/>
        </w:rPr>
        <w:t>ij</w:t>
      </w:r>
      <w:r w:rsidRPr="00814B5B">
        <w:rPr>
          <w:szCs w:val="22"/>
          <w:lang w:val="sr-Latn-CS"/>
        </w:rPr>
        <w:t>ednost krvnog pritiska (&lt;</w:t>
      </w:r>
      <w:r w:rsidR="001D2177" w:rsidRPr="00814B5B">
        <w:rPr>
          <w:szCs w:val="22"/>
          <w:lang w:val="sr-Latn-CS"/>
        </w:rPr>
        <w:t xml:space="preserve"> </w:t>
      </w:r>
      <w:r w:rsidRPr="00814B5B">
        <w:rPr>
          <w:szCs w:val="22"/>
          <w:lang w:val="sr-Latn-CS"/>
        </w:rPr>
        <w:t>140/90 mmHg), prvo je dodat hidrohl</w:t>
      </w:r>
      <w:r w:rsidR="00BF50E9" w:rsidRPr="00814B5B">
        <w:rPr>
          <w:szCs w:val="22"/>
          <w:lang w:val="sr-Latn-CS"/>
        </w:rPr>
        <w:t>ortiazid</w:t>
      </w:r>
      <w:r w:rsidRPr="00814B5B">
        <w:rPr>
          <w:szCs w:val="22"/>
          <w:lang w:val="sr-Latn-CS"/>
        </w:rPr>
        <w:t xml:space="preserve"> (12,5 mg), a potom</w:t>
      </w:r>
      <w:r w:rsidR="00B355BD" w:rsidRPr="00814B5B">
        <w:rPr>
          <w:szCs w:val="22"/>
          <w:lang w:val="sr-Latn-CS"/>
        </w:rPr>
        <w:t>,</w:t>
      </w:r>
      <w:r w:rsidRPr="00814B5B">
        <w:rPr>
          <w:szCs w:val="22"/>
          <w:lang w:val="sr-Latn-CS"/>
        </w:rPr>
        <w:t xml:space="preserve"> ukoliko je bilo potrebno, povećana je doza losartana ili atenolola na 100 mg jednom dnevno. Drugi antihipertenzivi, sa izuzetkom ACE inhibitora, antagonista receptora angiotenzina II </w:t>
      </w:r>
      <w:r w:rsidR="00BB78B0" w:rsidRPr="00814B5B">
        <w:rPr>
          <w:szCs w:val="22"/>
          <w:lang w:val="sr-Latn-CS"/>
        </w:rPr>
        <w:t xml:space="preserve">i </w:t>
      </w:r>
      <w:r w:rsidRPr="00814B5B">
        <w:rPr>
          <w:szCs w:val="22"/>
          <w:lang w:val="sr-Latn-CS"/>
        </w:rPr>
        <w:t>beta</w:t>
      </w:r>
      <w:r w:rsidR="00BB78B0" w:rsidRPr="00814B5B">
        <w:rPr>
          <w:szCs w:val="22"/>
          <w:lang w:val="sr-Latn-CS"/>
        </w:rPr>
        <w:t>-</w:t>
      </w:r>
      <w:r w:rsidRPr="00814B5B">
        <w:rPr>
          <w:szCs w:val="22"/>
          <w:lang w:val="sr-Latn-CS"/>
        </w:rPr>
        <w:t>blokatora, dodavani su ukoliko je to bilo potrebno, kako bi se postigla ciljna vr</w:t>
      </w:r>
      <w:r w:rsidR="00873C90" w:rsidRPr="00814B5B">
        <w:rPr>
          <w:szCs w:val="22"/>
          <w:lang w:val="sr-Latn-CS"/>
        </w:rPr>
        <w:t>ij</w:t>
      </w:r>
      <w:r w:rsidRPr="00814B5B">
        <w:rPr>
          <w:szCs w:val="22"/>
          <w:lang w:val="sr-Latn-CS"/>
        </w:rPr>
        <w:t>ednost krvnog pritiska.</w:t>
      </w:r>
    </w:p>
    <w:p w14:paraId="00072F7F" w14:textId="66246D25" w:rsidR="00F140F3" w:rsidRPr="00814B5B" w:rsidRDefault="00F140F3" w:rsidP="007B600E">
      <w:pPr>
        <w:pStyle w:val="Header"/>
        <w:tabs>
          <w:tab w:val="clear" w:pos="4536"/>
          <w:tab w:val="clear" w:pos="9072"/>
          <w:tab w:val="left" w:pos="284"/>
        </w:tabs>
        <w:spacing w:before="120" w:after="120"/>
        <w:rPr>
          <w:szCs w:val="22"/>
          <w:lang w:val="sr-Latn-CS"/>
        </w:rPr>
      </w:pPr>
      <w:r w:rsidRPr="00814B5B">
        <w:rPr>
          <w:szCs w:val="22"/>
          <w:lang w:val="sr-Latn-CS"/>
        </w:rPr>
        <w:t>Srednje vr</w:t>
      </w:r>
      <w:r w:rsidR="00873C90" w:rsidRPr="00814B5B">
        <w:rPr>
          <w:szCs w:val="22"/>
          <w:lang w:val="sr-Latn-CS"/>
        </w:rPr>
        <w:t>ij</w:t>
      </w:r>
      <w:r w:rsidRPr="00814B5B">
        <w:rPr>
          <w:szCs w:val="22"/>
          <w:lang w:val="sr-Latn-CS"/>
        </w:rPr>
        <w:t xml:space="preserve">eme praćenja pacijenata </w:t>
      </w:r>
      <w:r w:rsidR="00D56D6D" w:rsidRPr="00814B5B">
        <w:rPr>
          <w:szCs w:val="22"/>
          <w:lang w:val="sr-Latn-CS"/>
        </w:rPr>
        <w:t xml:space="preserve">iznosilo </w:t>
      </w:r>
      <w:r w:rsidRPr="00814B5B">
        <w:rPr>
          <w:szCs w:val="22"/>
          <w:lang w:val="sr-Latn-CS"/>
        </w:rPr>
        <w:t xml:space="preserve">je 4,8 godina. </w:t>
      </w:r>
    </w:p>
    <w:p w14:paraId="78AC8236" w14:textId="020E5892" w:rsidR="005F625C" w:rsidRPr="00814B5B" w:rsidRDefault="00F140F3" w:rsidP="007B600E">
      <w:pPr>
        <w:pStyle w:val="Header"/>
        <w:tabs>
          <w:tab w:val="clear" w:pos="4536"/>
          <w:tab w:val="clear" w:pos="9072"/>
          <w:tab w:val="left" w:pos="284"/>
        </w:tabs>
        <w:spacing w:before="120" w:after="120"/>
        <w:rPr>
          <w:szCs w:val="22"/>
          <w:lang w:val="sr-Latn-RS"/>
        </w:rPr>
      </w:pPr>
      <w:r w:rsidRPr="00814B5B">
        <w:rPr>
          <w:szCs w:val="22"/>
          <w:lang w:val="it-IT"/>
        </w:rPr>
        <w:t>Primarni parametar efikasnosti bio je skup kardiovaskularnog morbiditeta i mortaliteta, m</w:t>
      </w:r>
      <w:r w:rsidR="00873C90" w:rsidRPr="00814B5B">
        <w:rPr>
          <w:szCs w:val="22"/>
          <w:lang w:val="it-IT"/>
        </w:rPr>
        <w:t>ij</w:t>
      </w:r>
      <w:r w:rsidRPr="00814B5B">
        <w:rPr>
          <w:szCs w:val="22"/>
          <w:lang w:val="it-IT"/>
        </w:rPr>
        <w:t xml:space="preserve">eren </w:t>
      </w:r>
      <w:r w:rsidR="004569C0" w:rsidRPr="00814B5B">
        <w:rPr>
          <w:szCs w:val="22"/>
          <w:lang w:val="it-IT"/>
        </w:rPr>
        <w:t xml:space="preserve">kao </w:t>
      </w:r>
      <w:r w:rsidRPr="00814B5B">
        <w:rPr>
          <w:szCs w:val="22"/>
          <w:lang w:val="it-IT"/>
        </w:rPr>
        <w:t xml:space="preserve">smanjenje </w:t>
      </w:r>
      <w:r w:rsidR="004569C0" w:rsidRPr="00814B5B">
        <w:rPr>
          <w:szCs w:val="22"/>
          <w:lang w:val="it-IT"/>
        </w:rPr>
        <w:t xml:space="preserve">zbirne učestalosti </w:t>
      </w:r>
      <w:r w:rsidRPr="00814B5B">
        <w:rPr>
          <w:szCs w:val="22"/>
          <w:lang w:val="it-IT"/>
        </w:rPr>
        <w:t>kardiovaskularne smrti, moždanog udara i infarkta miokarda</w:t>
      </w:r>
      <w:r w:rsidRPr="00814B5B">
        <w:rPr>
          <w:szCs w:val="22"/>
          <w:lang w:val="sr-Latn-CS"/>
        </w:rPr>
        <w:t xml:space="preserve">. </w:t>
      </w:r>
      <w:r w:rsidRPr="00814B5B">
        <w:rPr>
          <w:szCs w:val="22"/>
        </w:rPr>
        <w:t xml:space="preserve">Krvni pritisak je bio značajno smanjen </w:t>
      </w:r>
      <w:proofErr w:type="gramStart"/>
      <w:r w:rsidRPr="00814B5B">
        <w:rPr>
          <w:szCs w:val="22"/>
        </w:rPr>
        <w:t>na</w:t>
      </w:r>
      <w:proofErr w:type="gramEnd"/>
      <w:r w:rsidRPr="00814B5B">
        <w:rPr>
          <w:szCs w:val="22"/>
        </w:rPr>
        <w:t xml:space="preserve"> slične vr</w:t>
      </w:r>
      <w:r w:rsidR="00873C90" w:rsidRPr="00814B5B">
        <w:rPr>
          <w:szCs w:val="22"/>
        </w:rPr>
        <w:t>ij</w:t>
      </w:r>
      <w:r w:rsidRPr="00814B5B">
        <w:rPr>
          <w:szCs w:val="22"/>
        </w:rPr>
        <w:t>ednosti u ob</w:t>
      </w:r>
      <w:r w:rsidR="0071043E" w:rsidRPr="00814B5B">
        <w:rPr>
          <w:szCs w:val="22"/>
        </w:rPr>
        <w:t>i</w:t>
      </w:r>
      <w:r w:rsidR="00873C90" w:rsidRPr="00814B5B">
        <w:rPr>
          <w:szCs w:val="22"/>
        </w:rPr>
        <w:t>j</w:t>
      </w:r>
      <w:r w:rsidRPr="00814B5B">
        <w:rPr>
          <w:szCs w:val="22"/>
        </w:rPr>
        <w:t>e grupe.</w:t>
      </w:r>
      <w:r w:rsidRPr="00814B5B">
        <w:rPr>
          <w:szCs w:val="22"/>
          <w:lang w:val="sr-Latn-CS"/>
        </w:rPr>
        <w:t xml:space="preserve"> Terapija losartanom dovela je do smanjenja rizika od primarnog </w:t>
      </w:r>
      <w:r w:rsidR="0037211E" w:rsidRPr="00814B5B">
        <w:rPr>
          <w:szCs w:val="22"/>
          <w:lang w:val="sr-Latn-CS"/>
        </w:rPr>
        <w:t xml:space="preserve">zbirnog </w:t>
      </w:r>
      <w:r w:rsidRPr="00814B5B">
        <w:rPr>
          <w:szCs w:val="22"/>
          <w:lang w:val="sr-Latn-CS"/>
        </w:rPr>
        <w:t>parametra praćenja za 13,0% (p</w:t>
      </w:r>
      <w:r w:rsidR="006A547A" w:rsidRPr="00814B5B">
        <w:rPr>
          <w:szCs w:val="22"/>
          <w:lang w:val="sr-Latn-CS"/>
        </w:rPr>
        <w:t xml:space="preserve"> </w:t>
      </w:r>
      <w:r w:rsidRPr="00814B5B">
        <w:rPr>
          <w:szCs w:val="22"/>
          <w:lang w:val="sr-Latn-CS"/>
        </w:rPr>
        <w:t>=</w:t>
      </w:r>
      <w:r w:rsidR="006A547A" w:rsidRPr="00814B5B">
        <w:rPr>
          <w:szCs w:val="22"/>
          <w:lang w:val="sr-Latn-CS"/>
        </w:rPr>
        <w:t xml:space="preserve"> </w:t>
      </w:r>
      <w:r w:rsidRPr="00814B5B">
        <w:rPr>
          <w:szCs w:val="22"/>
          <w:lang w:val="sr-Latn-CS"/>
        </w:rPr>
        <w:t xml:space="preserve">0,021; 95% CI 0,77-0,98) u poređenju sa atenololom. Ovo se uglavnom moglo pripisati smanjenju </w:t>
      </w:r>
      <w:r w:rsidR="00096E57" w:rsidRPr="00814B5B">
        <w:rPr>
          <w:szCs w:val="22"/>
          <w:lang w:val="sr-Latn-CS"/>
        </w:rPr>
        <w:t xml:space="preserve">učestalosti </w:t>
      </w:r>
      <w:r w:rsidRPr="00814B5B">
        <w:rPr>
          <w:szCs w:val="22"/>
          <w:lang w:val="sr-Latn-CS"/>
        </w:rPr>
        <w:t>mo</w:t>
      </w:r>
      <w:r w:rsidRPr="00814B5B">
        <w:rPr>
          <w:szCs w:val="22"/>
          <w:lang w:val="sr-Latn-RS"/>
        </w:rPr>
        <w:t>ž</w:t>
      </w:r>
      <w:r w:rsidRPr="00814B5B">
        <w:rPr>
          <w:szCs w:val="22"/>
          <w:lang w:val="sr-Latn-CS"/>
        </w:rPr>
        <w:t>danog udara. Terapija losartanom smanjila je rizik od moždanog udara za 25% u odnosu na atenolol (p</w:t>
      </w:r>
      <w:r w:rsidRPr="00814B5B">
        <w:rPr>
          <w:szCs w:val="22"/>
          <w:lang w:val="pl-PL"/>
        </w:rPr>
        <w:t>=</w:t>
      </w:r>
      <w:r w:rsidRPr="00814B5B">
        <w:rPr>
          <w:szCs w:val="22"/>
          <w:lang w:val="sr-Latn-CS"/>
        </w:rPr>
        <w:t>0,001; 95% CI 0,63-0,89). Stope kardiovaskularne smrti i infarkta miokarda se</w:t>
      </w:r>
      <w:r w:rsidR="002F25F3" w:rsidRPr="00814B5B">
        <w:rPr>
          <w:szCs w:val="22"/>
          <w:lang w:val="sr-Latn-CS"/>
        </w:rPr>
        <w:t xml:space="preserve"> ni</w:t>
      </w:r>
      <w:r w:rsidR="00372CF8" w:rsidRPr="00814B5B">
        <w:rPr>
          <w:szCs w:val="22"/>
          <w:lang w:val="sr-Latn-CS"/>
        </w:rPr>
        <w:t>je</w:t>
      </w:r>
      <w:r w:rsidR="002F25F3" w:rsidRPr="00814B5B">
        <w:rPr>
          <w:szCs w:val="22"/>
          <w:lang w:val="sr-Latn-CS"/>
        </w:rPr>
        <w:t>su</w:t>
      </w:r>
      <w:r w:rsidRPr="00814B5B">
        <w:rPr>
          <w:szCs w:val="22"/>
          <w:lang w:val="sr-Latn-CS"/>
        </w:rPr>
        <w:t xml:space="preserve"> značajno razlikovale između terapijskih grupa.</w:t>
      </w:r>
      <w:r w:rsidR="005F625C" w:rsidRPr="00814B5B">
        <w:rPr>
          <w:szCs w:val="22"/>
          <w:lang w:val="sr-Latn-RS"/>
        </w:rPr>
        <w:t xml:space="preserve"> </w:t>
      </w:r>
    </w:p>
    <w:p w14:paraId="5A7816BF" w14:textId="77777777" w:rsidR="00F140F3" w:rsidRPr="00814B5B" w:rsidRDefault="00F140F3" w:rsidP="007B600E">
      <w:pPr>
        <w:pStyle w:val="Header"/>
        <w:spacing w:before="120" w:after="120"/>
        <w:rPr>
          <w:szCs w:val="22"/>
          <w:u w:val="single"/>
          <w:lang w:val="sr-Latn-CS"/>
        </w:rPr>
      </w:pPr>
      <w:r w:rsidRPr="00814B5B">
        <w:rPr>
          <w:szCs w:val="22"/>
          <w:u w:val="single"/>
          <w:lang w:val="sr-Latn-CS"/>
        </w:rPr>
        <w:t>Dvostruka blokada renin-angiotenzin-aldosteron sistema (RAAS)</w:t>
      </w:r>
    </w:p>
    <w:p w14:paraId="4C0D91FA" w14:textId="76F7BE5E" w:rsidR="00F140F3" w:rsidRPr="00814B5B" w:rsidRDefault="00F140F3" w:rsidP="007B600E">
      <w:pPr>
        <w:pStyle w:val="Header"/>
        <w:spacing w:before="120" w:after="120"/>
        <w:rPr>
          <w:szCs w:val="22"/>
          <w:lang w:val="sr-Latn-CS"/>
        </w:rPr>
      </w:pPr>
      <w:r w:rsidRPr="00814B5B">
        <w:rPr>
          <w:szCs w:val="22"/>
          <w:lang w:val="sr-Latn-CS"/>
        </w:rPr>
        <w:t>U dv</w:t>
      </w:r>
      <w:r w:rsidR="00122A0C" w:rsidRPr="00814B5B">
        <w:rPr>
          <w:szCs w:val="22"/>
          <w:lang w:val="sr-Latn-CS"/>
        </w:rPr>
        <w:t>ij</w:t>
      </w:r>
      <w:r w:rsidRPr="00814B5B">
        <w:rPr>
          <w:szCs w:val="22"/>
          <w:lang w:val="sr-Latn-CS"/>
        </w:rPr>
        <w:t>e velike randomizovane, kontrolisane studije</w:t>
      </w:r>
      <w:r w:rsidR="005D089A" w:rsidRPr="00814B5B">
        <w:rPr>
          <w:szCs w:val="22"/>
          <w:lang w:val="sr-Latn-CS"/>
        </w:rPr>
        <w:t>,</w:t>
      </w:r>
      <w:r w:rsidRPr="00814B5B">
        <w:rPr>
          <w:szCs w:val="22"/>
          <w:lang w:val="sr-Latn-CS"/>
        </w:rPr>
        <w:t xml:space="preserve"> ONTARGET (engl. </w:t>
      </w:r>
      <w:r w:rsidRPr="00814B5B">
        <w:rPr>
          <w:i/>
          <w:szCs w:val="22"/>
          <w:lang w:val="sr-Latn-CS"/>
        </w:rPr>
        <w:t>O</w:t>
      </w:r>
      <w:r w:rsidR="005649C4" w:rsidRPr="00814B5B">
        <w:rPr>
          <w:i/>
          <w:szCs w:val="22"/>
          <w:lang w:val="sr-Latn-CS"/>
        </w:rPr>
        <w:t>N</w:t>
      </w:r>
      <w:r w:rsidRPr="00814B5B">
        <w:rPr>
          <w:i/>
          <w:szCs w:val="22"/>
          <w:lang w:val="sr-Latn-CS"/>
        </w:rPr>
        <w:t>going Telmisartan Alone and in combination with Ramipril Global Endpoint Trial</w:t>
      </w:r>
      <w:r w:rsidRPr="00814B5B">
        <w:rPr>
          <w:szCs w:val="22"/>
          <w:lang w:val="sr-Latn-CS"/>
        </w:rPr>
        <w:t xml:space="preserve">) i VA NEPHRON-D (engl. </w:t>
      </w:r>
      <w:r w:rsidRPr="00814B5B">
        <w:rPr>
          <w:i/>
          <w:szCs w:val="22"/>
          <w:lang w:val="sr-Latn-CS"/>
        </w:rPr>
        <w:t>The Veterans Affairs Nephropathy in Diabetes</w:t>
      </w:r>
      <w:r w:rsidRPr="00814B5B">
        <w:rPr>
          <w:szCs w:val="22"/>
          <w:lang w:val="sr-Latn-CS"/>
        </w:rPr>
        <w:t>) ispitana je kombinacij</w:t>
      </w:r>
      <w:r w:rsidR="00C72403" w:rsidRPr="00814B5B">
        <w:rPr>
          <w:szCs w:val="22"/>
          <w:lang w:val="sr-Latn-CS"/>
        </w:rPr>
        <w:t>a</w:t>
      </w:r>
      <w:r w:rsidRPr="00814B5B">
        <w:rPr>
          <w:szCs w:val="22"/>
          <w:lang w:val="sr-Latn-CS"/>
        </w:rPr>
        <w:t xml:space="preserve"> ACE inhibitora i antagoniste receptora angiotenzina II.</w:t>
      </w:r>
    </w:p>
    <w:p w14:paraId="6DCFB81E" w14:textId="640C4033" w:rsidR="00F140F3" w:rsidRPr="00814B5B" w:rsidRDefault="00F140F3" w:rsidP="007B600E">
      <w:pPr>
        <w:pStyle w:val="Header"/>
        <w:spacing w:before="120" w:after="120"/>
        <w:rPr>
          <w:szCs w:val="22"/>
          <w:lang w:val="sr-Latn-CS"/>
        </w:rPr>
      </w:pPr>
      <w:r w:rsidRPr="00814B5B">
        <w:rPr>
          <w:szCs w:val="22"/>
          <w:lang w:val="sr-Latn-CS"/>
        </w:rPr>
        <w:t xml:space="preserve">ONTARGET studija </w:t>
      </w:r>
      <w:r w:rsidR="0023222A" w:rsidRPr="00814B5B">
        <w:rPr>
          <w:szCs w:val="22"/>
          <w:lang w:val="sr-Latn-CS"/>
        </w:rPr>
        <w:t xml:space="preserve">je </w:t>
      </w:r>
      <w:r w:rsidRPr="00814B5B">
        <w:rPr>
          <w:szCs w:val="22"/>
          <w:lang w:val="sr-Latn-CS"/>
        </w:rPr>
        <w:t>sprovedena kod pacijenata sa kardiovaskularnim ili cerebrovaskularnim oboljenjem u anamnezi ili dijabetes melitusom tip 2 i dokazom o oštećenju ciljnih organa. VA NEPHRON-D</w:t>
      </w:r>
      <w:r w:rsidR="002703B0" w:rsidRPr="00814B5B">
        <w:rPr>
          <w:szCs w:val="22"/>
          <w:lang w:val="sr-Latn-CS"/>
        </w:rPr>
        <w:t xml:space="preserve"> </w:t>
      </w:r>
      <w:r w:rsidRPr="00814B5B">
        <w:rPr>
          <w:szCs w:val="22"/>
          <w:lang w:val="sr-Latn-CS"/>
        </w:rPr>
        <w:t xml:space="preserve">studija </w:t>
      </w:r>
      <w:r w:rsidR="002703B0" w:rsidRPr="00814B5B">
        <w:rPr>
          <w:szCs w:val="22"/>
          <w:lang w:val="sr-Latn-CS"/>
        </w:rPr>
        <w:t xml:space="preserve">je </w:t>
      </w:r>
      <w:r w:rsidRPr="00814B5B">
        <w:rPr>
          <w:szCs w:val="22"/>
          <w:lang w:val="sr-Latn-CS"/>
        </w:rPr>
        <w:t xml:space="preserve">sprovedena kod pacijenata sa dijabetes melitusom tip 2 i dijabetesnom nefropatijom. </w:t>
      </w:r>
    </w:p>
    <w:p w14:paraId="63693B4C" w14:textId="3ECAB0BC" w:rsidR="00F140F3" w:rsidRPr="00814B5B" w:rsidRDefault="00F140F3" w:rsidP="007B600E">
      <w:pPr>
        <w:pStyle w:val="Header"/>
        <w:spacing w:before="120" w:after="120"/>
        <w:rPr>
          <w:szCs w:val="22"/>
          <w:lang w:val="sr-Latn-CS"/>
        </w:rPr>
      </w:pPr>
      <w:r w:rsidRPr="00814B5B">
        <w:rPr>
          <w:szCs w:val="22"/>
          <w:lang w:val="sr-Latn-CS"/>
        </w:rPr>
        <w:t xml:space="preserve">Ove studije </w:t>
      </w:r>
      <w:r w:rsidR="0048729D" w:rsidRPr="00814B5B">
        <w:rPr>
          <w:szCs w:val="22"/>
          <w:lang w:val="sr-Latn-CS"/>
        </w:rPr>
        <w:t>ni</w:t>
      </w:r>
      <w:r w:rsidR="00372CF8" w:rsidRPr="00814B5B">
        <w:rPr>
          <w:szCs w:val="22"/>
          <w:lang w:val="sr-Latn-CS"/>
        </w:rPr>
        <w:t>je</w:t>
      </w:r>
      <w:r w:rsidR="0048729D" w:rsidRPr="00814B5B">
        <w:rPr>
          <w:szCs w:val="22"/>
          <w:lang w:val="sr-Latn-CS"/>
        </w:rPr>
        <w:t xml:space="preserve">su </w:t>
      </w:r>
      <w:r w:rsidRPr="00814B5B">
        <w:rPr>
          <w:szCs w:val="22"/>
          <w:lang w:val="sr-Latn-CS"/>
        </w:rPr>
        <w:t xml:space="preserve">pokazale značajno korisno </w:t>
      </w:r>
      <w:r w:rsidR="00022471" w:rsidRPr="00814B5B">
        <w:rPr>
          <w:szCs w:val="22"/>
          <w:lang w:val="sr-Latn-CS"/>
        </w:rPr>
        <w:t xml:space="preserve">dejstvo </w:t>
      </w:r>
      <w:r w:rsidRPr="00814B5B">
        <w:rPr>
          <w:szCs w:val="22"/>
          <w:lang w:val="sr-Latn-CS"/>
        </w:rPr>
        <w:t xml:space="preserve">na bubrežne i/ili kardiovaskularne ishode i mortalitet, dok je </w:t>
      </w:r>
      <w:r w:rsidR="00054630" w:rsidRPr="00814B5B">
        <w:rPr>
          <w:szCs w:val="22"/>
          <w:lang w:val="sr-Latn-CS"/>
        </w:rPr>
        <w:t>zab</w:t>
      </w:r>
      <w:r w:rsidR="00122A0C" w:rsidRPr="00814B5B">
        <w:rPr>
          <w:szCs w:val="22"/>
          <w:lang w:val="sr-Latn-CS"/>
        </w:rPr>
        <w:t>i</w:t>
      </w:r>
      <w:r w:rsidR="00054630" w:rsidRPr="00814B5B">
        <w:rPr>
          <w:szCs w:val="22"/>
          <w:lang w:val="sr-Latn-CS"/>
        </w:rPr>
        <w:t>l</w:t>
      </w:r>
      <w:r w:rsidR="00122A0C" w:rsidRPr="00814B5B">
        <w:rPr>
          <w:szCs w:val="22"/>
          <w:lang w:val="sr-Latn-CS"/>
        </w:rPr>
        <w:t>j</w:t>
      </w:r>
      <w:r w:rsidR="00054630" w:rsidRPr="00814B5B">
        <w:rPr>
          <w:szCs w:val="22"/>
          <w:lang w:val="sr-Latn-CS"/>
        </w:rPr>
        <w:t xml:space="preserve">ežen </w:t>
      </w:r>
      <w:r w:rsidRPr="00814B5B">
        <w:rPr>
          <w:szCs w:val="22"/>
          <w:lang w:val="sr-Latn-CS"/>
        </w:rPr>
        <w:t>povećan rizik od hiperkalemije, akutnog oštećenja bubrega i/ili hipotenzije</w:t>
      </w:r>
      <w:r w:rsidR="00E95971" w:rsidRPr="00814B5B">
        <w:rPr>
          <w:szCs w:val="22"/>
          <w:lang w:val="sr-Latn-CS"/>
        </w:rPr>
        <w:t>,</w:t>
      </w:r>
      <w:r w:rsidRPr="00814B5B">
        <w:rPr>
          <w:szCs w:val="22"/>
          <w:lang w:val="sr-Latn-CS"/>
        </w:rPr>
        <w:t xml:space="preserve"> u poređenju sa monoterapijom. S obzirom na njihova slična farmakodinamska svojstva, ovi rezultati su takođe relevantni za druge ACE inhibitore i blokatore receptora angiotenzina II.</w:t>
      </w:r>
    </w:p>
    <w:p w14:paraId="52B200B6" w14:textId="28BAC102" w:rsidR="00F140F3" w:rsidRPr="00814B5B" w:rsidRDefault="00F140F3" w:rsidP="007B600E">
      <w:pPr>
        <w:pStyle w:val="Header"/>
        <w:spacing w:before="120" w:after="120"/>
        <w:rPr>
          <w:szCs w:val="22"/>
          <w:lang w:val="sr-Latn-CS"/>
        </w:rPr>
      </w:pPr>
      <w:r w:rsidRPr="00814B5B">
        <w:rPr>
          <w:szCs w:val="22"/>
          <w:lang w:val="sr-Latn-CS"/>
        </w:rPr>
        <w:t>Zbog toga ACE inhibitore i blokatore receptora angiotenzina II ne treba prim</w:t>
      </w:r>
      <w:r w:rsidR="00122A0C" w:rsidRPr="00814B5B">
        <w:rPr>
          <w:szCs w:val="22"/>
          <w:lang w:val="sr-Latn-CS"/>
        </w:rPr>
        <w:t>j</w:t>
      </w:r>
      <w:r w:rsidRPr="00814B5B">
        <w:rPr>
          <w:szCs w:val="22"/>
          <w:lang w:val="sr-Latn-CS"/>
        </w:rPr>
        <w:t>enjivati istovremeno kod pacijenata sa dijabetesnom nefropatijom.</w:t>
      </w:r>
    </w:p>
    <w:p w14:paraId="5C060F78" w14:textId="562EE2FF" w:rsidR="00A0409C" w:rsidRPr="00814B5B" w:rsidRDefault="00F140F3" w:rsidP="007B600E">
      <w:pPr>
        <w:pStyle w:val="Header"/>
        <w:tabs>
          <w:tab w:val="clear" w:pos="4536"/>
          <w:tab w:val="clear" w:pos="9072"/>
          <w:tab w:val="left" w:pos="284"/>
        </w:tabs>
        <w:spacing w:before="120" w:after="120"/>
        <w:rPr>
          <w:szCs w:val="22"/>
          <w:lang w:val="sr-Latn-CS"/>
        </w:rPr>
      </w:pPr>
      <w:r w:rsidRPr="00814B5B">
        <w:rPr>
          <w:szCs w:val="22"/>
          <w:lang w:val="sr-Latn-CS"/>
        </w:rPr>
        <w:lastRenderedPageBreak/>
        <w:t xml:space="preserve">ALTITUDE (engl. </w:t>
      </w:r>
      <w:r w:rsidRPr="00814B5B">
        <w:rPr>
          <w:i/>
          <w:szCs w:val="22"/>
          <w:lang w:val="sr-Latn-CS"/>
        </w:rPr>
        <w:t>ALiskiren Trial In Type 2 Diabetes Using Cardiovascular and Renal Disease Endpoints</w:t>
      </w:r>
      <w:r w:rsidRPr="00814B5B">
        <w:rPr>
          <w:szCs w:val="22"/>
          <w:lang w:val="sr-Latn-CS"/>
        </w:rPr>
        <w:t xml:space="preserve">) studija </w:t>
      </w:r>
      <w:r w:rsidR="00B42471" w:rsidRPr="00814B5B">
        <w:rPr>
          <w:szCs w:val="22"/>
          <w:lang w:val="sr-Latn-CS"/>
        </w:rPr>
        <w:t xml:space="preserve">je </w:t>
      </w:r>
      <w:r w:rsidRPr="00814B5B">
        <w:rPr>
          <w:szCs w:val="22"/>
          <w:lang w:val="sr-Latn-CS"/>
        </w:rPr>
        <w:t xml:space="preserve">dizajnirana </w:t>
      </w:r>
      <w:r w:rsidR="00B970B2" w:rsidRPr="00814B5B">
        <w:rPr>
          <w:szCs w:val="22"/>
          <w:lang w:val="sr-Latn-CS"/>
        </w:rPr>
        <w:t>da proc</w:t>
      </w:r>
      <w:r w:rsidR="00122A0C" w:rsidRPr="00814B5B">
        <w:rPr>
          <w:szCs w:val="22"/>
          <w:lang w:val="sr-Latn-CS"/>
        </w:rPr>
        <w:t>ij</w:t>
      </w:r>
      <w:r w:rsidR="00B970B2" w:rsidRPr="00814B5B">
        <w:rPr>
          <w:szCs w:val="22"/>
          <w:lang w:val="sr-Latn-CS"/>
        </w:rPr>
        <w:t>eni</w:t>
      </w:r>
      <w:r w:rsidRPr="00814B5B">
        <w:rPr>
          <w:szCs w:val="22"/>
          <w:lang w:val="sr-Latn-CS"/>
        </w:rPr>
        <w:t xml:space="preserve"> korist od dodavanja aliskirena standardnoj terapiji koja se sastoji </w:t>
      </w:r>
      <w:r w:rsidR="00FF4528" w:rsidRPr="00814B5B">
        <w:rPr>
          <w:szCs w:val="22"/>
          <w:lang w:val="sr-Latn-CS"/>
        </w:rPr>
        <w:t xml:space="preserve">od </w:t>
      </w:r>
      <w:r w:rsidRPr="00814B5B">
        <w:rPr>
          <w:szCs w:val="22"/>
          <w:lang w:val="sr-Latn-CS"/>
        </w:rPr>
        <w:t>ACE inhibitora ili blokatora receptora angiotenzina II kod pacijenata sa dijabetes melitusom tip 2 i hroničnim oboljenjem bubrega, kardiovaskularnim oboljenjem ili oba. Studija je prekinuta pr</w:t>
      </w:r>
      <w:r w:rsidR="00372CF8" w:rsidRPr="00814B5B">
        <w:rPr>
          <w:szCs w:val="22"/>
          <w:lang w:val="sr-Latn-CS"/>
        </w:rPr>
        <w:t>ij</w:t>
      </w:r>
      <w:r w:rsidRPr="00814B5B">
        <w:rPr>
          <w:szCs w:val="22"/>
          <w:lang w:val="sr-Latn-CS"/>
        </w:rPr>
        <w:t xml:space="preserve">evremeno zbog povećanog rizika od neželjenih ishoda. Kardiovaskularna smrt i moždani udar su bili numerički učestaliji u grupi koja je dobijala aliskiren nego u </w:t>
      </w:r>
      <w:r w:rsidR="00FF118C" w:rsidRPr="00814B5B">
        <w:rPr>
          <w:szCs w:val="22"/>
          <w:lang w:val="sr-Latn-CS"/>
        </w:rPr>
        <w:t xml:space="preserve">placebo </w:t>
      </w:r>
      <w:r w:rsidRPr="00814B5B">
        <w:rPr>
          <w:szCs w:val="22"/>
          <w:lang w:val="sr-Latn-CS"/>
        </w:rPr>
        <w:t xml:space="preserve">grupi, a neželjeni događaji i ozbiljni neželjeni događaji od značaja (hiperkalemija, hipotenzija i bubrežna disfunkcija) bili su češće prijavljeni u grupi koja je </w:t>
      </w:r>
      <w:r w:rsidR="00ED045F" w:rsidRPr="00814B5B">
        <w:rPr>
          <w:szCs w:val="22"/>
          <w:lang w:val="sr-Latn-CS"/>
        </w:rPr>
        <w:t xml:space="preserve">primala </w:t>
      </w:r>
      <w:r w:rsidRPr="00814B5B">
        <w:rPr>
          <w:szCs w:val="22"/>
          <w:lang w:val="sr-Latn-CS"/>
        </w:rPr>
        <w:t xml:space="preserve">aliskiren u odnosu na </w:t>
      </w:r>
      <w:r w:rsidR="00ED045F" w:rsidRPr="00814B5B">
        <w:rPr>
          <w:szCs w:val="22"/>
          <w:lang w:val="sr-Latn-CS"/>
        </w:rPr>
        <w:t xml:space="preserve">placebo </w:t>
      </w:r>
      <w:r w:rsidRPr="00814B5B">
        <w:rPr>
          <w:szCs w:val="22"/>
          <w:lang w:val="sr-Latn-CS"/>
        </w:rPr>
        <w:t>grupu.</w:t>
      </w:r>
    </w:p>
    <w:p w14:paraId="6F8C65E1" w14:textId="77777777" w:rsidR="005F625C" w:rsidRPr="00814B5B" w:rsidRDefault="005F625C" w:rsidP="007B600E">
      <w:pPr>
        <w:pStyle w:val="Header"/>
        <w:tabs>
          <w:tab w:val="clear" w:pos="4536"/>
          <w:tab w:val="clear" w:pos="9072"/>
          <w:tab w:val="left" w:pos="284"/>
        </w:tabs>
        <w:spacing w:before="120" w:after="120"/>
        <w:rPr>
          <w:szCs w:val="22"/>
          <w:u w:val="single"/>
          <w:lang w:val="sr-Latn-RS"/>
        </w:rPr>
      </w:pPr>
      <w:r w:rsidRPr="00814B5B">
        <w:rPr>
          <w:szCs w:val="22"/>
          <w:u w:val="single"/>
          <w:lang w:val="sr-Latn-RS"/>
        </w:rPr>
        <w:t>Hidrohlortiazid</w:t>
      </w:r>
    </w:p>
    <w:p w14:paraId="7ED60310" w14:textId="31368E4D" w:rsidR="003C60A2" w:rsidRPr="00814B5B" w:rsidRDefault="005F625C" w:rsidP="007B600E">
      <w:pPr>
        <w:pStyle w:val="Header"/>
        <w:tabs>
          <w:tab w:val="clear" w:pos="4536"/>
          <w:tab w:val="clear" w:pos="9072"/>
          <w:tab w:val="left" w:pos="284"/>
        </w:tabs>
        <w:spacing w:before="120" w:after="120"/>
        <w:rPr>
          <w:szCs w:val="22"/>
          <w:lang w:val="sr-Latn-RS"/>
        </w:rPr>
      </w:pPr>
      <w:r w:rsidRPr="00814B5B">
        <w:rPr>
          <w:szCs w:val="22"/>
          <w:lang w:val="sr-Latn-RS"/>
        </w:rPr>
        <w:t>Hidrohlortiazid je tiazidni diuretik. Mehanizam antihipertenzivnog dejstva tiazidnih diuretika nije u potpunosti razjašnjen. Tiazid</w:t>
      </w:r>
      <w:r w:rsidR="005957B4" w:rsidRPr="00814B5B">
        <w:rPr>
          <w:szCs w:val="22"/>
          <w:lang w:val="sr-Latn-RS"/>
        </w:rPr>
        <w:t>i</w:t>
      </w:r>
      <w:r w:rsidRPr="00814B5B">
        <w:rPr>
          <w:szCs w:val="22"/>
          <w:lang w:val="sr-Latn-RS"/>
        </w:rPr>
        <w:t xml:space="preserve"> d</w:t>
      </w:r>
      <w:r w:rsidR="00122A0C" w:rsidRPr="00814B5B">
        <w:rPr>
          <w:szCs w:val="22"/>
          <w:lang w:val="sr-Latn-RS"/>
        </w:rPr>
        <w:t>j</w:t>
      </w:r>
      <w:r w:rsidRPr="00814B5B">
        <w:rPr>
          <w:szCs w:val="22"/>
          <w:lang w:val="sr-Latn-RS"/>
        </w:rPr>
        <w:t>eluj</w:t>
      </w:r>
      <w:r w:rsidR="005957B4" w:rsidRPr="00814B5B">
        <w:rPr>
          <w:szCs w:val="22"/>
          <w:lang w:val="sr-Latn-RS"/>
        </w:rPr>
        <w:t>u</w:t>
      </w:r>
      <w:r w:rsidRPr="00814B5B">
        <w:rPr>
          <w:szCs w:val="22"/>
          <w:lang w:val="sr-Latn-RS"/>
        </w:rPr>
        <w:t xml:space="preserve"> na mehanizm</w:t>
      </w:r>
      <w:r w:rsidR="005957B4" w:rsidRPr="00814B5B">
        <w:rPr>
          <w:szCs w:val="22"/>
          <w:lang w:val="sr-Latn-RS"/>
        </w:rPr>
        <w:t>e</w:t>
      </w:r>
      <w:r w:rsidRPr="00814B5B">
        <w:rPr>
          <w:szCs w:val="22"/>
          <w:lang w:val="sr-Latn-RS"/>
        </w:rPr>
        <w:t xml:space="preserve"> reapsorpcije elektrolita</w:t>
      </w:r>
      <w:r w:rsidR="005957B4" w:rsidRPr="00814B5B">
        <w:rPr>
          <w:szCs w:val="22"/>
          <w:lang w:val="sr-Latn-RS"/>
        </w:rPr>
        <w:t xml:space="preserve"> u bubrežnim tubulima</w:t>
      </w:r>
      <w:r w:rsidR="005E256E" w:rsidRPr="00814B5B">
        <w:rPr>
          <w:szCs w:val="22"/>
          <w:lang w:val="sr-Latn-RS"/>
        </w:rPr>
        <w:t>,</w:t>
      </w:r>
      <w:r w:rsidR="005957B4" w:rsidRPr="00814B5B">
        <w:rPr>
          <w:szCs w:val="22"/>
          <w:lang w:val="sr-Latn-RS"/>
        </w:rPr>
        <w:t xml:space="preserve"> čime se</w:t>
      </w:r>
      <w:r w:rsidRPr="00814B5B">
        <w:rPr>
          <w:szCs w:val="22"/>
          <w:lang w:val="sr-Latn-RS"/>
        </w:rPr>
        <w:t xml:space="preserve"> direktno povećava ekskrecij</w:t>
      </w:r>
      <w:r w:rsidR="005957B4" w:rsidRPr="00814B5B">
        <w:rPr>
          <w:szCs w:val="22"/>
          <w:lang w:val="sr-Latn-RS"/>
        </w:rPr>
        <w:t>a</w:t>
      </w:r>
      <w:r w:rsidRPr="00814B5B">
        <w:rPr>
          <w:szCs w:val="22"/>
          <w:lang w:val="sr-Latn-RS"/>
        </w:rPr>
        <w:t xml:space="preserve"> natrijuma i hlorida u približno </w:t>
      </w:r>
      <w:r w:rsidR="005957B4" w:rsidRPr="00814B5B">
        <w:rPr>
          <w:szCs w:val="22"/>
          <w:lang w:val="sr-Latn-RS"/>
        </w:rPr>
        <w:t>jednakim</w:t>
      </w:r>
      <w:r w:rsidRPr="00814B5B">
        <w:rPr>
          <w:szCs w:val="22"/>
          <w:lang w:val="sr-Latn-RS"/>
        </w:rPr>
        <w:t xml:space="preserve"> količinama. Diuret</w:t>
      </w:r>
      <w:r w:rsidR="005957B4" w:rsidRPr="00814B5B">
        <w:rPr>
          <w:szCs w:val="22"/>
          <w:lang w:val="sr-Latn-RS"/>
        </w:rPr>
        <w:t>ičko</w:t>
      </w:r>
      <w:r w:rsidRPr="00814B5B">
        <w:rPr>
          <w:szCs w:val="22"/>
          <w:lang w:val="sr-Latn-RS"/>
        </w:rPr>
        <w:t xml:space="preserve"> </w:t>
      </w:r>
      <w:r w:rsidR="005957B4" w:rsidRPr="00814B5B">
        <w:rPr>
          <w:szCs w:val="22"/>
          <w:lang w:val="sr-Latn-RS"/>
        </w:rPr>
        <w:t>dejstvo</w:t>
      </w:r>
      <w:r w:rsidRPr="00814B5B">
        <w:rPr>
          <w:szCs w:val="22"/>
          <w:lang w:val="sr-Latn-RS"/>
        </w:rPr>
        <w:t xml:space="preserve"> hidrohlortiazid</w:t>
      </w:r>
      <w:r w:rsidR="005957B4" w:rsidRPr="00814B5B">
        <w:rPr>
          <w:szCs w:val="22"/>
          <w:lang w:val="sr-Latn-RS"/>
        </w:rPr>
        <w:t>a</w:t>
      </w:r>
      <w:r w:rsidRPr="00814B5B">
        <w:rPr>
          <w:szCs w:val="22"/>
          <w:lang w:val="sr-Latn-RS"/>
        </w:rPr>
        <w:t xml:space="preserve"> smanjuje volumen plazme, povećava aktivnost renina u plazmi</w:t>
      </w:r>
      <w:r w:rsidR="0001589A" w:rsidRPr="00814B5B">
        <w:rPr>
          <w:szCs w:val="22"/>
          <w:lang w:val="sr-Latn-RS"/>
        </w:rPr>
        <w:t xml:space="preserve"> i</w:t>
      </w:r>
      <w:r w:rsidRPr="00814B5B">
        <w:rPr>
          <w:szCs w:val="22"/>
          <w:lang w:val="sr-Latn-RS"/>
        </w:rPr>
        <w:t xml:space="preserve"> </w:t>
      </w:r>
      <w:r w:rsidR="005957B4" w:rsidRPr="00814B5B">
        <w:rPr>
          <w:szCs w:val="22"/>
          <w:lang w:val="sr-Latn-RS"/>
        </w:rPr>
        <w:t>povećava lučenje</w:t>
      </w:r>
      <w:r w:rsidRPr="00814B5B">
        <w:rPr>
          <w:szCs w:val="22"/>
          <w:lang w:val="sr-Latn-RS"/>
        </w:rPr>
        <w:t xml:space="preserve"> aldosterona</w:t>
      </w:r>
      <w:r w:rsidR="0001589A" w:rsidRPr="00814B5B">
        <w:rPr>
          <w:szCs w:val="22"/>
          <w:lang w:val="sr-Latn-RS"/>
        </w:rPr>
        <w:t>, što dovodi do</w:t>
      </w:r>
      <w:r w:rsidR="005957B4" w:rsidRPr="00814B5B">
        <w:rPr>
          <w:szCs w:val="22"/>
          <w:lang w:val="sr-Latn-RS"/>
        </w:rPr>
        <w:t xml:space="preserve"> </w:t>
      </w:r>
      <w:r w:rsidR="00327A0B" w:rsidRPr="00814B5B">
        <w:rPr>
          <w:szCs w:val="22"/>
          <w:lang w:val="sr-Latn-RS"/>
        </w:rPr>
        <w:t xml:space="preserve">povećanja </w:t>
      </w:r>
      <w:r w:rsidR="005957B4" w:rsidRPr="00814B5B">
        <w:rPr>
          <w:szCs w:val="22"/>
          <w:lang w:val="sr-Latn-RS"/>
        </w:rPr>
        <w:t>gubitka</w:t>
      </w:r>
      <w:r w:rsidRPr="00814B5B">
        <w:rPr>
          <w:szCs w:val="22"/>
          <w:lang w:val="sr-Latn-RS"/>
        </w:rPr>
        <w:t xml:space="preserve"> kalijuma i bikarbonata urinom</w:t>
      </w:r>
      <w:r w:rsidR="005957B4" w:rsidRPr="00814B5B">
        <w:rPr>
          <w:szCs w:val="22"/>
          <w:lang w:val="sr-Latn-RS"/>
        </w:rPr>
        <w:t>, kao</w:t>
      </w:r>
      <w:r w:rsidRPr="00814B5B">
        <w:rPr>
          <w:szCs w:val="22"/>
          <w:lang w:val="sr-Latn-RS"/>
        </w:rPr>
        <w:t xml:space="preserve"> i </w:t>
      </w:r>
      <w:r w:rsidR="00327A0B" w:rsidRPr="00814B5B">
        <w:rPr>
          <w:szCs w:val="22"/>
          <w:lang w:val="sr-Latn-RS"/>
        </w:rPr>
        <w:t xml:space="preserve">smanjenja </w:t>
      </w:r>
      <w:r w:rsidR="005957B4" w:rsidRPr="00814B5B">
        <w:rPr>
          <w:szCs w:val="22"/>
          <w:lang w:val="sr-Latn-RS"/>
        </w:rPr>
        <w:t>koncentracije</w:t>
      </w:r>
      <w:r w:rsidRPr="00814B5B">
        <w:rPr>
          <w:szCs w:val="22"/>
          <w:lang w:val="sr-Latn-RS"/>
        </w:rPr>
        <w:t xml:space="preserve"> kalijuma u serumu. </w:t>
      </w:r>
      <w:r w:rsidR="005957B4" w:rsidRPr="00814B5B">
        <w:rPr>
          <w:szCs w:val="22"/>
          <w:lang w:val="sr-Latn-RS"/>
        </w:rPr>
        <w:t>Veza između r</w:t>
      </w:r>
      <w:r w:rsidRPr="00814B5B">
        <w:rPr>
          <w:szCs w:val="22"/>
          <w:lang w:val="sr-Latn-RS"/>
        </w:rPr>
        <w:t>enin</w:t>
      </w:r>
      <w:r w:rsidR="005957B4" w:rsidRPr="00814B5B">
        <w:rPr>
          <w:szCs w:val="22"/>
          <w:lang w:val="sr-Latn-RS"/>
        </w:rPr>
        <w:t>a</w:t>
      </w:r>
      <w:r w:rsidRPr="00814B5B">
        <w:rPr>
          <w:szCs w:val="22"/>
          <w:lang w:val="sr-Latn-RS"/>
        </w:rPr>
        <w:t xml:space="preserve"> i aldosteron</w:t>
      </w:r>
      <w:r w:rsidR="005957B4" w:rsidRPr="00814B5B">
        <w:rPr>
          <w:szCs w:val="22"/>
          <w:lang w:val="sr-Latn-RS"/>
        </w:rPr>
        <w:t>a</w:t>
      </w:r>
      <w:r w:rsidRPr="00814B5B">
        <w:rPr>
          <w:szCs w:val="22"/>
          <w:lang w:val="sr-Latn-RS"/>
        </w:rPr>
        <w:t xml:space="preserve"> </w:t>
      </w:r>
      <w:r w:rsidR="005957B4" w:rsidRPr="00814B5B">
        <w:rPr>
          <w:szCs w:val="22"/>
          <w:lang w:val="sr-Latn-RS"/>
        </w:rPr>
        <w:t>posredovana je</w:t>
      </w:r>
      <w:r w:rsidRPr="00814B5B">
        <w:rPr>
          <w:szCs w:val="22"/>
          <w:lang w:val="sr-Latn-RS"/>
        </w:rPr>
        <w:t xml:space="preserve"> angiotenzin</w:t>
      </w:r>
      <w:r w:rsidR="005957B4" w:rsidRPr="00814B5B">
        <w:rPr>
          <w:szCs w:val="22"/>
          <w:lang w:val="sr-Latn-RS"/>
        </w:rPr>
        <w:t>om</w:t>
      </w:r>
      <w:r w:rsidRPr="00814B5B">
        <w:rPr>
          <w:szCs w:val="22"/>
          <w:lang w:val="sr-Latn-RS"/>
        </w:rPr>
        <w:t xml:space="preserve"> II</w:t>
      </w:r>
      <w:r w:rsidR="00D360F7" w:rsidRPr="00814B5B">
        <w:rPr>
          <w:szCs w:val="22"/>
          <w:lang w:val="sr-Latn-RS"/>
        </w:rPr>
        <w:t>,</w:t>
      </w:r>
      <w:r w:rsidRPr="00814B5B">
        <w:rPr>
          <w:szCs w:val="22"/>
          <w:lang w:val="sr-Latn-RS"/>
        </w:rPr>
        <w:t xml:space="preserve"> </w:t>
      </w:r>
      <w:r w:rsidR="00D360F7" w:rsidRPr="00814B5B">
        <w:rPr>
          <w:szCs w:val="22"/>
          <w:lang w:val="sr-Latn-RS"/>
        </w:rPr>
        <w:t>pa</w:t>
      </w:r>
      <w:r w:rsidRPr="00814B5B">
        <w:rPr>
          <w:szCs w:val="22"/>
          <w:lang w:val="sr-Latn-RS"/>
        </w:rPr>
        <w:t xml:space="preserve"> istovremena </w:t>
      </w:r>
      <w:r w:rsidR="007E4572" w:rsidRPr="00814B5B">
        <w:rPr>
          <w:szCs w:val="22"/>
          <w:lang w:val="sr-Latn-RS"/>
        </w:rPr>
        <w:t>primjena</w:t>
      </w:r>
      <w:r w:rsidRPr="00814B5B">
        <w:rPr>
          <w:szCs w:val="22"/>
          <w:lang w:val="sr-Latn-RS"/>
        </w:rPr>
        <w:t xml:space="preserve"> a</w:t>
      </w:r>
      <w:r w:rsidR="005957B4" w:rsidRPr="00814B5B">
        <w:rPr>
          <w:szCs w:val="22"/>
          <w:lang w:val="sr-Latn-RS"/>
        </w:rPr>
        <w:t>n</w:t>
      </w:r>
      <w:r w:rsidRPr="00814B5B">
        <w:rPr>
          <w:szCs w:val="22"/>
          <w:lang w:val="sr-Latn-RS"/>
        </w:rPr>
        <w:t>tagonist</w:t>
      </w:r>
      <w:r w:rsidR="005957B4" w:rsidRPr="00814B5B">
        <w:rPr>
          <w:szCs w:val="22"/>
          <w:lang w:val="sr-Latn-RS"/>
        </w:rPr>
        <w:t>a receptora</w:t>
      </w:r>
      <w:r w:rsidRPr="00814B5B">
        <w:rPr>
          <w:szCs w:val="22"/>
          <w:lang w:val="sr-Latn-RS"/>
        </w:rPr>
        <w:t xml:space="preserve"> angiotenzina II </w:t>
      </w:r>
      <w:r w:rsidR="005957B4" w:rsidRPr="00814B5B">
        <w:rPr>
          <w:szCs w:val="22"/>
          <w:lang w:val="sr-Latn-RS"/>
        </w:rPr>
        <w:t>teži da smanji</w:t>
      </w:r>
      <w:r w:rsidRPr="00814B5B">
        <w:rPr>
          <w:szCs w:val="22"/>
          <w:lang w:val="sr-Latn-RS"/>
        </w:rPr>
        <w:t xml:space="preserve"> gubitak kalijuma </w:t>
      </w:r>
      <w:r w:rsidR="005957B4" w:rsidRPr="00814B5B">
        <w:rPr>
          <w:szCs w:val="22"/>
          <w:lang w:val="sr-Latn-RS"/>
        </w:rPr>
        <w:t>povezan sa</w:t>
      </w:r>
      <w:r w:rsidRPr="00814B5B">
        <w:rPr>
          <w:szCs w:val="22"/>
          <w:lang w:val="sr-Latn-RS"/>
        </w:rPr>
        <w:t xml:space="preserve"> tiazidnim diureti</w:t>
      </w:r>
      <w:r w:rsidR="005957B4" w:rsidRPr="00814B5B">
        <w:rPr>
          <w:szCs w:val="22"/>
          <w:lang w:val="sr-Latn-RS"/>
        </w:rPr>
        <w:t>cima</w:t>
      </w:r>
      <w:r w:rsidRPr="00814B5B">
        <w:rPr>
          <w:szCs w:val="22"/>
          <w:lang w:val="sr-Latn-RS"/>
        </w:rPr>
        <w:t>.</w:t>
      </w:r>
    </w:p>
    <w:p w14:paraId="7C5CEE21" w14:textId="14FDDB18" w:rsidR="00007EF9" w:rsidRPr="00814B5B" w:rsidRDefault="005F625C" w:rsidP="007B600E">
      <w:pPr>
        <w:pStyle w:val="Header"/>
        <w:tabs>
          <w:tab w:val="clear" w:pos="4536"/>
          <w:tab w:val="clear" w:pos="9072"/>
          <w:tab w:val="left" w:pos="284"/>
        </w:tabs>
        <w:spacing w:before="120" w:after="120"/>
        <w:rPr>
          <w:szCs w:val="22"/>
          <w:lang w:val="sr-Latn-RS"/>
        </w:rPr>
      </w:pPr>
      <w:r w:rsidRPr="00814B5B">
        <w:rPr>
          <w:szCs w:val="22"/>
          <w:lang w:val="sr-Latn-RS"/>
        </w:rPr>
        <w:t xml:space="preserve"> Nakon oralne prim</w:t>
      </w:r>
      <w:r w:rsidR="00122A0C" w:rsidRPr="00814B5B">
        <w:rPr>
          <w:szCs w:val="22"/>
          <w:lang w:val="sr-Latn-RS"/>
        </w:rPr>
        <w:t>j</w:t>
      </w:r>
      <w:r w:rsidRPr="00814B5B">
        <w:rPr>
          <w:szCs w:val="22"/>
          <w:lang w:val="sr-Latn-RS"/>
        </w:rPr>
        <w:t>ene</w:t>
      </w:r>
      <w:r w:rsidR="005957B4" w:rsidRPr="00814B5B">
        <w:rPr>
          <w:szCs w:val="22"/>
          <w:lang w:val="sr-Latn-RS"/>
        </w:rPr>
        <w:t>,</w:t>
      </w:r>
      <w:r w:rsidRPr="00814B5B">
        <w:rPr>
          <w:szCs w:val="22"/>
          <w:lang w:val="sr-Latn-RS"/>
        </w:rPr>
        <w:t xml:space="preserve"> diureza počinje u </w:t>
      </w:r>
      <w:r w:rsidR="005957B4" w:rsidRPr="00814B5B">
        <w:rPr>
          <w:szCs w:val="22"/>
          <w:lang w:val="sr-Latn-RS"/>
        </w:rPr>
        <w:t>r</w:t>
      </w:r>
      <w:r w:rsidRPr="00814B5B">
        <w:rPr>
          <w:szCs w:val="22"/>
          <w:lang w:val="sr-Latn-RS"/>
        </w:rPr>
        <w:t>oku</w:t>
      </w:r>
      <w:r w:rsidR="005957B4" w:rsidRPr="00814B5B">
        <w:rPr>
          <w:szCs w:val="22"/>
          <w:lang w:val="sr-Latn-RS"/>
        </w:rPr>
        <w:t xml:space="preserve"> od</w:t>
      </w:r>
      <w:r w:rsidRPr="00814B5B">
        <w:rPr>
          <w:szCs w:val="22"/>
          <w:lang w:val="sr-Latn-RS"/>
        </w:rPr>
        <w:t xml:space="preserve"> 2 sata, maksim</w:t>
      </w:r>
      <w:r w:rsidR="005957B4" w:rsidRPr="00814B5B">
        <w:rPr>
          <w:szCs w:val="22"/>
          <w:lang w:val="sr-Latn-RS"/>
        </w:rPr>
        <w:t>alno dejstvo se</w:t>
      </w:r>
      <w:r w:rsidRPr="00814B5B">
        <w:rPr>
          <w:szCs w:val="22"/>
          <w:lang w:val="sr-Latn-RS"/>
        </w:rPr>
        <w:t xml:space="preserve"> </w:t>
      </w:r>
      <w:r w:rsidR="005957B4" w:rsidRPr="00814B5B">
        <w:rPr>
          <w:szCs w:val="22"/>
          <w:lang w:val="sr-Latn-RS"/>
        </w:rPr>
        <w:t>javlja</w:t>
      </w:r>
      <w:r w:rsidRPr="00814B5B">
        <w:rPr>
          <w:szCs w:val="22"/>
          <w:lang w:val="sr-Latn-RS"/>
        </w:rPr>
        <w:t xml:space="preserve"> </w:t>
      </w:r>
      <w:r w:rsidR="005957B4" w:rsidRPr="00814B5B">
        <w:rPr>
          <w:szCs w:val="22"/>
          <w:lang w:val="sr-Latn-RS"/>
        </w:rPr>
        <w:t>za oko</w:t>
      </w:r>
      <w:r w:rsidRPr="00814B5B">
        <w:rPr>
          <w:szCs w:val="22"/>
          <w:lang w:val="sr-Latn-RS"/>
        </w:rPr>
        <w:t xml:space="preserve"> 4 sata i traje</w:t>
      </w:r>
      <w:r w:rsidR="005957B4" w:rsidRPr="00814B5B">
        <w:rPr>
          <w:szCs w:val="22"/>
          <w:lang w:val="sr-Latn-RS"/>
        </w:rPr>
        <w:t xml:space="preserve"> oko</w:t>
      </w:r>
      <w:r w:rsidRPr="00814B5B">
        <w:rPr>
          <w:szCs w:val="22"/>
          <w:lang w:val="sr-Latn-RS"/>
        </w:rPr>
        <w:t xml:space="preserve"> 6</w:t>
      </w:r>
      <w:r w:rsidR="005957B4" w:rsidRPr="00814B5B">
        <w:rPr>
          <w:szCs w:val="22"/>
          <w:lang w:val="sr-Latn-RS"/>
        </w:rPr>
        <w:t>-</w:t>
      </w:r>
      <w:r w:rsidRPr="00814B5B">
        <w:rPr>
          <w:szCs w:val="22"/>
          <w:lang w:val="sr-Latn-RS"/>
        </w:rPr>
        <w:t>12 sati, dok antihipertenzivn</w:t>
      </w:r>
      <w:r w:rsidR="005957B4" w:rsidRPr="00814B5B">
        <w:rPr>
          <w:szCs w:val="22"/>
          <w:lang w:val="sr-Latn-RS"/>
        </w:rPr>
        <w:t>o</w:t>
      </w:r>
      <w:r w:rsidRPr="00814B5B">
        <w:rPr>
          <w:szCs w:val="22"/>
          <w:lang w:val="sr-Latn-RS"/>
        </w:rPr>
        <w:t xml:space="preserve"> </w:t>
      </w:r>
      <w:r w:rsidR="005957B4" w:rsidRPr="00814B5B">
        <w:rPr>
          <w:szCs w:val="22"/>
          <w:lang w:val="sr-Latn-RS"/>
        </w:rPr>
        <w:t>dejstvo</w:t>
      </w:r>
      <w:r w:rsidRPr="00814B5B">
        <w:rPr>
          <w:szCs w:val="22"/>
          <w:lang w:val="sr-Latn-RS"/>
        </w:rPr>
        <w:t xml:space="preserve"> traje do 24 sata.</w:t>
      </w:r>
    </w:p>
    <w:p w14:paraId="0945B405" w14:textId="0C0A3E05" w:rsidR="003C60A2" w:rsidRPr="00814B5B" w:rsidRDefault="0084386C" w:rsidP="007B600E">
      <w:pPr>
        <w:spacing w:before="120" w:after="120"/>
        <w:rPr>
          <w:i/>
          <w:iCs/>
          <w:szCs w:val="22"/>
          <w:lang w:val="sr-Latn-RS"/>
        </w:rPr>
      </w:pPr>
      <w:r w:rsidRPr="00814B5B">
        <w:rPr>
          <w:i/>
          <w:iCs/>
          <w:szCs w:val="22"/>
          <w:lang w:val="sr-Latn-RS"/>
        </w:rPr>
        <w:t xml:space="preserve">Nemelanomski karcinom kože </w:t>
      </w:r>
    </w:p>
    <w:p w14:paraId="6B94042B" w14:textId="34431C22" w:rsidR="0084386C" w:rsidRDefault="0084386C" w:rsidP="002A65F1">
      <w:pPr>
        <w:rPr>
          <w:szCs w:val="22"/>
          <w:lang w:val="sr-Latn-RS"/>
        </w:rPr>
      </w:pPr>
      <w:r w:rsidRPr="00814B5B">
        <w:rPr>
          <w:szCs w:val="22"/>
          <w:lang w:val="sr-Latn-RS"/>
        </w:rPr>
        <w:t>Na osnovu dostupnih podataka iz epidemioloških studija, između hidrohlortiazida i nemelanomskog karcinoma kože (NMSC) prim</w:t>
      </w:r>
      <w:r w:rsidR="00122A0C" w:rsidRPr="00814B5B">
        <w:rPr>
          <w:szCs w:val="22"/>
          <w:lang w:val="sr-Latn-RS"/>
        </w:rPr>
        <w:t>ij</w:t>
      </w:r>
      <w:r w:rsidRPr="00814B5B">
        <w:rPr>
          <w:szCs w:val="22"/>
          <w:lang w:val="sr-Latn-RS"/>
        </w:rPr>
        <w:t>ećena je povezanost zavisna od kumulativne doze. Jedna studija uključila je populaciju koja se sastojala od 71533 slučaja bazocelularnog karcinoma (BCC) i 8629 slučajeva planocelularnog karcinoma (SCC), uparenih sa 1430833, odnosno 172462 kontrole u populaciji. Velika upotreba hidrohlorotiazida (≥</w:t>
      </w:r>
      <w:r w:rsidR="00F95CD7" w:rsidRPr="00814B5B">
        <w:rPr>
          <w:szCs w:val="22"/>
          <w:lang w:val="sr-Latn-RS"/>
        </w:rPr>
        <w:t xml:space="preserve"> </w:t>
      </w:r>
      <w:r w:rsidRPr="00814B5B">
        <w:rPr>
          <w:szCs w:val="22"/>
          <w:lang w:val="sr-Latn-RS"/>
        </w:rPr>
        <w:t xml:space="preserve">50000 mg kumulativno) bila je povezana sa </w:t>
      </w:r>
      <w:r w:rsidR="000E0F52" w:rsidRPr="00814B5B">
        <w:rPr>
          <w:szCs w:val="22"/>
          <w:lang w:val="sr-Latn-RS"/>
        </w:rPr>
        <w:t xml:space="preserve">korigovanim </w:t>
      </w:r>
      <w:r w:rsidR="00B57C61" w:rsidRPr="00814B5B">
        <w:rPr>
          <w:szCs w:val="22"/>
          <w:lang w:val="sr-Latn-RS"/>
        </w:rPr>
        <w:t xml:space="preserve">odnosom šansi (engl. </w:t>
      </w:r>
      <w:r w:rsidR="00B57C61" w:rsidRPr="00814B5B">
        <w:rPr>
          <w:i/>
          <w:szCs w:val="22"/>
          <w:lang w:val="sr-Latn-RS"/>
        </w:rPr>
        <w:t>odd ratio</w:t>
      </w:r>
      <w:r w:rsidR="00B57C61" w:rsidRPr="00814B5B">
        <w:rPr>
          <w:szCs w:val="22"/>
          <w:lang w:val="sr-Latn-RS"/>
        </w:rPr>
        <w:t>, OR)</w:t>
      </w:r>
      <w:r w:rsidRPr="00814B5B">
        <w:rPr>
          <w:szCs w:val="22"/>
          <w:lang w:val="sr-Latn-RS"/>
        </w:rPr>
        <w:t xml:space="preserve"> od 1,29 (95% CI: 1,23-1,35) za BCC i 3,98 (95% CI: 3,68-4,31) za SCC. Prim</w:t>
      </w:r>
      <w:r w:rsidR="00122A0C" w:rsidRPr="00814B5B">
        <w:rPr>
          <w:szCs w:val="22"/>
          <w:lang w:val="sr-Latn-RS"/>
        </w:rPr>
        <w:t>ij</w:t>
      </w:r>
      <w:r w:rsidRPr="00814B5B">
        <w:rPr>
          <w:szCs w:val="22"/>
          <w:lang w:val="sr-Latn-RS"/>
        </w:rPr>
        <w:t xml:space="preserve">ećena je jasna povezanost odgovora i kumulativne doze i za BCC i za SCC. Druga studija pokazala je moguću povezanost između karcinoma usana (SCC) i </w:t>
      </w:r>
      <w:r w:rsidR="0001587A" w:rsidRPr="00814B5B">
        <w:rPr>
          <w:szCs w:val="22"/>
          <w:lang w:val="sr-Latn-RS"/>
        </w:rPr>
        <w:t xml:space="preserve">izloženosti </w:t>
      </w:r>
      <w:r w:rsidRPr="00814B5B">
        <w:rPr>
          <w:szCs w:val="22"/>
          <w:lang w:val="sr-Latn-RS"/>
        </w:rPr>
        <w:t>hidrohlorotiazidu: 633 slučaja karcinoma usana upareno je sa 63067 kontrola u populaciji, prim</w:t>
      </w:r>
      <w:r w:rsidR="00122A0C" w:rsidRPr="00814B5B">
        <w:rPr>
          <w:szCs w:val="22"/>
          <w:lang w:val="sr-Latn-RS"/>
        </w:rPr>
        <w:t>j</w:t>
      </w:r>
      <w:r w:rsidRPr="00814B5B">
        <w:rPr>
          <w:szCs w:val="22"/>
          <w:lang w:val="sr-Latn-RS"/>
        </w:rPr>
        <w:t>enom strategije uzorkovanja iz rizične grupe (eng</w:t>
      </w:r>
      <w:r w:rsidR="00B57C61" w:rsidRPr="00814B5B">
        <w:rPr>
          <w:szCs w:val="22"/>
          <w:lang w:val="sr-Latn-RS"/>
        </w:rPr>
        <w:t>l</w:t>
      </w:r>
      <w:r w:rsidRPr="00814B5B">
        <w:rPr>
          <w:szCs w:val="22"/>
          <w:lang w:val="sr-Latn-RS"/>
        </w:rPr>
        <w:t xml:space="preserve">. </w:t>
      </w:r>
      <w:r w:rsidRPr="00814B5B">
        <w:rPr>
          <w:i/>
          <w:szCs w:val="22"/>
          <w:lang w:val="sr-Latn-RS"/>
        </w:rPr>
        <w:t>risk-set sampling</w:t>
      </w:r>
      <w:r w:rsidRPr="00814B5B">
        <w:rPr>
          <w:szCs w:val="22"/>
          <w:lang w:val="sr-Latn-RS"/>
        </w:rPr>
        <w:t>). Pokazana je povezanost odgovora i kumulativne doze sa prilagođenim OR 2,1 (95% CI: 1,7-2,6) sa povećanjem na OR 3,9 (3,0-4,9) za veliku upotrebu hidrohlorotiazida (~</w:t>
      </w:r>
      <w:r w:rsidR="00881A78" w:rsidRPr="00814B5B">
        <w:rPr>
          <w:szCs w:val="22"/>
          <w:lang w:val="sr-Latn-RS"/>
        </w:rPr>
        <w:t xml:space="preserve"> </w:t>
      </w:r>
      <w:r w:rsidRPr="00814B5B">
        <w:rPr>
          <w:szCs w:val="22"/>
          <w:lang w:val="sr-Latn-RS"/>
        </w:rPr>
        <w:t>25000 mg) i na OR 7,7 (5,7-10,5) za najveću kumulativnu dozu (~</w:t>
      </w:r>
      <w:r w:rsidR="00881A78" w:rsidRPr="00814B5B">
        <w:rPr>
          <w:szCs w:val="22"/>
          <w:lang w:val="sr-Latn-RS"/>
        </w:rPr>
        <w:t xml:space="preserve"> </w:t>
      </w:r>
      <w:r w:rsidRPr="00814B5B">
        <w:rPr>
          <w:szCs w:val="22"/>
          <w:lang w:val="sr-Latn-RS"/>
        </w:rPr>
        <w:t>100000 mg) (takođe vid</w:t>
      </w:r>
      <w:r w:rsidR="00122A0C" w:rsidRPr="00814B5B">
        <w:rPr>
          <w:szCs w:val="22"/>
          <w:lang w:val="sr-Latn-RS"/>
        </w:rPr>
        <w:t>j</w:t>
      </w:r>
      <w:r w:rsidRPr="00814B5B">
        <w:rPr>
          <w:szCs w:val="22"/>
          <w:lang w:val="sr-Latn-RS"/>
        </w:rPr>
        <w:t xml:space="preserve">eti </w:t>
      </w:r>
      <w:r w:rsidR="00122A0C" w:rsidRPr="00814B5B">
        <w:rPr>
          <w:szCs w:val="22"/>
          <w:lang w:val="sr-Latn-RS"/>
        </w:rPr>
        <w:t>dio</w:t>
      </w:r>
      <w:r w:rsidRPr="00814B5B">
        <w:rPr>
          <w:szCs w:val="22"/>
          <w:lang w:val="sr-Latn-RS"/>
        </w:rPr>
        <w:t xml:space="preserve"> 4.4).</w:t>
      </w:r>
    </w:p>
    <w:p w14:paraId="0D9B21CA" w14:textId="77777777" w:rsidR="002A65F1" w:rsidRPr="00814B5B" w:rsidRDefault="002A65F1" w:rsidP="002A65F1">
      <w:pPr>
        <w:rPr>
          <w:szCs w:val="22"/>
          <w:lang w:val="sr-Latn-RS"/>
        </w:rPr>
      </w:pPr>
    </w:p>
    <w:p w14:paraId="56B60082" w14:textId="77777777" w:rsidR="00007EF9" w:rsidRPr="00814B5B" w:rsidRDefault="00007EF9" w:rsidP="002A65F1">
      <w:pPr>
        <w:rPr>
          <w:b/>
          <w:bCs/>
          <w:szCs w:val="22"/>
          <w:lang w:val="sr-Latn-RS"/>
        </w:rPr>
      </w:pPr>
      <w:r w:rsidRPr="00814B5B">
        <w:rPr>
          <w:b/>
          <w:bCs/>
          <w:szCs w:val="22"/>
          <w:lang w:val="sr-Latn-RS"/>
        </w:rPr>
        <w:t>5.2. Farmakokinetički podaci</w:t>
      </w:r>
    </w:p>
    <w:p w14:paraId="4E8EBC12" w14:textId="77777777" w:rsidR="002A65F1" w:rsidRDefault="002A65F1" w:rsidP="002A65F1">
      <w:pPr>
        <w:shd w:val="clear" w:color="auto" w:fill="FFFFFF"/>
        <w:rPr>
          <w:szCs w:val="22"/>
          <w:u w:val="single"/>
          <w:lang w:val="sr-Latn-RS"/>
        </w:rPr>
      </w:pPr>
    </w:p>
    <w:p w14:paraId="1F3E6EFE" w14:textId="21A4E916" w:rsidR="005F625C" w:rsidRPr="00814B5B" w:rsidRDefault="005F625C" w:rsidP="002A65F1">
      <w:pPr>
        <w:shd w:val="clear" w:color="auto" w:fill="FFFFFF"/>
        <w:rPr>
          <w:szCs w:val="22"/>
          <w:u w:val="single"/>
          <w:lang w:val="sr-Latn-RS"/>
        </w:rPr>
      </w:pPr>
      <w:r w:rsidRPr="00814B5B">
        <w:rPr>
          <w:szCs w:val="22"/>
          <w:u w:val="single"/>
          <w:lang w:val="sr-Latn-RS"/>
        </w:rPr>
        <w:t>Resorpcija</w:t>
      </w:r>
    </w:p>
    <w:p w14:paraId="3934D21A" w14:textId="77777777" w:rsidR="005F625C" w:rsidRPr="00814B5B" w:rsidRDefault="005F625C" w:rsidP="007B600E">
      <w:pPr>
        <w:shd w:val="clear" w:color="auto" w:fill="FFFFFF"/>
        <w:spacing w:before="120" w:after="120"/>
        <w:rPr>
          <w:i/>
          <w:szCs w:val="22"/>
          <w:lang w:val="sr-Latn-RS"/>
        </w:rPr>
      </w:pPr>
      <w:r w:rsidRPr="00814B5B">
        <w:rPr>
          <w:i/>
          <w:szCs w:val="22"/>
          <w:lang w:val="sr-Latn-RS"/>
        </w:rPr>
        <w:t>Losartan</w:t>
      </w:r>
    </w:p>
    <w:p w14:paraId="3A6D0264" w14:textId="3F0CF420" w:rsidR="005F625C" w:rsidRPr="00814B5B" w:rsidRDefault="00277407" w:rsidP="007B600E">
      <w:pPr>
        <w:shd w:val="clear" w:color="auto" w:fill="FFFFFF"/>
        <w:spacing w:before="120" w:after="120"/>
        <w:rPr>
          <w:szCs w:val="22"/>
          <w:lang w:val="sr-Latn-RS"/>
        </w:rPr>
      </w:pPr>
      <w:r w:rsidRPr="00814B5B">
        <w:rPr>
          <w:szCs w:val="22"/>
          <w:lang w:val="sr-Latn-CS"/>
        </w:rPr>
        <w:t>Nakon oralne prim</w:t>
      </w:r>
      <w:r w:rsidR="00122A0C" w:rsidRPr="00814B5B">
        <w:rPr>
          <w:szCs w:val="22"/>
          <w:lang w:val="sr-Latn-CS"/>
        </w:rPr>
        <w:t>j</w:t>
      </w:r>
      <w:r w:rsidRPr="00814B5B">
        <w:rPr>
          <w:szCs w:val="22"/>
          <w:lang w:val="sr-Latn-CS"/>
        </w:rPr>
        <w:t>ene, losartan se dobro resorbuje i podl</w:t>
      </w:r>
      <w:r w:rsidR="00372CF8" w:rsidRPr="00814B5B">
        <w:rPr>
          <w:szCs w:val="22"/>
          <w:lang w:val="sr-Latn-CS"/>
        </w:rPr>
        <w:t>ij</w:t>
      </w:r>
      <w:r w:rsidRPr="00814B5B">
        <w:rPr>
          <w:szCs w:val="22"/>
          <w:lang w:val="sr-Latn-CS"/>
        </w:rPr>
        <w:t>eže metabolizmu prvog prolaza, pri čemu nastaje aktivni metabolit</w:t>
      </w:r>
      <w:r w:rsidR="00D425F5" w:rsidRPr="00814B5B">
        <w:rPr>
          <w:szCs w:val="22"/>
          <w:lang w:val="sr-Latn-CS"/>
        </w:rPr>
        <w:t xml:space="preserve"> karboksilne kiseline</w:t>
      </w:r>
      <w:r w:rsidRPr="00814B5B">
        <w:rPr>
          <w:szCs w:val="22"/>
          <w:lang w:val="sr-Latn-CS"/>
        </w:rPr>
        <w:t xml:space="preserve">, kao i drugi neaktivni metaboliti. Sistemska bioraspoloživost losartana </w:t>
      </w:r>
      <w:r w:rsidR="007E0E66" w:rsidRPr="00814B5B">
        <w:rPr>
          <w:szCs w:val="22"/>
          <w:lang w:val="sr-Latn-CS"/>
        </w:rPr>
        <w:t>iz</w:t>
      </w:r>
      <w:r w:rsidRPr="00814B5B">
        <w:rPr>
          <w:szCs w:val="22"/>
          <w:lang w:val="sr-Latn-CS"/>
        </w:rPr>
        <w:t xml:space="preserve"> tableta je približno 33%. Srednje maksimalne koncentracije losartana i njegovog aktivnog metabolita se postižu, nakon 1 sat, odnosno nakon 3-4 sata.</w:t>
      </w:r>
      <w:r w:rsidR="005F625C" w:rsidRPr="00814B5B">
        <w:rPr>
          <w:szCs w:val="22"/>
          <w:lang w:val="sr-Latn-RS"/>
        </w:rPr>
        <w:t xml:space="preserve"> N</w:t>
      </w:r>
      <w:r w:rsidRPr="00814B5B">
        <w:rPr>
          <w:szCs w:val="22"/>
          <w:lang w:val="sr-Latn-RS"/>
        </w:rPr>
        <w:t>ije bilo</w:t>
      </w:r>
      <w:r w:rsidR="005F625C" w:rsidRPr="00814B5B">
        <w:rPr>
          <w:szCs w:val="22"/>
          <w:lang w:val="sr-Latn-RS"/>
        </w:rPr>
        <w:t xml:space="preserve"> klinički značajnog efekta na profil koncentracije losartana u plazmi </w:t>
      </w:r>
      <w:r w:rsidRPr="00814B5B">
        <w:rPr>
          <w:szCs w:val="22"/>
          <w:lang w:val="sr-Latn-RS"/>
        </w:rPr>
        <w:t>kada je</w:t>
      </w:r>
      <w:r w:rsidR="005F625C" w:rsidRPr="00814B5B">
        <w:rPr>
          <w:szCs w:val="22"/>
          <w:lang w:val="sr-Latn-RS"/>
        </w:rPr>
        <w:t xml:space="preserve"> l</w:t>
      </w:r>
      <w:r w:rsidR="00122A0C" w:rsidRPr="00814B5B">
        <w:rPr>
          <w:szCs w:val="22"/>
          <w:lang w:val="sr-Latn-RS"/>
        </w:rPr>
        <w:t>ij</w:t>
      </w:r>
      <w:r w:rsidR="005F625C" w:rsidRPr="00814B5B">
        <w:rPr>
          <w:szCs w:val="22"/>
          <w:lang w:val="sr-Latn-RS"/>
        </w:rPr>
        <w:t>ek prim</w:t>
      </w:r>
      <w:r w:rsidR="00122A0C" w:rsidRPr="00814B5B">
        <w:rPr>
          <w:szCs w:val="22"/>
          <w:lang w:val="sr-Latn-RS"/>
        </w:rPr>
        <w:t>ij</w:t>
      </w:r>
      <w:r w:rsidR="005F625C" w:rsidRPr="00814B5B">
        <w:rPr>
          <w:szCs w:val="22"/>
          <w:lang w:val="sr-Latn-RS"/>
        </w:rPr>
        <w:t>enj</w:t>
      </w:r>
      <w:r w:rsidRPr="00814B5B">
        <w:rPr>
          <w:szCs w:val="22"/>
          <w:lang w:val="sr-Latn-RS"/>
        </w:rPr>
        <w:t>en</w:t>
      </w:r>
      <w:r w:rsidR="005F625C" w:rsidRPr="00814B5B">
        <w:rPr>
          <w:szCs w:val="22"/>
          <w:lang w:val="sr-Latn-RS"/>
        </w:rPr>
        <w:t xml:space="preserve"> u</w:t>
      </w:r>
      <w:r w:rsidRPr="00814B5B">
        <w:rPr>
          <w:szCs w:val="22"/>
          <w:lang w:val="sr-Latn-RS"/>
        </w:rPr>
        <w:t>z</w:t>
      </w:r>
      <w:r w:rsidR="005F625C" w:rsidRPr="00814B5B">
        <w:rPr>
          <w:szCs w:val="22"/>
          <w:lang w:val="sr-Latn-RS"/>
        </w:rPr>
        <w:t xml:space="preserve"> standardizovan obrok.</w:t>
      </w:r>
    </w:p>
    <w:p w14:paraId="03019318" w14:textId="77777777" w:rsidR="005F625C" w:rsidRPr="00814B5B" w:rsidRDefault="005F625C" w:rsidP="007B600E">
      <w:pPr>
        <w:shd w:val="clear" w:color="auto" w:fill="FFFFFF"/>
        <w:spacing w:before="120" w:after="120"/>
        <w:rPr>
          <w:szCs w:val="22"/>
          <w:u w:val="single"/>
          <w:lang w:val="sr-Latn-RS"/>
        </w:rPr>
      </w:pPr>
      <w:r w:rsidRPr="00814B5B">
        <w:rPr>
          <w:szCs w:val="22"/>
          <w:u w:val="single"/>
          <w:lang w:val="sr-Latn-RS"/>
        </w:rPr>
        <w:t>Distribucija</w:t>
      </w:r>
    </w:p>
    <w:p w14:paraId="6E74AE3F" w14:textId="77777777" w:rsidR="005F625C" w:rsidRPr="00814B5B" w:rsidRDefault="005F625C" w:rsidP="007B600E">
      <w:pPr>
        <w:shd w:val="clear" w:color="auto" w:fill="FFFFFF"/>
        <w:spacing w:before="120" w:after="120"/>
        <w:rPr>
          <w:i/>
          <w:szCs w:val="22"/>
          <w:lang w:val="sr-Latn-RS"/>
        </w:rPr>
      </w:pPr>
      <w:r w:rsidRPr="00814B5B">
        <w:rPr>
          <w:i/>
          <w:szCs w:val="22"/>
          <w:lang w:val="sr-Latn-RS"/>
        </w:rPr>
        <w:t xml:space="preserve">Losartan </w:t>
      </w:r>
    </w:p>
    <w:p w14:paraId="0D4D9F61" w14:textId="271C123B" w:rsidR="005F625C" w:rsidRPr="00814B5B" w:rsidRDefault="00F609FF" w:rsidP="007B600E">
      <w:pPr>
        <w:shd w:val="clear" w:color="auto" w:fill="FFFFFF"/>
        <w:spacing w:before="120" w:after="120"/>
        <w:rPr>
          <w:szCs w:val="22"/>
          <w:lang w:val="sr-Latn-RS"/>
        </w:rPr>
      </w:pPr>
      <w:r w:rsidRPr="00814B5B">
        <w:rPr>
          <w:szCs w:val="22"/>
          <w:lang w:val="sr-Latn-CS"/>
        </w:rPr>
        <w:t>Losartan i njegov aktivni metabolit se u visokom procentu (≥ 99%) vezuju za proteine plazme, prevashodno albumin.</w:t>
      </w:r>
      <w:r w:rsidR="005F625C" w:rsidRPr="00814B5B">
        <w:rPr>
          <w:szCs w:val="22"/>
          <w:lang w:val="sr-Latn-RS"/>
        </w:rPr>
        <w:t xml:space="preserve"> Volumen distribucije losartana je 34 litra. Studije na pacovima </w:t>
      </w:r>
      <w:r w:rsidRPr="00814B5B">
        <w:rPr>
          <w:szCs w:val="22"/>
          <w:lang w:val="sr-Latn-RS"/>
        </w:rPr>
        <w:t>ukazuju</w:t>
      </w:r>
      <w:r w:rsidR="005F625C" w:rsidRPr="00814B5B">
        <w:rPr>
          <w:szCs w:val="22"/>
          <w:lang w:val="sr-Latn-RS"/>
        </w:rPr>
        <w:t xml:space="preserve"> da losartan slabo prolazi hemato-encefalnu barijeru, ukoliko je uopšte i prolazi. </w:t>
      </w:r>
    </w:p>
    <w:p w14:paraId="75E7F36C" w14:textId="77777777" w:rsidR="005F625C" w:rsidRPr="00814B5B" w:rsidRDefault="005F625C" w:rsidP="007B600E">
      <w:pPr>
        <w:shd w:val="clear" w:color="auto" w:fill="FFFFFF"/>
        <w:spacing w:before="120" w:after="120"/>
        <w:rPr>
          <w:i/>
          <w:szCs w:val="22"/>
          <w:lang w:val="sr-Latn-RS"/>
        </w:rPr>
      </w:pPr>
      <w:r w:rsidRPr="00814B5B">
        <w:rPr>
          <w:i/>
          <w:szCs w:val="22"/>
          <w:lang w:val="sr-Latn-RS"/>
        </w:rPr>
        <w:t>Hidrohlortiazid</w:t>
      </w:r>
    </w:p>
    <w:p w14:paraId="5E72765C" w14:textId="49298FD6" w:rsidR="005F625C" w:rsidRPr="00814B5B" w:rsidRDefault="005F625C" w:rsidP="007B600E">
      <w:pPr>
        <w:shd w:val="clear" w:color="auto" w:fill="FFFFFF"/>
        <w:spacing w:before="120" w:after="120"/>
        <w:rPr>
          <w:szCs w:val="22"/>
          <w:lang w:val="sr-Latn-RS"/>
        </w:rPr>
      </w:pPr>
      <w:r w:rsidRPr="00814B5B">
        <w:rPr>
          <w:szCs w:val="22"/>
          <w:lang w:val="sr-Latn-RS"/>
        </w:rPr>
        <w:t>Hidrohl</w:t>
      </w:r>
      <w:r w:rsidR="004F4D5C" w:rsidRPr="00814B5B">
        <w:rPr>
          <w:szCs w:val="22"/>
          <w:lang w:val="sr-Latn-RS"/>
        </w:rPr>
        <w:t>o</w:t>
      </w:r>
      <w:r w:rsidRPr="00814B5B">
        <w:rPr>
          <w:szCs w:val="22"/>
          <w:lang w:val="sr-Latn-RS"/>
        </w:rPr>
        <w:t xml:space="preserve">rtiazid prolazi </w:t>
      </w:r>
      <w:r w:rsidR="00F609FF" w:rsidRPr="00814B5B">
        <w:rPr>
          <w:szCs w:val="22"/>
          <w:lang w:val="sr-Latn-RS"/>
        </w:rPr>
        <w:t xml:space="preserve">kroz </w:t>
      </w:r>
      <w:r w:rsidRPr="00814B5B">
        <w:rPr>
          <w:szCs w:val="22"/>
          <w:lang w:val="sr-Latn-RS"/>
        </w:rPr>
        <w:t>placent</w:t>
      </w:r>
      <w:r w:rsidR="00F609FF" w:rsidRPr="00814B5B">
        <w:rPr>
          <w:szCs w:val="22"/>
          <w:lang w:val="sr-Latn-RS"/>
        </w:rPr>
        <w:t>u</w:t>
      </w:r>
      <w:r w:rsidRPr="00814B5B">
        <w:rPr>
          <w:szCs w:val="22"/>
          <w:lang w:val="sr-Latn-RS"/>
        </w:rPr>
        <w:t>, ali ne prolazi hemato-encefalnu barijeru i izlučuje se u majčino ml</w:t>
      </w:r>
      <w:r w:rsidR="00014BF2" w:rsidRPr="00814B5B">
        <w:rPr>
          <w:szCs w:val="22"/>
          <w:lang w:val="sr-Latn-RS"/>
        </w:rPr>
        <w:t>ij</w:t>
      </w:r>
      <w:r w:rsidRPr="00814B5B">
        <w:rPr>
          <w:szCs w:val="22"/>
          <w:lang w:val="sr-Latn-RS"/>
        </w:rPr>
        <w:t xml:space="preserve">eko. </w:t>
      </w:r>
    </w:p>
    <w:p w14:paraId="683398A3" w14:textId="77777777" w:rsidR="005F625C" w:rsidRPr="00814B5B" w:rsidRDefault="005F625C" w:rsidP="007B600E">
      <w:pPr>
        <w:shd w:val="clear" w:color="auto" w:fill="FFFFFF"/>
        <w:spacing w:before="120" w:after="120"/>
        <w:rPr>
          <w:szCs w:val="22"/>
          <w:u w:val="single"/>
          <w:lang w:val="sr-Latn-RS"/>
        </w:rPr>
      </w:pPr>
      <w:r w:rsidRPr="00814B5B">
        <w:rPr>
          <w:szCs w:val="22"/>
          <w:u w:val="single"/>
          <w:lang w:val="sr-Latn-RS"/>
        </w:rPr>
        <w:t>Biotransformacija</w:t>
      </w:r>
    </w:p>
    <w:p w14:paraId="1E7390AA" w14:textId="77777777" w:rsidR="005F625C" w:rsidRPr="00814B5B" w:rsidRDefault="005F625C" w:rsidP="007B600E">
      <w:pPr>
        <w:shd w:val="clear" w:color="auto" w:fill="FFFFFF"/>
        <w:spacing w:before="120" w:after="120"/>
        <w:rPr>
          <w:i/>
          <w:szCs w:val="22"/>
          <w:lang w:val="sr-Latn-RS"/>
        </w:rPr>
      </w:pPr>
      <w:r w:rsidRPr="00814B5B">
        <w:rPr>
          <w:i/>
          <w:szCs w:val="22"/>
          <w:lang w:val="sr-Latn-RS"/>
        </w:rPr>
        <w:t xml:space="preserve">Losartan </w:t>
      </w:r>
    </w:p>
    <w:p w14:paraId="4F65D92C" w14:textId="02BB7C38" w:rsidR="005F625C" w:rsidRPr="00814B5B" w:rsidRDefault="008966CC" w:rsidP="007B600E">
      <w:pPr>
        <w:shd w:val="clear" w:color="auto" w:fill="FFFFFF"/>
        <w:spacing w:before="120" w:after="120"/>
        <w:rPr>
          <w:szCs w:val="22"/>
          <w:lang w:val="sr-Latn-RS"/>
        </w:rPr>
      </w:pPr>
      <w:r w:rsidRPr="00814B5B">
        <w:rPr>
          <w:szCs w:val="22"/>
          <w:lang w:val="sr-Latn-CS"/>
        </w:rPr>
        <w:lastRenderedPageBreak/>
        <w:t>Oko 14% intravenski ili oralno prim</w:t>
      </w:r>
      <w:r w:rsidR="00014BF2" w:rsidRPr="00814B5B">
        <w:rPr>
          <w:szCs w:val="22"/>
          <w:lang w:val="sr-Latn-CS"/>
        </w:rPr>
        <w:t>ij</w:t>
      </w:r>
      <w:r w:rsidRPr="00814B5B">
        <w:rPr>
          <w:szCs w:val="22"/>
          <w:lang w:val="sr-Latn-CS"/>
        </w:rPr>
        <w:t>enjene doze losartana se konvertuje u njegov aktivni metabolit. Nakon oralne i intravenske prim</w:t>
      </w:r>
      <w:r w:rsidR="00014BF2" w:rsidRPr="00814B5B">
        <w:rPr>
          <w:szCs w:val="22"/>
          <w:lang w:val="sr-Latn-CS"/>
        </w:rPr>
        <w:t>j</w:t>
      </w:r>
      <w:r w:rsidRPr="00814B5B">
        <w:rPr>
          <w:szCs w:val="22"/>
          <w:lang w:val="sr-Latn-CS"/>
        </w:rPr>
        <w:t>ene radioaktivno ob</w:t>
      </w:r>
      <w:r w:rsidR="00014BF2" w:rsidRPr="00814B5B">
        <w:rPr>
          <w:szCs w:val="22"/>
          <w:lang w:val="sr-Latn-CS"/>
        </w:rPr>
        <w:t>i</w:t>
      </w:r>
      <w:r w:rsidRPr="00814B5B">
        <w:rPr>
          <w:szCs w:val="22"/>
          <w:lang w:val="sr-Latn-CS"/>
        </w:rPr>
        <w:t>l</w:t>
      </w:r>
      <w:r w:rsidR="00014BF2" w:rsidRPr="00814B5B">
        <w:rPr>
          <w:szCs w:val="22"/>
          <w:lang w:val="sr-Latn-CS"/>
        </w:rPr>
        <w:t>j</w:t>
      </w:r>
      <w:r w:rsidRPr="00814B5B">
        <w:rPr>
          <w:szCs w:val="22"/>
          <w:lang w:val="sr-Latn-CS"/>
        </w:rPr>
        <w:t xml:space="preserve">eženog </w:t>
      </w:r>
      <w:r w:rsidRPr="00814B5B">
        <w:rPr>
          <w:szCs w:val="22"/>
          <w:vertAlign w:val="superscript"/>
          <w:lang w:val="sr-Latn-CS"/>
        </w:rPr>
        <w:t>14</w:t>
      </w:r>
      <w:r w:rsidRPr="00814B5B">
        <w:rPr>
          <w:szCs w:val="22"/>
          <w:lang w:val="sr-Latn-CS"/>
        </w:rPr>
        <w:t>C losartan</w:t>
      </w:r>
      <w:r w:rsidR="00014BF2" w:rsidRPr="00814B5B">
        <w:rPr>
          <w:szCs w:val="22"/>
          <w:lang w:val="sr-Latn-CS"/>
        </w:rPr>
        <w:t xml:space="preserve"> </w:t>
      </w:r>
      <w:r w:rsidRPr="00814B5B">
        <w:rPr>
          <w:szCs w:val="22"/>
          <w:lang w:val="sr-Latn-CS"/>
        </w:rPr>
        <w:t>kalijuma, radioaktivnost u plazmi prvenstveno se pripisuje losartanu i njegovom aktivnom metabolitu. Minimalna konverzija losartana u aktivni metabolit zab</w:t>
      </w:r>
      <w:r w:rsidR="00014BF2" w:rsidRPr="00814B5B">
        <w:rPr>
          <w:szCs w:val="22"/>
          <w:lang w:val="sr-Latn-CS"/>
        </w:rPr>
        <w:t>i</w:t>
      </w:r>
      <w:r w:rsidRPr="00814B5B">
        <w:rPr>
          <w:szCs w:val="22"/>
          <w:lang w:val="sr-Latn-CS"/>
        </w:rPr>
        <w:t>l</w:t>
      </w:r>
      <w:r w:rsidR="00014BF2" w:rsidRPr="00814B5B">
        <w:rPr>
          <w:szCs w:val="22"/>
          <w:lang w:val="sr-Latn-CS"/>
        </w:rPr>
        <w:t>j</w:t>
      </w:r>
      <w:r w:rsidRPr="00814B5B">
        <w:rPr>
          <w:szCs w:val="22"/>
          <w:lang w:val="sr-Latn-CS"/>
        </w:rPr>
        <w:t xml:space="preserve">ežena je kod oko 1% ispitanika. </w:t>
      </w:r>
      <w:r w:rsidR="002F2623" w:rsidRPr="00814B5B">
        <w:rPr>
          <w:szCs w:val="22"/>
          <w:lang w:val="sr-Latn-CS"/>
        </w:rPr>
        <w:t xml:space="preserve">Pored </w:t>
      </w:r>
      <w:r w:rsidRPr="00814B5B">
        <w:rPr>
          <w:szCs w:val="22"/>
          <w:lang w:val="sr-Latn-CS"/>
        </w:rPr>
        <w:t>aktivnog, stvaraju se i neaktivni metaboliti</w:t>
      </w:r>
      <w:r w:rsidR="005F625C" w:rsidRPr="00814B5B">
        <w:rPr>
          <w:szCs w:val="22"/>
          <w:lang w:val="sr-Latn-RS"/>
        </w:rPr>
        <w:t xml:space="preserve">, uključujući dva glavna metabolita koja nastaju hidroksilacijom </w:t>
      </w:r>
      <w:r w:rsidRPr="00814B5B">
        <w:rPr>
          <w:szCs w:val="22"/>
          <w:lang w:val="sr-Latn-RS"/>
        </w:rPr>
        <w:t xml:space="preserve">bočnog </w:t>
      </w:r>
      <w:r w:rsidR="005F625C" w:rsidRPr="00814B5B">
        <w:rPr>
          <w:szCs w:val="22"/>
          <w:lang w:val="sr-Latn-RS"/>
        </w:rPr>
        <w:t>butil-lanca, kao i sporedni metabolit N-2 tetrazol glukuronid.</w:t>
      </w:r>
    </w:p>
    <w:p w14:paraId="11494687" w14:textId="77777777" w:rsidR="005F625C" w:rsidRPr="00814B5B" w:rsidRDefault="005F625C" w:rsidP="007B600E">
      <w:pPr>
        <w:shd w:val="clear" w:color="auto" w:fill="FFFFFF"/>
        <w:spacing w:before="120" w:after="120"/>
        <w:rPr>
          <w:szCs w:val="22"/>
          <w:u w:val="single"/>
          <w:lang w:val="sr-Latn-RS"/>
        </w:rPr>
      </w:pPr>
      <w:r w:rsidRPr="00814B5B">
        <w:rPr>
          <w:szCs w:val="22"/>
          <w:u w:val="single"/>
          <w:lang w:val="sr-Latn-RS"/>
        </w:rPr>
        <w:t>Eliminacija</w:t>
      </w:r>
    </w:p>
    <w:p w14:paraId="43235ED7" w14:textId="77777777" w:rsidR="005F625C" w:rsidRPr="00814B5B" w:rsidRDefault="005F625C" w:rsidP="007B600E">
      <w:pPr>
        <w:shd w:val="clear" w:color="auto" w:fill="FFFFFF"/>
        <w:spacing w:before="120" w:after="120"/>
        <w:rPr>
          <w:i/>
          <w:szCs w:val="22"/>
          <w:lang w:val="sr-Latn-RS"/>
        </w:rPr>
      </w:pPr>
      <w:r w:rsidRPr="00814B5B">
        <w:rPr>
          <w:i/>
          <w:szCs w:val="22"/>
          <w:lang w:val="sr-Latn-RS"/>
        </w:rPr>
        <w:t xml:space="preserve">Losartan </w:t>
      </w:r>
    </w:p>
    <w:p w14:paraId="688A3C2D" w14:textId="047DB640" w:rsidR="00C35BEE" w:rsidRPr="00814B5B" w:rsidRDefault="00C35BEE" w:rsidP="007B600E">
      <w:pPr>
        <w:shd w:val="clear" w:color="auto" w:fill="FFFFFF"/>
        <w:spacing w:before="120" w:after="120"/>
        <w:rPr>
          <w:szCs w:val="22"/>
          <w:lang w:val="sr-Latn-CS"/>
        </w:rPr>
      </w:pPr>
      <w:r w:rsidRPr="00814B5B">
        <w:rPr>
          <w:szCs w:val="22"/>
          <w:lang w:val="sr-Latn-CS"/>
        </w:rPr>
        <w:t>Plazma klirens losartana i njegovog aktivnog metabolita iznosi oko 600 m</w:t>
      </w:r>
      <w:r w:rsidR="00014BF2" w:rsidRPr="00814B5B">
        <w:rPr>
          <w:szCs w:val="22"/>
          <w:lang w:val="sr-Latn-CS"/>
        </w:rPr>
        <w:t>l</w:t>
      </w:r>
      <w:r w:rsidRPr="00814B5B">
        <w:rPr>
          <w:szCs w:val="22"/>
          <w:lang w:val="sr-Latn-CS"/>
        </w:rPr>
        <w:t>/min, odnosno 50 m</w:t>
      </w:r>
      <w:r w:rsidR="00014BF2" w:rsidRPr="00814B5B">
        <w:rPr>
          <w:szCs w:val="22"/>
          <w:lang w:val="sr-Latn-CS"/>
        </w:rPr>
        <w:t>l</w:t>
      </w:r>
      <w:r w:rsidRPr="00814B5B">
        <w:rPr>
          <w:szCs w:val="22"/>
          <w:lang w:val="sr-Latn-CS"/>
        </w:rPr>
        <w:t>/min. Renalni klirens losartana i njegovog aktivnog metabolita je oko 74 m</w:t>
      </w:r>
      <w:r w:rsidR="00014BF2" w:rsidRPr="00814B5B">
        <w:rPr>
          <w:szCs w:val="22"/>
          <w:lang w:val="sr-Latn-CS"/>
        </w:rPr>
        <w:t>l</w:t>
      </w:r>
      <w:r w:rsidRPr="00814B5B">
        <w:rPr>
          <w:szCs w:val="22"/>
          <w:lang w:val="sr-Latn-CS"/>
        </w:rPr>
        <w:t>/min, odnosno 26 m</w:t>
      </w:r>
      <w:r w:rsidR="00014BF2" w:rsidRPr="00814B5B">
        <w:rPr>
          <w:szCs w:val="22"/>
          <w:lang w:val="sr-Latn-CS"/>
        </w:rPr>
        <w:t>l</w:t>
      </w:r>
      <w:r w:rsidRPr="00814B5B">
        <w:rPr>
          <w:szCs w:val="22"/>
          <w:lang w:val="sr-Latn-CS"/>
        </w:rPr>
        <w:t>/min. Nakon oralne prim</w:t>
      </w:r>
      <w:r w:rsidR="00014BF2" w:rsidRPr="00814B5B">
        <w:rPr>
          <w:szCs w:val="22"/>
          <w:lang w:val="sr-Latn-CS"/>
        </w:rPr>
        <w:t>j</w:t>
      </w:r>
      <w:r w:rsidRPr="00814B5B">
        <w:rPr>
          <w:szCs w:val="22"/>
          <w:lang w:val="sr-Latn-CS"/>
        </w:rPr>
        <w:t>ene losartana, oko 4% un</w:t>
      </w:r>
      <w:r w:rsidR="00014BF2" w:rsidRPr="00814B5B">
        <w:rPr>
          <w:szCs w:val="22"/>
          <w:lang w:val="sr-Latn-CS"/>
        </w:rPr>
        <w:t>ij</w:t>
      </w:r>
      <w:r w:rsidRPr="00814B5B">
        <w:rPr>
          <w:szCs w:val="22"/>
          <w:lang w:val="sr-Latn-CS"/>
        </w:rPr>
        <w:t xml:space="preserve">ete doze </w:t>
      </w:r>
      <w:r w:rsidR="0071148E" w:rsidRPr="00814B5B">
        <w:rPr>
          <w:szCs w:val="22"/>
          <w:lang w:val="sr-Latn-CS"/>
        </w:rPr>
        <w:t xml:space="preserve">izlučuje </w:t>
      </w:r>
      <w:r w:rsidRPr="00814B5B">
        <w:rPr>
          <w:szCs w:val="22"/>
          <w:lang w:val="sr-Latn-CS"/>
        </w:rPr>
        <w:t>se neprom</w:t>
      </w:r>
      <w:r w:rsidR="00014BF2" w:rsidRPr="00814B5B">
        <w:rPr>
          <w:szCs w:val="22"/>
          <w:lang w:val="sr-Latn-CS"/>
        </w:rPr>
        <w:t>ij</w:t>
      </w:r>
      <w:r w:rsidRPr="00814B5B">
        <w:rPr>
          <w:szCs w:val="22"/>
          <w:lang w:val="sr-Latn-CS"/>
        </w:rPr>
        <w:t xml:space="preserve">enjeno putem urina, dok se oko 6% doze </w:t>
      </w:r>
      <w:r w:rsidR="009A5600" w:rsidRPr="00814B5B">
        <w:rPr>
          <w:szCs w:val="22"/>
          <w:lang w:val="sr-Latn-CS"/>
        </w:rPr>
        <w:t xml:space="preserve">izlučuje </w:t>
      </w:r>
      <w:r w:rsidRPr="00814B5B">
        <w:rPr>
          <w:szCs w:val="22"/>
          <w:lang w:val="sr-Latn-CS"/>
        </w:rPr>
        <w:t>putem urina kao aktivni metabolit. Farmakokinetika losartana i njegovog aktivnog metabolita je linearna pri oralnoj prim</w:t>
      </w:r>
      <w:r w:rsidR="00014BF2" w:rsidRPr="00814B5B">
        <w:rPr>
          <w:szCs w:val="22"/>
          <w:lang w:val="sr-Latn-CS"/>
        </w:rPr>
        <w:t>j</w:t>
      </w:r>
      <w:r w:rsidRPr="00814B5B">
        <w:rPr>
          <w:szCs w:val="22"/>
          <w:lang w:val="sr-Latn-CS"/>
        </w:rPr>
        <w:t>eni losartan</w:t>
      </w:r>
      <w:r w:rsidR="00014BF2" w:rsidRPr="00814B5B">
        <w:rPr>
          <w:szCs w:val="22"/>
          <w:lang w:val="sr-Latn-CS"/>
        </w:rPr>
        <w:t xml:space="preserve"> </w:t>
      </w:r>
      <w:r w:rsidRPr="00814B5B">
        <w:rPr>
          <w:szCs w:val="22"/>
          <w:lang w:val="sr-Latn-CS"/>
        </w:rPr>
        <w:t xml:space="preserve">kalijuma u dozama do 200 mg. </w:t>
      </w:r>
    </w:p>
    <w:p w14:paraId="41B9AA0C" w14:textId="6101DCBB" w:rsidR="00C35BEE" w:rsidRPr="00814B5B" w:rsidRDefault="00C35BEE" w:rsidP="007B600E">
      <w:pPr>
        <w:shd w:val="clear" w:color="auto" w:fill="FFFFFF"/>
        <w:spacing w:before="120" w:after="120"/>
        <w:rPr>
          <w:szCs w:val="22"/>
          <w:lang w:val="sr-Latn-CS"/>
        </w:rPr>
      </w:pPr>
      <w:r w:rsidRPr="00814B5B">
        <w:rPr>
          <w:szCs w:val="22"/>
          <w:lang w:val="sr-Latn-CS"/>
        </w:rPr>
        <w:t>Nakon oralne prim</w:t>
      </w:r>
      <w:r w:rsidR="00014BF2" w:rsidRPr="00814B5B">
        <w:rPr>
          <w:szCs w:val="22"/>
          <w:lang w:val="sr-Latn-CS"/>
        </w:rPr>
        <w:t>j</w:t>
      </w:r>
      <w:r w:rsidRPr="00814B5B">
        <w:rPr>
          <w:szCs w:val="22"/>
          <w:lang w:val="sr-Latn-CS"/>
        </w:rPr>
        <w:t>ene, koncentracije losartana i njegovog aktivnog metabolita u plazmi opadaju polieksponencijalno, sa terminalnim poluvremenom eliminacije od oko 2 sata, odnosno 6-9 sati. Pri prim</w:t>
      </w:r>
      <w:r w:rsidR="00014BF2" w:rsidRPr="00814B5B">
        <w:rPr>
          <w:szCs w:val="22"/>
          <w:lang w:val="sr-Latn-CS"/>
        </w:rPr>
        <w:t>j</w:t>
      </w:r>
      <w:r w:rsidRPr="00814B5B">
        <w:rPr>
          <w:szCs w:val="22"/>
          <w:lang w:val="sr-Latn-CS"/>
        </w:rPr>
        <w:t xml:space="preserve">eni doze od 100 mg jednom dnevno, </w:t>
      </w:r>
      <w:r w:rsidR="00BD0984" w:rsidRPr="00814B5B">
        <w:rPr>
          <w:szCs w:val="22"/>
          <w:lang w:val="sr-Latn-CS"/>
        </w:rPr>
        <w:t xml:space="preserve">ne dolazi do značajne akumulacije </w:t>
      </w:r>
      <w:r w:rsidRPr="00814B5B">
        <w:rPr>
          <w:szCs w:val="22"/>
          <w:lang w:val="sr-Latn-CS"/>
        </w:rPr>
        <w:t>losartan</w:t>
      </w:r>
      <w:r w:rsidR="00BD0984" w:rsidRPr="00814B5B">
        <w:rPr>
          <w:szCs w:val="22"/>
          <w:lang w:val="sr-Latn-CS"/>
        </w:rPr>
        <w:t>a</w:t>
      </w:r>
      <w:r w:rsidRPr="00814B5B">
        <w:rPr>
          <w:szCs w:val="22"/>
          <w:lang w:val="sr-Latn-CS"/>
        </w:rPr>
        <w:t xml:space="preserve"> ni</w:t>
      </w:r>
      <w:r w:rsidR="00BD0984" w:rsidRPr="00814B5B">
        <w:rPr>
          <w:szCs w:val="22"/>
          <w:lang w:val="sr-Latn-CS"/>
        </w:rPr>
        <w:t>ti</w:t>
      </w:r>
      <w:r w:rsidRPr="00814B5B">
        <w:rPr>
          <w:szCs w:val="22"/>
          <w:lang w:val="sr-Latn-CS"/>
        </w:rPr>
        <w:t xml:space="preserve"> njegov</w:t>
      </w:r>
      <w:r w:rsidR="003E3433" w:rsidRPr="00814B5B">
        <w:rPr>
          <w:szCs w:val="22"/>
          <w:lang w:val="sr-Latn-CS"/>
        </w:rPr>
        <w:t>og</w:t>
      </w:r>
      <w:r w:rsidRPr="00814B5B">
        <w:rPr>
          <w:szCs w:val="22"/>
          <w:lang w:val="sr-Latn-CS"/>
        </w:rPr>
        <w:t xml:space="preserve"> aktivn</w:t>
      </w:r>
      <w:r w:rsidR="003E3433" w:rsidRPr="00814B5B">
        <w:rPr>
          <w:szCs w:val="22"/>
          <w:lang w:val="sr-Latn-CS"/>
        </w:rPr>
        <w:t>og</w:t>
      </w:r>
      <w:r w:rsidRPr="00814B5B">
        <w:rPr>
          <w:szCs w:val="22"/>
          <w:lang w:val="sr-Latn-CS"/>
        </w:rPr>
        <w:t xml:space="preserve"> metabolit</w:t>
      </w:r>
      <w:r w:rsidR="003E3433" w:rsidRPr="00814B5B">
        <w:rPr>
          <w:szCs w:val="22"/>
          <w:lang w:val="sr-Latn-CS"/>
        </w:rPr>
        <w:t>a</w:t>
      </w:r>
      <w:r w:rsidRPr="00814B5B">
        <w:rPr>
          <w:szCs w:val="22"/>
          <w:lang w:val="sr-Latn-CS"/>
        </w:rPr>
        <w:t xml:space="preserve">. </w:t>
      </w:r>
    </w:p>
    <w:p w14:paraId="2A02A87C" w14:textId="53A972BA" w:rsidR="005F625C" w:rsidRPr="00814B5B" w:rsidRDefault="00C35BEE" w:rsidP="007B600E">
      <w:pPr>
        <w:shd w:val="clear" w:color="auto" w:fill="FFFFFF"/>
        <w:spacing w:before="120" w:after="120"/>
        <w:rPr>
          <w:szCs w:val="22"/>
          <w:lang w:val="sr-Latn-RS"/>
        </w:rPr>
      </w:pPr>
      <w:r w:rsidRPr="00814B5B">
        <w:rPr>
          <w:szCs w:val="22"/>
          <w:lang w:val="sr-Latn-CS"/>
        </w:rPr>
        <w:t>Losartan i njegovi metaboliti eliminišu se i bilijarnom i urinarnom ekskrecijom. Nakon oralne prim</w:t>
      </w:r>
      <w:r w:rsidR="00014BF2" w:rsidRPr="00814B5B">
        <w:rPr>
          <w:szCs w:val="22"/>
          <w:lang w:val="sr-Latn-CS"/>
        </w:rPr>
        <w:t>j</w:t>
      </w:r>
      <w:r w:rsidRPr="00814B5B">
        <w:rPr>
          <w:szCs w:val="22"/>
          <w:lang w:val="sr-Latn-CS"/>
        </w:rPr>
        <w:t>ene losartana ob</w:t>
      </w:r>
      <w:r w:rsidR="00014BF2" w:rsidRPr="00814B5B">
        <w:rPr>
          <w:szCs w:val="22"/>
          <w:lang w:val="sr-Latn-CS"/>
        </w:rPr>
        <w:t>i</w:t>
      </w:r>
      <w:r w:rsidRPr="00814B5B">
        <w:rPr>
          <w:szCs w:val="22"/>
          <w:lang w:val="sr-Latn-CS"/>
        </w:rPr>
        <w:t>l</w:t>
      </w:r>
      <w:r w:rsidR="00014BF2" w:rsidRPr="00814B5B">
        <w:rPr>
          <w:szCs w:val="22"/>
          <w:lang w:val="sr-Latn-CS"/>
        </w:rPr>
        <w:t>j</w:t>
      </w:r>
      <w:r w:rsidRPr="00814B5B">
        <w:rPr>
          <w:szCs w:val="22"/>
          <w:lang w:val="sr-Latn-CS"/>
        </w:rPr>
        <w:t xml:space="preserve">eženog radioaktivnim izotopom </w:t>
      </w:r>
      <w:r w:rsidRPr="00814B5B">
        <w:rPr>
          <w:szCs w:val="22"/>
          <w:vertAlign w:val="superscript"/>
          <w:lang w:val="sr-Latn-CS"/>
        </w:rPr>
        <w:t>14</w:t>
      </w:r>
      <w:r w:rsidRPr="00814B5B">
        <w:rPr>
          <w:szCs w:val="22"/>
          <w:lang w:val="sr-Latn-CS"/>
        </w:rPr>
        <w:t xml:space="preserve">C kod </w:t>
      </w:r>
      <w:r w:rsidR="00B156E2" w:rsidRPr="00814B5B">
        <w:rPr>
          <w:szCs w:val="22"/>
          <w:lang w:val="sr-Latn-CS"/>
        </w:rPr>
        <w:t xml:space="preserve">osoba </w:t>
      </w:r>
      <w:r w:rsidRPr="00814B5B">
        <w:rPr>
          <w:szCs w:val="22"/>
          <w:lang w:val="sr-Latn-CS"/>
        </w:rPr>
        <w:t>muškog pola, oko 35% radioaktivnosti se detektuje u urinu, a 58% u fecesu.</w:t>
      </w:r>
      <w:r w:rsidR="005F625C" w:rsidRPr="00814B5B">
        <w:rPr>
          <w:szCs w:val="22"/>
          <w:lang w:val="sr-Latn-RS"/>
        </w:rPr>
        <w:t xml:space="preserve"> </w:t>
      </w:r>
    </w:p>
    <w:p w14:paraId="43066EB8" w14:textId="77777777" w:rsidR="005F625C" w:rsidRPr="00814B5B" w:rsidRDefault="005F625C" w:rsidP="007B600E">
      <w:pPr>
        <w:shd w:val="clear" w:color="auto" w:fill="FFFFFF"/>
        <w:spacing w:before="120" w:after="120"/>
        <w:rPr>
          <w:i/>
          <w:szCs w:val="22"/>
          <w:lang w:val="sr-Latn-RS"/>
        </w:rPr>
      </w:pPr>
      <w:r w:rsidRPr="00814B5B">
        <w:rPr>
          <w:i/>
          <w:szCs w:val="22"/>
          <w:lang w:val="sr-Latn-RS"/>
        </w:rPr>
        <w:t xml:space="preserve">Hidrohlortiazid </w:t>
      </w:r>
    </w:p>
    <w:p w14:paraId="68D2623B" w14:textId="44421B4D" w:rsidR="005F625C" w:rsidRPr="00814B5B" w:rsidRDefault="005F625C" w:rsidP="007B600E">
      <w:pPr>
        <w:shd w:val="clear" w:color="auto" w:fill="FFFFFF"/>
        <w:spacing w:before="120" w:after="120"/>
        <w:rPr>
          <w:szCs w:val="22"/>
          <w:lang w:val="sr-Latn-RS"/>
        </w:rPr>
      </w:pPr>
      <w:r w:rsidRPr="00814B5B">
        <w:rPr>
          <w:szCs w:val="22"/>
          <w:lang w:val="sr-Latn-RS"/>
        </w:rPr>
        <w:t xml:space="preserve">Hidrohlortiazid se ne metaboliše, </w:t>
      </w:r>
      <w:r w:rsidR="00B156E2" w:rsidRPr="00814B5B">
        <w:rPr>
          <w:szCs w:val="22"/>
          <w:lang w:val="sr-Latn-RS"/>
        </w:rPr>
        <w:t xml:space="preserve">već </w:t>
      </w:r>
      <w:r w:rsidR="00F66C70" w:rsidRPr="00814B5B">
        <w:rPr>
          <w:szCs w:val="22"/>
          <w:lang w:val="sr-Latn-RS"/>
        </w:rPr>
        <w:t xml:space="preserve">se </w:t>
      </w:r>
      <w:r w:rsidRPr="00814B5B">
        <w:rPr>
          <w:szCs w:val="22"/>
          <w:lang w:val="sr-Latn-RS"/>
        </w:rPr>
        <w:t>brzo eliminiše putem bubrega. Kada s</w:t>
      </w:r>
      <w:r w:rsidR="00F66C70" w:rsidRPr="00814B5B">
        <w:rPr>
          <w:szCs w:val="22"/>
          <w:lang w:val="sr-Latn-RS"/>
        </w:rPr>
        <w:t>u</w:t>
      </w:r>
      <w:r w:rsidRPr="00814B5B">
        <w:rPr>
          <w:szCs w:val="22"/>
          <w:lang w:val="sr-Latn-RS"/>
        </w:rPr>
        <w:t xml:space="preserve"> koncentracije u plazmi pra</w:t>
      </w:r>
      <w:r w:rsidR="00F66C70" w:rsidRPr="00814B5B">
        <w:rPr>
          <w:szCs w:val="22"/>
          <w:lang w:val="sr-Latn-RS"/>
        </w:rPr>
        <w:t>ćene</w:t>
      </w:r>
      <w:r w:rsidRPr="00814B5B">
        <w:rPr>
          <w:szCs w:val="22"/>
          <w:lang w:val="sr-Latn-RS"/>
        </w:rPr>
        <w:t xml:space="preserve"> tokom</w:t>
      </w:r>
      <w:r w:rsidR="00F66C70" w:rsidRPr="00814B5B">
        <w:rPr>
          <w:szCs w:val="22"/>
          <w:lang w:val="sr-Latn-RS"/>
        </w:rPr>
        <w:t xml:space="preserve"> najmanje</w:t>
      </w:r>
      <w:r w:rsidRPr="00814B5B">
        <w:rPr>
          <w:szCs w:val="22"/>
          <w:lang w:val="sr-Latn-RS"/>
        </w:rPr>
        <w:t xml:space="preserve"> 24 sata</w:t>
      </w:r>
      <w:r w:rsidR="00F66C70" w:rsidRPr="00814B5B">
        <w:rPr>
          <w:szCs w:val="22"/>
          <w:lang w:val="sr-Latn-RS"/>
        </w:rPr>
        <w:t>,</w:t>
      </w:r>
      <w:r w:rsidRPr="00814B5B">
        <w:rPr>
          <w:szCs w:val="22"/>
          <w:lang w:val="sr-Latn-RS"/>
        </w:rPr>
        <w:t xml:space="preserve"> </w:t>
      </w:r>
      <w:r w:rsidR="001F2AE1" w:rsidRPr="00814B5B">
        <w:rPr>
          <w:szCs w:val="22"/>
          <w:lang w:val="sr-Latn-RS"/>
        </w:rPr>
        <w:t>zab</w:t>
      </w:r>
      <w:r w:rsidR="00014BF2" w:rsidRPr="00814B5B">
        <w:rPr>
          <w:szCs w:val="22"/>
          <w:lang w:val="sr-Latn-RS"/>
        </w:rPr>
        <w:t>i</w:t>
      </w:r>
      <w:r w:rsidR="001F2AE1" w:rsidRPr="00814B5B">
        <w:rPr>
          <w:szCs w:val="22"/>
          <w:lang w:val="sr-Latn-RS"/>
        </w:rPr>
        <w:t>l</w:t>
      </w:r>
      <w:r w:rsidR="00014BF2" w:rsidRPr="00814B5B">
        <w:rPr>
          <w:szCs w:val="22"/>
          <w:lang w:val="sr-Latn-RS"/>
        </w:rPr>
        <w:t>j</w:t>
      </w:r>
      <w:r w:rsidR="001F2AE1" w:rsidRPr="00814B5B">
        <w:rPr>
          <w:szCs w:val="22"/>
          <w:lang w:val="sr-Latn-RS"/>
        </w:rPr>
        <w:t xml:space="preserve">eženo </w:t>
      </w:r>
      <w:r w:rsidR="00F66C70" w:rsidRPr="00814B5B">
        <w:rPr>
          <w:szCs w:val="22"/>
          <w:lang w:val="sr-Latn-RS"/>
        </w:rPr>
        <w:t>je</w:t>
      </w:r>
      <w:r w:rsidRPr="00814B5B">
        <w:rPr>
          <w:szCs w:val="22"/>
          <w:lang w:val="sr-Latn-RS"/>
        </w:rPr>
        <w:t xml:space="preserve"> da poluvr</w:t>
      </w:r>
      <w:r w:rsidR="00014BF2" w:rsidRPr="00814B5B">
        <w:rPr>
          <w:szCs w:val="22"/>
          <w:lang w:val="sr-Latn-RS"/>
        </w:rPr>
        <w:t>ij</w:t>
      </w:r>
      <w:r w:rsidRPr="00814B5B">
        <w:rPr>
          <w:szCs w:val="22"/>
          <w:lang w:val="sr-Latn-RS"/>
        </w:rPr>
        <w:t>eme eliminacije</w:t>
      </w:r>
      <w:r w:rsidR="00F66C70" w:rsidRPr="00814B5B">
        <w:rPr>
          <w:szCs w:val="22"/>
          <w:lang w:val="sr-Latn-RS"/>
        </w:rPr>
        <w:t xml:space="preserve"> u plazmi</w:t>
      </w:r>
      <w:r w:rsidRPr="00814B5B">
        <w:rPr>
          <w:szCs w:val="22"/>
          <w:lang w:val="sr-Latn-RS"/>
        </w:rPr>
        <w:t xml:space="preserve"> varira između 5,6 i 14,8 sati. Najmanje 61% oralno </w:t>
      </w:r>
      <w:r w:rsidR="00F66C70" w:rsidRPr="00814B5B">
        <w:rPr>
          <w:szCs w:val="22"/>
          <w:lang w:val="sr-Latn-RS"/>
        </w:rPr>
        <w:t>prim</w:t>
      </w:r>
      <w:r w:rsidR="00014BF2" w:rsidRPr="00814B5B">
        <w:rPr>
          <w:szCs w:val="22"/>
          <w:lang w:val="sr-Latn-RS"/>
        </w:rPr>
        <w:t>ij</w:t>
      </w:r>
      <w:r w:rsidR="00F66C70" w:rsidRPr="00814B5B">
        <w:rPr>
          <w:szCs w:val="22"/>
          <w:lang w:val="sr-Latn-RS"/>
        </w:rPr>
        <w:t>enjene</w:t>
      </w:r>
      <w:r w:rsidRPr="00814B5B">
        <w:rPr>
          <w:szCs w:val="22"/>
          <w:lang w:val="sr-Latn-RS"/>
        </w:rPr>
        <w:t xml:space="preserve"> doze se eliminiše u neprom</w:t>
      </w:r>
      <w:r w:rsidR="00014BF2" w:rsidRPr="00814B5B">
        <w:rPr>
          <w:szCs w:val="22"/>
          <w:lang w:val="sr-Latn-RS"/>
        </w:rPr>
        <w:t>ij</w:t>
      </w:r>
      <w:r w:rsidRPr="00814B5B">
        <w:rPr>
          <w:szCs w:val="22"/>
          <w:lang w:val="sr-Latn-RS"/>
        </w:rPr>
        <w:t xml:space="preserve">enjenom obliku tokom 24 sata. </w:t>
      </w:r>
    </w:p>
    <w:p w14:paraId="6A0F6605" w14:textId="43A676B2" w:rsidR="005F625C" w:rsidRPr="00814B5B" w:rsidRDefault="005F625C" w:rsidP="007B600E">
      <w:pPr>
        <w:shd w:val="clear" w:color="auto" w:fill="FFFFFF"/>
        <w:spacing w:before="120" w:after="120"/>
        <w:rPr>
          <w:szCs w:val="22"/>
          <w:u w:val="single"/>
          <w:lang w:val="sr-Latn-RS"/>
        </w:rPr>
      </w:pPr>
      <w:r w:rsidRPr="00814B5B">
        <w:rPr>
          <w:szCs w:val="22"/>
          <w:u w:val="single"/>
          <w:lang w:val="sr-Latn-RS"/>
        </w:rPr>
        <w:t xml:space="preserve">Karakteristike </w:t>
      </w:r>
      <w:r w:rsidR="00F66C70" w:rsidRPr="00814B5B">
        <w:rPr>
          <w:szCs w:val="22"/>
          <w:u w:val="single"/>
          <w:lang w:val="sr-Latn-RS"/>
        </w:rPr>
        <w:t>posebnih</w:t>
      </w:r>
      <w:r w:rsidRPr="00814B5B">
        <w:rPr>
          <w:szCs w:val="22"/>
          <w:u w:val="single"/>
          <w:lang w:val="sr-Latn-RS"/>
        </w:rPr>
        <w:t xml:space="preserve"> </w:t>
      </w:r>
      <w:r w:rsidR="00F66C70" w:rsidRPr="00814B5B">
        <w:rPr>
          <w:szCs w:val="22"/>
          <w:u w:val="single"/>
          <w:lang w:val="sr-Latn-RS"/>
        </w:rPr>
        <w:t>populacija</w:t>
      </w:r>
      <w:r w:rsidRPr="00814B5B">
        <w:rPr>
          <w:szCs w:val="22"/>
          <w:u w:val="single"/>
          <w:lang w:val="sr-Latn-RS"/>
        </w:rPr>
        <w:t xml:space="preserve"> pacijenata</w:t>
      </w:r>
    </w:p>
    <w:p w14:paraId="6BC9BFEE" w14:textId="717314E8" w:rsidR="005F625C" w:rsidRPr="00814B5B" w:rsidRDefault="00F66C70" w:rsidP="007B600E">
      <w:pPr>
        <w:shd w:val="clear" w:color="auto" w:fill="FFFFFF"/>
        <w:spacing w:before="120" w:after="120"/>
        <w:rPr>
          <w:i/>
          <w:szCs w:val="22"/>
          <w:lang w:val="sr-Latn-RS"/>
        </w:rPr>
      </w:pPr>
      <w:r w:rsidRPr="00814B5B">
        <w:rPr>
          <w:i/>
          <w:szCs w:val="22"/>
          <w:lang w:val="sr-Latn-RS"/>
        </w:rPr>
        <w:t>Kombinacija l</w:t>
      </w:r>
      <w:r w:rsidR="005F625C" w:rsidRPr="00814B5B">
        <w:rPr>
          <w:i/>
          <w:szCs w:val="22"/>
          <w:lang w:val="sr-Latn-RS"/>
        </w:rPr>
        <w:t>osartan</w:t>
      </w:r>
      <w:r w:rsidRPr="00814B5B">
        <w:rPr>
          <w:i/>
          <w:szCs w:val="22"/>
          <w:lang w:val="sr-Latn-RS"/>
        </w:rPr>
        <w:t>a i h</w:t>
      </w:r>
      <w:r w:rsidR="005F625C" w:rsidRPr="00814B5B">
        <w:rPr>
          <w:i/>
          <w:szCs w:val="22"/>
          <w:lang w:val="sr-Latn-RS"/>
        </w:rPr>
        <w:t>idrohlortiazid</w:t>
      </w:r>
      <w:r w:rsidRPr="00814B5B">
        <w:rPr>
          <w:i/>
          <w:szCs w:val="22"/>
          <w:lang w:val="sr-Latn-RS"/>
        </w:rPr>
        <w:t>a</w:t>
      </w:r>
    </w:p>
    <w:p w14:paraId="0B882E32" w14:textId="6B7F300D" w:rsidR="003C76E4" w:rsidRPr="00814B5B" w:rsidRDefault="00F66C70" w:rsidP="007B600E">
      <w:pPr>
        <w:shd w:val="clear" w:color="auto" w:fill="FFFFFF"/>
        <w:spacing w:before="120" w:after="120"/>
        <w:rPr>
          <w:szCs w:val="22"/>
          <w:lang w:val="sr-Latn-RS"/>
        </w:rPr>
      </w:pPr>
      <w:r w:rsidRPr="00814B5B">
        <w:rPr>
          <w:szCs w:val="22"/>
          <w:lang w:val="sr-Latn-RS"/>
        </w:rPr>
        <w:t>K</w:t>
      </w:r>
      <w:r w:rsidR="005F625C" w:rsidRPr="00814B5B">
        <w:rPr>
          <w:szCs w:val="22"/>
          <w:lang w:val="sr-Latn-RS"/>
        </w:rPr>
        <w:t>oncentracije losartana i njegovog aktivnog metabolita</w:t>
      </w:r>
      <w:r w:rsidRPr="00814B5B">
        <w:rPr>
          <w:szCs w:val="22"/>
          <w:lang w:val="sr-Latn-RS"/>
        </w:rPr>
        <w:t xml:space="preserve"> u plazmi</w:t>
      </w:r>
      <w:r w:rsidR="005F625C" w:rsidRPr="00814B5B">
        <w:rPr>
          <w:szCs w:val="22"/>
          <w:lang w:val="sr-Latn-RS"/>
        </w:rPr>
        <w:t xml:space="preserve"> i resorpcija hidrohlortiazida kod starijih pacijenata sa hipertenzijom se ne razlikuje značajno u odnosu na mla</w:t>
      </w:r>
      <w:r w:rsidRPr="00814B5B">
        <w:rPr>
          <w:szCs w:val="22"/>
          <w:lang w:val="sr-Latn-RS"/>
        </w:rPr>
        <w:t>d</w:t>
      </w:r>
      <w:r w:rsidR="005F625C" w:rsidRPr="00814B5B">
        <w:rPr>
          <w:szCs w:val="22"/>
          <w:lang w:val="sr-Latn-RS"/>
        </w:rPr>
        <w:t>e pacijente</w:t>
      </w:r>
      <w:r w:rsidRPr="00814B5B">
        <w:rPr>
          <w:szCs w:val="22"/>
          <w:lang w:val="sr-Latn-RS"/>
        </w:rPr>
        <w:t xml:space="preserve"> sa hipertenzijom</w:t>
      </w:r>
      <w:r w:rsidR="005F625C" w:rsidRPr="00814B5B">
        <w:rPr>
          <w:szCs w:val="22"/>
          <w:lang w:val="sr-Latn-RS"/>
        </w:rPr>
        <w:t>.</w:t>
      </w:r>
    </w:p>
    <w:p w14:paraId="0260D9A2" w14:textId="77777777" w:rsidR="005F625C" w:rsidRPr="00814B5B" w:rsidRDefault="005F625C" w:rsidP="007B600E">
      <w:pPr>
        <w:shd w:val="clear" w:color="auto" w:fill="FFFFFF"/>
        <w:spacing w:before="120" w:after="120"/>
        <w:rPr>
          <w:i/>
          <w:szCs w:val="22"/>
          <w:lang w:val="sr-Latn-RS"/>
        </w:rPr>
      </w:pPr>
      <w:r w:rsidRPr="00814B5B">
        <w:rPr>
          <w:i/>
          <w:szCs w:val="22"/>
          <w:lang w:val="sr-Latn-RS"/>
        </w:rPr>
        <w:t xml:space="preserve">Losartan </w:t>
      </w:r>
    </w:p>
    <w:p w14:paraId="5889C86F" w14:textId="1B4B55DA" w:rsidR="005F625C" w:rsidRPr="00814B5B" w:rsidRDefault="00F66C70" w:rsidP="007B600E">
      <w:pPr>
        <w:shd w:val="clear" w:color="auto" w:fill="FFFFFF"/>
        <w:spacing w:before="120" w:after="120"/>
        <w:rPr>
          <w:szCs w:val="22"/>
          <w:lang w:val="sr-Latn-RS"/>
        </w:rPr>
      </w:pPr>
      <w:r w:rsidRPr="00814B5B">
        <w:rPr>
          <w:szCs w:val="22"/>
          <w:lang w:val="sr-Latn-CS"/>
        </w:rPr>
        <w:t>Nakon oralne prim</w:t>
      </w:r>
      <w:r w:rsidR="00014BF2" w:rsidRPr="00814B5B">
        <w:rPr>
          <w:szCs w:val="22"/>
          <w:lang w:val="sr-Latn-CS"/>
        </w:rPr>
        <w:t>j</w:t>
      </w:r>
      <w:r w:rsidRPr="00814B5B">
        <w:rPr>
          <w:szCs w:val="22"/>
          <w:lang w:val="sr-Latn-CS"/>
        </w:rPr>
        <w:t>ene kod pacijenata sa blagom do um</w:t>
      </w:r>
      <w:r w:rsidR="00014BF2" w:rsidRPr="00814B5B">
        <w:rPr>
          <w:szCs w:val="22"/>
          <w:lang w:val="sr-Latn-CS"/>
        </w:rPr>
        <w:t>j</w:t>
      </w:r>
      <w:r w:rsidRPr="00814B5B">
        <w:rPr>
          <w:szCs w:val="22"/>
          <w:lang w:val="sr-Latn-CS"/>
        </w:rPr>
        <w:t>erenom cirozom jetre prouzrokovanom alkoholom, koncentracije losartana i njegovog aktivnog metabolita u plazmi bile su 5 puta, odnosno 1,7 puta veće u odnosu na mlade dobrovoljce muškog pola</w:t>
      </w:r>
      <w:r w:rsidR="005F625C" w:rsidRPr="00814B5B">
        <w:rPr>
          <w:szCs w:val="22"/>
          <w:lang w:val="sr-Latn-RS"/>
        </w:rPr>
        <w:t xml:space="preserve">. </w:t>
      </w:r>
    </w:p>
    <w:p w14:paraId="38DB2717" w14:textId="472D3428" w:rsidR="005F625C" w:rsidRPr="00814B5B" w:rsidRDefault="005F625C" w:rsidP="007B600E">
      <w:pPr>
        <w:shd w:val="clear" w:color="auto" w:fill="FFFFFF"/>
        <w:spacing w:before="120" w:after="120"/>
        <w:rPr>
          <w:szCs w:val="22"/>
          <w:lang w:val="sr-Latn-RS"/>
        </w:rPr>
      </w:pPr>
      <w:r w:rsidRPr="00814B5B">
        <w:rPr>
          <w:szCs w:val="22"/>
          <w:lang w:val="sr-Latn-RS"/>
        </w:rPr>
        <w:t>Farmakokinetičke studije su pokazale da ne postoji razlika u vr</w:t>
      </w:r>
      <w:r w:rsidR="00014BF2" w:rsidRPr="00814B5B">
        <w:rPr>
          <w:szCs w:val="22"/>
          <w:lang w:val="sr-Latn-RS"/>
        </w:rPr>
        <w:t>ij</w:t>
      </w:r>
      <w:r w:rsidRPr="00814B5B">
        <w:rPr>
          <w:szCs w:val="22"/>
          <w:lang w:val="sr-Latn-RS"/>
        </w:rPr>
        <w:t>ednostima PIK</w:t>
      </w:r>
      <w:r w:rsidR="00985257" w:rsidRPr="00814B5B">
        <w:rPr>
          <w:szCs w:val="22"/>
          <w:lang w:val="sr-Latn-RS"/>
        </w:rPr>
        <w:t>-a</w:t>
      </w:r>
      <w:r w:rsidRPr="00814B5B">
        <w:rPr>
          <w:szCs w:val="22"/>
          <w:lang w:val="sr-Latn-RS"/>
        </w:rPr>
        <w:t xml:space="preserve"> (AUC) </w:t>
      </w:r>
      <w:r w:rsidR="00F66C70" w:rsidRPr="00814B5B">
        <w:rPr>
          <w:szCs w:val="22"/>
          <w:lang w:val="sr-Latn-RS"/>
        </w:rPr>
        <w:t>losartana</w:t>
      </w:r>
      <w:r w:rsidRPr="00814B5B">
        <w:rPr>
          <w:szCs w:val="22"/>
          <w:lang w:val="sr-Latn-RS"/>
        </w:rPr>
        <w:t xml:space="preserve"> kod</w:t>
      </w:r>
      <w:r w:rsidR="00F66C70" w:rsidRPr="00814B5B">
        <w:rPr>
          <w:szCs w:val="22"/>
          <w:lang w:val="sr-Latn-RS"/>
        </w:rPr>
        <w:t xml:space="preserve"> zdravih</w:t>
      </w:r>
      <w:r w:rsidRPr="00814B5B">
        <w:rPr>
          <w:szCs w:val="22"/>
          <w:lang w:val="sr-Latn-RS"/>
        </w:rPr>
        <w:t xml:space="preserve"> Japanaca</w:t>
      </w:r>
      <w:r w:rsidR="00F66C70" w:rsidRPr="00814B5B">
        <w:rPr>
          <w:szCs w:val="22"/>
          <w:lang w:val="sr-Latn-RS"/>
        </w:rPr>
        <w:t xml:space="preserve"> muškog pola</w:t>
      </w:r>
      <w:r w:rsidRPr="00814B5B">
        <w:rPr>
          <w:szCs w:val="22"/>
          <w:lang w:val="sr-Latn-RS"/>
        </w:rPr>
        <w:t xml:space="preserve"> </w:t>
      </w:r>
      <w:r w:rsidR="00F66C70" w:rsidRPr="00814B5B">
        <w:rPr>
          <w:szCs w:val="22"/>
          <w:lang w:val="sr-Latn-RS"/>
        </w:rPr>
        <w:t>i ostalih zdravih ispitanika</w:t>
      </w:r>
      <w:r w:rsidRPr="00814B5B">
        <w:rPr>
          <w:szCs w:val="22"/>
          <w:lang w:val="sr-Latn-RS"/>
        </w:rPr>
        <w:t xml:space="preserve"> mušk</w:t>
      </w:r>
      <w:r w:rsidR="00F66C70" w:rsidRPr="00814B5B">
        <w:rPr>
          <w:szCs w:val="22"/>
          <w:lang w:val="sr-Latn-RS"/>
        </w:rPr>
        <w:t>og</w:t>
      </w:r>
      <w:r w:rsidRPr="00814B5B">
        <w:rPr>
          <w:szCs w:val="22"/>
          <w:lang w:val="sr-Latn-RS"/>
        </w:rPr>
        <w:t xml:space="preserve"> </w:t>
      </w:r>
      <w:r w:rsidR="00F66C70" w:rsidRPr="00814B5B">
        <w:rPr>
          <w:szCs w:val="22"/>
          <w:lang w:val="sr-Latn-RS"/>
        </w:rPr>
        <w:t>pola</w:t>
      </w:r>
      <w:r w:rsidRPr="00814B5B">
        <w:rPr>
          <w:szCs w:val="22"/>
          <w:lang w:val="sr-Latn-RS"/>
        </w:rPr>
        <w:t xml:space="preserve">. </w:t>
      </w:r>
      <w:r w:rsidR="00F66C70" w:rsidRPr="00814B5B">
        <w:rPr>
          <w:szCs w:val="22"/>
          <w:lang w:val="sr-Latn-RS"/>
        </w:rPr>
        <w:t>Međutim, čini se da se</w:t>
      </w:r>
      <w:r w:rsidRPr="00814B5B">
        <w:rPr>
          <w:szCs w:val="22"/>
          <w:lang w:val="sr-Latn-RS"/>
        </w:rPr>
        <w:t xml:space="preserve"> vr</w:t>
      </w:r>
      <w:r w:rsidR="00014BF2" w:rsidRPr="00814B5B">
        <w:rPr>
          <w:szCs w:val="22"/>
          <w:lang w:val="sr-Latn-RS"/>
        </w:rPr>
        <w:t>ij</w:t>
      </w:r>
      <w:r w:rsidRPr="00814B5B">
        <w:rPr>
          <w:szCs w:val="22"/>
          <w:lang w:val="sr-Latn-RS"/>
        </w:rPr>
        <w:t>ednosti PIK</w:t>
      </w:r>
      <w:r w:rsidR="00CD427C" w:rsidRPr="00814B5B">
        <w:rPr>
          <w:szCs w:val="22"/>
          <w:lang w:val="sr-Latn-RS"/>
        </w:rPr>
        <w:t>-a</w:t>
      </w:r>
      <w:r w:rsidRPr="00814B5B">
        <w:rPr>
          <w:szCs w:val="22"/>
          <w:lang w:val="sr-Latn-RS"/>
        </w:rPr>
        <w:t xml:space="preserve"> metabolita</w:t>
      </w:r>
      <w:r w:rsidR="00CD427C" w:rsidRPr="00814B5B">
        <w:rPr>
          <w:szCs w:val="22"/>
          <w:lang w:val="sr-Latn-RS"/>
        </w:rPr>
        <w:t xml:space="preserve"> karboksilne kiseline</w:t>
      </w:r>
      <w:r w:rsidRPr="00814B5B">
        <w:rPr>
          <w:szCs w:val="22"/>
          <w:lang w:val="sr-Latn-RS"/>
        </w:rPr>
        <w:t xml:space="preserve"> (E-3174) </w:t>
      </w:r>
      <w:r w:rsidR="00F66C70" w:rsidRPr="00814B5B">
        <w:rPr>
          <w:szCs w:val="22"/>
          <w:lang w:val="sr-Latn-RS"/>
        </w:rPr>
        <w:t xml:space="preserve">razlikuju </w:t>
      </w:r>
      <w:r w:rsidRPr="00814B5B">
        <w:rPr>
          <w:szCs w:val="22"/>
          <w:lang w:val="sr-Latn-RS"/>
        </w:rPr>
        <w:t>između ove dv</w:t>
      </w:r>
      <w:r w:rsidR="00014BF2" w:rsidRPr="00814B5B">
        <w:rPr>
          <w:szCs w:val="22"/>
          <w:lang w:val="sr-Latn-RS"/>
        </w:rPr>
        <w:t>ij</w:t>
      </w:r>
      <w:r w:rsidRPr="00814B5B">
        <w:rPr>
          <w:szCs w:val="22"/>
          <w:lang w:val="sr-Latn-RS"/>
        </w:rPr>
        <w:t xml:space="preserve">e grupe, </w:t>
      </w:r>
      <w:r w:rsidR="00F66C70" w:rsidRPr="00814B5B">
        <w:rPr>
          <w:szCs w:val="22"/>
          <w:lang w:val="sr-Latn-RS"/>
        </w:rPr>
        <w:t>sa približno</w:t>
      </w:r>
      <w:r w:rsidRPr="00814B5B">
        <w:rPr>
          <w:szCs w:val="22"/>
          <w:lang w:val="sr-Latn-RS"/>
        </w:rPr>
        <w:t xml:space="preserve"> 1,5 puta već</w:t>
      </w:r>
      <w:r w:rsidR="00F66C70" w:rsidRPr="00814B5B">
        <w:rPr>
          <w:szCs w:val="22"/>
          <w:lang w:val="sr-Latn-RS"/>
        </w:rPr>
        <w:t>om</w:t>
      </w:r>
      <w:r w:rsidRPr="00814B5B">
        <w:rPr>
          <w:szCs w:val="22"/>
          <w:lang w:val="sr-Latn-RS"/>
        </w:rPr>
        <w:t xml:space="preserve"> </w:t>
      </w:r>
      <w:r w:rsidR="00F66C70" w:rsidRPr="00814B5B">
        <w:rPr>
          <w:szCs w:val="22"/>
          <w:lang w:val="sr-Latn-RS"/>
        </w:rPr>
        <w:t xml:space="preserve">izloženošću </w:t>
      </w:r>
      <w:r w:rsidRPr="00814B5B">
        <w:rPr>
          <w:szCs w:val="22"/>
          <w:lang w:val="sr-Latn-RS"/>
        </w:rPr>
        <w:t>kod Japanaca u odnosu na ostale ispitanike. Klinički značaj ovih rezultata nije poznat.</w:t>
      </w:r>
    </w:p>
    <w:p w14:paraId="4A7762E3" w14:textId="38EA4646" w:rsidR="00007EF9" w:rsidRDefault="005F625C" w:rsidP="002A65F1">
      <w:pPr>
        <w:rPr>
          <w:szCs w:val="22"/>
          <w:lang w:val="sr-Latn-RS"/>
        </w:rPr>
      </w:pPr>
      <w:r w:rsidRPr="00814B5B">
        <w:rPr>
          <w:szCs w:val="22"/>
          <w:lang w:val="sr-Latn-RS"/>
        </w:rPr>
        <w:t>Ni losartan ni njegov aktivni metabolit ne mogu se ukloniti hemodijalizom.</w:t>
      </w:r>
    </w:p>
    <w:p w14:paraId="0E96CA38" w14:textId="77777777" w:rsidR="002A65F1" w:rsidRPr="00814B5B" w:rsidRDefault="002A65F1" w:rsidP="002A65F1">
      <w:pPr>
        <w:rPr>
          <w:szCs w:val="22"/>
          <w:lang w:val="sr-Latn-RS"/>
        </w:rPr>
      </w:pPr>
    </w:p>
    <w:p w14:paraId="2C64F4C3" w14:textId="1F2845C9" w:rsidR="00007EF9" w:rsidRPr="00814B5B" w:rsidRDefault="00007EF9" w:rsidP="002A65F1">
      <w:pPr>
        <w:rPr>
          <w:b/>
          <w:bCs/>
          <w:szCs w:val="22"/>
          <w:lang w:val="sr-Latn-RS"/>
        </w:rPr>
      </w:pPr>
      <w:r w:rsidRPr="00814B5B">
        <w:rPr>
          <w:b/>
          <w:bCs/>
          <w:szCs w:val="22"/>
          <w:lang w:val="sr-Latn-RS"/>
        </w:rPr>
        <w:t>5.3. Pretklinički podaci o bezb</w:t>
      </w:r>
      <w:r w:rsidR="00014BF2" w:rsidRPr="00814B5B">
        <w:rPr>
          <w:b/>
          <w:bCs/>
          <w:szCs w:val="22"/>
          <w:lang w:val="sr-Latn-RS"/>
        </w:rPr>
        <w:t>j</w:t>
      </w:r>
      <w:r w:rsidRPr="00814B5B">
        <w:rPr>
          <w:b/>
          <w:bCs/>
          <w:szCs w:val="22"/>
          <w:lang w:val="sr-Latn-RS"/>
        </w:rPr>
        <w:t xml:space="preserve">ednosti </w:t>
      </w:r>
    </w:p>
    <w:p w14:paraId="613E1F48" w14:textId="77777777" w:rsidR="002A65F1" w:rsidRDefault="002A65F1" w:rsidP="002A65F1">
      <w:pPr>
        <w:pStyle w:val="Header"/>
        <w:tabs>
          <w:tab w:val="clear" w:pos="4536"/>
          <w:tab w:val="clear" w:pos="9072"/>
          <w:tab w:val="left" w:pos="284"/>
        </w:tabs>
        <w:rPr>
          <w:szCs w:val="22"/>
          <w:lang w:val="sr-Latn-CS"/>
        </w:rPr>
      </w:pPr>
    </w:p>
    <w:p w14:paraId="380EB8A1" w14:textId="04663CFB" w:rsidR="005F625C" w:rsidRPr="00814B5B" w:rsidRDefault="00F66C70" w:rsidP="002A65F1">
      <w:pPr>
        <w:pStyle w:val="Header"/>
        <w:tabs>
          <w:tab w:val="clear" w:pos="4536"/>
          <w:tab w:val="clear" w:pos="9072"/>
          <w:tab w:val="left" w:pos="284"/>
        </w:tabs>
        <w:rPr>
          <w:szCs w:val="22"/>
          <w:lang w:val="sr-Latn-RS"/>
        </w:rPr>
      </w:pPr>
      <w:r w:rsidRPr="00814B5B">
        <w:rPr>
          <w:szCs w:val="22"/>
          <w:lang w:val="sr-Latn-CS"/>
        </w:rPr>
        <w:t xml:space="preserve">Pretklinički podaci dobijeni </w:t>
      </w:r>
      <w:r w:rsidR="00846599" w:rsidRPr="00814B5B">
        <w:rPr>
          <w:szCs w:val="22"/>
          <w:lang w:val="sr-Latn-CS"/>
        </w:rPr>
        <w:t>iz standardnih</w:t>
      </w:r>
      <w:r w:rsidRPr="00814B5B">
        <w:rPr>
          <w:szCs w:val="22"/>
          <w:lang w:val="sr-Latn-CS"/>
        </w:rPr>
        <w:t xml:space="preserve"> studija opšte farmakologije, genotoksičnosti i karcinogenog potencijala, ne ukazuju na posebne rizike pri prim</w:t>
      </w:r>
      <w:r w:rsidR="00014BF2" w:rsidRPr="00814B5B">
        <w:rPr>
          <w:szCs w:val="22"/>
          <w:lang w:val="sr-Latn-CS"/>
        </w:rPr>
        <w:t>j</w:t>
      </w:r>
      <w:r w:rsidRPr="00814B5B">
        <w:rPr>
          <w:szCs w:val="22"/>
          <w:lang w:val="sr-Latn-CS"/>
        </w:rPr>
        <w:t>eni l</w:t>
      </w:r>
      <w:r w:rsidR="00014BF2" w:rsidRPr="00814B5B">
        <w:rPr>
          <w:szCs w:val="22"/>
          <w:lang w:val="sr-Latn-CS"/>
        </w:rPr>
        <w:t>ij</w:t>
      </w:r>
      <w:r w:rsidRPr="00814B5B">
        <w:rPr>
          <w:szCs w:val="22"/>
          <w:lang w:val="sr-Latn-CS"/>
        </w:rPr>
        <w:t>eka kod ljudi</w:t>
      </w:r>
      <w:r w:rsidR="005F625C" w:rsidRPr="00814B5B">
        <w:rPr>
          <w:szCs w:val="22"/>
          <w:lang w:val="sr-Latn-RS"/>
        </w:rPr>
        <w:t xml:space="preserve">. Toksični potencijal kombinacije losartan/hidrohlortiazid </w:t>
      </w:r>
      <w:r w:rsidRPr="00814B5B">
        <w:rPr>
          <w:szCs w:val="22"/>
          <w:lang w:val="sr-Latn-RS"/>
        </w:rPr>
        <w:t>proc</w:t>
      </w:r>
      <w:r w:rsidR="00014BF2" w:rsidRPr="00814B5B">
        <w:rPr>
          <w:szCs w:val="22"/>
          <w:lang w:val="sr-Latn-RS"/>
        </w:rPr>
        <w:t>ij</w:t>
      </w:r>
      <w:r w:rsidRPr="00814B5B">
        <w:rPr>
          <w:szCs w:val="22"/>
          <w:lang w:val="sr-Latn-RS"/>
        </w:rPr>
        <w:t>enjen</w:t>
      </w:r>
      <w:r w:rsidR="005F625C" w:rsidRPr="00814B5B">
        <w:rPr>
          <w:szCs w:val="22"/>
          <w:lang w:val="sr-Latn-RS"/>
        </w:rPr>
        <w:t xml:space="preserve"> je u studijama hronične toksičnosti </w:t>
      </w:r>
      <w:r w:rsidRPr="00814B5B">
        <w:rPr>
          <w:szCs w:val="22"/>
          <w:lang w:val="sr-Latn-RS"/>
        </w:rPr>
        <w:t xml:space="preserve">u trajanju do </w:t>
      </w:r>
      <w:r w:rsidR="005F625C" w:rsidRPr="00814B5B">
        <w:rPr>
          <w:szCs w:val="22"/>
          <w:lang w:val="sr-Latn-RS"/>
        </w:rPr>
        <w:t>šest mes</w:t>
      </w:r>
      <w:r w:rsidR="00014BF2" w:rsidRPr="00814B5B">
        <w:rPr>
          <w:szCs w:val="22"/>
          <w:lang w:val="sr-Latn-RS"/>
        </w:rPr>
        <w:t>j</w:t>
      </w:r>
      <w:r w:rsidR="005F625C" w:rsidRPr="00814B5B">
        <w:rPr>
          <w:szCs w:val="22"/>
          <w:lang w:val="sr-Latn-RS"/>
        </w:rPr>
        <w:t>eci</w:t>
      </w:r>
      <w:r w:rsidRPr="00814B5B">
        <w:rPr>
          <w:szCs w:val="22"/>
          <w:lang w:val="sr-Latn-RS"/>
        </w:rPr>
        <w:t xml:space="preserve"> </w:t>
      </w:r>
      <w:r w:rsidR="00BB7B51" w:rsidRPr="00814B5B">
        <w:rPr>
          <w:szCs w:val="22"/>
          <w:lang w:val="sr-Latn-RS"/>
        </w:rPr>
        <w:t xml:space="preserve">kod </w:t>
      </w:r>
      <w:r w:rsidRPr="00814B5B">
        <w:rPr>
          <w:szCs w:val="22"/>
          <w:lang w:val="sr-Latn-RS"/>
        </w:rPr>
        <w:t>pacova i p</w:t>
      </w:r>
      <w:r w:rsidR="00BB7B51" w:rsidRPr="00814B5B">
        <w:rPr>
          <w:szCs w:val="22"/>
          <w:lang w:val="sr-Latn-RS"/>
        </w:rPr>
        <w:t>a</w:t>
      </w:r>
      <w:r w:rsidRPr="00814B5B">
        <w:rPr>
          <w:szCs w:val="22"/>
          <w:lang w:val="sr-Latn-RS"/>
        </w:rPr>
        <w:t>s</w:t>
      </w:r>
      <w:r w:rsidR="00BB7B51" w:rsidRPr="00814B5B">
        <w:rPr>
          <w:szCs w:val="22"/>
          <w:lang w:val="sr-Latn-RS"/>
        </w:rPr>
        <w:t xml:space="preserve">a </w:t>
      </w:r>
      <w:r w:rsidRPr="00814B5B">
        <w:rPr>
          <w:szCs w:val="22"/>
          <w:lang w:val="sr-Latn-RS"/>
        </w:rPr>
        <w:t>nakon oralne prim</w:t>
      </w:r>
      <w:r w:rsidR="00014BF2" w:rsidRPr="00814B5B">
        <w:rPr>
          <w:szCs w:val="22"/>
          <w:lang w:val="sr-Latn-RS"/>
        </w:rPr>
        <w:t>j</w:t>
      </w:r>
      <w:r w:rsidRPr="00814B5B">
        <w:rPr>
          <w:szCs w:val="22"/>
          <w:lang w:val="sr-Latn-RS"/>
        </w:rPr>
        <w:t>ene</w:t>
      </w:r>
      <w:r w:rsidR="005F625C" w:rsidRPr="00814B5B">
        <w:rPr>
          <w:szCs w:val="22"/>
          <w:lang w:val="sr-Latn-RS"/>
        </w:rPr>
        <w:t xml:space="preserve">, a </w:t>
      </w:r>
      <w:r w:rsidR="00E86166" w:rsidRPr="00814B5B">
        <w:rPr>
          <w:szCs w:val="22"/>
          <w:lang w:val="sr-Latn-RS"/>
        </w:rPr>
        <w:t>zab</w:t>
      </w:r>
      <w:r w:rsidR="00014BF2" w:rsidRPr="00814B5B">
        <w:rPr>
          <w:szCs w:val="22"/>
          <w:lang w:val="sr-Latn-RS"/>
        </w:rPr>
        <w:t>i</w:t>
      </w:r>
      <w:r w:rsidR="00E86166" w:rsidRPr="00814B5B">
        <w:rPr>
          <w:szCs w:val="22"/>
          <w:lang w:val="sr-Latn-RS"/>
        </w:rPr>
        <w:t>l</w:t>
      </w:r>
      <w:r w:rsidR="00014BF2" w:rsidRPr="00814B5B">
        <w:rPr>
          <w:szCs w:val="22"/>
          <w:lang w:val="sr-Latn-RS"/>
        </w:rPr>
        <w:t>j</w:t>
      </w:r>
      <w:r w:rsidR="00E86166" w:rsidRPr="00814B5B">
        <w:rPr>
          <w:szCs w:val="22"/>
          <w:lang w:val="sr-Latn-RS"/>
        </w:rPr>
        <w:t xml:space="preserve">ežene </w:t>
      </w:r>
      <w:r w:rsidR="005F625C" w:rsidRPr="00814B5B">
        <w:rPr>
          <w:szCs w:val="22"/>
          <w:lang w:val="sr-Latn-RS"/>
        </w:rPr>
        <w:t>prom</w:t>
      </w:r>
      <w:r w:rsidR="00014BF2" w:rsidRPr="00814B5B">
        <w:rPr>
          <w:szCs w:val="22"/>
          <w:lang w:val="sr-Latn-RS"/>
        </w:rPr>
        <w:t>j</w:t>
      </w:r>
      <w:r w:rsidR="005F625C" w:rsidRPr="00814B5B">
        <w:rPr>
          <w:szCs w:val="22"/>
          <w:lang w:val="sr-Latn-RS"/>
        </w:rPr>
        <w:t xml:space="preserve">ene </w:t>
      </w:r>
      <w:r w:rsidRPr="00814B5B">
        <w:rPr>
          <w:szCs w:val="22"/>
          <w:lang w:val="sr-Latn-RS"/>
        </w:rPr>
        <w:t>u ovim studijama sa</w:t>
      </w:r>
      <w:r w:rsidR="00570EF3" w:rsidRPr="00814B5B">
        <w:rPr>
          <w:szCs w:val="22"/>
          <w:lang w:val="sr-Latn-RS"/>
        </w:rPr>
        <w:t xml:space="preserve"> ovom</w:t>
      </w:r>
      <w:r w:rsidRPr="00814B5B">
        <w:rPr>
          <w:szCs w:val="22"/>
          <w:lang w:val="sr-Latn-RS"/>
        </w:rPr>
        <w:t xml:space="preserve"> kombinacijom</w:t>
      </w:r>
      <w:r w:rsidR="00570EF3" w:rsidRPr="00814B5B">
        <w:rPr>
          <w:szCs w:val="22"/>
          <w:lang w:val="sr-Latn-RS"/>
        </w:rPr>
        <w:t xml:space="preserve"> </w:t>
      </w:r>
      <w:r w:rsidR="005F625C" w:rsidRPr="00814B5B">
        <w:rPr>
          <w:szCs w:val="22"/>
          <w:lang w:val="sr-Latn-RS"/>
        </w:rPr>
        <w:t>bile su uglavnom prouzrokovane d</w:t>
      </w:r>
      <w:r w:rsidR="00014BF2" w:rsidRPr="00814B5B">
        <w:rPr>
          <w:szCs w:val="22"/>
          <w:lang w:val="sr-Latn-RS"/>
        </w:rPr>
        <w:t>j</w:t>
      </w:r>
      <w:r w:rsidR="005F625C" w:rsidRPr="00814B5B">
        <w:rPr>
          <w:szCs w:val="22"/>
          <w:lang w:val="sr-Latn-RS"/>
        </w:rPr>
        <w:t xml:space="preserve">elovanjem losartana. </w:t>
      </w:r>
      <w:r w:rsidR="007E4572" w:rsidRPr="00814B5B">
        <w:rPr>
          <w:szCs w:val="22"/>
          <w:lang w:val="sr-Latn-RS"/>
        </w:rPr>
        <w:t>Primjena</w:t>
      </w:r>
      <w:r w:rsidR="005F625C" w:rsidRPr="00814B5B">
        <w:rPr>
          <w:szCs w:val="22"/>
          <w:lang w:val="sr-Latn-RS"/>
        </w:rPr>
        <w:t xml:space="preserve"> kombinacije losartan/hidrohlortiazid dovodi do smanjenja </w:t>
      </w:r>
      <w:r w:rsidR="00570EF3" w:rsidRPr="00814B5B">
        <w:rPr>
          <w:szCs w:val="22"/>
          <w:lang w:val="sr-Latn-RS"/>
        </w:rPr>
        <w:t>parametara</w:t>
      </w:r>
      <w:r w:rsidR="005F625C" w:rsidRPr="00814B5B">
        <w:rPr>
          <w:szCs w:val="22"/>
          <w:lang w:val="sr-Latn-RS"/>
        </w:rPr>
        <w:t xml:space="preserve"> </w:t>
      </w:r>
      <w:r w:rsidR="00570EF3" w:rsidRPr="00814B5B">
        <w:rPr>
          <w:szCs w:val="22"/>
          <w:lang w:val="sr-Latn-RS"/>
        </w:rPr>
        <w:t>crvenih krvnih zrnaca (</w:t>
      </w:r>
      <w:r w:rsidR="005F625C" w:rsidRPr="00814B5B">
        <w:rPr>
          <w:szCs w:val="22"/>
          <w:lang w:val="sr-Latn-RS"/>
        </w:rPr>
        <w:t>eritrocit</w:t>
      </w:r>
      <w:r w:rsidR="00570EF3" w:rsidRPr="00814B5B">
        <w:rPr>
          <w:szCs w:val="22"/>
          <w:lang w:val="sr-Latn-RS"/>
        </w:rPr>
        <w:t>i</w:t>
      </w:r>
      <w:r w:rsidR="005F625C" w:rsidRPr="00814B5B">
        <w:rPr>
          <w:szCs w:val="22"/>
          <w:lang w:val="sr-Latn-RS"/>
        </w:rPr>
        <w:t>, hemoglobin i hematokrit</w:t>
      </w:r>
      <w:r w:rsidR="00570EF3" w:rsidRPr="00814B5B">
        <w:rPr>
          <w:szCs w:val="22"/>
          <w:lang w:val="sr-Latn-RS"/>
        </w:rPr>
        <w:t>)</w:t>
      </w:r>
      <w:r w:rsidR="005F625C" w:rsidRPr="00814B5B">
        <w:rPr>
          <w:szCs w:val="22"/>
          <w:lang w:val="sr-Latn-RS"/>
        </w:rPr>
        <w:t xml:space="preserve">, povećanja </w:t>
      </w:r>
      <w:r w:rsidR="00570EF3" w:rsidRPr="00814B5B">
        <w:rPr>
          <w:szCs w:val="22"/>
          <w:lang w:val="sr-Latn-RS"/>
        </w:rPr>
        <w:t>koncentracije azota iz</w:t>
      </w:r>
      <w:r w:rsidR="005F625C" w:rsidRPr="00814B5B">
        <w:rPr>
          <w:szCs w:val="22"/>
          <w:lang w:val="sr-Latn-RS"/>
        </w:rPr>
        <w:t xml:space="preserve"> uree u serumu, smanjenja </w:t>
      </w:r>
      <w:r w:rsidR="00570EF3" w:rsidRPr="00814B5B">
        <w:rPr>
          <w:szCs w:val="22"/>
          <w:lang w:val="sr-Latn-RS"/>
        </w:rPr>
        <w:t>mase</w:t>
      </w:r>
      <w:r w:rsidR="005F625C" w:rsidRPr="00814B5B">
        <w:rPr>
          <w:szCs w:val="22"/>
          <w:lang w:val="sr-Latn-RS"/>
        </w:rPr>
        <w:t xml:space="preserve"> srca (bez odgovarajućih histoloških prom</w:t>
      </w:r>
      <w:r w:rsidR="00014BF2" w:rsidRPr="00814B5B">
        <w:rPr>
          <w:szCs w:val="22"/>
          <w:lang w:val="sr-Latn-RS"/>
        </w:rPr>
        <w:t>j</w:t>
      </w:r>
      <w:r w:rsidR="005F625C" w:rsidRPr="00814B5B">
        <w:rPr>
          <w:szCs w:val="22"/>
          <w:lang w:val="sr-Latn-RS"/>
        </w:rPr>
        <w:t>ena) i gastrointestinalnih prom</w:t>
      </w:r>
      <w:r w:rsidR="00014BF2" w:rsidRPr="00814B5B">
        <w:rPr>
          <w:szCs w:val="22"/>
          <w:lang w:val="sr-Latn-RS"/>
        </w:rPr>
        <w:t>j</w:t>
      </w:r>
      <w:r w:rsidR="005F625C" w:rsidRPr="00814B5B">
        <w:rPr>
          <w:szCs w:val="22"/>
          <w:lang w:val="sr-Latn-RS"/>
        </w:rPr>
        <w:t>ena (lezije mukozne membrane, ulkusi, erozije, hemoragije).</w:t>
      </w:r>
    </w:p>
    <w:p w14:paraId="27CDBF86" w14:textId="4BDBA327" w:rsidR="00007EF9" w:rsidRPr="00814B5B" w:rsidRDefault="005F625C" w:rsidP="00D67A33">
      <w:pPr>
        <w:rPr>
          <w:szCs w:val="22"/>
          <w:lang w:val="sr-Latn-RS"/>
        </w:rPr>
      </w:pPr>
      <w:r w:rsidRPr="00814B5B">
        <w:rPr>
          <w:szCs w:val="22"/>
          <w:lang w:val="sr-Latn-RS"/>
        </w:rPr>
        <w:t>N</w:t>
      </w:r>
      <w:r w:rsidR="00400E70" w:rsidRPr="00814B5B">
        <w:rPr>
          <w:szCs w:val="22"/>
          <w:lang w:val="sr-Latn-RS"/>
        </w:rPr>
        <w:t>ij</w:t>
      </w:r>
      <w:r w:rsidRPr="00814B5B">
        <w:rPr>
          <w:szCs w:val="22"/>
          <w:lang w:val="sr-Latn-RS"/>
        </w:rPr>
        <w:t xml:space="preserve">e </w:t>
      </w:r>
      <w:r w:rsidR="00400E70" w:rsidRPr="00814B5B">
        <w:rPr>
          <w:szCs w:val="22"/>
          <w:lang w:val="sr-Latn-RS"/>
        </w:rPr>
        <w:t>bilo dokaza</w:t>
      </w:r>
      <w:r w:rsidRPr="00814B5B">
        <w:rPr>
          <w:szCs w:val="22"/>
          <w:lang w:val="sr-Latn-RS"/>
        </w:rPr>
        <w:t xml:space="preserve"> teratogen</w:t>
      </w:r>
      <w:r w:rsidR="00400E70" w:rsidRPr="00814B5B">
        <w:rPr>
          <w:szCs w:val="22"/>
          <w:lang w:val="sr-Latn-RS"/>
        </w:rPr>
        <w:t>osti</w:t>
      </w:r>
      <w:r w:rsidRPr="00814B5B">
        <w:rPr>
          <w:szCs w:val="22"/>
          <w:lang w:val="sr-Latn-RS"/>
        </w:rPr>
        <w:t xml:space="preserve"> kod pacova i </w:t>
      </w:r>
      <w:r w:rsidR="00400E70" w:rsidRPr="00814B5B">
        <w:rPr>
          <w:szCs w:val="22"/>
          <w:lang w:val="sr-Latn-RS"/>
        </w:rPr>
        <w:t>kunića kod kojih je prim</w:t>
      </w:r>
      <w:r w:rsidR="00933EC2" w:rsidRPr="00814B5B">
        <w:rPr>
          <w:szCs w:val="22"/>
          <w:lang w:val="sr-Latn-RS"/>
        </w:rPr>
        <w:t>ij</w:t>
      </w:r>
      <w:r w:rsidR="00400E70" w:rsidRPr="00814B5B">
        <w:rPr>
          <w:szCs w:val="22"/>
          <w:lang w:val="sr-Latn-RS"/>
        </w:rPr>
        <w:t>enjena kombinacija losartana i hidrohlortiazida</w:t>
      </w:r>
      <w:r w:rsidRPr="00814B5B">
        <w:rPr>
          <w:szCs w:val="22"/>
          <w:lang w:val="sr-Latn-RS"/>
        </w:rPr>
        <w:t xml:space="preserve">. Fetalna toksičnost kod pacova, </w:t>
      </w:r>
      <w:r w:rsidR="00400E70" w:rsidRPr="00814B5B">
        <w:rPr>
          <w:szCs w:val="22"/>
          <w:lang w:val="sr-Latn-RS"/>
        </w:rPr>
        <w:t>dokazana blagim porastom</w:t>
      </w:r>
      <w:r w:rsidRPr="00814B5B">
        <w:rPr>
          <w:szCs w:val="22"/>
          <w:lang w:val="sr-Latn-RS"/>
        </w:rPr>
        <w:t xml:space="preserve"> prekobrojnih rebara u F</w:t>
      </w:r>
      <w:r w:rsidRPr="00814B5B">
        <w:rPr>
          <w:szCs w:val="22"/>
          <w:vertAlign w:val="subscript"/>
          <w:lang w:val="sr-Latn-RS"/>
        </w:rPr>
        <w:t>1</w:t>
      </w:r>
      <w:r w:rsidRPr="00814B5B">
        <w:rPr>
          <w:szCs w:val="22"/>
          <w:lang w:val="sr-Latn-RS"/>
        </w:rPr>
        <w:t xml:space="preserve"> </w:t>
      </w:r>
      <w:r w:rsidRPr="00814B5B">
        <w:rPr>
          <w:szCs w:val="22"/>
          <w:lang w:val="sr-Latn-RS"/>
        </w:rPr>
        <w:lastRenderedPageBreak/>
        <w:t xml:space="preserve">generaciji, </w:t>
      </w:r>
      <w:r w:rsidR="00D35F5A" w:rsidRPr="00814B5B">
        <w:rPr>
          <w:szCs w:val="22"/>
          <w:lang w:val="sr-Latn-RS"/>
        </w:rPr>
        <w:t>zab</w:t>
      </w:r>
      <w:r w:rsidR="00933EC2" w:rsidRPr="00814B5B">
        <w:rPr>
          <w:szCs w:val="22"/>
          <w:lang w:val="sr-Latn-RS"/>
        </w:rPr>
        <w:t>i</w:t>
      </w:r>
      <w:r w:rsidR="00D35F5A" w:rsidRPr="00814B5B">
        <w:rPr>
          <w:szCs w:val="22"/>
          <w:lang w:val="sr-Latn-RS"/>
        </w:rPr>
        <w:t>l</w:t>
      </w:r>
      <w:r w:rsidR="00933EC2" w:rsidRPr="00814B5B">
        <w:rPr>
          <w:szCs w:val="22"/>
          <w:lang w:val="sr-Latn-RS"/>
        </w:rPr>
        <w:t>j</w:t>
      </w:r>
      <w:r w:rsidR="00D35F5A" w:rsidRPr="00814B5B">
        <w:rPr>
          <w:szCs w:val="22"/>
          <w:lang w:val="sr-Latn-RS"/>
        </w:rPr>
        <w:t xml:space="preserve">ežena </w:t>
      </w:r>
      <w:r w:rsidRPr="00814B5B">
        <w:rPr>
          <w:szCs w:val="22"/>
          <w:lang w:val="sr-Latn-RS"/>
        </w:rPr>
        <w:t xml:space="preserve">je </w:t>
      </w:r>
      <w:r w:rsidR="00BC780D" w:rsidRPr="00814B5B">
        <w:rPr>
          <w:szCs w:val="22"/>
          <w:lang w:val="sr-Latn-RS"/>
        </w:rPr>
        <w:t xml:space="preserve">prilikom </w:t>
      </w:r>
      <w:r w:rsidRPr="00814B5B">
        <w:rPr>
          <w:szCs w:val="22"/>
          <w:lang w:val="sr-Latn-RS"/>
        </w:rPr>
        <w:t>prim</w:t>
      </w:r>
      <w:r w:rsidR="00933EC2" w:rsidRPr="00814B5B">
        <w:rPr>
          <w:szCs w:val="22"/>
          <w:lang w:val="sr-Latn-RS"/>
        </w:rPr>
        <w:t>j</w:t>
      </w:r>
      <w:r w:rsidR="00400E70" w:rsidRPr="00814B5B">
        <w:rPr>
          <w:szCs w:val="22"/>
          <w:lang w:val="sr-Latn-RS"/>
        </w:rPr>
        <w:t>ene</w:t>
      </w:r>
      <w:r w:rsidRPr="00814B5B">
        <w:rPr>
          <w:szCs w:val="22"/>
          <w:lang w:val="sr-Latn-RS"/>
        </w:rPr>
        <w:t xml:space="preserve"> </w:t>
      </w:r>
      <w:r w:rsidR="00400E70" w:rsidRPr="00814B5B">
        <w:rPr>
          <w:szCs w:val="22"/>
          <w:lang w:val="sr-Latn-RS"/>
        </w:rPr>
        <w:t>ove kombinacije kod ženki</w:t>
      </w:r>
      <w:r w:rsidRPr="00814B5B">
        <w:rPr>
          <w:szCs w:val="22"/>
          <w:lang w:val="sr-Latn-RS"/>
        </w:rPr>
        <w:t xml:space="preserve"> pr</w:t>
      </w:r>
      <w:r w:rsidR="00933EC2" w:rsidRPr="00814B5B">
        <w:rPr>
          <w:szCs w:val="22"/>
          <w:lang w:val="sr-Latn-RS"/>
        </w:rPr>
        <w:t>ij</w:t>
      </w:r>
      <w:r w:rsidRPr="00814B5B">
        <w:rPr>
          <w:szCs w:val="22"/>
          <w:lang w:val="sr-Latn-RS"/>
        </w:rPr>
        <w:t xml:space="preserve">e i tokom perioda gestacije. Kao što je </w:t>
      </w:r>
      <w:r w:rsidR="00400E70" w:rsidRPr="00814B5B">
        <w:rPr>
          <w:szCs w:val="22"/>
          <w:lang w:val="sr-Latn-RS"/>
        </w:rPr>
        <w:t>zapaženo</w:t>
      </w:r>
      <w:r w:rsidRPr="00814B5B">
        <w:rPr>
          <w:szCs w:val="22"/>
          <w:lang w:val="sr-Latn-RS"/>
        </w:rPr>
        <w:t xml:space="preserve"> u studijama u kojima je prim</w:t>
      </w:r>
      <w:r w:rsidR="00933EC2" w:rsidRPr="00814B5B">
        <w:rPr>
          <w:szCs w:val="22"/>
          <w:lang w:val="sr-Latn-RS"/>
        </w:rPr>
        <w:t>ij</w:t>
      </w:r>
      <w:r w:rsidRPr="00814B5B">
        <w:rPr>
          <w:szCs w:val="22"/>
          <w:lang w:val="sr-Latn-RS"/>
        </w:rPr>
        <w:t>enj</w:t>
      </w:r>
      <w:r w:rsidR="00BC780D" w:rsidRPr="00814B5B">
        <w:rPr>
          <w:szCs w:val="22"/>
          <w:lang w:val="sr-Latn-RS"/>
        </w:rPr>
        <w:t>e</w:t>
      </w:r>
      <w:r w:rsidRPr="00814B5B">
        <w:rPr>
          <w:szCs w:val="22"/>
          <w:lang w:val="sr-Latn-RS"/>
        </w:rPr>
        <w:t>n losartan</w:t>
      </w:r>
      <w:r w:rsidR="00BC780D" w:rsidRPr="00814B5B">
        <w:rPr>
          <w:szCs w:val="22"/>
          <w:lang w:val="sr-Latn-RS"/>
        </w:rPr>
        <w:t xml:space="preserve"> u monoterapiji</w:t>
      </w:r>
      <w:r w:rsidRPr="00814B5B">
        <w:rPr>
          <w:szCs w:val="22"/>
          <w:lang w:val="sr-Latn-RS"/>
        </w:rPr>
        <w:t xml:space="preserve">, neželjene fetalne i neonatalne reakcije, uključujući renalnu toksičnost i smrt fetusa, </w:t>
      </w:r>
      <w:r w:rsidR="00400E70" w:rsidRPr="00814B5B">
        <w:rPr>
          <w:szCs w:val="22"/>
          <w:lang w:val="sr-Latn-RS"/>
        </w:rPr>
        <w:t>javljale su se</w:t>
      </w:r>
      <w:r w:rsidRPr="00814B5B">
        <w:rPr>
          <w:szCs w:val="22"/>
          <w:lang w:val="sr-Latn-RS"/>
        </w:rPr>
        <w:t xml:space="preserve"> kada su gravidne ženke pacova primale kombinaciju losartan/hidrohlortiazid tokom kasne gestacije i/ili laktacije.</w:t>
      </w:r>
    </w:p>
    <w:p w14:paraId="1A6D0BFD" w14:textId="77777777" w:rsidR="009B0D39" w:rsidRPr="00814B5B" w:rsidRDefault="009B0D39" w:rsidP="00D67A33">
      <w:pPr>
        <w:pStyle w:val="NASLOV123"/>
        <w:spacing w:before="0" w:after="0"/>
        <w:jc w:val="both"/>
        <w:rPr>
          <w:lang w:val="sr-Latn-RS"/>
        </w:rPr>
      </w:pPr>
    </w:p>
    <w:p w14:paraId="27DE1935" w14:textId="77777777" w:rsidR="009B0D39" w:rsidRPr="00814B5B" w:rsidRDefault="009B0D39" w:rsidP="00D67A33">
      <w:pPr>
        <w:pStyle w:val="NASLOV123"/>
        <w:spacing w:before="0" w:after="0"/>
        <w:jc w:val="both"/>
        <w:rPr>
          <w:lang w:val="sr-Latn-RS"/>
        </w:rPr>
      </w:pPr>
    </w:p>
    <w:p w14:paraId="7C58E244" w14:textId="5FDFCD91" w:rsidR="00007EF9" w:rsidRPr="00814B5B" w:rsidRDefault="00007EF9" w:rsidP="00D67A33">
      <w:pPr>
        <w:pStyle w:val="NASLOV123"/>
        <w:spacing w:before="0" w:after="0"/>
        <w:jc w:val="both"/>
        <w:rPr>
          <w:lang w:val="sr-Latn-RS"/>
        </w:rPr>
      </w:pPr>
      <w:r w:rsidRPr="00814B5B">
        <w:rPr>
          <w:lang w:val="sr-Latn-RS"/>
        </w:rPr>
        <w:t>6. FARMACEUTSKI PODACI</w:t>
      </w:r>
    </w:p>
    <w:p w14:paraId="5E94DD32" w14:textId="77777777" w:rsidR="009B0D39" w:rsidRPr="00814B5B" w:rsidRDefault="009B0D39" w:rsidP="00D67A33">
      <w:pPr>
        <w:rPr>
          <w:b/>
          <w:bCs/>
          <w:szCs w:val="22"/>
          <w:lang w:val="sr-Latn-RS"/>
        </w:rPr>
      </w:pPr>
    </w:p>
    <w:p w14:paraId="78ED5458" w14:textId="33BFC27C" w:rsidR="00007EF9" w:rsidRPr="00814B5B" w:rsidRDefault="00007EF9" w:rsidP="00D67A33">
      <w:pPr>
        <w:rPr>
          <w:b/>
          <w:bCs/>
          <w:szCs w:val="22"/>
          <w:lang w:val="sr-Latn-RS"/>
        </w:rPr>
      </w:pPr>
      <w:r w:rsidRPr="00814B5B">
        <w:rPr>
          <w:b/>
          <w:bCs/>
          <w:szCs w:val="22"/>
          <w:lang w:val="sr-Latn-RS"/>
        </w:rPr>
        <w:t>6.1. Lista pomoćnih supstanci</w:t>
      </w:r>
      <w:r w:rsidR="00933EC2" w:rsidRPr="00814B5B">
        <w:rPr>
          <w:b/>
          <w:bCs/>
          <w:szCs w:val="22"/>
          <w:lang w:val="sr-Latn-RS"/>
        </w:rPr>
        <w:t xml:space="preserve"> (ekscipijenasa)</w:t>
      </w:r>
    </w:p>
    <w:p w14:paraId="130B09EB" w14:textId="77777777" w:rsidR="009B0D39" w:rsidRPr="00814B5B" w:rsidRDefault="009B0D39" w:rsidP="00D67A33">
      <w:pPr>
        <w:pStyle w:val="Header"/>
        <w:tabs>
          <w:tab w:val="clear" w:pos="4536"/>
          <w:tab w:val="clear" w:pos="9072"/>
          <w:tab w:val="left" w:pos="284"/>
        </w:tabs>
        <w:contextualSpacing/>
        <w:rPr>
          <w:szCs w:val="22"/>
          <w:u w:val="single"/>
          <w:lang w:val="sr-Latn-RS"/>
        </w:rPr>
      </w:pPr>
    </w:p>
    <w:p w14:paraId="43C9A7BC" w14:textId="6E60CFA6" w:rsidR="005F625C" w:rsidRPr="00814B5B" w:rsidRDefault="00A672A2" w:rsidP="00D67A33">
      <w:pPr>
        <w:pStyle w:val="Header"/>
        <w:tabs>
          <w:tab w:val="clear" w:pos="4536"/>
          <w:tab w:val="clear" w:pos="9072"/>
          <w:tab w:val="left" w:pos="284"/>
        </w:tabs>
        <w:contextualSpacing/>
        <w:rPr>
          <w:szCs w:val="22"/>
          <w:lang w:val="sr-Latn-RS"/>
        </w:rPr>
      </w:pPr>
      <w:r w:rsidRPr="00814B5B">
        <w:rPr>
          <w:szCs w:val="22"/>
          <w:u w:val="single"/>
          <w:lang w:val="sr-Latn-RS"/>
        </w:rPr>
        <w:t>J</w:t>
      </w:r>
      <w:r w:rsidR="005F625C" w:rsidRPr="00814B5B">
        <w:rPr>
          <w:szCs w:val="22"/>
          <w:u w:val="single"/>
          <w:lang w:val="sr-Latn-RS"/>
        </w:rPr>
        <w:t>ezgr</w:t>
      </w:r>
      <w:r w:rsidRPr="00814B5B">
        <w:rPr>
          <w:szCs w:val="22"/>
          <w:u w:val="single"/>
          <w:lang w:val="sr-Latn-RS"/>
        </w:rPr>
        <w:t>o</w:t>
      </w:r>
      <w:r w:rsidR="005F625C" w:rsidRPr="00814B5B">
        <w:rPr>
          <w:szCs w:val="22"/>
          <w:u w:val="single"/>
          <w:lang w:val="sr-Latn-RS"/>
        </w:rPr>
        <w:t xml:space="preserve"> </w:t>
      </w:r>
      <w:r w:rsidRPr="00814B5B">
        <w:rPr>
          <w:szCs w:val="22"/>
          <w:u w:val="single"/>
          <w:lang w:val="sr-Latn-RS"/>
        </w:rPr>
        <w:t xml:space="preserve">film </w:t>
      </w:r>
      <w:r w:rsidR="005F625C" w:rsidRPr="00814B5B">
        <w:rPr>
          <w:szCs w:val="22"/>
          <w:u w:val="single"/>
          <w:lang w:val="sr-Latn-RS"/>
        </w:rPr>
        <w:t>tablete:</w:t>
      </w:r>
      <w:r w:rsidR="005F625C" w:rsidRPr="00814B5B">
        <w:rPr>
          <w:szCs w:val="22"/>
          <w:lang w:val="sr-Latn-RS"/>
        </w:rPr>
        <w:t xml:space="preserve"> </w:t>
      </w:r>
    </w:p>
    <w:p w14:paraId="2A34A333" w14:textId="74BD9210" w:rsidR="005F625C" w:rsidRPr="00814B5B" w:rsidRDefault="009B0D39" w:rsidP="00D67A33">
      <w:pPr>
        <w:pStyle w:val="Header"/>
        <w:tabs>
          <w:tab w:val="clear" w:pos="4536"/>
          <w:tab w:val="clear" w:pos="9072"/>
          <w:tab w:val="left" w:pos="284"/>
        </w:tabs>
        <w:contextualSpacing/>
        <w:rPr>
          <w:szCs w:val="22"/>
          <w:lang w:val="sr-Latn-RS"/>
        </w:rPr>
      </w:pPr>
      <w:r w:rsidRPr="00814B5B">
        <w:rPr>
          <w:szCs w:val="22"/>
          <w:lang w:val="sr-Latn-RS"/>
        </w:rPr>
        <w:t>celuloza,</w:t>
      </w:r>
      <w:r w:rsidR="005F625C" w:rsidRPr="00814B5B">
        <w:rPr>
          <w:szCs w:val="22"/>
          <w:lang w:val="sr-Latn-RS"/>
        </w:rPr>
        <w:t xml:space="preserve"> mikrokristalna; </w:t>
      </w:r>
    </w:p>
    <w:p w14:paraId="4065B571" w14:textId="40466AFF" w:rsidR="005F625C" w:rsidRPr="00814B5B" w:rsidRDefault="009B0D39" w:rsidP="00D67A33">
      <w:pPr>
        <w:pStyle w:val="Header"/>
        <w:tabs>
          <w:tab w:val="clear" w:pos="4536"/>
          <w:tab w:val="clear" w:pos="9072"/>
          <w:tab w:val="left" w:pos="284"/>
        </w:tabs>
        <w:contextualSpacing/>
        <w:rPr>
          <w:szCs w:val="22"/>
          <w:lang w:val="sr-Latn-RS"/>
        </w:rPr>
      </w:pPr>
      <w:r w:rsidRPr="00814B5B">
        <w:rPr>
          <w:szCs w:val="22"/>
          <w:lang w:val="sr-Latn-RS"/>
        </w:rPr>
        <w:t>laktoza</w:t>
      </w:r>
      <w:r w:rsidR="005F625C" w:rsidRPr="00814B5B">
        <w:rPr>
          <w:szCs w:val="22"/>
          <w:lang w:val="sr-Latn-RS"/>
        </w:rPr>
        <w:t xml:space="preserve"> monohidrat; </w:t>
      </w:r>
    </w:p>
    <w:p w14:paraId="18EE88B2" w14:textId="0EF6C2A5" w:rsidR="005F625C" w:rsidRPr="00814B5B" w:rsidRDefault="00A672A2" w:rsidP="00D67A33">
      <w:pPr>
        <w:pStyle w:val="Header"/>
        <w:tabs>
          <w:tab w:val="clear" w:pos="4536"/>
          <w:tab w:val="clear" w:pos="9072"/>
          <w:tab w:val="left" w:pos="284"/>
        </w:tabs>
        <w:contextualSpacing/>
        <w:rPr>
          <w:szCs w:val="22"/>
          <w:lang w:val="sr-Latn-RS"/>
        </w:rPr>
      </w:pPr>
      <w:r w:rsidRPr="00814B5B">
        <w:rPr>
          <w:szCs w:val="22"/>
          <w:lang w:val="sr-Latn-RS"/>
        </w:rPr>
        <w:t xml:space="preserve">skrob, kukuruzni, </w:t>
      </w:r>
      <w:r w:rsidR="005F625C" w:rsidRPr="00814B5B">
        <w:rPr>
          <w:szCs w:val="22"/>
          <w:lang w:val="sr-Latn-RS"/>
        </w:rPr>
        <w:t>d</w:t>
      </w:r>
      <w:r w:rsidR="00933EC2" w:rsidRPr="00814B5B">
        <w:rPr>
          <w:szCs w:val="22"/>
          <w:lang w:val="sr-Latn-RS"/>
        </w:rPr>
        <w:t>j</w:t>
      </w:r>
      <w:r w:rsidR="005F625C" w:rsidRPr="00814B5B">
        <w:rPr>
          <w:szCs w:val="22"/>
          <w:lang w:val="sr-Latn-RS"/>
        </w:rPr>
        <w:t xml:space="preserve">elimično preželatinizovani; </w:t>
      </w:r>
    </w:p>
    <w:p w14:paraId="11FEC393" w14:textId="062494CF" w:rsidR="005F625C" w:rsidRPr="00814B5B" w:rsidRDefault="005F625C" w:rsidP="00D67A33">
      <w:pPr>
        <w:pStyle w:val="Header"/>
        <w:tabs>
          <w:tab w:val="clear" w:pos="4536"/>
          <w:tab w:val="clear" w:pos="9072"/>
          <w:tab w:val="left" w:pos="284"/>
        </w:tabs>
        <w:contextualSpacing/>
        <w:rPr>
          <w:szCs w:val="22"/>
          <w:lang w:val="sr-Latn-RS"/>
        </w:rPr>
      </w:pPr>
      <w:r w:rsidRPr="00814B5B">
        <w:rPr>
          <w:szCs w:val="22"/>
          <w:lang w:val="sr-Latn-RS"/>
        </w:rPr>
        <w:t>natrijum</w:t>
      </w:r>
      <w:r w:rsidR="00933EC2" w:rsidRPr="00814B5B">
        <w:rPr>
          <w:szCs w:val="22"/>
          <w:lang w:val="sr-Latn-RS"/>
        </w:rPr>
        <w:t xml:space="preserve"> </w:t>
      </w:r>
      <w:r w:rsidRPr="00814B5B">
        <w:rPr>
          <w:szCs w:val="22"/>
          <w:lang w:val="sr-Latn-RS"/>
        </w:rPr>
        <w:t>skrob</w:t>
      </w:r>
      <w:r w:rsidR="009B0D39" w:rsidRPr="00814B5B">
        <w:rPr>
          <w:szCs w:val="22"/>
          <w:lang w:val="sr-Latn-RS"/>
        </w:rPr>
        <w:t xml:space="preserve"> </w:t>
      </w:r>
      <w:r w:rsidRPr="00814B5B">
        <w:rPr>
          <w:szCs w:val="22"/>
          <w:lang w:val="sr-Latn-RS"/>
        </w:rPr>
        <w:t xml:space="preserve">glikolat; </w:t>
      </w:r>
    </w:p>
    <w:p w14:paraId="75A186A3" w14:textId="69CFE675" w:rsidR="005F625C" w:rsidRPr="00814B5B" w:rsidRDefault="005F625C" w:rsidP="00D67A33">
      <w:pPr>
        <w:pStyle w:val="Header"/>
        <w:tabs>
          <w:tab w:val="clear" w:pos="4536"/>
          <w:tab w:val="clear" w:pos="9072"/>
          <w:tab w:val="left" w:pos="284"/>
        </w:tabs>
        <w:rPr>
          <w:szCs w:val="22"/>
          <w:lang w:val="sr-Latn-RS"/>
        </w:rPr>
      </w:pPr>
      <w:r w:rsidRPr="00814B5B">
        <w:rPr>
          <w:szCs w:val="22"/>
          <w:lang w:val="sr-Latn-RS"/>
        </w:rPr>
        <w:t>magnezijum</w:t>
      </w:r>
      <w:r w:rsidR="00933EC2" w:rsidRPr="00814B5B">
        <w:rPr>
          <w:szCs w:val="22"/>
          <w:lang w:val="sr-Latn-RS"/>
        </w:rPr>
        <w:t xml:space="preserve"> </w:t>
      </w:r>
      <w:r w:rsidRPr="00814B5B">
        <w:rPr>
          <w:szCs w:val="22"/>
          <w:lang w:val="sr-Latn-RS"/>
        </w:rPr>
        <w:t>stearat.</w:t>
      </w:r>
    </w:p>
    <w:p w14:paraId="61C5286D" w14:textId="77777777" w:rsidR="009B0D39" w:rsidRPr="00814B5B" w:rsidRDefault="009B0D39" w:rsidP="00D67A33">
      <w:pPr>
        <w:pStyle w:val="Header"/>
        <w:tabs>
          <w:tab w:val="clear" w:pos="4536"/>
          <w:tab w:val="clear" w:pos="9072"/>
          <w:tab w:val="left" w:pos="284"/>
        </w:tabs>
        <w:contextualSpacing/>
        <w:rPr>
          <w:szCs w:val="22"/>
          <w:lang w:val="sr-Latn-RS"/>
        </w:rPr>
      </w:pPr>
    </w:p>
    <w:p w14:paraId="190027F0" w14:textId="0BEC8F37" w:rsidR="005F625C" w:rsidRPr="00814B5B" w:rsidRDefault="00A672A2" w:rsidP="00D67A33">
      <w:pPr>
        <w:pStyle w:val="Header"/>
        <w:tabs>
          <w:tab w:val="clear" w:pos="4536"/>
          <w:tab w:val="clear" w:pos="9072"/>
          <w:tab w:val="left" w:pos="284"/>
        </w:tabs>
        <w:contextualSpacing/>
        <w:rPr>
          <w:szCs w:val="22"/>
          <w:u w:val="single"/>
          <w:lang w:val="sr-Latn-RS"/>
        </w:rPr>
      </w:pPr>
      <w:r w:rsidRPr="00814B5B">
        <w:rPr>
          <w:szCs w:val="22"/>
          <w:u w:val="single"/>
          <w:lang w:val="sr-Latn-RS"/>
        </w:rPr>
        <w:t>Obloga</w:t>
      </w:r>
      <w:r w:rsidR="005F625C" w:rsidRPr="00814B5B">
        <w:rPr>
          <w:szCs w:val="22"/>
          <w:u w:val="single"/>
          <w:lang w:val="sr-Latn-RS"/>
        </w:rPr>
        <w:t xml:space="preserve"> film</w:t>
      </w:r>
      <w:r w:rsidRPr="00814B5B">
        <w:rPr>
          <w:szCs w:val="22"/>
          <w:u w:val="single"/>
          <w:lang w:val="sr-Latn-RS"/>
        </w:rPr>
        <w:t xml:space="preserve"> t</w:t>
      </w:r>
      <w:r w:rsidR="005F625C" w:rsidRPr="00814B5B">
        <w:rPr>
          <w:szCs w:val="22"/>
          <w:u w:val="single"/>
          <w:lang w:val="sr-Latn-RS"/>
        </w:rPr>
        <w:t>a</w:t>
      </w:r>
      <w:r w:rsidRPr="00814B5B">
        <w:rPr>
          <w:szCs w:val="22"/>
          <w:u w:val="single"/>
          <w:lang w:val="sr-Latn-RS"/>
        </w:rPr>
        <w:t>blete</w:t>
      </w:r>
      <w:r w:rsidR="009B0D39" w:rsidRPr="00814B5B">
        <w:rPr>
          <w:szCs w:val="22"/>
          <w:u w:val="single"/>
          <w:lang w:val="sr-Latn-RS"/>
        </w:rPr>
        <w:t xml:space="preserve"> (</w:t>
      </w:r>
      <w:r w:rsidR="005F625C" w:rsidRPr="00814B5B">
        <w:rPr>
          <w:i/>
          <w:szCs w:val="22"/>
          <w:u w:val="single"/>
          <w:lang w:val="sr-Latn-RS"/>
        </w:rPr>
        <w:t>Opadry white</w:t>
      </w:r>
      <w:r w:rsidR="009B0D39" w:rsidRPr="00814B5B">
        <w:rPr>
          <w:i/>
          <w:szCs w:val="22"/>
          <w:u w:val="single"/>
          <w:lang w:val="sr-Latn-RS"/>
        </w:rPr>
        <w:t>)</w:t>
      </w:r>
      <w:r w:rsidR="005F625C" w:rsidRPr="00814B5B">
        <w:rPr>
          <w:szCs w:val="22"/>
          <w:u w:val="single"/>
          <w:lang w:val="sr-Latn-RS"/>
        </w:rPr>
        <w:t xml:space="preserve">: </w:t>
      </w:r>
    </w:p>
    <w:p w14:paraId="3608DE95" w14:textId="1062C700" w:rsidR="005F625C" w:rsidRPr="00814B5B" w:rsidRDefault="005F625C" w:rsidP="00D67A33">
      <w:pPr>
        <w:pStyle w:val="Header"/>
        <w:tabs>
          <w:tab w:val="clear" w:pos="4536"/>
          <w:tab w:val="clear" w:pos="9072"/>
          <w:tab w:val="left" w:pos="284"/>
        </w:tabs>
        <w:contextualSpacing/>
        <w:rPr>
          <w:szCs w:val="22"/>
          <w:lang w:val="sr-Latn-RS"/>
        </w:rPr>
      </w:pPr>
      <w:r w:rsidRPr="00814B5B">
        <w:rPr>
          <w:szCs w:val="22"/>
          <w:lang w:val="sr-Latn-RS"/>
        </w:rPr>
        <w:t xml:space="preserve">hidroksipropilceluloza; </w:t>
      </w:r>
    </w:p>
    <w:p w14:paraId="0D4FBD0B" w14:textId="387900E0" w:rsidR="005F625C" w:rsidRPr="00814B5B" w:rsidRDefault="005F625C" w:rsidP="00D67A33">
      <w:pPr>
        <w:pStyle w:val="Header"/>
        <w:tabs>
          <w:tab w:val="clear" w:pos="4536"/>
          <w:tab w:val="clear" w:pos="9072"/>
          <w:tab w:val="left" w:pos="284"/>
        </w:tabs>
        <w:contextualSpacing/>
        <w:rPr>
          <w:szCs w:val="22"/>
          <w:lang w:val="sr-Latn-RS"/>
        </w:rPr>
      </w:pPr>
      <w:r w:rsidRPr="00814B5B">
        <w:rPr>
          <w:szCs w:val="22"/>
          <w:lang w:val="sr-Latn-RS"/>
        </w:rPr>
        <w:t xml:space="preserve">hipromeloza; </w:t>
      </w:r>
    </w:p>
    <w:p w14:paraId="47140A57" w14:textId="45A9FD39" w:rsidR="00007EF9" w:rsidRPr="00814B5B" w:rsidRDefault="005F625C" w:rsidP="00D67A33">
      <w:pPr>
        <w:rPr>
          <w:szCs w:val="22"/>
          <w:lang w:val="sr-Latn-RS"/>
        </w:rPr>
      </w:pPr>
      <w:r w:rsidRPr="00814B5B">
        <w:rPr>
          <w:szCs w:val="22"/>
          <w:lang w:val="sr-Latn-RS"/>
        </w:rPr>
        <w:t>titan</w:t>
      </w:r>
      <w:r w:rsidR="00933EC2" w:rsidRPr="00814B5B">
        <w:rPr>
          <w:szCs w:val="22"/>
          <w:lang w:val="sr-Latn-RS"/>
        </w:rPr>
        <w:t xml:space="preserve"> </w:t>
      </w:r>
      <w:r w:rsidRPr="00814B5B">
        <w:rPr>
          <w:szCs w:val="22"/>
          <w:lang w:val="sr-Latn-RS"/>
        </w:rPr>
        <w:t>dioksid.</w:t>
      </w:r>
    </w:p>
    <w:p w14:paraId="25643F63" w14:textId="77777777" w:rsidR="009B0D39" w:rsidRPr="00814B5B" w:rsidRDefault="009B0D39" w:rsidP="00D67A33">
      <w:pPr>
        <w:rPr>
          <w:szCs w:val="22"/>
          <w:lang w:val="sr-Latn-RS"/>
        </w:rPr>
      </w:pPr>
    </w:p>
    <w:p w14:paraId="5A864165" w14:textId="6E304FFE" w:rsidR="00007EF9" w:rsidRPr="00814B5B" w:rsidRDefault="00007EF9" w:rsidP="00D67A33">
      <w:pPr>
        <w:rPr>
          <w:b/>
          <w:bCs/>
          <w:szCs w:val="22"/>
          <w:lang w:val="sr-Latn-RS"/>
        </w:rPr>
      </w:pPr>
      <w:r w:rsidRPr="00814B5B">
        <w:rPr>
          <w:b/>
          <w:bCs/>
          <w:szCs w:val="22"/>
          <w:lang w:val="sr-Latn-RS"/>
        </w:rPr>
        <w:t>6.2. Inkompatibilnost</w:t>
      </w:r>
      <w:r w:rsidR="00933EC2" w:rsidRPr="00814B5B">
        <w:rPr>
          <w:b/>
          <w:bCs/>
          <w:szCs w:val="22"/>
          <w:lang w:val="sr-Latn-RS"/>
        </w:rPr>
        <w:t>i</w:t>
      </w:r>
    </w:p>
    <w:p w14:paraId="6B89FE36" w14:textId="77777777" w:rsidR="009B0D39" w:rsidRPr="00814B5B" w:rsidRDefault="009B0D39" w:rsidP="00D67A33">
      <w:pPr>
        <w:rPr>
          <w:szCs w:val="22"/>
          <w:lang w:val="sr-Latn-RS"/>
        </w:rPr>
      </w:pPr>
    </w:p>
    <w:p w14:paraId="6B87B540" w14:textId="4112507A" w:rsidR="00007EF9" w:rsidRPr="00814B5B" w:rsidRDefault="005F625C" w:rsidP="00D67A33">
      <w:pPr>
        <w:rPr>
          <w:szCs w:val="22"/>
          <w:lang w:val="sr-Latn-RS"/>
        </w:rPr>
      </w:pPr>
      <w:r w:rsidRPr="00814B5B">
        <w:rPr>
          <w:szCs w:val="22"/>
          <w:lang w:val="sr-Latn-RS"/>
        </w:rPr>
        <w:t>Nije prim</w:t>
      </w:r>
      <w:r w:rsidR="00933EC2" w:rsidRPr="00814B5B">
        <w:rPr>
          <w:szCs w:val="22"/>
          <w:lang w:val="sr-Latn-RS"/>
        </w:rPr>
        <w:t>j</w:t>
      </w:r>
      <w:r w:rsidRPr="00814B5B">
        <w:rPr>
          <w:szCs w:val="22"/>
          <w:lang w:val="sr-Latn-RS"/>
        </w:rPr>
        <w:t>enljivo.</w:t>
      </w:r>
    </w:p>
    <w:p w14:paraId="2A307D23" w14:textId="77777777" w:rsidR="009B0D39" w:rsidRPr="00814B5B" w:rsidRDefault="009B0D39" w:rsidP="00D67A33">
      <w:pPr>
        <w:rPr>
          <w:b/>
          <w:bCs/>
          <w:szCs w:val="22"/>
          <w:lang w:val="sr-Latn-RS"/>
        </w:rPr>
      </w:pPr>
    </w:p>
    <w:p w14:paraId="75E28C33" w14:textId="5BB0D6E2" w:rsidR="00007EF9" w:rsidRPr="00814B5B" w:rsidRDefault="00007EF9" w:rsidP="00D67A33">
      <w:pPr>
        <w:rPr>
          <w:b/>
          <w:bCs/>
          <w:szCs w:val="22"/>
          <w:lang w:val="sr-Latn-RS"/>
        </w:rPr>
      </w:pPr>
      <w:r w:rsidRPr="00814B5B">
        <w:rPr>
          <w:b/>
          <w:bCs/>
          <w:szCs w:val="22"/>
          <w:lang w:val="sr-Latn-RS"/>
        </w:rPr>
        <w:t>6.3. Rok upotrebe</w:t>
      </w:r>
    </w:p>
    <w:p w14:paraId="56954F1D" w14:textId="77777777" w:rsidR="009B0D39" w:rsidRPr="00814B5B" w:rsidRDefault="009B0D39" w:rsidP="00D67A33">
      <w:pPr>
        <w:rPr>
          <w:szCs w:val="22"/>
          <w:lang w:val="sr-Latn-RS"/>
        </w:rPr>
      </w:pPr>
    </w:p>
    <w:p w14:paraId="0F296649" w14:textId="6F101227" w:rsidR="00007EF9" w:rsidRPr="00814B5B" w:rsidRDefault="005F625C" w:rsidP="00D67A33">
      <w:pPr>
        <w:rPr>
          <w:szCs w:val="22"/>
          <w:lang w:val="sr-Latn-RS"/>
        </w:rPr>
      </w:pPr>
      <w:r w:rsidRPr="00814B5B">
        <w:rPr>
          <w:szCs w:val="22"/>
          <w:lang w:val="sr-Latn-RS"/>
        </w:rPr>
        <w:t>4 godine</w:t>
      </w:r>
      <w:r w:rsidR="00030013" w:rsidRPr="00814B5B">
        <w:rPr>
          <w:szCs w:val="22"/>
          <w:lang w:val="sr-Latn-RS"/>
        </w:rPr>
        <w:t>.</w:t>
      </w:r>
    </w:p>
    <w:p w14:paraId="24985B34" w14:textId="77777777" w:rsidR="009B0D39" w:rsidRPr="00814B5B" w:rsidRDefault="009B0D39" w:rsidP="00D67A33">
      <w:pPr>
        <w:rPr>
          <w:b/>
          <w:bCs/>
          <w:szCs w:val="22"/>
          <w:lang w:val="sr-Latn-RS"/>
        </w:rPr>
      </w:pPr>
    </w:p>
    <w:p w14:paraId="04E76B0A" w14:textId="65526277" w:rsidR="00007EF9" w:rsidRPr="00814B5B" w:rsidRDefault="00007EF9" w:rsidP="00D67A33">
      <w:pPr>
        <w:rPr>
          <w:b/>
          <w:bCs/>
          <w:szCs w:val="22"/>
          <w:lang w:val="sr-Latn-RS"/>
        </w:rPr>
      </w:pPr>
      <w:r w:rsidRPr="00814B5B">
        <w:rPr>
          <w:b/>
          <w:bCs/>
          <w:szCs w:val="22"/>
          <w:lang w:val="sr-Latn-RS"/>
        </w:rPr>
        <w:t>6.4. Posebne m</w:t>
      </w:r>
      <w:r w:rsidR="00933EC2" w:rsidRPr="00814B5B">
        <w:rPr>
          <w:b/>
          <w:bCs/>
          <w:szCs w:val="22"/>
          <w:lang w:val="sr-Latn-RS"/>
        </w:rPr>
        <w:t>j</w:t>
      </w:r>
      <w:r w:rsidRPr="00814B5B">
        <w:rPr>
          <w:b/>
          <w:bCs/>
          <w:szCs w:val="22"/>
          <w:lang w:val="sr-Latn-RS"/>
        </w:rPr>
        <w:t>ere opreza pri čuvanju</w:t>
      </w:r>
      <w:r w:rsidR="00933EC2" w:rsidRPr="00814B5B">
        <w:rPr>
          <w:b/>
          <w:bCs/>
          <w:szCs w:val="22"/>
          <w:lang w:val="sr-Latn-RS"/>
        </w:rPr>
        <w:t xml:space="preserve"> lijeka</w:t>
      </w:r>
    </w:p>
    <w:p w14:paraId="32835066" w14:textId="77777777" w:rsidR="009B0D39" w:rsidRPr="00814B5B" w:rsidRDefault="009B0D39" w:rsidP="00D67A33">
      <w:pPr>
        <w:rPr>
          <w:szCs w:val="22"/>
          <w:lang w:val="sr-Latn-RS"/>
        </w:rPr>
      </w:pPr>
    </w:p>
    <w:p w14:paraId="3D021375" w14:textId="0D3ED6F9" w:rsidR="00007EF9" w:rsidRPr="00814B5B" w:rsidRDefault="005F625C" w:rsidP="00D67A33">
      <w:pPr>
        <w:rPr>
          <w:szCs w:val="22"/>
          <w:lang w:val="sr-Latn-RS"/>
        </w:rPr>
      </w:pPr>
      <w:r w:rsidRPr="00814B5B">
        <w:rPr>
          <w:szCs w:val="22"/>
          <w:lang w:val="sr-Latn-RS"/>
        </w:rPr>
        <w:t>Čuvati na temperaturi do 25°C, u originalnom pakovanju, radi zaštite od sv</w:t>
      </w:r>
      <w:r w:rsidR="00933EC2" w:rsidRPr="00814B5B">
        <w:rPr>
          <w:szCs w:val="22"/>
          <w:lang w:val="sr-Latn-RS"/>
        </w:rPr>
        <w:t>j</w:t>
      </w:r>
      <w:r w:rsidRPr="00814B5B">
        <w:rPr>
          <w:szCs w:val="22"/>
          <w:lang w:val="sr-Latn-RS"/>
        </w:rPr>
        <w:t>etlosti i vlage.</w:t>
      </w:r>
    </w:p>
    <w:p w14:paraId="3770A8AF" w14:textId="77777777" w:rsidR="009B0D39" w:rsidRPr="00814B5B" w:rsidRDefault="009B0D39" w:rsidP="00D67A33">
      <w:pPr>
        <w:rPr>
          <w:b/>
          <w:bCs/>
          <w:szCs w:val="22"/>
          <w:lang w:val="sr-Latn-RS"/>
        </w:rPr>
      </w:pPr>
    </w:p>
    <w:p w14:paraId="13AAE2E5" w14:textId="3F9E5005" w:rsidR="00007EF9" w:rsidRPr="00814B5B" w:rsidRDefault="00007EF9" w:rsidP="00D67A33">
      <w:pPr>
        <w:rPr>
          <w:b/>
          <w:bCs/>
          <w:szCs w:val="22"/>
          <w:lang w:val="sr-Latn-RS"/>
        </w:rPr>
      </w:pPr>
      <w:r w:rsidRPr="00814B5B">
        <w:rPr>
          <w:b/>
          <w:bCs/>
          <w:szCs w:val="22"/>
          <w:lang w:val="sr-Latn-RS"/>
        </w:rPr>
        <w:t xml:space="preserve">6.5. </w:t>
      </w:r>
      <w:r w:rsidR="00933EC2" w:rsidRPr="00814B5B">
        <w:rPr>
          <w:b/>
          <w:bCs/>
          <w:szCs w:val="22"/>
          <w:lang w:val="sr-Latn-RS"/>
        </w:rPr>
        <w:t>Vrsta</w:t>
      </w:r>
      <w:r w:rsidRPr="00814B5B">
        <w:rPr>
          <w:b/>
          <w:bCs/>
          <w:szCs w:val="22"/>
          <w:lang w:val="sr-Latn-RS"/>
        </w:rPr>
        <w:t xml:space="preserve"> i sadržaj pakovanja </w:t>
      </w:r>
    </w:p>
    <w:p w14:paraId="6E828C66" w14:textId="77777777" w:rsidR="009B0D39" w:rsidRPr="00814B5B" w:rsidRDefault="009B0D39" w:rsidP="00D67A33">
      <w:pPr>
        <w:rPr>
          <w:szCs w:val="22"/>
          <w:lang w:val="it-IT"/>
        </w:rPr>
      </w:pPr>
    </w:p>
    <w:p w14:paraId="71391AE0" w14:textId="3EC9C574" w:rsidR="00373838" w:rsidRPr="00814B5B" w:rsidRDefault="00373838" w:rsidP="00D67A33">
      <w:pPr>
        <w:rPr>
          <w:szCs w:val="22"/>
          <w:lang w:val="it-IT"/>
        </w:rPr>
      </w:pPr>
      <w:r w:rsidRPr="00814B5B">
        <w:rPr>
          <w:szCs w:val="22"/>
          <w:lang w:val="it-IT"/>
        </w:rPr>
        <w:t xml:space="preserve">Unutrašnje pakovanje je Al/PVC-PVC/PVdC blister </w:t>
      </w:r>
      <w:r w:rsidR="009B0D39" w:rsidRPr="00814B5B">
        <w:rPr>
          <w:szCs w:val="22"/>
          <w:lang w:val="it-IT"/>
        </w:rPr>
        <w:t>koji sadrži</w:t>
      </w:r>
      <w:r w:rsidRPr="00814B5B">
        <w:rPr>
          <w:szCs w:val="22"/>
          <w:lang w:val="it-IT"/>
        </w:rPr>
        <w:t xml:space="preserve"> 10 film tableta.</w:t>
      </w:r>
    </w:p>
    <w:p w14:paraId="1DCF19CD" w14:textId="5DA8D96B" w:rsidR="00007EF9" w:rsidRPr="00814B5B" w:rsidRDefault="00373838" w:rsidP="00D67A33">
      <w:pPr>
        <w:rPr>
          <w:szCs w:val="22"/>
          <w:lang w:val="it-IT"/>
        </w:rPr>
      </w:pPr>
      <w:r w:rsidRPr="00814B5B">
        <w:rPr>
          <w:szCs w:val="22"/>
          <w:lang w:val="it-IT"/>
        </w:rPr>
        <w:t xml:space="preserve">Spoljašnje pakovanje je složiva kartonska kutija </w:t>
      </w:r>
      <w:r w:rsidR="009B0D39" w:rsidRPr="00814B5B">
        <w:rPr>
          <w:szCs w:val="22"/>
          <w:lang w:val="it-IT"/>
        </w:rPr>
        <w:t>u kojoj se nalaze</w:t>
      </w:r>
      <w:r w:rsidRPr="00814B5B">
        <w:rPr>
          <w:szCs w:val="22"/>
          <w:lang w:val="it-IT"/>
        </w:rPr>
        <w:t xml:space="preserve"> 3 blistera</w:t>
      </w:r>
      <w:r w:rsidR="009B0D39" w:rsidRPr="00814B5B">
        <w:rPr>
          <w:szCs w:val="22"/>
          <w:lang w:val="it-IT"/>
        </w:rPr>
        <w:t xml:space="preserve"> sa po 10 film tableta</w:t>
      </w:r>
      <w:r w:rsidRPr="00814B5B">
        <w:rPr>
          <w:szCs w:val="22"/>
          <w:lang w:val="it-IT"/>
        </w:rPr>
        <w:t xml:space="preserve"> (ukupno 30 film tableta) i Uputstvo za l</w:t>
      </w:r>
      <w:r w:rsidR="00933EC2" w:rsidRPr="00814B5B">
        <w:rPr>
          <w:szCs w:val="22"/>
          <w:lang w:val="it-IT"/>
        </w:rPr>
        <w:t>ij</w:t>
      </w:r>
      <w:r w:rsidRPr="00814B5B">
        <w:rPr>
          <w:szCs w:val="22"/>
          <w:lang w:val="it-IT"/>
        </w:rPr>
        <w:t>ek.</w:t>
      </w:r>
    </w:p>
    <w:p w14:paraId="2508832E" w14:textId="77777777" w:rsidR="009B0D39" w:rsidRPr="00814B5B" w:rsidRDefault="009B0D39" w:rsidP="00D67A33">
      <w:pPr>
        <w:rPr>
          <w:szCs w:val="22"/>
          <w:lang w:val="sr-Latn-RS"/>
        </w:rPr>
      </w:pPr>
    </w:p>
    <w:p w14:paraId="5FCBFD3E" w14:textId="06F7448D" w:rsidR="00007EF9" w:rsidRPr="00814B5B" w:rsidRDefault="00007EF9" w:rsidP="00D67A33">
      <w:pPr>
        <w:rPr>
          <w:b/>
          <w:bCs/>
          <w:szCs w:val="22"/>
          <w:lang w:val="sr-Latn-RS"/>
        </w:rPr>
      </w:pPr>
      <w:r w:rsidRPr="00814B5B">
        <w:rPr>
          <w:b/>
          <w:bCs/>
          <w:szCs w:val="22"/>
          <w:lang w:val="sr-Latn-RS"/>
        </w:rPr>
        <w:t xml:space="preserve">6.6. Posebne mere opreza pri odlaganju materijala koji treba odbaciti nakon primene leka </w:t>
      </w:r>
    </w:p>
    <w:p w14:paraId="1D208B69" w14:textId="77777777" w:rsidR="009B0D39" w:rsidRPr="00814B5B" w:rsidRDefault="009B0D39" w:rsidP="00D67A33">
      <w:pPr>
        <w:rPr>
          <w:szCs w:val="22"/>
        </w:rPr>
      </w:pPr>
    </w:p>
    <w:p w14:paraId="2FBF0FC3" w14:textId="18CD757A" w:rsidR="00007EF9" w:rsidRPr="00814B5B" w:rsidRDefault="00373838" w:rsidP="00D67A33">
      <w:pPr>
        <w:rPr>
          <w:szCs w:val="22"/>
          <w:lang w:val="sr-Latn-RS"/>
        </w:rPr>
      </w:pPr>
      <w:r w:rsidRPr="00814B5B">
        <w:rPr>
          <w:szCs w:val="22"/>
        </w:rPr>
        <w:t>Svu neiskorišćenu količinu l</w:t>
      </w:r>
      <w:r w:rsidR="00933EC2" w:rsidRPr="00814B5B">
        <w:rPr>
          <w:szCs w:val="22"/>
        </w:rPr>
        <w:t>ij</w:t>
      </w:r>
      <w:r w:rsidRPr="00814B5B">
        <w:rPr>
          <w:szCs w:val="22"/>
        </w:rPr>
        <w:t xml:space="preserve">eka </w:t>
      </w:r>
      <w:proofErr w:type="gramStart"/>
      <w:r w:rsidRPr="00814B5B">
        <w:rPr>
          <w:szCs w:val="22"/>
        </w:rPr>
        <w:t>ili</w:t>
      </w:r>
      <w:proofErr w:type="gramEnd"/>
      <w:r w:rsidRPr="00814B5B">
        <w:rPr>
          <w:szCs w:val="22"/>
        </w:rPr>
        <w:t xml:space="preserve"> otpadnog materijala nakon njegove upotrebe treba ukloniti, u skladu sa važećim propisima.</w:t>
      </w:r>
    </w:p>
    <w:p w14:paraId="474711FC" w14:textId="77777777" w:rsidR="009B0D39" w:rsidRPr="00814B5B" w:rsidRDefault="009B0D39" w:rsidP="00D67A33">
      <w:pPr>
        <w:pStyle w:val="NASLOV123"/>
        <w:spacing w:before="0" w:after="0"/>
        <w:jc w:val="both"/>
        <w:rPr>
          <w:lang w:val="sr-Latn-RS"/>
        </w:rPr>
      </w:pPr>
    </w:p>
    <w:p w14:paraId="6A86BD1A" w14:textId="77777777" w:rsidR="009B0D39" w:rsidRPr="00814B5B" w:rsidRDefault="009B0D39" w:rsidP="00D67A33">
      <w:pPr>
        <w:pStyle w:val="NASLOV123"/>
        <w:spacing w:before="0" w:after="0"/>
        <w:jc w:val="both"/>
        <w:rPr>
          <w:lang w:val="sr-Latn-RS"/>
        </w:rPr>
      </w:pPr>
    </w:p>
    <w:p w14:paraId="71E3F064" w14:textId="7385AE90" w:rsidR="00007EF9" w:rsidRPr="00814B5B" w:rsidRDefault="00007EF9" w:rsidP="00D67A33">
      <w:pPr>
        <w:pStyle w:val="NASLOV123"/>
        <w:spacing w:before="0" w:after="0"/>
        <w:jc w:val="both"/>
        <w:rPr>
          <w:lang w:val="sr-Latn-RS"/>
        </w:rPr>
      </w:pPr>
      <w:r w:rsidRPr="00814B5B">
        <w:rPr>
          <w:lang w:val="sr-Latn-RS"/>
        </w:rPr>
        <w:t xml:space="preserve">7. NOSILAC DOZVOLE </w:t>
      </w:r>
    </w:p>
    <w:p w14:paraId="6F6B4558" w14:textId="77777777" w:rsidR="009B0D39" w:rsidRPr="00814B5B" w:rsidRDefault="009B0D39" w:rsidP="00D67A33">
      <w:pPr>
        <w:pStyle w:val="Header"/>
        <w:tabs>
          <w:tab w:val="clear" w:pos="4536"/>
          <w:tab w:val="clear" w:pos="9072"/>
          <w:tab w:val="left" w:pos="284"/>
        </w:tabs>
        <w:rPr>
          <w:szCs w:val="22"/>
          <w:lang w:val="sr-Latn-RS"/>
        </w:rPr>
      </w:pPr>
    </w:p>
    <w:p w14:paraId="003FEB46" w14:textId="31A9B563" w:rsidR="00007EF9" w:rsidRPr="00814B5B" w:rsidRDefault="005F625C" w:rsidP="00D67A33">
      <w:pPr>
        <w:pStyle w:val="Header"/>
        <w:tabs>
          <w:tab w:val="clear" w:pos="4536"/>
          <w:tab w:val="clear" w:pos="9072"/>
          <w:tab w:val="left" w:pos="284"/>
        </w:tabs>
        <w:rPr>
          <w:szCs w:val="22"/>
          <w:lang w:val="sr-Latn-RS"/>
        </w:rPr>
      </w:pPr>
      <w:r w:rsidRPr="00814B5B">
        <w:rPr>
          <w:szCs w:val="22"/>
          <w:lang w:val="sr-Latn-RS"/>
        </w:rPr>
        <w:t>G</w:t>
      </w:r>
      <w:r w:rsidR="00933EC2" w:rsidRPr="00814B5B">
        <w:rPr>
          <w:szCs w:val="22"/>
          <w:lang w:val="sr-Latn-RS"/>
        </w:rPr>
        <w:t>LK pharma d.o.o. Podgorica, ul. Svetozara Markovića br. 46, 81000 Podgorica, Crna Gora</w:t>
      </w:r>
    </w:p>
    <w:p w14:paraId="03FC85A4" w14:textId="77777777" w:rsidR="009B0D39" w:rsidRPr="00814B5B" w:rsidRDefault="009B0D39" w:rsidP="00D67A33">
      <w:pPr>
        <w:pStyle w:val="NASLOV123"/>
        <w:spacing w:before="0" w:after="0"/>
        <w:jc w:val="both"/>
        <w:rPr>
          <w:lang w:val="sr-Latn-RS"/>
        </w:rPr>
      </w:pPr>
    </w:p>
    <w:p w14:paraId="3F716479" w14:textId="77777777" w:rsidR="009B0D39" w:rsidRPr="00814B5B" w:rsidRDefault="009B0D39" w:rsidP="00D67A33">
      <w:pPr>
        <w:pStyle w:val="NASLOV123"/>
        <w:spacing w:before="0" w:after="0"/>
        <w:jc w:val="both"/>
        <w:rPr>
          <w:lang w:val="sr-Latn-RS"/>
        </w:rPr>
      </w:pPr>
    </w:p>
    <w:p w14:paraId="2F319693" w14:textId="460EC391" w:rsidR="00007EF9" w:rsidRPr="00814B5B" w:rsidRDefault="00007EF9" w:rsidP="00D67A33">
      <w:pPr>
        <w:pStyle w:val="NASLOV123"/>
        <w:spacing w:before="0" w:after="0"/>
        <w:jc w:val="both"/>
        <w:rPr>
          <w:lang w:val="sr-Latn-RS"/>
        </w:rPr>
      </w:pPr>
      <w:r w:rsidRPr="00814B5B">
        <w:rPr>
          <w:lang w:val="sr-Latn-RS"/>
        </w:rPr>
        <w:t>8. BROJ</w:t>
      </w:r>
      <w:r w:rsidR="002F6BCC" w:rsidRPr="00814B5B">
        <w:rPr>
          <w:lang w:val="sr-Latn-RS"/>
        </w:rPr>
        <w:t xml:space="preserve"> </w:t>
      </w:r>
      <w:r w:rsidRPr="00814B5B">
        <w:rPr>
          <w:lang w:val="sr-Latn-RS"/>
        </w:rPr>
        <w:t>DOZVOLE</w:t>
      </w:r>
      <w:r w:rsidR="00F9556F" w:rsidRPr="00814B5B">
        <w:rPr>
          <w:lang w:val="sr-Latn-RS"/>
        </w:rPr>
        <w:t xml:space="preserve"> </w:t>
      </w:r>
      <w:r w:rsidRPr="00814B5B">
        <w:rPr>
          <w:lang w:val="sr-Latn-RS"/>
        </w:rPr>
        <w:t xml:space="preserve"> ZA STAVLJANJE L</w:t>
      </w:r>
      <w:r w:rsidR="00933EC2" w:rsidRPr="00814B5B">
        <w:rPr>
          <w:lang w:val="sr-Latn-RS"/>
        </w:rPr>
        <w:t>IJ</w:t>
      </w:r>
      <w:r w:rsidRPr="00814B5B">
        <w:rPr>
          <w:lang w:val="sr-Latn-RS"/>
        </w:rPr>
        <w:t>EKA U PROMET</w:t>
      </w:r>
    </w:p>
    <w:p w14:paraId="5A765527" w14:textId="193DA59D" w:rsidR="00933EC2" w:rsidRPr="00814B5B" w:rsidRDefault="00933EC2" w:rsidP="00D67A33">
      <w:pPr>
        <w:pStyle w:val="NASLOV123"/>
        <w:spacing w:before="0" w:after="0"/>
        <w:jc w:val="both"/>
        <w:rPr>
          <w:lang w:val="sr-Latn-RS"/>
        </w:rPr>
      </w:pPr>
    </w:p>
    <w:p w14:paraId="6D072E0F" w14:textId="154FC706" w:rsidR="009B0D39" w:rsidRPr="002A65F1" w:rsidRDefault="002A65F1" w:rsidP="00D67A33">
      <w:pPr>
        <w:pStyle w:val="NASLOV123"/>
        <w:spacing w:before="0" w:after="0"/>
        <w:jc w:val="both"/>
        <w:rPr>
          <w:b w:val="0"/>
          <w:lang w:val="sr-Latn-RS"/>
        </w:rPr>
      </w:pPr>
      <w:r w:rsidRPr="002A65F1">
        <w:rPr>
          <w:b w:val="0"/>
        </w:rPr>
        <w:t>2030/25/272 - 3510</w:t>
      </w:r>
      <w:r>
        <w:rPr>
          <w:b w:val="0"/>
        </w:rPr>
        <w:t xml:space="preserve"> </w:t>
      </w:r>
    </w:p>
    <w:p w14:paraId="037BE168" w14:textId="4CD18E39" w:rsidR="009B0D39" w:rsidRDefault="009B0D39" w:rsidP="00D67A33">
      <w:pPr>
        <w:pStyle w:val="NASLOV123"/>
        <w:spacing w:before="0" w:after="0"/>
        <w:jc w:val="both"/>
        <w:rPr>
          <w:lang w:val="sr-Latn-RS"/>
        </w:rPr>
      </w:pPr>
    </w:p>
    <w:p w14:paraId="1E49FB4C" w14:textId="77777777" w:rsidR="002A65F1" w:rsidRPr="00814B5B" w:rsidRDefault="002A65F1" w:rsidP="00D67A33">
      <w:pPr>
        <w:pStyle w:val="NASLOV123"/>
        <w:spacing w:before="0" w:after="0"/>
        <w:jc w:val="both"/>
        <w:rPr>
          <w:lang w:val="sr-Latn-RS"/>
        </w:rPr>
      </w:pPr>
    </w:p>
    <w:p w14:paraId="378FB0B0" w14:textId="02AC4D9B" w:rsidR="00007EF9" w:rsidRPr="00814B5B" w:rsidRDefault="00007EF9" w:rsidP="00D67A33">
      <w:pPr>
        <w:pStyle w:val="NASLOV123"/>
        <w:spacing w:before="0" w:after="0"/>
        <w:jc w:val="both"/>
        <w:rPr>
          <w:lang w:val="sr-Latn-RS"/>
        </w:rPr>
      </w:pPr>
      <w:r w:rsidRPr="00814B5B">
        <w:rPr>
          <w:lang w:val="sr-Latn-RS"/>
        </w:rPr>
        <w:lastRenderedPageBreak/>
        <w:t>9. DATUM PRVE DOZVOLE</w:t>
      </w:r>
      <w:r w:rsidR="00933EC2" w:rsidRPr="00814B5B">
        <w:rPr>
          <w:lang w:val="sr-Latn-RS"/>
        </w:rPr>
        <w:t>/</w:t>
      </w:r>
      <w:r w:rsidRPr="00814B5B">
        <w:rPr>
          <w:lang w:val="sr-Latn-RS"/>
        </w:rPr>
        <w:t>OBNOVE DOZVOLE ZA STAVLJANJE L</w:t>
      </w:r>
      <w:r w:rsidR="00933EC2" w:rsidRPr="00814B5B">
        <w:rPr>
          <w:lang w:val="sr-Latn-RS"/>
        </w:rPr>
        <w:t>IJ</w:t>
      </w:r>
      <w:r w:rsidRPr="00814B5B">
        <w:rPr>
          <w:lang w:val="sr-Latn-RS"/>
        </w:rPr>
        <w:t>EKA U PROMET</w:t>
      </w:r>
    </w:p>
    <w:p w14:paraId="0E031923" w14:textId="7C2A1CF2" w:rsidR="00933EC2" w:rsidRPr="00814B5B" w:rsidRDefault="00933EC2" w:rsidP="00D67A33">
      <w:pPr>
        <w:pStyle w:val="NASLOV123"/>
        <w:spacing w:before="0" w:after="0"/>
        <w:jc w:val="both"/>
        <w:rPr>
          <w:lang w:val="sr-Latn-RS"/>
        </w:rPr>
      </w:pPr>
    </w:p>
    <w:p w14:paraId="76A55EA8" w14:textId="5BA20F42" w:rsidR="009B0D39" w:rsidRPr="002A65F1" w:rsidRDefault="002A65F1" w:rsidP="00D67A33">
      <w:pPr>
        <w:pStyle w:val="NASLOV123"/>
        <w:spacing w:before="0" w:after="0"/>
        <w:jc w:val="both"/>
        <w:rPr>
          <w:b w:val="0"/>
          <w:lang w:val="sr-Latn-RS"/>
        </w:rPr>
      </w:pPr>
      <w:r w:rsidRPr="002A65F1">
        <w:rPr>
          <w:b w:val="0"/>
          <w:lang w:val="sr-Latn-RS"/>
        </w:rPr>
        <w:t>22.01.2025. godine</w:t>
      </w:r>
    </w:p>
    <w:p w14:paraId="7096E78B" w14:textId="0F28B04E" w:rsidR="002A65F1" w:rsidRDefault="002A65F1" w:rsidP="00D67A33">
      <w:pPr>
        <w:pStyle w:val="NASLOV123"/>
        <w:spacing w:before="0" w:after="0"/>
        <w:jc w:val="both"/>
        <w:rPr>
          <w:lang w:val="sr-Latn-RS"/>
        </w:rPr>
      </w:pPr>
    </w:p>
    <w:p w14:paraId="27005251" w14:textId="77777777" w:rsidR="002A65F1" w:rsidRPr="00814B5B" w:rsidRDefault="002A65F1" w:rsidP="00D67A33">
      <w:pPr>
        <w:pStyle w:val="NASLOV123"/>
        <w:spacing w:before="0" w:after="0"/>
        <w:jc w:val="both"/>
        <w:rPr>
          <w:lang w:val="sr-Latn-RS"/>
        </w:rPr>
      </w:pPr>
    </w:p>
    <w:p w14:paraId="49B431FD" w14:textId="787A2B8F" w:rsidR="002A65F1" w:rsidRDefault="00007EF9" w:rsidP="002A65F1">
      <w:pPr>
        <w:pStyle w:val="NASLOV123"/>
        <w:spacing w:before="0" w:after="0"/>
        <w:jc w:val="both"/>
        <w:rPr>
          <w:lang w:val="sr-Latn-RS"/>
        </w:rPr>
      </w:pPr>
      <w:r w:rsidRPr="00814B5B">
        <w:rPr>
          <w:lang w:val="sr-Latn-RS"/>
        </w:rPr>
        <w:t>10. DATUM REVIZIJE TEKSTA</w:t>
      </w:r>
    </w:p>
    <w:p w14:paraId="01E61612" w14:textId="506602B3" w:rsidR="002A65F1" w:rsidRDefault="002A65F1" w:rsidP="002A65F1">
      <w:pPr>
        <w:pStyle w:val="NASLOV123"/>
        <w:spacing w:before="0" w:after="0"/>
        <w:jc w:val="both"/>
        <w:rPr>
          <w:lang w:val="sr-Latn-RS"/>
        </w:rPr>
      </w:pPr>
    </w:p>
    <w:p w14:paraId="748272ED" w14:textId="75E36615" w:rsidR="002A65F1" w:rsidRPr="002A65F1" w:rsidRDefault="002A65F1" w:rsidP="002A65F1">
      <w:pPr>
        <w:pStyle w:val="NASLOV123"/>
        <w:spacing w:before="0" w:after="0"/>
        <w:jc w:val="both"/>
        <w:rPr>
          <w:b w:val="0"/>
          <w:lang w:val="sr-Latn-RS"/>
        </w:rPr>
      </w:pPr>
      <w:bookmarkStart w:id="2" w:name="_GoBack"/>
      <w:r w:rsidRPr="002A65F1">
        <w:rPr>
          <w:b w:val="0"/>
          <w:lang w:val="sr-Latn-RS"/>
        </w:rPr>
        <w:t>Januar, 2025. godine</w:t>
      </w:r>
      <w:bookmarkEnd w:id="2"/>
    </w:p>
    <w:sectPr w:rsidR="002A65F1" w:rsidRPr="002A65F1" w:rsidSect="00D67A33">
      <w:footerReference w:type="even" r:id="rId16"/>
      <w:footerReference w:type="default" r:id="rId17"/>
      <w:pgSz w:w="11907" w:h="16840" w:code="9"/>
      <w:pgMar w:top="907" w:right="1134" w:bottom="907"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7ED05" w14:textId="77777777" w:rsidR="00B746A5" w:rsidRDefault="00B746A5">
      <w:r>
        <w:separator/>
      </w:r>
    </w:p>
  </w:endnote>
  <w:endnote w:type="continuationSeparator" w:id="0">
    <w:p w14:paraId="47D48DCE" w14:textId="77777777" w:rsidR="00B746A5" w:rsidRDefault="00B7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Times New Roman"/>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C50CA" w14:textId="77777777" w:rsidR="00814B5B" w:rsidRDefault="00814B5B"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03F5F9" w14:textId="77777777" w:rsidR="00814B5B" w:rsidRDefault="00814B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DB14F" w14:textId="68494A8B" w:rsidR="00814B5B" w:rsidRPr="004A4D84" w:rsidRDefault="00814B5B" w:rsidP="00CE09F3">
    <w:pPr>
      <w:pStyle w:val="Footer"/>
      <w:tabs>
        <w:tab w:val="left" w:pos="5448"/>
      </w:tabs>
      <w:spacing w:before="360"/>
      <w:jc w:val="center"/>
      <w:rPr>
        <w:sz w:val="20"/>
        <w:szCs w:val="20"/>
      </w:rPr>
    </w:pPr>
    <w:r w:rsidRPr="004A4D84">
      <w:rPr>
        <w:sz w:val="20"/>
        <w:szCs w:val="20"/>
      </w:rPr>
      <w:fldChar w:fldCharType="begin"/>
    </w:r>
    <w:r w:rsidRPr="004A4D84">
      <w:rPr>
        <w:sz w:val="20"/>
        <w:szCs w:val="20"/>
      </w:rPr>
      <w:instrText xml:space="preserve"> PAGE </w:instrText>
    </w:r>
    <w:r w:rsidRPr="004A4D84">
      <w:rPr>
        <w:sz w:val="20"/>
        <w:szCs w:val="20"/>
      </w:rPr>
      <w:fldChar w:fldCharType="separate"/>
    </w:r>
    <w:r w:rsidR="002A65F1">
      <w:rPr>
        <w:noProof/>
        <w:sz w:val="20"/>
        <w:szCs w:val="20"/>
      </w:rPr>
      <w:t>17</w:t>
    </w:r>
    <w:r w:rsidRPr="004A4D84">
      <w:rPr>
        <w:sz w:val="20"/>
        <w:szCs w:val="20"/>
      </w:rPr>
      <w:fldChar w:fldCharType="end"/>
    </w:r>
    <w:r w:rsidRPr="004A4D84">
      <w:rPr>
        <w:sz w:val="20"/>
        <w:szCs w:val="20"/>
      </w:rPr>
      <w:t xml:space="preserve"> / </w:t>
    </w:r>
    <w:r w:rsidRPr="004A4D84">
      <w:rPr>
        <w:sz w:val="20"/>
        <w:szCs w:val="20"/>
      </w:rPr>
      <w:fldChar w:fldCharType="begin"/>
    </w:r>
    <w:r w:rsidRPr="004A4D84">
      <w:rPr>
        <w:sz w:val="20"/>
        <w:szCs w:val="20"/>
      </w:rPr>
      <w:instrText xml:space="preserve"> NUMPAGES  </w:instrText>
    </w:r>
    <w:r w:rsidRPr="004A4D84">
      <w:rPr>
        <w:sz w:val="20"/>
        <w:szCs w:val="20"/>
      </w:rPr>
      <w:fldChar w:fldCharType="separate"/>
    </w:r>
    <w:r w:rsidR="002A65F1">
      <w:rPr>
        <w:noProof/>
        <w:sz w:val="20"/>
        <w:szCs w:val="20"/>
      </w:rPr>
      <w:t>17</w:t>
    </w:r>
    <w:r w:rsidRPr="004A4D84">
      <w:rPr>
        <w:sz w:val="20"/>
        <w:szCs w:val="20"/>
      </w:rPr>
      <w:fldChar w:fldCharType="end"/>
    </w:r>
  </w:p>
  <w:p w14:paraId="1A68149E" w14:textId="77777777" w:rsidR="00814B5B" w:rsidRPr="00C536C2" w:rsidRDefault="00814B5B"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5C9DB" w14:textId="77777777" w:rsidR="00B746A5" w:rsidRDefault="00B746A5">
      <w:r>
        <w:separator/>
      </w:r>
    </w:p>
  </w:footnote>
  <w:footnote w:type="continuationSeparator" w:id="0">
    <w:p w14:paraId="28F296AF" w14:textId="77777777" w:rsidR="00B746A5" w:rsidRDefault="00B74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2ACF7E3D"/>
    <w:multiLevelType w:val="hybridMultilevel"/>
    <w:tmpl w:val="805CCA22"/>
    <w:lvl w:ilvl="0" w:tplc="254C55D2">
      <w:numFmt w:val="bullet"/>
      <w:lvlText w:val=""/>
      <w:lvlJc w:val="left"/>
      <w:pPr>
        <w:tabs>
          <w:tab w:val="num" w:pos="360"/>
        </w:tabs>
        <w:ind w:left="360" w:hanging="360"/>
      </w:pPr>
      <w:rPr>
        <w:rFonts w:ascii="Symbol" w:eastAsia="MS Mincho" w:hAnsi="Symbol" w:cs="Times New Roman"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B55608"/>
    <w:multiLevelType w:val="hybridMultilevel"/>
    <w:tmpl w:val="77380786"/>
    <w:lvl w:ilvl="0" w:tplc="43CC696C">
      <w:start w:val="1"/>
      <w:numFmt w:val="bullet"/>
      <w:lvlText w:val="-"/>
      <w:lvlJc w:val="left"/>
      <w:pPr>
        <w:ind w:left="720" w:hanging="360"/>
      </w:pPr>
      <w:rPr>
        <w:rFonts w:ascii="Times New Roman" w:hAnsi="Times New Roman" w:cs="Times New Roman"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 w15:restartNumberingAfterBreak="0">
    <w:nsid w:val="556E22F8"/>
    <w:multiLevelType w:val="hybridMultilevel"/>
    <w:tmpl w:val="5D4471CE"/>
    <w:lvl w:ilvl="0" w:tplc="BC1065E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0"/>
    <w:lvlOverride w:ilvl="0">
      <w:startOverride w:val="7"/>
    </w:lvlOverride>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0811"/>
    <w:rsid w:val="00000CE0"/>
    <w:rsid w:val="000061A8"/>
    <w:rsid w:val="00007EF9"/>
    <w:rsid w:val="000116C7"/>
    <w:rsid w:val="00011F3D"/>
    <w:rsid w:val="00014BF2"/>
    <w:rsid w:val="0001587A"/>
    <w:rsid w:val="0001589A"/>
    <w:rsid w:val="00015B43"/>
    <w:rsid w:val="000162AE"/>
    <w:rsid w:val="00017801"/>
    <w:rsid w:val="00022471"/>
    <w:rsid w:val="00030013"/>
    <w:rsid w:val="000451CD"/>
    <w:rsid w:val="0005166E"/>
    <w:rsid w:val="00054630"/>
    <w:rsid w:val="00055BF5"/>
    <w:rsid w:val="0005798D"/>
    <w:rsid w:val="00064273"/>
    <w:rsid w:val="00074E50"/>
    <w:rsid w:val="00076D01"/>
    <w:rsid w:val="00083BE0"/>
    <w:rsid w:val="0009023E"/>
    <w:rsid w:val="00091340"/>
    <w:rsid w:val="00094F65"/>
    <w:rsid w:val="00095FB6"/>
    <w:rsid w:val="00096E57"/>
    <w:rsid w:val="0009758B"/>
    <w:rsid w:val="000A0F4A"/>
    <w:rsid w:val="000B0F23"/>
    <w:rsid w:val="000B38A6"/>
    <w:rsid w:val="000C0432"/>
    <w:rsid w:val="000C1B7F"/>
    <w:rsid w:val="000C4CBB"/>
    <w:rsid w:val="000C5BC6"/>
    <w:rsid w:val="000D5631"/>
    <w:rsid w:val="000E0F52"/>
    <w:rsid w:val="000E17E9"/>
    <w:rsid w:val="000E75C0"/>
    <w:rsid w:val="000E7FD6"/>
    <w:rsid w:val="000F601A"/>
    <w:rsid w:val="00105830"/>
    <w:rsid w:val="001066D6"/>
    <w:rsid w:val="001133D7"/>
    <w:rsid w:val="00114DAB"/>
    <w:rsid w:val="00122A0C"/>
    <w:rsid w:val="00124F69"/>
    <w:rsid w:val="001251B2"/>
    <w:rsid w:val="00136CDB"/>
    <w:rsid w:val="00141639"/>
    <w:rsid w:val="0014180A"/>
    <w:rsid w:val="001419DE"/>
    <w:rsid w:val="00142CB7"/>
    <w:rsid w:val="0015426F"/>
    <w:rsid w:val="00161617"/>
    <w:rsid w:val="00167A58"/>
    <w:rsid w:val="00170B1B"/>
    <w:rsid w:val="00173D18"/>
    <w:rsid w:val="00175772"/>
    <w:rsid w:val="00175A7E"/>
    <w:rsid w:val="001830BC"/>
    <w:rsid w:val="0018601D"/>
    <w:rsid w:val="00194E1A"/>
    <w:rsid w:val="00195035"/>
    <w:rsid w:val="001A01B0"/>
    <w:rsid w:val="001A53F2"/>
    <w:rsid w:val="001B35F3"/>
    <w:rsid w:val="001B3693"/>
    <w:rsid w:val="001B36D7"/>
    <w:rsid w:val="001B706A"/>
    <w:rsid w:val="001D0F7C"/>
    <w:rsid w:val="001D10C9"/>
    <w:rsid w:val="001D2177"/>
    <w:rsid w:val="001D32B4"/>
    <w:rsid w:val="001E0A07"/>
    <w:rsid w:val="001E574A"/>
    <w:rsid w:val="001E6145"/>
    <w:rsid w:val="001E669E"/>
    <w:rsid w:val="001F2AE1"/>
    <w:rsid w:val="001F2D4E"/>
    <w:rsid w:val="001F39B6"/>
    <w:rsid w:val="00213CE7"/>
    <w:rsid w:val="002152F6"/>
    <w:rsid w:val="0021668D"/>
    <w:rsid w:val="00216CA1"/>
    <w:rsid w:val="00220ABE"/>
    <w:rsid w:val="00220E9E"/>
    <w:rsid w:val="0022218E"/>
    <w:rsid w:val="0022223A"/>
    <w:rsid w:val="002302CF"/>
    <w:rsid w:val="0023222A"/>
    <w:rsid w:val="0024132F"/>
    <w:rsid w:val="00241D98"/>
    <w:rsid w:val="00242DCD"/>
    <w:rsid w:val="00243785"/>
    <w:rsid w:val="00247C5C"/>
    <w:rsid w:val="002703B0"/>
    <w:rsid w:val="00273BE0"/>
    <w:rsid w:val="002752C6"/>
    <w:rsid w:val="00277407"/>
    <w:rsid w:val="00281FE1"/>
    <w:rsid w:val="00285E12"/>
    <w:rsid w:val="002866A7"/>
    <w:rsid w:val="00291404"/>
    <w:rsid w:val="00291650"/>
    <w:rsid w:val="0029175B"/>
    <w:rsid w:val="0029392D"/>
    <w:rsid w:val="002A09A3"/>
    <w:rsid w:val="002A249F"/>
    <w:rsid w:val="002A65F1"/>
    <w:rsid w:val="002B4BC2"/>
    <w:rsid w:val="002B5792"/>
    <w:rsid w:val="002B633D"/>
    <w:rsid w:val="002B6F6A"/>
    <w:rsid w:val="002C0FBF"/>
    <w:rsid w:val="002C26DA"/>
    <w:rsid w:val="002C36CA"/>
    <w:rsid w:val="002C7338"/>
    <w:rsid w:val="002E17EE"/>
    <w:rsid w:val="002F25F3"/>
    <w:rsid w:val="002F2623"/>
    <w:rsid w:val="002F5E2F"/>
    <w:rsid w:val="002F6BCC"/>
    <w:rsid w:val="00304AA9"/>
    <w:rsid w:val="00307ED5"/>
    <w:rsid w:val="0031014D"/>
    <w:rsid w:val="00315E20"/>
    <w:rsid w:val="00316FC0"/>
    <w:rsid w:val="00324F6A"/>
    <w:rsid w:val="00327A0B"/>
    <w:rsid w:val="00327D41"/>
    <w:rsid w:val="003352F1"/>
    <w:rsid w:val="003373DA"/>
    <w:rsid w:val="00337E99"/>
    <w:rsid w:val="003452C0"/>
    <w:rsid w:val="00352FAD"/>
    <w:rsid w:val="003602E4"/>
    <w:rsid w:val="00364D34"/>
    <w:rsid w:val="003658C4"/>
    <w:rsid w:val="0037211E"/>
    <w:rsid w:val="00372CF8"/>
    <w:rsid w:val="00373838"/>
    <w:rsid w:val="00383195"/>
    <w:rsid w:val="00390D58"/>
    <w:rsid w:val="00391306"/>
    <w:rsid w:val="00391F1A"/>
    <w:rsid w:val="00392C45"/>
    <w:rsid w:val="00397612"/>
    <w:rsid w:val="003A2DF8"/>
    <w:rsid w:val="003A5638"/>
    <w:rsid w:val="003A60DE"/>
    <w:rsid w:val="003B2082"/>
    <w:rsid w:val="003B491C"/>
    <w:rsid w:val="003B756E"/>
    <w:rsid w:val="003C18A4"/>
    <w:rsid w:val="003C30AB"/>
    <w:rsid w:val="003C3824"/>
    <w:rsid w:val="003C3CD0"/>
    <w:rsid w:val="003C60A2"/>
    <w:rsid w:val="003C76E4"/>
    <w:rsid w:val="003E3433"/>
    <w:rsid w:val="003E38FA"/>
    <w:rsid w:val="003E3EC7"/>
    <w:rsid w:val="003E7FEB"/>
    <w:rsid w:val="00400D86"/>
    <w:rsid w:val="00400E70"/>
    <w:rsid w:val="004123CD"/>
    <w:rsid w:val="00414AEE"/>
    <w:rsid w:val="00421C57"/>
    <w:rsid w:val="004234ED"/>
    <w:rsid w:val="00427D41"/>
    <w:rsid w:val="00430CE4"/>
    <w:rsid w:val="00434C78"/>
    <w:rsid w:val="00437558"/>
    <w:rsid w:val="004419D1"/>
    <w:rsid w:val="00445C37"/>
    <w:rsid w:val="004513CC"/>
    <w:rsid w:val="00453111"/>
    <w:rsid w:val="004557EE"/>
    <w:rsid w:val="004569C0"/>
    <w:rsid w:val="00460BC1"/>
    <w:rsid w:val="004610FA"/>
    <w:rsid w:val="00462C33"/>
    <w:rsid w:val="004778BF"/>
    <w:rsid w:val="00483D74"/>
    <w:rsid w:val="0048729D"/>
    <w:rsid w:val="00490F4B"/>
    <w:rsid w:val="0049207E"/>
    <w:rsid w:val="004921BD"/>
    <w:rsid w:val="00492248"/>
    <w:rsid w:val="0049274B"/>
    <w:rsid w:val="00494086"/>
    <w:rsid w:val="00497648"/>
    <w:rsid w:val="004A205F"/>
    <w:rsid w:val="004A3836"/>
    <w:rsid w:val="004A4D84"/>
    <w:rsid w:val="004A707A"/>
    <w:rsid w:val="004B4672"/>
    <w:rsid w:val="004B5967"/>
    <w:rsid w:val="004B5A11"/>
    <w:rsid w:val="004B7A50"/>
    <w:rsid w:val="004C3FA5"/>
    <w:rsid w:val="004C6DB3"/>
    <w:rsid w:val="004D0D70"/>
    <w:rsid w:val="004D230F"/>
    <w:rsid w:val="004D2CF9"/>
    <w:rsid w:val="004D59F5"/>
    <w:rsid w:val="004E2EB1"/>
    <w:rsid w:val="004F4D5C"/>
    <w:rsid w:val="004F6ABD"/>
    <w:rsid w:val="005015BB"/>
    <w:rsid w:val="00503974"/>
    <w:rsid w:val="00520754"/>
    <w:rsid w:val="0052230B"/>
    <w:rsid w:val="00522F9F"/>
    <w:rsid w:val="00525A8A"/>
    <w:rsid w:val="00525AFC"/>
    <w:rsid w:val="005260BC"/>
    <w:rsid w:val="00526D55"/>
    <w:rsid w:val="005276F0"/>
    <w:rsid w:val="00530909"/>
    <w:rsid w:val="005327EB"/>
    <w:rsid w:val="005612DA"/>
    <w:rsid w:val="005649C4"/>
    <w:rsid w:val="00565237"/>
    <w:rsid w:val="00567AE0"/>
    <w:rsid w:val="005708F2"/>
    <w:rsid w:val="00570EF3"/>
    <w:rsid w:val="00587B79"/>
    <w:rsid w:val="00593D4D"/>
    <w:rsid w:val="00595256"/>
    <w:rsid w:val="005957B4"/>
    <w:rsid w:val="005A24BD"/>
    <w:rsid w:val="005A4234"/>
    <w:rsid w:val="005B3388"/>
    <w:rsid w:val="005B5C79"/>
    <w:rsid w:val="005B711A"/>
    <w:rsid w:val="005C3564"/>
    <w:rsid w:val="005C3F73"/>
    <w:rsid w:val="005C5EE4"/>
    <w:rsid w:val="005C7891"/>
    <w:rsid w:val="005D089A"/>
    <w:rsid w:val="005D32AE"/>
    <w:rsid w:val="005D4004"/>
    <w:rsid w:val="005D488C"/>
    <w:rsid w:val="005E172B"/>
    <w:rsid w:val="005E1BAD"/>
    <w:rsid w:val="005E256E"/>
    <w:rsid w:val="005E7904"/>
    <w:rsid w:val="005F625C"/>
    <w:rsid w:val="005F7EE0"/>
    <w:rsid w:val="00601BF7"/>
    <w:rsid w:val="00603302"/>
    <w:rsid w:val="00604E4F"/>
    <w:rsid w:val="006054EE"/>
    <w:rsid w:val="006118B6"/>
    <w:rsid w:val="00611FF1"/>
    <w:rsid w:val="00613308"/>
    <w:rsid w:val="006270C0"/>
    <w:rsid w:val="0062710B"/>
    <w:rsid w:val="00630195"/>
    <w:rsid w:val="00634990"/>
    <w:rsid w:val="006428A3"/>
    <w:rsid w:val="00642E09"/>
    <w:rsid w:val="006464E1"/>
    <w:rsid w:val="00652597"/>
    <w:rsid w:val="0065521C"/>
    <w:rsid w:val="006559AF"/>
    <w:rsid w:val="00657876"/>
    <w:rsid w:val="00660ED5"/>
    <w:rsid w:val="006615A1"/>
    <w:rsid w:val="00664EA3"/>
    <w:rsid w:val="00677B12"/>
    <w:rsid w:val="006801A8"/>
    <w:rsid w:val="00685212"/>
    <w:rsid w:val="00690EAA"/>
    <w:rsid w:val="0069106A"/>
    <w:rsid w:val="00693874"/>
    <w:rsid w:val="00693F46"/>
    <w:rsid w:val="006A1861"/>
    <w:rsid w:val="006A547A"/>
    <w:rsid w:val="006C198F"/>
    <w:rsid w:val="006C667F"/>
    <w:rsid w:val="006C7972"/>
    <w:rsid w:val="006D01A9"/>
    <w:rsid w:val="006D513B"/>
    <w:rsid w:val="006E26E1"/>
    <w:rsid w:val="006F0FFE"/>
    <w:rsid w:val="006F158F"/>
    <w:rsid w:val="006F23E2"/>
    <w:rsid w:val="006F28B8"/>
    <w:rsid w:val="006F5B18"/>
    <w:rsid w:val="00704A7B"/>
    <w:rsid w:val="00707B46"/>
    <w:rsid w:val="0071043E"/>
    <w:rsid w:val="0071148E"/>
    <w:rsid w:val="0071569B"/>
    <w:rsid w:val="00717553"/>
    <w:rsid w:val="00724382"/>
    <w:rsid w:val="007308E6"/>
    <w:rsid w:val="00741F1E"/>
    <w:rsid w:val="00742C90"/>
    <w:rsid w:val="0075441E"/>
    <w:rsid w:val="00754CFF"/>
    <w:rsid w:val="0076357C"/>
    <w:rsid w:val="00763C8C"/>
    <w:rsid w:val="0076414F"/>
    <w:rsid w:val="00764648"/>
    <w:rsid w:val="007672F3"/>
    <w:rsid w:val="00773110"/>
    <w:rsid w:val="00774AA9"/>
    <w:rsid w:val="00780530"/>
    <w:rsid w:val="00785A0F"/>
    <w:rsid w:val="007949F0"/>
    <w:rsid w:val="007953CF"/>
    <w:rsid w:val="007B16C4"/>
    <w:rsid w:val="007B39CA"/>
    <w:rsid w:val="007B5940"/>
    <w:rsid w:val="007B600E"/>
    <w:rsid w:val="007B6DAB"/>
    <w:rsid w:val="007B71A3"/>
    <w:rsid w:val="007C2D7E"/>
    <w:rsid w:val="007D17FD"/>
    <w:rsid w:val="007D48C5"/>
    <w:rsid w:val="007D5D77"/>
    <w:rsid w:val="007E06F0"/>
    <w:rsid w:val="007E0E66"/>
    <w:rsid w:val="007E4572"/>
    <w:rsid w:val="00802B99"/>
    <w:rsid w:val="00802DFC"/>
    <w:rsid w:val="008032D4"/>
    <w:rsid w:val="00806B89"/>
    <w:rsid w:val="00812D02"/>
    <w:rsid w:val="00814781"/>
    <w:rsid w:val="00814B5B"/>
    <w:rsid w:val="00816D2E"/>
    <w:rsid w:val="008221EA"/>
    <w:rsid w:val="008274FC"/>
    <w:rsid w:val="008304B3"/>
    <w:rsid w:val="00834DBB"/>
    <w:rsid w:val="008350E2"/>
    <w:rsid w:val="00836AA7"/>
    <w:rsid w:val="00842FFB"/>
    <w:rsid w:val="0084386C"/>
    <w:rsid w:val="00846599"/>
    <w:rsid w:val="008547C9"/>
    <w:rsid w:val="00860310"/>
    <w:rsid w:val="0086351A"/>
    <w:rsid w:val="00870A3B"/>
    <w:rsid w:val="00872E2C"/>
    <w:rsid w:val="00873C90"/>
    <w:rsid w:val="00874B61"/>
    <w:rsid w:val="00875F95"/>
    <w:rsid w:val="00881A78"/>
    <w:rsid w:val="008855C8"/>
    <w:rsid w:val="008871BE"/>
    <w:rsid w:val="008960D1"/>
    <w:rsid w:val="008966CC"/>
    <w:rsid w:val="00896FA3"/>
    <w:rsid w:val="008A361C"/>
    <w:rsid w:val="008A48B7"/>
    <w:rsid w:val="008B3EB5"/>
    <w:rsid w:val="008B665C"/>
    <w:rsid w:val="008B6A73"/>
    <w:rsid w:val="008C2F46"/>
    <w:rsid w:val="008C5809"/>
    <w:rsid w:val="008D78C9"/>
    <w:rsid w:val="008E0FC9"/>
    <w:rsid w:val="00906428"/>
    <w:rsid w:val="00913684"/>
    <w:rsid w:val="009160BD"/>
    <w:rsid w:val="00923494"/>
    <w:rsid w:val="00923865"/>
    <w:rsid w:val="00924504"/>
    <w:rsid w:val="0092770E"/>
    <w:rsid w:val="0093016E"/>
    <w:rsid w:val="00933EC2"/>
    <w:rsid w:val="009341C2"/>
    <w:rsid w:val="00934B4D"/>
    <w:rsid w:val="00935E43"/>
    <w:rsid w:val="00936AC9"/>
    <w:rsid w:val="00946785"/>
    <w:rsid w:val="00950E89"/>
    <w:rsid w:val="00955C75"/>
    <w:rsid w:val="009677DF"/>
    <w:rsid w:val="009767F1"/>
    <w:rsid w:val="00983D10"/>
    <w:rsid w:val="00984541"/>
    <w:rsid w:val="00985257"/>
    <w:rsid w:val="009874E7"/>
    <w:rsid w:val="0099387F"/>
    <w:rsid w:val="009942B3"/>
    <w:rsid w:val="009946F8"/>
    <w:rsid w:val="00996E6B"/>
    <w:rsid w:val="009A1D64"/>
    <w:rsid w:val="009A26F5"/>
    <w:rsid w:val="009A44B5"/>
    <w:rsid w:val="009A5600"/>
    <w:rsid w:val="009B077F"/>
    <w:rsid w:val="009B0D39"/>
    <w:rsid w:val="009B1292"/>
    <w:rsid w:val="009B153D"/>
    <w:rsid w:val="009B2430"/>
    <w:rsid w:val="009B338B"/>
    <w:rsid w:val="009B58AD"/>
    <w:rsid w:val="009B5FFC"/>
    <w:rsid w:val="009B7935"/>
    <w:rsid w:val="009C13D0"/>
    <w:rsid w:val="009C57A3"/>
    <w:rsid w:val="009C64DE"/>
    <w:rsid w:val="009C7BA2"/>
    <w:rsid w:val="009D1161"/>
    <w:rsid w:val="009D4D7F"/>
    <w:rsid w:val="009D667B"/>
    <w:rsid w:val="009F4449"/>
    <w:rsid w:val="009F58B3"/>
    <w:rsid w:val="009F7923"/>
    <w:rsid w:val="00A02252"/>
    <w:rsid w:val="00A0409C"/>
    <w:rsid w:val="00A07219"/>
    <w:rsid w:val="00A103B7"/>
    <w:rsid w:val="00A127F1"/>
    <w:rsid w:val="00A165B2"/>
    <w:rsid w:val="00A24EE9"/>
    <w:rsid w:val="00A27130"/>
    <w:rsid w:val="00A31B39"/>
    <w:rsid w:val="00A31D55"/>
    <w:rsid w:val="00A344C9"/>
    <w:rsid w:val="00A34DB4"/>
    <w:rsid w:val="00A449B4"/>
    <w:rsid w:val="00A476FE"/>
    <w:rsid w:val="00A51761"/>
    <w:rsid w:val="00A51E6A"/>
    <w:rsid w:val="00A530DA"/>
    <w:rsid w:val="00A53B4F"/>
    <w:rsid w:val="00A555B0"/>
    <w:rsid w:val="00A672A2"/>
    <w:rsid w:val="00A679C2"/>
    <w:rsid w:val="00A7147C"/>
    <w:rsid w:val="00A7660B"/>
    <w:rsid w:val="00A81B47"/>
    <w:rsid w:val="00A86897"/>
    <w:rsid w:val="00A86975"/>
    <w:rsid w:val="00A94549"/>
    <w:rsid w:val="00A95733"/>
    <w:rsid w:val="00A95B99"/>
    <w:rsid w:val="00A97609"/>
    <w:rsid w:val="00AA0AAD"/>
    <w:rsid w:val="00AA16F2"/>
    <w:rsid w:val="00AB5465"/>
    <w:rsid w:val="00AB78A4"/>
    <w:rsid w:val="00AC2BEE"/>
    <w:rsid w:val="00AC32B3"/>
    <w:rsid w:val="00AE5827"/>
    <w:rsid w:val="00AF0D4B"/>
    <w:rsid w:val="00AF71E0"/>
    <w:rsid w:val="00B01317"/>
    <w:rsid w:val="00B1189F"/>
    <w:rsid w:val="00B156E2"/>
    <w:rsid w:val="00B26FAC"/>
    <w:rsid w:val="00B3118F"/>
    <w:rsid w:val="00B31AA2"/>
    <w:rsid w:val="00B34AD0"/>
    <w:rsid w:val="00B355BD"/>
    <w:rsid w:val="00B36EF0"/>
    <w:rsid w:val="00B42471"/>
    <w:rsid w:val="00B45F3C"/>
    <w:rsid w:val="00B50D17"/>
    <w:rsid w:val="00B57C61"/>
    <w:rsid w:val="00B6418D"/>
    <w:rsid w:val="00B64E5F"/>
    <w:rsid w:val="00B65ED0"/>
    <w:rsid w:val="00B72D81"/>
    <w:rsid w:val="00B746A5"/>
    <w:rsid w:val="00B74C0B"/>
    <w:rsid w:val="00B8400D"/>
    <w:rsid w:val="00B869F4"/>
    <w:rsid w:val="00B93A37"/>
    <w:rsid w:val="00B94AB4"/>
    <w:rsid w:val="00B970B2"/>
    <w:rsid w:val="00BA1819"/>
    <w:rsid w:val="00BA5A22"/>
    <w:rsid w:val="00BA5B5A"/>
    <w:rsid w:val="00BA7DDF"/>
    <w:rsid w:val="00BB55E5"/>
    <w:rsid w:val="00BB78B0"/>
    <w:rsid w:val="00BB7B51"/>
    <w:rsid w:val="00BC592A"/>
    <w:rsid w:val="00BC780D"/>
    <w:rsid w:val="00BD0984"/>
    <w:rsid w:val="00BD725A"/>
    <w:rsid w:val="00BD731C"/>
    <w:rsid w:val="00BF0E1C"/>
    <w:rsid w:val="00BF3750"/>
    <w:rsid w:val="00BF3CD3"/>
    <w:rsid w:val="00BF50E9"/>
    <w:rsid w:val="00C009F3"/>
    <w:rsid w:val="00C03389"/>
    <w:rsid w:val="00C05056"/>
    <w:rsid w:val="00C06244"/>
    <w:rsid w:val="00C07840"/>
    <w:rsid w:val="00C10A47"/>
    <w:rsid w:val="00C27BCE"/>
    <w:rsid w:val="00C3307A"/>
    <w:rsid w:val="00C35BEE"/>
    <w:rsid w:val="00C463F8"/>
    <w:rsid w:val="00C536C2"/>
    <w:rsid w:val="00C55F47"/>
    <w:rsid w:val="00C56E2E"/>
    <w:rsid w:val="00C64A31"/>
    <w:rsid w:val="00C708F1"/>
    <w:rsid w:val="00C71A7F"/>
    <w:rsid w:val="00C723FD"/>
    <w:rsid w:val="00C72403"/>
    <w:rsid w:val="00C820AE"/>
    <w:rsid w:val="00C82C4C"/>
    <w:rsid w:val="00C82E8B"/>
    <w:rsid w:val="00C87139"/>
    <w:rsid w:val="00C937D4"/>
    <w:rsid w:val="00C95D48"/>
    <w:rsid w:val="00CA1401"/>
    <w:rsid w:val="00CA51D2"/>
    <w:rsid w:val="00CB5CE5"/>
    <w:rsid w:val="00CC15CB"/>
    <w:rsid w:val="00CC4C88"/>
    <w:rsid w:val="00CD0B1F"/>
    <w:rsid w:val="00CD37D6"/>
    <w:rsid w:val="00CD3F96"/>
    <w:rsid w:val="00CD427C"/>
    <w:rsid w:val="00CD7343"/>
    <w:rsid w:val="00CD78F3"/>
    <w:rsid w:val="00CE09F3"/>
    <w:rsid w:val="00CE22D9"/>
    <w:rsid w:val="00CE2435"/>
    <w:rsid w:val="00CE4FBE"/>
    <w:rsid w:val="00CE76DA"/>
    <w:rsid w:val="00CF7AC6"/>
    <w:rsid w:val="00D05E2C"/>
    <w:rsid w:val="00D11E94"/>
    <w:rsid w:val="00D13802"/>
    <w:rsid w:val="00D21366"/>
    <w:rsid w:val="00D30389"/>
    <w:rsid w:val="00D337F6"/>
    <w:rsid w:val="00D35F5A"/>
    <w:rsid w:val="00D360F7"/>
    <w:rsid w:val="00D425F5"/>
    <w:rsid w:val="00D451DA"/>
    <w:rsid w:val="00D51EBD"/>
    <w:rsid w:val="00D52CDB"/>
    <w:rsid w:val="00D56D6D"/>
    <w:rsid w:val="00D61710"/>
    <w:rsid w:val="00D6611E"/>
    <w:rsid w:val="00D67A33"/>
    <w:rsid w:val="00D7519A"/>
    <w:rsid w:val="00D754D5"/>
    <w:rsid w:val="00D85F37"/>
    <w:rsid w:val="00DA3AAC"/>
    <w:rsid w:val="00DA6329"/>
    <w:rsid w:val="00DB4534"/>
    <w:rsid w:val="00DD2A82"/>
    <w:rsid w:val="00DD316C"/>
    <w:rsid w:val="00DE352D"/>
    <w:rsid w:val="00DF46E4"/>
    <w:rsid w:val="00E04856"/>
    <w:rsid w:val="00E058A9"/>
    <w:rsid w:val="00E070DE"/>
    <w:rsid w:val="00E11BDB"/>
    <w:rsid w:val="00E14037"/>
    <w:rsid w:val="00E24197"/>
    <w:rsid w:val="00E26918"/>
    <w:rsid w:val="00E32343"/>
    <w:rsid w:val="00E379C9"/>
    <w:rsid w:val="00E41901"/>
    <w:rsid w:val="00E41D34"/>
    <w:rsid w:val="00E47D9E"/>
    <w:rsid w:val="00E50CD3"/>
    <w:rsid w:val="00E55E93"/>
    <w:rsid w:val="00E56089"/>
    <w:rsid w:val="00E6307E"/>
    <w:rsid w:val="00E63714"/>
    <w:rsid w:val="00E73CA1"/>
    <w:rsid w:val="00E86166"/>
    <w:rsid w:val="00E87BE1"/>
    <w:rsid w:val="00E91429"/>
    <w:rsid w:val="00E95393"/>
    <w:rsid w:val="00E95971"/>
    <w:rsid w:val="00EA020F"/>
    <w:rsid w:val="00EA0707"/>
    <w:rsid w:val="00EA1F85"/>
    <w:rsid w:val="00EA6366"/>
    <w:rsid w:val="00EC6056"/>
    <w:rsid w:val="00ED045F"/>
    <w:rsid w:val="00ED0C25"/>
    <w:rsid w:val="00ED1F63"/>
    <w:rsid w:val="00ED227F"/>
    <w:rsid w:val="00ED4585"/>
    <w:rsid w:val="00ED70E1"/>
    <w:rsid w:val="00ED735F"/>
    <w:rsid w:val="00EF70B8"/>
    <w:rsid w:val="00F00FE6"/>
    <w:rsid w:val="00F0151C"/>
    <w:rsid w:val="00F03F10"/>
    <w:rsid w:val="00F12B2A"/>
    <w:rsid w:val="00F140F3"/>
    <w:rsid w:val="00F16FAB"/>
    <w:rsid w:val="00F21BB6"/>
    <w:rsid w:val="00F2244A"/>
    <w:rsid w:val="00F35CC2"/>
    <w:rsid w:val="00F401AC"/>
    <w:rsid w:val="00F42610"/>
    <w:rsid w:val="00F53476"/>
    <w:rsid w:val="00F54501"/>
    <w:rsid w:val="00F548AF"/>
    <w:rsid w:val="00F5775F"/>
    <w:rsid w:val="00F609FF"/>
    <w:rsid w:val="00F61E53"/>
    <w:rsid w:val="00F63F24"/>
    <w:rsid w:val="00F66C70"/>
    <w:rsid w:val="00F730AE"/>
    <w:rsid w:val="00F909FE"/>
    <w:rsid w:val="00F9556F"/>
    <w:rsid w:val="00F95CD7"/>
    <w:rsid w:val="00FA54ED"/>
    <w:rsid w:val="00FB1719"/>
    <w:rsid w:val="00FB6282"/>
    <w:rsid w:val="00FC28E4"/>
    <w:rsid w:val="00FC5233"/>
    <w:rsid w:val="00FD6544"/>
    <w:rsid w:val="00FF0D13"/>
    <w:rsid w:val="00FF118C"/>
    <w:rsid w:val="00FF4528"/>
    <w:rsid w:val="00FF59EA"/>
    <w:rsid w:val="00FF6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65C32"/>
  <w15:docId w15:val="{A3F4E1A7-2977-4E59-8807-5B4BC5A93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243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B243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B243E"/>
    <w:rPr>
      <w:rFonts w:ascii="Cambria" w:eastAsia="Times New Roman" w:hAnsi="Cambria" w:cs="Times New Roman"/>
      <w:b/>
      <w:bCs/>
      <w:sz w:val="26"/>
      <w:szCs w:val="26"/>
    </w:rPr>
  </w:style>
  <w:style w:type="character" w:customStyle="1" w:styleId="Heading4Char">
    <w:name w:val="Heading 4 Char"/>
    <w:link w:val="Heading4"/>
    <w:uiPriority w:val="9"/>
    <w:semiHidden/>
    <w:rsid w:val="007B243E"/>
    <w:rPr>
      <w:rFonts w:ascii="Calibri" w:eastAsia="Times New Roman" w:hAnsi="Calibri" w:cs="Times New Roman"/>
      <w:b/>
      <w:bCs/>
      <w:sz w:val="28"/>
      <w:szCs w:val="28"/>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uiPriority w:val="99"/>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uiPriority w:val="99"/>
    <w:rsid w:val="007B243E"/>
    <w:rPr>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semiHidden/>
    <w:rsid w:val="003B2082"/>
    <w:rPr>
      <w:sz w:val="20"/>
      <w:szCs w:val="20"/>
    </w:rPr>
  </w:style>
  <w:style w:type="character" w:customStyle="1" w:styleId="CommentTextChar">
    <w:name w:val="Comment Text Char"/>
    <w:link w:val="CommentText"/>
    <w:uiPriority w:val="99"/>
    <w:semiHidden/>
    <w:rsid w:val="007B243E"/>
    <w:rPr>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rsid w:val="007B243E"/>
    <w:rPr>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rsid w:val="007B243E"/>
    <w:rPr>
      <w:sz w:val="0"/>
      <w:szCs w:val="0"/>
    </w:rPr>
  </w:style>
  <w:style w:type="paragraph" w:customStyle="1" w:styleId="NASLOV123">
    <w:name w:val="NASLOV 123"/>
    <w:basedOn w:val="Normal"/>
    <w:uiPriority w:val="99"/>
    <w:rsid w:val="00923865"/>
    <w:pPr>
      <w:spacing w:before="200" w:after="200"/>
      <w:jc w:val="left"/>
    </w:pPr>
    <w:rPr>
      <w:b/>
      <w:szCs w:val="22"/>
    </w:rPr>
  </w:style>
  <w:style w:type="table" w:styleId="TableGrid">
    <w:name w:val="Table Grid"/>
    <w:basedOn w:val="TableNormal"/>
    <w:rsid w:val="006C7972"/>
    <w:pPr>
      <w:tabs>
        <w:tab w:val="left" w:pos="284"/>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476FE"/>
    <w:pPr>
      <w:tabs>
        <w:tab w:val="clear" w:pos="284"/>
      </w:tabs>
      <w:spacing w:before="100" w:beforeAutospacing="1" w:after="58"/>
      <w:jc w:val="left"/>
    </w:pPr>
    <w:rPr>
      <w:snapToGrid w:val="0"/>
      <w:color w:val="000000"/>
      <w:sz w:val="24"/>
      <w:lang w:eastAsia="sr-Latn-CS"/>
    </w:rPr>
  </w:style>
  <w:style w:type="paragraph" w:customStyle="1" w:styleId="Default">
    <w:name w:val="Default"/>
    <w:rsid w:val="00A476FE"/>
    <w:pPr>
      <w:autoSpaceDE w:val="0"/>
      <w:autoSpaceDN w:val="0"/>
      <w:adjustRightInd w:val="0"/>
    </w:pPr>
    <w:rPr>
      <w:snapToGrid w:val="0"/>
      <w:color w:val="000000"/>
      <w:sz w:val="24"/>
      <w:szCs w:val="24"/>
      <w:lang w:val="sl-SI" w:eastAsia="sr-Latn-CS"/>
    </w:rPr>
  </w:style>
  <w:style w:type="character" w:styleId="Hyperlink">
    <w:name w:val="Hyperlink"/>
    <w:uiPriority w:val="99"/>
    <w:unhideWhenUsed/>
    <w:rsid w:val="00923494"/>
    <w:rPr>
      <w:color w:val="0000FF"/>
      <w:u w:val="single"/>
    </w:rPr>
  </w:style>
  <w:style w:type="paragraph" w:styleId="Revision">
    <w:name w:val="Revision"/>
    <w:hidden/>
    <w:uiPriority w:val="99"/>
    <w:semiHidden/>
    <w:rsid w:val="00FB6282"/>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43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zeljenadejstva@cinmed.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giflow-eforms.who-umc.org/me/me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a5d3b2-884a-452c-a3ce-6c7caf240f58" xsi:nil="true"/>
    <lcf76f155ced4ddcb4097134ff3c332f xmlns="16b5af92-3337-4aab-aaa2-18764cb258e9">
      <Terms xmlns="http://schemas.microsoft.com/office/infopath/2007/PartnerControls"/>
    </lcf76f155ced4ddcb4097134ff3c332f>
    <Size xmlns="16b5af92-3337-4aab-aaa2-18764cb258e9" xsi:nil="true"/>
    <_Flow_SignoffStatus xmlns="16b5af92-3337-4aab-aaa2-18764cb258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E9FD1C53E35438C7A9669A8044429" ma:contentTypeVersion="17" ma:contentTypeDescription="Create a new document." ma:contentTypeScope="" ma:versionID="7ec6d1dcfd78af7c5867f973431a93f8">
  <xsd:schema xmlns:xsd="http://www.w3.org/2001/XMLSchema" xmlns:xs="http://www.w3.org/2001/XMLSchema" xmlns:p="http://schemas.microsoft.com/office/2006/metadata/properties" xmlns:ns2="12a5d3b2-884a-452c-a3ce-6c7caf240f58" xmlns:ns3="16b5af92-3337-4aab-aaa2-18764cb258e9" targetNamespace="http://schemas.microsoft.com/office/2006/metadata/properties" ma:root="true" ma:fieldsID="9499d3803f79a4177162cca7092b1611" ns2:_="" ns3:_="">
    <xsd:import namespace="12a5d3b2-884a-452c-a3ce-6c7caf240f58"/>
    <xsd:import namespace="16b5af92-3337-4aab-aaa2-18764cb258e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Size"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d3b2-884a-452c-a3ce-6c7caf240f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974f49e-171d-441d-a206-0b7511a91abb}" ma:internalName="TaxCatchAll" ma:showField="CatchAllData" ma:web="12a5d3b2-884a-452c-a3ce-6c7caf240f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b5af92-3337-4aab-aaa2-18764cb258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2a2283-e719-49bb-86f7-d9f5b7e31b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Size" ma:index="25" nillable="true" ma:displayName="Size" ma:format="Dropdown" ma:internalName="Size" ma:percentage="FALSE">
      <xsd:simpleType>
        <xsd:restriction base="dms:Number"/>
      </xsd:simpleType>
    </xsd:element>
    <xsd:element name="MediaServiceLocation" ma:index="26" nillable="true" ma:displayName="Location" ma:description="" ma:indexed="true" ma:internalName="MediaServiceLocation" ma:readOnly="true">
      <xsd:simpleType>
        <xsd:restriction base="dms:Text"/>
      </xsd:simple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1ED27-039D-4824-A72C-780A5E19893A}">
  <ds:schemaRefs>
    <ds:schemaRef ds:uri="http://schemas.microsoft.com/office/2006/metadata/properties"/>
    <ds:schemaRef ds:uri="http://schemas.microsoft.com/office/infopath/2007/PartnerControls"/>
    <ds:schemaRef ds:uri="12a5d3b2-884a-452c-a3ce-6c7caf240f58"/>
    <ds:schemaRef ds:uri="16b5af92-3337-4aab-aaa2-18764cb258e9"/>
  </ds:schemaRefs>
</ds:datastoreItem>
</file>

<file path=customXml/itemProps2.xml><?xml version="1.0" encoding="utf-8"?>
<ds:datastoreItem xmlns:ds="http://schemas.openxmlformats.org/officeDocument/2006/customXml" ds:itemID="{D7576975-93C3-4259-89BE-3E48B4940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5d3b2-884a-452c-a3ce-6c7caf240f58"/>
    <ds:schemaRef ds:uri="16b5af92-3337-4aab-aaa2-18764cb25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00D7DA-67C3-4778-B70C-7025180A8090}">
  <ds:schemaRefs>
    <ds:schemaRef ds:uri="http://schemas.microsoft.com/sharepoint/events"/>
  </ds:schemaRefs>
</ds:datastoreItem>
</file>

<file path=customXml/itemProps4.xml><?xml version="1.0" encoding="utf-8"?>
<ds:datastoreItem xmlns:ds="http://schemas.openxmlformats.org/officeDocument/2006/customXml" ds:itemID="{7A3D8063-6711-4013-9D10-A2283463A9A4}">
  <ds:schemaRefs>
    <ds:schemaRef ds:uri="http://schemas.microsoft.com/sharepoint/v3/contenttype/forms"/>
  </ds:schemaRefs>
</ds:datastoreItem>
</file>

<file path=customXml/itemProps5.xml><?xml version="1.0" encoding="utf-8"?>
<ds:datastoreItem xmlns:ds="http://schemas.openxmlformats.org/officeDocument/2006/customXml" ds:itemID="{EFED5D8B-2B78-4189-B57A-5E9E6CAA9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7958</Words>
  <Characters>45362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53214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Jovana Jovanovic</cp:lastModifiedBy>
  <cp:revision>3</cp:revision>
  <cp:lastPrinted>2016-07-25T08:52:00Z</cp:lastPrinted>
  <dcterms:created xsi:type="dcterms:W3CDTF">2025-01-22T07:05:00Z</dcterms:created>
  <dcterms:modified xsi:type="dcterms:W3CDTF">2025-01-22T07:19:00Z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0x010100CCBE9FD1C53E35438C7A9669A8044429</vt:lpwstr>
  </property>
  <property fmtid="{D5CDD505-2E9C-101B-9397-08002B2CF9AE}" pid="3" name="MSIP_Label_80e91ba7-203e-4ac0-a045-4c37ad0b383b_Enabled">
    <vt:lpwstr>true</vt:lpwstr>
  </property>
  <property fmtid="{D5CDD505-2E9C-101B-9397-08002B2CF9AE}" pid="4" name="MSIP_Label_80e91ba7-203e-4ac0-a045-4c37ad0b383b_SetDate">
    <vt:lpwstr>2024-10-08T13:19:18Z</vt:lpwstr>
  </property>
  <property fmtid="{D5CDD505-2E9C-101B-9397-08002B2CF9AE}" pid="5" name="MSIP_Label_80e91ba7-203e-4ac0-a045-4c37ad0b383b_Method">
    <vt:lpwstr>Standard</vt:lpwstr>
  </property>
  <property fmtid="{D5CDD505-2E9C-101B-9397-08002B2CF9AE}" pid="6" name="MSIP_Label_80e91ba7-203e-4ac0-a045-4c37ad0b383b_Name">
    <vt:lpwstr>Interno_Internal</vt:lpwstr>
  </property>
  <property fmtid="{D5CDD505-2E9C-101B-9397-08002B2CF9AE}" pid="7" name="MSIP_Label_80e91ba7-203e-4ac0-a045-4c37ad0b383b_SiteId">
    <vt:lpwstr>61d5927c-a4d9-4b92-8821-c13225cc56bc</vt:lpwstr>
  </property>
  <property fmtid="{D5CDD505-2E9C-101B-9397-08002B2CF9AE}" pid="8" name="MSIP_Label_80e91ba7-203e-4ac0-a045-4c37ad0b383b_ActionId">
    <vt:lpwstr>8b8eaed7-3bda-4a37-9a78-be9800c1c47c</vt:lpwstr>
  </property>
  <property fmtid="{D5CDD505-2E9C-101B-9397-08002B2CF9AE}" pid="9" name="MSIP_Label_80e91ba7-203e-4ac0-a045-4c37ad0b383b_ContentBits">
    <vt:lpwstr>1</vt:lpwstr>
  </property>
</Properties>
</file>