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54113" w14:textId="77777777" w:rsidR="001A5518" w:rsidRPr="00DE7B81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DE54114" w14:textId="77777777" w:rsidR="00F91C7B" w:rsidRPr="00DE7B81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DE54115" w14:textId="77777777" w:rsidR="002510A5" w:rsidRPr="00DE7B81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DE7B81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5DE54117" w14:textId="77777777" w:rsidR="003C17AB" w:rsidRPr="00DE7B81" w:rsidRDefault="003C17AB" w:rsidP="00CA1FEB">
      <w:pPr>
        <w:rPr>
          <w:sz w:val="22"/>
          <w:szCs w:val="22"/>
          <w:lang w:val="sr-Latn-ME"/>
        </w:rPr>
      </w:pPr>
    </w:p>
    <w:p w14:paraId="5DE54119" w14:textId="77777777" w:rsidR="003C17AB" w:rsidRPr="00DE7B81" w:rsidRDefault="003C17AB" w:rsidP="00F5167F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5DE5411A" w14:textId="77777777" w:rsidR="00C37FD7" w:rsidRPr="00DE7B81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E5411B" w14:textId="77777777" w:rsidR="00411B4B" w:rsidRPr="00DE7B8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>1.</w:t>
      </w:r>
      <w:r w:rsidR="00F5167F" w:rsidRPr="00DE7B81">
        <w:rPr>
          <w:b/>
          <w:bCs/>
          <w:sz w:val="22"/>
          <w:szCs w:val="22"/>
          <w:lang w:val="sr-Latn-ME"/>
        </w:rPr>
        <w:tab/>
      </w:r>
      <w:r w:rsidR="002846DB" w:rsidRPr="00DE7B81">
        <w:rPr>
          <w:b/>
          <w:bCs/>
          <w:sz w:val="22"/>
          <w:szCs w:val="22"/>
          <w:lang w:val="sr-Latn-ME"/>
        </w:rPr>
        <w:t xml:space="preserve">NAZIV </w:t>
      </w:r>
      <w:r w:rsidRPr="00DE7B81">
        <w:rPr>
          <w:b/>
          <w:bCs/>
          <w:sz w:val="22"/>
          <w:szCs w:val="22"/>
          <w:lang w:val="sr-Latn-ME"/>
        </w:rPr>
        <w:t>LIJEKA</w:t>
      </w:r>
    </w:p>
    <w:p w14:paraId="5DE5411C" w14:textId="77777777" w:rsidR="00EC2532" w:rsidRPr="00DE7B81" w:rsidRDefault="00EC2532">
      <w:pPr>
        <w:rPr>
          <w:sz w:val="22"/>
          <w:szCs w:val="22"/>
          <w:lang w:val="sr-Latn-ME"/>
        </w:rPr>
      </w:pPr>
    </w:p>
    <w:p w14:paraId="354270BB" w14:textId="76CD3E47" w:rsidR="004011E7" w:rsidRPr="00DE7B81" w:rsidRDefault="004011E7" w:rsidP="006D20A5">
      <w:pPr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Primaceph, 1</w:t>
      </w:r>
      <w:r w:rsidR="00022FF4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g, prašak za rastvor za injekciju/infuziju</w:t>
      </w:r>
    </w:p>
    <w:p w14:paraId="759BCBC2" w14:textId="77777777" w:rsidR="004011E7" w:rsidRPr="00DE7B81" w:rsidRDefault="004011E7" w:rsidP="006D20A5">
      <w:pPr>
        <w:rPr>
          <w:sz w:val="22"/>
          <w:szCs w:val="22"/>
          <w:lang w:val="sr-Latn-ME"/>
        </w:rPr>
      </w:pPr>
    </w:p>
    <w:p w14:paraId="5DE5411F" w14:textId="50EB8009" w:rsidR="006D20A5" w:rsidRPr="00EE2B00" w:rsidRDefault="006D20A5" w:rsidP="006D20A5">
      <w:pPr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INN:</w:t>
      </w:r>
      <w:r w:rsidR="002402BB" w:rsidRPr="007A1D0B">
        <w:rPr>
          <w:sz w:val="22"/>
          <w:szCs w:val="22"/>
          <w:lang w:val="sr-Latn-ME"/>
        </w:rPr>
        <w:t xml:space="preserve"> </w:t>
      </w:r>
      <w:r w:rsidR="002402BB" w:rsidRPr="00EE2B00">
        <w:rPr>
          <w:sz w:val="22"/>
          <w:szCs w:val="22"/>
          <w:lang w:val="sr-Latn-ME"/>
        </w:rPr>
        <w:t>cefazolin</w:t>
      </w:r>
    </w:p>
    <w:p w14:paraId="5DE54120" w14:textId="1A9E6D43" w:rsidR="006D20A5" w:rsidRDefault="006D20A5">
      <w:pPr>
        <w:rPr>
          <w:bCs/>
          <w:sz w:val="22"/>
          <w:szCs w:val="22"/>
          <w:lang w:val="sr-Latn-ME"/>
        </w:rPr>
      </w:pPr>
    </w:p>
    <w:p w14:paraId="4AD26B92" w14:textId="77777777" w:rsidR="00147115" w:rsidRPr="00EE2B00" w:rsidRDefault="00147115">
      <w:pPr>
        <w:rPr>
          <w:bCs/>
          <w:sz w:val="22"/>
          <w:szCs w:val="22"/>
          <w:lang w:val="sr-Latn-ME"/>
        </w:rPr>
      </w:pPr>
    </w:p>
    <w:p w14:paraId="5DE54122" w14:textId="639D8321" w:rsidR="00411B4B" w:rsidRPr="00DE7B8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41F96">
        <w:rPr>
          <w:b/>
          <w:bCs/>
          <w:sz w:val="22"/>
          <w:szCs w:val="22"/>
          <w:lang w:val="sr-Latn-ME"/>
        </w:rPr>
        <w:t xml:space="preserve">2. </w:t>
      </w:r>
      <w:r w:rsidR="00F5167F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sz w:val="22"/>
          <w:szCs w:val="22"/>
          <w:lang w:val="sr-Latn-ME"/>
        </w:rPr>
        <w:t>KVALITATIVNI I KVANTITATIVNI SASTAV</w:t>
      </w:r>
    </w:p>
    <w:p w14:paraId="5DE54123" w14:textId="77777777" w:rsidR="005A0B2E" w:rsidRPr="00DE7B81" w:rsidRDefault="005A0B2E">
      <w:pPr>
        <w:rPr>
          <w:sz w:val="22"/>
          <w:szCs w:val="22"/>
          <w:lang w:val="sr-Latn-ME"/>
        </w:rPr>
      </w:pPr>
    </w:p>
    <w:p w14:paraId="27E79A04" w14:textId="3F97719B" w:rsidR="0073646B" w:rsidRPr="00DE7B81" w:rsidRDefault="0073646B" w:rsidP="0073646B">
      <w:pPr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Jedna bočica sadrži 1</w:t>
      </w:r>
      <w:r w:rsidR="00022FF4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g cefazolina u obliku cefazolin</w:t>
      </w:r>
      <w:r w:rsidR="00B41B8A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natrijuma.</w:t>
      </w:r>
    </w:p>
    <w:p w14:paraId="0DC6159A" w14:textId="1CBF320A" w:rsidR="0073646B" w:rsidRPr="00EE2B00" w:rsidRDefault="0073646B" w:rsidP="0073646B">
      <w:pPr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Pomoćna supstanca sa potvrđenim dejstvom: l</w:t>
      </w:r>
      <w:r w:rsidR="00687BE8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 xml:space="preserve">ek sadrži 2,2 mmol (ili 50,6 mg) natrijuma po dozi (1 </w:t>
      </w:r>
      <w:r w:rsidRPr="00EE2B00">
        <w:rPr>
          <w:sz w:val="22"/>
          <w:szCs w:val="22"/>
          <w:lang w:val="sr-Latn-ME"/>
        </w:rPr>
        <w:t>g).</w:t>
      </w:r>
    </w:p>
    <w:p w14:paraId="00BEDCA0" w14:textId="77777777" w:rsidR="0073646B" w:rsidRPr="00C41F96" w:rsidRDefault="0073646B" w:rsidP="0073646B">
      <w:pPr>
        <w:rPr>
          <w:sz w:val="22"/>
          <w:szCs w:val="22"/>
          <w:lang w:val="sr-Latn-ME"/>
        </w:rPr>
      </w:pPr>
    </w:p>
    <w:p w14:paraId="5DE54124" w14:textId="35229149" w:rsidR="0003793F" w:rsidRPr="00DE7B81" w:rsidRDefault="0003793F" w:rsidP="0073646B">
      <w:pPr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Za spisak svih ekscipijenasa, pogledati dio 6.1.</w:t>
      </w:r>
    </w:p>
    <w:p w14:paraId="5DE54126" w14:textId="47DBF24F" w:rsidR="00C37FD7" w:rsidRDefault="00C37FD7">
      <w:pPr>
        <w:rPr>
          <w:sz w:val="22"/>
          <w:szCs w:val="22"/>
          <w:lang w:val="sr-Latn-ME"/>
        </w:rPr>
      </w:pPr>
    </w:p>
    <w:p w14:paraId="5BEBA39A" w14:textId="77777777" w:rsidR="00147115" w:rsidRPr="00EE2B00" w:rsidRDefault="00147115">
      <w:pPr>
        <w:rPr>
          <w:sz w:val="22"/>
          <w:szCs w:val="22"/>
          <w:lang w:val="sr-Latn-ME"/>
        </w:rPr>
      </w:pPr>
    </w:p>
    <w:p w14:paraId="5DE54127" w14:textId="77777777" w:rsidR="00411B4B" w:rsidRPr="00DE7B8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41F96">
        <w:rPr>
          <w:b/>
          <w:bCs/>
          <w:sz w:val="22"/>
          <w:szCs w:val="22"/>
          <w:lang w:val="sr-Latn-ME"/>
        </w:rPr>
        <w:t xml:space="preserve">3. </w:t>
      </w:r>
      <w:r w:rsidR="00F5167F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sz w:val="22"/>
          <w:szCs w:val="22"/>
          <w:lang w:val="sr-Latn-ME"/>
        </w:rPr>
        <w:t>FARMACEUTSKI OBLIK</w:t>
      </w:r>
      <w:r w:rsidR="009F2D23" w:rsidRPr="00DE7B81">
        <w:rPr>
          <w:b/>
          <w:bCs/>
          <w:sz w:val="22"/>
          <w:szCs w:val="22"/>
          <w:lang w:val="sr-Latn-ME"/>
        </w:rPr>
        <w:t xml:space="preserve"> </w:t>
      </w:r>
    </w:p>
    <w:p w14:paraId="5DE54128" w14:textId="77777777" w:rsidR="00411B4B" w:rsidRPr="00DE7B81" w:rsidRDefault="00411B4B">
      <w:pPr>
        <w:rPr>
          <w:bCs/>
          <w:sz w:val="22"/>
          <w:szCs w:val="22"/>
          <w:lang w:val="sr-Latn-ME"/>
        </w:rPr>
      </w:pPr>
    </w:p>
    <w:p w14:paraId="2F5967EC" w14:textId="77777777" w:rsidR="007C5015" w:rsidRPr="00DE7B81" w:rsidRDefault="007C5015" w:rsidP="007C5015">
      <w:pPr>
        <w:rPr>
          <w:bCs/>
          <w:sz w:val="22"/>
          <w:szCs w:val="22"/>
          <w:lang w:val="sr-Latn-ME"/>
        </w:rPr>
      </w:pPr>
      <w:r w:rsidRPr="00DE7B81">
        <w:rPr>
          <w:bCs/>
          <w:sz w:val="22"/>
          <w:szCs w:val="22"/>
          <w:lang w:val="sr-Latn-ME"/>
        </w:rPr>
        <w:t>Prašak za rastvor za injekciju/infuziju.</w:t>
      </w:r>
    </w:p>
    <w:p w14:paraId="5DE54129" w14:textId="021D0BC6" w:rsidR="00EC2532" w:rsidRPr="00DE7B81" w:rsidRDefault="007C5015" w:rsidP="007C5015">
      <w:pPr>
        <w:rPr>
          <w:bCs/>
          <w:sz w:val="22"/>
          <w:szCs w:val="22"/>
          <w:lang w:val="sr-Latn-ME"/>
        </w:rPr>
      </w:pPr>
      <w:r w:rsidRPr="00DE7B81">
        <w:rPr>
          <w:bCs/>
          <w:sz w:val="22"/>
          <w:szCs w:val="22"/>
          <w:lang w:val="sr-Latn-ME"/>
        </w:rPr>
        <w:t>Bijeli do skoro bijeli prašak.</w:t>
      </w:r>
    </w:p>
    <w:p w14:paraId="699CD7E2" w14:textId="3FC35290" w:rsidR="007C5015" w:rsidRDefault="007C5015" w:rsidP="007C5015">
      <w:pPr>
        <w:rPr>
          <w:bCs/>
          <w:sz w:val="22"/>
          <w:szCs w:val="22"/>
          <w:lang w:val="sr-Latn-ME"/>
        </w:rPr>
      </w:pPr>
    </w:p>
    <w:p w14:paraId="43432F63" w14:textId="77777777" w:rsidR="00147115" w:rsidRPr="00EE2B00" w:rsidRDefault="00147115" w:rsidP="007C5015">
      <w:pPr>
        <w:rPr>
          <w:bCs/>
          <w:sz w:val="22"/>
          <w:szCs w:val="22"/>
          <w:lang w:val="sr-Latn-ME"/>
        </w:rPr>
      </w:pPr>
    </w:p>
    <w:p w14:paraId="5DE5412A" w14:textId="77777777" w:rsidR="00411B4B" w:rsidRPr="00DE7B8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41F96">
        <w:rPr>
          <w:b/>
          <w:bCs/>
          <w:sz w:val="22"/>
          <w:szCs w:val="22"/>
          <w:lang w:val="sr-Latn-ME"/>
        </w:rPr>
        <w:t xml:space="preserve">4.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sz w:val="22"/>
          <w:szCs w:val="22"/>
          <w:lang w:val="sr-Latn-ME"/>
        </w:rPr>
        <w:t>KLINIČKI PODACI</w:t>
      </w:r>
    </w:p>
    <w:p w14:paraId="5DE5412B" w14:textId="77777777" w:rsidR="00CD6F02" w:rsidRPr="00DE7B81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E5412C" w14:textId="77777777" w:rsidR="00411B4B" w:rsidRPr="00DE7B8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bookmarkStart w:id="0" w:name="_Hlk134970500"/>
      <w:r w:rsidRPr="00DE7B81">
        <w:rPr>
          <w:b/>
          <w:bCs/>
          <w:sz w:val="22"/>
          <w:szCs w:val="22"/>
          <w:lang w:val="sr-Latn-ME"/>
        </w:rPr>
        <w:t xml:space="preserve">4.1.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sz w:val="22"/>
          <w:szCs w:val="22"/>
          <w:lang w:val="sr-Latn-ME"/>
        </w:rPr>
        <w:t>Terapijske indikacije</w:t>
      </w:r>
    </w:p>
    <w:p w14:paraId="5DE5412D" w14:textId="55E09C04" w:rsidR="00411B4B" w:rsidRPr="00DE7B81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48A5B4A" w14:textId="7D39ADA9" w:rsidR="00F04917" w:rsidRPr="00DE7B81" w:rsidRDefault="00F04917" w:rsidP="00F04917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 xml:space="preserve">Lijek Primaceph je indikovan za liječenje </w:t>
      </w:r>
      <w:r w:rsidR="00687BE8" w:rsidRPr="00DE7B81">
        <w:rPr>
          <w:sz w:val="22"/>
          <w:szCs w:val="22"/>
          <w:lang w:val="sr-Latn-ME"/>
        </w:rPr>
        <w:t>teških</w:t>
      </w:r>
      <w:r w:rsidRPr="00DE7B81">
        <w:rPr>
          <w:sz w:val="22"/>
          <w:szCs w:val="22"/>
          <w:lang w:val="sr-Latn-ME"/>
        </w:rPr>
        <w:t xml:space="preserve"> infekcija </w:t>
      </w:r>
      <w:r w:rsidR="00303586" w:rsidRPr="00DE7B81">
        <w:rPr>
          <w:sz w:val="22"/>
          <w:szCs w:val="22"/>
          <w:lang w:val="sr-Latn-ME"/>
        </w:rPr>
        <w:t xml:space="preserve">kod odraslih i djece uzrasta iznad 1 mjeseca (vidjeti djelove 4.2 i 4.4) </w:t>
      </w:r>
      <w:r w:rsidR="003E6E83" w:rsidRPr="00DE7B81">
        <w:rPr>
          <w:sz w:val="22"/>
          <w:szCs w:val="22"/>
          <w:lang w:val="sr-Latn-ME"/>
        </w:rPr>
        <w:t>uzrokovane</w:t>
      </w:r>
      <w:r w:rsidRPr="00DE7B81">
        <w:rPr>
          <w:sz w:val="22"/>
          <w:szCs w:val="22"/>
          <w:lang w:val="sr-Latn-ME"/>
        </w:rPr>
        <w:t xml:space="preserve"> mikroorganizmima</w:t>
      </w:r>
      <w:r w:rsidR="003E6E83" w:rsidRPr="00DE7B81">
        <w:rPr>
          <w:sz w:val="22"/>
          <w:szCs w:val="22"/>
          <w:lang w:val="sr-Latn-ME"/>
        </w:rPr>
        <w:t xml:space="preserve"> osjetljivim na cefazolin (vidjeti dio 5.1)</w:t>
      </w:r>
      <w:r w:rsidRPr="00DE7B81">
        <w:rPr>
          <w:sz w:val="22"/>
          <w:szCs w:val="22"/>
          <w:lang w:val="sr-Latn-ME"/>
        </w:rPr>
        <w:t>:</w:t>
      </w:r>
    </w:p>
    <w:p w14:paraId="1ADCE0A1" w14:textId="77777777" w:rsidR="00F04917" w:rsidRPr="00DE7B81" w:rsidRDefault="00F04917" w:rsidP="00F04917">
      <w:pPr>
        <w:jc w:val="both"/>
        <w:rPr>
          <w:sz w:val="22"/>
          <w:szCs w:val="22"/>
          <w:lang w:val="sr-Latn-ME"/>
        </w:rPr>
      </w:pPr>
    </w:p>
    <w:p w14:paraId="26A2438D" w14:textId="7AF1F7A8" w:rsidR="00F04917" w:rsidRPr="00DE7B81" w:rsidRDefault="00F04917" w:rsidP="00F04917">
      <w:pPr>
        <w:jc w:val="both"/>
        <w:rPr>
          <w:sz w:val="22"/>
          <w:szCs w:val="22"/>
          <w:lang w:val="sr-Latn-ME"/>
        </w:rPr>
      </w:pPr>
      <w:r w:rsidRPr="00DE7B81">
        <w:rPr>
          <w:b/>
          <w:sz w:val="22"/>
          <w:szCs w:val="22"/>
          <w:lang w:val="sr-Latn-ME"/>
        </w:rPr>
        <w:t xml:space="preserve">- Infekcije respiratornog trakta </w:t>
      </w:r>
      <w:r w:rsidR="003E6E83" w:rsidRPr="00DE7B81">
        <w:rPr>
          <w:sz w:val="22"/>
          <w:szCs w:val="22"/>
          <w:lang w:val="sr-Latn-ME"/>
        </w:rPr>
        <w:t>čiji su izazivači</w:t>
      </w:r>
      <w:r w:rsidRPr="00DE7B81">
        <w:rPr>
          <w:sz w:val="22"/>
          <w:szCs w:val="22"/>
          <w:lang w:val="sr-Latn-ME"/>
        </w:rPr>
        <w:t xml:space="preserve">: </w:t>
      </w:r>
      <w:r w:rsidR="003E6E83" w:rsidRPr="00DE7B81">
        <w:rPr>
          <w:i/>
          <w:sz w:val="22"/>
          <w:szCs w:val="22"/>
          <w:lang w:val="sr-Latn-ME"/>
        </w:rPr>
        <w:t>Streptococcus pneumoniae, Klebsiella, Haemophilus</w:t>
      </w:r>
      <w:r w:rsidR="00677EFB" w:rsidRPr="00DE7B81">
        <w:rPr>
          <w:i/>
          <w:sz w:val="22"/>
          <w:szCs w:val="22"/>
          <w:lang w:val="sr-Latn-ME"/>
        </w:rPr>
        <w:t xml:space="preserve"> influenzae,</w:t>
      </w:r>
      <w:r w:rsidR="003E6E83" w:rsidRPr="00DE7B81">
        <w:rPr>
          <w:i/>
          <w:sz w:val="22"/>
          <w:szCs w:val="22"/>
          <w:lang w:val="sr-Latn-ME"/>
        </w:rPr>
        <w:t xml:space="preserve"> </w:t>
      </w:r>
      <w:r w:rsidRPr="00DE7B81">
        <w:rPr>
          <w:i/>
          <w:sz w:val="22"/>
          <w:szCs w:val="22"/>
          <w:lang w:val="sr-Latn-ME"/>
        </w:rPr>
        <w:t>Staphylococcus aureus</w:t>
      </w:r>
      <w:r w:rsidRPr="00DE7B81">
        <w:rPr>
          <w:sz w:val="22"/>
          <w:szCs w:val="22"/>
          <w:lang w:val="sr-Latn-ME"/>
        </w:rPr>
        <w:t xml:space="preserve"> (</w:t>
      </w:r>
      <w:r w:rsidR="00677EFB" w:rsidRPr="00DE7B81">
        <w:rPr>
          <w:sz w:val="22"/>
          <w:szCs w:val="22"/>
          <w:lang w:val="sr-Latn-ME"/>
        </w:rPr>
        <w:t>penicilin-</w:t>
      </w:r>
      <w:r w:rsidRPr="00DE7B81">
        <w:rPr>
          <w:sz w:val="22"/>
          <w:szCs w:val="22"/>
          <w:lang w:val="sr-Latn-ME"/>
        </w:rPr>
        <w:t xml:space="preserve">osjetljivi </w:t>
      </w:r>
      <w:r w:rsidR="00677EFB" w:rsidRPr="00DE7B81">
        <w:rPr>
          <w:sz w:val="22"/>
          <w:szCs w:val="22"/>
          <w:lang w:val="sr-Latn-ME"/>
        </w:rPr>
        <w:t xml:space="preserve">i penicilin-rezistentni </w:t>
      </w:r>
      <w:r w:rsidRPr="00DE7B81">
        <w:rPr>
          <w:sz w:val="22"/>
          <w:szCs w:val="22"/>
          <w:lang w:val="sr-Latn-ME"/>
        </w:rPr>
        <w:t xml:space="preserve">sojevi), </w:t>
      </w:r>
      <w:r w:rsidR="00677EFB" w:rsidRPr="00DE7B81">
        <w:rPr>
          <w:sz w:val="22"/>
          <w:szCs w:val="22"/>
          <w:lang w:val="sr-Latn-ME"/>
        </w:rPr>
        <w:t xml:space="preserve"> i beta</w:t>
      </w:r>
      <w:r w:rsidR="00806F27" w:rsidRPr="00DE7B81">
        <w:rPr>
          <w:sz w:val="22"/>
          <w:szCs w:val="22"/>
          <w:lang w:val="sr-Latn-ME"/>
        </w:rPr>
        <w:t>-</w:t>
      </w:r>
      <w:r w:rsidR="00677EFB" w:rsidRPr="00DE7B81">
        <w:rPr>
          <w:sz w:val="22"/>
          <w:szCs w:val="22"/>
          <w:lang w:val="sr-Latn-ME"/>
        </w:rPr>
        <w:t>hemolitički streptokok grupe A.</w:t>
      </w:r>
    </w:p>
    <w:p w14:paraId="66876199" w14:textId="77777777" w:rsidR="00F04917" w:rsidRPr="00DE7B81" w:rsidRDefault="00F04917" w:rsidP="00F04917">
      <w:pPr>
        <w:jc w:val="both"/>
        <w:rPr>
          <w:sz w:val="22"/>
          <w:szCs w:val="22"/>
          <w:lang w:val="sr-Latn-ME"/>
        </w:rPr>
      </w:pPr>
    </w:p>
    <w:p w14:paraId="72B81919" w14:textId="15B745A3" w:rsidR="00F04917" w:rsidRPr="00DE7B81" w:rsidRDefault="00F04917" w:rsidP="00F04917">
      <w:pPr>
        <w:jc w:val="both"/>
        <w:rPr>
          <w:i/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 xml:space="preserve">- </w:t>
      </w:r>
      <w:r w:rsidRPr="00DE7B81">
        <w:rPr>
          <w:b/>
          <w:sz w:val="22"/>
          <w:szCs w:val="22"/>
          <w:lang w:val="sr-Latn-ME"/>
        </w:rPr>
        <w:t>Infekcije ur</w:t>
      </w:r>
      <w:r w:rsidR="00677EFB" w:rsidRPr="00DE7B81">
        <w:rPr>
          <w:b/>
          <w:sz w:val="22"/>
          <w:szCs w:val="22"/>
          <w:lang w:val="sr-Latn-ME"/>
        </w:rPr>
        <w:t>ogenitalnog</w:t>
      </w:r>
      <w:r w:rsidRPr="00DE7B81">
        <w:rPr>
          <w:b/>
          <w:sz w:val="22"/>
          <w:szCs w:val="22"/>
          <w:lang w:val="sr-Latn-ME"/>
        </w:rPr>
        <w:t xml:space="preserve"> trakta</w:t>
      </w:r>
      <w:r w:rsidRPr="00DE7B81">
        <w:rPr>
          <w:sz w:val="22"/>
          <w:szCs w:val="22"/>
          <w:lang w:val="sr-Latn-ME"/>
        </w:rPr>
        <w:t xml:space="preserve"> </w:t>
      </w:r>
      <w:r w:rsidR="00677EFB" w:rsidRPr="00DE7B81">
        <w:rPr>
          <w:sz w:val="22"/>
          <w:szCs w:val="22"/>
          <w:lang w:val="sr-Latn-ME"/>
        </w:rPr>
        <w:t>čiji su izazivači</w:t>
      </w:r>
      <w:r w:rsidRPr="00DE7B81">
        <w:rPr>
          <w:sz w:val="22"/>
          <w:szCs w:val="22"/>
          <w:lang w:val="sr-Latn-ME"/>
        </w:rPr>
        <w:t xml:space="preserve">: </w:t>
      </w:r>
      <w:r w:rsidRPr="00DE7B81">
        <w:rPr>
          <w:i/>
          <w:sz w:val="22"/>
          <w:szCs w:val="22"/>
          <w:lang w:val="sr-Latn-ME"/>
        </w:rPr>
        <w:t>Escherichia coli, Proteus mirabilis</w:t>
      </w:r>
      <w:r w:rsidR="00B80848" w:rsidRPr="00DE7B81">
        <w:rPr>
          <w:i/>
          <w:sz w:val="22"/>
          <w:szCs w:val="22"/>
          <w:lang w:val="sr-Latn-ME"/>
        </w:rPr>
        <w:t xml:space="preserve"> </w:t>
      </w:r>
      <w:r w:rsidR="00B80848" w:rsidRPr="00DE7B81">
        <w:rPr>
          <w:iCs/>
          <w:sz w:val="22"/>
          <w:szCs w:val="22"/>
          <w:lang w:val="sr-Latn-ME"/>
        </w:rPr>
        <w:t xml:space="preserve">i </w:t>
      </w:r>
      <w:r w:rsidR="00B80848" w:rsidRPr="00DE7B81">
        <w:rPr>
          <w:i/>
          <w:sz w:val="22"/>
          <w:szCs w:val="22"/>
          <w:lang w:val="sr-Latn-ME"/>
        </w:rPr>
        <w:t>Klebsiella</w:t>
      </w:r>
      <w:r w:rsidR="00A50F25" w:rsidRPr="00DE7B81">
        <w:rPr>
          <w:i/>
          <w:sz w:val="22"/>
          <w:szCs w:val="22"/>
          <w:lang w:val="sr-Latn-ME"/>
        </w:rPr>
        <w:t>.</w:t>
      </w:r>
    </w:p>
    <w:p w14:paraId="3ECEAC85" w14:textId="77777777" w:rsidR="004F4E95" w:rsidRPr="00DE7B81" w:rsidRDefault="004F4E95" w:rsidP="004F4E95">
      <w:pPr>
        <w:jc w:val="both"/>
        <w:rPr>
          <w:sz w:val="22"/>
          <w:szCs w:val="22"/>
          <w:lang w:val="sr-Latn-ME"/>
        </w:rPr>
      </w:pPr>
    </w:p>
    <w:p w14:paraId="0476A966" w14:textId="4C1649FB" w:rsidR="004F4E95" w:rsidRPr="00DE7B81" w:rsidRDefault="004F4E95" w:rsidP="004F4E95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-</w:t>
      </w:r>
      <w:r w:rsidRPr="00DE7B81">
        <w:rPr>
          <w:b/>
          <w:sz w:val="22"/>
          <w:szCs w:val="22"/>
          <w:lang w:val="sr-Latn-ME"/>
        </w:rPr>
        <w:t>Infekcije bilijarnog trakta</w:t>
      </w:r>
      <w:r w:rsidRPr="00DE7B81">
        <w:rPr>
          <w:sz w:val="22"/>
          <w:szCs w:val="22"/>
          <w:lang w:val="sr-Latn-ME"/>
        </w:rPr>
        <w:t xml:space="preserve"> čiji su izazivači: </w:t>
      </w:r>
      <w:r w:rsidRPr="00DE7B81">
        <w:rPr>
          <w:i/>
          <w:sz w:val="22"/>
          <w:szCs w:val="22"/>
          <w:lang w:val="sr-Latn-ME"/>
        </w:rPr>
        <w:t>Escherichia coli</w:t>
      </w:r>
      <w:r w:rsidRPr="00DE7B81">
        <w:rPr>
          <w:sz w:val="22"/>
          <w:szCs w:val="22"/>
          <w:lang w:val="sr-Latn-ME"/>
        </w:rPr>
        <w:t>, razn</w:t>
      </w:r>
      <w:r w:rsidR="00A82F2E" w:rsidRPr="00DE7B81">
        <w:rPr>
          <w:sz w:val="22"/>
          <w:szCs w:val="22"/>
          <w:lang w:val="sr-Latn-ME"/>
        </w:rPr>
        <w:t>i</w:t>
      </w:r>
      <w:r w:rsidRPr="00DE7B81">
        <w:rPr>
          <w:sz w:val="22"/>
          <w:szCs w:val="22"/>
          <w:lang w:val="sr-Latn-ME"/>
        </w:rPr>
        <w:t xml:space="preserve"> sojevi streptokoka, </w:t>
      </w:r>
      <w:r w:rsidRPr="00DE7B81">
        <w:rPr>
          <w:i/>
          <w:sz w:val="22"/>
          <w:szCs w:val="22"/>
          <w:lang w:val="sr-Latn-ME"/>
        </w:rPr>
        <w:t>Proteus mirabilis</w:t>
      </w:r>
      <w:r w:rsidRPr="00DE7B81">
        <w:rPr>
          <w:sz w:val="22"/>
          <w:szCs w:val="22"/>
          <w:lang w:val="sr-Latn-ME"/>
        </w:rPr>
        <w:t xml:space="preserve">, </w:t>
      </w:r>
      <w:r w:rsidRPr="00DE7B81">
        <w:rPr>
          <w:i/>
          <w:iCs/>
          <w:sz w:val="22"/>
          <w:szCs w:val="22"/>
          <w:lang w:val="sr-Latn-ME"/>
        </w:rPr>
        <w:t>Klebsiella</w:t>
      </w:r>
      <w:r w:rsidRPr="00DE7B81">
        <w:rPr>
          <w:sz w:val="22"/>
          <w:szCs w:val="22"/>
          <w:lang w:val="sr-Latn-ME"/>
        </w:rPr>
        <w:t xml:space="preserve"> i </w:t>
      </w:r>
      <w:r w:rsidRPr="00DE7B81">
        <w:rPr>
          <w:i/>
          <w:sz w:val="22"/>
          <w:szCs w:val="22"/>
          <w:lang w:val="sr-Latn-ME"/>
        </w:rPr>
        <w:t>Staphylococcus aureus</w:t>
      </w:r>
      <w:r w:rsidRPr="00DE7B81">
        <w:rPr>
          <w:sz w:val="22"/>
          <w:szCs w:val="22"/>
          <w:lang w:val="sr-Latn-ME"/>
        </w:rPr>
        <w:t>.</w:t>
      </w:r>
    </w:p>
    <w:p w14:paraId="1BA7D137" w14:textId="77777777" w:rsidR="00F04917" w:rsidRPr="00DE7B81" w:rsidRDefault="00F04917" w:rsidP="00F04917">
      <w:pPr>
        <w:jc w:val="both"/>
        <w:rPr>
          <w:b/>
          <w:sz w:val="22"/>
          <w:szCs w:val="22"/>
          <w:lang w:val="sr-Latn-ME"/>
        </w:rPr>
      </w:pPr>
    </w:p>
    <w:p w14:paraId="1A89E96B" w14:textId="468D54CB" w:rsidR="00F04917" w:rsidRPr="00DE7B81" w:rsidRDefault="00F04917" w:rsidP="00F04917">
      <w:pPr>
        <w:jc w:val="both"/>
        <w:rPr>
          <w:sz w:val="22"/>
          <w:szCs w:val="22"/>
          <w:lang w:val="sr-Latn-ME"/>
        </w:rPr>
      </w:pPr>
      <w:r w:rsidRPr="00DE7B81">
        <w:rPr>
          <w:b/>
          <w:sz w:val="22"/>
          <w:szCs w:val="22"/>
          <w:lang w:val="sr-Latn-ME"/>
        </w:rPr>
        <w:t>- Infekcije kože i mekih tkiva</w:t>
      </w:r>
      <w:r w:rsidRPr="00DE7B81">
        <w:rPr>
          <w:sz w:val="22"/>
          <w:szCs w:val="22"/>
          <w:lang w:val="sr-Latn-ME"/>
        </w:rPr>
        <w:t xml:space="preserve"> </w:t>
      </w:r>
      <w:r w:rsidR="004F4E95" w:rsidRPr="00DE7B81">
        <w:rPr>
          <w:sz w:val="22"/>
          <w:szCs w:val="22"/>
          <w:lang w:val="sr-Latn-ME"/>
        </w:rPr>
        <w:t>čiji su izazivači</w:t>
      </w:r>
      <w:r w:rsidRPr="00DE7B81">
        <w:rPr>
          <w:sz w:val="22"/>
          <w:szCs w:val="22"/>
          <w:lang w:val="sr-Latn-ME"/>
        </w:rPr>
        <w:t xml:space="preserve">: </w:t>
      </w:r>
      <w:r w:rsidRPr="00DE7B81">
        <w:rPr>
          <w:i/>
          <w:sz w:val="22"/>
          <w:szCs w:val="22"/>
          <w:lang w:val="sr-Latn-ME"/>
        </w:rPr>
        <w:t>Staphylococcus aureus</w:t>
      </w:r>
      <w:r w:rsidRPr="00DE7B81">
        <w:rPr>
          <w:sz w:val="22"/>
          <w:szCs w:val="22"/>
          <w:lang w:val="sr-Latn-ME"/>
        </w:rPr>
        <w:t xml:space="preserve"> (</w:t>
      </w:r>
      <w:r w:rsidR="004F4E95" w:rsidRPr="00DE7B81">
        <w:rPr>
          <w:sz w:val="22"/>
          <w:szCs w:val="22"/>
          <w:lang w:val="sr-Latn-ME"/>
        </w:rPr>
        <w:t>penicilin-</w:t>
      </w:r>
      <w:r w:rsidRPr="00DE7B81">
        <w:rPr>
          <w:sz w:val="22"/>
          <w:szCs w:val="22"/>
          <w:lang w:val="sr-Latn-ME"/>
        </w:rPr>
        <w:t xml:space="preserve">osjetljivi </w:t>
      </w:r>
      <w:r w:rsidR="004F4E95" w:rsidRPr="00DE7B81">
        <w:rPr>
          <w:sz w:val="22"/>
          <w:szCs w:val="22"/>
          <w:lang w:val="sr-Latn-ME"/>
        </w:rPr>
        <w:t xml:space="preserve">i penicilin-rezistentni </w:t>
      </w:r>
      <w:r w:rsidRPr="00DE7B81">
        <w:rPr>
          <w:sz w:val="22"/>
          <w:szCs w:val="22"/>
          <w:lang w:val="sr-Latn-ME"/>
        </w:rPr>
        <w:t xml:space="preserve">sojevi), </w:t>
      </w:r>
      <w:r w:rsidR="00A82F2E" w:rsidRPr="00DE7B81">
        <w:rPr>
          <w:sz w:val="22"/>
          <w:szCs w:val="22"/>
          <w:lang w:val="sr-Latn-ME"/>
        </w:rPr>
        <w:t>beta</w:t>
      </w:r>
      <w:r w:rsidR="00A50F25" w:rsidRPr="00DE7B81">
        <w:rPr>
          <w:sz w:val="22"/>
          <w:szCs w:val="22"/>
          <w:lang w:val="sr-Latn-ME"/>
        </w:rPr>
        <w:t>-</w:t>
      </w:r>
      <w:r w:rsidR="00A82F2E" w:rsidRPr="00DE7B81">
        <w:rPr>
          <w:sz w:val="22"/>
          <w:szCs w:val="22"/>
          <w:lang w:val="sr-Latn-ME"/>
        </w:rPr>
        <w:t xml:space="preserve">hemolitički streptokok grupe A </w:t>
      </w:r>
      <w:r w:rsidRPr="00DE7B81">
        <w:rPr>
          <w:sz w:val="22"/>
          <w:szCs w:val="22"/>
          <w:lang w:val="sr-Latn-ME"/>
        </w:rPr>
        <w:t>kao i drugi sojevi streptokoka.</w:t>
      </w:r>
    </w:p>
    <w:p w14:paraId="37381F93" w14:textId="77777777" w:rsidR="00F04917" w:rsidRPr="00DE7B81" w:rsidRDefault="00F04917" w:rsidP="00F04917">
      <w:pPr>
        <w:jc w:val="both"/>
        <w:rPr>
          <w:sz w:val="22"/>
          <w:szCs w:val="22"/>
          <w:lang w:val="sr-Latn-ME"/>
        </w:rPr>
      </w:pPr>
    </w:p>
    <w:p w14:paraId="7F201028" w14:textId="5724AF4F" w:rsidR="00F04917" w:rsidRPr="00DE7B81" w:rsidRDefault="00F04917" w:rsidP="00F04917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 xml:space="preserve">- </w:t>
      </w:r>
      <w:r w:rsidRPr="00DE7B81">
        <w:rPr>
          <w:b/>
          <w:sz w:val="22"/>
          <w:szCs w:val="22"/>
          <w:lang w:val="sr-Latn-ME"/>
        </w:rPr>
        <w:t>Infekcije kostiju i zglobova</w:t>
      </w:r>
      <w:r w:rsidRPr="00DE7B81">
        <w:rPr>
          <w:sz w:val="22"/>
          <w:szCs w:val="22"/>
          <w:lang w:val="sr-Latn-ME"/>
        </w:rPr>
        <w:t xml:space="preserve"> </w:t>
      </w:r>
      <w:r w:rsidR="00A82F2E" w:rsidRPr="00DE7B81">
        <w:rPr>
          <w:sz w:val="22"/>
          <w:szCs w:val="22"/>
          <w:lang w:val="sr-Latn-ME"/>
        </w:rPr>
        <w:t xml:space="preserve">čiji je izazivač </w:t>
      </w:r>
      <w:r w:rsidRPr="00DE7B81">
        <w:rPr>
          <w:i/>
          <w:sz w:val="22"/>
          <w:szCs w:val="22"/>
          <w:lang w:val="sr-Latn-ME"/>
        </w:rPr>
        <w:t>Staphylococcus aureus</w:t>
      </w:r>
      <w:r w:rsidRPr="00DE7B81">
        <w:rPr>
          <w:sz w:val="22"/>
          <w:szCs w:val="22"/>
          <w:lang w:val="sr-Latn-ME"/>
        </w:rPr>
        <w:t>.</w:t>
      </w:r>
    </w:p>
    <w:p w14:paraId="0C18D2DC" w14:textId="77777777" w:rsidR="00F04917" w:rsidRPr="00DE7B81" w:rsidRDefault="00F04917" w:rsidP="00F04917">
      <w:pPr>
        <w:jc w:val="both"/>
        <w:rPr>
          <w:sz w:val="22"/>
          <w:szCs w:val="22"/>
          <w:lang w:val="sr-Latn-ME"/>
        </w:rPr>
      </w:pPr>
    </w:p>
    <w:p w14:paraId="3B123435" w14:textId="61F5F144" w:rsidR="00F04917" w:rsidRPr="00DE7B81" w:rsidRDefault="00F04917" w:rsidP="00F04917">
      <w:pPr>
        <w:jc w:val="both"/>
        <w:rPr>
          <w:sz w:val="22"/>
          <w:szCs w:val="22"/>
          <w:lang w:val="sr-Latn-ME"/>
        </w:rPr>
      </w:pPr>
      <w:r w:rsidRPr="00DE7B81">
        <w:rPr>
          <w:b/>
          <w:sz w:val="22"/>
          <w:szCs w:val="22"/>
          <w:lang w:val="sr-Latn-ME"/>
        </w:rPr>
        <w:t>- Septikemija</w:t>
      </w:r>
      <w:r w:rsidRPr="00DE7B81">
        <w:rPr>
          <w:sz w:val="22"/>
          <w:szCs w:val="22"/>
          <w:lang w:val="sr-Latn-ME"/>
        </w:rPr>
        <w:t xml:space="preserve"> </w:t>
      </w:r>
      <w:r w:rsidR="00A82F2E" w:rsidRPr="00DE7B81">
        <w:rPr>
          <w:sz w:val="22"/>
          <w:szCs w:val="22"/>
          <w:lang w:val="sr-Latn-ME"/>
        </w:rPr>
        <w:t>čiji su izazivači</w:t>
      </w:r>
      <w:r w:rsidRPr="00DE7B81">
        <w:rPr>
          <w:sz w:val="22"/>
          <w:szCs w:val="22"/>
          <w:lang w:val="sr-Latn-ME"/>
        </w:rPr>
        <w:t xml:space="preserve">: </w:t>
      </w:r>
      <w:r w:rsidRPr="00DE7B81">
        <w:rPr>
          <w:i/>
          <w:sz w:val="22"/>
          <w:szCs w:val="22"/>
          <w:lang w:val="sr-Latn-ME"/>
        </w:rPr>
        <w:t>Streptococcus pneumoniae, Staphylococcus aureus</w:t>
      </w:r>
      <w:r w:rsidRPr="00DE7B81">
        <w:rPr>
          <w:sz w:val="22"/>
          <w:szCs w:val="22"/>
          <w:lang w:val="sr-Latn-ME"/>
        </w:rPr>
        <w:t xml:space="preserve"> (</w:t>
      </w:r>
      <w:r w:rsidR="00A82F2E" w:rsidRPr="00DE7B81">
        <w:rPr>
          <w:sz w:val="22"/>
          <w:szCs w:val="22"/>
          <w:lang w:val="sr-Latn-ME"/>
        </w:rPr>
        <w:t>penicilin-</w:t>
      </w:r>
      <w:r w:rsidRPr="00DE7B81">
        <w:rPr>
          <w:sz w:val="22"/>
          <w:szCs w:val="22"/>
          <w:lang w:val="sr-Latn-ME"/>
        </w:rPr>
        <w:t xml:space="preserve">osjetljivi </w:t>
      </w:r>
      <w:r w:rsidR="00A82F2E" w:rsidRPr="00DE7B81">
        <w:rPr>
          <w:sz w:val="22"/>
          <w:szCs w:val="22"/>
          <w:lang w:val="sr-Latn-ME"/>
        </w:rPr>
        <w:t xml:space="preserve">i penicilin-rezistentni </w:t>
      </w:r>
      <w:r w:rsidRPr="00DE7B81">
        <w:rPr>
          <w:sz w:val="22"/>
          <w:szCs w:val="22"/>
          <w:lang w:val="sr-Latn-ME"/>
        </w:rPr>
        <w:t xml:space="preserve">sojevi), </w:t>
      </w:r>
      <w:r w:rsidRPr="00DE7B81">
        <w:rPr>
          <w:i/>
          <w:sz w:val="22"/>
          <w:szCs w:val="22"/>
          <w:lang w:val="sr-Latn-ME"/>
        </w:rPr>
        <w:t>Proteus mirabilis, Escherichia coli</w:t>
      </w:r>
      <w:r w:rsidR="00A82F2E" w:rsidRPr="00DE7B81">
        <w:rPr>
          <w:i/>
          <w:sz w:val="22"/>
          <w:szCs w:val="22"/>
          <w:lang w:val="sr-Latn-ME"/>
        </w:rPr>
        <w:t xml:space="preserve"> </w:t>
      </w:r>
      <w:r w:rsidR="00A82F2E" w:rsidRPr="00DE7B81">
        <w:rPr>
          <w:iCs/>
          <w:sz w:val="22"/>
          <w:szCs w:val="22"/>
          <w:lang w:val="sr-Latn-ME"/>
        </w:rPr>
        <w:t xml:space="preserve">i </w:t>
      </w:r>
      <w:r w:rsidR="00A82F2E" w:rsidRPr="00DE7B81">
        <w:rPr>
          <w:i/>
          <w:sz w:val="22"/>
          <w:szCs w:val="22"/>
          <w:lang w:val="sr-Latn-ME"/>
        </w:rPr>
        <w:t>Klebsiella.</w:t>
      </w:r>
    </w:p>
    <w:p w14:paraId="44699FE2" w14:textId="77777777" w:rsidR="00F04917" w:rsidRPr="00DE7B81" w:rsidRDefault="00F04917" w:rsidP="00F04917">
      <w:pPr>
        <w:jc w:val="both"/>
        <w:rPr>
          <w:sz w:val="22"/>
          <w:szCs w:val="22"/>
          <w:lang w:val="sr-Latn-ME"/>
        </w:rPr>
      </w:pPr>
    </w:p>
    <w:p w14:paraId="104CCDE9" w14:textId="7BCB2369" w:rsidR="00F04917" w:rsidRPr="00DE7B81" w:rsidRDefault="00F04917" w:rsidP="00CA6BF5">
      <w:pPr>
        <w:jc w:val="both"/>
        <w:rPr>
          <w:sz w:val="22"/>
          <w:szCs w:val="22"/>
          <w:lang w:val="sr-Latn-ME"/>
        </w:rPr>
      </w:pPr>
      <w:r w:rsidRPr="00DE7B81">
        <w:rPr>
          <w:b/>
          <w:sz w:val="22"/>
          <w:szCs w:val="22"/>
          <w:lang w:val="sr-Latn-ME"/>
        </w:rPr>
        <w:t>- Endokarditis</w:t>
      </w:r>
      <w:r w:rsidRPr="00DE7B81">
        <w:rPr>
          <w:sz w:val="22"/>
          <w:szCs w:val="22"/>
          <w:lang w:val="sr-Latn-ME"/>
        </w:rPr>
        <w:t xml:space="preserve"> </w:t>
      </w:r>
      <w:r w:rsidR="003207F1" w:rsidRPr="00DE7B81">
        <w:rPr>
          <w:sz w:val="22"/>
          <w:szCs w:val="22"/>
          <w:lang w:val="sr-Latn-ME"/>
        </w:rPr>
        <w:t xml:space="preserve">čiji su izazivači </w:t>
      </w:r>
      <w:r w:rsidR="003207F1" w:rsidRPr="00DE7B81">
        <w:rPr>
          <w:i/>
          <w:sz w:val="22"/>
          <w:szCs w:val="22"/>
          <w:lang w:val="sr-Latn-ME"/>
        </w:rPr>
        <w:t xml:space="preserve">Staphylococcus </w:t>
      </w:r>
      <w:r w:rsidRPr="00DE7B81">
        <w:rPr>
          <w:i/>
          <w:sz w:val="22"/>
          <w:szCs w:val="22"/>
          <w:lang w:val="sr-Latn-ME"/>
        </w:rPr>
        <w:t>aureus</w:t>
      </w:r>
      <w:r w:rsidRPr="00DE7B81">
        <w:rPr>
          <w:sz w:val="22"/>
          <w:szCs w:val="22"/>
          <w:lang w:val="sr-Latn-ME"/>
        </w:rPr>
        <w:t xml:space="preserve"> (</w:t>
      </w:r>
      <w:r w:rsidR="003207F1" w:rsidRPr="00DE7B81">
        <w:rPr>
          <w:sz w:val="22"/>
          <w:szCs w:val="22"/>
          <w:lang w:val="sr-Latn-ME"/>
        </w:rPr>
        <w:t>penicilin-</w:t>
      </w:r>
      <w:r w:rsidRPr="00DE7B81">
        <w:rPr>
          <w:sz w:val="22"/>
          <w:szCs w:val="22"/>
          <w:lang w:val="sr-Latn-ME"/>
        </w:rPr>
        <w:t xml:space="preserve">osjetljivi </w:t>
      </w:r>
      <w:r w:rsidR="003207F1" w:rsidRPr="00DE7B81">
        <w:rPr>
          <w:sz w:val="22"/>
          <w:szCs w:val="22"/>
          <w:lang w:val="sr-Latn-ME"/>
        </w:rPr>
        <w:t xml:space="preserve">i penicilin-rezistentni </w:t>
      </w:r>
      <w:r w:rsidRPr="00DE7B81">
        <w:rPr>
          <w:sz w:val="22"/>
          <w:szCs w:val="22"/>
          <w:lang w:val="sr-Latn-ME"/>
        </w:rPr>
        <w:t>sojevi</w:t>
      </w:r>
      <w:r w:rsidR="003207F1" w:rsidRPr="00DE7B81">
        <w:rPr>
          <w:sz w:val="22"/>
          <w:szCs w:val="22"/>
          <w:lang w:val="sr-Latn-ME"/>
        </w:rPr>
        <w:t>)</w:t>
      </w:r>
      <w:r w:rsidR="00CA6BF5" w:rsidRPr="00DE7B81">
        <w:rPr>
          <w:sz w:val="22"/>
          <w:szCs w:val="22"/>
          <w:lang w:val="sr-Latn-ME"/>
        </w:rPr>
        <w:t xml:space="preserve"> i beta-hemolitički streptokok grupe A.</w:t>
      </w:r>
    </w:p>
    <w:p w14:paraId="6D842162" w14:textId="77777777" w:rsidR="00F04917" w:rsidRPr="00DE7B81" w:rsidRDefault="00F04917" w:rsidP="00F04917">
      <w:pPr>
        <w:jc w:val="both"/>
        <w:rPr>
          <w:sz w:val="22"/>
          <w:szCs w:val="22"/>
          <w:lang w:val="sr-Latn-ME"/>
        </w:rPr>
      </w:pPr>
    </w:p>
    <w:p w14:paraId="366C424F" w14:textId="1091360F" w:rsidR="00F04917" w:rsidRPr="00DE7B81" w:rsidRDefault="00F04917" w:rsidP="00F04917">
      <w:pPr>
        <w:jc w:val="both"/>
        <w:rPr>
          <w:sz w:val="22"/>
          <w:szCs w:val="22"/>
          <w:lang w:val="sr-Latn-ME"/>
        </w:rPr>
      </w:pPr>
      <w:r w:rsidRPr="00DE7B81">
        <w:rPr>
          <w:b/>
          <w:sz w:val="22"/>
          <w:szCs w:val="22"/>
          <w:lang w:val="sr-Latn-ME"/>
        </w:rPr>
        <w:lastRenderedPageBreak/>
        <w:t>Perioperativna profilaksa:</w:t>
      </w:r>
      <w:r w:rsidR="00946B9A" w:rsidRPr="00DE7B81">
        <w:rPr>
          <w:sz w:val="22"/>
          <w:szCs w:val="22"/>
          <w:lang w:val="sr-Latn-ME"/>
        </w:rPr>
        <w:t xml:space="preserve"> </w:t>
      </w:r>
      <w:r w:rsidR="00CA6BF5" w:rsidRPr="00DE7B81">
        <w:rPr>
          <w:sz w:val="22"/>
          <w:szCs w:val="22"/>
          <w:lang w:val="sr-Latn-ME"/>
        </w:rPr>
        <w:t>pre</w:t>
      </w:r>
      <w:r w:rsidRPr="00DE7B81">
        <w:rPr>
          <w:sz w:val="22"/>
          <w:szCs w:val="22"/>
          <w:lang w:val="sr-Latn-ME"/>
        </w:rPr>
        <w:t>operativn</w:t>
      </w:r>
      <w:r w:rsidR="00CA6BF5" w:rsidRPr="00DE7B81">
        <w:rPr>
          <w:sz w:val="22"/>
          <w:szCs w:val="22"/>
          <w:lang w:val="sr-Latn-ME"/>
        </w:rPr>
        <w:t>a</w:t>
      </w:r>
      <w:r w:rsidRPr="00DE7B81">
        <w:rPr>
          <w:sz w:val="22"/>
          <w:szCs w:val="22"/>
          <w:lang w:val="sr-Latn-ME"/>
        </w:rPr>
        <w:t>, intraoperativn</w:t>
      </w:r>
      <w:r w:rsidR="00CA6BF5" w:rsidRPr="00DE7B81">
        <w:rPr>
          <w:sz w:val="22"/>
          <w:szCs w:val="22"/>
          <w:lang w:val="sr-Latn-ME"/>
        </w:rPr>
        <w:t>a</w:t>
      </w:r>
      <w:r w:rsidRPr="00DE7B81">
        <w:rPr>
          <w:sz w:val="22"/>
          <w:szCs w:val="22"/>
          <w:lang w:val="sr-Latn-ME"/>
        </w:rPr>
        <w:t xml:space="preserve"> i postoperativn</w:t>
      </w:r>
      <w:r w:rsidR="00CA6BF5" w:rsidRPr="00DE7B81">
        <w:rPr>
          <w:sz w:val="22"/>
          <w:szCs w:val="22"/>
          <w:lang w:val="sr-Latn-ME"/>
        </w:rPr>
        <w:t>a profilaksa</w:t>
      </w:r>
      <w:r w:rsidRPr="00DE7B81">
        <w:rPr>
          <w:sz w:val="22"/>
          <w:szCs w:val="22"/>
          <w:lang w:val="sr-Latn-ME"/>
        </w:rPr>
        <w:t xml:space="preserve"> </w:t>
      </w:r>
      <w:r w:rsidR="00CA6BF5" w:rsidRPr="00DE7B81">
        <w:rPr>
          <w:sz w:val="22"/>
          <w:szCs w:val="22"/>
          <w:lang w:val="sr-Latn-ME"/>
        </w:rPr>
        <w:t>radi</w:t>
      </w:r>
      <w:r w:rsidRPr="00DE7B81">
        <w:rPr>
          <w:sz w:val="22"/>
          <w:szCs w:val="22"/>
          <w:lang w:val="sr-Latn-ME"/>
        </w:rPr>
        <w:t xml:space="preserve"> smanj</w:t>
      </w:r>
      <w:r w:rsidR="00CA6BF5" w:rsidRPr="00DE7B81">
        <w:rPr>
          <w:sz w:val="22"/>
          <w:szCs w:val="22"/>
          <w:lang w:val="sr-Latn-ME"/>
        </w:rPr>
        <w:t>enja</w:t>
      </w:r>
      <w:r w:rsidRPr="00DE7B81">
        <w:rPr>
          <w:sz w:val="22"/>
          <w:szCs w:val="22"/>
          <w:lang w:val="sr-Latn-ME"/>
        </w:rPr>
        <w:t xml:space="preserve"> </w:t>
      </w:r>
      <w:r w:rsidR="0063606A" w:rsidRPr="00DE7B81">
        <w:rPr>
          <w:sz w:val="22"/>
          <w:szCs w:val="22"/>
          <w:lang w:val="sr-Latn-ME"/>
        </w:rPr>
        <w:t xml:space="preserve">učestalosti određenih </w:t>
      </w:r>
      <w:r w:rsidRPr="00DE7B81">
        <w:rPr>
          <w:sz w:val="22"/>
          <w:szCs w:val="22"/>
          <w:lang w:val="sr-Latn-ME"/>
        </w:rPr>
        <w:t>postoperativnih infekcija kod pacijenata podvrgnutih hirurškim procedurama koje se ubrajaju u kontaminirajuće ili potencijalno kontaminirajuće.</w:t>
      </w:r>
    </w:p>
    <w:p w14:paraId="29B38A16" w14:textId="77777777" w:rsidR="0063606A" w:rsidRPr="00DE7B81" w:rsidRDefault="0063606A" w:rsidP="00F04917">
      <w:pPr>
        <w:jc w:val="both"/>
        <w:rPr>
          <w:sz w:val="22"/>
          <w:szCs w:val="22"/>
          <w:lang w:val="sr-Latn-ME"/>
        </w:rPr>
      </w:pPr>
    </w:p>
    <w:p w14:paraId="0C45BD62" w14:textId="59701024" w:rsidR="0063606A" w:rsidRPr="00DE7B81" w:rsidRDefault="0063606A" w:rsidP="00F04917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Treba uzeti u obzir zvanične vodiče za pravilnu upotrebu antibakterijskih l</w:t>
      </w:r>
      <w:r w:rsidR="00564B8A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ekova.</w:t>
      </w:r>
    </w:p>
    <w:p w14:paraId="7238B2DB" w14:textId="77777777" w:rsidR="00F04917" w:rsidRPr="00DE7B81" w:rsidRDefault="00F04917" w:rsidP="00F04917">
      <w:pPr>
        <w:jc w:val="both"/>
        <w:rPr>
          <w:sz w:val="22"/>
          <w:szCs w:val="22"/>
          <w:lang w:val="sr-Latn-ME"/>
        </w:rPr>
      </w:pPr>
    </w:p>
    <w:p w14:paraId="5DE5412E" w14:textId="77777777" w:rsidR="00411B4B" w:rsidRPr="00DE7B8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 xml:space="preserve">4.2.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sz w:val="22"/>
          <w:szCs w:val="22"/>
          <w:lang w:val="sr-Latn-ME"/>
        </w:rPr>
        <w:t>Doziranje i način primjene</w:t>
      </w:r>
    </w:p>
    <w:p w14:paraId="5DE5412F" w14:textId="77777777" w:rsidR="0072020E" w:rsidRPr="00DE7B8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E54130" w14:textId="77777777" w:rsidR="00452E9D" w:rsidRPr="00DE7B81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DE7B81">
        <w:rPr>
          <w:bCs/>
          <w:sz w:val="22"/>
          <w:szCs w:val="22"/>
          <w:u w:val="single"/>
          <w:lang w:val="sr-Latn-ME"/>
        </w:rPr>
        <w:t>Doziranje</w:t>
      </w:r>
    </w:p>
    <w:p w14:paraId="16B6325D" w14:textId="62B90419" w:rsidR="0031661E" w:rsidRPr="00DE7B81" w:rsidRDefault="0031661E" w:rsidP="008C5C9E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Doziranje, način primjene i interval doziranja određuju se prema težini infekcije, os</w:t>
      </w:r>
      <w:r w:rsidR="00C26E2A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etljivosti patogena na cefazolin i stanju pacijenta (npr. funkcije bubrega).</w:t>
      </w:r>
    </w:p>
    <w:p w14:paraId="2F4E6476" w14:textId="77777777" w:rsidR="006B15C3" w:rsidRPr="00DE7B81" w:rsidRDefault="006B15C3" w:rsidP="006B15C3">
      <w:pPr>
        <w:jc w:val="both"/>
        <w:rPr>
          <w:i/>
          <w:sz w:val="22"/>
          <w:szCs w:val="22"/>
          <w:lang w:val="sr-Latn-ME"/>
        </w:rPr>
      </w:pPr>
    </w:p>
    <w:p w14:paraId="11D8E9F5" w14:textId="77777777" w:rsidR="0067452B" w:rsidRPr="00DE7B81" w:rsidRDefault="0067452B" w:rsidP="0067452B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>Odrasli i adolescenti stariji od 12 godina sa očuvanom funkcijom bubrega:</w:t>
      </w:r>
    </w:p>
    <w:p w14:paraId="4994280E" w14:textId="77777777" w:rsidR="0067452B" w:rsidRPr="00DE7B81" w:rsidRDefault="0067452B" w:rsidP="0067452B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53D188F0" w14:textId="075CCFF0" w:rsidR="0067452B" w:rsidRPr="00DE7B81" w:rsidRDefault="0067452B" w:rsidP="0067452B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DE7B81">
        <w:rPr>
          <w:sz w:val="22"/>
          <w:szCs w:val="22"/>
          <w:u w:val="single"/>
          <w:lang w:val="sr-Latn-ME"/>
        </w:rPr>
        <w:t>Infekcije izazvane veoma os</w:t>
      </w:r>
      <w:r w:rsidR="00B02866" w:rsidRPr="00DE7B81">
        <w:rPr>
          <w:sz w:val="22"/>
          <w:szCs w:val="22"/>
          <w:u w:val="single"/>
          <w:lang w:val="sr-Latn-ME"/>
        </w:rPr>
        <w:t>j</w:t>
      </w:r>
      <w:r w:rsidRPr="00DE7B81">
        <w:rPr>
          <w:sz w:val="22"/>
          <w:szCs w:val="22"/>
          <w:u w:val="single"/>
          <w:lang w:val="sr-Latn-ME"/>
        </w:rPr>
        <w:t>etljivim patogenima</w:t>
      </w:r>
    </w:p>
    <w:p w14:paraId="287F2F96" w14:textId="32DEE32A" w:rsidR="0067452B" w:rsidRPr="00DE7B81" w:rsidRDefault="0067452B" w:rsidP="0067452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Uobičajeno doziranje kod odraslih je 1 g do 2 g dnevno, pod</w:t>
      </w:r>
      <w:r w:rsidR="00B02866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eljeno u dv</w:t>
      </w:r>
      <w:r w:rsidR="00F54394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 ili tri jednake doze (po jedna</w:t>
      </w:r>
    </w:p>
    <w:p w14:paraId="32516383" w14:textId="77777777" w:rsidR="0067452B" w:rsidRPr="00DE7B81" w:rsidRDefault="0067452B" w:rsidP="0067452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doza na svakih 8 ili 12 sati).</w:t>
      </w:r>
    </w:p>
    <w:p w14:paraId="77636025" w14:textId="77777777" w:rsidR="0067452B" w:rsidRPr="00DE7B81" w:rsidRDefault="0067452B" w:rsidP="0067452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A6C5730" w14:textId="4EDB403D" w:rsidR="0067452B" w:rsidRPr="00DE7B81" w:rsidRDefault="0067452B" w:rsidP="0067452B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DE7B81">
        <w:rPr>
          <w:sz w:val="22"/>
          <w:szCs w:val="22"/>
          <w:u w:val="single"/>
          <w:lang w:val="sr-Latn-ME"/>
        </w:rPr>
        <w:t>Infekcije izazvane manje os</w:t>
      </w:r>
      <w:r w:rsidR="00F54394" w:rsidRPr="00DE7B81">
        <w:rPr>
          <w:sz w:val="22"/>
          <w:szCs w:val="22"/>
          <w:u w:val="single"/>
          <w:lang w:val="sr-Latn-ME"/>
        </w:rPr>
        <w:t>j</w:t>
      </w:r>
      <w:r w:rsidRPr="00DE7B81">
        <w:rPr>
          <w:sz w:val="22"/>
          <w:szCs w:val="22"/>
          <w:u w:val="single"/>
          <w:lang w:val="sr-Latn-ME"/>
        </w:rPr>
        <w:t>etljivim patogenima</w:t>
      </w:r>
    </w:p>
    <w:p w14:paraId="6959AE11" w14:textId="52530CF5" w:rsidR="0067452B" w:rsidRPr="00DE7B81" w:rsidRDefault="0067452B" w:rsidP="0067452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Uobičajeno doziranje kod odraslih je 3 g do 4 g dnevno, pod</w:t>
      </w:r>
      <w:r w:rsidR="00F54394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eljeno u tri ili četiri jednake doze (po jedna</w:t>
      </w:r>
    </w:p>
    <w:p w14:paraId="3077B604" w14:textId="77777777" w:rsidR="0067452B" w:rsidRPr="00DE7B81" w:rsidRDefault="0067452B" w:rsidP="0067452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doza na svakih 6 ili 8 sati).</w:t>
      </w:r>
    </w:p>
    <w:p w14:paraId="265A8814" w14:textId="3989DFC1" w:rsidR="0067452B" w:rsidRPr="00DE7B81" w:rsidRDefault="0067452B" w:rsidP="0067452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 xml:space="preserve">Kod teških infekcija i infekcija koje ugrožavaju život, </w:t>
      </w:r>
      <w:r w:rsidR="00FE7C4F" w:rsidRPr="00DE7B81">
        <w:rPr>
          <w:sz w:val="22"/>
          <w:szCs w:val="22"/>
          <w:lang w:val="sr-Latn-ME"/>
        </w:rPr>
        <w:t>može se prim</w:t>
      </w:r>
      <w:r w:rsidR="000307CF" w:rsidRPr="00DE7B81">
        <w:rPr>
          <w:sz w:val="22"/>
          <w:szCs w:val="22"/>
          <w:lang w:val="sr-Latn-ME"/>
        </w:rPr>
        <w:t>i</w:t>
      </w:r>
      <w:r w:rsidR="009F1356" w:rsidRPr="00DE7B81">
        <w:rPr>
          <w:sz w:val="22"/>
          <w:szCs w:val="22"/>
          <w:lang w:val="sr-Latn-ME"/>
        </w:rPr>
        <w:t>j</w:t>
      </w:r>
      <w:r w:rsidR="00FE7C4F" w:rsidRPr="00DE7B81">
        <w:rPr>
          <w:sz w:val="22"/>
          <w:szCs w:val="22"/>
          <w:lang w:val="sr-Latn-ME"/>
        </w:rPr>
        <w:t>eniti</w:t>
      </w:r>
      <w:r w:rsidRPr="00DE7B81">
        <w:rPr>
          <w:sz w:val="22"/>
          <w:szCs w:val="22"/>
          <w:lang w:val="sr-Latn-ME"/>
        </w:rPr>
        <w:t xml:space="preserve"> doza od 6 g do 12 g</w:t>
      </w:r>
      <w:r w:rsidR="00CF4A29" w:rsidRPr="00DE7B81">
        <w:rPr>
          <w:sz w:val="22"/>
          <w:szCs w:val="22"/>
          <w:lang w:val="sr-Latn-ME"/>
        </w:rPr>
        <w:t xml:space="preserve"> dnevno</w:t>
      </w:r>
      <w:r w:rsidRPr="00DE7B81">
        <w:rPr>
          <w:sz w:val="22"/>
          <w:szCs w:val="22"/>
          <w:lang w:val="sr-Latn-ME"/>
        </w:rPr>
        <w:t>, pod</w:t>
      </w:r>
      <w:r w:rsidR="00F54394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eljena u tri</w:t>
      </w:r>
      <w:r w:rsidR="00F54394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ili četiri jednake doze (po jedna doza na svakih 6 do 8 sati).</w:t>
      </w:r>
    </w:p>
    <w:p w14:paraId="438475BC" w14:textId="77777777" w:rsidR="006B15C3" w:rsidRPr="00DE7B81" w:rsidRDefault="006B15C3" w:rsidP="006B15C3">
      <w:pPr>
        <w:jc w:val="both"/>
        <w:rPr>
          <w:sz w:val="22"/>
          <w:szCs w:val="22"/>
          <w:lang w:val="sr-Latn-ME"/>
        </w:rPr>
      </w:pPr>
    </w:p>
    <w:p w14:paraId="26BB2394" w14:textId="12375A45" w:rsidR="006B15C3" w:rsidRPr="00DE7B81" w:rsidRDefault="003D633A" w:rsidP="006B15C3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u w:val="single"/>
          <w:lang w:val="sr-Latn-ME"/>
        </w:rPr>
        <w:t>Za</w:t>
      </w:r>
      <w:r w:rsidR="006B15C3" w:rsidRPr="00DE7B81">
        <w:rPr>
          <w:sz w:val="22"/>
          <w:szCs w:val="22"/>
          <w:u w:val="single"/>
          <w:lang w:val="sr-Latn-ME"/>
        </w:rPr>
        <w:t xml:space="preserve"> </w:t>
      </w:r>
      <w:r w:rsidR="004E6281" w:rsidRPr="00DE7B81">
        <w:rPr>
          <w:sz w:val="22"/>
          <w:szCs w:val="22"/>
          <w:u w:val="single"/>
          <w:lang w:val="sr-Latn-ME"/>
        </w:rPr>
        <w:t xml:space="preserve">perioperativnu </w:t>
      </w:r>
      <w:r w:rsidRPr="00DE7B81">
        <w:rPr>
          <w:sz w:val="22"/>
          <w:szCs w:val="22"/>
          <w:u w:val="single"/>
          <w:lang w:val="sr-Latn-ME"/>
        </w:rPr>
        <w:t>profilaksu</w:t>
      </w:r>
      <w:r w:rsidRPr="00DE7B81">
        <w:rPr>
          <w:sz w:val="22"/>
          <w:szCs w:val="22"/>
          <w:lang w:val="sr-Latn-ME"/>
        </w:rPr>
        <w:t xml:space="preserve"> kod odraslih i adolescenata</w:t>
      </w:r>
      <w:r w:rsidR="006B15C3" w:rsidRPr="00DE7B81">
        <w:rPr>
          <w:sz w:val="22"/>
          <w:szCs w:val="22"/>
          <w:lang w:val="sr-Latn-ME"/>
        </w:rPr>
        <w:t>, preporučuju se sljedeće doze:</w:t>
      </w:r>
    </w:p>
    <w:p w14:paraId="7450A3DA" w14:textId="2E17DB5A" w:rsidR="006B15C3" w:rsidRPr="00DE7B81" w:rsidRDefault="006B15C3" w:rsidP="006B15C3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 xml:space="preserve">1 g intravenski ili intramuskularno, primjenjuje se </w:t>
      </w:r>
      <w:r w:rsidR="002B2E44" w:rsidRPr="00DE7B81">
        <w:rPr>
          <w:sz w:val="22"/>
          <w:szCs w:val="22"/>
          <w:lang w:val="sr-Latn-ME"/>
        </w:rPr>
        <w:t>30 minuta do 1</w:t>
      </w:r>
      <w:r w:rsidRPr="00DE7B81">
        <w:rPr>
          <w:sz w:val="22"/>
          <w:szCs w:val="22"/>
          <w:lang w:val="sr-Latn-ME"/>
        </w:rPr>
        <w:t xml:space="preserve"> sat pr</w:t>
      </w:r>
      <w:r w:rsidR="002B2E44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 početka operacije;</w:t>
      </w:r>
    </w:p>
    <w:p w14:paraId="54AAE026" w14:textId="6446D6D9" w:rsidR="006B15C3" w:rsidRPr="00DE7B81" w:rsidRDefault="006B15C3" w:rsidP="006B15C3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 xml:space="preserve">za dugotrajne hirurške procedure (npr. 2 </w:t>
      </w:r>
      <w:r w:rsidR="00FE7C4F" w:rsidRPr="00DE7B81">
        <w:rPr>
          <w:sz w:val="22"/>
          <w:szCs w:val="22"/>
          <w:lang w:val="sr-Latn-ME"/>
        </w:rPr>
        <w:t xml:space="preserve">sata </w:t>
      </w:r>
      <w:r w:rsidRPr="00DE7B81">
        <w:rPr>
          <w:sz w:val="22"/>
          <w:szCs w:val="22"/>
          <w:lang w:val="sr-Latn-ME"/>
        </w:rPr>
        <w:t>i duže) primjenjuje se 500 mg – 1g intravenski ili intramuskularno, tokom operacije (uz prilagođavanje doza i intervala doziranja u skladu sa trajanjem operacije);</w:t>
      </w:r>
    </w:p>
    <w:p w14:paraId="3A65F8AF" w14:textId="3F0AEE39" w:rsidR="006B15C3" w:rsidRPr="00DE7B81" w:rsidRDefault="006B15C3" w:rsidP="006B15C3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500 mg – 1 g intravenski ili intramuskularno svakih 6</w:t>
      </w:r>
      <w:r w:rsidR="002B2E44" w:rsidRPr="00DE7B81">
        <w:rPr>
          <w:sz w:val="22"/>
          <w:szCs w:val="22"/>
          <w:lang w:val="sr-Latn-ME"/>
        </w:rPr>
        <w:t xml:space="preserve"> do </w:t>
      </w:r>
      <w:r w:rsidRPr="00DE7B81">
        <w:rPr>
          <w:sz w:val="22"/>
          <w:szCs w:val="22"/>
          <w:lang w:val="sr-Latn-ME"/>
        </w:rPr>
        <w:t xml:space="preserve">8 sati, u toku 24 sata </w:t>
      </w:r>
      <w:r w:rsidR="00E521E5" w:rsidRPr="00DE7B81">
        <w:rPr>
          <w:sz w:val="22"/>
          <w:szCs w:val="22"/>
          <w:lang w:val="sr-Latn-ME"/>
        </w:rPr>
        <w:t>postoperativno, ili nakon operacija gd</w:t>
      </w:r>
      <w:r w:rsidR="007A4656" w:rsidRPr="00DE7B81">
        <w:rPr>
          <w:sz w:val="22"/>
          <w:szCs w:val="22"/>
          <w:lang w:val="sr-Latn-ME"/>
        </w:rPr>
        <w:t>j</w:t>
      </w:r>
      <w:r w:rsidR="00E521E5" w:rsidRPr="00DE7B81">
        <w:rPr>
          <w:sz w:val="22"/>
          <w:szCs w:val="22"/>
          <w:lang w:val="sr-Latn-ME"/>
        </w:rPr>
        <w:t>e bi in</w:t>
      </w:r>
      <w:r w:rsidR="00D4292C" w:rsidRPr="00DE7B81">
        <w:rPr>
          <w:sz w:val="22"/>
          <w:szCs w:val="22"/>
          <w:lang w:val="sr-Latn-ME"/>
        </w:rPr>
        <w:t>fekcija predstavljala poseban rizik, u periodu od 3 do 5 dana</w:t>
      </w:r>
      <w:r w:rsidRPr="00DE7B81">
        <w:rPr>
          <w:sz w:val="22"/>
          <w:szCs w:val="22"/>
          <w:lang w:val="sr-Latn-ME"/>
        </w:rPr>
        <w:t xml:space="preserve">. </w:t>
      </w:r>
    </w:p>
    <w:p w14:paraId="7502141C" w14:textId="77777777" w:rsidR="006B15C3" w:rsidRPr="00DE7B81" w:rsidRDefault="006B15C3" w:rsidP="006B15C3">
      <w:pPr>
        <w:jc w:val="both"/>
        <w:rPr>
          <w:sz w:val="22"/>
          <w:szCs w:val="22"/>
          <w:lang w:val="sr-Latn-ME"/>
        </w:rPr>
      </w:pPr>
    </w:p>
    <w:p w14:paraId="0FCE558F" w14:textId="7E5F99DA" w:rsidR="006B15C3" w:rsidRPr="00DE7B81" w:rsidRDefault="006B15C3" w:rsidP="006B15C3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Značajno je da se preoperativna doza primjeni pravovrijemeno</w:t>
      </w:r>
      <w:r w:rsidR="00D4292C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(</w:t>
      </w:r>
      <w:r w:rsidR="00D4292C" w:rsidRPr="00DE7B81">
        <w:rPr>
          <w:sz w:val="22"/>
          <w:szCs w:val="22"/>
          <w:lang w:val="sr-Latn-ME"/>
        </w:rPr>
        <w:t>30 minuta</w:t>
      </w:r>
      <w:r w:rsidRPr="00DE7B81">
        <w:rPr>
          <w:sz w:val="22"/>
          <w:szCs w:val="22"/>
          <w:lang w:val="sr-Latn-ME"/>
        </w:rPr>
        <w:t xml:space="preserve"> do </w:t>
      </w:r>
      <w:r w:rsidR="00D4292C" w:rsidRPr="00DE7B81">
        <w:rPr>
          <w:sz w:val="22"/>
          <w:szCs w:val="22"/>
          <w:lang w:val="sr-Latn-ME"/>
        </w:rPr>
        <w:t xml:space="preserve">1 </w:t>
      </w:r>
      <w:r w:rsidRPr="00DE7B81">
        <w:rPr>
          <w:sz w:val="22"/>
          <w:szCs w:val="22"/>
          <w:lang w:val="sr-Latn-ME"/>
        </w:rPr>
        <w:t>sat)</w:t>
      </w:r>
      <w:r w:rsidR="004A29A0" w:rsidRPr="00DE7B81">
        <w:rPr>
          <w:sz w:val="22"/>
          <w:szCs w:val="22"/>
          <w:lang w:val="sr-Latn-ME"/>
        </w:rPr>
        <w:t xml:space="preserve"> pr</w:t>
      </w:r>
      <w:r w:rsidR="00E8434A" w:rsidRPr="00DE7B81">
        <w:rPr>
          <w:sz w:val="22"/>
          <w:szCs w:val="22"/>
          <w:lang w:val="sr-Latn-ME"/>
        </w:rPr>
        <w:t>ij</w:t>
      </w:r>
      <w:r w:rsidR="004A29A0" w:rsidRPr="00DE7B81">
        <w:rPr>
          <w:sz w:val="22"/>
          <w:szCs w:val="22"/>
          <w:lang w:val="sr-Latn-ME"/>
        </w:rPr>
        <w:t xml:space="preserve">e početka hirurške </w:t>
      </w:r>
      <w:r w:rsidR="00282592" w:rsidRPr="00DE7B81">
        <w:rPr>
          <w:sz w:val="22"/>
          <w:szCs w:val="22"/>
          <w:lang w:val="sr-Latn-ME"/>
        </w:rPr>
        <w:t>intervencije</w:t>
      </w:r>
      <w:r w:rsidR="004A29A0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kako bi se postigle odgovarajuće koncentracije antibiotika u serumu i tkivima;</w:t>
      </w:r>
      <w:r w:rsidR="004F3795" w:rsidRPr="00DE7B81">
        <w:rPr>
          <w:sz w:val="22"/>
          <w:szCs w:val="22"/>
          <w:lang w:val="sr-Latn-ME"/>
        </w:rPr>
        <w:t xml:space="preserve"> </w:t>
      </w:r>
      <w:r w:rsidR="00D4292C" w:rsidRPr="00DE7B81">
        <w:rPr>
          <w:sz w:val="22"/>
          <w:szCs w:val="22"/>
          <w:lang w:val="sr-Latn-ME"/>
        </w:rPr>
        <w:t>osim toga, ako postoji rizik</w:t>
      </w:r>
      <w:r w:rsidR="00A850C6" w:rsidRPr="00DE7B81">
        <w:rPr>
          <w:sz w:val="22"/>
          <w:szCs w:val="22"/>
          <w:lang w:val="sr-Latn-ME"/>
        </w:rPr>
        <w:t xml:space="preserve"> od infekcije, </w:t>
      </w:r>
      <w:r w:rsidRPr="00DE7B81">
        <w:rPr>
          <w:sz w:val="22"/>
          <w:szCs w:val="22"/>
          <w:lang w:val="sr-Latn-ME"/>
        </w:rPr>
        <w:t xml:space="preserve">cefazolin </w:t>
      </w:r>
      <w:r w:rsidR="00A850C6" w:rsidRPr="00DE7B81">
        <w:rPr>
          <w:sz w:val="22"/>
          <w:szCs w:val="22"/>
          <w:lang w:val="sr-Latn-ME"/>
        </w:rPr>
        <w:t xml:space="preserve">treba </w:t>
      </w:r>
      <w:r w:rsidRPr="00DE7B81">
        <w:rPr>
          <w:sz w:val="22"/>
          <w:szCs w:val="22"/>
          <w:lang w:val="sr-Latn-ME"/>
        </w:rPr>
        <w:t>primjen</w:t>
      </w:r>
      <w:r w:rsidR="00A850C6" w:rsidRPr="00DE7B81">
        <w:rPr>
          <w:sz w:val="22"/>
          <w:szCs w:val="22"/>
          <w:lang w:val="sr-Latn-ME"/>
        </w:rPr>
        <w:t xml:space="preserve">jivati u </w:t>
      </w:r>
      <w:r w:rsidRPr="00DE7B81">
        <w:rPr>
          <w:sz w:val="22"/>
          <w:szCs w:val="22"/>
          <w:lang w:val="sr-Latn-ME"/>
        </w:rPr>
        <w:t xml:space="preserve">podesnim intervalima tokom operacije, kako bi se </w:t>
      </w:r>
      <w:r w:rsidR="00B10494" w:rsidRPr="00DE7B81">
        <w:rPr>
          <w:sz w:val="22"/>
          <w:szCs w:val="22"/>
          <w:lang w:val="sr-Latn-ME"/>
        </w:rPr>
        <w:t>održa</w:t>
      </w:r>
      <w:r w:rsidR="007A6B55" w:rsidRPr="00DE7B81">
        <w:rPr>
          <w:sz w:val="22"/>
          <w:szCs w:val="22"/>
          <w:lang w:val="sr-Latn-ME"/>
        </w:rPr>
        <w:t>vala</w:t>
      </w:r>
      <w:r w:rsidR="00B10494" w:rsidRPr="00DE7B81">
        <w:rPr>
          <w:sz w:val="22"/>
          <w:szCs w:val="22"/>
          <w:lang w:val="sr-Latn-ME"/>
        </w:rPr>
        <w:t xml:space="preserve"> </w:t>
      </w:r>
      <w:r w:rsidR="007A6B55" w:rsidRPr="00DE7B81">
        <w:rPr>
          <w:sz w:val="22"/>
          <w:szCs w:val="22"/>
          <w:lang w:val="sr-Latn-ME"/>
        </w:rPr>
        <w:t xml:space="preserve">odgovarajuća </w:t>
      </w:r>
      <w:r w:rsidRPr="00DE7B81">
        <w:rPr>
          <w:sz w:val="22"/>
          <w:szCs w:val="22"/>
          <w:lang w:val="sr-Latn-ME"/>
        </w:rPr>
        <w:t xml:space="preserve">koncentracija antibiotika. </w:t>
      </w:r>
    </w:p>
    <w:p w14:paraId="31A37054" w14:textId="77777777" w:rsidR="006B15C3" w:rsidRPr="00DE7B81" w:rsidRDefault="006B15C3" w:rsidP="006B15C3">
      <w:pPr>
        <w:jc w:val="both"/>
        <w:rPr>
          <w:sz w:val="22"/>
          <w:szCs w:val="22"/>
          <w:lang w:val="sr-Latn-ME"/>
        </w:rPr>
      </w:pPr>
    </w:p>
    <w:p w14:paraId="664BFDB9" w14:textId="77777777" w:rsidR="00F2524B" w:rsidRPr="00DE7B81" w:rsidRDefault="00F2524B" w:rsidP="00F2524B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ME"/>
        </w:rPr>
      </w:pPr>
      <w:r w:rsidRPr="00DE7B81">
        <w:rPr>
          <w:b/>
          <w:bCs/>
          <w:iCs/>
          <w:sz w:val="22"/>
          <w:szCs w:val="22"/>
          <w:lang w:val="sr-Latn-ME"/>
        </w:rPr>
        <w:t>Odrasli pacijenti sa oštećenjem funkcije bubrega:</w:t>
      </w:r>
    </w:p>
    <w:p w14:paraId="4A5EEF9D" w14:textId="5E61C693" w:rsidR="0078644A" w:rsidRPr="00DE7B81" w:rsidRDefault="00F2524B" w:rsidP="00F2524B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DE7B81">
        <w:rPr>
          <w:iCs/>
          <w:sz w:val="22"/>
          <w:szCs w:val="22"/>
          <w:lang w:val="sr-Latn-ME"/>
        </w:rPr>
        <w:t>Odraslim osobama sa oštećenjem funkcije bubrega može da bude potrebna manja doza, kako bi se izb</w:t>
      </w:r>
      <w:r w:rsidR="00464F66" w:rsidRPr="00DE7B81">
        <w:rPr>
          <w:iCs/>
          <w:sz w:val="22"/>
          <w:szCs w:val="22"/>
          <w:lang w:val="sr-Latn-ME"/>
        </w:rPr>
        <w:t>j</w:t>
      </w:r>
      <w:r w:rsidRPr="00DE7B81">
        <w:rPr>
          <w:iCs/>
          <w:sz w:val="22"/>
          <w:szCs w:val="22"/>
          <w:lang w:val="sr-Latn-ME"/>
        </w:rPr>
        <w:t>eglo akumuliranje l</w:t>
      </w:r>
      <w:r w:rsidR="00190E7E" w:rsidRPr="00DE7B81">
        <w:rPr>
          <w:iCs/>
          <w:sz w:val="22"/>
          <w:szCs w:val="22"/>
          <w:lang w:val="sr-Latn-ME"/>
        </w:rPr>
        <w:t>ij</w:t>
      </w:r>
      <w:r w:rsidRPr="00DE7B81">
        <w:rPr>
          <w:iCs/>
          <w:sz w:val="22"/>
          <w:szCs w:val="22"/>
          <w:lang w:val="sr-Latn-ME"/>
        </w:rPr>
        <w:t>eka. Takvo smanjenje doze može da se odredi nakon određivanja koncentracije l</w:t>
      </w:r>
      <w:r w:rsidR="00190E7E" w:rsidRPr="00DE7B81">
        <w:rPr>
          <w:iCs/>
          <w:sz w:val="22"/>
          <w:szCs w:val="22"/>
          <w:lang w:val="sr-Latn-ME"/>
        </w:rPr>
        <w:t>ij</w:t>
      </w:r>
      <w:r w:rsidRPr="00DE7B81">
        <w:rPr>
          <w:iCs/>
          <w:sz w:val="22"/>
          <w:szCs w:val="22"/>
          <w:lang w:val="sr-Latn-ME"/>
        </w:rPr>
        <w:t xml:space="preserve">eka u krvi. </w:t>
      </w:r>
    </w:p>
    <w:p w14:paraId="359692DC" w14:textId="3AA7972A" w:rsidR="00F2524B" w:rsidRPr="00DE7B81" w:rsidRDefault="00F2524B" w:rsidP="00F2524B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DE7B81">
        <w:rPr>
          <w:iCs/>
          <w:sz w:val="22"/>
          <w:szCs w:val="22"/>
          <w:lang w:val="sr-Latn-ME"/>
        </w:rPr>
        <w:t>Ukoliko to nije moguće, onda doziranje može da se odredi na osnovu klirensa kreatinina.</w:t>
      </w:r>
    </w:p>
    <w:p w14:paraId="6C8CC4AE" w14:textId="77777777" w:rsidR="00F2524B" w:rsidRPr="00DE7B81" w:rsidRDefault="00F2524B" w:rsidP="00F2524B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DE7B81">
        <w:rPr>
          <w:iCs/>
          <w:sz w:val="22"/>
          <w:szCs w:val="22"/>
          <w:lang w:val="sr-Latn-ME"/>
        </w:rPr>
        <w:t>U slučaju oštećenja funkcije bubrega, potrebno je dati odgovarajuću početnu dozu. Dalje doziranje je</w:t>
      </w:r>
    </w:p>
    <w:p w14:paraId="2771A9CF" w14:textId="1B09D9FE" w:rsidR="00F2524B" w:rsidRPr="00DE7B81" w:rsidRDefault="00F2524B" w:rsidP="00F2524B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DE7B81">
        <w:rPr>
          <w:iCs/>
          <w:sz w:val="22"/>
          <w:szCs w:val="22"/>
          <w:lang w:val="sr-Latn-ME"/>
        </w:rPr>
        <w:t>potrebno prilagoditi stepenu oštečenja funkcije bubrega, težini infekcije i os</w:t>
      </w:r>
      <w:r w:rsidR="00190E7E" w:rsidRPr="00DE7B81">
        <w:rPr>
          <w:iCs/>
          <w:sz w:val="22"/>
          <w:szCs w:val="22"/>
          <w:lang w:val="sr-Latn-ME"/>
        </w:rPr>
        <w:t>j</w:t>
      </w:r>
      <w:r w:rsidRPr="00DE7B81">
        <w:rPr>
          <w:iCs/>
          <w:sz w:val="22"/>
          <w:szCs w:val="22"/>
          <w:lang w:val="sr-Latn-ME"/>
        </w:rPr>
        <w:t>etljivosti patogena na cefazolin.</w:t>
      </w:r>
      <w:r w:rsidR="0078644A" w:rsidRPr="00DE7B81">
        <w:rPr>
          <w:iCs/>
          <w:sz w:val="22"/>
          <w:szCs w:val="22"/>
          <w:lang w:val="sr-Latn-ME"/>
        </w:rPr>
        <w:t xml:space="preserve"> </w:t>
      </w:r>
      <w:r w:rsidRPr="00DE7B81">
        <w:rPr>
          <w:iCs/>
          <w:sz w:val="22"/>
          <w:szCs w:val="22"/>
          <w:lang w:val="sr-Latn-ME"/>
        </w:rPr>
        <w:t>Kod pacijenata koji su na hemodijalizi, režim l</w:t>
      </w:r>
      <w:r w:rsidR="00190E7E" w:rsidRPr="00DE7B81">
        <w:rPr>
          <w:iCs/>
          <w:sz w:val="22"/>
          <w:szCs w:val="22"/>
          <w:lang w:val="sr-Latn-ME"/>
        </w:rPr>
        <w:t>ij</w:t>
      </w:r>
      <w:r w:rsidRPr="00DE7B81">
        <w:rPr>
          <w:iCs/>
          <w:sz w:val="22"/>
          <w:szCs w:val="22"/>
          <w:lang w:val="sr-Latn-ME"/>
        </w:rPr>
        <w:t>ečenja zavisi od uslova dijalize. Vid</w:t>
      </w:r>
      <w:r w:rsidR="00FE7C4F" w:rsidRPr="00DE7B81">
        <w:rPr>
          <w:iCs/>
          <w:sz w:val="22"/>
          <w:szCs w:val="22"/>
          <w:lang w:val="sr-Latn-ME"/>
        </w:rPr>
        <w:t>j</w:t>
      </w:r>
      <w:r w:rsidRPr="00DE7B81">
        <w:rPr>
          <w:iCs/>
          <w:sz w:val="22"/>
          <w:szCs w:val="22"/>
          <w:lang w:val="sr-Latn-ME"/>
        </w:rPr>
        <w:t xml:space="preserve">eti </w:t>
      </w:r>
      <w:r w:rsidR="00FE7C4F" w:rsidRPr="00DE7B81">
        <w:rPr>
          <w:iCs/>
          <w:sz w:val="22"/>
          <w:szCs w:val="22"/>
          <w:lang w:val="sr-Latn-ME"/>
        </w:rPr>
        <w:t>dio</w:t>
      </w:r>
      <w:r w:rsidRPr="00DE7B81">
        <w:rPr>
          <w:iCs/>
          <w:sz w:val="22"/>
          <w:szCs w:val="22"/>
          <w:lang w:val="sr-Latn-ME"/>
        </w:rPr>
        <w:t xml:space="preserve"> 4.4.</w:t>
      </w:r>
    </w:p>
    <w:p w14:paraId="2E3DA1EE" w14:textId="77777777" w:rsidR="00FE7C4F" w:rsidRPr="00DE7B81" w:rsidRDefault="00FE7C4F" w:rsidP="00F2524B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4E8C1FC6" w14:textId="32847C36" w:rsidR="00F2524B" w:rsidRPr="00DE7B81" w:rsidRDefault="00F2524B" w:rsidP="00F2524B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DE7B81">
        <w:rPr>
          <w:iCs/>
          <w:sz w:val="22"/>
          <w:szCs w:val="22"/>
          <w:lang w:val="sr-Latn-ME"/>
        </w:rPr>
        <w:t>Cefazolin se može koristiti kod pacijenata sa oštećenjem funkcije bubrega uz sl</w:t>
      </w:r>
      <w:r w:rsidR="00FF0FB7" w:rsidRPr="00DE7B81">
        <w:rPr>
          <w:iCs/>
          <w:sz w:val="22"/>
          <w:szCs w:val="22"/>
          <w:lang w:val="sr-Latn-ME"/>
        </w:rPr>
        <w:t>j</w:t>
      </w:r>
      <w:r w:rsidRPr="00DE7B81">
        <w:rPr>
          <w:iCs/>
          <w:sz w:val="22"/>
          <w:szCs w:val="22"/>
          <w:lang w:val="sr-Latn-ME"/>
        </w:rPr>
        <w:t>edeće prilagođavanje doza:</w:t>
      </w:r>
    </w:p>
    <w:p w14:paraId="70ABC3E5" w14:textId="77777777" w:rsidR="00F2524B" w:rsidRPr="00DE7B81" w:rsidRDefault="00F2524B" w:rsidP="00F2524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2709"/>
        <w:gridCol w:w="1989"/>
        <w:gridCol w:w="2019"/>
      </w:tblGrid>
      <w:tr w:rsidR="008C5C9E" w:rsidRPr="00DE7B81" w14:paraId="59406484" w14:textId="77777777" w:rsidTr="00576453">
        <w:trPr>
          <w:trHeight w:val="503"/>
        </w:trPr>
        <w:tc>
          <w:tcPr>
            <w:tcW w:w="2525" w:type="dxa"/>
          </w:tcPr>
          <w:p w14:paraId="088727A6" w14:textId="77777777" w:rsidR="00F2524B" w:rsidRPr="00DE7B81" w:rsidRDefault="00F2524B" w:rsidP="00F2524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E7B81">
              <w:rPr>
                <w:sz w:val="22"/>
                <w:szCs w:val="22"/>
                <w:lang w:val="sr-Latn-ME"/>
              </w:rPr>
              <w:t>Klirens kreatinina</w:t>
            </w:r>
          </w:p>
          <w:p w14:paraId="4408BDBB" w14:textId="205C8956" w:rsidR="00F2524B" w:rsidRPr="00DE7B81" w:rsidRDefault="00F2524B" w:rsidP="00F2524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E7B81">
              <w:rPr>
                <w:sz w:val="22"/>
                <w:szCs w:val="22"/>
                <w:lang w:val="sr-Latn-ME"/>
              </w:rPr>
              <w:t>(m</w:t>
            </w:r>
            <w:r w:rsidR="00784089" w:rsidRPr="00DE7B81">
              <w:rPr>
                <w:sz w:val="22"/>
                <w:szCs w:val="22"/>
                <w:lang w:val="sr-Latn-ME"/>
              </w:rPr>
              <w:t>l</w:t>
            </w:r>
            <w:r w:rsidRPr="00DE7B81">
              <w:rPr>
                <w:sz w:val="22"/>
                <w:szCs w:val="22"/>
                <w:lang w:val="sr-Latn-ME"/>
              </w:rPr>
              <w:t>/min)</w:t>
            </w:r>
          </w:p>
        </w:tc>
        <w:tc>
          <w:tcPr>
            <w:tcW w:w="2930" w:type="dxa"/>
          </w:tcPr>
          <w:p w14:paraId="1E639224" w14:textId="77777777" w:rsidR="00F2524B" w:rsidRPr="00DE7B81" w:rsidRDefault="00F2524B" w:rsidP="00F2524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E7B81">
              <w:rPr>
                <w:sz w:val="22"/>
                <w:szCs w:val="22"/>
                <w:lang w:val="sr-Latn-ME"/>
              </w:rPr>
              <w:t>Kreatinin u serumu</w:t>
            </w:r>
          </w:p>
          <w:p w14:paraId="6CEA356F" w14:textId="1B70CD6F" w:rsidR="00F2524B" w:rsidRPr="00DE7B81" w:rsidRDefault="00F2524B" w:rsidP="00F2524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E7B81">
              <w:rPr>
                <w:sz w:val="22"/>
                <w:szCs w:val="22"/>
                <w:lang w:val="sr-Latn-ME"/>
              </w:rPr>
              <w:t>(mg/100 m</w:t>
            </w:r>
            <w:r w:rsidR="00FE7C4F" w:rsidRPr="00DE7B81">
              <w:rPr>
                <w:sz w:val="22"/>
                <w:szCs w:val="22"/>
                <w:lang w:val="sr-Latn-ME"/>
              </w:rPr>
              <w:t>l</w:t>
            </w:r>
            <w:r w:rsidRPr="00DE7B81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2098" w:type="dxa"/>
          </w:tcPr>
          <w:p w14:paraId="7010D2AA" w14:textId="77777777" w:rsidR="00F2524B" w:rsidRPr="00DE7B81" w:rsidRDefault="00F2524B" w:rsidP="00F2524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E7B81">
              <w:rPr>
                <w:sz w:val="22"/>
                <w:szCs w:val="22"/>
                <w:lang w:val="sr-Latn-ME"/>
              </w:rPr>
              <w:t>Dnevna doza</w:t>
            </w:r>
          </w:p>
        </w:tc>
        <w:tc>
          <w:tcPr>
            <w:tcW w:w="2098" w:type="dxa"/>
          </w:tcPr>
          <w:p w14:paraId="506EC0F6" w14:textId="77777777" w:rsidR="00F2524B" w:rsidRPr="00DE7B81" w:rsidRDefault="00F2524B" w:rsidP="00F2524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E7B81">
              <w:rPr>
                <w:sz w:val="22"/>
                <w:szCs w:val="22"/>
                <w:lang w:val="sr-Latn-ME"/>
              </w:rPr>
              <w:t>Interval doziranja</w:t>
            </w:r>
          </w:p>
        </w:tc>
      </w:tr>
      <w:tr w:rsidR="008C5C9E" w:rsidRPr="00DE7B81" w14:paraId="769E7DCB" w14:textId="77777777" w:rsidTr="00576453">
        <w:trPr>
          <w:trHeight w:val="246"/>
        </w:trPr>
        <w:tc>
          <w:tcPr>
            <w:tcW w:w="2525" w:type="dxa"/>
          </w:tcPr>
          <w:p w14:paraId="0B055B45" w14:textId="77777777" w:rsidR="00F2524B" w:rsidRPr="00EE2B00" w:rsidRDefault="00F2524B" w:rsidP="00F2524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EE2B00">
              <w:rPr>
                <w:sz w:val="22"/>
                <w:szCs w:val="22"/>
                <w:lang w:val="sr-Latn-ME"/>
              </w:rPr>
              <w:t>≥ 55</w:t>
            </w:r>
          </w:p>
        </w:tc>
        <w:tc>
          <w:tcPr>
            <w:tcW w:w="2930" w:type="dxa"/>
          </w:tcPr>
          <w:p w14:paraId="678B212F" w14:textId="77777777" w:rsidR="00F2524B" w:rsidRPr="00C41F96" w:rsidRDefault="00F2524B" w:rsidP="00F2524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C41F96">
              <w:rPr>
                <w:sz w:val="22"/>
                <w:szCs w:val="22"/>
                <w:lang w:val="sr-Latn-ME"/>
              </w:rPr>
              <w:t>≤ 1,5</w:t>
            </w:r>
          </w:p>
        </w:tc>
        <w:tc>
          <w:tcPr>
            <w:tcW w:w="2098" w:type="dxa"/>
          </w:tcPr>
          <w:p w14:paraId="5F84EDFA" w14:textId="77777777" w:rsidR="00F2524B" w:rsidRPr="00DE7B81" w:rsidRDefault="00F2524B" w:rsidP="00F2524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E7B81">
              <w:rPr>
                <w:sz w:val="22"/>
                <w:szCs w:val="22"/>
                <w:lang w:val="sr-Latn-ME"/>
              </w:rPr>
              <w:t>uobičajena doza</w:t>
            </w:r>
          </w:p>
        </w:tc>
        <w:tc>
          <w:tcPr>
            <w:tcW w:w="2098" w:type="dxa"/>
          </w:tcPr>
          <w:p w14:paraId="09AA6ADD" w14:textId="4502EA12" w:rsidR="00F2524B" w:rsidRPr="00DE7B81" w:rsidRDefault="00F2524B" w:rsidP="00F2524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E7B81">
              <w:rPr>
                <w:sz w:val="22"/>
                <w:szCs w:val="22"/>
                <w:lang w:val="sr-Latn-ME"/>
              </w:rPr>
              <w:t>neprom</w:t>
            </w:r>
            <w:r w:rsidR="00190E7E" w:rsidRPr="00DE7B81">
              <w:rPr>
                <w:sz w:val="22"/>
                <w:szCs w:val="22"/>
                <w:lang w:val="sr-Latn-ME"/>
              </w:rPr>
              <w:t>j</w:t>
            </w:r>
            <w:r w:rsidRPr="00DE7B81">
              <w:rPr>
                <w:sz w:val="22"/>
                <w:szCs w:val="22"/>
                <w:lang w:val="sr-Latn-ME"/>
              </w:rPr>
              <w:t>enjen</w:t>
            </w:r>
          </w:p>
        </w:tc>
      </w:tr>
      <w:tr w:rsidR="008C5C9E" w:rsidRPr="00DE7B81" w14:paraId="0D93FD7A" w14:textId="77777777" w:rsidTr="00576453">
        <w:trPr>
          <w:trHeight w:val="246"/>
        </w:trPr>
        <w:tc>
          <w:tcPr>
            <w:tcW w:w="2525" w:type="dxa"/>
          </w:tcPr>
          <w:p w14:paraId="4320E5D1" w14:textId="77777777" w:rsidR="00F2524B" w:rsidRPr="00EE2B00" w:rsidRDefault="00F2524B" w:rsidP="00F2524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EE2B00">
              <w:rPr>
                <w:sz w:val="22"/>
                <w:szCs w:val="22"/>
                <w:lang w:val="sr-Latn-ME"/>
              </w:rPr>
              <w:t>35-54</w:t>
            </w:r>
          </w:p>
        </w:tc>
        <w:tc>
          <w:tcPr>
            <w:tcW w:w="2930" w:type="dxa"/>
          </w:tcPr>
          <w:p w14:paraId="601D5725" w14:textId="77777777" w:rsidR="00F2524B" w:rsidRPr="00C41F96" w:rsidRDefault="00F2524B" w:rsidP="00F2524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C41F96">
              <w:rPr>
                <w:sz w:val="22"/>
                <w:szCs w:val="22"/>
                <w:lang w:val="sr-Latn-ME"/>
              </w:rPr>
              <w:t>1,6-3,0</w:t>
            </w:r>
          </w:p>
        </w:tc>
        <w:tc>
          <w:tcPr>
            <w:tcW w:w="2098" w:type="dxa"/>
          </w:tcPr>
          <w:p w14:paraId="60A50693" w14:textId="77777777" w:rsidR="00F2524B" w:rsidRPr="00DE7B81" w:rsidRDefault="00F2524B" w:rsidP="00F2524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E7B81">
              <w:rPr>
                <w:sz w:val="22"/>
                <w:szCs w:val="22"/>
                <w:lang w:val="sr-Latn-ME"/>
              </w:rPr>
              <w:t>uobičajena doza</w:t>
            </w:r>
          </w:p>
        </w:tc>
        <w:tc>
          <w:tcPr>
            <w:tcW w:w="2098" w:type="dxa"/>
          </w:tcPr>
          <w:p w14:paraId="35FA10F7" w14:textId="77777777" w:rsidR="00F2524B" w:rsidRPr="00DE7B81" w:rsidRDefault="00F2524B" w:rsidP="00F2524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E7B81">
              <w:rPr>
                <w:sz w:val="22"/>
                <w:szCs w:val="22"/>
                <w:lang w:val="sr-Latn-ME"/>
              </w:rPr>
              <w:t>najmanje na svakih 8 sati</w:t>
            </w:r>
          </w:p>
        </w:tc>
      </w:tr>
      <w:tr w:rsidR="008C5C9E" w:rsidRPr="00DE7B81" w14:paraId="217DD210" w14:textId="77777777" w:rsidTr="00576453">
        <w:trPr>
          <w:trHeight w:val="246"/>
        </w:trPr>
        <w:tc>
          <w:tcPr>
            <w:tcW w:w="2525" w:type="dxa"/>
          </w:tcPr>
          <w:p w14:paraId="5200CE0A" w14:textId="77777777" w:rsidR="00F2524B" w:rsidRPr="00EE2B00" w:rsidRDefault="00F2524B" w:rsidP="00F2524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EE2B00">
              <w:rPr>
                <w:sz w:val="22"/>
                <w:szCs w:val="22"/>
                <w:lang w:val="sr-Latn-ME"/>
              </w:rPr>
              <w:t>11-34</w:t>
            </w:r>
          </w:p>
        </w:tc>
        <w:tc>
          <w:tcPr>
            <w:tcW w:w="2930" w:type="dxa"/>
          </w:tcPr>
          <w:p w14:paraId="03ED2C7B" w14:textId="77777777" w:rsidR="00F2524B" w:rsidRPr="00C41F96" w:rsidRDefault="00F2524B" w:rsidP="00F2524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C41F96">
              <w:rPr>
                <w:sz w:val="22"/>
                <w:szCs w:val="22"/>
                <w:lang w:val="sr-Latn-ME"/>
              </w:rPr>
              <w:t>3,1-4,5</w:t>
            </w:r>
          </w:p>
        </w:tc>
        <w:tc>
          <w:tcPr>
            <w:tcW w:w="2098" w:type="dxa"/>
          </w:tcPr>
          <w:p w14:paraId="3CD00BCD" w14:textId="77777777" w:rsidR="00F2524B" w:rsidRPr="00DE7B81" w:rsidRDefault="00F2524B" w:rsidP="00F2524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E7B81">
              <w:rPr>
                <w:sz w:val="22"/>
                <w:szCs w:val="22"/>
                <w:lang w:val="sr-Latn-ME"/>
              </w:rPr>
              <w:t>polovina uobičajene doze</w:t>
            </w:r>
          </w:p>
        </w:tc>
        <w:tc>
          <w:tcPr>
            <w:tcW w:w="2098" w:type="dxa"/>
          </w:tcPr>
          <w:p w14:paraId="14619C41" w14:textId="77777777" w:rsidR="00F2524B" w:rsidRPr="00DE7B81" w:rsidRDefault="00F2524B" w:rsidP="00F2524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E7B81">
              <w:rPr>
                <w:sz w:val="22"/>
                <w:szCs w:val="22"/>
                <w:lang w:val="sr-Latn-ME"/>
              </w:rPr>
              <w:t>svakih 12 sati</w:t>
            </w:r>
          </w:p>
        </w:tc>
      </w:tr>
      <w:tr w:rsidR="008C5C9E" w:rsidRPr="00DE7B81" w14:paraId="5AA23DED" w14:textId="77777777" w:rsidTr="00576453">
        <w:trPr>
          <w:trHeight w:val="256"/>
        </w:trPr>
        <w:tc>
          <w:tcPr>
            <w:tcW w:w="2525" w:type="dxa"/>
          </w:tcPr>
          <w:p w14:paraId="3D9018B9" w14:textId="77777777" w:rsidR="00F2524B" w:rsidRPr="00EE2B00" w:rsidRDefault="00F2524B" w:rsidP="00F2524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EE2B00">
              <w:rPr>
                <w:sz w:val="22"/>
                <w:szCs w:val="22"/>
                <w:lang w:val="sr-Latn-ME"/>
              </w:rPr>
              <w:lastRenderedPageBreak/>
              <w:t>≤ 10</w:t>
            </w:r>
          </w:p>
        </w:tc>
        <w:tc>
          <w:tcPr>
            <w:tcW w:w="2930" w:type="dxa"/>
          </w:tcPr>
          <w:p w14:paraId="5C114FD7" w14:textId="77777777" w:rsidR="00F2524B" w:rsidRPr="00C41F96" w:rsidRDefault="00F2524B" w:rsidP="00F2524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C41F96">
              <w:rPr>
                <w:sz w:val="22"/>
                <w:szCs w:val="22"/>
                <w:lang w:val="sr-Latn-ME"/>
              </w:rPr>
              <w:t>≥ 4,6</w:t>
            </w:r>
          </w:p>
        </w:tc>
        <w:tc>
          <w:tcPr>
            <w:tcW w:w="2098" w:type="dxa"/>
          </w:tcPr>
          <w:p w14:paraId="1F30D4C2" w14:textId="77777777" w:rsidR="00F2524B" w:rsidRPr="00DE7B81" w:rsidRDefault="00F2524B" w:rsidP="00F2524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E7B81">
              <w:rPr>
                <w:sz w:val="22"/>
                <w:szCs w:val="22"/>
                <w:lang w:val="sr-Latn-ME"/>
              </w:rPr>
              <w:t>polovina uobičajene doze</w:t>
            </w:r>
          </w:p>
        </w:tc>
        <w:tc>
          <w:tcPr>
            <w:tcW w:w="2098" w:type="dxa"/>
          </w:tcPr>
          <w:p w14:paraId="2F5ECE4D" w14:textId="77777777" w:rsidR="00F2524B" w:rsidRPr="00DE7B81" w:rsidRDefault="00F2524B" w:rsidP="00F2524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E7B81">
              <w:rPr>
                <w:sz w:val="22"/>
                <w:szCs w:val="22"/>
                <w:lang w:val="sr-Latn-ME"/>
              </w:rPr>
              <w:t>svakih 18-24 sata</w:t>
            </w:r>
          </w:p>
        </w:tc>
      </w:tr>
    </w:tbl>
    <w:p w14:paraId="59D1629F" w14:textId="77777777" w:rsidR="006B15C3" w:rsidRPr="00EE2B00" w:rsidRDefault="006B15C3" w:rsidP="006B15C3">
      <w:pPr>
        <w:jc w:val="both"/>
        <w:rPr>
          <w:i/>
          <w:sz w:val="22"/>
          <w:szCs w:val="22"/>
          <w:lang w:val="sr-Latn-ME"/>
        </w:rPr>
      </w:pPr>
    </w:p>
    <w:p w14:paraId="65D26E94" w14:textId="6F575F03" w:rsidR="005A15BB" w:rsidRPr="00DE7B81" w:rsidRDefault="005A15BB" w:rsidP="005A15BB">
      <w:pPr>
        <w:jc w:val="both"/>
        <w:rPr>
          <w:b/>
          <w:bCs/>
          <w:iCs/>
          <w:sz w:val="22"/>
          <w:szCs w:val="22"/>
          <w:lang w:val="sr-Latn-ME"/>
        </w:rPr>
      </w:pPr>
      <w:r w:rsidRPr="00C41F96">
        <w:rPr>
          <w:b/>
          <w:bCs/>
          <w:iCs/>
          <w:sz w:val="22"/>
          <w:szCs w:val="22"/>
          <w:lang w:val="sr-Latn-ME"/>
        </w:rPr>
        <w:t>Odojčad (uzrasta iznad 1 m</w:t>
      </w:r>
      <w:r w:rsidR="00E8434A" w:rsidRPr="00C41F96">
        <w:rPr>
          <w:b/>
          <w:bCs/>
          <w:iCs/>
          <w:sz w:val="22"/>
          <w:szCs w:val="22"/>
          <w:lang w:val="sr-Latn-ME"/>
        </w:rPr>
        <w:t>j</w:t>
      </w:r>
      <w:r w:rsidRPr="004F4605">
        <w:rPr>
          <w:b/>
          <w:bCs/>
          <w:iCs/>
          <w:sz w:val="22"/>
          <w:szCs w:val="22"/>
          <w:lang w:val="sr-Latn-ME"/>
        </w:rPr>
        <w:t>eseca) i d</w:t>
      </w:r>
      <w:r w:rsidR="00FF0FB7" w:rsidRPr="00DE7B81">
        <w:rPr>
          <w:b/>
          <w:bCs/>
          <w:iCs/>
          <w:sz w:val="22"/>
          <w:szCs w:val="22"/>
          <w:lang w:val="sr-Latn-ME"/>
        </w:rPr>
        <w:t>j</w:t>
      </w:r>
      <w:r w:rsidRPr="00DE7B81">
        <w:rPr>
          <w:b/>
          <w:bCs/>
          <w:iCs/>
          <w:sz w:val="22"/>
          <w:szCs w:val="22"/>
          <w:lang w:val="sr-Latn-ME"/>
        </w:rPr>
        <w:t>eca uzrasta do 12 godina:</w:t>
      </w:r>
    </w:p>
    <w:p w14:paraId="2285A961" w14:textId="5E5FE90A" w:rsidR="006B15C3" w:rsidRPr="00DE7B81" w:rsidRDefault="005A15BB" w:rsidP="006B15C3">
      <w:pPr>
        <w:jc w:val="both"/>
        <w:rPr>
          <w:sz w:val="22"/>
          <w:szCs w:val="22"/>
          <w:lang w:val="sr-Latn-ME"/>
        </w:rPr>
      </w:pPr>
      <w:r w:rsidRPr="00DE7B81">
        <w:rPr>
          <w:iCs/>
          <w:sz w:val="22"/>
          <w:szCs w:val="22"/>
          <w:lang w:val="sr-Latn-ME"/>
        </w:rPr>
        <w:t xml:space="preserve">Kod </w:t>
      </w:r>
      <w:r w:rsidRPr="00DE7B81">
        <w:rPr>
          <w:sz w:val="22"/>
          <w:szCs w:val="22"/>
          <w:lang w:val="sr-Latn-ME"/>
        </w:rPr>
        <w:t>d</w:t>
      </w:r>
      <w:r w:rsidR="00E8434A" w:rsidRPr="00DE7B81">
        <w:rPr>
          <w:sz w:val="22"/>
          <w:szCs w:val="22"/>
          <w:lang w:val="sr-Latn-ME"/>
        </w:rPr>
        <w:t>j</w:t>
      </w:r>
      <w:r w:rsidR="006B15C3" w:rsidRPr="00DE7B81">
        <w:rPr>
          <w:sz w:val="22"/>
          <w:szCs w:val="22"/>
          <w:lang w:val="sr-Latn-ME"/>
        </w:rPr>
        <w:t>ec</w:t>
      </w:r>
      <w:r w:rsidRPr="00DE7B81">
        <w:rPr>
          <w:sz w:val="22"/>
          <w:szCs w:val="22"/>
          <w:lang w:val="sr-Latn-ME"/>
        </w:rPr>
        <w:t>e</w:t>
      </w:r>
      <w:r w:rsidR="006B15C3" w:rsidRPr="00DE7B81">
        <w:rPr>
          <w:sz w:val="22"/>
          <w:szCs w:val="22"/>
          <w:lang w:val="sr-Latn-ME"/>
        </w:rPr>
        <w:t xml:space="preserve"> uzrasta iznad 1 mjeseca života</w:t>
      </w:r>
      <w:r w:rsidRPr="00DE7B81">
        <w:rPr>
          <w:sz w:val="22"/>
          <w:szCs w:val="22"/>
          <w:lang w:val="sr-Latn-ME"/>
        </w:rPr>
        <w:t>, ukupna dnevna doza</w:t>
      </w:r>
      <w:r w:rsidR="00906D63" w:rsidRPr="00DE7B81">
        <w:rPr>
          <w:sz w:val="22"/>
          <w:szCs w:val="22"/>
          <w:lang w:val="sr-Latn-ME"/>
        </w:rPr>
        <w:t xml:space="preserve"> od</w:t>
      </w:r>
      <w:r w:rsidR="006B15C3" w:rsidRPr="00DE7B81">
        <w:rPr>
          <w:sz w:val="22"/>
          <w:szCs w:val="22"/>
          <w:lang w:val="sr-Latn-ME"/>
        </w:rPr>
        <w:t xml:space="preserve"> 25 do 50 mg</w:t>
      </w:r>
      <w:r w:rsidR="00906D63" w:rsidRPr="00DE7B81">
        <w:rPr>
          <w:sz w:val="22"/>
          <w:szCs w:val="22"/>
          <w:lang w:val="sr-Latn-ME"/>
        </w:rPr>
        <w:t>/</w:t>
      </w:r>
      <w:r w:rsidR="006B15C3" w:rsidRPr="00DE7B81">
        <w:rPr>
          <w:sz w:val="22"/>
          <w:szCs w:val="22"/>
          <w:lang w:val="sr-Latn-ME"/>
        </w:rPr>
        <w:t>kg tjelesne mase, pod</w:t>
      </w:r>
      <w:r w:rsidR="008D1555" w:rsidRPr="00DE7B81">
        <w:rPr>
          <w:sz w:val="22"/>
          <w:szCs w:val="22"/>
          <w:lang w:val="sr-Latn-ME"/>
        </w:rPr>
        <w:t>ij</w:t>
      </w:r>
      <w:r w:rsidR="006B15C3" w:rsidRPr="00DE7B81">
        <w:rPr>
          <w:sz w:val="22"/>
          <w:szCs w:val="22"/>
          <w:lang w:val="sr-Latn-ME"/>
        </w:rPr>
        <w:t>eljen</w:t>
      </w:r>
      <w:r w:rsidR="00906D63" w:rsidRPr="00DE7B81">
        <w:rPr>
          <w:sz w:val="22"/>
          <w:szCs w:val="22"/>
          <w:lang w:val="sr-Latn-ME"/>
        </w:rPr>
        <w:t>a</w:t>
      </w:r>
      <w:r w:rsidR="006B15C3" w:rsidRPr="00DE7B81">
        <w:rPr>
          <w:sz w:val="22"/>
          <w:szCs w:val="22"/>
          <w:lang w:val="sr-Latn-ME"/>
        </w:rPr>
        <w:t xml:space="preserve"> u 3 do 4 pojedinačne doze</w:t>
      </w:r>
      <w:r w:rsidR="00906D63" w:rsidRPr="00DE7B81">
        <w:rPr>
          <w:sz w:val="22"/>
          <w:szCs w:val="22"/>
          <w:lang w:val="sr-Latn-ME"/>
        </w:rPr>
        <w:t>, efikasna je za većinu um</w:t>
      </w:r>
      <w:r w:rsidR="00560543" w:rsidRPr="00DE7B81">
        <w:rPr>
          <w:sz w:val="22"/>
          <w:szCs w:val="22"/>
          <w:lang w:val="sr-Latn-ME"/>
        </w:rPr>
        <w:t>j</w:t>
      </w:r>
      <w:r w:rsidR="00906D63" w:rsidRPr="00DE7B81">
        <w:rPr>
          <w:sz w:val="22"/>
          <w:szCs w:val="22"/>
          <w:lang w:val="sr-Latn-ME"/>
        </w:rPr>
        <w:t>ereno teških infekcija</w:t>
      </w:r>
      <w:r w:rsidR="006B15C3" w:rsidRPr="00DE7B81">
        <w:rPr>
          <w:sz w:val="22"/>
          <w:szCs w:val="22"/>
          <w:lang w:val="sr-Latn-ME"/>
        </w:rPr>
        <w:t xml:space="preserve">. </w:t>
      </w:r>
      <w:r w:rsidR="00906D63" w:rsidRPr="00DE7B81">
        <w:rPr>
          <w:sz w:val="22"/>
          <w:szCs w:val="22"/>
          <w:lang w:val="sr-Latn-ME"/>
        </w:rPr>
        <w:t>Za teške infekcije, ukupna dne</w:t>
      </w:r>
      <w:r w:rsidR="00E761D3" w:rsidRPr="00DE7B81">
        <w:rPr>
          <w:sz w:val="22"/>
          <w:szCs w:val="22"/>
          <w:lang w:val="sr-Latn-ME"/>
        </w:rPr>
        <w:t xml:space="preserve">vna doza se može povećati do </w:t>
      </w:r>
      <w:r w:rsidR="006B15C3" w:rsidRPr="00DE7B81">
        <w:rPr>
          <w:sz w:val="22"/>
          <w:szCs w:val="22"/>
          <w:lang w:val="sr-Latn-ME"/>
        </w:rPr>
        <w:t>100 mg</w:t>
      </w:r>
      <w:r w:rsidR="00E761D3" w:rsidRPr="00DE7B81">
        <w:rPr>
          <w:sz w:val="22"/>
          <w:szCs w:val="22"/>
          <w:lang w:val="sr-Latn-ME"/>
        </w:rPr>
        <w:t>/</w:t>
      </w:r>
      <w:r w:rsidR="006B15C3" w:rsidRPr="00DE7B81">
        <w:rPr>
          <w:sz w:val="22"/>
          <w:szCs w:val="22"/>
          <w:lang w:val="sr-Latn-ME"/>
        </w:rPr>
        <w:t>kg tjelesne mase.</w:t>
      </w:r>
    </w:p>
    <w:p w14:paraId="7CBFA0A9" w14:textId="77777777" w:rsidR="006B15C3" w:rsidRPr="00DE7B81" w:rsidRDefault="006B15C3" w:rsidP="006B15C3">
      <w:pPr>
        <w:jc w:val="both"/>
        <w:rPr>
          <w:sz w:val="22"/>
          <w:szCs w:val="22"/>
          <w:lang w:val="sr-Latn-ME"/>
        </w:rPr>
      </w:pPr>
    </w:p>
    <w:p w14:paraId="65F9E963" w14:textId="787F2007" w:rsidR="00D144D0" w:rsidRPr="00DE7B81" w:rsidRDefault="00D144D0" w:rsidP="00D144D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>D</w:t>
      </w:r>
      <w:r w:rsidR="00560543" w:rsidRPr="00DE7B81">
        <w:rPr>
          <w:b/>
          <w:bCs/>
          <w:sz w:val="22"/>
          <w:szCs w:val="22"/>
          <w:lang w:val="sr-Latn-ME"/>
        </w:rPr>
        <w:t>j</w:t>
      </w:r>
      <w:r w:rsidRPr="00DE7B81">
        <w:rPr>
          <w:b/>
          <w:bCs/>
          <w:sz w:val="22"/>
          <w:szCs w:val="22"/>
          <w:lang w:val="sr-Latn-ME"/>
        </w:rPr>
        <w:t>eca sa oštećenjem funkcije bubrega:</w:t>
      </w:r>
    </w:p>
    <w:p w14:paraId="3F7B5B8C" w14:textId="2F396965" w:rsidR="00D144D0" w:rsidRPr="00DE7B81" w:rsidRDefault="00D144D0" w:rsidP="00D144D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Kod d</w:t>
      </w:r>
      <w:r w:rsidR="00560543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 xml:space="preserve">ece sa oštećenjem funkcije bubrega (kao i </w:t>
      </w:r>
      <w:r w:rsidR="00FE7C4F" w:rsidRPr="00DE7B81">
        <w:rPr>
          <w:sz w:val="22"/>
          <w:szCs w:val="22"/>
          <w:lang w:val="sr-Latn-ME"/>
        </w:rPr>
        <w:t>kod odraslih</w:t>
      </w:r>
      <w:r w:rsidRPr="00DE7B81">
        <w:rPr>
          <w:sz w:val="22"/>
          <w:szCs w:val="22"/>
          <w:lang w:val="sr-Latn-ME"/>
        </w:rPr>
        <w:t>) može da bude potrebna manja doza od</w:t>
      </w:r>
    </w:p>
    <w:p w14:paraId="247505F3" w14:textId="0065C8C9" w:rsidR="00D144D0" w:rsidRPr="00DE7B81" w:rsidRDefault="00D144D0" w:rsidP="00D144D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uobičajene, kako bi se spr</w:t>
      </w:r>
      <w:r w:rsidR="00F76D2B" w:rsidRPr="00DE7B81">
        <w:rPr>
          <w:sz w:val="22"/>
          <w:szCs w:val="22"/>
          <w:lang w:val="sr-Latn-ME"/>
        </w:rPr>
        <w:t>i</w:t>
      </w:r>
      <w:r w:rsidR="00560543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ečilo akumuliranje l</w:t>
      </w:r>
      <w:r w:rsidR="00A414AA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eka. Smanjenje doze može da se odredi nakon određivanja</w:t>
      </w:r>
      <w:r w:rsidR="00F76D2B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koncentracije l</w:t>
      </w:r>
      <w:r w:rsidR="00F76D2B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eka u krvi. Ukoliko to nije moguće, onda doziranje može da se odredi na osnovu klirensa</w:t>
      </w:r>
      <w:r w:rsidR="00F76D2B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kreatinina</w:t>
      </w:r>
      <w:r w:rsidR="00FE7C4F" w:rsidRPr="00DE7B81">
        <w:rPr>
          <w:sz w:val="22"/>
          <w:szCs w:val="22"/>
          <w:lang w:val="sr-Latn-ME"/>
        </w:rPr>
        <w:t xml:space="preserve"> u skladu sa sl</w:t>
      </w:r>
      <w:r w:rsidR="00F76D2B" w:rsidRPr="00DE7B81">
        <w:rPr>
          <w:sz w:val="22"/>
          <w:szCs w:val="22"/>
          <w:lang w:val="sr-Latn-ME"/>
        </w:rPr>
        <w:t>j</w:t>
      </w:r>
      <w:r w:rsidR="00FE7C4F" w:rsidRPr="00DE7B81">
        <w:rPr>
          <w:sz w:val="22"/>
          <w:szCs w:val="22"/>
          <w:lang w:val="sr-Latn-ME"/>
        </w:rPr>
        <w:t>edećim sm</w:t>
      </w:r>
      <w:r w:rsidR="00F76D2B" w:rsidRPr="00DE7B81">
        <w:rPr>
          <w:sz w:val="22"/>
          <w:szCs w:val="22"/>
          <w:lang w:val="sr-Latn-ME"/>
        </w:rPr>
        <w:t>j</w:t>
      </w:r>
      <w:r w:rsidR="00FE7C4F" w:rsidRPr="00DE7B81">
        <w:rPr>
          <w:sz w:val="22"/>
          <w:szCs w:val="22"/>
          <w:lang w:val="sr-Latn-ME"/>
        </w:rPr>
        <w:t>ernicama</w:t>
      </w:r>
      <w:r w:rsidRPr="00DE7B81">
        <w:rPr>
          <w:sz w:val="22"/>
          <w:szCs w:val="22"/>
          <w:lang w:val="sr-Latn-ME"/>
        </w:rPr>
        <w:t>.</w:t>
      </w:r>
    </w:p>
    <w:p w14:paraId="387203F5" w14:textId="77777777" w:rsidR="00D144D0" w:rsidRPr="00DE7B81" w:rsidRDefault="00D144D0" w:rsidP="00D144D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U slučaju oštećenja funkcije bubrega, potrebno je dati odgovarajuću početnu dozu. Dalje doziranje je</w:t>
      </w:r>
    </w:p>
    <w:p w14:paraId="090EAF31" w14:textId="2DA5C48B" w:rsidR="00D144D0" w:rsidRPr="00DE7B81" w:rsidRDefault="00D144D0" w:rsidP="00D144D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potrebno prilagoditi stepenu oštećenja funkcije bubrega, težini infekcije i os</w:t>
      </w:r>
      <w:r w:rsidR="00F76D2B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etljivosti patogena na cefazolin.</w:t>
      </w:r>
    </w:p>
    <w:p w14:paraId="7BBAA8E8" w14:textId="77777777" w:rsidR="00453A71" w:rsidRPr="00DE7B81" w:rsidRDefault="00453A71" w:rsidP="00D144D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1"/>
        <w:gridCol w:w="4642"/>
      </w:tblGrid>
      <w:tr w:rsidR="00052D4D" w:rsidRPr="00DE7B81" w14:paraId="1DEE7BCD" w14:textId="77777777" w:rsidTr="008C5C9E">
        <w:trPr>
          <w:trHeight w:val="416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E01" w14:textId="09B32591" w:rsidR="00052D4D" w:rsidRPr="00DE7B81" w:rsidRDefault="00052D4D" w:rsidP="00576453">
            <w:pPr>
              <w:jc w:val="both"/>
              <w:rPr>
                <w:sz w:val="22"/>
                <w:szCs w:val="22"/>
                <w:lang w:val="sr-Latn-ME"/>
              </w:rPr>
            </w:pPr>
            <w:r w:rsidRPr="00DE7B81">
              <w:rPr>
                <w:b/>
                <w:bCs/>
                <w:sz w:val="22"/>
                <w:szCs w:val="22"/>
                <w:lang w:val="sr-Latn-ME"/>
              </w:rPr>
              <w:t>Klirens kreatinina (ml/min)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22F2" w14:textId="01607C5B" w:rsidR="00052D4D" w:rsidRPr="00DE7B81" w:rsidRDefault="00052D4D" w:rsidP="00576453">
            <w:pPr>
              <w:jc w:val="both"/>
              <w:rPr>
                <w:sz w:val="22"/>
                <w:szCs w:val="22"/>
                <w:lang w:val="sr-Latn-ME"/>
              </w:rPr>
            </w:pPr>
            <w:r w:rsidRPr="00DE7B81">
              <w:rPr>
                <w:b/>
                <w:bCs/>
                <w:sz w:val="22"/>
                <w:szCs w:val="22"/>
                <w:lang w:val="sr-Latn-ME"/>
              </w:rPr>
              <w:t>Procenat uobičajene dnevne doze</w:t>
            </w:r>
          </w:p>
        </w:tc>
      </w:tr>
      <w:tr w:rsidR="006B15C3" w:rsidRPr="00DE7B81" w14:paraId="07C48164" w14:textId="47667AF1" w:rsidTr="00576453">
        <w:trPr>
          <w:trHeight w:val="728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F4C3" w14:textId="48EC9A0B" w:rsidR="006B15C3" w:rsidRPr="00C41F96" w:rsidRDefault="006B15C3" w:rsidP="00576453">
            <w:pPr>
              <w:jc w:val="both"/>
              <w:rPr>
                <w:sz w:val="22"/>
                <w:szCs w:val="22"/>
                <w:lang w:val="sr-Latn-ME"/>
              </w:rPr>
            </w:pPr>
            <w:r w:rsidRPr="00EE2B00">
              <w:rPr>
                <w:sz w:val="22"/>
                <w:szCs w:val="22"/>
                <w:lang w:val="sr-Latn-ME"/>
              </w:rPr>
              <w:t>70</w:t>
            </w:r>
            <w:r w:rsidR="00052D4D" w:rsidRPr="00EE2B00">
              <w:rPr>
                <w:sz w:val="22"/>
                <w:szCs w:val="22"/>
                <w:lang w:val="sr-Latn-ME"/>
              </w:rPr>
              <w:t>-40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CA15" w14:textId="08EA1AD1" w:rsidR="006B15C3" w:rsidRPr="00DE7B81" w:rsidRDefault="006B15C3" w:rsidP="002401F0">
            <w:pPr>
              <w:jc w:val="both"/>
              <w:rPr>
                <w:sz w:val="22"/>
                <w:szCs w:val="22"/>
                <w:lang w:val="sr-Latn-ME"/>
              </w:rPr>
            </w:pPr>
            <w:r w:rsidRPr="00DE7B81">
              <w:rPr>
                <w:sz w:val="22"/>
                <w:szCs w:val="22"/>
                <w:lang w:val="sr-Latn-ME"/>
              </w:rPr>
              <w:t xml:space="preserve">60% uobičajene dnevne doze, </w:t>
            </w:r>
            <w:r w:rsidR="002401F0" w:rsidRPr="00DE7B81">
              <w:rPr>
                <w:sz w:val="22"/>
                <w:szCs w:val="22"/>
                <w:lang w:val="sr-Latn-ME"/>
              </w:rPr>
              <w:t xml:space="preserve">podijeljeno </w:t>
            </w:r>
            <w:r w:rsidRPr="00DE7B81">
              <w:rPr>
                <w:sz w:val="22"/>
                <w:szCs w:val="22"/>
                <w:lang w:val="sr-Latn-ME"/>
              </w:rPr>
              <w:t>na 2 jednake pojedinačne doze koje se primjenjuju na svakih 12 sati</w:t>
            </w:r>
          </w:p>
        </w:tc>
      </w:tr>
      <w:tr w:rsidR="006B15C3" w:rsidRPr="00DE7B81" w14:paraId="5C0E5952" w14:textId="44631BA8" w:rsidTr="00576453">
        <w:trPr>
          <w:trHeight w:val="728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932D" w14:textId="69498CDD" w:rsidR="006B15C3" w:rsidRPr="00C41F96" w:rsidRDefault="006B15C3" w:rsidP="00576453">
            <w:pPr>
              <w:jc w:val="both"/>
              <w:rPr>
                <w:sz w:val="22"/>
                <w:szCs w:val="22"/>
                <w:lang w:val="sr-Latn-ME"/>
              </w:rPr>
            </w:pPr>
            <w:r w:rsidRPr="00EE2B00">
              <w:rPr>
                <w:sz w:val="22"/>
                <w:szCs w:val="22"/>
                <w:lang w:val="sr-Latn-ME"/>
              </w:rPr>
              <w:t>40</w:t>
            </w:r>
            <w:r w:rsidR="00052D4D" w:rsidRPr="00EE2B00">
              <w:rPr>
                <w:sz w:val="22"/>
                <w:szCs w:val="22"/>
                <w:lang w:val="sr-Latn-ME"/>
              </w:rPr>
              <w:t>-20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E183" w14:textId="72BD9382" w:rsidR="006B15C3" w:rsidRPr="00DE7B81" w:rsidRDefault="006B15C3" w:rsidP="002401F0">
            <w:pPr>
              <w:jc w:val="both"/>
              <w:rPr>
                <w:sz w:val="22"/>
                <w:szCs w:val="22"/>
                <w:lang w:val="sr-Latn-ME"/>
              </w:rPr>
            </w:pPr>
            <w:r w:rsidRPr="00DE7B81">
              <w:rPr>
                <w:sz w:val="22"/>
                <w:szCs w:val="22"/>
                <w:lang w:val="sr-Latn-ME"/>
              </w:rPr>
              <w:t xml:space="preserve">25% uobičajene dnevne doze, </w:t>
            </w:r>
            <w:r w:rsidR="002401F0" w:rsidRPr="00DE7B81">
              <w:rPr>
                <w:sz w:val="22"/>
                <w:szCs w:val="22"/>
                <w:lang w:val="sr-Latn-ME"/>
              </w:rPr>
              <w:t xml:space="preserve">podijeljeno </w:t>
            </w:r>
            <w:r w:rsidRPr="00DE7B81">
              <w:rPr>
                <w:sz w:val="22"/>
                <w:szCs w:val="22"/>
                <w:lang w:val="sr-Latn-ME"/>
              </w:rPr>
              <w:t>na 2 jednake pojedinačne doze koje se primjenjuju na svakih 12 sati.</w:t>
            </w:r>
          </w:p>
        </w:tc>
      </w:tr>
      <w:tr w:rsidR="006B15C3" w:rsidRPr="00DE7B81" w14:paraId="6D9EA28B" w14:textId="2485E013" w:rsidTr="00576453">
        <w:trPr>
          <w:trHeight w:val="509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8D03" w14:textId="29D871EE" w:rsidR="006B15C3" w:rsidRPr="00C41F96" w:rsidRDefault="006B15C3" w:rsidP="00576453">
            <w:pPr>
              <w:jc w:val="both"/>
              <w:rPr>
                <w:sz w:val="22"/>
                <w:szCs w:val="22"/>
                <w:lang w:val="sr-Latn-ME"/>
              </w:rPr>
            </w:pPr>
            <w:r w:rsidRPr="00EE2B00">
              <w:rPr>
                <w:sz w:val="22"/>
                <w:szCs w:val="22"/>
                <w:lang w:val="sr-Latn-ME"/>
              </w:rPr>
              <w:t>20</w:t>
            </w:r>
            <w:r w:rsidR="00052D4D" w:rsidRPr="00EE2B00">
              <w:rPr>
                <w:sz w:val="22"/>
                <w:szCs w:val="22"/>
                <w:lang w:val="sr-Latn-ME"/>
              </w:rPr>
              <w:t>-5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66FB" w14:textId="7594192C" w:rsidR="006B15C3" w:rsidRPr="00DE7B81" w:rsidRDefault="006B15C3" w:rsidP="002401F0">
            <w:pPr>
              <w:jc w:val="both"/>
              <w:rPr>
                <w:sz w:val="22"/>
                <w:szCs w:val="22"/>
                <w:lang w:val="sr-Latn-ME"/>
              </w:rPr>
            </w:pPr>
            <w:r w:rsidRPr="00DE7B81">
              <w:rPr>
                <w:sz w:val="22"/>
                <w:szCs w:val="22"/>
                <w:lang w:val="sr-Latn-ME"/>
              </w:rPr>
              <w:t>10% uobičajene dnevne doze</w:t>
            </w:r>
            <w:r w:rsidR="003D3992" w:rsidRPr="00DE7B81">
              <w:rPr>
                <w:sz w:val="22"/>
                <w:szCs w:val="22"/>
                <w:lang w:val="sr-Latn-ME"/>
              </w:rPr>
              <w:t>, podijeljen</w:t>
            </w:r>
            <w:r w:rsidR="002401F0" w:rsidRPr="00DE7B81">
              <w:rPr>
                <w:sz w:val="22"/>
                <w:szCs w:val="22"/>
                <w:lang w:val="sr-Latn-ME"/>
              </w:rPr>
              <w:t>o</w:t>
            </w:r>
            <w:r w:rsidR="003D3992" w:rsidRPr="00DE7B81">
              <w:rPr>
                <w:sz w:val="22"/>
                <w:szCs w:val="22"/>
                <w:lang w:val="sr-Latn-ME"/>
              </w:rPr>
              <w:t xml:space="preserve"> na 2 jednake pojedinačne doze koje se primjenjuju na svakih 12 sati.</w:t>
            </w:r>
          </w:p>
        </w:tc>
      </w:tr>
    </w:tbl>
    <w:p w14:paraId="74B5886E" w14:textId="60CB1967" w:rsidR="00052D4D" w:rsidRPr="00EE2B00" w:rsidRDefault="00052D4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5F3B1640" w14:textId="77777777" w:rsidR="00052D4D" w:rsidRPr="00C41F96" w:rsidRDefault="00052D4D" w:rsidP="00052D4D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41F96">
        <w:rPr>
          <w:b/>
          <w:bCs/>
          <w:sz w:val="22"/>
          <w:szCs w:val="22"/>
          <w:lang w:val="sr-Latn-ME"/>
        </w:rPr>
        <w:t>Prijevremeno rođena djeca i novorođenčad (uzrasta ispod 1 mjeseca)</w:t>
      </w:r>
    </w:p>
    <w:p w14:paraId="78D17C33" w14:textId="77777777" w:rsidR="00052D4D" w:rsidRPr="00DE7B81" w:rsidRDefault="00052D4D" w:rsidP="00052D4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Kako bezbjednost upotrebe kod prijevremeno rođene djece i novorođenčadi (uzrasta do mjesec dana) nije utvrđena, primjena cefazolina kod ove grupe pacijenata se ne preporučuje. Vidjeti dio 4.4.</w:t>
      </w:r>
    </w:p>
    <w:p w14:paraId="1796A066" w14:textId="77777777" w:rsidR="00052D4D" w:rsidRPr="00DE7B81" w:rsidRDefault="00052D4D" w:rsidP="00052D4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89423E1" w14:textId="77777777" w:rsidR="00052D4D" w:rsidRPr="00DE7B81" w:rsidRDefault="00052D4D" w:rsidP="00052D4D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>Starije osobe</w:t>
      </w:r>
    </w:p>
    <w:p w14:paraId="36311268" w14:textId="77777777" w:rsidR="00052D4D" w:rsidRPr="00DE7B81" w:rsidRDefault="00052D4D" w:rsidP="00052D4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Kod starijih pacijenata sa očuvanom funkcijom bubrega nije potrebno prilagođavanje doze.</w:t>
      </w:r>
    </w:p>
    <w:p w14:paraId="6A9A71BC" w14:textId="77777777" w:rsidR="00052D4D" w:rsidRPr="00DE7B81" w:rsidRDefault="00052D4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5DE54132" w14:textId="77777777" w:rsidR="00452E9D" w:rsidRPr="00DE7B81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DE7B81">
        <w:rPr>
          <w:bCs/>
          <w:sz w:val="22"/>
          <w:szCs w:val="22"/>
          <w:u w:val="single"/>
          <w:lang w:val="sr-Latn-ME"/>
        </w:rPr>
        <w:t>Način primjene</w:t>
      </w:r>
    </w:p>
    <w:p w14:paraId="4C3CB6B5" w14:textId="247C4AF8" w:rsidR="001D5FDD" w:rsidRPr="00DE7B81" w:rsidRDefault="001D5FDD" w:rsidP="001D5F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L</w:t>
      </w:r>
      <w:r w:rsidR="00D33FEC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ek Primaceph se može prim</w:t>
      </w:r>
      <w:r w:rsidR="00D33FEC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enjivati kao intramuskularna injekcija, intravenska injekcija ili intravenska infuzija.</w:t>
      </w:r>
    </w:p>
    <w:p w14:paraId="503A12A6" w14:textId="105142CD" w:rsidR="001D5FDD" w:rsidRPr="00DE7B81" w:rsidRDefault="001D5FDD" w:rsidP="001D5F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Pripremljeni rastvor se prim</w:t>
      </w:r>
      <w:r w:rsidR="00D33FEC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enjuje duboko intramuskularno ili intravenski.</w:t>
      </w:r>
    </w:p>
    <w:p w14:paraId="5EEA3C6D" w14:textId="19504815" w:rsidR="001D5FDD" w:rsidRPr="00DE7B81" w:rsidRDefault="001D5FDD" w:rsidP="001D5F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Ne sm</w:t>
      </w:r>
      <w:r w:rsidR="00D33FEC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 se prim</w:t>
      </w:r>
      <w:r w:rsidR="00D33FEC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enjivati više od 500 mg cefazolina za jednu intramuskularnu prim</w:t>
      </w:r>
      <w:r w:rsidR="00D33FEC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enu.</w:t>
      </w:r>
    </w:p>
    <w:p w14:paraId="5B1CFE6F" w14:textId="57901751" w:rsidR="001D5FDD" w:rsidRPr="00DE7B81" w:rsidRDefault="001D5FDD" w:rsidP="001D5F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L</w:t>
      </w:r>
      <w:r w:rsidR="00D33FEC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 xml:space="preserve">ek Primaceph </w:t>
      </w:r>
      <w:r w:rsidR="003D3992" w:rsidRPr="00DE7B81">
        <w:rPr>
          <w:sz w:val="22"/>
          <w:szCs w:val="22"/>
          <w:lang w:val="sr-Latn-ME"/>
        </w:rPr>
        <w:t xml:space="preserve">pripremljen </w:t>
      </w:r>
      <w:r w:rsidRPr="00DE7B81">
        <w:rPr>
          <w:sz w:val="22"/>
          <w:szCs w:val="22"/>
          <w:lang w:val="sr-Latn-ME"/>
        </w:rPr>
        <w:t>za intramuskularnu prim</w:t>
      </w:r>
      <w:r w:rsidR="00374F81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enu ne sm</w:t>
      </w:r>
      <w:r w:rsidR="00374F81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 se prim</w:t>
      </w:r>
      <w:r w:rsidR="00374F81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 xml:space="preserve">enjivati intravenski kada </w:t>
      </w:r>
      <w:r w:rsidR="00A875C7" w:rsidRPr="00DE7B81">
        <w:rPr>
          <w:sz w:val="22"/>
          <w:szCs w:val="22"/>
          <w:lang w:val="sr-Latn-ME"/>
        </w:rPr>
        <w:t xml:space="preserve">je </w:t>
      </w:r>
      <w:r w:rsidRPr="00DE7B81">
        <w:rPr>
          <w:sz w:val="22"/>
          <w:szCs w:val="22"/>
          <w:lang w:val="sr-Latn-ME"/>
        </w:rPr>
        <w:t xml:space="preserve">rastvoru </w:t>
      </w:r>
      <w:r w:rsidR="00A875C7" w:rsidRPr="00DE7B81">
        <w:rPr>
          <w:sz w:val="22"/>
          <w:szCs w:val="22"/>
          <w:lang w:val="sr-Latn-ME"/>
        </w:rPr>
        <w:t xml:space="preserve">dodat </w:t>
      </w:r>
      <w:r w:rsidRPr="00DE7B81">
        <w:rPr>
          <w:sz w:val="22"/>
          <w:szCs w:val="22"/>
          <w:lang w:val="sr-Latn-ME"/>
        </w:rPr>
        <w:t>lokalni anestetik.</w:t>
      </w:r>
    </w:p>
    <w:p w14:paraId="52C779E3" w14:textId="77777777" w:rsidR="006F1934" w:rsidRPr="00DE7B81" w:rsidRDefault="006F1934" w:rsidP="001D5F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259C431" w14:textId="17D2C04B" w:rsidR="001D5FDD" w:rsidRPr="00DE7B81" w:rsidRDefault="001D5FDD" w:rsidP="001D5F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Za uputstvo o rekonstituciji i razblaživanju l</w:t>
      </w:r>
      <w:r w:rsidR="005E7489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eka pr</w:t>
      </w:r>
      <w:r w:rsidR="005E7489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 prim</w:t>
      </w:r>
      <w:r w:rsidR="005E7489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ene, vid</w:t>
      </w:r>
      <w:r w:rsidR="005E7489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 xml:space="preserve">eti </w:t>
      </w:r>
      <w:r w:rsidR="005E7489" w:rsidRPr="00DE7B81">
        <w:rPr>
          <w:sz w:val="22"/>
          <w:szCs w:val="22"/>
          <w:lang w:val="sr-Latn-ME"/>
        </w:rPr>
        <w:t>dio</w:t>
      </w:r>
      <w:r w:rsidRPr="00DE7B81">
        <w:rPr>
          <w:sz w:val="22"/>
          <w:szCs w:val="22"/>
          <w:lang w:val="sr-Latn-ME"/>
        </w:rPr>
        <w:t xml:space="preserve"> 6.6.</w:t>
      </w:r>
    </w:p>
    <w:bookmarkEnd w:id="0"/>
    <w:p w14:paraId="5DE54133" w14:textId="77777777" w:rsidR="00452E9D" w:rsidRPr="00DE7B81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E54134" w14:textId="77777777" w:rsidR="00411B4B" w:rsidRPr="00DE7B8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 xml:space="preserve">4.3.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sz w:val="22"/>
          <w:szCs w:val="22"/>
          <w:lang w:val="sr-Latn-ME"/>
        </w:rPr>
        <w:t>Kontraindikacije</w:t>
      </w:r>
    </w:p>
    <w:p w14:paraId="5DE54135" w14:textId="24A294CC" w:rsidR="0072020E" w:rsidRPr="00DE7B8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7854A8B" w14:textId="489A2F6C" w:rsidR="006D6B67" w:rsidRPr="00DE7B81" w:rsidRDefault="004301BA" w:rsidP="006D6B67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P</w:t>
      </w:r>
      <w:r w:rsidR="006D6B67" w:rsidRPr="00DE7B81">
        <w:rPr>
          <w:sz w:val="22"/>
          <w:szCs w:val="22"/>
          <w:lang w:val="sr-Latn-ME"/>
        </w:rPr>
        <w:t xml:space="preserve">reosjetljivost na cefazolin ili </w:t>
      </w:r>
      <w:r w:rsidRPr="00DE7B81">
        <w:rPr>
          <w:sz w:val="22"/>
          <w:szCs w:val="22"/>
          <w:lang w:val="sr-Latn-ME"/>
        </w:rPr>
        <w:t xml:space="preserve">na </w:t>
      </w:r>
      <w:r w:rsidR="006D6B67" w:rsidRPr="00DE7B81">
        <w:rPr>
          <w:sz w:val="22"/>
          <w:szCs w:val="22"/>
          <w:lang w:val="sr-Latn-ME"/>
        </w:rPr>
        <w:t>druge cefalosporin</w:t>
      </w:r>
      <w:r w:rsidRPr="00DE7B81">
        <w:rPr>
          <w:sz w:val="22"/>
          <w:szCs w:val="22"/>
          <w:lang w:val="sr-Latn-ME"/>
        </w:rPr>
        <w:t>ske antibiotike</w:t>
      </w:r>
      <w:r w:rsidR="006D6B67" w:rsidRPr="00DE7B81">
        <w:rPr>
          <w:sz w:val="22"/>
          <w:szCs w:val="22"/>
          <w:lang w:val="sr-Latn-ME"/>
        </w:rPr>
        <w:t>.</w:t>
      </w:r>
    </w:p>
    <w:p w14:paraId="5F8981B9" w14:textId="63922B19" w:rsidR="006D6B67" w:rsidRPr="00DE7B81" w:rsidRDefault="00F97157" w:rsidP="006D6B67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 xml:space="preserve">Lijek se ne smije koristiti u slučaju prethodne neposredne i/ili teške reakcije </w:t>
      </w:r>
      <w:r w:rsidR="006D6B67" w:rsidRPr="00DE7B81">
        <w:rPr>
          <w:sz w:val="22"/>
          <w:szCs w:val="22"/>
          <w:lang w:val="sr-Latn-ME"/>
        </w:rPr>
        <w:t>preosjetljivost</w:t>
      </w:r>
      <w:r w:rsidR="00555D74" w:rsidRPr="00DE7B81">
        <w:rPr>
          <w:sz w:val="22"/>
          <w:szCs w:val="22"/>
          <w:lang w:val="sr-Latn-ME"/>
        </w:rPr>
        <w:t>i</w:t>
      </w:r>
      <w:r w:rsidR="006D6B67" w:rsidRPr="00DE7B81">
        <w:rPr>
          <w:sz w:val="22"/>
          <w:szCs w:val="22"/>
          <w:lang w:val="sr-Latn-ME"/>
        </w:rPr>
        <w:t xml:space="preserve"> na </w:t>
      </w:r>
      <w:r w:rsidR="00555D74" w:rsidRPr="00DE7B81">
        <w:rPr>
          <w:sz w:val="22"/>
          <w:szCs w:val="22"/>
          <w:lang w:val="sr-Latn-ME"/>
        </w:rPr>
        <w:t xml:space="preserve">penicilin ili neki </w:t>
      </w:r>
      <w:r w:rsidR="006D6B67" w:rsidRPr="00DE7B81">
        <w:rPr>
          <w:sz w:val="22"/>
          <w:szCs w:val="22"/>
          <w:lang w:val="sr-Latn-ME"/>
        </w:rPr>
        <w:t>drug</w:t>
      </w:r>
      <w:r w:rsidR="00555D74" w:rsidRPr="00DE7B81">
        <w:rPr>
          <w:sz w:val="22"/>
          <w:szCs w:val="22"/>
          <w:lang w:val="sr-Latn-ME"/>
        </w:rPr>
        <w:t>i</w:t>
      </w:r>
      <w:r w:rsidR="006D6B67" w:rsidRPr="00DE7B81">
        <w:rPr>
          <w:sz w:val="22"/>
          <w:szCs w:val="22"/>
          <w:lang w:val="sr-Latn-ME"/>
        </w:rPr>
        <w:t xml:space="preserve"> beta-laktamsk</w:t>
      </w:r>
      <w:r w:rsidR="00555D74" w:rsidRPr="00DE7B81">
        <w:rPr>
          <w:sz w:val="22"/>
          <w:szCs w:val="22"/>
          <w:lang w:val="sr-Latn-ME"/>
        </w:rPr>
        <w:t>i</w:t>
      </w:r>
      <w:r w:rsidR="006D6B67" w:rsidRPr="00DE7B81">
        <w:rPr>
          <w:sz w:val="22"/>
          <w:szCs w:val="22"/>
          <w:lang w:val="sr-Latn-ME"/>
        </w:rPr>
        <w:t xml:space="preserve"> antibiotik.</w:t>
      </w:r>
    </w:p>
    <w:p w14:paraId="0C332F5A" w14:textId="77777777" w:rsidR="006D6B67" w:rsidRPr="00DE7B81" w:rsidRDefault="006D6B6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E54136" w14:textId="77777777" w:rsidR="00411B4B" w:rsidRPr="00DE7B8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 xml:space="preserve">4.4.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5DE54137" w14:textId="77777777" w:rsidR="0072020E" w:rsidRPr="00DE7B8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7B7C0B6" w14:textId="5F478C03" w:rsidR="00912E3C" w:rsidRPr="00DE7B81" w:rsidRDefault="00912E3C" w:rsidP="00912E3C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DE7B81">
        <w:rPr>
          <w:sz w:val="22"/>
          <w:szCs w:val="22"/>
          <w:u w:val="single"/>
          <w:lang w:val="sr-Latn-ME"/>
        </w:rPr>
        <w:t>Reakcije preos</w:t>
      </w:r>
      <w:r w:rsidR="00D4000B" w:rsidRPr="00DE7B81">
        <w:rPr>
          <w:sz w:val="22"/>
          <w:szCs w:val="22"/>
          <w:u w:val="single"/>
          <w:lang w:val="sr-Latn-ME"/>
        </w:rPr>
        <w:t>j</w:t>
      </w:r>
      <w:r w:rsidRPr="00DE7B81">
        <w:rPr>
          <w:sz w:val="22"/>
          <w:szCs w:val="22"/>
          <w:u w:val="single"/>
          <w:lang w:val="sr-Latn-ME"/>
        </w:rPr>
        <w:t>etljivosti</w:t>
      </w:r>
    </w:p>
    <w:p w14:paraId="1F68CA9B" w14:textId="77777777" w:rsidR="00912E3C" w:rsidRPr="00DE7B81" w:rsidRDefault="00912E3C" w:rsidP="00912E3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Poseban oprez je potreban kod pacijenata sa alergijskom dijatezom, bronhijalnom astmom ili alergijskim</w:t>
      </w:r>
    </w:p>
    <w:p w14:paraId="1231678A" w14:textId="28859985" w:rsidR="00912E3C" w:rsidRPr="00DE7B81" w:rsidRDefault="00912E3C" w:rsidP="00912E3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lastRenderedPageBreak/>
        <w:t>rinitisom. Pr</w:t>
      </w:r>
      <w:r w:rsidR="00D4000B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 početka terapije cefazolinom potrebno je utvrditi da li se u anamnezi navode reakcije preos</w:t>
      </w:r>
      <w:r w:rsidR="00D4000B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</w:t>
      </w:r>
      <w:r w:rsidR="00D4000B" w:rsidRPr="00DE7B81">
        <w:rPr>
          <w:sz w:val="22"/>
          <w:szCs w:val="22"/>
          <w:lang w:val="sr-Latn-ME"/>
        </w:rPr>
        <w:t>t</w:t>
      </w:r>
      <w:r w:rsidRPr="00DE7B81">
        <w:rPr>
          <w:sz w:val="22"/>
          <w:szCs w:val="22"/>
          <w:lang w:val="sr-Latn-ME"/>
        </w:rPr>
        <w:t>ljivosti na druge beta-laktamske antibiotike (peniciline ili cefalosporine).</w:t>
      </w:r>
    </w:p>
    <w:p w14:paraId="0C5DDAB3" w14:textId="77777777" w:rsidR="00912E3C" w:rsidRPr="00DE7B81" w:rsidRDefault="00912E3C" w:rsidP="00912E3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79BB609" w14:textId="11F92A39" w:rsidR="00912E3C" w:rsidRPr="00DE7B81" w:rsidRDefault="00912E3C" w:rsidP="00912E3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Kod pacijenata kod kojih se razvije alergijska reakcija prim</w:t>
      </w:r>
      <w:r w:rsidR="00D4000B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enu l</w:t>
      </w:r>
      <w:r w:rsidR="00D4000B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eka treba obustaviti i prim</w:t>
      </w:r>
      <w:r w:rsidR="00927D81" w:rsidRPr="00DE7B81">
        <w:rPr>
          <w:sz w:val="22"/>
          <w:szCs w:val="22"/>
          <w:lang w:val="sr-Latn-ME"/>
        </w:rPr>
        <w:t>i</w:t>
      </w:r>
      <w:r w:rsidR="00D4000B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 xml:space="preserve">eniti adekvatnu simptomatsku terapiju. Treba uzeti u obzir mogućnost ukrštene alergijske reakcije sa drugim cefalosporinima i </w:t>
      </w:r>
      <w:r w:rsidR="00902F8F" w:rsidRPr="00DE7B81">
        <w:rPr>
          <w:sz w:val="22"/>
          <w:szCs w:val="22"/>
          <w:lang w:val="sr-Latn-ME"/>
        </w:rPr>
        <w:t xml:space="preserve">povremene pojave ukrštene alergijske reakcije sa </w:t>
      </w:r>
      <w:r w:rsidRPr="00DE7B81">
        <w:rPr>
          <w:sz w:val="22"/>
          <w:szCs w:val="22"/>
          <w:lang w:val="sr-Latn-ME"/>
        </w:rPr>
        <w:t>penicilinima. Ukoliko je poznato da postoji preos</w:t>
      </w:r>
      <w:r w:rsidR="00BB3EA6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etljivost na peniciline mora se uzeti u obzir ukrštena alergijska reakcija sa drugim beta-laktamima, npr. cefalosporinima.</w:t>
      </w:r>
    </w:p>
    <w:p w14:paraId="39593BB7" w14:textId="77777777" w:rsidR="00912E3C" w:rsidRPr="00DE7B81" w:rsidRDefault="00912E3C" w:rsidP="00912E3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2B8FC9" w14:textId="37016906" w:rsidR="003350D6" w:rsidRPr="00DE7B81" w:rsidRDefault="003350D6" w:rsidP="003350D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Za vr</w:t>
      </w:r>
      <w:r w:rsidR="00BB3EA6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eme terapije cefazolinom u r</w:t>
      </w:r>
      <w:r w:rsidR="00F447B8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 xml:space="preserve">etkim slučajevima može doći do poremećaja koagulacije krvi. Posebno su ugroženi pacijenti sa faktorima rizika koji dovode do deficita vitamina K ili utiču na ostale mehanizme koagulacije (parenteralna ishrana, neuhranjenost, poremećaj funkcije jetre ili bubrega, trombocitopenija). Isto važi i za pacijente sa komorbiditetima koji mogu prouzrokovati ili pogoršati krvarenje (npr. hemofilija, gastrični ili duodenalni ulkusi). Zbog toga je u ovakvim slučajevima potrebno </w:t>
      </w:r>
      <w:r w:rsidR="00341973" w:rsidRPr="00DE7B81">
        <w:rPr>
          <w:sz w:val="22"/>
          <w:szCs w:val="22"/>
          <w:lang w:val="sr-Latn-ME"/>
        </w:rPr>
        <w:t>pratiti</w:t>
      </w:r>
      <w:r w:rsidRPr="00DE7B81">
        <w:rPr>
          <w:sz w:val="22"/>
          <w:szCs w:val="22"/>
          <w:lang w:val="sr-Latn-ME"/>
        </w:rPr>
        <w:t xml:space="preserve"> protrombinsko vr</w:t>
      </w:r>
      <w:r w:rsidR="00F447B8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eme, i ukoliko je smanjeno, uvesti terapiju vitaminom K (10 mg ned</w:t>
      </w:r>
      <w:r w:rsidR="002D4058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eljno).</w:t>
      </w:r>
    </w:p>
    <w:p w14:paraId="5FFA5C01" w14:textId="77777777" w:rsidR="00912E3C" w:rsidRPr="00DE7B81" w:rsidRDefault="00912E3C" w:rsidP="00755EE7">
      <w:pPr>
        <w:jc w:val="both"/>
        <w:rPr>
          <w:sz w:val="22"/>
          <w:szCs w:val="22"/>
          <w:lang w:val="sr-Latn-ME"/>
        </w:rPr>
      </w:pPr>
    </w:p>
    <w:p w14:paraId="260C7689" w14:textId="5D74CECD" w:rsidR="00313EEA" w:rsidRPr="00DE7B81" w:rsidRDefault="00313EEA" w:rsidP="00313EEA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DE7B81">
        <w:rPr>
          <w:sz w:val="22"/>
          <w:szCs w:val="22"/>
          <w:u w:val="single"/>
          <w:lang w:val="sr-Latn-ME"/>
        </w:rPr>
        <w:t>Prekom</w:t>
      </w:r>
      <w:r w:rsidR="007F36D0" w:rsidRPr="00DE7B81">
        <w:rPr>
          <w:sz w:val="22"/>
          <w:szCs w:val="22"/>
          <w:u w:val="single"/>
          <w:lang w:val="sr-Latn-ME"/>
        </w:rPr>
        <w:t>j</w:t>
      </w:r>
      <w:r w:rsidRPr="00DE7B81">
        <w:rPr>
          <w:sz w:val="22"/>
          <w:szCs w:val="22"/>
          <w:u w:val="single"/>
          <w:lang w:val="sr-Latn-ME"/>
        </w:rPr>
        <w:t>erno razmnožavanje rezistentnih mikroorganizama</w:t>
      </w:r>
    </w:p>
    <w:p w14:paraId="4EEF42EF" w14:textId="684FFE94" w:rsidR="00313EEA" w:rsidRPr="00DE7B81" w:rsidRDefault="00313EEA" w:rsidP="00313EE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Pri prim</w:t>
      </w:r>
      <w:r w:rsidR="00F447B8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eni skoro svih antibiotika prijavljeni su slučajevi kolitisa povezanog sa prim</w:t>
      </w:r>
      <w:r w:rsidR="00F447B8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enom antibiotika, čija</w:t>
      </w:r>
      <w:r w:rsidR="00F87946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težina može biti blaga do životno ugrožavajuća (vid</w:t>
      </w:r>
      <w:r w:rsidR="00F447B8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 xml:space="preserve">eti </w:t>
      </w:r>
      <w:r w:rsidR="00F447B8" w:rsidRPr="00DE7B81">
        <w:rPr>
          <w:sz w:val="22"/>
          <w:szCs w:val="22"/>
          <w:lang w:val="sr-Latn-ME"/>
        </w:rPr>
        <w:t>dio</w:t>
      </w:r>
      <w:r w:rsidRPr="00DE7B81">
        <w:rPr>
          <w:sz w:val="22"/>
          <w:szCs w:val="22"/>
          <w:lang w:val="sr-Latn-ME"/>
        </w:rPr>
        <w:t xml:space="preserve"> 4.8). Zbog toga je važno uzeti u obzir ovu</w:t>
      </w:r>
      <w:r w:rsidR="00F87946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dijagnozu kod pacijenata kod kojih dođe do razvoja dijareje tokom ili nakon upotrebe antibiotika. Ukoliko</w:t>
      </w:r>
      <w:r w:rsidR="00F87946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dođe do razvoja kolitisa povezanog sa prim</w:t>
      </w:r>
      <w:r w:rsidR="00F447B8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enom antibiotika, terapija cefazolinom se mora odmah obustaviti</w:t>
      </w:r>
      <w:r w:rsidR="002855CB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i uz konsultaciju l</w:t>
      </w:r>
      <w:r w:rsidR="00F447B8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ekara započeti prim</w:t>
      </w:r>
      <w:r w:rsidR="00E31CF9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ena adekvatne terapije. U ovakvoj situaciji je kontraindikovana</w:t>
      </w:r>
      <w:r w:rsidR="002855CB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prim</w:t>
      </w:r>
      <w:r w:rsidR="00E31CF9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ena antiperistaltika.</w:t>
      </w:r>
    </w:p>
    <w:p w14:paraId="7540730D" w14:textId="77777777" w:rsidR="00313EEA" w:rsidRPr="00DE7B81" w:rsidRDefault="00313EEA" w:rsidP="00313EE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0FE101F" w14:textId="39625A77" w:rsidR="009B1957" w:rsidRPr="00DE7B81" w:rsidRDefault="009B1957" w:rsidP="009B195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U slučaju dugotrajne prim</w:t>
      </w:r>
      <w:r w:rsidR="00E31CF9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ene cefazolina može doći do prekom</w:t>
      </w:r>
      <w:r w:rsidR="007F36D0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ernog razmnožavanja neos</w:t>
      </w:r>
      <w:r w:rsidR="00E31CF9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etljivih mikroorganizama. Zbog toga je od izuzetnog značaja stalno praćenje stanja pacijenta. Ukoliko tokom terapije dođe do razvoja superinfekcije treba prim</w:t>
      </w:r>
      <w:r w:rsidR="008721F4" w:rsidRPr="00DE7B81">
        <w:rPr>
          <w:sz w:val="22"/>
          <w:szCs w:val="22"/>
          <w:lang w:val="sr-Latn-ME"/>
        </w:rPr>
        <w:t>i</w:t>
      </w:r>
      <w:r w:rsidR="00E31CF9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eniti odgovarajuće m</w:t>
      </w:r>
      <w:r w:rsidR="00E31CF9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ere.</w:t>
      </w:r>
    </w:p>
    <w:p w14:paraId="2FF21DB6" w14:textId="77777777" w:rsidR="009B1957" w:rsidRPr="00DE7B81" w:rsidRDefault="009B1957" w:rsidP="006F5A47">
      <w:pPr>
        <w:jc w:val="both"/>
        <w:rPr>
          <w:sz w:val="22"/>
          <w:szCs w:val="22"/>
          <w:lang w:val="sr-Latn-ME"/>
        </w:rPr>
      </w:pPr>
    </w:p>
    <w:p w14:paraId="1913A290" w14:textId="20B035F5" w:rsidR="00755EE7" w:rsidRPr="00DE7B81" w:rsidRDefault="00755EE7" w:rsidP="00755EE7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 xml:space="preserve">Kod pacijenata sa </w:t>
      </w:r>
      <w:r w:rsidR="009B1957" w:rsidRPr="00DE7B81">
        <w:rPr>
          <w:sz w:val="22"/>
          <w:szCs w:val="22"/>
          <w:lang w:val="sr-Latn-ME"/>
        </w:rPr>
        <w:t xml:space="preserve">teškim oštećenjem </w:t>
      </w:r>
      <w:r w:rsidRPr="00DE7B81">
        <w:rPr>
          <w:sz w:val="22"/>
          <w:szCs w:val="22"/>
          <w:lang w:val="sr-Latn-ME"/>
        </w:rPr>
        <w:t>bubrežn</w:t>
      </w:r>
      <w:r w:rsidR="009B1957" w:rsidRPr="00DE7B81">
        <w:rPr>
          <w:sz w:val="22"/>
          <w:szCs w:val="22"/>
          <w:lang w:val="sr-Latn-ME"/>
        </w:rPr>
        <w:t>e</w:t>
      </w:r>
      <w:r w:rsidRPr="00DE7B81">
        <w:rPr>
          <w:sz w:val="22"/>
          <w:szCs w:val="22"/>
          <w:lang w:val="sr-Latn-ME"/>
        </w:rPr>
        <w:t xml:space="preserve"> funkcij</w:t>
      </w:r>
      <w:r w:rsidR="009B1957" w:rsidRPr="00DE7B81">
        <w:rPr>
          <w:sz w:val="22"/>
          <w:szCs w:val="22"/>
          <w:lang w:val="sr-Latn-ME"/>
        </w:rPr>
        <w:t>e</w:t>
      </w:r>
      <w:r w:rsidRPr="00DE7B81">
        <w:rPr>
          <w:sz w:val="22"/>
          <w:szCs w:val="22"/>
          <w:lang w:val="sr-Latn-ME"/>
        </w:rPr>
        <w:t xml:space="preserve"> i glomerularnom filtracijom ispod 55</w:t>
      </w:r>
      <w:r w:rsidR="008D20F6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m</w:t>
      </w:r>
      <w:r w:rsidR="00E74B3D" w:rsidRPr="00DE7B81">
        <w:rPr>
          <w:sz w:val="22"/>
          <w:szCs w:val="22"/>
          <w:lang w:val="sr-Latn-ME"/>
        </w:rPr>
        <w:t>l</w:t>
      </w:r>
      <w:r w:rsidRPr="00DE7B81">
        <w:rPr>
          <w:sz w:val="22"/>
          <w:szCs w:val="22"/>
          <w:lang w:val="sr-Latn-ME"/>
        </w:rPr>
        <w:t xml:space="preserve">/min može </w:t>
      </w:r>
      <w:r w:rsidR="00E74B3D" w:rsidRPr="00DE7B81">
        <w:rPr>
          <w:sz w:val="22"/>
          <w:szCs w:val="22"/>
          <w:lang w:val="sr-Latn-ME"/>
        </w:rPr>
        <w:t>se očekivati a</w:t>
      </w:r>
      <w:r w:rsidRPr="00DE7B81">
        <w:rPr>
          <w:sz w:val="22"/>
          <w:szCs w:val="22"/>
          <w:lang w:val="sr-Latn-ME"/>
        </w:rPr>
        <w:t>kumulacij</w:t>
      </w:r>
      <w:r w:rsidR="00E74B3D" w:rsidRPr="00DE7B81">
        <w:rPr>
          <w:sz w:val="22"/>
          <w:szCs w:val="22"/>
          <w:lang w:val="sr-Latn-ME"/>
        </w:rPr>
        <w:t>a</w:t>
      </w:r>
      <w:r w:rsidRPr="00DE7B81">
        <w:rPr>
          <w:sz w:val="22"/>
          <w:szCs w:val="22"/>
          <w:lang w:val="sr-Latn-ME"/>
        </w:rPr>
        <w:t xml:space="preserve"> cefazolina, </w:t>
      </w:r>
      <w:r w:rsidR="00BC1F2A" w:rsidRPr="00DE7B81">
        <w:rPr>
          <w:sz w:val="22"/>
          <w:szCs w:val="22"/>
          <w:lang w:val="sr-Latn-ME"/>
        </w:rPr>
        <w:t>zbog čega se doza mora</w:t>
      </w:r>
      <w:r w:rsidRPr="00DE7B81">
        <w:rPr>
          <w:sz w:val="22"/>
          <w:szCs w:val="22"/>
          <w:lang w:val="sr-Latn-ME"/>
        </w:rPr>
        <w:t xml:space="preserve"> smanjiti ili produžiti interval doziranja </w:t>
      </w:r>
      <w:r w:rsidR="00CC4850" w:rsidRPr="00DE7B81">
        <w:rPr>
          <w:sz w:val="22"/>
          <w:szCs w:val="22"/>
          <w:lang w:val="sr-Latn-ME"/>
        </w:rPr>
        <w:t>(vidjeti dio</w:t>
      </w:r>
      <w:r w:rsidRPr="00DE7B81">
        <w:rPr>
          <w:sz w:val="22"/>
          <w:szCs w:val="22"/>
          <w:lang w:val="sr-Latn-ME"/>
        </w:rPr>
        <w:t xml:space="preserve"> 4.2.</w:t>
      </w:r>
      <w:r w:rsidR="00CC4850" w:rsidRPr="00DE7B81">
        <w:rPr>
          <w:sz w:val="22"/>
          <w:szCs w:val="22"/>
          <w:lang w:val="sr-Latn-ME"/>
        </w:rPr>
        <w:t>)</w:t>
      </w:r>
    </w:p>
    <w:p w14:paraId="1C1B7DD0" w14:textId="77777777" w:rsidR="00755EE7" w:rsidRPr="00DE7B81" w:rsidRDefault="00755EE7" w:rsidP="00755EE7">
      <w:pPr>
        <w:jc w:val="both"/>
        <w:rPr>
          <w:sz w:val="22"/>
          <w:szCs w:val="22"/>
          <w:lang w:val="sr-Latn-ME"/>
        </w:rPr>
      </w:pPr>
    </w:p>
    <w:p w14:paraId="65B65BAB" w14:textId="0D095806" w:rsidR="00755EE7" w:rsidRPr="00DE7B81" w:rsidRDefault="00ED5E40" w:rsidP="00755EE7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Zbog slabe difuzije u cerebrospinalnu tečnosti, c</w:t>
      </w:r>
      <w:r w:rsidR="00755EE7" w:rsidRPr="00DE7B81">
        <w:rPr>
          <w:sz w:val="22"/>
          <w:szCs w:val="22"/>
          <w:lang w:val="sr-Latn-ME"/>
        </w:rPr>
        <w:t>efazolin nije pogodan za liječenje meningitisa.</w:t>
      </w:r>
    </w:p>
    <w:p w14:paraId="39ED6D95" w14:textId="77777777" w:rsidR="00ED5E40" w:rsidRPr="00DE7B81" w:rsidRDefault="00ED5E40" w:rsidP="00755EE7">
      <w:pPr>
        <w:jc w:val="both"/>
        <w:rPr>
          <w:sz w:val="22"/>
          <w:szCs w:val="22"/>
          <w:lang w:val="sr-Latn-ME"/>
        </w:rPr>
      </w:pPr>
    </w:p>
    <w:p w14:paraId="242A1646" w14:textId="77777777" w:rsidR="005B62B0" w:rsidRPr="00DE7B81" w:rsidRDefault="005B62B0" w:rsidP="005B62B0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DE7B81">
        <w:rPr>
          <w:sz w:val="22"/>
          <w:szCs w:val="22"/>
          <w:u w:val="single"/>
          <w:lang w:val="sr-Latn-ME"/>
        </w:rPr>
        <w:t>Dugotrajna terapija ili terapija velikim dozama</w:t>
      </w:r>
    </w:p>
    <w:p w14:paraId="56DF9672" w14:textId="6D51CA6A" w:rsidR="005B62B0" w:rsidRPr="00DE7B81" w:rsidRDefault="005B62B0" w:rsidP="005B62B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Tokom dugotrajne terapije ili terapije velikim dozama, sav</w:t>
      </w:r>
      <w:r w:rsidR="00AA5CAE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etuje se redovno praćenje funkcija sistema organa, uključujući bubrege, jetru i hematopoezu. Prijavljeni su slučajevi povećanih vr</w:t>
      </w:r>
      <w:r w:rsidR="00F76C99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ednosti enzima jetre i prom</w:t>
      </w:r>
      <w:r w:rsidR="00AA5CAE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ena krvnih ćelija (vid</w:t>
      </w:r>
      <w:r w:rsidR="00AA5CAE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 xml:space="preserve">eti </w:t>
      </w:r>
      <w:r w:rsidR="00AA5CAE" w:rsidRPr="00DE7B81">
        <w:rPr>
          <w:sz w:val="22"/>
          <w:szCs w:val="22"/>
          <w:lang w:val="sr-Latn-ME"/>
        </w:rPr>
        <w:t>dio</w:t>
      </w:r>
      <w:r w:rsidRPr="00DE7B81">
        <w:rPr>
          <w:sz w:val="22"/>
          <w:szCs w:val="22"/>
          <w:lang w:val="sr-Latn-ME"/>
        </w:rPr>
        <w:t xml:space="preserve"> 4.8).</w:t>
      </w:r>
    </w:p>
    <w:p w14:paraId="5A9B83F4" w14:textId="77777777" w:rsidR="005B62B0" w:rsidRPr="00DE7B81" w:rsidRDefault="005B62B0" w:rsidP="005B62B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B22211A" w14:textId="77777777" w:rsidR="005B62B0" w:rsidRPr="00DE7B81" w:rsidRDefault="005B62B0" w:rsidP="005B62B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Kod pacijenata sa hipertenzijom ili srčanom insuficijencijom, mora se uzeti u obzir sadržaj natrijuma u</w:t>
      </w:r>
    </w:p>
    <w:p w14:paraId="075CA6C9" w14:textId="77777777" w:rsidR="005B62B0" w:rsidRPr="00DE7B81" w:rsidRDefault="005B62B0" w:rsidP="005B62B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rastvoru za injekciju/infuziju.</w:t>
      </w:r>
    </w:p>
    <w:p w14:paraId="08771350" w14:textId="77777777" w:rsidR="005B62B0" w:rsidRPr="00DE7B81" w:rsidRDefault="005B62B0" w:rsidP="005B62B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7B306D5" w14:textId="10B0B5AF" w:rsidR="005B62B0" w:rsidRPr="00DE7B81" w:rsidRDefault="005B62B0" w:rsidP="005B62B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Cefazolin ne treba prim</w:t>
      </w:r>
      <w:r w:rsidR="00AA5CAE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enjivati kod pr</w:t>
      </w:r>
      <w:r w:rsidR="00AA5CAE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evremeno rođene d</w:t>
      </w:r>
      <w:r w:rsidR="00AA5CAE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ece i novorođenčadi</w:t>
      </w:r>
      <w:r w:rsidR="008D20F6" w:rsidRPr="00DE7B81">
        <w:rPr>
          <w:sz w:val="22"/>
          <w:szCs w:val="22"/>
          <w:lang w:val="sr-Latn-ME"/>
        </w:rPr>
        <w:t xml:space="preserve"> (uzrasta do m</w:t>
      </w:r>
      <w:r w:rsidR="00AA5CAE" w:rsidRPr="00DE7B81">
        <w:rPr>
          <w:sz w:val="22"/>
          <w:szCs w:val="22"/>
          <w:lang w:val="sr-Latn-ME"/>
        </w:rPr>
        <w:t>j</w:t>
      </w:r>
      <w:r w:rsidR="008D20F6" w:rsidRPr="00DE7B81">
        <w:rPr>
          <w:sz w:val="22"/>
          <w:szCs w:val="22"/>
          <w:lang w:val="sr-Latn-ME"/>
        </w:rPr>
        <w:t>esec dana)</w:t>
      </w:r>
      <w:r w:rsidRPr="00DE7B81">
        <w:rPr>
          <w:sz w:val="22"/>
          <w:szCs w:val="22"/>
          <w:lang w:val="sr-Latn-ME"/>
        </w:rPr>
        <w:t>, jer nema dovoljno iskustva, a bezb</w:t>
      </w:r>
      <w:r w:rsidR="00AA5CAE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ednost prim</w:t>
      </w:r>
      <w:r w:rsidR="00AA5CAE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ene još uvek nije dokazana.</w:t>
      </w:r>
    </w:p>
    <w:p w14:paraId="0A19F266" w14:textId="77777777" w:rsidR="005B62B0" w:rsidRPr="00DE7B81" w:rsidRDefault="005B62B0" w:rsidP="005B62B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074DE71" w14:textId="77777777" w:rsidR="005B62B0" w:rsidRPr="00DE7B81" w:rsidRDefault="005B62B0" w:rsidP="005B62B0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DE7B81">
        <w:rPr>
          <w:sz w:val="22"/>
          <w:szCs w:val="22"/>
          <w:u w:val="single"/>
          <w:lang w:val="sr-Latn-ME"/>
        </w:rPr>
        <w:t>Uticaj na laboratorijske analize</w:t>
      </w:r>
    </w:p>
    <w:p w14:paraId="31AA5FE1" w14:textId="2D241784" w:rsidR="005B62B0" w:rsidRPr="00DE7B81" w:rsidRDefault="005B62B0" w:rsidP="005B62B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Prim</w:t>
      </w:r>
      <w:r w:rsidR="00AA5CAE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 xml:space="preserve">ena cefazolina može dovesti do pojave lažno pozitivnih rezultata laboratorijskih analiza glukoze u urinu pri upotrebi </w:t>
      </w:r>
      <w:r w:rsidRPr="00DE7B81">
        <w:rPr>
          <w:i/>
          <w:iCs/>
          <w:sz w:val="22"/>
          <w:szCs w:val="22"/>
          <w:lang w:val="sr-Latn-ME"/>
        </w:rPr>
        <w:t>Benedict</w:t>
      </w:r>
      <w:r w:rsidRPr="00DE7B81">
        <w:rPr>
          <w:sz w:val="22"/>
          <w:szCs w:val="22"/>
          <w:lang w:val="sr-Latn-ME"/>
        </w:rPr>
        <w:t xml:space="preserve">-ovog reagensa, </w:t>
      </w:r>
      <w:r w:rsidRPr="00DE7B81">
        <w:rPr>
          <w:i/>
          <w:iCs/>
          <w:sz w:val="22"/>
          <w:szCs w:val="22"/>
          <w:lang w:val="sr-Latn-ME"/>
        </w:rPr>
        <w:t>Fehling</w:t>
      </w:r>
      <w:r w:rsidRPr="00DE7B81">
        <w:rPr>
          <w:sz w:val="22"/>
          <w:szCs w:val="22"/>
          <w:lang w:val="sr-Latn-ME"/>
        </w:rPr>
        <w:t xml:space="preserve">-ovog rastvora ili </w:t>
      </w:r>
      <w:r w:rsidRPr="00DE7B81">
        <w:rPr>
          <w:i/>
          <w:iCs/>
          <w:sz w:val="22"/>
          <w:szCs w:val="22"/>
          <w:lang w:val="sr-Latn-ME"/>
        </w:rPr>
        <w:t>Clinitest</w:t>
      </w:r>
      <w:r w:rsidRPr="00DE7B81">
        <w:rPr>
          <w:sz w:val="22"/>
          <w:szCs w:val="22"/>
          <w:lang w:val="sr-Latn-ME"/>
        </w:rPr>
        <w:t xml:space="preserve"> tableta, što nije slučaj ako se za detekciju koriste enzimske metode. Indirektni i direktni </w:t>
      </w:r>
      <w:r w:rsidRPr="00DE7B81">
        <w:rPr>
          <w:i/>
          <w:iCs/>
          <w:sz w:val="22"/>
          <w:szCs w:val="22"/>
          <w:lang w:val="sr-Latn-ME"/>
        </w:rPr>
        <w:t>Coombs</w:t>
      </w:r>
      <w:r w:rsidRPr="00DE7B81">
        <w:rPr>
          <w:sz w:val="22"/>
          <w:szCs w:val="22"/>
          <w:lang w:val="sr-Latn-ME"/>
        </w:rPr>
        <w:t>-ov test takođe može dati lažno pozitivne rezultate. Do ovoga može doći i kod novorođenčadi čije su majke primale cefalosporine pr</w:t>
      </w:r>
      <w:r w:rsidR="00AA5CAE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 porođaja.</w:t>
      </w:r>
    </w:p>
    <w:p w14:paraId="702D0703" w14:textId="77777777" w:rsidR="005B62B0" w:rsidRPr="00DE7B81" w:rsidRDefault="005B62B0" w:rsidP="005B62B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A72FAD9" w14:textId="364D9819" w:rsidR="005B62B0" w:rsidRPr="00DE7B81" w:rsidRDefault="005B62B0" w:rsidP="005B62B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L</w:t>
      </w:r>
      <w:r w:rsidR="00AA5CAE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ek Primaceph nije nam</w:t>
      </w:r>
      <w:r w:rsidR="00AA5CAE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enjen za intratekalnu prim</w:t>
      </w:r>
      <w:r w:rsidR="002D4058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enu. Nakon intratekalne prim</w:t>
      </w:r>
      <w:r w:rsidR="00AA5CAE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ene cefazolina, prijavljeni su slučajevi teške toksičnosti na nivou centralnog nervnog sistema (uključujući konvulzije).</w:t>
      </w:r>
    </w:p>
    <w:p w14:paraId="7D7877D2" w14:textId="77777777" w:rsidR="00755EE7" w:rsidRPr="00DE7B81" w:rsidRDefault="00755EE7" w:rsidP="00755EE7">
      <w:pPr>
        <w:jc w:val="both"/>
        <w:rPr>
          <w:sz w:val="22"/>
          <w:szCs w:val="22"/>
          <w:lang w:val="sr-Latn-ME"/>
        </w:rPr>
      </w:pPr>
    </w:p>
    <w:p w14:paraId="5DE54139" w14:textId="5AB7F69B" w:rsidR="00057E35" w:rsidRPr="00DE7B81" w:rsidRDefault="00755EE7" w:rsidP="007A1D0B">
      <w:pPr>
        <w:jc w:val="both"/>
        <w:rPr>
          <w:bCs/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 xml:space="preserve">Ovaj lijek sadrži 50,6 mg natrijuma po </w:t>
      </w:r>
      <w:r w:rsidR="008D20F6" w:rsidRPr="00DE7B81">
        <w:rPr>
          <w:sz w:val="22"/>
          <w:szCs w:val="22"/>
          <w:lang w:val="sr-Latn-ME"/>
        </w:rPr>
        <w:t xml:space="preserve">gramu cefazolina </w:t>
      </w:r>
      <w:r w:rsidRPr="00DE7B81">
        <w:rPr>
          <w:sz w:val="22"/>
          <w:szCs w:val="22"/>
          <w:lang w:val="sr-Latn-ME"/>
        </w:rPr>
        <w:t>(bočica od 1 g)</w:t>
      </w:r>
      <w:r w:rsidR="002D0046" w:rsidRPr="00DE7B81">
        <w:rPr>
          <w:sz w:val="22"/>
          <w:szCs w:val="22"/>
          <w:lang w:val="sr-Latn-ME"/>
        </w:rPr>
        <w:t xml:space="preserve">, </w:t>
      </w:r>
      <w:r w:rsidR="00D03426" w:rsidRPr="00DE7B81">
        <w:rPr>
          <w:sz w:val="22"/>
          <w:szCs w:val="22"/>
          <w:lang w:val="sr-Latn-ME"/>
        </w:rPr>
        <w:t>što odgovara 2,53 % maksimalnog dnevnog unosa od 2 g natrijuma prema preporukama SZO za odraslu osobu.</w:t>
      </w:r>
    </w:p>
    <w:p w14:paraId="5DE5413A" w14:textId="77777777" w:rsidR="00411B4B" w:rsidRPr="00DE7B8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lastRenderedPageBreak/>
        <w:t>4.5.</w:t>
      </w:r>
      <w:r w:rsidR="000D60CC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5DE5413B" w14:textId="059E5CAE" w:rsidR="0072020E" w:rsidRPr="00DE7B8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C97D1CB" w14:textId="337F511E" w:rsidR="006C2674" w:rsidRPr="00DE7B81" w:rsidRDefault="006C2674" w:rsidP="006C2674">
      <w:pPr>
        <w:tabs>
          <w:tab w:val="left" w:pos="284"/>
        </w:tabs>
        <w:jc w:val="both"/>
        <w:rPr>
          <w:b/>
          <w:bCs/>
          <w:i/>
          <w:iCs/>
          <w:sz w:val="22"/>
          <w:szCs w:val="22"/>
          <w:lang w:val="sr-Latn-ME"/>
        </w:rPr>
      </w:pPr>
      <w:r w:rsidRPr="00DE7B81">
        <w:rPr>
          <w:b/>
          <w:bCs/>
          <w:i/>
          <w:iCs/>
          <w:sz w:val="22"/>
          <w:szCs w:val="22"/>
          <w:lang w:val="sr-Latn-ME"/>
        </w:rPr>
        <w:t>Kontraindikovana istovr</w:t>
      </w:r>
      <w:r w:rsidR="00F47968" w:rsidRPr="00DE7B81">
        <w:rPr>
          <w:b/>
          <w:bCs/>
          <w:i/>
          <w:iCs/>
          <w:sz w:val="22"/>
          <w:szCs w:val="22"/>
          <w:lang w:val="sr-Latn-ME"/>
        </w:rPr>
        <w:t>ij</w:t>
      </w:r>
      <w:r w:rsidRPr="00DE7B81">
        <w:rPr>
          <w:b/>
          <w:bCs/>
          <w:i/>
          <w:iCs/>
          <w:sz w:val="22"/>
          <w:szCs w:val="22"/>
          <w:lang w:val="sr-Latn-ME"/>
        </w:rPr>
        <w:t>emena prim</w:t>
      </w:r>
      <w:r w:rsidR="00F47968" w:rsidRPr="00DE7B81">
        <w:rPr>
          <w:b/>
          <w:bCs/>
          <w:i/>
          <w:iCs/>
          <w:sz w:val="22"/>
          <w:szCs w:val="22"/>
          <w:lang w:val="sr-Latn-ME"/>
        </w:rPr>
        <w:t>j</w:t>
      </w:r>
      <w:r w:rsidRPr="00DE7B81">
        <w:rPr>
          <w:b/>
          <w:bCs/>
          <w:i/>
          <w:iCs/>
          <w:sz w:val="22"/>
          <w:szCs w:val="22"/>
          <w:lang w:val="sr-Latn-ME"/>
        </w:rPr>
        <w:t>ena</w:t>
      </w:r>
    </w:p>
    <w:p w14:paraId="5C79C033" w14:textId="436C5D11" w:rsidR="006C2674" w:rsidRPr="00DE7B81" w:rsidRDefault="006C2674" w:rsidP="008C45C6">
      <w:pPr>
        <w:jc w:val="both"/>
        <w:rPr>
          <w:i/>
          <w:iCs/>
          <w:sz w:val="22"/>
          <w:szCs w:val="22"/>
          <w:lang w:val="sr-Latn-ME"/>
        </w:rPr>
      </w:pPr>
      <w:r w:rsidRPr="00DE7B81">
        <w:rPr>
          <w:i/>
          <w:iCs/>
          <w:sz w:val="22"/>
          <w:szCs w:val="22"/>
          <w:lang w:val="sr-Latn-ME"/>
        </w:rPr>
        <w:t>Antibiotici</w:t>
      </w:r>
    </w:p>
    <w:p w14:paraId="3ADDABFB" w14:textId="56F22046" w:rsidR="008C45C6" w:rsidRPr="00DE7B81" w:rsidRDefault="008C45C6" w:rsidP="008C45C6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 xml:space="preserve">Cefazolin </w:t>
      </w:r>
      <w:r w:rsidR="006C2674" w:rsidRPr="00DE7B81">
        <w:rPr>
          <w:sz w:val="22"/>
          <w:szCs w:val="22"/>
          <w:lang w:val="sr-Latn-ME"/>
        </w:rPr>
        <w:t>se ne smije primjenjivati</w:t>
      </w:r>
      <w:r w:rsidRPr="00DE7B81">
        <w:rPr>
          <w:sz w:val="22"/>
          <w:szCs w:val="22"/>
          <w:lang w:val="sr-Latn-ME"/>
        </w:rPr>
        <w:t xml:space="preserve"> istovrijemeno sa bakteriostatskim antibioticima (kao što su tetraciklini,</w:t>
      </w:r>
      <w:r w:rsidR="006C2674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sulfonamidi, eritromicin, hloramfenikol)</w:t>
      </w:r>
      <w:r w:rsidR="006C2674" w:rsidRPr="00DE7B81">
        <w:rPr>
          <w:sz w:val="22"/>
          <w:szCs w:val="22"/>
          <w:lang w:val="sr-Latn-ME"/>
        </w:rPr>
        <w:t xml:space="preserve">, jer je u </w:t>
      </w:r>
      <w:r w:rsidR="006C2674" w:rsidRPr="00DE7B81">
        <w:rPr>
          <w:i/>
          <w:iCs/>
          <w:sz w:val="22"/>
          <w:szCs w:val="22"/>
          <w:lang w:val="sr-Latn-ME"/>
        </w:rPr>
        <w:t>in vitro</w:t>
      </w:r>
      <w:r w:rsidR="006C2674" w:rsidRPr="00DE7B81">
        <w:rPr>
          <w:sz w:val="22"/>
          <w:szCs w:val="22"/>
          <w:lang w:val="sr-Latn-ME"/>
        </w:rPr>
        <w:t xml:space="preserve"> ispitivanjima</w:t>
      </w:r>
      <w:r w:rsidR="000678EB" w:rsidRPr="00DE7B81">
        <w:rPr>
          <w:sz w:val="22"/>
          <w:szCs w:val="22"/>
          <w:lang w:val="sr-Latn-ME"/>
        </w:rPr>
        <w:t xml:space="preserve"> uočeno </w:t>
      </w:r>
      <w:r w:rsidRPr="00DE7B81">
        <w:rPr>
          <w:sz w:val="22"/>
          <w:szCs w:val="22"/>
          <w:lang w:val="sr-Latn-ME"/>
        </w:rPr>
        <w:t xml:space="preserve"> antagonističko </w:t>
      </w:r>
      <w:r w:rsidR="000678EB" w:rsidRPr="00DE7B81">
        <w:rPr>
          <w:sz w:val="22"/>
          <w:szCs w:val="22"/>
          <w:lang w:val="sr-Latn-ME"/>
        </w:rPr>
        <w:t>djelovanje</w:t>
      </w:r>
      <w:r w:rsidRPr="00DE7B81">
        <w:rPr>
          <w:sz w:val="22"/>
          <w:szCs w:val="22"/>
          <w:lang w:val="sr-Latn-ME"/>
        </w:rPr>
        <w:t>.</w:t>
      </w:r>
    </w:p>
    <w:p w14:paraId="2B550903" w14:textId="77777777" w:rsidR="009163A4" w:rsidRPr="00DE7B81" w:rsidRDefault="009163A4" w:rsidP="008C45C6">
      <w:pPr>
        <w:jc w:val="both"/>
        <w:rPr>
          <w:sz w:val="22"/>
          <w:szCs w:val="22"/>
          <w:lang w:val="sr-Latn-ME"/>
        </w:rPr>
      </w:pPr>
    </w:p>
    <w:p w14:paraId="2EC9376E" w14:textId="62AE764F" w:rsidR="009163A4" w:rsidRPr="00DE7B81" w:rsidRDefault="009163A4" w:rsidP="009163A4">
      <w:pPr>
        <w:tabs>
          <w:tab w:val="left" w:pos="284"/>
        </w:tabs>
        <w:jc w:val="both"/>
        <w:rPr>
          <w:b/>
          <w:bCs/>
          <w:i/>
          <w:iCs/>
          <w:sz w:val="22"/>
          <w:szCs w:val="22"/>
          <w:lang w:val="sr-Latn-ME"/>
        </w:rPr>
      </w:pPr>
      <w:r w:rsidRPr="00DE7B81">
        <w:rPr>
          <w:b/>
          <w:bCs/>
          <w:i/>
          <w:iCs/>
          <w:sz w:val="22"/>
          <w:szCs w:val="22"/>
          <w:lang w:val="sr-Latn-ME"/>
        </w:rPr>
        <w:t>Istovr</w:t>
      </w:r>
      <w:r w:rsidR="0095476C" w:rsidRPr="00DE7B81">
        <w:rPr>
          <w:b/>
          <w:bCs/>
          <w:i/>
          <w:iCs/>
          <w:sz w:val="22"/>
          <w:szCs w:val="22"/>
          <w:lang w:val="sr-Latn-ME"/>
        </w:rPr>
        <w:t>ij</w:t>
      </w:r>
      <w:r w:rsidRPr="00DE7B81">
        <w:rPr>
          <w:b/>
          <w:bCs/>
          <w:i/>
          <w:iCs/>
          <w:sz w:val="22"/>
          <w:szCs w:val="22"/>
          <w:lang w:val="sr-Latn-ME"/>
        </w:rPr>
        <w:t>emena primjena se ne preporučuje</w:t>
      </w:r>
    </w:p>
    <w:p w14:paraId="38112CBC" w14:textId="77777777" w:rsidR="00A76BF5" w:rsidRPr="00DE7B81" w:rsidRDefault="00A76BF5" w:rsidP="00A76BF5">
      <w:pPr>
        <w:jc w:val="both"/>
        <w:rPr>
          <w:i/>
          <w:sz w:val="22"/>
          <w:szCs w:val="22"/>
          <w:lang w:val="sr-Latn-ME"/>
        </w:rPr>
      </w:pPr>
      <w:r w:rsidRPr="00DE7B81">
        <w:rPr>
          <w:i/>
          <w:sz w:val="22"/>
          <w:szCs w:val="22"/>
          <w:lang w:val="sr-Latn-ME"/>
        </w:rPr>
        <w:t>Probenecid</w:t>
      </w:r>
    </w:p>
    <w:p w14:paraId="05EDF3FA" w14:textId="202A3984" w:rsidR="00A76BF5" w:rsidRPr="00DE7B81" w:rsidRDefault="00A76BF5" w:rsidP="00A76BF5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Pri istovremenoj primjeni sa probenecidom smanjuje se renalni klirens cefazolina.</w:t>
      </w:r>
    </w:p>
    <w:p w14:paraId="452FEBBB" w14:textId="77777777" w:rsidR="009163A4" w:rsidRPr="00DE7B81" w:rsidRDefault="009163A4" w:rsidP="008C45C6">
      <w:pPr>
        <w:jc w:val="both"/>
        <w:rPr>
          <w:sz w:val="22"/>
          <w:szCs w:val="22"/>
          <w:lang w:val="sr-Latn-ME"/>
        </w:rPr>
      </w:pPr>
    </w:p>
    <w:p w14:paraId="0C95EE36" w14:textId="6A45FBEE" w:rsidR="00EC3EA9" w:rsidRPr="00DE7B81" w:rsidRDefault="00EC3EA9" w:rsidP="00EC3EA9">
      <w:pPr>
        <w:tabs>
          <w:tab w:val="left" w:pos="284"/>
        </w:tabs>
        <w:jc w:val="both"/>
        <w:rPr>
          <w:b/>
          <w:bCs/>
          <w:i/>
          <w:sz w:val="22"/>
          <w:szCs w:val="22"/>
          <w:lang w:val="sr-Latn-ME"/>
        </w:rPr>
      </w:pPr>
      <w:r w:rsidRPr="00DE7B81">
        <w:rPr>
          <w:b/>
          <w:bCs/>
          <w:i/>
          <w:sz w:val="22"/>
          <w:szCs w:val="22"/>
          <w:lang w:val="sr-Latn-ME"/>
        </w:rPr>
        <w:t>Istovr</w:t>
      </w:r>
      <w:r w:rsidR="006350AA" w:rsidRPr="00DE7B81">
        <w:rPr>
          <w:b/>
          <w:bCs/>
          <w:i/>
          <w:sz w:val="22"/>
          <w:szCs w:val="22"/>
          <w:lang w:val="sr-Latn-ME"/>
        </w:rPr>
        <w:t>ij</w:t>
      </w:r>
      <w:r w:rsidRPr="00DE7B81">
        <w:rPr>
          <w:b/>
          <w:bCs/>
          <w:i/>
          <w:sz w:val="22"/>
          <w:szCs w:val="22"/>
          <w:lang w:val="sr-Latn-ME"/>
        </w:rPr>
        <w:t>emena prim</w:t>
      </w:r>
      <w:r w:rsidR="006350AA" w:rsidRPr="00DE7B81">
        <w:rPr>
          <w:b/>
          <w:bCs/>
          <w:i/>
          <w:sz w:val="22"/>
          <w:szCs w:val="22"/>
          <w:lang w:val="sr-Latn-ME"/>
        </w:rPr>
        <w:t>j</w:t>
      </w:r>
      <w:r w:rsidRPr="00DE7B81">
        <w:rPr>
          <w:b/>
          <w:bCs/>
          <w:i/>
          <w:sz w:val="22"/>
          <w:szCs w:val="22"/>
          <w:lang w:val="sr-Latn-ME"/>
        </w:rPr>
        <w:t>ena uz m</w:t>
      </w:r>
      <w:r w:rsidR="006350AA" w:rsidRPr="00DE7B81">
        <w:rPr>
          <w:b/>
          <w:bCs/>
          <w:i/>
          <w:sz w:val="22"/>
          <w:szCs w:val="22"/>
          <w:lang w:val="sr-Latn-ME"/>
        </w:rPr>
        <w:t>j</w:t>
      </w:r>
      <w:r w:rsidRPr="00DE7B81">
        <w:rPr>
          <w:b/>
          <w:bCs/>
          <w:i/>
          <w:sz w:val="22"/>
          <w:szCs w:val="22"/>
          <w:lang w:val="sr-Latn-ME"/>
        </w:rPr>
        <w:t>ere opreza</w:t>
      </w:r>
    </w:p>
    <w:p w14:paraId="6FD2A4C7" w14:textId="77777777" w:rsidR="008C45C6" w:rsidRPr="00DE7B81" w:rsidRDefault="008C45C6" w:rsidP="008C45C6">
      <w:pPr>
        <w:jc w:val="both"/>
        <w:rPr>
          <w:i/>
          <w:sz w:val="22"/>
          <w:szCs w:val="22"/>
          <w:lang w:val="sr-Latn-ME"/>
        </w:rPr>
      </w:pPr>
      <w:r w:rsidRPr="00DE7B81">
        <w:rPr>
          <w:i/>
          <w:sz w:val="22"/>
          <w:szCs w:val="22"/>
          <w:lang w:val="sr-Latn-ME"/>
        </w:rPr>
        <w:t>Antikoagulansi</w:t>
      </w:r>
    </w:p>
    <w:p w14:paraId="7F085F26" w14:textId="5C37AC1F" w:rsidR="008C45C6" w:rsidRPr="00DE7B81" w:rsidRDefault="00EC3EA9" w:rsidP="008C45C6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U veoma rijetkim slučajevima, c</w:t>
      </w:r>
      <w:r w:rsidR="008C45C6" w:rsidRPr="00DE7B81">
        <w:rPr>
          <w:sz w:val="22"/>
          <w:szCs w:val="22"/>
          <w:lang w:val="sr-Latn-ME"/>
        </w:rPr>
        <w:t>efa</w:t>
      </w:r>
      <w:r w:rsidRPr="00DE7B81">
        <w:rPr>
          <w:sz w:val="22"/>
          <w:szCs w:val="22"/>
          <w:lang w:val="sr-Latn-ME"/>
        </w:rPr>
        <w:t>losporini mogu</w:t>
      </w:r>
      <w:r w:rsidR="00D16A44" w:rsidRPr="00DE7B81">
        <w:rPr>
          <w:sz w:val="22"/>
          <w:szCs w:val="22"/>
          <w:lang w:val="sr-Latn-ME"/>
        </w:rPr>
        <w:t xml:space="preserve"> izazvati </w:t>
      </w:r>
      <w:r w:rsidR="008C45C6" w:rsidRPr="00DE7B81">
        <w:rPr>
          <w:sz w:val="22"/>
          <w:szCs w:val="22"/>
          <w:lang w:val="sr-Latn-ME"/>
        </w:rPr>
        <w:t>poremećaj</w:t>
      </w:r>
      <w:r w:rsidR="00D16A44" w:rsidRPr="00DE7B81">
        <w:rPr>
          <w:sz w:val="22"/>
          <w:szCs w:val="22"/>
          <w:lang w:val="sr-Latn-ME"/>
        </w:rPr>
        <w:t>e</w:t>
      </w:r>
      <w:r w:rsidR="008C45C6" w:rsidRPr="00DE7B81">
        <w:rPr>
          <w:sz w:val="22"/>
          <w:szCs w:val="22"/>
          <w:lang w:val="sr-Latn-ME"/>
        </w:rPr>
        <w:t xml:space="preserve"> koagulacij</w:t>
      </w:r>
      <w:r w:rsidR="00D16A44" w:rsidRPr="00DE7B81">
        <w:rPr>
          <w:sz w:val="22"/>
          <w:szCs w:val="22"/>
          <w:lang w:val="sr-Latn-ME"/>
        </w:rPr>
        <w:t>e</w:t>
      </w:r>
      <w:r w:rsidR="008C45C6" w:rsidRPr="00DE7B81">
        <w:rPr>
          <w:sz w:val="22"/>
          <w:szCs w:val="22"/>
          <w:lang w:val="sr-Latn-ME"/>
        </w:rPr>
        <w:t xml:space="preserve"> krvi</w:t>
      </w:r>
      <w:r w:rsidR="00D16A44" w:rsidRPr="00DE7B81">
        <w:rPr>
          <w:sz w:val="22"/>
          <w:szCs w:val="22"/>
          <w:lang w:val="sr-Latn-ME"/>
        </w:rPr>
        <w:t xml:space="preserve"> (vidjeti dio 4.4)</w:t>
      </w:r>
      <w:r w:rsidR="008C45C6" w:rsidRPr="00DE7B81">
        <w:rPr>
          <w:sz w:val="22"/>
          <w:szCs w:val="22"/>
          <w:lang w:val="sr-Latn-ME"/>
        </w:rPr>
        <w:t xml:space="preserve">. </w:t>
      </w:r>
      <w:r w:rsidR="00D16A44" w:rsidRPr="00DE7B81">
        <w:rPr>
          <w:sz w:val="22"/>
          <w:szCs w:val="22"/>
          <w:lang w:val="sr-Latn-ME"/>
        </w:rPr>
        <w:t>Praćenje parametara koagulacije je neophodno ukoliko se istovr</w:t>
      </w:r>
      <w:r w:rsidR="00FE5EDA" w:rsidRPr="00DE7B81">
        <w:rPr>
          <w:sz w:val="22"/>
          <w:szCs w:val="22"/>
          <w:lang w:val="sr-Latn-ME"/>
        </w:rPr>
        <w:t>ij</w:t>
      </w:r>
      <w:r w:rsidR="00D16A44" w:rsidRPr="00DE7B81">
        <w:rPr>
          <w:sz w:val="22"/>
          <w:szCs w:val="22"/>
          <w:lang w:val="sr-Latn-ME"/>
        </w:rPr>
        <w:t>emeno</w:t>
      </w:r>
      <w:r w:rsidR="00F90807" w:rsidRPr="00DE7B81">
        <w:rPr>
          <w:sz w:val="22"/>
          <w:szCs w:val="22"/>
          <w:lang w:val="sr-Latn-ME"/>
        </w:rPr>
        <w:t xml:space="preserve"> primjenjuju</w:t>
      </w:r>
      <w:r w:rsidR="008C45C6" w:rsidRPr="00DE7B81">
        <w:rPr>
          <w:sz w:val="22"/>
          <w:szCs w:val="22"/>
          <w:lang w:val="sr-Latn-ME"/>
        </w:rPr>
        <w:t xml:space="preserve"> oralni antikoagulansi</w:t>
      </w:r>
      <w:r w:rsidR="0081732C" w:rsidRPr="00DE7B81">
        <w:rPr>
          <w:sz w:val="22"/>
          <w:szCs w:val="22"/>
          <w:lang w:val="sr-Latn-ME"/>
        </w:rPr>
        <w:t xml:space="preserve"> ili heparin u velikim dozama</w:t>
      </w:r>
      <w:r w:rsidR="008C45C6" w:rsidRPr="00DE7B81">
        <w:rPr>
          <w:sz w:val="22"/>
          <w:szCs w:val="22"/>
          <w:lang w:val="sr-Latn-ME"/>
        </w:rPr>
        <w:t>.</w:t>
      </w:r>
    </w:p>
    <w:p w14:paraId="16D03D30" w14:textId="77777777" w:rsidR="008C45C6" w:rsidRPr="00DE7B81" w:rsidRDefault="008C45C6" w:rsidP="008C45C6">
      <w:pPr>
        <w:jc w:val="both"/>
        <w:rPr>
          <w:sz w:val="22"/>
          <w:szCs w:val="22"/>
          <w:lang w:val="sr-Latn-ME"/>
        </w:rPr>
      </w:pPr>
    </w:p>
    <w:p w14:paraId="4DC81136" w14:textId="5ED31147" w:rsidR="008C45C6" w:rsidRPr="00DE7B81" w:rsidRDefault="0081732C" w:rsidP="008C45C6">
      <w:pPr>
        <w:jc w:val="both"/>
        <w:rPr>
          <w:i/>
          <w:sz w:val="22"/>
          <w:szCs w:val="22"/>
          <w:lang w:val="sr-Latn-ME"/>
        </w:rPr>
      </w:pPr>
      <w:r w:rsidRPr="00DE7B81">
        <w:rPr>
          <w:i/>
          <w:sz w:val="22"/>
          <w:szCs w:val="22"/>
          <w:lang w:val="sr-Latn-ME"/>
        </w:rPr>
        <w:t>Nefrotoksične supstance</w:t>
      </w:r>
    </w:p>
    <w:p w14:paraId="0F4915FE" w14:textId="415115F2" w:rsidR="008C45C6" w:rsidRPr="00DE7B81" w:rsidRDefault="008C45C6" w:rsidP="008C45C6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 xml:space="preserve">Ne </w:t>
      </w:r>
      <w:r w:rsidR="0081732C" w:rsidRPr="00DE7B81">
        <w:rPr>
          <w:sz w:val="22"/>
          <w:szCs w:val="22"/>
          <w:lang w:val="sr-Latn-ME"/>
        </w:rPr>
        <w:t xml:space="preserve">može se </w:t>
      </w:r>
      <w:r w:rsidRPr="00DE7B81">
        <w:rPr>
          <w:sz w:val="22"/>
          <w:szCs w:val="22"/>
          <w:lang w:val="sr-Latn-ME"/>
        </w:rPr>
        <w:t>isključ</w:t>
      </w:r>
      <w:r w:rsidR="0081732C" w:rsidRPr="00DE7B81">
        <w:rPr>
          <w:sz w:val="22"/>
          <w:szCs w:val="22"/>
          <w:lang w:val="sr-Latn-ME"/>
        </w:rPr>
        <w:t>iti</w:t>
      </w:r>
      <w:r w:rsidRPr="00DE7B81">
        <w:rPr>
          <w:sz w:val="22"/>
          <w:szCs w:val="22"/>
          <w:lang w:val="sr-Latn-ME"/>
        </w:rPr>
        <w:t xml:space="preserve"> da cefazolin pojačava nefrotoksično dejstvo </w:t>
      </w:r>
      <w:r w:rsidR="0081732C" w:rsidRPr="00DE7B81">
        <w:rPr>
          <w:sz w:val="22"/>
          <w:szCs w:val="22"/>
          <w:lang w:val="sr-Latn-ME"/>
        </w:rPr>
        <w:t xml:space="preserve">antibiotika (npr. </w:t>
      </w:r>
      <w:r w:rsidRPr="00DE7B81">
        <w:rPr>
          <w:sz w:val="22"/>
          <w:szCs w:val="22"/>
          <w:lang w:val="sr-Latn-ME"/>
        </w:rPr>
        <w:t>aminoglikozida</w:t>
      </w:r>
      <w:r w:rsidR="0081732C" w:rsidRPr="00DE7B81">
        <w:rPr>
          <w:sz w:val="22"/>
          <w:szCs w:val="22"/>
          <w:lang w:val="sr-Latn-ME"/>
        </w:rPr>
        <w:t>, kolistina, polimiksina B)</w:t>
      </w:r>
      <w:r w:rsidRPr="00DE7B81">
        <w:rPr>
          <w:sz w:val="22"/>
          <w:szCs w:val="22"/>
          <w:lang w:val="sr-Latn-ME"/>
        </w:rPr>
        <w:t xml:space="preserve"> i diuretika (npr. furosemida). </w:t>
      </w:r>
      <w:r w:rsidR="0081732C" w:rsidRPr="00DE7B81">
        <w:rPr>
          <w:sz w:val="22"/>
          <w:szCs w:val="22"/>
          <w:lang w:val="sr-Latn-ME"/>
        </w:rPr>
        <w:t>Pri istovr</w:t>
      </w:r>
      <w:r w:rsidR="00FE5EDA" w:rsidRPr="00DE7B81">
        <w:rPr>
          <w:sz w:val="22"/>
          <w:szCs w:val="22"/>
          <w:lang w:val="sr-Latn-ME"/>
        </w:rPr>
        <w:t>ij</w:t>
      </w:r>
      <w:r w:rsidR="0081732C" w:rsidRPr="00DE7B81">
        <w:rPr>
          <w:sz w:val="22"/>
          <w:szCs w:val="22"/>
          <w:lang w:val="sr-Latn-ME"/>
        </w:rPr>
        <w:t>emenoj prim</w:t>
      </w:r>
      <w:r w:rsidR="0090642F" w:rsidRPr="00DE7B81">
        <w:rPr>
          <w:sz w:val="22"/>
          <w:szCs w:val="22"/>
          <w:lang w:val="sr-Latn-ME"/>
        </w:rPr>
        <w:t>j</w:t>
      </w:r>
      <w:r w:rsidR="0081732C" w:rsidRPr="00DE7B81">
        <w:rPr>
          <w:sz w:val="22"/>
          <w:szCs w:val="22"/>
          <w:lang w:val="sr-Latn-ME"/>
        </w:rPr>
        <w:t>eni</w:t>
      </w:r>
      <w:r w:rsidR="007740AB" w:rsidRPr="00DE7B81">
        <w:rPr>
          <w:sz w:val="22"/>
          <w:szCs w:val="22"/>
          <w:lang w:val="sr-Latn-ME"/>
        </w:rPr>
        <w:t xml:space="preserve"> sa cefazolinom potrebno je  pažljivo praćenje</w:t>
      </w:r>
      <w:r w:rsidRPr="00DE7B81">
        <w:rPr>
          <w:sz w:val="22"/>
          <w:szCs w:val="22"/>
          <w:lang w:val="sr-Latn-ME"/>
        </w:rPr>
        <w:t xml:space="preserve"> funkcij</w:t>
      </w:r>
      <w:r w:rsidR="007740AB" w:rsidRPr="00DE7B81">
        <w:rPr>
          <w:sz w:val="22"/>
          <w:szCs w:val="22"/>
          <w:lang w:val="sr-Latn-ME"/>
        </w:rPr>
        <w:t>e</w:t>
      </w:r>
      <w:r w:rsidRPr="00DE7B81">
        <w:rPr>
          <w:sz w:val="22"/>
          <w:szCs w:val="22"/>
          <w:lang w:val="sr-Latn-ME"/>
        </w:rPr>
        <w:t xml:space="preserve"> bubrega.</w:t>
      </w:r>
    </w:p>
    <w:p w14:paraId="01DD6ECB" w14:textId="77777777" w:rsidR="008C45C6" w:rsidRPr="00DE7B81" w:rsidRDefault="008C45C6" w:rsidP="008C45C6">
      <w:pPr>
        <w:jc w:val="both"/>
        <w:rPr>
          <w:sz w:val="22"/>
          <w:szCs w:val="22"/>
          <w:lang w:val="sr-Latn-ME"/>
        </w:rPr>
      </w:pPr>
    </w:p>
    <w:p w14:paraId="0F7A4B8D" w14:textId="77777777" w:rsidR="004237F3" w:rsidRPr="00DE7B81" w:rsidRDefault="004237F3" w:rsidP="004237F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DE7B81">
        <w:rPr>
          <w:i/>
          <w:sz w:val="22"/>
          <w:szCs w:val="22"/>
          <w:lang w:val="sr-Latn-ME"/>
        </w:rPr>
        <w:t>Vitamin K1</w:t>
      </w:r>
    </w:p>
    <w:p w14:paraId="03193272" w14:textId="0D0C009B" w:rsidR="004237F3" w:rsidRPr="00DE7B81" w:rsidRDefault="004237F3" w:rsidP="004237F3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DE7B81">
        <w:rPr>
          <w:iCs/>
          <w:sz w:val="22"/>
          <w:szCs w:val="22"/>
          <w:lang w:val="sr-Latn-ME"/>
        </w:rPr>
        <w:t>Neki cefalosporini, kao što su cefamandol, cefazolin i cefotetan, mogu da utiču na metabolizam vitamina K1, posebno u slučajevima nedostatka ovog vitamina. Zbog toga može biti potrebno uvođenje terapije vitaminom K1.</w:t>
      </w:r>
    </w:p>
    <w:p w14:paraId="27562F51" w14:textId="77777777" w:rsidR="008C45C6" w:rsidRPr="00DE7B81" w:rsidRDefault="008C45C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E5413C" w14:textId="77777777" w:rsidR="0072020E" w:rsidRPr="00DE7B81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 xml:space="preserve">4.6.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="006D20A5" w:rsidRPr="00DE7B81">
        <w:rPr>
          <w:b/>
          <w:sz w:val="22"/>
          <w:szCs w:val="22"/>
          <w:lang w:val="sr-Latn-ME"/>
        </w:rPr>
        <w:t>Plodnost, trudnoća i dojenje</w:t>
      </w:r>
    </w:p>
    <w:p w14:paraId="5DE5413D" w14:textId="77777777" w:rsidR="002031B3" w:rsidRPr="00DE7B81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5DE54140" w14:textId="77777777" w:rsidR="007A3ECB" w:rsidRPr="00DE7B81" w:rsidRDefault="007A3ECB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DE7B81">
        <w:rPr>
          <w:sz w:val="22"/>
          <w:szCs w:val="22"/>
          <w:u w:val="single"/>
          <w:lang w:val="sr-Latn-ME"/>
        </w:rPr>
        <w:t>Trudnoća</w:t>
      </w:r>
    </w:p>
    <w:p w14:paraId="5EB52CC0" w14:textId="2E363058" w:rsidR="00682D27" w:rsidRPr="00DE7B81" w:rsidRDefault="00786FD8" w:rsidP="00682D27">
      <w:pPr>
        <w:tabs>
          <w:tab w:val="left" w:pos="708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Nema dovoljno iskustva o primjeni cefazolina kod trudnica. Zbog toga c</w:t>
      </w:r>
      <w:r w:rsidR="00682D27" w:rsidRPr="00DE7B81">
        <w:rPr>
          <w:sz w:val="22"/>
          <w:szCs w:val="22"/>
          <w:lang w:val="sr-Latn-ME"/>
        </w:rPr>
        <w:t xml:space="preserve">efazolin </w:t>
      </w:r>
      <w:r w:rsidRPr="00DE7B81">
        <w:rPr>
          <w:sz w:val="22"/>
          <w:szCs w:val="22"/>
          <w:lang w:val="sr-Latn-ME"/>
        </w:rPr>
        <w:t>treba primjenjivati tokom</w:t>
      </w:r>
      <w:r w:rsidR="00682D27" w:rsidRPr="00DE7B81">
        <w:rPr>
          <w:sz w:val="22"/>
          <w:szCs w:val="22"/>
          <w:lang w:val="sr-Latn-ME"/>
        </w:rPr>
        <w:t xml:space="preserve"> trudnoć</w:t>
      </w:r>
      <w:r w:rsidRPr="00DE7B81">
        <w:rPr>
          <w:sz w:val="22"/>
          <w:szCs w:val="22"/>
          <w:lang w:val="sr-Latn-ME"/>
        </w:rPr>
        <w:t xml:space="preserve">e </w:t>
      </w:r>
      <w:r w:rsidR="001D3139" w:rsidRPr="00DE7B81">
        <w:rPr>
          <w:sz w:val="22"/>
          <w:szCs w:val="22"/>
          <w:lang w:val="sr-Latn-ME"/>
        </w:rPr>
        <w:t>samo</w:t>
      </w:r>
      <w:r w:rsidR="00682D27" w:rsidRPr="00DE7B81">
        <w:rPr>
          <w:sz w:val="22"/>
          <w:szCs w:val="22"/>
          <w:lang w:val="sr-Latn-ME"/>
        </w:rPr>
        <w:t xml:space="preserve"> nakon pažljive procjene </w:t>
      </w:r>
      <w:r w:rsidR="001D3139" w:rsidRPr="00DE7B81">
        <w:rPr>
          <w:sz w:val="22"/>
          <w:szCs w:val="22"/>
          <w:lang w:val="sr-Latn-ME"/>
        </w:rPr>
        <w:t xml:space="preserve">odnosa </w:t>
      </w:r>
      <w:r w:rsidR="00682D27" w:rsidRPr="00DE7B81">
        <w:rPr>
          <w:sz w:val="22"/>
          <w:szCs w:val="22"/>
          <w:lang w:val="sr-Latn-ME"/>
        </w:rPr>
        <w:t xml:space="preserve">koristi </w:t>
      </w:r>
      <w:r w:rsidR="001D3139" w:rsidRPr="00DE7B81">
        <w:rPr>
          <w:sz w:val="22"/>
          <w:szCs w:val="22"/>
          <w:lang w:val="sr-Latn-ME"/>
        </w:rPr>
        <w:t xml:space="preserve">i </w:t>
      </w:r>
      <w:r w:rsidR="00682D27" w:rsidRPr="00DE7B81">
        <w:rPr>
          <w:sz w:val="22"/>
          <w:szCs w:val="22"/>
          <w:lang w:val="sr-Latn-ME"/>
        </w:rPr>
        <w:t>rizik</w:t>
      </w:r>
      <w:r w:rsidR="001D3139" w:rsidRPr="00DE7B81">
        <w:rPr>
          <w:sz w:val="22"/>
          <w:szCs w:val="22"/>
          <w:lang w:val="sr-Latn-ME"/>
        </w:rPr>
        <w:t>a.</w:t>
      </w:r>
      <w:r w:rsidR="00682D27" w:rsidRPr="00DE7B81">
        <w:rPr>
          <w:sz w:val="22"/>
          <w:szCs w:val="22"/>
          <w:lang w:val="sr-Latn-ME"/>
        </w:rPr>
        <w:t xml:space="preserve"> </w:t>
      </w:r>
      <w:r w:rsidR="001D3139" w:rsidRPr="00DE7B81">
        <w:rPr>
          <w:sz w:val="22"/>
          <w:szCs w:val="22"/>
          <w:lang w:val="sr-Latn-ME"/>
        </w:rPr>
        <w:t>Ovo se posebno odnosi na prvi trimestar.</w:t>
      </w:r>
    </w:p>
    <w:p w14:paraId="5DE54141" w14:textId="77777777" w:rsidR="002031B3" w:rsidRPr="00DE7B81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5DE54142" w14:textId="77777777" w:rsidR="0072020E" w:rsidRPr="00DE7B81" w:rsidRDefault="007A3EC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E7B81">
        <w:rPr>
          <w:sz w:val="22"/>
          <w:szCs w:val="22"/>
          <w:u w:val="single"/>
          <w:lang w:val="sr-Latn-ME"/>
        </w:rPr>
        <w:t xml:space="preserve">Dojenje </w:t>
      </w:r>
    </w:p>
    <w:p w14:paraId="3222EC41" w14:textId="30CCCC89" w:rsidR="00435C0A" w:rsidRPr="00DE7B81" w:rsidRDefault="00435C0A" w:rsidP="00435C0A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 xml:space="preserve">Cefazolin </w:t>
      </w:r>
      <w:r w:rsidR="001D3139" w:rsidRPr="00DE7B81">
        <w:rPr>
          <w:sz w:val="22"/>
          <w:szCs w:val="22"/>
          <w:lang w:val="sr-Latn-ME"/>
        </w:rPr>
        <w:t xml:space="preserve">se </w:t>
      </w:r>
      <w:r w:rsidRPr="00DE7B81">
        <w:rPr>
          <w:sz w:val="22"/>
          <w:szCs w:val="22"/>
          <w:lang w:val="sr-Latn-ME"/>
        </w:rPr>
        <w:t xml:space="preserve">u malim </w:t>
      </w:r>
      <w:r w:rsidR="001D3139" w:rsidRPr="00DE7B81">
        <w:rPr>
          <w:sz w:val="22"/>
          <w:szCs w:val="22"/>
          <w:lang w:val="sr-Latn-ME"/>
        </w:rPr>
        <w:t>količinama</w:t>
      </w:r>
      <w:r w:rsidRPr="00DE7B81">
        <w:rPr>
          <w:sz w:val="22"/>
          <w:szCs w:val="22"/>
          <w:lang w:val="sr-Latn-ME"/>
        </w:rPr>
        <w:t xml:space="preserve"> </w:t>
      </w:r>
      <w:r w:rsidR="001D3139" w:rsidRPr="00DE7B81">
        <w:rPr>
          <w:sz w:val="22"/>
          <w:szCs w:val="22"/>
          <w:lang w:val="sr-Latn-ME"/>
        </w:rPr>
        <w:t xml:space="preserve">izlučuje u majčino </w:t>
      </w:r>
      <w:r w:rsidRPr="00DE7B81">
        <w:rPr>
          <w:sz w:val="22"/>
          <w:szCs w:val="22"/>
          <w:lang w:val="sr-Latn-ME"/>
        </w:rPr>
        <w:t>mlijeko</w:t>
      </w:r>
      <w:r w:rsidR="001D3139" w:rsidRPr="00DE7B81">
        <w:rPr>
          <w:sz w:val="22"/>
          <w:szCs w:val="22"/>
          <w:lang w:val="sr-Latn-ME"/>
        </w:rPr>
        <w:t>.</w:t>
      </w:r>
      <w:r w:rsidRPr="00DE7B81">
        <w:rPr>
          <w:sz w:val="22"/>
          <w:szCs w:val="22"/>
          <w:lang w:val="sr-Latn-ME"/>
        </w:rPr>
        <w:t xml:space="preserve"> </w:t>
      </w:r>
      <w:r w:rsidR="001D3139" w:rsidRPr="00DE7B81">
        <w:rPr>
          <w:sz w:val="22"/>
          <w:szCs w:val="22"/>
          <w:lang w:val="sr-Latn-ME"/>
        </w:rPr>
        <w:t>Kod dojene djece čije su majke na terapiji ovim lijekom može doći do senzi</w:t>
      </w:r>
      <w:r w:rsidR="00752360" w:rsidRPr="00DE7B81">
        <w:rPr>
          <w:sz w:val="22"/>
          <w:szCs w:val="22"/>
          <w:lang w:val="sr-Latn-ME"/>
        </w:rPr>
        <w:t>bilizacije,</w:t>
      </w:r>
      <w:r w:rsidRPr="00DE7B81">
        <w:rPr>
          <w:sz w:val="22"/>
          <w:szCs w:val="22"/>
          <w:lang w:val="sr-Latn-ME"/>
        </w:rPr>
        <w:t xml:space="preserve"> </w:t>
      </w:r>
      <w:r w:rsidR="00752360" w:rsidRPr="00DE7B81">
        <w:rPr>
          <w:sz w:val="22"/>
          <w:szCs w:val="22"/>
          <w:lang w:val="sr-Latn-ME"/>
        </w:rPr>
        <w:t>promjena u cr</w:t>
      </w:r>
      <w:r w:rsidR="006D42CC" w:rsidRPr="00DE7B81">
        <w:rPr>
          <w:sz w:val="22"/>
          <w:szCs w:val="22"/>
          <w:lang w:val="sr-Latn-ME"/>
        </w:rPr>
        <w:t>ij</w:t>
      </w:r>
      <w:r w:rsidR="00752360" w:rsidRPr="00DE7B81">
        <w:rPr>
          <w:sz w:val="22"/>
          <w:szCs w:val="22"/>
          <w:lang w:val="sr-Latn-ME"/>
        </w:rPr>
        <w:t>evnoj flori kao i infekcije</w:t>
      </w:r>
      <w:r w:rsidRPr="00DE7B81">
        <w:rPr>
          <w:sz w:val="22"/>
          <w:szCs w:val="22"/>
          <w:lang w:val="sr-Latn-ME"/>
        </w:rPr>
        <w:t xml:space="preserve"> gljivica</w:t>
      </w:r>
      <w:r w:rsidR="00752360" w:rsidRPr="00DE7B81">
        <w:rPr>
          <w:sz w:val="22"/>
          <w:szCs w:val="22"/>
          <w:lang w:val="sr-Latn-ME"/>
        </w:rPr>
        <w:t xml:space="preserve">ma roda </w:t>
      </w:r>
      <w:r w:rsidR="00752360" w:rsidRPr="00DE7B81">
        <w:rPr>
          <w:i/>
          <w:iCs/>
          <w:sz w:val="22"/>
          <w:szCs w:val="22"/>
          <w:lang w:val="sr-Latn-ME"/>
        </w:rPr>
        <w:t>Candida</w:t>
      </w:r>
      <w:r w:rsidRPr="00DE7B81">
        <w:rPr>
          <w:sz w:val="22"/>
          <w:szCs w:val="22"/>
          <w:lang w:val="sr-Latn-ME"/>
        </w:rPr>
        <w:t xml:space="preserve">. </w:t>
      </w:r>
      <w:r w:rsidR="00752360" w:rsidRPr="00DE7B81">
        <w:rPr>
          <w:sz w:val="22"/>
          <w:szCs w:val="22"/>
          <w:lang w:val="sr-Latn-ME"/>
        </w:rPr>
        <w:t>U ovakvim slučajevima treba prekinuti dojenje</w:t>
      </w:r>
      <w:r w:rsidRPr="00DE7B81">
        <w:rPr>
          <w:sz w:val="22"/>
          <w:szCs w:val="22"/>
          <w:lang w:val="sr-Latn-ME"/>
        </w:rPr>
        <w:t xml:space="preserve"> tokom terapije </w:t>
      </w:r>
      <w:r w:rsidR="00752360" w:rsidRPr="00DE7B81">
        <w:rPr>
          <w:sz w:val="22"/>
          <w:szCs w:val="22"/>
          <w:lang w:val="sr-Latn-ME"/>
        </w:rPr>
        <w:t>cefazolinom.</w:t>
      </w:r>
    </w:p>
    <w:p w14:paraId="5DE54143" w14:textId="77777777" w:rsidR="00227BDB" w:rsidRPr="00DE7B81" w:rsidRDefault="00227BDB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5DE54144" w14:textId="77777777" w:rsidR="0072020E" w:rsidRPr="00DE7B81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 xml:space="preserve">4.7.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sz w:val="22"/>
          <w:szCs w:val="22"/>
          <w:lang w:val="sr-Latn-ME"/>
        </w:rPr>
        <w:t xml:space="preserve">Uticaj na </w:t>
      </w:r>
      <w:r w:rsidR="002031B3" w:rsidRPr="00DE7B81">
        <w:rPr>
          <w:b/>
          <w:bCs/>
          <w:sz w:val="22"/>
          <w:szCs w:val="22"/>
          <w:lang w:val="sr-Latn-ME"/>
        </w:rPr>
        <w:t xml:space="preserve">sposobnost </w:t>
      </w:r>
      <w:r w:rsidR="00F34554" w:rsidRPr="00DE7B81">
        <w:rPr>
          <w:b/>
          <w:bCs/>
          <w:sz w:val="22"/>
          <w:szCs w:val="22"/>
          <w:lang w:val="sr-Latn-ME"/>
        </w:rPr>
        <w:t>upravljanja vozili</w:t>
      </w:r>
      <w:r w:rsidRPr="00DE7B81">
        <w:rPr>
          <w:b/>
          <w:bCs/>
          <w:sz w:val="22"/>
          <w:szCs w:val="22"/>
          <w:lang w:val="sr-Latn-ME"/>
        </w:rPr>
        <w:t>m</w:t>
      </w:r>
      <w:r w:rsidR="00F34554" w:rsidRPr="00DE7B81">
        <w:rPr>
          <w:b/>
          <w:bCs/>
          <w:sz w:val="22"/>
          <w:szCs w:val="22"/>
          <w:lang w:val="sr-Latn-ME"/>
        </w:rPr>
        <w:t>a</w:t>
      </w:r>
      <w:r w:rsidRPr="00DE7B81">
        <w:rPr>
          <w:b/>
          <w:bCs/>
          <w:sz w:val="22"/>
          <w:szCs w:val="22"/>
          <w:lang w:val="sr-Latn-ME"/>
        </w:rPr>
        <w:t xml:space="preserve"> i </w:t>
      </w:r>
      <w:r w:rsidR="000D3449" w:rsidRPr="00DE7B81">
        <w:rPr>
          <w:b/>
          <w:bCs/>
          <w:sz w:val="22"/>
          <w:szCs w:val="22"/>
          <w:lang w:val="sr-Latn-ME"/>
        </w:rPr>
        <w:t xml:space="preserve">rukovanje </w:t>
      </w:r>
      <w:r w:rsidRPr="00DE7B81">
        <w:rPr>
          <w:b/>
          <w:bCs/>
          <w:sz w:val="22"/>
          <w:szCs w:val="22"/>
          <w:lang w:val="sr-Latn-ME"/>
        </w:rPr>
        <w:t>mašinama</w:t>
      </w:r>
    </w:p>
    <w:p w14:paraId="5DE54145" w14:textId="7EE5D98D" w:rsidR="0072020E" w:rsidRPr="00DE7B8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71AB1E3" w14:textId="175F8940" w:rsidR="00761E90" w:rsidRPr="00DE7B81" w:rsidRDefault="00761E90" w:rsidP="00761E9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Nisu sprovedena ispitivanja uticaja l</w:t>
      </w:r>
      <w:r w:rsidR="008F0C0C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eka na sposobnost upravljanja vozilima i rukovanja mašinama.</w:t>
      </w:r>
    </w:p>
    <w:p w14:paraId="40CA70AC" w14:textId="0924CA85" w:rsidR="00761E90" w:rsidRPr="00DE7B81" w:rsidRDefault="00761E90" w:rsidP="00761E9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Međutim, može doći do pojave neželjenih dejstava (npr. alergijske reakcije, vrtoglavica) koja mogu uticati na sposobnost upravljanja vozilima i rukovanja mašinama (vid</w:t>
      </w:r>
      <w:r w:rsidR="008F0C0C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 xml:space="preserve">eti </w:t>
      </w:r>
      <w:r w:rsidR="008F0C0C" w:rsidRPr="00DE7B81">
        <w:rPr>
          <w:sz w:val="22"/>
          <w:szCs w:val="22"/>
          <w:lang w:val="sr-Latn-ME"/>
        </w:rPr>
        <w:t>dio</w:t>
      </w:r>
      <w:r w:rsidRPr="00DE7B81">
        <w:rPr>
          <w:sz w:val="22"/>
          <w:szCs w:val="22"/>
          <w:lang w:val="sr-Latn-ME"/>
        </w:rPr>
        <w:t xml:space="preserve"> 4.8).</w:t>
      </w:r>
    </w:p>
    <w:p w14:paraId="52D7E32B" w14:textId="77777777" w:rsidR="00DE2405" w:rsidRPr="00DE7B81" w:rsidRDefault="00DE240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DE54146" w14:textId="77777777" w:rsidR="0072020E" w:rsidRPr="00DE7B8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 xml:space="preserve">4.8.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sz w:val="22"/>
          <w:szCs w:val="22"/>
          <w:lang w:val="sr-Latn-ME"/>
        </w:rPr>
        <w:t>Neželjena dejstva</w:t>
      </w:r>
    </w:p>
    <w:p w14:paraId="13A10740" w14:textId="77777777" w:rsidR="009B312D" w:rsidRPr="00DE7B81" w:rsidRDefault="009B312D" w:rsidP="009B312D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u w:val="single"/>
          <w:lang w:val="sr-Latn-ME"/>
        </w:rPr>
      </w:pPr>
    </w:p>
    <w:p w14:paraId="5F02AA9A" w14:textId="014157CB" w:rsidR="009B312D" w:rsidRPr="00DE7B81" w:rsidRDefault="009B312D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 xml:space="preserve">Neželjena dejstva </w:t>
      </w:r>
      <w:r w:rsidR="007958A1" w:rsidRPr="00DE7B81">
        <w:rPr>
          <w:sz w:val="22"/>
          <w:szCs w:val="22"/>
          <w:lang w:val="sr-Latn-ME"/>
        </w:rPr>
        <w:t xml:space="preserve">opisana u nastavku </w:t>
      </w:r>
      <w:r w:rsidR="0044774F" w:rsidRPr="00DE7B81">
        <w:rPr>
          <w:sz w:val="22"/>
          <w:szCs w:val="22"/>
          <w:lang w:val="sr-Latn-ME"/>
        </w:rPr>
        <w:t xml:space="preserve">su </w:t>
      </w:r>
      <w:r w:rsidR="007958A1" w:rsidRPr="00DE7B81">
        <w:rPr>
          <w:sz w:val="22"/>
          <w:szCs w:val="22"/>
          <w:lang w:val="sr-Latn-ME"/>
        </w:rPr>
        <w:t>navedena</w:t>
      </w:r>
      <w:r w:rsidRPr="00DE7B81">
        <w:rPr>
          <w:sz w:val="22"/>
          <w:szCs w:val="22"/>
          <w:lang w:val="sr-Latn-ME"/>
        </w:rPr>
        <w:t xml:space="preserve"> </w:t>
      </w:r>
      <w:r w:rsidR="0044774F" w:rsidRPr="00DE7B81">
        <w:rPr>
          <w:sz w:val="22"/>
          <w:szCs w:val="22"/>
          <w:lang w:val="sr-Latn-ME"/>
        </w:rPr>
        <w:t>saglasno MedDRA konvenciji, razvrstana prema</w:t>
      </w:r>
      <w:r w:rsidRPr="00DE7B81">
        <w:rPr>
          <w:sz w:val="22"/>
          <w:szCs w:val="22"/>
          <w:lang w:val="sr-Latn-ME"/>
        </w:rPr>
        <w:t xml:space="preserve"> klasama sistema organa i </w:t>
      </w:r>
      <w:r w:rsidR="0044774F" w:rsidRPr="00DE7B81">
        <w:rPr>
          <w:sz w:val="22"/>
          <w:szCs w:val="22"/>
          <w:lang w:val="sr-Latn-ME"/>
        </w:rPr>
        <w:t>sl</w:t>
      </w:r>
      <w:r w:rsidR="008F0C0C" w:rsidRPr="00DE7B81">
        <w:rPr>
          <w:sz w:val="22"/>
          <w:szCs w:val="22"/>
          <w:lang w:val="sr-Latn-ME"/>
        </w:rPr>
        <w:t>j</w:t>
      </w:r>
      <w:r w:rsidR="0044774F" w:rsidRPr="00DE7B81">
        <w:rPr>
          <w:sz w:val="22"/>
          <w:szCs w:val="22"/>
          <w:lang w:val="sr-Latn-ME"/>
        </w:rPr>
        <w:t>edećim kategorijama učestalosti:</w:t>
      </w:r>
    </w:p>
    <w:p w14:paraId="0025D238" w14:textId="77777777" w:rsidR="00DA1CF5" w:rsidRPr="00DE7B81" w:rsidRDefault="00DA1CF5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8597A6F" w14:textId="42D1A791" w:rsidR="0044774F" w:rsidRPr="00DE7B81" w:rsidRDefault="009B312D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 xml:space="preserve">veoma često ( ≥ 1/10 ), </w:t>
      </w:r>
    </w:p>
    <w:p w14:paraId="1D6BC7E7" w14:textId="77777777" w:rsidR="0044774F" w:rsidRPr="00DE7B81" w:rsidRDefault="009B312D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 xml:space="preserve">često ( ≥1/100 i &lt; 1/10 ), </w:t>
      </w:r>
    </w:p>
    <w:p w14:paraId="4BDA4AB3" w14:textId="77777777" w:rsidR="0044774F" w:rsidRPr="00DE7B81" w:rsidRDefault="009B312D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 xml:space="preserve">povremeno (≥1/1000 i &lt; 1/100), </w:t>
      </w:r>
    </w:p>
    <w:p w14:paraId="049721F3" w14:textId="77777777" w:rsidR="0044774F" w:rsidRPr="00DE7B81" w:rsidRDefault="009B312D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rijetko ( ≥1/10.000 i &lt; 1/1000 )</w:t>
      </w:r>
      <w:r w:rsidR="0044774F" w:rsidRPr="00DE7B81">
        <w:rPr>
          <w:sz w:val="22"/>
          <w:szCs w:val="22"/>
          <w:lang w:val="sr-Latn-ME"/>
        </w:rPr>
        <w:t>,</w:t>
      </w:r>
    </w:p>
    <w:p w14:paraId="0457B568" w14:textId="6E05E550" w:rsidR="009B312D" w:rsidRPr="00DE7B81" w:rsidRDefault="009B312D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veoma rijetko ( &lt; 1/10.000 )</w:t>
      </w:r>
      <w:r w:rsidR="0044774F" w:rsidRPr="00DE7B81">
        <w:rPr>
          <w:sz w:val="22"/>
          <w:szCs w:val="22"/>
          <w:lang w:val="sr-Latn-ME"/>
        </w:rPr>
        <w:t xml:space="preserve"> i</w:t>
      </w:r>
    </w:p>
    <w:p w14:paraId="33D719FE" w14:textId="70561F71" w:rsidR="009B312D" w:rsidRPr="00DE7B81" w:rsidRDefault="00006447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nepoznato (ne može se proceniti na osnovu dostupnih podataka).</w:t>
      </w:r>
    </w:p>
    <w:p w14:paraId="78E24E39" w14:textId="77777777" w:rsidR="00DA1CF5" w:rsidRPr="00DE7B81" w:rsidRDefault="00DA1CF5" w:rsidP="00DA1CF5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lastRenderedPageBreak/>
        <w:t>Infekcije i infestacije</w:t>
      </w:r>
    </w:p>
    <w:p w14:paraId="1CDFD1A0" w14:textId="77777777" w:rsidR="00DA1CF5" w:rsidRPr="00DE7B81" w:rsidRDefault="00DA1CF5" w:rsidP="00DA1CF5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7B81">
        <w:rPr>
          <w:i/>
          <w:iCs/>
          <w:sz w:val="22"/>
          <w:szCs w:val="22"/>
          <w:lang w:val="sr-Latn-ME"/>
        </w:rPr>
        <w:t>Nepoznata učestalost</w:t>
      </w:r>
      <w:r w:rsidRPr="00DE7B81">
        <w:rPr>
          <w:sz w:val="22"/>
          <w:szCs w:val="22"/>
          <w:lang w:val="sr-Latn-ME"/>
        </w:rPr>
        <w:t>: dugotrajna ili ponovljena primjena može dovesti do superinfekcije ili kolonizacije</w:t>
      </w:r>
    </w:p>
    <w:p w14:paraId="5179B6C6" w14:textId="52133989" w:rsidR="00DA1CF5" w:rsidRPr="00DE7B81" w:rsidRDefault="00DA1CF5" w:rsidP="00DA1CF5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rezistentnim bakterijama ili gljivicama (oralna kandidijaza, vaginalna kandidijaza)</w:t>
      </w:r>
    </w:p>
    <w:p w14:paraId="46930FF1" w14:textId="77777777" w:rsidR="00DA1CF5" w:rsidRPr="00DE7B81" w:rsidRDefault="00DA1CF5" w:rsidP="00DA1CF5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E0CFC7D" w14:textId="77777777" w:rsidR="009B312D" w:rsidRPr="00DE7B81" w:rsidRDefault="009B312D" w:rsidP="009B312D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>Poremećaji krvi i limfnog sistema</w:t>
      </w:r>
    </w:p>
    <w:p w14:paraId="333F31BC" w14:textId="57CF4F55" w:rsidR="009B312D" w:rsidRPr="00DE7B81" w:rsidRDefault="00256893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7B81">
        <w:rPr>
          <w:i/>
          <w:sz w:val="22"/>
          <w:szCs w:val="22"/>
          <w:lang w:val="sr-Latn-ME"/>
        </w:rPr>
        <w:t>Povremeno</w:t>
      </w:r>
      <w:r w:rsidR="009B312D" w:rsidRPr="00DE7B81">
        <w:rPr>
          <w:i/>
          <w:sz w:val="22"/>
          <w:szCs w:val="22"/>
          <w:lang w:val="sr-Latn-ME"/>
        </w:rPr>
        <w:t>:</w:t>
      </w:r>
      <w:r w:rsidR="009B312D" w:rsidRPr="00DE7B81">
        <w:rPr>
          <w:sz w:val="22"/>
          <w:szCs w:val="22"/>
          <w:lang w:val="sr-Latn-ME"/>
        </w:rPr>
        <w:t xml:space="preserve"> trombocitopenij</w:t>
      </w:r>
      <w:r w:rsidRPr="00DE7B81">
        <w:rPr>
          <w:sz w:val="22"/>
          <w:szCs w:val="22"/>
          <w:lang w:val="sr-Latn-ME"/>
        </w:rPr>
        <w:t>a</w:t>
      </w:r>
      <w:r w:rsidR="009B312D" w:rsidRPr="00DE7B81">
        <w:rPr>
          <w:sz w:val="22"/>
          <w:szCs w:val="22"/>
          <w:lang w:val="sr-Latn-ME"/>
        </w:rPr>
        <w:t xml:space="preserve">, </w:t>
      </w:r>
      <w:r w:rsidRPr="00DE7B81">
        <w:rPr>
          <w:sz w:val="22"/>
          <w:szCs w:val="22"/>
          <w:lang w:val="sr-Latn-ME"/>
        </w:rPr>
        <w:t>neutropenij</w:t>
      </w:r>
      <w:r w:rsidR="00CF08CF" w:rsidRPr="00DE7B81">
        <w:rPr>
          <w:sz w:val="22"/>
          <w:szCs w:val="22"/>
          <w:lang w:val="sr-Latn-ME"/>
        </w:rPr>
        <w:t>a</w:t>
      </w:r>
      <w:r w:rsidRPr="00DE7B81">
        <w:rPr>
          <w:sz w:val="22"/>
          <w:szCs w:val="22"/>
          <w:lang w:val="sr-Latn-ME"/>
        </w:rPr>
        <w:t>, leukopenij</w:t>
      </w:r>
      <w:r w:rsidR="00CF08CF" w:rsidRPr="00DE7B81">
        <w:rPr>
          <w:sz w:val="22"/>
          <w:szCs w:val="22"/>
          <w:lang w:val="sr-Latn-ME"/>
        </w:rPr>
        <w:t>a,</w:t>
      </w:r>
      <w:r w:rsidRPr="00DE7B81">
        <w:rPr>
          <w:sz w:val="22"/>
          <w:szCs w:val="22"/>
          <w:lang w:val="sr-Latn-ME"/>
        </w:rPr>
        <w:t xml:space="preserve"> eozinofilija</w:t>
      </w:r>
      <w:r w:rsidR="00CF08CF" w:rsidRPr="00DE7B81">
        <w:rPr>
          <w:sz w:val="22"/>
          <w:szCs w:val="22"/>
          <w:lang w:val="sr-Latn-ME"/>
        </w:rPr>
        <w:t>, agranulocitoza, hemolitička anemija.</w:t>
      </w:r>
      <w:r w:rsidRPr="00DE7B81">
        <w:rPr>
          <w:sz w:val="22"/>
          <w:szCs w:val="22"/>
          <w:lang w:val="sr-Latn-ME"/>
        </w:rPr>
        <w:t xml:space="preserve"> </w:t>
      </w:r>
    </w:p>
    <w:p w14:paraId="1A63C979" w14:textId="3401ECAD" w:rsidR="009B312D" w:rsidRPr="00DE7B81" w:rsidRDefault="00CF08CF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7B81">
        <w:rPr>
          <w:i/>
          <w:sz w:val="22"/>
          <w:szCs w:val="22"/>
          <w:lang w:val="sr-Latn-ME"/>
        </w:rPr>
        <w:t>R</w:t>
      </w:r>
      <w:r w:rsidR="009B312D" w:rsidRPr="00DE7B81">
        <w:rPr>
          <w:i/>
          <w:sz w:val="22"/>
          <w:szCs w:val="22"/>
          <w:lang w:val="sr-Latn-ME"/>
        </w:rPr>
        <w:t>ijetko:</w:t>
      </w:r>
      <w:r w:rsidR="009B312D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poremećaji</w:t>
      </w:r>
      <w:r w:rsidR="009B312D" w:rsidRPr="00DE7B81">
        <w:rPr>
          <w:sz w:val="22"/>
          <w:szCs w:val="22"/>
          <w:lang w:val="sr-Latn-ME"/>
        </w:rPr>
        <w:t xml:space="preserve"> koagulacij</w:t>
      </w:r>
      <w:r w:rsidRPr="00DE7B81">
        <w:rPr>
          <w:sz w:val="22"/>
          <w:szCs w:val="22"/>
          <w:lang w:val="sr-Latn-ME"/>
        </w:rPr>
        <w:t>e</w:t>
      </w:r>
      <w:r w:rsidR="009B312D" w:rsidRPr="00DE7B81">
        <w:rPr>
          <w:sz w:val="22"/>
          <w:szCs w:val="22"/>
          <w:lang w:val="sr-Latn-ME"/>
        </w:rPr>
        <w:t xml:space="preserve"> krvi</w:t>
      </w:r>
      <w:r w:rsidRPr="00DE7B81">
        <w:rPr>
          <w:sz w:val="22"/>
          <w:szCs w:val="22"/>
          <w:lang w:val="sr-Latn-ME"/>
        </w:rPr>
        <w:t>,</w:t>
      </w:r>
      <w:r w:rsidR="009B312D" w:rsidRPr="00DE7B81">
        <w:rPr>
          <w:sz w:val="22"/>
          <w:szCs w:val="22"/>
          <w:lang w:val="sr-Latn-ME"/>
        </w:rPr>
        <w:t xml:space="preserve"> krvarenje</w:t>
      </w:r>
      <w:r w:rsidRPr="00DE7B81">
        <w:rPr>
          <w:sz w:val="22"/>
          <w:szCs w:val="22"/>
          <w:lang w:val="sr-Latn-ME"/>
        </w:rPr>
        <w:t>*</w:t>
      </w:r>
    </w:p>
    <w:p w14:paraId="0134E813" w14:textId="77777777" w:rsidR="009B312D" w:rsidRPr="00DE7B81" w:rsidRDefault="009B312D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5B7CE75" w14:textId="77777777" w:rsidR="009B312D" w:rsidRPr="00DE7B81" w:rsidRDefault="009B312D" w:rsidP="009B312D">
      <w:pPr>
        <w:autoSpaceDE w:val="0"/>
        <w:autoSpaceDN w:val="0"/>
        <w:adjustRightInd w:val="0"/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>Poremećaji imunskog sistema</w:t>
      </w:r>
    </w:p>
    <w:p w14:paraId="57784920" w14:textId="0AD0349C" w:rsidR="009B312D" w:rsidRPr="00DE7B81" w:rsidRDefault="00DC4BCB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7B81">
        <w:rPr>
          <w:i/>
          <w:sz w:val="22"/>
          <w:szCs w:val="22"/>
          <w:lang w:val="sr-Latn-ME"/>
        </w:rPr>
        <w:t>Često</w:t>
      </w:r>
      <w:r w:rsidR="009B312D" w:rsidRPr="00DE7B81">
        <w:rPr>
          <w:i/>
          <w:sz w:val="22"/>
          <w:szCs w:val="22"/>
          <w:lang w:val="sr-Latn-ME"/>
        </w:rPr>
        <w:t>:</w:t>
      </w:r>
      <w:r w:rsidR="009B312D" w:rsidRPr="00DE7B81">
        <w:rPr>
          <w:sz w:val="22"/>
          <w:szCs w:val="22"/>
          <w:lang w:val="sr-Latn-ME"/>
        </w:rPr>
        <w:t xml:space="preserve"> alergijske reakcije na koži kao što su </w:t>
      </w:r>
      <w:r w:rsidRPr="00DE7B81">
        <w:rPr>
          <w:sz w:val="22"/>
          <w:szCs w:val="22"/>
          <w:lang w:val="sr-Latn-ME"/>
        </w:rPr>
        <w:t>eritem</w:t>
      </w:r>
      <w:r w:rsidR="009B312D" w:rsidRPr="00DE7B81">
        <w:rPr>
          <w:sz w:val="22"/>
          <w:szCs w:val="22"/>
          <w:lang w:val="sr-Latn-ME"/>
        </w:rPr>
        <w:t>, urtikarija i pruritus.</w:t>
      </w:r>
    </w:p>
    <w:p w14:paraId="3C9A4823" w14:textId="523EF8C3" w:rsidR="009B312D" w:rsidRPr="00DE7B81" w:rsidRDefault="00DC4BCB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7B81">
        <w:rPr>
          <w:i/>
          <w:sz w:val="22"/>
          <w:szCs w:val="22"/>
          <w:lang w:val="sr-Latn-ME"/>
        </w:rPr>
        <w:t>Povremeno</w:t>
      </w:r>
      <w:r w:rsidR="009B312D" w:rsidRPr="00DE7B81">
        <w:rPr>
          <w:i/>
          <w:sz w:val="22"/>
          <w:szCs w:val="22"/>
          <w:lang w:val="sr-Latn-ME"/>
        </w:rPr>
        <w:t>:</w:t>
      </w:r>
      <w:r w:rsidR="009B312D" w:rsidRPr="00DE7B81">
        <w:rPr>
          <w:sz w:val="22"/>
          <w:szCs w:val="22"/>
          <w:lang w:val="sr-Latn-ME"/>
        </w:rPr>
        <w:t xml:space="preserve"> teške reakcije preosjetljivosti kao što je angioneurotski edem i </w:t>
      </w:r>
      <w:r w:rsidRPr="00DE7B81">
        <w:rPr>
          <w:sz w:val="22"/>
          <w:szCs w:val="22"/>
          <w:lang w:val="sr-Latn-ME"/>
        </w:rPr>
        <w:t>povišena t</w:t>
      </w:r>
      <w:r w:rsidR="004B7A67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 xml:space="preserve">elesna </w:t>
      </w:r>
      <w:r w:rsidR="009B312D" w:rsidRPr="00DE7B81">
        <w:rPr>
          <w:sz w:val="22"/>
          <w:szCs w:val="22"/>
          <w:lang w:val="sr-Latn-ME"/>
        </w:rPr>
        <w:t>temperatura izazvana lijekom.</w:t>
      </w:r>
    </w:p>
    <w:p w14:paraId="05CE35B1" w14:textId="54DA207D" w:rsidR="009B312D" w:rsidRPr="00DE7B81" w:rsidRDefault="009B312D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7B81">
        <w:rPr>
          <w:i/>
          <w:sz w:val="22"/>
          <w:szCs w:val="22"/>
          <w:lang w:val="sr-Latn-ME"/>
        </w:rPr>
        <w:t>Veoma rijetko:</w:t>
      </w:r>
      <w:r w:rsidRPr="00DE7B81">
        <w:rPr>
          <w:sz w:val="22"/>
          <w:szCs w:val="22"/>
          <w:lang w:val="sr-Latn-ME"/>
        </w:rPr>
        <w:t xml:space="preserve"> </w:t>
      </w:r>
      <w:r w:rsidR="00DC4BCB" w:rsidRPr="00DE7B81">
        <w:rPr>
          <w:sz w:val="22"/>
          <w:szCs w:val="22"/>
          <w:lang w:val="sr-Latn-ME"/>
        </w:rPr>
        <w:t xml:space="preserve">životno ugrožavajući </w:t>
      </w:r>
      <w:r w:rsidRPr="00DE7B81">
        <w:rPr>
          <w:sz w:val="22"/>
          <w:szCs w:val="22"/>
          <w:lang w:val="sr-Latn-ME"/>
        </w:rPr>
        <w:t>anafilaktički šok</w:t>
      </w:r>
      <w:r w:rsidR="00DC4BCB" w:rsidRPr="00DE7B81">
        <w:rPr>
          <w:sz w:val="22"/>
          <w:szCs w:val="22"/>
          <w:lang w:val="sr-Latn-ME"/>
        </w:rPr>
        <w:t>**</w:t>
      </w:r>
    </w:p>
    <w:p w14:paraId="247E1839" w14:textId="77777777" w:rsidR="009B312D" w:rsidRPr="00DE7B81" w:rsidRDefault="009B312D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47400FA" w14:textId="77777777" w:rsidR="009B312D" w:rsidRPr="00DE7B81" w:rsidRDefault="009B312D" w:rsidP="009B312D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>Poremećaji nervnog sistema</w:t>
      </w:r>
    </w:p>
    <w:p w14:paraId="41562820" w14:textId="5C9DB4D0" w:rsidR="009B312D" w:rsidRPr="00DE7B81" w:rsidRDefault="00DC4BCB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7B81">
        <w:rPr>
          <w:i/>
          <w:iCs/>
          <w:sz w:val="22"/>
          <w:szCs w:val="22"/>
          <w:lang w:val="sr-Latn-ME"/>
        </w:rPr>
        <w:t>Nepoznata učestalost:</w:t>
      </w:r>
      <w:r w:rsidR="009B312D" w:rsidRPr="00DE7B81">
        <w:rPr>
          <w:sz w:val="22"/>
          <w:szCs w:val="22"/>
          <w:lang w:val="sr-Latn-ME"/>
        </w:rPr>
        <w:t xml:space="preserve"> glavobolja, vrtoglavica, parestezija, </w:t>
      </w:r>
      <w:r w:rsidRPr="00DE7B81">
        <w:rPr>
          <w:sz w:val="22"/>
          <w:szCs w:val="22"/>
          <w:lang w:val="sr-Latn-ME"/>
        </w:rPr>
        <w:t>eksci</w:t>
      </w:r>
      <w:r w:rsidR="00276DED" w:rsidRPr="00DE7B81">
        <w:rPr>
          <w:sz w:val="22"/>
          <w:szCs w:val="22"/>
          <w:lang w:val="sr-Latn-ME"/>
        </w:rPr>
        <w:t>tacija</w:t>
      </w:r>
      <w:r w:rsidRPr="00DE7B81">
        <w:rPr>
          <w:sz w:val="22"/>
          <w:szCs w:val="22"/>
          <w:lang w:val="sr-Latn-ME"/>
        </w:rPr>
        <w:t xml:space="preserve"> </w:t>
      </w:r>
      <w:r w:rsidR="009B312D" w:rsidRPr="00DE7B81">
        <w:rPr>
          <w:sz w:val="22"/>
          <w:szCs w:val="22"/>
          <w:lang w:val="sr-Latn-ME"/>
        </w:rPr>
        <w:t xml:space="preserve">centralnog nervnog sistema, mioklonija i </w:t>
      </w:r>
      <w:r w:rsidR="00276DED" w:rsidRPr="00DE7B81">
        <w:rPr>
          <w:sz w:val="22"/>
          <w:szCs w:val="22"/>
          <w:lang w:val="sr-Latn-ME"/>
        </w:rPr>
        <w:t>konvulzije</w:t>
      </w:r>
      <w:r w:rsidR="00BC44DF" w:rsidRPr="00DE7B81">
        <w:rPr>
          <w:sz w:val="22"/>
          <w:szCs w:val="22"/>
          <w:vertAlign w:val="superscript"/>
          <w:lang w:val="sr-Latn-ME"/>
        </w:rPr>
        <w:t>$</w:t>
      </w:r>
      <w:r w:rsidR="009B312D" w:rsidRPr="00DE7B81">
        <w:rPr>
          <w:sz w:val="22"/>
          <w:szCs w:val="22"/>
          <w:lang w:val="sr-Latn-ME"/>
        </w:rPr>
        <w:t>.</w:t>
      </w:r>
    </w:p>
    <w:p w14:paraId="214E1B09" w14:textId="77777777" w:rsidR="009B312D" w:rsidRPr="00DE7B81" w:rsidRDefault="009B312D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C6FDFB7" w14:textId="77777777" w:rsidR="009B312D" w:rsidRPr="00DE7B81" w:rsidRDefault="009B312D" w:rsidP="009B312D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>Gastrointestinalni poremećaji</w:t>
      </w:r>
    </w:p>
    <w:p w14:paraId="2E7DDC51" w14:textId="61743E8C" w:rsidR="00BC44DF" w:rsidRPr="00DE7B81" w:rsidRDefault="00BC44DF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7B81">
        <w:rPr>
          <w:i/>
          <w:iCs/>
          <w:sz w:val="22"/>
          <w:szCs w:val="22"/>
          <w:lang w:val="sr-Latn-ME"/>
        </w:rPr>
        <w:t>Često:</w:t>
      </w:r>
      <w:r w:rsidR="009B312D" w:rsidRPr="00DE7B81">
        <w:rPr>
          <w:sz w:val="22"/>
          <w:szCs w:val="22"/>
          <w:lang w:val="sr-Latn-ME"/>
        </w:rPr>
        <w:t xml:space="preserve"> dijarej</w:t>
      </w:r>
      <w:r w:rsidRPr="00DE7B81">
        <w:rPr>
          <w:sz w:val="22"/>
          <w:szCs w:val="22"/>
          <w:lang w:val="sr-Latn-ME"/>
        </w:rPr>
        <w:t>a</w:t>
      </w:r>
      <w:r w:rsidR="009B312D" w:rsidRPr="00DE7B81">
        <w:rPr>
          <w:sz w:val="22"/>
          <w:szCs w:val="22"/>
          <w:lang w:val="sr-Latn-ME"/>
        </w:rPr>
        <w:t xml:space="preserve">, </w:t>
      </w:r>
      <w:r w:rsidR="00A603B7" w:rsidRPr="00DE7B81">
        <w:rPr>
          <w:sz w:val="22"/>
          <w:szCs w:val="22"/>
          <w:lang w:val="sr-Latn-ME"/>
        </w:rPr>
        <w:t xml:space="preserve">mučnina, </w:t>
      </w:r>
      <w:r w:rsidR="009B312D" w:rsidRPr="00DE7B81">
        <w:rPr>
          <w:sz w:val="22"/>
          <w:szCs w:val="22"/>
          <w:lang w:val="sr-Latn-ME"/>
        </w:rPr>
        <w:t>povraćanj</w:t>
      </w:r>
      <w:r w:rsidRPr="00DE7B81">
        <w:rPr>
          <w:sz w:val="22"/>
          <w:szCs w:val="22"/>
          <w:lang w:val="sr-Latn-ME"/>
        </w:rPr>
        <w:t>e</w:t>
      </w:r>
      <w:r w:rsidR="009B312D" w:rsidRPr="00DE7B81">
        <w:rPr>
          <w:sz w:val="22"/>
          <w:szCs w:val="22"/>
          <w:lang w:val="sr-Latn-ME"/>
        </w:rPr>
        <w:t>, gubit</w:t>
      </w:r>
      <w:r w:rsidRPr="00DE7B81">
        <w:rPr>
          <w:sz w:val="22"/>
          <w:szCs w:val="22"/>
          <w:lang w:val="sr-Latn-ME"/>
        </w:rPr>
        <w:t>ak</w:t>
      </w:r>
      <w:r w:rsidR="009B312D" w:rsidRPr="00DE7B81">
        <w:rPr>
          <w:sz w:val="22"/>
          <w:szCs w:val="22"/>
          <w:lang w:val="sr-Latn-ME"/>
        </w:rPr>
        <w:t xml:space="preserve"> apetita, meteoriz</w:t>
      </w:r>
      <w:r w:rsidRPr="00DE7B81">
        <w:rPr>
          <w:sz w:val="22"/>
          <w:szCs w:val="22"/>
          <w:lang w:val="sr-Latn-ME"/>
        </w:rPr>
        <w:t>am</w:t>
      </w:r>
      <w:r w:rsidR="009B312D" w:rsidRPr="00DE7B81">
        <w:rPr>
          <w:sz w:val="22"/>
          <w:szCs w:val="22"/>
          <w:lang w:val="sr-Latn-ME"/>
        </w:rPr>
        <w:t>, bolov</w:t>
      </w:r>
      <w:r w:rsidRPr="00DE7B81">
        <w:rPr>
          <w:sz w:val="22"/>
          <w:szCs w:val="22"/>
          <w:lang w:val="sr-Latn-ME"/>
        </w:rPr>
        <w:t>i</w:t>
      </w:r>
      <w:r w:rsidR="009B312D" w:rsidRPr="00DE7B81">
        <w:rPr>
          <w:sz w:val="22"/>
          <w:szCs w:val="22"/>
          <w:lang w:val="sr-Latn-ME"/>
        </w:rPr>
        <w:t xml:space="preserve"> u stomaku</w:t>
      </w:r>
      <w:r w:rsidRPr="00DE7B81">
        <w:rPr>
          <w:sz w:val="22"/>
          <w:szCs w:val="22"/>
          <w:vertAlign w:val="superscript"/>
          <w:lang w:val="sr-Latn-ME"/>
        </w:rPr>
        <w:t>#</w:t>
      </w:r>
    </w:p>
    <w:p w14:paraId="7AE65933" w14:textId="7BE1FF32" w:rsidR="009B312D" w:rsidRPr="00DE7B81" w:rsidRDefault="00BC44DF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7B81">
        <w:rPr>
          <w:i/>
          <w:iCs/>
          <w:sz w:val="22"/>
          <w:szCs w:val="22"/>
          <w:lang w:val="sr-Latn-ME"/>
        </w:rPr>
        <w:t>Nepoznata učestalost:</w:t>
      </w:r>
      <w:r w:rsidR="009B312D" w:rsidRPr="00DE7B81">
        <w:rPr>
          <w:sz w:val="22"/>
          <w:szCs w:val="22"/>
          <w:lang w:val="sr-Latn-ME"/>
        </w:rPr>
        <w:t xml:space="preserve"> pseudomembranozn</w:t>
      </w:r>
      <w:r w:rsidRPr="00DE7B81">
        <w:rPr>
          <w:sz w:val="22"/>
          <w:szCs w:val="22"/>
          <w:lang w:val="sr-Latn-ME"/>
        </w:rPr>
        <w:t>i</w:t>
      </w:r>
      <w:r w:rsidR="009B312D" w:rsidRPr="00DE7B81">
        <w:rPr>
          <w:sz w:val="22"/>
          <w:szCs w:val="22"/>
          <w:lang w:val="sr-Latn-ME"/>
        </w:rPr>
        <w:t xml:space="preserve"> kolitis</w:t>
      </w:r>
      <w:r w:rsidRPr="00DE7B81">
        <w:rPr>
          <w:sz w:val="22"/>
          <w:szCs w:val="22"/>
          <w:vertAlign w:val="superscript"/>
          <w:lang w:val="sr-Latn-ME"/>
        </w:rPr>
        <w:t>+</w:t>
      </w:r>
    </w:p>
    <w:p w14:paraId="71F9050B" w14:textId="77777777" w:rsidR="009B312D" w:rsidRPr="00DE7B81" w:rsidRDefault="009B312D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9435939" w14:textId="77777777" w:rsidR="009B312D" w:rsidRPr="00DE7B81" w:rsidRDefault="009B312D" w:rsidP="009B312D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>Hepatobilijarni poremećaji</w:t>
      </w:r>
    </w:p>
    <w:p w14:paraId="27C2E502" w14:textId="39722490" w:rsidR="009B312D" w:rsidRPr="00DE7B81" w:rsidRDefault="00BC44DF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7B81">
        <w:rPr>
          <w:i/>
          <w:sz w:val="22"/>
          <w:szCs w:val="22"/>
          <w:lang w:val="sr-Latn-ME"/>
        </w:rPr>
        <w:t>Povremeno</w:t>
      </w:r>
      <w:r w:rsidR="009B312D" w:rsidRPr="00DE7B81">
        <w:rPr>
          <w:i/>
          <w:sz w:val="22"/>
          <w:szCs w:val="22"/>
          <w:lang w:val="sr-Latn-ME"/>
        </w:rPr>
        <w:t>:</w:t>
      </w:r>
      <w:r w:rsidR="009B312D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blago</w:t>
      </w:r>
      <w:r w:rsidR="009B312D" w:rsidRPr="00DE7B81">
        <w:rPr>
          <w:sz w:val="22"/>
          <w:szCs w:val="22"/>
          <w:lang w:val="sr-Latn-ME"/>
        </w:rPr>
        <w:t xml:space="preserve">, prolazno povećanje </w:t>
      </w:r>
      <w:r w:rsidRPr="00DE7B81">
        <w:rPr>
          <w:sz w:val="22"/>
          <w:szCs w:val="22"/>
          <w:lang w:val="sr-Latn-ME"/>
        </w:rPr>
        <w:t>AST, ALT i alkalne fosfataze</w:t>
      </w:r>
      <w:r w:rsidR="009B312D" w:rsidRPr="00DE7B81">
        <w:rPr>
          <w:sz w:val="22"/>
          <w:szCs w:val="22"/>
          <w:lang w:val="sr-Latn-ME"/>
        </w:rPr>
        <w:t>.</w:t>
      </w:r>
    </w:p>
    <w:p w14:paraId="7AD83698" w14:textId="77777777" w:rsidR="009B312D" w:rsidRPr="00DE7B81" w:rsidRDefault="009B312D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7B81">
        <w:rPr>
          <w:i/>
          <w:sz w:val="22"/>
          <w:szCs w:val="22"/>
          <w:lang w:val="sr-Latn-ME"/>
        </w:rPr>
        <w:t>Veoma rijetko:</w:t>
      </w:r>
      <w:r w:rsidRPr="00DE7B81">
        <w:rPr>
          <w:sz w:val="22"/>
          <w:szCs w:val="22"/>
          <w:lang w:val="sr-Latn-ME"/>
        </w:rPr>
        <w:t xml:space="preserve"> reverzibilni hepatitis i holestatska žutica.</w:t>
      </w:r>
    </w:p>
    <w:p w14:paraId="53B36040" w14:textId="77777777" w:rsidR="009B312D" w:rsidRPr="00DE7B81" w:rsidRDefault="009B312D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3805AFB" w14:textId="77777777" w:rsidR="009B312D" w:rsidRPr="00DE7B81" w:rsidRDefault="009B312D" w:rsidP="009B312D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>Poremećaji bubrega i urinarnog sistema</w:t>
      </w:r>
    </w:p>
    <w:p w14:paraId="7D3A53CD" w14:textId="3119C8AA" w:rsidR="00E52FD5" w:rsidRPr="00DE7B81" w:rsidRDefault="009B312D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7B81">
        <w:rPr>
          <w:i/>
          <w:sz w:val="22"/>
          <w:szCs w:val="22"/>
          <w:lang w:val="sr-Latn-ME"/>
        </w:rPr>
        <w:t>Rijetko:</w:t>
      </w:r>
      <w:r w:rsidRPr="00DE7B81">
        <w:rPr>
          <w:sz w:val="22"/>
          <w:szCs w:val="22"/>
          <w:lang w:val="sr-Latn-ME"/>
        </w:rPr>
        <w:t xml:space="preserve"> intersticijalni nefritis i </w:t>
      </w:r>
      <w:r w:rsidR="00BC44DF" w:rsidRPr="00DE7B81">
        <w:rPr>
          <w:sz w:val="22"/>
          <w:szCs w:val="22"/>
          <w:lang w:val="sr-Latn-ME"/>
        </w:rPr>
        <w:t xml:space="preserve">druga </w:t>
      </w:r>
      <w:r w:rsidRPr="00DE7B81">
        <w:rPr>
          <w:sz w:val="22"/>
          <w:szCs w:val="22"/>
          <w:lang w:val="sr-Latn-ME"/>
        </w:rPr>
        <w:t xml:space="preserve">oboljenja bubrega </w:t>
      </w:r>
      <w:r w:rsidR="00E52FD5" w:rsidRPr="00DE7B81">
        <w:rPr>
          <w:sz w:val="22"/>
          <w:szCs w:val="22"/>
          <w:vertAlign w:val="superscript"/>
          <w:lang w:val="sr-Latn-ME"/>
        </w:rPr>
        <w:t>$</w:t>
      </w:r>
      <w:r w:rsidR="00E52FD5" w:rsidRPr="00DE7B81">
        <w:rPr>
          <w:sz w:val="22"/>
          <w:szCs w:val="22"/>
          <w:lang w:val="sr-Latn-ME"/>
        </w:rPr>
        <w:t xml:space="preserve"> </w:t>
      </w:r>
    </w:p>
    <w:p w14:paraId="4FE7F587" w14:textId="77777777" w:rsidR="00E52FD5" w:rsidRPr="00DE7B81" w:rsidRDefault="00E52FD5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87C6464" w14:textId="0A0504B2" w:rsidR="00CD1A9A" w:rsidRPr="00DE7B81" w:rsidRDefault="00CD1A9A" w:rsidP="00CD1A9A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>Opšti poremećaji i reakcije na m</w:t>
      </w:r>
      <w:r w:rsidR="004B7A67" w:rsidRPr="00DE7B81">
        <w:rPr>
          <w:b/>
          <w:bCs/>
          <w:sz w:val="22"/>
          <w:szCs w:val="22"/>
          <w:lang w:val="sr-Latn-ME"/>
        </w:rPr>
        <w:t>j</w:t>
      </w:r>
      <w:r w:rsidRPr="00DE7B81">
        <w:rPr>
          <w:b/>
          <w:bCs/>
          <w:sz w:val="22"/>
          <w:szCs w:val="22"/>
          <w:lang w:val="sr-Latn-ME"/>
        </w:rPr>
        <w:t>estu prim</w:t>
      </w:r>
      <w:r w:rsidR="00967EB0" w:rsidRPr="00DE7B81">
        <w:rPr>
          <w:b/>
          <w:bCs/>
          <w:sz w:val="22"/>
          <w:szCs w:val="22"/>
          <w:lang w:val="sr-Latn-ME"/>
        </w:rPr>
        <w:t>j</w:t>
      </w:r>
      <w:r w:rsidRPr="00DE7B81">
        <w:rPr>
          <w:b/>
          <w:bCs/>
          <w:sz w:val="22"/>
          <w:szCs w:val="22"/>
          <w:lang w:val="sr-Latn-ME"/>
        </w:rPr>
        <w:t>ene</w:t>
      </w:r>
    </w:p>
    <w:p w14:paraId="172426B9" w14:textId="77777777" w:rsidR="00CD1A9A" w:rsidRPr="00DE7B81" w:rsidRDefault="00CD1A9A" w:rsidP="00CD1A9A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7B81">
        <w:rPr>
          <w:i/>
          <w:iCs/>
          <w:sz w:val="22"/>
          <w:szCs w:val="22"/>
          <w:lang w:val="sr-Latn-ME"/>
        </w:rPr>
        <w:t>Povremeno</w:t>
      </w:r>
      <w:r w:rsidRPr="00DE7B81">
        <w:rPr>
          <w:sz w:val="22"/>
          <w:szCs w:val="22"/>
          <w:lang w:val="sr-Latn-ME"/>
        </w:rPr>
        <w:t>: flebitis, tromboflebitis.</w:t>
      </w:r>
    </w:p>
    <w:p w14:paraId="393C55C1" w14:textId="77777777" w:rsidR="00E60AC6" w:rsidRPr="00DE7B81" w:rsidRDefault="00E60AC6" w:rsidP="00CD1A9A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286A2BE" w14:textId="77777777" w:rsidR="00E60AC6" w:rsidRPr="00DE7B81" w:rsidRDefault="00E60AC6" w:rsidP="00E60AC6">
      <w:p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  <w:lang w:val="sr-Latn-ME"/>
        </w:rPr>
      </w:pPr>
      <w:r w:rsidRPr="00DE7B81">
        <w:rPr>
          <w:iCs/>
          <w:sz w:val="22"/>
          <w:szCs w:val="22"/>
          <w:vertAlign w:val="superscript"/>
          <w:lang w:val="sr-Latn-ME"/>
        </w:rPr>
        <w:t>*</w:t>
      </w:r>
      <w:r w:rsidRPr="00DE7B81">
        <w:rPr>
          <w:iCs/>
          <w:sz w:val="22"/>
          <w:szCs w:val="22"/>
          <w:lang w:val="sr-Latn-ME"/>
        </w:rPr>
        <w:t xml:space="preserve"> Ugroženi su pacijenti sa faktorima rizika koji dovode do nedostatka vitamina K ili utiču na druge</w:t>
      </w:r>
    </w:p>
    <w:p w14:paraId="621E44FD" w14:textId="2A6E1221" w:rsidR="00E60AC6" w:rsidRPr="00DE7B81" w:rsidRDefault="00E60AC6" w:rsidP="00E60AC6">
      <w:p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  <w:lang w:val="sr-Latn-ME"/>
        </w:rPr>
      </w:pPr>
      <w:r w:rsidRPr="00DE7B81">
        <w:rPr>
          <w:iCs/>
          <w:sz w:val="22"/>
          <w:szCs w:val="22"/>
          <w:lang w:val="sr-Latn-ME"/>
        </w:rPr>
        <w:t xml:space="preserve">mehanizme koagulacije krvi, kao i pacijenti sa oboljenjima koja izazivaju </w:t>
      </w:r>
      <w:r w:rsidR="00F27CEA" w:rsidRPr="00DE7B81">
        <w:rPr>
          <w:iCs/>
          <w:sz w:val="22"/>
          <w:szCs w:val="22"/>
          <w:lang w:val="sr-Latn-ME"/>
        </w:rPr>
        <w:t xml:space="preserve">ili pogoršavaju </w:t>
      </w:r>
      <w:r w:rsidRPr="00DE7B81">
        <w:rPr>
          <w:iCs/>
          <w:sz w:val="22"/>
          <w:szCs w:val="22"/>
          <w:lang w:val="sr-Latn-ME"/>
        </w:rPr>
        <w:t>krvarenje.</w:t>
      </w:r>
    </w:p>
    <w:p w14:paraId="3E498251" w14:textId="7083989B" w:rsidR="00E60AC6" w:rsidRPr="00DE7B81" w:rsidRDefault="00E60AC6" w:rsidP="00E60AC6">
      <w:p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  <w:lang w:val="sr-Latn-ME"/>
        </w:rPr>
      </w:pPr>
      <w:r w:rsidRPr="00DE7B81">
        <w:rPr>
          <w:iCs/>
          <w:sz w:val="22"/>
          <w:szCs w:val="22"/>
          <w:vertAlign w:val="superscript"/>
          <w:lang w:val="sr-Latn-ME"/>
        </w:rPr>
        <w:t>**</w:t>
      </w:r>
      <w:r w:rsidRPr="00DE7B81">
        <w:rPr>
          <w:iCs/>
          <w:sz w:val="22"/>
          <w:szCs w:val="22"/>
          <w:lang w:val="sr-Latn-ME"/>
        </w:rPr>
        <w:t xml:space="preserve"> Može zaht</w:t>
      </w:r>
      <w:r w:rsidR="00022FF4">
        <w:rPr>
          <w:iCs/>
          <w:sz w:val="22"/>
          <w:szCs w:val="22"/>
          <w:lang w:val="sr-Latn-ME"/>
        </w:rPr>
        <w:t>i</w:t>
      </w:r>
      <w:r w:rsidR="004C3ABA" w:rsidRPr="00DE7B81">
        <w:rPr>
          <w:iCs/>
          <w:sz w:val="22"/>
          <w:szCs w:val="22"/>
          <w:lang w:val="sr-Latn-ME"/>
        </w:rPr>
        <w:t>j</w:t>
      </w:r>
      <w:r w:rsidRPr="00DE7B81">
        <w:rPr>
          <w:iCs/>
          <w:sz w:val="22"/>
          <w:szCs w:val="22"/>
          <w:lang w:val="sr-Latn-ME"/>
        </w:rPr>
        <w:t>evati hitnu medicinsku pomoć.</w:t>
      </w:r>
    </w:p>
    <w:p w14:paraId="25192030" w14:textId="77777777" w:rsidR="00E60AC6" w:rsidRPr="00DE7B81" w:rsidRDefault="00E60AC6" w:rsidP="00E60AC6">
      <w:p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  <w:lang w:val="sr-Latn-ME"/>
        </w:rPr>
      </w:pPr>
      <w:r w:rsidRPr="00DE7B81">
        <w:rPr>
          <w:iCs/>
          <w:sz w:val="22"/>
          <w:szCs w:val="22"/>
          <w:vertAlign w:val="superscript"/>
          <w:lang w:val="sr-Latn-ME"/>
        </w:rPr>
        <w:t xml:space="preserve">§ </w:t>
      </w:r>
      <w:r w:rsidRPr="00DE7B81">
        <w:rPr>
          <w:iCs/>
          <w:sz w:val="22"/>
          <w:szCs w:val="22"/>
          <w:lang w:val="sr-Latn-ME"/>
        </w:rPr>
        <w:t>Posebno u slučaju predoziranja ili neadekvatnog doziranja kod pacijenata sa insuficijencijom bubrega.</w:t>
      </w:r>
    </w:p>
    <w:p w14:paraId="4FF4A535" w14:textId="5405DD3A" w:rsidR="00E60AC6" w:rsidRPr="00DE7B81" w:rsidRDefault="00E60AC6" w:rsidP="00E60AC6">
      <w:p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  <w:lang w:val="sr-Latn-ME"/>
        </w:rPr>
      </w:pPr>
      <w:r w:rsidRPr="00DE7B81">
        <w:rPr>
          <w:iCs/>
          <w:sz w:val="22"/>
          <w:szCs w:val="22"/>
          <w:vertAlign w:val="superscript"/>
          <w:lang w:val="sr-Latn-ME"/>
        </w:rPr>
        <w:t>#</w:t>
      </w:r>
      <w:r w:rsidRPr="00DE7B81">
        <w:rPr>
          <w:iCs/>
          <w:sz w:val="22"/>
          <w:szCs w:val="22"/>
          <w:lang w:val="sr-Latn-ME"/>
        </w:rPr>
        <w:t xml:space="preserve"> U većini slučajeva, simptomi su blagi i često se povlače tokom ili nakon obustave terapije</w:t>
      </w:r>
      <w:r w:rsidR="00F27CEA" w:rsidRPr="00DE7B81">
        <w:rPr>
          <w:iCs/>
          <w:sz w:val="22"/>
          <w:szCs w:val="22"/>
          <w:lang w:val="sr-Latn-ME"/>
        </w:rPr>
        <w:t>.</w:t>
      </w:r>
    </w:p>
    <w:p w14:paraId="0023AB91" w14:textId="5385F959" w:rsidR="00E60AC6" w:rsidRPr="00DE7B81" w:rsidRDefault="00E60AC6" w:rsidP="00E60AC6">
      <w:pPr>
        <w:tabs>
          <w:tab w:val="left" w:pos="284"/>
        </w:tabs>
        <w:autoSpaceDE w:val="0"/>
        <w:autoSpaceDN w:val="0"/>
        <w:adjustRightInd w:val="0"/>
        <w:jc w:val="both"/>
        <w:rPr>
          <w:iCs/>
          <w:sz w:val="22"/>
          <w:szCs w:val="22"/>
          <w:lang w:val="sr-Latn-ME"/>
        </w:rPr>
      </w:pPr>
      <w:r w:rsidRPr="00DE7B81">
        <w:rPr>
          <w:iCs/>
          <w:sz w:val="22"/>
          <w:szCs w:val="22"/>
          <w:vertAlign w:val="superscript"/>
          <w:lang w:val="sr-Latn-ME"/>
        </w:rPr>
        <w:t>+</w:t>
      </w:r>
      <w:r w:rsidRPr="00DE7B81">
        <w:rPr>
          <w:iCs/>
          <w:sz w:val="22"/>
          <w:szCs w:val="22"/>
          <w:lang w:val="sr-Latn-ME"/>
        </w:rPr>
        <w:t xml:space="preserve"> U slučaju teške i uporne dijareje tokom ili nakon terapije cefazolinom, neophodna je konsultacija l</w:t>
      </w:r>
      <w:r w:rsidR="004C3ABA" w:rsidRPr="00DE7B81">
        <w:rPr>
          <w:iCs/>
          <w:sz w:val="22"/>
          <w:szCs w:val="22"/>
          <w:lang w:val="sr-Latn-ME"/>
        </w:rPr>
        <w:t>j</w:t>
      </w:r>
      <w:r w:rsidRPr="00DE7B81">
        <w:rPr>
          <w:iCs/>
          <w:sz w:val="22"/>
          <w:szCs w:val="22"/>
          <w:lang w:val="sr-Latn-ME"/>
        </w:rPr>
        <w:t>ekara,</w:t>
      </w:r>
      <w:r w:rsidR="00F27CEA" w:rsidRPr="00DE7B81">
        <w:rPr>
          <w:iCs/>
          <w:sz w:val="22"/>
          <w:szCs w:val="22"/>
          <w:lang w:val="sr-Latn-ME"/>
        </w:rPr>
        <w:t xml:space="preserve"> </w:t>
      </w:r>
      <w:r w:rsidRPr="00DE7B81">
        <w:rPr>
          <w:iCs/>
          <w:sz w:val="22"/>
          <w:szCs w:val="22"/>
          <w:lang w:val="sr-Latn-ME"/>
        </w:rPr>
        <w:t>zato što ovo može biti znak ozbiljnog oboljenja (pseudomembranozni kolitis) koje se mora odmah l</w:t>
      </w:r>
      <w:r w:rsidR="004C3ABA" w:rsidRPr="00DE7B81">
        <w:rPr>
          <w:iCs/>
          <w:sz w:val="22"/>
          <w:szCs w:val="22"/>
          <w:lang w:val="sr-Latn-ME"/>
        </w:rPr>
        <w:t>ij</w:t>
      </w:r>
      <w:r w:rsidRPr="00DE7B81">
        <w:rPr>
          <w:iCs/>
          <w:sz w:val="22"/>
          <w:szCs w:val="22"/>
          <w:lang w:val="sr-Latn-ME"/>
        </w:rPr>
        <w:t>ečiti</w:t>
      </w:r>
      <w:r w:rsidR="00F27CEA" w:rsidRPr="00DE7B81">
        <w:rPr>
          <w:iCs/>
          <w:sz w:val="22"/>
          <w:szCs w:val="22"/>
          <w:lang w:val="sr-Latn-ME"/>
        </w:rPr>
        <w:t xml:space="preserve">. </w:t>
      </w:r>
      <w:r w:rsidRPr="00DE7B81">
        <w:rPr>
          <w:iCs/>
          <w:sz w:val="22"/>
          <w:szCs w:val="22"/>
          <w:lang w:val="sr-Latn-ME"/>
        </w:rPr>
        <w:t>Pacijente treba sav</w:t>
      </w:r>
      <w:r w:rsidR="004C3ABA" w:rsidRPr="00DE7B81">
        <w:rPr>
          <w:iCs/>
          <w:sz w:val="22"/>
          <w:szCs w:val="22"/>
          <w:lang w:val="sr-Latn-ME"/>
        </w:rPr>
        <w:t>j</w:t>
      </w:r>
      <w:r w:rsidRPr="00DE7B81">
        <w:rPr>
          <w:iCs/>
          <w:sz w:val="22"/>
          <w:szCs w:val="22"/>
          <w:lang w:val="sr-Latn-ME"/>
        </w:rPr>
        <w:t>etovati da ne koriste l</w:t>
      </w:r>
      <w:r w:rsidR="004C3ABA" w:rsidRPr="00DE7B81">
        <w:rPr>
          <w:iCs/>
          <w:sz w:val="22"/>
          <w:szCs w:val="22"/>
          <w:lang w:val="sr-Latn-ME"/>
        </w:rPr>
        <w:t>j</w:t>
      </w:r>
      <w:r w:rsidRPr="00DE7B81">
        <w:rPr>
          <w:iCs/>
          <w:sz w:val="22"/>
          <w:szCs w:val="22"/>
          <w:lang w:val="sr-Latn-ME"/>
        </w:rPr>
        <w:t>ekove koji usporavaju cr</w:t>
      </w:r>
      <w:r w:rsidR="006D42CC" w:rsidRPr="00DE7B81">
        <w:rPr>
          <w:iCs/>
          <w:sz w:val="22"/>
          <w:szCs w:val="22"/>
          <w:lang w:val="sr-Latn-ME"/>
        </w:rPr>
        <w:t>ij</w:t>
      </w:r>
      <w:r w:rsidRPr="00DE7B81">
        <w:rPr>
          <w:iCs/>
          <w:sz w:val="22"/>
          <w:szCs w:val="22"/>
          <w:lang w:val="sr-Latn-ME"/>
        </w:rPr>
        <w:t>evnu peristaltiku.</w:t>
      </w:r>
    </w:p>
    <w:p w14:paraId="73798FC5" w14:textId="0A86A3E0" w:rsidR="00E60AC6" w:rsidRPr="00DE7B81" w:rsidRDefault="00E60AC6" w:rsidP="00E60AC6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7B81">
        <w:rPr>
          <w:iCs/>
          <w:sz w:val="22"/>
          <w:szCs w:val="22"/>
          <w:vertAlign w:val="superscript"/>
          <w:lang w:val="sr-Latn-ME"/>
        </w:rPr>
        <w:t>$</w:t>
      </w:r>
      <w:r w:rsidRPr="00DE7B81">
        <w:rPr>
          <w:iCs/>
          <w:sz w:val="22"/>
          <w:szCs w:val="22"/>
          <w:lang w:val="sr-Latn-ME"/>
        </w:rPr>
        <w:t xml:space="preserve"> Uglavnom uočeno kod teško bolesnih pacijenata koji su bili na terapiji više od jednim l</w:t>
      </w:r>
      <w:r w:rsidR="004C3ABA" w:rsidRPr="00DE7B81">
        <w:rPr>
          <w:iCs/>
          <w:sz w:val="22"/>
          <w:szCs w:val="22"/>
          <w:lang w:val="sr-Latn-ME"/>
        </w:rPr>
        <w:t>ij</w:t>
      </w:r>
      <w:r w:rsidRPr="00DE7B81">
        <w:rPr>
          <w:iCs/>
          <w:sz w:val="22"/>
          <w:szCs w:val="22"/>
          <w:lang w:val="sr-Latn-ME"/>
        </w:rPr>
        <w:t>ekom</w:t>
      </w:r>
      <w:r w:rsidR="00362856" w:rsidRPr="00DE7B81">
        <w:rPr>
          <w:iCs/>
          <w:sz w:val="22"/>
          <w:szCs w:val="22"/>
          <w:lang w:val="sr-Latn-ME"/>
        </w:rPr>
        <w:t>.</w:t>
      </w:r>
    </w:p>
    <w:p w14:paraId="5915234D" w14:textId="77777777" w:rsidR="009B312D" w:rsidRPr="00DE7B81" w:rsidRDefault="009B312D" w:rsidP="009B312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C83EDD7" w14:textId="77777777" w:rsidR="0054326B" w:rsidRPr="00DE7B81" w:rsidRDefault="0054326B" w:rsidP="0054326B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DE7B81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5C4821F4" w14:textId="77777777" w:rsidR="0054326B" w:rsidRPr="00DE7B81" w:rsidRDefault="0054326B" w:rsidP="0054326B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DE7B81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564B671B" w14:textId="77777777" w:rsidR="0054326B" w:rsidRPr="00DE7B81" w:rsidRDefault="0054326B" w:rsidP="0054326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E7B81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25BF4C01" w14:textId="77777777" w:rsidR="0054326B" w:rsidRPr="00DE7B81" w:rsidRDefault="0054326B" w:rsidP="0054326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E7B81">
        <w:rPr>
          <w:rFonts w:eastAsia="Calibri"/>
          <w:sz w:val="22"/>
          <w:szCs w:val="22"/>
          <w:lang w:val="sr-Latn-ME"/>
        </w:rPr>
        <w:t>Odjeljenje za farmakovigilancu</w:t>
      </w:r>
    </w:p>
    <w:p w14:paraId="555EB826" w14:textId="11ACF364" w:rsidR="00147115" w:rsidRPr="00EE2B00" w:rsidRDefault="0054326B" w:rsidP="007A1D0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E7B81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7E421244" w14:textId="77777777" w:rsidR="0054326B" w:rsidRPr="00C41F96" w:rsidRDefault="0054326B" w:rsidP="0054326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41F96">
        <w:rPr>
          <w:rFonts w:eastAsia="Calibri"/>
          <w:sz w:val="22"/>
          <w:szCs w:val="22"/>
          <w:lang w:val="sr-Latn-ME"/>
        </w:rPr>
        <w:t>tel: +382 (0) 20 310 280</w:t>
      </w:r>
    </w:p>
    <w:p w14:paraId="47C3C77E" w14:textId="77777777" w:rsidR="0054326B" w:rsidRPr="00DE7B81" w:rsidRDefault="0054326B" w:rsidP="0054326B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DE7B81">
        <w:rPr>
          <w:rFonts w:eastAsia="Calibri"/>
          <w:sz w:val="22"/>
          <w:szCs w:val="22"/>
          <w:lang w:val="sr-Latn-ME"/>
        </w:rPr>
        <w:t>fax: +382 (0) 20 310 581</w:t>
      </w:r>
      <w:r w:rsidRPr="00DE7B81">
        <w:rPr>
          <w:rFonts w:eastAsia="Calibri"/>
          <w:sz w:val="22"/>
          <w:szCs w:val="22"/>
          <w:lang w:val="sr-Latn-ME"/>
        </w:rPr>
        <w:tab/>
      </w:r>
    </w:p>
    <w:p w14:paraId="3CC9124D" w14:textId="77777777" w:rsidR="0054326B" w:rsidRPr="00EE2B00" w:rsidRDefault="00B0517D" w:rsidP="0054326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54326B" w:rsidRPr="00DE7B81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08CFF289" w14:textId="77777777" w:rsidR="0054326B" w:rsidRPr="00EE2B00" w:rsidRDefault="00B0517D" w:rsidP="0054326B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54326B" w:rsidRPr="00DE7B81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2C982E17" w14:textId="77777777" w:rsidR="0054326B" w:rsidRPr="00C41F96" w:rsidRDefault="0054326B" w:rsidP="0054326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41F96">
        <w:rPr>
          <w:rFonts w:eastAsia="Calibri"/>
          <w:sz w:val="22"/>
          <w:szCs w:val="22"/>
          <w:lang w:val="sr-Latn-ME"/>
        </w:rPr>
        <w:t>putem IS zdravstvene zaštite</w:t>
      </w:r>
    </w:p>
    <w:p w14:paraId="652CE44C" w14:textId="77777777" w:rsidR="0054326B" w:rsidRPr="00DE7B81" w:rsidRDefault="0054326B" w:rsidP="0054326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E7B81">
        <w:rPr>
          <w:rFonts w:eastAsia="Calibri"/>
          <w:sz w:val="22"/>
          <w:szCs w:val="22"/>
          <w:lang w:val="sr-Latn-ME"/>
        </w:rPr>
        <w:lastRenderedPageBreak/>
        <w:t>QR kod za online prijavu sumnje na neželjeno dejstvo lijeka:</w:t>
      </w:r>
    </w:p>
    <w:p w14:paraId="063F1D71" w14:textId="77777777" w:rsidR="0054326B" w:rsidRPr="00DE7B81" w:rsidRDefault="0054326B" w:rsidP="0054326B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E5925C2" w14:textId="19D42B35" w:rsidR="0054326B" w:rsidRPr="00EE2B00" w:rsidRDefault="007A1D0B" w:rsidP="0054326B">
      <w:pPr>
        <w:pStyle w:val="NoSpacing"/>
        <w:rPr>
          <w:rFonts w:eastAsia="Calibri"/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534A2B3D" wp14:editId="7B8A51D0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E54152" w14:textId="77777777" w:rsidR="00836B35" w:rsidRPr="00C41F96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DE54153" w14:textId="77777777" w:rsidR="00CD6F02" w:rsidRPr="00DE7B8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 xml:space="preserve">4.9.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sz w:val="22"/>
          <w:szCs w:val="22"/>
          <w:lang w:val="sr-Latn-ME"/>
        </w:rPr>
        <w:t>Predoziranje</w:t>
      </w:r>
      <w:r w:rsidR="002846DB" w:rsidRPr="00DE7B81">
        <w:rPr>
          <w:b/>
          <w:bCs/>
          <w:sz w:val="22"/>
          <w:szCs w:val="22"/>
          <w:lang w:val="sr-Latn-ME"/>
        </w:rPr>
        <w:t xml:space="preserve"> </w:t>
      </w:r>
    </w:p>
    <w:p w14:paraId="5DE54154" w14:textId="77777777" w:rsidR="00CD6F02" w:rsidRPr="00DE7B81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46AA056" w14:textId="1D11BAD0" w:rsidR="00586866" w:rsidRPr="00DE7B81" w:rsidRDefault="00586866" w:rsidP="00D069F3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Predoziranje cefazolinom može izazvati bol, zapaljenje i flebitis na m</w:t>
      </w:r>
      <w:r w:rsidR="004C3ABA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estu prim</w:t>
      </w:r>
      <w:r w:rsidR="004C3ABA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ene l</w:t>
      </w:r>
      <w:r w:rsidR="004C3ABA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eka.</w:t>
      </w:r>
    </w:p>
    <w:p w14:paraId="511BE2BD" w14:textId="1256CAA0" w:rsidR="00D069F3" w:rsidRPr="00DE7B81" w:rsidRDefault="00586866" w:rsidP="001226E1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Primjena veoma velikih doza cefalosporina</w:t>
      </w:r>
      <w:r w:rsidR="001D51EA" w:rsidRPr="00DE7B81">
        <w:rPr>
          <w:sz w:val="22"/>
          <w:szCs w:val="22"/>
          <w:lang w:val="sr-Latn-ME"/>
        </w:rPr>
        <w:t xml:space="preserve"> parenteralnim putem može da ima za posljedicu </w:t>
      </w:r>
      <w:r w:rsidR="00D069F3" w:rsidRPr="00DE7B81">
        <w:rPr>
          <w:sz w:val="22"/>
          <w:szCs w:val="22"/>
          <w:lang w:val="sr-Latn-ME"/>
        </w:rPr>
        <w:t>vrtoglavic</w:t>
      </w:r>
      <w:r w:rsidR="001D51EA" w:rsidRPr="00DE7B81">
        <w:rPr>
          <w:sz w:val="22"/>
          <w:szCs w:val="22"/>
          <w:lang w:val="sr-Latn-ME"/>
        </w:rPr>
        <w:t>u</w:t>
      </w:r>
      <w:r w:rsidR="00D069F3" w:rsidRPr="00DE7B81">
        <w:rPr>
          <w:sz w:val="22"/>
          <w:szCs w:val="22"/>
          <w:lang w:val="sr-Latn-ME"/>
        </w:rPr>
        <w:t>, parestezij</w:t>
      </w:r>
      <w:r w:rsidR="001D51EA" w:rsidRPr="00DE7B81">
        <w:rPr>
          <w:sz w:val="22"/>
          <w:szCs w:val="22"/>
          <w:lang w:val="sr-Latn-ME"/>
        </w:rPr>
        <w:t>e</w:t>
      </w:r>
      <w:r w:rsidR="00D069F3" w:rsidRPr="00DE7B81">
        <w:rPr>
          <w:sz w:val="22"/>
          <w:szCs w:val="22"/>
          <w:lang w:val="sr-Latn-ME"/>
        </w:rPr>
        <w:t xml:space="preserve">, </w:t>
      </w:r>
      <w:r w:rsidR="001D51EA" w:rsidRPr="00DE7B81">
        <w:rPr>
          <w:sz w:val="22"/>
          <w:szCs w:val="22"/>
          <w:lang w:val="sr-Latn-ME"/>
        </w:rPr>
        <w:t xml:space="preserve">ekscitaciju </w:t>
      </w:r>
      <w:r w:rsidR="00D069F3" w:rsidRPr="00DE7B81">
        <w:rPr>
          <w:sz w:val="22"/>
          <w:szCs w:val="22"/>
          <w:lang w:val="sr-Latn-ME"/>
        </w:rPr>
        <w:t xml:space="preserve">centralnog nervnog sistema, mioklonus i </w:t>
      </w:r>
      <w:r w:rsidR="001D51EA" w:rsidRPr="00DE7B81">
        <w:rPr>
          <w:sz w:val="22"/>
          <w:szCs w:val="22"/>
          <w:lang w:val="sr-Latn-ME"/>
        </w:rPr>
        <w:t>glavobolju</w:t>
      </w:r>
      <w:r w:rsidR="00D069F3" w:rsidRPr="00DE7B81">
        <w:rPr>
          <w:sz w:val="22"/>
          <w:szCs w:val="22"/>
          <w:lang w:val="sr-Latn-ME"/>
        </w:rPr>
        <w:t>.</w:t>
      </w:r>
      <w:r w:rsidR="00B80C6C" w:rsidRPr="00DE7B81">
        <w:rPr>
          <w:sz w:val="22"/>
          <w:szCs w:val="22"/>
          <w:lang w:val="sr-Latn-ME"/>
        </w:rPr>
        <w:t xml:space="preserve"> Nakon predoziranja cefalosporinima, mogu se javiti konvulzije, posebno kod pacijenata sa oboljenjima bubrega. Nakon predoziranja, može doći do pojave sljedećih odstupanja od referentnih opsega u rezultatima laboratorijskih analiza</w:t>
      </w:r>
      <w:r w:rsidR="00FC26DA" w:rsidRPr="00DE7B81">
        <w:rPr>
          <w:sz w:val="22"/>
          <w:szCs w:val="22"/>
          <w:lang w:val="sr-Latn-ME"/>
        </w:rPr>
        <w:t xml:space="preserve">: povećanje koncentracije kreatinina, azotnih materija u krvi (engl. </w:t>
      </w:r>
      <w:r w:rsidR="00FC26DA" w:rsidRPr="00DE7B81">
        <w:rPr>
          <w:i/>
          <w:iCs/>
          <w:sz w:val="22"/>
          <w:szCs w:val="22"/>
          <w:lang w:val="sr-Latn-ME"/>
        </w:rPr>
        <w:t>blood urea nitrogen</w:t>
      </w:r>
      <w:r w:rsidR="00FC26DA" w:rsidRPr="00DE7B81">
        <w:rPr>
          <w:sz w:val="22"/>
          <w:szCs w:val="22"/>
          <w:lang w:val="sr-Latn-ME"/>
        </w:rPr>
        <w:t xml:space="preserve"> – BUN)</w:t>
      </w:r>
      <w:r w:rsidR="009366A5" w:rsidRPr="00DE7B81">
        <w:rPr>
          <w:sz w:val="22"/>
          <w:szCs w:val="22"/>
          <w:lang w:val="sr-Latn-ME"/>
        </w:rPr>
        <w:t xml:space="preserve">, enzima jetre i bilirubina, pozitivan </w:t>
      </w:r>
      <w:r w:rsidR="001226E1" w:rsidRPr="00DE7B81">
        <w:rPr>
          <w:i/>
          <w:iCs/>
          <w:sz w:val="22"/>
          <w:szCs w:val="22"/>
          <w:lang w:val="sr-Latn-ME"/>
        </w:rPr>
        <w:t>Coombs</w:t>
      </w:r>
      <w:r w:rsidR="001226E1" w:rsidRPr="00DE7B81">
        <w:rPr>
          <w:sz w:val="22"/>
          <w:szCs w:val="22"/>
          <w:lang w:val="sr-Latn-ME"/>
        </w:rPr>
        <w:t>-ov test, trombocitoza, trombocitopenija, eozinofilija, leukopenija i produženje protrombinskog vr</w:t>
      </w:r>
      <w:r w:rsidR="00DA521A" w:rsidRPr="00DE7B81">
        <w:rPr>
          <w:sz w:val="22"/>
          <w:szCs w:val="22"/>
          <w:lang w:val="sr-Latn-ME"/>
        </w:rPr>
        <w:t>ij</w:t>
      </w:r>
      <w:r w:rsidR="001226E1" w:rsidRPr="00DE7B81">
        <w:rPr>
          <w:sz w:val="22"/>
          <w:szCs w:val="22"/>
          <w:lang w:val="sr-Latn-ME"/>
        </w:rPr>
        <w:t>emena.</w:t>
      </w:r>
    </w:p>
    <w:p w14:paraId="060C3E4C" w14:textId="77777777" w:rsidR="001226E1" w:rsidRPr="00DE7B81" w:rsidRDefault="001226E1" w:rsidP="00D069F3">
      <w:pPr>
        <w:jc w:val="both"/>
        <w:rPr>
          <w:sz w:val="22"/>
          <w:szCs w:val="22"/>
          <w:lang w:val="sr-Latn-ME"/>
        </w:rPr>
      </w:pPr>
    </w:p>
    <w:p w14:paraId="59B62411" w14:textId="7F83F13F" w:rsidR="001226E1" w:rsidRPr="00DE7B81" w:rsidRDefault="001226E1" w:rsidP="00D069F3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Terapija</w:t>
      </w:r>
    </w:p>
    <w:p w14:paraId="0D462825" w14:textId="12200A96" w:rsidR="005D6410" w:rsidRPr="00DE7B81" w:rsidRDefault="005D6410" w:rsidP="005D6410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Ukoliko nastupe konvulzije, prim</w:t>
      </w:r>
      <w:r w:rsidR="00747C63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enu cefazolina treba odmah obustaviti. Može biti potrebna prim</w:t>
      </w:r>
      <w:r w:rsidR="00277C71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ena antikonvulzivne terapije. Potrebno je pažljivo praćenje vitalnih funkcija i odgovarajućih vr</w:t>
      </w:r>
      <w:r w:rsidR="003C4575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ednosti laboratorijskih analiza. U slučaju teškog predoziranja, naročito kod pacijenata sa oštećenom funkcijom</w:t>
      </w:r>
    </w:p>
    <w:p w14:paraId="76830946" w14:textId="27DBCC2F" w:rsidR="005D6410" w:rsidRPr="00DE7B81" w:rsidRDefault="005D6410" w:rsidP="005D6410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bubrega, kombinacija hemodijalize i hemoperfuzije može biti od koristi ukoliko druge terapijske m</w:t>
      </w:r>
      <w:r w:rsidR="003C4575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ere ne daju rezultate. Međutim, nema dovoljno dostupnih podataka koji bi potkr</w:t>
      </w:r>
      <w:r w:rsidR="00BC2C91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epili ovakvu vrstu l</w:t>
      </w:r>
      <w:r w:rsidR="0019560E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ečenja.</w:t>
      </w:r>
      <w:r w:rsidR="0019560E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Peritonealna dijaliza nije efikasna.</w:t>
      </w:r>
    </w:p>
    <w:p w14:paraId="5DE54155" w14:textId="75458FD5" w:rsidR="00227BDB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8ABE062" w14:textId="77777777" w:rsidR="00147115" w:rsidRPr="00EE2B00" w:rsidRDefault="0014711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DE54156" w14:textId="77777777" w:rsidR="0072020E" w:rsidRPr="00DE7B8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41F96">
        <w:rPr>
          <w:b/>
          <w:bCs/>
          <w:sz w:val="22"/>
          <w:szCs w:val="22"/>
          <w:lang w:val="sr-Latn-ME"/>
        </w:rPr>
        <w:t xml:space="preserve">5.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sz w:val="22"/>
          <w:szCs w:val="22"/>
          <w:lang w:val="sr-Latn-ME"/>
        </w:rPr>
        <w:t>FARMAKOLOŠK</w:t>
      </w:r>
      <w:r w:rsidR="000D425A" w:rsidRPr="00DE7B81">
        <w:rPr>
          <w:b/>
          <w:bCs/>
          <w:sz w:val="22"/>
          <w:szCs w:val="22"/>
          <w:lang w:val="sr-Latn-ME"/>
        </w:rPr>
        <w:t>I</w:t>
      </w:r>
      <w:r w:rsidRPr="00DE7B81">
        <w:rPr>
          <w:b/>
          <w:bCs/>
          <w:sz w:val="22"/>
          <w:szCs w:val="22"/>
          <w:lang w:val="sr-Latn-ME"/>
        </w:rPr>
        <w:t xml:space="preserve"> PODACI</w:t>
      </w:r>
    </w:p>
    <w:p w14:paraId="5DE54157" w14:textId="77777777" w:rsidR="0072020E" w:rsidRPr="00DE7B8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DE54158" w14:textId="77777777" w:rsidR="0072020E" w:rsidRPr="00DE7B8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 xml:space="preserve">5.1.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sz w:val="22"/>
          <w:szCs w:val="22"/>
          <w:lang w:val="sr-Latn-ME"/>
        </w:rPr>
        <w:t>Farmakodinamski podaci</w:t>
      </w:r>
      <w:r w:rsidR="003A7059" w:rsidRPr="00DE7B81">
        <w:rPr>
          <w:b/>
          <w:bCs/>
          <w:sz w:val="22"/>
          <w:szCs w:val="22"/>
          <w:lang w:val="sr-Latn-ME"/>
        </w:rPr>
        <w:t xml:space="preserve"> </w:t>
      </w:r>
    </w:p>
    <w:p w14:paraId="5DE54159" w14:textId="77777777" w:rsidR="00F45F77" w:rsidRPr="00DE7B81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DE5415A" w14:textId="7A64C49D" w:rsidR="0072020E" w:rsidRPr="00DE7B81" w:rsidRDefault="0072020E" w:rsidP="008C5C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E7B81">
        <w:rPr>
          <w:bCs/>
          <w:sz w:val="22"/>
          <w:szCs w:val="22"/>
          <w:lang w:val="sr-Latn-ME"/>
        </w:rPr>
        <w:t>Farmakoterapijska grupa:</w:t>
      </w:r>
      <w:r w:rsidR="003D5262" w:rsidRPr="007A1D0B">
        <w:rPr>
          <w:sz w:val="22"/>
          <w:szCs w:val="22"/>
          <w:lang w:val="sr-Latn-ME"/>
        </w:rPr>
        <w:t xml:space="preserve"> </w:t>
      </w:r>
      <w:r w:rsidR="003D5262" w:rsidRPr="00EE2B00">
        <w:rPr>
          <w:bCs/>
          <w:sz w:val="22"/>
          <w:szCs w:val="22"/>
          <w:lang w:val="sr-Latn-ME"/>
        </w:rPr>
        <w:t>Antiinfektivni ljekovi za sistemsku primjenu</w:t>
      </w:r>
      <w:r w:rsidR="002C6E7A" w:rsidRPr="00EE2B00">
        <w:rPr>
          <w:bCs/>
          <w:sz w:val="22"/>
          <w:szCs w:val="22"/>
          <w:lang w:val="sr-Latn-ME"/>
        </w:rPr>
        <w:t>;</w:t>
      </w:r>
      <w:r w:rsidR="003D5262" w:rsidRPr="00C41F96">
        <w:rPr>
          <w:bCs/>
          <w:sz w:val="22"/>
          <w:szCs w:val="22"/>
          <w:lang w:val="sr-Latn-ME"/>
        </w:rPr>
        <w:t xml:space="preserve"> </w:t>
      </w:r>
      <w:r w:rsidR="002C6E7A" w:rsidRPr="00C41F96">
        <w:rPr>
          <w:bCs/>
          <w:sz w:val="22"/>
          <w:szCs w:val="22"/>
          <w:lang w:val="sr-Latn-ME"/>
        </w:rPr>
        <w:t>o</w:t>
      </w:r>
      <w:r w:rsidR="003D5262" w:rsidRPr="004F4605">
        <w:rPr>
          <w:bCs/>
          <w:sz w:val="22"/>
          <w:szCs w:val="22"/>
          <w:lang w:val="sr-Latn-ME"/>
        </w:rPr>
        <w:t>stali beta-laktam antibakterijski ljekovi</w:t>
      </w:r>
      <w:r w:rsidR="00EF525D" w:rsidRPr="00DE7B81">
        <w:rPr>
          <w:bCs/>
          <w:sz w:val="22"/>
          <w:szCs w:val="22"/>
          <w:lang w:val="sr-Latn-ME"/>
        </w:rPr>
        <w:t>; c</w:t>
      </w:r>
      <w:r w:rsidR="003D5262" w:rsidRPr="00DE7B81">
        <w:rPr>
          <w:bCs/>
          <w:sz w:val="22"/>
          <w:szCs w:val="22"/>
          <w:lang w:val="sr-Latn-ME"/>
        </w:rPr>
        <w:t>efalosporini, I generacija.</w:t>
      </w:r>
    </w:p>
    <w:p w14:paraId="5DE5415B" w14:textId="77777777" w:rsidR="0072020E" w:rsidRPr="00DE7B8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E5415C" w14:textId="59A64ADE" w:rsidR="0072020E" w:rsidRPr="00EE2B00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E7B81">
        <w:rPr>
          <w:bCs/>
          <w:sz w:val="22"/>
          <w:szCs w:val="22"/>
          <w:lang w:val="sr-Latn-ME"/>
        </w:rPr>
        <w:t>ATC kod:</w:t>
      </w:r>
      <w:r w:rsidR="003575C4" w:rsidRPr="007A1D0B">
        <w:rPr>
          <w:sz w:val="22"/>
          <w:szCs w:val="22"/>
          <w:lang w:val="sr-Latn-ME"/>
        </w:rPr>
        <w:t xml:space="preserve"> </w:t>
      </w:r>
      <w:r w:rsidR="003575C4" w:rsidRPr="00EE2B00">
        <w:rPr>
          <w:bCs/>
          <w:sz w:val="22"/>
          <w:szCs w:val="22"/>
          <w:lang w:val="sr-Latn-ME"/>
        </w:rPr>
        <w:t>J01DB04</w:t>
      </w:r>
    </w:p>
    <w:p w14:paraId="5DE5415D" w14:textId="3C2F83D6" w:rsidR="002E37A5" w:rsidRPr="00C41F96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CDCA2CE" w14:textId="1B511AD7" w:rsidR="009967C1" w:rsidRPr="00DE7B81" w:rsidRDefault="004F7852" w:rsidP="004F7852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 xml:space="preserve">Cefazolin </w:t>
      </w:r>
      <w:r w:rsidR="00335A39" w:rsidRPr="00DE7B81">
        <w:rPr>
          <w:sz w:val="22"/>
          <w:szCs w:val="22"/>
          <w:lang w:val="sr-Latn-ME"/>
        </w:rPr>
        <w:t>je beta</w:t>
      </w:r>
      <w:r w:rsidR="00703F83" w:rsidRPr="00DE7B81">
        <w:rPr>
          <w:sz w:val="22"/>
          <w:szCs w:val="22"/>
          <w:lang w:val="sr-Latn-ME"/>
        </w:rPr>
        <w:t xml:space="preserve">-laktamski antibiotik iz grupe </w:t>
      </w:r>
      <w:r w:rsidRPr="00DE7B81">
        <w:rPr>
          <w:sz w:val="22"/>
          <w:szCs w:val="22"/>
          <w:lang w:val="sr-Latn-ME"/>
        </w:rPr>
        <w:t>cefalosporin</w:t>
      </w:r>
      <w:r w:rsidR="00703F83" w:rsidRPr="00DE7B81">
        <w:rPr>
          <w:sz w:val="22"/>
          <w:szCs w:val="22"/>
          <w:lang w:val="sr-Latn-ME"/>
        </w:rPr>
        <w:t>a za parenteralnu primjenu</w:t>
      </w:r>
      <w:r w:rsidRPr="00DE7B81">
        <w:rPr>
          <w:sz w:val="22"/>
          <w:szCs w:val="22"/>
          <w:lang w:val="sr-Latn-ME"/>
        </w:rPr>
        <w:t xml:space="preserve">. </w:t>
      </w:r>
    </w:p>
    <w:p w14:paraId="2D8A554B" w14:textId="77777777" w:rsidR="009967C1" w:rsidRPr="00DE7B81" w:rsidRDefault="009967C1" w:rsidP="004F7852">
      <w:pPr>
        <w:jc w:val="both"/>
        <w:rPr>
          <w:sz w:val="22"/>
          <w:szCs w:val="22"/>
          <w:lang w:val="sr-Latn-ME"/>
        </w:rPr>
      </w:pPr>
    </w:p>
    <w:p w14:paraId="3F399BE2" w14:textId="28FE50EC" w:rsidR="009967C1" w:rsidRPr="00DE7B81" w:rsidRDefault="009967C1" w:rsidP="004F7852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Mehanizam dejstva</w:t>
      </w:r>
    </w:p>
    <w:p w14:paraId="365E6B2F" w14:textId="11A005B9" w:rsidR="004F7852" w:rsidRPr="00DE7B81" w:rsidRDefault="009967C1" w:rsidP="004F7852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Mehanizam dejstva cefazolina zasniva se na</w:t>
      </w:r>
      <w:r w:rsidR="004F7852" w:rsidRPr="00DE7B81">
        <w:rPr>
          <w:sz w:val="22"/>
          <w:szCs w:val="22"/>
          <w:lang w:val="sr-Latn-ME"/>
        </w:rPr>
        <w:t xml:space="preserve"> inhibicij</w:t>
      </w:r>
      <w:r w:rsidRPr="00DE7B81">
        <w:rPr>
          <w:sz w:val="22"/>
          <w:szCs w:val="22"/>
          <w:lang w:val="sr-Latn-ME"/>
        </w:rPr>
        <w:t>i</w:t>
      </w:r>
      <w:r w:rsidR="004F7852" w:rsidRPr="00DE7B81">
        <w:rPr>
          <w:sz w:val="22"/>
          <w:szCs w:val="22"/>
          <w:lang w:val="sr-Latn-ME"/>
        </w:rPr>
        <w:t xml:space="preserve"> sinteze ćelijskog zida</w:t>
      </w:r>
      <w:r w:rsidRPr="00DE7B81">
        <w:rPr>
          <w:sz w:val="22"/>
          <w:szCs w:val="22"/>
          <w:lang w:val="sr-Latn-ME"/>
        </w:rPr>
        <w:t xml:space="preserve"> bakterije (tokom faze rasta)</w:t>
      </w:r>
      <w:r w:rsidR="000F521D" w:rsidRPr="00DE7B81">
        <w:rPr>
          <w:sz w:val="22"/>
          <w:szCs w:val="22"/>
          <w:lang w:val="sr-Latn-ME"/>
        </w:rPr>
        <w:t xml:space="preserve"> blokiranjem penicilin-vezujućih proteina (engl. </w:t>
      </w:r>
      <w:r w:rsidR="000F521D" w:rsidRPr="00DE7B81">
        <w:rPr>
          <w:i/>
          <w:iCs/>
          <w:sz w:val="22"/>
          <w:szCs w:val="22"/>
          <w:lang w:val="sr-Latn-ME"/>
        </w:rPr>
        <w:t>penicilin-binding proteins, PBPs</w:t>
      </w:r>
      <w:r w:rsidR="000F521D" w:rsidRPr="00DE7B81">
        <w:rPr>
          <w:sz w:val="22"/>
          <w:szCs w:val="22"/>
          <w:lang w:val="sr-Latn-ME"/>
        </w:rPr>
        <w:t>), kao npr. transpeptidaza, a rezultat toga je baktericidno dejstvo.</w:t>
      </w:r>
      <w:r w:rsidR="004F7852" w:rsidRPr="00DE7B81">
        <w:rPr>
          <w:sz w:val="22"/>
          <w:szCs w:val="22"/>
          <w:lang w:val="sr-Latn-ME"/>
        </w:rPr>
        <w:t xml:space="preserve"> </w:t>
      </w:r>
    </w:p>
    <w:p w14:paraId="5F42AE7B" w14:textId="77777777" w:rsidR="004F7852" w:rsidRPr="00DE7B81" w:rsidRDefault="004F7852" w:rsidP="004F7852">
      <w:pPr>
        <w:jc w:val="both"/>
        <w:rPr>
          <w:sz w:val="22"/>
          <w:szCs w:val="22"/>
          <w:lang w:val="sr-Latn-ME"/>
        </w:rPr>
      </w:pPr>
    </w:p>
    <w:p w14:paraId="70198DEC" w14:textId="77777777" w:rsidR="001D769C" w:rsidRPr="00DE7B81" w:rsidRDefault="001D769C" w:rsidP="001D769C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DE7B81">
        <w:rPr>
          <w:sz w:val="22"/>
          <w:szCs w:val="22"/>
          <w:u w:val="single"/>
          <w:lang w:val="sr-Latn-ME"/>
        </w:rPr>
        <w:t>Veza između farmakokinetike i farmakodinamike</w:t>
      </w:r>
    </w:p>
    <w:p w14:paraId="3BDEFC59" w14:textId="00F372C8" w:rsidR="001D769C" w:rsidRPr="00DE7B81" w:rsidRDefault="001D769C" w:rsidP="001D769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Efikasnost u suštini zavisi od vr</w:t>
      </w:r>
      <w:r w:rsidR="00FD2B6E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 xml:space="preserve">emena tokom kojeg je nivo aktivne supstance iznad minimalne inhibitorne koncentracije (engl. </w:t>
      </w:r>
      <w:r w:rsidRPr="00DE7B81">
        <w:rPr>
          <w:i/>
          <w:iCs/>
          <w:sz w:val="22"/>
          <w:szCs w:val="22"/>
          <w:lang w:val="sr-Latn-ME"/>
        </w:rPr>
        <w:t>minimum inhibitory concentration</w:t>
      </w:r>
      <w:r w:rsidRPr="00DE7B81">
        <w:rPr>
          <w:sz w:val="22"/>
          <w:szCs w:val="22"/>
          <w:lang w:val="sr-Latn-ME"/>
        </w:rPr>
        <w:t>, MIC) patogena.</w:t>
      </w:r>
    </w:p>
    <w:p w14:paraId="4526DDC6" w14:textId="77777777" w:rsidR="001D769C" w:rsidRPr="00DE7B81" w:rsidRDefault="001D769C" w:rsidP="004F7852">
      <w:pPr>
        <w:jc w:val="both"/>
        <w:rPr>
          <w:sz w:val="22"/>
          <w:szCs w:val="22"/>
          <w:lang w:val="sr-Latn-ME"/>
        </w:rPr>
      </w:pPr>
    </w:p>
    <w:p w14:paraId="7E34B3D8" w14:textId="77777777" w:rsidR="002906D5" w:rsidRPr="00DE7B81" w:rsidRDefault="002906D5" w:rsidP="002906D5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DE7B81">
        <w:rPr>
          <w:sz w:val="22"/>
          <w:szCs w:val="22"/>
          <w:u w:val="single"/>
          <w:lang w:val="sr-Latn-ME"/>
        </w:rPr>
        <w:t>Mehanizam rezistencije</w:t>
      </w:r>
    </w:p>
    <w:p w14:paraId="46E45B5E" w14:textId="7BBC3FDF" w:rsidR="002906D5" w:rsidRPr="00DE7B81" w:rsidRDefault="002906D5" w:rsidP="002906D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Rezistencija na cefazolin može da se zasniva na sl</w:t>
      </w:r>
      <w:r w:rsidR="00FD2B6E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edećim mehanizmima:</w:t>
      </w:r>
    </w:p>
    <w:p w14:paraId="41920AFA" w14:textId="47FFFD30" w:rsidR="002906D5" w:rsidRPr="00DE7B81" w:rsidRDefault="002906D5" w:rsidP="002906D5">
      <w:pPr>
        <w:numPr>
          <w:ilvl w:val="0"/>
          <w:numId w:val="13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Inaktivacija beta-laktamazama: cefazolin pos</w:t>
      </w:r>
      <w:r w:rsidR="001C2F3A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eduje visok stepen stabilnosti u odnosu na penicilinaze Gram-pozitivnih bakterija, ali samo nisku stabilnost prema brojnim plazm</w:t>
      </w:r>
      <w:r w:rsidR="00BC76FB" w:rsidRPr="00DE7B81">
        <w:rPr>
          <w:sz w:val="22"/>
          <w:szCs w:val="22"/>
          <w:lang w:val="sr-Latn-ME"/>
        </w:rPr>
        <w:t>id</w:t>
      </w:r>
      <w:r w:rsidRPr="00DE7B81">
        <w:rPr>
          <w:sz w:val="22"/>
          <w:szCs w:val="22"/>
          <w:lang w:val="sr-Latn-ME"/>
        </w:rPr>
        <w:t xml:space="preserve">-kodiranim beta-laktamazama, tzv. beta-lakatamaze sa proširenim spektrom (engl. </w:t>
      </w:r>
      <w:r w:rsidRPr="00DE7B81">
        <w:rPr>
          <w:i/>
          <w:iCs/>
          <w:sz w:val="22"/>
          <w:szCs w:val="22"/>
          <w:lang w:val="sr-Latn-ME"/>
        </w:rPr>
        <w:t>extended spectrum betalactamases</w:t>
      </w:r>
      <w:r w:rsidRPr="00DE7B81">
        <w:rPr>
          <w:sz w:val="22"/>
          <w:szCs w:val="22"/>
          <w:lang w:val="sr-Latn-ME"/>
        </w:rPr>
        <w:t>, ESBLs) ili hromozomski kodiranim beta-laktamazama tipa AmpC.</w:t>
      </w:r>
    </w:p>
    <w:p w14:paraId="1ABBECE4" w14:textId="63CCDCE2" w:rsidR="002906D5" w:rsidRPr="00DE7B81" w:rsidRDefault="002906D5" w:rsidP="002906D5">
      <w:pPr>
        <w:numPr>
          <w:ilvl w:val="0"/>
          <w:numId w:val="13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Redukovani afinitet PBP prema cefazolinu: stečena rezistencija kod pneumokoka i drugih streptokoka zasniva se na modifikacijama postojećih PBP kao posl</w:t>
      </w:r>
      <w:r w:rsidR="0018251C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 xml:space="preserve">edica mutacije. Za </w:t>
      </w:r>
      <w:r w:rsidRPr="00DE7B81">
        <w:rPr>
          <w:sz w:val="22"/>
          <w:szCs w:val="22"/>
          <w:lang w:val="sr-Latn-ME"/>
        </w:rPr>
        <w:lastRenderedPageBreak/>
        <w:t>rezistenciju kod stafilokoka rezistentnih na meticilin (oksacilin) odgovorno je stvaranje dodatnog PBP sa smanjenim afinitetom prema cefazolinu.</w:t>
      </w:r>
    </w:p>
    <w:p w14:paraId="367BB906" w14:textId="2886A6FE" w:rsidR="002906D5" w:rsidRPr="00DE7B81" w:rsidRDefault="002906D5" w:rsidP="002906D5">
      <w:pPr>
        <w:numPr>
          <w:ilvl w:val="0"/>
          <w:numId w:val="13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Nedovoljna penetracija cefazolina kroz spoljni zid ćelije kod Gram-negativnih bakterija može da dovede do toga da PBP ne budu u dovoljnoj m</w:t>
      </w:r>
      <w:r w:rsidR="00066C25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eri blokirani.</w:t>
      </w:r>
    </w:p>
    <w:p w14:paraId="4375FEFC" w14:textId="77777777" w:rsidR="002906D5" w:rsidRPr="00DE7B81" w:rsidRDefault="002906D5" w:rsidP="002906D5">
      <w:pPr>
        <w:numPr>
          <w:ilvl w:val="0"/>
          <w:numId w:val="13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Cefazolin može efluksnim pumpama aktivno da se transportuje iz ćelije.</w:t>
      </w:r>
    </w:p>
    <w:p w14:paraId="444241DC" w14:textId="081A3BB8" w:rsidR="002906D5" w:rsidRPr="00DE7B81" w:rsidRDefault="002906D5" w:rsidP="007A1D0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Postoji parcijalna ili potpuna unakrsna rezistencija cefazolina sa drugim cefalosporinima i penicilinima.</w:t>
      </w:r>
    </w:p>
    <w:p w14:paraId="4B1D23EC" w14:textId="77777777" w:rsidR="00E14D62" w:rsidRPr="00DE7B81" w:rsidRDefault="00E14D62" w:rsidP="00E14D6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7F7FB9D" w14:textId="286438B0" w:rsidR="00E14D62" w:rsidRPr="00DE7B81" w:rsidRDefault="00E14D62" w:rsidP="00E14D62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DE7B81">
        <w:rPr>
          <w:sz w:val="22"/>
          <w:szCs w:val="22"/>
          <w:u w:val="single"/>
          <w:lang w:val="sr-Latn-ME"/>
        </w:rPr>
        <w:t>Granične vr</w:t>
      </w:r>
      <w:r w:rsidR="008157A4" w:rsidRPr="00DE7B81">
        <w:rPr>
          <w:sz w:val="22"/>
          <w:szCs w:val="22"/>
          <w:u w:val="single"/>
          <w:lang w:val="sr-Latn-ME"/>
        </w:rPr>
        <w:t>ij</w:t>
      </w:r>
      <w:r w:rsidRPr="00DE7B81">
        <w:rPr>
          <w:sz w:val="22"/>
          <w:szCs w:val="22"/>
          <w:u w:val="single"/>
          <w:lang w:val="sr-Latn-ME"/>
        </w:rPr>
        <w:t>ednosti</w:t>
      </w:r>
    </w:p>
    <w:p w14:paraId="3F7C7892" w14:textId="0FF7367A" w:rsidR="00E14D62" w:rsidRPr="00DE7B81" w:rsidRDefault="00E14D62" w:rsidP="00E14D6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Ispitivanje os</w:t>
      </w:r>
      <w:r w:rsidR="008157A4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etljivosti na cefazolin je sprovedeno korišćenjem dilucionog metoda. Utvrđene su sl</w:t>
      </w:r>
      <w:r w:rsidR="008157A4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edeće</w:t>
      </w:r>
    </w:p>
    <w:p w14:paraId="252A5E45" w14:textId="44CFFDA5" w:rsidR="00E14D62" w:rsidRPr="00DE7B81" w:rsidRDefault="00E14D62" w:rsidP="00E14D6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vr</w:t>
      </w:r>
      <w:r w:rsidR="00EC26DD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ednosti minimalnih inhibitornih koncentracija za os</w:t>
      </w:r>
      <w:r w:rsidR="008157A4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etljive i rezistentne mikroorganizme:</w:t>
      </w:r>
    </w:p>
    <w:p w14:paraId="656F3FC0" w14:textId="4D9198FD" w:rsidR="00E14D62" w:rsidRPr="00DE7B81" w:rsidRDefault="00E14D62" w:rsidP="00E14D6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 xml:space="preserve">EUCAST (engl. </w:t>
      </w:r>
      <w:r w:rsidRPr="00DE7B81">
        <w:rPr>
          <w:i/>
          <w:iCs/>
          <w:sz w:val="22"/>
          <w:szCs w:val="22"/>
          <w:lang w:val="sr-Latn-ME"/>
        </w:rPr>
        <w:t>European Committee on Antimicrobial Susceptibility Testing</w:t>
      </w:r>
      <w:r w:rsidRPr="00DE7B81">
        <w:rPr>
          <w:sz w:val="22"/>
          <w:szCs w:val="22"/>
          <w:lang w:val="sr-Latn-ME"/>
        </w:rPr>
        <w:t>) granične vr</w:t>
      </w:r>
      <w:r w:rsidR="008157A4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ednosti su</w:t>
      </w:r>
    </w:p>
    <w:p w14:paraId="77ED9BE9" w14:textId="3132D473" w:rsidR="00E14D62" w:rsidRPr="00DE7B81" w:rsidRDefault="00E14D62" w:rsidP="00E14D62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prikazane u tabeli</w:t>
      </w:r>
      <w:r w:rsidR="009939E3" w:rsidRPr="00DE7B81">
        <w:rPr>
          <w:sz w:val="22"/>
          <w:szCs w:val="22"/>
          <w:lang w:val="sr-Latn-ME"/>
        </w:rPr>
        <w:t>.</w:t>
      </w:r>
    </w:p>
    <w:p w14:paraId="718340D0" w14:textId="77777777" w:rsidR="00E14D62" w:rsidRPr="00DE7B81" w:rsidRDefault="00E14D62" w:rsidP="00E14D6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2990"/>
        <w:gridCol w:w="3007"/>
      </w:tblGrid>
      <w:tr w:rsidR="00A01656" w:rsidRPr="00DE7B81" w14:paraId="6C678C69" w14:textId="77777777" w:rsidTr="00576453">
        <w:tc>
          <w:tcPr>
            <w:tcW w:w="3285" w:type="dxa"/>
          </w:tcPr>
          <w:p w14:paraId="535A5F7A" w14:textId="77777777" w:rsidR="00E14D62" w:rsidRPr="00DE7B81" w:rsidRDefault="00E14D62" w:rsidP="00E14D62">
            <w:pPr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DE7B81">
              <w:rPr>
                <w:b/>
                <w:bCs/>
                <w:sz w:val="22"/>
                <w:szCs w:val="22"/>
                <w:lang w:val="sr-Latn-ME"/>
              </w:rPr>
              <w:t>Mikroorganizam</w:t>
            </w:r>
          </w:p>
        </w:tc>
        <w:tc>
          <w:tcPr>
            <w:tcW w:w="3285" w:type="dxa"/>
          </w:tcPr>
          <w:p w14:paraId="4D0DA529" w14:textId="77777777" w:rsidR="00E14D62" w:rsidRPr="00DE7B81" w:rsidRDefault="00E14D62" w:rsidP="00E14D62">
            <w:pPr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DE7B81">
              <w:rPr>
                <w:b/>
                <w:bCs/>
                <w:sz w:val="22"/>
                <w:szCs w:val="22"/>
                <w:lang w:val="sr-Latn-ME"/>
              </w:rPr>
              <w:t>Senzitivan</w:t>
            </w:r>
          </w:p>
        </w:tc>
        <w:tc>
          <w:tcPr>
            <w:tcW w:w="3285" w:type="dxa"/>
          </w:tcPr>
          <w:p w14:paraId="1F85E792" w14:textId="77777777" w:rsidR="00E14D62" w:rsidRPr="00DE7B81" w:rsidRDefault="00E14D62" w:rsidP="00E14D62">
            <w:pPr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DE7B81">
              <w:rPr>
                <w:b/>
                <w:bCs/>
                <w:sz w:val="22"/>
                <w:szCs w:val="22"/>
                <w:lang w:val="sr-Latn-ME"/>
              </w:rPr>
              <w:t>Rezistentan</w:t>
            </w:r>
          </w:p>
        </w:tc>
      </w:tr>
      <w:tr w:rsidR="00A01656" w:rsidRPr="00DE7B81" w14:paraId="5E819B9B" w14:textId="77777777" w:rsidTr="00576453">
        <w:tc>
          <w:tcPr>
            <w:tcW w:w="3285" w:type="dxa"/>
          </w:tcPr>
          <w:p w14:paraId="0D447D68" w14:textId="77777777" w:rsidR="00E14D62" w:rsidRPr="00C41F96" w:rsidRDefault="00E14D62" w:rsidP="00E14D6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EE2B00">
              <w:rPr>
                <w:sz w:val="22"/>
                <w:szCs w:val="22"/>
                <w:lang w:val="sr-Latn-ME"/>
              </w:rPr>
              <w:t xml:space="preserve">Viridans grupa </w:t>
            </w:r>
            <w:r w:rsidRPr="00EE2B00">
              <w:rPr>
                <w:i/>
                <w:iCs/>
                <w:sz w:val="22"/>
                <w:szCs w:val="22"/>
                <w:lang w:val="sr-Latn-ME"/>
              </w:rPr>
              <w:t>Streptococci</w:t>
            </w:r>
          </w:p>
        </w:tc>
        <w:tc>
          <w:tcPr>
            <w:tcW w:w="3285" w:type="dxa"/>
          </w:tcPr>
          <w:p w14:paraId="178BA42C" w14:textId="5B6B0F97" w:rsidR="00E14D62" w:rsidRPr="00DE7B81" w:rsidRDefault="00E14D62" w:rsidP="00E14D6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DE7B81">
              <w:rPr>
                <w:sz w:val="22"/>
                <w:szCs w:val="22"/>
                <w:lang w:val="sr-Latn-ME"/>
              </w:rPr>
              <w:t>≤0,5 mg/</w:t>
            </w:r>
            <w:r w:rsidR="009939E3" w:rsidRPr="00DE7B81">
              <w:rPr>
                <w:sz w:val="22"/>
                <w:szCs w:val="22"/>
                <w:lang w:val="sr-Latn-ME"/>
              </w:rPr>
              <w:t>l</w:t>
            </w:r>
          </w:p>
        </w:tc>
        <w:tc>
          <w:tcPr>
            <w:tcW w:w="3285" w:type="dxa"/>
          </w:tcPr>
          <w:p w14:paraId="6325F7F6" w14:textId="3F79CAF2" w:rsidR="00E14D62" w:rsidRPr="00DE7B81" w:rsidRDefault="00E14D62" w:rsidP="00E14D6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DE7B81">
              <w:rPr>
                <w:sz w:val="22"/>
                <w:szCs w:val="22"/>
                <w:lang w:val="sr-Latn-ME"/>
              </w:rPr>
              <w:t>&gt;0,5 mg/</w:t>
            </w:r>
            <w:r w:rsidR="009939E3" w:rsidRPr="00DE7B81">
              <w:rPr>
                <w:sz w:val="22"/>
                <w:szCs w:val="22"/>
                <w:lang w:val="sr-Latn-ME"/>
              </w:rPr>
              <w:t>l</w:t>
            </w:r>
          </w:p>
        </w:tc>
      </w:tr>
      <w:tr w:rsidR="00A01656" w:rsidRPr="00DE7B81" w14:paraId="63448927" w14:textId="77777777" w:rsidTr="00576453">
        <w:tc>
          <w:tcPr>
            <w:tcW w:w="3285" w:type="dxa"/>
          </w:tcPr>
          <w:p w14:paraId="078660C6" w14:textId="5C8975EF" w:rsidR="00E14D62" w:rsidRPr="00C41F96" w:rsidRDefault="00E14D62" w:rsidP="00E14D6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EE2B00">
              <w:rPr>
                <w:sz w:val="22"/>
                <w:szCs w:val="22"/>
                <w:lang w:val="sr-Latn-ME"/>
              </w:rPr>
              <w:t>Granične vr</w:t>
            </w:r>
            <w:r w:rsidR="008157A4" w:rsidRPr="00EE2B00">
              <w:rPr>
                <w:sz w:val="22"/>
                <w:szCs w:val="22"/>
                <w:lang w:val="sr-Latn-ME"/>
              </w:rPr>
              <w:t>ij</w:t>
            </w:r>
            <w:r w:rsidRPr="00C41F96">
              <w:rPr>
                <w:sz w:val="22"/>
                <w:szCs w:val="22"/>
                <w:lang w:val="sr-Latn-ME"/>
              </w:rPr>
              <w:t>ednosti koje</w:t>
            </w:r>
          </w:p>
          <w:p w14:paraId="493B3B36" w14:textId="77777777" w:rsidR="00E14D62" w:rsidRPr="00DE7B81" w:rsidRDefault="00E14D62" w:rsidP="00E14D6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DE7B81">
              <w:rPr>
                <w:sz w:val="22"/>
                <w:szCs w:val="22"/>
                <w:lang w:val="sr-Latn-ME"/>
              </w:rPr>
              <w:t>nisu specifične za vrste</w:t>
            </w:r>
            <w:r w:rsidRPr="00DE7B81">
              <w:rPr>
                <w:sz w:val="22"/>
                <w:szCs w:val="22"/>
                <w:vertAlign w:val="superscript"/>
                <w:lang w:val="sr-Latn-ME"/>
              </w:rPr>
              <w:t>*</w:t>
            </w:r>
          </w:p>
          <w:p w14:paraId="005B51B3" w14:textId="77777777" w:rsidR="00E14D62" w:rsidRPr="00DE7B81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DE7B81">
              <w:rPr>
                <w:sz w:val="22"/>
                <w:szCs w:val="22"/>
                <w:lang w:val="sr-Latn-ME"/>
              </w:rPr>
              <w:t xml:space="preserve">(izuzetak: </w:t>
            </w:r>
            <w:r w:rsidRPr="00DE7B81">
              <w:rPr>
                <w:i/>
                <w:iCs/>
                <w:sz w:val="22"/>
                <w:szCs w:val="22"/>
                <w:lang w:val="sr-Latn-ME"/>
              </w:rPr>
              <w:t>Stapylococcus</w:t>
            </w:r>
          </w:p>
          <w:p w14:paraId="4A59F3A7" w14:textId="77777777" w:rsidR="00E14D62" w:rsidRPr="00DE7B81" w:rsidRDefault="00E14D62" w:rsidP="00E14D6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DE7B81">
              <w:rPr>
                <w:i/>
                <w:iCs/>
                <w:sz w:val="22"/>
                <w:szCs w:val="22"/>
                <w:lang w:val="sr-Latn-ME"/>
              </w:rPr>
              <w:t>spp</w:t>
            </w:r>
            <w:r w:rsidRPr="00DE7B81">
              <w:rPr>
                <w:sz w:val="22"/>
                <w:szCs w:val="22"/>
                <w:vertAlign w:val="superscript"/>
                <w:lang w:val="sr-Latn-ME"/>
              </w:rPr>
              <w:t>1</w:t>
            </w:r>
            <w:r w:rsidRPr="00DE7B81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3285" w:type="dxa"/>
          </w:tcPr>
          <w:p w14:paraId="77E52D46" w14:textId="6FE730F6" w:rsidR="00E14D62" w:rsidRPr="00DE7B81" w:rsidRDefault="00E14D62" w:rsidP="00E14D6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DE7B81">
              <w:rPr>
                <w:sz w:val="22"/>
                <w:szCs w:val="22"/>
                <w:lang w:val="sr-Latn-ME"/>
              </w:rPr>
              <w:t>≤1 mg/</w:t>
            </w:r>
            <w:r w:rsidR="009939E3" w:rsidRPr="00DE7B81">
              <w:rPr>
                <w:sz w:val="22"/>
                <w:szCs w:val="22"/>
                <w:lang w:val="sr-Latn-ME"/>
              </w:rPr>
              <w:t>l</w:t>
            </w:r>
          </w:p>
        </w:tc>
        <w:tc>
          <w:tcPr>
            <w:tcW w:w="3285" w:type="dxa"/>
          </w:tcPr>
          <w:p w14:paraId="2E06DC54" w14:textId="724A6DE2" w:rsidR="00E14D62" w:rsidRPr="00DE7B81" w:rsidRDefault="00E14D62" w:rsidP="00E14D6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DE7B81">
              <w:rPr>
                <w:sz w:val="22"/>
                <w:szCs w:val="22"/>
                <w:lang w:val="sr-Latn-ME"/>
              </w:rPr>
              <w:t>&gt;2 mg/</w:t>
            </w:r>
            <w:r w:rsidR="009939E3" w:rsidRPr="00DE7B81">
              <w:rPr>
                <w:sz w:val="22"/>
                <w:szCs w:val="22"/>
                <w:lang w:val="sr-Latn-ME"/>
              </w:rPr>
              <w:t>l</w:t>
            </w:r>
          </w:p>
        </w:tc>
      </w:tr>
    </w:tbl>
    <w:p w14:paraId="0F70FBA2" w14:textId="77777777" w:rsidR="00E14D62" w:rsidRPr="00EE2B00" w:rsidRDefault="00E14D62" w:rsidP="00E14D6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E2B00">
        <w:rPr>
          <w:sz w:val="22"/>
          <w:szCs w:val="22"/>
          <w:vertAlign w:val="superscript"/>
          <w:lang w:val="sr-Latn-ME"/>
        </w:rPr>
        <w:t>*</w:t>
      </w:r>
      <w:r w:rsidRPr="00EE2B00">
        <w:rPr>
          <w:sz w:val="22"/>
          <w:szCs w:val="22"/>
          <w:lang w:val="sr-Latn-ME"/>
        </w:rPr>
        <w:t>Bazirajući se prvenstveno na farmakokokinetici u serumu</w:t>
      </w:r>
    </w:p>
    <w:p w14:paraId="4490F734" w14:textId="2F1CE96E" w:rsidR="00E14D62" w:rsidRPr="00DE7B81" w:rsidRDefault="00E14D62" w:rsidP="00E14D6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41F96">
        <w:rPr>
          <w:sz w:val="22"/>
          <w:szCs w:val="22"/>
          <w:vertAlign w:val="superscript"/>
          <w:lang w:val="sr-Latn-ME"/>
        </w:rPr>
        <w:t>1</w:t>
      </w:r>
      <w:r w:rsidRPr="00C41F96">
        <w:rPr>
          <w:sz w:val="22"/>
          <w:szCs w:val="22"/>
          <w:lang w:val="sr-Latn-ME"/>
        </w:rPr>
        <w:t xml:space="preserve">Za </w:t>
      </w:r>
      <w:r w:rsidRPr="004F4605">
        <w:rPr>
          <w:i/>
          <w:iCs/>
          <w:sz w:val="22"/>
          <w:szCs w:val="22"/>
          <w:lang w:val="sr-Latn-ME"/>
        </w:rPr>
        <w:t>Staphylococcus</w:t>
      </w:r>
      <w:r w:rsidRPr="00DE7B81">
        <w:rPr>
          <w:sz w:val="22"/>
          <w:szCs w:val="22"/>
          <w:lang w:val="sr-Latn-ME"/>
        </w:rPr>
        <w:t xml:space="preserve"> spp. preuzima se rezultat testiranja oksacilina, odnosno cefoksitina. Meticilin (oksacilin)</w:t>
      </w:r>
      <w:r w:rsidR="009939E3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rezistentne stafilokoke se nezavisno od rezultata testa vrednuju kao rezistentne na cefalosporine.</w:t>
      </w:r>
    </w:p>
    <w:p w14:paraId="0868553E" w14:textId="77777777" w:rsidR="00E14D62" w:rsidRPr="00DE7B81" w:rsidRDefault="00E14D62" w:rsidP="00E14D6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59AECB7" w14:textId="77777777" w:rsidR="00E14D62" w:rsidRPr="00DE7B81" w:rsidRDefault="00E14D62" w:rsidP="00E14D62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DE7B81">
        <w:rPr>
          <w:sz w:val="22"/>
          <w:szCs w:val="22"/>
          <w:u w:val="single"/>
          <w:lang w:val="sr-Latn-ME"/>
        </w:rPr>
        <w:t>Prevalenca stečene rezistencije</w:t>
      </w:r>
    </w:p>
    <w:p w14:paraId="3C9A3BE2" w14:textId="5BCB8ACF" w:rsidR="00E14D62" w:rsidRPr="00DE7B81" w:rsidRDefault="00E14D62" w:rsidP="00E14D6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Prevalenca stečene rezistencije pojedinih vrsta može lokalno i tokom vr</w:t>
      </w:r>
      <w:r w:rsidR="00336975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emena da varira, pa su zbog toga</w:t>
      </w:r>
      <w:r w:rsidR="00336975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potrebne lokalne informacije o situaciji rezistentnosti – pogotovo radi adekvatnog l</w:t>
      </w:r>
      <w:r w:rsidR="00336975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ečenja teških infekcija.</w:t>
      </w:r>
      <w:r w:rsidR="00336975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Ako je usl</w:t>
      </w:r>
      <w:r w:rsidR="007A4656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ed lokalne situacije rezistentnosti d</w:t>
      </w:r>
      <w:r w:rsidR="00336975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elotvornost cefazolina dovedena u pitanje, onda je potrebna</w:t>
      </w:r>
      <w:r w:rsidR="00CB0168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konsultacija sa stručnjacima u vezi sa terapijom. Kod teških infekcija ili kod neuspeha terapije treba težiti</w:t>
      </w:r>
      <w:r w:rsidR="005A43F8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mikrobiološkoj dijagnozi sa dokazivanjem uzročnika i njegove os</w:t>
      </w:r>
      <w:r w:rsidR="00CB0168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etljivosti na cefazolin.</w:t>
      </w:r>
    </w:p>
    <w:p w14:paraId="03F82B84" w14:textId="77777777" w:rsidR="00E14D62" w:rsidRPr="00DE7B81" w:rsidRDefault="00E14D62" w:rsidP="00E14D6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201486E" w14:textId="6E08694A" w:rsidR="00E14D62" w:rsidRPr="00DE7B81" w:rsidRDefault="00E14D62" w:rsidP="00E14D6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Prevalenca stečene rezistencije u Nemačkoj na osnovu podataka tokom posl</w:t>
      </w:r>
      <w:r w:rsidR="00CB0168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ednjih 5 godina iz nacionalnih</w:t>
      </w:r>
      <w:r w:rsidR="005A43F8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projekata i studija nadzora rezistencije (stanje: januar 2016).</w:t>
      </w:r>
    </w:p>
    <w:p w14:paraId="764462AC" w14:textId="77777777" w:rsidR="00E14D62" w:rsidRPr="00DE7B81" w:rsidRDefault="00E14D62" w:rsidP="00E14D6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4"/>
        <w:gridCol w:w="241"/>
      </w:tblGrid>
      <w:tr w:rsidR="00A01656" w:rsidRPr="00DE7B81" w14:paraId="2AB9A8A1" w14:textId="77777777" w:rsidTr="00576453">
        <w:tc>
          <w:tcPr>
            <w:tcW w:w="9855" w:type="dxa"/>
            <w:gridSpan w:val="2"/>
          </w:tcPr>
          <w:p w14:paraId="388A61F6" w14:textId="6FEC801A" w:rsidR="00E14D62" w:rsidRPr="00DE7B81" w:rsidRDefault="00E14D62" w:rsidP="00E14D62">
            <w:pPr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DE7B81">
              <w:rPr>
                <w:b/>
                <w:bCs/>
                <w:sz w:val="22"/>
                <w:szCs w:val="22"/>
                <w:lang w:val="sr-Latn-ME"/>
              </w:rPr>
              <w:t>Uobičajeno os</w:t>
            </w:r>
            <w:r w:rsidR="00D47FDD" w:rsidRPr="00DE7B81">
              <w:rPr>
                <w:b/>
                <w:bCs/>
                <w:sz w:val="22"/>
                <w:szCs w:val="22"/>
                <w:lang w:val="sr-Latn-ME"/>
              </w:rPr>
              <w:t>j</w:t>
            </w:r>
            <w:r w:rsidRPr="00DE7B81">
              <w:rPr>
                <w:b/>
                <w:bCs/>
                <w:sz w:val="22"/>
                <w:szCs w:val="22"/>
                <w:lang w:val="sr-Latn-ME"/>
              </w:rPr>
              <w:t>etljive vrste</w:t>
            </w:r>
          </w:p>
        </w:tc>
      </w:tr>
      <w:tr w:rsidR="00A01656" w:rsidRPr="00DE7B81" w14:paraId="68714DB2" w14:textId="77777777" w:rsidTr="00576453">
        <w:tc>
          <w:tcPr>
            <w:tcW w:w="9855" w:type="dxa"/>
            <w:gridSpan w:val="2"/>
          </w:tcPr>
          <w:p w14:paraId="49D96F34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b/>
                <w:bCs/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b/>
                <w:bCs/>
                <w:i/>
                <w:iCs/>
                <w:sz w:val="22"/>
                <w:szCs w:val="22"/>
                <w:lang w:val="sr-Latn-ME"/>
              </w:rPr>
              <w:t>Aerobni Gram-pozitivni mikroorganizmi</w:t>
            </w:r>
          </w:p>
        </w:tc>
      </w:tr>
      <w:tr w:rsidR="00A01656" w:rsidRPr="00DE7B81" w14:paraId="73560531" w14:textId="77777777" w:rsidTr="00576453">
        <w:tc>
          <w:tcPr>
            <w:tcW w:w="9855" w:type="dxa"/>
            <w:gridSpan w:val="2"/>
          </w:tcPr>
          <w:p w14:paraId="54E25BA8" w14:textId="621DFE7F" w:rsidR="00E14D62" w:rsidRPr="00C41F96" w:rsidRDefault="00E14D62" w:rsidP="00E14D6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>Staphylococcus aureus</w:t>
            </w:r>
            <w:r w:rsidRPr="00EE2B00">
              <w:rPr>
                <w:sz w:val="22"/>
                <w:szCs w:val="22"/>
                <w:lang w:val="sr-Latn-ME"/>
              </w:rPr>
              <w:t xml:space="preserve"> (os</w:t>
            </w:r>
            <w:r w:rsidR="00C5622E" w:rsidRPr="00C41F96">
              <w:rPr>
                <w:sz w:val="22"/>
                <w:szCs w:val="22"/>
                <w:lang w:val="sr-Latn-ME"/>
              </w:rPr>
              <w:t>j</w:t>
            </w:r>
            <w:r w:rsidRPr="00C41F96">
              <w:rPr>
                <w:sz w:val="22"/>
                <w:szCs w:val="22"/>
                <w:lang w:val="sr-Latn-ME"/>
              </w:rPr>
              <w:t>etljiv na meticilin)</w:t>
            </w:r>
          </w:p>
        </w:tc>
      </w:tr>
      <w:tr w:rsidR="00A01656" w:rsidRPr="00DE7B81" w14:paraId="40998A3F" w14:textId="77777777" w:rsidTr="00576453">
        <w:tc>
          <w:tcPr>
            <w:tcW w:w="9855" w:type="dxa"/>
            <w:gridSpan w:val="2"/>
          </w:tcPr>
          <w:p w14:paraId="47B63C0F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>Staphylococcus saprophyticus</w:t>
            </w:r>
            <w:r w:rsidRPr="00EE2B00">
              <w:rPr>
                <w:sz w:val="22"/>
                <w:szCs w:val="22"/>
                <w:lang w:val="sr-Latn-ME"/>
              </w:rPr>
              <w:t xml:space="preserve"> °</w:t>
            </w:r>
          </w:p>
        </w:tc>
      </w:tr>
      <w:tr w:rsidR="00A01656" w:rsidRPr="00DE7B81" w14:paraId="4BD4FFEC" w14:textId="77777777" w:rsidTr="00576453">
        <w:tc>
          <w:tcPr>
            <w:tcW w:w="9855" w:type="dxa"/>
            <w:gridSpan w:val="2"/>
          </w:tcPr>
          <w:p w14:paraId="4A0155AD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>Streptococcus agalactiae °</w:t>
            </w:r>
          </w:p>
        </w:tc>
      </w:tr>
      <w:tr w:rsidR="00A01656" w:rsidRPr="00DE7B81" w14:paraId="2EDFF01F" w14:textId="77777777" w:rsidTr="00576453">
        <w:tc>
          <w:tcPr>
            <w:tcW w:w="9855" w:type="dxa"/>
            <w:gridSpan w:val="2"/>
          </w:tcPr>
          <w:p w14:paraId="3A14EC21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>Streptococcus pneumoniae °</w:t>
            </w:r>
          </w:p>
        </w:tc>
      </w:tr>
      <w:tr w:rsidR="00A01656" w:rsidRPr="00DE7B81" w14:paraId="368F2090" w14:textId="77777777" w:rsidTr="00576453">
        <w:tc>
          <w:tcPr>
            <w:tcW w:w="9855" w:type="dxa"/>
            <w:gridSpan w:val="2"/>
          </w:tcPr>
          <w:p w14:paraId="34BC69B5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>Streptococcus pyogenes °</w:t>
            </w:r>
          </w:p>
        </w:tc>
      </w:tr>
      <w:tr w:rsidR="00A01656" w:rsidRPr="00DE7B81" w14:paraId="370F8A94" w14:textId="77777777" w:rsidTr="00576453">
        <w:tc>
          <w:tcPr>
            <w:tcW w:w="9855" w:type="dxa"/>
            <w:gridSpan w:val="2"/>
          </w:tcPr>
          <w:p w14:paraId="3E0D162B" w14:textId="421FD862" w:rsidR="00E14D62" w:rsidRPr="00C41F96" w:rsidRDefault="00E14D62" w:rsidP="00E14D62">
            <w:pPr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EE2B00">
              <w:rPr>
                <w:b/>
                <w:bCs/>
                <w:sz w:val="22"/>
                <w:szCs w:val="22"/>
                <w:lang w:val="sr-Latn-ME"/>
              </w:rPr>
              <w:t>Vrste kod kojih stečena rezistencija može predstavljati problem prilikom prim</w:t>
            </w:r>
            <w:r w:rsidR="00D47FDD" w:rsidRPr="00C41F96">
              <w:rPr>
                <w:b/>
                <w:bCs/>
                <w:sz w:val="22"/>
                <w:szCs w:val="22"/>
                <w:lang w:val="sr-Latn-ME"/>
              </w:rPr>
              <w:t>j</w:t>
            </w:r>
            <w:r w:rsidRPr="00C41F96">
              <w:rPr>
                <w:b/>
                <w:bCs/>
                <w:sz w:val="22"/>
                <w:szCs w:val="22"/>
                <w:lang w:val="sr-Latn-ME"/>
              </w:rPr>
              <w:t>ene</w:t>
            </w:r>
          </w:p>
          <w:p w14:paraId="171855E7" w14:textId="3C6BB641" w:rsidR="00E14D62" w:rsidRPr="00DE7B81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DE7B81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="00D47FDD" w:rsidRPr="00DE7B81">
              <w:rPr>
                <w:b/>
                <w:bCs/>
                <w:sz w:val="22"/>
                <w:szCs w:val="22"/>
                <w:lang w:val="sr-Latn-ME"/>
              </w:rPr>
              <w:t>ij</w:t>
            </w:r>
            <w:r w:rsidRPr="00DE7B81">
              <w:rPr>
                <w:b/>
                <w:bCs/>
                <w:sz w:val="22"/>
                <w:szCs w:val="22"/>
                <w:lang w:val="sr-Latn-ME"/>
              </w:rPr>
              <w:t>eka</w:t>
            </w:r>
          </w:p>
        </w:tc>
      </w:tr>
      <w:tr w:rsidR="00A01656" w:rsidRPr="00DE7B81" w14:paraId="52A40080" w14:textId="77777777" w:rsidTr="00576453">
        <w:tc>
          <w:tcPr>
            <w:tcW w:w="9855" w:type="dxa"/>
            <w:gridSpan w:val="2"/>
          </w:tcPr>
          <w:p w14:paraId="04D50260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b/>
                <w:bCs/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b/>
                <w:bCs/>
                <w:i/>
                <w:iCs/>
                <w:sz w:val="22"/>
                <w:szCs w:val="22"/>
                <w:lang w:val="sr-Latn-ME"/>
              </w:rPr>
              <w:t>Aerobni Gram-pozitivni mikroorganizmi</w:t>
            </w:r>
          </w:p>
        </w:tc>
      </w:tr>
      <w:tr w:rsidR="00A01656" w:rsidRPr="00DE7B81" w14:paraId="2CFE8B4C" w14:textId="77777777" w:rsidTr="00576453">
        <w:tc>
          <w:tcPr>
            <w:tcW w:w="9855" w:type="dxa"/>
            <w:gridSpan w:val="2"/>
          </w:tcPr>
          <w:p w14:paraId="06C2694A" w14:textId="77777777" w:rsidR="00E14D62" w:rsidRPr="00C41F96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 xml:space="preserve">Staphylococcus aureus </w:t>
            </w:r>
            <w:r w:rsidRPr="00EE2B00">
              <w:rPr>
                <w:i/>
                <w:iCs/>
                <w:sz w:val="22"/>
                <w:szCs w:val="22"/>
                <w:vertAlign w:val="superscript"/>
                <w:lang w:val="sr-Latn-ME"/>
              </w:rPr>
              <w:t>϶</w:t>
            </w:r>
          </w:p>
        </w:tc>
      </w:tr>
      <w:tr w:rsidR="00A01656" w:rsidRPr="00DE7B81" w14:paraId="7F6EF0B9" w14:textId="77777777" w:rsidTr="00576453">
        <w:tc>
          <w:tcPr>
            <w:tcW w:w="9855" w:type="dxa"/>
            <w:gridSpan w:val="2"/>
          </w:tcPr>
          <w:p w14:paraId="2AA78E48" w14:textId="77777777" w:rsidR="00E14D62" w:rsidRPr="00C41F96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 xml:space="preserve">Staphylococcus epidermidis </w:t>
            </w:r>
            <w:r w:rsidRPr="00EE2B00">
              <w:rPr>
                <w:i/>
                <w:iCs/>
                <w:sz w:val="22"/>
                <w:szCs w:val="22"/>
                <w:vertAlign w:val="superscript"/>
                <w:lang w:val="sr-Latn-ME"/>
              </w:rPr>
              <w:t>+</w:t>
            </w:r>
          </w:p>
        </w:tc>
      </w:tr>
      <w:tr w:rsidR="00A01656" w:rsidRPr="00DE7B81" w14:paraId="0B855D6D" w14:textId="77777777" w:rsidTr="00576453">
        <w:tc>
          <w:tcPr>
            <w:tcW w:w="9855" w:type="dxa"/>
            <w:gridSpan w:val="2"/>
          </w:tcPr>
          <w:p w14:paraId="15DBDA48" w14:textId="77777777" w:rsidR="00E14D62" w:rsidRPr="00C41F96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 xml:space="preserve">Staphylococcus haemolyticus </w:t>
            </w:r>
            <w:r w:rsidRPr="00EE2B00">
              <w:rPr>
                <w:i/>
                <w:iCs/>
                <w:sz w:val="22"/>
                <w:szCs w:val="22"/>
                <w:vertAlign w:val="superscript"/>
                <w:lang w:val="sr-Latn-ME"/>
              </w:rPr>
              <w:t>+</w:t>
            </w:r>
          </w:p>
        </w:tc>
      </w:tr>
      <w:tr w:rsidR="00A01656" w:rsidRPr="00DE7B81" w14:paraId="2A423E34" w14:textId="77777777" w:rsidTr="00576453">
        <w:tc>
          <w:tcPr>
            <w:tcW w:w="9855" w:type="dxa"/>
            <w:gridSpan w:val="2"/>
          </w:tcPr>
          <w:p w14:paraId="0F1C27E8" w14:textId="77777777" w:rsidR="00E14D62" w:rsidRPr="00C41F96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 xml:space="preserve">Staphylococcus hominis </w:t>
            </w:r>
            <w:r w:rsidRPr="00EE2B00">
              <w:rPr>
                <w:i/>
                <w:iCs/>
                <w:sz w:val="22"/>
                <w:szCs w:val="22"/>
                <w:vertAlign w:val="superscript"/>
                <w:lang w:val="sr-Latn-ME"/>
              </w:rPr>
              <w:t>+</w:t>
            </w:r>
          </w:p>
        </w:tc>
      </w:tr>
      <w:tr w:rsidR="00A01656" w:rsidRPr="00DE7B81" w14:paraId="565C610C" w14:textId="77777777" w:rsidTr="00576453">
        <w:tc>
          <w:tcPr>
            <w:tcW w:w="9855" w:type="dxa"/>
            <w:gridSpan w:val="2"/>
          </w:tcPr>
          <w:p w14:paraId="45DAFF71" w14:textId="77777777" w:rsidR="00E14D62" w:rsidRPr="00C41F96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 xml:space="preserve">Streptococcus pneumoniae </w:t>
            </w:r>
            <w:r w:rsidRPr="00EE2B00">
              <w:rPr>
                <w:sz w:val="22"/>
                <w:szCs w:val="22"/>
                <w:lang w:val="sr-Latn-ME"/>
              </w:rPr>
              <w:t>(intermedijeran na penicilin)</w:t>
            </w:r>
          </w:p>
        </w:tc>
      </w:tr>
      <w:tr w:rsidR="00A01656" w:rsidRPr="00DE7B81" w14:paraId="01829B6A" w14:textId="77777777" w:rsidTr="00576453">
        <w:tc>
          <w:tcPr>
            <w:tcW w:w="9855" w:type="dxa"/>
            <w:gridSpan w:val="2"/>
          </w:tcPr>
          <w:p w14:paraId="2941D75D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b/>
                <w:bCs/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b/>
                <w:bCs/>
                <w:i/>
                <w:iCs/>
                <w:sz w:val="22"/>
                <w:szCs w:val="22"/>
                <w:lang w:val="sr-Latn-ME"/>
              </w:rPr>
              <w:t>Aerobni Gram-negativni mikroorganizmi</w:t>
            </w:r>
          </w:p>
        </w:tc>
      </w:tr>
      <w:tr w:rsidR="00A01656" w:rsidRPr="00DE7B81" w14:paraId="718E21A9" w14:textId="77777777" w:rsidTr="00576453">
        <w:tc>
          <w:tcPr>
            <w:tcW w:w="9855" w:type="dxa"/>
            <w:gridSpan w:val="2"/>
          </w:tcPr>
          <w:p w14:paraId="54933D48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>Escherichia coli</w:t>
            </w:r>
          </w:p>
        </w:tc>
      </w:tr>
      <w:tr w:rsidR="00A01656" w:rsidRPr="00DE7B81" w14:paraId="5BFC9A62" w14:textId="77777777" w:rsidTr="00576453">
        <w:tc>
          <w:tcPr>
            <w:tcW w:w="9855" w:type="dxa"/>
            <w:gridSpan w:val="2"/>
          </w:tcPr>
          <w:p w14:paraId="1662447F" w14:textId="77777777" w:rsidR="00E14D62" w:rsidRPr="00C41F96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 xml:space="preserve">Haemophilus influenzae </w:t>
            </w:r>
            <w:r w:rsidRPr="00EE2B00">
              <w:rPr>
                <w:i/>
                <w:iCs/>
                <w:sz w:val="22"/>
                <w:szCs w:val="22"/>
                <w:vertAlign w:val="superscript"/>
                <w:lang w:val="sr-Latn-ME"/>
              </w:rPr>
              <w:t>$</w:t>
            </w:r>
          </w:p>
        </w:tc>
      </w:tr>
      <w:tr w:rsidR="00A01656" w:rsidRPr="00DE7B81" w14:paraId="2AD9C8ED" w14:textId="77777777" w:rsidTr="00576453">
        <w:tc>
          <w:tcPr>
            <w:tcW w:w="9855" w:type="dxa"/>
            <w:gridSpan w:val="2"/>
          </w:tcPr>
          <w:p w14:paraId="0A048677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>Klebsiella oxytoca</w:t>
            </w:r>
          </w:p>
        </w:tc>
      </w:tr>
      <w:tr w:rsidR="00A01656" w:rsidRPr="00DE7B81" w14:paraId="4DD7E9A3" w14:textId="77777777" w:rsidTr="00576453">
        <w:tc>
          <w:tcPr>
            <w:tcW w:w="9855" w:type="dxa"/>
            <w:gridSpan w:val="2"/>
          </w:tcPr>
          <w:p w14:paraId="2C354C11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>Klebsiella pneumoniae</w:t>
            </w:r>
          </w:p>
        </w:tc>
      </w:tr>
      <w:tr w:rsidR="00A01656" w:rsidRPr="00DE7B81" w14:paraId="5D38A08C" w14:textId="77777777" w:rsidTr="00576453">
        <w:tc>
          <w:tcPr>
            <w:tcW w:w="9855" w:type="dxa"/>
            <w:gridSpan w:val="2"/>
          </w:tcPr>
          <w:p w14:paraId="771DDA67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>Proteus mirabilis</w:t>
            </w:r>
          </w:p>
        </w:tc>
      </w:tr>
      <w:tr w:rsidR="00A01656" w:rsidRPr="00DE7B81" w14:paraId="46F90B10" w14:textId="77777777" w:rsidTr="00576453">
        <w:trPr>
          <w:gridAfter w:val="1"/>
          <w:wAfter w:w="275" w:type="dxa"/>
        </w:trPr>
        <w:tc>
          <w:tcPr>
            <w:tcW w:w="9855" w:type="dxa"/>
          </w:tcPr>
          <w:p w14:paraId="64BF5236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EE2B00">
              <w:rPr>
                <w:b/>
                <w:bCs/>
                <w:sz w:val="22"/>
                <w:szCs w:val="22"/>
                <w:lang w:val="sr-Latn-ME"/>
              </w:rPr>
              <w:lastRenderedPageBreak/>
              <w:t>Prirodno rezistentne vrste</w:t>
            </w:r>
          </w:p>
        </w:tc>
      </w:tr>
      <w:tr w:rsidR="00A01656" w:rsidRPr="00DE7B81" w14:paraId="7C5C793C" w14:textId="77777777" w:rsidTr="00576453">
        <w:trPr>
          <w:gridAfter w:val="1"/>
          <w:wAfter w:w="275" w:type="dxa"/>
        </w:trPr>
        <w:tc>
          <w:tcPr>
            <w:tcW w:w="9855" w:type="dxa"/>
          </w:tcPr>
          <w:p w14:paraId="18E77F26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b/>
                <w:bCs/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b/>
                <w:bCs/>
                <w:i/>
                <w:iCs/>
                <w:sz w:val="22"/>
                <w:szCs w:val="22"/>
                <w:lang w:val="sr-Latn-ME"/>
              </w:rPr>
              <w:t>Aerobni Gram-pozitivni mikroorganizmi</w:t>
            </w:r>
          </w:p>
        </w:tc>
      </w:tr>
      <w:tr w:rsidR="00A01656" w:rsidRPr="00DE7B81" w14:paraId="6896C2C2" w14:textId="77777777" w:rsidTr="00576453">
        <w:trPr>
          <w:gridAfter w:val="1"/>
          <w:wAfter w:w="275" w:type="dxa"/>
        </w:trPr>
        <w:tc>
          <w:tcPr>
            <w:tcW w:w="9855" w:type="dxa"/>
          </w:tcPr>
          <w:p w14:paraId="63BA1EC8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>Enterococcus spp.</w:t>
            </w:r>
          </w:p>
        </w:tc>
      </w:tr>
      <w:tr w:rsidR="00A01656" w:rsidRPr="00DE7B81" w14:paraId="612CBDF6" w14:textId="77777777" w:rsidTr="00576453">
        <w:trPr>
          <w:gridAfter w:val="1"/>
          <w:wAfter w:w="275" w:type="dxa"/>
        </w:trPr>
        <w:tc>
          <w:tcPr>
            <w:tcW w:w="9855" w:type="dxa"/>
          </w:tcPr>
          <w:p w14:paraId="70B95CE9" w14:textId="77777777" w:rsidR="00E14D62" w:rsidRPr="00C41F96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 xml:space="preserve">Staphylococcus aureus </w:t>
            </w:r>
            <w:r w:rsidRPr="00EE2B00">
              <w:rPr>
                <w:sz w:val="22"/>
                <w:szCs w:val="22"/>
                <w:lang w:val="sr-Latn-ME"/>
              </w:rPr>
              <w:t>(rezistentan na me</w:t>
            </w:r>
            <w:r w:rsidRPr="00C41F96">
              <w:rPr>
                <w:sz w:val="22"/>
                <w:szCs w:val="22"/>
                <w:lang w:val="sr-Latn-ME"/>
              </w:rPr>
              <w:t>ticilin)</w:t>
            </w:r>
          </w:p>
        </w:tc>
      </w:tr>
      <w:tr w:rsidR="00A01656" w:rsidRPr="00DE7B81" w14:paraId="3897EDA5" w14:textId="77777777" w:rsidTr="00576453">
        <w:trPr>
          <w:gridAfter w:val="1"/>
          <w:wAfter w:w="275" w:type="dxa"/>
        </w:trPr>
        <w:tc>
          <w:tcPr>
            <w:tcW w:w="9855" w:type="dxa"/>
          </w:tcPr>
          <w:p w14:paraId="171710F6" w14:textId="77777777" w:rsidR="00E14D62" w:rsidRPr="00C41F96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 xml:space="preserve">Streptococcus pneumoniae </w:t>
            </w:r>
            <w:r w:rsidRPr="00EE2B00">
              <w:rPr>
                <w:sz w:val="22"/>
                <w:szCs w:val="22"/>
                <w:lang w:val="sr-Latn-ME"/>
              </w:rPr>
              <w:t>(rezistentan na meticilin)</w:t>
            </w:r>
          </w:p>
        </w:tc>
      </w:tr>
      <w:tr w:rsidR="00A01656" w:rsidRPr="00DE7B81" w14:paraId="7658982C" w14:textId="77777777" w:rsidTr="00576453">
        <w:trPr>
          <w:gridAfter w:val="1"/>
          <w:wAfter w:w="275" w:type="dxa"/>
        </w:trPr>
        <w:tc>
          <w:tcPr>
            <w:tcW w:w="9855" w:type="dxa"/>
          </w:tcPr>
          <w:p w14:paraId="7068A567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b/>
                <w:bCs/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b/>
                <w:bCs/>
                <w:i/>
                <w:iCs/>
                <w:sz w:val="22"/>
                <w:szCs w:val="22"/>
                <w:lang w:val="sr-Latn-ME"/>
              </w:rPr>
              <w:t>Aerobni Gram-negativni mikroorganizmi</w:t>
            </w:r>
          </w:p>
        </w:tc>
      </w:tr>
      <w:tr w:rsidR="00A01656" w:rsidRPr="00DE7B81" w14:paraId="14759F9A" w14:textId="77777777" w:rsidTr="00576453">
        <w:trPr>
          <w:gridAfter w:val="1"/>
          <w:wAfter w:w="275" w:type="dxa"/>
        </w:trPr>
        <w:tc>
          <w:tcPr>
            <w:tcW w:w="9855" w:type="dxa"/>
          </w:tcPr>
          <w:p w14:paraId="4C5AC098" w14:textId="77777777" w:rsidR="00E14D62" w:rsidRPr="00C41F96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 xml:space="preserve">Acinetobacter </w:t>
            </w:r>
            <w:r w:rsidRPr="00EE2B00">
              <w:rPr>
                <w:sz w:val="22"/>
                <w:szCs w:val="22"/>
                <w:lang w:val="sr-Latn-ME"/>
              </w:rPr>
              <w:t>spp.</w:t>
            </w:r>
          </w:p>
        </w:tc>
      </w:tr>
      <w:tr w:rsidR="00A01656" w:rsidRPr="00DE7B81" w14:paraId="512922F6" w14:textId="77777777" w:rsidTr="00576453">
        <w:trPr>
          <w:gridAfter w:val="1"/>
          <w:wAfter w:w="275" w:type="dxa"/>
        </w:trPr>
        <w:tc>
          <w:tcPr>
            <w:tcW w:w="9855" w:type="dxa"/>
          </w:tcPr>
          <w:p w14:paraId="746B882B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>Citrobacter freundii</w:t>
            </w:r>
          </w:p>
        </w:tc>
      </w:tr>
      <w:tr w:rsidR="00A01656" w:rsidRPr="00DE7B81" w14:paraId="555491AA" w14:textId="77777777" w:rsidTr="00576453">
        <w:trPr>
          <w:gridAfter w:val="1"/>
          <w:wAfter w:w="275" w:type="dxa"/>
        </w:trPr>
        <w:tc>
          <w:tcPr>
            <w:tcW w:w="9855" w:type="dxa"/>
          </w:tcPr>
          <w:p w14:paraId="181D424C" w14:textId="77777777" w:rsidR="00E14D62" w:rsidRPr="00C41F96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 xml:space="preserve">Enterobacter </w:t>
            </w:r>
            <w:r w:rsidRPr="00EE2B00">
              <w:rPr>
                <w:sz w:val="22"/>
                <w:szCs w:val="22"/>
                <w:lang w:val="sr-Latn-ME"/>
              </w:rPr>
              <w:t>spp.</w:t>
            </w:r>
          </w:p>
        </w:tc>
      </w:tr>
      <w:tr w:rsidR="00A01656" w:rsidRPr="00DE7B81" w14:paraId="44FA4915" w14:textId="77777777" w:rsidTr="00576453">
        <w:trPr>
          <w:gridAfter w:val="1"/>
          <w:wAfter w:w="275" w:type="dxa"/>
        </w:trPr>
        <w:tc>
          <w:tcPr>
            <w:tcW w:w="9855" w:type="dxa"/>
          </w:tcPr>
          <w:p w14:paraId="5054437A" w14:textId="77777777" w:rsidR="00E14D62" w:rsidRPr="00C41F96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 xml:space="preserve">Legionella </w:t>
            </w:r>
            <w:r w:rsidRPr="00EE2B00">
              <w:rPr>
                <w:sz w:val="22"/>
                <w:szCs w:val="22"/>
                <w:lang w:val="sr-Latn-ME"/>
              </w:rPr>
              <w:t>spp.</w:t>
            </w:r>
          </w:p>
        </w:tc>
      </w:tr>
      <w:tr w:rsidR="00A01656" w:rsidRPr="00DE7B81" w14:paraId="3810F72E" w14:textId="77777777" w:rsidTr="00576453">
        <w:trPr>
          <w:gridAfter w:val="1"/>
          <w:wAfter w:w="275" w:type="dxa"/>
        </w:trPr>
        <w:tc>
          <w:tcPr>
            <w:tcW w:w="9855" w:type="dxa"/>
          </w:tcPr>
          <w:p w14:paraId="5B94AE77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>Morganella morganii</w:t>
            </w:r>
          </w:p>
        </w:tc>
      </w:tr>
      <w:tr w:rsidR="00A01656" w:rsidRPr="00DE7B81" w14:paraId="31F001C3" w14:textId="77777777" w:rsidTr="00576453">
        <w:trPr>
          <w:gridAfter w:val="1"/>
          <w:wAfter w:w="275" w:type="dxa"/>
        </w:trPr>
        <w:tc>
          <w:tcPr>
            <w:tcW w:w="9855" w:type="dxa"/>
          </w:tcPr>
          <w:p w14:paraId="06161F07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>Moraxella catarrhalis</w:t>
            </w:r>
          </w:p>
        </w:tc>
      </w:tr>
      <w:tr w:rsidR="00A01656" w:rsidRPr="00DE7B81" w14:paraId="5A46DA8A" w14:textId="77777777" w:rsidTr="00576453">
        <w:trPr>
          <w:gridAfter w:val="1"/>
          <w:wAfter w:w="275" w:type="dxa"/>
        </w:trPr>
        <w:tc>
          <w:tcPr>
            <w:tcW w:w="9855" w:type="dxa"/>
          </w:tcPr>
          <w:p w14:paraId="36B0E9C8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>Proteus vulgaris</w:t>
            </w:r>
          </w:p>
        </w:tc>
      </w:tr>
      <w:tr w:rsidR="00A01656" w:rsidRPr="00DE7B81" w14:paraId="4B7563A8" w14:textId="77777777" w:rsidTr="00576453">
        <w:trPr>
          <w:gridAfter w:val="1"/>
          <w:wAfter w:w="275" w:type="dxa"/>
        </w:trPr>
        <w:tc>
          <w:tcPr>
            <w:tcW w:w="9855" w:type="dxa"/>
          </w:tcPr>
          <w:p w14:paraId="392210AC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>Pseudomonas aeruginosa</w:t>
            </w:r>
          </w:p>
        </w:tc>
      </w:tr>
      <w:tr w:rsidR="00A01656" w:rsidRPr="00DE7B81" w14:paraId="647D162A" w14:textId="77777777" w:rsidTr="00576453">
        <w:trPr>
          <w:gridAfter w:val="1"/>
          <w:wAfter w:w="275" w:type="dxa"/>
        </w:trPr>
        <w:tc>
          <w:tcPr>
            <w:tcW w:w="9855" w:type="dxa"/>
          </w:tcPr>
          <w:p w14:paraId="22DACF92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>Serratia marcescens</w:t>
            </w:r>
          </w:p>
        </w:tc>
      </w:tr>
      <w:tr w:rsidR="00A01656" w:rsidRPr="00DE7B81" w14:paraId="728CC107" w14:textId="77777777" w:rsidTr="00576453">
        <w:trPr>
          <w:gridAfter w:val="1"/>
          <w:wAfter w:w="275" w:type="dxa"/>
        </w:trPr>
        <w:tc>
          <w:tcPr>
            <w:tcW w:w="9855" w:type="dxa"/>
          </w:tcPr>
          <w:p w14:paraId="76473695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>Stenotrophomonas maltophilia</w:t>
            </w:r>
          </w:p>
        </w:tc>
      </w:tr>
      <w:tr w:rsidR="00A01656" w:rsidRPr="00DE7B81" w14:paraId="5B9CBDB5" w14:textId="77777777" w:rsidTr="00576453">
        <w:trPr>
          <w:gridAfter w:val="1"/>
          <w:wAfter w:w="275" w:type="dxa"/>
        </w:trPr>
        <w:tc>
          <w:tcPr>
            <w:tcW w:w="9855" w:type="dxa"/>
          </w:tcPr>
          <w:p w14:paraId="6EB8C96F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b/>
                <w:bCs/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b/>
                <w:bCs/>
                <w:i/>
                <w:iCs/>
                <w:sz w:val="22"/>
                <w:szCs w:val="22"/>
                <w:lang w:val="sr-Latn-ME"/>
              </w:rPr>
              <w:t>Anaerobni mikoorganizmi</w:t>
            </w:r>
          </w:p>
        </w:tc>
      </w:tr>
      <w:tr w:rsidR="00A01656" w:rsidRPr="00DE7B81" w14:paraId="1074D02E" w14:textId="77777777" w:rsidTr="00576453">
        <w:trPr>
          <w:gridAfter w:val="1"/>
          <w:wAfter w:w="275" w:type="dxa"/>
        </w:trPr>
        <w:tc>
          <w:tcPr>
            <w:tcW w:w="9855" w:type="dxa"/>
          </w:tcPr>
          <w:p w14:paraId="2E320ECB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>Bacteroides fragilis</w:t>
            </w:r>
          </w:p>
        </w:tc>
      </w:tr>
      <w:tr w:rsidR="00A01656" w:rsidRPr="00DE7B81" w14:paraId="317FBCD4" w14:textId="77777777" w:rsidTr="00576453">
        <w:trPr>
          <w:gridAfter w:val="1"/>
          <w:wAfter w:w="275" w:type="dxa"/>
        </w:trPr>
        <w:tc>
          <w:tcPr>
            <w:tcW w:w="9855" w:type="dxa"/>
          </w:tcPr>
          <w:p w14:paraId="0F4C973B" w14:textId="77777777" w:rsidR="00E14D62" w:rsidRPr="00EE2B00" w:rsidRDefault="00E14D62" w:rsidP="00E14D62">
            <w:pPr>
              <w:tabs>
                <w:tab w:val="left" w:pos="284"/>
              </w:tabs>
              <w:jc w:val="both"/>
              <w:rPr>
                <w:b/>
                <w:bCs/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b/>
                <w:bCs/>
                <w:i/>
                <w:iCs/>
                <w:sz w:val="22"/>
                <w:szCs w:val="22"/>
                <w:lang w:val="sr-Latn-ME"/>
              </w:rPr>
              <w:t>Ostali mikroorganizmi</w:t>
            </w:r>
          </w:p>
        </w:tc>
      </w:tr>
      <w:tr w:rsidR="00A01656" w:rsidRPr="00DE7B81" w14:paraId="073E78A2" w14:textId="77777777" w:rsidTr="00576453">
        <w:trPr>
          <w:gridAfter w:val="1"/>
          <w:wAfter w:w="275" w:type="dxa"/>
        </w:trPr>
        <w:tc>
          <w:tcPr>
            <w:tcW w:w="9855" w:type="dxa"/>
          </w:tcPr>
          <w:p w14:paraId="5DD43987" w14:textId="77777777" w:rsidR="00E14D62" w:rsidRPr="00C41F96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 xml:space="preserve">Chlamydia </w:t>
            </w:r>
            <w:r w:rsidRPr="00EE2B00">
              <w:rPr>
                <w:sz w:val="22"/>
                <w:szCs w:val="22"/>
                <w:lang w:val="sr-Latn-ME"/>
              </w:rPr>
              <w:t>spp.</w:t>
            </w:r>
          </w:p>
        </w:tc>
      </w:tr>
      <w:tr w:rsidR="00A01656" w:rsidRPr="00DE7B81" w14:paraId="125AF861" w14:textId="77777777" w:rsidTr="00576453">
        <w:trPr>
          <w:gridAfter w:val="1"/>
          <w:wAfter w:w="275" w:type="dxa"/>
        </w:trPr>
        <w:tc>
          <w:tcPr>
            <w:tcW w:w="9855" w:type="dxa"/>
          </w:tcPr>
          <w:p w14:paraId="430E302D" w14:textId="77777777" w:rsidR="00E14D62" w:rsidRPr="00C41F96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 xml:space="preserve">Chlamydophila </w:t>
            </w:r>
            <w:r w:rsidRPr="00EE2B00">
              <w:rPr>
                <w:sz w:val="22"/>
                <w:szCs w:val="22"/>
                <w:lang w:val="sr-Latn-ME"/>
              </w:rPr>
              <w:t>spp.</w:t>
            </w:r>
          </w:p>
        </w:tc>
      </w:tr>
      <w:tr w:rsidR="00A01656" w:rsidRPr="00DE7B81" w14:paraId="1C2023A2" w14:textId="77777777" w:rsidTr="00576453">
        <w:trPr>
          <w:gridAfter w:val="1"/>
          <w:wAfter w:w="275" w:type="dxa"/>
        </w:trPr>
        <w:tc>
          <w:tcPr>
            <w:tcW w:w="9855" w:type="dxa"/>
          </w:tcPr>
          <w:p w14:paraId="46F76666" w14:textId="77777777" w:rsidR="00E14D62" w:rsidRPr="00C41F96" w:rsidRDefault="00E14D62" w:rsidP="00E14D62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EE2B00">
              <w:rPr>
                <w:i/>
                <w:iCs/>
                <w:sz w:val="22"/>
                <w:szCs w:val="22"/>
                <w:lang w:val="sr-Latn-ME"/>
              </w:rPr>
              <w:t xml:space="preserve">Mycoplasma </w:t>
            </w:r>
            <w:r w:rsidRPr="00EE2B00">
              <w:rPr>
                <w:sz w:val="22"/>
                <w:szCs w:val="22"/>
                <w:lang w:val="sr-Latn-ME"/>
              </w:rPr>
              <w:t>spp.</w:t>
            </w:r>
          </w:p>
        </w:tc>
      </w:tr>
    </w:tbl>
    <w:p w14:paraId="1803C9C2" w14:textId="77777777" w:rsidR="00E14D62" w:rsidRPr="00EE2B00" w:rsidRDefault="00E14D62" w:rsidP="00E14D6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45FCB06" w14:textId="77777777" w:rsidR="00E14D62" w:rsidRPr="004F4605" w:rsidRDefault="00E14D62" w:rsidP="00E14D6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41F96">
        <w:rPr>
          <w:sz w:val="22"/>
          <w:szCs w:val="22"/>
          <w:vertAlign w:val="superscript"/>
          <w:lang w:val="sr-Latn-ME"/>
        </w:rPr>
        <w:t>°</w:t>
      </w:r>
      <w:r w:rsidRPr="00C41F96">
        <w:rPr>
          <w:sz w:val="22"/>
          <w:szCs w:val="22"/>
          <w:lang w:val="sr-Latn-ME"/>
        </w:rPr>
        <w:t xml:space="preserve"> Prilikom objavljivanja tabele, nisu postojali podaci. U primarnoj lit</w:t>
      </w:r>
      <w:r w:rsidRPr="004F4605">
        <w:rPr>
          <w:sz w:val="22"/>
          <w:szCs w:val="22"/>
          <w:lang w:val="sr-Latn-ME"/>
        </w:rPr>
        <w:t>eraturi, standardnim radovima i</w:t>
      </w:r>
    </w:p>
    <w:p w14:paraId="49FCA42F" w14:textId="60CECB63" w:rsidR="00E14D62" w:rsidRPr="00DE7B81" w:rsidRDefault="00E14D62" w:rsidP="00E14D6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preporukama terapije pretpostavlja se da su os</w:t>
      </w:r>
      <w:r w:rsidR="00D47FDD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etljivi.</w:t>
      </w:r>
    </w:p>
    <w:p w14:paraId="7C337457" w14:textId="62278B29" w:rsidR="00E14D62" w:rsidRPr="00DE7B81" w:rsidRDefault="00E14D62" w:rsidP="00E14D6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vertAlign w:val="superscript"/>
          <w:lang w:val="sr-Latn-ME"/>
        </w:rPr>
        <w:t>$</w:t>
      </w:r>
      <w:r w:rsidRPr="00DE7B81">
        <w:rPr>
          <w:sz w:val="22"/>
          <w:szCs w:val="22"/>
          <w:lang w:val="sr-Latn-ME"/>
        </w:rPr>
        <w:t xml:space="preserve"> Prirodna os</w:t>
      </w:r>
      <w:r w:rsidR="00D47FDD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etljivost većine izolata je u intermedijarnom području.</w:t>
      </w:r>
    </w:p>
    <w:p w14:paraId="5D032291" w14:textId="77777777" w:rsidR="00E14D62" w:rsidRPr="00DE7B81" w:rsidRDefault="00E14D62" w:rsidP="00E14D6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vertAlign w:val="superscript"/>
          <w:lang w:val="sr-Latn-ME"/>
        </w:rPr>
        <w:t>+</w:t>
      </w:r>
      <w:r w:rsidRPr="00DE7B81">
        <w:rPr>
          <w:sz w:val="22"/>
          <w:szCs w:val="22"/>
          <w:lang w:val="sr-Latn-ME"/>
        </w:rPr>
        <w:t xml:space="preserve"> U najmanje jednom regionu, stopa rezistencije iznosi preko 50%.</w:t>
      </w:r>
    </w:p>
    <w:p w14:paraId="5C520358" w14:textId="77777777" w:rsidR="00E14D62" w:rsidRPr="00DE7B81" w:rsidRDefault="00E14D62" w:rsidP="00E14D6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bookmarkStart w:id="1" w:name="_Hlk134886953"/>
      <w:r w:rsidRPr="00DE7B81">
        <w:rPr>
          <w:sz w:val="22"/>
          <w:szCs w:val="22"/>
          <w:vertAlign w:val="superscript"/>
          <w:lang w:val="sr-Latn-ME"/>
        </w:rPr>
        <w:t xml:space="preserve">ɛ </w:t>
      </w:r>
      <w:bookmarkEnd w:id="1"/>
      <w:r w:rsidRPr="00DE7B81">
        <w:rPr>
          <w:sz w:val="22"/>
          <w:szCs w:val="22"/>
          <w:lang w:val="sr-Latn-ME"/>
        </w:rPr>
        <w:t>U ambulantnoj oblasti, stopa rezistencije je &lt; 10%.</w:t>
      </w:r>
    </w:p>
    <w:p w14:paraId="05E17BFE" w14:textId="77777777" w:rsidR="004F7852" w:rsidRPr="00DE7B81" w:rsidRDefault="004F785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DE5415E" w14:textId="77777777" w:rsidR="0072020E" w:rsidRPr="00DE7B8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 xml:space="preserve">5.2.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sz w:val="22"/>
          <w:szCs w:val="22"/>
          <w:lang w:val="sr-Latn-ME"/>
        </w:rPr>
        <w:t>Farmakokinetički podaci</w:t>
      </w:r>
      <w:r w:rsidR="003A7059" w:rsidRPr="00DE7B81">
        <w:rPr>
          <w:b/>
          <w:bCs/>
          <w:sz w:val="22"/>
          <w:szCs w:val="22"/>
          <w:lang w:val="sr-Latn-ME"/>
        </w:rPr>
        <w:t xml:space="preserve"> </w:t>
      </w:r>
    </w:p>
    <w:p w14:paraId="5DE5415F" w14:textId="1F8FF176" w:rsidR="0072020E" w:rsidRPr="00DE7B8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8F5C7A3" w14:textId="0EBA5919" w:rsidR="00004924" w:rsidRPr="00DE7B81" w:rsidRDefault="00004924" w:rsidP="00004924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DE7B81">
        <w:rPr>
          <w:bCs/>
          <w:sz w:val="22"/>
          <w:szCs w:val="22"/>
          <w:lang w:val="sr-Latn-ME"/>
        </w:rPr>
        <w:t>Koncentracija u serumu (mikrograma/m</w:t>
      </w:r>
      <w:r w:rsidR="001175B9" w:rsidRPr="00DE7B81">
        <w:rPr>
          <w:bCs/>
          <w:sz w:val="22"/>
          <w:szCs w:val="22"/>
          <w:lang w:val="sr-Latn-ME"/>
        </w:rPr>
        <w:t>l</w:t>
      </w:r>
      <w:r w:rsidRPr="00DE7B81">
        <w:rPr>
          <w:bCs/>
          <w:sz w:val="22"/>
          <w:szCs w:val="22"/>
          <w:lang w:val="sr-Latn-ME"/>
        </w:rPr>
        <w:t>) nakon prim</w:t>
      </w:r>
      <w:r w:rsidR="000F28BD" w:rsidRPr="00DE7B81">
        <w:rPr>
          <w:bCs/>
          <w:sz w:val="22"/>
          <w:szCs w:val="22"/>
          <w:lang w:val="sr-Latn-ME"/>
        </w:rPr>
        <w:t>j</w:t>
      </w:r>
      <w:r w:rsidRPr="00DE7B81">
        <w:rPr>
          <w:bCs/>
          <w:sz w:val="22"/>
          <w:szCs w:val="22"/>
          <w:lang w:val="sr-Latn-ME"/>
        </w:rPr>
        <w:t>ene intramuskularnom injekcijom</w:t>
      </w:r>
      <w:r w:rsidRPr="00DE7B81" w:rsidDel="003B5309">
        <w:rPr>
          <w:bCs/>
          <w:sz w:val="22"/>
          <w:szCs w:val="22"/>
          <w:lang w:val="sr-Latn-M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6"/>
        <w:gridCol w:w="1299"/>
        <w:gridCol w:w="1298"/>
        <w:gridCol w:w="1298"/>
        <w:gridCol w:w="1298"/>
        <w:gridCol w:w="1298"/>
        <w:gridCol w:w="1298"/>
      </w:tblGrid>
      <w:tr w:rsidR="00A01656" w:rsidRPr="00DE7B81" w14:paraId="00B66D7A" w14:textId="77777777" w:rsidTr="00576453">
        <w:tc>
          <w:tcPr>
            <w:tcW w:w="1407" w:type="dxa"/>
          </w:tcPr>
          <w:p w14:paraId="67F8A7A2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Doza</w:t>
            </w:r>
          </w:p>
        </w:tc>
        <w:tc>
          <w:tcPr>
            <w:tcW w:w="1408" w:type="dxa"/>
          </w:tcPr>
          <w:p w14:paraId="4943DAFA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nakon 1/2 sata</w:t>
            </w:r>
          </w:p>
        </w:tc>
        <w:tc>
          <w:tcPr>
            <w:tcW w:w="1408" w:type="dxa"/>
          </w:tcPr>
          <w:p w14:paraId="4B347C97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nakon 1 sata</w:t>
            </w:r>
          </w:p>
        </w:tc>
        <w:tc>
          <w:tcPr>
            <w:tcW w:w="1408" w:type="dxa"/>
          </w:tcPr>
          <w:p w14:paraId="379C898B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nakon 2 sata</w:t>
            </w:r>
          </w:p>
        </w:tc>
        <w:tc>
          <w:tcPr>
            <w:tcW w:w="1408" w:type="dxa"/>
          </w:tcPr>
          <w:p w14:paraId="0B55676D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nakon 4 sata</w:t>
            </w:r>
          </w:p>
        </w:tc>
        <w:tc>
          <w:tcPr>
            <w:tcW w:w="1408" w:type="dxa"/>
          </w:tcPr>
          <w:p w14:paraId="666D707A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nakon 6 sati</w:t>
            </w:r>
          </w:p>
        </w:tc>
        <w:tc>
          <w:tcPr>
            <w:tcW w:w="1408" w:type="dxa"/>
          </w:tcPr>
          <w:p w14:paraId="0F80D4C9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nakon 8 sati</w:t>
            </w:r>
          </w:p>
        </w:tc>
      </w:tr>
      <w:tr w:rsidR="00A01656" w:rsidRPr="00DE7B81" w14:paraId="79CC04F1" w14:textId="77777777" w:rsidTr="00576453">
        <w:tc>
          <w:tcPr>
            <w:tcW w:w="1407" w:type="dxa"/>
          </w:tcPr>
          <w:p w14:paraId="4A594E3D" w14:textId="77777777" w:rsidR="00004924" w:rsidRPr="00EE2B00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EE2B00">
              <w:rPr>
                <w:bCs/>
                <w:sz w:val="22"/>
                <w:szCs w:val="22"/>
                <w:lang w:val="sr-Latn-ME"/>
              </w:rPr>
              <w:t>250 mg</w:t>
            </w:r>
          </w:p>
        </w:tc>
        <w:tc>
          <w:tcPr>
            <w:tcW w:w="1408" w:type="dxa"/>
          </w:tcPr>
          <w:p w14:paraId="5F1B557F" w14:textId="77777777" w:rsidR="00004924" w:rsidRPr="00C41F96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C41F96">
              <w:rPr>
                <w:bCs/>
                <w:sz w:val="22"/>
                <w:szCs w:val="22"/>
                <w:lang w:val="sr-Latn-ME"/>
              </w:rPr>
              <w:t>15,5</w:t>
            </w:r>
          </w:p>
        </w:tc>
        <w:tc>
          <w:tcPr>
            <w:tcW w:w="1408" w:type="dxa"/>
          </w:tcPr>
          <w:p w14:paraId="36ABD316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17</w:t>
            </w:r>
          </w:p>
        </w:tc>
        <w:tc>
          <w:tcPr>
            <w:tcW w:w="1408" w:type="dxa"/>
          </w:tcPr>
          <w:p w14:paraId="78CDC6AF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13</w:t>
            </w:r>
          </w:p>
        </w:tc>
        <w:tc>
          <w:tcPr>
            <w:tcW w:w="1408" w:type="dxa"/>
          </w:tcPr>
          <w:p w14:paraId="094C23A9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5,1</w:t>
            </w:r>
          </w:p>
        </w:tc>
        <w:tc>
          <w:tcPr>
            <w:tcW w:w="1408" w:type="dxa"/>
          </w:tcPr>
          <w:p w14:paraId="4900B614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2,5</w:t>
            </w:r>
          </w:p>
        </w:tc>
        <w:tc>
          <w:tcPr>
            <w:tcW w:w="1408" w:type="dxa"/>
          </w:tcPr>
          <w:p w14:paraId="3B55F322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A01656" w:rsidRPr="00DE7B81" w14:paraId="1C9F7642" w14:textId="77777777" w:rsidTr="00576453">
        <w:tc>
          <w:tcPr>
            <w:tcW w:w="1407" w:type="dxa"/>
          </w:tcPr>
          <w:p w14:paraId="735393DD" w14:textId="77777777" w:rsidR="00004924" w:rsidRPr="00EE2B00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EE2B00">
              <w:rPr>
                <w:bCs/>
                <w:sz w:val="22"/>
                <w:szCs w:val="22"/>
                <w:lang w:val="sr-Latn-ME"/>
              </w:rPr>
              <w:t>500 mg</w:t>
            </w:r>
          </w:p>
        </w:tc>
        <w:tc>
          <w:tcPr>
            <w:tcW w:w="1408" w:type="dxa"/>
          </w:tcPr>
          <w:p w14:paraId="685C8C61" w14:textId="77777777" w:rsidR="00004924" w:rsidRPr="00C41F96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C41F96">
              <w:rPr>
                <w:bCs/>
                <w:sz w:val="22"/>
                <w:szCs w:val="22"/>
                <w:lang w:val="sr-Latn-ME"/>
              </w:rPr>
              <w:t>36,2</w:t>
            </w:r>
          </w:p>
        </w:tc>
        <w:tc>
          <w:tcPr>
            <w:tcW w:w="1408" w:type="dxa"/>
          </w:tcPr>
          <w:p w14:paraId="41825242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36,8</w:t>
            </w:r>
          </w:p>
        </w:tc>
        <w:tc>
          <w:tcPr>
            <w:tcW w:w="1408" w:type="dxa"/>
          </w:tcPr>
          <w:p w14:paraId="3F9A92D5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37,9</w:t>
            </w:r>
          </w:p>
        </w:tc>
        <w:tc>
          <w:tcPr>
            <w:tcW w:w="1408" w:type="dxa"/>
          </w:tcPr>
          <w:p w14:paraId="27FFBB97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15,5</w:t>
            </w:r>
          </w:p>
        </w:tc>
        <w:tc>
          <w:tcPr>
            <w:tcW w:w="1408" w:type="dxa"/>
          </w:tcPr>
          <w:p w14:paraId="18CC4AE7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6,3</w:t>
            </w:r>
          </w:p>
        </w:tc>
        <w:tc>
          <w:tcPr>
            <w:tcW w:w="1408" w:type="dxa"/>
          </w:tcPr>
          <w:p w14:paraId="7062387C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3</w:t>
            </w:r>
          </w:p>
        </w:tc>
      </w:tr>
      <w:tr w:rsidR="00A01656" w:rsidRPr="00DE7B81" w14:paraId="3D570352" w14:textId="77777777" w:rsidTr="00576453">
        <w:tc>
          <w:tcPr>
            <w:tcW w:w="1407" w:type="dxa"/>
          </w:tcPr>
          <w:p w14:paraId="2EEF98E4" w14:textId="77777777" w:rsidR="00004924" w:rsidRPr="00EE2B00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EE2B00">
              <w:rPr>
                <w:bCs/>
                <w:sz w:val="22"/>
                <w:szCs w:val="22"/>
                <w:lang w:val="sr-Latn-ME"/>
              </w:rPr>
              <w:t>1 g*</w:t>
            </w:r>
          </w:p>
        </w:tc>
        <w:tc>
          <w:tcPr>
            <w:tcW w:w="1408" w:type="dxa"/>
          </w:tcPr>
          <w:p w14:paraId="38C9321B" w14:textId="77777777" w:rsidR="00004924" w:rsidRPr="00C41F96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C41F96">
              <w:rPr>
                <w:bCs/>
                <w:sz w:val="22"/>
                <w:szCs w:val="22"/>
                <w:lang w:val="sr-Latn-ME"/>
              </w:rPr>
              <w:t>60,1</w:t>
            </w:r>
          </w:p>
        </w:tc>
        <w:tc>
          <w:tcPr>
            <w:tcW w:w="1408" w:type="dxa"/>
          </w:tcPr>
          <w:p w14:paraId="19940709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63,8</w:t>
            </w:r>
          </w:p>
        </w:tc>
        <w:tc>
          <w:tcPr>
            <w:tcW w:w="1408" w:type="dxa"/>
          </w:tcPr>
          <w:p w14:paraId="5EDE93D9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54,3</w:t>
            </w:r>
          </w:p>
        </w:tc>
        <w:tc>
          <w:tcPr>
            <w:tcW w:w="1408" w:type="dxa"/>
          </w:tcPr>
          <w:p w14:paraId="1BDAD2C9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29,3</w:t>
            </w:r>
          </w:p>
        </w:tc>
        <w:tc>
          <w:tcPr>
            <w:tcW w:w="1408" w:type="dxa"/>
          </w:tcPr>
          <w:p w14:paraId="34D53286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13,2</w:t>
            </w:r>
          </w:p>
        </w:tc>
        <w:tc>
          <w:tcPr>
            <w:tcW w:w="1408" w:type="dxa"/>
          </w:tcPr>
          <w:p w14:paraId="72001FC9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7,1</w:t>
            </w:r>
          </w:p>
        </w:tc>
      </w:tr>
    </w:tbl>
    <w:p w14:paraId="16EB1DC6" w14:textId="68E5CEC0" w:rsidR="00004924" w:rsidRPr="00DE7B81" w:rsidRDefault="00004924" w:rsidP="00004924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EE2B00">
        <w:rPr>
          <w:bCs/>
          <w:sz w:val="22"/>
          <w:szCs w:val="22"/>
          <w:vertAlign w:val="superscript"/>
          <w:lang w:val="sr-Latn-ME"/>
        </w:rPr>
        <w:t>*</w:t>
      </w:r>
      <w:r w:rsidRPr="00EE2B00">
        <w:rPr>
          <w:bCs/>
          <w:sz w:val="22"/>
          <w:szCs w:val="22"/>
          <w:lang w:val="sr-Latn-ME"/>
        </w:rPr>
        <w:t>Pros</w:t>
      </w:r>
      <w:r w:rsidR="000F28BD" w:rsidRPr="00C41F96">
        <w:rPr>
          <w:bCs/>
          <w:sz w:val="22"/>
          <w:szCs w:val="22"/>
          <w:lang w:val="sr-Latn-ME"/>
        </w:rPr>
        <w:t>j</w:t>
      </w:r>
      <w:r w:rsidRPr="00C41F96">
        <w:rPr>
          <w:bCs/>
          <w:sz w:val="22"/>
          <w:szCs w:val="22"/>
          <w:lang w:val="sr-Latn-ME"/>
        </w:rPr>
        <w:t>ečna vr</w:t>
      </w:r>
      <w:r w:rsidR="00EC26DD" w:rsidRPr="004F4605">
        <w:rPr>
          <w:bCs/>
          <w:sz w:val="22"/>
          <w:szCs w:val="22"/>
          <w:lang w:val="sr-Latn-ME"/>
        </w:rPr>
        <w:t>ij</w:t>
      </w:r>
      <w:r w:rsidRPr="004F4605">
        <w:rPr>
          <w:bCs/>
          <w:sz w:val="22"/>
          <w:szCs w:val="22"/>
          <w:lang w:val="sr-Latn-ME"/>
        </w:rPr>
        <w:t>ednost iz dv</w:t>
      </w:r>
      <w:r w:rsidR="006B18F3" w:rsidRPr="00DE7B81">
        <w:rPr>
          <w:bCs/>
          <w:sz w:val="22"/>
          <w:szCs w:val="22"/>
          <w:lang w:val="sr-Latn-ME"/>
        </w:rPr>
        <w:t>ij</w:t>
      </w:r>
      <w:r w:rsidRPr="00DE7B81">
        <w:rPr>
          <w:bCs/>
          <w:sz w:val="22"/>
          <w:szCs w:val="22"/>
          <w:lang w:val="sr-Latn-ME"/>
        </w:rPr>
        <w:t>e studije</w:t>
      </w:r>
      <w:r w:rsidRPr="00DE7B81" w:rsidDel="003B5309">
        <w:rPr>
          <w:bCs/>
          <w:sz w:val="22"/>
          <w:szCs w:val="22"/>
          <w:lang w:val="sr-Latn-ME"/>
        </w:rPr>
        <w:t xml:space="preserve"> </w:t>
      </w:r>
    </w:p>
    <w:p w14:paraId="54E1E1BC" w14:textId="77777777" w:rsidR="00004924" w:rsidRPr="00DE7B81" w:rsidRDefault="00004924" w:rsidP="00004924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789DDAF6" w14:textId="0C8DF34B" w:rsidR="00004924" w:rsidRPr="00DE7B81" w:rsidRDefault="00004924" w:rsidP="00004924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DE7B81">
        <w:rPr>
          <w:bCs/>
          <w:sz w:val="22"/>
          <w:szCs w:val="22"/>
          <w:lang w:val="sr-Latn-ME"/>
        </w:rPr>
        <w:t>Koncentracija u serumu (mikrograma/m</w:t>
      </w:r>
      <w:r w:rsidR="001175B9" w:rsidRPr="00DE7B81">
        <w:rPr>
          <w:bCs/>
          <w:sz w:val="22"/>
          <w:szCs w:val="22"/>
          <w:lang w:val="sr-Latn-ME"/>
        </w:rPr>
        <w:t>l</w:t>
      </w:r>
      <w:r w:rsidRPr="00DE7B81">
        <w:rPr>
          <w:bCs/>
          <w:sz w:val="22"/>
          <w:szCs w:val="22"/>
          <w:lang w:val="sr-Latn-ME"/>
        </w:rPr>
        <w:t>) nakon prim</w:t>
      </w:r>
      <w:r w:rsidR="004E7B39" w:rsidRPr="00DE7B81">
        <w:rPr>
          <w:bCs/>
          <w:sz w:val="22"/>
          <w:szCs w:val="22"/>
          <w:lang w:val="sr-Latn-ME"/>
        </w:rPr>
        <w:t>j</w:t>
      </w:r>
      <w:r w:rsidRPr="00DE7B81">
        <w:rPr>
          <w:bCs/>
          <w:sz w:val="22"/>
          <w:szCs w:val="22"/>
          <w:lang w:val="sr-Latn-ME"/>
        </w:rPr>
        <w:t>ene intravenske injekcije; doza od 1 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3"/>
        <w:gridCol w:w="1513"/>
        <w:gridCol w:w="1513"/>
      </w:tblGrid>
      <w:tr w:rsidR="00A01656" w:rsidRPr="00DE7B81" w14:paraId="7E4B9984" w14:textId="77777777" w:rsidTr="00576453">
        <w:tc>
          <w:tcPr>
            <w:tcW w:w="1642" w:type="dxa"/>
          </w:tcPr>
          <w:p w14:paraId="5AE5FE42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Nakon 5 min</w:t>
            </w:r>
          </w:p>
        </w:tc>
        <w:tc>
          <w:tcPr>
            <w:tcW w:w="1642" w:type="dxa"/>
          </w:tcPr>
          <w:p w14:paraId="44582396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C7133C">
              <w:rPr>
                <w:sz w:val="22"/>
                <w:szCs w:val="22"/>
                <w:lang w:val="sr-Latn-ME"/>
              </w:rPr>
              <w:t>Nakon 15 min</w:t>
            </w:r>
          </w:p>
        </w:tc>
        <w:tc>
          <w:tcPr>
            <w:tcW w:w="1642" w:type="dxa"/>
          </w:tcPr>
          <w:p w14:paraId="045A03C4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C7133C">
              <w:rPr>
                <w:sz w:val="22"/>
                <w:szCs w:val="22"/>
                <w:lang w:val="sr-Latn-ME"/>
              </w:rPr>
              <w:t>Nakon 30 min</w:t>
            </w:r>
          </w:p>
        </w:tc>
        <w:tc>
          <w:tcPr>
            <w:tcW w:w="1643" w:type="dxa"/>
          </w:tcPr>
          <w:p w14:paraId="0C4F3A9E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C7133C">
              <w:rPr>
                <w:sz w:val="22"/>
                <w:szCs w:val="22"/>
                <w:lang w:val="sr-Latn-ME"/>
              </w:rPr>
              <w:t>Nakon 1 sata</w:t>
            </w:r>
          </w:p>
        </w:tc>
        <w:tc>
          <w:tcPr>
            <w:tcW w:w="1643" w:type="dxa"/>
          </w:tcPr>
          <w:p w14:paraId="56886CA7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C7133C">
              <w:rPr>
                <w:sz w:val="22"/>
                <w:szCs w:val="22"/>
                <w:lang w:val="sr-Latn-ME"/>
              </w:rPr>
              <w:t>Nakon 2 sata</w:t>
            </w:r>
          </w:p>
        </w:tc>
        <w:tc>
          <w:tcPr>
            <w:tcW w:w="1643" w:type="dxa"/>
          </w:tcPr>
          <w:p w14:paraId="4ABD37C8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C7133C">
              <w:rPr>
                <w:sz w:val="22"/>
                <w:szCs w:val="22"/>
                <w:lang w:val="sr-Latn-ME"/>
              </w:rPr>
              <w:t>Nakon 4 sata</w:t>
            </w:r>
          </w:p>
        </w:tc>
      </w:tr>
      <w:tr w:rsidR="00A01656" w:rsidRPr="00DE7B81" w14:paraId="4ED0F197" w14:textId="77777777" w:rsidTr="00576453">
        <w:tc>
          <w:tcPr>
            <w:tcW w:w="1642" w:type="dxa"/>
          </w:tcPr>
          <w:p w14:paraId="3D787925" w14:textId="77777777" w:rsidR="00004924" w:rsidRPr="00EE2B00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EE2B00">
              <w:rPr>
                <w:bCs/>
                <w:sz w:val="22"/>
                <w:szCs w:val="22"/>
                <w:lang w:val="sr-Latn-ME"/>
              </w:rPr>
              <w:t>188,4</w:t>
            </w:r>
          </w:p>
        </w:tc>
        <w:tc>
          <w:tcPr>
            <w:tcW w:w="1642" w:type="dxa"/>
          </w:tcPr>
          <w:p w14:paraId="51CC63F2" w14:textId="77777777" w:rsidR="00004924" w:rsidRPr="00C41F96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C41F96">
              <w:rPr>
                <w:bCs/>
                <w:sz w:val="22"/>
                <w:szCs w:val="22"/>
                <w:lang w:val="sr-Latn-ME"/>
              </w:rPr>
              <w:t>135,8</w:t>
            </w:r>
          </w:p>
        </w:tc>
        <w:tc>
          <w:tcPr>
            <w:tcW w:w="1642" w:type="dxa"/>
          </w:tcPr>
          <w:p w14:paraId="29231D26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106,8</w:t>
            </w:r>
          </w:p>
        </w:tc>
        <w:tc>
          <w:tcPr>
            <w:tcW w:w="1643" w:type="dxa"/>
          </w:tcPr>
          <w:p w14:paraId="4321F34D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73,7</w:t>
            </w:r>
          </w:p>
        </w:tc>
        <w:tc>
          <w:tcPr>
            <w:tcW w:w="1643" w:type="dxa"/>
          </w:tcPr>
          <w:p w14:paraId="087FA92B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45,6</w:t>
            </w:r>
          </w:p>
        </w:tc>
        <w:tc>
          <w:tcPr>
            <w:tcW w:w="1643" w:type="dxa"/>
          </w:tcPr>
          <w:p w14:paraId="24898215" w14:textId="77777777" w:rsidR="00004924" w:rsidRPr="00DE7B81" w:rsidRDefault="00004924" w:rsidP="00004924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E7B81">
              <w:rPr>
                <w:bCs/>
                <w:sz w:val="22"/>
                <w:szCs w:val="22"/>
                <w:lang w:val="sr-Latn-ME"/>
              </w:rPr>
              <w:t>16,5</w:t>
            </w:r>
          </w:p>
        </w:tc>
      </w:tr>
    </w:tbl>
    <w:p w14:paraId="7EFF2D33" w14:textId="77777777" w:rsidR="00004924" w:rsidRPr="00EE2B00" w:rsidRDefault="00004924" w:rsidP="00004924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1E75F065" w14:textId="288D11B7" w:rsidR="00004924" w:rsidRPr="00DE7B81" w:rsidRDefault="00C558CA" w:rsidP="00004924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C41F96">
        <w:rPr>
          <w:bCs/>
          <w:sz w:val="22"/>
          <w:szCs w:val="22"/>
          <w:lang w:val="sr-Latn-ME"/>
        </w:rPr>
        <w:t>Nakon</w:t>
      </w:r>
      <w:r w:rsidR="00004924" w:rsidRPr="00C41F96">
        <w:rPr>
          <w:bCs/>
          <w:sz w:val="22"/>
          <w:szCs w:val="22"/>
          <w:lang w:val="sr-Latn-ME"/>
        </w:rPr>
        <w:t xml:space="preserve"> intravenske prim</w:t>
      </w:r>
      <w:r w:rsidR="004E7B39" w:rsidRPr="004F4605">
        <w:rPr>
          <w:bCs/>
          <w:sz w:val="22"/>
          <w:szCs w:val="22"/>
          <w:lang w:val="sr-Latn-ME"/>
        </w:rPr>
        <w:t>j</w:t>
      </w:r>
      <w:r w:rsidR="00004924" w:rsidRPr="004F4605">
        <w:rPr>
          <w:bCs/>
          <w:sz w:val="22"/>
          <w:szCs w:val="22"/>
          <w:lang w:val="sr-Latn-ME"/>
        </w:rPr>
        <w:t>ene poluvr</w:t>
      </w:r>
      <w:r w:rsidR="004E7B39" w:rsidRPr="00DE7B81">
        <w:rPr>
          <w:bCs/>
          <w:sz w:val="22"/>
          <w:szCs w:val="22"/>
          <w:lang w:val="sr-Latn-ME"/>
        </w:rPr>
        <w:t>ij</w:t>
      </w:r>
      <w:r w:rsidR="00004924" w:rsidRPr="00DE7B81">
        <w:rPr>
          <w:bCs/>
          <w:sz w:val="22"/>
          <w:szCs w:val="22"/>
          <w:lang w:val="sr-Latn-ME"/>
        </w:rPr>
        <w:t>eme eliminacije iznosi oko 1,4 sata.</w:t>
      </w:r>
      <w:r w:rsidR="00004924" w:rsidRPr="00DE7B81" w:rsidDel="003B5309">
        <w:rPr>
          <w:bCs/>
          <w:sz w:val="22"/>
          <w:szCs w:val="22"/>
          <w:lang w:val="sr-Latn-ME"/>
        </w:rPr>
        <w:t xml:space="preserve"> </w:t>
      </w:r>
    </w:p>
    <w:p w14:paraId="297E34B0" w14:textId="77777777" w:rsidR="00004924" w:rsidRPr="00DE7B81" w:rsidRDefault="00004924" w:rsidP="00004924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194770E7" w14:textId="4B649393" w:rsidR="009E0DF7" w:rsidRPr="00DE7B81" w:rsidRDefault="005455BB" w:rsidP="009E0DF7">
      <w:pPr>
        <w:jc w:val="both"/>
        <w:rPr>
          <w:bCs/>
          <w:sz w:val="22"/>
          <w:szCs w:val="22"/>
          <w:lang w:val="sr-Latn-ME"/>
        </w:rPr>
      </w:pPr>
      <w:r w:rsidRPr="00DE7B81">
        <w:rPr>
          <w:bCs/>
          <w:sz w:val="22"/>
          <w:szCs w:val="22"/>
          <w:u w:val="single"/>
          <w:lang w:val="sr-Latn-ME"/>
        </w:rPr>
        <w:t>Resorpcija</w:t>
      </w:r>
    </w:p>
    <w:p w14:paraId="6061E0D4" w14:textId="0833EA6A" w:rsidR="00D27AF8" w:rsidRPr="00DE7B81" w:rsidRDefault="00C558CA" w:rsidP="00D27AF8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DE7B81">
        <w:rPr>
          <w:bCs/>
          <w:sz w:val="22"/>
          <w:szCs w:val="22"/>
          <w:lang w:val="sr-Latn-ME"/>
        </w:rPr>
        <w:t>Nakon</w:t>
      </w:r>
      <w:r w:rsidR="00D27AF8" w:rsidRPr="00DE7B81">
        <w:rPr>
          <w:bCs/>
          <w:sz w:val="22"/>
          <w:szCs w:val="22"/>
          <w:lang w:val="sr-Latn-ME"/>
        </w:rPr>
        <w:t xml:space="preserve"> intravenske infuzije cefazolina u dozi od 3,5 mg/kg t</w:t>
      </w:r>
      <w:r w:rsidR="004E7B39" w:rsidRPr="00DE7B81">
        <w:rPr>
          <w:bCs/>
          <w:sz w:val="22"/>
          <w:szCs w:val="22"/>
          <w:lang w:val="sr-Latn-ME"/>
        </w:rPr>
        <w:t>j</w:t>
      </w:r>
      <w:r w:rsidR="00D27AF8" w:rsidRPr="00DE7B81">
        <w:rPr>
          <w:bCs/>
          <w:sz w:val="22"/>
          <w:szCs w:val="22"/>
          <w:lang w:val="sr-Latn-ME"/>
        </w:rPr>
        <w:t>elesne mase (oko 250 mg) u trajanju od jednog</w:t>
      </w:r>
      <w:r w:rsidR="004E7B39" w:rsidRPr="00DE7B81">
        <w:rPr>
          <w:bCs/>
          <w:sz w:val="22"/>
          <w:szCs w:val="22"/>
          <w:lang w:val="sr-Latn-ME"/>
        </w:rPr>
        <w:t xml:space="preserve"> </w:t>
      </w:r>
      <w:r w:rsidR="00D27AF8" w:rsidRPr="00DE7B81">
        <w:rPr>
          <w:bCs/>
          <w:sz w:val="22"/>
          <w:szCs w:val="22"/>
          <w:lang w:val="sr-Latn-ME"/>
        </w:rPr>
        <w:t>sata, a zatim doze od 1,5 mg/kg t</w:t>
      </w:r>
      <w:r w:rsidR="004E7B39" w:rsidRPr="00DE7B81">
        <w:rPr>
          <w:bCs/>
          <w:sz w:val="22"/>
          <w:szCs w:val="22"/>
          <w:lang w:val="sr-Latn-ME"/>
        </w:rPr>
        <w:t>j</w:t>
      </w:r>
      <w:r w:rsidR="00D27AF8" w:rsidRPr="00DE7B81">
        <w:rPr>
          <w:bCs/>
          <w:sz w:val="22"/>
          <w:szCs w:val="22"/>
          <w:lang w:val="sr-Latn-ME"/>
        </w:rPr>
        <w:t>elesne mase (oko 100 mg) u trajanju od 2 sata, došlo je do postizanja</w:t>
      </w:r>
      <w:r w:rsidR="004E7B39" w:rsidRPr="00DE7B81">
        <w:rPr>
          <w:bCs/>
          <w:sz w:val="22"/>
          <w:szCs w:val="22"/>
          <w:lang w:val="sr-Latn-ME"/>
        </w:rPr>
        <w:t xml:space="preserve"> </w:t>
      </w:r>
      <w:r w:rsidR="00D27AF8" w:rsidRPr="00DE7B81">
        <w:rPr>
          <w:bCs/>
          <w:sz w:val="22"/>
          <w:szCs w:val="22"/>
          <w:lang w:val="sr-Latn-ME"/>
        </w:rPr>
        <w:t>ravno</w:t>
      </w:r>
      <w:r w:rsidR="001175B9" w:rsidRPr="00DE7B81">
        <w:rPr>
          <w:bCs/>
          <w:sz w:val="22"/>
          <w:szCs w:val="22"/>
          <w:lang w:val="sr-Latn-ME"/>
        </w:rPr>
        <w:t xml:space="preserve">težne </w:t>
      </w:r>
      <w:r w:rsidR="00D27AF8" w:rsidRPr="00DE7B81">
        <w:rPr>
          <w:bCs/>
          <w:sz w:val="22"/>
          <w:szCs w:val="22"/>
          <w:lang w:val="sr-Latn-ME"/>
        </w:rPr>
        <w:t>koncentracije l</w:t>
      </w:r>
      <w:r w:rsidR="004E7B39" w:rsidRPr="00DE7B81">
        <w:rPr>
          <w:bCs/>
          <w:sz w:val="22"/>
          <w:szCs w:val="22"/>
          <w:lang w:val="sr-Latn-ME"/>
        </w:rPr>
        <w:t>ij</w:t>
      </w:r>
      <w:r w:rsidR="00D27AF8" w:rsidRPr="00DE7B81">
        <w:rPr>
          <w:bCs/>
          <w:sz w:val="22"/>
          <w:szCs w:val="22"/>
          <w:lang w:val="sr-Latn-ME"/>
        </w:rPr>
        <w:t>eka u serumu od oko 28 mikrograma/m</w:t>
      </w:r>
      <w:r w:rsidR="001175B9" w:rsidRPr="00DE7B81">
        <w:rPr>
          <w:bCs/>
          <w:sz w:val="22"/>
          <w:szCs w:val="22"/>
          <w:lang w:val="sr-Latn-ME"/>
        </w:rPr>
        <w:t>l</w:t>
      </w:r>
      <w:r w:rsidR="00D27AF8" w:rsidRPr="00DE7B81">
        <w:rPr>
          <w:bCs/>
          <w:sz w:val="22"/>
          <w:szCs w:val="22"/>
          <w:lang w:val="sr-Latn-ME"/>
        </w:rPr>
        <w:t xml:space="preserve"> u toku trećeg sata.</w:t>
      </w:r>
    </w:p>
    <w:p w14:paraId="65ED28F7" w14:textId="05E1A423" w:rsidR="00D27AF8" w:rsidRPr="00DE7B81" w:rsidRDefault="00D27AF8" w:rsidP="00D27AF8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DE7B81">
        <w:rPr>
          <w:bCs/>
          <w:sz w:val="22"/>
          <w:szCs w:val="22"/>
          <w:lang w:val="sr-Latn-ME"/>
        </w:rPr>
        <w:t xml:space="preserve">Kod pacijenata na peritonealnoj dijalizi (2 </w:t>
      </w:r>
      <w:r w:rsidR="001175B9" w:rsidRPr="00DE7B81">
        <w:rPr>
          <w:bCs/>
          <w:sz w:val="22"/>
          <w:szCs w:val="22"/>
          <w:lang w:val="sr-Latn-ME"/>
        </w:rPr>
        <w:t>l</w:t>
      </w:r>
      <w:r w:rsidRPr="00DE7B81">
        <w:rPr>
          <w:bCs/>
          <w:sz w:val="22"/>
          <w:szCs w:val="22"/>
          <w:lang w:val="sr-Latn-ME"/>
        </w:rPr>
        <w:t>/sat), srednje koncentracije l</w:t>
      </w:r>
      <w:r w:rsidR="004E7B39" w:rsidRPr="00DE7B81">
        <w:rPr>
          <w:bCs/>
          <w:sz w:val="22"/>
          <w:szCs w:val="22"/>
          <w:lang w:val="sr-Latn-ME"/>
        </w:rPr>
        <w:t>ij</w:t>
      </w:r>
      <w:r w:rsidRPr="00DE7B81">
        <w:rPr>
          <w:bCs/>
          <w:sz w:val="22"/>
          <w:szCs w:val="22"/>
          <w:lang w:val="sr-Latn-ME"/>
        </w:rPr>
        <w:t xml:space="preserve">eka u serumu </w:t>
      </w:r>
      <w:r w:rsidR="00C558CA" w:rsidRPr="00DE7B81">
        <w:rPr>
          <w:bCs/>
          <w:sz w:val="22"/>
          <w:szCs w:val="22"/>
          <w:lang w:val="sr-Latn-ME"/>
        </w:rPr>
        <w:t>nakon</w:t>
      </w:r>
      <w:r w:rsidRPr="00DE7B81">
        <w:rPr>
          <w:bCs/>
          <w:sz w:val="22"/>
          <w:szCs w:val="22"/>
          <w:lang w:val="sr-Latn-ME"/>
        </w:rPr>
        <w:t xml:space="preserve"> 24-časovne</w:t>
      </w:r>
      <w:r w:rsidR="00C558CA" w:rsidRPr="00DE7B81">
        <w:rPr>
          <w:bCs/>
          <w:sz w:val="22"/>
          <w:szCs w:val="22"/>
          <w:lang w:val="sr-Latn-ME"/>
        </w:rPr>
        <w:t xml:space="preserve"> </w:t>
      </w:r>
      <w:r w:rsidRPr="00DE7B81">
        <w:rPr>
          <w:bCs/>
          <w:sz w:val="22"/>
          <w:szCs w:val="22"/>
          <w:lang w:val="sr-Latn-ME"/>
        </w:rPr>
        <w:t>instilacije rastvora koncentracije 50 mg/</w:t>
      </w:r>
      <w:r w:rsidR="001175B9" w:rsidRPr="00DE7B81">
        <w:rPr>
          <w:bCs/>
          <w:sz w:val="22"/>
          <w:szCs w:val="22"/>
          <w:lang w:val="sr-Latn-ME"/>
        </w:rPr>
        <w:t>l</w:t>
      </w:r>
      <w:r w:rsidRPr="00DE7B81">
        <w:rPr>
          <w:bCs/>
          <w:sz w:val="22"/>
          <w:szCs w:val="22"/>
          <w:lang w:val="sr-Latn-ME"/>
        </w:rPr>
        <w:t>, odnosno 150 mg/</w:t>
      </w:r>
      <w:r w:rsidR="001175B9" w:rsidRPr="00DE7B81">
        <w:rPr>
          <w:bCs/>
          <w:sz w:val="22"/>
          <w:szCs w:val="22"/>
          <w:lang w:val="sr-Latn-ME"/>
        </w:rPr>
        <w:t>l</w:t>
      </w:r>
      <w:r w:rsidRPr="00DE7B81">
        <w:rPr>
          <w:bCs/>
          <w:sz w:val="22"/>
          <w:szCs w:val="22"/>
          <w:lang w:val="sr-Latn-ME"/>
        </w:rPr>
        <w:t>, iznose 10 mikrograma/m</w:t>
      </w:r>
      <w:r w:rsidR="001175B9" w:rsidRPr="00DE7B81">
        <w:rPr>
          <w:bCs/>
          <w:sz w:val="22"/>
          <w:szCs w:val="22"/>
          <w:lang w:val="sr-Latn-ME"/>
        </w:rPr>
        <w:t>l</w:t>
      </w:r>
      <w:r w:rsidRPr="00DE7B81">
        <w:rPr>
          <w:bCs/>
          <w:sz w:val="22"/>
          <w:szCs w:val="22"/>
          <w:lang w:val="sr-Latn-ME"/>
        </w:rPr>
        <w:t>, odnosno 30</w:t>
      </w:r>
      <w:r w:rsidR="00C558CA" w:rsidRPr="00DE7B81">
        <w:rPr>
          <w:bCs/>
          <w:sz w:val="22"/>
          <w:szCs w:val="22"/>
          <w:lang w:val="sr-Latn-ME"/>
        </w:rPr>
        <w:t xml:space="preserve"> </w:t>
      </w:r>
      <w:r w:rsidRPr="00DE7B81">
        <w:rPr>
          <w:bCs/>
          <w:sz w:val="22"/>
          <w:szCs w:val="22"/>
          <w:lang w:val="sr-Latn-ME"/>
        </w:rPr>
        <w:t>mikrograma/m</w:t>
      </w:r>
      <w:r w:rsidR="001175B9" w:rsidRPr="00DE7B81">
        <w:rPr>
          <w:bCs/>
          <w:sz w:val="22"/>
          <w:szCs w:val="22"/>
          <w:lang w:val="sr-Latn-ME"/>
        </w:rPr>
        <w:t>l</w:t>
      </w:r>
      <w:r w:rsidRPr="00DE7B81">
        <w:rPr>
          <w:bCs/>
          <w:sz w:val="22"/>
          <w:szCs w:val="22"/>
          <w:lang w:val="sr-Latn-ME"/>
        </w:rPr>
        <w:t>. Kod prim</w:t>
      </w:r>
      <w:r w:rsidR="004E7B39" w:rsidRPr="00DE7B81">
        <w:rPr>
          <w:bCs/>
          <w:sz w:val="22"/>
          <w:szCs w:val="22"/>
          <w:lang w:val="sr-Latn-ME"/>
        </w:rPr>
        <w:t>j</w:t>
      </w:r>
      <w:r w:rsidRPr="00DE7B81">
        <w:rPr>
          <w:bCs/>
          <w:sz w:val="22"/>
          <w:szCs w:val="22"/>
          <w:lang w:val="sr-Latn-ME"/>
        </w:rPr>
        <w:t>ene rastvora koncentracije 50 mg/</w:t>
      </w:r>
      <w:r w:rsidR="001175B9" w:rsidRPr="00DE7B81">
        <w:rPr>
          <w:bCs/>
          <w:sz w:val="22"/>
          <w:szCs w:val="22"/>
          <w:lang w:val="sr-Latn-ME"/>
        </w:rPr>
        <w:t>l</w:t>
      </w:r>
      <w:r w:rsidRPr="00DE7B81">
        <w:rPr>
          <w:bCs/>
          <w:sz w:val="22"/>
          <w:szCs w:val="22"/>
          <w:lang w:val="sr-Latn-ME"/>
        </w:rPr>
        <w:t>, srednja maksimalna koncentracija cefazolina iznosila je 29 mikrograma/m</w:t>
      </w:r>
      <w:r w:rsidR="001175B9" w:rsidRPr="00DE7B81">
        <w:rPr>
          <w:bCs/>
          <w:sz w:val="22"/>
          <w:szCs w:val="22"/>
          <w:lang w:val="sr-Latn-ME"/>
        </w:rPr>
        <w:t xml:space="preserve">l </w:t>
      </w:r>
      <w:r w:rsidRPr="00DE7B81">
        <w:rPr>
          <w:bCs/>
          <w:sz w:val="22"/>
          <w:szCs w:val="22"/>
          <w:lang w:val="sr-Latn-ME"/>
        </w:rPr>
        <w:t>(3 pacijenta) odnosno kod prim</w:t>
      </w:r>
      <w:r w:rsidR="004E7B39" w:rsidRPr="00DE7B81">
        <w:rPr>
          <w:bCs/>
          <w:sz w:val="22"/>
          <w:szCs w:val="22"/>
          <w:lang w:val="sr-Latn-ME"/>
        </w:rPr>
        <w:t>j</w:t>
      </w:r>
      <w:r w:rsidRPr="00DE7B81">
        <w:rPr>
          <w:bCs/>
          <w:sz w:val="22"/>
          <w:szCs w:val="22"/>
          <w:lang w:val="sr-Latn-ME"/>
        </w:rPr>
        <w:t>ene rastvora koncentracije 150 mg/</w:t>
      </w:r>
      <w:r w:rsidR="001175B9" w:rsidRPr="00DE7B81">
        <w:rPr>
          <w:bCs/>
          <w:sz w:val="22"/>
          <w:szCs w:val="22"/>
          <w:lang w:val="sr-Latn-ME"/>
        </w:rPr>
        <w:t>l</w:t>
      </w:r>
      <w:r w:rsidRPr="00DE7B81">
        <w:rPr>
          <w:bCs/>
          <w:sz w:val="22"/>
          <w:szCs w:val="22"/>
          <w:lang w:val="sr-Latn-ME"/>
        </w:rPr>
        <w:t>, 72 mikrograma/m</w:t>
      </w:r>
      <w:r w:rsidR="001175B9" w:rsidRPr="00DE7B81">
        <w:rPr>
          <w:bCs/>
          <w:sz w:val="22"/>
          <w:szCs w:val="22"/>
          <w:lang w:val="sr-Latn-ME"/>
        </w:rPr>
        <w:t>l</w:t>
      </w:r>
      <w:r w:rsidRPr="00DE7B81">
        <w:rPr>
          <w:bCs/>
          <w:sz w:val="22"/>
          <w:szCs w:val="22"/>
          <w:lang w:val="sr-Latn-ME"/>
        </w:rPr>
        <w:t xml:space="preserve"> (6 pacijenata).</w:t>
      </w:r>
    </w:p>
    <w:p w14:paraId="3874BB55" w14:textId="2A7A8F0E" w:rsidR="001175B9" w:rsidRDefault="001175B9" w:rsidP="00D27AF8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3ACECDB9" w14:textId="77777777" w:rsidR="00C7133C" w:rsidRPr="00DE7B81" w:rsidRDefault="00C7133C" w:rsidP="00D27AF8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167DEDAF" w14:textId="77777777" w:rsidR="008B726B" w:rsidRPr="00DE7B81" w:rsidRDefault="008B726B" w:rsidP="008B726B">
      <w:pPr>
        <w:tabs>
          <w:tab w:val="left" w:pos="284"/>
        </w:tabs>
        <w:jc w:val="both"/>
        <w:rPr>
          <w:bCs/>
          <w:sz w:val="22"/>
          <w:szCs w:val="22"/>
          <w:u w:val="single"/>
          <w:lang w:val="sr-Latn-ME"/>
        </w:rPr>
      </w:pPr>
      <w:r w:rsidRPr="00DE7B81">
        <w:rPr>
          <w:bCs/>
          <w:sz w:val="22"/>
          <w:szCs w:val="22"/>
          <w:u w:val="single"/>
          <w:lang w:val="sr-Latn-ME"/>
        </w:rPr>
        <w:lastRenderedPageBreak/>
        <w:t>Distribucija</w:t>
      </w:r>
    </w:p>
    <w:p w14:paraId="78141362" w14:textId="348AD520" w:rsidR="008B726B" w:rsidRPr="00DE7B81" w:rsidRDefault="008B726B" w:rsidP="008B726B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DE7B81">
        <w:rPr>
          <w:bCs/>
          <w:sz w:val="22"/>
          <w:szCs w:val="22"/>
          <w:lang w:val="sr-Latn-ME"/>
        </w:rPr>
        <w:t xml:space="preserve">Vezivanje za proteine plazme je 65 do 92%. Volumen distribucije je približno 11 </w:t>
      </w:r>
      <w:r w:rsidR="001175B9" w:rsidRPr="00DE7B81">
        <w:rPr>
          <w:bCs/>
          <w:sz w:val="22"/>
          <w:szCs w:val="22"/>
          <w:lang w:val="sr-Latn-ME"/>
        </w:rPr>
        <w:t>l</w:t>
      </w:r>
      <w:r w:rsidRPr="00DE7B81">
        <w:rPr>
          <w:bCs/>
          <w:sz w:val="22"/>
          <w:szCs w:val="22"/>
          <w:lang w:val="sr-Latn-ME"/>
        </w:rPr>
        <w:t>/1,73 m</w:t>
      </w:r>
      <w:r w:rsidRPr="00DE7B81">
        <w:rPr>
          <w:bCs/>
          <w:sz w:val="22"/>
          <w:szCs w:val="22"/>
          <w:vertAlign w:val="superscript"/>
          <w:lang w:val="sr-Latn-ME"/>
        </w:rPr>
        <w:t>2</w:t>
      </w:r>
      <w:r w:rsidRPr="00DE7B81">
        <w:rPr>
          <w:bCs/>
          <w:sz w:val="22"/>
          <w:szCs w:val="22"/>
          <w:lang w:val="sr-Latn-ME"/>
        </w:rPr>
        <w:t>.</w:t>
      </w:r>
    </w:p>
    <w:p w14:paraId="371245F3" w14:textId="1BAB014F" w:rsidR="008B726B" w:rsidRPr="00DE7B81" w:rsidRDefault="008B726B" w:rsidP="008B726B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DE7B81">
        <w:rPr>
          <w:bCs/>
          <w:sz w:val="22"/>
          <w:szCs w:val="22"/>
          <w:lang w:val="sr-Latn-ME"/>
        </w:rPr>
        <w:t>Prilikom prim</w:t>
      </w:r>
      <w:r w:rsidR="004E7B39" w:rsidRPr="00DE7B81">
        <w:rPr>
          <w:bCs/>
          <w:sz w:val="22"/>
          <w:szCs w:val="22"/>
          <w:lang w:val="sr-Latn-ME"/>
        </w:rPr>
        <w:t>j</w:t>
      </w:r>
      <w:r w:rsidRPr="00DE7B81">
        <w:rPr>
          <w:bCs/>
          <w:sz w:val="22"/>
          <w:szCs w:val="22"/>
          <w:lang w:val="sr-Latn-ME"/>
        </w:rPr>
        <w:t>ene cefazolina pacijentima bez opstrukcije žučnih kanala, cefazolin se pojavljuje u tkivu žučne kese i u žučnoj kesi u koncentracijama koje su značajno veće od koncentracija u serumu. Ukoliko, međutim, postoji opstrukcija žučnih puteva, onda je koncentracija l</w:t>
      </w:r>
      <w:r w:rsidR="004E7B39" w:rsidRPr="00DE7B81">
        <w:rPr>
          <w:bCs/>
          <w:sz w:val="22"/>
          <w:szCs w:val="22"/>
          <w:lang w:val="sr-Latn-ME"/>
        </w:rPr>
        <w:t>ij</w:t>
      </w:r>
      <w:r w:rsidRPr="00DE7B81">
        <w:rPr>
          <w:bCs/>
          <w:sz w:val="22"/>
          <w:szCs w:val="22"/>
          <w:lang w:val="sr-Latn-ME"/>
        </w:rPr>
        <w:t>eka u žuči znatno manja nego u serumu.</w:t>
      </w:r>
    </w:p>
    <w:p w14:paraId="531239FE" w14:textId="77777777" w:rsidR="008B726B" w:rsidRPr="00DE7B81" w:rsidRDefault="008B726B" w:rsidP="008B726B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DE7B81">
        <w:rPr>
          <w:bCs/>
          <w:sz w:val="22"/>
          <w:szCs w:val="22"/>
          <w:lang w:val="sr-Latn-ME"/>
        </w:rPr>
        <w:t>Cefazolin slabo prolazi u cerebrospinalnu tečnost (čak i u slučaju meningitisa) i u očnu vodicu.</w:t>
      </w:r>
    </w:p>
    <w:p w14:paraId="3FE0CB02" w14:textId="55DC7DB7" w:rsidR="008B726B" w:rsidRPr="00DE7B81" w:rsidRDefault="008B726B" w:rsidP="008B726B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DE7B81">
        <w:rPr>
          <w:bCs/>
          <w:sz w:val="22"/>
          <w:szCs w:val="22"/>
          <w:lang w:val="sr-Latn-ME"/>
        </w:rPr>
        <w:t>Cefazolin prolazi inflamiranu sinovijalnu membranu, a koncentracija koja je postignuta u području zgloba, može se uporediti sa koncentracijom u serumu.</w:t>
      </w:r>
    </w:p>
    <w:p w14:paraId="2DD8EBDC" w14:textId="77777777" w:rsidR="008B726B" w:rsidRPr="00DE7B81" w:rsidRDefault="008B726B" w:rsidP="008B726B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DE7B81">
        <w:rPr>
          <w:bCs/>
          <w:sz w:val="22"/>
          <w:szCs w:val="22"/>
          <w:lang w:val="sr-Latn-ME"/>
        </w:rPr>
        <w:t>Cefazolin prolazi kroz placentalnu barijeru, prelazi u krv pupčane vrpce i plodovu vodu. Cefazolin se u</w:t>
      </w:r>
    </w:p>
    <w:p w14:paraId="75DD327B" w14:textId="511F96D6" w:rsidR="008B726B" w:rsidRPr="00DE7B81" w:rsidRDefault="008B726B" w:rsidP="008B726B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DE7B81">
        <w:rPr>
          <w:bCs/>
          <w:sz w:val="22"/>
          <w:szCs w:val="22"/>
          <w:lang w:val="sr-Latn-ME"/>
        </w:rPr>
        <w:t>veoma maloj koncentraciji nalazi u majčinom ml</w:t>
      </w:r>
      <w:r w:rsidR="004E7B39" w:rsidRPr="00DE7B81">
        <w:rPr>
          <w:bCs/>
          <w:sz w:val="22"/>
          <w:szCs w:val="22"/>
          <w:lang w:val="sr-Latn-ME"/>
        </w:rPr>
        <w:t>ij</w:t>
      </w:r>
      <w:r w:rsidRPr="00DE7B81">
        <w:rPr>
          <w:bCs/>
          <w:sz w:val="22"/>
          <w:szCs w:val="22"/>
          <w:lang w:val="sr-Latn-ME"/>
        </w:rPr>
        <w:t>eku.</w:t>
      </w:r>
    </w:p>
    <w:p w14:paraId="28BCEA82" w14:textId="77777777" w:rsidR="009E0DF7" w:rsidRPr="00DE7B81" w:rsidRDefault="009E0DF7" w:rsidP="009E0DF7">
      <w:pPr>
        <w:jc w:val="both"/>
        <w:rPr>
          <w:bCs/>
          <w:sz w:val="22"/>
          <w:szCs w:val="22"/>
          <w:lang w:val="sr-Latn-ME"/>
        </w:rPr>
      </w:pPr>
    </w:p>
    <w:p w14:paraId="3A768107" w14:textId="77777777" w:rsidR="00C56795" w:rsidRPr="00DE7B81" w:rsidRDefault="00C56795" w:rsidP="00C56795">
      <w:pPr>
        <w:tabs>
          <w:tab w:val="left" w:pos="284"/>
        </w:tabs>
        <w:jc w:val="both"/>
        <w:rPr>
          <w:bCs/>
          <w:sz w:val="22"/>
          <w:szCs w:val="22"/>
          <w:u w:val="single"/>
          <w:lang w:val="sr-Latn-ME"/>
        </w:rPr>
      </w:pPr>
      <w:r w:rsidRPr="00DE7B81">
        <w:rPr>
          <w:bCs/>
          <w:sz w:val="22"/>
          <w:szCs w:val="22"/>
          <w:u w:val="single"/>
          <w:lang w:val="sr-Latn-ME"/>
        </w:rPr>
        <w:t>Biotransformacija i eliminacija</w:t>
      </w:r>
    </w:p>
    <w:p w14:paraId="099CC508" w14:textId="256C6B43" w:rsidR="00C56795" w:rsidRPr="00EE2B00" w:rsidRDefault="00C56795" w:rsidP="00C56795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DE7B81">
        <w:rPr>
          <w:bCs/>
          <w:sz w:val="22"/>
          <w:szCs w:val="22"/>
          <w:lang w:val="sr-Latn-ME"/>
        </w:rPr>
        <w:t>Cefazolin se neprom</w:t>
      </w:r>
      <w:r w:rsidR="006F7403" w:rsidRPr="00DE7B81">
        <w:rPr>
          <w:bCs/>
          <w:sz w:val="22"/>
          <w:szCs w:val="22"/>
          <w:lang w:val="sr-Latn-ME"/>
        </w:rPr>
        <w:t>ij</w:t>
      </w:r>
      <w:r w:rsidRPr="00DE7B81">
        <w:rPr>
          <w:bCs/>
          <w:sz w:val="22"/>
          <w:szCs w:val="22"/>
          <w:lang w:val="sr-Latn-ME"/>
        </w:rPr>
        <w:t>enjen izlučuje urinom i to uglavnom putem glomerularne filtracije, a manjim d</w:t>
      </w:r>
      <w:r w:rsidR="00A8562B" w:rsidRPr="00DE7B81">
        <w:rPr>
          <w:bCs/>
          <w:sz w:val="22"/>
          <w:szCs w:val="22"/>
          <w:lang w:val="sr-Latn-ME"/>
        </w:rPr>
        <w:t>ij</w:t>
      </w:r>
      <w:r w:rsidRPr="00DE7B81">
        <w:rPr>
          <w:bCs/>
          <w:sz w:val="22"/>
          <w:szCs w:val="22"/>
          <w:lang w:val="sr-Latn-ME"/>
        </w:rPr>
        <w:t>elom</w:t>
      </w:r>
      <w:r w:rsidR="0017280F" w:rsidRPr="00DE7B81">
        <w:rPr>
          <w:bCs/>
          <w:sz w:val="22"/>
          <w:szCs w:val="22"/>
          <w:lang w:val="sr-Latn-ME"/>
        </w:rPr>
        <w:t xml:space="preserve"> </w:t>
      </w:r>
      <w:r w:rsidRPr="00DE7B81">
        <w:rPr>
          <w:bCs/>
          <w:sz w:val="22"/>
          <w:szCs w:val="22"/>
          <w:lang w:val="sr-Latn-ME"/>
        </w:rPr>
        <w:t>tubularnom sekrecijom. Nakon intramuskularne injekcije doze od 500 mg, 56 do 89% prim</w:t>
      </w:r>
      <w:r w:rsidR="00A8562B" w:rsidRPr="00DE7B81">
        <w:rPr>
          <w:bCs/>
          <w:sz w:val="22"/>
          <w:szCs w:val="22"/>
          <w:lang w:val="sr-Latn-ME"/>
        </w:rPr>
        <w:t>j</w:t>
      </w:r>
      <w:r w:rsidRPr="00DE7B81">
        <w:rPr>
          <w:bCs/>
          <w:sz w:val="22"/>
          <w:szCs w:val="22"/>
          <w:lang w:val="sr-Latn-ME"/>
        </w:rPr>
        <w:t>enjene doze</w:t>
      </w:r>
      <w:r w:rsidR="00A8562B" w:rsidRPr="00DE7B81">
        <w:rPr>
          <w:bCs/>
          <w:sz w:val="22"/>
          <w:szCs w:val="22"/>
          <w:lang w:val="sr-Latn-ME"/>
        </w:rPr>
        <w:t xml:space="preserve"> </w:t>
      </w:r>
      <w:r w:rsidRPr="00DE7B81">
        <w:rPr>
          <w:bCs/>
          <w:sz w:val="22"/>
          <w:szCs w:val="22"/>
          <w:lang w:val="sr-Latn-ME"/>
        </w:rPr>
        <w:t>cefazolina se izluči tokom prvih 6 sati, a 80% do skoro 100% se izluči u roku od 24 sata. Nakon</w:t>
      </w:r>
      <w:r w:rsidR="00A8562B" w:rsidRPr="00DE7B81">
        <w:rPr>
          <w:bCs/>
          <w:sz w:val="22"/>
          <w:szCs w:val="22"/>
          <w:lang w:val="sr-Latn-ME"/>
        </w:rPr>
        <w:t xml:space="preserve"> </w:t>
      </w:r>
      <w:r w:rsidRPr="00DE7B81">
        <w:rPr>
          <w:bCs/>
          <w:sz w:val="22"/>
          <w:szCs w:val="22"/>
          <w:lang w:val="sr-Latn-ME"/>
        </w:rPr>
        <w:t>intramuskularne prim</w:t>
      </w:r>
      <w:r w:rsidR="00E85935" w:rsidRPr="00DE7B81">
        <w:rPr>
          <w:bCs/>
          <w:sz w:val="22"/>
          <w:szCs w:val="22"/>
          <w:lang w:val="sr-Latn-ME"/>
        </w:rPr>
        <w:t>j</w:t>
      </w:r>
      <w:r w:rsidRPr="00DE7B81">
        <w:rPr>
          <w:bCs/>
          <w:sz w:val="22"/>
          <w:szCs w:val="22"/>
          <w:lang w:val="sr-Latn-ME"/>
        </w:rPr>
        <w:t>ene doze od 500 mg i 1 g, mogu se postići koncentracije u urinu od više od 1000,</w:t>
      </w:r>
      <w:r w:rsidR="00E85935" w:rsidRPr="00DE7B81">
        <w:rPr>
          <w:bCs/>
          <w:sz w:val="22"/>
          <w:szCs w:val="22"/>
          <w:lang w:val="sr-Latn-ME"/>
        </w:rPr>
        <w:t xml:space="preserve"> </w:t>
      </w:r>
      <w:r w:rsidRPr="00DE7B81">
        <w:rPr>
          <w:bCs/>
          <w:sz w:val="22"/>
          <w:szCs w:val="22"/>
          <w:lang w:val="sr-Latn-ME"/>
        </w:rPr>
        <w:t>odnosno više od 4000 mikrograma/m</w:t>
      </w:r>
      <w:r w:rsidR="001E2B54" w:rsidRPr="00DE7B81">
        <w:rPr>
          <w:bCs/>
          <w:sz w:val="22"/>
          <w:szCs w:val="22"/>
          <w:lang w:val="sr-Latn-ME"/>
        </w:rPr>
        <w:t>l</w:t>
      </w:r>
      <w:r w:rsidRPr="00DE7B81">
        <w:rPr>
          <w:bCs/>
          <w:sz w:val="22"/>
          <w:szCs w:val="22"/>
          <w:lang w:val="sr-Latn-ME"/>
        </w:rPr>
        <w:t>.</w:t>
      </w:r>
      <w:r w:rsidR="001B7338" w:rsidRPr="007A1D0B">
        <w:rPr>
          <w:sz w:val="22"/>
          <w:szCs w:val="22"/>
          <w:lang w:val="sr-Latn-ME"/>
        </w:rPr>
        <w:t xml:space="preserve"> </w:t>
      </w:r>
    </w:p>
    <w:p w14:paraId="42722C2E" w14:textId="2DE5EECB" w:rsidR="00C56795" w:rsidRPr="00C41F96" w:rsidRDefault="00C56795" w:rsidP="00C56795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C41F96">
        <w:rPr>
          <w:bCs/>
          <w:sz w:val="22"/>
          <w:szCs w:val="22"/>
          <w:lang w:val="sr-Latn-ME"/>
        </w:rPr>
        <w:t>Cefazolin se može ukloniti iz krvi dijalizom (hemodijaliza i peritonealna dijaliza). Ekstrakcija kod šestosatne dijalize iznosi 23%.</w:t>
      </w:r>
    </w:p>
    <w:p w14:paraId="49BED84F" w14:textId="77777777" w:rsidR="00C56795" w:rsidRPr="00DE7B81" w:rsidRDefault="00C56795" w:rsidP="00C56795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5DE54160" w14:textId="4223E3ED" w:rsidR="0072020E" w:rsidRPr="00DE7B8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 xml:space="preserve">5.3.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5DE54161" w14:textId="77777777" w:rsidR="00836B35" w:rsidRPr="00DE7B81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B5DBC8A" w14:textId="02B1D30E" w:rsidR="00D743A5" w:rsidRPr="00DE7B81" w:rsidRDefault="00D743A5" w:rsidP="008C5C9E">
      <w:pPr>
        <w:spacing w:after="200"/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Nisu sprovedena ispitivanja mutagenosti i</w:t>
      </w:r>
      <w:r w:rsidR="001E2B54" w:rsidRPr="00DE7B81">
        <w:rPr>
          <w:sz w:val="22"/>
          <w:szCs w:val="22"/>
          <w:lang w:val="sr-Latn-ME"/>
        </w:rPr>
        <w:t>li</w:t>
      </w:r>
      <w:r w:rsidRPr="00DE7B81">
        <w:rPr>
          <w:sz w:val="22"/>
          <w:szCs w:val="22"/>
          <w:lang w:val="sr-Latn-ME"/>
        </w:rPr>
        <w:t xml:space="preserve"> dugotrajna ispitivanja na životinjama radi određivanja karcinogenog potencijala cefazolina.</w:t>
      </w:r>
      <w:r w:rsidR="001E2B54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Ispitivanja reproduktivne toksičnosti na pacovima</w:t>
      </w:r>
      <w:r w:rsidR="00EE7ABF" w:rsidRPr="00DE7B81">
        <w:rPr>
          <w:sz w:val="22"/>
          <w:szCs w:val="22"/>
          <w:lang w:val="sr-Latn-ME"/>
        </w:rPr>
        <w:t xml:space="preserve"> u</w:t>
      </w:r>
      <w:r w:rsidRPr="00DE7B81">
        <w:rPr>
          <w:sz w:val="22"/>
          <w:szCs w:val="22"/>
          <w:lang w:val="sr-Latn-ME"/>
        </w:rPr>
        <w:t xml:space="preserve"> dozama </w:t>
      </w:r>
      <w:r w:rsidR="00EE7ABF" w:rsidRPr="00DE7B81">
        <w:rPr>
          <w:sz w:val="22"/>
          <w:szCs w:val="22"/>
          <w:lang w:val="sr-Latn-ME"/>
        </w:rPr>
        <w:t>od 500 mg ili 1g/kg t</w:t>
      </w:r>
      <w:r w:rsidR="00E85935" w:rsidRPr="00DE7B81">
        <w:rPr>
          <w:sz w:val="22"/>
          <w:szCs w:val="22"/>
          <w:lang w:val="sr-Latn-ME"/>
        </w:rPr>
        <w:t>j</w:t>
      </w:r>
      <w:r w:rsidR="00EE7ABF" w:rsidRPr="00DE7B81">
        <w:rPr>
          <w:sz w:val="22"/>
          <w:szCs w:val="22"/>
          <w:lang w:val="sr-Latn-ME"/>
        </w:rPr>
        <w:t xml:space="preserve">elesne mase, nisu ukazala na </w:t>
      </w:r>
      <w:r w:rsidR="001D328C" w:rsidRPr="00DE7B81">
        <w:rPr>
          <w:sz w:val="22"/>
          <w:szCs w:val="22"/>
          <w:lang w:val="sr-Latn-ME"/>
        </w:rPr>
        <w:t xml:space="preserve">uticaj cefazolina na reproduktivnu sposobnost ili razvoj ploda. </w:t>
      </w:r>
    </w:p>
    <w:p w14:paraId="5DE54162" w14:textId="77777777" w:rsidR="00396DFD" w:rsidRPr="00DE7B81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DE54163" w14:textId="0AEF0572" w:rsidR="0072020E" w:rsidRPr="00DE7B8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 xml:space="preserve">6.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sz w:val="22"/>
          <w:szCs w:val="22"/>
          <w:lang w:val="sr-Latn-ME"/>
        </w:rPr>
        <w:t>FARMACEUTSKI PODACI</w:t>
      </w:r>
    </w:p>
    <w:p w14:paraId="5DE54164" w14:textId="77777777" w:rsidR="00836B35" w:rsidRPr="00DE7B81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E54165" w14:textId="77777777" w:rsidR="0072020E" w:rsidRPr="00DE7B8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bookmarkStart w:id="2" w:name="_Hlk134970943"/>
      <w:r w:rsidRPr="00DE7B81">
        <w:rPr>
          <w:b/>
          <w:bCs/>
          <w:sz w:val="22"/>
          <w:szCs w:val="22"/>
          <w:lang w:val="sr-Latn-ME"/>
        </w:rPr>
        <w:t xml:space="preserve">6.1.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sz w:val="22"/>
          <w:szCs w:val="22"/>
          <w:lang w:val="sr-Latn-ME"/>
        </w:rPr>
        <w:t>Lista pomoćnih supstanci</w:t>
      </w:r>
      <w:r w:rsidR="002E0135" w:rsidRPr="00DE7B81">
        <w:rPr>
          <w:b/>
          <w:bCs/>
          <w:sz w:val="22"/>
          <w:szCs w:val="22"/>
          <w:lang w:val="sr-Latn-ME"/>
        </w:rPr>
        <w:t xml:space="preserve"> (ekscipijenasa)</w:t>
      </w:r>
    </w:p>
    <w:p w14:paraId="5DE54166" w14:textId="15DF2E2F" w:rsidR="0072020E" w:rsidRPr="00DE7B8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56AB799" w14:textId="7AFA81B8" w:rsidR="00072A11" w:rsidRPr="00DE7B81" w:rsidRDefault="001D328C" w:rsidP="00072A11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Lijek n</w:t>
      </w:r>
      <w:r w:rsidR="00072A11" w:rsidRPr="00DE7B81">
        <w:rPr>
          <w:sz w:val="22"/>
          <w:szCs w:val="22"/>
          <w:lang w:val="sr-Latn-ME"/>
        </w:rPr>
        <w:t>e sadrži pomoćne supstance.</w:t>
      </w:r>
    </w:p>
    <w:p w14:paraId="2DFB86AF" w14:textId="77777777" w:rsidR="00072A11" w:rsidRPr="00DE7B81" w:rsidRDefault="00072A1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E54167" w14:textId="77777777" w:rsidR="0072020E" w:rsidRPr="00DE7B8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 xml:space="preserve">6.2.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sz w:val="22"/>
          <w:szCs w:val="22"/>
          <w:lang w:val="sr-Latn-ME"/>
        </w:rPr>
        <w:t>Inkompatibilnost</w:t>
      </w:r>
      <w:r w:rsidR="002846DB" w:rsidRPr="00DE7B81">
        <w:rPr>
          <w:b/>
          <w:bCs/>
          <w:sz w:val="22"/>
          <w:szCs w:val="22"/>
          <w:lang w:val="sr-Latn-ME"/>
        </w:rPr>
        <w:t>i</w:t>
      </w:r>
    </w:p>
    <w:p w14:paraId="5DE54168" w14:textId="5655C269" w:rsidR="0072020E" w:rsidRPr="00DE7B8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A16EA2A" w14:textId="33FB90D9" w:rsidR="00C75544" w:rsidRPr="00022FF4" w:rsidRDefault="00C75544" w:rsidP="00C75544">
      <w:pPr>
        <w:jc w:val="both"/>
        <w:rPr>
          <w:sz w:val="22"/>
          <w:szCs w:val="22"/>
          <w:lang w:val="sr-Latn-ME"/>
        </w:rPr>
      </w:pPr>
      <w:r w:rsidRPr="00C7133C">
        <w:rPr>
          <w:sz w:val="22"/>
          <w:szCs w:val="22"/>
          <w:lang w:val="sr-Latn-ME"/>
        </w:rPr>
        <w:t>Zbog moguće fizičko-hemijske inkompatibilnosti, ne miješa</w:t>
      </w:r>
      <w:r w:rsidR="00AA1B1E" w:rsidRPr="00C7133C">
        <w:rPr>
          <w:sz w:val="22"/>
          <w:szCs w:val="22"/>
          <w:lang w:val="sr-Latn-ME"/>
        </w:rPr>
        <w:t>ti</w:t>
      </w:r>
      <w:r w:rsidRPr="004B4627">
        <w:rPr>
          <w:sz w:val="22"/>
          <w:szCs w:val="22"/>
          <w:lang w:val="sr-Latn-ME"/>
        </w:rPr>
        <w:t xml:space="preserve"> cefazolin sa </w:t>
      </w:r>
      <w:r w:rsidR="00A01656" w:rsidRPr="00022FF4">
        <w:rPr>
          <w:sz w:val="22"/>
          <w:szCs w:val="22"/>
          <w:lang w:val="sr-Latn-ME"/>
        </w:rPr>
        <w:t xml:space="preserve">drugim antibioticima (posebno </w:t>
      </w:r>
      <w:r w:rsidRPr="00022FF4">
        <w:rPr>
          <w:sz w:val="22"/>
          <w:szCs w:val="22"/>
          <w:lang w:val="sr-Latn-ME"/>
        </w:rPr>
        <w:t>aminoglikozid</w:t>
      </w:r>
      <w:r w:rsidR="00A01656" w:rsidRPr="00022FF4">
        <w:rPr>
          <w:sz w:val="22"/>
          <w:szCs w:val="22"/>
          <w:lang w:val="sr-Latn-ME"/>
        </w:rPr>
        <w:t>ima)</w:t>
      </w:r>
      <w:r w:rsidRPr="00022FF4">
        <w:rPr>
          <w:sz w:val="22"/>
          <w:szCs w:val="22"/>
          <w:lang w:val="sr-Latn-ME"/>
        </w:rPr>
        <w:t xml:space="preserve"> u istom rastvoru za ubrizgavanje. </w:t>
      </w:r>
    </w:p>
    <w:p w14:paraId="2C21F160" w14:textId="67477AA8" w:rsidR="00C75544" w:rsidRPr="00EE2B00" w:rsidRDefault="00C75544" w:rsidP="00C75544">
      <w:pPr>
        <w:jc w:val="both"/>
        <w:rPr>
          <w:sz w:val="22"/>
          <w:szCs w:val="22"/>
          <w:lang w:val="sr-Latn-ME"/>
        </w:rPr>
      </w:pPr>
      <w:r w:rsidRPr="00022FF4">
        <w:rPr>
          <w:sz w:val="22"/>
          <w:szCs w:val="22"/>
          <w:lang w:val="sr-Latn-ME"/>
        </w:rPr>
        <w:t xml:space="preserve">Cefazolin je inkompatibilan sa sljedećim ljekovima: </w:t>
      </w:r>
      <w:r w:rsidRPr="00CC311B">
        <w:rPr>
          <w:sz w:val="22"/>
          <w:szCs w:val="22"/>
          <w:lang w:val="sr-Latn-ME"/>
        </w:rPr>
        <w:t>amikacin</w:t>
      </w:r>
      <w:r w:rsidR="00F300BA">
        <w:rPr>
          <w:sz w:val="22"/>
          <w:szCs w:val="22"/>
          <w:lang w:val="sr-Latn-ME"/>
        </w:rPr>
        <w:t xml:space="preserve"> </w:t>
      </w:r>
      <w:r w:rsidRPr="003045EF">
        <w:rPr>
          <w:sz w:val="22"/>
          <w:szCs w:val="22"/>
          <w:lang w:val="sr-Latn-ME"/>
        </w:rPr>
        <w:t>dis</w:t>
      </w:r>
      <w:r w:rsidRPr="00EE2B00">
        <w:rPr>
          <w:sz w:val="22"/>
          <w:szCs w:val="22"/>
          <w:lang w:val="sr-Latn-ME"/>
        </w:rPr>
        <w:t>ulfat, amobarbital</w:t>
      </w:r>
      <w:r w:rsidR="00F300BA">
        <w:rPr>
          <w:sz w:val="22"/>
          <w:szCs w:val="22"/>
          <w:lang w:val="sr-Latn-ME"/>
        </w:rPr>
        <w:t xml:space="preserve"> </w:t>
      </w:r>
      <w:r w:rsidRPr="00EE2B00">
        <w:rPr>
          <w:sz w:val="22"/>
          <w:szCs w:val="22"/>
          <w:lang w:val="sr-Latn-ME"/>
        </w:rPr>
        <w:t>natrijum, bleomicin</w:t>
      </w:r>
      <w:r w:rsidR="00F300BA">
        <w:rPr>
          <w:sz w:val="22"/>
          <w:szCs w:val="22"/>
          <w:lang w:val="sr-Latn-ME"/>
        </w:rPr>
        <w:t xml:space="preserve"> </w:t>
      </w:r>
      <w:r w:rsidRPr="00EE2B00">
        <w:rPr>
          <w:sz w:val="22"/>
          <w:szCs w:val="22"/>
          <w:lang w:val="sr-Latn-ME"/>
        </w:rPr>
        <w:t>sulfat, kalcijum</w:t>
      </w:r>
      <w:r w:rsidR="00F300BA">
        <w:rPr>
          <w:sz w:val="22"/>
          <w:szCs w:val="22"/>
          <w:lang w:val="sr-Latn-ME"/>
        </w:rPr>
        <w:t xml:space="preserve"> </w:t>
      </w:r>
      <w:r w:rsidRPr="00EE2B00">
        <w:rPr>
          <w:sz w:val="22"/>
          <w:szCs w:val="22"/>
          <w:lang w:val="sr-Latn-ME"/>
        </w:rPr>
        <w:t>gluceptat, kalcijum glukonat, cimetidin</w:t>
      </w:r>
      <w:r w:rsidR="00F300BA">
        <w:rPr>
          <w:sz w:val="22"/>
          <w:szCs w:val="22"/>
          <w:lang w:val="sr-Latn-ME"/>
        </w:rPr>
        <w:t xml:space="preserve"> </w:t>
      </w:r>
      <w:r w:rsidRPr="00EE2B00">
        <w:rPr>
          <w:sz w:val="22"/>
          <w:szCs w:val="22"/>
          <w:lang w:val="sr-Latn-ME"/>
        </w:rPr>
        <w:t>hidrohlorid, kolistin</w:t>
      </w:r>
      <w:r w:rsidR="00F300BA">
        <w:rPr>
          <w:sz w:val="22"/>
          <w:szCs w:val="22"/>
          <w:lang w:val="sr-Latn-ME"/>
        </w:rPr>
        <w:t xml:space="preserve"> </w:t>
      </w:r>
      <w:r w:rsidRPr="00EE2B00">
        <w:rPr>
          <w:sz w:val="22"/>
          <w:szCs w:val="22"/>
          <w:lang w:val="sr-Latn-ME"/>
        </w:rPr>
        <w:t>metat</w:t>
      </w:r>
      <w:r w:rsidR="00F300BA">
        <w:rPr>
          <w:sz w:val="22"/>
          <w:szCs w:val="22"/>
          <w:lang w:val="sr-Latn-ME"/>
        </w:rPr>
        <w:t xml:space="preserve"> </w:t>
      </w:r>
      <w:r w:rsidRPr="00EE2B00">
        <w:rPr>
          <w:sz w:val="22"/>
          <w:szCs w:val="22"/>
          <w:lang w:val="sr-Latn-ME"/>
        </w:rPr>
        <w:t>natrijum, eritromicin</w:t>
      </w:r>
      <w:r w:rsidR="00CC311B">
        <w:rPr>
          <w:sz w:val="22"/>
          <w:szCs w:val="22"/>
          <w:lang w:val="sr-Latn-ME"/>
        </w:rPr>
        <w:t xml:space="preserve"> </w:t>
      </w:r>
      <w:r w:rsidRPr="00EE2B00">
        <w:rPr>
          <w:sz w:val="22"/>
          <w:szCs w:val="22"/>
          <w:lang w:val="sr-Latn-ME"/>
        </w:rPr>
        <w:t>gluceptat, kanamicin</w:t>
      </w:r>
      <w:r w:rsidR="00F300BA">
        <w:rPr>
          <w:sz w:val="22"/>
          <w:szCs w:val="22"/>
          <w:lang w:val="sr-Latn-ME"/>
        </w:rPr>
        <w:t xml:space="preserve"> </w:t>
      </w:r>
      <w:r w:rsidRPr="00EE2B00">
        <w:rPr>
          <w:sz w:val="22"/>
          <w:szCs w:val="22"/>
          <w:lang w:val="sr-Latn-ME"/>
        </w:rPr>
        <w:t>sulfat, oksitetraciklin</w:t>
      </w:r>
      <w:r w:rsidR="00F300BA">
        <w:rPr>
          <w:sz w:val="22"/>
          <w:szCs w:val="22"/>
          <w:lang w:val="sr-Latn-ME"/>
        </w:rPr>
        <w:t xml:space="preserve"> </w:t>
      </w:r>
      <w:r w:rsidRPr="00EE2B00">
        <w:rPr>
          <w:sz w:val="22"/>
          <w:szCs w:val="22"/>
          <w:lang w:val="sr-Latn-ME"/>
        </w:rPr>
        <w:t>hidrohlorid, pentobarbital</w:t>
      </w:r>
      <w:r w:rsidR="00F300BA">
        <w:rPr>
          <w:sz w:val="22"/>
          <w:szCs w:val="22"/>
          <w:lang w:val="sr-Latn-ME"/>
        </w:rPr>
        <w:t xml:space="preserve"> </w:t>
      </w:r>
      <w:r w:rsidRPr="00EE2B00">
        <w:rPr>
          <w:sz w:val="22"/>
          <w:szCs w:val="22"/>
          <w:lang w:val="sr-Latn-ME"/>
        </w:rPr>
        <w:t>natrijum, polimiksin B-sulfat i tetraciklin</w:t>
      </w:r>
      <w:r w:rsidR="00B70F1D">
        <w:rPr>
          <w:sz w:val="22"/>
          <w:szCs w:val="22"/>
          <w:lang w:val="sr-Latn-ME"/>
        </w:rPr>
        <w:t xml:space="preserve"> </w:t>
      </w:r>
      <w:r w:rsidRPr="00EE2B00">
        <w:rPr>
          <w:sz w:val="22"/>
          <w:szCs w:val="22"/>
          <w:lang w:val="sr-Latn-ME"/>
        </w:rPr>
        <w:t>hidrohlorid.</w:t>
      </w:r>
    </w:p>
    <w:p w14:paraId="2D35B87B" w14:textId="77777777" w:rsidR="00C75544" w:rsidRPr="00C41F96" w:rsidRDefault="00C75544" w:rsidP="00C75544">
      <w:pPr>
        <w:jc w:val="both"/>
        <w:rPr>
          <w:sz w:val="22"/>
          <w:szCs w:val="22"/>
          <w:lang w:val="sr-Latn-ME"/>
        </w:rPr>
      </w:pPr>
    </w:p>
    <w:p w14:paraId="00F320E7" w14:textId="6596C90C" w:rsidR="00C75544" w:rsidRPr="00F300BA" w:rsidRDefault="00C75544" w:rsidP="00C75544">
      <w:pPr>
        <w:jc w:val="both"/>
        <w:rPr>
          <w:sz w:val="22"/>
          <w:szCs w:val="22"/>
          <w:lang w:val="sr-Latn-ME"/>
        </w:rPr>
      </w:pPr>
      <w:r w:rsidRPr="00C41F96">
        <w:rPr>
          <w:sz w:val="22"/>
          <w:szCs w:val="22"/>
          <w:lang w:val="sr-Latn-ME"/>
        </w:rPr>
        <w:t>U rastvorima pH vr</w:t>
      </w:r>
      <w:r w:rsidR="00EC26DD" w:rsidRPr="00C41F96">
        <w:rPr>
          <w:sz w:val="22"/>
          <w:szCs w:val="22"/>
          <w:lang w:val="sr-Latn-ME"/>
        </w:rPr>
        <w:t>ij</w:t>
      </w:r>
      <w:r w:rsidRPr="004F4605">
        <w:rPr>
          <w:sz w:val="22"/>
          <w:szCs w:val="22"/>
          <w:lang w:val="sr-Latn-ME"/>
        </w:rPr>
        <w:t>ednosti iznad 8</w:t>
      </w:r>
      <w:r w:rsidR="00A01656" w:rsidRPr="004F4605">
        <w:rPr>
          <w:sz w:val="22"/>
          <w:szCs w:val="22"/>
          <w:lang w:val="sr-Latn-ME"/>
        </w:rPr>
        <w:t>,</w:t>
      </w:r>
      <w:r w:rsidRPr="00DE7B81">
        <w:rPr>
          <w:sz w:val="22"/>
          <w:szCs w:val="22"/>
          <w:lang w:val="sr-Latn-ME"/>
        </w:rPr>
        <w:t>5 može doći do hidrolize, u rastvorima pH ispod 4</w:t>
      </w:r>
      <w:r w:rsidR="00A01656" w:rsidRPr="00DE7B81">
        <w:rPr>
          <w:sz w:val="22"/>
          <w:szCs w:val="22"/>
          <w:lang w:val="sr-Latn-ME"/>
        </w:rPr>
        <w:t>,</w:t>
      </w:r>
      <w:r w:rsidRPr="00DE7B81">
        <w:rPr>
          <w:sz w:val="22"/>
          <w:szCs w:val="22"/>
          <w:lang w:val="sr-Latn-ME"/>
        </w:rPr>
        <w:t xml:space="preserve">5 nastaje </w:t>
      </w:r>
      <w:r w:rsidRPr="00F300BA">
        <w:rPr>
          <w:sz w:val="22"/>
          <w:szCs w:val="22"/>
          <w:lang w:val="sr-Latn-ME"/>
        </w:rPr>
        <w:t>precipitat.</w:t>
      </w:r>
    </w:p>
    <w:p w14:paraId="33100EDC" w14:textId="77777777" w:rsidR="00C75544" w:rsidRPr="00EE2B00" w:rsidRDefault="00C7554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E54169" w14:textId="77777777" w:rsidR="0072020E" w:rsidRPr="00DE7B8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41F96">
        <w:rPr>
          <w:b/>
          <w:bCs/>
          <w:sz w:val="22"/>
          <w:szCs w:val="22"/>
          <w:lang w:val="sr-Latn-ME"/>
        </w:rPr>
        <w:t>6.3.</w:t>
      </w:r>
      <w:r w:rsidR="00C05DF8" w:rsidRPr="00C41F96">
        <w:rPr>
          <w:b/>
          <w:bCs/>
          <w:sz w:val="22"/>
          <w:szCs w:val="22"/>
          <w:lang w:val="sr-Latn-ME"/>
        </w:rPr>
        <w:t xml:space="preserve">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sz w:val="22"/>
          <w:szCs w:val="22"/>
          <w:lang w:val="sr-Latn-ME"/>
        </w:rPr>
        <w:t>Rok upotrebe</w:t>
      </w:r>
    </w:p>
    <w:p w14:paraId="5DE5416A" w14:textId="3F91F616" w:rsidR="0072020E" w:rsidRPr="00DE7B8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5F8B0B2" w14:textId="38D9ABBA" w:rsidR="00545F21" w:rsidRPr="00DE7B81" w:rsidRDefault="00545F21" w:rsidP="008C5C9E">
      <w:pPr>
        <w:jc w:val="both"/>
        <w:rPr>
          <w:sz w:val="22"/>
          <w:szCs w:val="22"/>
          <w:lang w:val="sr-Latn-ME"/>
        </w:rPr>
      </w:pPr>
      <w:r w:rsidRPr="00DE7B81">
        <w:rPr>
          <w:iCs/>
          <w:sz w:val="22"/>
          <w:szCs w:val="22"/>
          <w:lang w:val="sr-Latn-ME"/>
        </w:rPr>
        <w:t xml:space="preserve">Rok upotrebe </w:t>
      </w:r>
      <w:r w:rsidR="00A01656" w:rsidRPr="00DE7B81">
        <w:rPr>
          <w:iCs/>
          <w:sz w:val="22"/>
          <w:szCs w:val="22"/>
          <w:lang w:val="sr-Latn-ME"/>
        </w:rPr>
        <w:t xml:space="preserve">neotvorenog </w:t>
      </w:r>
      <w:r w:rsidRPr="00DE7B81">
        <w:rPr>
          <w:iCs/>
          <w:sz w:val="22"/>
          <w:szCs w:val="22"/>
          <w:lang w:val="sr-Latn-ME"/>
        </w:rPr>
        <w:t>lijeka</w:t>
      </w:r>
      <w:r w:rsidR="00A01656" w:rsidRPr="00DE7B81">
        <w:rPr>
          <w:iCs/>
          <w:sz w:val="22"/>
          <w:szCs w:val="22"/>
          <w:lang w:val="sr-Latn-ME"/>
        </w:rPr>
        <w:t>:</w:t>
      </w:r>
      <w:r w:rsidR="00A01656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3 godine.</w:t>
      </w:r>
    </w:p>
    <w:p w14:paraId="309F4966" w14:textId="77777777" w:rsidR="00545F21" w:rsidRPr="00DE7B81" w:rsidRDefault="00545F21" w:rsidP="00545F2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9CF9263" w14:textId="4ED78A61" w:rsidR="00545F21" w:rsidRPr="00DE7B81" w:rsidRDefault="00545F21" w:rsidP="00545F21">
      <w:pPr>
        <w:jc w:val="both"/>
        <w:rPr>
          <w:iCs/>
          <w:sz w:val="22"/>
          <w:szCs w:val="22"/>
          <w:lang w:val="sr-Latn-ME"/>
        </w:rPr>
      </w:pPr>
      <w:r w:rsidRPr="00DE7B81">
        <w:rPr>
          <w:iCs/>
          <w:sz w:val="22"/>
          <w:szCs w:val="22"/>
          <w:lang w:val="sr-Latn-ME"/>
        </w:rPr>
        <w:t xml:space="preserve">Rok upotrebe </w:t>
      </w:r>
      <w:r w:rsidR="00A01656" w:rsidRPr="00DE7B81">
        <w:rPr>
          <w:iCs/>
          <w:sz w:val="22"/>
          <w:szCs w:val="22"/>
          <w:lang w:val="sr-Latn-ME"/>
        </w:rPr>
        <w:t>nakon rekonstitucije/</w:t>
      </w:r>
      <w:r w:rsidR="00022FF4" w:rsidRPr="00DE7B81">
        <w:rPr>
          <w:iCs/>
          <w:sz w:val="22"/>
          <w:szCs w:val="22"/>
          <w:lang w:val="sr-Latn-ME"/>
        </w:rPr>
        <w:t xml:space="preserve">razblaživanja </w:t>
      </w:r>
      <w:r w:rsidRPr="00DE7B81">
        <w:rPr>
          <w:iCs/>
          <w:sz w:val="22"/>
          <w:szCs w:val="22"/>
          <w:lang w:val="sr-Latn-ME"/>
        </w:rPr>
        <w:t>lijeka</w:t>
      </w:r>
      <w:r w:rsidR="00A01656" w:rsidRPr="00DE7B81">
        <w:rPr>
          <w:iCs/>
          <w:sz w:val="22"/>
          <w:szCs w:val="22"/>
          <w:lang w:val="sr-Latn-ME"/>
        </w:rPr>
        <w:t>: upotr</w:t>
      </w:r>
      <w:r w:rsidR="007C25B4" w:rsidRPr="00DE7B81">
        <w:rPr>
          <w:iCs/>
          <w:sz w:val="22"/>
          <w:szCs w:val="22"/>
          <w:lang w:val="sr-Latn-ME"/>
        </w:rPr>
        <w:t>ij</w:t>
      </w:r>
      <w:r w:rsidR="00A01656" w:rsidRPr="00DE7B81">
        <w:rPr>
          <w:iCs/>
          <w:sz w:val="22"/>
          <w:szCs w:val="22"/>
          <w:lang w:val="sr-Latn-ME"/>
        </w:rPr>
        <w:t>ebiti odmah.</w:t>
      </w:r>
    </w:p>
    <w:p w14:paraId="4B0AC261" w14:textId="77777777" w:rsidR="00287F70" w:rsidRPr="00DE7B81" w:rsidRDefault="00287F70" w:rsidP="00545F21">
      <w:pPr>
        <w:jc w:val="both"/>
        <w:rPr>
          <w:iCs/>
          <w:sz w:val="22"/>
          <w:szCs w:val="22"/>
          <w:lang w:val="sr-Latn-ME"/>
        </w:rPr>
      </w:pPr>
    </w:p>
    <w:p w14:paraId="5B2FD2FA" w14:textId="23AACE0A" w:rsidR="00545F21" w:rsidRDefault="00545F21" w:rsidP="00545F21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Pripremljen rastvor treba upotrijebiti u roku od 24h ukoliko se čuva na sobnoj temperaturi (25ºC) ili u roku od 96</w:t>
      </w:r>
      <w:r w:rsidR="00EE2B00">
        <w:rPr>
          <w:sz w:val="22"/>
          <w:szCs w:val="22"/>
          <w:lang w:val="sr-Latn-ME"/>
        </w:rPr>
        <w:t xml:space="preserve"> </w:t>
      </w:r>
      <w:r w:rsidRPr="00EE2B00">
        <w:rPr>
          <w:sz w:val="22"/>
          <w:szCs w:val="22"/>
          <w:lang w:val="sr-Latn-ME"/>
        </w:rPr>
        <w:t>h ako se čuva u frižideru (</w:t>
      </w:r>
      <w:r w:rsidR="00A01656" w:rsidRPr="00EE2B00">
        <w:rPr>
          <w:sz w:val="22"/>
          <w:szCs w:val="22"/>
          <w:lang w:val="sr-Latn-ME"/>
        </w:rPr>
        <w:t>2</w:t>
      </w:r>
      <w:r w:rsidRPr="00EE2B00">
        <w:rPr>
          <w:sz w:val="22"/>
          <w:szCs w:val="22"/>
          <w:lang w:val="sr-Latn-ME"/>
        </w:rPr>
        <w:t>-8ºC).</w:t>
      </w:r>
    </w:p>
    <w:p w14:paraId="6AAF292D" w14:textId="77777777" w:rsidR="00022FF4" w:rsidRPr="00EE2B00" w:rsidRDefault="00022FF4" w:rsidP="00545F21">
      <w:pPr>
        <w:jc w:val="both"/>
        <w:rPr>
          <w:sz w:val="22"/>
          <w:szCs w:val="22"/>
          <w:lang w:val="sr-Latn-ME"/>
        </w:rPr>
      </w:pPr>
    </w:p>
    <w:p w14:paraId="54BDBA0E" w14:textId="3DE49CFB" w:rsidR="00545F21" w:rsidRPr="00DE7B81" w:rsidRDefault="00545F21" w:rsidP="00545F21">
      <w:pPr>
        <w:jc w:val="both"/>
        <w:rPr>
          <w:sz w:val="22"/>
          <w:szCs w:val="22"/>
          <w:lang w:val="sr-Latn-ME"/>
        </w:rPr>
      </w:pPr>
      <w:r w:rsidRPr="00C41F96">
        <w:rPr>
          <w:sz w:val="22"/>
          <w:szCs w:val="22"/>
          <w:lang w:val="sr-Latn-ME"/>
        </w:rPr>
        <w:lastRenderedPageBreak/>
        <w:t xml:space="preserve">Sa mikrobiološke tačke gledišta </w:t>
      </w:r>
      <w:r w:rsidR="00022FF4">
        <w:rPr>
          <w:sz w:val="22"/>
          <w:szCs w:val="22"/>
          <w:lang w:val="sr-Latn-ME"/>
        </w:rPr>
        <w:t>lijek</w:t>
      </w:r>
      <w:r w:rsidR="00022FF4" w:rsidRPr="00C41F96">
        <w:rPr>
          <w:sz w:val="22"/>
          <w:szCs w:val="22"/>
          <w:lang w:val="sr-Latn-ME"/>
        </w:rPr>
        <w:t xml:space="preserve"> </w:t>
      </w:r>
      <w:r w:rsidRPr="00C41F96">
        <w:rPr>
          <w:sz w:val="22"/>
          <w:szCs w:val="22"/>
          <w:lang w:val="sr-Latn-ME"/>
        </w:rPr>
        <w:t>se mora odmah upotrijebiti. Ukoliko se odmah ne upotrijebi, vrijeme čuvanja tokom upotrebe, kao i uslovi prije upotrebe su odgovornost korisnika i normalno ne bi trebalo da je duže od 24 sata na temperaturi od 2-8</w:t>
      </w:r>
      <w:r w:rsidRPr="00DE7B81">
        <w:rPr>
          <w:sz w:val="22"/>
          <w:szCs w:val="22"/>
          <w:vertAlign w:val="superscript"/>
          <w:lang w:val="sr-Latn-ME"/>
        </w:rPr>
        <w:t>°</w:t>
      </w:r>
      <w:r w:rsidRPr="00DE7B81">
        <w:rPr>
          <w:sz w:val="22"/>
          <w:szCs w:val="22"/>
          <w:lang w:val="sr-Latn-ME"/>
        </w:rPr>
        <w:t xml:space="preserve">C, osim ukoliko je rastvaranje izvršeno u kontrolisanim i validiranim aseptičnim uslovima. </w:t>
      </w:r>
    </w:p>
    <w:p w14:paraId="5D9A84CE" w14:textId="77777777" w:rsidR="00545F21" w:rsidRPr="00DE7B81" w:rsidRDefault="00545F2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E5416B" w14:textId="77777777" w:rsidR="0072020E" w:rsidRPr="00DE7B8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 xml:space="preserve">6.4.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DE7B81">
        <w:rPr>
          <w:b/>
          <w:bCs/>
          <w:sz w:val="22"/>
          <w:szCs w:val="22"/>
          <w:lang w:val="sr-Latn-ME"/>
        </w:rPr>
        <w:t xml:space="preserve"> lijeka</w:t>
      </w:r>
    </w:p>
    <w:p w14:paraId="5DE5416C" w14:textId="7979E430" w:rsidR="00EC2532" w:rsidRPr="00DE7B81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9FE425F" w14:textId="632D937D" w:rsidR="00983283" w:rsidRPr="00DE7B81" w:rsidRDefault="00A01656" w:rsidP="00983283">
      <w:pPr>
        <w:jc w:val="both"/>
        <w:rPr>
          <w:sz w:val="22"/>
          <w:szCs w:val="22"/>
          <w:lang w:val="sr-Latn-ME"/>
        </w:rPr>
      </w:pPr>
      <w:r w:rsidRPr="00DE7B81">
        <w:rPr>
          <w:iCs/>
          <w:sz w:val="22"/>
          <w:szCs w:val="22"/>
          <w:lang w:val="sr-Latn-ME"/>
        </w:rPr>
        <w:t>Ovaj lijek n</w:t>
      </w:r>
      <w:r w:rsidR="00983283" w:rsidRPr="00DE7B81">
        <w:rPr>
          <w:iCs/>
          <w:sz w:val="22"/>
          <w:szCs w:val="22"/>
          <w:lang w:val="sr-Latn-ME"/>
        </w:rPr>
        <w:t>e</w:t>
      </w:r>
      <w:r w:rsidR="00983283" w:rsidRPr="00DE7B81">
        <w:rPr>
          <w:sz w:val="22"/>
          <w:szCs w:val="22"/>
          <w:lang w:val="sr-Latn-ME"/>
        </w:rPr>
        <w:t xml:space="preserve"> zahtijeva posebn</w:t>
      </w:r>
      <w:r w:rsidRPr="00DE7B81">
        <w:rPr>
          <w:sz w:val="22"/>
          <w:szCs w:val="22"/>
          <w:lang w:val="sr-Latn-ME"/>
        </w:rPr>
        <w:t>e</w:t>
      </w:r>
      <w:r w:rsidR="00983283" w:rsidRPr="00DE7B81">
        <w:rPr>
          <w:sz w:val="22"/>
          <w:szCs w:val="22"/>
          <w:lang w:val="sr-Latn-ME"/>
        </w:rPr>
        <w:t xml:space="preserve"> uslov</w:t>
      </w:r>
      <w:r w:rsidRPr="00DE7B81">
        <w:rPr>
          <w:sz w:val="22"/>
          <w:szCs w:val="22"/>
          <w:lang w:val="sr-Latn-ME"/>
        </w:rPr>
        <w:t>e</w:t>
      </w:r>
      <w:r w:rsidR="00983283" w:rsidRPr="00DE7B81">
        <w:rPr>
          <w:sz w:val="22"/>
          <w:szCs w:val="22"/>
          <w:lang w:val="sr-Latn-ME"/>
        </w:rPr>
        <w:t xml:space="preserve"> čuvanja.</w:t>
      </w:r>
    </w:p>
    <w:p w14:paraId="2A451F30" w14:textId="77777777" w:rsidR="00983283" w:rsidRPr="00DE7B81" w:rsidRDefault="00983283" w:rsidP="00983283">
      <w:pPr>
        <w:jc w:val="both"/>
        <w:rPr>
          <w:sz w:val="22"/>
          <w:szCs w:val="22"/>
          <w:lang w:val="sr-Latn-ME"/>
        </w:rPr>
      </w:pPr>
    </w:p>
    <w:p w14:paraId="42BF9BC3" w14:textId="4E293DF2" w:rsidR="00983283" w:rsidRPr="00DE7B81" w:rsidRDefault="00A01656" w:rsidP="00983283">
      <w:pPr>
        <w:jc w:val="both"/>
        <w:rPr>
          <w:sz w:val="22"/>
          <w:szCs w:val="22"/>
          <w:lang w:val="sr-Latn-ME"/>
        </w:rPr>
      </w:pPr>
      <w:r w:rsidRPr="00DE7B81">
        <w:rPr>
          <w:iCs/>
          <w:sz w:val="22"/>
          <w:szCs w:val="22"/>
          <w:lang w:val="sr-Latn-ME"/>
        </w:rPr>
        <w:t>Za uslove čuvanja nakon rekonstitucije/razblaživanja lijeka vidjeti dio</w:t>
      </w:r>
      <w:r w:rsidR="00983283" w:rsidRPr="00DE7B81">
        <w:rPr>
          <w:sz w:val="22"/>
          <w:szCs w:val="22"/>
          <w:lang w:val="sr-Latn-ME"/>
        </w:rPr>
        <w:t xml:space="preserve"> 6.3.</w:t>
      </w:r>
    </w:p>
    <w:p w14:paraId="3766B5D0" w14:textId="77777777" w:rsidR="00A01656" w:rsidRPr="00DE7B81" w:rsidRDefault="00A01656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5433ED10" w14:textId="3948BE84" w:rsidR="00983283" w:rsidRPr="00DE7B81" w:rsidRDefault="00A01656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Ukoliko se prim</w:t>
      </w:r>
      <w:r w:rsidR="00022FF4">
        <w:rPr>
          <w:sz w:val="22"/>
          <w:szCs w:val="22"/>
          <w:lang w:val="sr-Latn-ME"/>
        </w:rPr>
        <w:t>i</w:t>
      </w:r>
      <w:r w:rsidRPr="00DE7B81">
        <w:rPr>
          <w:sz w:val="22"/>
          <w:szCs w:val="22"/>
          <w:lang w:val="sr-Latn-ME"/>
        </w:rPr>
        <w:t xml:space="preserve">jete znaci oštećenja lijeka (mehanička onečišćenja, promjena boje), takav </w:t>
      </w:r>
      <w:r w:rsidR="00022FF4">
        <w:rPr>
          <w:sz w:val="22"/>
          <w:szCs w:val="22"/>
          <w:lang w:val="sr-Latn-ME"/>
        </w:rPr>
        <w:t>lijek</w:t>
      </w:r>
      <w:r w:rsidR="00022FF4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je potrebno odbaciti.</w:t>
      </w:r>
    </w:p>
    <w:p w14:paraId="526D74EC" w14:textId="77777777" w:rsidR="00A01656" w:rsidRPr="00DE7B81" w:rsidRDefault="00A0165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E5416D" w14:textId="77777777" w:rsidR="0072020E" w:rsidRPr="00DE7B8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 xml:space="preserve">6.5.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="002846DB" w:rsidRPr="00DE7B81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DE7B81">
        <w:rPr>
          <w:b/>
          <w:bCs/>
          <w:sz w:val="22"/>
          <w:szCs w:val="22"/>
          <w:lang w:val="sr-Latn-ME"/>
        </w:rPr>
        <w:t>pakovanja</w:t>
      </w:r>
      <w:r w:rsidR="00C06864" w:rsidRPr="00DE7B81">
        <w:rPr>
          <w:b/>
          <w:bCs/>
          <w:sz w:val="22"/>
          <w:szCs w:val="22"/>
          <w:lang w:val="sr-Latn-ME"/>
        </w:rPr>
        <w:t xml:space="preserve"> </w:t>
      </w:r>
    </w:p>
    <w:p w14:paraId="5DE5416E" w14:textId="7F6CCEA3" w:rsidR="0072020E" w:rsidRPr="00DE7B8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509BEE7" w14:textId="01B6FB88" w:rsidR="00711C07" w:rsidRPr="00DE7B81" w:rsidRDefault="00711C07" w:rsidP="00711C07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Unutrašnje pakovanje je bočica od bezbojnog stakla (hidrolitičke otpornosti III) zapremine od 10 m</w:t>
      </w:r>
      <w:r w:rsidR="00287F70" w:rsidRPr="00DE7B81">
        <w:rPr>
          <w:sz w:val="22"/>
          <w:szCs w:val="22"/>
          <w:lang w:val="sr-Latn-ME"/>
        </w:rPr>
        <w:t>l</w:t>
      </w:r>
      <w:r w:rsidRPr="00DE7B81">
        <w:rPr>
          <w:sz w:val="22"/>
          <w:szCs w:val="22"/>
          <w:lang w:val="sr-Latn-ME"/>
        </w:rPr>
        <w:t xml:space="preserve"> zatvorena bromobutilnim </w:t>
      </w:r>
      <w:r w:rsidR="00287F70" w:rsidRPr="00DE7B81">
        <w:rPr>
          <w:sz w:val="22"/>
          <w:szCs w:val="22"/>
          <w:lang w:val="sr-Latn-ME"/>
        </w:rPr>
        <w:t xml:space="preserve">gumenim </w:t>
      </w:r>
      <w:r w:rsidRPr="00DE7B81">
        <w:rPr>
          <w:sz w:val="22"/>
          <w:szCs w:val="22"/>
          <w:lang w:val="sr-Latn-ME"/>
        </w:rPr>
        <w:t xml:space="preserve">zatvaračem. </w:t>
      </w:r>
      <w:r w:rsidR="00014639" w:rsidRPr="00DE7B81">
        <w:rPr>
          <w:sz w:val="22"/>
          <w:szCs w:val="22"/>
          <w:lang w:val="sr-Latn-ME"/>
        </w:rPr>
        <w:t xml:space="preserve"> </w:t>
      </w:r>
    </w:p>
    <w:p w14:paraId="01ED72F9" w14:textId="1FD05892" w:rsidR="00711C07" w:rsidRPr="00C41F96" w:rsidRDefault="00711C07" w:rsidP="00711C07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 xml:space="preserve">Spoljašnje pakovanje je složiva kartonska kutija u kojoj se nalazi </w:t>
      </w:r>
      <w:r w:rsidR="00EE2B00">
        <w:rPr>
          <w:sz w:val="22"/>
          <w:szCs w:val="22"/>
          <w:lang w:val="sr-Latn-ME"/>
        </w:rPr>
        <w:t>50</w:t>
      </w:r>
      <w:r w:rsidRPr="00C41F96">
        <w:rPr>
          <w:sz w:val="22"/>
          <w:szCs w:val="22"/>
          <w:lang w:val="sr-Latn-ME"/>
        </w:rPr>
        <w:t xml:space="preserve"> bočica i Uputstvo za l</w:t>
      </w:r>
      <w:r w:rsidR="00014639" w:rsidRPr="00C41F96">
        <w:rPr>
          <w:sz w:val="22"/>
          <w:szCs w:val="22"/>
          <w:lang w:val="sr-Latn-ME"/>
        </w:rPr>
        <w:t>ij</w:t>
      </w:r>
      <w:r w:rsidRPr="00C41F96">
        <w:rPr>
          <w:sz w:val="22"/>
          <w:szCs w:val="22"/>
          <w:lang w:val="sr-Latn-ME"/>
        </w:rPr>
        <w:t>ek.</w:t>
      </w:r>
    </w:p>
    <w:p w14:paraId="0C402D64" w14:textId="77777777" w:rsidR="00711C07" w:rsidRPr="00C41F96" w:rsidRDefault="00711C0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E5416F" w14:textId="6B3EC102" w:rsidR="002846DB" w:rsidRPr="00DE7B8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 xml:space="preserve">6.6.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DE7B81">
        <w:rPr>
          <w:b/>
          <w:bCs/>
          <w:sz w:val="22"/>
          <w:szCs w:val="22"/>
          <w:lang w:val="sr-Latn-ME"/>
        </w:rPr>
        <w:t xml:space="preserve"> </w:t>
      </w:r>
      <w:r w:rsidR="00310F03" w:rsidRPr="00DE7B81">
        <w:rPr>
          <w:b/>
          <w:bCs/>
          <w:sz w:val="22"/>
          <w:szCs w:val="22"/>
          <w:lang w:val="sr-Latn-ME"/>
        </w:rPr>
        <w:t>(i druga uputs</w:t>
      </w:r>
      <w:r w:rsidR="00CE013D" w:rsidRPr="00DE7B81">
        <w:rPr>
          <w:b/>
          <w:bCs/>
          <w:sz w:val="22"/>
          <w:szCs w:val="22"/>
          <w:lang w:val="sr-Latn-ME"/>
        </w:rPr>
        <w:t>t</w:t>
      </w:r>
      <w:r w:rsidR="00310F03" w:rsidRPr="00DE7B81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5DE54170" w14:textId="77777777" w:rsidR="00B66A70" w:rsidRPr="00DE7B81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FEEE83B" w14:textId="77777777" w:rsidR="00266CD7" w:rsidRPr="00DE7B81" w:rsidRDefault="00266CD7" w:rsidP="00266CD7">
      <w:pPr>
        <w:tabs>
          <w:tab w:val="center" w:pos="4536"/>
          <w:tab w:val="right" w:pos="9072"/>
        </w:tabs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Upotrebljavati samo bistar i bezbojan ili gotovo bezbojan rastvor.</w:t>
      </w:r>
    </w:p>
    <w:p w14:paraId="4B617CFB" w14:textId="77777777" w:rsidR="004B4627" w:rsidRPr="00C41F96" w:rsidRDefault="004B4627" w:rsidP="00C41F96">
      <w:pPr>
        <w:tabs>
          <w:tab w:val="center" w:pos="4536"/>
          <w:tab w:val="right" w:pos="9072"/>
        </w:tabs>
        <w:rPr>
          <w:sz w:val="22"/>
          <w:szCs w:val="22"/>
          <w:lang w:val="sr-Latn-ME"/>
        </w:rPr>
      </w:pPr>
    </w:p>
    <w:p w14:paraId="69DDB8C6" w14:textId="74AB92ED" w:rsidR="00266CD7" w:rsidRPr="00C41F96" w:rsidRDefault="00266CD7" w:rsidP="00266CD7">
      <w:pPr>
        <w:tabs>
          <w:tab w:val="center" w:pos="4536"/>
          <w:tab w:val="right" w:pos="9072"/>
        </w:tabs>
        <w:rPr>
          <w:b/>
          <w:bCs/>
          <w:sz w:val="22"/>
          <w:szCs w:val="22"/>
          <w:lang w:val="sr-Latn-ME"/>
        </w:rPr>
      </w:pPr>
      <w:r w:rsidRPr="00C41F96">
        <w:rPr>
          <w:b/>
          <w:bCs/>
          <w:sz w:val="22"/>
          <w:szCs w:val="22"/>
          <w:lang w:val="sr-Latn-ME"/>
        </w:rPr>
        <w:t>Intramuskularna prim</w:t>
      </w:r>
      <w:r w:rsidR="00A21450" w:rsidRPr="00C41F96">
        <w:rPr>
          <w:b/>
          <w:bCs/>
          <w:sz w:val="22"/>
          <w:szCs w:val="22"/>
          <w:lang w:val="sr-Latn-ME"/>
        </w:rPr>
        <w:t>j</w:t>
      </w:r>
      <w:r w:rsidRPr="00C41F96">
        <w:rPr>
          <w:b/>
          <w:bCs/>
          <w:sz w:val="22"/>
          <w:szCs w:val="22"/>
          <w:lang w:val="sr-Latn-ME"/>
        </w:rPr>
        <w:t>ena</w:t>
      </w:r>
    </w:p>
    <w:p w14:paraId="6C56EFAE" w14:textId="77777777" w:rsidR="00741E04" w:rsidRPr="00DE7B81" w:rsidRDefault="00266CD7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u w:val="single"/>
          <w:lang w:val="sr-Latn-ME"/>
        </w:rPr>
        <w:t>Rastvor za intramuskularnu prim</w:t>
      </w:r>
      <w:r w:rsidR="007D1563" w:rsidRPr="00DE7B81">
        <w:rPr>
          <w:sz w:val="22"/>
          <w:szCs w:val="22"/>
          <w:u w:val="single"/>
          <w:lang w:val="sr-Latn-ME"/>
        </w:rPr>
        <w:t>j</w:t>
      </w:r>
      <w:r w:rsidRPr="00DE7B81">
        <w:rPr>
          <w:sz w:val="22"/>
          <w:szCs w:val="22"/>
          <w:u w:val="single"/>
          <w:lang w:val="sr-Latn-ME"/>
        </w:rPr>
        <w:t>enu</w:t>
      </w:r>
      <w:r w:rsidRPr="00DE7B81">
        <w:rPr>
          <w:sz w:val="22"/>
          <w:szCs w:val="22"/>
          <w:lang w:val="sr-Latn-ME"/>
        </w:rPr>
        <w:t xml:space="preserve"> se priprema tako što se sadržaj bočice (1 g cefazolina) rastvori u 2,5 ml vode za injekcije (oko 330 mg/ml). Dobro promućkati do potpunog rastvaranja. </w:t>
      </w:r>
    </w:p>
    <w:p w14:paraId="670ABDE4" w14:textId="12373940" w:rsidR="00266CD7" w:rsidRPr="00DE7B81" w:rsidRDefault="00266CD7" w:rsidP="008C5C9E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Prim</w:t>
      </w:r>
      <w:r w:rsidR="004C4FC9" w:rsidRPr="00DE7B81">
        <w:rPr>
          <w:sz w:val="22"/>
          <w:szCs w:val="22"/>
          <w:lang w:val="sr-Latn-ME"/>
        </w:rPr>
        <w:t>i</w:t>
      </w:r>
      <w:r w:rsidR="007D1563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eniti intramuskularno, duboko u mišić.</w:t>
      </w:r>
    </w:p>
    <w:p w14:paraId="2223CF89" w14:textId="77777777" w:rsidR="00266CD7" w:rsidRPr="00DE7B81" w:rsidRDefault="00266CD7" w:rsidP="00266CD7">
      <w:pPr>
        <w:tabs>
          <w:tab w:val="center" w:pos="4536"/>
          <w:tab w:val="right" w:pos="9072"/>
        </w:tabs>
        <w:rPr>
          <w:sz w:val="22"/>
          <w:szCs w:val="22"/>
          <w:lang w:val="sr-Latn-ME"/>
        </w:rPr>
      </w:pPr>
    </w:p>
    <w:p w14:paraId="52DD9056" w14:textId="0E8217E4" w:rsidR="00266CD7" w:rsidRDefault="00266CD7" w:rsidP="00266CD7">
      <w:pPr>
        <w:tabs>
          <w:tab w:val="center" w:pos="4536"/>
          <w:tab w:val="right" w:pos="9072"/>
        </w:tabs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>Intravenska prim</w:t>
      </w:r>
      <w:r w:rsidR="00A672A0" w:rsidRPr="00DE7B81">
        <w:rPr>
          <w:b/>
          <w:bCs/>
          <w:sz w:val="22"/>
          <w:szCs w:val="22"/>
          <w:lang w:val="sr-Latn-ME"/>
        </w:rPr>
        <w:t>j</w:t>
      </w:r>
      <w:r w:rsidRPr="00DE7B81">
        <w:rPr>
          <w:b/>
          <w:bCs/>
          <w:sz w:val="22"/>
          <w:szCs w:val="22"/>
          <w:lang w:val="sr-Latn-ME"/>
        </w:rPr>
        <w:t>ena</w:t>
      </w:r>
    </w:p>
    <w:p w14:paraId="2FDB3004" w14:textId="77777777" w:rsidR="00326D63" w:rsidRPr="00DE7B81" w:rsidRDefault="00326D63" w:rsidP="00266CD7">
      <w:pPr>
        <w:tabs>
          <w:tab w:val="center" w:pos="4536"/>
          <w:tab w:val="right" w:pos="9072"/>
        </w:tabs>
        <w:rPr>
          <w:b/>
          <w:bCs/>
          <w:sz w:val="22"/>
          <w:szCs w:val="22"/>
          <w:lang w:val="sr-Latn-ME"/>
        </w:rPr>
      </w:pPr>
    </w:p>
    <w:p w14:paraId="18F71DB8" w14:textId="77777777" w:rsidR="00266CD7" w:rsidRPr="00DE7B81" w:rsidRDefault="00266CD7" w:rsidP="00266CD7">
      <w:pPr>
        <w:tabs>
          <w:tab w:val="center" w:pos="4536"/>
          <w:tab w:val="right" w:pos="9072"/>
        </w:tabs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>Intravenska injekcija</w:t>
      </w:r>
    </w:p>
    <w:p w14:paraId="21312717" w14:textId="7ABCD644" w:rsidR="00266CD7" w:rsidRPr="00DE7B81" w:rsidRDefault="00266CD7" w:rsidP="008C5C9E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u w:val="single"/>
          <w:lang w:val="sr-Latn-ME"/>
        </w:rPr>
        <w:t>Rastvor za intravensku prim</w:t>
      </w:r>
      <w:r w:rsidR="00405960" w:rsidRPr="00DE7B81">
        <w:rPr>
          <w:sz w:val="22"/>
          <w:szCs w:val="22"/>
          <w:u w:val="single"/>
          <w:lang w:val="sr-Latn-ME"/>
        </w:rPr>
        <w:t>j</w:t>
      </w:r>
      <w:r w:rsidRPr="00DE7B81">
        <w:rPr>
          <w:sz w:val="22"/>
          <w:szCs w:val="22"/>
          <w:u w:val="single"/>
          <w:lang w:val="sr-Latn-ME"/>
        </w:rPr>
        <w:t>enu putem injekcije</w:t>
      </w:r>
      <w:r w:rsidRPr="00DE7B81">
        <w:rPr>
          <w:sz w:val="22"/>
          <w:szCs w:val="22"/>
          <w:lang w:val="sr-Latn-ME"/>
        </w:rPr>
        <w:t xml:space="preserve"> se priprema tako što se sadržaj bočice (1 g cefazolina) rastvori u 10 m</w:t>
      </w:r>
      <w:r w:rsidR="00287F70" w:rsidRPr="00DE7B81">
        <w:rPr>
          <w:sz w:val="22"/>
          <w:szCs w:val="22"/>
          <w:lang w:val="sr-Latn-ME"/>
        </w:rPr>
        <w:t>l</w:t>
      </w:r>
      <w:r w:rsidRPr="00DE7B81">
        <w:rPr>
          <w:sz w:val="22"/>
          <w:szCs w:val="22"/>
          <w:lang w:val="sr-Latn-ME"/>
        </w:rPr>
        <w:t xml:space="preserve"> vode za injekcije. Dobro promućkati do potpunog rastvaranja. Prim</w:t>
      </w:r>
      <w:r w:rsidR="000A41F4" w:rsidRPr="00DE7B81">
        <w:rPr>
          <w:sz w:val="22"/>
          <w:szCs w:val="22"/>
          <w:lang w:val="sr-Latn-ME"/>
        </w:rPr>
        <w:t>i</w:t>
      </w:r>
      <w:r w:rsidR="00A672A0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eniti sporo, direktno u venu ili u kanilu, tokom 3-5 minuta (ni u kom slučaju prim</w:t>
      </w:r>
      <w:r w:rsidR="00A672A0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ena ne sm</w:t>
      </w:r>
      <w:r w:rsidR="00A672A0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 biti kraća od 3 minuta).</w:t>
      </w:r>
    </w:p>
    <w:p w14:paraId="75B57206" w14:textId="77777777" w:rsidR="00266CD7" w:rsidRPr="00DE7B81" w:rsidRDefault="00266CD7" w:rsidP="00266CD7">
      <w:pPr>
        <w:tabs>
          <w:tab w:val="center" w:pos="4536"/>
          <w:tab w:val="right" w:pos="9072"/>
        </w:tabs>
        <w:rPr>
          <w:sz w:val="22"/>
          <w:szCs w:val="22"/>
          <w:lang w:val="sr-Latn-ME"/>
        </w:rPr>
      </w:pPr>
    </w:p>
    <w:p w14:paraId="4CE433C2" w14:textId="77777777" w:rsidR="00266CD7" w:rsidRPr="00DE7B81" w:rsidRDefault="00266CD7" w:rsidP="00266CD7">
      <w:pPr>
        <w:tabs>
          <w:tab w:val="center" w:pos="4536"/>
          <w:tab w:val="right" w:pos="9072"/>
        </w:tabs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>Intravenska infuzija</w:t>
      </w:r>
    </w:p>
    <w:p w14:paraId="109C19F4" w14:textId="5EBDB48D" w:rsidR="00266CD7" w:rsidRPr="00DE7B81" w:rsidRDefault="00266CD7" w:rsidP="008C5C9E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u w:val="single"/>
          <w:lang w:val="sr-Latn-ME"/>
        </w:rPr>
        <w:t>Rastvor za intravensku prim</w:t>
      </w:r>
      <w:r w:rsidR="00A672A0" w:rsidRPr="00DE7B81">
        <w:rPr>
          <w:sz w:val="22"/>
          <w:szCs w:val="22"/>
          <w:u w:val="single"/>
          <w:lang w:val="sr-Latn-ME"/>
        </w:rPr>
        <w:t>j</w:t>
      </w:r>
      <w:r w:rsidRPr="00DE7B81">
        <w:rPr>
          <w:sz w:val="22"/>
          <w:szCs w:val="22"/>
          <w:u w:val="single"/>
          <w:lang w:val="sr-Latn-ME"/>
        </w:rPr>
        <w:t>enu putem infuzije</w:t>
      </w:r>
      <w:r w:rsidRPr="00DE7B81">
        <w:rPr>
          <w:sz w:val="22"/>
          <w:szCs w:val="22"/>
          <w:lang w:val="sr-Latn-ME"/>
        </w:rPr>
        <w:t xml:space="preserve"> se priprema tako što se sadržaj bočice (1 g cefazolina) prvo rastvori u 5 m</w:t>
      </w:r>
      <w:r w:rsidR="00F32E69" w:rsidRPr="00DE7B81">
        <w:rPr>
          <w:sz w:val="22"/>
          <w:szCs w:val="22"/>
          <w:lang w:val="sr-Latn-ME"/>
        </w:rPr>
        <w:t>l</w:t>
      </w:r>
      <w:r w:rsidRPr="00DE7B81">
        <w:rPr>
          <w:sz w:val="22"/>
          <w:szCs w:val="22"/>
          <w:lang w:val="sr-Latn-ME"/>
        </w:rPr>
        <w:t xml:space="preserve"> vode za injekcije do potpunog rastvaranja, a zatim dalje razblaži u 50-100 m</w:t>
      </w:r>
      <w:r w:rsidR="00F32E69" w:rsidRPr="00DE7B81">
        <w:rPr>
          <w:sz w:val="22"/>
          <w:szCs w:val="22"/>
          <w:lang w:val="sr-Latn-ME"/>
        </w:rPr>
        <w:t xml:space="preserve">l </w:t>
      </w:r>
      <w:r w:rsidR="001B7338" w:rsidRPr="00DE7B81">
        <w:rPr>
          <w:sz w:val="22"/>
          <w:szCs w:val="22"/>
          <w:lang w:val="sr-Latn-ME"/>
        </w:rPr>
        <w:t>p</w:t>
      </w:r>
      <w:r w:rsidR="00F32E69" w:rsidRPr="00DE7B81">
        <w:rPr>
          <w:sz w:val="22"/>
          <w:szCs w:val="22"/>
          <w:lang w:val="sr-Latn-ME"/>
        </w:rPr>
        <w:t>rim</w:t>
      </w:r>
      <w:r w:rsidR="00A672A0" w:rsidRPr="00DE7B81">
        <w:rPr>
          <w:sz w:val="22"/>
          <w:szCs w:val="22"/>
          <w:lang w:val="sr-Latn-ME"/>
        </w:rPr>
        <w:t>j</w:t>
      </w:r>
      <w:r w:rsidR="00F32E69" w:rsidRPr="00DE7B81">
        <w:rPr>
          <w:sz w:val="22"/>
          <w:szCs w:val="22"/>
          <w:lang w:val="sr-Latn-ME"/>
        </w:rPr>
        <w:t xml:space="preserve">enom </w:t>
      </w:r>
      <w:r w:rsidRPr="00DE7B81">
        <w:rPr>
          <w:sz w:val="22"/>
          <w:szCs w:val="22"/>
          <w:lang w:val="sr-Latn-ME"/>
        </w:rPr>
        <w:t>jednog od sl</w:t>
      </w:r>
      <w:r w:rsidR="00A672A0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edećih</w:t>
      </w:r>
      <w:r w:rsidR="00F32E69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rastvarača:</w:t>
      </w:r>
    </w:p>
    <w:p w14:paraId="4F9C4DF4" w14:textId="77777777" w:rsidR="00266CD7" w:rsidRPr="00DE7B81" w:rsidRDefault="00266CD7" w:rsidP="00266CD7">
      <w:pPr>
        <w:tabs>
          <w:tab w:val="center" w:pos="4536"/>
          <w:tab w:val="right" w:pos="9072"/>
        </w:tabs>
        <w:rPr>
          <w:sz w:val="22"/>
          <w:szCs w:val="22"/>
          <w:lang w:val="sr-Latn-ME"/>
        </w:rPr>
      </w:pPr>
    </w:p>
    <w:p w14:paraId="0868F90F" w14:textId="27D7FF25" w:rsidR="001B7338" w:rsidRPr="00DE7B81" w:rsidRDefault="001B7338" w:rsidP="00266CD7">
      <w:pPr>
        <w:numPr>
          <w:ilvl w:val="0"/>
          <w:numId w:val="14"/>
        </w:numPr>
        <w:tabs>
          <w:tab w:val="center" w:pos="4536"/>
          <w:tab w:val="right" w:pos="9072"/>
        </w:tabs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Voda za injekcije</w:t>
      </w:r>
    </w:p>
    <w:p w14:paraId="3A6758D7" w14:textId="7EF427A6" w:rsidR="00266CD7" w:rsidRPr="00DE7B81" w:rsidRDefault="00266CD7" w:rsidP="00266CD7">
      <w:pPr>
        <w:numPr>
          <w:ilvl w:val="0"/>
          <w:numId w:val="14"/>
        </w:numPr>
        <w:tabs>
          <w:tab w:val="center" w:pos="4536"/>
          <w:tab w:val="right" w:pos="9072"/>
        </w:tabs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Fiziološki rastvor (0,9% natrijum</w:t>
      </w:r>
      <w:r w:rsidR="001B7338" w:rsidRPr="00DE7B81">
        <w:rPr>
          <w:sz w:val="22"/>
          <w:szCs w:val="22"/>
          <w:lang w:val="sr-Latn-ME"/>
        </w:rPr>
        <w:t xml:space="preserve"> </w:t>
      </w:r>
      <w:r w:rsidRPr="00DE7B81">
        <w:rPr>
          <w:sz w:val="22"/>
          <w:szCs w:val="22"/>
          <w:lang w:val="sr-Latn-ME"/>
        </w:rPr>
        <w:t>hlorid)</w:t>
      </w:r>
    </w:p>
    <w:p w14:paraId="29C809B9" w14:textId="77777777" w:rsidR="00266CD7" w:rsidRPr="00DE7B81" w:rsidRDefault="00266CD7" w:rsidP="00266CD7">
      <w:pPr>
        <w:numPr>
          <w:ilvl w:val="0"/>
          <w:numId w:val="14"/>
        </w:numPr>
        <w:tabs>
          <w:tab w:val="center" w:pos="4536"/>
          <w:tab w:val="right" w:pos="9072"/>
        </w:tabs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5% ili 10% rastvor glukoze</w:t>
      </w:r>
    </w:p>
    <w:p w14:paraId="460A2802" w14:textId="064D9B11" w:rsidR="00266CD7" w:rsidRPr="00DE7B81" w:rsidRDefault="00266CD7" w:rsidP="001B7338">
      <w:pPr>
        <w:numPr>
          <w:ilvl w:val="0"/>
          <w:numId w:val="14"/>
        </w:numPr>
        <w:tabs>
          <w:tab w:val="center" w:pos="4536"/>
          <w:tab w:val="right" w:pos="9072"/>
        </w:tabs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 xml:space="preserve"> Laktatni Ringer-ov rastvor </w:t>
      </w:r>
    </w:p>
    <w:p w14:paraId="6A429A1D" w14:textId="77777777" w:rsidR="001B7338" w:rsidRPr="00DE7B81" w:rsidRDefault="001B7338" w:rsidP="001B7338">
      <w:pPr>
        <w:tabs>
          <w:tab w:val="center" w:pos="4536"/>
          <w:tab w:val="right" w:pos="9072"/>
        </w:tabs>
        <w:ind w:left="720"/>
        <w:rPr>
          <w:sz w:val="22"/>
          <w:szCs w:val="22"/>
          <w:lang w:val="sr-Latn-ME"/>
        </w:rPr>
      </w:pPr>
    </w:p>
    <w:p w14:paraId="0EADAA73" w14:textId="1DAEB135" w:rsidR="00266CD7" w:rsidRPr="00DE7B81" w:rsidRDefault="00266CD7" w:rsidP="00266CD7">
      <w:pPr>
        <w:tabs>
          <w:tab w:val="center" w:pos="4536"/>
          <w:tab w:val="right" w:pos="9072"/>
        </w:tabs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Rastvor treba prim</w:t>
      </w:r>
      <w:r w:rsidR="000A41F4" w:rsidRPr="00DE7B81">
        <w:rPr>
          <w:sz w:val="22"/>
          <w:szCs w:val="22"/>
          <w:lang w:val="sr-Latn-ME"/>
        </w:rPr>
        <w:t>i</w:t>
      </w:r>
      <w:r w:rsidR="00A672A0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eniti odmah nakon pripreme.</w:t>
      </w:r>
    </w:p>
    <w:p w14:paraId="13EFC42E" w14:textId="77777777" w:rsidR="00F32E69" w:rsidRPr="00DE7B81" w:rsidRDefault="00F32E69" w:rsidP="00266CD7">
      <w:pPr>
        <w:tabs>
          <w:tab w:val="center" w:pos="4536"/>
          <w:tab w:val="right" w:pos="9072"/>
        </w:tabs>
        <w:rPr>
          <w:sz w:val="22"/>
          <w:szCs w:val="22"/>
          <w:lang w:val="sr-Latn-ME"/>
        </w:rPr>
      </w:pPr>
    </w:p>
    <w:p w14:paraId="3770A976" w14:textId="312D5A7E" w:rsidR="00266CD7" w:rsidRPr="00DE7B81" w:rsidRDefault="00266CD7" w:rsidP="00266CD7">
      <w:pPr>
        <w:tabs>
          <w:tab w:val="left" w:pos="284"/>
        </w:tabs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Nije nam</w:t>
      </w:r>
      <w:r w:rsidR="0003672C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enjeno za intratekalnu prim</w:t>
      </w:r>
      <w:r w:rsidR="00A672A0" w:rsidRPr="00DE7B81">
        <w:rPr>
          <w:sz w:val="22"/>
          <w:szCs w:val="22"/>
          <w:lang w:val="sr-Latn-ME"/>
        </w:rPr>
        <w:t>j</w:t>
      </w:r>
      <w:r w:rsidRPr="00DE7B81">
        <w:rPr>
          <w:sz w:val="22"/>
          <w:szCs w:val="22"/>
          <w:lang w:val="sr-Latn-ME"/>
        </w:rPr>
        <w:t>enu.</w:t>
      </w:r>
    </w:p>
    <w:p w14:paraId="2176C44F" w14:textId="77777777" w:rsidR="00266CD7" w:rsidRPr="00DE7B81" w:rsidRDefault="00266CD7" w:rsidP="004E6EEE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F59392D" w14:textId="71BBA18B" w:rsidR="004E6EEE" w:rsidRPr="00DE7B81" w:rsidRDefault="004E6EEE" w:rsidP="004E6EEE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Svu neiskorišćenu količinu l</w:t>
      </w:r>
      <w:r w:rsidR="00583B67" w:rsidRPr="00DE7B81">
        <w:rPr>
          <w:sz w:val="22"/>
          <w:szCs w:val="22"/>
          <w:lang w:val="sr-Latn-ME"/>
        </w:rPr>
        <w:t>ij</w:t>
      </w:r>
      <w:r w:rsidRPr="00DE7B81">
        <w:rPr>
          <w:sz w:val="22"/>
          <w:szCs w:val="22"/>
          <w:lang w:val="sr-Latn-ME"/>
        </w:rPr>
        <w:t>eka i otpadnog materjala nakon njegove upotrebe treba ukloniti u skladu sa važećim propisima.</w:t>
      </w:r>
    </w:p>
    <w:bookmarkEnd w:id="2"/>
    <w:p w14:paraId="5DE54171" w14:textId="28253290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6119202" w14:textId="71F8D3D0" w:rsidR="00147115" w:rsidRDefault="0014711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274155E" w14:textId="6CA347BF" w:rsidR="004B4627" w:rsidRPr="00EE2B00" w:rsidRDefault="004B462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E54172" w14:textId="77777777" w:rsidR="00F8570A" w:rsidRPr="00DE7B8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41F96">
        <w:rPr>
          <w:b/>
          <w:bCs/>
          <w:sz w:val="22"/>
          <w:szCs w:val="22"/>
          <w:lang w:val="sr-Latn-ME"/>
        </w:rPr>
        <w:lastRenderedPageBreak/>
        <w:t xml:space="preserve">7.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sz w:val="22"/>
          <w:szCs w:val="22"/>
          <w:lang w:val="sr-Latn-ME"/>
        </w:rPr>
        <w:t>NOSILAC DOZVOLE</w:t>
      </w:r>
      <w:r w:rsidR="00483928" w:rsidRPr="00DE7B81">
        <w:rPr>
          <w:b/>
          <w:bCs/>
          <w:sz w:val="22"/>
          <w:szCs w:val="22"/>
          <w:lang w:val="sr-Latn-ME"/>
        </w:rPr>
        <w:t xml:space="preserve"> </w:t>
      </w:r>
    </w:p>
    <w:p w14:paraId="5DE54173" w14:textId="77777777" w:rsidR="00C61BE0" w:rsidRPr="00DE7B81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019524" w14:textId="16E2A70B" w:rsidR="001C2A18" w:rsidRDefault="00497AC0" w:rsidP="00497AC0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>PharmaSwiss - Montenegro, PharmaSwiss d.o.o. Beograd, dio stranog društva u Podgorici</w:t>
      </w:r>
    </w:p>
    <w:p w14:paraId="703DE5B0" w14:textId="341ABE41" w:rsidR="00497AC0" w:rsidRPr="00DE7B81" w:rsidRDefault="00497AC0" w:rsidP="00497AC0">
      <w:pPr>
        <w:jc w:val="both"/>
        <w:rPr>
          <w:sz w:val="22"/>
          <w:szCs w:val="22"/>
          <w:lang w:val="sr-Latn-ME"/>
        </w:rPr>
      </w:pPr>
      <w:r w:rsidRPr="00DE7B81">
        <w:rPr>
          <w:sz w:val="22"/>
          <w:szCs w:val="22"/>
          <w:lang w:val="sr-Latn-ME"/>
        </w:rPr>
        <w:t xml:space="preserve">Rimski trg </w:t>
      </w:r>
      <w:r w:rsidR="00287F70" w:rsidRPr="00DE7B81">
        <w:rPr>
          <w:sz w:val="22"/>
          <w:szCs w:val="22"/>
          <w:lang w:val="sr-Latn-ME"/>
        </w:rPr>
        <w:t xml:space="preserve">br. </w:t>
      </w:r>
      <w:r w:rsidRPr="00DE7B81">
        <w:rPr>
          <w:sz w:val="22"/>
          <w:szCs w:val="22"/>
          <w:lang w:val="sr-Latn-ME"/>
        </w:rPr>
        <w:t>16, Podgorica, Crna Gora</w:t>
      </w:r>
    </w:p>
    <w:p w14:paraId="5DE54174" w14:textId="0D491DBE" w:rsidR="00C37FD7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906B6EC" w14:textId="77777777" w:rsidR="00DA55A0" w:rsidRPr="00DE7B81" w:rsidRDefault="00DA55A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E54175" w14:textId="77777777" w:rsidR="0072020E" w:rsidRPr="00DE7B8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 xml:space="preserve">8.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sz w:val="22"/>
          <w:szCs w:val="22"/>
          <w:lang w:val="sr-Latn-ME"/>
        </w:rPr>
        <w:t>BROJ DOZVOLE</w:t>
      </w:r>
      <w:r w:rsidR="008A6D43" w:rsidRPr="00DE7B81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DE54176" w14:textId="77777777" w:rsidR="0072020E" w:rsidRPr="00DE7B8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216995" w14:textId="0B504D01" w:rsidR="00F11E1F" w:rsidRDefault="00B0517D" w:rsidP="00F11E1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0517D">
        <w:rPr>
          <w:bCs/>
          <w:sz w:val="22"/>
          <w:szCs w:val="22"/>
          <w:lang w:val="sr-Latn-ME"/>
        </w:rPr>
        <w:t xml:space="preserve">2030/25/327 </w:t>
      </w:r>
      <w:r>
        <w:rPr>
          <w:bCs/>
          <w:sz w:val="22"/>
          <w:szCs w:val="22"/>
          <w:lang w:val="sr-Latn-ME"/>
        </w:rPr>
        <w:t>-</w:t>
      </w:r>
      <w:r w:rsidRPr="00B0517D">
        <w:rPr>
          <w:bCs/>
          <w:sz w:val="22"/>
          <w:szCs w:val="22"/>
          <w:lang w:val="sr-Latn-ME"/>
        </w:rPr>
        <w:t xml:space="preserve"> 8431</w:t>
      </w:r>
    </w:p>
    <w:p w14:paraId="6EE6CFDC" w14:textId="77777777" w:rsidR="00B0517D" w:rsidRPr="00DE7B81" w:rsidRDefault="00B0517D" w:rsidP="00F11E1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E54177" w14:textId="77777777" w:rsidR="00F45F77" w:rsidRPr="00DE7B81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E54178" w14:textId="77777777" w:rsidR="0072020E" w:rsidRPr="00DE7B8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 xml:space="preserve">9.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Pr="00DE7B81">
        <w:rPr>
          <w:b/>
          <w:bCs/>
          <w:sz w:val="22"/>
          <w:szCs w:val="22"/>
          <w:lang w:val="sr-Latn-ME"/>
        </w:rPr>
        <w:t xml:space="preserve">DATUM </w:t>
      </w:r>
      <w:r w:rsidR="00C05DF8" w:rsidRPr="00DE7B81">
        <w:rPr>
          <w:b/>
          <w:bCs/>
          <w:sz w:val="22"/>
          <w:szCs w:val="22"/>
          <w:lang w:val="sr-Latn-ME"/>
        </w:rPr>
        <w:t xml:space="preserve">PRVE </w:t>
      </w:r>
      <w:r w:rsidR="008A6D43" w:rsidRPr="00DE7B81">
        <w:rPr>
          <w:b/>
          <w:bCs/>
          <w:sz w:val="22"/>
          <w:szCs w:val="22"/>
          <w:lang w:val="sr-Latn-ME"/>
        </w:rPr>
        <w:t>DOZVOLE</w:t>
      </w:r>
      <w:r w:rsidR="00C05DF8" w:rsidRPr="00DE7B81">
        <w:rPr>
          <w:b/>
          <w:bCs/>
          <w:sz w:val="22"/>
          <w:szCs w:val="22"/>
          <w:lang w:val="sr-Latn-ME"/>
        </w:rPr>
        <w:t>/OBNOVE DOZVOLE</w:t>
      </w:r>
      <w:r w:rsidR="008A6D43" w:rsidRPr="00DE7B81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DE54179" w14:textId="77777777" w:rsidR="0072020E" w:rsidRPr="00DE7B8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784817" w14:textId="4E4E19EC" w:rsidR="00DA55A0" w:rsidRDefault="00DA55A0" w:rsidP="00DA55A0">
      <w:pPr>
        <w:tabs>
          <w:tab w:val="center" w:pos="4320"/>
          <w:tab w:val="right" w:pos="8640"/>
        </w:tabs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Datum prve dozvole: </w:t>
      </w:r>
      <w:r w:rsidR="00B0517D" w:rsidRPr="00B0517D">
        <w:rPr>
          <w:sz w:val="22"/>
          <w:szCs w:val="22"/>
          <w:lang w:val="sr-Latn-ME"/>
        </w:rPr>
        <w:t>21.12.2012. godine</w:t>
      </w:r>
    </w:p>
    <w:p w14:paraId="3B72837B" w14:textId="7A342A33" w:rsidR="00DA55A0" w:rsidRDefault="00DA55A0" w:rsidP="00DA55A0">
      <w:pPr>
        <w:tabs>
          <w:tab w:val="center" w:pos="4320"/>
          <w:tab w:val="right" w:pos="8640"/>
        </w:tabs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Datum posljednje obnove dozvole:</w:t>
      </w:r>
      <w:r w:rsidR="00B0517D" w:rsidRPr="00B0517D">
        <w:t xml:space="preserve"> </w:t>
      </w:r>
      <w:r w:rsidR="00B0517D" w:rsidRPr="00B0517D">
        <w:rPr>
          <w:sz w:val="22"/>
          <w:szCs w:val="22"/>
          <w:lang w:val="sr-Latn-ME"/>
        </w:rPr>
        <w:t>24.01.2025. godine</w:t>
      </w:r>
    </w:p>
    <w:p w14:paraId="5DE5417A" w14:textId="417BFF89" w:rsidR="00836B35" w:rsidRPr="00DA55A0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B76B2FB" w14:textId="77777777" w:rsidR="00390650" w:rsidRPr="00DE7B81" w:rsidRDefault="0039065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bookmarkStart w:id="3" w:name="_GoBack"/>
      <w:bookmarkEnd w:id="3"/>
    </w:p>
    <w:p w14:paraId="5DE5417B" w14:textId="33441789" w:rsidR="003F6A59" w:rsidRDefault="0072020E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DE7B81">
        <w:rPr>
          <w:b/>
          <w:bCs/>
          <w:sz w:val="22"/>
          <w:szCs w:val="22"/>
          <w:lang w:val="sr-Latn-ME"/>
        </w:rPr>
        <w:t xml:space="preserve">10. </w:t>
      </w:r>
      <w:r w:rsidR="00480FB1" w:rsidRPr="00DE7B81">
        <w:rPr>
          <w:b/>
          <w:bCs/>
          <w:sz w:val="22"/>
          <w:szCs w:val="22"/>
          <w:lang w:val="sr-Latn-ME"/>
        </w:rPr>
        <w:tab/>
      </w:r>
      <w:r w:rsidR="002846DB" w:rsidRPr="00DE7B81">
        <w:rPr>
          <w:b/>
          <w:bCs/>
          <w:sz w:val="22"/>
          <w:szCs w:val="22"/>
          <w:lang w:val="sr-Latn-ME"/>
        </w:rPr>
        <w:t>D</w:t>
      </w:r>
      <w:r w:rsidR="00EC2532" w:rsidRPr="00DE7B81">
        <w:rPr>
          <w:b/>
          <w:bCs/>
          <w:sz w:val="22"/>
          <w:szCs w:val="22"/>
          <w:lang w:val="sr-Latn-ME"/>
        </w:rPr>
        <w:t xml:space="preserve">ATUM REVIZIJE TEKSTA </w:t>
      </w:r>
    </w:p>
    <w:p w14:paraId="5647BB7C" w14:textId="4962C840" w:rsidR="00B0517D" w:rsidRDefault="00B0517D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6DA91916" w14:textId="78DD28B1" w:rsidR="00B0517D" w:rsidRPr="00B0517D" w:rsidRDefault="00B0517D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B0517D">
        <w:rPr>
          <w:bCs/>
          <w:sz w:val="22"/>
          <w:szCs w:val="22"/>
          <w:lang w:val="sr-Latn-ME"/>
        </w:rPr>
        <w:t>Januar, 2025. godine</w:t>
      </w:r>
    </w:p>
    <w:p w14:paraId="5DE5417C" w14:textId="77777777" w:rsidR="003F6A59" w:rsidRPr="00DE7B81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E5417D" w14:textId="77777777" w:rsidR="008A6D43" w:rsidRPr="00DE7B81" w:rsidRDefault="008A6D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E54184" w14:textId="5C29127A" w:rsidR="003F6A59" w:rsidRPr="00DE7B81" w:rsidRDefault="003F6A59" w:rsidP="00DE3F5C">
      <w:pPr>
        <w:rPr>
          <w:sz w:val="22"/>
          <w:szCs w:val="22"/>
          <w:lang w:val="sr-Latn-ME"/>
        </w:rPr>
      </w:pPr>
    </w:p>
    <w:sectPr w:rsidR="003F6A59" w:rsidRPr="00DE7B81" w:rsidSect="00EF3B86">
      <w:footerReference w:type="default" r:id="rId12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0CB58" w14:textId="77777777" w:rsidR="00E83BDE" w:rsidRDefault="00E83BDE">
      <w:r>
        <w:separator/>
      </w:r>
    </w:p>
  </w:endnote>
  <w:endnote w:type="continuationSeparator" w:id="0">
    <w:p w14:paraId="3A164E05" w14:textId="77777777" w:rsidR="00E83BDE" w:rsidRDefault="00E8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5418B" w14:textId="792ECC1D" w:rsidR="00B0517D" w:rsidRPr="00B0517D" w:rsidRDefault="00B0517D" w:rsidP="00B23F69">
    <w:pPr>
      <w:pStyle w:val="Footer"/>
      <w:jc w:val="center"/>
      <w:rPr>
        <w:sz w:val="22"/>
        <w:szCs w:val="22"/>
      </w:rPr>
    </w:pPr>
    <w:r w:rsidRPr="00B0517D">
      <w:rPr>
        <w:sz w:val="22"/>
        <w:szCs w:val="22"/>
      </w:rPr>
      <w:fldChar w:fldCharType="begin"/>
    </w:r>
    <w:r w:rsidRPr="00B0517D">
      <w:rPr>
        <w:sz w:val="22"/>
        <w:szCs w:val="22"/>
      </w:rPr>
      <w:instrText xml:space="preserve"> PAGE </w:instrText>
    </w:r>
    <w:r w:rsidRPr="00B0517D">
      <w:rPr>
        <w:sz w:val="22"/>
        <w:szCs w:val="22"/>
      </w:rPr>
      <w:fldChar w:fldCharType="separate"/>
    </w:r>
    <w:r w:rsidR="007705C4">
      <w:rPr>
        <w:noProof/>
        <w:sz w:val="22"/>
        <w:szCs w:val="22"/>
      </w:rPr>
      <w:t>12</w:t>
    </w:r>
    <w:r w:rsidRPr="00B0517D">
      <w:rPr>
        <w:sz w:val="22"/>
        <w:szCs w:val="22"/>
      </w:rPr>
      <w:fldChar w:fldCharType="end"/>
    </w:r>
    <w:r w:rsidRPr="00B0517D">
      <w:rPr>
        <w:sz w:val="22"/>
        <w:szCs w:val="22"/>
      </w:rPr>
      <w:t xml:space="preserve"> / </w:t>
    </w:r>
    <w:r w:rsidRPr="00B0517D">
      <w:rPr>
        <w:sz w:val="22"/>
        <w:szCs w:val="22"/>
      </w:rPr>
      <w:fldChar w:fldCharType="begin"/>
    </w:r>
    <w:r w:rsidRPr="00B0517D">
      <w:rPr>
        <w:sz w:val="22"/>
        <w:szCs w:val="22"/>
      </w:rPr>
      <w:instrText xml:space="preserve"> NUMPAGES </w:instrText>
    </w:r>
    <w:r w:rsidRPr="00B0517D">
      <w:rPr>
        <w:sz w:val="22"/>
        <w:szCs w:val="22"/>
      </w:rPr>
      <w:fldChar w:fldCharType="separate"/>
    </w:r>
    <w:r w:rsidR="007705C4">
      <w:rPr>
        <w:noProof/>
        <w:sz w:val="22"/>
        <w:szCs w:val="22"/>
      </w:rPr>
      <w:t>12</w:t>
    </w:r>
    <w:r w:rsidRPr="00B0517D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73EE9" w14:textId="77777777" w:rsidR="00E83BDE" w:rsidRDefault="00E83BDE">
      <w:r>
        <w:separator/>
      </w:r>
    </w:p>
  </w:footnote>
  <w:footnote w:type="continuationSeparator" w:id="0">
    <w:p w14:paraId="0B789EA7" w14:textId="77777777" w:rsidR="00E83BDE" w:rsidRDefault="00E83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.65pt;height:13.7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B325EF"/>
    <w:multiLevelType w:val="hybridMultilevel"/>
    <w:tmpl w:val="27822CA8"/>
    <w:lvl w:ilvl="0" w:tplc="2D9C3B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4D3F1FA6"/>
    <w:multiLevelType w:val="hybridMultilevel"/>
    <w:tmpl w:val="906CE92A"/>
    <w:lvl w:ilvl="0" w:tplc="8050E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01933"/>
    <w:multiLevelType w:val="hybridMultilevel"/>
    <w:tmpl w:val="C1E03A94"/>
    <w:lvl w:ilvl="0" w:tplc="2D9C3B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4924"/>
    <w:rsid w:val="00006447"/>
    <w:rsid w:val="00014639"/>
    <w:rsid w:val="000176CA"/>
    <w:rsid w:val="00022FF4"/>
    <w:rsid w:val="000307CF"/>
    <w:rsid w:val="0003672C"/>
    <w:rsid w:val="00036FA0"/>
    <w:rsid w:val="0003793F"/>
    <w:rsid w:val="00052D4D"/>
    <w:rsid w:val="00057E35"/>
    <w:rsid w:val="00066C25"/>
    <w:rsid w:val="000678EB"/>
    <w:rsid w:val="00072A11"/>
    <w:rsid w:val="00076726"/>
    <w:rsid w:val="00080303"/>
    <w:rsid w:val="000A3F58"/>
    <w:rsid w:val="000A41F4"/>
    <w:rsid w:val="000D2343"/>
    <w:rsid w:val="000D3449"/>
    <w:rsid w:val="000D425A"/>
    <w:rsid w:val="000D60CC"/>
    <w:rsid w:val="000E2084"/>
    <w:rsid w:val="000E6F55"/>
    <w:rsid w:val="000F2789"/>
    <w:rsid w:val="000F28BD"/>
    <w:rsid w:val="000F3916"/>
    <w:rsid w:val="000F521D"/>
    <w:rsid w:val="000F77FA"/>
    <w:rsid w:val="00107BF7"/>
    <w:rsid w:val="001175B9"/>
    <w:rsid w:val="001226E1"/>
    <w:rsid w:val="00126F53"/>
    <w:rsid w:val="00147115"/>
    <w:rsid w:val="0014766D"/>
    <w:rsid w:val="00147E7A"/>
    <w:rsid w:val="001536CC"/>
    <w:rsid w:val="0017280F"/>
    <w:rsid w:val="0018251C"/>
    <w:rsid w:val="001834BD"/>
    <w:rsid w:val="00190E7E"/>
    <w:rsid w:val="0019560E"/>
    <w:rsid w:val="001A3FBA"/>
    <w:rsid w:val="001A5518"/>
    <w:rsid w:val="001B1C6A"/>
    <w:rsid w:val="001B7338"/>
    <w:rsid w:val="001C1263"/>
    <w:rsid w:val="001C1417"/>
    <w:rsid w:val="001C2814"/>
    <w:rsid w:val="001C2A18"/>
    <w:rsid w:val="001C2F3A"/>
    <w:rsid w:val="001D1676"/>
    <w:rsid w:val="001D3139"/>
    <w:rsid w:val="001D328C"/>
    <w:rsid w:val="001D3617"/>
    <w:rsid w:val="001D51EA"/>
    <w:rsid w:val="001D5FDD"/>
    <w:rsid w:val="001D769C"/>
    <w:rsid w:val="001E2B54"/>
    <w:rsid w:val="001E390B"/>
    <w:rsid w:val="001F42FB"/>
    <w:rsid w:val="001F719A"/>
    <w:rsid w:val="001F73F8"/>
    <w:rsid w:val="002031B3"/>
    <w:rsid w:val="00215931"/>
    <w:rsid w:val="002239A5"/>
    <w:rsid w:val="00227BDB"/>
    <w:rsid w:val="002344E1"/>
    <w:rsid w:val="00234CB1"/>
    <w:rsid w:val="002352F8"/>
    <w:rsid w:val="002401F0"/>
    <w:rsid w:val="002402BB"/>
    <w:rsid w:val="00244C84"/>
    <w:rsid w:val="002510A5"/>
    <w:rsid w:val="00254A0A"/>
    <w:rsid w:val="00256893"/>
    <w:rsid w:val="00266046"/>
    <w:rsid w:val="00266CD7"/>
    <w:rsid w:val="00276DED"/>
    <w:rsid w:val="00277C71"/>
    <w:rsid w:val="00282592"/>
    <w:rsid w:val="002846DB"/>
    <w:rsid w:val="00284CCD"/>
    <w:rsid w:val="002855CB"/>
    <w:rsid w:val="00287F70"/>
    <w:rsid w:val="002906D5"/>
    <w:rsid w:val="00292BAA"/>
    <w:rsid w:val="002A1DEE"/>
    <w:rsid w:val="002B1DAB"/>
    <w:rsid w:val="002B2E44"/>
    <w:rsid w:val="002C3226"/>
    <w:rsid w:val="002C6637"/>
    <w:rsid w:val="002C6E7A"/>
    <w:rsid w:val="002D0046"/>
    <w:rsid w:val="002D4058"/>
    <w:rsid w:val="002E0135"/>
    <w:rsid w:val="002E37A5"/>
    <w:rsid w:val="00303586"/>
    <w:rsid w:val="003045EF"/>
    <w:rsid w:val="00310F03"/>
    <w:rsid w:val="00313EEA"/>
    <w:rsid w:val="0031661E"/>
    <w:rsid w:val="003207F1"/>
    <w:rsid w:val="0032271B"/>
    <w:rsid w:val="003247D2"/>
    <w:rsid w:val="00326D63"/>
    <w:rsid w:val="003350D6"/>
    <w:rsid w:val="00335A39"/>
    <w:rsid w:val="00336975"/>
    <w:rsid w:val="00341973"/>
    <w:rsid w:val="003445C1"/>
    <w:rsid w:val="00355B61"/>
    <w:rsid w:val="003575C4"/>
    <w:rsid w:val="00362686"/>
    <w:rsid w:val="00362856"/>
    <w:rsid w:val="00366D95"/>
    <w:rsid w:val="00371510"/>
    <w:rsid w:val="00374F81"/>
    <w:rsid w:val="003900BF"/>
    <w:rsid w:val="00390650"/>
    <w:rsid w:val="00396DFD"/>
    <w:rsid w:val="003A7059"/>
    <w:rsid w:val="003A7165"/>
    <w:rsid w:val="003B7A36"/>
    <w:rsid w:val="003C17AB"/>
    <w:rsid w:val="003C4575"/>
    <w:rsid w:val="003C7823"/>
    <w:rsid w:val="003D3992"/>
    <w:rsid w:val="003D5262"/>
    <w:rsid w:val="003D633A"/>
    <w:rsid w:val="003E0E20"/>
    <w:rsid w:val="003E0E5E"/>
    <w:rsid w:val="003E1DCC"/>
    <w:rsid w:val="003E576C"/>
    <w:rsid w:val="003E6E83"/>
    <w:rsid w:val="003F6A59"/>
    <w:rsid w:val="004011E7"/>
    <w:rsid w:val="00405960"/>
    <w:rsid w:val="004065C8"/>
    <w:rsid w:val="00411B4B"/>
    <w:rsid w:val="00413624"/>
    <w:rsid w:val="00415BEE"/>
    <w:rsid w:val="004237F3"/>
    <w:rsid w:val="00427F85"/>
    <w:rsid w:val="004301BA"/>
    <w:rsid w:val="00435C0A"/>
    <w:rsid w:val="00436F42"/>
    <w:rsid w:val="004378B4"/>
    <w:rsid w:val="0044774F"/>
    <w:rsid w:val="00451314"/>
    <w:rsid w:val="00452E9D"/>
    <w:rsid w:val="004534C7"/>
    <w:rsid w:val="00453A71"/>
    <w:rsid w:val="00464F66"/>
    <w:rsid w:val="004671AA"/>
    <w:rsid w:val="00471FC9"/>
    <w:rsid w:val="00480FB1"/>
    <w:rsid w:val="00483928"/>
    <w:rsid w:val="004938C3"/>
    <w:rsid w:val="00497AC0"/>
    <w:rsid w:val="004A1699"/>
    <w:rsid w:val="004A29A0"/>
    <w:rsid w:val="004B4627"/>
    <w:rsid w:val="004B7A67"/>
    <w:rsid w:val="004C3ABA"/>
    <w:rsid w:val="004C4FC9"/>
    <w:rsid w:val="004D4936"/>
    <w:rsid w:val="004D6103"/>
    <w:rsid w:val="004E3BCE"/>
    <w:rsid w:val="004E6281"/>
    <w:rsid w:val="004E6EEE"/>
    <w:rsid w:val="004E7B39"/>
    <w:rsid w:val="004F0E97"/>
    <w:rsid w:val="004F3795"/>
    <w:rsid w:val="004F4605"/>
    <w:rsid w:val="004F4E95"/>
    <w:rsid w:val="004F77A1"/>
    <w:rsid w:val="004F7852"/>
    <w:rsid w:val="00501DD1"/>
    <w:rsid w:val="00507F3F"/>
    <w:rsid w:val="00515C21"/>
    <w:rsid w:val="00527FD8"/>
    <w:rsid w:val="00530BD7"/>
    <w:rsid w:val="0054326B"/>
    <w:rsid w:val="005455BB"/>
    <w:rsid w:val="00545CD2"/>
    <w:rsid w:val="00545F21"/>
    <w:rsid w:val="005476F3"/>
    <w:rsid w:val="00555D74"/>
    <w:rsid w:val="00560543"/>
    <w:rsid w:val="00564B8A"/>
    <w:rsid w:val="00567FA4"/>
    <w:rsid w:val="00572527"/>
    <w:rsid w:val="00573E40"/>
    <w:rsid w:val="00576348"/>
    <w:rsid w:val="00576453"/>
    <w:rsid w:val="00583B67"/>
    <w:rsid w:val="00586866"/>
    <w:rsid w:val="005A0B2E"/>
    <w:rsid w:val="005A15BB"/>
    <w:rsid w:val="005A23D2"/>
    <w:rsid w:val="005A36CB"/>
    <w:rsid w:val="005A43F8"/>
    <w:rsid w:val="005B4869"/>
    <w:rsid w:val="005B49B8"/>
    <w:rsid w:val="005B593E"/>
    <w:rsid w:val="005B62B0"/>
    <w:rsid w:val="005C0741"/>
    <w:rsid w:val="005C5EF4"/>
    <w:rsid w:val="005D3F0D"/>
    <w:rsid w:val="005D6410"/>
    <w:rsid w:val="005E2E0B"/>
    <w:rsid w:val="005E7489"/>
    <w:rsid w:val="005E7A7D"/>
    <w:rsid w:val="005F6FC9"/>
    <w:rsid w:val="006037CE"/>
    <w:rsid w:val="00605249"/>
    <w:rsid w:val="006350AA"/>
    <w:rsid w:val="0063606A"/>
    <w:rsid w:val="00646BD1"/>
    <w:rsid w:val="006561C2"/>
    <w:rsid w:val="00671CB3"/>
    <w:rsid w:val="0067452B"/>
    <w:rsid w:val="00674BAF"/>
    <w:rsid w:val="00677EFB"/>
    <w:rsid w:val="00682200"/>
    <w:rsid w:val="00682D27"/>
    <w:rsid w:val="00687BE8"/>
    <w:rsid w:val="006A1497"/>
    <w:rsid w:val="006B0BD1"/>
    <w:rsid w:val="006B15C3"/>
    <w:rsid w:val="006B18F3"/>
    <w:rsid w:val="006B5113"/>
    <w:rsid w:val="006C2674"/>
    <w:rsid w:val="006D20A5"/>
    <w:rsid w:val="006D37BF"/>
    <w:rsid w:val="006D42CC"/>
    <w:rsid w:val="006D6B67"/>
    <w:rsid w:val="006F1934"/>
    <w:rsid w:val="006F5A47"/>
    <w:rsid w:val="006F5A7D"/>
    <w:rsid w:val="006F7403"/>
    <w:rsid w:val="00702E22"/>
    <w:rsid w:val="00703F83"/>
    <w:rsid w:val="00710502"/>
    <w:rsid w:val="00711C07"/>
    <w:rsid w:val="00713ED0"/>
    <w:rsid w:val="0072020E"/>
    <w:rsid w:val="00727026"/>
    <w:rsid w:val="0073646B"/>
    <w:rsid w:val="00741E04"/>
    <w:rsid w:val="00747C63"/>
    <w:rsid w:val="00752360"/>
    <w:rsid w:val="00755EE7"/>
    <w:rsid w:val="00761E90"/>
    <w:rsid w:val="00763D64"/>
    <w:rsid w:val="007705C4"/>
    <w:rsid w:val="0077236A"/>
    <w:rsid w:val="00773A62"/>
    <w:rsid w:val="007740AB"/>
    <w:rsid w:val="00780CDF"/>
    <w:rsid w:val="00784089"/>
    <w:rsid w:val="00786071"/>
    <w:rsid w:val="0078644A"/>
    <w:rsid w:val="00786FD8"/>
    <w:rsid w:val="007958A1"/>
    <w:rsid w:val="007A1D0B"/>
    <w:rsid w:val="007A3679"/>
    <w:rsid w:val="007A3ECB"/>
    <w:rsid w:val="007A4656"/>
    <w:rsid w:val="007A6B55"/>
    <w:rsid w:val="007B6BA7"/>
    <w:rsid w:val="007C25B4"/>
    <w:rsid w:val="007C5015"/>
    <w:rsid w:val="007D00E4"/>
    <w:rsid w:val="007D1563"/>
    <w:rsid w:val="007D284E"/>
    <w:rsid w:val="007E320E"/>
    <w:rsid w:val="007F14B7"/>
    <w:rsid w:val="007F36D0"/>
    <w:rsid w:val="00806F27"/>
    <w:rsid w:val="008157A4"/>
    <w:rsid w:val="0081732C"/>
    <w:rsid w:val="00823785"/>
    <w:rsid w:val="00824AB9"/>
    <w:rsid w:val="00830892"/>
    <w:rsid w:val="00836B35"/>
    <w:rsid w:val="00843BDE"/>
    <w:rsid w:val="0084544D"/>
    <w:rsid w:val="008721F4"/>
    <w:rsid w:val="0089705C"/>
    <w:rsid w:val="008A6D43"/>
    <w:rsid w:val="008B491E"/>
    <w:rsid w:val="008B4937"/>
    <w:rsid w:val="008B726B"/>
    <w:rsid w:val="008C1A28"/>
    <w:rsid w:val="008C2E98"/>
    <w:rsid w:val="008C45C6"/>
    <w:rsid w:val="008C5C9E"/>
    <w:rsid w:val="008D1555"/>
    <w:rsid w:val="008D20F6"/>
    <w:rsid w:val="008E49BD"/>
    <w:rsid w:val="008E53E9"/>
    <w:rsid w:val="008E5771"/>
    <w:rsid w:val="008E7041"/>
    <w:rsid w:val="008F0C0C"/>
    <w:rsid w:val="00902F8F"/>
    <w:rsid w:val="0090642F"/>
    <w:rsid w:val="00906D63"/>
    <w:rsid w:val="00912E3C"/>
    <w:rsid w:val="009163A4"/>
    <w:rsid w:val="00927D81"/>
    <w:rsid w:val="009366A5"/>
    <w:rsid w:val="00940B9B"/>
    <w:rsid w:val="00943227"/>
    <w:rsid w:val="00946B9A"/>
    <w:rsid w:val="0095476C"/>
    <w:rsid w:val="0095676E"/>
    <w:rsid w:val="00956983"/>
    <w:rsid w:val="00963CF0"/>
    <w:rsid w:val="00964BB1"/>
    <w:rsid w:val="00966479"/>
    <w:rsid w:val="00967EB0"/>
    <w:rsid w:val="009775D9"/>
    <w:rsid w:val="00983283"/>
    <w:rsid w:val="009939E3"/>
    <w:rsid w:val="009967C1"/>
    <w:rsid w:val="00997175"/>
    <w:rsid w:val="009A1847"/>
    <w:rsid w:val="009B062A"/>
    <w:rsid w:val="009B1957"/>
    <w:rsid w:val="009B312D"/>
    <w:rsid w:val="009C5CE7"/>
    <w:rsid w:val="009E0DF7"/>
    <w:rsid w:val="009E2E78"/>
    <w:rsid w:val="009E7C6F"/>
    <w:rsid w:val="009F1356"/>
    <w:rsid w:val="009F1777"/>
    <w:rsid w:val="009F1793"/>
    <w:rsid w:val="009F2D23"/>
    <w:rsid w:val="00A01656"/>
    <w:rsid w:val="00A01D69"/>
    <w:rsid w:val="00A01FA3"/>
    <w:rsid w:val="00A02335"/>
    <w:rsid w:val="00A21450"/>
    <w:rsid w:val="00A414AA"/>
    <w:rsid w:val="00A46C9A"/>
    <w:rsid w:val="00A50F25"/>
    <w:rsid w:val="00A52A27"/>
    <w:rsid w:val="00A603B7"/>
    <w:rsid w:val="00A619F3"/>
    <w:rsid w:val="00A62A73"/>
    <w:rsid w:val="00A65C48"/>
    <w:rsid w:val="00A672A0"/>
    <w:rsid w:val="00A73314"/>
    <w:rsid w:val="00A7689F"/>
    <w:rsid w:val="00A76BF5"/>
    <w:rsid w:val="00A82F2E"/>
    <w:rsid w:val="00A850C6"/>
    <w:rsid w:val="00A8562B"/>
    <w:rsid w:val="00A875C7"/>
    <w:rsid w:val="00A87FF6"/>
    <w:rsid w:val="00AA0A3B"/>
    <w:rsid w:val="00AA1B1E"/>
    <w:rsid w:val="00AA2763"/>
    <w:rsid w:val="00AA33B6"/>
    <w:rsid w:val="00AA5CAE"/>
    <w:rsid w:val="00AB50CA"/>
    <w:rsid w:val="00AB6D64"/>
    <w:rsid w:val="00AB751D"/>
    <w:rsid w:val="00AC53CE"/>
    <w:rsid w:val="00AC7152"/>
    <w:rsid w:val="00AD2193"/>
    <w:rsid w:val="00AF2AC7"/>
    <w:rsid w:val="00AF40B5"/>
    <w:rsid w:val="00AF74CE"/>
    <w:rsid w:val="00B02866"/>
    <w:rsid w:val="00B0517D"/>
    <w:rsid w:val="00B10494"/>
    <w:rsid w:val="00B208DB"/>
    <w:rsid w:val="00B23F69"/>
    <w:rsid w:val="00B26E76"/>
    <w:rsid w:val="00B41B8A"/>
    <w:rsid w:val="00B60619"/>
    <w:rsid w:val="00B66A70"/>
    <w:rsid w:val="00B67366"/>
    <w:rsid w:val="00B70F1D"/>
    <w:rsid w:val="00B72EE0"/>
    <w:rsid w:val="00B80848"/>
    <w:rsid w:val="00B80C6C"/>
    <w:rsid w:val="00B80EE1"/>
    <w:rsid w:val="00B8282E"/>
    <w:rsid w:val="00B84135"/>
    <w:rsid w:val="00BB3EA6"/>
    <w:rsid w:val="00BC1F2A"/>
    <w:rsid w:val="00BC2C91"/>
    <w:rsid w:val="00BC44DF"/>
    <w:rsid w:val="00BC76FB"/>
    <w:rsid w:val="00C04D34"/>
    <w:rsid w:val="00C05DF8"/>
    <w:rsid w:val="00C06864"/>
    <w:rsid w:val="00C10F54"/>
    <w:rsid w:val="00C23D8D"/>
    <w:rsid w:val="00C26E2A"/>
    <w:rsid w:val="00C330DB"/>
    <w:rsid w:val="00C37AA3"/>
    <w:rsid w:val="00C37FD7"/>
    <w:rsid w:val="00C41F96"/>
    <w:rsid w:val="00C43089"/>
    <w:rsid w:val="00C43419"/>
    <w:rsid w:val="00C44CF3"/>
    <w:rsid w:val="00C558CA"/>
    <w:rsid w:val="00C5622E"/>
    <w:rsid w:val="00C56795"/>
    <w:rsid w:val="00C61242"/>
    <w:rsid w:val="00C61BE0"/>
    <w:rsid w:val="00C70B0E"/>
    <w:rsid w:val="00C7133C"/>
    <w:rsid w:val="00C721D9"/>
    <w:rsid w:val="00C75544"/>
    <w:rsid w:val="00C773CA"/>
    <w:rsid w:val="00C83785"/>
    <w:rsid w:val="00C94C0D"/>
    <w:rsid w:val="00CA1FEB"/>
    <w:rsid w:val="00CA6BF5"/>
    <w:rsid w:val="00CB0168"/>
    <w:rsid w:val="00CC049E"/>
    <w:rsid w:val="00CC311B"/>
    <w:rsid w:val="00CC3415"/>
    <w:rsid w:val="00CC4850"/>
    <w:rsid w:val="00CD1A9A"/>
    <w:rsid w:val="00CD4F85"/>
    <w:rsid w:val="00CD6F02"/>
    <w:rsid w:val="00CE013D"/>
    <w:rsid w:val="00CE246D"/>
    <w:rsid w:val="00CF07A0"/>
    <w:rsid w:val="00CF08CF"/>
    <w:rsid w:val="00CF3E03"/>
    <w:rsid w:val="00CF43B0"/>
    <w:rsid w:val="00CF4A29"/>
    <w:rsid w:val="00D0082A"/>
    <w:rsid w:val="00D03426"/>
    <w:rsid w:val="00D069F3"/>
    <w:rsid w:val="00D144D0"/>
    <w:rsid w:val="00D16A44"/>
    <w:rsid w:val="00D16BC5"/>
    <w:rsid w:val="00D21455"/>
    <w:rsid w:val="00D27AF8"/>
    <w:rsid w:val="00D33FEC"/>
    <w:rsid w:val="00D4000B"/>
    <w:rsid w:val="00D4292C"/>
    <w:rsid w:val="00D430D2"/>
    <w:rsid w:val="00D47634"/>
    <w:rsid w:val="00D47FDD"/>
    <w:rsid w:val="00D709B3"/>
    <w:rsid w:val="00D743A5"/>
    <w:rsid w:val="00DA1CF5"/>
    <w:rsid w:val="00DA2ED6"/>
    <w:rsid w:val="00DA521A"/>
    <w:rsid w:val="00DA55A0"/>
    <w:rsid w:val="00DB76B8"/>
    <w:rsid w:val="00DC2EA1"/>
    <w:rsid w:val="00DC4BCB"/>
    <w:rsid w:val="00DD6AAF"/>
    <w:rsid w:val="00DE2405"/>
    <w:rsid w:val="00DE3F5C"/>
    <w:rsid w:val="00DE7B81"/>
    <w:rsid w:val="00DF1D20"/>
    <w:rsid w:val="00DF1D7C"/>
    <w:rsid w:val="00E14D62"/>
    <w:rsid w:val="00E21324"/>
    <w:rsid w:val="00E246B9"/>
    <w:rsid w:val="00E31CF9"/>
    <w:rsid w:val="00E31FEA"/>
    <w:rsid w:val="00E45169"/>
    <w:rsid w:val="00E47787"/>
    <w:rsid w:val="00E51C30"/>
    <w:rsid w:val="00E521E5"/>
    <w:rsid w:val="00E52FD5"/>
    <w:rsid w:val="00E60AC6"/>
    <w:rsid w:val="00E64180"/>
    <w:rsid w:val="00E74AEE"/>
    <w:rsid w:val="00E74B3D"/>
    <w:rsid w:val="00E761D3"/>
    <w:rsid w:val="00E83BDE"/>
    <w:rsid w:val="00E8434A"/>
    <w:rsid w:val="00E85935"/>
    <w:rsid w:val="00E868E5"/>
    <w:rsid w:val="00E9237A"/>
    <w:rsid w:val="00E939FA"/>
    <w:rsid w:val="00EA5765"/>
    <w:rsid w:val="00EC2532"/>
    <w:rsid w:val="00EC26DD"/>
    <w:rsid w:val="00EC2BFB"/>
    <w:rsid w:val="00EC3EA9"/>
    <w:rsid w:val="00ED1534"/>
    <w:rsid w:val="00ED5E40"/>
    <w:rsid w:val="00ED7812"/>
    <w:rsid w:val="00EE2B00"/>
    <w:rsid w:val="00EE7ABF"/>
    <w:rsid w:val="00EF3B86"/>
    <w:rsid w:val="00EF525D"/>
    <w:rsid w:val="00F04917"/>
    <w:rsid w:val="00F04ED5"/>
    <w:rsid w:val="00F11E1F"/>
    <w:rsid w:val="00F2524B"/>
    <w:rsid w:val="00F27CEA"/>
    <w:rsid w:val="00F300BA"/>
    <w:rsid w:val="00F3021D"/>
    <w:rsid w:val="00F317E9"/>
    <w:rsid w:val="00F32E69"/>
    <w:rsid w:val="00F34554"/>
    <w:rsid w:val="00F40EA2"/>
    <w:rsid w:val="00F447B8"/>
    <w:rsid w:val="00F45F77"/>
    <w:rsid w:val="00F47968"/>
    <w:rsid w:val="00F50E72"/>
    <w:rsid w:val="00F5167F"/>
    <w:rsid w:val="00F52258"/>
    <w:rsid w:val="00F54394"/>
    <w:rsid w:val="00F76C99"/>
    <w:rsid w:val="00F76D2B"/>
    <w:rsid w:val="00F811E0"/>
    <w:rsid w:val="00F8570A"/>
    <w:rsid w:val="00F87946"/>
    <w:rsid w:val="00F90807"/>
    <w:rsid w:val="00F91C7B"/>
    <w:rsid w:val="00F97157"/>
    <w:rsid w:val="00FC26DA"/>
    <w:rsid w:val="00FD0C6E"/>
    <w:rsid w:val="00FD2B6E"/>
    <w:rsid w:val="00FD6CE3"/>
    <w:rsid w:val="00FE5EDA"/>
    <w:rsid w:val="00FE7C4F"/>
    <w:rsid w:val="00FF0FB7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54113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545F21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B41B8A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F2524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432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3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DE62C-BDF7-41FE-8C5F-AB7CFC6D77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4f55c2-b9e5-4e04-bcc7-ae1efcea4b57}" enabled="1" method="Standard" siteId="{a72dda32-ee80-4da8-a3ac-ec0e9e41a5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4540</Words>
  <Characters>25884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30364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Aleksandra Marijanović</cp:lastModifiedBy>
  <cp:revision>4</cp:revision>
  <dcterms:created xsi:type="dcterms:W3CDTF">2025-01-23T11:21:00Z</dcterms:created>
  <dcterms:modified xsi:type="dcterms:W3CDTF">2025-01-24T11:51:00Z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c4f55c2-b9e5-4e04-bcc7-ae1efcea4b57_Enabled">
    <vt:lpwstr>true</vt:lpwstr>
  </property>
  <property fmtid="{D5CDD505-2E9C-101B-9397-08002B2CF9AE}" pid="4" name="MSIP_Label_4c4f55c2-b9e5-4e04-bcc7-ae1efcea4b57_SetDate">
    <vt:lpwstr>2022-09-28T01:21:42Z</vt:lpwstr>
  </property>
  <property fmtid="{D5CDD505-2E9C-101B-9397-08002B2CF9AE}" pid="5" name="MSIP_Label_4c4f55c2-b9e5-4e04-bcc7-ae1efcea4b57_Method">
    <vt:lpwstr>Standard</vt:lpwstr>
  </property>
  <property fmtid="{D5CDD505-2E9C-101B-9397-08002B2CF9AE}" pid="6" name="MSIP_Label_4c4f55c2-b9e5-4e04-bcc7-ae1efcea4b57_Name">
    <vt:lpwstr>CORP Projects Information Label</vt:lpwstr>
  </property>
  <property fmtid="{D5CDD505-2E9C-101B-9397-08002B2CF9AE}" pid="7" name="MSIP_Label_4c4f55c2-b9e5-4e04-bcc7-ae1efcea4b57_SiteId">
    <vt:lpwstr>a72dda32-ee80-4da8-a3ac-ec0e9e41a50a</vt:lpwstr>
  </property>
  <property fmtid="{D5CDD505-2E9C-101B-9397-08002B2CF9AE}" pid="8" name="MSIP_Label_4c4f55c2-b9e5-4e04-bcc7-ae1efcea4b57_ActionId">
    <vt:lpwstr>0a8050cd-7976-47a5-b4ed-46c56595e95f</vt:lpwstr>
  </property>
  <property fmtid="{D5CDD505-2E9C-101B-9397-08002B2CF9AE}" pid="9" name="MSIP_Label_4c4f55c2-b9e5-4e04-bcc7-ae1efcea4b57_ContentBits">
    <vt:lpwstr>0</vt:lpwstr>
  </property>
</Properties>
</file>