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6B9D4" w14:textId="77777777" w:rsidR="00DD2A82" w:rsidRPr="00922EC7" w:rsidRDefault="00DD2A82" w:rsidP="00923865">
      <w:pPr>
        <w:rPr>
          <w:szCs w:val="22"/>
          <w:lang w:val="sr-Latn-ME"/>
        </w:rPr>
      </w:pPr>
      <w:bookmarkStart w:id="0" w:name="_GoBack"/>
    </w:p>
    <w:p w14:paraId="1906B9D5" w14:textId="45D55FEF" w:rsidR="00CE09F3" w:rsidRPr="00922EC7" w:rsidRDefault="00CE09F3" w:rsidP="00923865">
      <w:pPr>
        <w:jc w:val="center"/>
        <w:rPr>
          <w:b/>
          <w:bCs/>
          <w:iCs/>
          <w:szCs w:val="22"/>
          <w:u w:val="single"/>
          <w:lang w:val="sr-Latn-ME"/>
        </w:rPr>
      </w:pPr>
      <w:r w:rsidRPr="00922EC7">
        <w:rPr>
          <w:b/>
          <w:bCs/>
          <w:iCs/>
          <w:szCs w:val="22"/>
          <w:u w:val="single"/>
          <w:lang w:val="sr-Latn-ME"/>
        </w:rPr>
        <w:t>SAŽETAK KARAKTERISTIKA L</w:t>
      </w:r>
      <w:r w:rsidR="005C0945" w:rsidRPr="00922EC7">
        <w:rPr>
          <w:b/>
          <w:bCs/>
          <w:iCs/>
          <w:szCs w:val="22"/>
          <w:u w:val="single"/>
          <w:lang w:val="sr-Latn-ME"/>
        </w:rPr>
        <w:t>IJ</w:t>
      </w:r>
      <w:r w:rsidRPr="00922EC7">
        <w:rPr>
          <w:b/>
          <w:bCs/>
          <w:iCs/>
          <w:szCs w:val="22"/>
          <w:u w:val="single"/>
          <w:lang w:val="sr-Latn-ME"/>
        </w:rPr>
        <w:t>EKA</w:t>
      </w:r>
    </w:p>
    <w:p w14:paraId="1906B9D6" w14:textId="77777777" w:rsidR="00383195" w:rsidRPr="00922EC7" w:rsidRDefault="003E3EC7" w:rsidP="00923865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 </w:t>
      </w:r>
    </w:p>
    <w:p w14:paraId="1906B9D7" w14:textId="77777777" w:rsidR="00383195" w:rsidRPr="00922EC7" w:rsidRDefault="00383195" w:rsidP="00923865">
      <w:pPr>
        <w:rPr>
          <w:szCs w:val="22"/>
          <w:lang w:val="sr-Latn-ME"/>
        </w:rPr>
      </w:pPr>
    </w:p>
    <w:p w14:paraId="1906B9DC" w14:textId="030CA02B" w:rsidR="00CE09F3" w:rsidRPr="00922EC7" w:rsidRDefault="00CE09F3" w:rsidP="00923865">
      <w:pPr>
        <w:rPr>
          <w:b/>
          <w:bCs/>
          <w:szCs w:val="22"/>
          <w:lang w:val="sr-Latn-ME"/>
        </w:rPr>
      </w:pPr>
    </w:p>
    <w:p w14:paraId="4BE5DD3D" w14:textId="77777777" w:rsidR="00FF41AD" w:rsidRPr="00922EC7" w:rsidRDefault="00FF41AD" w:rsidP="00FF41AD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>1.</w:t>
      </w:r>
      <w:r w:rsidRPr="00922EC7">
        <w:rPr>
          <w:b/>
          <w:bCs/>
          <w:szCs w:val="22"/>
          <w:lang w:val="sr-Latn-ME"/>
        </w:rPr>
        <w:tab/>
        <w:t>NAZIV LIJEKA</w:t>
      </w:r>
    </w:p>
    <w:p w14:paraId="3D1F7392" w14:textId="77777777" w:rsidR="00FF41AD" w:rsidRPr="00922EC7" w:rsidRDefault="00FF41AD" w:rsidP="00923865">
      <w:pPr>
        <w:rPr>
          <w:szCs w:val="22"/>
          <w:lang w:val="sr-Latn-ME"/>
        </w:rPr>
      </w:pPr>
    </w:p>
    <w:p w14:paraId="1906B9E1" w14:textId="6C0CF9FE" w:rsidR="00CE09F3" w:rsidRPr="00922EC7" w:rsidRDefault="00844301" w:rsidP="00923865">
      <w:pPr>
        <w:rPr>
          <w:bCs/>
          <w:szCs w:val="22"/>
          <w:lang w:val="sr-Latn-ME"/>
        </w:rPr>
      </w:pPr>
      <w:proofErr w:type="spellStart"/>
      <w:r w:rsidRPr="00922EC7">
        <w:rPr>
          <w:bCs/>
          <w:szCs w:val="22"/>
          <w:lang w:val="sr-Latn-ME"/>
        </w:rPr>
        <w:t>Gluformin</w:t>
      </w:r>
      <w:proofErr w:type="spellEnd"/>
      <w:r w:rsidRPr="00922EC7">
        <w:rPr>
          <w:bCs/>
          <w:szCs w:val="22"/>
          <w:lang w:val="sr-Latn-ME"/>
        </w:rPr>
        <w:t xml:space="preserve"> XR, 500 mg, tableta sa produženim oslobađanjem</w:t>
      </w:r>
      <w:r w:rsidR="00CE09F3" w:rsidRPr="00922EC7">
        <w:rPr>
          <w:bCs/>
          <w:szCs w:val="22"/>
          <w:lang w:val="sr-Latn-ME"/>
        </w:rPr>
        <w:t xml:space="preserve">  </w:t>
      </w:r>
    </w:p>
    <w:p w14:paraId="5D6E6D2C" w14:textId="48DF65EF" w:rsidR="00844301" w:rsidRPr="00922EC7" w:rsidRDefault="00844301" w:rsidP="00844301">
      <w:pPr>
        <w:rPr>
          <w:bCs/>
          <w:szCs w:val="22"/>
          <w:lang w:val="sr-Latn-ME"/>
        </w:rPr>
      </w:pPr>
      <w:proofErr w:type="spellStart"/>
      <w:r w:rsidRPr="00922EC7">
        <w:rPr>
          <w:bCs/>
          <w:szCs w:val="22"/>
          <w:lang w:val="sr-Latn-ME"/>
        </w:rPr>
        <w:t>Gluformin</w:t>
      </w:r>
      <w:proofErr w:type="spellEnd"/>
      <w:r w:rsidRPr="00922EC7">
        <w:rPr>
          <w:bCs/>
          <w:szCs w:val="22"/>
          <w:lang w:val="sr-Latn-ME"/>
        </w:rPr>
        <w:t xml:space="preserve"> XR, 750 mg, tableta sa produženim oslobađanjem  </w:t>
      </w:r>
    </w:p>
    <w:p w14:paraId="510AD8D5" w14:textId="3D564CFA" w:rsidR="00844301" w:rsidRPr="00922EC7" w:rsidRDefault="00844301" w:rsidP="00844301">
      <w:pPr>
        <w:rPr>
          <w:bCs/>
          <w:szCs w:val="22"/>
          <w:lang w:val="sr-Latn-ME"/>
        </w:rPr>
      </w:pPr>
      <w:proofErr w:type="spellStart"/>
      <w:r w:rsidRPr="00922EC7">
        <w:rPr>
          <w:bCs/>
          <w:szCs w:val="22"/>
          <w:lang w:val="sr-Latn-ME"/>
        </w:rPr>
        <w:t>Gluformin</w:t>
      </w:r>
      <w:proofErr w:type="spellEnd"/>
      <w:r w:rsidRPr="00922EC7">
        <w:rPr>
          <w:bCs/>
          <w:szCs w:val="22"/>
          <w:lang w:val="sr-Latn-ME"/>
        </w:rPr>
        <w:t xml:space="preserve"> XR, 1000 mg, tableta sa produženim oslobađanjem  </w:t>
      </w:r>
    </w:p>
    <w:p w14:paraId="1906B9E2" w14:textId="6E7CD24C" w:rsidR="00CE09F3" w:rsidRPr="00922EC7" w:rsidRDefault="00CE09F3">
      <w:pPr>
        <w:rPr>
          <w:bCs/>
          <w:szCs w:val="22"/>
          <w:lang w:val="sr-Latn-ME"/>
        </w:rPr>
      </w:pPr>
    </w:p>
    <w:p w14:paraId="1906B9E3" w14:textId="694973E1" w:rsidR="00CE09F3" w:rsidRPr="00922EC7" w:rsidRDefault="00CE09F3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>INN:</w:t>
      </w:r>
      <w:r w:rsidR="00844301" w:rsidRPr="00922EC7">
        <w:rPr>
          <w:szCs w:val="22"/>
          <w:lang w:val="sr-Latn-ME"/>
        </w:rPr>
        <w:t xml:space="preserve"> </w:t>
      </w:r>
      <w:proofErr w:type="spellStart"/>
      <w:r w:rsidR="00844301" w:rsidRPr="00922EC7">
        <w:rPr>
          <w:szCs w:val="22"/>
          <w:lang w:val="sr-Latn-ME"/>
        </w:rPr>
        <w:t>metformin</w:t>
      </w:r>
      <w:proofErr w:type="spellEnd"/>
    </w:p>
    <w:p w14:paraId="1906B9E7" w14:textId="318409E8" w:rsidR="00CE09F3" w:rsidRPr="00922EC7" w:rsidRDefault="00CE09F3">
      <w:pPr>
        <w:rPr>
          <w:b/>
          <w:bCs/>
          <w:szCs w:val="22"/>
          <w:lang w:val="sr-Latn-ME"/>
        </w:rPr>
      </w:pPr>
    </w:p>
    <w:p w14:paraId="317CDB2E" w14:textId="77777777" w:rsidR="00FF41AD" w:rsidRPr="00922EC7" w:rsidRDefault="00FF41AD">
      <w:pPr>
        <w:rPr>
          <w:b/>
          <w:bCs/>
          <w:szCs w:val="22"/>
          <w:lang w:val="sr-Latn-ME"/>
        </w:rPr>
      </w:pPr>
    </w:p>
    <w:p w14:paraId="53FC55DA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2. </w:t>
      </w:r>
      <w:r w:rsidRPr="00922EC7">
        <w:rPr>
          <w:b/>
          <w:bCs/>
          <w:szCs w:val="22"/>
          <w:lang w:val="sr-Latn-ME"/>
        </w:rPr>
        <w:tab/>
        <w:t>KVALITATIVNI I KVANTITATIVNI SASTAV</w:t>
      </w:r>
    </w:p>
    <w:p w14:paraId="041D8830" w14:textId="77777777" w:rsidR="00FF41AD" w:rsidRPr="00922EC7" w:rsidRDefault="00FF41AD" w:rsidP="00923865">
      <w:pPr>
        <w:rPr>
          <w:i/>
          <w:szCs w:val="22"/>
          <w:lang w:val="sr-Latn-ME"/>
        </w:rPr>
      </w:pPr>
    </w:p>
    <w:p w14:paraId="1906B9E9" w14:textId="14D36F36" w:rsidR="00CE09F3" w:rsidRPr="00922EC7" w:rsidRDefault="00844301" w:rsidP="00923865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</w:t>
      </w:r>
      <w:r w:rsidR="008A630B" w:rsidRPr="00922EC7">
        <w:rPr>
          <w:i/>
          <w:szCs w:val="22"/>
          <w:lang w:val="sr-Latn-ME"/>
        </w:rPr>
        <w:t>,</w:t>
      </w:r>
      <w:r w:rsidRPr="00922EC7">
        <w:rPr>
          <w:i/>
          <w:szCs w:val="22"/>
          <w:lang w:val="sr-Latn-ME"/>
        </w:rPr>
        <w:t xml:space="preserve"> 500 mg</w:t>
      </w:r>
    </w:p>
    <w:p w14:paraId="3FD686F1" w14:textId="4AB65DB8" w:rsidR="00844301" w:rsidRPr="00922EC7" w:rsidRDefault="00844301" w:rsidP="00923865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Jedna tableta sa produženim oslobađanjem sadrži 500 mg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191CDC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hidrohlorida</w:t>
      </w:r>
      <w:proofErr w:type="spellEnd"/>
      <w:r w:rsidRPr="00922EC7">
        <w:rPr>
          <w:szCs w:val="22"/>
          <w:lang w:val="sr-Latn-ME"/>
        </w:rPr>
        <w:t>.</w:t>
      </w:r>
    </w:p>
    <w:p w14:paraId="504785BE" w14:textId="78A7F915" w:rsidR="00844301" w:rsidRPr="00922EC7" w:rsidRDefault="00844301" w:rsidP="00923865">
      <w:pPr>
        <w:rPr>
          <w:szCs w:val="22"/>
          <w:lang w:val="sr-Latn-ME"/>
        </w:rPr>
      </w:pPr>
    </w:p>
    <w:p w14:paraId="6F4DE833" w14:textId="61EF0404" w:rsidR="00844301" w:rsidRPr="00922EC7" w:rsidRDefault="00844301" w:rsidP="00844301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</w:t>
      </w:r>
      <w:r w:rsidR="008A630B" w:rsidRPr="00922EC7">
        <w:rPr>
          <w:i/>
          <w:szCs w:val="22"/>
          <w:lang w:val="sr-Latn-ME"/>
        </w:rPr>
        <w:t>,</w:t>
      </w:r>
      <w:r w:rsidRPr="00922EC7">
        <w:rPr>
          <w:i/>
          <w:szCs w:val="22"/>
          <w:lang w:val="sr-Latn-ME"/>
        </w:rPr>
        <w:t xml:space="preserve"> 750 mg</w:t>
      </w:r>
    </w:p>
    <w:p w14:paraId="1AD1E131" w14:textId="27ECE9CA" w:rsidR="00844301" w:rsidRPr="00922EC7" w:rsidRDefault="00844301" w:rsidP="00844301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Jedna tableta sa produženim oslobađanjem sadrži 750 mg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191CDC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hidrohlorida</w:t>
      </w:r>
      <w:proofErr w:type="spellEnd"/>
      <w:r w:rsidRPr="00922EC7">
        <w:rPr>
          <w:szCs w:val="22"/>
          <w:lang w:val="sr-Latn-ME"/>
        </w:rPr>
        <w:t>.</w:t>
      </w:r>
    </w:p>
    <w:p w14:paraId="5F0B90A4" w14:textId="77777777" w:rsidR="00844301" w:rsidRPr="00922EC7" w:rsidRDefault="00844301" w:rsidP="00923865">
      <w:pPr>
        <w:rPr>
          <w:i/>
          <w:szCs w:val="22"/>
          <w:lang w:val="sr-Latn-ME"/>
        </w:rPr>
      </w:pPr>
    </w:p>
    <w:p w14:paraId="054D2A97" w14:textId="60D8D535" w:rsidR="00844301" w:rsidRPr="00922EC7" w:rsidRDefault="00844301" w:rsidP="00844301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</w:t>
      </w:r>
      <w:r w:rsidR="008A630B" w:rsidRPr="00922EC7">
        <w:rPr>
          <w:i/>
          <w:szCs w:val="22"/>
          <w:lang w:val="sr-Latn-ME"/>
        </w:rPr>
        <w:t>,</w:t>
      </w:r>
      <w:r w:rsidRPr="00922EC7">
        <w:rPr>
          <w:i/>
          <w:szCs w:val="22"/>
          <w:lang w:val="sr-Latn-ME"/>
        </w:rPr>
        <w:t xml:space="preserve"> 1000 mg</w:t>
      </w:r>
    </w:p>
    <w:p w14:paraId="7C679521" w14:textId="7813F3DE" w:rsidR="00844301" w:rsidRPr="00922EC7" w:rsidRDefault="00844301" w:rsidP="00844301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Jedna tableta sa produženim oslobađanjem sadrži 1000 mg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191CDC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hidrohlorida</w:t>
      </w:r>
      <w:proofErr w:type="spellEnd"/>
      <w:r w:rsidRPr="00922EC7">
        <w:rPr>
          <w:szCs w:val="22"/>
          <w:lang w:val="sr-Latn-ME"/>
        </w:rPr>
        <w:t>.</w:t>
      </w:r>
    </w:p>
    <w:p w14:paraId="1906B9EA" w14:textId="18784B5B" w:rsidR="00CE09F3" w:rsidRPr="00922EC7" w:rsidRDefault="00CE09F3" w:rsidP="00923865">
      <w:pPr>
        <w:rPr>
          <w:szCs w:val="22"/>
          <w:lang w:val="sr-Latn-ME"/>
        </w:rPr>
      </w:pPr>
    </w:p>
    <w:p w14:paraId="60C99969" w14:textId="33520998" w:rsidR="00844301" w:rsidRPr="00922EC7" w:rsidRDefault="00844301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Za </w:t>
      </w:r>
      <w:r w:rsidR="00FF41AD" w:rsidRPr="00922EC7">
        <w:rPr>
          <w:szCs w:val="22"/>
          <w:lang w:val="sr-Latn-ME"/>
        </w:rPr>
        <w:t xml:space="preserve">spisak svih </w:t>
      </w:r>
      <w:proofErr w:type="spellStart"/>
      <w:r w:rsidR="00FF41AD" w:rsidRPr="00922EC7">
        <w:rPr>
          <w:szCs w:val="22"/>
          <w:lang w:val="sr-Latn-ME"/>
        </w:rPr>
        <w:t>ekscipijenasa</w:t>
      </w:r>
      <w:proofErr w:type="spellEnd"/>
      <w:r w:rsidR="00FF41AD" w:rsidRPr="00922EC7">
        <w:rPr>
          <w:szCs w:val="22"/>
          <w:lang w:val="sr-Latn-ME"/>
        </w:rPr>
        <w:t>,</w:t>
      </w:r>
      <w:r w:rsidR="00FF41AD" w:rsidRPr="00922EC7" w:rsidDel="00FF41AD">
        <w:rPr>
          <w:szCs w:val="22"/>
          <w:lang w:val="sr-Latn-ME"/>
        </w:rPr>
        <w:t xml:space="preserve"> </w:t>
      </w:r>
      <w:r w:rsidR="00401B5D" w:rsidRPr="00922EC7">
        <w:rPr>
          <w:szCs w:val="22"/>
          <w:lang w:val="sr-Latn-ME"/>
        </w:rPr>
        <w:t>pogledati dio</w:t>
      </w:r>
      <w:r w:rsidRPr="00922EC7">
        <w:rPr>
          <w:szCs w:val="22"/>
          <w:lang w:val="sr-Latn-ME"/>
        </w:rPr>
        <w:t xml:space="preserve"> 6.1.</w:t>
      </w:r>
    </w:p>
    <w:p w14:paraId="3A871FD8" w14:textId="020DCF78" w:rsidR="00844301" w:rsidRPr="00922EC7" w:rsidRDefault="00844301">
      <w:pPr>
        <w:rPr>
          <w:szCs w:val="22"/>
          <w:lang w:val="sr-Latn-ME"/>
        </w:rPr>
      </w:pPr>
    </w:p>
    <w:p w14:paraId="66DCF267" w14:textId="77777777" w:rsidR="00FF41AD" w:rsidRPr="00922EC7" w:rsidRDefault="00FF41AD">
      <w:pPr>
        <w:rPr>
          <w:szCs w:val="22"/>
          <w:lang w:val="sr-Latn-ME"/>
        </w:rPr>
      </w:pPr>
    </w:p>
    <w:p w14:paraId="3BBA5380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3. </w:t>
      </w:r>
      <w:r w:rsidRPr="00922EC7">
        <w:rPr>
          <w:b/>
          <w:bCs/>
          <w:szCs w:val="22"/>
          <w:lang w:val="sr-Latn-ME"/>
        </w:rPr>
        <w:tab/>
        <w:t xml:space="preserve">FARMACEUTSKI OBLIK </w:t>
      </w:r>
    </w:p>
    <w:p w14:paraId="714447B2" w14:textId="77777777" w:rsidR="00FF41AD" w:rsidRPr="00922EC7" w:rsidRDefault="00FF41AD">
      <w:pPr>
        <w:rPr>
          <w:szCs w:val="22"/>
          <w:lang w:val="sr-Latn-ME"/>
        </w:rPr>
      </w:pPr>
    </w:p>
    <w:p w14:paraId="0BDB284E" w14:textId="574AF275" w:rsidR="00844301" w:rsidRPr="00922EC7" w:rsidRDefault="00844301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>Tableta sa produženim oslobađanjem.</w:t>
      </w:r>
    </w:p>
    <w:p w14:paraId="0C05057E" w14:textId="77777777" w:rsidR="00844301" w:rsidRPr="00922EC7" w:rsidRDefault="00844301">
      <w:pPr>
        <w:rPr>
          <w:i/>
          <w:szCs w:val="22"/>
          <w:lang w:val="sr-Latn-ME"/>
        </w:rPr>
      </w:pPr>
    </w:p>
    <w:p w14:paraId="016E5F96" w14:textId="136C79EF" w:rsidR="00844301" w:rsidRPr="00922EC7" w:rsidRDefault="00844301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</w:t>
      </w:r>
      <w:r w:rsidR="00953BC8" w:rsidRPr="00922EC7">
        <w:rPr>
          <w:i/>
          <w:szCs w:val="22"/>
          <w:lang w:val="sr-Latn-ME"/>
        </w:rPr>
        <w:t>,</w:t>
      </w:r>
      <w:r w:rsidRPr="00922EC7">
        <w:rPr>
          <w:i/>
          <w:szCs w:val="22"/>
          <w:lang w:val="sr-Latn-ME"/>
        </w:rPr>
        <w:t xml:space="preserve"> 500 mg</w:t>
      </w:r>
    </w:p>
    <w:p w14:paraId="1906B9EC" w14:textId="30E2DF51" w:rsidR="00CE09F3" w:rsidRPr="00922EC7" w:rsidRDefault="00844301">
      <w:pPr>
        <w:rPr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>B</w:t>
      </w:r>
      <w:r w:rsidR="00191CDC" w:rsidRPr="00922EC7">
        <w:rPr>
          <w:color w:val="000000"/>
          <w:szCs w:val="22"/>
          <w:lang w:val="sr-Latn-ME"/>
        </w:rPr>
        <w:t>ij</w:t>
      </w:r>
      <w:r w:rsidRPr="00922EC7">
        <w:rPr>
          <w:color w:val="000000"/>
          <w:szCs w:val="22"/>
          <w:lang w:val="sr-Latn-ME"/>
        </w:rPr>
        <w:t>ela do skoro b</w:t>
      </w:r>
      <w:r w:rsidR="00191CDC" w:rsidRPr="00922EC7">
        <w:rPr>
          <w:color w:val="000000"/>
          <w:szCs w:val="22"/>
          <w:lang w:val="sr-Latn-ME"/>
        </w:rPr>
        <w:t>ij</w:t>
      </w:r>
      <w:r w:rsidRPr="00922EC7">
        <w:rPr>
          <w:color w:val="000000"/>
          <w:szCs w:val="22"/>
          <w:lang w:val="sr-Latn-ME"/>
        </w:rPr>
        <w:t xml:space="preserve">ela, okrugla, </w:t>
      </w:r>
      <w:proofErr w:type="spellStart"/>
      <w:r w:rsidR="003662E7" w:rsidRPr="00922EC7">
        <w:rPr>
          <w:color w:val="000000"/>
          <w:szCs w:val="22"/>
          <w:lang w:val="sr-Latn-ME"/>
        </w:rPr>
        <w:t>bikonveksna</w:t>
      </w:r>
      <w:proofErr w:type="spellEnd"/>
      <w:r w:rsidRPr="00922EC7">
        <w:rPr>
          <w:color w:val="000000"/>
          <w:szCs w:val="22"/>
          <w:lang w:val="sr-Latn-ME"/>
        </w:rPr>
        <w:t xml:space="preserve"> tableta, sa utisnutom oznakom “</w:t>
      </w:r>
      <w:r w:rsidR="003662E7" w:rsidRPr="00922EC7">
        <w:rPr>
          <w:color w:val="000000"/>
          <w:szCs w:val="22"/>
          <w:lang w:val="sr-Latn-ME"/>
        </w:rPr>
        <w:t>500</w:t>
      </w:r>
      <w:r w:rsidRPr="00922EC7">
        <w:rPr>
          <w:color w:val="000000"/>
          <w:szCs w:val="22"/>
          <w:lang w:val="sr-Latn-ME"/>
        </w:rPr>
        <w:t>” na jednoj strani</w:t>
      </w:r>
      <w:r w:rsidR="003662E7" w:rsidRPr="00922EC7">
        <w:rPr>
          <w:color w:val="000000"/>
          <w:szCs w:val="22"/>
          <w:lang w:val="sr-Latn-ME"/>
        </w:rPr>
        <w:t xml:space="preserve"> a na drugoj strani ravn</w:t>
      </w:r>
      <w:r w:rsidR="00FF41AD" w:rsidRPr="00922EC7">
        <w:rPr>
          <w:color w:val="000000"/>
          <w:szCs w:val="22"/>
          <w:lang w:val="sr-Latn-ME"/>
        </w:rPr>
        <w:t>a</w:t>
      </w:r>
      <w:r w:rsidR="003662E7" w:rsidRPr="00922EC7">
        <w:rPr>
          <w:color w:val="000000"/>
          <w:szCs w:val="22"/>
          <w:lang w:val="sr-Latn-ME"/>
        </w:rPr>
        <w:t>.</w:t>
      </w:r>
      <w:r w:rsidRPr="00922EC7">
        <w:rPr>
          <w:color w:val="000000"/>
          <w:szCs w:val="22"/>
          <w:lang w:val="sr-Latn-ME"/>
        </w:rPr>
        <w:t xml:space="preserve"> </w:t>
      </w:r>
      <w:r w:rsidR="00922EC7" w:rsidRPr="00922EC7">
        <w:rPr>
          <w:color w:val="000000"/>
          <w:szCs w:val="22"/>
          <w:lang w:val="sr-Latn-ME"/>
        </w:rPr>
        <w:t>Tableta</w:t>
      </w:r>
      <w:r w:rsidR="003662E7" w:rsidRPr="00922EC7">
        <w:rPr>
          <w:color w:val="000000"/>
          <w:szCs w:val="22"/>
          <w:lang w:val="sr-Latn-ME"/>
        </w:rPr>
        <w:t xml:space="preserve"> </w:t>
      </w:r>
      <w:r w:rsidR="00922EC7" w:rsidRPr="00922EC7">
        <w:rPr>
          <w:color w:val="000000"/>
          <w:szCs w:val="22"/>
          <w:lang w:val="sr-Latn-ME"/>
        </w:rPr>
        <w:t>je</w:t>
      </w:r>
      <w:r w:rsidR="003662E7" w:rsidRPr="00922EC7">
        <w:rPr>
          <w:color w:val="000000"/>
          <w:szCs w:val="22"/>
          <w:lang w:val="sr-Latn-ME"/>
        </w:rPr>
        <w:t xml:space="preserve"> prečnika približno 12,15 mm.</w:t>
      </w:r>
    </w:p>
    <w:p w14:paraId="1906B9ED" w14:textId="579D89AD" w:rsidR="00CE09F3" w:rsidRPr="00922EC7" w:rsidRDefault="00CE09F3">
      <w:pPr>
        <w:rPr>
          <w:szCs w:val="22"/>
          <w:lang w:val="sr-Latn-ME"/>
        </w:rPr>
      </w:pPr>
    </w:p>
    <w:p w14:paraId="6E94FF4E" w14:textId="3B853381" w:rsidR="00844301" w:rsidRPr="00922EC7" w:rsidRDefault="00844301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</w:t>
      </w:r>
      <w:r w:rsidR="00953BC8" w:rsidRPr="00922EC7">
        <w:rPr>
          <w:i/>
          <w:szCs w:val="22"/>
          <w:lang w:val="sr-Latn-ME"/>
        </w:rPr>
        <w:t>,</w:t>
      </w:r>
      <w:r w:rsidRPr="00922EC7">
        <w:rPr>
          <w:i/>
          <w:szCs w:val="22"/>
          <w:lang w:val="sr-Latn-ME"/>
        </w:rPr>
        <w:t xml:space="preserve"> 750 mg</w:t>
      </w:r>
    </w:p>
    <w:p w14:paraId="45BC4580" w14:textId="6E00A6E6" w:rsidR="00844301" w:rsidRPr="00922EC7" w:rsidRDefault="00844301">
      <w:pPr>
        <w:rPr>
          <w:color w:val="000000"/>
          <w:szCs w:val="22"/>
          <w:lang w:val="sr-Latn-ME"/>
        </w:rPr>
      </w:pPr>
      <w:bookmarkStart w:id="1" w:name="_Hlk104450611"/>
      <w:r w:rsidRPr="00922EC7">
        <w:rPr>
          <w:color w:val="000000"/>
          <w:szCs w:val="22"/>
          <w:lang w:val="sr-Latn-ME"/>
        </w:rPr>
        <w:t>B</w:t>
      </w:r>
      <w:r w:rsidR="00191CDC" w:rsidRPr="00922EC7">
        <w:rPr>
          <w:color w:val="000000"/>
          <w:szCs w:val="22"/>
          <w:lang w:val="sr-Latn-ME"/>
        </w:rPr>
        <w:t>ij</w:t>
      </w:r>
      <w:r w:rsidRPr="00922EC7">
        <w:rPr>
          <w:color w:val="000000"/>
          <w:szCs w:val="22"/>
          <w:lang w:val="sr-Latn-ME"/>
        </w:rPr>
        <w:t>ela do skoro b</w:t>
      </w:r>
      <w:r w:rsidR="00191CDC" w:rsidRPr="00922EC7">
        <w:rPr>
          <w:color w:val="000000"/>
          <w:szCs w:val="22"/>
          <w:lang w:val="sr-Latn-ME"/>
        </w:rPr>
        <w:t>ij</w:t>
      </w:r>
      <w:r w:rsidRPr="00922EC7">
        <w:rPr>
          <w:color w:val="000000"/>
          <w:szCs w:val="22"/>
          <w:lang w:val="sr-Latn-ME"/>
        </w:rPr>
        <w:t>ela</w:t>
      </w:r>
      <w:r w:rsidR="000519F4" w:rsidRPr="00922EC7">
        <w:rPr>
          <w:color w:val="000000"/>
          <w:szCs w:val="22"/>
          <w:lang w:val="sr-Latn-ME"/>
        </w:rPr>
        <w:t>,</w:t>
      </w:r>
      <w:r w:rsidR="003662E7" w:rsidRPr="00922EC7">
        <w:rPr>
          <w:color w:val="000000"/>
          <w:szCs w:val="22"/>
          <w:lang w:val="sr-Latn-ME"/>
        </w:rPr>
        <w:t xml:space="preserve"> </w:t>
      </w:r>
      <w:proofErr w:type="spellStart"/>
      <w:r w:rsidR="003662E7" w:rsidRPr="00922EC7">
        <w:rPr>
          <w:color w:val="000000"/>
          <w:szCs w:val="22"/>
          <w:lang w:val="sr-Latn-ME"/>
        </w:rPr>
        <w:t>bikonveksna</w:t>
      </w:r>
      <w:proofErr w:type="spellEnd"/>
      <w:r w:rsidR="000519F4" w:rsidRPr="00922EC7">
        <w:rPr>
          <w:color w:val="000000"/>
          <w:szCs w:val="22"/>
          <w:lang w:val="sr-Latn-ME"/>
        </w:rPr>
        <w:t xml:space="preserve"> tableta</w:t>
      </w:r>
      <w:r w:rsidR="003662E7" w:rsidRPr="00922EC7">
        <w:rPr>
          <w:color w:val="000000"/>
          <w:szCs w:val="22"/>
          <w:lang w:val="sr-Latn-ME"/>
        </w:rPr>
        <w:t xml:space="preserve"> </w:t>
      </w:r>
      <w:r w:rsidRPr="00922EC7">
        <w:rPr>
          <w:color w:val="000000"/>
          <w:szCs w:val="22"/>
          <w:lang w:val="sr-Latn-ME"/>
        </w:rPr>
        <w:t>oblik</w:t>
      </w:r>
      <w:r w:rsidR="000519F4" w:rsidRPr="00922EC7">
        <w:rPr>
          <w:color w:val="000000"/>
          <w:szCs w:val="22"/>
          <w:lang w:val="sr-Latn-ME"/>
        </w:rPr>
        <w:t>a</w:t>
      </w:r>
      <w:r w:rsidRPr="00922EC7">
        <w:rPr>
          <w:color w:val="000000"/>
          <w:szCs w:val="22"/>
          <w:lang w:val="sr-Latn-ME"/>
        </w:rPr>
        <w:t xml:space="preserve"> kapsule, sa utisnutom oznakom “</w:t>
      </w:r>
      <w:r w:rsidR="003662E7" w:rsidRPr="00922EC7">
        <w:rPr>
          <w:color w:val="000000"/>
          <w:szCs w:val="22"/>
          <w:lang w:val="sr-Latn-ME"/>
        </w:rPr>
        <w:t>750</w:t>
      </w:r>
      <w:r w:rsidRPr="00922EC7">
        <w:rPr>
          <w:color w:val="000000"/>
          <w:szCs w:val="22"/>
          <w:lang w:val="sr-Latn-ME"/>
        </w:rPr>
        <w:t xml:space="preserve">” na jednoj strani </w:t>
      </w:r>
      <w:r w:rsidR="003662E7" w:rsidRPr="00922EC7">
        <w:rPr>
          <w:color w:val="000000"/>
          <w:szCs w:val="22"/>
          <w:lang w:val="sr-Latn-ME"/>
        </w:rPr>
        <w:t>a na drugoj strani ravn</w:t>
      </w:r>
      <w:r w:rsidR="000519F4" w:rsidRPr="00922EC7">
        <w:rPr>
          <w:color w:val="000000"/>
          <w:szCs w:val="22"/>
          <w:lang w:val="sr-Latn-ME"/>
        </w:rPr>
        <w:t>a</w:t>
      </w:r>
      <w:r w:rsidR="003662E7" w:rsidRPr="00922EC7">
        <w:rPr>
          <w:color w:val="000000"/>
          <w:szCs w:val="22"/>
          <w:lang w:val="sr-Latn-ME"/>
        </w:rPr>
        <w:t>.</w:t>
      </w:r>
      <w:r w:rsidR="000519F4" w:rsidRPr="00922EC7">
        <w:rPr>
          <w:color w:val="000000"/>
          <w:szCs w:val="22"/>
          <w:lang w:val="sr-Latn-ME"/>
        </w:rPr>
        <w:t xml:space="preserve"> Dimenzija tablete</w:t>
      </w:r>
      <w:r w:rsidR="003662E7" w:rsidRPr="00922EC7">
        <w:rPr>
          <w:color w:val="000000"/>
          <w:szCs w:val="22"/>
          <w:lang w:val="sr-Latn-ME"/>
        </w:rPr>
        <w:t xml:space="preserve"> </w:t>
      </w:r>
      <w:r w:rsidR="000519F4" w:rsidRPr="00922EC7">
        <w:rPr>
          <w:color w:val="000000"/>
          <w:szCs w:val="22"/>
          <w:lang w:val="sr-Latn-ME"/>
        </w:rPr>
        <w:t>je</w:t>
      </w:r>
      <w:r w:rsidR="003662E7" w:rsidRPr="00922EC7">
        <w:rPr>
          <w:color w:val="000000"/>
          <w:szCs w:val="22"/>
          <w:lang w:val="sr-Latn-ME"/>
        </w:rPr>
        <w:t xml:space="preserve"> približno 20,0 mm </w:t>
      </w:r>
      <w:r w:rsidR="000519F4" w:rsidRPr="00922EC7">
        <w:rPr>
          <w:color w:val="000000"/>
          <w:szCs w:val="22"/>
          <w:lang w:val="sr-Latn-ME"/>
        </w:rPr>
        <w:t>x</w:t>
      </w:r>
      <w:r w:rsidR="003662E7" w:rsidRPr="00922EC7">
        <w:rPr>
          <w:color w:val="000000"/>
          <w:szCs w:val="22"/>
          <w:lang w:val="sr-Latn-ME"/>
        </w:rPr>
        <w:t xml:space="preserve"> 9,6 mm.</w:t>
      </w:r>
    </w:p>
    <w:bookmarkEnd w:id="1"/>
    <w:p w14:paraId="5AD05B18" w14:textId="77777777" w:rsidR="003662E7" w:rsidRPr="00922EC7" w:rsidRDefault="003662E7">
      <w:pPr>
        <w:rPr>
          <w:color w:val="000000"/>
          <w:szCs w:val="22"/>
          <w:lang w:val="sr-Latn-ME"/>
        </w:rPr>
      </w:pPr>
    </w:p>
    <w:p w14:paraId="70B72083" w14:textId="4EE7901F" w:rsidR="00844301" w:rsidRPr="00922EC7" w:rsidRDefault="00844301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</w:t>
      </w:r>
      <w:r w:rsidR="00953BC8" w:rsidRPr="00922EC7">
        <w:rPr>
          <w:i/>
          <w:szCs w:val="22"/>
          <w:lang w:val="sr-Latn-ME"/>
        </w:rPr>
        <w:t>,</w:t>
      </w:r>
      <w:r w:rsidRPr="00922EC7">
        <w:rPr>
          <w:i/>
          <w:szCs w:val="22"/>
          <w:lang w:val="sr-Latn-ME"/>
        </w:rPr>
        <w:t xml:space="preserve"> 1000 mg</w:t>
      </w:r>
    </w:p>
    <w:p w14:paraId="43B12372" w14:textId="03090B82" w:rsidR="003662E7" w:rsidRPr="00922EC7" w:rsidRDefault="003662E7">
      <w:p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>Bijela do skoro bijela</w:t>
      </w:r>
      <w:r w:rsidR="000519F4" w:rsidRPr="00922EC7">
        <w:rPr>
          <w:color w:val="000000"/>
          <w:szCs w:val="22"/>
          <w:lang w:val="sr-Latn-ME"/>
        </w:rPr>
        <w:t>,</w:t>
      </w:r>
      <w:r w:rsidRPr="00922EC7">
        <w:rPr>
          <w:color w:val="000000"/>
          <w:szCs w:val="22"/>
          <w:lang w:val="sr-Latn-ME"/>
        </w:rPr>
        <w:t xml:space="preserve"> </w:t>
      </w:r>
      <w:proofErr w:type="spellStart"/>
      <w:r w:rsidRPr="00922EC7">
        <w:rPr>
          <w:color w:val="000000"/>
          <w:szCs w:val="22"/>
          <w:lang w:val="sr-Latn-ME"/>
        </w:rPr>
        <w:t>bikonveksna</w:t>
      </w:r>
      <w:proofErr w:type="spellEnd"/>
      <w:r w:rsidR="000519F4" w:rsidRPr="00922EC7">
        <w:rPr>
          <w:color w:val="000000"/>
          <w:szCs w:val="22"/>
          <w:lang w:val="sr-Latn-ME"/>
        </w:rPr>
        <w:t xml:space="preserve"> tableta</w:t>
      </w:r>
      <w:r w:rsidRPr="00922EC7">
        <w:rPr>
          <w:color w:val="000000"/>
          <w:szCs w:val="22"/>
          <w:lang w:val="sr-Latn-ME"/>
        </w:rPr>
        <w:t xml:space="preserve"> oblik</w:t>
      </w:r>
      <w:r w:rsidR="000519F4" w:rsidRPr="00922EC7">
        <w:rPr>
          <w:color w:val="000000"/>
          <w:szCs w:val="22"/>
          <w:lang w:val="sr-Latn-ME"/>
        </w:rPr>
        <w:t>a</w:t>
      </w:r>
      <w:r w:rsidRPr="00922EC7">
        <w:rPr>
          <w:color w:val="000000"/>
          <w:szCs w:val="22"/>
          <w:lang w:val="sr-Latn-ME"/>
        </w:rPr>
        <w:t xml:space="preserve"> kapsule, sa utisnutom oznakom “1000” na jednoj strani a na drugoj strani ravn</w:t>
      </w:r>
      <w:r w:rsidR="000519F4" w:rsidRPr="00922EC7">
        <w:rPr>
          <w:color w:val="000000"/>
          <w:szCs w:val="22"/>
          <w:lang w:val="sr-Latn-ME"/>
        </w:rPr>
        <w:t>a</w:t>
      </w:r>
      <w:r w:rsidRPr="00922EC7">
        <w:rPr>
          <w:color w:val="000000"/>
          <w:szCs w:val="22"/>
          <w:lang w:val="sr-Latn-ME"/>
        </w:rPr>
        <w:t>.</w:t>
      </w:r>
      <w:r w:rsidR="000519F4" w:rsidRPr="00922EC7">
        <w:rPr>
          <w:color w:val="000000"/>
          <w:szCs w:val="22"/>
          <w:lang w:val="sr-Latn-ME"/>
        </w:rPr>
        <w:t xml:space="preserve"> Dimenzija tablete je približno </w:t>
      </w:r>
      <w:r w:rsidRPr="00922EC7">
        <w:rPr>
          <w:color w:val="000000"/>
          <w:szCs w:val="22"/>
          <w:lang w:val="sr-Latn-ME"/>
        </w:rPr>
        <w:t xml:space="preserve">22,6 mm </w:t>
      </w:r>
      <w:r w:rsidR="000519F4" w:rsidRPr="00922EC7">
        <w:rPr>
          <w:color w:val="000000"/>
          <w:szCs w:val="22"/>
          <w:lang w:val="sr-Latn-ME"/>
        </w:rPr>
        <w:t>x</w:t>
      </w:r>
      <w:r w:rsidRPr="00922EC7">
        <w:rPr>
          <w:color w:val="000000"/>
          <w:szCs w:val="22"/>
          <w:lang w:val="sr-Latn-ME"/>
        </w:rPr>
        <w:t xml:space="preserve"> 10,6 mm.</w:t>
      </w:r>
    </w:p>
    <w:p w14:paraId="72C1E51D" w14:textId="4B9AAF01" w:rsidR="00844301" w:rsidRPr="00922EC7" w:rsidRDefault="00844301">
      <w:pPr>
        <w:rPr>
          <w:szCs w:val="22"/>
          <w:lang w:val="sr-Latn-ME"/>
        </w:rPr>
      </w:pPr>
    </w:p>
    <w:p w14:paraId="083897DA" w14:textId="77777777" w:rsidR="000519F4" w:rsidRPr="00922EC7" w:rsidRDefault="000519F4">
      <w:pPr>
        <w:rPr>
          <w:szCs w:val="22"/>
          <w:lang w:val="sr-Latn-ME"/>
        </w:rPr>
      </w:pPr>
    </w:p>
    <w:p w14:paraId="2FCF6427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 </w:t>
      </w:r>
      <w:r w:rsidRPr="00922EC7">
        <w:rPr>
          <w:b/>
          <w:bCs/>
          <w:szCs w:val="22"/>
          <w:lang w:val="sr-Latn-ME"/>
        </w:rPr>
        <w:tab/>
        <w:t>KLINIČKI PODACI</w:t>
      </w:r>
    </w:p>
    <w:p w14:paraId="50B4BE38" w14:textId="77777777" w:rsidR="000519F4" w:rsidRPr="00922EC7" w:rsidRDefault="000519F4" w:rsidP="000519F4">
      <w:pPr>
        <w:tabs>
          <w:tab w:val="left" w:pos="540"/>
          <w:tab w:val="left" w:pos="569"/>
        </w:tabs>
        <w:rPr>
          <w:szCs w:val="22"/>
          <w:lang w:val="sr-Latn-ME"/>
        </w:rPr>
      </w:pPr>
    </w:p>
    <w:p w14:paraId="639316E2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4.1. </w:t>
      </w:r>
      <w:r w:rsidRPr="00922EC7">
        <w:rPr>
          <w:b/>
          <w:bCs/>
          <w:szCs w:val="22"/>
          <w:lang w:val="sr-Latn-ME"/>
        </w:rPr>
        <w:tab/>
        <w:t>Terapijske indikacije</w:t>
      </w:r>
    </w:p>
    <w:p w14:paraId="1906B9F0" w14:textId="77777777" w:rsidR="00CE09F3" w:rsidRPr="00922EC7" w:rsidRDefault="00CE09F3">
      <w:pPr>
        <w:rPr>
          <w:szCs w:val="22"/>
          <w:lang w:val="sr-Latn-ME"/>
        </w:rPr>
      </w:pPr>
    </w:p>
    <w:p w14:paraId="636BB9F1" w14:textId="77777777" w:rsidR="00465F11" w:rsidRPr="00922EC7" w:rsidRDefault="00465F11">
      <w:pPr>
        <w:pStyle w:val="ListParagraph"/>
        <w:tabs>
          <w:tab w:val="clear" w:pos="284"/>
        </w:tabs>
        <w:autoSpaceDE w:val="0"/>
        <w:autoSpaceDN w:val="0"/>
        <w:adjustRightInd w:val="0"/>
        <w:ind w:left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Terapija dijabetes </w:t>
      </w:r>
      <w:proofErr w:type="spellStart"/>
      <w:r w:rsidRPr="00922EC7">
        <w:rPr>
          <w:szCs w:val="22"/>
          <w:lang w:val="sr-Latn-ME"/>
        </w:rPr>
        <w:t>melitusa</w:t>
      </w:r>
      <w:proofErr w:type="spellEnd"/>
      <w:r w:rsidRPr="00922EC7">
        <w:rPr>
          <w:szCs w:val="22"/>
          <w:lang w:val="sr-Latn-ME"/>
        </w:rPr>
        <w:t xml:space="preserve"> tip 2 kod odraslih, naročito kod pacijenata koji su gojazni i kod kojih se odgovarajuća kontrola </w:t>
      </w:r>
      <w:proofErr w:type="spellStart"/>
      <w:r w:rsidRPr="00922EC7">
        <w:rPr>
          <w:szCs w:val="22"/>
          <w:lang w:val="sr-Latn-ME"/>
        </w:rPr>
        <w:t>glikemije</w:t>
      </w:r>
      <w:proofErr w:type="spellEnd"/>
      <w:r w:rsidRPr="00922EC7">
        <w:rPr>
          <w:szCs w:val="22"/>
          <w:lang w:val="sr-Latn-ME"/>
        </w:rPr>
        <w:t xml:space="preserve"> ne može postići samo dijetetskim režimom ishrane i fizičkom aktivnošću. </w:t>
      </w:r>
    </w:p>
    <w:p w14:paraId="36C93036" w14:textId="3BEC37F3" w:rsidR="00465F11" w:rsidRPr="00922EC7" w:rsidRDefault="00465F11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L</w:t>
      </w:r>
      <w:r w:rsidR="00401B5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ek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može se koristi</w:t>
      </w:r>
      <w:r w:rsidR="00734B30" w:rsidRPr="00922EC7">
        <w:rPr>
          <w:szCs w:val="22"/>
          <w:lang w:val="sr-Latn-ME"/>
        </w:rPr>
        <w:t>ti</w:t>
      </w:r>
      <w:r w:rsidRPr="00922EC7">
        <w:rPr>
          <w:szCs w:val="22"/>
          <w:lang w:val="sr-Latn-ME"/>
        </w:rPr>
        <w:t xml:space="preserve"> kao </w:t>
      </w:r>
      <w:proofErr w:type="spellStart"/>
      <w:r w:rsidRPr="00922EC7">
        <w:rPr>
          <w:szCs w:val="22"/>
          <w:lang w:val="sr-Latn-ME"/>
        </w:rPr>
        <w:t>monoterapija</w:t>
      </w:r>
      <w:proofErr w:type="spellEnd"/>
      <w:r w:rsidRPr="00922EC7">
        <w:rPr>
          <w:szCs w:val="22"/>
          <w:lang w:val="sr-Latn-ME"/>
        </w:rPr>
        <w:t xml:space="preserve"> ili u kombinaciji sa drugim oralnim </w:t>
      </w:r>
      <w:proofErr w:type="spellStart"/>
      <w:r w:rsidRPr="00922EC7">
        <w:rPr>
          <w:szCs w:val="22"/>
          <w:lang w:val="sr-Latn-ME"/>
        </w:rPr>
        <w:t>antidijabeticima</w:t>
      </w:r>
      <w:proofErr w:type="spellEnd"/>
      <w:r w:rsidRPr="00922EC7">
        <w:rPr>
          <w:szCs w:val="22"/>
          <w:lang w:val="sr-Latn-ME"/>
        </w:rPr>
        <w:t xml:space="preserve"> ili sa insulinom.</w:t>
      </w:r>
    </w:p>
    <w:p w14:paraId="5F4B6367" w14:textId="77777777" w:rsidR="00465F11" w:rsidRPr="00922EC7" w:rsidRDefault="00465F11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A3153D0" w14:textId="341790FA" w:rsidR="00465F11" w:rsidRPr="00922EC7" w:rsidRDefault="00465F11">
      <w:pPr>
        <w:pStyle w:val="ListParagraph"/>
        <w:tabs>
          <w:tab w:val="clear" w:pos="284"/>
        </w:tabs>
        <w:autoSpaceDE w:val="0"/>
        <w:autoSpaceDN w:val="0"/>
        <w:adjustRightInd w:val="0"/>
        <w:ind w:left="0"/>
        <w:rPr>
          <w:szCs w:val="22"/>
          <w:lang w:val="sr-Latn-ME"/>
        </w:rPr>
      </w:pPr>
      <w:r w:rsidRPr="00922EC7">
        <w:rPr>
          <w:szCs w:val="22"/>
          <w:lang w:val="sr-Latn-ME"/>
        </w:rPr>
        <w:t>Smanjenje komplikacija dijabetesa kod odraslih gojaznih pacijenata je prim</w:t>
      </w:r>
      <w:r w:rsidR="00401B5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ećen</w:t>
      </w:r>
      <w:r w:rsidR="008821F0" w:rsidRPr="00922EC7">
        <w:rPr>
          <w:szCs w:val="22"/>
          <w:lang w:val="sr-Latn-ME"/>
        </w:rPr>
        <w:t>o</w:t>
      </w:r>
      <w:r w:rsidRPr="00922EC7">
        <w:rPr>
          <w:szCs w:val="22"/>
          <w:lang w:val="sr-Latn-ME"/>
        </w:rPr>
        <w:t xml:space="preserve"> pri prim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eni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kao terapija prvog izbora kada dijetetske m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ere ne daju adekvatne rezultate (</w:t>
      </w:r>
      <w:r w:rsidR="00B5791B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 xml:space="preserve">dio </w:t>
      </w:r>
      <w:r w:rsidRPr="00922EC7">
        <w:rPr>
          <w:szCs w:val="22"/>
          <w:lang w:val="sr-Latn-ME"/>
        </w:rPr>
        <w:t>5.1).</w:t>
      </w:r>
    </w:p>
    <w:p w14:paraId="4707F0F0" w14:textId="77777777" w:rsidR="00844301" w:rsidRPr="00922EC7" w:rsidRDefault="00844301">
      <w:pPr>
        <w:rPr>
          <w:szCs w:val="22"/>
          <w:lang w:val="sr-Latn-ME"/>
        </w:rPr>
      </w:pPr>
    </w:p>
    <w:p w14:paraId="6EAE3A5E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4.2. </w:t>
      </w:r>
      <w:r w:rsidRPr="00922EC7">
        <w:rPr>
          <w:b/>
          <w:bCs/>
          <w:szCs w:val="22"/>
          <w:lang w:val="sr-Latn-ME"/>
        </w:rPr>
        <w:tab/>
        <w:t>Doziranje i način primjene</w:t>
      </w:r>
    </w:p>
    <w:p w14:paraId="1906B9F3" w14:textId="77777777" w:rsidR="00CE09F3" w:rsidRPr="00922EC7" w:rsidRDefault="00CE09F3">
      <w:pPr>
        <w:rPr>
          <w:szCs w:val="22"/>
          <w:lang w:val="sr-Latn-ME"/>
        </w:rPr>
      </w:pPr>
    </w:p>
    <w:p w14:paraId="1906B9F4" w14:textId="6EBCDDB0" w:rsidR="00CE09F3" w:rsidRPr="00922EC7" w:rsidRDefault="006F1BA7">
      <w:pPr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Doziranje</w:t>
      </w:r>
    </w:p>
    <w:p w14:paraId="5E918AA4" w14:textId="15966232" w:rsidR="006F1BA7" w:rsidRPr="00922EC7" w:rsidRDefault="006F1BA7">
      <w:pPr>
        <w:rPr>
          <w:szCs w:val="22"/>
          <w:lang w:val="sr-Latn-ME"/>
        </w:rPr>
      </w:pPr>
    </w:p>
    <w:p w14:paraId="4541C891" w14:textId="2D568EF7" w:rsidR="006F1BA7" w:rsidRPr="00922EC7" w:rsidRDefault="006F1BA7">
      <w:pPr>
        <w:rPr>
          <w:rFonts w:eastAsia="TimesNewRoman,Italic"/>
          <w:iCs/>
          <w:szCs w:val="22"/>
          <w:u w:val="single"/>
          <w:lang w:val="sr-Latn-ME"/>
        </w:rPr>
      </w:pPr>
      <w:r w:rsidRPr="00922EC7">
        <w:rPr>
          <w:rFonts w:eastAsia="TimesNewRoman,Italic"/>
          <w:iCs/>
          <w:szCs w:val="22"/>
          <w:u w:val="single"/>
          <w:lang w:val="sr-Latn-ME"/>
        </w:rPr>
        <w:t xml:space="preserve">Odrasli sa normalnom bubrežnom funkcijom (GFR </w:t>
      </w:r>
      <w:r w:rsidR="00B1067F" w:rsidRPr="00922EC7">
        <w:rPr>
          <w:rFonts w:eastAsia="TimesNewRoman,Italic"/>
          <w:iCs/>
          <w:szCs w:val="22"/>
          <w:u w:val="single"/>
          <w:lang w:val="sr-Latn-ME"/>
        </w:rPr>
        <w:t xml:space="preserve">- brzina </w:t>
      </w:r>
      <w:proofErr w:type="spellStart"/>
      <w:r w:rsidR="00B1067F" w:rsidRPr="00922EC7">
        <w:rPr>
          <w:rFonts w:eastAsia="TimesNewRoman,Italic"/>
          <w:iCs/>
          <w:szCs w:val="22"/>
          <w:u w:val="single"/>
          <w:lang w:val="sr-Latn-ME"/>
        </w:rPr>
        <w:t>glomerularne</w:t>
      </w:r>
      <w:proofErr w:type="spellEnd"/>
      <w:r w:rsidR="00B1067F" w:rsidRPr="00922EC7">
        <w:rPr>
          <w:rFonts w:eastAsia="TimesNewRoman,Italic"/>
          <w:iCs/>
          <w:szCs w:val="22"/>
          <w:u w:val="single"/>
          <w:lang w:val="sr-Latn-ME"/>
        </w:rPr>
        <w:t xml:space="preserve"> filtracije</w:t>
      </w:r>
      <w:r w:rsidRPr="00922EC7">
        <w:rPr>
          <w:rFonts w:eastAsia="TimesNewRoman,Italic"/>
          <w:iCs/>
          <w:szCs w:val="22"/>
          <w:u w:val="single"/>
          <w:lang w:val="sr-Latn-ME"/>
        </w:rPr>
        <w:t xml:space="preserve"> ≥ 90 m</w:t>
      </w:r>
      <w:r w:rsidR="00B5791B" w:rsidRPr="00922EC7">
        <w:rPr>
          <w:rFonts w:eastAsia="TimesNewRoman,Italic"/>
          <w:iCs/>
          <w:szCs w:val="22"/>
          <w:u w:val="single"/>
          <w:lang w:val="sr-Latn-ME"/>
        </w:rPr>
        <w:t>l</w:t>
      </w:r>
      <w:r w:rsidRPr="00922EC7">
        <w:rPr>
          <w:rFonts w:eastAsia="TimesNewRoman,Italic"/>
          <w:iCs/>
          <w:szCs w:val="22"/>
          <w:u w:val="single"/>
          <w:lang w:val="sr-Latn-ME"/>
        </w:rPr>
        <w:t>/min)</w:t>
      </w:r>
    </w:p>
    <w:p w14:paraId="3122A0B5" w14:textId="4700FA77" w:rsidR="002D65BA" w:rsidRPr="00922EC7" w:rsidRDefault="002D65BA">
      <w:pPr>
        <w:rPr>
          <w:rFonts w:eastAsia="TimesNewRoman,Italic"/>
          <w:i/>
          <w:szCs w:val="22"/>
          <w:lang w:val="sr-Latn-ME"/>
        </w:rPr>
      </w:pPr>
    </w:p>
    <w:p w14:paraId="5B205B2A" w14:textId="53FFB9AE" w:rsidR="00B152F2" w:rsidRPr="00922EC7" w:rsidRDefault="00B152F2">
      <w:pPr>
        <w:rPr>
          <w:rFonts w:eastAsia="TimesNewRoman,Italic"/>
          <w:i/>
          <w:iCs/>
          <w:szCs w:val="22"/>
          <w:lang w:val="sr-Latn-ME"/>
        </w:rPr>
      </w:pPr>
      <w:proofErr w:type="spellStart"/>
      <w:r w:rsidRPr="00922EC7">
        <w:rPr>
          <w:rFonts w:eastAsia="TimesNewRoman,Italic"/>
          <w:i/>
          <w:iCs/>
          <w:szCs w:val="22"/>
          <w:lang w:val="sr-Latn-ME"/>
        </w:rPr>
        <w:t>Monoterapija</w:t>
      </w:r>
      <w:proofErr w:type="spellEnd"/>
      <w:r w:rsidRPr="00922EC7">
        <w:rPr>
          <w:rFonts w:eastAsia="TimesNewRoman,Italic"/>
          <w:i/>
          <w:iCs/>
          <w:szCs w:val="22"/>
          <w:lang w:val="sr-Latn-ME"/>
        </w:rPr>
        <w:t xml:space="preserve"> kod tip 2 dijabetes </w:t>
      </w:r>
      <w:proofErr w:type="spellStart"/>
      <w:r w:rsidRPr="00922EC7">
        <w:rPr>
          <w:rFonts w:eastAsia="TimesNewRoman,Italic"/>
          <w:i/>
          <w:iCs/>
          <w:szCs w:val="22"/>
          <w:lang w:val="sr-Latn-ME"/>
        </w:rPr>
        <w:t>melitusa</w:t>
      </w:r>
      <w:proofErr w:type="spellEnd"/>
      <w:r w:rsidRPr="00922EC7">
        <w:rPr>
          <w:rFonts w:eastAsia="TimesNewRoman,Italic"/>
          <w:i/>
          <w:iCs/>
          <w:szCs w:val="22"/>
          <w:lang w:val="sr-Latn-ME"/>
        </w:rPr>
        <w:t xml:space="preserve"> i kombinacija sa </w:t>
      </w:r>
      <w:r w:rsidR="00561FFF" w:rsidRPr="00922EC7">
        <w:rPr>
          <w:rFonts w:eastAsia="TimesNewRoman,Italic"/>
          <w:i/>
          <w:iCs/>
          <w:szCs w:val="22"/>
          <w:lang w:val="sr-Latn-ME"/>
        </w:rPr>
        <w:t xml:space="preserve">drugim oralnim </w:t>
      </w:r>
      <w:proofErr w:type="spellStart"/>
      <w:r w:rsidR="00561FFF" w:rsidRPr="00922EC7">
        <w:rPr>
          <w:rFonts w:eastAsia="TimesNewRoman,Italic"/>
          <w:i/>
          <w:iCs/>
          <w:szCs w:val="22"/>
          <w:lang w:val="sr-Latn-ME"/>
        </w:rPr>
        <w:t>antidijab</w:t>
      </w:r>
      <w:r w:rsidR="000D0130" w:rsidRPr="00922EC7">
        <w:rPr>
          <w:rFonts w:eastAsia="TimesNewRoman,Italic"/>
          <w:i/>
          <w:iCs/>
          <w:szCs w:val="22"/>
          <w:lang w:val="sr-Latn-ME"/>
        </w:rPr>
        <w:t>e</w:t>
      </w:r>
      <w:r w:rsidR="00561FFF" w:rsidRPr="00922EC7">
        <w:rPr>
          <w:rFonts w:eastAsia="TimesNewRoman,Italic"/>
          <w:i/>
          <w:iCs/>
          <w:szCs w:val="22"/>
          <w:lang w:val="sr-Latn-ME"/>
        </w:rPr>
        <w:t>t</w:t>
      </w:r>
      <w:r w:rsidR="000D0130" w:rsidRPr="00922EC7">
        <w:rPr>
          <w:rFonts w:eastAsia="TimesNewRoman,Italic"/>
          <w:i/>
          <w:iCs/>
          <w:szCs w:val="22"/>
          <w:lang w:val="sr-Latn-ME"/>
        </w:rPr>
        <w:t>i</w:t>
      </w:r>
      <w:r w:rsidR="00561FFF" w:rsidRPr="00922EC7">
        <w:rPr>
          <w:rFonts w:eastAsia="TimesNewRoman,Italic"/>
          <w:i/>
          <w:iCs/>
          <w:szCs w:val="22"/>
          <w:lang w:val="sr-Latn-ME"/>
        </w:rPr>
        <w:t>cima</w:t>
      </w:r>
      <w:proofErr w:type="spellEnd"/>
    </w:p>
    <w:p w14:paraId="6508F7F8" w14:textId="29E82A15" w:rsidR="00B152F2" w:rsidRPr="00922EC7" w:rsidRDefault="00B152F2">
      <w:pPr>
        <w:rPr>
          <w:rFonts w:eastAsia="TimesNewRoman,Italic"/>
          <w:i/>
          <w:iCs/>
          <w:szCs w:val="22"/>
          <w:lang w:val="sr-Latn-ME"/>
        </w:rPr>
      </w:pPr>
    </w:p>
    <w:p w14:paraId="4AA33F5F" w14:textId="69C876F6" w:rsidR="00B152F2" w:rsidRPr="00922EC7" w:rsidRDefault="00B152F2">
      <w:pPr>
        <w:pStyle w:val="ListParagraph"/>
        <w:numPr>
          <w:ilvl w:val="0"/>
          <w:numId w:val="4"/>
        </w:numPr>
        <w:rPr>
          <w:i/>
          <w:szCs w:val="22"/>
          <w:lang w:val="sr-Latn-ME"/>
        </w:rPr>
      </w:pPr>
      <w:r w:rsidRPr="00922EC7">
        <w:rPr>
          <w:szCs w:val="22"/>
          <w:lang w:val="sr-Latn-ME"/>
        </w:rPr>
        <w:t xml:space="preserve">Uobičajena početna doza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 xml:space="preserve">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je jedna tableta jednom dnevno</w:t>
      </w:r>
      <w:r w:rsidR="00182F2C" w:rsidRPr="00922EC7">
        <w:rPr>
          <w:szCs w:val="22"/>
          <w:lang w:val="sr-Latn-ME"/>
        </w:rPr>
        <w:t xml:space="preserve"> od 500 mg</w:t>
      </w:r>
      <w:r w:rsidRPr="00922EC7">
        <w:rPr>
          <w:szCs w:val="22"/>
          <w:lang w:val="sr-Latn-ME"/>
        </w:rPr>
        <w:t xml:space="preserve"> uz večernji obrok.</w:t>
      </w:r>
    </w:p>
    <w:p w14:paraId="79E0A398" w14:textId="2E6DA9AB" w:rsidR="00182F2C" w:rsidRPr="00922EC7" w:rsidRDefault="00182F2C">
      <w:pPr>
        <w:pStyle w:val="ListParagraph"/>
        <w:numPr>
          <w:ilvl w:val="0"/>
          <w:numId w:val="4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Nakon 10 do 15 dana, dozu treba prilagoditi na osnovu izm</w:t>
      </w:r>
      <w:r w:rsidR="0056729B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erenih vr</w:t>
      </w:r>
      <w:r w:rsidR="003D331E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ednosti koncentracije šećera u</w:t>
      </w:r>
      <w:r w:rsidR="00B1067F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krvi. </w:t>
      </w:r>
      <w:proofErr w:type="spellStart"/>
      <w:r w:rsidRPr="00922EC7">
        <w:rPr>
          <w:szCs w:val="22"/>
          <w:lang w:val="sr-Latn-ME"/>
        </w:rPr>
        <w:t>Postepeno</w:t>
      </w:r>
      <w:proofErr w:type="spellEnd"/>
      <w:r w:rsidRPr="00922EC7">
        <w:rPr>
          <w:szCs w:val="22"/>
          <w:lang w:val="sr-Latn-ME"/>
        </w:rPr>
        <w:t xml:space="preserve"> povećavanje doze može povoljno d</w:t>
      </w:r>
      <w:r w:rsidR="003D331E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elovati na gastrointestinalnu </w:t>
      </w:r>
      <w:proofErr w:type="spellStart"/>
      <w:r w:rsidRPr="00922EC7">
        <w:rPr>
          <w:szCs w:val="22"/>
          <w:lang w:val="sr-Latn-ME"/>
        </w:rPr>
        <w:t>podnošljivost</w:t>
      </w:r>
      <w:proofErr w:type="spellEnd"/>
      <w:r w:rsidRPr="00922EC7">
        <w:rPr>
          <w:szCs w:val="22"/>
          <w:lang w:val="sr-Latn-ME"/>
        </w:rPr>
        <w:t>. Maksimalna preporučena doza je 2000 mg dnevno.</w:t>
      </w:r>
    </w:p>
    <w:p w14:paraId="75A43569" w14:textId="57CA79D8" w:rsidR="00182F2C" w:rsidRPr="00922EC7" w:rsidRDefault="00182F2C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Dozu treba povećavati sa 500 mg svakih 10-15 dana, do maksimalno 2000 mg jednom </w:t>
      </w:r>
      <w:r w:rsidR="006D7433" w:rsidRPr="00922EC7">
        <w:rPr>
          <w:szCs w:val="22"/>
          <w:lang w:val="sr-Latn-ME"/>
        </w:rPr>
        <w:t>dnevno</w:t>
      </w:r>
      <w:r w:rsidRPr="00922EC7">
        <w:rPr>
          <w:szCs w:val="22"/>
          <w:lang w:val="sr-Latn-ME"/>
        </w:rPr>
        <w:t>, uz</w:t>
      </w:r>
      <w:r w:rsidR="00B1067F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večernji obrok. Ukoliko se </w:t>
      </w:r>
      <w:proofErr w:type="spellStart"/>
      <w:r w:rsidRPr="00922EC7">
        <w:rPr>
          <w:szCs w:val="22"/>
          <w:lang w:val="sr-Latn-ME"/>
        </w:rPr>
        <w:t>glikemijska</w:t>
      </w:r>
      <w:proofErr w:type="spellEnd"/>
      <w:r w:rsidRPr="00922EC7">
        <w:rPr>
          <w:szCs w:val="22"/>
          <w:lang w:val="sr-Latn-ME"/>
        </w:rPr>
        <w:t xml:space="preserve"> kontrola ne postigne sa 2000 mg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 xml:space="preserve">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dnevno, potrebno je razmotriti uzimanje </w:t>
      </w:r>
      <w:r w:rsidR="006D7433" w:rsidRPr="00922EC7">
        <w:rPr>
          <w:szCs w:val="22"/>
          <w:lang w:val="sr-Latn-ME"/>
        </w:rPr>
        <w:t xml:space="preserve">lijeka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1000 mg dva puta </w:t>
      </w:r>
      <w:r w:rsidR="006D7433" w:rsidRPr="00922EC7">
        <w:rPr>
          <w:szCs w:val="22"/>
          <w:lang w:val="sr-Latn-ME"/>
        </w:rPr>
        <w:t>dnevno</w:t>
      </w:r>
      <w:r w:rsidRPr="00922EC7">
        <w:rPr>
          <w:szCs w:val="22"/>
          <w:lang w:val="sr-Latn-ME"/>
        </w:rPr>
        <w:t>, ob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 doze uz hranu. Ukoliko se </w:t>
      </w:r>
      <w:proofErr w:type="spellStart"/>
      <w:r w:rsidRPr="00922EC7">
        <w:rPr>
          <w:szCs w:val="22"/>
          <w:lang w:val="sr-Latn-ME"/>
        </w:rPr>
        <w:t>glikemijska</w:t>
      </w:r>
      <w:proofErr w:type="spellEnd"/>
      <w:r w:rsidRPr="00922EC7">
        <w:rPr>
          <w:szCs w:val="22"/>
          <w:lang w:val="sr-Latn-ME"/>
        </w:rPr>
        <w:t xml:space="preserve"> kontrola ni tada ne postigne, pacijente treba prebaciti na standardne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tablete </w:t>
      </w:r>
      <w:r w:rsidR="006D7433" w:rsidRPr="00922EC7">
        <w:rPr>
          <w:szCs w:val="22"/>
          <w:lang w:val="sr-Latn-ME"/>
        </w:rPr>
        <w:t xml:space="preserve">sa trenutnim oslobađanjem </w:t>
      </w:r>
      <w:r w:rsidRPr="00922EC7">
        <w:rPr>
          <w:szCs w:val="22"/>
          <w:lang w:val="sr-Latn-ME"/>
        </w:rPr>
        <w:t>od 3000 mg na dan.</w:t>
      </w:r>
    </w:p>
    <w:p w14:paraId="0E540B4D" w14:textId="419489AE" w:rsidR="00182F2C" w:rsidRPr="00922EC7" w:rsidRDefault="00182F2C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Kod pacijenata koji su već uzimali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tablete, uobičajena doza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treba da</w:t>
      </w:r>
      <w:r w:rsidR="00B1067F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bude ekvivalentna dnevnoj dozi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tableta sa trenutnim oslobađanjem. Kod pacijenata koji primaju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u dozi većoj od 2000 mg </w:t>
      </w:r>
      <w:r w:rsidR="006D7433" w:rsidRPr="00922EC7">
        <w:rPr>
          <w:szCs w:val="22"/>
          <w:lang w:val="sr-Latn-ME"/>
        </w:rPr>
        <w:t>dnevno</w:t>
      </w:r>
      <w:r w:rsidRPr="00922EC7">
        <w:rPr>
          <w:szCs w:val="22"/>
          <w:lang w:val="sr-Latn-ME"/>
        </w:rPr>
        <w:t xml:space="preserve">, prelazak na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se ne preporučuje.</w:t>
      </w:r>
    </w:p>
    <w:p w14:paraId="6CD41864" w14:textId="1F7638C7" w:rsidR="00182F2C" w:rsidRPr="00922EC7" w:rsidRDefault="00182F2C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Ukoliko se nam</w:t>
      </w:r>
      <w:r w:rsidR="00F50A23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erava prelazak sa nekog drugog oralnog </w:t>
      </w:r>
      <w:proofErr w:type="spellStart"/>
      <w:r w:rsidRPr="00922EC7">
        <w:rPr>
          <w:szCs w:val="22"/>
          <w:lang w:val="sr-Latn-ME"/>
        </w:rPr>
        <w:t>antidijabetika</w:t>
      </w:r>
      <w:proofErr w:type="spellEnd"/>
      <w:r w:rsidRPr="00922EC7">
        <w:rPr>
          <w:szCs w:val="22"/>
          <w:lang w:val="sr-Latn-ME"/>
        </w:rPr>
        <w:t>, potrebno je prekinuti terapiju</w:t>
      </w:r>
      <w:r w:rsidR="00B1067F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i početi sa </w:t>
      </w:r>
      <w:r w:rsidR="00191CDC" w:rsidRPr="00922EC7">
        <w:rPr>
          <w:szCs w:val="22"/>
          <w:lang w:val="sr-Latn-ME"/>
        </w:rPr>
        <w:t>lijek</w:t>
      </w:r>
      <w:r w:rsidR="00561FFF" w:rsidRPr="00922EC7">
        <w:rPr>
          <w:szCs w:val="22"/>
          <w:lang w:val="sr-Latn-ME"/>
        </w:rPr>
        <w:t xml:space="preserve">om </w:t>
      </w:r>
      <w:proofErr w:type="spellStart"/>
      <w:r w:rsidRPr="00922EC7">
        <w:rPr>
          <w:szCs w:val="22"/>
          <w:lang w:val="sr-Latn-ME"/>
        </w:rPr>
        <w:t>Glu</w:t>
      </w:r>
      <w:r w:rsidR="00561FFF" w:rsidRPr="00922EC7">
        <w:rPr>
          <w:szCs w:val="22"/>
          <w:lang w:val="sr-Latn-ME"/>
        </w:rPr>
        <w:t>formin</w:t>
      </w:r>
      <w:proofErr w:type="spellEnd"/>
      <w:r w:rsidRPr="00922EC7">
        <w:rPr>
          <w:szCs w:val="22"/>
          <w:lang w:val="sr-Latn-ME"/>
        </w:rPr>
        <w:t xml:space="preserve"> XR u gore navedenim dozama.</w:t>
      </w:r>
    </w:p>
    <w:p w14:paraId="076C2B33" w14:textId="7DCBFCEC" w:rsidR="00182F2C" w:rsidRPr="00922EC7" w:rsidRDefault="006D7433" w:rsidP="00683D74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Lijek </w:t>
      </w:r>
      <w:proofErr w:type="spellStart"/>
      <w:r w:rsidR="00561FFF" w:rsidRPr="00922EC7">
        <w:rPr>
          <w:szCs w:val="22"/>
          <w:lang w:val="sr-Latn-ME"/>
        </w:rPr>
        <w:t>Gluformin</w:t>
      </w:r>
      <w:proofErr w:type="spellEnd"/>
      <w:r w:rsidR="00561FFF" w:rsidRPr="00922EC7">
        <w:rPr>
          <w:szCs w:val="22"/>
          <w:lang w:val="sr-Latn-ME"/>
        </w:rPr>
        <w:t xml:space="preserve"> XR 750 mg i </w:t>
      </w:r>
      <w:r w:rsidRPr="00922EC7">
        <w:rPr>
          <w:szCs w:val="22"/>
          <w:lang w:val="sr-Latn-ME"/>
        </w:rPr>
        <w:t xml:space="preserve">lijek </w:t>
      </w:r>
      <w:proofErr w:type="spellStart"/>
      <w:r w:rsidR="00561FFF" w:rsidRPr="00922EC7">
        <w:rPr>
          <w:szCs w:val="22"/>
          <w:lang w:val="sr-Latn-ME"/>
        </w:rPr>
        <w:t>Gluformin</w:t>
      </w:r>
      <w:proofErr w:type="spellEnd"/>
      <w:r w:rsidR="00182F2C" w:rsidRPr="00922EC7">
        <w:rPr>
          <w:szCs w:val="22"/>
          <w:lang w:val="sr-Latn-ME"/>
        </w:rPr>
        <w:t xml:space="preserve"> XR 1000 mg su nam</w:t>
      </w:r>
      <w:r w:rsidR="00401B5D" w:rsidRPr="00922EC7">
        <w:rPr>
          <w:szCs w:val="22"/>
          <w:lang w:val="sr-Latn-ME"/>
        </w:rPr>
        <w:t>i</w:t>
      </w:r>
      <w:r w:rsidR="0056729B" w:rsidRPr="00922EC7">
        <w:rPr>
          <w:szCs w:val="22"/>
          <w:lang w:val="sr-Latn-ME"/>
        </w:rPr>
        <w:t>j</w:t>
      </w:r>
      <w:r w:rsidR="00182F2C" w:rsidRPr="00922EC7">
        <w:rPr>
          <w:szCs w:val="22"/>
          <w:lang w:val="sr-Latn-ME"/>
        </w:rPr>
        <w:t>enjeni pacijentima koji su već na terapiji</w:t>
      </w:r>
      <w:r w:rsidR="00B1067F" w:rsidRPr="00922EC7">
        <w:rPr>
          <w:szCs w:val="22"/>
          <w:lang w:val="sr-Latn-ME"/>
        </w:rPr>
        <w:t xml:space="preserve"> </w:t>
      </w:r>
      <w:proofErr w:type="spellStart"/>
      <w:r w:rsidR="00182F2C" w:rsidRPr="00922EC7">
        <w:rPr>
          <w:szCs w:val="22"/>
          <w:lang w:val="sr-Latn-ME"/>
        </w:rPr>
        <w:t>metformin</w:t>
      </w:r>
      <w:proofErr w:type="spellEnd"/>
      <w:r w:rsidR="00182F2C" w:rsidRPr="00922EC7">
        <w:rPr>
          <w:szCs w:val="22"/>
          <w:lang w:val="sr-Latn-ME"/>
        </w:rPr>
        <w:t xml:space="preserve"> tabletama (sa produženim ili sa trenutnim oslobađanjem).</w:t>
      </w:r>
    </w:p>
    <w:p w14:paraId="1918C80D" w14:textId="2CE2FEF7" w:rsidR="00182F2C" w:rsidRPr="00922EC7" w:rsidRDefault="00561FFF" w:rsidP="00683D74">
      <w:pPr>
        <w:pStyle w:val="ListParagraph"/>
        <w:numPr>
          <w:ilvl w:val="0"/>
          <w:numId w:val="5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Doza </w:t>
      </w:r>
      <w:r w:rsidR="006D7433" w:rsidRPr="00922EC7">
        <w:rPr>
          <w:szCs w:val="22"/>
          <w:lang w:val="sr-Latn-ME"/>
        </w:rPr>
        <w:t xml:space="preserve">lijeka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750 mg, odnosno </w:t>
      </w:r>
      <w:r w:rsidR="006D7433" w:rsidRPr="00922EC7">
        <w:rPr>
          <w:szCs w:val="22"/>
          <w:lang w:val="sr-Latn-ME"/>
        </w:rPr>
        <w:t xml:space="preserve">lijeka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="00182F2C" w:rsidRPr="00922EC7">
        <w:rPr>
          <w:szCs w:val="22"/>
          <w:lang w:val="sr-Latn-ME"/>
        </w:rPr>
        <w:t xml:space="preserve"> XR 1000</w:t>
      </w:r>
      <w:r w:rsidR="009C0A54" w:rsidRPr="00922EC7">
        <w:rPr>
          <w:szCs w:val="22"/>
          <w:lang w:val="sr-Latn-ME"/>
        </w:rPr>
        <w:t xml:space="preserve"> </w:t>
      </w:r>
      <w:r w:rsidR="00182F2C" w:rsidRPr="00922EC7">
        <w:rPr>
          <w:szCs w:val="22"/>
          <w:lang w:val="sr-Latn-ME"/>
        </w:rPr>
        <w:t>mg, treba da je ekvivalentna dnevnoj</w:t>
      </w:r>
      <w:r w:rsidR="00B1067F" w:rsidRPr="00922EC7">
        <w:rPr>
          <w:szCs w:val="22"/>
          <w:lang w:val="sr-Latn-ME"/>
        </w:rPr>
        <w:t xml:space="preserve"> </w:t>
      </w:r>
      <w:r w:rsidR="00182F2C" w:rsidRPr="00922EC7">
        <w:rPr>
          <w:szCs w:val="22"/>
          <w:lang w:val="sr-Latn-ME"/>
        </w:rPr>
        <w:t xml:space="preserve">dozi tableta </w:t>
      </w:r>
      <w:proofErr w:type="spellStart"/>
      <w:r w:rsidR="00182F2C" w:rsidRPr="00922EC7">
        <w:rPr>
          <w:szCs w:val="22"/>
          <w:lang w:val="sr-Latn-ME"/>
        </w:rPr>
        <w:t>metformina</w:t>
      </w:r>
      <w:proofErr w:type="spellEnd"/>
      <w:r w:rsidR="00182F2C" w:rsidRPr="00922EC7">
        <w:rPr>
          <w:szCs w:val="22"/>
          <w:lang w:val="sr-Latn-ME"/>
        </w:rPr>
        <w:t xml:space="preserve"> (sa produženim ili trenutnim oslobađanjem), do maksimalno 1500 mg ili</w:t>
      </w:r>
      <w:r w:rsidR="00B1067F" w:rsidRPr="00922EC7">
        <w:rPr>
          <w:szCs w:val="22"/>
          <w:lang w:val="sr-Latn-ME"/>
        </w:rPr>
        <w:t xml:space="preserve"> </w:t>
      </w:r>
      <w:r w:rsidR="00182F2C" w:rsidRPr="00922EC7">
        <w:rPr>
          <w:szCs w:val="22"/>
          <w:lang w:val="sr-Latn-ME"/>
        </w:rPr>
        <w:t>2000 mg, dato uz večernji obrok.</w:t>
      </w:r>
    </w:p>
    <w:p w14:paraId="30A6F730" w14:textId="0DDB2AFF" w:rsidR="00B152F2" w:rsidRPr="00922EC7" w:rsidRDefault="00B152F2" w:rsidP="00CA4A82">
      <w:pPr>
        <w:rPr>
          <w:i/>
          <w:szCs w:val="22"/>
          <w:lang w:val="sr-Latn-ME"/>
        </w:rPr>
      </w:pPr>
    </w:p>
    <w:p w14:paraId="2C0D29CB" w14:textId="6B368F73" w:rsidR="00561FFF" w:rsidRPr="00922EC7" w:rsidRDefault="00561FFF">
      <w:pPr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>Kombinacija sa insulinom</w:t>
      </w:r>
    </w:p>
    <w:p w14:paraId="272A24DE" w14:textId="77777777" w:rsidR="00561FFF" w:rsidRPr="00922EC7" w:rsidRDefault="00561FFF">
      <w:pPr>
        <w:rPr>
          <w:i/>
          <w:szCs w:val="22"/>
          <w:lang w:val="sr-Latn-ME"/>
        </w:rPr>
      </w:pPr>
    </w:p>
    <w:p w14:paraId="3D73EEA7" w14:textId="046A0EAD" w:rsidR="00561FFF" w:rsidRPr="00922EC7" w:rsidRDefault="00561FF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i insulin mogu biti korišćeni u kombinovanoj terapiji radi postizanja bolje regulacije </w:t>
      </w:r>
      <w:proofErr w:type="spellStart"/>
      <w:r w:rsidRPr="00922EC7">
        <w:rPr>
          <w:szCs w:val="22"/>
          <w:lang w:val="sr-Latn-ME"/>
        </w:rPr>
        <w:t>glikemije</w:t>
      </w:r>
      <w:proofErr w:type="spellEnd"/>
      <w:r w:rsidRPr="00922EC7">
        <w:rPr>
          <w:szCs w:val="22"/>
          <w:lang w:val="sr-Latn-ME"/>
        </w:rPr>
        <w:t>.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Uobičajena početna doza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 xml:space="preserve">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je jedna tableta jednom dnevno sa večernjim obrokom, dok se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insulin dozira prema koncentraciji šećera u krvi.</w:t>
      </w:r>
    </w:p>
    <w:p w14:paraId="73C1C588" w14:textId="77777777" w:rsidR="006D7433" w:rsidRPr="00922EC7" w:rsidRDefault="006D743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30E804B" w14:textId="20436FAF" w:rsidR="00561FFF" w:rsidRPr="00922EC7" w:rsidRDefault="00561FF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Za pacijente koji su već na kombinovanoj terapiji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 i insulinom, doza </w:t>
      </w:r>
      <w:r w:rsidR="00C20B5B" w:rsidRPr="00922EC7">
        <w:rPr>
          <w:szCs w:val="22"/>
          <w:lang w:val="sr-Latn-ME"/>
        </w:rPr>
        <w:t xml:space="preserve">lijeka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750 mg ili</w:t>
      </w:r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1000 mg treba da bude ekvivalentna dnevnoj dozi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tableta, do maksimalno 1500</w:t>
      </w:r>
      <w:r w:rsidR="009C0A54" w:rsidRPr="00922EC7">
        <w:rPr>
          <w:szCs w:val="22"/>
          <w:lang w:val="sr-Latn-ME"/>
        </w:rPr>
        <w:t> </w:t>
      </w:r>
      <w:r w:rsidRPr="00922EC7">
        <w:rPr>
          <w:szCs w:val="22"/>
          <w:lang w:val="sr-Latn-ME"/>
        </w:rPr>
        <w:t>mg ili 2000 mg, dato uz večernji obrok, dok se insulin dozira prema koncentraciji šećera u krvi.</w:t>
      </w:r>
    </w:p>
    <w:p w14:paraId="6D24327E" w14:textId="63FD43EC" w:rsidR="00561FFF" w:rsidRPr="00922EC7" w:rsidRDefault="00561FFF">
      <w:pPr>
        <w:rPr>
          <w:szCs w:val="22"/>
          <w:lang w:val="sr-Latn-ME"/>
        </w:rPr>
      </w:pPr>
    </w:p>
    <w:p w14:paraId="18F8ADF5" w14:textId="265F8E65" w:rsidR="00561FFF" w:rsidRPr="00922EC7" w:rsidRDefault="00561FFF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>Stariji pacijenti</w:t>
      </w:r>
    </w:p>
    <w:p w14:paraId="3AE68CD6" w14:textId="77777777" w:rsidR="00561FFF" w:rsidRPr="00922EC7" w:rsidRDefault="00561FFF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</w:p>
    <w:p w14:paraId="3F60F35C" w14:textId="3BC578F7" w:rsidR="00561FFF" w:rsidRPr="00922EC7" w:rsidRDefault="00561FFF" w:rsidP="00CA4A82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  <w:r w:rsidRPr="00922EC7">
        <w:rPr>
          <w:rFonts w:eastAsia="TimesNewRoman,Italic"/>
          <w:szCs w:val="22"/>
          <w:lang w:val="sr-Latn-ME"/>
        </w:rPr>
        <w:t xml:space="preserve">S obzirom na to da </w:t>
      </w:r>
      <w:proofErr w:type="spellStart"/>
      <w:r w:rsidRPr="00922EC7">
        <w:rPr>
          <w:rFonts w:eastAsia="TimesNewRoman,Italic"/>
          <w:szCs w:val="22"/>
          <w:lang w:val="sr-Latn-ME"/>
        </w:rPr>
        <w:t>renalna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funkcija kod starijih pacijenata može biti smanjena, doziranje </w:t>
      </w:r>
      <w:proofErr w:type="spellStart"/>
      <w:r w:rsidRPr="00922EC7">
        <w:rPr>
          <w:rFonts w:eastAsia="TimesNewRoman,Italic"/>
          <w:szCs w:val="22"/>
          <w:lang w:val="sr-Latn-ME"/>
        </w:rPr>
        <w:t>metformina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bi</w:t>
      </w:r>
      <w:r w:rsidR="009C0A54" w:rsidRPr="00922EC7">
        <w:rPr>
          <w:rFonts w:eastAsia="TimesNewRoman,Italic"/>
          <w:szCs w:val="22"/>
          <w:lang w:val="sr-Latn-ME"/>
        </w:rPr>
        <w:t xml:space="preserve"> </w:t>
      </w:r>
      <w:r w:rsidRPr="00922EC7">
        <w:rPr>
          <w:rFonts w:eastAsia="TimesNewRoman,Italic"/>
          <w:szCs w:val="22"/>
          <w:lang w:val="sr-Latn-ME"/>
        </w:rPr>
        <w:t xml:space="preserve">trebalo prilagođavati u odnosu na </w:t>
      </w:r>
      <w:proofErr w:type="spellStart"/>
      <w:r w:rsidRPr="00922EC7">
        <w:rPr>
          <w:rFonts w:eastAsia="TimesNewRoman,Italic"/>
          <w:szCs w:val="22"/>
          <w:lang w:val="sr-Latn-ME"/>
        </w:rPr>
        <w:t>renalnu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funkciju. Neophodna je redovna proc</w:t>
      </w:r>
      <w:r w:rsidR="0056729B" w:rsidRPr="00922EC7">
        <w:rPr>
          <w:rFonts w:eastAsia="TimesNewRoman,Italic"/>
          <w:szCs w:val="22"/>
          <w:lang w:val="sr-Latn-ME"/>
        </w:rPr>
        <w:t>j</w:t>
      </w:r>
      <w:r w:rsidRPr="00922EC7">
        <w:rPr>
          <w:rFonts w:eastAsia="TimesNewRoman,Italic"/>
          <w:szCs w:val="22"/>
          <w:lang w:val="sr-Latn-ME"/>
        </w:rPr>
        <w:t xml:space="preserve">ena </w:t>
      </w:r>
      <w:proofErr w:type="spellStart"/>
      <w:r w:rsidRPr="00922EC7">
        <w:rPr>
          <w:rFonts w:eastAsia="TimesNewRoman,Italic"/>
          <w:szCs w:val="22"/>
          <w:lang w:val="sr-Latn-ME"/>
        </w:rPr>
        <w:t>renalne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funkcije (</w:t>
      </w:r>
      <w:r w:rsidR="006D7433" w:rsidRPr="00922EC7">
        <w:rPr>
          <w:rFonts w:eastAsia="TimesNewRoman,Italic"/>
          <w:szCs w:val="22"/>
          <w:lang w:val="sr-Latn-ME"/>
        </w:rPr>
        <w:t xml:space="preserve">vidjeti </w:t>
      </w:r>
      <w:r w:rsidR="00401B5D" w:rsidRPr="00922EC7">
        <w:rPr>
          <w:rFonts w:eastAsia="TimesNewRoman,Italic"/>
          <w:szCs w:val="22"/>
          <w:lang w:val="sr-Latn-ME"/>
        </w:rPr>
        <w:t xml:space="preserve">dio </w:t>
      </w:r>
      <w:r w:rsidRPr="00922EC7">
        <w:rPr>
          <w:rFonts w:eastAsia="TimesNewRoman,Italic"/>
          <w:szCs w:val="22"/>
          <w:lang w:val="sr-Latn-ME"/>
        </w:rPr>
        <w:t>4.4).</w:t>
      </w:r>
    </w:p>
    <w:p w14:paraId="72C07D02" w14:textId="404F6AE5" w:rsidR="00561FFF" w:rsidRPr="00922EC7" w:rsidRDefault="00561FFF">
      <w:pPr>
        <w:rPr>
          <w:rFonts w:eastAsia="TimesNewRoman,Italic"/>
          <w:szCs w:val="22"/>
          <w:lang w:val="sr-Latn-ME"/>
        </w:rPr>
      </w:pPr>
    </w:p>
    <w:p w14:paraId="5A7FF221" w14:textId="207F2FD8" w:rsidR="00561FFF" w:rsidRPr="00922EC7" w:rsidRDefault="00561FFF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 xml:space="preserve">Oštećenje </w:t>
      </w:r>
      <w:proofErr w:type="spellStart"/>
      <w:r w:rsidRPr="00922EC7">
        <w:rPr>
          <w:rFonts w:eastAsia="TimesNewRoman,Italic"/>
          <w:i/>
          <w:iCs/>
          <w:szCs w:val="22"/>
          <w:lang w:val="sr-Latn-ME"/>
        </w:rPr>
        <w:t>renalne</w:t>
      </w:r>
      <w:proofErr w:type="spellEnd"/>
      <w:r w:rsidRPr="00922EC7">
        <w:rPr>
          <w:rFonts w:eastAsia="TimesNewRoman,Italic"/>
          <w:i/>
          <w:iCs/>
          <w:szCs w:val="22"/>
          <w:lang w:val="sr-Latn-ME"/>
        </w:rPr>
        <w:t xml:space="preserve"> funkcije</w:t>
      </w:r>
    </w:p>
    <w:p w14:paraId="4A5B385A" w14:textId="77777777" w:rsidR="00561FFF" w:rsidRPr="00922EC7" w:rsidRDefault="00561FFF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</w:p>
    <w:p w14:paraId="15558E6A" w14:textId="21BE6636" w:rsidR="00561FFF" w:rsidRPr="00922EC7" w:rsidRDefault="00561FFF" w:rsidP="00CA4A82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  <w:r w:rsidRPr="00922EC7">
        <w:rPr>
          <w:rFonts w:eastAsia="TimesNewRoman,Italic"/>
          <w:szCs w:val="22"/>
          <w:lang w:val="sr-Latn-ME"/>
        </w:rPr>
        <w:t>Potrebno je izm</w:t>
      </w:r>
      <w:r w:rsidR="00F50A23" w:rsidRPr="00922EC7">
        <w:rPr>
          <w:rFonts w:eastAsia="TimesNewRoman,Italic"/>
          <w:szCs w:val="22"/>
          <w:lang w:val="sr-Latn-ME"/>
        </w:rPr>
        <w:t>j</w:t>
      </w:r>
      <w:r w:rsidRPr="00922EC7">
        <w:rPr>
          <w:rFonts w:eastAsia="TimesNewRoman,Italic"/>
          <w:szCs w:val="22"/>
          <w:lang w:val="sr-Latn-ME"/>
        </w:rPr>
        <w:t xml:space="preserve">eriti GFR (brzinu </w:t>
      </w:r>
      <w:proofErr w:type="spellStart"/>
      <w:r w:rsidRPr="00922EC7">
        <w:rPr>
          <w:rFonts w:eastAsia="TimesNewRoman,Italic"/>
          <w:szCs w:val="22"/>
          <w:lang w:val="sr-Latn-ME"/>
        </w:rPr>
        <w:t>glomerularne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filtracije) pr</w:t>
      </w:r>
      <w:r w:rsidR="00401B5D" w:rsidRPr="00922EC7">
        <w:rPr>
          <w:rFonts w:eastAsia="TimesNewRoman,Italic"/>
          <w:szCs w:val="22"/>
          <w:lang w:val="sr-Latn-ME"/>
        </w:rPr>
        <w:t>ij</w:t>
      </w:r>
      <w:r w:rsidRPr="00922EC7">
        <w:rPr>
          <w:rFonts w:eastAsia="TimesNewRoman,Italic"/>
          <w:szCs w:val="22"/>
          <w:lang w:val="sr-Latn-ME"/>
        </w:rPr>
        <w:t xml:space="preserve">e početka terapije </w:t>
      </w:r>
      <w:r w:rsidR="00191CDC" w:rsidRPr="00922EC7">
        <w:rPr>
          <w:rFonts w:eastAsia="TimesNewRoman,Italic"/>
          <w:szCs w:val="22"/>
          <w:lang w:val="sr-Latn-ME"/>
        </w:rPr>
        <w:t>ljekovi</w:t>
      </w:r>
      <w:r w:rsidRPr="00922EC7">
        <w:rPr>
          <w:rFonts w:eastAsia="TimesNewRoman,Italic"/>
          <w:szCs w:val="22"/>
          <w:lang w:val="sr-Latn-ME"/>
        </w:rPr>
        <w:t xml:space="preserve">ma koji sadrže </w:t>
      </w:r>
      <w:proofErr w:type="spellStart"/>
      <w:r w:rsidRPr="00922EC7">
        <w:rPr>
          <w:rFonts w:eastAsia="TimesNewRoman,Italic"/>
          <w:szCs w:val="22"/>
          <w:lang w:val="sr-Latn-ME"/>
        </w:rPr>
        <w:t>metformin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i najmanje jednom godišnje nakon toga. Kod pacijenata sa povećanim rizikom od dalje progresije</w:t>
      </w:r>
      <w:r w:rsidR="009C0A54" w:rsidRPr="00922EC7">
        <w:rPr>
          <w:rFonts w:eastAsia="TimesNewRoman,Italic"/>
          <w:szCs w:val="22"/>
          <w:lang w:val="sr-Latn-ME"/>
        </w:rPr>
        <w:t xml:space="preserve"> </w:t>
      </w:r>
      <w:r w:rsidRPr="00922EC7">
        <w:rPr>
          <w:rFonts w:eastAsia="TimesNewRoman,Italic"/>
          <w:szCs w:val="22"/>
          <w:lang w:val="sr-Latn-ME"/>
        </w:rPr>
        <w:t xml:space="preserve">oštećenja </w:t>
      </w:r>
      <w:proofErr w:type="spellStart"/>
      <w:r w:rsidRPr="00922EC7">
        <w:rPr>
          <w:rFonts w:eastAsia="TimesNewRoman,Italic"/>
          <w:szCs w:val="22"/>
          <w:lang w:val="sr-Latn-ME"/>
        </w:rPr>
        <w:t>renalne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funkcije i kod starih pacijenata, kontrola </w:t>
      </w:r>
      <w:proofErr w:type="spellStart"/>
      <w:r w:rsidRPr="00922EC7">
        <w:rPr>
          <w:rFonts w:eastAsia="TimesNewRoman,Italic"/>
          <w:szCs w:val="22"/>
          <w:lang w:val="sr-Latn-ME"/>
        </w:rPr>
        <w:t>renalne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funkcije </w:t>
      </w:r>
      <w:r w:rsidR="000F0584" w:rsidRPr="00922EC7">
        <w:rPr>
          <w:rFonts w:eastAsia="TimesNewRoman,Italic"/>
          <w:szCs w:val="22"/>
          <w:lang w:val="sr-Latn-ME"/>
        </w:rPr>
        <w:t>mora</w:t>
      </w:r>
      <w:r w:rsidRPr="00922EC7">
        <w:rPr>
          <w:rFonts w:eastAsia="TimesNewRoman,Italic"/>
          <w:szCs w:val="22"/>
          <w:lang w:val="sr-Latn-ME"/>
        </w:rPr>
        <w:t xml:space="preserve"> da se radi češće, npr.</w:t>
      </w:r>
      <w:r w:rsidR="009C0A54" w:rsidRPr="00922EC7">
        <w:rPr>
          <w:rFonts w:eastAsia="TimesNewRoman,Italic"/>
          <w:szCs w:val="22"/>
          <w:lang w:val="sr-Latn-ME"/>
        </w:rPr>
        <w:t xml:space="preserve"> </w:t>
      </w:r>
      <w:r w:rsidRPr="00922EC7">
        <w:rPr>
          <w:rFonts w:eastAsia="TimesNewRoman,Italic"/>
          <w:szCs w:val="22"/>
          <w:lang w:val="sr-Latn-ME"/>
        </w:rPr>
        <w:t>svakih 3-6 m</w:t>
      </w:r>
      <w:r w:rsidR="00F50A23" w:rsidRPr="00922EC7">
        <w:rPr>
          <w:rFonts w:eastAsia="TimesNewRoman,Italic"/>
          <w:szCs w:val="22"/>
          <w:lang w:val="sr-Latn-ME"/>
        </w:rPr>
        <w:t>j</w:t>
      </w:r>
      <w:r w:rsidRPr="00922EC7">
        <w:rPr>
          <w:rFonts w:eastAsia="TimesNewRoman,Italic"/>
          <w:szCs w:val="22"/>
          <w:lang w:val="sr-Latn-ME"/>
        </w:rPr>
        <w:t>eseci.</w:t>
      </w:r>
    </w:p>
    <w:p w14:paraId="1475D004" w14:textId="77777777" w:rsidR="006A6782" w:rsidRPr="00922EC7" w:rsidRDefault="006A6782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</w:p>
    <w:p w14:paraId="26E6DF66" w14:textId="7041C5BC" w:rsidR="006A6782" w:rsidRPr="00922EC7" w:rsidRDefault="006A6782" w:rsidP="006A6782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</w:p>
    <w:p w14:paraId="264BBC3A" w14:textId="327DA114" w:rsidR="000519F4" w:rsidRPr="00922EC7" w:rsidRDefault="000519F4" w:rsidP="006A6782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</w:p>
    <w:p w14:paraId="18994A32" w14:textId="77777777" w:rsidR="000519F4" w:rsidRPr="00922EC7" w:rsidRDefault="000519F4" w:rsidP="006A6782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3208"/>
        <w:gridCol w:w="3224"/>
      </w:tblGrid>
      <w:tr w:rsidR="00F51BA5" w:rsidRPr="00922EC7" w14:paraId="5FE73006" w14:textId="77777777" w:rsidTr="00F51BA5">
        <w:tc>
          <w:tcPr>
            <w:tcW w:w="3285" w:type="dxa"/>
          </w:tcPr>
          <w:p w14:paraId="46552EE3" w14:textId="2063EE3A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lastRenderedPageBreak/>
              <w:t>GFR (m</w:t>
            </w:r>
            <w:r w:rsidR="000F0584" w:rsidRPr="00922EC7">
              <w:rPr>
                <w:szCs w:val="22"/>
                <w:lang w:val="sr-Latn-ME"/>
              </w:rPr>
              <w:t>l</w:t>
            </w:r>
            <w:r w:rsidRPr="00922EC7">
              <w:rPr>
                <w:szCs w:val="22"/>
                <w:lang w:val="sr-Latn-ME"/>
              </w:rPr>
              <w:t>/min)</w:t>
            </w:r>
          </w:p>
        </w:tc>
        <w:tc>
          <w:tcPr>
            <w:tcW w:w="3285" w:type="dxa"/>
          </w:tcPr>
          <w:p w14:paraId="4CF499D9" w14:textId="308D7147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Ukupna maksimalna dnevna doza</w:t>
            </w:r>
          </w:p>
        </w:tc>
        <w:tc>
          <w:tcPr>
            <w:tcW w:w="3285" w:type="dxa"/>
          </w:tcPr>
          <w:p w14:paraId="5EBEFC70" w14:textId="1B1E98D9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Dodatna razmatranja</w:t>
            </w:r>
          </w:p>
        </w:tc>
      </w:tr>
      <w:tr w:rsidR="00F51BA5" w:rsidRPr="00922EC7" w14:paraId="30BA6F4B" w14:textId="77777777" w:rsidTr="00F51BA5">
        <w:tc>
          <w:tcPr>
            <w:tcW w:w="3285" w:type="dxa"/>
          </w:tcPr>
          <w:p w14:paraId="432A4021" w14:textId="7C37F2AD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 xml:space="preserve">60 - 89 </w:t>
            </w:r>
          </w:p>
        </w:tc>
        <w:tc>
          <w:tcPr>
            <w:tcW w:w="3285" w:type="dxa"/>
          </w:tcPr>
          <w:p w14:paraId="46EB05AF" w14:textId="41919B58" w:rsidR="00F51BA5" w:rsidRPr="00922EC7" w:rsidRDefault="00F51BA5" w:rsidP="00561FFF">
            <w:pPr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2000 mg</w:t>
            </w:r>
          </w:p>
        </w:tc>
        <w:tc>
          <w:tcPr>
            <w:tcW w:w="3285" w:type="dxa"/>
          </w:tcPr>
          <w:p w14:paraId="01AD2F7C" w14:textId="77777777" w:rsidR="00F51BA5" w:rsidRPr="00922EC7" w:rsidRDefault="00F51BA5" w:rsidP="00F51BA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Može se razmotriti smanjenje doze povezano sa</w:t>
            </w:r>
          </w:p>
          <w:p w14:paraId="4145E04B" w14:textId="6C035FCB" w:rsidR="00F51BA5" w:rsidRPr="00922EC7" w:rsidRDefault="00F51BA5" w:rsidP="00F51BA5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smanjenjem bubrežne funkcije.</w:t>
            </w:r>
          </w:p>
        </w:tc>
      </w:tr>
      <w:tr w:rsidR="00F51BA5" w:rsidRPr="00922EC7" w14:paraId="3AE4C328" w14:textId="77777777" w:rsidTr="00F51BA5">
        <w:tc>
          <w:tcPr>
            <w:tcW w:w="3285" w:type="dxa"/>
          </w:tcPr>
          <w:p w14:paraId="7B4C661C" w14:textId="2AD36E7E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45 - 59</w:t>
            </w:r>
          </w:p>
        </w:tc>
        <w:tc>
          <w:tcPr>
            <w:tcW w:w="3285" w:type="dxa"/>
          </w:tcPr>
          <w:p w14:paraId="3CF64685" w14:textId="1DD8F2B3" w:rsidR="00F51BA5" w:rsidRPr="00922EC7" w:rsidRDefault="00F51BA5" w:rsidP="00561FFF">
            <w:pPr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2000 mg</w:t>
            </w:r>
          </w:p>
        </w:tc>
        <w:tc>
          <w:tcPr>
            <w:tcW w:w="3285" w:type="dxa"/>
            <w:vMerge w:val="restart"/>
          </w:tcPr>
          <w:p w14:paraId="5DCFBC15" w14:textId="77777777" w:rsidR="00F51BA5" w:rsidRPr="00922EC7" w:rsidRDefault="00F51BA5" w:rsidP="00F51BA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Potrebno je razmotriti faktore koji mogu povećati rizik</w:t>
            </w:r>
          </w:p>
          <w:p w14:paraId="1C978AC6" w14:textId="34B6DAEC" w:rsidR="00F51BA5" w:rsidRPr="00922EC7" w:rsidRDefault="00F51BA5" w:rsidP="00F51BA5">
            <w:pPr>
              <w:tabs>
                <w:tab w:val="clear" w:pos="284"/>
              </w:tabs>
              <w:autoSpaceDE w:val="0"/>
              <w:autoSpaceDN w:val="0"/>
              <w:adjustRightInd w:val="0"/>
              <w:jc w:val="left"/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 xml:space="preserve">od </w:t>
            </w:r>
            <w:proofErr w:type="spellStart"/>
            <w:r w:rsidRPr="00922EC7">
              <w:rPr>
                <w:szCs w:val="22"/>
                <w:lang w:val="sr-Latn-ME"/>
              </w:rPr>
              <w:t>laktatne</w:t>
            </w:r>
            <w:proofErr w:type="spellEnd"/>
            <w:r w:rsidRPr="00922EC7">
              <w:rPr>
                <w:szCs w:val="22"/>
                <w:lang w:val="sr-Latn-ME"/>
              </w:rPr>
              <w:t xml:space="preserve"> </w:t>
            </w:r>
            <w:proofErr w:type="spellStart"/>
            <w:r w:rsidRPr="00922EC7">
              <w:rPr>
                <w:szCs w:val="22"/>
                <w:lang w:val="sr-Latn-ME"/>
              </w:rPr>
              <w:t>acidoze</w:t>
            </w:r>
            <w:proofErr w:type="spellEnd"/>
            <w:r w:rsidRPr="00922EC7">
              <w:rPr>
                <w:szCs w:val="22"/>
                <w:lang w:val="sr-Latn-ME"/>
              </w:rPr>
              <w:t xml:space="preserve"> (</w:t>
            </w:r>
            <w:r w:rsidR="000F0584" w:rsidRPr="00922EC7">
              <w:rPr>
                <w:szCs w:val="22"/>
                <w:lang w:val="sr-Latn-ME"/>
              </w:rPr>
              <w:t xml:space="preserve">vidjeti </w:t>
            </w:r>
            <w:r w:rsidR="00401B5D" w:rsidRPr="00922EC7">
              <w:rPr>
                <w:szCs w:val="22"/>
                <w:lang w:val="sr-Latn-ME"/>
              </w:rPr>
              <w:t xml:space="preserve">dio </w:t>
            </w:r>
            <w:r w:rsidR="00191CDC" w:rsidRPr="00922EC7">
              <w:rPr>
                <w:szCs w:val="22"/>
                <w:lang w:val="sr-Latn-ME"/>
              </w:rPr>
              <w:t xml:space="preserve"> </w:t>
            </w:r>
            <w:r w:rsidRPr="00922EC7">
              <w:rPr>
                <w:szCs w:val="22"/>
                <w:lang w:val="sr-Latn-ME"/>
              </w:rPr>
              <w:t>4.4), pr</w:t>
            </w:r>
            <w:r w:rsidR="00F50A23" w:rsidRPr="00922EC7">
              <w:rPr>
                <w:szCs w:val="22"/>
                <w:lang w:val="sr-Latn-ME"/>
              </w:rPr>
              <w:t>ij</w:t>
            </w:r>
            <w:r w:rsidRPr="00922EC7">
              <w:rPr>
                <w:szCs w:val="22"/>
                <w:lang w:val="sr-Latn-ME"/>
              </w:rPr>
              <w:t xml:space="preserve">e nego što se terapija </w:t>
            </w:r>
            <w:proofErr w:type="spellStart"/>
            <w:r w:rsidRPr="00922EC7">
              <w:rPr>
                <w:szCs w:val="22"/>
                <w:lang w:val="sr-Latn-ME"/>
              </w:rPr>
              <w:t>metforminom</w:t>
            </w:r>
            <w:proofErr w:type="spellEnd"/>
            <w:r w:rsidRPr="00922EC7">
              <w:rPr>
                <w:szCs w:val="22"/>
                <w:lang w:val="sr-Latn-ME"/>
              </w:rPr>
              <w:t xml:space="preserve"> uzme u obzir.</w:t>
            </w:r>
          </w:p>
          <w:p w14:paraId="4EFC2A04" w14:textId="7CB387C5" w:rsidR="00F51BA5" w:rsidRPr="00922EC7" w:rsidRDefault="00F51BA5" w:rsidP="00F51BA5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Početna doza je najviše polovina maksimalne doze.</w:t>
            </w:r>
          </w:p>
        </w:tc>
      </w:tr>
      <w:tr w:rsidR="00F51BA5" w:rsidRPr="00922EC7" w14:paraId="5B1EE0EF" w14:textId="77777777" w:rsidTr="00F51BA5">
        <w:tc>
          <w:tcPr>
            <w:tcW w:w="3285" w:type="dxa"/>
          </w:tcPr>
          <w:p w14:paraId="751F97FD" w14:textId="7779500D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30 - 44</w:t>
            </w:r>
          </w:p>
        </w:tc>
        <w:tc>
          <w:tcPr>
            <w:tcW w:w="3285" w:type="dxa"/>
          </w:tcPr>
          <w:p w14:paraId="5816C988" w14:textId="00F5727F" w:rsidR="00F51BA5" w:rsidRPr="00922EC7" w:rsidRDefault="00F51BA5" w:rsidP="00561FFF">
            <w:pPr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1000 mg</w:t>
            </w:r>
          </w:p>
        </w:tc>
        <w:tc>
          <w:tcPr>
            <w:tcW w:w="3285" w:type="dxa"/>
            <w:vMerge/>
          </w:tcPr>
          <w:p w14:paraId="7D3E53B9" w14:textId="77777777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</w:p>
        </w:tc>
      </w:tr>
      <w:tr w:rsidR="00F51BA5" w:rsidRPr="00922EC7" w14:paraId="3F724769" w14:textId="77777777" w:rsidTr="00F51BA5">
        <w:tc>
          <w:tcPr>
            <w:tcW w:w="3285" w:type="dxa"/>
          </w:tcPr>
          <w:p w14:paraId="4AA80D10" w14:textId="741D416B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&lt; 30</w:t>
            </w:r>
          </w:p>
        </w:tc>
        <w:tc>
          <w:tcPr>
            <w:tcW w:w="3285" w:type="dxa"/>
          </w:tcPr>
          <w:p w14:paraId="2C09E94B" w14:textId="74BB4F99" w:rsidR="00F51BA5" w:rsidRPr="00922EC7" w:rsidRDefault="00F51BA5" w:rsidP="00561FFF">
            <w:pPr>
              <w:rPr>
                <w:szCs w:val="22"/>
                <w:lang w:val="sr-Latn-ME"/>
              </w:rPr>
            </w:pPr>
            <w:r w:rsidRPr="00922EC7">
              <w:rPr>
                <w:szCs w:val="22"/>
                <w:lang w:val="sr-Latn-ME"/>
              </w:rPr>
              <w:t>-</w:t>
            </w:r>
          </w:p>
        </w:tc>
        <w:tc>
          <w:tcPr>
            <w:tcW w:w="3285" w:type="dxa"/>
          </w:tcPr>
          <w:p w14:paraId="1347AADB" w14:textId="5BF1AFDA" w:rsidR="00F51BA5" w:rsidRPr="00922EC7" w:rsidRDefault="00F51BA5" w:rsidP="00561FFF">
            <w:pPr>
              <w:rPr>
                <w:i/>
                <w:szCs w:val="22"/>
                <w:lang w:val="sr-Latn-ME"/>
              </w:rPr>
            </w:pPr>
            <w:proofErr w:type="spellStart"/>
            <w:r w:rsidRPr="00922EC7">
              <w:rPr>
                <w:szCs w:val="22"/>
                <w:lang w:val="sr-Latn-ME"/>
              </w:rPr>
              <w:t>Metformin</w:t>
            </w:r>
            <w:proofErr w:type="spellEnd"/>
            <w:r w:rsidRPr="00922EC7">
              <w:rPr>
                <w:szCs w:val="22"/>
                <w:lang w:val="sr-Latn-ME"/>
              </w:rPr>
              <w:t xml:space="preserve"> je kontraindikovan.</w:t>
            </w:r>
          </w:p>
        </w:tc>
      </w:tr>
    </w:tbl>
    <w:p w14:paraId="13506FE2" w14:textId="77777777" w:rsidR="00561FFF" w:rsidRPr="00922EC7" w:rsidRDefault="00561FFF" w:rsidP="00561FFF">
      <w:pPr>
        <w:rPr>
          <w:i/>
          <w:szCs w:val="22"/>
          <w:lang w:val="sr-Latn-ME"/>
        </w:rPr>
      </w:pPr>
    </w:p>
    <w:p w14:paraId="5662E571" w14:textId="7577B39F" w:rsidR="00F51BA5" w:rsidRPr="00922EC7" w:rsidRDefault="00F51BA5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>Pedijatrijska populacija</w:t>
      </w:r>
    </w:p>
    <w:p w14:paraId="0C32CBD5" w14:textId="77777777" w:rsidR="00F51BA5" w:rsidRPr="00922EC7" w:rsidRDefault="00F51BA5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</w:p>
    <w:p w14:paraId="46385DBE" w14:textId="0363CA24" w:rsidR="00561FFF" w:rsidRPr="00922EC7" w:rsidRDefault="00F51BA5" w:rsidP="00CA4A82">
      <w:pPr>
        <w:rPr>
          <w:i/>
          <w:szCs w:val="22"/>
          <w:lang w:val="sr-Latn-ME"/>
        </w:rPr>
      </w:pPr>
      <w:r w:rsidRPr="00922EC7">
        <w:rPr>
          <w:rFonts w:eastAsia="TimesNewRoman,Italic"/>
          <w:szCs w:val="22"/>
          <w:lang w:val="sr-Latn-ME"/>
        </w:rPr>
        <w:t>Zbog nedosta</w:t>
      </w:r>
      <w:r w:rsidR="0047148C" w:rsidRPr="00922EC7">
        <w:rPr>
          <w:rFonts w:eastAsia="TimesNewRoman,Italic"/>
          <w:szCs w:val="22"/>
          <w:lang w:val="sr-Latn-ME"/>
        </w:rPr>
        <w:t>t</w:t>
      </w:r>
      <w:r w:rsidRPr="00922EC7">
        <w:rPr>
          <w:rFonts w:eastAsia="TimesNewRoman,Italic"/>
          <w:szCs w:val="22"/>
          <w:lang w:val="sr-Latn-ME"/>
        </w:rPr>
        <w:t>ka relevantnih podataka</w:t>
      </w:r>
      <w:r w:rsidR="00537E7D" w:rsidRPr="00922EC7">
        <w:rPr>
          <w:rFonts w:eastAsia="TimesNewRoman,Italic"/>
          <w:szCs w:val="22"/>
          <w:lang w:val="sr-Latn-ME"/>
        </w:rPr>
        <w:t xml:space="preserve"> lijek</w:t>
      </w:r>
      <w:r w:rsidRPr="00922EC7">
        <w:rPr>
          <w:rFonts w:eastAsia="TimesNewRoman,Italic"/>
          <w:szCs w:val="22"/>
          <w:lang w:val="sr-Latn-ME"/>
        </w:rPr>
        <w:t xml:space="preserve"> </w:t>
      </w:r>
      <w:proofErr w:type="spellStart"/>
      <w:r w:rsidRPr="00922EC7">
        <w:rPr>
          <w:rFonts w:eastAsia="TimesNewRoman,Italic"/>
          <w:szCs w:val="22"/>
          <w:lang w:val="sr-Latn-ME"/>
        </w:rPr>
        <w:t>Gluformin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XR ne </w:t>
      </w:r>
      <w:r w:rsidR="000F0584" w:rsidRPr="00922EC7">
        <w:rPr>
          <w:rFonts w:eastAsia="TimesNewRoman,Italic"/>
          <w:szCs w:val="22"/>
          <w:lang w:val="sr-Latn-ME"/>
        </w:rPr>
        <w:t xml:space="preserve">smije se </w:t>
      </w:r>
      <w:r w:rsidRPr="00922EC7">
        <w:rPr>
          <w:rFonts w:eastAsia="TimesNewRoman,Italic"/>
          <w:szCs w:val="22"/>
          <w:lang w:val="sr-Latn-ME"/>
        </w:rPr>
        <w:t>davati d</w:t>
      </w:r>
      <w:r w:rsidR="00F50A23" w:rsidRPr="00922EC7">
        <w:rPr>
          <w:rFonts w:eastAsia="TimesNewRoman,Italic"/>
          <w:szCs w:val="22"/>
          <w:lang w:val="sr-Latn-ME"/>
        </w:rPr>
        <w:t>j</w:t>
      </w:r>
      <w:r w:rsidRPr="00922EC7">
        <w:rPr>
          <w:rFonts w:eastAsia="TimesNewRoman,Italic"/>
          <w:szCs w:val="22"/>
          <w:lang w:val="sr-Latn-ME"/>
        </w:rPr>
        <w:t>eci.</w:t>
      </w:r>
    </w:p>
    <w:p w14:paraId="4AFF2240" w14:textId="77777777" w:rsidR="00F51BA5" w:rsidRPr="00922EC7" w:rsidRDefault="00F51BA5">
      <w:pPr>
        <w:rPr>
          <w:i/>
          <w:szCs w:val="22"/>
          <w:lang w:val="sr-Latn-ME"/>
        </w:rPr>
      </w:pPr>
    </w:p>
    <w:p w14:paraId="31A4C092" w14:textId="1B424757" w:rsidR="00310F02" w:rsidRPr="00922EC7" w:rsidRDefault="00310F02">
      <w:pPr>
        <w:rPr>
          <w:iCs/>
          <w:szCs w:val="22"/>
          <w:u w:val="single"/>
          <w:lang w:val="sr-Latn-ME"/>
        </w:rPr>
      </w:pPr>
      <w:r w:rsidRPr="00922EC7">
        <w:rPr>
          <w:iCs/>
          <w:szCs w:val="22"/>
          <w:u w:val="single"/>
          <w:lang w:val="sr-Latn-ME"/>
        </w:rPr>
        <w:t>Nač</w:t>
      </w:r>
      <w:r w:rsidR="006A6782" w:rsidRPr="00922EC7">
        <w:rPr>
          <w:iCs/>
          <w:szCs w:val="22"/>
          <w:u w:val="single"/>
          <w:lang w:val="sr-Latn-ME"/>
        </w:rPr>
        <w:t>in prim</w:t>
      </w:r>
      <w:r w:rsidR="00401B5D" w:rsidRPr="00922EC7">
        <w:rPr>
          <w:iCs/>
          <w:szCs w:val="22"/>
          <w:u w:val="single"/>
          <w:lang w:val="sr-Latn-ME"/>
        </w:rPr>
        <w:t>j</w:t>
      </w:r>
      <w:r w:rsidR="006A6782" w:rsidRPr="00922EC7">
        <w:rPr>
          <w:iCs/>
          <w:szCs w:val="22"/>
          <w:u w:val="single"/>
          <w:lang w:val="sr-Latn-ME"/>
        </w:rPr>
        <w:t xml:space="preserve">ene </w:t>
      </w:r>
    </w:p>
    <w:p w14:paraId="58B79EC9" w14:textId="77777777" w:rsidR="000F0584" w:rsidRPr="00922EC7" w:rsidRDefault="000F0584">
      <w:pPr>
        <w:rPr>
          <w:iCs/>
          <w:szCs w:val="22"/>
          <w:u w:val="single"/>
          <w:lang w:val="sr-Latn-ME"/>
        </w:rPr>
      </w:pPr>
    </w:p>
    <w:p w14:paraId="1C266BF8" w14:textId="39F54454" w:rsidR="006A6782" w:rsidRPr="00922EC7" w:rsidRDefault="006A6782">
      <w:pPr>
        <w:rPr>
          <w:iCs/>
          <w:szCs w:val="22"/>
          <w:lang w:val="sr-Latn-ME"/>
        </w:rPr>
      </w:pPr>
      <w:r w:rsidRPr="00922EC7">
        <w:rPr>
          <w:iCs/>
          <w:szCs w:val="22"/>
          <w:lang w:val="sr-Latn-ME"/>
        </w:rPr>
        <w:t>Oralna prim</w:t>
      </w:r>
      <w:r w:rsidR="00401B5D" w:rsidRPr="00922EC7">
        <w:rPr>
          <w:iCs/>
          <w:szCs w:val="22"/>
          <w:lang w:val="sr-Latn-ME"/>
        </w:rPr>
        <w:t>j</w:t>
      </w:r>
      <w:r w:rsidRPr="00922EC7">
        <w:rPr>
          <w:iCs/>
          <w:szCs w:val="22"/>
          <w:lang w:val="sr-Latn-ME"/>
        </w:rPr>
        <w:t>ena.</w:t>
      </w:r>
    </w:p>
    <w:p w14:paraId="729E703C" w14:textId="77777777" w:rsidR="006A6782" w:rsidRPr="00922EC7" w:rsidRDefault="006A6782">
      <w:pPr>
        <w:rPr>
          <w:iCs/>
          <w:szCs w:val="22"/>
          <w:lang w:val="sr-Latn-ME"/>
        </w:rPr>
      </w:pPr>
    </w:p>
    <w:p w14:paraId="6060CBE6" w14:textId="77777777" w:rsidR="006A6782" w:rsidRPr="00922EC7" w:rsidRDefault="006A6782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Terapiju treba započeti sa jednom tabletom lijeka </w:t>
      </w:r>
      <w:proofErr w:type="spellStart"/>
      <w:r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 500 mg jednom dnevno uz večernji obrok.</w:t>
      </w:r>
    </w:p>
    <w:p w14:paraId="4152A2EF" w14:textId="1CAD414A" w:rsidR="006A6782" w:rsidRPr="00922EC7" w:rsidRDefault="00F8769D" w:rsidP="00CA4A82">
      <w:pPr>
        <w:rPr>
          <w:iCs/>
          <w:szCs w:val="22"/>
          <w:lang w:val="sr-Latn-ME"/>
        </w:rPr>
      </w:pPr>
      <w:r w:rsidRPr="00922EC7">
        <w:rPr>
          <w:iCs/>
          <w:szCs w:val="22"/>
          <w:lang w:val="sr-Latn-ME"/>
        </w:rPr>
        <w:t>Tablete treba progutati c</w:t>
      </w:r>
      <w:r w:rsidR="00401B5D" w:rsidRPr="00922EC7">
        <w:rPr>
          <w:iCs/>
          <w:szCs w:val="22"/>
          <w:lang w:val="sr-Latn-ME"/>
        </w:rPr>
        <w:t>ij</w:t>
      </w:r>
      <w:r w:rsidRPr="00922EC7">
        <w:rPr>
          <w:iCs/>
          <w:szCs w:val="22"/>
          <w:lang w:val="sr-Latn-ME"/>
        </w:rPr>
        <w:t>ele sa čašom vode. Ne sm</w:t>
      </w:r>
      <w:r w:rsidR="00401B5D" w:rsidRPr="00922EC7">
        <w:rPr>
          <w:iCs/>
          <w:szCs w:val="22"/>
          <w:lang w:val="sr-Latn-ME"/>
        </w:rPr>
        <w:t>i</w:t>
      </w:r>
      <w:r w:rsidRPr="00922EC7">
        <w:rPr>
          <w:iCs/>
          <w:szCs w:val="22"/>
          <w:lang w:val="sr-Latn-ME"/>
        </w:rPr>
        <w:t xml:space="preserve">ju se </w:t>
      </w:r>
      <w:proofErr w:type="spellStart"/>
      <w:r w:rsidRPr="00922EC7">
        <w:rPr>
          <w:iCs/>
          <w:szCs w:val="22"/>
          <w:lang w:val="sr-Latn-ME"/>
        </w:rPr>
        <w:t>žvakatu</w:t>
      </w:r>
      <w:proofErr w:type="spellEnd"/>
      <w:r w:rsidRPr="00922EC7">
        <w:rPr>
          <w:iCs/>
          <w:szCs w:val="22"/>
          <w:lang w:val="sr-Latn-ME"/>
        </w:rPr>
        <w:t xml:space="preserve"> ili mrviti.</w:t>
      </w:r>
    </w:p>
    <w:p w14:paraId="5D18701C" w14:textId="77777777" w:rsidR="006A6782" w:rsidRPr="00922EC7" w:rsidRDefault="006A6782">
      <w:pPr>
        <w:rPr>
          <w:b/>
          <w:bCs/>
          <w:iCs/>
          <w:szCs w:val="22"/>
          <w:lang w:val="sr-Latn-ME"/>
        </w:rPr>
      </w:pPr>
    </w:p>
    <w:p w14:paraId="37FC2F45" w14:textId="77777777" w:rsidR="000519F4" w:rsidRPr="00922EC7" w:rsidRDefault="000519F4">
      <w:pPr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4.3. </w:t>
      </w:r>
      <w:r w:rsidRPr="00922EC7">
        <w:rPr>
          <w:b/>
          <w:bCs/>
          <w:szCs w:val="22"/>
          <w:lang w:val="sr-Latn-ME"/>
        </w:rPr>
        <w:tab/>
      </w:r>
      <w:proofErr w:type="spellStart"/>
      <w:r w:rsidRPr="00922EC7">
        <w:rPr>
          <w:b/>
          <w:bCs/>
          <w:szCs w:val="22"/>
          <w:lang w:val="sr-Latn-ME"/>
        </w:rPr>
        <w:t>Kontraindikacije</w:t>
      </w:r>
      <w:proofErr w:type="spellEnd"/>
      <w:r w:rsidRPr="00922EC7" w:rsidDel="000519F4">
        <w:rPr>
          <w:b/>
          <w:bCs/>
          <w:szCs w:val="22"/>
          <w:lang w:val="sr-Latn-ME"/>
        </w:rPr>
        <w:t xml:space="preserve"> </w:t>
      </w:r>
    </w:p>
    <w:p w14:paraId="1906B9F6" w14:textId="77777777" w:rsidR="00CE09F3" w:rsidRPr="00922EC7" w:rsidRDefault="00CE09F3">
      <w:pPr>
        <w:rPr>
          <w:szCs w:val="22"/>
          <w:lang w:val="sr-Latn-ME"/>
        </w:rPr>
      </w:pPr>
    </w:p>
    <w:p w14:paraId="2553DBEE" w14:textId="43AFAFA8" w:rsidR="00F51BA5" w:rsidRPr="00922EC7" w:rsidRDefault="00F51BA5" w:rsidP="00683D74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Preos</w:t>
      </w:r>
      <w:r w:rsidR="00F50A23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etljivost na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ili na bilo koju od pomoćnih supstanci navedenih u </w:t>
      </w:r>
      <w:r w:rsidR="000F0584" w:rsidRPr="00922EC7">
        <w:rPr>
          <w:szCs w:val="22"/>
          <w:lang w:val="sr-Latn-ME"/>
        </w:rPr>
        <w:t xml:space="preserve">dijelu </w:t>
      </w:r>
      <w:r w:rsidRPr="00922EC7">
        <w:rPr>
          <w:szCs w:val="22"/>
          <w:lang w:val="sr-Latn-ME"/>
        </w:rPr>
        <w:t>6.1.</w:t>
      </w:r>
    </w:p>
    <w:p w14:paraId="1D290F68" w14:textId="4A2439E8" w:rsidR="00F51BA5" w:rsidRPr="00922EC7" w:rsidRDefault="005A6434" w:rsidP="00683D74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Bilo koji tip akutne </w:t>
      </w:r>
      <w:proofErr w:type="spellStart"/>
      <w:r w:rsidRPr="00922EC7">
        <w:rPr>
          <w:szCs w:val="22"/>
          <w:lang w:val="sr-Latn-ME"/>
        </w:rPr>
        <w:t>metabo</w:t>
      </w:r>
      <w:r w:rsidR="00F51BA5" w:rsidRPr="00922EC7">
        <w:rPr>
          <w:szCs w:val="22"/>
          <w:lang w:val="sr-Latn-ME"/>
        </w:rPr>
        <w:t>ličke</w:t>
      </w:r>
      <w:proofErr w:type="spellEnd"/>
      <w:r w:rsidR="00F51BA5" w:rsidRPr="00922EC7">
        <w:rPr>
          <w:szCs w:val="22"/>
          <w:lang w:val="sr-Latn-ME"/>
        </w:rPr>
        <w:t xml:space="preserve"> </w:t>
      </w:r>
      <w:proofErr w:type="spellStart"/>
      <w:r w:rsidR="00F51BA5" w:rsidRPr="00922EC7">
        <w:rPr>
          <w:szCs w:val="22"/>
          <w:lang w:val="sr-Latn-ME"/>
        </w:rPr>
        <w:t>acidoze</w:t>
      </w:r>
      <w:proofErr w:type="spellEnd"/>
      <w:r w:rsidR="00F51BA5" w:rsidRPr="00922EC7">
        <w:rPr>
          <w:szCs w:val="22"/>
          <w:lang w:val="sr-Latn-ME"/>
        </w:rPr>
        <w:t xml:space="preserve"> (kao što je </w:t>
      </w:r>
      <w:proofErr w:type="spellStart"/>
      <w:r w:rsidR="00F51BA5" w:rsidRPr="00922EC7">
        <w:rPr>
          <w:szCs w:val="22"/>
          <w:lang w:val="sr-Latn-ME"/>
        </w:rPr>
        <w:t>laktatna</w:t>
      </w:r>
      <w:proofErr w:type="spellEnd"/>
      <w:r w:rsidR="00F51BA5" w:rsidRPr="00922EC7">
        <w:rPr>
          <w:szCs w:val="22"/>
          <w:lang w:val="sr-Latn-ME"/>
        </w:rPr>
        <w:t xml:space="preserve"> </w:t>
      </w:r>
      <w:proofErr w:type="spellStart"/>
      <w:r w:rsidR="00F51BA5" w:rsidRPr="00922EC7">
        <w:rPr>
          <w:szCs w:val="22"/>
          <w:lang w:val="sr-Latn-ME"/>
        </w:rPr>
        <w:t>acidoza</w:t>
      </w:r>
      <w:proofErr w:type="spellEnd"/>
      <w:r w:rsidR="00F51BA5" w:rsidRPr="00922EC7">
        <w:rPr>
          <w:szCs w:val="22"/>
          <w:lang w:val="sr-Latn-ME"/>
        </w:rPr>
        <w:t xml:space="preserve">, dijabetesna </w:t>
      </w:r>
      <w:proofErr w:type="spellStart"/>
      <w:r w:rsidR="00F51BA5" w:rsidRPr="00922EC7">
        <w:rPr>
          <w:szCs w:val="22"/>
          <w:lang w:val="sr-Latn-ME"/>
        </w:rPr>
        <w:t>ketoacidoza</w:t>
      </w:r>
      <w:proofErr w:type="spellEnd"/>
      <w:r w:rsidR="00F51BA5" w:rsidRPr="00922EC7">
        <w:rPr>
          <w:szCs w:val="22"/>
          <w:lang w:val="sr-Latn-ME"/>
        </w:rPr>
        <w:t>)</w:t>
      </w:r>
    </w:p>
    <w:p w14:paraId="4B40C95E" w14:textId="2112E969" w:rsidR="00F51BA5" w:rsidRPr="00922EC7" w:rsidRDefault="00F51BA5" w:rsidP="00683D74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Dijabetesna </w:t>
      </w:r>
      <w:proofErr w:type="spellStart"/>
      <w:r w:rsidRPr="00922EC7">
        <w:rPr>
          <w:szCs w:val="22"/>
          <w:lang w:val="sr-Latn-ME"/>
        </w:rPr>
        <w:t>prekoma</w:t>
      </w:r>
      <w:proofErr w:type="spellEnd"/>
    </w:p>
    <w:p w14:paraId="0F7A0B05" w14:textId="45F29334" w:rsidR="00F51BA5" w:rsidRPr="00922EC7" w:rsidRDefault="00F51BA5" w:rsidP="00683D74">
      <w:pPr>
        <w:pStyle w:val="ListParagraph"/>
        <w:numPr>
          <w:ilvl w:val="0"/>
          <w:numId w:val="6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Teška </w:t>
      </w:r>
      <w:proofErr w:type="spellStart"/>
      <w:r w:rsidRPr="00922EC7">
        <w:rPr>
          <w:szCs w:val="22"/>
          <w:lang w:val="sr-Latn-ME"/>
        </w:rPr>
        <w:t>insuficijencija</w:t>
      </w:r>
      <w:proofErr w:type="spellEnd"/>
      <w:r w:rsidRPr="00922EC7">
        <w:rPr>
          <w:szCs w:val="22"/>
          <w:lang w:val="sr-Latn-ME"/>
        </w:rPr>
        <w:t xml:space="preserve"> bubrega (GFR ˂ 30</w:t>
      </w:r>
      <w:r w:rsidR="005A643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m</w:t>
      </w:r>
      <w:r w:rsidR="000F0584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>/min)</w:t>
      </w:r>
    </w:p>
    <w:p w14:paraId="1906B9F7" w14:textId="5274A933" w:rsidR="00CE09F3" w:rsidRPr="00922EC7" w:rsidRDefault="00F51BA5" w:rsidP="00CA4A82">
      <w:pPr>
        <w:pStyle w:val="ListParagraph"/>
        <w:numPr>
          <w:ilvl w:val="0"/>
          <w:numId w:val="6"/>
        </w:numPr>
        <w:rPr>
          <w:szCs w:val="22"/>
          <w:lang w:val="sr-Latn-ME"/>
        </w:rPr>
      </w:pPr>
      <w:r w:rsidRPr="00922EC7">
        <w:rPr>
          <w:szCs w:val="22"/>
          <w:lang w:val="sr-Latn-ME"/>
        </w:rPr>
        <w:t>Akutna stanja sa potencijalom da prom</w:t>
      </w:r>
      <w:r w:rsidR="000F0584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ene </w:t>
      </w:r>
      <w:proofErr w:type="spellStart"/>
      <w:r w:rsidRPr="00922EC7">
        <w:rPr>
          <w:szCs w:val="22"/>
          <w:lang w:val="sr-Latn-ME"/>
        </w:rPr>
        <w:t>renalnu</w:t>
      </w:r>
      <w:proofErr w:type="spellEnd"/>
      <w:r w:rsidRPr="00922EC7">
        <w:rPr>
          <w:szCs w:val="22"/>
          <w:lang w:val="sr-Latn-ME"/>
        </w:rPr>
        <w:t xml:space="preserve"> funkciju kao što su:</w:t>
      </w:r>
    </w:p>
    <w:p w14:paraId="55B67722" w14:textId="1B4C6903" w:rsidR="00220937" w:rsidRPr="00922EC7" w:rsidRDefault="00220937" w:rsidP="00683D74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dehidratacija,</w:t>
      </w:r>
    </w:p>
    <w:p w14:paraId="54053DAD" w14:textId="591C9FDF" w:rsidR="00220937" w:rsidRPr="00922EC7" w:rsidRDefault="00220937" w:rsidP="00683D74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teška infekcija,</w:t>
      </w:r>
    </w:p>
    <w:p w14:paraId="7A3FCE36" w14:textId="01938BA4" w:rsidR="00220937" w:rsidRPr="00922EC7" w:rsidRDefault="00220937" w:rsidP="00CA4A82">
      <w:pPr>
        <w:pStyle w:val="ListParagraph"/>
        <w:numPr>
          <w:ilvl w:val="0"/>
          <w:numId w:val="7"/>
        </w:numPr>
        <w:rPr>
          <w:szCs w:val="22"/>
          <w:lang w:val="sr-Latn-ME"/>
        </w:rPr>
      </w:pPr>
      <w:r w:rsidRPr="00922EC7">
        <w:rPr>
          <w:szCs w:val="22"/>
          <w:lang w:val="sr-Latn-ME"/>
        </w:rPr>
        <w:t>šok.</w:t>
      </w:r>
    </w:p>
    <w:p w14:paraId="64D33E51" w14:textId="0605FD33" w:rsidR="00220937" w:rsidRPr="00922EC7" w:rsidRDefault="00220937" w:rsidP="00683D74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ind w:left="72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Bolesti koje mogu da izazovu </w:t>
      </w:r>
      <w:proofErr w:type="spellStart"/>
      <w:r w:rsidRPr="00922EC7">
        <w:rPr>
          <w:szCs w:val="22"/>
          <w:lang w:val="sr-Latn-ME"/>
        </w:rPr>
        <w:t>hipoksiju</w:t>
      </w:r>
      <w:proofErr w:type="spellEnd"/>
      <w:r w:rsidRPr="00922EC7">
        <w:rPr>
          <w:szCs w:val="22"/>
          <w:lang w:val="sr-Latn-ME"/>
        </w:rPr>
        <w:t xml:space="preserve"> tkiva (naročito akutne bolesti ili pogoršanje hronične bolesti) kao što su:</w:t>
      </w:r>
    </w:p>
    <w:p w14:paraId="170A9F4A" w14:textId="7D7DD882" w:rsidR="00220937" w:rsidRPr="00922EC7" w:rsidRDefault="00220937" w:rsidP="00683D74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de</w:t>
      </w:r>
      <w:r w:rsidR="005A6434" w:rsidRPr="00922EC7">
        <w:rPr>
          <w:szCs w:val="22"/>
          <w:lang w:val="sr-Latn-ME"/>
        </w:rPr>
        <w:t>kompenzovana</w:t>
      </w:r>
      <w:proofErr w:type="spellEnd"/>
      <w:r w:rsidR="005A6434" w:rsidRPr="00922EC7">
        <w:rPr>
          <w:szCs w:val="22"/>
          <w:lang w:val="sr-Latn-ME"/>
        </w:rPr>
        <w:t xml:space="preserve"> srčana </w:t>
      </w:r>
      <w:proofErr w:type="spellStart"/>
      <w:r w:rsidR="005A6434" w:rsidRPr="00922EC7">
        <w:rPr>
          <w:szCs w:val="22"/>
          <w:lang w:val="sr-Latn-ME"/>
        </w:rPr>
        <w:t>insuficijen</w:t>
      </w:r>
      <w:r w:rsidRPr="00922EC7">
        <w:rPr>
          <w:szCs w:val="22"/>
          <w:lang w:val="sr-Latn-ME"/>
        </w:rPr>
        <w:t>cija</w:t>
      </w:r>
      <w:proofErr w:type="spellEnd"/>
    </w:p>
    <w:p w14:paraId="0D8DA903" w14:textId="70EF9258" w:rsidR="00220937" w:rsidRPr="00922EC7" w:rsidRDefault="00220937" w:rsidP="00683D74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respiratorna </w:t>
      </w:r>
      <w:proofErr w:type="spellStart"/>
      <w:r w:rsidRPr="00922EC7">
        <w:rPr>
          <w:szCs w:val="22"/>
          <w:lang w:val="sr-Latn-ME"/>
        </w:rPr>
        <w:t>insuficijencija</w:t>
      </w:r>
      <w:proofErr w:type="spellEnd"/>
      <w:r w:rsidRPr="00922EC7">
        <w:rPr>
          <w:szCs w:val="22"/>
          <w:lang w:val="sr-Latn-ME"/>
        </w:rPr>
        <w:t>,</w:t>
      </w:r>
    </w:p>
    <w:p w14:paraId="0E998460" w14:textId="2BE089C5" w:rsidR="00220937" w:rsidRPr="00922EC7" w:rsidRDefault="00220937" w:rsidP="00683D74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nedavni infarkt </w:t>
      </w:r>
      <w:proofErr w:type="spellStart"/>
      <w:r w:rsidRPr="00922EC7">
        <w:rPr>
          <w:szCs w:val="22"/>
          <w:lang w:val="sr-Latn-ME"/>
        </w:rPr>
        <w:t>miokarda</w:t>
      </w:r>
      <w:proofErr w:type="spellEnd"/>
      <w:r w:rsidRPr="00922EC7">
        <w:rPr>
          <w:szCs w:val="22"/>
          <w:lang w:val="sr-Latn-ME"/>
        </w:rPr>
        <w:t>,</w:t>
      </w:r>
    </w:p>
    <w:p w14:paraId="327817C4" w14:textId="791947C7" w:rsidR="00220937" w:rsidRPr="00922EC7" w:rsidRDefault="00220937" w:rsidP="00683D74">
      <w:pPr>
        <w:pStyle w:val="ListParagraph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šok.</w:t>
      </w:r>
    </w:p>
    <w:p w14:paraId="1460B798" w14:textId="7D8C285D" w:rsidR="00220937" w:rsidRPr="00922EC7" w:rsidRDefault="00220937" w:rsidP="00CA4A82">
      <w:pPr>
        <w:pStyle w:val="ListParagraph"/>
        <w:numPr>
          <w:ilvl w:val="0"/>
          <w:numId w:val="8"/>
        </w:numPr>
        <w:ind w:left="72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Insuficijencija</w:t>
      </w:r>
      <w:proofErr w:type="spellEnd"/>
      <w:r w:rsidRPr="00922EC7">
        <w:rPr>
          <w:szCs w:val="22"/>
          <w:lang w:val="sr-Latn-ME"/>
        </w:rPr>
        <w:t xml:space="preserve"> jetre, akutna </w:t>
      </w:r>
      <w:proofErr w:type="spellStart"/>
      <w:r w:rsidRPr="00922EC7">
        <w:rPr>
          <w:szCs w:val="22"/>
          <w:lang w:val="sr-Latn-ME"/>
        </w:rPr>
        <w:t>intoksikacija</w:t>
      </w:r>
      <w:proofErr w:type="spellEnd"/>
      <w:r w:rsidRPr="00922EC7">
        <w:rPr>
          <w:szCs w:val="22"/>
          <w:lang w:val="sr-Latn-ME"/>
        </w:rPr>
        <w:t xml:space="preserve"> alkoholom, alkoholizam.</w:t>
      </w:r>
    </w:p>
    <w:p w14:paraId="679EB4D6" w14:textId="77777777" w:rsidR="00220937" w:rsidRPr="00922EC7" w:rsidRDefault="00220937">
      <w:pPr>
        <w:pStyle w:val="ListParagraph"/>
        <w:rPr>
          <w:szCs w:val="22"/>
          <w:lang w:val="sr-Latn-ME"/>
        </w:rPr>
      </w:pPr>
    </w:p>
    <w:p w14:paraId="1906B9F9" w14:textId="145DA821" w:rsidR="00CE09F3" w:rsidRPr="00922EC7" w:rsidRDefault="000519F4">
      <w:pPr>
        <w:rPr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4.4. </w:t>
      </w:r>
      <w:r w:rsidRPr="00922EC7">
        <w:rPr>
          <w:b/>
          <w:bCs/>
          <w:szCs w:val="22"/>
          <w:lang w:val="sr-Latn-ME"/>
        </w:rPr>
        <w:tab/>
        <w:t>Posebna upozorenja i mjere opreza pri upotrebi lijeka</w:t>
      </w:r>
      <w:r w:rsidRPr="00922EC7" w:rsidDel="000519F4">
        <w:rPr>
          <w:b/>
          <w:bCs/>
          <w:szCs w:val="22"/>
          <w:lang w:val="sr-Latn-ME"/>
        </w:rPr>
        <w:t xml:space="preserve"> </w:t>
      </w:r>
    </w:p>
    <w:p w14:paraId="5BA04AD4" w14:textId="77777777" w:rsidR="000519F4" w:rsidRPr="00922EC7" w:rsidRDefault="000519F4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17C8C110" w14:textId="010FF114" w:rsidR="00CC22A9" w:rsidRPr="00922EC7" w:rsidRDefault="00CC22A9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proofErr w:type="spellStart"/>
      <w:r w:rsidRPr="00922EC7">
        <w:rPr>
          <w:szCs w:val="22"/>
          <w:u w:val="single"/>
          <w:lang w:val="sr-Latn-ME"/>
        </w:rPr>
        <w:t>Laktatna</w:t>
      </w:r>
      <w:proofErr w:type="spellEnd"/>
      <w:r w:rsidRPr="00922EC7">
        <w:rPr>
          <w:szCs w:val="22"/>
          <w:u w:val="single"/>
          <w:lang w:val="sr-Latn-ME"/>
        </w:rPr>
        <w:t xml:space="preserve"> </w:t>
      </w:r>
      <w:proofErr w:type="spellStart"/>
      <w:r w:rsidRPr="00922EC7">
        <w:rPr>
          <w:szCs w:val="22"/>
          <w:u w:val="single"/>
          <w:lang w:val="sr-Latn-ME"/>
        </w:rPr>
        <w:t>acidoza</w:t>
      </w:r>
      <w:proofErr w:type="spellEnd"/>
      <w:r w:rsidRPr="00922EC7">
        <w:rPr>
          <w:szCs w:val="22"/>
          <w:u w:val="single"/>
          <w:lang w:val="sr-Latn-ME"/>
        </w:rPr>
        <w:t>:</w:t>
      </w:r>
    </w:p>
    <w:p w14:paraId="2D45DA11" w14:textId="1E6D2BBC" w:rsidR="00CC22A9" w:rsidRPr="00922EC7" w:rsidRDefault="00CC22A9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Laktatna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acidoza</w:t>
      </w:r>
      <w:proofErr w:type="spellEnd"/>
      <w:r w:rsidRPr="00922EC7">
        <w:rPr>
          <w:szCs w:val="22"/>
          <w:lang w:val="sr-Latn-ME"/>
        </w:rPr>
        <w:t xml:space="preserve"> je veoma r</w:t>
      </w:r>
      <w:r w:rsidR="00802448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etka ali ozbiljna </w:t>
      </w:r>
      <w:proofErr w:type="spellStart"/>
      <w:r w:rsidRPr="00922EC7">
        <w:rPr>
          <w:szCs w:val="22"/>
          <w:lang w:val="sr-Latn-ME"/>
        </w:rPr>
        <w:t>metabolička</w:t>
      </w:r>
      <w:proofErr w:type="spellEnd"/>
      <w:r w:rsidRPr="00922EC7">
        <w:rPr>
          <w:szCs w:val="22"/>
          <w:lang w:val="sr-Latn-ME"/>
        </w:rPr>
        <w:t xml:space="preserve"> komplikacija, najčešće nastaje kod akutnog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pogoršanja bubrežne funkcije ili </w:t>
      </w:r>
      <w:proofErr w:type="spellStart"/>
      <w:r w:rsidRPr="00922EC7">
        <w:rPr>
          <w:szCs w:val="22"/>
          <w:lang w:val="sr-Latn-ME"/>
        </w:rPr>
        <w:t>kardiorespiratorne</w:t>
      </w:r>
      <w:proofErr w:type="spellEnd"/>
      <w:r w:rsidRPr="00922EC7">
        <w:rPr>
          <w:szCs w:val="22"/>
          <w:lang w:val="sr-Latn-ME"/>
        </w:rPr>
        <w:t xml:space="preserve"> bolesti ili sepse. Nakupljanje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nastaje kod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akutnog pogoršanja bubrežne funkcije i povećava rizik od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>.</w:t>
      </w:r>
    </w:p>
    <w:p w14:paraId="4D650C2B" w14:textId="77777777" w:rsidR="0022694F" w:rsidRPr="00922EC7" w:rsidRDefault="0022694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906B9FA" w14:textId="31B476E2" w:rsidR="00CE09F3" w:rsidRPr="00922EC7" w:rsidRDefault="00CC2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U slučaju dehidratacije (teška dijareja ili povraćanje, febrilno stanje ili smanjen unos tečnosti), potrebno je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privremeno obustaviti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>, a preporuka je da se kontaktira zdravstveni radnik.</w:t>
      </w:r>
    </w:p>
    <w:p w14:paraId="73419171" w14:textId="77777777" w:rsidR="000F0584" w:rsidRPr="00922EC7" w:rsidRDefault="000F058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F84734D" w14:textId="081DF0D9" w:rsidR="00CC22A9" w:rsidRPr="00922EC7" w:rsidRDefault="00191CDC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Ljekovi</w:t>
      </w:r>
      <w:r w:rsidR="00CC22A9" w:rsidRPr="00922EC7">
        <w:rPr>
          <w:szCs w:val="22"/>
          <w:lang w:val="sr-Latn-ME"/>
        </w:rPr>
        <w:t xml:space="preserve"> koji mogu da dovedu do akutn</w:t>
      </w:r>
      <w:r w:rsidR="005A6434" w:rsidRPr="00922EC7">
        <w:rPr>
          <w:szCs w:val="22"/>
          <w:lang w:val="sr-Latn-ME"/>
        </w:rPr>
        <w:t xml:space="preserve">og oštećenja bubrežne funkcije </w:t>
      </w:r>
      <w:r w:rsidR="00CC22A9" w:rsidRPr="00922EC7">
        <w:rPr>
          <w:szCs w:val="22"/>
          <w:lang w:val="sr-Latn-ME"/>
        </w:rPr>
        <w:t xml:space="preserve">kao što su </w:t>
      </w:r>
      <w:proofErr w:type="spellStart"/>
      <w:r w:rsidR="00CC22A9" w:rsidRPr="00922EC7">
        <w:rPr>
          <w:szCs w:val="22"/>
          <w:lang w:val="sr-Latn-ME"/>
        </w:rPr>
        <w:t>antihipertenzivi</w:t>
      </w:r>
      <w:proofErr w:type="spellEnd"/>
      <w:r w:rsidR="00CC22A9" w:rsidRPr="00922EC7">
        <w:rPr>
          <w:szCs w:val="22"/>
          <w:lang w:val="sr-Latn-ME"/>
        </w:rPr>
        <w:t xml:space="preserve">, </w:t>
      </w:r>
      <w:proofErr w:type="spellStart"/>
      <w:r w:rsidR="00CC22A9" w:rsidRPr="00922EC7">
        <w:rPr>
          <w:szCs w:val="22"/>
          <w:lang w:val="sr-Latn-ME"/>
        </w:rPr>
        <w:t>diuretici</w:t>
      </w:r>
      <w:proofErr w:type="spellEnd"/>
      <w:r w:rsidR="00CC22A9" w:rsidRPr="00922EC7">
        <w:rPr>
          <w:szCs w:val="22"/>
          <w:lang w:val="sr-Latn-ME"/>
        </w:rPr>
        <w:t xml:space="preserve"> i</w:t>
      </w:r>
      <w:r w:rsidR="009C0A54" w:rsidRPr="00922EC7">
        <w:rPr>
          <w:szCs w:val="22"/>
          <w:lang w:val="sr-Latn-ME"/>
        </w:rPr>
        <w:t xml:space="preserve"> </w:t>
      </w:r>
      <w:r w:rsidR="00CC22A9" w:rsidRPr="00922EC7">
        <w:rPr>
          <w:szCs w:val="22"/>
          <w:lang w:val="sr-Latn-ME"/>
        </w:rPr>
        <w:t>NSAIL (</w:t>
      </w:r>
      <w:proofErr w:type="spellStart"/>
      <w:r w:rsidR="00CC22A9" w:rsidRPr="00922EC7">
        <w:rPr>
          <w:szCs w:val="22"/>
          <w:lang w:val="sr-Latn-ME"/>
        </w:rPr>
        <w:t>nesteroidni</w:t>
      </w:r>
      <w:proofErr w:type="spellEnd"/>
      <w:r w:rsidR="00CC22A9" w:rsidRPr="00922EC7">
        <w:rPr>
          <w:szCs w:val="22"/>
          <w:lang w:val="sr-Latn-ME"/>
        </w:rPr>
        <w:t xml:space="preserve"> </w:t>
      </w:r>
      <w:proofErr w:type="spellStart"/>
      <w:r w:rsidR="00CC22A9" w:rsidRPr="00922EC7">
        <w:rPr>
          <w:szCs w:val="22"/>
          <w:lang w:val="sr-Latn-ME"/>
        </w:rPr>
        <w:t>antiinflamatorni</w:t>
      </w:r>
      <w:proofErr w:type="spellEnd"/>
      <w:r w:rsidR="00CC22A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ljekovi</w:t>
      </w:r>
      <w:r w:rsidR="00CC22A9" w:rsidRPr="00922EC7">
        <w:rPr>
          <w:szCs w:val="22"/>
          <w:lang w:val="sr-Latn-ME"/>
        </w:rPr>
        <w:t xml:space="preserve">) treba oprezno da se daju pacijentima na terapiji </w:t>
      </w:r>
      <w:proofErr w:type="spellStart"/>
      <w:r w:rsidR="00CC22A9" w:rsidRPr="00922EC7">
        <w:rPr>
          <w:szCs w:val="22"/>
          <w:lang w:val="sr-Latn-ME"/>
        </w:rPr>
        <w:t>metforminom</w:t>
      </w:r>
      <w:proofErr w:type="spellEnd"/>
      <w:r w:rsidR="00CC22A9" w:rsidRPr="00922EC7">
        <w:rPr>
          <w:szCs w:val="22"/>
          <w:lang w:val="sr-Latn-ME"/>
        </w:rPr>
        <w:t>.</w:t>
      </w:r>
      <w:r w:rsidR="009C0A54" w:rsidRPr="00922EC7">
        <w:rPr>
          <w:szCs w:val="22"/>
          <w:lang w:val="sr-Latn-ME"/>
        </w:rPr>
        <w:t xml:space="preserve"> </w:t>
      </w:r>
      <w:r w:rsidR="00CC22A9" w:rsidRPr="00922EC7">
        <w:rPr>
          <w:szCs w:val="22"/>
          <w:lang w:val="sr-Latn-ME"/>
        </w:rPr>
        <w:t xml:space="preserve">Ostali faktori rizika za </w:t>
      </w:r>
      <w:proofErr w:type="spellStart"/>
      <w:r w:rsidR="00CC22A9" w:rsidRPr="00922EC7">
        <w:rPr>
          <w:szCs w:val="22"/>
          <w:lang w:val="sr-Latn-ME"/>
        </w:rPr>
        <w:t>laktatnu</w:t>
      </w:r>
      <w:proofErr w:type="spellEnd"/>
      <w:r w:rsidR="00CC22A9" w:rsidRPr="00922EC7">
        <w:rPr>
          <w:szCs w:val="22"/>
          <w:lang w:val="sr-Latn-ME"/>
        </w:rPr>
        <w:t xml:space="preserve"> </w:t>
      </w:r>
      <w:proofErr w:type="spellStart"/>
      <w:r w:rsidR="00CC22A9" w:rsidRPr="00922EC7">
        <w:rPr>
          <w:szCs w:val="22"/>
          <w:lang w:val="sr-Latn-ME"/>
        </w:rPr>
        <w:t>acidozu</w:t>
      </w:r>
      <w:proofErr w:type="spellEnd"/>
      <w:r w:rsidR="00CC22A9" w:rsidRPr="00922EC7">
        <w:rPr>
          <w:szCs w:val="22"/>
          <w:lang w:val="sr-Latn-ME"/>
        </w:rPr>
        <w:t xml:space="preserve"> su prekom</w:t>
      </w:r>
      <w:r w:rsidR="00802448" w:rsidRPr="00922EC7">
        <w:rPr>
          <w:szCs w:val="22"/>
          <w:lang w:val="sr-Latn-ME"/>
        </w:rPr>
        <w:t>j</w:t>
      </w:r>
      <w:r w:rsidR="00CC22A9" w:rsidRPr="00922EC7">
        <w:rPr>
          <w:szCs w:val="22"/>
          <w:lang w:val="sr-Latn-ME"/>
        </w:rPr>
        <w:t xml:space="preserve">erni unos alkohola, </w:t>
      </w:r>
      <w:proofErr w:type="spellStart"/>
      <w:r w:rsidR="00CC22A9" w:rsidRPr="00922EC7">
        <w:rPr>
          <w:szCs w:val="22"/>
          <w:lang w:val="sr-Latn-ME"/>
        </w:rPr>
        <w:t>hepatička</w:t>
      </w:r>
      <w:proofErr w:type="spellEnd"/>
      <w:r w:rsidR="00CC22A9" w:rsidRPr="00922EC7">
        <w:rPr>
          <w:szCs w:val="22"/>
          <w:lang w:val="sr-Latn-ME"/>
        </w:rPr>
        <w:t xml:space="preserve"> </w:t>
      </w:r>
      <w:proofErr w:type="spellStart"/>
      <w:r w:rsidR="00CC22A9" w:rsidRPr="00922EC7">
        <w:rPr>
          <w:szCs w:val="22"/>
          <w:lang w:val="sr-Latn-ME"/>
        </w:rPr>
        <w:t>insuficijencija</w:t>
      </w:r>
      <w:proofErr w:type="spellEnd"/>
      <w:r w:rsidR="00CC22A9" w:rsidRPr="00922EC7">
        <w:rPr>
          <w:szCs w:val="22"/>
          <w:lang w:val="sr-Latn-ME"/>
        </w:rPr>
        <w:t>, neadekvatno</w:t>
      </w:r>
      <w:r w:rsidR="009C0A54" w:rsidRPr="00922EC7">
        <w:rPr>
          <w:szCs w:val="22"/>
          <w:lang w:val="sr-Latn-ME"/>
        </w:rPr>
        <w:t xml:space="preserve"> </w:t>
      </w:r>
      <w:r w:rsidR="00CC22A9" w:rsidRPr="00922EC7">
        <w:rPr>
          <w:szCs w:val="22"/>
          <w:lang w:val="sr-Latn-ME"/>
        </w:rPr>
        <w:lastRenderedPageBreak/>
        <w:t xml:space="preserve">regulisan dijabetes, </w:t>
      </w:r>
      <w:proofErr w:type="spellStart"/>
      <w:r w:rsidR="00CC22A9" w:rsidRPr="00922EC7">
        <w:rPr>
          <w:szCs w:val="22"/>
          <w:lang w:val="sr-Latn-ME"/>
        </w:rPr>
        <w:t>ketoza</w:t>
      </w:r>
      <w:proofErr w:type="spellEnd"/>
      <w:r w:rsidR="00CC22A9" w:rsidRPr="00922EC7">
        <w:rPr>
          <w:szCs w:val="22"/>
          <w:lang w:val="sr-Latn-ME"/>
        </w:rPr>
        <w:t xml:space="preserve">, produženo gladovanje i bilo koje drugo stanje povezano sa </w:t>
      </w:r>
      <w:proofErr w:type="spellStart"/>
      <w:r w:rsidR="00CC22A9" w:rsidRPr="00922EC7">
        <w:rPr>
          <w:szCs w:val="22"/>
          <w:lang w:val="sr-Latn-ME"/>
        </w:rPr>
        <w:t>hipoksijom</w:t>
      </w:r>
      <w:proofErr w:type="spellEnd"/>
      <w:r w:rsidR="00CC22A9" w:rsidRPr="00922EC7">
        <w:rPr>
          <w:szCs w:val="22"/>
          <w:lang w:val="sr-Latn-ME"/>
        </w:rPr>
        <w:t>, kao i</w:t>
      </w:r>
      <w:r w:rsidR="009C0A54" w:rsidRPr="00922EC7">
        <w:rPr>
          <w:szCs w:val="22"/>
          <w:lang w:val="sr-Latn-ME"/>
        </w:rPr>
        <w:t xml:space="preserve"> </w:t>
      </w:r>
      <w:r w:rsidR="00CC22A9" w:rsidRPr="00922EC7">
        <w:rPr>
          <w:szCs w:val="22"/>
          <w:lang w:val="sr-Latn-ME"/>
        </w:rPr>
        <w:t xml:space="preserve">istovremeno korišćenje </w:t>
      </w:r>
      <w:r w:rsidRPr="00922EC7">
        <w:rPr>
          <w:szCs w:val="22"/>
          <w:lang w:val="sr-Latn-ME"/>
        </w:rPr>
        <w:t>ljek</w:t>
      </w:r>
      <w:r w:rsidR="00CC22A9" w:rsidRPr="00922EC7">
        <w:rPr>
          <w:szCs w:val="22"/>
          <w:lang w:val="sr-Latn-ME"/>
        </w:rPr>
        <w:t xml:space="preserve">ova koji mogu da prouzrokuju </w:t>
      </w:r>
      <w:proofErr w:type="spellStart"/>
      <w:r w:rsidR="00CC22A9" w:rsidRPr="00922EC7">
        <w:rPr>
          <w:szCs w:val="22"/>
          <w:lang w:val="sr-Latn-ME"/>
        </w:rPr>
        <w:t>lakt</w:t>
      </w:r>
      <w:r w:rsidR="005A6434" w:rsidRPr="00922EC7">
        <w:rPr>
          <w:szCs w:val="22"/>
          <w:lang w:val="sr-Latn-ME"/>
        </w:rPr>
        <w:t>atnu</w:t>
      </w:r>
      <w:proofErr w:type="spellEnd"/>
      <w:r w:rsidR="005A6434" w:rsidRPr="00922EC7">
        <w:rPr>
          <w:szCs w:val="22"/>
          <w:lang w:val="sr-Latn-ME"/>
        </w:rPr>
        <w:t xml:space="preserve"> </w:t>
      </w:r>
      <w:proofErr w:type="spellStart"/>
      <w:r w:rsidR="005A6434" w:rsidRPr="00922EC7">
        <w:rPr>
          <w:szCs w:val="22"/>
          <w:lang w:val="sr-Latn-ME"/>
        </w:rPr>
        <w:t>acidozu</w:t>
      </w:r>
      <w:proofErr w:type="spellEnd"/>
      <w:r w:rsidR="005A6434" w:rsidRPr="00922EC7">
        <w:rPr>
          <w:szCs w:val="22"/>
          <w:lang w:val="sr-Latn-ME"/>
        </w:rPr>
        <w:t xml:space="preserve"> (</w:t>
      </w:r>
      <w:r w:rsidR="000F0584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 xml:space="preserve">djelove </w:t>
      </w:r>
      <w:r w:rsidR="00CC22A9" w:rsidRPr="00922EC7">
        <w:rPr>
          <w:szCs w:val="22"/>
          <w:lang w:val="sr-Latn-ME"/>
        </w:rPr>
        <w:t>4.3 i 4.5).</w:t>
      </w:r>
    </w:p>
    <w:p w14:paraId="065E43D6" w14:textId="77777777" w:rsidR="007F36A2" w:rsidRPr="00922EC7" w:rsidRDefault="007F36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4824D5B" w14:textId="7FAD6AA1" w:rsidR="00CC22A9" w:rsidRPr="00922EC7" w:rsidRDefault="00CC22A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Potrebno je informisati pacijente i/ili osobe koje </w:t>
      </w:r>
      <w:proofErr w:type="spellStart"/>
      <w:r w:rsidRPr="00922EC7">
        <w:rPr>
          <w:szCs w:val="22"/>
          <w:lang w:val="sr-Latn-ME"/>
        </w:rPr>
        <w:t>n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eguju</w:t>
      </w:r>
      <w:proofErr w:type="spellEnd"/>
      <w:r w:rsidRPr="00922EC7">
        <w:rPr>
          <w:szCs w:val="22"/>
          <w:lang w:val="sr-Latn-ME"/>
        </w:rPr>
        <w:t xml:space="preserve"> pacijente o rizicima od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 xml:space="preserve">. </w:t>
      </w:r>
      <w:proofErr w:type="spellStart"/>
      <w:r w:rsidRPr="00922EC7">
        <w:rPr>
          <w:szCs w:val="22"/>
          <w:lang w:val="sr-Latn-ME"/>
        </w:rPr>
        <w:t>Laktatna</w:t>
      </w:r>
      <w:proofErr w:type="spellEnd"/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acidoza</w:t>
      </w:r>
      <w:proofErr w:type="spellEnd"/>
      <w:r w:rsidRPr="00922EC7">
        <w:rPr>
          <w:szCs w:val="22"/>
          <w:lang w:val="sr-Latn-ME"/>
        </w:rPr>
        <w:t xml:space="preserve"> se karakteriše </w:t>
      </w:r>
      <w:proofErr w:type="spellStart"/>
      <w:r w:rsidRPr="00922EC7">
        <w:rPr>
          <w:szCs w:val="22"/>
          <w:lang w:val="sr-Latn-ME"/>
        </w:rPr>
        <w:t>acidoznom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dispnejom</w:t>
      </w:r>
      <w:proofErr w:type="spellEnd"/>
      <w:r w:rsidRPr="00922EC7">
        <w:rPr>
          <w:szCs w:val="22"/>
          <w:lang w:val="sr-Latn-ME"/>
        </w:rPr>
        <w:t>, abdominalnim bolom, mišićnim grčevima, astenijom i</w:t>
      </w:r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hipotermijom</w:t>
      </w:r>
      <w:proofErr w:type="spellEnd"/>
      <w:r w:rsidRPr="00922EC7">
        <w:rPr>
          <w:szCs w:val="22"/>
          <w:lang w:val="sr-Latn-ME"/>
        </w:rPr>
        <w:t>, koji su praćeni komom. U slučaju pojave sumnjivih simptoma, pacijent treba da prekine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uzimanje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i potraži hitnu medicinsku pomoć. Dijagnostički laboratorijski nalazi su: snižen </w:t>
      </w:r>
      <w:proofErr w:type="spellStart"/>
      <w:r w:rsidRPr="00922EC7">
        <w:rPr>
          <w:szCs w:val="22"/>
          <w:lang w:val="sr-Latn-ME"/>
        </w:rPr>
        <w:t>pH</w:t>
      </w:r>
      <w:proofErr w:type="spellEnd"/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krvi (&lt; 7,35), povećane vr</w:t>
      </w:r>
      <w:r w:rsidR="00802448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ednosti </w:t>
      </w:r>
      <w:proofErr w:type="spellStart"/>
      <w:r w:rsidRPr="00922EC7">
        <w:rPr>
          <w:szCs w:val="22"/>
          <w:lang w:val="sr-Latn-ME"/>
        </w:rPr>
        <w:t>laktata</w:t>
      </w:r>
      <w:proofErr w:type="spellEnd"/>
      <w:r w:rsidRPr="00922EC7">
        <w:rPr>
          <w:szCs w:val="22"/>
          <w:lang w:val="sr-Latn-ME"/>
        </w:rPr>
        <w:t xml:space="preserve"> u plazmi (&gt; 5 </w:t>
      </w:r>
      <w:proofErr w:type="spellStart"/>
      <w:r w:rsidRPr="00922EC7">
        <w:rPr>
          <w:szCs w:val="22"/>
          <w:lang w:val="sr-Latn-ME"/>
        </w:rPr>
        <w:t>mmol</w:t>
      </w:r>
      <w:proofErr w:type="spellEnd"/>
      <w:r w:rsidRPr="00922EC7">
        <w:rPr>
          <w:szCs w:val="22"/>
          <w:lang w:val="sr-Latn-ME"/>
        </w:rPr>
        <w:t>/</w:t>
      </w:r>
      <w:r w:rsidR="000F0584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 xml:space="preserve">) i povećan </w:t>
      </w:r>
      <w:proofErr w:type="spellStart"/>
      <w:r w:rsidRPr="00922EC7">
        <w:rPr>
          <w:szCs w:val="22"/>
          <w:lang w:val="sr-Latn-ME"/>
        </w:rPr>
        <w:t>anjonski</w:t>
      </w:r>
      <w:proofErr w:type="spellEnd"/>
      <w:r w:rsidRPr="00922EC7">
        <w:rPr>
          <w:szCs w:val="22"/>
          <w:lang w:val="sr-Latn-ME"/>
        </w:rPr>
        <w:t xml:space="preserve"> „</w:t>
      </w:r>
      <w:proofErr w:type="spellStart"/>
      <w:r w:rsidRPr="00922EC7">
        <w:rPr>
          <w:szCs w:val="22"/>
          <w:lang w:val="sr-Latn-ME"/>
        </w:rPr>
        <w:t>gap</w:t>
      </w:r>
      <w:proofErr w:type="spellEnd"/>
      <w:r w:rsidRPr="00922EC7">
        <w:rPr>
          <w:bCs/>
          <w:szCs w:val="22"/>
          <w:lang w:val="sr-Latn-ME"/>
        </w:rPr>
        <w:t xml:space="preserve">” </w:t>
      </w:r>
      <w:r w:rsidRPr="00922EC7">
        <w:rPr>
          <w:szCs w:val="22"/>
          <w:lang w:val="sr-Latn-ME"/>
        </w:rPr>
        <w:t>i odnos vr</w:t>
      </w:r>
      <w:r w:rsidR="00802448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ednosti</w:t>
      </w:r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laktata</w:t>
      </w:r>
      <w:proofErr w:type="spellEnd"/>
      <w:r w:rsidRPr="00922EC7">
        <w:rPr>
          <w:szCs w:val="22"/>
          <w:lang w:val="sr-Latn-ME"/>
        </w:rPr>
        <w:t xml:space="preserve"> i </w:t>
      </w:r>
      <w:proofErr w:type="spellStart"/>
      <w:r w:rsidRPr="00922EC7">
        <w:rPr>
          <w:szCs w:val="22"/>
          <w:lang w:val="sr-Latn-ME"/>
        </w:rPr>
        <w:t>piruvata</w:t>
      </w:r>
      <w:proofErr w:type="spellEnd"/>
      <w:r w:rsidRPr="00922EC7">
        <w:rPr>
          <w:szCs w:val="22"/>
          <w:lang w:val="sr-Latn-ME"/>
        </w:rPr>
        <w:t>.</w:t>
      </w:r>
    </w:p>
    <w:p w14:paraId="321F1864" w14:textId="4B0A43A6" w:rsidR="007F36A2" w:rsidRPr="00922EC7" w:rsidRDefault="007F36A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L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ekar treba upozoriti </w:t>
      </w:r>
      <w:r w:rsidR="00C52AF8" w:rsidRPr="00922EC7">
        <w:rPr>
          <w:szCs w:val="22"/>
          <w:lang w:val="sr-Latn-ME"/>
        </w:rPr>
        <w:t xml:space="preserve">pacijente na simptome i rizik o nastanku </w:t>
      </w:r>
      <w:proofErr w:type="spellStart"/>
      <w:r w:rsidR="00C52AF8" w:rsidRPr="00922EC7">
        <w:rPr>
          <w:szCs w:val="22"/>
          <w:lang w:val="sr-Latn-ME"/>
        </w:rPr>
        <w:t>laktatne</w:t>
      </w:r>
      <w:proofErr w:type="spellEnd"/>
      <w:r w:rsidR="00C52AF8" w:rsidRPr="00922EC7">
        <w:rPr>
          <w:szCs w:val="22"/>
          <w:lang w:val="sr-Latn-ME"/>
        </w:rPr>
        <w:t xml:space="preserve"> </w:t>
      </w:r>
      <w:proofErr w:type="spellStart"/>
      <w:r w:rsidR="00C52AF8" w:rsidRPr="00922EC7">
        <w:rPr>
          <w:szCs w:val="22"/>
          <w:lang w:val="sr-Latn-ME"/>
        </w:rPr>
        <w:t>acidoze</w:t>
      </w:r>
      <w:proofErr w:type="spellEnd"/>
      <w:r w:rsidR="00C52AF8" w:rsidRPr="00922EC7">
        <w:rPr>
          <w:szCs w:val="22"/>
          <w:lang w:val="sr-Latn-ME"/>
        </w:rPr>
        <w:t>.</w:t>
      </w:r>
    </w:p>
    <w:p w14:paraId="60281A80" w14:textId="153DD401" w:rsidR="00CC22A9" w:rsidRPr="00922EC7" w:rsidRDefault="00CC22A9">
      <w:pPr>
        <w:rPr>
          <w:szCs w:val="22"/>
          <w:lang w:val="sr-Latn-ME"/>
        </w:rPr>
      </w:pPr>
    </w:p>
    <w:p w14:paraId="6FD77FD5" w14:textId="77777777" w:rsidR="00CC22A9" w:rsidRPr="00922EC7" w:rsidRDefault="00CC22A9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proofErr w:type="spellStart"/>
      <w:r w:rsidRPr="00922EC7">
        <w:rPr>
          <w:szCs w:val="22"/>
          <w:u w:val="single"/>
          <w:lang w:val="sr-Latn-ME"/>
        </w:rPr>
        <w:t>Renalna</w:t>
      </w:r>
      <w:proofErr w:type="spellEnd"/>
      <w:r w:rsidRPr="00922EC7">
        <w:rPr>
          <w:szCs w:val="22"/>
          <w:u w:val="single"/>
          <w:lang w:val="sr-Latn-ME"/>
        </w:rPr>
        <w:t xml:space="preserve"> funkcija:</w:t>
      </w:r>
    </w:p>
    <w:p w14:paraId="7FFAE1F5" w14:textId="616B934C" w:rsidR="00CC22A9" w:rsidRPr="00922EC7" w:rsidRDefault="00CC22A9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Potrebno je izm</w:t>
      </w:r>
      <w:r w:rsidR="00802448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eriti G</w:t>
      </w:r>
      <w:r w:rsidR="005A6434" w:rsidRPr="00922EC7">
        <w:rPr>
          <w:szCs w:val="22"/>
          <w:lang w:val="sr-Latn-ME"/>
        </w:rPr>
        <w:t xml:space="preserve">FR (brzinu </w:t>
      </w:r>
      <w:proofErr w:type="spellStart"/>
      <w:r w:rsidR="005A6434" w:rsidRPr="00922EC7">
        <w:rPr>
          <w:szCs w:val="22"/>
          <w:lang w:val="sr-Latn-ME"/>
        </w:rPr>
        <w:t>glomerul</w:t>
      </w:r>
      <w:r w:rsidRPr="00922EC7">
        <w:rPr>
          <w:szCs w:val="22"/>
          <w:lang w:val="sr-Latn-ME"/>
        </w:rPr>
        <w:t>a</w:t>
      </w:r>
      <w:r w:rsidR="005A6434" w:rsidRPr="00922EC7">
        <w:rPr>
          <w:szCs w:val="22"/>
          <w:lang w:val="sr-Latn-ME"/>
        </w:rPr>
        <w:t>r</w:t>
      </w:r>
      <w:r w:rsidRPr="00922EC7">
        <w:rPr>
          <w:szCs w:val="22"/>
          <w:lang w:val="sr-Latn-ME"/>
        </w:rPr>
        <w:t>ne</w:t>
      </w:r>
      <w:proofErr w:type="spellEnd"/>
      <w:r w:rsidRPr="00922EC7">
        <w:rPr>
          <w:szCs w:val="22"/>
          <w:lang w:val="sr-Latn-ME"/>
        </w:rPr>
        <w:t xml:space="preserve"> filtracije) pr</w:t>
      </w:r>
      <w:r w:rsidR="00401B5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 početka terapije i redovno ga pratiti posl</w:t>
      </w:r>
      <w:r w:rsidR="00802448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 toga</w:t>
      </w:r>
      <w:r w:rsidR="009C0A54" w:rsidRPr="00922EC7">
        <w:rPr>
          <w:szCs w:val="22"/>
          <w:lang w:val="sr-Latn-ME"/>
        </w:rPr>
        <w:t xml:space="preserve"> </w:t>
      </w:r>
      <w:r w:rsidR="005A6434" w:rsidRPr="00922EC7">
        <w:rPr>
          <w:szCs w:val="22"/>
          <w:lang w:val="sr-Latn-ME"/>
        </w:rPr>
        <w:t>(</w:t>
      </w:r>
      <w:r w:rsidR="000F0584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>dio</w:t>
      </w:r>
      <w:r w:rsidR="00191CD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4.2).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je kontraindikovan kod pacijenata kod kojih je GFR &lt; 30 m</w:t>
      </w:r>
      <w:r w:rsidR="000F0584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>/min, i treba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da se privremeno obustavi kod stanja koja m</w:t>
      </w:r>
      <w:r w:rsidR="00401B5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enjaju bubrežnu funkciju (</w:t>
      </w:r>
      <w:r w:rsidR="000F0584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>dio</w:t>
      </w:r>
      <w:r w:rsidR="00191CD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4.3).</w:t>
      </w:r>
    </w:p>
    <w:p w14:paraId="1C7C5399" w14:textId="7295081B" w:rsidR="00CC22A9" w:rsidRPr="00922EC7" w:rsidRDefault="00CC22A9" w:rsidP="00CA4A82">
      <w:pPr>
        <w:rPr>
          <w:szCs w:val="22"/>
          <w:lang w:val="sr-Latn-ME"/>
        </w:rPr>
      </w:pPr>
    </w:p>
    <w:p w14:paraId="7096B547" w14:textId="4FD1A288" w:rsidR="00CC22A9" w:rsidRPr="00922EC7" w:rsidRDefault="00CC22A9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Srčana funkcija</w:t>
      </w:r>
      <w:r w:rsidR="00411F60" w:rsidRPr="00922EC7">
        <w:rPr>
          <w:szCs w:val="22"/>
          <w:u w:val="single"/>
          <w:lang w:val="sr-Latn-ME"/>
        </w:rPr>
        <w:t>:</w:t>
      </w:r>
    </w:p>
    <w:p w14:paraId="3100640E" w14:textId="76FEBE85" w:rsidR="00CC22A9" w:rsidRPr="00922EC7" w:rsidRDefault="00CC22A9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Pacijenti sa srčanom </w:t>
      </w:r>
      <w:proofErr w:type="spellStart"/>
      <w:r w:rsidRPr="00922EC7">
        <w:rPr>
          <w:szCs w:val="22"/>
          <w:lang w:val="sr-Latn-ME"/>
        </w:rPr>
        <w:t>insuficijencijom</w:t>
      </w:r>
      <w:proofErr w:type="spellEnd"/>
      <w:r w:rsidRPr="00922EC7">
        <w:rPr>
          <w:szCs w:val="22"/>
          <w:lang w:val="sr-Latn-ME"/>
        </w:rPr>
        <w:t xml:space="preserve"> imaju veći rizik </w:t>
      </w:r>
      <w:r w:rsidR="000F0584" w:rsidRPr="00922EC7">
        <w:rPr>
          <w:szCs w:val="22"/>
          <w:lang w:val="sr-Latn-ME"/>
        </w:rPr>
        <w:t>od</w:t>
      </w:r>
      <w:r w:rsidRPr="00922EC7">
        <w:rPr>
          <w:szCs w:val="22"/>
          <w:lang w:val="sr-Latn-ME"/>
        </w:rPr>
        <w:t xml:space="preserve"> nastanak</w:t>
      </w:r>
      <w:r w:rsidR="000F0584" w:rsidRPr="00922EC7">
        <w:rPr>
          <w:szCs w:val="22"/>
          <w:lang w:val="sr-Latn-ME"/>
        </w:rPr>
        <w:t>a</w:t>
      </w:r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hipoksije</w:t>
      </w:r>
      <w:proofErr w:type="spellEnd"/>
      <w:r w:rsidRPr="00922EC7">
        <w:rPr>
          <w:szCs w:val="22"/>
          <w:lang w:val="sr-Latn-ME"/>
        </w:rPr>
        <w:t xml:space="preserve"> i </w:t>
      </w:r>
      <w:proofErr w:type="spellStart"/>
      <w:r w:rsidRPr="00922EC7">
        <w:rPr>
          <w:szCs w:val="22"/>
          <w:lang w:val="sr-Latn-ME"/>
        </w:rPr>
        <w:t>renalne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insuficjencije</w:t>
      </w:r>
      <w:proofErr w:type="spellEnd"/>
      <w:r w:rsidRPr="00922EC7">
        <w:rPr>
          <w:szCs w:val="22"/>
          <w:lang w:val="sr-Latn-ME"/>
        </w:rPr>
        <w:t>. Kod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pacijenata sa stabilnom hroničnom srčanom </w:t>
      </w:r>
      <w:proofErr w:type="spellStart"/>
      <w:r w:rsidRPr="00922EC7">
        <w:rPr>
          <w:szCs w:val="22"/>
          <w:lang w:val="sr-Latn-ME"/>
        </w:rPr>
        <w:t>insuficijencijom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se može koristiti uz redovno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praćenje srčane i </w:t>
      </w:r>
      <w:proofErr w:type="spellStart"/>
      <w:r w:rsidRPr="00922EC7">
        <w:rPr>
          <w:szCs w:val="22"/>
          <w:lang w:val="sr-Latn-ME"/>
        </w:rPr>
        <w:t>renalne</w:t>
      </w:r>
      <w:proofErr w:type="spellEnd"/>
      <w:r w:rsidRPr="00922EC7">
        <w:rPr>
          <w:szCs w:val="22"/>
          <w:lang w:val="sr-Latn-ME"/>
        </w:rPr>
        <w:t xml:space="preserve"> funkcije.</w:t>
      </w:r>
    </w:p>
    <w:p w14:paraId="035FA9CC" w14:textId="25DFF472" w:rsidR="00CC22A9" w:rsidRPr="00922EC7" w:rsidRDefault="00CC22A9" w:rsidP="000F058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Kod pacijenata sa akutnom i nestabilnom srčanom </w:t>
      </w:r>
      <w:proofErr w:type="spellStart"/>
      <w:r w:rsidRPr="00922EC7">
        <w:rPr>
          <w:szCs w:val="22"/>
          <w:lang w:val="sr-Latn-ME"/>
        </w:rPr>
        <w:t>insuficijencijom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je kontraindikovan (</w:t>
      </w:r>
      <w:r w:rsidR="000F0584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>dio</w:t>
      </w:r>
      <w:r w:rsidR="00191CD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4.3).</w:t>
      </w:r>
    </w:p>
    <w:p w14:paraId="4830CD20" w14:textId="77777777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8019A1B" w14:textId="77777777" w:rsidR="00CC22A9" w:rsidRPr="00922EC7" w:rsidRDefault="00CC22A9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Stariji pacijenti:</w:t>
      </w:r>
    </w:p>
    <w:p w14:paraId="5A64E6D2" w14:textId="21F1380F" w:rsidR="00CC22A9" w:rsidRPr="00922EC7" w:rsidRDefault="00CC22A9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Usl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ed</w:t>
      </w:r>
      <w:proofErr w:type="spellEnd"/>
      <w:r w:rsidRPr="00922EC7">
        <w:rPr>
          <w:szCs w:val="22"/>
          <w:lang w:val="sr-Latn-ME"/>
        </w:rPr>
        <w:t xml:space="preserve"> ograničenih podataka o terapijskoj efikasnosti u prevenciji ili odlaganju ispoljavanja tip 2 dijabetes</w:t>
      </w:r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melitusa</w:t>
      </w:r>
      <w:proofErr w:type="spellEnd"/>
      <w:r w:rsidRPr="00922EC7">
        <w:rPr>
          <w:szCs w:val="22"/>
          <w:lang w:val="sr-Latn-ME"/>
        </w:rPr>
        <w:t xml:space="preserve"> kod pacijenata od 75 godina i starijih, započinjanje terapije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 se ne preporučuje kod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ovih pacijenata.</w:t>
      </w:r>
    </w:p>
    <w:p w14:paraId="2C3FD238" w14:textId="63C1B041" w:rsidR="00CC22A9" w:rsidRPr="00922EC7" w:rsidRDefault="00CC22A9">
      <w:pPr>
        <w:rPr>
          <w:szCs w:val="22"/>
          <w:lang w:val="sr-Latn-ME"/>
        </w:rPr>
      </w:pPr>
    </w:p>
    <w:p w14:paraId="2BA89F11" w14:textId="69390F6A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Prim</w:t>
      </w:r>
      <w:r w:rsidR="009C1C1D" w:rsidRPr="00922EC7">
        <w:rPr>
          <w:szCs w:val="22"/>
          <w:u w:val="single"/>
          <w:lang w:val="sr-Latn-ME"/>
        </w:rPr>
        <w:t>j</w:t>
      </w:r>
      <w:r w:rsidRPr="00922EC7">
        <w:rPr>
          <w:szCs w:val="22"/>
          <w:u w:val="single"/>
          <w:lang w:val="sr-Latn-ME"/>
        </w:rPr>
        <w:t>ena kontrastnih sredstava sa jodom:</w:t>
      </w:r>
    </w:p>
    <w:p w14:paraId="7EEB1CA6" w14:textId="3E006D8B" w:rsidR="00411F60" w:rsidRPr="00922EC7" w:rsidRDefault="00411F60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Intravaskularna</w:t>
      </w:r>
      <w:proofErr w:type="spellEnd"/>
      <w:r w:rsidRPr="00922EC7">
        <w:rPr>
          <w:szCs w:val="22"/>
          <w:lang w:val="sr-Latn-ME"/>
        </w:rPr>
        <w:t xml:space="preserve"> prim</w:t>
      </w:r>
      <w:r w:rsidR="00401B5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ena kontrastnih sredstava sa jodom može dovesti do kontrastom indukovane </w:t>
      </w:r>
      <w:proofErr w:type="spellStart"/>
      <w:r w:rsidRPr="00922EC7">
        <w:rPr>
          <w:szCs w:val="22"/>
          <w:lang w:val="sr-Latn-ME"/>
        </w:rPr>
        <w:t>nefropatije</w:t>
      </w:r>
      <w:proofErr w:type="spellEnd"/>
      <w:r w:rsidRPr="00922EC7">
        <w:rPr>
          <w:szCs w:val="22"/>
          <w:lang w:val="sr-Latn-ME"/>
        </w:rPr>
        <w:t>,</w:t>
      </w:r>
    </w:p>
    <w:p w14:paraId="06ED00F9" w14:textId="042C1027" w:rsidR="00411F60" w:rsidRPr="00922EC7" w:rsidRDefault="00411F60" w:rsidP="0032708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što može izazvati akumulaciju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i povećati rizik </w:t>
      </w:r>
      <w:r w:rsidR="00327085" w:rsidRPr="00922EC7">
        <w:rPr>
          <w:szCs w:val="22"/>
          <w:lang w:val="sr-Latn-ME"/>
        </w:rPr>
        <w:t>od</w:t>
      </w:r>
      <w:r w:rsidRPr="00922EC7">
        <w:rPr>
          <w:szCs w:val="22"/>
          <w:lang w:val="sr-Latn-ME"/>
        </w:rPr>
        <w:t xml:space="preserve"> nastanak</w:t>
      </w:r>
      <w:r w:rsidR="00327085" w:rsidRPr="00922EC7">
        <w:rPr>
          <w:szCs w:val="22"/>
          <w:lang w:val="sr-Latn-ME"/>
        </w:rPr>
        <w:t>a</w:t>
      </w:r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>. Uzimanje</w:t>
      </w:r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treba prekinuti pr</w:t>
      </w:r>
      <w:r w:rsidR="00401B5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e, odnosno za vr</w:t>
      </w:r>
      <w:r w:rsidR="00401B5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eme snimanja, i ne treba ga ponovo uzimati najmanje 48 sati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nakon snimanja, a uvesti ga ponovo u terapiju tek nakon </w:t>
      </w:r>
      <w:proofErr w:type="spellStart"/>
      <w:r w:rsidRPr="00922EC7">
        <w:rPr>
          <w:szCs w:val="22"/>
          <w:lang w:val="sr-Latn-ME"/>
        </w:rPr>
        <w:t>reevaluacije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renalne</w:t>
      </w:r>
      <w:proofErr w:type="spellEnd"/>
      <w:r w:rsidRPr="00922EC7">
        <w:rPr>
          <w:szCs w:val="22"/>
          <w:lang w:val="sr-Latn-ME"/>
        </w:rPr>
        <w:t xml:space="preserve"> funkcije i potvrde da je </w:t>
      </w:r>
      <w:proofErr w:type="spellStart"/>
      <w:r w:rsidRPr="00922EC7">
        <w:rPr>
          <w:szCs w:val="22"/>
          <w:lang w:val="sr-Latn-ME"/>
        </w:rPr>
        <w:t>renalna</w:t>
      </w:r>
      <w:proofErr w:type="spellEnd"/>
      <w:r w:rsidR="005A6434" w:rsidRPr="00922EC7">
        <w:rPr>
          <w:szCs w:val="22"/>
          <w:lang w:val="sr-Latn-ME"/>
        </w:rPr>
        <w:t xml:space="preserve"> funkcija normalna (</w:t>
      </w:r>
      <w:r w:rsidR="00327085" w:rsidRPr="00922EC7">
        <w:rPr>
          <w:szCs w:val="22"/>
          <w:lang w:val="sr-Latn-ME"/>
        </w:rPr>
        <w:t xml:space="preserve">vidjeti </w:t>
      </w:r>
      <w:r w:rsidR="00DB08D5" w:rsidRPr="00922EC7">
        <w:rPr>
          <w:szCs w:val="22"/>
          <w:lang w:val="sr-Latn-ME"/>
        </w:rPr>
        <w:t xml:space="preserve">djelove </w:t>
      </w:r>
      <w:r w:rsidRPr="00922EC7">
        <w:rPr>
          <w:szCs w:val="22"/>
          <w:lang w:val="sr-Latn-ME"/>
        </w:rPr>
        <w:t>4.2 i 4.5).</w:t>
      </w:r>
    </w:p>
    <w:p w14:paraId="36BE28BC" w14:textId="77777777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D4B0E59" w14:textId="77777777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Operacija:</w:t>
      </w:r>
    </w:p>
    <w:p w14:paraId="18938BBA" w14:textId="29746DC7" w:rsidR="00411F60" w:rsidRPr="00922EC7" w:rsidRDefault="00411F60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327085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</w:t>
      </w:r>
      <w:proofErr w:type="spellEnd"/>
      <w:r w:rsidRPr="00922EC7">
        <w:rPr>
          <w:szCs w:val="22"/>
          <w:lang w:val="sr-Latn-ME"/>
        </w:rPr>
        <w:t xml:space="preserve"> treba isključiti iz upotrebe za vr</w:t>
      </w:r>
      <w:r w:rsidR="009C1C1D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eme operacije koja podrazum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eva upotrebu opšte,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spinalne ili </w:t>
      </w:r>
      <w:proofErr w:type="spellStart"/>
      <w:r w:rsidRPr="00922EC7">
        <w:rPr>
          <w:szCs w:val="22"/>
          <w:lang w:val="sr-Latn-ME"/>
        </w:rPr>
        <w:t>epiduralne</w:t>
      </w:r>
      <w:proofErr w:type="spellEnd"/>
      <w:r w:rsidRPr="00922EC7">
        <w:rPr>
          <w:szCs w:val="22"/>
          <w:lang w:val="sr-Latn-ME"/>
        </w:rPr>
        <w:t xml:space="preserve"> anestezije i ne treba ga ponovo koristiti 48 sati posl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 operacije ili do potpunog</w:t>
      </w:r>
      <w:r w:rsidR="009C0A5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uspostavljanja unosa hrane oralnim putem pod uslovom da je proc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enjena funkcija bubrega i da je utvrđeno</w:t>
      </w:r>
      <w:r w:rsidR="005A643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da je stabilna.</w:t>
      </w:r>
    </w:p>
    <w:p w14:paraId="0B574EF7" w14:textId="5BE044A8" w:rsidR="00411F60" w:rsidRPr="00922EC7" w:rsidRDefault="00411F60">
      <w:pPr>
        <w:rPr>
          <w:szCs w:val="22"/>
          <w:lang w:val="sr-Latn-ME"/>
        </w:rPr>
      </w:pPr>
    </w:p>
    <w:p w14:paraId="73915A11" w14:textId="163FF13A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Ostale m</w:t>
      </w:r>
      <w:r w:rsidR="009C1C1D" w:rsidRPr="00922EC7">
        <w:rPr>
          <w:szCs w:val="22"/>
          <w:u w:val="single"/>
          <w:lang w:val="sr-Latn-ME"/>
        </w:rPr>
        <w:t>j</w:t>
      </w:r>
      <w:r w:rsidRPr="00922EC7">
        <w:rPr>
          <w:szCs w:val="22"/>
          <w:u w:val="single"/>
          <w:lang w:val="sr-Latn-ME"/>
        </w:rPr>
        <w:t>ere opreza:</w:t>
      </w:r>
    </w:p>
    <w:p w14:paraId="2A3932C4" w14:textId="2E15FB70" w:rsidR="00411F60" w:rsidRPr="00922EC7" w:rsidRDefault="00411F60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Svi pacijenti treba da nastave sa svojim režimom ishrane koji uključuje ravnom</w:t>
      </w:r>
      <w:r w:rsidR="009C1C1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eran raspored unosa ugljenih</w:t>
      </w:r>
    </w:p>
    <w:p w14:paraId="6F5D54F4" w14:textId="21846BF8" w:rsidR="00411F60" w:rsidRPr="00922EC7" w:rsidRDefault="00411F60" w:rsidP="0032708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hidrata tok</w:t>
      </w:r>
      <w:r w:rsidR="00327085" w:rsidRPr="00922EC7">
        <w:rPr>
          <w:szCs w:val="22"/>
          <w:lang w:val="sr-Latn-ME"/>
        </w:rPr>
        <w:t>om</w:t>
      </w:r>
      <w:r w:rsidRPr="00922EC7">
        <w:rPr>
          <w:szCs w:val="22"/>
          <w:lang w:val="sr-Latn-ME"/>
        </w:rPr>
        <w:t xml:space="preserve"> dana. Gojazni pacijenti treba da nastave sa svojom </w:t>
      </w:r>
      <w:proofErr w:type="spellStart"/>
      <w:r w:rsidRPr="00922EC7">
        <w:rPr>
          <w:szCs w:val="22"/>
          <w:lang w:val="sr-Latn-ME"/>
        </w:rPr>
        <w:t>niskokalorijskom</w:t>
      </w:r>
      <w:proofErr w:type="spellEnd"/>
      <w:r w:rsidRPr="00922EC7">
        <w:rPr>
          <w:szCs w:val="22"/>
          <w:lang w:val="sr-Latn-ME"/>
        </w:rPr>
        <w:t xml:space="preserve"> dijetom.</w:t>
      </w:r>
    </w:p>
    <w:p w14:paraId="4F183DCA" w14:textId="77777777" w:rsidR="00BD6003" w:rsidRPr="00922EC7" w:rsidRDefault="00BD600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6A9106FB" w14:textId="77777777" w:rsidR="00411F60" w:rsidRPr="00922EC7" w:rsidRDefault="00411F6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Dijabetes treba redovno pratiti uobičajenim laboratorijskim testovima.</w:t>
      </w:r>
    </w:p>
    <w:p w14:paraId="621FC7BD" w14:textId="77777777" w:rsidR="00BD6003" w:rsidRPr="00922EC7" w:rsidRDefault="00BD600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BBA4218" w14:textId="02454BFC" w:rsidR="00411F60" w:rsidRPr="00922EC7" w:rsidRDefault="00411F60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sam po sebi nikada ne izaziva </w:t>
      </w:r>
      <w:proofErr w:type="spellStart"/>
      <w:r w:rsidRPr="00922EC7">
        <w:rPr>
          <w:szCs w:val="22"/>
          <w:lang w:val="sr-Latn-ME"/>
        </w:rPr>
        <w:t>hipoglikemiju</w:t>
      </w:r>
      <w:proofErr w:type="spellEnd"/>
      <w:r w:rsidRPr="00922EC7">
        <w:rPr>
          <w:szCs w:val="22"/>
          <w:lang w:val="sr-Latn-ME"/>
        </w:rPr>
        <w:t>, mada se preporučuje oprez kada se koristi u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kombinaciji sa insulinom ili drugim oralnim </w:t>
      </w:r>
      <w:proofErr w:type="spellStart"/>
      <w:r w:rsidRPr="00922EC7">
        <w:rPr>
          <w:szCs w:val="22"/>
          <w:lang w:val="sr-Latn-ME"/>
        </w:rPr>
        <w:t>antidijabeticima</w:t>
      </w:r>
      <w:proofErr w:type="spellEnd"/>
      <w:r w:rsidRPr="00922EC7">
        <w:rPr>
          <w:szCs w:val="22"/>
          <w:lang w:val="sr-Latn-ME"/>
        </w:rPr>
        <w:t xml:space="preserve"> (npr. derivatima </w:t>
      </w:r>
      <w:proofErr w:type="spellStart"/>
      <w:r w:rsidRPr="00922EC7">
        <w:rPr>
          <w:szCs w:val="22"/>
          <w:lang w:val="sr-Latn-ME"/>
        </w:rPr>
        <w:t>sulfonilureje</w:t>
      </w:r>
      <w:proofErr w:type="spellEnd"/>
      <w:r w:rsidRPr="00922EC7">
        <w:rPr>
          <w:szCs w:val="22"/>
          <w:lang w:val="sr-Latn-ME"/>
        </w:rPr>
        <w:t xml:space="preserve"> ili</w:t>
      </w:r>
      <w:r w:rsidR="009C0A54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meglitinidima</w:t>
      </w:r>
      <w:proofErr w:type="spellEnd"/>
      <w:r w:rsidRPr="00922EC7">
        <w:rPr>
          <w:szCs w:val="22"/>
          <w:lang w:val="sr-Latn-ME"/>
        </w:rPr>
        <w:t>).</w:t>
      </w:r>
    </w:p>
    <w:p w14:paraId="7F2A6208" w14:textId="77777777" w:rsidR="00CB24D6" w:rsidRPr="00922EC7" w:rsidRDefault="00CB24D6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DBCBFA2" w14:textId="24EABE4E" w:rsidR="002135F5" w:rsidRPr="00922EC7" w:rsidRDefault="002135F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može smanjiti koncentraciju vitamina B</w:t>
      </w:r>
      <w:r w:rsidRPr="00922EC7">
        <w:rPr>
          <w:szCs w:val="22"/>
          <w:vertAlign w:val="subscript"/>
          <w:lang w:val="sr-Latn-ME"/>
        </w:rPr>
        <w:t>12</w:t>
      </w:r>
      <w:r w:rsidRPr="00922EC7">
        <w:rPr>
          <w:szCs w:val="22"/>
          <w:lang w:val="sr-Latn-ME"/>
        </w:rPr>
        <w:t xml:space="preserve"> u serumu. Rizik od nastanka smanjene koncentracije vitamin B</w:t>
      </w:r>
      <w:r w:rsidRPr="00922EC7">
        <w:rPr>
          <w:szCs w:val="22"/>
          <w:vertAlign w:val="subscript"/>
          <w:lang w:val="sr-Latn-ME"/>
        </w:rPr>
        <w:t xml:space="preserve">12 </w:t>
      </w:r>
      <w:r w:rsidRPr="00922EC7">
        <w:rPr>
          <w:szCs w:val="22"/>
          <w:lang w:val="sr-Latn-ME"/>
        </w:rPr>
        <w:t xml:space="preserve">se povećava sa povećanjem doze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>, trajanjem terapije i/ili kod pacijenata koji imaju već prisutne faktore rizika za koje je poznato da uzrokuju nedostatak vitamina B</w:t>
      </w:r>
      <w:r w:rsidRPr="00922EC7">
        <w:rPr>
          <w:szCs w:val="22"/>
          <w:vertAlign w:val="subscript"/>
          <w:lang w:val="sr-Latn-ME"/>
        </w:rPr>
        <w:t>12</w:t>
      </w:r>
      <w:r w:rsidRPr="00922EC7">
        <w:rPr>
          <w:szCs w:val="22"/>
          <w:lang w:val="sr-Latn-ME"/>
        </w:rPr>
        <w:t>. U slučaju sumnje na nedostatak vitamina B</w:t>
      </w:r>
      <w:r w:rsidRPr="00922EC7">
        <w:rPr>
          <w:szCs w:val="22"/>
          <w:vertAlign w:val="subscript"/>
          <w:lang w:val="sr-Latn-ME"/>
        </w:rPr>
        <w:t xml:space="preserve">12 </w:t>
      </w:r>
      <w:r w:rsidRPr="00922EC7">
        <w:rPr>
          <w:szCs w:val="22"/>
          <w:lang w:val="sr-Latn-ME"/>
        </w:rPr>
        <w:t>(kao što su postojanje anemije ili neuropatije), potrebno je pratiti koncentraciju vitamina B</w:t>
      </w:r>
      <w:r w:rsidRPr="00922EC7">
        <w:rPr>
          <w:szCs w:val="22"/>
          <w:vertAlign w:val="subscript"/>
          <w:lang w:val="sr-Latn-ME"/>
        </w:rPr>
        <w:t xml:space="preserve">12 </w:t>
      </w:r>
      <w:r w:rsidRPr="00922EC7">
        <w:rPr>
          <w:szCs w:val="22"/>
          <w:lang w:val="sr-Latn-ME"/>
        </w:rPr>
        <w:t>u serumu.</w:t>
      </w:r>
      <w:r w:rsidRPr="00922EC7">
        <w:rPr>
          <w:szCs w:val="22"/>
          <w:vertAlign w:val="subscript"/>
          <w:lang w:val="sr-Latn-ME"/>
        </w:rPr>
        <w:t xml:space="preserve"> </w:t>
      </w:r>
      <w:r w:rsidRPr="00922EC7">
        <w:rPr>
          <w:szCs w:val="22"/>
          <w:lang w:val="sr-Latn-ME"/>
        </w:rPr>
        <w:t>Kod pacijenata sa faktorima rizika za nedostatak vitamina B</w:t>
      </w:r>
      <w:r w:rsidRPr="00922EC7">
        <w:rPr>
          <w:szCs w:val="22"/>
          <w:vertAlign w:val="subscript"/>
          <w:lang w:val="sr-Latn-ME"/>
        </w:rPr>
        <w:t>12</w:t>
      </w:r>
      <w:r w:rsidRPr="00922EC7">
        <w:rPr>
          <w:szCs w:val="22"/>
          <w:lang w:val="sr-Latn-ME"/>
        </w:rPr>
        <w:t xml:space="preserve"> može biti potrebno periodično praćenje koncentracije vitamina B</w:t>
      </w:r>
      <w:r w:rsidRPr="00922EC7">
        <w:rPr>
          <w:szCs w:val="22"/>
          <w:vertAlign w:val="subscript"/>
          <w:lang w:val="sr-Latn-ME"/>
        </w:rPr>
        <w:t>12</w:t>
      </w:r>
      <w:r w:rsidRPr="00922EC7">
        <w:rPr>
          <w:szCs w:val="22"/>
          <w:lang w:val="sr-Latn-ME"/>
        </w:rPr>
        <w:t xml:space="preserve">. Sa terapijom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 treba nastaviti onoliko dugo dok se l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ek dobro podnosi </w:t>
      </w:r>
      <w:r w:rsidRPr="00922EC7">
        <w:rPr>
          <w:szCs w:val="22"/>
          <w:lang w:val="sr-Latn-ME"/>
        </w:rPr>
        <w:lastRenderedPageBreak/>
        <w:t>ili dok nije kontraindikovana kao i dok je odgovarajuća korektivna terapija za nedostatak vitamina B</w:t>
      </w:r>
      <w:r w:rsidRPr="00922EC7">
        <w:rPr>
          <w:szCs w:val="22"/>
          <w:vertAlign w:val="subscript"/>
          <w:lang w:val="sr-Latn-ME"/>
        </w:rPr>
        <w:t>12</w:t>
      </w:r>
      <w:r w:rsidRPr="00922EC7">
        <w:rPr>
          <w:szCs w:val="22"/>
          <w:lang w:val="sr-Latn-ME"/>
        </w:rPr>
        <w:t xml:space="preserve"> pružena u skladu sa trenutnim kliničkim vodičima.</w:t>
      </w:r>
    </w:p>
    <w:p w14:paraId="769358A6" w14:textId="77777777" w:rsidR="002135F5" w:rsidRPr="00922EC7" w:rsidRDefault="002135F5" w:rsidP="009C0A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5B6CF2D" w14:textId="03863830" w:rsidR="00411F60" w:rsidRPr="00922EC7" w:rsidRDefault="00411F60" w:rsidP="00CA4A82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Omotač tablete se može naći u </w:t>
      </w:r>
      <w:proofErr w:type="spellStart"/>
      <w:r w:rsidRPr="00922EC7">
        <w:rPr>
          <w:szCs w:val="22"/>
          <w:lang w:val="sr-Latn-ME"/>
        </w:rPr>
        <w:t>fecesu</w:t>
      </w:r>
      <w:proofErr w:type="spellEnd"/>
      <w:r w:rsidRPr="00922EC7">
        <w:rPr>
          <w:szCs w:val="22"/>
          <w:lang w:val="sr-Latn-ME"/>
        </w:rPr>
        <w:t>. Pacijentima treba objasniti da je to normalna pojava.</w:t>
      </w:r>
    </w:p>
    <w:p w14:paraId="1232C22C" w14:textId="77777777" w:rsidR="00411F60" w:rsidRPr="00922EC7" w:rsidRDefault="00411F60">
      <w:pPr>
        <w:rPr>
          <w:szCs w:val="22"/>
          <w:lang w:val="sr-Latn-ME"/>
        </w:rPr>
      </w:pPr>
    </w:p>
    <w:p w14:paraId="09E230A0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>4.5.</w:t>
      </w:r>
      <w:r w:rsidRPr="00922EC7">
        <w:rPr>
          <w:b/>
          <w:bCs/>
          <w:szCs w:val="22"/>
          <w:lang w:val="sr-Latn-ME"/>
        </w:rPr>
        <w:tab/>
        <w:t>Interakcije sa drugim ljekovima i druge vrste interakcija</w:t>
      </w:r>
    </w:p>
    <w:p w14:paraId="1906B9FC" w14:textId="77777777" w:rsidR="00CE09F3" w:rsidRPr="00922EC7" w:rsidRDefault="00CE09F3">
      <w:pPr>
        <w:rPr>
          <w:szCs w:val="22"/>
          <w:lang w:val="sr-Latn-ME"/>
        </w:rPr>
      </w:pPr>
    </w:p>
    <w:p w14:paraId="6F7E0D13" w14:textId="1C5BC876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 xml:space="preserve">Ne preporučuje se istovremena </w:t>
      </w:r>
      <w:r w:rsidR="005A6434" w:rsidRPr="00922EC7">
        <w:rPr>
          <w:szCs w:val="22"/>
          <w:u w:val="single"/>
          <w:lang w:val="sr-Latn-ME"/>
        </w:rPr>
        <w:t>prim</w:t>
      </w:r>
      <w:r w:rsidR="009C1C1D" w:rsidRPr="00922EC7">
        <w:rPr>
          <w:szCs w:val="22"/>
          <w:u w:val="single"/>
          <w:lang w:val="sr-Latn-ME"/>
        </w:rPr>
        <w:t>j</w:t>
      </w:r>
      <w:r w:rsidR="005A6434" w:rsidRPr="00922EC7">
        <w:rPr>
          <w:szCs w:val="22"/>
          <w:u w:val="single"/>
          <w:lang w:val="sr-Latn-ME"/>
        </w:rPr>
        <w:t>ena</w:t>
      </w:r>
      <w:r w:rsidRPr="00922EC7">
        <w:rPr>
          <w:szCs w:val="22"/>
          <w:u w:val="single"/>
          <w:lang w:val="sr-Latn-ME"/>
        </w:rPr>
        <w:t xml:space="preserve"> sa:</w:t>
      </w:r>
    </w:p>
    <w:p w14:paraId="2330B0CC" w14:textId="77777777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1C87E53" w14:textId="77777777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>Alkoholom:</w:t>
      </w:r>
    </w:p>
    <w:p w14:paraId="70B7DFCE" w14:textId="1C23BDB1" w:rsidR="00411F60" w:rsidRPr="00922EC7" w:rsidRDefault="00411F60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Intoksikacija</w:t>
      </w:r>
      <w:proofErr w:type="spellEnd"/>
      <w:r w:rsidRPr="00922EC7">
        <w:rPr>
          <w:szCs w:val="22"/>
          <w:lang w:val="sr-Latn-ME"/>
        </w:rPr>
        <w:t xml:space="preserve"> alkoholom je povezana sa povećanim rizikom od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 xml:space="preserve"> posebno u slučajevima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gladovanja, </w:t>
      </w:r>
      <w:proofErr w:type="spellStart"/>
      <w:r w:rsidRPr="00922EC7">
        <w:rPr>
          <w:szCs w:val="22"/>
          <w:lang w:val="sr-Latn-ME"/>
        </w:rPr>
        <w:t>malnutricije</w:t>
      </w:r>
      <w:proofErr w:type="spellEnd"/>
      <w:r w:rsidRPr="00922EC7">
        <w:rPr>
          <w:szCs w:val="22"/>
          <w:lang w:val="sr-Latn-ME"/>
        </w:rPr>
        <w:t xml:space="preserve"> ili </w:t>
      </w:r>
      <w:proofErr w:type="spellStart"/>
      <w:r w:rsidRPr="00922EC7">
        <w:rPr>
          <w:szCs w:val="22"/>
          <w:lang w:val="sr-Latn-ME"/>
        </w:rPr>
        <w:t>hepatičke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insuficijencije</w:t>
      </w:r>
      <w:proofErr w:type="spellEnd"/>
      <w:r w:rsidRPr="00922EC7">
        <w:rPr>
          <w:szCs w:val="22"/>
          <w:lang w:val="sr-Latn-ME"/>
        </w:rPr>
        <w:t>.</w:t>
      </w:r>
    </w:p>
    <w:p w14:paraId="3A1BC68C" w14:textId="77777777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911E27D" w14:textId="4B5728F8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>Kontrastnim sredstvima koja sadrže jod:</w:t>
      </w:r>
    </w:p>
    <w:p w14:paraId="1906B9FD" w14:textId="5BB8BD94" w:rsidR="00CE09F3" w:rsidRPr="00922EC7" w:rsidRDefault="00411F60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se mora isključiti iz upotrebe pr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 ili u vr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eme procedure snimanja i ne treba ga ponovo koristiti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najmanje 48 sati posl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 procedure snimanja, pod uslovom da je ponovo proc</w:t>
      </w:r>
      <w:r w:rsidR="00621136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enjena funkcija bubrega i da je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utvrđeno da je stabilna (</w:t>
      </w:r>
      <w:r w:rsidR="00327085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>d</w:t>
      </w:r>
      <w:r w:rsidR="00621136" w:rsidRPr="00922EC7">
        <w:rPr>
          <w:szCs w:val="22"/>
          <w:lang w:val="sr-Latn-ME"/>
        </w:rPr>
        <w:t>jelove</w:t>
      </w:r>
      <w:r w:rsidR="00191CD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4.2 i 4.4).</w:t>
      </w:r>
    </w:p>
    <w:p w14:paraId="25A29EFA" w14:textId="06F17C6B" w:rsidR="00411F60" w:rsidRPr="00922EC7" w:rsidRDefault="00411F60" w:rsidP="00327085">
      <w:pPr>
        <w:rPr>
          <w:szCs w:val="22"/>
          <w:u w:val="single"/>
          <w:lang w:val="sr-Latn-ME"/>
        </w:rPr>
      </w:pPr>
    </w:p>
    <w:p w14:paraId="3A4BAC80" w14:textId="16DCE2B4" w:rsidR="00411F60" w:rsidRPr="00922EC7" w:rsidRDefault="00411F60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Kombinacije koje zaht</w:t>
      </w:r>
      <w:r w:rsidR="009C1C1D" w:rsidRPr="00922EC7">
        <w:rPr>
          <w:szCs w:val="22"/>
          <w:u w:val="single"/>
          <w:lang w:val="sr-Latn-ME"/>
        </w:rPr>
        <w:t>ij</w:t>
      </w:r>
      <w:r w:rsidRPr="00922EC7">
        <w:rPr>
          <w:szCs w:val="22"/>
          <w:u w:val="single"/>
          <w:lang w:val="sr-Latn-ME"/>
        </w:rPr>
        <w:t xml:space="preserve">evaju oprez prilikom istovremene </w:t>
      </w:r>
      <w:r w:rsidR="005A6434" w:rsidRPr="00922EC7">
        <w:rPr>
          <w:szCs w:val="22"/>
          <w:u w:val="single"/>
          <w:lang w:val="sr-Latn-ME"/>
        </w:rPr>
        <w:t>prim</w:t>
      </w:r>
      <w:r w:rsidR="009C1C1D" w:rsidRPr="00922EC7">
        <w:rPr>
          <w:szCs w:val="22"/>
          <w:u w:val="single"/>
          <w:lang w:val="sr-Latn-ME"/>
        </w:rPr>
        <w:t>j</w:t>
      </w:r>
      <w:r w:rsidR="005A6434" w:rsidRPr="00922EC7">
        <w:rPr>
          <w:szCs w:val="22"/>
          <w:u w:val="single"/>
          <w:lang w:val="sr-Latn-ME"/>
        </w:rPr>
        <w:t>ene</w:t>
      </w:r>
      <w:r w:rsidRPr="00922EC7">
        <w:rPr>
          <w:szCs w:val="22"/>
          <w:u w:val="single"/>
          <w:lang w:val="sr-Latn-ME"/>
        </w:rPr>
        <w:t>:</w:t>
      </w:r>
    </w:p>
    <w:p w14:paraId="4F008A7D" w14:textId="77777777" w:rsidR="00602DCF" w:rsidRPr="00922EC7" w:rsidRDefault="00602DCF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93EB802" w14:textId="2C7565DF" w:rsidR="00411F60" w:rsidRPr="00922EC7" w:rsidRDefault="00411F60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Neki </w:t>
      </w:r>
      <w:r w:rsidR="00191CDC" w:rsidRPr="00922EC7">
        <w:rPr>
          <w:szCs w:val="22"/>
          <w:lang w:val="sr-Latn-ME"/>
        </w:rPr>
        <w:t>ljekovi</w:t>
      </w:r>
      <w:r w:rsidRPr="00922EC7">
        <w:rPr>
          <w:szCs w:val="22"/>
          <w:lang w:val="sr-Latn-ME"/>
        </w:rPr>
        <w:t xml:space="preserve"> mogu negativno uticati na bubrežnu funkciju, što može povećati rizik od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>, npr.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NSAIL (</w:t>
      </w:r>
      <w:proofErr w:type="spellStart"/>
      <w:r w:rsidRPr="00922EC7">
        <w:rPr>
          <w:szCs w:val="22"/>
          <w:lang w:val="sr-Latn-ME"/>
        </w:rPr>
        <w:t>nesteroidni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antiinflamatorni</w:t>
      </w:r>
      <w:proofErr w:type="spellEnd"/>
      <w:r w:rsidRPr="00922EC7">
        <w:rPr>
          <w:szCs w:val="22"/>
          <w:lang w:val="sr-Latn-ME"/>
        </w:rPr>
        <w:t xml:space="preserve"> </w:t>
      </w:r>
      <w:r w:rsidR="00191CDC" w:rsidRPr="00922EC7">
        <w:rPr>
          <w:szCs w:val="22"/>
          <w:lang w:val="sr-Latn-ME"/>
        </w:rPr>
        <w:t>ljekovi</w:t>
      </w:r>
      <w:r w:rsidRPr="00922EC7">
        <w:rPr>
          <w:szCs w:val="22"/>
          <w:lang w:val="sr-Latn-ME"/>
        </w:rPr>
        <w:t>), u</w:t>
      </w:r>
      <w:r w:rsidR="00217B91" w:rsidRPr="00922EC7">
        <w:rPr>
          <w:szCs w:val="22"/>
          <w:lang w:val="sr-Latn-ME"/>
        </w:rPr>
        <w:t>k</w:t>
      </w:r>
      <w:r w:rsidRPr="00922EC7">
        <w:rPr>
          <w:szCs w:val="22"/>
          <w:lang w:val="sr-Latn-ME"/>
        </w:rPr>
        <w:t xml:space="preserve">ljučujući </w:t>
      </w:r>
      <w:proofErr w:type="spellStart"/>
      <w:r w:rsidRPr="00922EC7">
        <w:rPr>
          <w:szCs w:val="22"/>
          <w:lang w:val="sr-Latn-ME"/>
        </w:rPr>
        <w:t>inhibitore</w:t>
      </w:r>
      <w:proofErr w:type="spellEnd"/>
      <w:r w:rsidRPr="00922EC7">
        <w:rPr>
          <w:szCs w:val="22"/>
          <w:lang w:val="sr-Latn-ME"/>
        </w:rPr>
        <w:t xml:space="preserve"> se</w:t>
      </w:r>
      <w:r w:rsidR="00191CDC" w:rsidRPr="00922EC7">
        <w:rPr>
          <w:szCs w:val="22"/>
          <w:lang w:val="sr-Latn-ME"/>
        </w:rPr>
        <w:t>lek</w:t>
      </w:r>
      <w:r w:rsidRPr="00922EC7">
        <w:rPr>
          <w:szCs w:val="22"/>
          <w:lang w:val="sr-Latn-ME"/>
        </w:rPr>
        <w:t xml:space="preserve">tivne </w:t>
      </w:r>
      <w:proofErr w:type="spellStart"/>
      <w:r w:rsidRPr="00922EC7">
        <w:rPr>
          <w:szCs w:val="22"/>
          <w:lang w:val="sr-Latn-ME"/>
        </w:rPr>
        <w:t>ciklooksigenaze</w:t>
      </w:r>
      <w:proofErr w:type="spellEnd"/>
      <w:r w:rsidRPr="00922EC7">
        <w:rPr>
          <w:szCs w:val="22"/>
          <w:lang w:val="sr-Latn-ME"/>
        </w:rPr>
        <w:t xml:space="preserve"> (COX) II,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ACE </w:t>
      </w:r>
      <w:proofErr w:type="spellStart"/>
      <w:r w:rsidRPr="00922EC7">
        <w:rPr>
          <w:szCs w:val="22"/>
          <w:lang w:val="sr-Latn-ME"/>
        </w:rPr>
        <w:t>inhibitore</w:t>
      </w:r>
      <w:proofErr w:type="spellEnd"/>
      <w:r w:rsidRPr="00922EC7">
        <w:rPr>
          <w:szCs w:val="22"/>
          <w:lang w:val="sr-Latn-ME"/>
        </w:rPr>
        <w:t xml:space="preserve">, antagoniste </w:t>
      </w:r>
      <w:proofErr w:type="spellStart"/>
      <w:r w:rsidRPr="00922EC7">
        <w:rPr>
          <w:szCs w:val="22"/>
          <w:lang w:val="sr-Latn-ME"/>
        </w:rPr>
        <w:t>angiotenzin</w:t>
      </w:r>
      <w:proofErr w:type="spellEnd"/>
      <w:r w:rsidRPr="00922EC7">
        <w:rPr>
          <w:szCs w:val="22"/>
          <w:lang w:val="sr-Latn-ME"/>
        </w:rPr>
        <w:t xml:space="preserve"> II receptora i </w:t>
      </w:r>
      <w:proofErr w:type="spellStart"/>
      <w:r w:rsidRPr="00922EC7">
        <w:rPr>
          <w:szCs w:val="22"/>
          <w:lang w:val="sr-Latn-ME"/>
        </w:rPr>
        <w:t>diuretike</w:t>
      </w:r>
      <w:proofErr w:type="spellEnd"/>
      <w:r w:rsidRPr="00922EC7">
        <w:rPr>
          <w:szCs w:val="22"/>
          <w:lang w:val="sr-Latn-ME"/>
        </w:rPr>
        <w:t>, naročito one koji d</w:t>
      </w:r>
      <w:r w:rsidR="009C1C1D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eluju na nivou </w:t>
      </w:r>
      <w:proofErr w:type="spellStart"/>
      <w:r w:rsidRPr="00922EC7">
        <w:rPr>
          <w:szCs w:val="22"/>
          <w:lang w:val="sr-Latn-ME"/>
        </w:rPr>
        <w:t>Henleove</w:t>
      </w:r>
      <w:proofErr w:type="spellEnd"/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petlje. Kad se počinje uzima</w:t>
      </w:r>
      <w:r w:rsidR="00327085" w:rsidRPr="00922EC7">
        <w:rPr>
          <w:szCs w:val="22"/>
          <w:lang w:val="sr-Latn-ME"/>
        </w:rPr>
        <w:t>ti</w:t>
      </w:r>
      <w:r w:rsidRPr="00922EC7">
        <w:rPr>
          <w:szCs w:val="22"/>
          <w:lang w:val="sr-Latn-ME"/>
        </w:rPr>
        <w:t xml:space="preserve">, ili se već koriste ovakvi </w:t>
      </w:r>
      <w:r w:rsidR="00191CDC" w:rsidRPr="00922EC7">
        <w:rPr>
          <w:szCs w:val="22"/>
          <w:lang w:val="sr-Latn-ME"/>
        </w:rPr>
        <w:t>ljekovi</w:t>
      </w:r>
      <w:r w:rsidRPr="00922EC7">
        <w:rPr>
          <w:szCs w:val="22"/>
          <w:lang w:val="sr-Latn-ME"/>
        </w:rPr>
        <w:t xml:space="preserve"> u kombinaciji sa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>, neophodna je</w:t>
      </w:r>
      <w:r w:rsidR="005A6434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stroga kontrola bubrežne funkcije.</w:t>
      </w:r>
    </w:p>
    <w:p w14:paraId="154537C4" w14:textId="025B6F84" w:rsidR="00602DCF" w:rsidRPr="00922EC7" w:rsidRDefault="00602DCF">
      <w:pPr>
        <w:rPr>
          <w:szCs w:val="22"/>
          <w:lang w:val="sr-Latn-ME"/>
        </w:rPr>
      </w:pPr>
    </w:p>
    <w:p w14:paraId="66D93082" w14:textId="671512F6" w:rsidR="00602DCF" w:rsidRPr="00922EC7" w:rsidRDefault="00191CDC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>Ljekovi</w:t>
      </w:r>
      <w:r w:rsidR="00602DCF" w:rsidRPr="00922EC7">
        <w:rPr>
          <w:rFonts w:eastAsia="TimesNewRoman,Italic"/>
          <w:i/>
          <w:iCs/>
          <w:szCs w:val="22"/>
          <w:lang w:val="sr-Latn-ME"/>
        </w:rPr>
        <w:t xml:space="preserve"> koji imaju </w:t>
      </w:r>
      <w:proofErr w:type="spellStart"/>
      <w:r w:rsidR="00602DCF" w:rsidRPr="00922EC7">
        <w:rPr>
          <w:rFonts w:eastAsia="TimesNewRoman,Italic"/>
          <w:i/>
          <w:iCs/>
          <w:szCs w:val="22"/>
          <w:lang w:val="sr-Latn-ME"/>
        </w:rPr>
        <w:t>intrinzičku</w:t>
      </w:r>
      <w:proofErr w:type="spellEnd"/>
      <w:r w:rsidR="00602DCF" w:rsidRPr="00922EC7">
        <w:rPr>
          <w:rFonts w:eastAsia="TimesNewRoman,Italic"/>
          <w:i/>
          <w:iCs/>
          <w:szCs w:val="22"/>
          <w:lang w:val="sr-Latn-ME"/>
        </w:rPr>
        <w:t xml:space="preserve"> </w:t>
      </w:r>
      <w:proofErr w:type="spellStart"/>
      <w:r w:rsidR="00602DCF" w:rsidRPr="00922EC7">
        <w:rPr>
          <w:rFonts w:eastAsia="TimesNewRoman,Italic"/>
          <w:i/>
          <w:iCs/>
          <w:szCs w:val="22"/>
          <w:lang w:val="sr-Latn-ME"/>
        </w:rPr>
        <w:t>hiperglikemijsku</w:t>
      </w:r>
      <w:proofErr w:type="spellEnd"/>
      <w:r w:rsidR="00602DCF" w:rsidRPr="00922EC7">
        <w:rPr>
          <w:rFonts w:eastAsia="TimesNewRoman,Italic"/>
          <w:i/>
          <w:iCs/>
          <w:szCs w:val="22"/>
          <w:lang w:val="sr-Latn-ME"/>
        </w:rPr>
        <w:t xml:space="preserve"> aktivnost, npr. </w:t>
      </w:r>
      <w:proofErr w:type="spellStart"/>
      <w:r w:rsidR="00602DCF" w:rsidRPr="00922EC7">
        <w:rPr>
          <w:rFonts w:eastAsia="TimesNewRoman,Italic"/>
          <w:i/>
          <w:iCs/>
          <w:szCs w:val="22"/>
          <w:lang w:val="sr-Latn-ME"/>
        </w:rPr>
        <w:t>glukokortikoidi</w:t>
      </w:r>
      <w:proofErr w:type="spellEnd"/>
      <w:r w:rsidR="00602DCF" w:rsidRPr="00922EC7">
        <w:rPr>
          <w:rFonts w:eastAsia="TimesNewRoman,Italic"/>
          <w:i/>
          <w:iCs/>
          <w:szCs w:val="22"/>
          <w:lang w:val="sr-Latn-ME"/>
        </w:rPr>
        <w:t xml:space="preserve"> (sistemska i lokalna prim</w:t>
      </w:r>
      <w:r w:rsidR="00564049" w:rsidRPr="00922EC7">
        <w:rPr>
          <w:rFonts w:eastAsia="TimesNewRoman,Italic"/>
          <w:i/>
          <w:iCs/>
          <w:szCs w:val="22"/>
          <w:lang w:val="sr-Latn-ME"/>
        </w:rPr>
        <w:t>j</w:t>
      </w:r>
      <w:r w:rsidR="00602DCF" w:rsidRPr="00922EC7">
        <w:rPr>
          <w:rFonts w:eastAsia="TimesNewRoman,Italic"/>
          <w:i/>
          <w:iCs/>
          <w:szCs w:val="22"/>
          <w:lang w:val="sr-Latn-ME"/>
        </w:rPr>
        <w:t xml:space="preserve">ena) i </w:t>
      </w:r>
      <w:proofErr w:type="spellStart"/>
      <w:r w:rsidR="00602DCF" w:rsidRPr="00922EC7">
        <w:rPr>
          <w:rFonts w:eastAsia="TimesNewRoman,Italic"/>
          <w:i/>
          <w:iCs/>
          <w:szCs w:val="22"/>
          <w:lang w:val="sr-Latn-ME"/>
        </w:rPr>
        <w:t>simpatomimetici</w:t>
      </w:r>
      <w:proofErr w:type="spellEnd"/>
    </w:p>
    <w:p w14:paraId="08D1D82C" w14:textId="50460106" w:rsidR="00602DCF" w:rsidRPr="00922EC7" w:rsidRDefault="00602DCF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szCs w:val="22"/>
          <w:lang w:val="sr-Latn-ME"/>
        </w:rPr>
      </w:pPr>
      <w:r w:rsidRPr="00922EC7">
        <w:rPr>
          <w:rFonts w:eastAsia="TimesNewRoman,Italic"/>
          <w:szCs w:val="22"/>
          <w:lang w:val="sr-Latn-ME"/>
        </w:rPr>
        <w:t>Potrebna je češća kontrola koncentracije šećera u krvi, pogotovo na početku terapije. Ukoliko je neophodno,</w:t>
      </w:r>
      <w:r w:rsidR="00327085" w:rsidRPr="00922EC7">
        <w:rPr>
          <w:rFonts w:eastAsia="TimesNewRoman,Italic"/>
          <w:szCs w:val="22"/>
          <w:lang w:val="sr-Latn-ME"/>
        </w:rPr>
        <w:t xml:space="preserve"> </w:t>
      </w:r>
      <w:r w:rsidRPr="00922EC7">
        <w:rPr>
          <w:rFonts w:eastAsia="TimesNewRoman,Italic"/>
          <w:szCs w:val="22"/>
          <w:lang w:val="sr-Latn-ME"/>
        </w:rPr>
        <w:t xml:space="preserve">dozu </w:t>
      </w:r>
      <w:proofErr w:type="spellStart"/>
      <w:r w:rsidRPr="00922EC7">
        <w:rPr>
          <w:rFonts w:eastAsia="TimesNewRoman,Italic"/>
          <w:szCs w:val="22"/>
          <w:lang w:val="sr-Latn-ME"/>
        </w:rPr>
        <w:t>metformina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treba prilagoditi tokom terapije odgovarajućim </w:t>
      </w:r>
      <w:r w:rsidR="00191CDC" w:rsidRPr="00922EC7">
        <w:rPr>
          <w:rFonts w:eastAsia="TimesNewRoman,Italic"/>
          <w:szCs w:val="22"/>
          <w:lang w:val="sr-Latn-ME"/>
        </w:rPr>
        <w:t>lijek</w:t>
      </w:r>
      <w:r w:rsidRPr="00922EC7">
        <w:rPr>
          <w:rFonts w:eastAsia="TimesNewRoman,Italic"/>
          <w:szCs w:val="22"/>
          <w:lang w:val="sr-Latn-ME"/>
        </w:rPr>
        <w:t>om i posl</w:t>
      </w:r>
      <w:r w:rsidR="00564049" w:rsidRPr="00922EC7">
        <w:rPr>
          <w:rFonts w:eastAsia="TimesNewRoman,Italic"/>
          <w:szCs w:val="22"/>
          <w:lang w:val="sr-Latn-ME"/>
        </w:rPr>
        <w:t>ij</w:t>
      </w:r>
      <w:r w:rsidRPr="00922EC7">
        <w:rPr>
          <w:rFonts w:eastAsia="TimesNewRoman,Italic"/>
          <w:szCs w:val="22"/>
          <w:lang w:val="sr-Latn-ME"/>
        </w:rPr>
        <w:t xml:space="preserve">e prestanka upotrebe tog </w:t>
      </w:r>
      <w:r w:rsidR="00191CDC" w:rsidRPr="00922EC7">
        <w:rPr>
          <w:rFonts w:eastAsia="TimesNewRoman,Italic"/>
          <w:szCs w:val="22"/>
          <w:lang w:val="sr-Latn-ME"/>
        </w:rPr>
        <w:t>lijek</w:t>
      </w:r>
      <w:r w:rsidRPr="00922EC7">
        <w:rPr>
          <w:rFonts w:eastAsia="TimesNewRoman,Italic"/>
          <w:szCs w:val="22"/>
          <w:lang w:val="sr-Latn-ME"/>
        </w:rPr>
        <w:t>a.</w:t>
      </w:r>
    </w:p>
    <w:p w14:paraId="6CEE4165" w14:textId="0643D949" w:rsidR="00602DCF" w:rsidRPr="00922EC7" w:rsidRDefault="00602DCF">
      <w:pPr>
        <w:rPr>
          <w:rFonts w:eastAsia="TimesNewRoman,Italic"/>
          <w:szCs w:val="22"/>
          <w:lang w:val="sr-Latn-ME"/>
        </w:rPr>
      </w:pPr>
    </w:p>
    <w:p w14:paraId="1DA2B107" w14:textId="77777777" w:rsidR="00602DCF" w:rsidRPr="00922EC7" w:rsidRDefault="00602DCF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/>
          <w:iCs/>
          <w:szCs w:val="22"/>
          <w:lang w:val="sr-Latn-ME"/>
        </w:rPr>
      </w:pPr>
      <w:r w:rsidRPr="00922EC7">
        <w:rPr>
          <w:rFonts w:eastAsia="TimesNewRoman,Italic"/>
          <w:i/>
          <w:iCs/>
          <w:szCs w:val="22"/>
          <w:lang w:val="sr-Latn-ME"/>
        </w:rPr>
        <w:t>Transporteri organskih katjona (OCT)</w:t>
      </w:r>
    </w:p>
    <w:p w14:paraId="73F374DF" w14:textId="0C2B96A1" w:rsidR="00602DCF" w:rsidRPr="00922EC7" w:rsidRDefault="00602DCF" w:rsidP="00CA4A82">
      <w:pPr>
        <w:rPr>
          <w:rFonts w:eastAsia="TimesNewRoman,Italic"/>
          <w:szCs w:val="22"/>
          <w:lang w:val="sr-Latn-ME"/>
        </w:rPr>
      </w:pPr>
      <w:proofErr w:type="spellStart"/>
      <w:r w:rsidRPr="00922EC7">
        <w:rPr>
          <w:rFonts w:eastAsia="TimesNewRoman,Italic"/>
          <w:szCs w:val="22"/>
          <w:lang w:val="sr-Latn-ME"/>
        </w:rPr>
        <w:t>Metformin</w:t>
      </w:r>
      <w:proofErr w:type="spellEnd"/>
      <w:r w:rsidRPr="00922EC7">
        <w:rPr>
          <w:rFonts w:eastAsia="TimesNewRoman,Italic"/>
          <w:szCs w:val="22"/>
          <w:lang w:val="sr-Latn-ME"/>
        </w:rPr>
        <w:t xml:space="preserve"> je supstrat i za OCT1 i za OCT2 transportere.</w:t>
      </w:r>
    </w:p>
    <w:p w14:paraId="7F3E4599" w14:textId="060E17D4" w:rsidR="00602DCF" w:rsidRPr="00922EC7" w:rsidRDefault="00602DCF">
      <w:pPr>
        <w:rPr>
          <w:rFonts w:eastAsia="TimesNewRoman,Italic"/>
          <w:szCs w:val="22"/>
          <w:lang w:val="sr-Latn-ME"/>
        </w:rPr>
      </w:pPr>
    </w:p>
    <w:p w14:paraId="07887ADC" w14:textId="1464D4D6" w:rsidR="00602DCF" w:rsidRPr="00922EC7" w:rsidRDefault="00602DCF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Istovremena prim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sa</w:t>
      </w:r>
    </w:p>
    <w:p w14:paraId="19DDF921" w14:textId="64273575" w:rsidR="00602DCF" w:rsidRPr="00922EC7" w:rsidRDefault="00602DCF" w:rsidP="00CA4A82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Inhibitorima</w:t>
      </w:r>
      <w:proofErr w:type="spellEnd"/>
      <w:r w:rsidRPr="00922EC7">
        <w:rPr>
          <w:szCs w:val="22"/>
          <w:lang w:val="sr-Latn-ME"/>
        </w:rPr>
        <w:t xml:space="preserve"> OCT1 (kao što je </w:t>
      </w:r>
      <w:proofErr w:type="spellStart"/>
      <w:r w:rsidRPr="00922EC7">
        <w:rPr>
          <w:szCs w:val="22"/>
          <w:lang w:val="sr-Latn-ME"/>
        </w:rPr>
        <w:t>verapamil</w:t>
      </w:r>
      <w:proofErr w:type="spellEnd"/>
      <w:r w:rsidRPr="00922EC7">
        <w:rPr>
          <w:szCs w:val="22"/>
          <w:lang w:val="sr-Latn-ME"/>
        </w:rPr>
        <w:t xml:space="preserve">) može smanjiti efikasnost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>.</w:t>
      </w:r>
    </w:p>
    <w:p w14:paraId="0A5A7858" w14:textId="2F435CC4" w:rsidR="00602DCF" w:rsidRPr="00922EC7" w:rsidRDefault="00602DCF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Induktorima OCT1 (kao što je </w:t>
      </w:r>
      <w:proofErr w:type="spellStart"/>
      <w:r w:rsidRPr="00922EC7">
        <w:rPr>
          <w:szCs w:val="22"/>
          <w:lang w:val="sr-Latn-ME"/>
        </w:rPr>
        <w:t>rifampicin</w:t>
      </w:r>
      <w:proofErr w:type="spellEnd"/>
      <w:r w:rsidRPr="00922EC7">
        <w:rPr>
          <w:szCs w:val="22"/>
          <w:lang w:val="sr-Latn-ME"/>
        </w:rPr>
        <w:t xml:space="preserve">) može povećati gastrointestinalnu resorpciju i efikasnost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>.</w:t>
      </w:r>
    </w:p>
    <w:p w14:paraId="0919E6DB" w14:textId="052D1A7C" w:rsidR="00602DCF" w:rsidRPr="00922EC7" w:rsidRDefault="00602DCF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Inhibitorima</w:t>
      </w:r>
      <w:proofErr w:type="spellEnd"/>
      <w:r w:rsidRPr="00922EC7">
        <w:rPr>
          <w:szCs w:val="22"/>
          <w:lang w:val="sr-Latn-ME"/>
        </w:rPr>
        <w:t xml:space="preserve"> OCT2 (kao što su </w:t>
      </w:r>
      <w:proofErr w:type="spellStart"/>
      <w:r w:rsidRPr="00922EC7">
        <w:rPr>
          <w:szCs w:val="22"/>
          <w:lang w:val="sr-Latn-ME"/>
        </w:rPr>
        <w:t>cimetidin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dolutegravir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ranolazin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trimetoprim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vandetanib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izavukonazol</w:t>
      </w:r>
      <w:proofErr w:type="spellEnd"/>
      <w:r w:rsidRPr="00922EC7">
        <w:rPr>
          <w:szCs w:val="22"/>
          <w:lang w:val="sr-Latn-ME"/>
        </w:rPr>
        <w:t xml:space="preserve">) može smanjiti eliminaciju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putem bubrega i tako dovesti do porasta koncentracije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u plazmi.</w:t>
      </w:r>
    </w:p>
    <w:p w14:paraId="380A1E1E" w14:textId="09085E84" w:rsidR="00411F60" w:rsidRPr="00922EC7" w:rsidRDefault="00602DCF" w:rsidP="003260D2">
      <w:pPr>
        <w:pStyle w:val="ListParagraph"/>
        <w:numPr>
          <w:ilvl w:val="0"/>
          <w:numId w:val="8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Inhibitorima</w:t>
      </w:r>
      <w:proofErr w:type="spellEnd"/>
      <w:r w:rsidRPr="00922EC7">
        <w:rPr>
          <w:szCs w:val="22"/>
          <w:lang w:val="sr-Latn-ME"/>
        </w:rPr>
        <w:t xml:space="preserve"> i OCT1 i OCT2 (kao što su </w:t>
      </w:r>
      <w:proofErr w:type="spellStart"/>
      <w:r w:rsidRPr="00922EC7">
        <w:rPr>
          <w:szCs w:val="22"/>
          <w:lang w:val="sr-Latn-ME"/>
        </w:rPr>
        <w:t>krizotinib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olaparib</w:t>
      </w:r>
      <w:proofErr w:type="spellEnd"/>
      <w:r w:rsidRPr="00922EC7">
        <w:rPr>
          <w:szCs w:val="22"/>
          <w:lang w:val="sr-Latn-ME"/>
        </w:rPr>
        <w:t>) može izm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eniti efikasnost i </w:t>
      </w:r>
      <w:proofErr w:type="spellStart"/>
      <w:r w:rsidRPr="00922EC7">
        <w:rPr>
          <w:szCs w:val="22"/>
          <w:lang w:val="sr-Latn-ME"/>
        </w:rPr>
        <w:t>renalnu</w:t>
      </w:r>
      <w:proofErr w:type="spellEnd"/>
      <w:r w:rsidRPr="00922EC7">
        <w:rPr>
          <w:szCs w:val="22"/>
          <w:lang w:val="sr-Latn-ME"/>
        </w:rPr>
        <w:t xml:space="preserve"> eliminaciju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>.</w:t>
      </w:r>
    </w:p>
    <w:p w14:paraId="365CF804" w14:textId="6B19172F" w:rsidR="00602DCF" w:rsidRPr="00922EC7" w:rsidRDefault="00602DCF" w:rsidP="0032708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Stoga se sav</w:t>
      </w:r>
      <w:r w:rsidR="0056729B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etuje oprez, naročito kod pacijenata sa oštećenjem bubrežne funkcije, kad se ovi </w:t>
      </w:r>
      <w:r w:rsidR="00191CDC" w:rsidRPr="00922EC7">
        <w:rPr>
          <w:szCs w:val="22"/>
          <w:lang w:val="sr-Latn-ME"/>
        </w:rPr>
        <w:t>ljekovi</w:t>
      </w:r>
      <w:r w:rsidRPr="00922EC7">
        <w:rPr>
          <w:szCs w:val="22"/>
          <w:lang w:val="sr-Latn-ME"/>
        </w:rPr>
        <w:t xml:space="preserve"> prim</w:t>
      </w:r>
      <w:r w:rsidR="0094518B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enjuju istovremeno sa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, pošto se može povećati koncentracija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u plazmi.</w:t>
      </w:r>
    </w:p>
    <w:p w14:paraId="5280EFF4" w14:textId="4009E11B" w:rsidR="00602DCF" w:rsidRPr="00922EC7" w:rsidRDefault="00602DC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Ukoliko je to potrebno, može se razmotriti prilagođavanje doze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, s obzirom da </w:t>
      </w:r>
      <w:proofErr w:type="spellStart"/>
      <w:r w:rsidRPr="00922EC7">
        <w:rPr>
          <w:szCs w:val="22"/>
          <w:lang w:val="sr-Latn-ME"/>
        </w:rPr>
        <w:t>inhibitori</w:t>
      </w:r>
      <w:proofErr w:type="spellEnd"/>
      <w:r w:rsidRPr="00922EC7">
        <w:rPr>
          <w:szCs w:val="22"/>
          <w:lang w:val="sr-Latn-ME"/>
        </w:rPr>
        <w:t>/induktori OCT-a mogu izm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eniti efikasnost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>.</w:t>
      </w:r>
    </w:p>
    <w:p w14:paraId="064E51D3" w14:textId="77777777" w:rsidR="00602DCF" w:rsidRPr="00922EC7" w:rsidRDefault="00602DCF">
      <w:pPr>
        <w:rPr>
          <w:szCs w:val="22"/>
          <w:lang w:val="sr-Latn-ME"/>
        </w:rPr>
      </w:pPr>
    </w:p>
    <w:p w14:paraId="6E0F3355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4.6. </w:t>
      </w:r>
      <w:r w:rsidRPr="00922EC7">
        <w:rPr>
          <w:b/>
          <w:bCs/>
          <w:szCs w:val="22"/>
          <w:lang w:val="sr-Latn-ME"/>
        </w:rPr>
        <w:tab/>
      </w:r>
      <w:r w:rsidRPr="00922EC7">
        <w:rPr>
          <w:b/>
          <w:szCs w:val="22"/>
          <w:lang w:val="sr-Latn-ME"/>
        </w:rPr>
        <w:t>Plodnost, trudnoća i dojenje</w:t>
      </w:r>
    </w:p>
    <w:p w14:paraId="1906B9FF" w14:textId="77777777" w:rsidR="00CE09F3" w:rsidRPr="00922EC7" w:rsidRDefault="00CE09F3">
      <w:pPr>
        <w:rPr>
          <w:szCs w:val="22"/>
          <w:lang w:val="sr-Latn-ME"/>
        </w:rPr>
      </w:pPr>
    </w:p>
    <w:p w14:paraId="648D3088" w14:textId="77777777" w:rsidR="00602DCF" w:rsidRPr="00922EC7" w:rsidRDefault="00602DCF" w:rsidP="00683D74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u w:val="single"/>
          <w:lang w:val="sr-Latn-ME"/>
        </w:rPr>
      </w:pPr>
      <w:r w:rsidRPr="00922EC7">
        <w:rPr>
          <w:iCs/>
          <w:szCs w:val="22"/>
          <w:u w:val="single"/>
          <w:lang w:val="sr-Latn-ME"/>
        </w:rPr>
        <w:t>Trudnoća</w:t>
      </w:r>
    </w:p>
    <w:p w14:paraId="413939DE" w14:textId="42E84343" w:rsidR="005224EE" w:rsidRPr="00922EC7" w:rsidRDefault="005224EE" w:rsidP="00CA4A82">
      <w:pPr>
        <w:suppressAutoHyphens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Nekontrolisana </w:t>
      </w:r>
      <w:proofErr w:type="spellStart"/>
      <w:r w:rsidRPr="00922EC7">
        <w:rPr>
          <w:szCs w:val="22"/>
          <w:lang w:val="sr-Latn-ME"/>
        </w:rPr>
        <w:t>hiperglikemija</w:t>
      </w:r>
      <w:proofErr w:type="spellEnd"/>
      <w:r w:rsidRPr="00922EC7">
        <w:rPr>
          <w:szCs w:val="22"/>
          <w:lang w:val="sr-Latn-ME"/>
        </w:rPr>
        <w:t xml:space="preserve"> u fazi </w:t>
      </w:r>
      <w:proofErr w:type="spellStart"/>
      <w:r w:rsidRPr="00922EC7">
        <w:rPr>
          <w:szCs w:val="22"/>
          <w:lang w:val="sr-Latn-ME"/>
        </w:rPr>
        <w:t>perikoncepcije</w:t>
      </w:r>
      <w:proofErr w:type="spellEnd"/>
      <w:r w:rsidRPr="00922EC7">
        <w:rPr>
          <w:szCs w:val="22"/>
          <w:lang w:val="sr-Latn-ME"/>
        </w:rPr>
        <w:t xml:space="preserve"> i tokom trudnoće je povezana sa povećanim rizikom od nastanka </w:t>
      </w:r>
      <w:proofErr w:type="spellStart"/>
      <w:r w:rsidRPr="00922EC7">
        <w:rPr>
          <w:szCs w:val="22"/>
          <w:lang w:val="sr-Latn-ME"/>
        </w:rPr>
        <w:t>kongenitalnih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malformacija</w:t>
      </w:r>
      <w:proofErr w:type="spellEnd"/>
      <w:r w:rsidRPr="00922EC7">
        <w:rPr>
          <w:szCs w:val="22"/>
          <w:lang w:val="sr-Latn-ME"/>
        </w:rPr>
        <w:t xml:space="preserve">, prekida trudnoće, hipertenzije povezane sa trudnoćom, </w:t>
      </w:r>
      <w:proofErr w:type="spellStart"/>
      <w:r w:rsidRPr="00922EC7">
        <w:rPr>
          <w:szCs w:val="22"/>
          <w:lang w:val="sr-Latn-ME"/>
        </w:rPr>
        <w:t>preeklampsije</w:t>
      </w:r>
      <w:proofErr w:type="spellEnd"/>
      <w:r w:rsidRPr="00922EC7">
        <w:rPr>
          <w:szCs w:val="22"/>
          <w:lang w:val="sr-Latn-ME"/>
        </w:rPr>
        <w:t xml:space="preserve"> i </w:t>
      </w:r>
      <w:proofErr w:type="spellStart"/>
      <w:r w:rsidRPr="00922EC7">
        <w:rPr>
          <w:szCs w:val="22"/>
          <w:lang w:val="sr-Latn-ME"/>
        </w:rPr>
        <w:t>perinatalne</w:t>
      </w:r>
      <w:proofErr w:type="spellEnd"/>
      <w:r w:rsidRPr="00922EC7">
        <w:rPr>
          <w:szCs w:val="22"/>
          <w:lang w:val="sr-Latn-ME"/>
        </w:rPr>
        <w:t xml:space="preserve"> smrtnosti. Neophodno je održavati koncentraciju glukoz</w:t>
      </w:r>
      <w:r w:rsidR="00327085" w:rsidRPr="00922EC7">
        <w:rPr>
          <w:szCs w:val="22"/>
          <w:lang w:val="sr-Latn-ME"/>
        </w:rPr>
        <w:t>e</w:t>
      </w:r>
      <w:r w:rsidRPr="00922EC7">
        <w:rPr>
          <w:szCs w:val="22"/>
          <w:lang w:val="sr-Latn-ME"/>
        </w:rPr>
        <w:t xml:space="preserve"> u krvi što bližim normalnim </w:t>
      </w:r>
      <w:r w:rsidRPr="00922EC7">
        <w:rPr>
          <w:szCs w:val="22"/>
          <w:lang w:val="sr-Latn-ME"/>
        </w:rPr>
        <w:lastRenderedPageBreak/>
        <w:t>vr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ednostima tokom trudnoće kako bi smanjio rizik od neželjenih ishoda vezanih za </w:t>
      </w:r>
      <w:proofErr w:type="spellStart"/>
      <w:r w:rsidRPr="00922EC7">
        <w:rPr>
          <w:szCs w:val="22"/>
          <w:lang w:val="sr-Latn-ME"/>
        </w:rPr>
        <w:t>hiperglikemiju</w:t>
      </w:r>
      <w:proofErr w:type="spellEnd"/>
      <w:r w:rsidRPr="00922EC7">
        <w:rPr>
          <w:szCs w:val="22"/>
          <w:lang w:val="sr-Latn-ME"/>
        </w:rPr>
        <w:t xml:space="preserve"> kako za majku tako i za d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ete.</w:t>
      </w:r>
    </w:p>
    <w:p w14:paraId="4B6DD49C" w14:textId="77777777" w:rsidR="005224EE" w:rsidRPr="00922EC7" w:rsidRDefault="005224EE" w:rsidP="00CA4A82">
      <w:pPr>
        <w:suppressAutoHyphens/>
        <w:rPr>
          <w:szCs w:val="22"/>
          <w:lang w:val="sr-Latn-ME"/>
        </w:rPr>
      </w:pPr>
    </w:p>
    <w:p w14:paraId="55961761" w14:textId="0E14BA09" w:rsidR="005224EE" w:rsidRPr="00922EC7" w:rsidRDefault="005224EE" w:rsidP="00327085">
      <w:pPr>
        <w:suppressAutoHyphens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prolazi placentu i dostiže koncentracije koje mogu biti jednako velike kao i koncentracije kod</w:t>
      </w:r>
      <w:r w:rsidR="00327085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majke.</w:t>
      </w:r>
    </w:p>
    <w:p w14:paraId="7A0BB814" w14:textId="77777777" w:rsidR="005224EE" w:rsidRPr="00922EC7" w:rsidRDefault="005224EE">
      <w:pPr>
        <w:suppressAutoHyphens/>
        <w:rPr>
          <w:szCs w:val="22"/>
          <w:lang w:val="sr-Latn-ME"/>
        </w:rPr>
      </w:pPr>
    </w:p>
    <w:p w14:paraId="2EA1E149" w14:textId="6DE6A582" w:rsidR="005224EE" w:rsidRPr="00922EC7" w:rsidRDefault="005224EE">
      <w:pPr>
        <w:suppressAutoHyphens/>
        <w:rPr>
          <w:szCs w:val="22"/>
          <w:lang w:val="sr-Latn-ME"/>
        </w:rPr>
      </w:pPr>
      <w:r w:rsidRPr="00922EC7">
        <w:rPr>
          <w:szCs w:val="22"/>
          <w:lang w:val="sr-Latn-ME"/>
        </w:rPr>
        <w:t>Veliki broj podataka o prim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eni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kod trudnica (više od 1000 ishoda nakon izloženosti l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eku) iz </w:t>
      </w:r>
      <w:proofErr w:type="spellStart"/>
      <w:r w:rsidRPr="00922EC7">
        <w:rPr>
          <w:szCs w:val="22"/>
          <w:lang w:val="sr-Latn-ME"/>
        </w:rPr>
        <w:t>kohortne</w:t>
      </w:r>
      <w:proofErr w:type="spellEnd"/>
      <w:r w:rsidRPr="00922EC7">
        <w:rPr>
          <w:szCs w:val="22"/>
          <w:lang w:val="sr-Latn-ME"/>
        </w:rPr>
        <w:t xml:space="preserve"> studije iz registra i publikovanih podataka (meta analize, kliničke studije i registri) ne ukazuje na povećan rizik od nastanka </w:t>
      </w:r>
      <w:proofErr w:type="spellStart"/>
      <w:r w:rsidRPr="00922EC7">
        <w:rPr>
          <w:szCs w:val="22"/>
          <w:lang w:val="sr-Latn-ME"/>
        </w:rPr>
        <w:t>kongenitalnih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malformacija</w:t>
      </w:r>
      <w:proofErr w:type="spellEnd"/>
      <w:r w:rsidRPr="00922EC7">
        <w:rPr>
          <w:szCs w:val="22"/>
          <w:lang w:val="sr-Latn-ME"/>
        </w:rPr>
        <w:t xml:space="preserve"> niti </w:t>
      </w:r>
      <w:proofErr w:type="spellStart"/>
      <w:r w:rsidRPr="00922EC7">
        <w:rPr>
          <w:szCs w:val="22"/>
          <w:lang w:val="sr-Latn-ME"/>
        </w:rPr>
        <w:t>feto</w:t>
      </w:r>
      <w:proofErr w:type="spellEnd"/>
      <w:r w:rsidRPr="00922EC7">
        <w:rPr>
          <w:szCs w:val="22"/>
          <w:lang w:val="sr-Latn-ME"/>
        </w:rPr>
        <w:t>/</w:t>
      </w:r>
      <w:proofErr w:type="spellStart"/>
      <w:r w:rsidRPr="00922EC7">
        <w:rPr>
          <w:szCs w:val="22"/>
          <w:lang w:val="sr-Latn-ME"/>
        </w:rPr>
        <w:t>neonatalne</w:t>
      </w:r>
      <w:proofErr w:type="spellEnd"/>
      <w:r w:rsidRPr="00922EC7">
        <w:rPr>
          <w:szCs w:val="22"/>
          <w:lang w:val="sr-Latn-ME"/>
        </w:rPr>
        <w:t xml:space="preserve"> toksičnosti posl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 izloženosti </w:t>
      </w:r>
      <w:proofErr w:type="spellStart"/>
      <w:r w:rsidRPr="00922EC7">
        <w:rPr>
          <w:szCs w:val="22"/>
          <w:lang w:val="sr-Latn-ME"/>
        </w:rPr>
        <w:t>metforminu</w:t>
      </w:r>
      <w:proofErr w:type="spellEnd"/>
      <w:r w:rsidRPr="00922EC7">
        <w:rPr>
          <w:szCs w:val="22"/>
          <w:lang w:val="sr-Latn-ME"/>
        </w:rPr>
        <w:t xml:space="preserve"> u fazi </w:t>
      </w:r>
      <w:proofErr w:type="spellStart"/>
      <w:r w:rsidRPr="00922EC7">
        <w:rPr>
          <w:szCs w:val="22"/>
          <w:lang w:val="sr-Latn-ME"/>
        </w:rPr>
        <w:t>perikoncepcije</w:t>
      </w:r>
      <w:proofErr w:type="spellEnd"/>
      <w:r w:rsidRPr="00922EC7">
        <w:rPr>
          <w:szCs w:val="22"/>
          <w:lang w:val="sr-Latn-ME"/>
        </w:rPr>
        <w:t xml:space="preserve"> i/ili tokom trudnoće.</w:t>
      </w:r>
    </w:p>
    <w:p w14:paraId="134C777A" w14:textId="77777777" w:rsidR="005224EE" w:rsidRPr="00922EC7" w:rsidRDefault="005224EE">
      <w:pPr>
        <w:suppressAutoHyphens/>
        <w:rPr>
          <w:szCs w:val="22"/>
          <w:lang w:val="sr-Latn-ME"/>
        </w:rPr>
      </w:pPr>
    </w:p>
    <w:p w14:paraId="77904182" w14:textId="6DCA75C7" w:rsidR="005224EE" w:rsidRPr="00922EC7" w:rsidRDefault="005224EE">
      <w:pPr>
        <w:suppressAutoHyphens/>
        <w:rPr>
          <w:szCs w:val="22"/>
          <w:lang w:val="sr-Latn-ME"/>
        </w:rPr>
      </w:pPr>
      <w:r w:rsidRPr="00922EC7">
        <w:rPr>
          <w:szCs w:val="22"/>
          <w:lang w:val="sr-Latn-ME"/>
        </w:rPr>
        <w:t>Postoje ograničeni i neuv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erljivi podaci o dugotrajnom uticaju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na t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elesnu masu d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ece koja su bila izložena l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eku </w:t>
      </w:r>
      <w:r w:rsidRPr="00922EC7">
        <w:rPr>
          <w:i/>
          <w:iCs/>
          <w:szCs w:val="22"/>
          <w:lang w:val="sr-Latn-ME"/>
        </w:rPr>
        <w:t xml:space="preserve">in </w:t>
      </w:r>
      <w:proofErr w:type="spellStart"/>
      <w:r w:rsidRPr="00922EC7">
        <w:rPr>
          <w:i/>
          <w:iCs/>
          <w:szCs w:val="22"/>
          <w:lang w:val="sr-Latn-ME"/>
        </w:rPr>
        <w:t>utero</w:t>
      </w:r>
      <w:proofErr w:type="spellEnd"/>
      <w:r w:rsidRPr="00922EC7">
        <w:rPr>
          <w:szCs w:val="22"/>
          <w:lang w:val="sr-Latn-ME"/>
        </w:rPr>
        <w:t xml:space="preserve">. Izgleda da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ne utiče na motorni i socijalni razvoj d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ece uzrasta do 4 godina koja su bila izložena l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eku tokom trudnoće iako su podaci o dugotrajnom uticaju ograničeni.</w:t>
      </w:r>
    </w:p>
    <w:p w14:paraId="742E0F49" w14:textId="77777777" w:rsidR="005224EE" w:rsidRPr="00922EC7" w:rsidRDefault="005224EE">
      <w:pPr>
        <w:suppressAutoHyphens/>
        <w:rPr>
          <w:szCs w:val="22"/>
          <w:lang w:val="sr-Latn-ME"/>
        </w:rPr>
      </w:pPr>
    </w:p>
    <w:p w14:paraId="260D557D" w14:textId="0B15365A" w:rsidR="005224EE" w:rsidRPr="00922EC7" w:rsidRDefault="005224EE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Ukoliko je klinički neophodno, prim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enu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tokom trudnoće i u fazi koncepcije treba razmotriti kao dodatnu ili drugu u odnosu na insulin.</w:t>
      </w:r>
    </w:p>
    <w:p w14:paraId="421A2AD0" w14:textId="77777777" w:rsidR="008B13F9" w:rsidRPr="00922EC7" w:rsidRDefault="008B13F9" w:rsidP="00CA4A82">
      <w:pPr>
        <w:rPr>
          <w:szCs w:val="22"/>
          <w:lang w:val="sr-Latn-ME"/>
        </w:rPr>
      </w:pPr>
    </w:p>
    <w:p w14:paraId="3F4F6C59" w14:textId="77777777" w:rsidR="0027560A" w:rsidRPr="00922EC7" w:rsidRDefault="0027560A" w:rsidP="00683D74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u w:val="single"/>
          <w:lang w:val="sr-Latn-ME"/>
        </w:rPr>
      </w:pPr>
      <w:r w:rsidRPr="00922EC7">
        <w:rPr>
          <w:iCs/>
          <w:szCs w:val="22"/>
          <w:u w:val="single"/>
          <w:lang w:val="sr-Latn-ME"/>
        </w:rPr>
        <w:t>Dojenje</w:t>
      </w:r>
    </w:p>
    <w:p w14:paraId="0CB5F76D" w14:textId="7DFFB6DC" w:rsidR="0027560A" w:rsidRPr="00922EC7" w:rsidRDefault="0027560A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se izlučuje u m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>o dojilja. Nisu prim</w:t>
      </w:r>
      <w:r w:rsidR="00564049" w:rsidRPr="00922EC7">
        <w:rPr>
          <w:szCs w:val="22"/>
          <w:lang w:val="sr-Latn-ME"/>
        </w:rPr>
        <w:t>i</w:t>
      </w:r>
      <w:r w:rsidR="00895BA8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ećena neželjena dejstva kod novorođenčadi/odojčadi koja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doje. Ipak, </w:t>
      </w:r>
      <w:proofErr w:type="spellStart"/>
      <w:r w:rsidRPr="00922EC7">
        <w:rPr>
          <w:szCs w:val="22"/>
          <w:lang w:val="sr-Latn-ME"/>
        </w:rPr>
        <w:t>usl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ed</w:t>
      </w:r>
      <w:proofErr w:type="spellEnd"/>
      <w:r w:rsidRPr="00922EC7">
        <w:rPr>
          <w:szCs w:val="22"/>
          <w:lang w:val="sr-Latn-ME"/>
        </w:rPr>
        <w:t xml:space="preserve"> ograničenih podataka, dojenje nije preporučeno tokom terapije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>. Odluku o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prekidu dojenja treba doneti uzimajući u obzir važnost dojenja i potencijalna neželjena dejstva na d</w:t>
      </w:r>
      <w:r w:rsidR="00895BA8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ete.</w:t>
      </w:r>
    </w:p>
    <w:p w14:paraId="3C084DBC" w14:textId="77777777" w:rsidR="008B13F9" w:rsidRPr="00922EC7" w:rsidRDefault="008B13F9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BE1B876" w14:textId="77777777" w:rsidR="0027560A" w:rsidRPr="00922EC7" w:rsidRDefault="0027560A" w:rsidP="00683D74">
      <w:pPr>
        <w:tabs>
          <w:tab w:val="clear" w:pos="284"/>
        </w:tabs>
        <w:autoSpaceDE w:val="0"/>
        <w:autoSpaceDN w:val="0"/>
        <w:adjustRightInd w:val="0"/>
        <w:rPr>
          <w:iCs/>
          <w:szCs w:val="22"/>
          <w:u w:val="single"/>
          <w:lang w:val="sr-Latn-ME"/>
        </w:rPr>
      </w:pPr>
      <w:r w:rsidRPr="00922EC7">
        <w:rPr>
          <w:iCs/>
          <w:szCs w:val="22"/>
          <w:u w:val="single"/>
          <w:lang w:val="sr-Latn-ME"/>
        </w:rPr>
        <w:t>Plodnost</w:t>
      </w:r>
    </w:p>
    <w:p w14:paraId="4AEED9F0" w14:textId="4CE6F052" w:rsidR="0027560A" w:rsidRPr="00922EC7" w:rsidRDefault="0027560A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Fertilitet kod pacova muškog i ženskog pola nije bio prom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enjen u slučaju visokih doza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>, kao što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je 600 mg/kg/dan, što je aproksimativno tri puta više od maksimalnih dnevno preporučenih doza kod čov</w:t>
      </w:r>
      <w:r w:rsidR="00895BA8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eka,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računato prema površini t</w:t>
      </w:r>
      <w:r w:rsidR="00895BA8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ela.</w:t>
      </w:r>
    </w:p>
    <w:p w14:paraId="15755F05" w14:textId="77777777" w:rsidR="0027560A" w:rsidRPr="00922EC7" w:rsidRDefault="0027560A">
      <w:pPr>
        <w:rPr>
          <w:szCs w:val="22"/>
          <w:lang w:val="sr-Latn-ME"/>
        </w:rPr>
      </w:pPr>
    </w:p>
    <w:p w14:paraId="00A82C4B" w14:textId="77777777" w:rsidR="000519F4" w:rsidRPr="00922EC7" w:rsidRDefault="000519F4">
      <w:pPr>
        <w:rPr>
          <w:b/>
          <w:bCs/>
          <w:spacing w:val="-8"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4.7. </w:t>
      </w:r>
      <w:r w:rsidRPr="00922EC7">
        <w:rPr>
          <w:b/>
          <w:bCs/>
          <w:szCs w:val="22"/>
          <w:lang w:val="sr-Latn-ME"/>
        </w:rPr>
        <w:tab/>
        <w:t>Uticaj na sposobnost upravljanja vozilima i rukovanje mašinama</w:t>
      </w:r>
      <w:r w:rsidRPr="00922EC7" w:rsidDel="000519F4">
        <w:rPr>
          <w:b/>
          <w:bCs/>
          <w:spacing w:val="-8"/>
          <w:szCs w:val="22"/>
          <w:lang w:val="sr-Latn-ME"/>
        </w:rPr>
        <w:t xml:space="preserve"> </w:t>
      </w:r>
    </w:p>
    <w:p w14:paraId="1906BA02" w14:textId="77777777" w:rsidR="00CE09F3" w:rsidRPr="00922EC7" w:rsidRDefault="00CE09F3">
      <w:pPr>
        <w:rPr>
          <w:szCs w:val="22"/>
          <w:lang w:val="sr-Latn-ME"/>
        </w:rPr>
      </w:pPr>
    </w:p>
    <w:p w14:paraId="55D22DF8" w14:textId="45E86597" w:rsidR="0027560A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kao </w:t>
      </w:r>
      <w:proofErr w:type="spellStart"/>
      <w:r w:rsidRPr="00922EC7">
        <w:rPr>
          <w:szCs w:val="22"/>
          <w:lang w:val="sr-Latn-ME"/>
        </w:rPr>
        <w:t>monoterapija</w:t>
      </w:r>
      <w:proofErr w:type="spellEnd"/>
      <w:r w:rsidRPr="00922EC7">
        <w:rPr>
          <w:szCs w:val="22"/>
          <w:lang w:val="sr-Latn-ME"/>
        </w:rPr>
        <w:t xml:space="preserve"> ne izaziva </w:t>
      </w:r>
      <w:proofErr w:type="spellStart"/>
      <w:r w:rsidRPr="00922EC7">
        <w:rPr>
          <w:szCs w:val="22"/>
          <w:lang w:val="sr-Latn-ME"/>
        </w:rPr>
        <w:t>hipoglikemiju</w:t>
      </w:r>
      <w:proofErr w:type="spellEnd"/>
      <w:r w:rsidRPr="00922EC7">
        <w:rPr>
          <w:szCs w:val="22"/>
          <w:lang w:val="sr-Latn-ME"/>
        </w:rPr>
        <w:t>, tako da ne utiče na sposobnost upravljanja vozilima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ili rukovanja mašinama.</w:t>
      </w:r>
    </w:p>
    <w:p w14:paraId="1906BA03" w14:textId="73FF963D" w:rsidR="00CE09F3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Međutim, pacijente treba upozoriti na rizik od </w:t>
      </w:r>
      <w:proofErr w:type="spellStart"/>
      <w:r w:rsidRPr="00922EC7">
        <w:rPr>
          <w:szCs w:val="22"/>
          <w:lang w:val="sr-Latn-ME"/>
        </w:rPr>
        <w:t>hipoglikemije</w:t>
      </w:r>
      <w:proofErr w:type="spellEnd"/>
      <w:r w:rsidRPr="00922EC7">
        <w:rPr>
          <w:szCs w:val="22"/>
          <w:lang w:val="sr-Latn-ME"/>
        </w:rPr>
        <w:t xml:space="preserve">, kada se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koristi u kombinaciji sa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drugim </w:t>
      </w:r>
      <w:proofErr w:type="spellStart"/>
      <w:r w:rsidRPr="00922EC7">
        <w:rPr>
          <w:szCs w:val="22"/>
          <w:lang w:val="sr-Latn-ME"/>
        </w:rPr>
        <w:t>antidijabeticima</w:t>
      </w:r>
      <w:proofErr w:type="spellEnd"/>
      <w:r w:rsidRPr="00922EC7">
        <w:rPr>
          <w:szCs w:val="22"/>
          <w:lang w:val="sr-Latn-ME"/>
        </w:rPr>
        <w:t xml:space="preserve"> (npr. derivatima </w:t>
      </w:r>
      <w:proofErr w:type="spellStart"/>
      <w:r w:rsidRPr="00922EC7">
        <w:rPr>
          <w:szCs w:val="22"/>
          <w:lang w:val="sr-Latn-ME"/>
        </w:rPr>
        <w:t>sulfonilureje</w:t>
      </w:r>
      <w:proofErr w:type="spellEnd"/>
      <w:r w:rsidRPr="00922EC7">
        <w:rPr>
          <w:szCs w:val="22"/>
          <w:lang w:val="sr-Latn-ME"/>
        </w:rPr>
        <w:t xml:space="preserve">, insulinom, </w:t>
      </w:r>
      <w:proofErr w:type="spellStart"/>
      <w:r w:rsidRPr="00922EC7">
        <w:rPr>
          <w:szCs w:val="22"/>
          <w:lang w:val="sr-Latn-ME"/>
        </w:rPr>
        <w:t>meglitinidom</w:t>
      </w:r>
      <w:proofErr w:type="spellEnd"/>
      <w:r w:rsidRPr="00922EC7">
        <w:rPr>
          <w:szCs w:val="22"/>
          <w:lang w:val="sr-Latn-ME"/>
        </w:rPr>
        <w:t>).</w:t>
      </w:r>
    </w:p>
    <w:p w14:paraId="2945EB76" w14:textId="77777777" w:rsidR="0027560A" w:rsidRPr="00922EC7" w:rsidRDefault="0027560A">
      <w:pPr>
        <w:rPr>
          <w:szCs w:val="22"/>
          <w:lang w:val="sr-Latn-ME"/>
        </w:rPr>
      </w:pPr>
    </w:p>
    <w:p w14:paraId="6401C2F6" w14:textId="77777777" w:rsidR="000519F4" w:rsidRPr="00922EC7" w:rsidRDefault="000519F4">
      <w:pPr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4.8. </w:t>
      </w:r>
      <w:r w:rsidRPr="00922EC7">
        <w:rPr>
          <w:b/>
          <w:bCs/>
          <w:szCs w:val="22"/>
          <w:lang w:val="sr-Latn-ME"/>
        </w:rPr>
        <w:tab/>
        <w:t>Neželjena dejstva</w:t>
      </w:r>
      <w:r w:rsidRPr="00922EC7" w:rsidDel="000519F4">
        <w:rPr>
          <w:b/>
          <w:bCs/>
          <w:szCs w:val="22"/>
          <w:lang w:val="sr-Latn-ME"/>
        </w:rPr>
        <w:t xml:space="preserve"> </w:t>
      </w:r>
    </w:p>
    <w:p w14:paraId="1906BA05" w14:textId="77777777" w:rsidR="00CE09F3" w:rsidRPr="00922EC7" w:rsidRDefault="00CE09F3">
      <w:pPr>
        <w:rPr>
          <w:noProof/>
          <w:szCs w:val="22"/>
          <w:u w:val="single"/>
          <w:lang w:val="sr-Latn-ME"/>
        </w:rPr>
      </w:pPr>
    </w:p>
    <w:p w14:paraId="612C6EF6" w14:textId="0D83B58E" w:rsidR="0027560A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Podaci prikupljeni u periodu nakon puštanja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>a u promet i iz kontrolisanih kliničkih ispitivanja, su pokazali</w:t>
      </w:r>
    </w:p>
    <w:p w14:paraId="00A9B142" w14:textId="439C5AE8" w:rsidR="0027560A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da su neželjena dejstva kod pacijenata l</w:t>
      </w:r>
      <w:r w:rsidR="006D0353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ečenih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 u obliku tab</w:t>
      </w:r>
      <w:r w:rsidR="008B13F9" w:rsidRPr="00922EC7">
        <w:rPr>
          <w:szCs w:val="22"/>
          <w:lang w:val="sr-Latn-ME"/>
        </w:rPr>
        <w:t xml:space="preserve">leta sa produženim oslobađanjem </w:t>
      </w:r>
      <w:r w:rsidRPr="00922EC7">
        <w:rPr>
          <w:szCs w:val="22"/>
          <w:lang w:val="sr-Latn-ME"/>
        </w:rPr>
        <w:t>bila slična onim kod pacijenata l</w:t>
      </w:r>
      <w:r w:rsidR="006D0353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ečenih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 u obliku tableta sa trenutnim oslobađanjem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>a.</w:t>
      </w:r>
    </w:p>
    <w:p w14:paraId="7C27BD61" w14:textId="65F8D397" w:rsidR="0027560A" w:rsidRPr="00922EC7" w:rsidRDefault="0027560A">
      <w:pPr>
        <w:rPr>
          <w:szCs w:val="22"/>
          <w:lang w:val="sr-Latn-ME"/>
        </w:rPr>
      </w:pPr>
    </w:p>
    <w:p w14:paraId="40D7A35A" w14:textId="71773C39" w:rsidR="0027560A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Na početku terapije, najčešće neželjene reakcije su mučnina, povraćanje, dijareja, abdominalni bol i gubitak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apetita, i prolaze spontano u većini slučajeva.</w:t>
      </w:r>
    </w:p>
    <w:p w14:paraId="2BA2933B" w14:textId="529E6995" w:rsidR="0027560A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Sl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edeće neželjene reakcije su moguće</w:t>
      </w:r>
      <w:r w:rsidR="00A82623" w:rsidRPr="00922EC7">
        <w:rPr>
          <w:szCs w:val="22"/>
          <w:lang w:val="sr-Latn-ME"/>
        </w:rPr>
        <w:t xml:space="preserve"> tokom terapije </w:t>
      </w:r>
      <w:r w:rsidR="00191CDC" w:rsidRPr="00922EC7">
        <w:rPr>
          <w:szCs w:val="22"/>
          <w:lang w:val="sr-Latn-ME"/>
        </w:rPr>
        <w:t>lijek</w:t>
      </w:r>
      <w:r w:rsidR="00A82623" w:rsidRPr="00922EC7">
        <w:rPr>
          <w:szCs w:val="22"/>
          <w:lang w:val="sr-Latn-ME"/>
        </w:rPr>
        <w:t xml:space="preserve">om </w:t>
      </w:r>
      <w:proofErr w:type="spellStart"/>
      <w:r w:rsidR="00A82623" w:rsidRPr="00922EC7">
        <w:rPr>
          <w:szCs w:val="22"/>
          <w:lang w:val="sr-Latn-ME"/>
        </w:rPr>
        <w:t>Gluformin</w:t>
      </w:r>
      <w:proofErr w:type="spellEnd"/>
      <w:r w:rsidRPr="00922EC7">
        <w:rPr>
          <w:szCs w:val="22"/>
          <w:lang w:val="sr-Latn-ME"/>
        </w:rPr>
        <w:t xml:space="preserve"> XR.</w:t>
      </w:r>
    </w:p>
    <w:p w14:paraId="681046B0" w14:textId="77777777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E124222" w14:textId="255E257B" w:rsidR="0027560A" w:rsidRPr="00922EC7" w:rsidRDefault="0027560A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Učestalost je definisana kao: veoma često (≥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1/10); često (≥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1/100 do &lt;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1/10); povremeno (≥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1/1000 do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&lt;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1/100); r</w:t>
      </w:r>
      <w:r w:rsidR="006D0353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etko (≥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000 do &lt;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1/1000); veoma r</w:t>
      </w:r>
      <w:r w:rsidR="006D0353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etko (&lt;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1/10</w:t>
      </w:r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000).</w:t>
      </w:r>
    </w:p>
    <w:p w14:paraId="15DA2DC3" w14:textId="7D74CFFA" w:rsidR="0027560A" w:rsidRPr="00922EC7" w:rsidRDefault="0027560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U okviru svake grupe, neželjene reakcije su poređane od ozbiljnijih ka manje ozbiljnim neželjenim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reakcijama.</w:t>
      </w:r>
    </w:p>
    <w:p w14:paraId="48440A23" w14:textId="73E95CD2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48A4B58" w14:textId="068E6E8D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>P</w:t>
      </w:r>
      <w:r w:rsidR="009E325D" w:rsidRPr="00922EC7">
        <w:rPr>
          <w:i/>
          <w:szCs w:val="22"/>
          <w:lang w:val="sr-Latn-ME"/>
        </w:rPr>
        <w:t>oremećaji metabolizma i ishrane</w:t>
      </w:r>
    </w:p>
    <w:p w14:paraId="042C4D6C" w14:textId="1C784538" w:rsidR="003A4516" w:rsidRPr="00922EC7" w:rsidRDefault="00C23CB0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  <w:r w:rsidRPr="00922EC7">
        <w:rPr>
          <w:rFonts w:eastAsia="TimesNewRoman,Italic"/>
          <w:iCs/>
          <w:szCs w:val="22"/>
          <w:lang w:val="sr-Latn-ME"/>
        </w:rPr>
        <w:t>Često:</w:t>
      </w:r>
    </w:p>
    <w:p w14:paraId="575263D1" w14:textId="037ABC39" w:rsidR="00676C7D" w:rsidRPr="00922EC7" w:rsidRDefault="00676C7D" w:rsidP="00CA4A82">
      <w:pPr>
        <w:pStyle w:val="ListParagraph"/>
        <w:numPr>
          <w:ilvl w:val="0"/>
          <w:numId w:val="13"/>
        </w:numPr>
        <w:suppressAutoHyphens/>
        <w:rPr>
          <w:i/>
          <w:szCs w:val="22"/>
          <w:lang w:val="sr-Latn-ME"/>
        </w:rPr>
      </w:pPr>
      <w:r w:rsidRPr="00922EC7">
        <w:rPr>
          <w:szCs w:val="22"/>
          <w:lang w:val="sr-Latn-ME"/>
        </w:rPr>
        <w:t>Smanjenje/nedostatak vitamina B</w:t>
      </w:r>
      <w:r w:rsidRPr="00922EC7">
        <w:rPr>
          <w:szCs w:val="22"/>
          <w:vertAlign w:val="subscript"/>
          <w:lang w:val="sr-Latn-ME"/>
        </w:rPr>
        <w:t>12</w:t>
      </w:r>
      <w:r w:rsidRPr="00922EC7">
        <w:rPr>
          <w:szCs w:val="22"/>
          <w:lang w:val="sr-Latn-ME"/>
        </w:rPr>
        <w:t xml:space="preserve"> (</w:t>
      </w:r>
      <w:r w:rsidR="00357E1D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 xml:space="preserve">dio </w:t>
      </w:r>
      <w:r w:rsidRPr="00922EC7">
        <w:rPr>
          <w:szCs w:val="22"/>
          <w:lang w:val="sr-Latn-ME"/>
        </w:rPr>
        <w:t>4.4.)</w:t>
      </w:r>
    </w:p>
    <w:p w14:paraId="32DE3AA0" w14:textId="2BC8BDB7" w:rsidR="00C23CB0" w:rsidRPr="00922EC7" w:rsidRDefault="00C23CB0" w:rsidP="00683D74">
      <w:pPr>
        <w:pStyle w:val="ListParagraph"/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</w:p>
    <w:p w14:paraId="18791DCD" w14:textId="67ECD821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  <w:r w:rsidRPr="00922EC7">
        <w:rPr>
          <w:rFonts w:eastAsia="TimesNewRoman,Italic"/>
          <w:iCs/>
          <w:szCs w:val="22"/>
          <w:lang w:val="sr-Latn-ME"/>
        </w:rPr>
        <w:t>Veoma r</w:t>
      </w:r>
      <w:r w:rsidR="006D0353" w:rsidRPr="00922EC7">
        <w:rPr>
          <w:rFonts w:eastAsia="TimesNewRoman,Italic"/>
          <w:iCs/>
          <w:szCs w:val="22"/>
          <w:lang w:val="sr-Latn-ME"/>
        </w:rPr>
        <w:t>ij</w:t>
      </w:r>
      <w:r w:rsidRPr="00922EC7">
        <w:rPr>
          <w:rFonts w:eastAsia="TimesNewRoman,Italic"/>
          <w:iCs/>
          <w:szCs w:val="22"/>
          <w:lang w:val="sr-Latn-ME"/>
        </w:rPr>
        <w:t>etko:</w:t>
      </w:r>
    </w:p>
    <w:p w14:paraId="7979091A" w14:textId="16939919" w:rsidR="00A82623" w:rsidRPr="00922EC7" w:rsidRDefault="00A82623" w:rsidP="00683D74">
      <w:pPr>
        <w:pStyle w:val="ListParagraph"/>
        <w:numPr>
          <w:ilvl w:val="0"/>
          <w:numId w:val="9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Laktatna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acidoza</w:t>
      </w:r>
      <w:proofErr w:type="spellEnd"/>
      <w:r w:rsidRPr="00922EC7">
        <w:rPr>
          <w:szCs w:val="22"/>
          <w:lang w:val="sr-Latn-ME"/>
        </w:rPr>
        <w:t xml:space="preserve"> (</w:t>
      </w:r>
      <w:r w:rsidR="00357E1D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>dio</w:t>
      </w:r>
      <w:r w:rsidR="00191CD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4.4).</w:t>
      </w:r>
    </w:p>
    <w:p w14:paraId="70DCF993" w14:textId="32425C6A" w:rsidR="0027560A" w:rsidRPr="00922EC7" w:rsidRDefault="0027560A" w:rsidP="00CA4A82">
      <w:pPr>
        <w:rPr>
          <w:noProof/>
          <w:szCs w:val="22"/>
          <w:u w:val="single"/>
          <w:lang w:val="sr-Latn-ME"/>
        </w:rPr>
      </w:pPr>
    </w:p>
    <w:p w14:paraId="07D6F01A" w14:textId="33030498" w:rsidR="00A82623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lastRenderedPageBreak/>
        <w:t>Poremećaji nervnog sistema</w:t>
      </w:r>
    </w:p>
    <w:p w14:paraId="5BC5D954" w14:textId="77777777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  <w:r w:rsidRPr="00922EC7">
        <w:rPr>
          <w:rFonts w:eastAsia="TimesNewRoman,Italic"/>
          <w:iCs/>
          <w:szCs w:val="22"/>
          <w:lang w:val="sr-Latn-ME"/>
        </w:rPr>
        <w:t>Često:</w:t>
      </w:r>
    </w:p>
    <w:p w14:paraId="36E02F2B" w14:textId="442CFFCB" w:rsidR="00A82623" w:rsidRPr="00922EC7" w:rsidRDefault="00A82623" w:rsidP="00CA4A82">
      <w:pPr>
        <w:pStyle w:val="ListParagraph"/>
        <w:numPr>
          <w:ilvl w:val="0"/>
          <w:numId w:val="11"/>
        </w:numPr>
        <w:rPr>
          <w:noProof/>
          <w:szCs w:val="22"/>
          <w:u w:val="single"/>
          <w:lang w:val="sr-Latn-ME"/>
        </w:rPr>
      </w:pPr>
      <w:r w:rsidRPr="00922EC7">
        <w:rPr>
          <w:szCs w:val="22"/>
          <w:lang w:val="sr-Latn-ME"/>
        </w:rPr>
        <w:t>Poremećaj čula ukusa</w:t>
      </w:r>
    </w:p>
    <w:p w14:paraId="3A8A701A" w14:textId="0656B191" w:rsidR="00A82623" w:rsidRPr="00922EC7" w:rsidRDefault="00A82623">
      <w:pPr>
        <w:rPr>
          <w:noProof/>
          <w:szCs w:val="22"/>
          <w:u w:val="single"/>
          <w:lang w:val="sr-Latn-ME"/>
        </w:rPr>
      </w:pPr>
    </w:p>
    <w:p w14:paraId="243B9EAC" w14:textId="49794BE5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>Gastrointe</w:t>
      </w:r>
      <w:r w:rsidR="009E325D" w:rsidRPr="00922EC7">
        <w:rPr>
          <w:i/>
          <w:szCs w:val="22"/>
          <w:lang w:val="sr-Latn-ME"/>
        </w:rPr>
        <w:t>stinalni poremećaji</w:t>
      </w:r>
    </w:p>
    <w:p w14:paraId="1E42EC1A" w14:textId="77777777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  <w:r w:rsidRPr="00922EC7">
        <w:rPr>
          <w:rFonts w:eastAsia="TimesNewRoman,Italic"/>
          <w:iCs/>
          <w:szCs w:val="22"/>
          <w:lang w:val="sr-Latn-ME"/>
        </w:rPr>
        <w:t>Veoma često:</w:t>
      </w:r>
    </w:p>
    <w:p w14:paraId="46E6CBEF" w14:textId="62477ABE" w:rsidR="00A82623" w:rsidRPr="00922EC7" w:rsidRDefault="00A82623" w:rsidP="00CA4A82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Gastrointestinalni poremećaji kao što su mučnina, povraćanje, dijareja, abdominalni bol i gubitak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apetita. Ova neželjena dejstva se javljaju najčešće tokom početka terapije i prolaze spontano u većini slučajeva. </w:t>
      </w:r>
      <w:proofErr w:type="spellStart"/>
      <w:r w:rsidRPr="00922EC7">
        <w:rPr>
          <w:szCs w:val="22"/>
          <w:lang w:val="sr-Latn-ME"/>
        </w:rPr>
        <w:t>Postepeno</w:t>
      </w:r>
      <w:proofErr w:type="spellEnd"/>
      <w:r w:rsidRPr="00922EC7">
        <w:rPr>
          <w:szCs w:val="22"/>
          <w:lang w:val="sr-Latn-ME"/>
        </w:rPr>
        <w:t xml:space="preserve"> povećavanje doze može poboljšati gastrointestinalnu </w:t>
      </w:r>
      <w:proofErr w:type="spellStart"/>
      <w:r w:rsidRPr="00922EC7">
        <w:rPr>
          <w:szCs w:val="22"/>
          <w:lang w:val="sr-Latn-ME"/>
        </w:rPr>
        <w:t>podnošljivost</w:t>
      </w:r>
      <w:proofErr w:type="spellEnd"/>
      <w:r w:rsidRPr="00922EC7">
        <w:rPr>
          <w:szCs w:val="22"/>
          <w:lang w:val="sr-Latn-ME"/>
        </w:rPr>
        <w:t>.</w:t>
      </w:r>
    </w:p>
    <w:p w14:paraId="24C557F1" w14:textId="7C86BDD1" w:rsidR="00A82623" w:rsidRPr="00922EC7" w:rsidRDefault="00A82623">
      <w:pPr>
        <w:rPr>
          <w:noProof/>
          <w:szCs w:val="22"/>
          <w:u w:val="single"/>
          <w:lang w:val="sr-Latn-ME"/>
        </w:rPr>
      </w:pPr>
    </w:p>
    <w:p w14:paraId="5978D85F" w14:textId="6100450B" w:rsidR="00A82623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Hepatobilijarni</w:t>
      </w:r>
      <w:proofErr w:type="spellEnd"/>
      <w:r w:rsidRPr="00922EC7">
        <w:rPr>
          <w:i/>
          <w:szCs w:val="22"/>
          <w:lang w:val="sr-Latn-ME"/>
        </w:rPr>
        <w:t xml:space="preserve"> poremećaji</w:t>
      </w:r>
    </w:p>
    <w:p w14:paraId="0C11A129" w14:textId="2174D374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  <w:r w:rsidRPr="00922EC7">
        <w:rPr>
          <w:rFonts w:eastAsia="TimesNewRoman,Italic"/>
          <w:iCs/>
          <w:szCs w:val="22"/>
          <w:lang w:val="sr-Latn-ME"/>
        </w:rPr>
        <w:t>Veoma r</w:t>
      </w:r>
      <w:r w:rsidR="006D0353" w:rsidRPr="00922EC7">
        <w:rPr>
          <w:rFonts w:eastAsia="TimesNewRoman,Italic"/>
          <w:iCs/>
          <w:szCs w:val="22"/>
          <w:lang w:val="sr-Latn-ME"/>
        </w:rPr>
        <w:t>ij</w:t>
      </w:r>
      <w:r w:rsidRPr="00922EC7">
        <w:rPr>
          <w:rFonts w:eastAsia="TimesNewRoman,Italic"/>
          <w:iCs/>
          <w:szCs w:val="22"/>
          <w:lang w:val="sr-Latn-ME"/>
        </w:rPr>
        <w:t>etko:</w:t>
      </w:r>
    </w:p>
    <w:p w14:paraId="5BE59618" w14:textId="77D6A73C" w:rsidR="00A82623" w:rsidRPr="00922EC7" w:rsidRDefault="00A82623" w:rsidP="00CA4A82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Izolovani slučajevi poremećaja testova funkcije jetre ili hepatitisa koji prolaze nakon isključenja</w:t>
      </w:r>
      <w:r w:rsidR="008B13F9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iz upotrebe.</w:t>
      </w:r>
    </w:p>
    <w:p w14:paraId="07BB97FA" w14:textId="77777777" w:rsidR="00A82623" w:rsidRPr="00922EC7" w:rsidRDefault="00A8262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1BBF641" w14:textId="5DEACA57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>Poremećaji kože i po</w:t>
      </w:r>
      <w:r w:rsidR="009E325D" w:rsidRPr="00922EC7">
        <w:rPr>
          <w:i/>
          <w:szCs w:val="22"/>
          <w:lang w:val="sr-Latn-ME"/>
        </w:rPr>
        <w:t>tkožnog tkiva</w:t>
      </w:r>
    </w:p>
    <w:p w14:paraId="72E2E5CA" w14:textId="5D912C7E" w:rsidR="00A82623" w:rsidRPr="00922EC7" w:rsidRDefault="00A82623" w:rsidP="00683D74">
      <w:pPr>
        <w:tabs>
          <w:tab w:val="clear" w:pos="284"/>
        </w:tabs>
        <w:autoSpaceDE w:val="0"/>
        <w:autoSpaceDN w:val="0"/>
        <w:adjustRightInd w:val="0"/>
        <w:rPr>
          <w:rFonts w:eastAsia="TimesNewRoman,Italic"/>
          <w:iCs/>
          <w:szCs w:val="22"/>
          <w:lang w:val="sr-Latn-ME"/>
        </w:rPr>
      </w:pPr>
      <w:r w:rsidRPr="00922EC7">
        <w:rPr>
          <w:rFonts w:eastAsia="TimesNewRoman,Italic"/>
          <w:iCs/>
          <w:szCs w:val="22"/>
          <w:lang w:val="sr-Latn-ME"/>
        </w:rPr>
        <w:t>Veoma r</w:t>
      </w:r>
      <w:r w:rsidR="006D0353" w:rsidRPr="00922EC7">
        <w:rPr>
          <w:rFonts w:eastAsia="TimesNewRoman,Italic"/>
          <w:iCs/>
          <w:szCs w:val="22"/>
          <w:lang w:val="sr-Latn-ME"/>
        </w:rPr>
        <w:t>ij</w:t>
      </w:r>
      <w:r w:rsidRPr="00922EC7">
        <w:rPr>
          <w:rFonts w:eastAsia="TimesNewRoman,Italic"/>
          <w:iCs/>
          <w:szCs w:val="22"/>
          <w:lang w:val="sr-Latn-ME"/>
        </w:rPr>
        <w:t>etko:</w:t>
      </w:r>
    </w:p>
    <w:p w14:paraId="582D07F1" w14:textId="735AE642" w:rsidR="00A82623" w:rsidRPr="00922EC7" w:rsidRDefault="00A82623" w:rsidP="00CA4A82">
      <w:pPr>
        <w:pStyle w:val="ListParagraph"/>
        <w:numPr>
          <w:ilvl w:val="0"/>
          <w:numId w:val="10"/>
        </w:numPr>
        <w:rPr>
          <w:noProof/>
          <w:szCs w:val="22"/>
          <w:u w:val="single"/>
          <w:lang w:val="sr-Latn-ME"/>
        </w:rPr>
      </w:pPr>
      <w:r w:rsidRPr="00922EC7">
        <w:rPr>
          <w:szCs w:val="22"/>
          <w:lang w:val="sr-Latn-ME"/>
        </w:rPr>
        <w:t xml:space="preserve">Reakcije kože kao što je </w:t>
      </w:r>
      <w:proofErr w:type="spellStart"/>
      <w:r w:rsidRPr="00922EC7">
        <w:rPr>
          <w:szCs w:val="22"/>
          <w:lang w:val="sr-Latn-ME"/>
        </w:rPr>
        <w:t>eritem</w:t>
      </w:r>
      <w:proofErr w:type="spellEnd"/>
      <w:r w:rsidRPr="00922EC7">
        <w:rPr>
          <w:szCs w:val="22"/>
          <w:lang w:val="sr-Latn-ME"/>
        </w:rPr>
        <w:t>, svrab, urtikarija</w:t>
      </w:r>
      <w:r w:rsidR="00F9691B" w:rsidRPr="00922EC7">
        <w:rPr>
          <w:szCs w:val="22"/>
          <w:lang w:val="sr-Latn-ME"/>
        </w:rPr>
        <w:t>.</w:t>
      </w:r>
    </w:p>
    <w:p w14:paraId="536513E6" w14:textId="0BB4F2EF" w:rsidR="00F9691B" w:rsidRPr="00922EC7" w:rsidRDefault="00F9691B">
      <w:pPr>
        <w:rPr>
          <w:noProof/>
          <w:szCs w:val="22"/>
          <w:u w:val="single"/>
          <w:lang w:val="sr-Latn-ME"/>
        </w:rPr>
      </w:pPr>
    </w:p>
    <w:p w14:paraId="625E599D" w14:textId="77777777" w:rsidR="001B0650" w:rsidRPr="00922EC7" w:rsidRDefault="001B0650" w:rsidP="00683D74">
      <w:pPr>
        <w:tabs>
          <w:tab w:val="clear" w:pos="284"/>
        </w:tabs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922EC7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58A0C5AF" w14:textId="77777777" w:rsidR="001B0650" w:rsidRPr="00922EC7" w:rsidRDefault="001B0650" w:rsidP="00CA4A82">
      <w:pPr>
        <w:tabs>
          <w:tab w:val="clear" w:pos="284"/>
        </w:tabs>
        <w:spacing w:after="200"/>
        <w:rPr>
          <w:rFonts w:eastAsia="Calibri"/>
          <w:szCs w:val="22"/>
          <w:lang w:val="sr-Latn-ME"/>
        </w:rPr>
      </w:pPr>
      <w:r w:rsidRPr="00922EC7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ACCA8C3" w14:textId="77777777" w:rsidR="001B0650" w:rsidRPr="00922EC7" w:rsidRDefault="001B065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22EC7">
        <w:rPr>
          <w:rFonts w:eastAsia="Calibri"/>
          <w:szCs w:val="22"/>
          <w:lang w:val="sr-Latn-ME"/>
        </w:rPr>
        <w:t xml:space="preserve">Institut za ljekove i medicinska sredstva </w:t>
      </w:r>
    </w:p>
    <w:p w14:paraId="087300AF" w14:textId="77777777" w:rsidR="001B0650" w:rsidRPr="00922EC7" w:rsidRDefault="001B065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22EC7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922EC7">
        <w:rPr>
          <w:rFonts w:eastAsia="Calibri"/>
          <w:szCs w:val="22"/>
          <w:lang w:val="sr-Latn-ME"/>
        </w:rPr>
        <w:t>farmakovigilancu</w:t>
      </w:r>
      <w:proofErr w:type="spellEnd"/>
    </w:p>
    <w:p w14:paraId="3EEDE3C2" w14:textId="77777777" w:rsidR="001B0650" w:rsidRPr="00922EC7" w:rsidRDefault="001B065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22EC7">
        <w:rPr>
          <w:rFonts w:eastAsia="Calibri"/>
          <w:szCs w:val="22"/>
          <w:lang w:val="sr-Latn-ME"/>
        </w:rPr>
        <w:t>Bulevar Ivana Crnojevića 64a, 81000 Podgorica</w:t>
      </w:r>
    </w:p>
    <w:p w14:paraId="47476D6E" w14:textId="77777777" w:rsidR="001B0650" w:rsidRPr="00922EC7" w:rsidRDefault="001B0650" w:rsidP="00683D74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A3DFAA4" w14:textId="77777777" w:rsidR="001B0650" w:rsidRPr="00922EC7" w:rsidRDefault="001B0650" w:rsidP="00CA4A82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22EC7">
        <w:rPr>
          <w:rFonts w:eastAsia="Calibri"/>
          <w:szCs w:val="22"/>
          <w:lang w:val="sr-Latn-ME"/>
        </w:rPr>
        <w:t>tel: +382 (0) 20 310 280</w:t>
      </w:r>
    </w:p>
    <w:p w14:paraId="56C52BB6" w14:textId="77777777" w:rsidR="001B0650" w:rsidRPr="00922EC7" w:rsidRDefault="001B0650">
      <w:pPr>
        <w:tabs>
          <w:tab w:val="clear" w:pos="284"/>
        </w:tabs>
        <w:rPr>
          <w:rFonts w:eastAsia="Calibri"/>
          <w:szCs w:val="22"/>
          <w:lang w:val="sr-Latn-ME"/>
        </w:rPr>
      </w:pPr>
      <w:proofErr w:type="spellStart"/>
      <w:r w:rsidRPr="00922EC7">
        <w:rPr>
          <w:rFonts w:eastAsia="Calibri"/>
          <w:szCs w:val="22"/>
          <w:lang w:val="sr-Latn-ME"/>
        </w:rPr>
        <w:t>fax</w:t>
      </w:r>
      <w:proofErr w:type="spellEnd"/>
      <w:r w:rsidRPr="00922EC7">
        <w:rPr>
          <w:rFonts w:eastAsia="Calibri"/>
          <w:szCs w:val="22"/>
          <w:lang w:val="sr-Latn-ME"/>
        </w:rPr>
        <w:t>: +382 (0) 20 310 581</w:t>
      </w:r>
    </w:p>
    <w:p w14:paraId="652ABF8E" w14:textId="3EE36DF2" w:rsidR="001B0650" w:rsidRPr="00922EC7" w:rsidRDefault="00B7690D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0" w:history="1">
        <w:r w:rsidR="001B0650" w:rsidRPr="00922EC7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34038DA4" w14:textId="35FDC0A5" w:rsidR="001B0650" w:rsidRPr="00922EC7" w:rsidRDefault="00B7690D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1" w:history="1">
        <w:r w:rsidR="001B0650" w:rsidRPr="00922EC7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075DAB5E" w14:textId="77777777" w:rsidR="001B0650" w:rsidRPr="00922EC7" w:rsidRDefault="001B0650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922EC7">
        <w:rPr>
          <w:rFonts w:eastAsia="Calibri"/>
          <w:szCs w:val="22"/>
          <w:lang w:val="sr-Latn-ME"/>
        </w:rPr>
        <w:t>putem IS zdravstvene zaštite</w:t>
      </w:r>
    </w:p>
    <w:p w14:paraId="5D7A50DD" w14:textId="77777777" w:rsidR="002B418A" w:rsidRPr="00922EC7" w:rsidRDefault="002B418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22EC7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922EC7">
        <w:rPr>
          <w:rFonts w:eastAsia="Calibri"/>
          <w:sz w:val="22"/>
          <w:szCs w:val="22"/>
          <w:lang w:val="sr-Latn-ME"/>
        </w:rPr>
        <w:t>online</w:t>
      </w:r>
      <w:proofErr w:type="spellEnd"/>
      <w:r w:rsidRPr="00922EC7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387D1490" w14:textId="77777777" w:rsidR="002B418A" w:rsidRPr="00922EC7" w:rsidRDefault="002B418A" w:rsidP="002B418A">
      <w:pPr>
        <w:pStyle w:val="NoSpacing"/>
        <w:rPr>
          <w:rFonts w:eastAsia="Calibri"/>
          <w:sz w:val="22"/>
          <w:szCs w:val="22"/>
          <w:lang w:val="sr-Latn-ME"/>
        </w:rPr>
      </w:pPr>
    </w:p>
    <w:p w14:paraId="318AAFD4" w14:textId="77777777" w:rsidR="002B418A" w:rsidRPr="00922EC7" w:rsidRDefault="002B418A" w:rsidP="002B418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noProof/>
          <w:szCs w:val="22"/>
          <w:lang w:val="sr-Latn-ME"/>
        </w:rPr>
        <w:drawing>
          <wp:inline distT="0" distB="0" distL="0" distR="0" wp14:anchorId="308837DA" wp14:editId="1DAE1397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6BA13" w14:textId="77777777" w:rsidR="00CE09F3" w:rsidRPr="00922EC7" w:rsidRDefault="00CE09F3" w:rsidP="00923865">
      <w:pPr>
        <w:rPr>
          <w:szCs w:val="22"/>
          <w:lang w:val="sr-Latn-ME"/>
        </w:rPr>
      </w:pPr>
    </w:p>
    <w:p w14:paraId="460E91A7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4.9. </w:t>
      </w:r>
      <w:r w:rsidRPr="00922EC7">
        <w:rPr>
          <w:b/>
          <w:bCs/>
          <w:szCs w:val="22"/>
          <w:lang w:val="sr-Latn-ME"/>
        </w:rPr>
        <w:tab/>
      </w:r>
      <w:proofErr w:type="spellStart"/>
      <w:r w:rsidRPr="00922EC7">
        <w:rPr>
          <w:b/>
          <w:bCs/>
          <w:szCs w:val="22"/>
          <w:lang w:val="sr-Latn-ME"/>
        </w:rPr>
        <w:t>Predoziranje</w:t>
      </w:r>
      <w:proofErr w:type="spellEnd"/>
      <w:r w:rsidRPr="00922EC7">
        <w:rPr>
          <w:b/>
          <w:bCs/>
          <w:szCs w:val="22"/>
          <w:lang w:val="sr-Latn-ME"/>
        </w:rPr>
        <w:t xml:space="preserve"> </w:t>
      </w:r>
    </w:p>
    <w:p w14:paraId="1906BA15" w14:textId="77777777" w:rsidR="00CE09F3" w:rsidRPr="00922EC7" w:rsidRDefault="00CE09F3">
      <w:pPr>
        <w:rPr>
          <w:szCs w:val="22"/>
          <w:lang w:val="sr-Latn-ME"/>
        </w:rPr>
      </w:pPr>
    </w:p>
    <w:p w14:paraId="70937020" w14:textId="57C8727F" w:rsidR="00F9691B" w:rsidRPr="00922EC7" w:rsidRDefault="00F9691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Hipoglikemija</w:t>
      </w:r>
      <w:proofErr w:type="spellEnd"/>
      <w:r w:rsidRPr="00922EC7">
        <w:rPr>
          <w:szCs w:val="22"/>
          <w:lang w:val="sr-Latn-ME"/>
        </w:rPr>
        <w:t xml:space="preserve"> nije prim</w:t>
      </w:r>
      <w:r w:rsidR="00564049" w:rsidRPr="00922EC7">
        <w:rPr>
          <w:szCs w:val="22"/>
          <w:lang w:val="sr-Latn-ME"/>
        </w:rPr>
        <w:t>i</w:t>
      </w:r>
      <w:r w:rsidR="00EE56BE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ećena pri dozama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do 85 g, iako je dolazilo do pojave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>.</w:t>
      </w:r>
      <w:r w:rsidR="00357E1D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Predoziranje</w:t>
      </w:r>
      <w:proofErr w:type="spellEnd"/>
      <w:r w:rsidRPr="00922EC7">
        <w:rPr>
          <w:szCs w:val="22"/>
          <w:lang w:val="sr-Latn-ME"/>
        </w:rPr>
        <w:t xml:space="preserve"> sa </w:t>
      </w:r>
      <w:proofErr w:type="spellStart"/>
      <w:r w:rsidRPr="00922EC7">
        <w:rPr>
          <w:szCs w:val="22"/>
          <w:lang w:val="sr-Latn-ME"/>
        </w:rPr>
        <w:t>metforminom</w:t>
      </w:r>
      <w:proofErr w:type="spellEnd"/>
      <w:r w:rsidRPr="00922EC7">
        <w:rPr>
          <w:szCs w:val="22"/>
          <w:lang w:val="sr-Latn-ME"/>
        </w:rPr>
        <w:t xml:space="preserve"> ili pridruženi faktori rizika mogu dovesti do </w:t>
      </w:r>
      <w:proofErr w:type="spellStart"/>
      <w:r w:rsidRPr="00922EC7">
        <w:rPr>
          <w:szCs w:val="22"/>
          <w:lang w:val="sr-Latn-ME"/>
        </w:rPr>
        <w:t>laktatne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acidoze</w:t>
      </w:r>
      <w:proofErr w:type="spellEnd"/>
      <w:r w:rsidRPr="00922EC7">
        <w:rPr>
          <w:szCs w:val="22"/>
          <w:lang w:val="sr-Latn-ME"/>
        </w:rPr>
        <w:t xml:space="preserve">. </w:t>
      </w:r>
      <w:proofErr w:type="spellStart"/>
      <w:r w:rsidRPr="00922EC7">
        <w:rPr>
          <w:szCs w:val="22"/>
          <w:lang w:val="sr-Latn-ME"/>
        </w:rPr>
        <w:t>Laktatna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acidoza</w:t>
      </w:r>
      <w:proofErr w:type="spellEnd"/>
    </w:p>
    <w:p w14:paraId="1906BA16" w14:textId="6E671DB1" w:rsidR="00CE09F3" w:rsidRPr="00922EC7" w:rsidRDefault="00F9691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je urgentno stanje i mora se tretirati u bolnici. Najefikasniji metod ukl</w:t>
      </w:r>
      <w:r w:rsidR="008B13F9" w:rsidRPr="00922EC7">
        <w:rPr>
          <w:szCs w:val="22"/>
          <w:lang w:val="sr-Latn-ME"/>
        </w:rPr>
        <w:t xml:space="preserve">anjanja </w:t>
      </w:r>
      <w:proofErr w:type="spellStart"/>
      <w:r w:rsidR="008B13F9" w:rsidRPr="00922EC7">
        <w:rPr>
          <w:szCs w:val="22"/>
          <w:lang w:val="sr-Latn-ME"/>
        </w:rPr>
        <w:t>laktata</w:t>
      </w:r>
      <w:proofErr w:type="spellEnd"/>
      <w:r w:rsidR="008B13F9" w:rsidRPr="00922EC7">
        <w:rPr>
          <w:szCs w:val="22"/>
          <w:lang w:val="sr-Latn-ME"/>
        </w:rPr>
        <w:t xml:space="preserve"> i </w:t>
      </w:r>
      <w:proofErr w:type="spellStart"/>
      <w:r w:rsidR="008B13F9" w:rsidRPr="00922EC7">
        <w:rPr>
          <w:szCs w:val="22"/>
          <w:lang w:val="sr-Latn-ME"/>
        </w:rPr>
        <w:t>metformina</w:t>
      </w:r>
      <w:proofErr w:type="spellEnd"/>
      <w:r w:rsidR="008B13F9" w:rsidRPr="00922EC7">
        <w:rPr>
          <w:szCs w:val="22"/>
          <w:lang w:val="sr-Latn-ME"/>
        </w:rPr>
        <w:t xml:space="preserve"> je </w:t>
      </w:r>
      <w:proofErr w:type="spellStart"/>
      <w:r w:rsidRPr="00922EC7">
        <w:rPr>
          <w:szCs w:val="22"/>
          <w:lang w:val="sr-Latn-ME"/>
        </w:rPr>
        <w:t>hemodijaliza</w:t>
      </w:r>
      <w:proofErr w:type="spellEnd"/>
      <w:r w:rsidRPr="00922EC7">
        <w:rPr>
          <w:szCs w:val="22"/>
          <w:lang w:val="sr-Latn-ME"/>
        </w:rPr>
        <w:t>.</w:t>
      </w:r>
    </w:p>
    <w:p w14:paraId="0A25C30F" w14:textId="41DAC358" w:rsidR="00F9691B" w:rsidRPr="00922EC7" w:rsidRDefault="00F9691B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084E60F" w14:textId="77777777" w:rsidR="000519F4" w:rsidRPr="00922EC7" w:rsidRDefault="000519F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21F6A43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5. </w:t>
      </w:r>
      <w:r w:rsidRPr="00922EC7">
        <w:rPr>
          <w:b/>
          <w:bCs/>
          <w:szCs w:val="22"/>
          <w:lang w:val="sr-Latn-ME"/>
        </w:rPr>
        <w:tab/>
        <w:t>FARMAKOLOŠKI PODACI</w:t>
      </w:r>
    </w:p>
    <w:p w14:paraId="0DE82F50" w14:textId="77777777" w:rsidR="000519F4" w:rsidRPr="00922EC7" w:rsidRDefault="000519F4" w:rsidP="000519F4">
      <w:pPr>
        <w:tabs>
          <w:tab w:val="left" w:pos="540"/>
          <w:tab w:val="left" w:pos="569"/>
        </w:tabs>
        <w:rPr>
          <w:szCs w:val="22"/>
          <w:lang w:val="sr-Latn-ME"/>
        </w:rPr>
      </w:pPr>
    </w:p>
    <w:p w14:paraId="3FB21C8A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5.1. </w:t>
      </w:r>
      <w:r w:rsidRPr="00922EC7">
        <w:rPr>
          <w:b/>
          <w:bCs/>
          <w:szCs w:val="22"/>
          <w:lang w:val="sr-Latn-ME"/>
        </w:rPr>
        <w:tab/>
      </w:r>
      <w:proofErr w:type="spellStart"/>
      <w:r w:rsidRPr="00922EC7">
        <w:rPr>
          <w:b/>
          <w:bCs/>
          <w:szCs w:val="22"/>
          <w:lang w:val="sr-Latn-ME"/>
        </w:rPr>
        <w:t>Farmakodinamski</w:t>
      </w:r>
      <w:proofErr w:type="spellEnd"/>
      <w:r w:rsidRPr="00922EC7">
        <w:rPr>
          <w:b/>
          <w:bCs/>
          <w:szCs w:val="22"/>
          <w:lang w:val="sr-Latn-ME"/>
        </w:rPr>
        <w:t xml:space="preserve"> podaci </w:t>
      </w:r>
    </w:p>
    <w:p w14:paraId="42A9B111" w14:textId="48F9F5C0" w:rsidR="002B418A" w:rsidRPr="00922EC7" w:rsidRDefault="002B418A">
      <w:pPr>
        <w:rPr>
          <w:b/>
          <w:bCs/>
          <w:szCs w:val="22"/>
          <w:lang w:val="sr-Latn-ME"/>
        </w:rPr>
      </w:pPr>
    </w:p>
    <w:p w14:paraId="1906BA19" w14:textId="1B514BE9" w:rsidR="00CE09F3" w:rsidRPr="00922EC7" w:rsidRDefault="00CE09F3">
      <w:pPr>
        <w:rPr>
          <w:b/>
          <w:bCs/>
          <w:szCs w:val="22"/>
          <w:lang w:val="sr-Latn-ME"/>
        </w:rPr>
      </w:pPr>
      <w:proofErr w:type="spellStart"/>
      <w:r w:rsidRPr="00922EC7">
        <w:rPr>
          <w:b/>
          <w:bCs/>
          <w:szCs w:val="22"/>
          <w:lang w:val="sr-Latn-ME"/>
        </w:rPr>
        <w:t>Farmakoterapijska</w:t>
      </w:r>
      <w:proofErr w:type="spellEnd"/>
      <w:r w:rsidRPr="00922EC7">
        <w:rPr>
          <w:b/>
          <w:bCs/>
          <w:szCs w:val="22"/>
          <w:lang w:val="sr-Latn-ME"/>
        </w:rPr>
        <w:t xml:space="preserve"> grupa:</w:t>
      </w:r>
      <w:r w:rsidR="009E325D" w:rsidRPr="00922EC7">
        <w:rPr>
          <w:b/>
          <w:bCs/>
          <w:szCs w:val="22"/>
          <w:lang w:val="sr-Latn-ME"/>
        </w:rPr>
        <w:t xml:space="preserve"> </w:t>
      </w:r>
      <w:r w:rsidR="00191CDC" w:rsidRPr="00922EC7">
        <w:rPr>
          <w:szCs w:val="22"/>
          <w:lang w:val="sr-Latn-ME"/>
        </w:rPr>
        <w:t>Ljekovi</w:t>
      </w:r>
      <w:r w:rsidR="009E325D" w:rsidRPr="00922EC7">
        <w:rPr>
          <w:szCs w:val="22"/>
          <w:lang w:val="sr-Latn-ME"/>
        </w:rPr>
        <w:t xml:space="preserve"> </w:t>
      </w:r>
      <w:r w:rsidR="00357E1D" w:rsidRPr="00922EC7">
        <w:rPr>
          <w:szCs w:val="22"/>
          <w:lang w:val="sr-Latn-ME"/>
        </w:rPr>
        <w:t>za snižavanje glukoze u krvi</w:t>
      </w:r>
      <w:r w:rsidR="009E325D" w:rsidRPr="00922EC7">
        <w:rPr>
          <w:szCs w:val="22"/>
          <w:lang w:val="sr-Latn-ME"/>
        </w:rPr>
        <w:t xml:space="preserve"> (</w:t>
      </w:r>
      <w:proofErr w:type="spellStart"/>
      <w:r w:rsidR="009E325D" w:rsidRPr="00922EC7">
        <w:rPr>
          <w:szCs w:val="22"/>
          <w:lang w:val="sr-Latn-ME"/>
        </w:rPr>
        <w:t>antidijabetici</w:t>
      </w:r>
      <w:proofErr w:type="spellEnd"/>
      <w:r w:rsidR="009E325D" w:rsidRPr="00922EC7">
        <w:rPr>
          <w:szCs w:val="22"/>
          <w:lang w:val="sr-Latn-ME"/>
        </w:rPr>
        <w:t xml:space="preserve">); </w:t>
      </w:r>
      <w:proofErr w:type="spellStart"/>
      <w:r w:rsidR="009E325D" w:rsidRPr="00922EC7">
        <w:rPr>
          <w:szCs w:val="22"/>
          <w:lang w:val="sr-Latn-ME"/>
        </w:rPr>
        <w:t>Bigvanidini</w:t>
      </w:r>
      <w:proofErr w:type="spellEnd"/>
    </w:p>
    <w:p w14:paraId="1906BA1A" w14:textId="77777777" w:rsidR="00CE09F3" w:rsidRPr="00922EC7" w:rsidRDefault="00CE09F3">
      <w:pPr>
        <w:rPr>
          <w:szCs w:val="22"/>
          <w:lang w:val="sr-Latn-ME"/>
        </w:rPr>
      </w:pPr>
    </w:p>
    <w:p w14:paraId="1906BA1B" w14:textId="3855A83C" w:rsidR="00CE09F3" w:rsidRPr="00922EC7" w:rsidRDefault="00CE09F3">
      <w:pPr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ATC </w:t>
      </w:r>
      <w:r w:rsidR="000519F4" w:rsidRPr="00922EC7">
        <w:rPr>
          <w:b/>
          <w:bCs/>
          <w:szCs w:val="22"/>
          <w:lang w:val="sr-Latn-ME"/>
        </w:rPr>
        <w:t>kod</w:t>
      </w:r>
      <w:r w:rsidRPr="00922EC7">
        <w:rPr>
          <w:b/>
          <w:bCs/>
          <w:szCs w:val="22"/>
          <w:lang w:val="sr-Latn-ME"/>
        </w:rPr>
        <w:t>:</w:t>
      </w:r>
      <w:r w:rsidR="009E325D" w:rsidRPr="00922EC7">
        <w:rPr>
          <w:b/>
          <w:bCs/>
          <w:szCs w:val="22"/>
          <w:lang w:val="sr-Latn-ME"/>
        </w:rPr>
        <w:t xml:space="preserve"> </w:t>
      </w:r>
      <w:r w:rsidR="009E325D" w:rsidRPr="00922EC7">
        <w:rPr>
          <w:szCs w:val="22"/>
          <w:lang w:val="sr-Latn-ME"/>
        </w:rPr>
        <w:t>A10BA02</w:t>
      </w:r>
    </w:p>
    <w:p w14:paraId="1906BA1C" w14:textId="77777777" w:rsidR="00CE09F3" w:rsidRPr="00922EC7" w:rsidRDefault="00CE09F3">
      <w:pPr>
        <w:rPr>
          <w:szCs w:val="22"/>
          <w:lang w:val="sr-Latn-ME"/>
        </w:rPr>
      </w:pPr>
    </w:p>
    <w:p w14:paraId="1906BA1D" w14:textId="0652F6B9" w:rsidR="00CE09F3" w:rsidRPr="00922EC7" w:rsidRDefault="009E325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je </w:t>
      </w:r>
      <w:proofErr w:type="spellStart"/>
      <w:r w:rsidRPr="00922EC7">
        <w:rPr>
          <w:szCs w:val="22"/>
          <w:lang w:val="sr-Latn-ME"/>
        </w:rPr>
        <w:t>bigvanid</w:t>
      </w:r>
      <w:proofErr w:type="spellEnd"/>
      <w:r w:rsidRPr="00922EC7">
        <w:rPr>
          <w:szCs w:val="22"/>
          <w:lang w:val="sr-Latn-ME"/>
        </w:rPr>
        <w:t xml:space="preserve"> sa </w:t>
      </w:r>
      <w:proofErr w:type="spellStart"/>
      <w:r w:rsidRPr="00922EC7">
        <w:rPr>
          <w:szCs w:val="22"/>
          <w:lang w:val="sr-Latn-ME"/>
        </w:rPr>
        <w:t>antihiperglikemijskim</w:t>
      </w:r>
      <w:proofErr w:type="spellEnd"/>
      <w:r w:rsidRPr="00922EC7">
        <w:rPr>
          <w:szCs w:val="22"/>
          <w:lang w:val="sr-Latn-ME"/>
        </w:rPr>
        <w:t xml:space="preserve"> dejstvima koji smanjuje i </w:t>
      </w:r>
      <w:proofErr w:type="spellStart"/>
      <w:r w:rsidRPr="00922EC7">
        <w:rPr>
          <w:szCs w:val="22"/>
          <w:lang w:val="sr-Latn-ME"/>
        </w:rPr>
        <w:t>bazalnu</w:t>
      </w:r>
      <w:proofErr w:type="spellEnd"/>
      <w:r w:rsidRPr="00922EC7">
        <w:rPr>
          <w:szCs w:val="22"/>
          <w:lang w:val="sr-Latn-ME"/>
        </w:rPr>
        <w:t xml:space="preserve"> i </w:t>
      </w:r>
      <w:proofErr w:type="spellStart"/>
      <w:r w:rsidRPr="00922EC7">
        <w:rPr>
          <w:szCs w:val="22"/>
          <w:lang w:val="sr-Latn-ME"/>
        </w:rPr>
        <w:t>postprandijalnu</w:t>
      </w:r>
      <w:proofErr w:type="spellEnd"/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koncentraciju glukoze. Ne stimuliše insulinsku sekreciju zbog čega ne izaziva </w:t>
      </w:r>
      <w:proofErr w:type="spellStart"/>
      <w:r w:rsidRPr="00922EC7">
        <w:rPr>
          <w:szCs w:val="22"/>
          <w:lang w:val="sr-Latn-ME"/>
        </w:rPr>
        <w:t>hipoglikemiju</w:t>
      </w:r>
      <w:proofErr w:type="spellEnd"/>
      <w:r w:rsidRPr="00922EC7">
        <w:rPr>
          <w:szCs w:val="22"/>
          <w:lang w:val="sr-Latn-ME"/>
        </w:rPr>
        <w:t>.</w:t>
      </w:r>
    </w:p>
    <w:p w14:paraId="044DE3AA" w14:textId="4802EF91" w:rsidR="009E325D" w:rsidRPr="00922EC7" w:rsidRDefault="009E325D">
      <w:pPr>
        <w:rPr>
          <w:szCs w:val="22"/>
          <w:lang w:val="sr-Latn-ME"/>
        </w:rPr>
      </w:pPr>
    </w:p>
    <w:p w14:paraId="507F670B" w14:textId="77777777" w:rsidR="009E325D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Mehanizam dejstva</w:t>
      </w:r>
    </w:p>
    <w:p w14:paraId="42A0E391" w14:textId="29DB99D3" w:rsidR="009E325D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može da d</w:t>
      </w:r>
      <w:r w:rsidR="00F11531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eluje </w:t>
      </w:r>
      <w:proofErr w:type="spellStart"/>
      <w:r w:rsidRPr="00922EC7">
        <w:rPr>
          <w:szCs w:val="22"/>
          <w:lang w:val="sr-Latn-ME"/>
        </w:rPr>
        <w:t>preko</w:t>
      </w:r>
      <w:proofErr w:type="spellEnd"/>
      <w:r w:rsidRPr="00922EC7">
        <w:rPr>
          <w:szCs w:val="22"/>
          <w:lang w:val="sr-Latn-ME"/>
        </w:rPr>
        <w:t xml:space="preserve"> 3 mehanizma:</w:t>
      </w:r>
    </w:p>
    <w:p w14:paraId="314711F6" w14:textId="29CD78A2" w:rsidR="009E325D" w:rsidRPr="00922EC7" w:rsidRDefault="009E325D" w:rsidP="00CA4A82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smanjenjem proizvodnje </w:t>
      </w:r>
      <w:proofErr w:type="spellStart"/>
      <w:r w:rsidRPr="00922EC7">
        <w:rPr>
          <w:szCs w:val="22"/>
          <w:lang w:val="sr-Latn-ME"/>
        </w:rPr>
        <w:t>hepatičke</w:t>
      </w:r>
      <w:proofErr w:type="spellEnd"/>
      <w:r w:rsidRPr="00922EC7">
        <w:rPr>
          <w:szCs w:val="22"/>
          <w:lang w:val="sr-Latn-ME"/>
        </w:rPr>
        <w:t xml:space="preserve"> glukoze putem inhibicije </w:t>
      </w:r>
      <w:proofErr w:type="spellStart"/>
      <w:r w:rsidRPr="00922EC7">
        <w:rPr>
          <w:szCs w:val="22"/>
          <w:lang w:val="sr-Latn-ME"/>
        </w:rPr>
        <w:t>g</w:t>
      </w:r>
      <w:r w:rsidR="00402E44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>ukoneogeneze</w:t>
      </w:r>
      <w:proofErr w:type="spellEnd"/>
      <w:r w:rsidRPr="00922EC7">
        <w:rPr>
          <w:szCs w:val="22"/>
          <w:lang w:val="sr-Latn-ME"/>
        </w:rPr>
        <w:t xml:space="preserve"> i </w:t>
      </w:r>
      <w:proofErr w:type="spellStart"/>
      <w:r w:rsidRPr="00922EC7">
        <w:rPr>
          <w:szCs w:val="22"/>
          <w:lang w:val="sr-Latn-ME"/>
        </w:rPr>
        <w:t>glikogenolize</w:t>
      </w:r>
      <w:proofErr w:type="spellEnd"/>
      <w:r w:rsidRPr="00922EC7">
        <w:rPr>
          <w:szCs w:val="22"/>
          <w:lang w:val="sr-Latn-ME"/>
        </w:rPr>
        <w:t>.</w:t>
      </w:r>
    </w:p>
    <w:p w14:paraId="31409E1D" w14:textId="162C4B3C" w:rsidR="009E325D" w:rsidRPr="00922EC7" w:rsidRDefault="009E325D" w:rsidP="00683D74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u mišiću, pojačavanjem os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etljivosti na insulin, poboljšavajući preuzimanje i </w:t>
      </w:r>
      <w:proofErr w:type="spellStart"/>
      <w:r w:rsidRPr="00922EC7">
        <w:rPr>
          <w:szCs w:val="22"/>
          <w:lang w:val="sr-Latn-ME"/>
        </w:rPr>
        <w:t>iskoristljivost</w:t>
      </w:r>
      <w:proofErr w:type="spellEnd"/>
      <w:r w:rsidR="00357E1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glukoze na periferiji</w:t>
      </w:r>
      <w:r w:rsidR="00DC3ECC" w:rsidRPr="00922EC7">
        <w:rPr>
          <w:szCs w:val="22"/>
          <w:lang w:val="sr-Latn-ME"/>
        </w:rPr>
        <w:t>.</w:t>
      </w:r>
    </w:p>
    <w:p w14:paraId="33AD796C" w14:textId="08DB64A0" w:rsidR="009E325D" w:rsidRPr="00922EC7" w:rsidRDefault="009E325D" w:rsidP="00357E1D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odlaganjem resorpcije glukoze u </w:t>
      </w:r>
      <w:proofErr w:type="spellStart"/>
      <w:r w:rsidRPr="00922EC7">
        <w:rPr>
          <w:szCs w:val="22"/>
          <w:lang w:val="sr-Latn-ME"/>
        </w:rPr>
        <w:t>intestinumu</w:t>
      </w:r>
      <w:proofErr w:type="spellEnd"/>
      <w:r w:rsidRPr="00922EC7">
        <w:rPr>
          <w:szCs w:val="22"/>
          <w:lang w:val="sr-Latn-ME"/>
        </w:rPr>
        <w:t>.</w:t>
      </w:r>
    </w:p>
    <w:p w14:paraId="67859BEF" w14:textId="3D5D8E58" w:rsidR="009E325D" w:rsidRPr="00922EC7" w:rsidRDefault="009E325D">
      <w:pPr>
        <w:rPr>
          <w:szCs w:val="22"/>
          <w:lang w:val="sr-Latn-ME"/>
        </w:rPr>
      </w:pPr>
    </w:p>
    <w:p w14:paraId="5B479BD3" w14:textId="3ADB729A" w:rsidR="009E325D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stimuliše </w:t>
      </w:r>
      <w:proofErr w:type="spellStart"/>
      <w:r w:rsidRPr="00922EC7">
        <w:rPr>
          <w:szCs w:val="22"/>
          <w:lang w:val="sr-Latn-ME"/>
        </w:rPr>
        <w:t>intracelularnu</w:t>
      </w:r>
      <w:proofErr w:type="spellEnd"/>
      <w:r w:rsidRPr="00922EC7">
        <w:rPr>
          <w:szCs w:val="22"/>
          <w:lang w:val="sr-Latn-ME"/>
        </w:rPr>
        <w:t xml:space="preserve"> sintezu </w:t>
      </w:r>
      <w:proofErr w:type="spellStart"/>
      <w:r w:rsidRPr="00922EC7">
        <w:rPr>
          <w:szCs w:val="22"/>
          <w:lang w:val="sr-Latn-ME"/>
        </w:rPr>
        <w:t>glikogena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preko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glikogen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sintaze</w:t>
      </w:r>
      <w:proofErr w:type="spellEnd"/>
      <w:r w:rsidRPr="00922EC7">
        <w:rPr>
          <w:szCs w:val="22"/>
          <w:lang w:val="sr-Latn-ME"/>
        </w:rPr>
        <w:t>.</w:t>
      </w:r>
    </w:p>
    <w:p w14:paraId="0FC85996" w14:textId="77777777" w:rsidR="00357E1D" w:rsidRPr="00922EC7" w:rsidRDefault="00357E1D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92A9518" w14:textId="07263A6E" w:rsidR="009E325D" w:rsidRPr="00922EC7" w:rsidRDefault="009E325D" w:rsidP="00CA4A82">
      <w:pPr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povećava kapacitet transporta svih tipova membranoznih </w:t>
      </w:r>
      <w:proofErr w:type="spellStart"/>
      <w:r w:rsidRPr="00922EC7">
        <w:rPr>
          <w:szCs w:val="22"/>
          <w:lang w:val="sr-Latn-ME"/>
        </w:rPr>
        <w:t>glukoznih</w:t>
      </w:r>
      <w:proofErr w:type="spellEnd"/>
      <w:r w:rsidRPr="00922EC7">
        <w:rPr>
          <w:szCs w:val="22"/>
          <w:lang w:val="sr-Latn-ME"/>
        </w:rPr>
        <w:t xml:space="preserve"> transportera (GLUT).</w:t>
      </w:r>
    </w:p>
    <w:p w14:paraId="609C4BA0" w14:textId="36E3F11B" w:rsidR="009E325D" w:rsidRPr="00922EC7" w:rsidRDefault="009E325D">
      <w:pPr>
        <w:rPr>
          <w:szCs w:val="22"/>
          <w:lang w:val="sr-Latn-ME"/>
        </w:rPr>
      </w:pPr>
    </w:p>
    <w:p w14:paraId="560E75B5" w14:textId="703A5B7F" w:rsidR="009E325D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proofErr w:type="spellStart"/>
      <w:r w:rsidRPr="00922EC7">
        <w:rPr>
          <w:szCs w:val="22"/>
          <w:u w:val="single"/>
          <w:lang w:val="sr-Latn-ME"/>
        </w:rPr>
        <w:t>Farmakodinamski</w:t>
      </w:r>
      <w:proofErr w:type="spellEnd"/>
      <w:r w:rsidRPr="00922EC7">
        <w:rPr>
          <w:szCs w:val="22"/>
          <w:u w:val="single"/>
          <w:lang w:val="sr-Latn-ME"/>
        </w:rPr>
        <w:t xml:space="preserve"> efekti</w:t>
      </w:r>
    </w:p>
    <w:p w14:paraId="09D5092E" w14:textId="77777777" w:rsidR="00DE285E" w:rsidRPr="00922EC7" w:rsidRDefault="00DE285E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</w:p>
    <w:p w14:paraId="4E76B3C9" w14:textId="3DD1ABF0" w:rsidR="009E325D" w:rsidRPr="00922EC7" w:rsidRDefault="009E325D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U kliničkim studijama je upotreba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bila povezana sa stabilnom t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elesnom masom ili neznatnim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smanjenjem u t</w:t>
      </w:r>
      <w:r w:rsidR="000F4284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elesnoj masi.</w:t>
      </w:r>
    </w:p>
    <w:p w14:paraId="61A5715F" w14:textId="4DBD0F05" w:rsidR="009E325D" w:rsidRPr="00922EC7" w:rsidRDefault="009E325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Kod </w:t>
      </w:r>
      <w:proofErr w:type="spellStart"/>
      <w:r w:rsidRPr="00922EC7">
        <w:rPr>
          <w:szCs w:val="22"/>
          <w:lang w:val="sr-Latn-ME"/>
        </w:rPr>
        <w:t>ljudi</w:t>
      </w:r>
      <w:proofErr w:type="spellEnd"/>
      <w:r w:rsidRPr="00922EC7">
        <w:rPr>
          <w:szCs w:val="22"/>
          <w:lang w:val="sr-Latn-ME"/>
        </w:rPr>
        <w:t xml:space="preserve">, nezavisno od njegovog dejstva na </w:t>
      </w:r>
      <w:proofErr w:type="spellStart"/>
      <w:r w:rsidRPr="00922EC7">
        <w:rPr>
          <w:szCs w:val="22"/>
          <w:lang w:val="sr-Latn-ME"/>
        </w:rPr>
        <w:t>gl</w:t>
      </w:r>
      <w:r w:rsidR="00DC3ECC" w:rsidRPr="00922EC7">
        <w:rPr>
          <w:szCs w:val="22"/>
          <w:lang w:val="sr-Latn-ME"/>
        </w:rPr>
        <w:t>ikemiju</w:t>
      </w:r>
      <w:proofErr w:type="spellEnd"/>
      <w:r w:rsidR="00DC3ECC" w:rsidRPr="00922EC7">
        <w:rPr>
          <w:szCs w:val="22"/>
          <w:lang w:val="sr-Latn-ME"/>
        </w:rPr>
        <w:t xml:space="preserve">, </w:t>
      </w:r>
      <w:proofErr w:type="spellStart"/>
      <w:r w:rsidR="00DC3ECC" w:rsidRPr="00922EC7">
        <w:rPr>
          <w:szCs w:val="22"/>
          <w:lang w:val="sr-Latn-ME"/>
        </w:rPr>
        <w:t>metfor</w:t>
      </w:r>
      <w:r w:rsidRPr="00922EC7">
        <w:rPr>
          <w:szCs w:val="22"/>
          <w:lang w:val="sr-Latn-ME"/>
        </w:rPr>
        <w:t>min</w:t>
      </w:r>
      <w:proofErr w:type="spellEnd"/>
      <w:r w:rsidRPr="00922EC7">
        <w:rPr>
          <w:szCs w:val="22"/>
          <w:lang w:val="sr-Latn-ME"/>
        </w:rPr>
        <w:t xml:space="preserve"> sa trenutnim oslobađanjem ima povoljna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dejstva na metabolizam lipida. Ovo se pokazalo pri terapijskim dozama u kontrolisanim kliničkim studijama</w:t>
      </w:r>
      <w:r w:rsidR="008B13F9" w:rsidRPr="00922EC7">
        <w:rPr>
          <w:szCs w:val="22"/>
          <w:lang w:val="sr-Latn-ME"/>
        </w:rPr>
        <w:t xml:space="preserve"> </w:t>
      </w:r>
      <w:r w:rsidR="00DC3ECC" w:rsidRPr="00922EC7">
        <w:rPr>
          <w:szCs w:val="22"/>
          <w:lang w:val="sr-Latn-ME"/>
        </w:rPr>
        <w:t>srednjeg trajanja ili dugog tra</w:t>
      </w:r>
      <w:r w:rsidRPr="00922EC7">
        <w:rPr>
          <w:szCs w:val="22"/>
          <w:lang w:val="sr-Latn-ME"/>
        </w:rPr>
        <w:t xml:space="preserve">janja: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sa trenutnim oslobađanjem smanjuje vr</w:t>
      </w:r>
      <w:r w:rsidR="000F4284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ednost</w:t>
      </w:r>
      <w:r w:rsidR="008B13F9" w:rsidRPr="00922EC7">
        <w:rPr>
          <w:szCs w:val="22"/>
          <w:lang w:val="sr-Latn-ME"/>
        </w:rPr>
        <w:t xml:space="preserve"> ukupnog </w:t>
      </w:r>
      <w:proofErr w:type="spellStart"/>
      <w:r w:rsidRPr="00922EC7">
        <w:rPr>
          <w:szCs w:val="22"/>
          <w:lang w:val="sr-Latn-ME"/>
        </w:rPr>
        <w:t>holesterola</w:t>
      </w:r>
      <w:proofErr w:type="spellEnd"/>
      <w:r w:rsidRPr="00922EC7">
        <w:rPr>
          <w:szCs w:val="22"/>
          <w:lang w:val="sr-Latn-ME"/>
        </w:rPr>
        <w:t xml:space="preserve">, LDL </w:t>
      </w:r>
      <w:proofErr w:type="spellStart"/>
      <w:r w:rsidRPr="00922EC7">
        <w:rPr>
          <w:szCs w:val="22"/>
          <w:lang w:val="sr-Latn-ME"/>
        </w:rPr>
        <w:t>holesterola</w:t>
      </w:r>
      <w:proofErr w:type="spellEnd"/>
      <w:r w:rsidRPr="00922EC7">
        <w:rPr>
          <w:szCs w:val="22"/>
          <w:lang w:val="sr-Latn-ME"/>
        </w:rPr>
        <w:t xml:space="preserve"> i </w:t>
      </w:r>
      <w:proofErr w:type="spellStart"/>
      <w:r w:rsidRPr="00922EC7">
        <w:rPr>
          <w:szCs w:val="22"/>
          <w:lang w:val="sr-Latn-ME"/>
        </w:rPr>
        <w:t>triglicerida</w:t>
      </w:r>
      <w:proofErr w:type="spellEnd"/>
      <w:r w:rsidRPr="00922EC7">
        <w:rPr>
          <w:szCs w:val="22"/>
          <w:lang w:val="sr-Latn-ME"/>
        </w:rPr>
        <w:t>. Slična aktivnost nije registrovana kod formulacije sa produženim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d</w:t>
      </w:r>
      <w:r w:rsidR="000F4284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elovanjem, moguće zbog uzimanja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 xml:space="preserve">a u večernjim satima, a može </w:t>
      </w:r>
      <w:r w:rsidR="008B13F9" w:rsidRPr="00922EC7">
        <w:rPr>
          <w:szCs w:val="22"/>
          <w:lang w:val="sr-Latn-ME"/>
        </w:rPr>
        <w:t>se pojaviti povećanje vr</w:t>
      </w:r>
      <w:r w:rsidR="000F4284" w:rsidRPr="00922EC7">
        <w:rPr>
          <w:szCs w:val="22"/>
          <w:lang w:val="sr-Latn-ME"/>
        </w:rPr>
        <w:t>ij</w:t>
      </w:r>
      <w:r w:rsidR="008B13F9" w:rsidRPr="00922EC7">
        <w:rPr>
          <w:szCs w:val="22"/>
          <w:lang w:val="sr-Latn-ME"/>
        </w:rPr>
        <w:t xml:space="preserve">ednosti </w:t>
      </w:r>
      <w:proofErr w:type="spellStart"/>
      <w:r w:rsidRPr="00922EC7">
        <w:rPr>
          <w:szCs w:val="22"/>
          <w:lang w:val="sr-Latn-ME"/>
        </w:rPr>
        <w:t>triglicerida</w:t>
      </w:r>
      <w:proofErr w:type="spellEnd"/>
      <w:r w:rsidRPr="00922EC7">
        <w:rPr>
          <w:szCs w:val="22"/>
          <w:lang w:val="sr-Latn-ME"/>
        </w:rPr>
        <w:t>.</w:t>
      </w:r>
    </w:p>
    <w:p w14:paraId="6768020A" w14:textId="0B400C5E" w:rsidR="009E325D" w:rsidRPr="00922EC7" w:rsidRDefault="009E325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6DF062B" w14:textId="1916A6A3" w:rsidR="009E325D" w:rsidRPr="00922EC7" w:rsidRDefault="009E325D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Klinič</w:t>
      </w:r>
      <w:r w:rsidR="00813BA2" w:rsidRPr="00922EC7">
        <w:rPr>
          <w:szCs w:val="22"/>
          <w:u w:val="single"/>
          <w:lang w:val="sr-Latn-ME"/>
        </w:rPr>
        <w:t>ka efikasnost</w:t>
      </w:r>
    </w:p>
    <w:p w14:paraId="518185E6" w14:textId="77777777" w:rsidR="00DE285E" w:rsidRPr="00922EC7" w:rsidRDefault="00DE285E" w:rsidP="00683D74">
      <w:pPr>
        <w:tabs>
          <w:tab w:val="clear" w:pos="284"/>
        </w:tabs>
        <w:autoSpaceDE w:val="0"/>
        <w:autoSpaceDN w:val="0"/>
        <w:adjustRightInd w:val="0"/>
        <w:rPr>
          <w:b/>
          <w:bCs/>
          <w:i/>
          <w:iCs/>
          <w:szCs w:val="22"/>
          <w:lang w:val="sr-Latn-ME"/>
        </w:rPr>
      </w:pPr>
    </w:p>
    <w:p w14:paraId="5565F604" w14:textId="3C4EFAC3" w:rsidR="00CC1905" w:rsidRPr="00922EC7" w:rsidRDefault="00CC1905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Prospektivna</w:t>
      </w:r>
      <w:r w:rsidR="00DC3ECC" w:rsidRPr="00922EC7">
        <w:rPr>
          <w:szCs w:val="22"/>
          <w:lang w:val="sr-Latn-ME"/>
        </w:rPr>
        <w:t>,</w:t>
      </w:r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randomizovana</w:t>
      </w:r>
      <w:proofErr w:type="spellEnd"/>
      <w:r w:rsidRPr="00922EC7">
        <w:rPr>
          <w:szCs w:val="22"/>
          <w:lang w:val="sr-Latn-ME"/>
        </w:rPr>
        <w:t xml:space="preserve"> (UKPDS) studija je ustanovila </w:t>
      </w:r>
      <w:r w:rsidR="00357E1D" w:rsidRPr="00922EC7">
        <w:rPr>
          <w:szCs w:val="22"/>
          <w:lang w:val="sr-Latn-ME"/>
        </w:rPr>
        <w:t xml:space="preserve">dugotrajnu </w:t>
      </w:r>
      <w:r w:rsidRPr="00922EC7">
        <w:rPr>
          <w:szCs w:val="22"/>
          <w:lang w:val="sr-Latn-ME"/>
        </w:rPr>
        <w:t xml:space="preserve">korist intenzivne kontrole </w:t>
      </w:r>
      <w:proofErr w:type="spellStart"/>
      <w:r w:rsidRPr="00922EC7">
        <w:rPr>
          <w:szCs w:val="22"/>
          <w:lang w:val="sr-Latn-ME"/>
        </w:rPr>
        <w:t>glikemije</w:t>
      </w:r>
      <w:proofErr w:type="spellEnd"/>
    </w:p>
    <w:p w14:paraId="439BDAF5" w14:textId="3CF6ECFF" w:rsidR="00CC1905" w:rsidRPr="00922EC7" w:rsidRDefault="00CC1905" w:rsidP="00357E1D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kod gojaznih pacijenata sa tip 2 dijabetesom koji su bili na terapiji sa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357E1D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hidrohloridom</w:t>
      </w:r>
      <w:proofErr w:type="spellEnd"/>
      <w:r w:rsidRPr="00922EC7">
        <w:rPr>
          <w:szCs w:val="22"/>
          <w:lang w:val="sr-Latn-ME"/>
        </w:rPr>
        <w:t xml:space="preserve"> sa trenutnim</w:t>
      </w:r>
    </w:p>
    <w:p w14:paraId="4D2BCB3C" w14:textId="77777777" w:rsidR="00CC1905" w:rsidRPr="00922EC7" w:rsidRDefault="00CC190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oslobađanjem, kao terapije prvog izbora nakon što dijeta nije dala rezultate.</w:t>
      </w:r>
    </w:p>
    <w:p w14:paraId="06641134" w14:textId="67EECA87" w:rsidR="00CC1905" w:rsidRPr="00922EC7" w:rsidRDefault="00CC190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Analiza rezultata gojaznih pacijenata koji su bili na terapiji sa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357E1D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hidrohloridom</w:t>
      </w:r>
      <w:proofErr w:type="spellEnd"/>
      <w:r w:rsidRPr="00922EC7">
        <w:rPr>
          <w:szCs w:val="22"/>
          <w:lang w:val="sr-Latn-ME"/>
        </w:rPr>
        <w:t xml:space="preserve"> sa trenutnim</w:t>
      </w:r>
      <w:r w:rsidR="00DC3EC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oslobađanjem nakon što dijeta nije dala rezultate je pokazala:</w:t>
      </w:r>
    </w:p>
    <w:p w14:paraId="4758D67A" w14:textId="3FA1A9D2" w:rsidR="00CC1905" w:rsidRPr="00922EC7" w:rsidRDefault="00CC1905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značajno sniženje apsolutnog rizika bilo koje komplikacije vezane za dijabetes u grupi sa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357E1D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hidrohloridom</w:t>
      </w:r>
      <w:proofErr w:type="spellEnd"/>
      <w:r w:rsidRPr="00922EC7">
        <w:rPr>
          <w:szCs w:val="22"/>
          <w:lang w:val="sr-Latn-ME"/>
        </w:rPr>
        <w:t xml:space="preserve"> (29,8 događaja/1000 pacijent-godina) u odnosu na grupu koja je bila samo na dijeti (43,3 događaja/1000 pacijent-godina); p=0,0023 i u odnosu na grupu koja je primala kombinaciju </w:t>
      </w:r>
      <w:proofErr w:type="spellStart"/>
      <w:r w:rsidRPr="00922EC7">
        <w:rPr>
          <w:szCs w:val="22"/>
          <w:lang w:val="sr-Latn-ME"/>
        </w:rPr>
        <w:t>sulfonilureje</w:t>
      </w:r>
      <w:proofErr w:type="spellEnd"/>
      <w:r w:rsidRPr="00922EC7">
        <w:rPr>
          <w:szCs w:val="22"/>
          <w:lang w:val="sr-Latn-ME"/>
        </w:rPr>
        <w:t xml:space="preserve"> i insulina (40,1 događaja/1000 pacijent-godina); p=0,0034;</w:t>
      </w:r>
    </w:p>
    <w:p w14:paraId="57018F86" w14:textId="430F6D06" w:rsidR="00CC1905" w:rsidRPr="00922EC7" w:rsidRDefault="00CC1905" w:rsidP="00683D74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značajno sniženje apsolutnog rizika od mortaliteta vezanog za dijabetes: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357E1D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</w:t>
      </w:r>
      <w:proofErr w:type="spellEnd"/>
      <w:r w:rsidRPr="00922EC7">
        <w:rPr>
          <w:szCs w:val="22"/>
          <w:lang w:val="sr-Latn-ME"/>
        </w:rPr>
        <w:t xml:space="preserve"> 7,5 događaja/1000 pacijent-godina, dijeta 12,7 događaja/1000 pacijent-godina; p=0,017;</w:t>
      </w:r>
    </w:p>
    <w:p w14:paraId="63F7E78D" w14:textId="7E6F65D7" w:rsidR="00CC1905" w:rsidRPr="00922EC7" w:rsidRDefault="00CC1905" w:rsidP="00CA4A82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značajno sniženje apsolutnog rizika od sveukupnog mortaliteta: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="00AB7D8A"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hidrohlorid</w:t>
      </w:r>
      <w:proofErr w:type="spellEnd"/>
      <w:r w:rsidRPr="00922EC7">
        <w:rPr>
          <w:szCs w:val="22"/>
          <w:lang w:val="sr-Latn-ME"/>
        </w:rPr>
        <w:t xml:space="preserve"> 13,5 događaja/1000 pacijent-godina u odnosu na dijetu 20,6 događaja/1000 pacijent-godina (p=0,011), i u odnosu na kombinovanu terapiju </w:t>
      </w:r>
      <w:proofErr w:type="spellStart"/>
      <w:r w:rsidRPr="00922EC7">
        <w:rPr>
          <w:szCs w:val="22"/>
          <w:lang w:val="sr-Latn-ME"/>
        </w:rPr>
        <w:t>sulfonilureje</w:t>
      </w:r>
      <w:proofErr w:type="spellEnd"/>
      <w:r w:rsidRPr="00922EC7">
        <w:rPr>
          <w:szCs w:val="22"/>
          <w:lang w:val="sr-Latn-ME"/>
        </w:rPr>
        <w:t xml:space="preserve"> sa insulinom 18,9 događaja/1000 pacijent-godina (p=0,021);</w:t>
      </w:r>
    </w:p>
    <w:p w14:paraId="2F21998C" w14:textId="12198E1A" w:rsidR="00CC1905" w:rsidRPr="00922EC7" w:rsidRDefault="00CC1905" w:rsidP="00AB7D8A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značajno sniženje apsolutnog rizika od infarkta </w:t>
      </w:r>
      <w:proofErr w:type="spellStart"/>
      <w:r w:rsidRPr="00922EC7">
        <w:rPr>
          <w:szCs w:val="22"/>
          <w:lang w:val="sr-Latn-ME"/>
        </w:rPr>
        <w:t>miokard</w:t>
      </w:r>
      <w:r w:rsidR="008B13F9" w:rsidRPr="00922EC7">
        <w:rPr>
          <w:szCs w:val="22"/>
          <w:lang w:val="sr-Latn-ME"/>
        </w:rPr>
        <w:t>a</w:t>
      </w:r>
      <w:proofErr w:type="spellEnd"/>
      <w:r w:rsidR="008B13F9" w:rsidRPr="00922EC7">
        <w:rPr>
          <w:szCs w:val="22"/>
          <w:lang w:val="sr-Latn-ME"/>
        </w:rPr>
        <w:t xml:space="preserve">: </w:t>
      </w:r>
      <w:proofErr w:type="spellStart"/>
      <w:r w:rsidR="008B13F9" w:rsidRPr="00922EC7">
        <w:rPr>
          <w:szCs w:val="22"/>
          <w:lang w:val="sr-Latn-ME"/>
        </w:rPr>
        <w:t>metformin</w:t>
      </w:r>
      <w:proofErr w:type="spellEnd"/>
      <w:r w:rsidR="008B13F9" w:rsidRPr="00922EC7">
        <w:rPr>
          <w:szCs w:val="22"/>
          <w:lang w:val="sr-Latn-ME"/>
        </w:rPr>
        <w:t xml:space="preserve"> 11 događaja/1000 </w:t>
      </w:r>
      <w:r w:rsidRPr="00922EC7">
        <w:rPr>
          <w:szCs w:val="22"/>
          <w:lang w:val="sr-Latn-ME"/>
        </w:rPr>
        <w:t>pacijent</w:t>
      </w:r>
      <w:r w:rsidR="0056404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godina, dijeta 18 događaja/1000 pacijent-godina (p=0,01).</w:t>
      </w:r>
    </w:p>
    <w:p w14:paraId="6E2698E7" w14:textId="25E0ACC8" w:rsidR="00CC1905" w:rsidRPr="00922EC7" w:rsidRDefault="0062146E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z</w:t>
      </w:r>
      <w:r w:rsidR="00DC3ECC" w:rsidRPr="00922EC7">
        <w:rPr>
          <w:szCs w:val="22"/>
          <w:lang w:val="sr-Latn-ME"/>
        </w:rPr>
        <w:t>a prim</w:t>
      </w:r>
      <w:r w:rsidR="000E506E" w:rsidRPr="00922EC7">
        <w:rPr>
          <w:szCs w:val="22"/>
          <w:lang w:val="sr-Latn-ME"/>
        </w:rPr>
        <w:t>j</w:t>
      </w:r>
      <w:r w:rsidR="00DC3ECC" w:rsidRPr="00922EC7">
        <w:rPr>
          <w:szCs w:val="22"/>
          <w:lang w:val="sr-Latn-ME"/>
        </w:rPr>
        <w:t>en</w:t>
      </w:r>
      <w:r w:rsidR="00CC1905" w:rsidRPr="00922EC7">
        <w:rPr>
          <w:szCs w:val="22"/>
          <w:lang w:val="sr-Latn-ME"/>
        </w:rPr>
        <w:t xml:space="preserve">u </w:t>
      </w:r>
      <w:proofErr w:type="spellStart"/>
      <w:r w:rsidR="00CC1905" w:rsidRPr="00922EC7">
        <w:rPr>
          <w:szCs w:val="22"/>
          <w:lang w:val="sr-Latn-ME"/>
        </w:rPr>
        <w:t>metformina</w:t>
      </w:r>
      <w:proofErr w:type="spellEnd"/>
      <w:r w:rsidR="00CC1905" w:rsidRPr="00922EC7">
        <w:rPr>
          <w:szCs w:val="22"/>
          <w:lang w:val="sr-Latn-ME"/>
        </w:rPr>
        <w:t xml:space="preserve"> kao terapije drugog izbora, u kombinaciji sa </w:t>
      </w:r>
      <w:proofErr w:type="spellStart"/>
      <w:r w:rsidR="00CC1905" w:rsidRPr="00922EC7">
        <w:rPr>
          <w:szCs w:val="22"/>
          <w:lang w:val="sr-Latn-ME"/>
        </w:rPr>
        <w:t>sulfonilurejom</w:t>
      </w:r>
      <w:proofErr w:type="spellEnd"/>
      <w:r w:rsidR="00CC1905" w:rsidRPr="00922EC7">
        <w:rPr>
          <w:szCs w:val="22"/>
          <w:lang w:val="sr-Latn-ME"/>
        </w:rPr>
        <w:t>, korist u smislu</w:t>
      </w:r>
      <w:r w:rsidR="008B13F9" w:rsidRPr="00922EC7">
        <w:rPr>
          <w:szCs w:val="22"/>
          <w:lang w:val="sr-Latn-ME"/>
        </w:rPr>
        <w:t xml:space="preserve"> </w:t>
      </w:r>
      <w:r w:rsidR="00CC1905" w:rsidRPr="00922EC7">
        <w:rPr>
          <w:szCs w:val="22"/>
          <w:lang w:val="sr-Latn-ME"/>
        </w:rPr>
        <w:t>kliničkog ishoda se nije pokazala.</w:t>
      </w:r>
    </w:p>
    <w:p w14:paraId="59B0E95F" w14:textId="77777777" w:rsidR="0062146E" w:rsidRPr="00922EC7" w:rsidRDefault="0062146E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7AED56BF" w14:textId="78B9CA01" w:rsidR="00CC1905" w:rsidRPr="00922EC7" w:rsidRDefault="00CC1905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Kod tip 1 dijabetesa kombinacija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i insulina se koristila kod određenih pacijenata ali klinička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korist ove kombinacije nije zvanično utvrđena.</w:t>
      </w:r>
    </w:p>
    <w:p w14:paraId="09856AE3" w14:textId="77777777" w:rsidR="00DE285E" w:rsidRPr="00922EC7" w:rsidRDefault="00DE285E">
      <w:pPr>
        <w:rPr>
          <w:szCs w:val="22"/>
          <w:lang w:val="sr-Latn-ME"/>
        </w:rPr>
      </w:pPr>
    </w:p>
    <w:p w14:paraId="0BCB0EE5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5.2. </w:t>
      </w:r>
      <w:r w:rsidRPr="00922EC7">
        <w:rPr>
          <w:b/>
          <w:bCs/>
          <w:szCs w:val="22"/>
          <w:lang w:val="sr-Latn-ME"/>
        </w:rPr>
        <w:tab/>
      </w:r>
      <w:proofErr w:type="spellStart"/>
      <w:r w:rsidRPr="00922EC7">
        <w:rPr>
          <w:b/>
          <w:bCs/>
          <w:szCs w:val="22"/>
          <w:lang w:val="sr-Latn-ME"/>
        </w:rPr>
        <w:t>Farmakokinetički</w:t>
      </w:r>
      <w:proofErr w:type="spellEnd"/>
      <w:r w:rsidRPr="00922EC7">
        <w:rPr>
          <w:b/>
          <w:bCs/>
          <w:szCs w:val="22"/>
          <w:lang w:val="sr-Latn-ME"/>
        </w:rPr>
        <w:t xml:space="preserve"> podaci </w:t>
      </w:r>
    </w:p>
    <w:p w14:paraId="1906BA1F" w14:textId="75E2A160" w:rsidR="00CE09F3" w:rsidRPr="00922EC7" w:rsidRDefault="00CE09F3" w:rsidP="00923865">
      <w:pPr>
        <w:rPr>
          <w:szCs w:val="22"/>
          <w:lang w:val="sr-Latn-ME"/>
        </w:rPr>
      </w:pPr>
    </w:p>
    <w:p w14:paraId="150F4AFB" w14:textId="052835E7" w:rsidR="006D7B01" w:rsidRPr="00922EC7" w:rsidRDefault="006D7B01" w:rsidP="006D7B01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lastRenderedPageBreak/>
        <w:t>Resorpcija</w:t>
      </w:r>
    </w:p>
    <w:p w14:paraId="31545180" w14:textId="6D378077" w:rsidR="006D7B01" w:rsidRPr="00922EC7" w:rsidRDefault="006D7B01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Posl</w:t>
      </w:r>
      <w:r w:rsidR="000E506E" w:rsidRPr="00922EC7">
        <w:rPr>
          <w:szCs w:val="22"/>
          <w:lang w:val="sr-Latn-ME"/>
        </w:rPr>
        <w:t>i</w:t>
      </w:r>
      <w:r w:rsidR="007E6A15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 uzimanja </w:t>
      </w:r>
      <w:r w:rsidR="00AB7D8A" w:rsidRPr="00922EC7">
        <w:rPr>
          <w:szCs w:val="22"/>
          <w:lang w:val="sr-Latn-ME"/>
        </w:rPr>
        <w:t xml:space="preserve">pojedinačne </w:t>
      </w:r>
      <w:r w:rsidRPr="00922EC7">
        <w:rPr>
          <w:szCs w:val="22"/>
          <w:lang w:val="sr-Latn-ME"/>
        </w:rPr>
        <w:t xml:space="preserve">oralne doze </w:t>
      </w:r>
      <w:proofErr w:type="spellStart"/>
      <w:r w:rsidRPr="00922EC7">
        <w:rPr>
          <w:szCs w:val="22"/>
          <w:lang w:val="sr-Latn-ME"/>
        </w:rPr>
        <w:t>tаbletа</w:t>
      </w:r>
      <w:proofErr w:type="spellEnd"/>
      <w:r w:rsidRPr="00922EC7">
        <w:rPr>
          <w:szCs w:val="22"/>
          <w:lang w:val="sr-Latn-ME"/>
        </w:rPr>
        <w:t xml:space="preserve"> sa produženim </w:t>
      </w:r>
      <w:proofErr w:type="spellStart"/>
      <w:r w:rsidRPr="00922EC7">
        <w:rPr>
          <w:szCs w:val="22"/>
          <w:lang w:val="sr-Latn-ME"/>
        </w:rPr>
        <w:t>oslobаđаnjem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resorpcijа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je značajno odložena u odnosu </w:t>
      </w:r>
      <w:proofErr w:type="spellStart"/>
      <w:r w:rsidRPr="00922EC7">
        <w:rPr>
          <w:szCs w:val="22"/>
          <w:lang w:val="sr-Latn-ME"/>
        </w:rPr>
        <w:t>nа</w:t>
      </w:r>
      <w:proofErr w:type="spellEnd"/>
      <w:r w:rsidRPr="00922EC7">
        <w:rPr>
          <w:szCs w:val="22"/>
          <w:lang w:val="sr-Latn-ME"/>
        </w:rPr>
        <w:t xml:space="preserve"> tabl</w:t>
      </w:r>
      <w:r w:rsidR="00CB5BB8" w:rsidRPr="00922EC7">
        <w:rPr>
          <w:szCs w:val="22"/>
          <w:lang w:val="sr-Latn-ME"/>
        </w:rPr>
        <w:t xml:space="preserve">ete sa trenutnim oslobađanjem, </w:t>
      </w:r>
      <w:proofErr w:type="spellStart"/>
      <w:r w:rsidR="00CB5BB8" w:rsidRPr="00922EC7">
        <w:rPr>
          <w:szCs w:val="22"/>
          <w:lang w:val="sr-Latn-ME"/>
        </w:rPr>
        <w:t>n</w:t>
      </w:r>
      <w:r w:rsidRPr="00922EC7">
        <w:rPr>
          <w:szCs w:val="22"/>
          <w:lang w:val="sr-Latn-ME"/>
        </w:rPr>
        <w:t>а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T</w:t>
      </w:r>
      <w:r w:rsidRPr="00922EC7">
        <w:rPr>
          <w:szCs w:val="22"/>
          <w:vertAlign w:val="subscript"/>
          <w:lang w:val="sr-Latn-ME"/>
        </w:rPr>
        <w:t>max</w:t>
      </w:r>
      <w:proofErr w:type="spellEnd"/>
      <w:r w:rsidRPr="00922EC7">
        <w:rPr>
          <w:szCs w:val="22"/>
          <w:lang w:val="sr-Latn-ME"/>
        </w:rPr>
        <w:t xml:space="preserve"> 7 sati (</w:t>
      </w:r>
      <w:proofErr w:type="spellStart"/>
      <w:r w:rsidRPr="00922EC7">
        <w:rPr>
          <w:szCs w:val="22"/>
          <w:lang w:val="sr-Latn-ME"/>
        </w:rPr>
        <w:t>T</w:t>
      </w:r>
      <w:r w:rsidRPr="00922EC7">
        <w:rPr>
          <w:szCs w:val="22"/>
          <w:vertAlign w:val="subscript"/>
          <w:lang w:val="sr-Latn-ME"/>
        </w:rPr>
        <w:t>max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zа</w:t>
      </w:r>
      <w:proofErr w:type="spellEnd"/>
      <w:r w:rsidRPr="00922EC7">
        <w:rPr>
          <w:szCs w:val="22"/>
          <w:lang w:val="sr-Latn-ME"/>
        </w:rPr>
        <w:t xml:space="preserve"> tablete sa trenutnim</w:t>
      </w:r>
      <w:r w:rsidR="00DC3EC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oslobađanjem je 2,5 </w:t>
      </w:r>
      <w:proofErr w:type="spellStart"/>
      <w:r w:rsidRPr="00922EC7">
        <w:rPr>
          <w:szCs w:val="22"/>
          <w:lang w:val="sr-Latn-ME"/>
        </w:rPr>
        <w:t>sаti</w:t>
      </w:r>
      <w:proofErr w:type="spellEnd"/>
      <w:r w:rsidRPr="00922EC7">
        <w:rPr>
          <w:szCs w:val="22"/>
          <w:lang w:val="sr-Latn-ME"/>
        </w:rPr>
        <w:t>).</w:t>
      </w:r>
    </w:p>
    <w:p w14:paraId="656063C1" w14:textId="77777777" w:rsidR="008850C0" w:rsidRPr="00922EC7" w:rsidRDefault="008850C0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255D943" w14:textId="74489827" w:rsidR="00CC1905" w:rsidRPr="00922EC7" w:rsidRDefault="006D7B01" w:rsidP="00AB7D8A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U </w:t>
      </w:r>
      <w:proofErr w:type="spellStart"/>
      <w:r w:rsidRPr="00922EC7">
        <w:rPr>
          <w:szCs w:val="22"/>
          <w:lang w:val="sr-Latn-ME"/>
        </w:rPr>
        <w:t>stаnju</w:t>
      </w:r>
      <w:proofErr w:type="spellEnd"/>
      <w:r w:rsidR="00AB7D8A" w:rsidRPr="00922EC7">
        <w:rPr>
          <w:szCs w:val="22"/>
          <w:lang w:val="sr-Latn-ME"/>
        </w:rPr>
        <w:t xml:space="preserve"> dinamičke</w:t>
      </w:r>
      <w:r w:rsidRPr="00922EC7">
        <w:rPr>
          <w:szCs w:val="22"/>
          <w:lang w:val="sr-Latn-ME"/>
        </w:rPr>
        <w:t xml:space="preserve"> ravnoteže, kao i kod tableta sa trenutnim oslobađanjem, </w:t>
      </w:r>
      <w:proofErr w:type="spellStart"/>
      <w:r w:rsidRPr="00922EC7">
        <w:rPr>
          <w:szCs w:val="22"/>
          <w:lang w:val="sr-Latn-ME"/>
        </w:rPr>
        <w:t>C</w:t>
      </w:r>
      <w:r w:rsidRPr="00922EC7">
        <w:rPr>
          <w:szCs w:val="22"/>
          <w:vertAlign w:val="subscript"/>
          <w:lang w:val="sr-Latn-ME"/>
        </w:rPr>
        <w:t>max</w:t>
      </w:r>
      <w:proofErr w:type="spellEnd"/>
      <w:r w:rsidRPr="00922EC7">
        <w:rPr>
          <w:szCs w:val="22"/>
          <w:lang w:val="sr-Latn-ME"/>
        </w:rPr>
        <w:t xml:space="preserve"> i PIK se ne povećavaju </w:t>
      </w:r>
      <w:proofErr w:type="spellStart"/>
      <w:r w:rsidRPr="00922EC7">
        <w:rPr>
          <w:szCs w:val="22"/>
          <w:lang w:val="sr-Latn-ME"/>
        </w:rPr>
        <w:t>proporcionаlno</w:t>
      </w:r>
      <w:proofErr w:type="spellEnd"/>
      <w:r w:rsidR="00AB7D8A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u odnosu </w:t>
      </w:r>
      <w:proofErr w:type="spellStart"/>
      <w:r w:rsidRPr="00922EC7">
        <w:rPr>
          <w:szCs w:val="22"/>
          <w:lang w:val="sr-Latn-ME"/>
        </w:rPr>
        <w:t>nа</w:t>
      </w:r>
      <w:proofErr w:type="spellEnd"/>
      <w:r w:rsidRPr="00922EC7">
        <w:rPr>
          <w:szCs w:val="22"/>
          <w:lang w:val="sr-Latn-ME"/>
        </w:rPr>
        <w:t xml:space="preserve"> prim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enjenu dozu. PIK je nakon prim</w:t>
      </w:r>
      <w:r w:rsidR="000E506E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ene jedne tablete od 2000 mg sa produženim </w:t>
      </w:r>
      <w:proofErr w:type="spellStart"/>
      <w:r w:rsidRPr="00922EC7">
        <w:rPr>
          <w:szCs w:val="22"/>
          <w:lang w:val="sr-Latn-ME"/>
        </w:rPr>
        <w:t>oslobаđаnjem</w:t>
      </w:r>
      <w:proofErr w:type="spellEnd"/>
      <w:r w:rsidR="00AB7D8A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slična onoj nakon prim</w:t>
      </w:r>
      <w:r w:rsidR="00564049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ene 1000 mg </w:t>
      </w:r>
      <w:proofErr w:type="spellStart"/>
      <w:r w:rsidRPr="00922EC7">
        <w:rPr>
          <w:szCs w:val="22"/>
          <w:lang w:val="sr-Latn-ME"/>
        </w:rPr>
        <w:t>tаblete</w:t>
      </w:r>
      <w:proofErr w:type="spellEnd"/>
      <w:r w:rsidRPr="00922EC7">
        <w:rPr>
          <w:szCs w:val="22"/>
          <w:lang w:val="sr-Latn-ME"/>
        </w:rPr>
        <w:t xml:space="preserve"> sa trenutnim oslobađanjem dva puta dnevno.</w:t>
      </w:r>
    </w:p>
    <w:p w14:paraId="0F4BB75A" w14:textId="2A5FE66E" w:rsidR="006D7B01" w:rsidRPr="00922EC7" w:rsidRDefault="006D7B01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I</w:t>
      </w:r>
      <w:r w:rsidR="00CB5BB8" w:rsidRPr="00922EC7">
        <w:rPr>
          <w:szCs w:val="22"/>
          <w:lang w:val="sr-Latn-ME"/>
        </w:rPr>
        <w:t>nterindividualna</w:t>
      </w:r>
      <w:proofErr w:type="spellEnd"/>
      <w:r w:rsidR="00CB5BB8" w:rsidRPr="00922EC7">
        <w:rPr>
          <w:szCs w:val="22"/>
          <w:lang w:val="sr-Latn-ME"/>
        </w:rPr>
        <w:t xml:space="preserve"> </w:t>
      </w:r>
      <w:proofErr w:type="spellStart"/>
      <w:r w:rsidR="00CB5BB8" w:rsidRPr="00922EC7">
        <w:rPr>
          <w:szCs w:val="22"/>
          <w:lang w:val="sr-Latn-ME"/>
        </w:rPr>
        <w:t>vаrijаbilnost</w:t>
      </w:r>
      <w:proofErr w:type="spellEnd"/>
      <w:r w:rsidR="00CB5BB8" w:rsidRPr="00922EC7">
        <w:rPr>
          <w:szCs w:val="22"/>
          <w:lang w:val="sr-Latn-ME"/>
        </w:rPr>
        <w:t xml:space="preserve"> </w:t>
      </w:r>
      <w:proofErr w:type="spellStart"/>
      <w:r w:rsidR="00CB5BB8" w:rsidRPr="00922EC7">
        <w:rPr>
          <w:szCs w:val="22"/>
          <w:lang w:val="sr-Latn-ME"/>
        </w:rPr>
        <w:t>C</w:t>
      </w:r>
      <w:r w:rsidRPr="00922EC7">
        <w:rPr>
          <w:szCs w:val="22"/>
          <w:vertAlign w:val="subscript"/>
          <w:lang w:val="sr-Latn-ME"/>
        </w:rPr>
        <w:t>max</w:t>
      </w:r>
      <w:proofErr w:type="spellEnd"/>
      <w:r w:rsidRPr="00922EC7">
        <w:rPr>
          <w:szCs w:val="22"/>
          <w:lang w:val="sr-Latn-ME"/>
        </w:rPr>
        <w:t xml:space="preserve"> i PIK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tableta sa produženim </w:t>
      </w:r>
      <w:proofErr w:type="spellStart"/>
      <w:r w:rsidRPr="00922EC7">
        <w:rPr>
          <w:szCs w:val="22"/>
          <w:lang w:val="sr-Latn-ME"/>
        </w:rPr>
        <w:t>oslobаđаnjem</w:t>
      </w:r>
      <w:proofErr w:type="spellEnd"/>
      <w:r w:rsidRPr="00922EC7">
        <w:rPr>
          <w:szCs w:val="22"/>
          <w:lang w:val="sr-Latn-ME"/>
        </w:rPr>
        <w:t xml:space="preserve"> je uporediva sa</w:t>
      </w:r>
      <w:r w:rsidR="008B13F9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tabletama sa trenutnim oslobađanjem.</w:t>
      </w:r>
    </w:p>
    <w:p w14:paraId="4FFB394A" w14:textId="77777777" w:rsidR="008850C0" w:rsidRPr="00922EC7" w:rsidRDefault="008850C0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A38EAD5" w14:textId="2A581E9A" w:rsidR="006D7B01" w:rsidRPr="00922EC7" w:rsidRDefault="00CB5BB8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Kаdа</w:t>
      </w:r>
      <w:proofErr w:type="spellEnd"/>
      <w:r w:rsidRPr="00922EC7">
        <w:rPr>
          <w:szCs w:val="22"/>
          <w:lang w:val="sr-Latn-ME"/>
        </w:rPr>
        <w:t xml:space="preserve"> se tablete</w:t>
      </w:r>
      <w:r w:rsidR="006D7B01" w:rsidRPr="00922EC7">
        <w:rPr>
          <w:szCs w:val="22"/>
          <w:lang w:val="sr-Latn-ME"/>
        </w:rPr>
        <w:t xml:space="preserve"> sa produženim </w:t>
      </w:r>
      <w:proofErr w:type="spellStart"/>
      <w:r w:rsidR="006D7B01" w:rsidRPr="00922EC7">
        <w:rPr>
          <w:szCs w:val="22"/>
          <w:lang w:val="sr-Latn-ME"/>
        </w:rPr>
        <w:t>oslobаđаnjem</w:t>
      </w:r>
      <w:proofErr w:type="spellEnd"/>
      <w:r w:rsidR="006D7B01" w:rsidRPr="00922EC7">
        <w:rPr>
          <w:szCs w:val="22"/>
          <w:lang w:val="sr-Latn-ME"/>
        </w:rPr>
        <w:t xml:space="preserve"> prim</w:t>
      </w:r>
      <w:r w:rsidR="00AF334F" w:rsidRPr="00922EC7">
        <w:rPr>
          <w:szCs w:val="22"/>
          <w:lang w:val="sr-Latn-ME"/>
        </w:rPr>
        <w:t>j</w:t>
      </w:r>
      <w:r w:rsidR="006D7B01" w:rsidRPr="00922EC7">
        <w:rPr>
          <w:szCs w:val="22"/>
          <w:lang w:val="sr-Latn-ME"/>
        </w:rPr>
        <w:t xml:space="preserve">enjuju u uslovima gladovanja, PIK je </w:t>
      </w:r>
      <w:proofErr w:type="spellStart"/>
      <w:r w:rsidR="006D7B01" w:rsidRPr="00922EC7">
        <w:rPr>
          <w:szCs w:val="22"/>
          <w:lang w:val="sr-Latn-ME"/>
        </w:rPr>
        <w:t>smаnjena</w:t>
      </w:r>
      <w:proofErr w:type="spellEnd"/>
      <w:r w:rsidR="006D7B01" w:rsidRPr="00922EC7">
        <w:rPr>
          <w:szCs w:val="22"/>
          <w:lang w:val="sr-Latn-ME"/>
        </w:rPr>
        <w:t xml:space="preserve"> </w:t>
      </w:r>
      <w:proofErr w:type="spellStart"/>
      <w:r w:rsidR="006D7B01" w:rsidRPr="00922EC7">
        <w:rPr>
          <w:szCs w:val="22"/>
          <w:lang w:val="sr-Latn-ME"/>
        </w:rPr>
        <w:t>zа</w:t>
      </w:r>
      <w:proofErr w:type="spellEnd"/>
      <w:r w:rsidR="006D7B01" w:rsidRPr="00922EC7">
        <w:rPr>
          <w:szCs w:val="22"/>
          <w:lang w:val="sr-Latn-ME"/>
        </w:rPr>
        <w:t xml:space="preserve"> 30%</w:t>
      </w:r>
      <w:r w:rsidR="008B13F9" w:rsidRPr="00922EC7">
        <w:rPr>
          <w:szCs w:val="22"/>
          <w:lang w:val="sr-Latn-ME"/>
        </w:rPr>
        <w:t xml:space="preserve"> </w:t>
      </w:r>
      <w:r w:rsidR="006D7B01" w:rsidRPr="00922EC7">
        <w:rPr>
          <w:szCs w:val="22"/>
          <w:lang w:val="sr-Latn-ME"/>
        </w:rPr>
        <w:t>(</w:t>
      </w:r>
      <w:proofErr w:type="spellStart"/>
      <w:r w:rsidR="006D7B01" w:rsidRPr="00922EC7">
        <w:rPr>
          <w:szCs w:val="22"/>
          <w:lang w:val="sr-Latn-ME"/>
        </w:rPr>
        <w:t>C</w:t>
      </w:r>
      <w:r w:rsidR="006D7B01" w:rsidRPr="00922EC7">
        <w:rPr>
          <w:szCs w:val="22"/>
          <w:vertAlign w:val="subscript"/>
          <w:lang w:val="sr-Latn-ME"/>
        </w:rPr>
        <w:t>max</w:t>
      </w:r>
      <w:proofErr w:type="spellEnd"/>
      <w:r w:rsidR="006D7B01" w:rsidRPr="00922EC7">
        <w:rPr>
          <w:szCs w:val="22"/>
          <w:lang w:val="sr-Latn-ME"/>
        </w:rPr>
        <w:t xml:space="preserve"> i </w:t>
      </w:r>
      <w:proofErr w:type="spellStart"/>
      <w:r w:rsidR="006D7B01" w:rsidRPr="00922EC7">
        <w:rPr>
          <w:szCs w:val="22"/>
          <w:lang w:val="sr-Latn-ME"/>
        </w:rPr>
        <w:t>T</w:t>
      </w:r>
      <w:r w:rsidR="006D7B01" w:rsidRPr="00922EC7">
        <w:rPr>
          <w:szCs w:val="22"/>
          <w:vertAlign w:val="subscript"/>
          <w:lang w:val="sr-Latn-ME"/>
        </w:rPr>
        <w:t>max</w:t>
      </w:r>
      <w:proofErr w:type="spellEnd"/>
      <w:r w:rsidR="006D7B01" w:rsidRPr="00922EC7">
        <w:rPr>
          <w:szCs w:val="22"/>
          <w:vertAlign w:val="subscript"/>
          <w:lang w:val="sr-Latn-ME"/>
        </w:rPr>
        <w:t xml:space="preserve"> </w:t>
      </w:r>
      <w:proofErr w:type="spellStart"/>
      <w:r w:rsidR="006D7B01" w:rsidRPr="00922EC7">
        <w:rPr>
          <w:szCs w:val="22"/>
          <w:lang w:val="sr-Latn-ME"/>
        </w:rPr>
        <w:t>ostаju</w:t>
      </w:r>
      <w:proofErr w:type="spellEnd"/>
      <w:r w:rsidR="006D7B01" w:rsidRPr="00922EC7">
        <w:rPr>
          <w:szCs w:val="22"/>
          <w:lang w:val="sr-Latn-ME"/>
        </w:rPr>
        <w:t xml:space="preserve"> </w:t>
      </w:r>
      <w:proofErr w:type="spellStart"/>
      <w:r w:rsidR="006D7B01" w:rsidRPr="00922EC7">
        <w:rPr>
          <w:szCs w:val="22"/>
          <w:lang w:val="sr-Latn-ME"/>
        </w:rPr>
        <w:t>neprom</w:t>
      </w:r>
      <w:r w:rsidR="00564049" w:rsidRPr="00922EC7">
        <w:rPr>
          <w:szCs w:val="22"/>
          <w:lang w:val="sr-Latn-ME"/>
        </w:rPr>
        <w:t>ij</w:t>
      </w:r>
      <w:r w:rsidR="006D7B01" w:rsidRPr="00922EC7">
        <w:rPr>
          <w:szCs w:val="22"/>
          <w:lang w:val="sr-Latn-ME"/>
        </w:rPr>
        <w:t>enjene</w:t>
      </w:r>
      <w:proofErr w:type="spellEnd"/>
      <w:r w:rsidR="006D7B01" w:rsidRPr="00922EC7">
        <w:rPr>
          <w:szCs w:val="22"/>
          <w:lang w:val="sr-Latn-ME"/>
        </w:rPr>
        <w:t>).</w:t>
      </w:r>
    </w:p>
    <w:p w14:paraId="4C7EFF80" w14:textId="77777777" w:rsidR="008850C0" w:rsidRPr="00922EC7" w:rsidRDefault="008850C0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F64E89B" w14:textId="13FFAA88" w:rsidR="006D7B01" w:rsidRPr="00922EC7" w:rsidRDefault="006D7B01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Pros</w:t>
      </w:r>
      <w:r w:rsidR="00AF334F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ečna resorpcija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sа</w:t>
      </w:r>
      <w:proofErr w:type="spellEnd"/>
      <w:r w:rsidRPr="00922EC7">
        <w:rPr>
          <w:szCs w:val="22"/>
          <w:lang w:val="sr-Latn-ME"/>
        </w:rPr>
        <w:t xml:space="preserve"> produženim </w:t>
      </w:r>
      <w:proofErr w:type="spellStart"/>
      <w:r w:rsidRPr="00922EC7">
        <w:rPr>
          <w:szCs w:val="22"/>
          <w:lang w:val="sr-Latn-ME"/>
        </w:rPr>
        <w:t>oslobаđаnjem</w:t>
      </w:r>
      <w:proofErr w:type="spellEnd"/>
      <w:r w:rsidRPr="00922EC7">
        <w:rPr>
          <w:szCs w:val="22"/>
          <w:lang w:val="sr-Latn-ME"/>
        </w:rPr>
        <w:t xml:space="preserve"> se skoro ne </w:t>
      </w:r>
      <w:proofErr w:type="spellStart"/>
      <w:r w:rsidRPr="00922EC7">
        <w:rPr>
          <w:szCs w:val="22"/>
          <w:lang w:val="sr-Latn-ME"/>
        </w:rPr>
        <w:t>m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enjа</w:t>
      </w:r>
      <w:proofErr w:type="spellEnd"/>
      <w:r w:rsidRPr="00922EC7">
        <w:rPr>
          <w:szCs w:val="22"/>
          <w:lang w:val="sr-Latn-ME"/>
        </w:rPr>
        <w:t xml:space="preserve"> nakon </w:t>
      </w:r>
      <w:proofErr w:type="spellStart"/>
      <w:r w:rsidRPr="00922EC7">
        <w:rPr>
          <w:szCs w:val="22"/>
          <w:lang w:val="sr-Latn-ME"/>
        </w:rPr>
        <w:t>obrokа</w:t>
      </w:r>
      <w:proofErr w:type="spellEnd"/>
      <w:r w:rsidRPr="00922EC7">
        <w:rPr>
          <w:szCs w:val="22"/>
          <w:lang w:val="sr-Latn-ME"/>
        </w:rPr>
        <w:t>.</w:t>
      </w:r>
    </w:p>
    <w:p w14:paraId="49E5FA47" w14:textId="77777777" w:rsidR="008850C0" w:rsidRPr="00922EC7" w:rsidRDefault="008850C0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0B1C233D" w14:textId="4081AB4F" w:rsidR="006D7B01" w:rsidRPr="00922EC7" w:rsidRDefault="006D7B01" w:rsidP="008B13F9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>Nije zab</w:t>
      </w:r>
      <w:r w:rsidR="0012686A" w:rsidRPr="00922EC7">
        <w:rPr>
          <w:szCs w:val="22"/>
          <w:lang w:val="sr-Latn-ME"/>
        </w:rPr>
        <w:t>i</w:t>
      </w:r>
      <w:r w:rsidRPr="00922EC7">
        <w:rPr>
          <w:szCs w:val="22"/>
          <w:lang w:val="sr-Latn-ME"/>
        </w:rPr>
        <w:t>l</w:t>
      </w:r>
      <w:r w:rsidR="0012686A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ežena </w:t>
      </w:r>
      <w:proofErr w:type="spellStart"/>
      <w:r w:rsidRPr="00922EC7">
        <w:rPr>
          <w:szCs w:val="22"/>
          <w:lang w:val="sr-Latn-ME"/>
        </w:rPr>
        <w:t>аkumulаcijа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nаkon</w:t>
      </w:r>
      <w:proofErr w:type="spellEnd"/>
      <w:r w:rsidRPr="00922EC7">
        <w:rPr>
          <w:szCs w:val="22"/>
          <w:lang w:val="sr-Latn-ME"/>
        </w:rPr>
        <w:t xml:space="preserve"> prim</w:t>
      </w:r>
      <w:r w:rsidR="0012686A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ene ponovljenih </w:t>
      </w:r>
      <w:proofErr w:type="spellStart"/>
      <w:r w:rsidRPr="00922EC7">
        <w:rPr>
          <w:szCs w:val="22"/>
          <w:lang w:val="sr-Latn-ME"/>
        </w:rPr>
        <w:t>dozа</w:t>
      </w:r>
      <w:proofErr w:type="spellEnd"/>
      <w:r w:rsidRPr="00922EC7">
        <w:rPr>
          <w:szCs w:val="22"/>
          <w:lang w:val="sr-Latn-ME"/>
        </w:rPr>
        <w:t xml:space="preserve"> 2000 mg </w:t>
      </w:r>
      <w:proofErr w:type="spellStart"/>
      <w:r w:rsidRPr="00922EC7">
        <w:rPr>
          <w:szCs w:val="22"/>
          <w:lang w:val="sr-Latn-ME"/>
        </w:rPr>
        <w:t>tаbletа</w:t>
      </w:r>
      <w:proofErr w:type="spellEnd"/>
      <w:r w:rsidRPr="00922EC7">
        <w:rPr>
          <w:szCs w:val="22"/>
          <w:lang w:val="sr-Latn-ME"/>
        </w:rPr>
        <w:t xml:space="preserve"> sa produženim </w:t>
      </w:r>
      <w:proofErr w:type="spellStart"/>
      <w:r w:rsidRPr="00922EC7">
        <w:rPr>
          <w:szCs w:val="22"/>
          <w:lang w:val="sr-Latn-ME"/>
        </w:rPr>
        <w:t>oslobаđаnjem</w:t>
      </w:r>
      <w:proofErr w:type="spellEnd"/>
      <w:r w:rsidRPr="00922EC7">
        <w:rPr>
          <w:szCs w:val="22"/>
          <w:lang w:val="sr-Latn-ME"/>
        </w:rPr>
        <w:t>.</w:t>
      </w:r>
    </w:p>
    <w:p w14:paraId="444D8C4D" w14:textId="77777777" w:rsidR="008850C0" w:rsidRPr="00922EC7" w:rsidRDefault="008850C0" w:rsidP="008B13F9">
      <w:pPr>
        <w:rPr>
          <w:szCs w:val="22"/>
          <w:lang w:val="sr-Latn-ME"/>
        </w:rPr>
      </w:pPr>
    </w:p>
    <w:p w14:paraId="7A9BFF44" w14:textId="20021910" w:rsidR="006D7B01" w:rsidRPr="00922EC7" w:rsidRDefault="006D7B01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Nakon </w:t>
      </w:r>
      <w:proofErr w:type="spellStart"/>
      <w:r w:rsidRPr="00922EC7">
        <w:rPr>
          <w:szCs w:val="22"/>
          <w:lang w:val="sr-Latn-ME"/>
        </w:rPr>
        <w:t>orа</w:t>
      </w:r>
      <w:r w:rsidR="00D354ED" w:rsidRPr="00922EC7">
        <w:rPr>
          <w:szCs w:val="22"/>
          <w:lang w:val="sr-Latn-ME"/>
        </w:rPr>
        <w:t>lne</w:t>
      </w:r>
      <w:proofErr w:type="spellEnd"/>
      <w:r w:rsidR="00D354ED" w:rsidRPr="00922EC7">
        <w:rPr>
          <w:szCs w:val="22"/>
          <w:lang w:val="sr-Latn-ME"/>
        </w:rPr>
        <w:t xml:space="preserve"> prim</w:t>
      </w:r>
      <w:r w:rsidR="00564049" w:rsidRPr="00922EC7">
        <w:rPr>
          <w:szCs w:val="22"/>
          <w:lang w:val="sr-Latn-ME"/>
        </w:rPr>
        <w:t>j</w:t>
      </w:r>
      <w:r w:rsidR="00D354ED" w:rsidRPr="00922EC7">
        <w:rPr>
          <w:szCs w:val="22"/>
          <w:lang w:val="sr-Latn-ME"/>
        </w:rPr>
        <w:t xml:space="preserve">ene 1500 mg </w:t>
      </w:r>
      <w:proofErr w:type="spellStart"/>
      <w:r w:rsidR="00D354ED"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, </w:t>
      </w:r>
      <w:r w:rsidR="00D354ED" w:rsidRPr="00922EC7">
        <w:rPr>
          <w:szCs w:val="22"/>
          <w:lang w:val="sr-Latn-ME"/>
        </w:rPr>
        <w:t xml:space="preserve">(2 x </w:t>
      </w:r>
      <w:r w:rsidRPr="00922EC7">
        <w:rPr>
          <w:szCs w:val="22"/>
          <w:lang w:val="sr-Latn-ME"/>
        </w:rPr>
        <w:t>750 mg</w:t>
      </w:r>
      <w:r w:rsidR="00D354ED" w:rsidRPr="00922EC7">
        <w:rPr>
          <w:szCs w:val="22"/>
          <w:lang w:val="sr-Latn-ME"/>
        </w:rPr>
        <w:t>)</w:t>
      </w:r>
      <w:r w:rsidRPr="00922EC7">
        <w:rPr>
          <w:szCs w:val="22"/>
          <w:lang w:val="sr-Latn-ME"/>
        </w:rPr>
        <w:t>, tableta</w:t>
      </w:r>
      <w:r w:rsidR="00D354ED" w:rsidRPr="00922EC7">
        <w:rPr>
          <w:szCs w:val="22"/>
          <w:lang w:val="sr-Latn-ME"/>
        </w:rPr>
        <w:t xml:space="preserve"> sa produženim oslobađanjem</w:t>
      </w:r>
      <w:r w:rsidRPr="00922EC7">
        <w:rPr>
          <w:szCs w:val="22"/>
          <w:lang w:val="sr-Latn-ME"/>
        </w:rPr>
        <w:t>, srednja vr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ednost koncentracije u plazmi</w:t>
      </w:r>
      <w:r w:rsidR="00D354ED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od 1193 </w:t>
      </w:r>
      <w:proofErr w:type="spellStart"/>
      <w:r w:rsidRPr="00922EC7">
        <w:rPr>
          <w:szCs w:val="22"/>
          <w:lang w:val="sr-Latn-ME"/>
        </w:rPr>
        <w:t>nanograma</w:t>
      </w:r>
      <w:proofErr w:type="spellEnd"/>
      <w:r w:rsidRPr="00922EC7">
        <w:rPr>
          <w:szCs w:val="22"/>
          <w:lang w:val="sr-Latn-ME"/>
        </w:rPr>
        <w:t>/m</w:t>
      </w:r>
      <w:r w:rsidR="00AB7D8A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 xml:space="preserve"> se dostiže u pros</w:t>
      </w:r>
      <w:r w:rsidR="0012686A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eku za 5 </w:t>
      </w:r>
      <w:proofErr w:type="spellStart"/>
      <w:r w:rsidRPr="00922EC7">
        <w:rPr>
          <w:szCs w:val="22"/>
          <w:lang w:val="sr-Latn-ME"/>
        </w:rPr>
        <w:t>sаti</w:t>
      </w:r>
      <w:proofErr w:type="spellEnd"/>
      <w:r w:rsidRPr="00922EC7">
        <w:rPr>
          <w:szCs w:val="22"/>
          <w:lang w:val="sr-Latn-ME"/>
        </w:rPr>
        <w:t xml:space="preserve"> (raspon od 4 do 12 </w:t>
      </w:r>
      <w:proofErr w:type="spellStart"/>
      <w:r w:rsidRPr="00922EC7">
        <w:rPr>
          <w:szCs w:val="22"/>
          <w:lang w:val="sr-Latn-ME"/>
        </w:rPr>
        <w:t>sаti</w:t>
      </w:r>
      <w:proofErr w:type="spellEnd"/>
      <w:r w:rsidRPr="00922EC7">
        <w:rPr>
          <w:szCs w:val="22"/>
          <w:lang w:val="sr-Latn-ME"/>
        </w:rPr>
        <w:t>).</w:t>
      </w:r>
    </w:p>
    <w:p w14:paraId="64DC788C" w14:textId="77777777" w:rsidR="008850C0" w:rsidRPr="00922EC7" w:rsidRDefault="008850C0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9AA961E" w14:textId="77777777" w:rsidR="00F200D1" w:rsidRPr="00922EC7" w:rsidRDefault="00C56058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Na osnovu parametara</w:t>
      </w:r>
      <w:r w:rsidR="006D7B01" w:rsidRPr="00922EC7">
        <w:rPr>
          <w:szCs w:val="22"/>
          <w:lang w:val="sr-Latn-ME"/>
        </w:rPr>
        <w:t xml:space="preserve"> </w:t>
      </w:r>
      <w:proofErr w:type="spellStart"/>
      <w:r w:rsidR="006D7B01" w:rsidRPr="00922EC7">
        <w:rPr>
          <w:szCs w:val="22"/>
          <w:lang w:val="sr-Latn-ME"/>
        </w:rPr>
        <w:t>C</w:t>
      </w:r>
      <w:r w:rsidR="006D7B01" w:rsidRPr="00922EC7">
        <w:rPr>
          <w:szCs w:val="22"/>
          <w:vertAlign w:val="subscript"/>
          <w:lang w:val="sr-Latn-ME"/>
        </w:rPr>
        <w:t>max</w:t>
      </w:r>
      <w:proofErr w:type="spellEnd"/>
      <w:r w:rsidR="006D7B01" w:rsidRPr="00922EC7">
        <w:rPr>
          <w:szCs w:val="22"/>
          <w:lang w:val="sr-Latn-ME"/>
        </w:rPr>
        <w:t xml:space="preserve"> i PIK, </w:t>
      </w:r>
      <w:proofErr w:type="spellStart"/>
      <w:r w:rsidR="00D354ED" w:rsidRPr="00922EC7">
        <w:rPr>
          <w:szCs w:val="22"/>
          <w:lang w:val="sr-Latn-ME"/>
        </w:rPr>
        <w:t>metformin</w:t>
      </w:r>
      <w:proofErr w:type="spellEnd"/>
      <w:r w:rsidR="006D7B01" w:rsidRPr="00922EC7">
        <w:rPr>
          <w:szCs w:val="22"/>
          <w:lang w:val="sr-Latn-ME"/>
        </w:rPr>
        <w:t xml:space="preserve"> 750 mg tableta sa produženim oslobađanjem je</w:t>
      </w:r>
      <w:r w:rsidRPr="00922EC7">
        <w:rPr>
          <w:szCs w:val="22"/>
          <w:lang w:val="sr-Latn-ME"/>
        </w:rPr>
        <w:t xml:space="preserve"> </w:t>
      </w:r>
      <w:proofErr w:type="spellStart"/>
      <w:r w:rsidR="006D7B01" w:rsidRPr="00922EC7">
        <w:rPr>
          <w:szCs w:val="22"/>
          <w:lang w:val="sr-Latn-ME"/>
        </w:rPr>
        <w:t>bioekvivаlentna</w:t>
      </w:r>
      <w:proofErr w:type="spellEnd"/>
      <w:r w:rsidR="006D7B01" w:rsidRPr="00922EC7">
        <w:rPr>
          <w:szCs w:val="22"/>
          <w:lang w:val="sr-Latn-ME"/>
        </w:rPr>
        <w:t xml:space="preserve"> sa </w:t>
      </w:r>
      <w:proofErr w:type="spellStart"/>
      <w:r w:rsidR="00D354ED" w:rsidRPr="00922EC7">
        <w:rPr>
          <w:szCs w:val="22"/>
          <w:lang w:val="sr-Latn-ME"/>
        </w:rPr>
        <w:t>metformin</w:t>
      </w:r>
      <w:proofErr w:type="spellEnd"/>
      <w:r w:rsidR="006D7B01" w:rsidRPr="00922EC7">
        <w:rPr>
          <w:szCs w:val="22"/>
          <w:lang w:val="sr-Latn-ME"/>
        </w:rPr>
        <w:t xml:space="preserve"> 500 mg tabletom, u dozi od 1500 mg, kod zdravih pacijenata nakon</w:t>
      </w:r>
      <w:r w:rsidRPr="00922EC7">
        <w:rPr>
          <w:szCs w:val="22"/>
          <w:lang w:val="sr-Latn-ME"/>
        </w:rPr>
        <w:t xml:space="preserve"> </w:t>
      </w:r>
      <w:r w:rsidR="006D7B01" w:rsidRPr="00922EC7">
        <w:rPr>
          <w:szCs w:val="22"/>
          <w:lang w:val="sr-Latn-ME"/>
        </w:rPr>
        <w:t>uzimanja obroka.</w:t>
      </w:r>
      <w:r w:rsidR="00CA3C12" w:rsidRPr="00922EC7">
        <w:rPr>
          <w:szCs w:val="22"/>
          <w:lang w:val="sr-Latn-ME"/>
        </w:rPr>
        <w:t xml:space="preserve"> </w:t>
      </w:r>
    </w:p>
    <w:p w14:paraId="74D14BDB" w14:textId="77777777" w:rsidR="0072182D" w:rsidRPr="00922EC7" w:rsidRDefault="0072182D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8B8A583" w14:textId="0B884F43" w:rsidR="00C56058" w:rsidRPr="00922EC7" w:rsidRDefault="00CA3C12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Nakon </w:t>
      </w:r>
      <w:proofErr w:type="spellStart"/>
      <w:r w:rsidR="00C56058" w:rsidRPr="00922EC7">
        <w:rPr>
          <w:szCs w:val="22"/>
          <w:lang w:val="sr-Latn-ME"/>
        </w:rPr>
        <w:t>orаlne</w:t>
      </w:r>
      <w:proofErr w:type="spellEnd"/>
      <w:r w:rsidR="00C56058" w:rsidRPr="00922EC7">
        <w:rPr>
          <w:szCs w:val="22"/>
          <w:lang w:val="sr-Latn-ME"/>
        </w:rPr>
        <w:t xml:space="preserve"> prim</w:t>
      </w:r>
      <w:r w:rsidR="0012686A" w:rsidRPr="00922EC7">
        <w:rPr>
          <w:szCs w:val="22"/>
          <w:lang w:val="sr-Latn-ME"/>
        </w:rPr>
        <w:t>j</w:t>
      </w:r>
      <w:r w:rsidR="00C56058" w:rsidRPr="00922EC7">
        <w:rPr>
          <w:szCs w:val="22"/>
          <w:lang w:val="sr-Latn-ME"/>
        </w:rPr>
        <w:t xml:space="preserve">ene </w:t>
      </w:r>
      <w:r w:rsidR="00191CDC" w:rsidRPr="00922EC7">
        <w:rPr>
          <w:szCs w:val="22"/>
          <w:lang w:val="sr-Latn-ME"/>
        </w:rPr>
        <w:t>lijek</w:t>
      </w:r>
      <w:r w:rsidR="00C56058" w:rsidRPr="00922EC7">
        <w:rPr>
          <w:szCs w:val="22"/>
          <w:lang w:val="sr-Latn-ME"/>
        </w:rPr>
        <w:t xml:space="preserve">a </w:t>
      </w:r>
      <w:proofErr w:type="spellStart"/>
      <w:r w:rsidR="00C56058" w:rsidRPr="00922EC7">
        <w:rPr>
          <w:szCs w:val="22"/>
          <w:lang w:val="sr-Latn-ME"/>
        </w:rPr>
        <w:t>metformin</w:t>
      </w:r>
      <w:proofErr w:type="spellEnd"/>
      <w:r w:rsidR="00C56058" w:rsidRPr="00922EC7">
        <w:rPr>
          <w:szCs w:val="22"/>
          <w:lang w:val="sr-Latn-ME"/>
        </w:rPr>
        <w:t xml:space="preserve"> 1000 mg tableta sa produženim oslobađanjem</w:t>
      </w:r>
      <w:r w:rsidRPr="00922EC7">
        <w:rPr>
          <w:szCs w:val="22"/>
          <w:lang w:val="sr-Latn-ME"/>
        </w:rPr>
        <w:t>, srednja vr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ednost  </w:t>
      </w:r>
      <w:r w:rsidR="00C56058" w:rsidRPr="00922EC7">
        <w:rPr>
          <w:szCs w:val="22"/>
          <w:lang w:val="sr-Latn-ME"/>
        </w:rPr>
        <w:t xml:space="preserve">koncentracije u plazmi od 1214 </w:t>
      </w:r>
      <w:proofErr w:type="spellStart"/>
      <w:r w:rsidR="00C56058" w:rsidRPr="00922EC7">
        <w:rPr>
          <w:szCs w:val="22"/>
          <w:lang w:val="sr-Latn-ME"/>
        </w:rPr>
        <w:t>nanograma</w:t>
      </w:r>
      <w:proofErr w:type="spellEnd"/>
      <w:r w:rsidR="00C56058" w:rsidRPr="00922EC7">
        <w:rPr>
          <w:szCs w:val="22"/>
          <w:lang w:val="sr-Latn-ME"/>
        </w:rPr>
        <w:t>/m</w:t>
      </w:r>
      <w:r w:rsidR="00AB7D8A" w:rsidRPr="00922EC7">
        <w:rPr>
          <w:szCs w:val="22"/>
          <w:lang w:val="sr-Latn-ME"/>
        </w:rPr>
        <w:t>l</w:t>
      </w:r>
      <w:r w:rsidR="00C56058" w:rsidRPr="00922EC7">
        <w:rPr>
          <w:szCs w:val="22"/>
          <w:lang w:val="sr-Latn-ME"/>
        </w:rPr>
        <w:t xml:space="preserve"> se dostiže u pros</w:t>
      </w:r>
      <w:r w:rsidR="0012686A" w:rsidRPr="00922EC7">
        <w:rPr>
          <w:szCs w:val="22"/>
          <w:lang w:val="sr-Latn-ME"/>
        </w:rPr>
        <w:t>j</w:t>
      </w:r>
      <w:r w:rsidR="00C56058" w:rsidRPr="00922EC7">
        <w:rPr>
          <w:szCs w:val="22"/>
          <w:lang w:val="sr-Latn-ME"/>
        </w:rPr>
        <w:t xml:space="preserve">eku za 5 </w:t>
      </w:r>
      <w:proofErr w:type="spellStart"/>
      <w:r w:rsidR="00C56058" w:rsidRPr="00922EC7">
        <w:rPr>
          <w:szCs w:val="22"/>
          <w:lang w:val="sr-Latn-ME"/>
        </w:rPr>
        <w:t>sаti</w:t>
      </w:r>
      <w:proofErr w:type="spellEnd"/>
      <w:r w:rsidR="00C56058" w:rsidRPr="00922EC7">
        <w:rPr>
          <w:szCs w:val="22"/>
          <w:lang w:val="sr-Latn-ME"/>
        </w:rPr>
        <w:t xml:space="preserve"> (raspon od 4 do 10 </w:t>
      </w:r>
      <w:proofErr w:type="spellStart"/>
      <w:r w:rsidR="00C56058" w:rsidRPr="00922EC7">
        <w:rPr>
          <w:szCs w:val="22"/>
          <w:lang w:val="sr-Latn-ME"/>
        </w:rPr>
        <w:t>sаti</w:t>
      </w:r>
      <w:proofErr w:type="spellEnd"/>
      <w:r w:rsidR="00C56058" w:rsidRPr="00922EC7">
        <w:rPr>
          <w:szCs w:val="22"/>
          <w:lang w:val="sr-Latn-ME"/>
        </w:rPr>
        <w:t>).</w:t>
      </w:r>
    </w:p>
    <w:p w14:paraId="7AAFD448" w14:textId="77777777" w:rsidR="008850C0" w:rsidRPr="00922EC7" w:rsidRDefault="008850C0" w:rsidP="008B13F9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5ED6BF8B" w14:textId="5B161F08" w:rsidR="00C56058" w:rsidRPr="00922EC7" w:rsidRDefault="00C56058" w:rsidP="00B1067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Na osnovu parametara </w:t>
      </w:r>
      <w:proofErr w:type="spellStart"/>
      <w:r w:rsidRPr="00922EC7">
        <w:rPr>
          <w:szCs w:val="22"/>
          <w:lang w:val="sr-Latn-ME"/>
        </w:rPr>
        <w:t>C</w:t>
      </w:r>
      <w:r w:rsidRPr="00922EC7">
        <w:rPr>
          <w:szCs w:val="22"/>
          <w:vertAlign w:val="subscript"/>
          <w:lang w:val="sr-Latn-ME"/>
        </w:rPr>
        <w:t>max</w:t>
      </w:r>
      <w:proofErr w:type="spellEnd"/>
      <w:r w:rsidRPr="00922EC7">
        <w:rPr>
          <w:szCs w:val="22"/>
          <w:vertAlign w:val="subscript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i PIK,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1000 mg tableta sa produženim oslobađanjem je </w:t>
      </w:r>
      <w:proofErr w:type="spellStart"/>
      <w:r w:rsidRPr="00922EC7">
        <w:rPr>
          <w:szCs w:val="22"/>
          <w:lang w:val="sr-Latn-ME"/>
        </w:rPr>
        <w:t>bioekvivаlentna</w:t>
      </w:r>
      <w:proofErr w:type="spellEnd"/>
      <w:r w:rsidRPr="00922EC7">
        <w:rPr>
          <w:szCs w:val="22"/>
          <w:lang w:val="sr-Latn-ME"/>
        </w:rPr>
        <w:t xml:space="preserve"> sa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500 mg tabletom sa produženim oslobađanjem, u dozi od 1000 mg, kod zdravih pacijenata nakon uzimanja obroka.</w:t>
      </w:r>
    </w:p>
    <w:p w14:paraId="48750661" w14:textId="77777777" w:rsidR="008850C0" w:rsidRPr="00922EC7" w:rsidRDefault="008850C0" w:rsidP="00B1067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160A9C85" w14:textId="0C6EA24C" w:rsidR="00C56058" w:rsidRPr="00922EC7" w:rsidRDefault="00C56058" w:rsidP="00B1067F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Kаdа</w:t>
      </w:r>
      <w:proofErr w:type="spellEnd"/>
      <w:r w:rsidRPr="00922EC7">
        <w:rPr>
          <w:szCs w:val="22"/>
          <w:lang w:val="sr-Latn-ME"/>
        </w:rPr>
        <w:t xml:space="preserve"> se tableta sa produženim oslobađanjem od 1000 mg prim</w:t>
      </w:r>
      <w:r w:rsidR="00564049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eni nakon obroka, PIK se povećava </w:t>
      </w:r>
      <w:proofErr w:type="spellStart"/>
      <w:r w:rsidRPr="00922EC7">
        <w:rPr>
          <w:szCs w:val="22"/>
          <w:lang w:val="sr-Latn-ME"/>
        </w:rPr>
        <w:t>zа</w:t>
      </w:r>
      <w:proofErr w:type="spellEnd"/>
      <w:r w:rsidR="00CA3C12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77% (</w:t>
      </w:r>
      <w:proofErr w:type="spellStart"/>
      <w:r w:rsidRPr="00922EC7">
        <w:rPr>
          <w:szCs w:val="22"/>
          <w:lang w:val="sr-Latn-ME"/>
        </w:rPr>
        <w:t>Cmax</w:t>
      </w:r>
      <w:proofErr w:type="spellEnd"/>
      <w:r w:rsidRPr="00922EC7">
        <w:rPr>
          <w:szCs w:val="22"/>
          <w:lang w:val="sr-Latn-ME"/>
        </w:rPr>
        <w:t xml:space="preserve"> se poveća </w:t>
      </w:r>
      <w:proofErr w:type="spellStart"/>
      <w:r w:rsidRPr="00922EC7">
        <w:rPr>
          <w:szCs w:val="22"/>
          <w:lang w:val="sr-Latn-ME"/>
        </w:rPr>
        <w:t>zа</w:t>
      </w:r>
      <w:proofErr w:type="spellEnd"/>
      <w:r w:rsidRPr="00922EC7">
        <w:rPr>
          <w:szCs w:val="22"/>
          <w:lang w:val="sr-Latn-ME"/>
        </w:rPr>
        <w:t xml:space="preserve"> 26%, а </w:t>
      </w:r>
      <w:proofErr w:type="spellStart"/>
      <w:r w:rsidRPr="00922EC7">
        <w:rPr>
          <w:szCs w:val="22"/>
          <w:lang w:val="sr-Latn-ME"/>
        </w:rPr>
        <w:t>Tmax</w:t>
      </w:r>
      <w:proofErr w:type="spellEnd"/>
      <w:r w:rsidRPr="00922EC7">
        <w:rPr>
          <w:szCs w:val="22"/>
          <w:lang w:val="sr-Latn-ME"/>
        </w:rPr>
        <w:t xml:space="preserve"> se neznatno produži </w:t>
      </w:r>
      <w:proofErr w:type="spellStart"/>
      <w:r w:rsidRPr="00922EC7">
        <w:rPr>
          <w:szCs w:val="22"/>
          <w:lang w:val="sr-Latn-ME"/>
        </w:rPr>
        <w:t>zа</w:t>
      </w:r>
      <w:proofErr w:type="spellEnd"/>
      <w:r w:rsidRPr="00922EC7">
        <w:rPr>
          <w:szCs w:val="22"/>
          <w:lang w:val="sr-Latn-ME"/>
        </w:rPr>
        <w:t xml:space="preserve"> oko 1 </w:t>
      </w:r>
      <w:proofErr w:type="spellStart"/>
      <w:r w:rsidRPr="00922EC7">
        <w:rPr>
          <w:szCs w:val="22"/>
          <w:lang w:val="sr-Latn-ME"/>
        </w:rPr>
        <w:t>sаt</w:t>
      </w:r>
      <w:proofErr w:type="spellEnd"/>
      <w:r w:rsidRPr="00922EC7">
        <w:rPr>
          <w:szCs w:val="22"/>
          <w:lang w:val="sr-Latn-ME"/>
        </w:rPr>
        <w:t>).</w:t>
      </w:r>
    </w:p>
    <w:p w14:paraId="69DAD66B" w14:textId="44097145" w:rsidR="00C56058" w:rsidRPr="00922EC7" w:rsidRDefault="00C56058" w:rsidP="00C56058">
      <w:pPr>
        <w:rPr>
          <w:szCs w:val="22"/>
          <w:lang w:val="sr-Latn-ME"/>
        </w:rPr>
      </w:pPr>
    </w:p>
    <w:p w14:paraId="477EBE7E" w14:textId="77777777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>Distribucija</w:t>
      </w:r>
    </w:p>
    <w:p w14:paraId="394B47B9" w14:textId="6368A585" w:rsidR="00C56058" w:rsidRPr="00922EC7" w:rsidRDefault="00C56058" w:rsidP="00E47E5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Vezivanje za proteine plazme je zanemarljivo.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ulazi u </w:t>
      </w:r>
      <w:proofErr w:type="spellStart"/>
      <w:r w:rsidRPr="00922EC7">
        <w:rPr>
          <w:szCs w:val="22"/>
          <w:lang w:val="sr-Latn-ME"/>
        </w:rPr>
        <w:t>eritrocite</w:t>
      </w:r>
      <w:proofErr w:type="spellEnd"/>
      <w:r w:rsidRPr="00922EC7">
        <w:rPr>
          <w:szCs w:val="22"/>
          <w:lang w:val="sr-Latn-ME"/>
        </w:rPr>
        <w:t>. Maksimalna koncentracija u krvi</w:t>
      </w:r>
      <w:r w:rsidR="00E47E52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je niža od maksimuma koncentracije u plazmi i pojavljuje se otprilike u</w:t>
      </w:r>
      <w:r w:rsidR="00CA3C12" w:rsidRPr="00922EC7">
        <w:rPr>
          <w:szCs w:val="22"/>
          <w:lang w:val="sr-Latn-ME"/>
        </w:rPr>
        <w:t xml:space="preserve"> isto vr</w:t>
      </w:r>
      <w:r w:rsidR="003E3FF2" w:rsidRPr="00922EC7">
        <w:rPr>
          <w:szCs w:val="22"/>
          <w:lang w:val="sr-Latn-ME"/>
        </w:rPr>
        <w:t>ij</w:t>
      </w:r>
      <w:r w:rsidR="00CA3C12" w:rsidRPr="00922EC7">
        <w:rPr>
          <w:szCs w:val="22"/>
          <w:lang w:val="sr-Latn-ME"/>
        </w:rPr>
        <w:t>eme. Crven</w:t>
      </w:r>
      <w:r w:rsidR="00E47E52" w:rsidRPr="00922EC7">
        <w:rPr>
          <w:szCs w:val="22"/>
          <w:lang w:val="sr-Latn-ME"/>
        </w:rPr>
        <w:t>e</w:t>
      </w:r>
      <w:r w:rsidR="00CA3C12" w:rsidRPr="00922EC7">
        <w:rPr>
          <w:szCs w:val="22"/>
          <w:lang w:val="sr-Latn-ME"/>
        </w:rPr>
        <w:t xml:space="preserve"> krvn</w:t>
      </w:r>
      <w:r w:rsidR="00E47E52" w:rsidRPr="00922EC7">
        <w:rPr>
          <w:szCs w:val="22"/>
          <w:lang w:val="sr-Latn-ME"/>
        </w:rPr>
        <w:t>e</w:t>
      </w:r>
      <w:r w:rsidR="00CA3C12" w:rsidRPr="00922EC7">
        <w:rPr>
          <w:szCs w:val="22"/>
          <w:lang w:val="sr-Latn-ME"/>
        </w:rPr>
        <w:t xml:space="preserve"> </w:t>
      </w:r>
      <w:r w:rsidR="00E47E52" w:rsidRPr="00922EC7">
        <w:rPr>
          <w:szCs w:val="22"/>
          <w:lang w:val="sr-Latn-ME"/>
        </w:rPr>
        <w:t xml:space="preserve">ćelije </w:t>
      </w:r>
      <w:r w:rsidRPr="00922EC7">
        <w:rPr>
          <w:szCs w:val="22"/>
          <w:lang w:val="sr-Latn-ME"/>
        </w:rPr>
        <w:t>najv</w:t>
      </w:r>
      <w:r w:rsidR="0012686A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erovatnije predstavljaju sekundarni </w:t>
      </w:r>
      <w:r w:rsidR="00E47E52" w:rsidRPr="00922EC7">
        <w:rPr>
          <w:szCs w:val="22"/>
          <w:lang w:val="sr-Latn-ME"/>
        </w:rPr>
        <w:t xml:space="preserve">dio </w:t>
      </w:r>
      <w:r w:rsidRPr="00922EC7">
        <w:rPr>
          <w:szCs w:val="22"/>
          <w:lang w:val="sr-Latn-ME"/>
        </w:rPr>
        <w:t>distribucije. Srednji volumen distribucije (</w:t>
      </w:r>
      <w:proofErr w:type="spellStart"/>
      <w:r w:rsidRPr="00922EC7">
        <w:rPr>
          <w:szCs w:val="22"/>
          <w:lang w:val="sr-Latn-ME"/>
        </w:rPr>
        <w:t>Vd</w:t>
      </w:r>
      <w:proofErr w:type="spellEnd"/>
      <w:r w:rsidRPr="00922EC7">
        <w:rPr>
          <w:szCs w:val="22"/>
          <w:lang w:val="sr-Latn-ME"/>
        </w:rPr>
        <w:t>) se kreće</w:t>
      </w:r>
      <w:r w:rsidR="00CA3C12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između 63-276 </w:t>
      </w:r>
      <w:r w:rsidR="00E47E52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>.</w:t>
      </w:r>
    </w:p>
    <w:p w14:paraId="3FCEE644" w14:textId="5690F15C" w:rsidR="00C56058" w:rsidRPr="00922EC7" w:rsidRDefault="00C56058">
      <w:pPr>
        <w:rPr>
          <w:szCs w:val="22"/>
          <w:lang w:val="sr-Latn-ME"/>
        </w:rPr>
      </w:pPr>
    </w:p>
    <w:p w14:paraId="281C2EA7" w14:textId="77777777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Biotransformacija</w:t>
      </w:r>
      <w:proofErr w:type="spellEnd"/>
    </w:p>
    <w:p w14:paraId="118838A8" w14:textId="0C50B809" w:rsidR="00C56058" w:rsidRPr="00922EC7" w:rsidRDefault="00C56058" w:rsidP="00CA4A82">
      <w:pPr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se izlučuje </w:t>
      </w:r>
      <w:proofErr w:type="spellStart"/>
      <w:r w:rsidRPr="00922EC7">
        <w:rPr>
          <w:szCs w:val="22"/>
          <w:lang w:val="sr-Latn-ME"/>
        </w:rPr>
        <w:t>neprom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enjen</w:t>
      </w:r>
      <w:proofErr w:type="spellEnd"/>
      <w:r w:rsidRPr="00922EC7">
        <w:rPr>
          <w:szCs w:val="22"/>
          <w:lang w:val="sr-Latn-ME"/>
        </w:rPr>
        <w:t xml:space="preserve"> urinom. Kod </w:t>
      </w:r>
      <w:proofErr w:type="spellStart"/>
      <w:r w:rsidRPr="00922EC7">
        <w:rPr>
          <w:szCs w:val="22"/>
          <w:lang w:val="sr-Latn-ME"/>
        </w:rPr>
        <w:t>ljudi</w:t>
      </w:r>
      <w:proofErr w:type="spellEnd"/>
      <w:r w:rsidRPr="00922EC7">
        <w:rPr>
          <w:szCs w:val="22"/>
          <w:lang w:val="sr-Latn-ME"/>
        </w:rPr>
        <w:t xml:space="preserve"> ni</w:t>
      </w:r>
      <w:r w:rsidR="00E47E52" w:rsidRPr="00922EC7">
        <w:rPr>
          <w:szCs w:val="22"/>
          <w:lang w:val="sr-Latn-ME"/>
        </w:rPr>
        <w:t>je</w:t>
      </w:r>
      <w:r w:rsidRPr="00922EC7">
        <w:rPr>
          <w:szCs w:val="22"/>
          <w:lang w:val="sr-Latn-ME"/>
        </w:rPr>
        <w:t xml:space="preserve">su identifikovani </w:t>
      </w:r>
      <w:proofErr w:type="spellStart"/>
      <w:r w:rsidRPr="00922EC7">
        <w:rPr>
          <w:szCs w:val="22"/>
          <w:lang w:val="sr-Latn-ME"/>
        </w:rPr>
        <w:t>metaboliti</w:t>
      </w:r>
      <w:proofErr w:type="spellEnd"/>
      <w:r w:rsidRPr="00922EC7">
        <w:rPr>
          <w:szCs w:val="22"/>
          <w:lang w:val="sr-Latn-ME"/>
        </w:rPr>
        <w:t>.</w:t>
      </w:r>
    </w:p>
    <w:p w14:paraId="3B3FB87F" w14:textId="04B97E8B" w:rsidR="00C56058" w:rsidRPr="00922EC7" w:rsidRDefault="00C56058">
      <w:pPr>
        <w:rPr>
          <w:szCs w:val="22"/>
          <w:lang w:val="sr-Latn-ME"/>
        </w:rPr>
      </w:pPr>
    </w:p>
    <w:p w14:paraId="4DBC1116" w14:textId="77777777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>Eliminacija</w:t>
      </w:r>
    </w:p>
    <w:p w14:paraId="63D5DD09" w14:textId="40A2DBEC" w:rsidR="00C56058" w:rsidRPr="00922EC7" w:rsidRDefault="00C56058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Renalni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klirens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je &gt; 400 m</w:t>
      </w:r>
      <w:r w:rsidR="00E47E52" w:rsidRPr="00922EC7">
        <w:rPr>
          <w:szCs w:val="22"/>
          <w:lang w:val="sr-Latn-ME"/>
        </w:rPr>
        <w:t>l</w:t>
      </w:r>
      <w:r w:rsidRPr="00922EC7">
        <w:rPr>
          <w:szCs w:val="22"/>
          <w:lang w:val="sr-Latn-ME"/>
        </w:rPr>
        <w:t xml:space="preserve">/min što ukazuje da se </w:t>
      </w:r>
      <w:proofErr w:type="spellStart"/>
      <w:r w:rsidRPr="00922EC7">
        <w:rPr>
          <w:szCs w:val="22"/>
          <w:lang w:val="sr-Latn-ME"/>
        </w:rPr>
        <w:t>metformin</w:t>
      </w:r>
      <w:proofErr w:type="spellEnd"/>
      <w:r w:rsidRPr="00922EC7">
        <w:rPr>
          <w:szCs w:val="22"/>
          <w:lang w:val="sr-Latn-ME"/>
        </w:rPr>
        <w:t xml:space="preserve"> eliminiše </w:t>
      </w:r>
      <w:proofErr w:type="spellStart"/>
      <w:r w:rsidRPr="00922EC7">
        <w:rPr>
          <w:szCs w:val="22"/>
          <w:lang w:val="sr-Latn-ME"/>
        </w:rPr>
        <w:t>glomerularnom</w:t>
      </w:r>
      <w:proofErr w:type="spellEnd"/>
      <w:r w:rsidRPr="00922EC7">
        <w:rPr>
          <w:szCs w:val="22"/>
          <w:lang w:val="sr-Latn-ME"/>
        </w:rPr>
        <w:t xml:space="preserve"> filtracijom i </w:t>
      </w:r>
      <w:proofErr w:type="spellStart"/>
      <w:r w:rsidRPr="00922EC7">
        <w:rPr>
          <w:szCs w:val="22"/>
          <w:lang w:val="sr-Latn-ME"/>
        </w:rPr>
        <w:t>tubularnom</w:t>
      </w:r>
      <w:proofErr w:type="spellEnd"/>
      <w:r w:rsidRPr="00922EC7">
        <w:rPr>
          <w:szCs w:val="22"/>
          <w:lang w:val="sr-Latn-ME"/>
        </w:rPr>
        <w:t xml:space="preserve"> sekrecijom. Posl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 oralne doze poluvr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>eme eliminacije je oko 6,5 sati.</w:t>
      </w:r>
    </w:p>
    <w:p w14:paraId="5B38571D" w14:textId="304B7777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 xml:space="preserve">Kada je oštećena </w:t>
      </w:r>
      <w:proofErr w:type="spellStart"/>
      <w:r w:rsidRPr="00922EC7">
        <w:rPr>
          <w:szCs w:val="22"/>
          <w:lang w:val="sr-Latn-ME"/>
        </w:rPr>
        <w:t>renalna</w:t>
      </w:r>
      <w:proofErr w:type="spellEnd"/>
      <w:r w:rsidRPr="00922EC7">
        <w:rPr>
          <w:szCs w:val="22"/>
          <w:lang w:val="sr-Latn-ME"/>
        </w:rPr>
        <w:t xml:space="preserve"> funkcija, </w:t>
      </w:r>
      <w:proofErr w:type="spellStart"/>
      <w:r w:rsidRPr="00922EC7">
        <w:rPr>
          <w:szCs w:val="22"/>
          <w:lang w:val="sr-Latn-ME"/>
        </w:rPr>
        <w:t>renalni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klirens</w:t>
      </w:r>
      <w:proofErr w:type="spellEnd"/>
      <w:r w:rsidRPr="00922EC7">
        <w:rPr>
          <w:szCs w:val="22"/>
          <w:lang w:val="sr-Latn-ME"/>
        </w:rPr>
        <w:t xml:space="preserve"> se smanjuje proporcionalno </w:t>
      </w:r>
      <w:proofErr w:type="spellStart"/>
      <w:r w:rsidRPr="00922EC7">
        <w:rPr>
          <w:szCs w:val="22"/>
          <w:lang w:val="sr-Latn-ME"/>
        </w:rPr>
        <w:t>klirensu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kreatinina</w:t>
      </w:r>
      <w:proofErr w:type="spellEnd"/>
      <w:r w:rsidRPr="00922EC7">
        <w:rPr>
          <w:szCs w:val="22"/>
          <w:lang w:val="sr-Latn-ME"/>
        </w:rPr>
        <w:t xml:space="preserve"> tako da se</w:t>
      </w:r>
      <w:r w:rsidR="00E47E52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poluvr</w:t>
      </w:r>
      <w:r w:rsidR="0012686A" w:rsidRPr="00922EC7">
        <w:rPr>
          <w:szCs w:val="22"/>
          <w:lang w:val="sr-Latn-ME"/>
        </w:rPr>
        <w:t>ij</w:t>
      </w:r>
      <w:r w:rsidRPr="00922EC7">
        <w:rPr>
          <w:szCs w:val="22"/>
          <w:lang w:val="sr-Latn-ME"/>
        </w:rPr>
        <w:t xml:space="preserve">eme eliminacije produžava, što dovodi do povećane koncentracije </w:t>
      </w:r>
      <w:proofErr w:type="spellStart"/>
      <w:r w:rsidRPr="00922EC7">
        <w:rPr>
          <w:szCs w:val="22"/>
          <w:lang w:val="sr-Latn-ME"/>
        </w:rPr>
        <w:t>metformina</w:t>
      </w:r>
      <w:proofErr w:type="spellEnd"/>
      <w:r w:rsidRPr="00922EC7">
        <w:rPr>
          <w:szCs w:val="22"/>
          <w:lang w:val="sr-Latn-ME"/>
        </w:rPr>
        <w:t xml:space="preserve"> u plazmi.</w:t>
      </w:r>
    </w:p>
    <w:p w14:paraId="3975817A" w14:textId="2248F6FA" w:rsidR="00C56058" w:rsidRPr="00922EC7" w:rsidRDefault="00C56058">
      <w:pPr>
        <w:rPr>
          <w:szCs w:val="22"/>
          <w:lang w:val="sr-Latn-ME"/>
        </w:rPr>
      </w:pPr>
    </w:p>
    <w:p w14:paraId="3C08A93C" w14:textId="17843EE8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u w:val="single"/>
          <w:lang w:val="sr-Latn-ME"/>
        </w:rPr>
      </w:pPr>
      <w:r w:rsidRPr="00922EC7">
        <w:rPr>
          <w:szCs w:val="22"/>
          <w:u w:val="single"/>
          <w:lang w:val="sr-Latn-ME"/>
        </w:rPr>
        <w:t>Karakteristike kod posebnih grupa pacijenata</w:t>
      </w:r>
    </w:p>
    <w:p w14:paraId="476DF597" w14:textId="77777777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335148A0" w14:textId="77777777" w:rsidR="00C56058" w:rsidRPr="00922EC7" w:rsidRDefault="00C56058" w:rsidP="00683D74">
      <w:pPr>
        <w:tabs>
          <w:tab w:val="clear" w:pos="284"/>
        </w:tabs>
        <w:autoSpaceDE w:val="0"/>
        <w:autoSpaceDN w:val="0"/>
        <w:adjustRightInd w:val="0"/>
        <w:rPr>
          <w:i/>
          <w:szCs w:val="22"/>
          <w:lang w:val="sr-Latn-ME"/>
        </w:rPr>
      </w:pPr>
      <w:r w:rsidRPr="00922EC7">
        <w:rPr>
          <w:i/>
          <w:szCs w:val="22"/>
          <w:lang w:val="sr-Latn-ME"/>
        </w:rPr>
        <w:t xml:space="preserve">Oštećenje </w:t>
      </w:r>
      <w:proofErr w:type="spellStart"/>
      <w:r w:rsidRPr="00922EC7">
        <w:rPr>
          <w:i/>
          <w:szCs w:val="22"/>
          <w:lang w:val="sr-Latn-ME"/>
        </w:rPr>
        <w:t>renalne</w:t>
      </w:r>
      <w:proofErr w:type="spellEnd"/>
      <w:r w:rsidRPr="00922EC7">
        <w:rPr>
          <w:i/>
          <w:szCs w:val="22"/>
          <w:lang w:val="sr-Latn-ME"/>
        </w:rPr>
        <w:t xml:space="preserve"> funkcije</w:t>
      </w:r>
    </w:p>
    <w:p w14:paraId="6437A67E" w14:textId="79AA3A65" w:rsidR="00C56058" w:rsidRPr="00922EC7" w:rsidRDefault="00C56058" w:rsidP="00CA4A8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922EC7">
        <w:rPr>
          <w:szCs w:val="22"/>
          <w:lang w:val="sr-Latn-ME"/>
        </w:rPr>
        <w:t>Raspoloživi podaci kod pacijenata sa um</w:t>
      </w:r>
      <w:r w:rsidR="0012686A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erenom </w:t>
      </w:r>
      <w:proofErr w:type="spellStart"/>
      <w:r w:rsidRPr="00922EC7">
        <w:rPr>
          <w:szCs w:val="22"/>
          <w:lang w:val="sr-Latn-ME"/>
        </w:rPr>
        <w:t>renalnom</w:t>
      </w:r>
      <w:proofErr w:type="spellEnd"/>
      <w:r w:rsidRPr="00922EC7">
        <w:rPr>
          <w:szCs w:val="22"/>
          <w:lang w:val="sr-Latn-ME"/>
        </w:rPr>
        <w:t xml:space="preserve"> </w:t>
      </w:r>
      <w:proofErr w:type="spellStart"/>
      <w:r w:rsidRPr="00922EC7">
        <w:rPr>
          <w:szCs w:val="22"/>
          <w:lang w:val="sr-Latn-ME"/>
        </w:rPr>
        <w:t>insuficijencijom</w:t>
      </w:r>
      <w:proofErr w:type="spellEnd"/>
      <w:r w:rsidRPr="00922EC7">
        <w:rPr>
          <w:szCs w:val="22"/>
          <w:lang w:val="sr-Latn-ME"/>
        </w:rPr>
        <w:t xml:space="preserve"> su skromni i nema pouzdanih</w:t>
      </w:r>
      <w:r w:rsidR="00CA3C12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 xml:space="preserve">podataka sistemske izloženosti </w:t>
      </w:r>
      <w:proofErr w:type="spellStart"/>
      <w:r w:rsidRPr="00922EC7">
        <w:rPr>
          <w:szCs w:val="22"/>
          <w:lang w:val="sr-Latn-ME"/>
        </w:rPr>
        <w:t>metforminu</w:t>
      </w:r>
      <w:proofErr w:type="spellEnd"/>
      <w:r w:rsidRPr="00922EC7">
        <w:rPr>
          <w:szCs w:val="22"/>
          <w:lang w:val="sr-Latn-ME"/>
        </w:rPr>
        <w:t xml:space="preserve"> u ovoj </w:t>
      </w:r>
      <w:proofErr w:type="spellStart"/>
      <w:r w:rsidRPr="00922EC7">
        <w:rPr>
          <w:szCs w:val="22"/>
          <w:lang w:val="sr-Latn-ME"/>
        </w:rPr>
        <w:t>podgupi</w:t>
      </w:r>
      <w:proofErr w:type="spellEnd"/>
      <w:r w:rsidRPr="00922EC7">
        <w:rPr>
          <w:szCs w:val="22"/>
          <w:lang w:val="sr-Latn-ME"/>
        </w:rPr>
        <w:t xml:space="preserve"> pacijenata u poređenju sa pacijentima sa </w:t>
      </w:r>
      <w:r w:rsidRPr="00922EC7">
        <w:rPr>
          <w:szCs w:val="22"/>
          <w:lang w:val="sr-Latn-ME"/>
        </w:rPr>
        <w:lastRenderedPageBreak/>
        <w:t xml:space="preserve">normalnom </w:t>
      </w:r>
      <w:proofErr w:type="spellStart"/>
      <w:r w:rsidRPr="00922EC7">
        <w:rPr>
          <w:szCs w:val="22"/>
          <w:lang w:val="sr-Latn-ME"/>
        </w:rPr>
        <w:t>renalnom</w:t>
      </w:r>
      <w:proofErr w:type="spellEnd"/>
      <w:r w:rsidRPr="00922EC7">
        <w:rPr>
          <w:szCs w:val="22"/>
          <w:lang w:val="sr-Latn-ME"/>
        </w:rPr>
        <w:t xml:space="preserve"> funkcijom. Prema tome, podešavanje doze treba da bude u skladu sa uzimanjem u obzir kliničke efikasnosti/</w:t>
      </w:r>
      <w:proofErr w:type="spellStart"/>
      <w:r w:rsidRPr="00922EC7">
        <w:rPr>
          <w:szCs w:val="22"/>
          <w:lang w:val="sr-Latn-ME"/>
        </w:rPr>
        <w:t>podnošljivosti</w:t>
      </w:r>
      <w:proofErr w:type="spellEnd"/>
      <w:r w:rsidRPr="00922EC7">
        <w:rPr>
          <w:szCs w:val="22"/>
          <w:lang w:val="sr-Latn-ME"/>
        </w:rPr>
        <w:t xml:space="preserve"> (</w:t>
      </w:r>
      <w:r w:rsidR="00E47E52" w:rsidRPr="00922EC7">
        <w:rPr>
          <w:szCs w:val="22"/>
          <w:lang w:val="sr-Latn-ME"/>
        </w:rPr>
        <w:t xml:space="preserve">vidjeti </w:t>
      </w:r>
      <w:r w:rsidR="00401B5D" w:rsidRPr="00922EC7">
        <w:rPr>
          <w:szCs w:val="22"/>
          <w:lang w:val="sr-Latn-ME"/>
        </w:rPr>
        <w:t>dio</w:t>
      </w:r>
      <w:r w:rsidR="00191CDC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4.2).</w:t>
      </w:r>
    </w:p>
    <w:p w14:paraId="623BA82A" w14:textId="77777777" w:rsidR="00CC1905" w:rsidRPr="00922EC7" w:rsidRDefault="00CC1905" w:rsidP="006D7433">
      <w:pPr>
        <w:rPr>
          <w:szCs w:val="22"/>
          <w:lang w:val="sr-Latn-ME"/>
        </w:rPr>
      </w:pPr>
    </w:p>
    <w:p w14:paraId="6AAD19B6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5.3. </w:t>
      </w:r>
      <w:r w:rsidRPr="00922EC7">
        <w:rPr>
          <w:b/>
          <w:bCs/>
          <w:szCs w:val="22"/>
          <w:lang w:val="sr-Latn-ME"/>
        </w:rPr>
        <w:tab/>
      </w:r>
      <w:proofErr w:type="spellStart"/>
      <w:r w:rsidRPr="00922EC7">
        <w:rPr>
          <w:b/>
          <w:bCs/>
          <w:szCs w:val="22"/>
          <w:lang w:val="sr-Latn-ME"/>
        </w:rPr>
        <w:t>Pretklinički</w:t>
      </w:r>
      <w:proofErr w:type="spellEnd"/>
      <w:r w:rsidRPr="00922EC7">
        <w:rPr>
          <w:b/>
          <w:bCs/>
          <w:szCs w:val="22"/>
          <w:lang w:val="sr-Latn-ME"/>
        </w:rPr>
        <w:t xml:space="preserve"> podaci o bezbjednosti </w:t>
      </w:r>
    </w:p>
    <w:p w14:paraId="1906BA21" w14:textId="77777777" w:rsidR="00CE09F3" w:rsidRPr="00922EC7" w:rsidRDefault="00CE09F3">
      <w:pPr>
        <w:rPr>
          <w:szCs w:val="22"/>
          <w:lang w:val="sr-Latn-ME"/>
        </w:rPr>
      </w:pPr>
    </w:p>
    <w:p w14:paraId="1906BA22" w14:textId="1E519CB1" w:rsidR="00CE09F3" w:rsidRPr="00922EC7" w:rsidRDefault="00CA3C12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proofErr w:type="spellStart"/>
      <w:r w:rsidRPr="00922EC7">
        <w:rPr>
          <w:szCs w:val="22"/>
          <w:lang w:val="sr-Latn-ME"/>
        </w:rPr>
        <w:t>Pretklinički</w:t>
      </w:r>
      <w:proofErr w:type="spellEnd"/>
      <w:r w:rsidRPr="00922EC7">
        <w:rPr>
          <w:szCs w:val="22"/>
          <w:lang w:val="sr-Latn-ME"/>
        </w:rPr>
        <w:t xml:space="preserve"> podaci dobijeni na osnovu konvencionalnih studija </w:t>
      </w:r>
      <w:proofErr w:type="spellStart"/>
      <w:r w:rsidRPr="00922EC7">
        <w:rPr>
          <w:szCs w:val="22"/>
          <w:lang w:val="sr-Latn-ME"/>
        </w:rPr>
        <w:t>bezb</w:t>
      </w:r>
      <w:r w:rsidR="003E3FF2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ednosne</w:t>
      </w:r>
      <w:proofErr w:type="spellEnd"/>
      <w:r w:rsidRPr="00922EC7">
        <w:rPr>
          <w:szCs w:val="22"/>
          <w:lang w:val="sr-Latn-ME"/>
        </w:rPr>
        <w:t xml:space="preserve"> farmakologije, toksičnosti ponovljenih doza, </w:t>
      </w:r>
      <w:proofErr w:type="spellStart"/>
      <w:r w:rsidRPr="00922EC7">
        <w:rPr>
          <w:szCs w:val="22"/>
          <w:lang w:val="sr-Latn-ME"/>
        </w:rPr>
        <w:t>gen</w:t>
      </w:r>
      <w:r w:rsidR="0073050B" w:rsidRPr="00922EC7">
        <w:rPr>
          <w:szCs w:val="22"/>
          <w:lang w:val="sr-Latn-ME"/>
        </w:rPr>
        <w:t>o</w:t>
      </w:r>
      <w:r w:rsidRPr="00922EC7">
        <w:rPr>
          <w:szCs w:val="22"/>
          <w:lang w:val="sr-Latn-ME"/>
        </w:rPr>
        <w:t>toksičnosti</w:t>
      </w:r>
      <w:proofErr w:type="spellEnd"/>
      <w:r w:rsidRPr="00922EC7">
        <w:rPr>
          <w:szCs w:val="22"/>
          <w:lang w:val="sr-Latn-ME"/>
        </w:rPr>
        <w:t xml:space="preserve">, </w:t>
      </w:r>
      <w:proofErr w:type="spellStart"/>
      <w:r w:rsidRPr="00922EC7">
        <w:rPr>
          <w:szCs w:val="22"/>
          <w:lang w:val="sr-Latn-ME"/>
        </w:rPr>
        <w:t>karcinogenog</w:t>
      </w:r>
      <w:proofErr w:type="spellEnd"/>
      <w:r w:rsidRPr="00922EC7">
        <w:rPr>
          <w:szCs w:val="22"/>
          <w:lang w:val="sr-Latn-ME"/>
        </w:rPr>
        <w:t xml:space="preserve"> potencijala i reproduktivne toksičnosti, ne ukazuju na posebne rizike pri prim</w:t>
      </w:r>
      <w:r w:rsidR="009F4744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 xml:space="preserve">eni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 xml:space="preserve">a kod </w:t>
      </w:r>
      <w:proofErr w:type="spellStart"/>
      <w:r w:rsidRPr="00922EC7">
        <w:rPr>
          <w:szCs w:val="22"/>
          <w:lang w:val="sr-Latn-ME"/>
        </w:rPr>
        <w:t>ljudi</w:t>
      </w:r>
      <w:proofErr w:type="spellEnd"/>
      <w:r w:rsidRPr="00922EC7">
        <w:rPr>
          <w:szCs w:val="22"/>
          <w:lang w:val="sr-Latn-ME"/>
        </w:rPr>
        <w:t>.</w:t>
      </w:r>
    </w:p>
    <w:p w14:paraId="06C43669" w14:textId="0C9FA7F1" w:rsidR="00CA3C12" w:rsidRPr="00922EC7" w:rsidRDefault="00CA3C12" w:rsidP="00CA3C12">
      <w:pPr>
        <w:rPr>
          <w:szCs w:val="22"/>
          <w:lang w:val="sr-Latn-ME"/>
        </w:rPr>
      </w:pPr>
    </w:p>
    <w:p w14:paraId="63FA7728" w14:textId="77777777" w:rsidR="000519F4" w:rsidRPr="00922EC7" w:rsidRDefault="000519F4" w:rsidP="00CA3C12">
      <w:pPr>
        <w:rPr>
          <w:szCs w:val="22"/>
          <w:lang w:val="sr-Latn-ME"/>
        </w:rPr>
      </w:pPr>
    </w:p>
    <w:p w14:paraId="6BAD75FC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 </w:t>
      </w:r>
      <w:r w:rsidRPr="00922EC7">
        <w:rPr>
          <w:b/>
          <w:bCs/>
          <w:szCs w:val="22"/>
          <w:lang w:val="sr-Latn-ME"/>
        </w:rPr>
        <w:tab/>
        <w:t>FARMACEUTSKI PODACI</w:t>
      </w:r>
    </w:p>
    <w:p w14:paraId="084660BA" w14:textId="77777777" w:rsidR="000519F4" w:rsidRPr="00922EC7" w:rsidRDefault="000519F4" w:rsidP="000519F4">
      <w:pPr>
        <w:tabs>
          <w:tab w:val="left" w:pos="540"/>
          <w:tab w:val="left" w:pos="569"/>
        </w:tabs>
        <w:rPr>
          <w:szCs w:val="22"/>
          <w:lang w:val="sr-Latn-ME"/>
        </w:rPr>
      </w:pPr>
    </w:p>
    <w:p w14:paraId="426749D2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6.1. </w:t>
      </w:r>
      <w:r w:rsidRPr="00922EC7">
        <w:rPr>
          <w:b/>
          <w:bCs/>
          <w:szCs w:val="22"/>
          <w:lang w:val="sr-Latn-ME"/>
        </w:rPr>
        <w:tab/>
        <w:t>Lista pomoćnih supstanci (</w:t>
      </w:r>
      <w:proofErr w:type="spellStart"/>
      <w:r w:rsidRPr="00922EC7">
        <w:rPr>
          <w:b/>
          <w:bCs/>
          <w:szCs w:val="22"/>
          <w:lang w:val="sr-Latn-ME"/>
        </w:rPr>
        <w:t>ekscipijenasa</w:t>
      </w:r>
      <w:proofErr w:type="spellEnd"/>
      <w:r w:rsidRPr="00922EC7">
        <w:rPr>
          <w:b/>
          <w:bCs/>
          <w:szCs w:val="22"/>
          <w:lang w:val="sr-Latn-ME"/>
        </w:rPr>
        <w:t>)</w:t>
      </w:r>
    </w:p>
    <w:p w14:paraId="1906BA25" w14:textId="77777777" w:rsidR="00CE09F3" w:rsidRPr="00922EC7" w:rsidRDefault="00CE09F3" w:rsidP="00923865">
      <w:pPr>
        <w:rPr>
          <w:szCs w:val="22"/>
          <w:lang w:val="sr-Latn-ME"/>
        </w:rPr>
      </w:pPr>
    </w:p>
    <w:p w14:paraId="2499DC30" w14:textId="03721D3A" w:rsidR="00787099" w:rsidRPr="00922EC7" w:rsidRDefault="00787099" w:rsidP="00787099">
      <w:pPr>
        <w:pStyle w:val="ListParagraph"/>
        <w:numPr>
          <w:ilvl w:val="0"/>
          <w:numId w:val="12"/>
        </w:numPr>
        <w:rPr>
          <w:color w:val="000000"/>
          <w:szCs w:val="22"/>
          <w:lang w:val="sr-Latn-ME"/>
        </w:rPr>
      </w:pPr>
      <w:proofErr w:type="spellStart"/>
      <w:r w:rsidRPr="00922EC7">
        <w:rPr>
          <w:color w:val="000000"/>
          <w:szCs w:val="22"/>
          <w:lang w:val="sr-Latn-ME"/>
        </w:rPr>
        <w:t>P</w:t>
      </w:r>
      <w:r w:rsidR="004610F9" w:rsidRPr="00922EC7">
        <w:rPr>
          <w:color w:val="000000"/>
          <w:szCs w:val="22"/>
          <w:lang w:val="sr-Latn-ME"/>
        </w:rPr>
        <w:t>ovidon</w:t>
      </w:r>
      <w:proofErr w:type="spellEnd"/>
      <w:r w:rsidR="004610F9" w:rsidRPr="00922EC7">
        <w:rPr>
          <w:color w:val="000000"/>
          <w:szCs w:val="22"/>
          <w:lang w:val="sr-Latn-ME"/>
        </w:rPr>
        <w:t xml:space="preserve"> </w:t>
      </w:r>
      <w:r w:rsidR="000519F4" w:rsidRPr="00922EC7">
        <w:rPr>
          <w:color w:val="000000"/>
          <w:szCs w:val="22"/>
          <w:lang w:val="sr-Latn-ME"/>
        </w:rPr>
        <w:t>K-</w:t>
      </w:r>
      <w:r w:rsidR="004610F9" w:rsidRPr="00922EC7">
        <w:rPr>
          <w:color w:val="000000"/>
          <w:szCs w:val="22"/>
          <w:lang w:val="sr-Latn-ME"/>
        </w:rPr>
        <w:t>90F</w:t>
      </w:r>
    </w:p>
    <w:p w14:paraId="68F760AD" w14:textId="23A3BD54" w:rsidR="00787099" w:rsidRPr="00922EC7" w:rsidRDefault="00787099" w:rsidP="00787099">
      <w:pPr>
        <w:pStyle w:val="ListParagraph"/>
        <w:numPr>
          <w:ilvl w:val="0"/>
          <w:numId w:val="12"/>
        </w:num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>Silicijum</w:t>
      </w:r>
      <w:r w:rsidR="00FB3394" w:rsidRPr="00922EC7">
        <w:rPr>
          <w:color w:val="000000"/>
          <w:szCs w:val="22"/>
          <w:lang w:val="sr-Latn-ME"/>
        </w:rPr>
        <w:t xml:space="preserve"> dioksid</w:t>
      </w:r>
      <w:r w:rsidRPr="00922EC7">
        <w:rPr>
          <w:color w:val="000000"/>
          <w:szCs w:val="22"/>
          <w:lang w:val="sr-Latn-ME"/>
        </w:rPr>
        <w:t>, koloidni</w:t>
      </w:r>
      <w:r w:rsidR="00922EC7" w:rsidRPr="00922EC7">
        <w:rPr>
          <w:color w:val="000000"/>
          <w:szCs w:val="22"/>
          <w:lang w:val="sr-Latn-ME"/>
        </w:rPr>
        <w:t>,</w:t>
      </w:r>
      <w:r w:rsidRPr="00922EC7">
        <w:rPr>
          <w:color w:val="000000"/>
          <w:szCs w:val="22"/>
          <w:lang w:val="sr-Latn-ME"/>
        </w:rPr>
        <w:t xml:space="preserve"> </w:t>
      </w:r>
      <w:proofErr w:type="spellStart"/>
      <w:r w:rsidRPr="00922EC7">
        <w:rPr>
          <w:color w:val="000000"/>
          <w:szCs w:val="22"/>
          <w:lang w:val="sr-Latn-ME"/>
        </w:rPr>
        <w:t>anhidrovani</w:t>
      </w:r>
      <w:proofErr w:type="spellEnd"/>
    </w:p>
    <w:p w14:paraId="6B501F55" w14:textId="563E5734" w:rsidR="00787099" w:rsidRPr="00922EC7" w:rsidRDefault="00787099" w:rsidP="00787099">
      <w:pPr>
        <w:pStyle w:val="ListParagraph"/>
        <w:numPr>
          <w:ilvl w:val="0"/>
          <w:numId w:val="12"/>
        </w:num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 xml:space="preserve">Natrijum </w:t>
      </w:r>
      <w:proofErr w:type="spellStart"/>
      <w:r w:rsidRPr="00922EC7">
        <w:rPr>
          <w:color w:val="000000"/>
          <w:szCs w:val="22"/>
          <w:lang w:val="sr-Latn-ME"/>
        </w:rPr>
        <w:t>karboksimetil</w:t>
      </w:r>
      <w:proofErr w:type="spellEnd"/>
      <w:r w:rsidRPr="00922EC7">
        <w:rPr>
          <w:color w:val="000000"/>
          <w:szCs w:val="22"/>
          <w:lang w:val="sr-Latn-ME"/>
        </w:rPr>
        <w:t xml:space="preserve"> celuloza</w:t>
      </w:r>
    </w:p>
    <w:p w14:paraId="4CF891C2" w14:textId="30A44CEB" w:rsidR="00787099" w:rsidRPr="00922EC7" w:rsidRDefault="00787099" w:rsidP="00787099">
      <w:pPr>
        <w:pStyle w:val="ListParagraph"/>
        <w:numPr>
          <w:ilvl w:val="0"/>
          <w:numId w:val="12"/>
        </w:numPr>
        <w:rPr>
          <w:color w:val="000000"/>
          <w:szCs w:val="22"/>
          <w:lang w:val="sr-Latn-ME"/>
        </w:rPr>
      </w:pPr>
      <w:proofErr w:type="spellStart"/>
      <w:r w:rsidRPr="00922EC7">
        <w:rPr>
          <w:color w:val="000000"/>
          <w:szCs w:val="22"/>
          <w:lang w:val="sr-Latn-ME"/>
        </w:rPr>
        <w:t>Hipromeloza</w:t>
      </w:r>
      <w:proofErr w:type="spellEnd"/>
      <w:r w:rsidRPr="00922EC7">
        <w:rPr>
          <w:color w:val="000000"/>
          <w:szCs w:val="22"/>
          <w:lang w:val="sr-Latn-ME"/>
        </w:rPr>
        <w:t xml:space="preserve"> (100000 </w:t>
      </w:r>
      <w:proofErr w:type="spellStart"/>
      <w:r w:rsidRPr="00922EC7">
        <w:rPr>
          <w:color w:val="000000"/>
          <w:szCs w:val="22"/>
          <w:lang w:val="sr-Latn-ME"/>
        </w:rPr>
        <w:t>cps</w:t>
      </w:r>
      <w:proofErr w:type="spellEnd"/>
      <w:r w:rsidRPr="00922EC7">
        <w:rPr>
          <w:color w:val="000000"/>
          <w:szCs w:val="22"/>
          <w:lang w:val="sr-Latn-ME"/>
        </w:rPr>
        <w:t>)</w:t>
      </w:r>
    </w:p>
    <w:p w14:paraId="54110468" w14:textId="2A27A3D9" w:rsidR="00787099" w:rsidRPr="00922EC7" w:rsidRDefault="00787099" w:rsidP="00787099">
      <w:pPr>
        <w:pStyle w:val="ListParagraph"/>
        <w:numPr>
          <w:ilvl w:val="0"/>
          <w:numId w:val="12"/>
        </w:num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 xml:space="preserve">Celuloza, </w:t>
      </w:r>
      <w:proofErr w:type="spellStart"/>
      <w:r w:rsidRPr="00922EC7">
        <w:rPr>
          <w:color w:val="000000"/>
          <w:szCs w:val="22"/>
          <w:lang w:val="sr-Latn-ME"/>
        </w:rPr>
        <w:t>mikrokristalna</w:t>
      </w:r>
      <w:proofErr w:type="spellEnd"/>
    </w:p>
    <w:p w14:paraId="1906BA26" w14:textId="5EB67EA5" w:rsidR="00CE09F3" w:rsidRPr="00922EC7" w:rsidRDefault="00787099" w:rsidP="00787099">
      <w:pPr>
        <w:pStyle w:val="ListParagraph"/>
        <w:numPr>
          <w:ilvl w:val="0"/>
          <w:numId w:val="12"/>
        </w:num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 xml:space="preserve">Magnezijum </w:t>
      </w:r>
      <w:proofErr w:type="spellStart"/>
      <w:r w:rsidRPr="00922EC7">
        <w:rPr>
          <w:color w:val="000000"/>
          <w:szCs w:val="22"/>
          <w:lang w:val="sr-Latn-ME"/>
        </w:rPr>
        <w:t>stearat</w:t>
      </w:r>
      <w:proofErr w:type="spellEnd"/>
    </w:p>
    <w:p w14:paraId="2AC4B5F1" w14:textId="77777777" w:rsidR="00787099" w:rsidRPr="00922EC7" w:rsidRDefault="00787099" w:rsidP="00787099">
      <w:pPr>
        <w:rPr>
          <w:szCs w:val="22"/>
          <w:lang w:val="sr-Latn-ME"/>
        </w:rPr>
      </w:pPr>
    </w:p>
    <w:p w14:paraId="3B7C490C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6.2. </w:t>
      </w:r>
      <w:r w:rsidRPr="00922EC7">
        <w:rPr>
          <w:b/>
          <w:bCs/>
          <w:szCs w:val="22"/>
          <w:lang w:val="sr-Latn-ME"/>
        </w:rPr>
        <w:tab/>
        <w:t>Inkompatibilnosti</w:t>
      </w:r>
    </w:p>
    <w:p w14:paraId="1906BA28" w14:textId="77777777" w:rsidR="00CE09F3" w:rsidRPr="00922EC7" w:rsidRDefault="00CE09F3" w:rsidP="00923865">
      <w:pPr>
        <w:rPr>
          <w:szCs w:val="22"/>
          <w:lang w:val="sr-Latn-ME"/>
        </w:rPr>
      </w:pPr>
    </w:p>
    <w:p w14:paraId="6175D4B0" w14:textId="04DE96BC" w:rsidR="004610F9" w:rsidRPr="00922EC7" w:rsidRDefault="004610F9" w:rsidP="004610F9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>Nije prim</w:t>
      </w:r>
      <w:r w:rsidR="00755F66" w:rsidRPr="00922EC7">
        <w:rPr>
          <w:szCs w:val="22"/>
          <w:lang w:val="sr-Latn-ME"/>
        </w:rPr>
        <w:t>j</w:t>
      </w:r>
      <w:r w:rsidRPr="00922EC7">
        <w:rPr>
          <w:szCs w:val="22"/>
          <w:lang w:val="sr-Latn-ME"/>
        </w:rPr>
        <w:t>enljivo.</w:t>
      </w:r>
    </w:p>
    <w:p w14:paraId="1906BA29" w14:textId="77777777" w:rsidR="00CE09F3" w:rsidRPr="00922EC7" w:rsidRDefault="00CE09F3" w:rsidP="00923865">
      <w:pPr>
        <w:rPr>
          <w:szCs w:val="22"/>
          <w:lang w:val="sr-Latn-ME"/>
        </w:rPr>
      </w:pPr>
    </w:p>
    <w:p w14:paraId="1C99B88E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6.3. </w:t>
      </w:r>
      <w:r w:rsidRPr="00922EC7">
        <w:rPr>
          <w:b/>
          <w:bCs/>
          <w:szCs w:val="22"/>
          <w:lang w:val="sr-Latn-ME"/>
        </w:rPr>
        <w:tab/>
        <w:t>Rok upotrebe</w:t>
      </w:r>
    </w:p>
    <w:p w14:paraId="1906BA2B" w14:textId="77777777" w:rsidR="00CE09F3" w:rsidRPr="00922EC7" w:rsidRDefault="00CE09F3" w:rsidP="00923865">
      <w:pPr>
        <w:rPr>
          <w:szCs w:val="22"/>
          <w:lang w:val="sr-Latn-ME"/>
        </w:rPr>
      </w:pPr>
    </w:p>
    <w:p w14:paraId="1906BA2C" w14:textId="3505486C" w:rsidR="00CE09F3" w:rsidRPr="00922EC7" w:rsidRDefault="00787099" w:rsidP="00923865">
      <w:pPr>
        <w:rPr>
          <w:szCs w:val="22"/>
          <w:lang w:val="sr-Latn-ME"/>
        </w:rPr>
      </w:pPr>
      <w:r w:rsidRPr="00922EC7">
        <w:rPr>
          <w:szCs w:val="22"/>
          <w:lang w:val="sr-Latn-ME"/>
        </w:rPr>
        <w:t>36 mjeseci.</w:t>
      </w:r>
    </w:p>
    <w:p w14:paraId="30D71BBA" w14:textId="77777777" w:rsidR="009D4D51" w:rsidRPr="00922EC7" w:rsidRDefault="009D4D51" w:rsidP="00923865">
      <w:pPr>
        <w:rPr>
          <w:szCs w:val="22"/>
          <w:lang w:val="sr-Latn-ME"/>
        </w:rPr>
      </w:pPr>
    </w:p>
    <w:p w14:paraId="2896518C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6.4. </w:t>
      </w:r>
      <w:r w:rsidRPr="00922EC7">
        <w:rPr>
          <w:b/>
          <w:bCs/>
          <w:szCs w:val="22"/>
          <w:lang w:val="sr-Latn-ME"/>
        </w:rPr>
        <w:tab/>
        <w:t>Posebne mjere upozorenja pri čuvanju lijeka</w:t>
      </w:r>
    </w:p>
    <w:p w14:paraId="1906BA2E" w14:textId="77777777" w:rsidR="00CE09F3" w:rsidRPr="00922EC7" w:rsidRDefault="00CE09F3" w:rsidP="00923865">
      <w:pPr>
        <w:rPr>
          <w:szCs w:val="22"/>
          <w:lang w:val="sr-Latn-ME"/>
        </w:rPr>
      </w:pPr>
    </w:p>
    <w:p w14:paraId="1906BA2F" w14:textId="2E1E8005" w:rsidR="00CE09F3" w:rsidRPr="00922EC7" w:rsidRDefault="00191CDC" w:rsidP="00923865">
      <w:p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>Lijek</w:t>
      </w:r>
      <w:r w:rsidR="009D4D51" w:rsidRPr="00922EC7">
        <w:rPr>
          <w:color w:val="000000"/>
          <w:szCs w:val="22"/>
          <w:lang w:val="sr-Latn-ME"/>
        </w:rPr>
        <w:t xml:space="preserve"> </w:t>
      </w:r>
      <w:r w:rsidR="00394DAA" w:rsidRPr="00922EC7">
        <w:rPr>
          <w:color w:val="000000"/>
          <w:szCs w:val="22"/>
          <w:lang w:val="sr-Latn-ME"/>
        </w:rPr>
        <w:t>čuvati na temperatur</w:t>
      </w:r>
      <w:r w:rsidR="00FD5AA1" w:rsidRPr="00922EC7">
        <w:rPr>
          <w:color w:val="000000"/>
          <w:szCs w:val="22"/>
          <w:lang w:val="sr-Latn-ME"/>
        </w:rPr>
        <w:t>i</w:t>
      </w:r>
      <w:r w:rsidR="00394DAA" w:rsidRPr="00922EC7">
        <w:rPr>
          <w:color w:val="000000"/>
          <w:szCs w:val="22"/>
          <w:lang w:val="sr-Latn-ME"/>
        </w:rPr>
        <w:t xml:space="preserve"> do 25</w:t>
      </w:r>
      <w:r w:rsidR="000519F4" w:rsidRPr="00922EC7">
        <w:rPr>
          <w:color w:val="000000"/>
          <w:szCs w:val="22"/>
          <w:lang w:val="sr-Latn-ME"/>
        </w:rPr>
        <w:t>⁰</w:t>
      </w:r>
      <w:r w:rsidR="00FD5AA1" w:rsidRPr="00922EC7">
        <w:rPr>
          <w:color w:val="000000"/>
          <w:szCs w:val="22"/>
          <w:lang w:val="sr-Latn-ME"/>
        </w:rPr>
        <w:t>C.</w:t>
      </w:r>
    </w:p>
    <w:p w14:paraId="2C472CDA" w14:textId="77777777" w:rsidR="009D4D51" w:rsidRPr="00922EC7" w:rsidRDefault="009D4D51" w:rsidP="00923865">
      <w:pPr>
        <w:rPr>
          <w:szCs w:val="22"/>
          <w:lang w:val="sr-Latn-ME"/>
        </w:rPr>
      </w:pPr>
    </w:p>
    <w:p w14:paraId="64D4BBF1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6.5. </w:t>
      </w:r>
      <w:r w:rsidRPr="00922EC7">
        <w:rPr>
          <w:b/>
          <w:bCs/>
          <w:szCs w:val="22"/>
          <w:lang w:val="sr-Latn-ME"/>
        </w:rPr>
        <w:tab/>
        <w:t xml:space="preserve">Vrsta i sadržaj pakovanja </w:t>
      </w:r>
    </w:p>
    <w:p w14:paraId="1906BA31" w14:textId="6D01C245" w:rsidR="00CE09F3" w:rsidRPr="00922EC7" w:rsidRDefault="00CE09F3" w:rsidP="00923865">
      <w:pPr>
        <w:rPr>
          <w:szCs w:val="22"/>
          <w:lang w:val="sr-Latn-ME"/>
        </w:rPr>
      </w:pPr>
    </w:p>
    <w:p w14:paraId="7786CF78" w14:textId="6A5EA235" w:rsidR="00CA3C12" w:rsidRPr="00922EC7" w:rsidRDefault="00062217" w:rsidP="00923865">
      <w:p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 xml:space="preserve">Unutrašnje pakovanje je </w:t>
      </w:r>
      <w:r w:rsidR="009D4D51" w:rsidRPr="00922EC7">
        <w:rPr>
          <w:color w:val="000000"/>
          <w:szCs w:val="22"/>
          <w:lang w:val="sr-Latn-ME"/>
        </w:rPr>
        <w:t>PVC/PVDC</w:t>
      </w:r>
      <w:r w:rsidRPr="00922EC7">
        <w:rPr>
          <w:color w:val="000000"/>
          <w:szCs w:val="22"/>
          <w:lang w:val="sr-Latn-ME"/>
        </w:rPr>
        <w:t>-Al</w:t>
      </w:r>
      <w:r w:rsidR="009D4D51" w:rsidRPr="00922EC7">
        <w:rPr>
          <w:color w:val="000000"/>
          <w:szCs w:val="22"/>
          <w:lang w:val="sr-Latn-ME"/>
        </w:rPr>
        <w:t xml:space="preserve"> </w:t>
      </w:r>
      <w:proofErr w:type="spellStart"/>
      <w:r w:rsidRPr="00922EC7">
        <w:rPr>
          <w:color w:val="000000"/>
          <w:szCs w:val="22"/>
          <w:lang w:val="sr-Latn-ME"/>
        </w:rPr>
        <w:t>b</w:t>
      </w:r>
      <w:r w:rsidR="009D4D51" w:rsidRPr="00922EC7">
        <w:rPr>
          <w:color w:val="000000"/>
          <w:szCs w:val="22"/>
          <w:lang w:val="sr-Latn-ME"/>
        </w:rPr>
        <w:t>lister</w:t>
      </w:r>
      <w:proofErr w:type="spellEnd"/>
      <w:r w:rsidRPr="00922EC7">
        <w:rPr>
          <w:color w:val="000000"/>
          <w:szCs w:val="22"/>
          <w:lang w:val="sr-Latn-ME"/>
        </w:rPr>
        <w:t xml:space="preserve"> sa 10 tableta sa produženim oslobađanjem</w:t>
      </w:r>
      <w:r w:rsidR="009D4D51" w:rsidRPr="00922EC7">
        <w:rPr>
          <w:color w:val="000000"/>
          <w:szCs w:val="22"/>
          <w:lang w:val="sr-Latn-ME"/>
        </w:rPr>
        <w:t>.</w:t>
      </w:r>
    </w:p>
    <w:p w14:paraId="22DA7684" w14:textId="43629C71" w:rsidR="00062217" w:rsidRPr="00922EC7" w:rsidRDefault="00062217" w:rsidP="00923865">
      <w:pPr>
        <w:rPr>
          <w:color w:val="000000"/>
          <w:szCs w:val="22"/>
          <w:lang w:val="sr-Latn-ME"/>
        </w:rPr>
      </w:pPr>
      <w:r w:rsidRPr="00922EC7">
        <w:rPr>
          <w:color w:val="000000"/>
          <w:szCs w:val="22"/>
          <w:lang w:val="sr-Latn-ME"/>
        </w:rPr>
        <w:t xml:space="preserve">Spoljašnje pakovanje je </w:t>
      </w:r>
      <w:proofErr w:type="spellStart"/>
      <w:r w:rsidRPr="00922EC7">
        <w:rPr>
          <w:color w:val="000000"/>
          <w:szCs w:val="22"/>
          <w:lang w:val="sr-Latn-ME"/>
        </w:rPr>
        <w:t>složiva</w:t>
      </w:r>
      <w:proofErr w:type="spellEnd"/>
      <w:r w:rsidRPr="00922EC7">
        <w:rPr>
          <w:color w:val="000000"/>
          <w:szCs w:val="22"/>
          <w:lang w:val="sr-Latn-ME"/>
        </w:rPr>
        <w:t xml:space="preserve"> kartonska kutija u kojoj se nalaze 3 </w:t>
      </w:r>
      <w:proofErr w:type="spellStart"/>
      <w:r w:rsidRPr="00922EC7">
        <w:rPr>
          <w:color w:val="000000"/>
          <w:szCs w:val="22"/>
          <w:lang w:val="sr-Latn-ME"/>
        </w:rPr>
        <w:t>blistera</w:t>
      </w:r>
      <w:proofErr w:type="spellEnd"/>
      <w:r w:rsidRPr="00922EC7">
        <w:rPr>
          <w:color w:val="000000"/>
          <w:szCs w:val="22"/>
          <w:lang w:val="sr-Latn-ME"/>
        </w:rPr>
        <w:t xml:space="preserve"> sa po 10 tableta (ukupno 30 tableta sa produženim oslobađanjem) i Uputstvo za lijek.</w:t>
      </w:r>
    </w:p>
    <w:p w14:paraId="20AB5E62" w14:textId="77777777" w:rsidR="009D4D51" w:rsidRPr="00922EC7" w:rsidRDefault="009D4D51" w:rsidP="00923865">
      <w:pPr>
        <w:rPr>
          <w:szCs w:val="22"/>
          <w:lang w:val="sr-Latn-ME"/>
        </w:rPr>
      </w:pPr>
    </w:p>
    <w:p w14:paraId="3B938A02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6.6. </w:t>
      </w:r>
      <w:r w:rsidRPr="00922EC7">
        <w:rPr>
          <w:b/>
          <w:bCs/>
          <w:szCs w:val="22"/>
          <w:lang w:val="sr-Latn-ME"/>
        </w:rPr>
        <w:tab/>
      </w:r>
      <w:r w:rsidRPr="00922EC7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922EC7">
        <w:rPr>
          <w:b/>
          <w:bCs/>
          <w:szCs w:val="22"/>
          <w:lang w:val="sr-Latn-ME"/>
        </w:rPr>
        <w:t xml:space="preserve"> (i druga uputstva za rukovanje lijekom) </w:t>
      </w:r>
    </w:p>
    <w:p w14:paraId="1906BA33" w14:textId="028C5CA4" w:rsidR="00CE09F3" w:rsidRPr="00922EC7" w:rsidRDefault="00CE09F3" w:rsidP="00923865">
      <w:pPr>
        <w:rPr>
          <w:szCs w:val="22"/>
          <w:lang w:val="sr-Latn-ME"/>
        </w:rPr>
      </w:pPr>
    </w:p>
    <w:p w14:paraId="5DCABC91" w14:textId="0D051D8A" w:rsidR="009D4D51" w:rsidRPr="00922EC7" w:rsidRDefault="009D4D51" w:rsidP="00923865">
      <w:pPr>
        <w:rPr>
          <w:b/>
          <w:szCs w:val="22"/>
          <w:lang w:val="sr-Latn-ME"/>
        </w:rPr>
      </w:pPr>
      <w:r w:rsidRPr="00922EC7">
        <w:rPr>
          <w:szCs w:val="22"/>
          <w:lang w:val="sr-Latn-ME"/>
        </w:rPr>
        <w:t xml:space="preserve">Svu neiskorišćenu količinu </w:t>
      </w:r>
      <w:r w:rsidR="00191CDC" w:rsidRPr="00922EC7">
        <w:rPr>
          <w:szCs w:val="22"/>
          <w:lang w:val="sr-Latn-ME"/>
        </w:rPr>
        <w:t>lijek</w:t>
      </w:r>
      <w:r w:rsidRPr="00922EC7">
        <w:rPr>
          <w:szCs w:val="22"/>
          <w:lang w:val="sr-Latn-ME"/>
        </w:rPr>
        <w:t>a ili otpadnog materijala nakon njegove upotrebe treba ukloniti u skladu sa važećim propisima.</w:t>
      </w:r>
    </w:p>
    <w:p w14:paraId="1906BA34" w14:textId="318E3D49" w:rsidR="00CE09F3" w:rsidRPr="00922EC7" w:rsidRDefault="00CE09F3" w:rsidP="00923865">
      <w:pPr>
        <w:rPr>
          <w:szCs w:val="22"/>
          <w:lang w:val="sr-Latn-ME"/>
        </w:rPr>
      </w:pPr>
    </w:p>
    <w:p w14:paraId="38D1EB44" w14:textId="77777777" w:rsidR="00062217" w:rsidRPr="00922EC7" w:rsidRDefault="00062217" w:rsidP="00923865">
      <w:pPr>
        <w:rPr>
          <w:szCs w:val="22"/>
          <w:lang w:val="sr-Latn-ME"/>
        </w:rPr>
      </w:pPr>
    </w:p>
    <w:p w14:paraId="367308C0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7. </w:t>
      </w:r>
      <w:r w:rsidRPr="00922EC7">
        <w:rPr>
          <w:b/>
          <w:bCs/>
          <w:szCs w:val="22"/>
          <w:lang w:val="sr-Latn-ME"/>
        </w:rPr>
        <w:tab/>
        <w:t xml:space="preserve">NOSILAC DOZVOLE </w:t>
      </w:r>
    </w:p>
    <w:p w14:paraId="2962E714" w14:textId="77777777" w:rsidR="00062217" w:rsidRPr="00922EC7" w:rsidRDefault="00062217" w:rsidP="00CA3C12">
      <w:pPr>
        <w:tabs>
          <w:tab w:val="left" w:pos="1080"/>
        </w:tabs>
        <w:rPr>
          <w:szCs w:val="22"/>
          <w:lang w:val="sr-Latn-ME"/>
        </w:rPr>
      </w:pPr>
    </w:p>
    <w:p w14:paraId="5B0E90C4" w14:textId="320BAFD1" w:rsidR="00CA3C12" w:rsidRPr="00922EC7" w:rsidRDefault="00B436D5" w:rsidP="00CA3C12">
      <w:pPr>
        <w:tabs>
          <w:tab w:val="left" w:pos="1080"/>
        </w:tabs>
        <w:rPr>
          <w:szCs w:val="22"/>
          <w:lang w:val="sr-Latn-ME"/>
        </w:rPr>
      </w:pPr>
      <w:r w:rsidRPr="00922EC7">
        <w:rPr>
          <w:szCs w:val="22"/>
          <w:lang w:val="sr-Latn-ME"/>
        </w:rPr>
        <w:t>Hemofarm</w:t>
      </w:r>
      <w:r w:rsidR="00CA3C12" w:rsidRPr="00922EC7">
        <w:rPr>
          <w:szCs w:val="22"/>
          <w:lang w:val="sr-Latn-ME"/>
        </w:rPr>
        <w:t xml:space="preserve"> A.D.</w:t>
      </w:r>
      <w:r w:rsidRPr="00922EC7">
        <w:rPr>
          <w:szCs w:val="22"/>
          <w:lang w:val="sr-Latn-ME"/>
        </w:rPr>
        <w:t xml:space="preserve"> </w:t>
      </w:r>
      <w:r w:rsidR="00B270B3" w:rsidRPr="00922EC7">
        <w:rPr>
          <w:szCs w:val="22"/>
          <w:lang w:val="sr-Latn-ME"/>
        </w:rPr>
        <w:t>Vršac PJ Podgorica</w:t>
      </w:r>
    </w:p>
    <w:p w14:paraId="1906BA36" w14:textId="246EAE79" w:rsidR="00CE09F3" w:rsidRPr="00922EC7" w:rsidRDefault="00B270B3" w:rsidP="00CA3C12">
      <w:pPr>
        <w:tabs>
          <w:tab w:val="left" w:pos="1080"/>
        </w:tabs>
        <w:rPr>
          <w:szCs w:val="22"/>
          <w:lang w:val="sr-Latn-ME"/>
        </w:rPr>
      </w:pPr>
      <w:r w:rsidRPr="00922EC7">
        <w:rPr>
          <w:szCs w:val="22"/>
          <w:lang w:val="sr-Latn-ME"/>
        </w:rPr>
        <w:t>8 marta 55A,</w:t>
      </w:r>
      <w:r w:rsidR="00B436D5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Podgorica,</w:t>
      </w:r>
      <w:r w:rsidR="00B436D5" w:rsidRPr="00922EC7">
        <w:rPr>
          <w:szCs w:val="22"/>
          <w:lang w:val="sr-Latn-ME"/>
        </w:rPr>
        <w:t xml:space="preserve"> </w:t>
      </w:r>
      <w:r w:rsidRPr="00922EC7">
        <w:rPr>
          <w:szCs w:val="22"/>
          <w:lang w:val="sr-Latn-ME"/>
        </w:rPr>
        <w:t>Crna Gora</w:t>
      </w:r>
    </w:p>
    <w:p w14:paraId="45A051CF" w14:textId="04B0C02F" w:rsidR="009F4744" w:rsidRPr="00922EC7" w:rsidRDefault="009F4744" w:rsidP="00CA3C12">
      <w:pPr>
        <w:tabs>
          <w:tab w:val="left" w:pos="1080"/>
        </w:tabs>
        <w:rPr>
          <w:szCs w:val="22"/>
          <w:lang w:val="sr-Latn-ME"/>
        </w:rPr>
      </w:pPr>
    </w:p>
    <w:p w14:paraId="0BC98526" w14:textId="77777777" w:rsidR="00062217" w:rsidRPr="00922EC7" w:rsidRDefault="00062217" w:rsidP="00CA3C12">
      <w:pPr>
        <w:tabs>
          <w:tab w:val="left" w:pos="1080"/>
        </w:tabs>
        <w:rPr>
          <w:szCs w:val="22"/>
          <w:lang w:val="sr-Latn-ME"/>
        </w:rPr>
      </w:pPr>
    </w:p>
    <w:p w14:paraId="472EA231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8. </w:t>
      </w:r>
      <w:r w:rsidRPr="00922EC7">
        <w:rPr>
          <w:b/>
          <w:bCs/>
          <w:szCs w:val="22"/>
          <w:lang w:val="sr-Latn-ME"/>
        </w:rPr>
        <w:tab/>
        <w:t>BROJ DOZVOLE ZA STAVLJANJE LIJEKA U PROMET</w:t>
      </w:r>
    </w:p>
    <w:p w14:paraId="7F9057F1" w14:textId="77777777" w:rsidR="009F4744" w:rsidRPr="00922EC7" w:rsidRDefault="009F4744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6D9694DF" w14:textId="14B1D3CC" w:rsidR="00B436D5" w:rsidRPr="00922EC7" w:rsidRDefault="00B436D5" w:rsidP="00B436D5">
      <w:pPr>
        <w:rPr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XR, 500 mg</w:t>
      </w:r>
      <w:r w:rsidRPr="00922EC7">
        <w:rPr>
          <w:i/>
          <w:szCs w:val="22"/>
          <w:lang w:val="sr-Latn-ME"/>
        </w:rPr>
        <w:t>, tableta sa produženim oslobađanjem</w:t>
      </w:r>
      <w:r w:rsidR="00922EC7" w:rsidRPr="00922EC7">
        <w:rPr>
          <w:i/>
          <w:szCs w:val="22"/>
          <w:lang w:val="sr-Latn-ME"/>
        </w:rPr>
        <w:t xml:space="preserve">: </w:t>
      </w:r>
      <w:r w:rsidR="00922EC7" w:rsidRPr="00922EC7">
        <w:rPr>
          <w:szCs w:val="22"/>
          <w:lang w:val="sr-Latn-ME"/>
        </w:rPr>
        <w:t>2030/25/386 - 3838</w:t>
      </w:r>
    </w:p>
    <w:p w14:paraId="7F219BDE" w14:textId="77777777" w:rsidR="00B436D5" w:rsidRPr="00922EC7" w:rsidRDefault="00B436D5" w:rsidP="00B436D5">
      <w:pPr>
        <w:rPr>
          <w:szCs w:val="22"/>
          <w:lang w:val="sr-Latn-ME"/>
        </w:rPr>
      </w:pPr>
    </w:p>
    <w:p w14:paraId="3D55AE63" w14:textId="5791497D" w:rsidR="00B436D5" w:rsidRPr="00922EC7" w:rsidRDefault="00B436D5" w:rsidP="00B436D5">
      <w:pPr>
        <w:rPr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XR, 750 mg</w:t>
      </w:r>
      <w:r w:rsidRPr="00922EC7">
        <w:rPr>
          <w:i/>
          <w:szCs w:val="22"/>
          <w:lang w:val="sr-Latn-ME"/>
        </w:rPr>
        <w:t xml:space="preserve">, </w:t>
      </w:r>
      <w:r w:rsidRPr="00922EC7">
        <w:rPr>
          <w:i/>
          <w:szCs w:val="22"/>
          <w:lang w:val="sr-Latn-ME"/>
        </w:rPr>
        <w:t>tableta sa produženim oslobađanjem</w:t>
      </w:r>
      <w:r w:rsidR="00922EC7" w:rsidRPr="00922EC7">
        <w:rPr>
          <w:i/>
          <w:szCs w:val="22"/>
          <w:lang w:val="sr-Latn-ME"/>
        </w:rPr>
        <w:t xml:space="preserve">: </w:t>
      </w:r>
      <w:r w:rsidR="00922EC7" w:rsidRPr="00922EC7">
        <w:rPr>
          <w:szCs w:val="22"/>
          <w:lang w:val="sr-Latn-ME"/>
        </w:rPr>
        <w:t>2030/25/387 - 3839</w:t>
      </w:r>
    </w:p>
    <w:p w14:paraId="1B0FEBF3" w14:textId="21B5FBB8" w:rsidR="00B436D5" w:rsidRPr="00922EC7" w:rsidRDefault="00B436D5" w:rsidP="00B436D5">
      <w:pPr>
        <w:rPr>
          <w:i/>
          <w:szCs w:val="22"/>
          <w:lang w:val="sr-Latn-ME"/>
        </w:rPr>
      </w:pPr>
      <w:proofErr w:type="spellStart"/>
      <w:r w:rsidRPr="00922EC7">
        <w:rPr>
          <w:i/>
          <w:szCs w:val="22"/>
          <w:lang w:val="sr-Latn-ME"/>
        </w:rPr>
        <w:t>Gluformin</w:t>
      </w:r>
      <w:proofErr w:type="spellEnd"/>
      <w:r w:rsidRPr="00922EC7">
        <w:rPr>
          <w:i/>
          <w:szCs w:val="22"/>
          <w:lang w:val="sr-Latn-ME"/>
        </w:rPr>
        <w:t xml:space="preserve"> XR, 1000 mg</w:t>
      </w:r>
      <w:r w:rsidR="00922EC7" w:rsidRPr="00922EC7">
        <w:rPr>
          <w:i/>
          <w:szCs w:val="22"/>
          <w:lang w:val="sr-Latn-ME"/>
        </w:rPr>
        <w:t xml:space="preserve">, </w:t>
      </w:r>
      <w:r w:rsidR="00922EC7" w:rsidRPr="00922EC7">
        <w:rPr>
          <w:i/>
          <w:szCs w:val="22"/>
          <w:lang w:val="sr-Latn-ME"/>
        </w:rPr>
        <w:t>tableta sa produženim oslobađanjem</w:t>
      </w:r>
      <w:r w:rsidR="00922EC7" w:rsidRPr="00922EC7">
        <w:rPr>
          <w:i/>
          <w:szCs w:val="22"/>
          <w:lang w:val="sr-Latn-ME"/>
        </w:rPr>
        <w:t xml:space="preserve">: </w:t>
      </w:r>
      <w:r w:rsidR="00922EC7" w:rsidRPr="00922EC7">
        <w:rPr>
          <w:szCs w:val="22"/>
          <w:lang w:val="sr-Latn-ME"/>
        </w:rPr>
        <w:t>2030/25/388 - 3840</w:t>
      </w:r>
    </w:p>
    <w:p w14:paraId="5F8AC3D7" w14:textId="675A7749" w:rsidR="009F4744" w:rsidRPr="00922EC7" w:rsidRDefault="009F4744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149F0D61" w14:textId="77777777" w:rsidR="00922EC7" w:rsidRPr="00922EC7" w:rsidRDefault="00922EC7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5DFF5963" w14:textId="77777777" w:rsidR="000519F4" w:rsidRPr="00922EC7" w:rsidRDefault="000519F4" w:rsidP="000519F4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9. </w:t>
      </w:r>
      <w:r w:rsidRPr="00922EC7">
        <w:rPr>
          <w:b/>
          <w:bCs/>
          <w:szCs w:val="22"/>
          <w:lang w:val="sr-Latn-ME"/>
        </w:rPr>
        <w:tab/>
        <w:t>DATUM PRVE DOZVOLE/OBNOVE DOZVOLE ZA STAVLJANJE LIJEKA U PROMET</w:t>
      </w:r>
    </w:p>
    <w:p w14:paraId="21DD311A" w14:textId="3E5580D6" w:rsidR="009F4744" w:rsidRPr="00922EC7" w:rsidRDefault="009F4744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713C6908" w14:textId="042AD3BD" w:rsidR="00922EC7" w:rsidRPr="00922EC7" w:rsidRDefault="00922EC7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922EC7">
        <w:rPr>
          <w:szCs w:val="22"/>
          <w:lang w:val="sr-Latn-ME"/>
        </w:rPr>
        <w:t>28.01.2025. godine</w:t>
      </w:r>
    </w:p>
    <w:p w14:paraId="3DB16745" w14:textId="41BAF9A3" w:rsidR="009F4744" w:rsidRPr="00922EC7" w:rsidRDefault="009F4744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3D07AB7F" w14:textId="77777777" w:rsidR="00922EC7" w:rsidRPr="00922EC7" w:rsidRDefault="00922EC7" w:rsidP="009F4744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</w:p>
    <w:p w14:paraId="1906BA37" w14:textId="2F5799CF" w:rsidR="00CE09F3" w:rsidRPr="00922EC7" w:rsidRDefault="000519F4" w:rsidP="00922EC7">
      <w:pPr>
        <w:tabs>
          <w:tab w:val="left" w:pos="5475"/>
        </w:tabs>
        <w:rPr>
          <w:b/>
          <w:bCs/>
          <w:szCs w:val="22"/>
          <w:lang w:val="sr-Latn-ME"/>
        </w:rPr>
      </w:pPr>
      <w:r w:rsidRPr="00922EC7">
        <w:rPr>
          <w:b/>
          <w:bCs/>
          <w:szCs w:val="22"/>
          <w:lang w:val="sr-Latn-ME"/>
        </w:rPr>
        <w:t xml:space="preserve">10.  DATUM REVIZIJE TEKSTA </w:t>
      </w:r>
      <w:r w:rsidR="00922EC7" w:rsidRPr="00922EC7">
        <w:rPr>
          <w:b/>
          <w:bCs/>
          <w:szCs w:val="22"/>
          <w:lang w:val="sr-Latn-ME"/>
        </w:rPr>
        <w:tab/>
      </w:r>
    </w:p>
    <w:p w14:paraId="13420B91" w14:textId="67E45D1C" w:rsidR="00922EC7" w:rsidRPr="00922EC7" w:rsidRDefault="00922EC7" w:rsidP="00923865">
      <w:pPr>
        <w:rPr>
          <w:b/>
          <w:bCs/>
          <w:szCs w:val="22"/>
          <w:lang w:val="sr-Latn-ME"/>
        </w:rPr>
      </w:pPr>
    </w:p>
    <w:p w14:paraId="3ED4D9E2" w14:textId="2CE3B450" w:rsidR="00922EC7" w:rsidRPr="00922EC7" w:rsidRDefault="00922EC7" w:rsidP="00923865">
      <w:pPr>
        <w:rPr>
          <w:szCs w:val="22"/>
          <w:lang w:val="sr-Latn-ME"/>
        </w:rPr>
      </w:pPr>
      <w:r w:rsidRPr="00922EC7">
        <w:rPr>
          <w:bCs/>
          <w:szCs w:val="22"/>
          <w:lang w:val="sr-Latn-ME"/>
        </w:rPr>
        <w:t>Januar, 2025. godine</w:t>
      </w:r>
      <w:bookmarkEnd w:id="0"/>
    </w:p>
    <w:sectPr w:rsidR="00922EC7" w:rsidRPr="00922EC7" w:rsidSect="007E4CB1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457A9" w14:textId="77777777" w:rsidR="00B7690D" w:rsidRDefault="00B7690D">
      <w:r>
        <w:separator/>
      </w:r>
    </w:p>
  </w:endnote>
  <w:endnote w:type="continuationSeparator" w:id="0">
    <w:p w14:paraId="3A93F1C7" w14:textId="77777777" w:rsidR="00B7690D" w:rsidRDefault="00B7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6BA4E" w14:textId="77777777" w:rsidR="009C0A54" w:rsidRDefault="009C0A54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906BA4F" w14:textId="77777777" w:rsidR="009C0A54" w:rsidRDefault="009C0A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6BA51" w14:textId="23E1E949" w:rsidR="009C0A54" w:rsidRPr="00C536C2" w:rsidRDefault="00B7690D" w:rsidP="00683D74">
    <w:pPr>
      <w:pStyle w:val="Footer"/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0519F4" w:rsidRPr="00B23F69">
              <w:rPr>
                <w:szCs w:val="22"/>
              </w:rPr>
              <w:fldChar w:fldCharType="begin"/>
            </w:r>
            <w:r w:rsidR="000519F4" w:rsidRPr="00B23F69">
              <w:rPr>
                <w:szCs w:val="22"/>
              </w:rPr>
              <w:instrText xml:space="preserve"> PAGE </w:instrText>
            </w:r>
            <w:r w:rsidR="000519F4" w:rsidRPr="00B23F69">
              <w:rPr>
                <w:szCs w:val="22"/>
              </w:rPr>
              <w:fldChar w:fldCharType="separate"/>
            </w:r>
            <w:r w:rsidR="00CC569E">
              <w:rPr>
                <w:noProof/>
                <w:szCs w:val="22"/>
              </w:rPr>
              <w:t>11</w:t>
            </w:r>
            <w:r w:rsidR="000519F4" w:rsidRPr="00B23F69">
              <w:rPr>
                <w:szCs w:val="22"/>
              </w:rPr>
              <w:fldChar w:fldCharType="end"/>
            </w:r>
            <w:r w:rsidR="000519F4" w:rsidRPr="00B23F69">
              <w:rPr>
                <w:szCs w:val="22"/>
              </w:rPr>
              <w:t xml:space="preserve"> / </w:t>
            </w:r>
            <w:r w:rsidR="000519F4" w:rsidRPr="00B23F69">
              <w:rPr>
                <w:szCs w:val="22"/>
              </w:rPr>
              <w:fldChar w:fldCharType="begin"/>
            </w:r>
            <w:r w:rsidR="000519F4" w:rsidRPr="00B23F69">
              <w:rPr>
                <w:szCs w:val="22"/>
              </w:rPr>
              <w:instrText xml:space="preserve"> NUMPAGES </w:instrText>
            </w:r>
            <w:r w:rsidR="000519F4" w:rsidRPr="00B23F69">
              <w:rPr>
                <w:szCs w:val="22"/>
              </w:rPr>
              <w:fldChar w:fldCharType="separate"/>
            </w:r>
            <w:r w:rsidR="00CC569E">
              <w:rPr>
                <w:noProof/>
                <w:szCs w:val="22"/>
              </w:rPr>
              <w:t>11</w:t>
            </w:r>
            <w:r w:rsidR="000519F4" w:rsidRPr="00B23F69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9FB70" w14:textId="77777777" w:rsidR="00B7690D" w:rsidRDefault="00B7690D">
      <w:r>
        <w:separator/>
      </w:r>
    </w:p>
  </w:footnote>
  <w:footnote w:type="continuationSeparator" w:id="0">
    <w:p w14:paraId="5A251BE9" w14:textId="77777777" w:rsidR="00B7690D" w:rsidRDefault="00B7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787"/>
    <w:multiLevelType w:val="hybridMultilevel"/>
    <w:tmpl w:val="79E83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3ED"/>
    <w:multiLevelType w:val="hybridMultilevel"/>
    <w:tmpl w:val="FD9A949A"/>
    <w:lvl w:ilvl="0" w:tplc="6F707A02">
      <w:start w:val="1000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4E1A"/>
    <w:multiLevelType w:val="hybridMultilevel"/>
    <w:tmpl w:val="A378D928"/>
    <w:lvl w:ilvl="0" w:tplc="BF444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4" w15:restartNumberingAfterBreak="0">
    <w:nsid w:val="0A50638A"/>
    <w:multiLevelType w:val="hybridMultilevel"/>
    <w:tmpl w:val="A0C4F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7FD478D"/>
    <w:multiLevelType w:val="hybridMultilevel"/>
    <w:tmpl w:val="66E49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7683"/>
    <w:multiLevelType w:val="hybridMultilevel"/>
    <w:tmpl w:val="BBE2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71E2E"/>
    <w:multiLevelType w:val="hybridMultilevel"/>
    <w:tmpl w:val="188C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C176B"/>
    <w:multiLevelType w:val="hybridMultilevel"/>
    <w:tmpl w:val="CEB8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75214"/>
    <w:multiLevelType w:val="hybridMultilevel"/>
    <w:tmpl w:val="397E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77E1D"/>
    <w:multiLevelType w:val="hybridMultilevel"/>
    <w:tmpl w:val="5BC2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7037D"/>
    <w:multiLevelType w:val="hybridMultilevel"/>
    <w:tmpl w:val="098CB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0970"/>
    <w:multiLevelType w:val="hybridMultilevel"/>
    <w:tmpl w:val="65F8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70992"/>
    <w:multiLevelType w:val="hybridMultilevel"/>
    <w:tmpl w:val="EAF2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7"/>
    </w:lvlOverride>
  </w:num>
  <w:num w:numId="3">
    <w:abstractNumId w:val="15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17801"/>
    <w:rsid w:val="0002639D"/>
    <w:rsid w:val="000519F4"/>
    <w:rsid w:val="0005798D"/>
    <w:rsid w:val="00062217"/>
    <w:rsid w:val="00064273"/>
    <w:rsid w:val="00083BE0"/>
    <w:rsid w:val="00095FB6"/>
    <w:rsid w:val="0009758B"/>
    <w:rsid w:val="000A0F4A"/>
    <w:rsid w:val="000D0130"/>
    <w:rsid w:val="000D5631"/>
    <w:rsid w:val="000E506E"/>
    <w:rsid w:val="000E75C0"/>
    <w:rsid w:val="000F0584"/>
    <w:rsid w:val="000F4284"/>
    <w:rsid w:val="001058CF"/>
    <w:rsid w:val="0012686A"/>
    <w:rsid w:val="00141639"/>
    <w:rsid w:val="0014180A"/>
    <w:rsid w:val="001427C2"/>
    <w:rsid w:val="00173D18"/>
    <w:rsid w:val="00175772"/>
    <w:rsid w:val="00175A7E"/>
    <w:rsid w:val="00182F2C"/>
    <w:rsid w:val="0018601D"/>
    <w:rsid w:val="00191CDC"/>
    <w:rsid w:val="001A7C5F"/>
    <w:rsid w:val="001B0650"/>
    <w:rsid w:val="001B133D"/>
    <w:rsid w:val="001B706A"/>
    <w:rsid w:val="001D10C9"/>
    <w:rsid w:val="001E0A07"/>
    <w:rsid w:val="001E6145"/>
    <w:rsid w:val="001F2D4E"/>
    <w:rsid w:val="001F39B6"/>
    <w:rsid w:val="00210D2F"/>
    <w:rsid w:val="00210EBF"/>
    <w:rsid w:val="002135F5"/>
    <w:rsid w:val="00217B91"/>
    <w:rsid w:val="00220937"/>
    <w:rsid w:val="0022218E"/>
    <w:rsid w:val="0022223A"/>
    <w:rsid w:val="0022694F"/>
    <w:rsid w:val="0024132F"/>
    <w:rsid w:val="00242DCD"/>
    <w:rsid w:val="00245B7B"/>
    <w:rsid w:val="00247C5C"/>
    <w:rsid w:val="00273BE0"/>
    <w:rsid w:val="0027560A"/>
    <w:rsid w:val="00286CD8"/>
    <w:rsid w:val="0028767F"/>
    <w:rsid w:val="002A1307"/>
    <w:rsid w:val="002B418A"/>
    <w:rsid w:val="002B6F6A"/>
    <w:rsid w:val="002C0FBF"/>
    <w:rsid w:val="002D65BA"/>
    <w:rsid w:val="002F21D0"/>
    <w:rsid w:val="002F5E2F"/>
    <w:rsid w:val="002F6B65"/>
    <w:rsid w:val="003031AB"/>
    <w:rsid w:val="00310F02"/>
    <w:rsid w:val="00316FC0"/>
    <w:rsid w:val="003260D2"/>
    <w:rsid w:val="00327085"/>
    <w:rsid w:val="0033361E"/>
    <w:rsid w:val="003452C0"/>
    <w:rsid w:val="00353AB9"/>
    <w:rsid w:val="00357E1D"/>
    <w:rsid w:val="00364B7E"/>
    <w:rsid w:val="003662E7"/>
    <w:rsid w:val="00370583"/>
    <w:rsid w:val="00383195"/>
    <w:rsid w:val="00393A86"/>
    <w:rsid w:val="00394DAA"/>
    <w:rsid w:val="003A2DF8"/>
    <w:rsid w:val="003A4516"/>
    <w:rsid w:val="003B2082"/>
    <w:rsid w:val="003C18A4"/>
    <w:rsid w:val="003D331E"/>
    <w:rsid w:val="003E3EC7"/>
    <w:rsid w:val="003E3FF2"/>
    <w:rsid w:val="003F026E"/>
    <w:rsid w:val="00401B5D"/>
    <w:rsid w:val="00402E44"/>
    <w:rsid w:val="00411F60"/>
    <w:rsid w:val="004123CD"/>
    <w:rsid w:val="004234ED"/>
    <w:rsid w:val="00427D41"/>
    <w:rsid w:val="004610F9"/>
    <w:rsid w:val="00462C33"/>
    <w:rsid w:val="00465F11"/>
    <w:rsid w:val="0047148C"/>
    <w:rsid w:val="00492248"/>
    <w:rsid w:val="00497648"/>
    <w:rsid w:val="004B5A11"/>
    <w:rsid w:val="004B7A50"/>
    <w:rsid w:val="004D230F"/>
    <w:rsid w:val="004E4979"/>
    <w:rsid w:val="004F1FAA"/>
    <w:rsid w:val="00503974"/>
    <w:rsid w:val="0052230B"/>
    <w:rsid w:val="005224EE"/>
    <w:rsid w:val="00525A8A"/>
    <w:rsid w:val="005276F0"/>
    <w:rsid w:val="00530909"/>
    <w:rsid w:val="00537E7D"/>
    <w:rsid w:val="00543291"/>
    <w:rsid w:val="005444A1"/>
    <w:rsid w:val="005456BC"/>
    <w:rsid w:val="00561FFF"/>
    <w:rsid w:val="0056318E"/>
    <w:rsid w:val="00564049"/>
    <w:rsid w:val="0056729B"/>
    <w:rsid w:val="005A6434"/>
    <w:rsid w:val="005B3388"/>
    <w:rsid w:val="005C0945"/>
    <w:rsid w:val="005C3F73"/>
    <w:rsid w:val="005C7891"/>
    <w:rsid w:val="005D337B"/>
    <w:rsid w:val="0060221B"/>
    <w:rsid w:val="00602DCF"/>
    <w:rsid w:val="00603302"/>
    <w:rsid w:val="00604E4F"/>
    <w:rsid w:val="006051AA"/>
    <w:rsid w:val="006054EE"/>
    <w:rsid w:val="006118B6"/>
    <w:rsid w:val="00621136"/>
    <w:rsid w:val="0062146E"/>
    <w:rsid w:val="006270C0"/>
    <w:rsid w:val="00630195"/>
    <w:rsid w:val="00636A8B"/>
    <w:rsid w:val="006559AF"/>
    <w:rsid w:val="00660ED5"/>
    <w:rsid w:val="0067014F"/>
    <w:rsid w:val="00676C7D"/>
    <w:rsid w:val="00683D74"/>
    <w:rsid w:val="00693874"/>
    <w:rsid w:val="00693F46"/>
    <w:rsid w:val="006A6782"/>
    <w:rsid w:val="006B7C86"/>
    <w:rsid w:val="006D0353"/>
    <w:rsid w:val="006D514A"/>
    <w:rsid w:val="006D7433"/>
    <w:rsid w:val="006D7B01"/>
    <w:rsid w:val="006F158F"/>
    <w:rsid w:val="006F1BA7"/>
    <w:rsid w:val="00707E0C"/>
    <w:rsid w:val="0072182D"/>
    <w:rsid w:val="0073050B"/>
    <w:rsid w:val="00734B30"/>
    <w:rsid w:val="00755F66"/>
    <w:rsid w:val="0075617B"/>
    <w:rsid w:val="00764648"/>
    <w:rsid w:val="007672F3"/>
    <w:rsid w:val="00787099"/>
    <w:rsid w:val="007B16C4"/>
    <w:rsid w:val="007C2D7E"/>
    <w:rsid w:val="007D17FD"/>
    <w:rsid w:val="007D2095"/>
    <w:rsid w:val="007D48C5"/>
    <w:rsid w:val="007E06F0"/>
    <w:rsid w:val="007E4CB1"/>
    <w:rsid w:val="007E6A15"/>
    <w:rsid w:val="007E75E2"/>
    <w:rsid w:val="007F36A2"/>
    <w:rsid w:val="00802448"/>
    <w:rsid w:val="00802DFC"/>
    <w:rsid w:val="00813BA2"/>
    <w:rsid w:val="00814781"/>
    <w:rsid w:val="00834DBB"/>
    <w:rsid w:val="00842FFB"/>
    <w:rsid w:val="00844301"/>
    <w:rsid w:val="0086351A"/>
    <w:rsid w:val="00864CA0"/>
    <w:rsid w:val="00874B61"/>
    <w:rsid w:val="008821F0"/>
    <w:rsid w:val="00883DFF"/>
    <w:rsid w:val="008850C0"/>
    <w:rsid w:val="00895BA8"/>
    <w:rsid w:val="008A48B7"/>
    <w:rsid w:val="008A630B"/>
    <w:rsid w:val="008B13F9"/>
    <w:rsid w:val="008B3EB5"/>
    <w:rsid w:val="008C5809"/>
    <w:rsid w:val="008D78C9"/>
    <w:rsid w:val="008E0FC9"/>
    <w:rsid w:val="008F7755"/>
    <w:rsid w:val="00905DC6"/>
    <w:rsid w:val="00913684"/>
    <w:rsid w:val="00922EC7"/>
    <w:rsid w:val="00923865"/>
    <w:rsid w:val="0093016E"/>
    <w:rsid w:val="00934B4D"/>
    <w:rsid w:val="0094518B"/>
    <w:rsid w:val="00953BC8"/>
    <w:rsid w:val="00955C75"/>
    <w:rsid w:val="009677DF"/>
    <w:rsid w:val="009946F8"/>
    <w:rsid w:val="00996E6B"/>
    <w:rsid w:val="009A1D64"/>
    <w:rsid w:val="009B1292"/>
    <w:rsid w:val="009B2430"/>
    <w:rsid w:val="009B338B"/>
    <w:rsid w:val="009B58AD"/>
    <w:rsid w:val="009B7935"/>
    <w:rsid w:val="009C0A54"/>
    <w:rsid w:val="009C1C1D"/>
    <w:rsid w:val="009C7006"/>
    <w:rsid w:val="009C7BA2"/>
    <w:rsid w:val="009D1161"/>
    <w:rsid w:val="009D4D51"/>
    <w:rsid w:val="009D667B"/>
    <w:rsid w:val="009E325D"/>
    <w:rsid w:val="009F4449"/>
    <w:rsid w:val="009F4744"/>
    <w:rsid w:val="00A02252"/>
    <w:rsid w:val="00A127F1"/>
    <w:rsid w:val="00A27130"/>
    <w:rsid w:val="00A7147C"/>
    <w:rsid w:val="00A7660B"/>
    <w:rsid w:val="00A82623"/>
    <w:rsid w:val="00A86897"/>
    <w:rsid w:val="00A95733"/>
    <w:rsid w:val="00AB107C"/>
    <w:rsid w:val="00AB5465"/>
    <w:rsid w:val="00AB7D8A"/>
    <w:rsid w:val="00AD16DD"/>
    <w:rsid w:val="00AD7074"/>
    <w:rsid w:val="00AF334F"/>
    <w:rsid w:val="00AF6EE3"/>
    <w:rsid w:val="00B1067F"/>
    <w:rsid w:val="00B152F2"/>
    <w:rsid w:val="00B2430B"/>
    <w:rsid w:val="00B26FAC"/>
    <w:rsid w:val="00B270B3"/>
    <w:rsid w:val="00B31AA2"/>
    <w:rsid w:val="00B436D5"/>
    <w:rsid w:val="00B5320C"/>
    <w:rsid w:val="00B5791B"/>
    <w:rsid w:val="00B74C0B"/>
    <w:rsid w:val="00B7690D"/>
    <w:rsid w:val="00B8400D"/>
    <w:rsid w:val="00B910A3"/>
    <w:rsid w:val="00B93A37"/>
    <w:rsid w:val="00BA1819"/>
    <w:rsid w:val="00BA5A22"/>
    <w:rsid w:val="00BB17EA"/>
    <w:rsid w:val="00BB55E5"/>
    <w:rsid w:val="00BC2DF6"/>
    <w:rsid w:val="00BD6003"/>
    <w:rsid w:val="00BD725A"/>
    <w:rsid w:val="00BF3750"/>
    <w:rsid w:val="00C06244"/>
    <w:rsid w:val="00C20B5B"/>
    <w:rsid w:val="00C23CB0"/>
    <w:rsid w:val="00C418E2"/>
    <w:rsid w:val="00C52AF8"/>
    <w:rsid w:val="00C536C2"/>
    <w:rsid w:val="00C55F47"/>
    <w:rsid w:val="00C56058"/>
    <w:rsid w:val="00C56E2E"/>
    <w:rsid w:val="00C64850"/>
    <w:rsid w:val="00C64A31"/>
    <w:rsid w:val="00C82E8B"/>
    <w:rsid w:val="00CA3C12"/>
    <w:rsid w:val="00CA4A82"/>
    <w:rsid w:val="00CB24D6"/>
    <w:rsid w:val="00CB5BB8"/>
    <w:rsid w:val="00CC1905"/>
    <w:rsid w:val="00CC22A9"/>
    <w:rsid w:val="00CC4C88"/>
    <w:rsid w:val="00CC569E"/>
    <w:rsid w:val="00CC6EF9"/>
    <w:rsid w:val="00CD0B1F"/>
    <w:rsid w:val="00CD3F96"/>
    <w:rsid w:val="00CE09F3"/>
    <w:rsid w:val="00CE76DA"/>
    <w:rsid w:val="00D04966"/>
    <w:rsid w:val="00D11E94"/>
    <w:rsid w:val="00D30389"/>
    <w:rsid w:val="00D337F6"/>
    <w:rsid w:val="00D354ED"/>
    <w:rsid w:val="00D52CDB"/>
    <w:rsid w:val="00D61710"/>
    <w:rsid w:val="00D61B0C"/>
    <w:rsid w:val="00D6611E"/>
    <w:rsid w:val="00D826B0"/>
    <w:rsid w:val="00D85F37"/>
    <w:rsid w:val="00D91264"/>
    <w:rsid w:val="00DA08C2"/>
    <w:rsid w:val="00DB08D5"/>
    <w:rsid w:val="00DB4534"/>
    <w:rsid w:val="00DC3ECC"/>
    <w:rsid w:val="00DD2A82"/>
    <w:rsid w:val="00DD5316"/>
    <w:rsid w:val="00DE285E"/>
    <w:rsid w:val="00DF46E4"/>
    <w:rsid w:val="00E04856"/>
    <w:rsid w:val="00E47E52"/>
    <w:rsid w:val="00E50CD3"/>
    <w:rsid w:val="00E56089"/>
    <w:rsid w:val="00E87BE1"/>
    <w:rsid w:val="00EA020F"/>
    <w:rsid w:val="00EA1F85"/>
    <w:rsid w:val="00ED4585"/>
    <w:rsid w:val="00ED735F"/>
    <w:rsid w:val="00EE56BE"/>
    <w:rsid w:val="00F11531"/>
    <w:rsid w:val="00F200D1"/>
    <w:rsid w:val="00F42610"/>
    <w:rsid w:val="00F50A23"/>
    <w:rsid w:val="00F50F90"/>
    <w:rsid w:val="00F51BA5"/>
    <w:rsid w:val="00F5775F"/>
    <w:rsid w:val="00F63F24"/>
    <w:rsid w:val="00F84A08"/>
    <w:rsid w:val="00F8769D"/>
    <w:rsid w:val="00F9691B"/>
    <w:rsid w:val="00FB3394"/>
    <w:rsid w:val="00FD5AA1"/>
    <w:rsid w:val="00FF0D13"/>
    <w:rsid w:val="00FF13CD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6B9D4"/>
  <w15:docId w15:val="{A91CE8E5-6916-4459-BC76-30C733DA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5444A1"/>
    <w:pPr>
      <w:ind w:left="720"/>
      <w:contextualSpacing/>
    </w:pPr>
  </w:style>
  <w:style w:type="table" w:styleId="TableGrid">
    <w:name w:val="Table Grid"/>
    <w:basedOn w:val="TableNormal"/>
    <w:rsid w:val="00F5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418A"/>
    <w:rPr>
      <w:sz w:val="24"/>
      <w:szCs w:val="24"/>
    </w:rPr>
  </w:style>
  <w:style w:type="paragraph" w:styleId="Revision">
    <w:name w:val="Revision"/>
    <w:hidden/>
    <w:uiPriority w:val="99"/>
    <w:semiHidden/>
    <w:rsid w:val="007E4CB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8DE65-53EE-42FF-B43E-5AA3C624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A3911-6ACB-43E9-9DAB-F550273DF5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DB904-D495-430D-BF42-05E3B1DCA1B1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4093</Words>
  <Characters>23332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3</cp:revision>
  <cp:lastPrinted>2022-05-26T07:33:00Z</cp:lastPrinted>
  <dcterms:created xsi:type="dcterms:W3CDTF">2025-01-28T07:21:00Z</dcterms:created>
  <dcterms:modified xsi:type="dcterms:W3CDTF">2025-01-28T08:31:00Z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