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88D2C" w14:textId="77777777" w:rsidR="0052721C" w:rsidRPr="00F65520" w:rsidRDefault="0052721C" w:rsidP="001A5518">
      <w:pPr>
        <w:rPr>
          <w:rStyle w:val="Strong"/>
          <w:b w:val="0"/>
          <w:bCs w:val="0"/>
          <w:sz w:val="22"/>
          <w:szCs w:val="22"/>
          <w:lang w:val="sr-Latn-ME"/>
        </w:rPr>
      </w:pPr>
      <w:bookmarkStart w:id="0" w:name="_Hlk104383830"/>
    </w:p>
    <w:bookmarkEnd w:id="0"/>
    <w:p w14:paraId="14E6132F" w14:textId="77777777" w:rsidR="00F91C7B" w:rsidRPr="00F65520" w:rsidRDefault="00F91C7B" w:rsidP="001A5518">
      <w:pPr>
        <w:rPr>
          <w:b/>
          <w:bCs/>
          <w:i/>
          <w:iCs/>
          <w:sz w:val="22"/>
          <w:szCs w:val="22"/>
          <w:u w:val="single"/>
          <w:lang w:val="sr-Latn-ME"/>
        </w:rPr>
      </w:pPr>
    </w:p>
    <w:p w14:paraId="597AA7F2" w14:textId="77777777" w:rsidR="002510A5" w:rsidRPr="00F65520" w:rsidRDefault="002510A5" w:rsidP="002510A5">
      <w:pPr>
        <w:jc w:val="center"/>
        <w:rPr>
          <w:b/>
          <w:bCs/>
          <w:iCs/>
          <w:sz w:val="22"/>
          <w:szCs w:val="22"/>
          <w:u w:val="single"/>
          <w:lang w:val="sr-Latn-ME"/>
        </w:rPr>
      </w:pPr>
      <w:r w:rsidRPr="00F65520">
        <w:rPr>
          <w:b/>
          <w:bCs/>
          <w:iCs/>
          <w:sz w:val="22"/>
          <w:szCs w:val="22"/>
          <w:u w:val="single"/>
          <w:lang w:val="sr-Latn-ME"/>
        </w:rPr>
        <w:t>SAŽETAK KARAKTERISTIKA LIJEKA</w:t>
      </w:r>
    </w:p>
    <w:p w14:paraId="5FA9A5D7" w14:textId="059F2AF9" w:rsidR="00C37FD7" w:rsidRPr="00F65520" w:rsidRDefault="00C37FD7" w:rsidP="00C05DF8">
      <w:pPr>
        <w:tabs>
          <w:tab w:val="left" w:pos="540"/>
          <w:tab w:val="left" w:pos="569"/>
        </w:tabs>
        <w:jc w:val="both"/>
        <w:rPr>
          <w:bCs/>
          <w:i/>
          <w:sz w:val="22"/>
          <w:szCs w:val="22"/>
          <w:lang w:val="sr-Latn-ME"/>
        </w:rPr>
      </w:pPr>
    </w:p>
    <w:p w14:paraId="0A4C1D9F" w14:textId="77777777" w:rsidR="003C17AB" w:rsidRPr="00F65520" w:rsidRDefault="003C17AB" w:rsidP="00F5167F">
      <w:pPr>
        <w:tabs>
          <w:tab w:val="left" w:pos="540"/>
          <w:tab w:val="left" w:pos="569"/>
        </w:tabs>
        <w:rPr>
          <w:sz w:val="22"/>
          <w:szCs w:val="22"/>
          <w:lang w:val="sr-Latn-ME"/>
        </w:rPr>
      </w:pPr>
    </w:p>
    <w:p w14:paraId="2519218C" w14:textId="77777777" w:rsidR="00C37FD7" w:rsidRPr="00F65520" w:rsidRDefault="00C37FD7" w:rsidP="00F5167F">
      <w:pPr>
        <w:tabs>
          <w:tab w:val="left" w:pos="540"/>
          <w:tab w:val="left" w:pos="569"/>
        </w:tabs>
        <w:rPr>
          <w:bCs/>
          <w:sz w:val="22"/>
          <w:szCs w:val="22"/>
          <w:lang w:val="sr-Latn-ME"/>
        </w:rPr>
      </w:pPr>
    </w:p>
    <w:p w14:paraId="5028C7F5" w14:textId="77777777" w:rsidR="00411B4B" w:rsidRPr="00F65520" w:rsidRDefault="00411B4B" w:rsidP="00F5167F">
      <w:pPr>
        <w:tabs>
          <w:tab w:val="left" w:pos="540"/>
          <w:tab w:val="left" w:pos="569"/>
        </w:tabs>
        <w:rPr>
          <w:b/>
          <w:bCs/>
          <w:sz w:val="22"/>
          <w:szCs w:val="22"/>
          <w:lang w:val="sr-Latn-ME"/>
        </w:rPr>
      </w:pPr>
      <w:r w:rsidRPr="00F65520">
        <w:rPr>
          <w:b/>
          <w:bCs/>
          <w:sz w:val="22"/>
          <w:szCs w:val="22"/>
          <w:lang w:val="sr-Latn-ME"/>
        </w:rPr>
        <w:t>1.</w:t>
      </w:r>
      <w:r w:rsidR="00F5167F" w:rsidRPr="00F65520">
        <w:rPr>
          <w:b/>
          <w:bCs/>
          <w:sz w:val="22"/>
          <w:szCs w:val="22"/>
          <w:lang w:val="sr-Latn-ME"/>
        </w:rPr>
        <w:tab/>
      </w:r>
      <w:r w:rsidR="002846DB" w:rsidRPr="00F65520">
        <w:rPr>
          <w:b/>
          <w:bCs/>
          <w:sz w:val="22"/>
          <w:szCs w:val="22"/>
          <w:lang w:val="sr-Latn-ME"/>
        </w:rPr>
        <w:t xml:space="preserve">NAZIV </w:t>
      </w:r>
      <w:r w:rsidRPr="00F65520">
        <w:rPr>
          <w:b/>
          <w:bCs/>
          <w:sz w:val="22"/>
          <w:szCs w:val="22"/>
          <w:lang w:val="sr-Latn-ME"/>
        </w:rPr>
        <w:t>LIJEKA</w:t>
      </w:r>
    </w:p>
    <w:p w14:paraId="478BE283" w14:textId="77777777" w:rsidR="00EC2532" w:rsidRPr="00F65520" w:rsidRDefault="00EC2532">
      <w:pPr>
        <w:rPr>
          <w:sz w:val="22"/>
          <w:szCs w:val="22"/>
          <w:lang w:val="sr-Latn-ME"/>
        </w:rPr>
      </w:pPr>
    </w:p>
    <w:p w14:paraId="5C7D93A1" w14:textId="464058BD" w:rsidR="00107BF7" w:rsidRPr="00F65520" w:rsidRDefault="009325C5" w:rsidP="0035094B">
      <w:pPr>
        <w:jc w:val="both"/>
        <w:rPr>
          <w:iCs/>
          <w:sz w:val="22"/>
          <w:szCs w:val="22"/>
          <w:lang w:val="sr-Latn-ME"/>
        </w:rPr>
      </w:pPr>
      <w:r w:rsidRPr="00F65520">
        <w:rPr>
          <w:iCs/>
          <w:sz w:val="22"/>
          <w:szCs w:val="22"/>
          <w:lang w:val="sr-Latn-ME"/>
        </w:rPr>
        <w:t>Fasenra</w:t>
      </w:r>
      <w:r w:rsidR="00C37FD7" w:rsidRPr="00F65520">
        <w:rPr>
          <w:iCs/>
          <w:sz w:val="22"/>
          <w:szCs w:val="22"/>
          <w:lang w:val="sr-Latn-ME"/>
        </w:rPr>
        <w:t xml:space="preserve">, </w:t>
      </w:r>
      <w:r w:rsidRPr="00F65520">
        <w:rPr>
          <w:iCs/>
          <w:sz w:val="22"/>
          <w:szCs w:val="22"/>
          <w:lang w:val="sr-Latn-ME"/>
        </w:rPr>
        <w:t>30 mg/ml, rastvor za injekciju u napunjenom injekcionom špricu</w:t>
      </w:r>
    </w:p>
    <w:p w14:paraId="2522EB5A" w14:textId="2D993309" w:rsidR="009325C5" w:rsidRPr="00F65520" w:rsidRDefault="009325C5" w:rsidP="0035094B">
      <w:pPr>
        <w:jc w:val="both"/>
        <w:rPr>
          <w:iCs/>
          <w:sz w:val="22"/>
          <w:szCs w:val="22"/>
          <w:lang w:val="sr-Latn-ME"/>
        </w:rPr>
      </w:pPr>
      <w:r w:rsidRPr="00F65520">
        <w:rPr>
          <w:iCs/>
          <w:sz w:val="22"/>
          <w:szCs w:val="22"/>
          <w:lang w:val="sr-Latn-ME"/>
        </w:rPr>
        <w:t>Fasenra, 30 mg/ml, rastvor za injekciju u napunjenom injekcionom penu</w:t>
      </w:r>
    </w:p>
    <w:p w14:paraId="589571BC" w14:textId="4270144F" w:rsidR="000D425A" w:rsidRPr="00F65520" w:rsidRDefault="00DA1CBD" w:rsidP="0035094B">
      <w:pPr>
        <w:tabs>
          <w:tab w:val="left" w:pos="4080"/>
        </w:tabs>
        <w:jc w:val="both"/>
        <w:rPr>
          <w:bCs/>
          <w:sz w:val="22"/>
          <w:szCs w:val="22"/>
          <w:lang w:val="sr-Latn-ME"/>
        </w:rPr>
      </w:pPr>
      <w:r w:rsidRPr="00F65520">
        <w:rPr>
          <w:bCs/>
          <w:sz w:val="22"/>
          <w:szCs w:val="22"/>
          <w:lang w:val="sr-Latn-ME"/>
        </w:rPr>
        <w:tab/>
      </w:r>
    </w:p>
    <w:p w14:paraId="783928DD" w14:textId="0F03128B" w:rsidR="006D20A5" w:rsidRPr="00F65520" w:rsidRDefault="006D20A5" w:rsidP="0035094B">
      <w:pPr>
        <w:jc w:val="both"/>
        <w:rPr>
          <w:sz w:val="22"/>
          <w:szCs w:val="22"/>
          <w:lang w:val="sr-Latn-ME"/>
        </w:rPr>
      </w:pPr>
      <w:r w:rsidRPr="00F65520">
        <w:rPr>
          <w:sz w:val="22"/>
          <w:szCs w:val="22"/>
          <w:lang w:val="sr-Latn-ME"/>
        </w:rPr>
        <w:t>INN:</w:t>
      </w:r>
      <w:r w:rsidR="009325C5" w:rsidRPr="00F65520">
        <w:rPr>
          <w:sz w:val="22"/>
          <w:szCs w:val="22"/>
          <w:lang w:val="sr-Latn-ME"/>
        </w:rPr>
        <w:t xml:space="preserve"> benralizumab</w:t>
      </w:r>
    </w:p>
    <w:p w14:paraId="43E191E2" w14:textId="77777777" w:rsidR="006D20A5" w:rsidRPr="00F65520" w:rsidRDefault="006D20A5">
      <w:pPr>
        <w:rPr>
          <w:bCs/>
          <w:sz w:val="22"/>
          <w:szCs w:val="22"/>
          <w:lang w:val="sr-Latn-ME"/>
        </w:rPr>
      </w:pPr>
    </w:p>
    <w:p w14:paraId="3FA65EA6" w14:textId="77777777" w:rsidR="00530BD7" w:rsidRPr="00F65520" w:rsidRDefault="00530BD7">
      <w:pPr>
        <w:rPr>
          <w:bCs/>
          <w:sz w:val="22"/>
          <w:szCs w:val="22"/>
          <w:lang w:val="sr-Latn-ME"/>
        </w:rPr>
      </w:pPr>
    </w:p>
    <w:p w14:paraId="6C89CE15" w14:textId="77777777" w:rsidR="00411B4B" w:rsidRPr="00F65520" w:rsidRDefault="00411B4B" w:rsidP="00F5167F">
      <w:pPr>
        <w:tabs>
          <w:tab w:val="left" w:pos="540"/>
          <w:tab w:val="left" w:pos="569"/>
        </w:tabs>
        <w:rPr>
          <w:b/>
          <w:bCs/>
          <w:sz w:val="22"/>
          <w:szCs w:val="22"/>
          <w:lang w:val="sr-Latn-ME"/>
        </w:rPr>
      </w:pPr>
      <w:r w:rsidRPr="00F65520">
        <w:rPr>
          <w:b/>
          <w:bCs/>
          <w:sz w:val="22"/>
          <w:szCs w:val="22"/>
          <w:lang w:val="sr-Latn-ME"/>
        </w:rPr>
        <w:t xml:space="preserve">2. </w:t>
      </w:r>
      <w:r w:rsidR="00F5167F" w:rsidRPr="00F65520">
        <w:rPr>
          <w:b/>
          <w:bCs/>
          <w:sz w:val="22"/>
          <w:szCs w:val="22"/>
          <w:lang w:val="sr-Latn-ME"/>
        </w:rPr>
        <w:tab/>
      </w:r>
      <w:r w:rsidRPr="00F65520">
        <w:rPr>
          <w:b/>
          <w:bCs/>
          <w:sz w:val="22"/>
          <w:szCs w:val="22"/>
          <w:lang w:val="sr-Latn-ME"/>
        </w:rPr>
        <w:t>KVALITATIVNI I KVANTITATIVNI SASTAV</w:t>
      </w:r>
    </w:p>
    <w:p w14:paraId="7DB3FC47" w14:textId="77777777" w:rsidR="005A0B2E" w:rsidRPr="00F65520" w:rsidRDefault="005A0B2E">
      <w:pPr>
        <w:rPr>
          <w:sz w:val="22"/>
          <w:szCs w:val="22"/>
          <w:lang w:val="sr-Latn-ME"/>
        </w:rPr>
      </w:pPr>
    </w:p>
    <w:p w14:paraId="6DEF76B5" w14:textId="1D6CD383" w:rsidR="008C2F4A" w:rsidRPr="00F65520" w:rsidRDefault="008C2F4A" w:rsidP="0035094B">
      <w:pPr>
        <w:jc w:val="both"/>
        <w:rPr>
          <w:sz w:val="22"/>
          <w:szCs w:val="22"/>
          <w:u w:val="single"/>
          <w:lang w:val="sr-Latn-ME"/>
        </w:rPr>
      </w:pPr>
      <w:r w:rsidRPr="00F65520">
        <w:rPr>
          <w:sz w:val="22"/>
          <w:szCs w:val="22"/>
          <w:u w:val="single"/>
          <w:lang w:val="sr-Latn-ME"/>
        </w:rPr>
        <w:t>Napunjeni špric</w:t>
      </w:r>
    </w:p>
    <w:p w14:paraId="16A9F87D" w14:textId="77E35A8F" w:rsidR="008C2F4A" w:rsidRPr="00F65520" w:rsidRDefault="008C2F4A" w:rsidP="0035094B">
      <w:pPr>
        <w:jc w:val="both"/>
        <w:rPr>
          <w:sz w:val="22"/>
          <w:szCs w:val="22"/>
          <w:lang w:val="sr-Latn-ME"/>
        </w:rPr>
      </w:pPr>
      <w:r w:rsidRPr="00F65520">
        <w:rPr>
          <w:sz w:val="22"/>
          <w:szCs w:val="22"/>
          <w:lang w:val="sr-Latn-ME"/>
        </w:rPr>
        <w:t>Jedan napunjeni injekcioni špric sadrži 30 mg benralizumaba* u 1 m</w:t>
      </w:r>
      <w:r w:rsidR="00F919B2" w:rsidRPr="00F65520">
        <w:rPr>
          <w:sz w:val="22"/>
          <w:szCs w:val="22"/>
          <w:lang w:val="sr-Latn-ME"/>
        </w:rPr>
        <w:t>l</w:t>
      </w:r>
      <w:r w:rsidRPr="00F65520">
        <w:rPr>
          <w:sz w:val="22"/>
          <w:szCs w:val="22"/>
          <w:lang w:val="sr-Latn-ME"/>
        </w:rPr>
        <w:t>.</w:t>
      </w:r>
    </w:p>
    <w:p w14:paraId="11AE9B45" w14:textId="77777777" w:rsidR="008C2F4A" w:rsidRPr="00F65520" w:rsidRDefault="008C2F4A" w:rsidP="0035094B">
      <w:pPr>
        <w:jc w:val="both"/>
        <w:rPr>
          <w:sz w:val="22"/>
          <w:szCs w:val="22"/>
          <w:lang w:val="sr-Latn-ME"/>
        </w:rPr>
      </w:pPr>
    </w:p>
    <w:p w14:paraId="728760F5" w14:textId="64527E90" w:rsidR="008C2F4A" w:rsidRPr="00F65520" w:rsidRDefault="008C2F4A" w:rsidP="0035094B">
      <w:pPr>
        <w:jc w:val="both"/>
        <w:rPr>
          <w:sz w:val="22"/>
          <w:szCs w:val="22"/>
          <w:u w:val="single"/>
          <w:lang w:val="sr-Latn-ME"/>
        </w:rPr>
      </w:pPr>
      <w:r w:rsidRPr="00F65520">
        <w:rPr>
          <w:sz w:val="22"/>
          <w:szCs w:val="22"/>
          <w:u w:val="single"/>
          <w:lang w:val="sr-Latn-ME"/>
        </w:rPr>
        <w:t>Napunjeni pen</w:t>
      </w:r>
    </w:p>
    <w:p w14:paraId="4E9F8E5D" w14:textId="68160747" w:rsidR="008C2F4A" w:rsidRPr="00F65520" w:rsidRDefault="008C2F4A" w:rsidP="0035094B">
      <w:pPr>
        <w:jc w:val="both"/>
        <w:rPr>
          <w:sz w:val="22"/>
          <w:szCs w:val="22"/>
          <w:lang w:val="sr-Latn-ME"/>
        </w:rPr>
      </w:pPr>
      <w:r w:rsidRPr="00F65520">
        <w:rPr>
          <w:sz w:val="22"/>
          <w:szCs w:val="22"/>
          <w:lang w:val="sr-Latn-ME"/>
        </w:rPr>
        <w:t>Jedan napunjeni injekcioni pen sadrži 30 mg benralizumaba* u 1 m</w:t>
      </w:r>
      <w:r w:rsidR="00F919B2" w:rsidRPr="00F65520">
        <w:rPr>
          <w:sz w:val="22"/>
          <w:szCs w:val="22"/>
          <w:lang w:val="sr-Latn-ME"/>
        </w:rPr>
        <w:t>l</w:t>
      </w:r>
      <w:r w:rsidRPr="00F65520">
        <w:rPr>
          <w:sz w:val="22"/>
          <w:szCs w:val="22"/>
          <w:lang w:val="sr-Latn-ME"/>
        </w:rPr>
        <w:t>.</w:t>
      </w:r>
    </w:p>
    <w:p w14:paraId="5A256D43" w14:textId="77777777" w:rsidR="008C2F4A" w:rsidRPr="00F65520" w:rsidRDefault="008C2F4A" w:rsidP="0035094B">
      <w:pPr>
        <w:jc w:val="both"/>
        <w:rPr>
          <w:sz w:val="22"/>
          <w:szCs w:val="22"/>
          <w:lang w:val="sr-Latn-ME"/>
        </w:rPr>
      </w:pPr>
    </w:p>
    <w:p w14:paraId="68DD7742" w14:textId="77777777" w:rsidR="008C2F4A" w:rsidRPr="00F65520" w:rsidRDefault="008C2F4A" w:rsidP="0035094B">
      <w:pPr>
        <w:jc w:val="both"/>
        <w:rPr>
          <w:sz w:val="22"/>
          <w:szCs w:val="22"/>
          <w:lang w:val="sr-Latn-ME"/>
        </w:rPr>
      </w:pPr>
      <w:r w:rsidRPr="00F65520">
        <w:rPr>
          <w:sz w:val="22"/>
          <w:szCs w:val="22"/>
          <w:lang w:val="sr-Latn-ME"/>
        </w:rPr>
        <w:t xml:space="preserve">*Benralizumab je humanizovano monoklonsko antitijelo koje se proizvodi u ćelijama ovarijuma kineskog hrčka (engl. </w:t>
      </w:r>
      <w:r w:rsidRPr="00F65520">
        <w:rPr>
          <w:i/>
          <w:sz w:val="22"/>
          <w:szCs w:val="22"/>
          <w:lang w:val="sr-Latn-ME"/>
        </w:rPr>
        <w:t xml:space="preserve">Chinese hamster ovary, </w:t>
      </w:r>
      <w:r w:rsidRPr="00F65520">
        <w:rPr>
          <w:sz w:val="22"/>
          <w:szCs w:val="22"/>
          <w:lang w:val="sr-Latn-ME"/>
        </w:rPr>
        <w:t>CHO)</w:t>
      </w:r>
      <w:r w:rsidRPr="00F65520">
        <w:rPr>
          <w:i/>
          <w:sz w:val="22"/>
          <w:szCs w:val="22"/>
          <w:lang w:val="sr-Latn-ME"/>
        </w:rPr>
        <w:t xml:space="preserve"> </w:t>
      </w:r>
      <w:r w:rsidRPr="00F65520">
        <w:rPr>
          <w:sz w:val="22"/>
          <w:szCs w:val="22"/>
          <w:lang w:val="sr-Latn-ME"/>
        </w:rPr>
        <w:t>tehnologijom rekombinantne DNK.</w:t>
      </w:r>
    </w:p>
    <w:p w14:paraId="7D65D181" w14:textId="77777777" w:rsidR="002A5645" w:rsidRPr="00F65520" w:rsidRDefault="002A5645" w:rsidP="0035094B">
      <w:pPr>
        <w:jc w:val="both"/>
        <w:rPr>
          <w:sz w:val="22"/>
          <w:szCs w:val="22"/>
          <w:lang w:val="sr-Latn-ME"/>
        </w:rPr>
      </w:pPr>
      <w:bookmarkStart w:id="1" w:name="_GoBack"/>
      <w:bookmarkEnd w:id="1"/>
    </w:p>
    <w:p w14:paraId="7CE22B59" w14:textId="4BC91CE1" w:rsidR="0003793F" w:rsidRPr="00F65520" w:rsidRDefault="0003793F" w:rsidP="0035094B">
      <w:pPr>
        <w:jc w:val="both"/>
        <w:rPr>
          <w:sz w:val="22"/>
          <w:szCs w:val="22"/>
          <w:lang w:val="sr-Latn-ME"/>
        </w:rPr>
      </w:pPr>
      <w:r w:rsidRPr="00F65520">
        <w:rPr>
          <w:sz w:val="22"/>
          <w:szCs w:val="22"/>
          <w:lang w:val="sr-Latn-ME"/>
        </w:rPr>
        <w:t>Za spisak svih ekscipijenasa, pogledati dio 6.1.</w:t>
      </w:r>
    </w:p>
    <w:p w14:paraId="0BA5E368" w14:textId="77777777" w:rsidR="0003793F" w:rsidRPr="00F65520" w:rsidRDefault="0003793F">
      <w:pPr>
        <w:rPr>
          <w:sz w:val="22"/>
          <w:szCs w:val="22"/>
          <w:lang w:val="sr-Latn-ME"/>
        </w:rPr>
      </w:pPr>
    </w:p>
    <w:p w14:paraId="7611B9CF" w14:textId="627124AF" w:rsidR="00C37FD7" w:rsidRPr="00F65520" w:rsidRDefault="00362555" w:rsidP="00F0315A">
      <w:pPr>
        <w:tabs>
          <w:tab w:val="left" w:pos="2661"/>
        </w:tabs>
        <w:rPr>
          <w:sz w:val="22"/>
          <w:szCs w:val="22"/>
          <w:lang w:val="sr-Latn-ME"/>
        </w:rPr>
      </w:pPr>
      <w:r w:rsidRPr="00F65520">
        <w:rPr>
          <w:sz w:val="22"/>
          <w:szCs w:val="22"/>
          <w:lang w:val="sr-Latn-ME"/>
        </w:rPr>
        <w:tab/>
      </w:r>
    </w:p>
    <w:p w14:paraId="211240C6" w14:textId="77777777" w:rsidR="00411B4B" w:rsidRPr="00F65520" w:rsidRDefault="00411B4B" w:rsidP="00F5167F">
      <w:pPr>
        <w:tabs>
          <w:tab w:val="left" w:pos="540"/>
          <w:tab w:val="left" w:pos="569"/>
        </w:tabs>
        <w:rPr>
          <w:b/>
          <w:bCs/>
          <w:sz w:val="22"/>
          <w:szCs w:val="22"/>
          <w:lang w:val="sr-Latn-ME"/>
        </w:rPr>
      </w:pPr>
      <w:r w:rsidRPr="00F65520">
        <w:rPr>
          <w:b/>
          <w:bCs/>
          <w:sz w:val="22"/>
          <w:szCs w:val="22"/>
          <w:lang w:val="sr-Latn-ME"/>
        </w:rPr>
        <w:t xml:space="preserve">3. </w:t>
      </w:r>
      <w:r w:rsidR="00F5167F" w:rsidRPr="00F65520">
        <w:rPr>
          <w:b/>
          <w:bCs/>
          <w:sz w:val="22"/>
          <w:szCs w:val="22"/>
          <w:lang w:val="sr-Latn-ME"/>
        </w:rPr>
        <w:tab/>
      </w:r>
      <w:r w:rsidRPr="00F65520">
        <w:rPr>
          <w:b/>
          <w:bCs/>
          <w:sz w:val="22"/>
          <w:szCs w:val="22"/>
          <w:lang w:val="sr-Latn-ME"/>
        </w:rPr>
        <w:t>FARMACEUTSKI OBLIK</w:t>
      </w:r>
      <w:r w:rsidR="009F2D23" w:rsidRPr="00F65520">
        <w:rPr>
          <w:b/>
          <w:bCs/>
          <w:sz w:val="22"/>
          <w:szCs w:val="22"/>
          <w:lang w:val="sr-Latn-ME"/>
        </w:rPr>
        <w:t xml:space="preserve"> </w:t>
      </w:r>
    </w:p>
    <w:p w14:paraId="544BA819" w14:textId="77777777" w:rsidR="00411B4B" w:rsidRPr="00F65520" w:rsidRDefault="00411B4B">
      <w:pPr>
        <w:rPr>
          <w:bCs/>
          <w:sz w:val="22"/>
          <w:szCs w:val="22"/>
          <w:lang w:val="sr-Latn-ME"/>
        </w:rPr>
      </w:pPr>
    </w:p>
    <w:p w14:paraId="19D175B1" w14:textId="450BFBCA" w:rsidR="00A44C0E" w:rsidRPr="00F65520" w:rsidRDefault="00A44C0E" w:rsidP="0035094B">
      <w:pPr>
        <w:jc w:val="both"/>
        <w:rPr>
          <w:bCs/>
          <w:sz w:val="22"/>
          <w:szCs w:val="22"/>
          <w:lang w:val="sr-Latn-ME"/>
        </w:rPr>
      </w:pPr>
      <w:r w:rsidRPr="00F65520">
        <w:rPr>
          <w:bCs/>
          <w:sz w:val="22"/>
          <w:szCs w:val="22"/>
          <w:lang w:val="sr-Latn-ME"/>
        </w:rPr>
        <w:t>Rastvor za injekciju u napunjenom špricu.</w:t>
      </w:r>
    </w:p>
    <w:p w14:paraId="139CC1F9" w14:textId="77777777" w:rsidR="00A44C0E" w:rsidRPr="00F65520" w:rsidRDefault="00A44C0E" w:rsidP="0035094B">
      <w:pPr>
        <w:jc w:val="both"/>
        <w:rPr>
          <w:bCs/>
          <w:sz w:val="22"/>
          <w:szCs w:val="22"/>
          <w:lang w:val="sr-Latn-ME"/>
        </w:rPr>
      </w:pPr>
    </w:p>
    <w:p w14:paraId="7FCA298C" w14:textId="77C75E2E" w:rsidR="00A44C0E" w:rsidRPr="00F65520" w:rsidRDefault="00A44C0E" w:rsidP="0035094B">
      <w:pPr>
        <w:jc w:val="both"/>
        <w:rPr>
          <w:bCs/>
          <w:iCs/>
          <w:sz w:val="22"/>
          <w:szCs w:val="22"/>
          <w:lang w:val="sr-Latn-ME"/>
        </w:rPr>
      </w:pPr>
      <w:r w:rsidRPr="00F65520">
        <w:rPr>
          <w:bCs/>
          <w:sz w:val="22"/>
          <w:szCs w:val="22"/>
          <w:lang w:val="sr-Latn-ME"/>
        </w:rPr>
        <w:t>Rastvor za injekciju u napunjenom</w:t>
      </w:r>
      <w:r w:rsidRPr="00F65520">
        <w:rPr>
          <w:b/>
          <w:bCs/>
          <w:iCs/>
          <w:sz w:val="22"/>
          <w:szCs w:val="22"/>
          <w:lang w:val="sr-Latn-ME"/>
        </w:rPr>
        <w:t xml:space="preserve"> </w:t>
      </w:r>
      <w:r w:rsidRPr="00F65520">
        <w:rPr>
          <w:bCs/>
          <w:iCs/>
          <w:sz w:val="22"/>
          <w:szCs w:val="22"/>
          <w:lang w:val="sr-Latn-ME"/>
        </w:rPr>
        <w:t>penu (Fasenra pen).</w:t>
      </w:r>
    </w:p>
    <w:p w14:paraId="09A8D3A1" w14:textId="77777777" w:rsidR="00A44C0E" w:rsidRPr="00F65520" w:rsidRDefault="00A44C0E" w:rsidP="0035094B">
      <w:pPr>
        <w:jc w:val="both"/>
        <w:rPr>
          <w:bCs/>
          <w:sz w:val="22"/>
          <w:szCs w:val="22"/>
          <w:lang w:val="sr-Latn-ME"/>
        </w:rPr>
      </w:pPr>
    </w:p>
    <w:p w14:paraId="2CCB6D07" w14:textId="77777777" w:rsidR="00A44C0E" w:rsidRPr="00F65520" w:rsidRDefault="00A44C0E" w:rsidP="0035094B">
      <w:pPr>
        <w:jc w:val="both"/>
        <w:rPr>
          <w:bCs/>
          <w:sz w:val="22"/>
          <w:szCs w:val="22"/>
          <w:lang w:val="sr-Latn-ME"/>
        </w:rPr>
      </w:pPr>
      <w:r w:rsidRPr="00F65520">
        <w:rPr>
          <w:bCs/>
          <w:sz w:val="22"/>
          <w:szCs w:val="22"/>
          <w:lang w:val="sr-Latn-ME"/>
        </w:rPr>
        <w:t xml:space="preserve">Bistar do opalescentan, bezbojan do žut rastvor, koji može sadržati prozirne ili bijele do skoro bijele čestice. </w:t>
      </w:r>
    </w:p>
    <w:p w14:paraId="13227F76" w14:textId="77777777" w:rsidR="00A44C0E" w:rsidRPr="00F65520" w:rsidRDefault="00A44C0E" w:rsidP="00A44C0E">
      <w:pPr>
        <w:rPr>
          <w:bCs/>
          <w:sz w:val="22"/>
          <w:szCs w:val="22"/>
          <w:lang w:val="sr-Latn-ME"/>
        </w:rPr>
      </w:pPr>
    </w:p>
    <w:p w14:paraId="757C9B73" w14:textId="77777777" w:rsidR="00EC2532" w:rsidRPr="00F65520" w:rsidRDefault="00EC2532">
      <w:pPr>
        <w:rPr>
          <w:bCs/>
          <w:sz w:val="22"/>
          <w:szCs w:val="22"/>
          <w:lang w:val="sr-Latn-ME"/>
        </w:rPr>
      </w:pPr>
    </w:p>
    <w:p w14:paraId="486478D9" w14:textId="77777777" w:rsidR="00411B4B" w:rsidRPr="00F65520" w:rsidRDefault="00411B4B" w:rsidP="00F0315A">
      <w:pPr>
        <w:tabs>
          <w:tab w:val="left" w:pos="540"/>
          <w:tab w:val="left" w:pos="569"/>
        </w:tabs>
        <w:jc w:val="both"/>
        <w:rPr>
          <w:b/>
          <w:bCs/>
          <w:sz w:val="22"/>
          <w:szCs w:val="22"/>
          <w:lang w:val="sr-Latn-ME"/>
        </w:rPr>
      </w:pPr>
      <w:r w:rsidRPr="00F65520">
        <w:rPr>
          <w:b/>
          <w:bCs/>
          <w:sz w:val="22"/>
          <w:szCs w:val="22"/>
          <w:lang w:val="sr-Latn-ME"/>
        </w:rPr>
        <w:t xml:space="preserve">4. </w:t>
      </w:r>
      <w:r w:rsidR="00480FB1" w:rsidRPr="00F65520">
        <w:rPr>
          <w:b/>
          <w:bCs/>
          <w:sz w:val="22"/>
          <w:szCs w:val="22"/>
          <w:lang w:val="sr-Latn-ME"/>
        </w:rPr>
        <w:tab/>
      </w:r>
      <w:r w:rsidRPr="00F65520">
        <w:rPr>
          <w:b/>
          <w:bCs/>
          <w:sz w:val="22"/>
          <w:szCs w:val="22"/>
          <w:lang w:val="sr-Latn-ME"/>
        </w:rPr>
        <w:t>KLINIČKI PODACI</w:t>
      </w:r>
    </w:p>
    <w:p w14:paraId="517CF03A" w14:textId="77777777" w:rsidR="00CD6F02" w:rsidRPr="00F65520" w:rsidRDefault="00CD6F02" w:rsidP="00F0315A">
      <w:pPr>
        <w:tabs>
          <w:tab w:val="left" w:pos="540"/>
          <w:tab w:val="left" w:pos="569"/>
        </w:tabs>
        <w:jc w:val="both"/>
        <w:rPr>
          <w:bCs/>
          <w:sz w:val="22"/>
          <w:szCs w:val="22"/>
          <w:lang w:val="sr-Latn-ME"/>
        </w:rPr>
      </w:pPr>
    </w:p>
    <w:p w14:paraId="4118C147" w14:textId="77777777" w:rsidR="00411B4B" w:rsidRPr="00F65520" w:rsidRDefault="00411B4B" w:rsidP="00F0315A">
      <w:pPr>
        <w:tabs>
          <w:tab w:val="left" w:pos="540"/>
          <w:tab w:val="left" w:pos="569"/>
        </w:tabs>
        <w:jc w:val="both"/>
        <w:rPr>
          <w:b/>
          <w:bCs/>
          <w:sz w:val="22"/>
          <w:szCs w:val="22"/>
          <w:lang w:val="sr-Latn-ME"/>
        </w:rPr>
      </w:pPr>
      <w:r w:rsidRPr="00F65520">
        <w:rPr>
          <w:b/>
          <w:bCs/>
          <w:sz w:val="22"/>
          <w:szCs w:val="22"/>
          <w:lang w:val="sr-Latn-ME"/>
        </w:rPr>
        <w:t xml:space="preserve">4.1. </w:t>
      </w:r>
      <w:r w:rsidR="00480FB1" w:rsidRPr="00F65520">
        <w:rPr>
          <w:b/>
          <w:bCs/>
          <w:sz w:val="22"/>
          <w:szCs w:val="22"/>
          <w:lang w:val="sr-Latn-ME"/>
        </w:rPr>
        <w:tab/>
      </w:r>
      <w:r w:rsidRPr="00F65520">
        <w:rPr>
          <w:b/>
          <w:bCs/>
          <w:sz w:val="22"/>
          <w:szCs w:val="22"/>
          <w:lang w:val="sr-Latn-ME"/>
        </w:rPr>
        <w:t>Terapijske indikacije</w:t>
      </w:r>
    </w:p>
    <w:p w14:paraId="6DBBA352" w14:textId="267484E2" w:rsidR="00411B4B" w:rsidRPr="00F65520" w:rsidRDefault="00411B4B" w:rsidP="00F0315A">
      <w:pPr>
        <w:tabs>
          <w:tab w:val="left" w:pos="540"/>
          <w:tab w:val="left" w:pos="569"/>
        </w:tabs>
        <w:jc w:val="both"/>
        <w:rPr>
          <w:bCs/>
          <w:sz w:val="22"/>
          <w:szCs w:val="22"/>
          <w:lang w:val="sr-Latn-ME"/>
        </w:rPr>
      </w:pPr>
    </w:p>
    <w:p w14:paraId="6872EC3C" w14:textId="77777777" w:rsidR="009C5041" w:rsidRPr="00F65520" w:rsidRDefault="009C5041" w:rsidP="00F0315A">
      <w:pPr>
        <w:tabs>
          <w:tab w:val="left" w:pos="540"/>
          <w:tab w:val="left" w:pos="569"/>
        </w:tabs>
        <w:jc w:val="both"/>
        <w:rPr>
          <w:bCs/>
          <w:sz w:val="22"/>
          <w:szCs w:val="22"/>
          <w:lang w:val="sr-Latn-ME"/>
        </w:rPr>
      </w:pPr>
      <w:r w:rsidRPr="00F65520">
        <w:rPr>
          <w:bCs/>
          <w:sz w:val="22"/>
          <w:szCs w:val="22"/>
          <w:lang w:val="sr-Latn-ME"/>
        </w:rPr>
        <w:t xml:space="preserve">Lijek Fasenra je indikovan kao dodatna terapija održavanja kod odraslih pacijenta sa teškom eozinofilnom astmom koja nije dovoljno adekvatno kontrolisana uprkos liječenju velikim dozama inhalacionih kortikosteroida i dugodjelujućim β-agonistima (vidjeti odjeljak 5.1). </w:t>
      </w:r>
    </w:p>
    <w:p w14:paraId="5F1A8C52" w14:textId="77777777" w:rsidR="009C5041" w:rsidRPr="00F65520" w:rsidRDefault="009C5041" w:rsidP="00F0315A">
      <w:pPr>
        <w:tabs>
          <w:tab w:val="left" w:pos="540"/>
          <w:tab w:val="left" w:pos="569"/>
        </w:tabs>
        <w:jc w:val="both"/>
        <w:rPr>
          <w:bCs/>
          <w:sz w:val="22"/>
          <w:szCs w:val="22"/>
          <w:lang w:val="sr-Latn-ME"/>
        </w:rPr>
      </w:pPr>
    </w:p>
    <w:p w14:paraId="52757B85" w14:textId="77777777" w:rsidR="00411B4B" w:rsidRPr="00F65520" w:rsidRDefault="00411B4B" w:rsidP="00F0315A">
      <w:pPr>
        <w:tabs>
          <w:tab w:val="left" w:pos="540"/>
          <w:tab w:val="left" w:pos="569"/>
        </w:tabs>
        <w:jc w:val="both"/>
        <w:rPr>
          <w:b/>
          <w:bCs/>
          <w:sz w:val="22"/>
          <w:szCs w:val="22"/>
          <w:lang w:val="sr-Latn-ME"/>
        </w:rPr>
      </w:pPr>
      <w:r w:rsidRPr="00F65520">
        <w:rPr>
          <w:b/>
          <w:bCs/>
          <w:sz w:val="22"/>
          <w:szCs w:val="22"/>
          <w:lang w:val="sr-Latn-ME"/>
        </w:rPr>
        <w:t xml:space="preserve">4.2. </w:t>
      </w:r>
      <w:r w:rsidR="00480FB1" w:rsidRPr="00F65520">
        <w:rPr>
          <w:b/>
          <w:bCs/>
          <w:sz w:val="22"/>
          <w:szCs w:val="22"/>
          <w:lang w:val="sr-Latn-ME"/>
        </w:rPr>
        <w:tab/>
      </w:r>
      <w:r w:rsidRPr="00F65520">
        <w:rPr>
          <w:b/>
          <w:bCs/>
          <w:sz w:val="22"/>
          <w:szCs w:val="22"/>
          <w:lang w:val="sr-Latn-ME"/>
        </w:rPr>
        <w:t>Doziranje i način primjene</w:t>
      </w:r>
    </w:p>
    <w:p w14:paraId="6463258A" w14:textId="4FC7D59D" w:rsidR="00452E9D" w:rsidRPr="00F65520" w:rsidRDefault="00452E9D" w:rsidP="00F0315A">
      <w:pPr>
        <w:tabs>
          <w:tab w:val="left" w:pos="540"/>
          <w:tab w:val="left" w:pos="569"/>
        </w:tabs>
        <w:jc w:val="both"/>
        <w:rPr>
          <w:bCs/>
          <w:sz w:val="22"/>
          <w:szCs w:val="22"/>
          <w:u w:val="single"/>
          <w:lang w:val="sr-Latn-ME"/>
        </w:rPr>
      </w:pPr>
    </w:p>
    <w:p w14:paraId="6758455C" w14:textId="77777777" w:rsidR="00A01871" w:rsidRPr="00F65520" w:rsidRDefault="00A01871" w:rsidP="00F0315A">
      <w:pPr>
        <w:tabs>
          <w:tab w:val="left" w:pos="540"/>
          <w:tab w:val="left" w:pos="569"/>
        </w:tabs>
        <w:jc w:val="both"/>
        <w:rPr>
          <w:bCs/>
          <w:sz w:val="22"/>
          <w:szCs w:val="22"/>
          <w:lang w:val="sr-Latn-ME"/>
        </w:rPr>
      </w:pPr>
      <w:r w:rsidRPr="00F65520">
        <w:rPr>
          <w:bCs/>
          <w:sz w:val="22"/>
          <w:szCs w:val="22"/>
          <w:lang w:val="sr-Latn-ME"/>
        </w:rPr>
        <w:t xml:space="preserve">Liječenje lijekom Fasenra treba da započnu ljekari sa iskustvom u dijagnostikovanju i liječenju teške astme. </w:t>
      </w:r>
    </w:p>
    <w:p w14:paraId="4069BD8D" w14:textId="77777777" w:rsidR="00A01871" w:rsidRPr="00F65520" w:rsidRDefault="00A01871" w:rsidP="00F0315A">
      <w:pPr>
        <w:tabs>
          <w:tab w:val="left" w:pos="540"/>
          <w:tab w:val="left" w:pos="569"/>
        </w:tabs>
        <w:jc w:val="both"/>
        <w:rPr>
          <w:bCs/>
          <w:sz w:val="22"/>
          <w:szCs w:val="22"/>
          <w:lang w:val="sr-Latn-ME"/>
        </w:rPr>
      </w:pPr>
    </w:p>
    <w:p w14:paraId="3399AFFA" w14:textId="6947BB15" w:rsidR="00A01871" w:rsidRPr="00F65520" w:rsidRDefault="00A01871" w:rsidP="00F0315A">
      <w:pPr>
        <w:tabs>
          <w:tab w:val="left" w:pos="540"/>
          <w:tab w:val="left" w:pos="569"/>
        </w:tabs>
        <w:jc w:val="both"/>
        <w:rPr>
          <w:bCs/>
          <w:sz w:val="22"/>
          <w:szCs w:val="22"/>
          <w:lang w:val="sr-Latn-ME"/>
        </w:rPr>
      </w:pPr>
      <w:r w:rsidRPr="00F65520">
        <w:rPr>
          <w:bCs/>
          <w:sz w:val="22"/>
          <w:szCs w:val="22"/>
          <w:lang w:val="sr-Latn-ME"/>
        </w:rPr>
        <w:t xml:space="preserve">Nakon odgovarajuće obuke o tehnici </w:t>
      </w:r>
      <w:r w:rsidR="00533AC7" w:rsidRPr="00F65520">
        <w:rPr>
          <w:bCs/>
          <w:sz w:val="22"/>
          <w:szCs w:val="22"/>
          <w:lang w:val="sr-Latn-ME"/>
        </w:rPr>
        <w:t>su</w:t>
      </w:r>
      <w:r w:rsidR="00F65520">
        <w:rPr>
          <w:bCs/>
          <w:sz w:val="22"/>
          <w:szCs w:val="22"/>
          <w:lang w:val="sr-Latn-ME"/>
        </w:rPr>
        <w:t>p</w:t>
      </w:r>
      <w:r w:rsidRPr="00F65520">
        <w:rPr>
          <w:bCs/>
          <w:sz w:val="22"/>
          <w:szCs w:val="22"/>
          <w:lang w:val="sr-Latn-ME"/>
        </w:rPr>
        <w:t xml:space="preserve">kutanog </w:t>
      </w:r>
      <w:r w:rsidR="008440EC" w:rsidRPr="00F65520">
        <w:rPr>
          <w:bCs/>
          <w:sz w:val="22"/>
          <w:szCs w:val="22"/>
          <w:lang w:val="sr-Latn-ME"/>
        </w:rPr>
        <w:t xml:space="preserve">injektovanja </w:t>
      </w:r>
      <w:r w:rsidRPr="00F65520">
        <w:rPr>
          <w:bCs/>
          <w:sz w:val="22"/>
          <w:szCs w:val="22"/>
          <w:lang w:val="sr-Latn-ME"/>
        </w:rPr>
        <w:t xml:space="preserve">i edukacije o znakovima i simptomima </w:t>
      </w:r>
      <w:r w:rsidR="007766DD" w:rsidRPr="00F65520">
        <w:rPr>
          <w:bCs/>
          <w:sz w:val="22"/>
          <w:szCs w:val="22"/>
          <w:lang w:val="sr-Latn-ME"/>
        </w:rPr>
        <w:t xml:space="preserve">reakcija </w:t>
      </w:r>
      <w:r w:rsidRPr="00F65520">
        <w:rPr>
          <w:bCs/>
          <w:sz w:val="22"/>
          <w:szCs w:val="22"/>
          <w:lang w:val="sr-Latn-ME"/>
        </w:rPr>
        <w:t xml:space="preserve">preosjetljivosti (vidjeti odjeljak 4.4), pacijenti bez anafilaksije u istoriji bolesti ili njihovi njegovatelji mogu sami injektovati lijek Fasenra ako ljekar utvrdi da je to prikladno, uz medicinsko praćenje prema potrebi. Samostalnu primjenu treba razmotriti samo kod pacijenata koji već imaju iskustva </w:t>
      </w:r>
      <w:r w:rsidR="00870DD4" w:rsidRPr="00F65520">
        <w:rPr>
          <w:bCs/>
          <w:sz w:val="22"/>
          <w:szCs w:val="22"/>
          <w:lang w:val="sr-Latn-ME"/>
        </w:rPr>
        <w:t xml:space="preserve">sa </w:t>
      </w:r>
      <w:r w:rsidRPr="00F65520">
        <w:rPr>
          <w:bCs/>
          <w:sz w:val="22"/>
          <w:szCs w:val="22"/>
          <w:lang w:val="sr-Latn-ME"/>
        </w:rPr>
        <w:t>liječenjem lijekom Fasenra.</w:t>
      </w:r>
    </w:p>
    <w:p w14:paraId="2A00D6EC" w14:textId="77777777" w:rsidR="00A01871" w:rsidRPr="00F65520" w:rsidRDefault="00A01871" w:rsidP="00F0315A">
      <w:pPr>
        <w:tabs>
          <w:tab w:val="left" w:pos="540"/>
          <w:tab w:val="left" w:pos="569"/>
        </w:tabs>
        <w:jc w:val="both"/>
        <w:rPr>
          <w:bCs/>
          <w:sz w:val="22"/>
          <w:szCs w:val="22"/>
          <w:lang w:val="sr-Latn-ME"/>
        </w:rPr>
      </w:pPr>
    </w:p>
    <w:p w14:paraId="7D41F20C" w14:textId="77777777" w:rsidR="00A01871" w:rsidRPr="00F65520" w:rsidRDefault="00A01871" w:rsidP="00F0315A">
      <w:pPr>
        <w:tabs>
          <w:tab w:val="left" w:pos="540"/>
          <w:tab w:val="left" w:pos="569"/>
        </w:tabs>
        <w:jc w:val="both"/>
        <w:rPr>
          <w:bCs/>
          <w:sz w:val="22"/>
          <w:szCs w:val="22"/>
          <w:u w:val="single"/>
          <w:lang w:val="sr-Latn-ME"/>
        </w:rPr>
      </w:pPr>
      <w:r w:rsidRPr="00F65520">
        <w:rPr>
          <w:bCs/>
          <w:sz w:val="22"/>
          <w:szCs w:val="22"/>
          <w:u w:val="single"/>
          <w:lang w:val="sr-Latn-ME"/>
        </w:rPr>
        <w:lastRenderedPageBreak/>
        <w:t xml:space="preserve">Doziranje </w:t>
      </w:r>
    </w:p>
    <w:p w14:paraId="65EFC027" w14:textId="77777777" w:rsidR="00A01871" w:rsidRPr="00F65520" w:rsidRDefault="00A01871" w:rsidP="00F0315A">
      <w:pPr>
        <w:tabs>
          <w:tab w:val="left" w:pos="540"/>
          <w:tab w:val="left" w:pos="569"/>
        </w:tabs>
        <w:jc w:val="both"/>
        <w:rPr>
          <w:bCs/>
          <w:sz w:val="22"/>
          <w:szCs w:val="22"/>
          <w:lang w:val="sr-Latn-ME"/>
        </w:rPr>
      </w:pPr>
    </w:p>
    <w:p w14:paraId="017B05D1" w14:textId="7FE0F429" w:rsidR="00A01871" w:rsidRPr="00F65520" w:rsidRDefault="00A01871" w:rsidP="00F0315A">
      <w:pPr>
        <w:tabs>
          <w:tab w:val="left" w:pos="540"/>
          <w:tab w:val="left" w:pos="569"/>
        </w:tabs>
        <w:jc w:val="both"/>
        <w:rPr>
          <w:bCs/>
          <w:sz w:val="22"/>
          <w:szCs w:val="22"/>
          <w:lang w:val="sr-Latn-ME"/>
        </w:rPr>
      </w:pPr>
      <w:r w:rsidRPr="00F65520">
        <w:rPr>
          <w:bCs/>
          <w:sz w:val="22"/>
          <w:szCs w:val="22"/>
          <w:lang w:val="sr-Latn-ME"/>
        </w:rPr>
        <w:t xml:space="preserve">Preporučena doza benralizumaba je 30 mg i primjenjuje se </w:t>
      </w:r>
      <w:r w:rsidR="00533AC7" w:rsidRPr="00F65520">
        <w:rPr>
          <w:bCs/>
          <w:sz w:val="22"/>
          <w:szCs w:val="22"/>
          <w:lang w:val="sr-Latn-ME"/>
        </w:rPr>
        <w:t>su</w:t>
      </w:r>
      <w:r w:rsidR="00F65520">
        <w:rPr>
          <w:bCs/>
          <w:sz w:val="22"/>
          <w:szCs w:val="22"/>
          <w:lang w:val="sr-Latn-ME"/>
        </w:rPr>
        <w:t>p</w:t>
      </w:r>
      <w:r w:rsidRPr="00F65520">
        <w:rPr>
          <w:bCs/>
          <w:sz w:val="22"/>
          <w:szCs w:val="22"/>
          <w:lang w:val="sr-Latn-ME"/>
        </w:rPr>
        <w:t xml:space="preserve">kutanom injekcijom svake 4. </w:t>
      </w:r>
      <w:r w:rsidR="00F42871" w:rsidRPr="00F65520">
        <w:rPr>
          <w:bCs/>
          <w:sz w:val="22"/>
          <w:szCs w:val="22"/>
          <w:lang w:val="sr-Latn-ME"/>
        </w:rPr>
        <w:t>n</w:t>
      </w:r>
      <w:r w:rsidRPr="00F65520">
        <w:rPr>
          <w:bCs/>
          <w:sz w:val="22"/>
          <w:szCs w:val="22"/>
          <w:lang w:val="sr-Latn-ME"/>
        </w:rPr>
        <w:t>edjelje za prve 3 doze, a zatim na svakih 8 nedjelja. Ako se na planirani datum propusti injekcija benralizumaba, doziranje treba nastaviti što je prije moguće prema propisanom režimu doziranja. Ne smije se prim</w:t>
      </w:r>
      <w:r w:rsidR="00452FBA" w:rsidRPr="00F65520">
        <w:rPr>
          <w:bCs/>
          <w:sz w:val="22"/>
          <w:szCs w:val="22"/>
          <w:lang w:val="sr-Latn-ME"/>
        </w:rPr>
        <w:t>i</w:t>
      </w:r>
      <w:r w:rsidRPr="00F65520">
        <w:rPr>
          <w:bCs/>
          <w:sz w:val="22"/>
          <w:szCs w:val="22"/>
          <w:lang w:val="sr-Latn-ME"/>
        </w:rPr>
        <w:t xml:space="preserve">jeniti dvostruka doza kako bi se nadoknadila propuštena doza. </w:t>
      </w:r>
    </w:p>
    <w:p w14:paraId="679AD041" w14:textId="77777777" w:rsidR="00A01871" w:rsidRPr="00F65520" w:rsidRDefault="00A01871" w:rsidP="00F0315A">
      <w:pPr>
        <w:tabs>
          <w:tab w:val="left" w:pos="540"/>
          <w:tab w:val="left" w:pos="569"/>
        </w:tabs>
        <w:jc w:val="both"/>
        <w:rPr>
          <w:bCs/>
          <w:sz w:val="22"/>
          <w:szCs w:val="22"/>
          <w:lang w:val="sr-Latn-ME"/>
        </w:rPr>
      </w:pPr>
    </w:p>
    <w:p w14:paraId="393449B2" w14:textId="77777777" w:rsidR="00A01871" w:rsidRPr="00F65520" w:rsidRDefault="00A01871" w:rsidP="00F0315A">
      <w:pPr>
        <w:tabs>
          <w:tab w:val="left" w:pos="540"/>
          <w:tab w:val="left" w:pos="569"/>
        </w:tabs>
        <w:jc w:val="both"/>
        <w:rPr>
          <w:bCs/>
          <w:sz w:val="22"/>
          <w:szCs w:val="22"/>
          <w:lang w:val="sr-Latn-ME"/>
        </w:rPr>
      </w:pPr>
      <w:r w:rsidRPr="00F65520">
        <w:rPr>
          <w:bCs/>
          <w:sz w:val="22"/>
          <w:szCs w:val="22"/>
          <w:lang w:val="sr-Latn-ME"/>
        </w:rPr>
        <w:t xml:space="preserve">Lijek Fasenra je namijenjen za dugotrajno liječenje. Najmanje jednom godišnje potrebno je donijeti odluku o nastavku liječenja na osnovu težine bolesti, nivoa kontrole egzacerbacije i broja eozinofila u krvi. </w:t>
      </w:r>
    </w:p>
    <w:p w14:paraId="25FC0F2D" w14:textId="77777777" w:rsidR="00A01871" w:rsidRPr="00F65520" w:rsidRDefault="00A01871" w:rsidP="00F0315A">
      <w:pPr>
        <w:tabs>
          <w:tab w:val="left" w:pos="540"/>
          <w:tab w:val="left" w:pos="569"/>
        </w:tabs>
        <w:jc w:val="both"/>
        <w:rPr>
          <w:bCs/>
          <w:sz w:val="22"/>
          <w:szCs w:val="22"/>
          <w:lang w:val="sr-Latn-ME"/>
        </w:rPr>
      </w:pPr>
    </w:p>
    <w:p w14:paraId="51DEFF33" w14:textId="77777777" w:rsidR="00A01871" w:rsidRPr="00F65520" w:rsidRDefault="00A01871" w:rsidP="00F0315A">
      <w:pPr>
        <w:tabs>
          <w:tab w:val="left" w:pos="540"/>
          <w:tab w:val="left" w:pos="569"/>
        </w:tabs>
        <w:jc w:val="both"/>
        <w:rPr>
          <w:bCs/>
          <w:i/>
          <w:sz w:val="22"/>
          <w:szCs w:val="22"/>
          <w:lang w:val="sr-Latn-ME"/>
        </w:rPr>
      </w:pPr>
      <w:r w:rsidRPr="00F65520">
        <w:rPr>
          <w:bCs/>
          <w:i/>
          <w:sz w:val="22"/>
          <w:szCs w:val="22"/>
          <w:lang w:val="sr-Latn-ME"/>
        </w:rPr>
        <w:t>Starije osobe</w:t>
      </w:r>
    </w:p>
    <w:p w14:paraId="72F116CC" w14:textId="77777777" w:rsidR="00A01871" w:rsidRPr="00F65520" w:rsidRDefault="00A01871" w:rsidP="00F0315A">
      <w:pPr>
        <w:tabs>
          <w:tab w:val="left" w:pos="540"/>
          <w:tab w:val="left" w:pos="569"/>
        </w:tabs>
        <w:jc w:val="both"/>
        <w:rPr>
          <w:bCs/>
          <w:sz w:val="22"/>
          <w:szCs w:val="22"/>
          <w:lang w:val="sr-Latn-ME"/>
        </w:rPr>
      </w:pPr>
      <w:r w:rsidRPr="00F65520">
        <w:rPr>
          <w:bCs/>
          <w:sz w:val="22"/>
          <w:szCs w:val="22"/>
          <w:lang w:val="sr-Latn-ME"/>
        </w:rPr>
        <w:t>Nije potrebno prilagođavati dozu kod starijih pacijenta (vidjeti odjeljak 5.2).</w:t>
      </w:r>
    </w:p>
    <w:p w14:paraId="2604970F" w14:textId="77777777" w:rsidR="00A01871" w:rsidRPr="00F65520" w:rsidRDefault="00A01871" w:rsidP="00F0315A">
      <w:pPr>
        <w:tabs>
          <w:tab w:val="left" w:pos="540"/>
          <w:tab w:val="left" w:pos="569"/>
        </w:tabs>
        <w:jc w:val="both"/>
        <w:rPr>
          <w:bCs/>
          <w:sz w:val="22"/>
          <w:szCs w:val="22"/>
          <w:lang w:val="sr-Latn-ME"/>
        </w:rPr>
      </w:pPr>
    </w:p>
    <w:p w14:paraId="1923D32C" w14:textId="77777777" w:rsidR="00A01871" w:rsidRPr="00F65520" w:rsidRDefault="00A01871" w:rsidP="00F0315A">
      <w:pPr>
        <w:tabs>
          <w:tab w:val="left" w:pos="540"/>
          <w:tab w:val="left" w:pos="569"/>
        </w:tabs>
        <w:jc w:val="both"/>
        <w:rPr>
          <w:bCs/>
          <w:i/>
          <w:sz w:val="22"/>
          <w:szCs w:val="22"/>
          <w:lang w:val="sr-Latn-ME"/>
        </w:rPr>
      </w:pPr>
      <w:r w:rsidRPr="00F65520">
        <w:rPr>
          <w:bCs/>
          <w:i/>
          <w:sz w:val="22"/>
          <w:szCs w:val="22"/>
          <w:lang w:val="sr-Latn-ME"/>
        </w:rPr>
        <w:t>Oštećenje funkcije bubrega i jetre</w:t>
      </w:r>
    </w:p>
    <w:p w14:paraId="0E6905B8" w14:textId="77777777" w:rsidR="00A01871" w:rsidRPr="00F65520" w:rsidRDefault="00A01871" w:rsidP="00F0315A">
      <w:pPr>
        <w:tabs>
          <w:tab w:val="left" w:pos="540"/>
          <w:tab w:val="left" w:pos="569"/>
        </w:tabs>
        <w:jc w:val="both"/>
        <w:rPr>
          <w:bCs/>
          <w:sz w:val="22"/>
          <w:szCs w:val="22"/>
          <w:lang w:val="sr-Latn-ME"/>
        </w:rPr>
      </w:pPr>
      <w:r w:rsidRPr="00F65520">
        <w:rPr>
          <w:bCs/>
          <w:sz w:val="22"/>
          <w:szCs w:val="22"/>
          <w:lang w:val="sr-Latn-ME"/>
        </w:rPr>
        <w:t>Nije potrebno prilagođavati dozu kod pacijenata sa oštećenjem funkcije bubrega ili jetre (vidjeti odjeljak 5.2).</w:t>
      </w:r>
    </w:p>
    <w:p w14:paraId="6E0D294D" w14:textId="77777777" w:rsidR="00A01871" w:rsidRPr="00F65520" w:rsidRDefault="00A01871" w:rsidP="00F0315A">
      <w:pPr>
        <w:tabs>
          <w:tab w:val="left" w:pos="540"/>
          <w:tab w:val="left" w:pos="569"/>
        </w:tabs>
        <w:jc w:val="both"/>
        <w:rPr>
          <w:bCs/>
          <w:sz w:val="22"/>
          <w:szCs w:val="22"/>
          <w:lang w:val="sr-Latn-ME"/>
        </w:rPr>
      </w:pPr>
    </w:p>
    <w:p w14:paraId="09F6576D" w14:textId="77777777" w:rsidR="00A01871" w:rsidRPr="00F65520" w:rsidRDefault="00A01871" w:rsidP="00F0315A">
      <w:pPr>
        <w:tabs>
          <w:tab w:val="left" w:pos="540"/>
          <w:tab w:val="left" w:pos="569"/>
        </w:tabs>
        <w:jc w:val="both"/>
        <w:rPr>
          <w:bCs/>
          <w:i/>
          <w:sz w:val="22"/>
          <w:szCs w:val="22"/>
          <w:lang w:val="sr-Latn-ME"/>
        </w:rPr>
      </w:pPr>
      <w:r w:rsidRPr="00F65520">
        <w:rPr>
          <w:bCs/>
          <w:i/>
          <w:sz w:val="22"/>
          <w:szCs w:val="22"/>
          <w:lang w:val="sr-Latn-ME"/>
        </w:rPr>
        <w:t>Pedijatrijska populacija</w:t>
      </w:r>
    </w:p>
    <w:p w14:paraId="4A84AC2A" w14:textId="5942FBEC" w:rsidR="00A01871" w:rsidRPr="00F65520" w:rsidRDefault="00A01871" w:rsidP="00F0315A">
      <w:pPr>
        <w:tabs>
          <w:tab w:val="left" w:pos="540"/>
          <w:tab w:val="left" w:pos="569"/>
        </w:tabs>
        <w:jc w:val="both"/>
        <w:rPr>
          <w:bCs/>
          <w:sz w:val="22"/>
          <w:szCs w:val="22"/>
          <w:lang w:val="sr-Latn-ME"/>
        </w:rPr>
      </w:pPr>
      <w:r w:rsidRPr="00F65520">
        <w:rPr>
          <w:bCs/>
          <w:sz w:val="22"/>
          <w:szCs w:val="22"/>
          <w:lang w:val="sr-Latn-ME"/>
        </w:rPr>
        <w:t>Bezbjednost i efikasnost lijeka Fasenra kod djece</w:t>
      </w:r>
      <w:r w:rsidR="0076003A">
        <w:rPr>
          <w:bCs/>
          <w:sz w:val="22"/>
          <w:szCs w:val="22"/>
          <w:lang w:val="sr-Latn-ME"/>
        </w:rPr>
        <w:t xml:space="preserve"> i adolescenata</w:t>
      </w:r>
      <w:r w:rsidRPr="00F65520">
        <w:rPr>
          <w:bCs/>
          <w:sz w:val="22"/>
          <w:szCs w:val="22"/>
          <w:lang w:val="sr-Latn-ME"/>
        </w:rPr>
        <w:t xml:space="preserve"> uzrasta od 6 do </w:t>
      </w:r>
      <w:r w:rsidR="0076003A">
        <w:rPr>
          <w:bCs/>
          <w:sz w:val="22"/>
          <w:szCs w:val="22"/>
          <w:lang w:val="sr-Latn-ME"/>
        </w:rPr>
        <w:t>17</w:t>
      </w:r>
      <w:r w:rsidRPr="00F65520">
        <w:rPr>
          <w:bCs/>
          <w:sz w:val="22"/>
          <w:szCs w:val="22"/>
          <w:lang w:val="sr-Latn-ME"/>
        </w:rPr>
        <w:t xml:space="preserve"> godina nisu ustanovljene. </w:t>
      </w:r>
    </w:p>
    <w:p w14:paraId="5ECDB09B" w14:textId="77777777" w:rsidR="00A01871" w:rsidRPr="00F65520" w:rsidRDefault="00A01871" w:rsidP="00F0315A">
      <w:pPr>
        <w:tabs>
          <w:tab w:val="left" w:pos="540"/>
          <w:tab w:val="left" w:pos="569"/>
        </w:tabs>
        <w:jc w:val="both"/>
        <w:rPr>
          <w:bCs/>
          <w:sz w:val="22"/>
          <w:szCs w:val="22"/>
          <w:lang w:val="sr-Latn-ME"/>
        </w:rPr>
      </w:pPr>
    </w:p>
    <w:p w14:paraId="13FD12FD" w14:textId="38332891" w:rsidR="00A01871" w:rsidRDefault="00A01871" w:rsidP="00F0315A">
      <w:pPr>
        <w:tabs>
          <w:tab w:val="left" w:pos="540"/>
          <w:tab w:val="left" w:pos="569"/>
        </w:tabs>
        <w:jc w:val="both"/>
        <w:rPr>
          <w:bCs/>
          <w:sz w:val="22"/>
          <w:szCs w:val="22"/>
          <w:lang w:val="sr-Latn-ME"/>
        </w:rPr>
      </w:pPr>
      <w:r w:rsidRPr="00F65520">
        <w:rPr>
          <w:bCs/>
          <w:sz w:val="22"/>
          <w:szCs w:val="22"/>
          <w:lang w:val="sr-Latn-ME"/>
        </w:rPr>
        <w:t xml:space="preserve">Trenutno </w:t>
      </w:r>
      <w:r w:rsidR="0076003A">
        <w:rPr>
          <w:bCs/>
          <w:sz w:val="22"/>
          <w:szCs w:val="22"/>
          <w:lang w:val="sr-Latn-ME"/>
        </w:rPr>
        <w:t>ograničeni</w:t>
      </w:r>
      <w:r w:rsidR="0076003A" w:rsidRPr="00F65520">
        <w:rPr>
          <w:bCs/>
          <w:sz w:val="22"/>
          <w:szCs w:val="22"/>
          <w:lang w:val="sr-Latn-ME"/>
        </w:rPr>
        <w:t xml:space="preserve"> </w:t>
      </w:r>
      <w:r w:rsidRPr="00F65520">
        <w:rPr>
          <w:bCs/>
          <w:sz w:val="22"/>
          <w:szCs w:val="22"/>
          <w:lang w:val="sr-Latn-ME"/>
        </w:rPr>
        <w:t xml:space="preserve">podaci o primjeni kod djece uzrasta od </w:t>
      </w:r>
      <w:r w:rsidR="0076003A">
        <w:rPr>
          <w:bCs/>
          <w:sz w:val="22"/>
          <w:szCs w:val="22"/>
          <w:lang w:val="sr-Latn-ME"/>
        </w:rPr>
        <w:t>6 do 11 godina i podaci kod adolescenata uzrasta od 12</w:t>
      </w:r>
      <w:r w:rsidR="0076003A" w:rsidRPr="00F65520">
        <w:rPr>
          <w:bCs/>
          <w:sz w:val="22"/>
          <w:szCs w:val="22"/>
          <w:lang w:val="sr-Latn-ME"/>
        </w:rPr>
        <w:t xml:space="preserve"> </w:t>
      </w:r>
      <w:r w:rsidRPr="00F65520">
        <w:rPr>
          <w:bCs/>
          <w:sz w:val="22"/>
          <w:szCs w:val="22"/>
          <w:lang w:val="sr-Latn-ME"/>
        </w:rPr>
        <w:t xml:space="preserve">do </w:t>
      </w:r>
      <w:r w:rsidR="0076003A">
        <w:rPr>
          <w:bCs/>
          <w:sz w:val="22"/>
          <w:szCs w:val="22"/>
          <w:lang w:val="sr-Latn-ME"/>
        </w:rPr>
        <w:t>17</w:t>
      </w:r>
      <w:r w:rsidRPr="00F65520">
        <w:rPr>
          <w:bCs/>
          <w:sz w:val="22"/>
          <w:szCs w:val="22"/>
          <w:lang w:val="sr-Latn-ME"/>
        </w:rPr>
        <w:t xml:space="preserve"> godina opisani su u odjeljcima 4.8, 5.1 i 5.2, ali nije moguće dati preporuku o doziranju.</w:t>
      </w:r>
    </w:p>
    <w:p w14:paraId="21F79ADF" w14:textId="77777777" w:rsidR="0076003A" w:rsidRDefault="0076003A" w:rsidP="00F0315A">
      <w:pPr>
        <w:tabs>
          <w:tab w:val="left" w:pos="540"/>
          <w:tab w:val="left" w:pos="569"/>
        </w:tabs>
        <w:jc w:val="both"/>
        <w:rPr>
          <w:bCs/>
          <w:sz w:val="22"/>
          <w:szCs w:val="22"/>
          <w:lang w:val="sr-Latn-ME"/>
        </w:rPr>
      </w:pPr>
    </w:p>
    <w:p w14:paraId="71F35C9C" w14:textId="45009263" w:rsidR="0076003A" w:rsidRPr="00F65520" w:rsidRDefault="0076003A" w:rsidP="00F0315A">
      <w:pPr>
        <w:tabs>
          <w:tab w:val="left" w:pos="540"/>
          <w:tab w:val="left" w:pos="569"/>
        </w:tabs>
        <w:jc w:val="both"/>
        <w:rPr>
          <w:bCs/>
          <w:sz w:val="22"/>
          <w:szCs w:val="22"/>
          <w:lang w:val="sr-Latn-ME"/>
        </w:rPr>
      </w:pPr>
      <w:r w:rsidRPr="0076003A">
        <w:rPr>
          <w:bCs/>
          <w:sz w:val="22"/>
          <w:szCs w:val="22"/>
          <w:lang w:val="sr-Latn-ME"/>
        </w:rPr>
        <w:t>Bezb</w:t>
      </w:r>
      <w:r>
        <w:rPr>
          <w:bCs/>
          <w:sz w:val="22"/>
          <w:szCs w:val="22"/>
          <w:lang w:val="sr-Latn-ME"/>
        </w:rPr>
        <w:t>j</w:t>
      </w:r>
      <w:r w:rsidRPr="0076003A">
        <w:rPr>
          <w:bCs/>
          <w:sz w:val="22"/>
          <w:szCs w:val="22"/>
          <w:lang w:val="sr-Latn-ME"/>
        </w:rPr>
        <w:t>ednost i efikasnost l</w:t>
      </w:r>
      <w:r>
        <w:rPr>
          <w:bCs/>
          <w:sz w:val="22"/>
          <w:szCs w:val="22"/>
          <w:lang w:val="sr-Latn-ME"/>
        </w:rPr>
        <w:t>ij</w:t>
      </w:r>
      <w:r w:rsidRPr="0076003A">
        <w:rPr>
          <w:bCs/>
          <w:sz w:val="22"/>
          <w:szCs w:val="22"/>
          <w:lang w:val="sr-Latn-ME"/>
        </w:rPr>
        <w:t>eka Fasenra kod d</w:t>
      </w:r>
      <w:r>
        <w:rPr>
          <w:bCs/>
          <w:sz w:val="22"/>
          <w:szCs w:val="22"/>
          <w:lang w:val="sr-Latn-ME"/>
        </w:rPr>
        <w:t>j</w:t>
      </w:r>
      <w:r w:rsidRPr="0076003A">
        <w:rPr>
          <w:bCs/>
          <w:sz w:val="22"/>
          <w:szCs w:val="22"/>
          <w:lang w:val="sr-Latn-ME"/>
        </w:rPr>
        <w:t>ece mlađe od 6 godina ni</w:t>
      </w:r>
      <w:r>
        <w:rPr>
          <w:bCs/>
          <w:sz w:val="22"/>
          <w:szCs w:val="22"/>
          <w:lang w:val="sr-Latn-ME"/>
        </w:rPr>
        <w:t>je</w:t>
      </w:r>
      <w:r w:rsidRPr="0076003A">
        <w:rPr>
          <w:bCs/>
          <w:sz w:val="22"/>
          <w:szCs w:val="22"/>
          <w:lang w:val="sr-Latn-ME"/>
        </w:rPr>
        <w:t>su utvrđene. Nema dostupnih podataka.</w:t>
      </w:r>
    </w:p>
    <w:p w14:paraId="405AB68F" w14:textId="77777777" w:rsidR="00A01871" w:rsidRPr="00F65520" w:rsidRDefault="00A01871" w:rsidP="00F0315A">
      <w:pPr>
        <w:tabs>
          <w:tab w:val="left" w:pos="540"/>
          <w:tab w:val="left" w:pos="569"/>
        </w:tabs>
        <w:jc w:val="both"/>
        <w:rPr>
          <w:bCs/>
          <w:sz w:val="22"/>
          <w:szCs w:val="22"/>
          <w:u w:val="single"/>
          <w:lang w:val="sr-Latn-ME"/>
        </w:rPr>
      </w:pPr>
    </w:p>
    <w:p w14:paraId="4AA41430" w14:textId="77777777" w:rsidR="00452E9D" w:rsidRPr="00F65520" w:rsidRDefault="00452E9D" w:rsidP="00F0315A">
      <w:pPr>
        <w:tabs>
          <w:tab w:val="left" w:pos="540"/>
          <w:tab w:val="left" w:pos="569"/>
        </w:tabs>
        <w:jc w:val="both"/>
        <w:rPr>
          <w:bCs/>
          <w:sz w:val="22"/>
          <w:szCs w:val="22"/>
          <w:u w:val="single"/>
          <w:lang w:val="sr-Latn-ME"/>
        </w:rPr>
      </w:pPr>
      <w:r w:rsidRPr="00F65520">
        <w:rPr>
          <w:bCs/>
          <w:sz w:val="22"/>
          <w:szCs w:val="22"/>
          <w:u w:val="single"/>
          <w:lang w:val="sr-Latn-ME"/>
        </w:rPr>
        <w:t>Način primjene</w:t>
      </w:r>
    </w:p>
    <w:p w14:paraId="13A76323" w14:textId="6D062A8B" w:rsidR="00452E9D" w:rsidRPr="00F65520" w:rsidRDefault="00452E9D" w:rsidP="00F0315A">
      <w:pPr>
        <w:tabs>
          <w:tab w:val="left" w:pos="540"/>
          <w:tab w:val="left" w:pos="569"/>
        </w:tabs>
        <w:jc w:val="both"/>
        <w:rPr>
          <w:bCs/>
          <w:sz w:val="22"/>
          <w:szCs w:val="22"/>
          <w:lang w:val="sr-Latn-ME"/>
        </w:rPr>
      </w:pPr>
    </w:p>
    <w:p w14:paraId="05EA146F" w14:textId="7403B96F" w:rsidR="00531849" w:rsidRPr="00F65520" w:rsidRDefault="00563989" w:rsidP="00F0315A">
      <w:pPr>
        <w:tabs>
          <w:tab w:val="left" w:pos="540"/>
          <w:tab w:val="left" w:pos="569"/>
        </w:tabs>
        <w:jc w:val="both"/>
        <w:rPr>
          <w:bCs/>
          <w:sz w:val="22"/>
          <w:szCs w:val="22"/>
          <w:lang w:val="sr-Latn-ME"/>
        </w:rPr>
      </w:pPr>
      <w:r w:rsidRPr="00F65520">
        <w:rPr>
          <w:sz w:val="22"/>
          <w:szCs w:val="22"/>
          <w:lang w:val="sr-Latn-ME"/>
        </w:rPr>
        <w:t>Ovaj l</w:t>
      </w:r>
      <w:r w:rsidR="00533AC7" w:rsidRPr="00F65520">
        <w:rPr>
          <w:sz w:val="22"/>
          <w:szCs w:val="22"/>
          <w:lang w:val="sr-Latn-ME"/>
        </w:rPr>
        <w:t xml:space="preserve">ijek </w:t>
      </w:r>
      <w:r w:rsidR="00533AC7" w:rsidRPr="00F65520">
        <w:rPr>
          <w:bCs/>
          <w:sz w:val="22"/>
          <w:szCs w:val="22"/>
          <w:lang w:val="sr-Latn-ME"/>
        </w:rPr>
        <w:t>primjenjuje se su</w:t>
      </w:r>
      <w:r w:rsidR="00F65520">
        <w:rPr>
          <w:bCs/>
          <w:sz w:val="22"/>
          <w:szCs w:val="22"/>
          <w:lang w:val="sr-Latn-ME"/>
        </w:rPr>
        <w:t>p</w:t>
      </w:r>
      <w:r w:rsidR="00531849" w:rsidRPr="00F65520">
        <w:rPr>
          <w:bCs/>
          <w:sz w:val="22"/>
          <w:szCs w:val="22"/>
          <w:lang w:val="sr-Latn-ME"/>
        </w:rPr>
        <w:t>kutanom injekcijom.</w:t>
      </w:r>
    </w:p>
    <w:p w14:paraId="001E97A2" w14:textId="77777777" w:rsidR="00531849" w:rsidRPr="00F65520" w:rsidRDefault="00531849" w:rsidP="00F0315A">
      <w:pPr>
        <w:tabs>
          <w:tab w:val="left" w:pos="540"/>
          <w:tab w:val="left" w:pos="569"/>
        </w:tabs>
        <w:jc w:val="both"/>
        <w:rPr>
          <w:bCs/>
          <w:sz w:val="22"/>
          <w:szCs w:val="22"/>
          <w:lang w:val="sr-Latn-ME"/>
        </w:rPr>
      </w:pPr>
    </w:p>
    <w:p w14:paraId="30ABC2E5" w14:textId="3D1721BC" w:rsidR="00531849" w:rsidRPr="00F65520" w:rsidRDefault="00531849" w:rsidP="00F0315A">
      <w:pPr>
        <w:tabs>
          <w:tab w:val="left" w:pos="540"/>
          <w:tab w:val="left" w:pos="569"/>
        </w:tabs>
        <w:jc w:val="both"/>
        <w:rPr>
          <w:bCs/>
          <w:sz w:val="22"/>
          <w:szCs w:val="22"/>
          <w:lang w:val="sr-Latn-ME"/>
        </w:rPr>
      </w:pPr>
      <w:r w:rsidRPr="00F65520">
        <w:rPr>
          <w:bCs/>
          <w:sz w:val="22"/>
          <w:szCs w:val="22"/>
          <w:lang w:val="sr-Latn-ME"/>
        </w:rPr>
        <w:t>Lijek Fasenra treba injektovati u bedra ili abdomen. Ako injekciju daje zdra</w:t>
      </w:r>
      <w:r w:rsidR="00F65520">
        <w:rPr>
          <w:bCs/>
          <w:sz w:val="22"/>
          <w:szCs w:val="22"/>
          <w:lang w:val="sr-Latn-ME"/>
        </w:rPr>
        <w:t>v</w:t>
      </w:r>
      <w:r w:rsidRPr="00F65520">
        <w:rPr>
          <w:bCs/>
          <w:sz w:val="22"/>
          <w:szCs w:val="22"/>
          <w:lang w:val="sr-Latn-ME"/>
        </w:rPr>
        <w:t>stveni radnik</w:t>
      </w:r>
      <w:r w:rsidR="00452FBA" w:rsidRPr="00F65520">
        <w:rPr>
          <w:bCs/>
          <w:sz w:val="22"/>
          <w:szCs w:val="22"/>
          <w:lang w:val="sr-Latn-ME"/>
        </w:rPr>
        <w:t>,</w:t>
      </w:r>
      <w:r w:rsidRPr="00F65520">
        <w:rPr>
          <w:bCs/>
          <w:sz w:val="22"/>
          <w:szCs w:val="22"/>
          <w:lang w:val="sr-Latn-ME"/>
        </w:rPr>
        <w:t xml:space="preserve"> lijek se može prim</w:t>
      </w:r>
      <w:r w:rsidR="00452FBA" w:rsidRPr="00F65520">
        <w:rPr>
          <w:bCs/>
          <w:sz w:val="22"/>
          <w:szCs w:val="22"/>
          <w:lang w:val="sr-Latn-ME"/>
        </w:rPr>
        <w:t>i</w:t>
      </w:r>
      <w:r w:rsidRPr="00F65520">
        <w:rPr>
          <w:bCs/>
          <w:sz w:val="22"/>
          <w:szCs w:val="22"/>
          <w:lang w:val="sr-Latn-ME"/>
        </w:rPr>
        <w:t>jeniti i u nadlakticu. Ne smije se injektovati u područja gdje je koža osjetljiva na dodir, prekrivena modricama, eritematozna ili tvrda.</w:t>
      </w:r>
    </w:p>
    <w:p w14:paraId="4860A901" w14:textId="77777777" w:rsidR="00531849" w:rsidRPr="00F65520" w:rsidRDefault="00531849" w:rsidP="00F0315A">
      <w:pPr>
        <w:tabs>
          <w:tab w:val="left" w:pos="540"/>
          <w:tab w:val="left" w:pos="569"/>
        </w:tabs>
        <w:jc w:val="both"/>
        <w:rPr>
          <w:bCs/>
          <w:sz w:val="22"/>
          <w:szCs w:val="22"/>
          <w:lang w:val="sr-Latn-ME"/>
        </w:rPr>
      </w:pPr>
    </w:p>
    <w:p w14:paraId="3F405D1C" w14:textId="4DEDD0EF" w:rsidR="00531849" w:rsidRPr="00F65520" w:rsidRDefault="00531849" w:rsidP="00F0315A">
      <w:pPr>
        <w:tabs>
          <w:tab w:val="left" w:pos="540"/>
          <w:tab w:val="left" w:pos="569"/>
        </w:tabs>
        <w:jc w:val="both"/>
        <w:rPr>
          <w:bCs/>
          <w:sz w:val="22"/>
          <w:szCs w:val="22"/>
          <w:lang w:val="sr-Latn-ME"/>
        </w:rPr>
      </w:pPr>
      <w:r w:rsidRPr="00F65520">
        <w:rPr>
          <w:bCs/>
          <w:sz w:val="22"/>
          <w:szCs w:val="22"/>
          <w:lang w:val="sr-Latn-ME"/>
        </w:rPr>
        <w:t xml:space="preserve">Detaljna </w:t>
      </w:r>
      <w:r w:rsidR="00F65520" w:rsidRPr="00F65520">
        <w:rPr>
          <w:bCs/>
          <w:sz w:val="22"/>
          <w:szCs w:val="22"/>
          <w:lang w:val="sr-Latn-ME"/>
        </w:rPr>
        <w:t>uputstva</w:t>
      </w:r>
      <w:r w:rsidRPr="00F65520">
        <w:rPr>
          <w:bCs/>
          <w:sz w:val="22"/>
          <w:szCs w:val="22"/>
          <w:lang w:val="sr-Latn-ME"/>
        </w:rPr>
        <w:t xml:space="preserve"> za primjenu lijeka uz pomoć napunjenog injekcionog šprica ili napunjenog pena </w:t>
      </w:r>
      <w:r w:rsidR="00452FBA" w:rsidRPr="00F65520">
        <w:rPr>
          <w:bCs/>
          <w:sz w:val="22"/>
          <w:szCs w:val="22"/>
          <w:lang w:val="sr-Latn-ME"/>
        </w:rPr>
        <w:t xml:space="preserve">navedena </w:t>
      </w:r>
      <w:r w:rsidRPr="00F65520">
        <w:rPr>
          <w:bCs/>
          <w:sz w:val="22"/>
          <w:szCs w:val="22"/>
          <w:lang w:val="sr-Latn-ME"/>
        </w:rPr>
        <w:t>se u Uputstvu za upotrebu.</w:t>
      </w:r>
    </w:p>
    <w:p w14:paraId="209B1055" w14:textId="77777777" w:rsidR="00531849" w:rsidRPr="00F65520" w:rsidRDefault="00531849" w:rsidP="00F0315A">
      <w:pPr>
        <w:tabs>
          <w:tab w:val="left" w:pos="540"/>
          <w:tab w:val="left" w:pos="569"/>
        </w:tabs>
        <w:jc w:val="both"/>
        <w:rPr>
          <w:bCs/>
          <w:sz w:val="22"/>
          <w:szCs w:val="22"/>
          <w:lang w:val="sr-Latn-ME"/>
        </w:rPr>
      </w:pPr>
    </w:p>
    <w:p w14:paraId="1792E632" w14:textId="77777777" w:rsidR="00411B4B" w:rsidRPr="00F65520" w:rsidRDefault="00411B4B" w:rsidP="00F0315A">
      <w:pPr>
        <w:tabs>
          <w:tab w:val="left" w:pos="540"/>
          <w:tab w:val="left" w:pos="569"/>
        </w:tabs>
        <w:jc w:val="both"/>
        <w:rPr>
          <w:b/>
          <w:bCs/>
          <w:sz w:val="22"/>
          <w:szCs w:val="22"/>
          <w:lang w:val="sr-Latn-ME"/>
        </w:rPr>
      </w:pPr>
      <w:r w:rsidRPr="00F65520">
        <w:rPr>
          <w:b/>
          <w:bCs/>
          <w:sz w:val="22"/>
          <w:szCs w:val="22"/>
          <w:lang w:val="sr-Latn-ME"/>
        </w:rPr>
        <w:t xml:space="preserve">4.3. </w:t>
      </w:r>
      <w:r w:rsidR="00480FB1" w:rsidRPr="00F65520">
        <w:rPr>
          <w:b/>
          <w:bCs/>
          <w:sz w:val="22"/>
          <w:szCs w:val="22"/>
          <w:lang w:val="sr-Latn-ME"/>
        </w:rPr>
        <w:tab/>
      </w:r>
      <w:r w:rsidRPr="00F65520">
        <w:rPr>
          <w:b/>
          <w:bCs/>
          <w:sz w:val="22"/>
          <w:szCs w:val="22"/>
          <w:lang w:val="sr-Latn-ME"/>
        </w:rPr>
        <w:t>Kontraindikacije</w:t>
      </w:r>
    </w:p>
    <w:p w14:paraId="7995D3A4" w14:textId="1DBBBAD8" w:rsidR="0072020E" w:rsidRPr="00F65520" w:rsidRDefault="0072020E" w:rsidP="00F0315A">
      <w:pPr>
        <w:tabs>
          <w:tab w:val="left" w:pos="540"/>
          <w:tab w:val="left" w:pos="569"/>
        </w:tabs>
        <w:jc w:val="both"/>
        <w:rPr>
          <w:bCs/>
          <w:sz w:val="22"/>
          <w:szCs w:val="22"/>
          <w:lang w:val="sr-Latn-ME"/>
        </w:rPr>
      </w:pPr>
    </w:p>
    <w:p w14:paraId="298E668B" w14:textId="18D639FB" w:rsidR="00720572" w:rsidRPr="00F65520" w:rsidRDefault="00720572" w:rsidP="00F0315A">
      <w:pPr>
        <w:tabs>
          <w:tab w:val="left" w:pos="540"/>
          <w:tab w:val="left" w:pos="569"/>
        </w:tabs>
        <w:jc w:val="both"/>
        <w:rPr>
          <w:bCs/>
          <w:sz w:val="22"/>
          <w:szCs w:val="22"/>
          <w:lang w:val="sr-Latn-ME"/>
        </w:rPr>
      </w:pPr>
      <w:r w:rsidRPr="00F65520">
        <w:rPr>
          <w:bCs/>
          <w:sz w:val="22"/>
          <w:szCs w:val="22"/>
          <w:lang w:val="sr-Latn-ME"/>
        </w:rPr>
        <w:t>Preos</w:t>
      </w:r>
      <w:r w:rsidR="00B26FED" w:rsidRPr="00F65520">
        <w:rPr>
          <w:bCs/>
          <w:sz w:val="22"/>
          <w:szCs w:val="22"/>
          <w:lang w:val="sr-Latn-ME"/>
        </w:rPr>
        <w:t>j</w:t>
      </w:r>
      <w:r w:rsidRPr="00F65520">
        <w:rPr>
          <w:bCs/>
          <w:sz w:val="22"/>
          <w:szCs w:val="22"/>
          <w:lang w:val="sr-Latn-ME"/>
        </w:rPr>
        <w:t>etljivost na aktivnu supstancu ili na bilo koju od pomoćnih supstanci navedenih u odjeljku 6.1.</w:t>
      </w:r>
    </w:p>
    <w:p w14:paraId="45FBAD16" w14:textId="77777777" w:rsidR="00720572" w:rsidRPr="00F65520" w:rsidRDefault="00720572" w:rsidP="00F0315A">
      <w:pPr>
        <w:tabs>
          <w:tab w:val="left" w:pos="540"/>
          <w:tab w:val="left" w:pos="569"/>
        </w:tabs>
        <w:jc w:val="both"/>
        <w:rPr>
          <w:bCs/>
          <w:sz w:val="22"/>
          <w:szCs w:val="22"/>
          <w:lang w:val="sr-Latn-ME"/>
        </w:rPr>
      </w:pPr>
    </w:p>
    <w:p w14:paraId="03E545B9" w14:textId="77777777" w:rsidR="00411B4B" w:rsidRPr="00F65520" w:rsidRDefault="00411B4B" w:rsidP="00F0315A">
      <w:pPr>
        <w:tabs>
          <w:tab w:val="left" w:pos="540"/>
          <w:tab w:val="left" w:pos="569"/>
        </w:tabs>
        <w:jc w:val="both"/>
        <w:rPr>
          <w:b/>
          <w:bCs/>
          <w:sz w:val="22"/>
          <w:szCs w:val="22"/>
          <w:lang w:val="sr-Latn-ME"/>
        </w:rPr>
      </w:pPr>
      <w:r w:rsidRPr="00F65520">
        <w:rPr>
          <w:b/>
          <w:bCs/>
          <w:sz w:val="22"/>
          <w:szCs w:val="22"/>
          <w:lang w:val="sr-Latn-ME"/>
        </w:rPr>
        <w:t xml:space="preserve">4.4. </w:t>
      </w:r>
      <w:r w:rsidR="00480FB1" w:rsidRPr="00F65520">
        <w:rPr>
          <w:b/>
          <w:bCs/>
          <w:sz w:val="22"/>
          <w:szCs w:val="22"/>
          <w:lang w:val="sr-Latn-ME"/>
        </w:rPr>
        <w:tab/>
      </w:r>
      <w:r w:rsidRPr="00F65520">
        <w:rPr>
          <w:b/>
          <w:bCs/>
          <w:sz w:val="22"/>
          <w:szCs w:val="22"/>
          <w:lang w:val="sr-Latn-ME"/>
        </w:rPr>
        <w:t>Posebna upozorenja i mjere opreza pri upotrebi lijeka</w:t>
      </w:r>
    </w:p>
    <w:p w14:paraId="0DB08986" w14:textId="3D09D854" w:rsidR="0072020E" w:rsidRPr="00F65520" w:rsidRDefault="0072020E" w:rsidP="00F0315A">
      <w:pPr>
        <w:tabs>
          <w:tab w:val="left" w:pos="540"/>
          <w:tab w:val="left" w:pos="569"/>
        </w:tabs>
        <w:jc w:val="both"/>
        <w:rPr>
          <w:bCs/>
          <w:sz w:val="22"/>
          <w:szCs w:val="22"/>
          <w:lang w:val="sr-Latn-ME"/>
        </w:rPr>
      </w:pPr>
    </w:p>
    <w:p w14:paraId="0D42326B" w14:textId="25AC6076" w:rsidR="00563989" w:rsidRPr="00F65520" w:rsidRDefault="00563989" w:rsidP="00563989">
      <w:pPr>
        <w:rPr>
          <w:sz w:val="22"/>
          <w:szCs w:val="22"/>
          <w:lang w:val="sr-Latn-ME"/>
        </w:rPr>
      </w:pPr>
      <w:r w:rsidRPr="00F65520">
        <w:rPr>
          <w:sz w:val="22"/>
          <w:szCs w:val="22"/>
          <w:lang w:val="sr-Latn-ME"/>
        </w:rPr>
        <w:t>Sl</w:t>
      </w:r>
      <w:r w:rsidR="00F65520">
        <w:rPr>
          <w:sz w:val="22"/>
          <w:szCs w:val="22"/>
          <w:lang w:val="sr-Latn-ME"/>
        </w:rPr>
        <w:t>ij</w:t>
      </w:r>
      <w:r w:rsidRPr="00F65520">
        <w:rPr>
          <w:sz w:val="22"/>
          <w:szCs w:val="22"/>
          <w:lang w:val="sr-Latn-ME"/>
        </w:rPr>
        <w:t>edljivost</w:t>
      </w:r>
    </w:p>
    <w:p w14:paraId="3F94F6D5" w14:textId="77777777" w:rsidR="00563989" w:rsidRPr="00F65520" w:rsidRDefault="00563989" w:rsidP="00563989">
      <w:pPr>
        <w:rPr>
          <w:sz w:val="22"/>
          <w:szCs w:val="22"/>
          <w:lang w:val="sr-Latn-ME"/>
        </w:rPr>
      </w:pPr>
    </w:p>
    <w:p w14:paraId="50CE198D" w14:textId="6A69C593" w:rsidR="00563989" w:rsidRPr="00F65520" w:rsidRDefault="00563989" w:rsidP="00563989">
      <w:pPr>
        <w:rPr>
          <w:sz w:val="22"/>
          <w:szCs w:val="22"/>
          <w:lang w:val="sr-Latn-ME"/>
        </w:rPr>
      </w:pPr>
      <w:r w:rsidRPr="00F65520">
        <w:rPr>
          <w:sz w:val="22"/>
          <w:szCs w:val="22"/>
          <w:lang w:val="sr-Latn-ME"/>
        </w:rPr>
        <w:t>U cilju unapređenja sl</w:t>
      </w:r>
      <w:r w:rsidR="00F65520">
        <w:rPr>
          <w:sz w:val="22"/>
          <w:szCs w:val="22"/>
          <w:lang w:val="sr-Latn-ME"/>
        </w:rPr>
        <w:t>ij</w:t>
      </w:r>
      <w:r w:rsidRPr="00F65520">
        <w:rPr>
          <w:sz w:val="22"/>
          <w:szCs w:val="22"/>
          <w:lang w:val="sr-Latn-ME"/>
        </w:rPr>
        <w:t>edljivosti bioloških ljekova, naziv i broj serije prim</w:t>
      </w:r>
      <w:r w:rsidR="00F65520">
        <w:rPr>
          <w:sz w:val="22"/>
          <w:szCs w:val="22"/>
          <w:lang w:val="sr-Latn-ME"/>
        </w:rPr>
        <w:t>i</w:t>
      </w:r>
      <w:r w:rsidRPr="00F65520">
        <w:rPr>
          <w:sz w:val="22"/>
          <w:szCs w:val="22"/>
          <w:lang w:val="sr-Latn-ME"/>
        </w:rPr>
        <w:t>jenjenog proizvoda treba jasno zabilježiti.</w:t>
      </w:r>
    </w:p>
    <w:p w14:paraId="0DB71DB4" w14:textId="77777777" w:rsidR="00563989" w:rsidRPr="00F65520" w:rsidRDefault="00563989" w:rsidP="00563989">
      <w:pPr>
        <w:rPr>
          <w:sz w:val="22"/>
          <w:szCs w:val="22"/>
          <w:lang w:val="sr-Latn-ME"/>
        </w:rPr>
      </w:pPr>
    </w:p>
    <w:p w14:paraId="44FB2FF2" w14:textId="77777777" w:rsidR="00563989" w:rsidRPr="00F65520" w:rsidRDefault="00563989" w:rsidP="00563989">
      <w:pPr>
        <w:rPr>
          <w:sz w:val="22"/>
          <w:szCs w:val="22"/>
          <w:lang w:val="sr-Latn-ME"/>
        </w:rPr>
      </w:pPr>
      <w:r w:rsidRPr="00F65520">
        <w:rPr>
          <w:sz w:val="22"/>
          <w:szCs w:val="22"/>
          <w:lang w:val="sr-Latn-ME"/>
        </w:rPr>
        <w:t>Egzacerbacije astme</w:t>
      </w:r>
    </w:p>
    <w:p w14:paraId="4FEDD8F8" w14:textId="77777777" w:rsidR="00563989" w:rsidRPr="00F65520" w:rsidRDefault="00563989" w:rsidP="00F0315A">
      <w:pPr>
        <w:tabs>
          <w:tab w:val="left" w:pos="540"/>
          <w:tab w:val="left" w:pos="569"/>
        </w:tabs>
        <w:jc w:val="both"/>
        <w:rPr>
          <w:bCs/>
          <w:sz w:val="22"/>
          <w:szCs w:val="22"/>
          <w:lang w:val="sr-Latn-ME"/>
        </w:rPr>
      </w:pPr>
    </w:p>
    <w:p w14:paraId="057CDC49" w14:textId="77777777" w:rsidR="005C7BCD" w:rsidRPr="00F65520" w:rsidRDefault="005C7BCD" w:rsidP="00F0315A">
      <w:pPr>
        <w:tabs>
          <w:tab w:val="left" w:pos="540"/>
          <w:tab w:val="left" w:pos="569"/>
        </w:tabs>
        <w:jc w:val="both"/>
        <w:rPr>
          <w:bCs/>
          <w:sz w:val="22"/>
          <w:szCs w:val="22"/>
          <w:lang w:val="sr-Latn-ME"/>
        </w:rPr>
      </w:pPr>
      <w:r w:rsidRPr="00F65520">
        <w:rPr>
          <w:bCs/>
          <w:sz w:val="22"/>
          <w:szCs w:val="22"/>
          <w:lang w:val="sr-Latn-ME"/>
        </w:rPr>
        <w:t>Lijek Fasenra ne smije se koristiti za liječenje akutnih egzacerbacija astme.</w:t>
      </w:r>
    </w:p>
    <w:p w14:paraId="221B9DEF" w14:textId="77777777" w:rsidR="005C7BCD" w:rsidRPr="00F65520" w:rsidRDefault="005C7BCD" w:rsidP="00F0315A">
      <w:pPr>
        <w:tabs>
          <w:tab w:val="left" w:pos="540"/>
          <w:tab w:val="left" w:pos="569"/>
        </w:tabs>
        <w:jc w:val="both"/>
        <w:rPr>
          <w:bCs/>
          <w:sz w:val="22"/>
          <w:szCs w:val="22"/>
          <w:lang w:val="sr-Latn-ME"/>
        </w:rPr>
      </w:pPr>
    </w:p>
    <w:p w14:paraId="1886A342" w14:textId="77777777" w:rsidR="005C7BCD" w:rsidRPr="00F65520" w:rsidRDefault="005C7BCD" w:rsidP="00F0315A">
      <w:pPr>
        <w:tabs>
          <w:tab w:val="left" w:pos="540"/>
          <w:tab w:val="left" w:pos="569"/>
        </w:tabs>
        <w:jc w:val="both"/>
        <w:rPr>
          <w:bCs/>
          <w:sz w:val="22"/>
          <w:szCs w:val="22"/>
          <w:lang w:val="sr-Latn-ME"/>
        </w:rPr>
      </w:pPr>
      <w:r w:rsidRPr="00F65520">
        <w:rPr>
          <w:bCs/>
          <w:sz w:val="22"/>
          <w:szCs w:val="22"/>
          <w:lang w:val="sr-Latn-ME"/>
        </w:rPr>
        <w:t>Pacijente treba uputiti da se obrate ljekaru za savjet ako im je astma i dalje nekontrolisana ili ako se pogorša nakon početka liječenja.</w:t>
      </w:r>
    </w:p>
    <w:p w14:paraId="38439054" w14:textId="77777777" w:rsidR="00563989" w:rsidRPr="00F65520" w:rsidRDefault="00563989" w:rsidP="00563989">
      <w:pPr>
        <w:rPr>
          <w:sz w:val="22"/>
          <w:szCs w:val="22"/>
          <w:lang w:val="sr-Latn-ME"/>
        </w:rPr>
      </w:pPr>
    </w:p>
    <w:p w14:paraId="10C2A0B3" w14:textId="150F7897" w:rsidR="00563989" w:rsidRPr="00F65520" w:rsidRDefault="00F65520" w:rsidP="00563989">
      <w:pPr>
        <w:rPr>
          <w:sz w:val="22"/>
          <w:szCs w:val="22"/>
          <w:lang w:val="sr-Latn-ME"/>
        </w:rPr>
      </w:pPr>
      <w:r w:rsidRPr="00F65520">
        <w:rPr>
          <w:sz w:val="22"/>
          <w:szCs w:val="22"/>
          <w:lang w:val="sr-Latn-ME"/>
        </w:rPr>
        <w:t>Kor</w:t>
      </w:r>
      <w:r>
        <w:rPr>
          <w:sz w:val="22"/>
          <w:szCs w:val="22"/>
          <w:lang w:val="sr-Latn-ME"/>
        </w:rPr>
        <w:t>t</w:t>
      </w:r>
      <w:r w:rsidRPr="00F65520">
        <w:rPr>
          <w:sz w:val="22"/>
          <w:szCs w:val="22"/>
          <w:lang w:val="sr-Latn-ME"/>
        </w:rPr>
        <w:t>ikosteroid</w:t>
      </w:r>
      <w:r>
        <w:rPr>
          <w:sz w:val="22"/>
          <w:szCs w:val="22"/>
          <w:lang w:val="sr-Latn-ME"/>
        </w:rPr>
        <w:t>i</w:t>
      </w:r>
    </w:p>
    <w:p w14:paraId="0031CEC2" w14:textId="77777777" w:rsidR="005C7BCD" w:rsidRPr="00F65520" w:rsidRDefault="005C7BCD" w:rsidP="00F0315A">
      <w:pPr>
        <w:tabs>
          <w:tab w:val="left" w:pos="540"/>
          <w:tab w:val="left" w:pos="569"/>
        </w:tabs>
        <w:jc w:val="both"/>
        <w:rPr>
          <w:bCs/>
          <w:sz w:val="22"/>
          <w:szCs w:val="22"/>
          <w:lang w:val="sr-Latn-ME"/>
        </w:rPr>
      </w:pPr>
    </w:p>
    <w:p w14:paraId="11D5894C" w14:textId="77777777" w:rsidR="005C7BCD" w:rsidRPr="00F65520" w:rsidRDefault="005C7BCD" w:rsidP="00F0315A">
      <w:pPr>
        <w:tabs>
          <w:tab w:val="left" w:pos="540"/>
          <w:tab w:val="left" w:pos="569"/>
        </w:tabs>
        <w:jc w:val="both"/>
        <w:rPr>
          <w:bCs/>
          <w:sz w:val="22"/>
          <w:szCs w:val="22"/>
          <w:lang w:val="sr-Latn-ME"/>
        </w:rPr>
      </w:pPr>
      <w:r w:rsidRPr="00F65520">
        <w:rPr>
          <w:bCs/>
          <w:sz w:val="22"/>
          <w:szCs w:val="22"/>
          <w:lang w:val="sr-Latn-ME"/>
        </w:rPr>
        <w:t>Ne preporučuje se nagli prekid primjene kortikosteroida nakon uvođenja liječenja lijekom Fasenra.</w:t>
      </w:r>
    </w:p>
    <w:p w14:paraId="4800F184" w14:textId="77777777" w:rsidR="005C7BCD" w:rsidRPr="00F65520" w:rsidRDefault="005C7BCD" w:rsidP="00F0315A">
      <w:pPr>
        <w:tabs>
          <w:tab w:val="left" w:pos="540"/>
          <w:tab w:val="left" w:pos="569"/>
        </w:tabs>
        <w:jc w:val="both"/>
        <w:rPr>
          <w:bCs/>
          <w:sz w:val="22"/>
          <w:szCs w:val="22"/>
          <w:lang w:val="sr-Latn-ME"/>
        </w:rPr>
      </w:pPr>
      <w:r w:rsidRPr="00F65520">
        <w:rPr>
          <w:bCs/>
          <w:sz w:val="22"/>
          <w:szCs w:val="22"/>
          <w:lang w:val="sr-Latn-ME"/>
        </w:rPr>
        <w:t>Ako je potrebno, doze kortikosteroida treba smanjivati postupno i pod nadzorom ljekara.</w:t>
      </w:r>
    </w:p>
    <w:p w14:paraId="4F2EDDB2" w14:textId="77777777" w:rsidR="00D05FBC" w:rsidRPr="00F65520" w:rsidRDefault="00D05FBC" w:rsidP="00F0315A">
      <w:pPr>
        <w:tabs>
          <w:tab w:val="left" w:pos="540"/>
          <w:tab w:val="left" w:pos="569"/>
        </w:tabs>
        <w:jc w:val="both"/>
        <w:rPr>
          <w:bCs/>
          <w:sz w:val="22"/>
          <w:szCs w:val="22"/>
          <w:u w:val="single"/>
          <w:lang w:val="sr-Latn-ME"/>
        </w:rPr>
      </w:pPr>
    </w:p>
    <w:p w14:paraId="58391419" w14:textId="7AB364CC" w:rsidR="005C7BCD" w:rsidRPr="00F65520" w:rsidRDefault="005C7BCD" w:rsidP="00F0315A">
      <w:pPr>
        <w:tabs>
          <w:tab w:val="left" w:pos="540"/>
          <w:tab w:val="left" w:pos="569"/>
        </w:tabs>
        <w:jc w:val="both"/>
        <w:rPr>
          <w:bCs/>
          <w:sz w:val="22"/>
          <w:szCs w:val="22"/>
          <w:u w:val="single"/>
          <w:lang w:val="sr-Latn-ME"/>
        </w:rPr>
      </w:pPr>
      <w:r w:rsidRPr="00F65520">
        <w:rPr>
          <w:bCs/>
          <w:sz w:val="22"/>
          <w:szCs w:val="22"/>
          <w:u w:val="single"/>
          <w:lang w:val="sr-Latn-ME"/>
        </w:rPr>
        <w:t>Reakcije preosjetljivosti</w:t>
      </w:r>
    </w:p>
    <w:p w14:paraId="20C4DA87" w14:textId="77777777" w:rsidR="005C7BCD" w:rsidRPr="00F65520" w:rsidRDefault="005C7BCD" w:rsidP="00F0315A">
      <w:pPr>
        <w:tabs>
          <w:tab w:val="left" w:pos="540"/>
          <w:tab w:val="left" w:pos="569"/>
        </w:tabs>
        <w:jc w:val="both"/>
        <w:rPr>
          <w:bCs/>
          <w:sz w:val="22"/>
          <w:szCs w:val="22"/>
          <w:u w:val="single"/>
          <w:lang w:val="sr-Latn-ME"/>
        </w:rPr>
      </w:pPr>
    </w:p>
    <w:p w14:paraId="3B001F8C" w14:textId="703977E1" w:rsidR="005C7BCD" w:rsidRPr="00F65520" w:rsidRDefault="005C7BCD" w:rsidP="00F0315A">
      <w:pPr>
        <w:tabs>
          <w:tab w:val="left" w:pos="540"/>
          <w:tab w:val="left" w:pos="569"/>
        </w:tabs>
        <w:jc w:val="both"/>
        <w:rPr>
          <w:bCs/>
          <w:sz w:val="22"/>
          <w:szCs w:val="22"/>
          <w:lang w:val="sr-Latn-ME"/>
        </w:rPr>
      </w:pPr>
      <w:r w:rsidRPr="00F65520">
        <w:rPr>
          <w:bCs/>
          <w:sz w:val="22"/>
          <w:szCs w:val="22"/>
          <w:lang w:val="sr-Latn-ME"/>
        </w:rPr>
        <w:t>Nakon primjene benralizumaba</w:t>
      </w:r>
      <w:r w:rsidR="00B36CC7" w:rsidRPr="00F65520">
        <w:rPr>
          <w:bCs/>
          <w:sz w:val="22"/>
          <w:szCs w:val="22"/>
          <w:lang w:val="sr-Latn-ME"/>
        </w:rPr>
        <w:t>,</w:t>
      </w:r>
      <w:r w:rsidRPr="00F65520">
        <w:rPr>
          <w:bCs/>
          <w:sz w:val="22"/>
          <w:szCs w:val="22"/>
          <w:lang w:val="sr-Latn-ME"/>
        </w:rPr>
        <w:t xml:space="preserve"> javile su se akutne sistemske reakcije uključujući anafilaktičke reakcije i reakcije preosjetljivosti (npr. urtikarija, papulozna urtikarija, osip)</w:t>
      </w:r>
      <w:r w:rsidR="00453CA7" w:rsidRPr="00F65520">
        <w:rPr>
          <w:bCs/>
          <w:sz w:val="22"/>
          <w:szCs w:val="22"/>
          <w:lang w:val="sr-Latn-ME"/>
        </w:rPr>
        <w:t xml:space="preserve"> (vidjeti odjeljak 4.8)</w:t>
      </w:r>
      <w:r w:rsidRPr="00F65520">
        <w:rPr>
          <w:bCs/>
          <w:sz w:val="22"/>
          <w:szCs w:val="22"/>
          <w:lang w:val="sr-Latn-ME"/>
        </w:rPr>
        <w:t>. Te reakcije se mogu javiti unutar nekoliko sati nakon primjene, ali u nekim slučajevima nastupaju kasnije (tj. nakon nekoliko dana).</w:t>
      </w:r>
    </w:p>
    <w:p w14:paraId="0EC701AC" w14:textId="77777777" w:rsidR="005C7BCD" w:rsidRPr="00F65520" w:rsidRDefault="005C7BCD" w:rsidP="00F0315A">
      <w:pPr>
        <w:tabs>
          <w:tab w:val="left" w:pos="540"/>
          <w:tab w:val="left" w:pos="569"/>
        </w:tabs>
        <w:jc w:val="both"/>
        <w:rPr>
          <w:bCs/>
          <w:sz w:val="22"/>
          <w:szCs w:val="22"/>
          <w:lang w:val="sr-Latn-ME"/>
        </w:rPr>
      </w:pPr>
    </w:p>
    <w:p w14:paraId="0397E5BA" w14:textId="4CAB5191" w:rsidR="005C7BCD" w:rsidRPr="00F65520" w:rsidRDefault="005C7BCD" w:rsidP="00F0315A">
      <w:pPr>
        <w:tabs>
          <w:tab w:val="left" w:pos="540"/>
          <w:tab w:val="left" w:pos="569"/>
        </w:tabs>
        <w:jc w:val="both"/>
        <w:rPr>
          <w:bCs/>
          <w:sz w:val="22"/>
          <w:szCs w:val="22"/>
          <w:lang w:val="sr-Latn-ME"/>
        </w:rPr>
      </w:pPr>
      <w:r w:rsidRPr="00F65520">
        <w:rPr>
          <w:bCs/>
          <w:sz w:val="22"/>
          <w:szCs w:val="22"/>
          <w:lang w:val="sr-Latn-ME"/>
        </w:rPr>
        <w:t>Anafilaksa u istoriji bolesti koja nije povezana sa benralizumabom, može biti rizičan faktor za pojavu anafilakse nakon primjene lijeka Fasenra (vidjeti odjeljak 4.3). U skladu sa kliničkom praksom, pacijente treba pratiti tokom odgovarajućeg vr</w:t>
      </w:r>
      <w:r w:rsidR="00F65520">
        <w:rPr>
          <w:bCs/>
          <w:sz w:val="22"/>
          <w:szCs w:val="22"/>
          <w:lang w:val="sr-Latn-ME"/>
        </w:rPr>
        <w:t>ij</w:t>
      </w:r>
      <w:r w:rsidRPr="00F65520">
        <w:rPr>
          <w:bCs/>
          <w:sz w:val="22"/>
          <w:szCs w:val="22"/>
          <w:lang w:val="sr-Latn-ME"/>
        </w:rPr>
        <w:t xml:space="preserve">emena nakon primjene lijeka Fasenra. </w:t>
      </w:r>
    </w:p>
    <w:p w14:paraId="7554B38F" w14:textId="77777777" w:rsidR="005C7BCD" w:rsidRPr="00F65520" w:rsidRDefault="005C7BCD" w:rsidP="00F0315A">
      <w:pPr>
        <w:tabs>
          <w:tab w:val="left" w:pos="540"/>
          <w:tab w:val="left" w:pos="569"/>
        </w:tabs>
        <w:jc w:val="both"/>
        <w:rPr>
          <w:bCs/>
          <w:sz w:val="22"/>
          <w:szCs w:val="22"/>
          <w:lang w:val="sr-Latn-ME"/>
        </w:rPr>
      </w:pPr>
    </w:p>
    <w:p w14:paraId="4D796E7C" w14:textId="678FDFDE" w:rsidR="005C7BCD" w:rsidRPr="00F65520" w:rsidRDefault="005C7BCD" w:rsidP="00F0315A">
      <w:pPr>
        <w:tabs>
          <w:tab w:val="left" w:pos="540"/>
          <w:tab w:val="left" w:pos="569"/>
        </w:tabs>
        <w:jc w:val="both"/>
        <w:rPr>
          <w:bCs/>
          <w:sz w:val="22"/>
          <w:szCs w:val="22"/>
          <w:lang w:val="sr-Latn-ME"/>
        </w:rPr>
      </w:pPr>
      <w:r w:rsidRPr="00F65520">
        <w:rPr>
          <w:bCs/>
          <w:sz w:val="22"/>
          <w:szCs w:val="22"/>
          <w:lang w:val="sr-Latn-ME"/>
        </w:rPr>
        <w:t xml:space="preserve">Ako nastupi reakcija preosjetljivosti, mora se trajno prekinuti liječenje lijekom Fasenra i uvesti </w:t>
      </w:r>
      <w:r w:rsidR="00B36CC7" w:rsidRPr="00F65520">
        <w:rPr>
          <w:bCs/>
          <w:sz w:val="22"/>
          <w:szCs w:val="22"/>
          <w:lang w:val="sr-Latn-ME"/>
        </w:rPr>
        <w:t>odgovarajuća terapija</w:t>
      </w:r>
      <w:r w:rsidRPr="00F65520">
        <w:rPr>
          <w:bCs/>
          <w:sz w:val="22"/>
          <w:szCs w:val="22"/>
          <w:lang w:val="sr-Latn-ME"/>
        </w:rPr>
        <w:t xml:space="preserve">. </w:t>
      </w:r>
    </w:p>
    <w:p w14:paraId="46905680" w14:textId="77777777" w:rsidR="005C7BCD" w:rsidRPr="00F65520" w:rsidRDefault="005C7BCD" w:rsidP="00F0315A">
      <w:pPr>
        <w:tabs>
          <w:tab w:val="left" w:pos="540"/>
          <w:tab w:val="left" w:pos="569"/>
        </w:tabs>
        <w:jc w:val="both"/>
        <w:rPr>
          <w:bCs/>
          <w:sz w:val="22"/>
          <w:szCs w:val="22"/>
          <w:lang w:val="sr-Latn-ME"/>
        </w:rPr>
      </w:pPr>
    </w:p>
    <w:p w14:paraId="2A5342F8" w14:textId="77777777" w:rsidR="005C7BCD" w:rsidRPr="00F65520" w:rsidRDefault="005C7BCD" w:rsidP="00F0315A">
      <w:pPr>
        <w:tabs>
          <w:tab w:val="left" w:pos="540"/>
          <w:tab w:val="left" w:pos="569"/>
        </w:tabs>
        <w:jc w:val="both"/>
        <w:rPr>
          <w:bCs/>
          <w:sz w:val="22"/>
          <w:szCs w:val="22"/>
          <w:u w:val="single"/>
          <w:lang w:val="sr-Latn-ME"/>
        </w:rPr>
      </w:pPr>
      <w:r w:rsidRPr="00F65520">
        <w:rPr>
          <w:bCs/>
          <w:sz w:val="22"/>
          <w:szCs w:val="22"/>
          <w:u w:val="single"/>
          <w:lang w:val="sr-Latn-ME"/>
        </w:rPr>
        <w:t>Parazitska (helmintska) infekcija</w:t>
      </w:r>
    </w:p>
    <w:p w14:paraId="573CEF19" w14:textId="77777777" w:rsidR="005C7BCD" w:rsidRPr="00F65520" w:rsidRDefault="005C7BCD" w:rsidP="00F0315A">
      <w:pPr>
        <w:tabs>
          <w:tab w:val="left" w:pos="540"/>
          <w:tab w:val="left" w:pos="569"/>
        </w:tabs>
        <w:jc w:val="both"/>
        <w:rPr>
          <w:bCs/>
          <w:sz w:val="22"/>
          <w:szCs w:val="22"/>
          <w:u w:val="single"/>
          <w:lang w:val="sr-Latn-ME"/>
        </w:rPr>
      </w:pPr>
    </w:p>
    <w:p w14:paraId="57AD651A" w14:textId="483DB5B8" w:rsidR="005C7BCD" w:rsidRPr="00F65520" w:rsidRDefault="005C7BCD" w:rsidP="00F0315A">
      <w:pPr>
        <w:tabs>
          <w:tab w:val="left" w:pos="540"/>
          <w:tab w:val="left" w:pos="569"/>
        </w:tabs>
        <w:jc w:val="both"/>
        <w:rPr>
          <w:bCs/>
          <w:sz w:val="22"/>
          <w:szCs w:val="22"/>
          <w:lang w:val="sr-Latn-ME"/>
        </w:rPr>
      </w:pPr>
      <w:r w:rsidRPr="00F65520">
        <w:rPr>
          <w:bCs/>
          <w:sz w:val="22"/>
          <w:szCs w:val="22"/>
          <w:lang w:val="sr-Latn-ME"/>
        </w:rPr>
        <w:t xml:space="preserve">Eozinofili mogu biti uključeni u imunološki odgovor na neke infekcije helmintima. Pacijenti sa poznatim infekcijama helmintima nisu bili uključeni u klinička ispitivanja. Nije poznato može li </w:t>
      </w:r>
      <w:r w:rsidR="00563989" w:rsidRPr="00F65520">
        <w:rPr>
          <w:sz w:val="22"/>
          <w:szCs w:val="22"/>
          <w:lang w:val="sr-Latn-ME"/>
        </w:rPr>
        <w:t>benralizumab</w:t>
      </w:r>
      <w:r w:rsidR="00563989" w:rsidRPr="00F65520">
        <w:rPr>
          <w:bCs/>
          <w:sz w:val="22"/>
          <w:szCs w:val="22"/>
          <w:lang w:val="sr-Latn-ME"/>
        </w:rPr>
        <w:t xml:space="preserve"> </w:t>
      </w:r>
      <w:r w:rsidRPr="00F65520">
        <w:rPr>
          <w:bCs/>
          <w:sz w:val="22"/>
          <w:szCs w:val="22"/>
          <w:lang w:val="sr-Latn-ME"/>
        </w:rPr>
        <w:t>da utiče na pacijentov odgovor protiv infekcija helmintima.</w:t>
      </w:r>
    </w:p>
    <w:p w14:paraId="320C7A2D" w14:textId="77777777" w:rsidR="005C7BCD" w:rsidRPr="00F65520" w:rsidRDefault="005C7BCD" w:rsidP="00F0315A">
      <w:pPr>
        <w:tabs>
          <w:tab w:val="left" w:pos="540"/>
          <w:tab w:val="left" w:pos="569"/>
        </w:tabs>
        <w:jc w:val="both"/>
        <w:rPr>
          <w:bCs/>
          <w:sz w:val="22"/>
          <w:szCs w:val="22"/>
          <w:lang w:val="sr-Latn-ME"/>
        </w:rPr>
      </w:pPr>
    </w:p>
    <w:p w14:paraId="2237C901" w14:textId="4594185E" w:rsidR="00057E35" w:rsidRPr="00F65520" w:rsidRDefault="005C7BCD" w:rsidP="00F0315A">
      <w:pPr>
        <w:tabs>
          <w:tab w:val="left" w:pos="540"/>
          <w:tab w:val="left" w:pos="569"/>
        </w:tabs>
        <w:jc w:val="both"/>
        <w:rPr>
          <w:bCs/>
          <w:sz w:val="22"/>
          <w:szCs w:val="22"/>
          <w:lang w:val="sr-Latn-ME"/>
        </w:rPr>
      </w:pPr>
      <w:r w:rsidRPr="00F65520">
        <w:rPr>
          <w:bCs/>
          <w:sz w:val="22"/>
          <w:szCs w:val="22"/>
          <w:lang w:val="sr-Latn-ME"/>
        </w:rPr>
        <w:t xml:space="preserve">Pacijente sa postojećim infekcijama helmintima treba liječiti prije </w:t>
      </w:r>
      <w:r w:rsidR="00563989" w:rsidRPr="00F65520">
        <w:rPr>
          <w:sz w:val="22"/>
          <w:szCs w:val="22"/>
          <w:lang w:val="sr-Latn-ME"/>
        </w:rPr>
        <w:t>započinjanja terapi</w:t>
      </w:r>
      <w:r w:rsidR="00676C41" w:rsidRPr="00F65520">
        <w:rPr>
          <w:sz w:val="22"/>
          <w:szCs w:val="22"/>
          <w:lang w:val="sr-Latn-ME"/>
        </w:rPr>
        <w:t>je baenralizumabom</w:t>
      </w:r>
      <w:r w:rsidR="004A0E90" w:rsidRPr="00F65520">
        <w:rPr>
          <w:bCs/>
          <w:sz w:val="22"/>
          <w:szCs w:val="22"/>
          <w:lang w:val="sr-Latn-ME"/>
        </w:rPr>
        <w:t>.</w:t>
      </w:r>
      <w:r w:rsidR="00B36CC7" w:rsidRPr="00F65520">
        <w:rPr>
          <w:bCs/>
          <w:sz w:val="22"/>
          <w:szCs w:val="22"/>
          <w:lang w:val="sr-Latn-ME"/>
        </w:rPr>
        <w:t xml:space="preserve"> </w:t>
      </w:r>
      <w:r w:rsidRPr="00F65520">
        <w:rPr>
          <w:bCs/>
          <w:sz w:val="22"/>
          <w:szCs w:val="22"/>
          <w:lang w:val="sr-Latn-ME"/>
        </w:rPr>
        <w:t xml:space="preserve">Ako se pacijenti zaraze dok primaju lijek i ne odgovaraju na liječenje antihelminticima, liječenje </w:t>
      </w:r>
      <w:r w:rsidR="00676C41" w:rsidRPr="00F65520">
        <w:rPr>
          <w:sz w:val="22"/>
          <w:szCs w:val="22"/>
          <w:lang w:val="sr-Latn-ME"/>
        </w:rPr>
        <w:t>benralizumabom</w:t>
      </w:r>
      <w:r w:rsidR="00676C41" w:rsidRPr="00F65520">
        <w:rPr>
          <w:bCs/>
          <w:sz w:val="22"/>
          <w:szCs w:val="22"/>
          <w:lang w:val="sr-Latn-ME"/>
        </w:rPr>
        <w:t xml:space="preserve"> </w:t>
      </w:r>
      <w:r w:rsidRPr="00F65520">
        <w:rPr>
          <w:bCs/>
          <w:sz w:val="22"/>
          <w:szCs w:val="22"/>
          <w:lang w:val="sr-Latn-ME"/>
        </w:rPr>
        <w:t>treba prekinuti dok se infekcija ne povuče.</w:t>
      </w:r>
    </w:p>
    <w:p w14:paraId="0C4D1BF6" w14:textId="77777777" w:rsidR="008A0121" w:rsidRPr="00F65520" w:rsidRDefault="008A0121" w:rsidP="00F0315A">
      <w:pPr>
        <w:tabs>
          <w:tab w:val="left" w:pos="540"/>
          <w:tab w:val="left" w:pos="569"/>
        </w:tabs>
        <w:jc w:val="both"/>
        <w:rPr>
          <w:bCs/>
          <w:sz w:val="22"/>
          <w:szCs w:val="22"/>
          <w:lang w:val="sr-Latn-ME"/>
        </w:rPr>
      </w:pPr>
    </w:p>
    <w:p w14:paraId="5126E80E" w14:textId="77777777" w:rsidR="00411B4B" w:rsidRPr="00F65520" w:rsidRDefault="00411B4B" w:rsidP="00F0315A">
      <w:pPr>
        <w:tabs>
          <w:tab w:val="left" w:pos="540"/>
          <w:tab w:val="left" w:pos="569"/>
        </w:tabs>
        <w:jc w:val="both"/>
        <w:rPr>
          <w:b/>
          <w:bCs/>
          <w:sz w:val="22"/>
          <w:szCs w:val="22"/>
          <w:lang w:val="sr-Latn-ME"/>
        </w:rPr>
      </w:pPr>
      <w:r w:rsidRPr="00F65520">
        <w:rPr>
          <w:b/>
          <w:bCs/>
          <w:sz w:val="22"/>
          <w:szCs w:val="22"/>
          <w:lang w:val="sr-Latn-ME"/>
        </w:rPr>
        <w:t>4.5.</w:t>
      </w:r>
      <w:r w:rsidR="000D60CC" w:rsidRPr="00F65520">
        <w:rPr>
          <w:b/>
          <w:bCs/>
          <w:sz w:val="22"/>
          <w:szCs w:val="22"/>
          <w:lang w:val="sr-Latn-ME"/>
        </w:rPr>
        <w:tab/>
      </w:r>
      <w:r w:rsidRPr="00F65520">
        <w:rPr>
          <w:b/>
          <w:bCs/>
          <w:sz w:val="22"/>
          <w:szCs w:val="22"/>
          <w:lang w:val="sr-Latn-ME"/>
        </w:rPr>
        <w:t>Interakcije sa drugim ljekovima i druge vrste interakcija</w:t>
      </w:r>
    </w:p>
    <w:p w14:paraId="5CA13FDE" w14:textId="5F176739" w:rsidR="0072020E" w:rsidRPr="00F65520" w:rsidRDefault="0072020E" w:rsidP="00F0315A">
      <w:pPr>
        <w:tabs>
          <w:tab w:val="left" w:pos="540"/>
          <w:tab w:val="left" w:pos="569"/>
        </w:tabs>
        <w:jc w:val="both"/>
        <w:rPr>
          <w:bCs/>
          <w:sz w:val="22"/>
          <w:szCs w:val="22"/>
          <w:lang w:val="sr-Latn-ME"/>
        </w:rPr>
      </w:pPr>
    </w:p>
    <w:p w14:paraId="6CD929FF" w14:textId="036B75A4" w:rsidR="008A0121" w:rsidRPr="00F65520" w:rsidRDefault="00676C41" w:rsidP="00F0315A">
      <w:pPr>
        <w:tabs>
          <w:tab w:val="left" w:pos="540"/>
          <w:tab w:val="left" w:pos="569"/>
        </w:tabs>
        <w:jc w:val="both"/>
        <w:rPr>
          <w:bCs/>
          <w:sz w:val="22"/>
          <w:szCs w:val="22"/>
          <w:lang w:val="sr-Latn-ME"/>
        </w:rPr>
      </w:pPr>
      <w:r w:rsidRPr="00F65520">
        <w:rPr>
          <w:bCs/>
          <w:sz w:val="22"/>
          <w:szCs w:val="22"/>
          <w:lang w:val="sr-Latn-ME"/>
        </w:rPr>
        <w:t xml:space="preserve">Nijesu sprovedene studije interakcije </w:t>
      </w:r>
      <w:r w:rsidR="008A0121" w:rsidRPr="00F65520">
        <w:rPr>
          <w:bCs/>
          <w:sz w:val="22"/>
          <w:szCs w:val="22"/>
          <w:lang w:val="sr-Latn-ME"/>
        </w:rPr>
        <w:t>U randomizovanom, dvostruko slijepom ispitivanju sa paralelnim grupama kod 103 pacijenata uzrasta između 12 i 21 godina sa teškom astmom, čini se da benralizumab nije imao uticaja na odgovore humoralnih antitijela izazvana vakcinacijom protiv sezonskog gripa. Ne očekuje se da će benralizumab uticati na farmakokinetiku istovremeno prim</w:t>
      </w:r>
      <w:r w:rsidR="008C3A76" w:rsidRPr="00F65520">
        <w:rPr>
          <w:bCs/>
          <w:sz w:val="22"/>
          <w:szCs w:val="22"/>
          <w:lang w:val="sr-Latn-ME"/>
        </w:rPr>
        <w:t>i</w:t>
      </w:r>
      <w:r w:rsidR="008A0121" w:rsidRPr="00F65520">
        <w:rPr>
          <w:bCs/>
          <w:sz w:val="22"/>
          <w:szCs w:val="22"/>
          <w:lang w:val="sr-Latn-ME"/>
        </w:rPr>
        <w:t>jenjenih ljekova (vidjeti odjeljak 5.2).</w:t>
      </w:r>
    </w:p>
    <w:p w14:paraId="622D0A87" w14:textId="77777777" w:rsidR="008A0121" w:rsidRPr="00F65520" w:rsidRDefault="008A0121" w:rsidP="00F0315A">
      <w:pPr>
        <w:tabs>
          <w:tab w:val="left" w:pos="540"/>
          <w:tab w:val="left" w:pos="569"/>
        </w:tabs>
        <w:jc w:val="both"/>
        <w:rPr>
          <w:bCs/>
          <w:sz w:val="22"/>
          <w:szCs w:val="22"/>
          <w:lang w:val="sr-Latn-ME"/>
        </w:rPr>
      </w:pPr>
    </w:p>
    <w:p w14:paraId="74F9D6A6" w14:textId="77777777" w:rsidR="008A0121" w:rsidRPr="00F65520" w:rsidRDefault="008A0121" w:rsidP="00F0315A">
      <w:pPr>
        <w:tabs>
          <w:tab w:val="left" w:pos="540"/>
          <w:tab w:val="left" w:pos="569"/>
        </w:tabs>
        <w:jc w:val="both"/>
        <w:rPr>
          <w:bCs/>
          <w:sz w:val="22"/>
          <w:szCs w:val="22"/>
          <w:lang w:val="sr-Latn-ME"/>
        </w:rPr>
      </w:pPr>
      <w:r w:rsidRPr="00F65520">
        <w:rPr>
          <w:bCs/>
          <w:sz w:val="22"/>
          <w:szCs w:val="22"/>
          <w:lang w:val="sr-Latn-ME"/>
        </w:rPr>
        <w:t xml:space="preserve">Enzimi citohroma P450, efluksne pumpe i mehanizmi vezivanja proteina ne učestvuju u klirensu benralizumaba. Nema dokaza ekspresije IL-Rα na hepatocitima. Deplecija eozinofila ne dovodi do hroničnih sistemskih promjena proinflamatornih citokina. </w:t>
      </w:r>
    </w:p>
    <w:p w14:paraId="1FDFE594" w14:textId="77777777" w:rsidR="008A0121" w:rsidRPr="00F65520" w:rsidRDefault="008A0121" w:rsidP="00F0315A">
      <w:pPr>
        <w:tabs>
          <w:tab w:val="left" w:pos="540"/>
          <w:tab w:val="left" w:pos="569"/>
        </w:tabs>
        <w:jc w:val="both"/>
        <w:rPr>
          <w:bCs/>
          <w:sz w:val="22"/>
          <w:szCs w:val="22"/>
          <w:lang w:val="sr-Latn-ME"/>
        </w:rPr>
      </w:pPr>
    </w:p>
    <w:p w14:paraId="311C1F3C" w14:textId="77777777" w:rsidR="0072020E" w:rsidRPr="00F65520" w:rsidRDefault="0072020E" w:rsidP="00F0315A">
      <w:pPr>
        <w:tabs>
          <w:tab w:val="left" w:pos="540"/>
          <w:tab w:val="left" w:pos="569"/>
        </w:tabs>
        <w:jc w:val="both"/>
        <w:rPr>
          <w:b/>
          <w:sz w:val="22"/>
          <w:szCs w:val="22"/>
          <w:lang w:val="sr-Latn-ME"/>
        </w:rPr>
      </w:pPr>
      <w:r w:rsidRPr="00F65520">
        <w:rPr>
          <w:b/>
          <w:bCs/>
          <w:sz w:val="22"/>
          <w:szCs w:val="22"/>
          <w:lang w:val="sr-Latn-ME"/>
        </w:rPr>
        <w:t xml:space="preserve">4.6. </w:t>
      </w:r>
      <w:r w:rsidR="00480FB1" w:rsidRPr="00F65520">
        <w:rPr>
          <w:b/>
          <w:bCs/>
          <w:sz w:val="22"/>
          <w:szCs w:val="22"/>
          <w:lang w:val="sr-Latn-ME"/>
        </w:rPr>
        <w:tab/>
      </w:r>
      <w:r w:rsidR="006D20A5" w:rsidRPr="00F65520">
        <w:rPr>
          <w:b/>
          <w:sz w:val="22"/>
          <w:szCs w:val="22"/>
          <w:lang w:val="sr-Latn-ME"/>
        </w:rPr>
        <w:t>Plodnost, trudnoća i dojenje</w:t>
      </w:r>
    </w:p>
    <w:p w14:paraId="1EE716BE" w14:textId="77777777" w:rsidR="002031B3" w:rsidRPr="00F65520" w:rsidRDefault="002031B3" w:rsidP="00F0315A">
      <w:pPr>
        <w:tabs>
          <w:tab w:val="left" w:pos="540"/>
          <w:tab w:val="left" w:pos="569"/>
        </w:tabs>
        <w:jc w:val="both"/>
        <w:rPr>
          <w:sz w:val="22"/>
          <w:szCs w:val="22"/>
          <w:u w:val="single"/>
          <w:lang w:val="sr-Latn-ME"/>
        </w:rPr>
      </w:pPr>
    </w:p>
    <w:p w14:paraId="2260379D" w14:textId="18C1E91E" w:rsidR="002031B3" w:rsidRPr="00F65520" w:rsidDel="003A44FB" w:rsidRDefault="002031B3" w:rsidP="00F0315A">
      <w:pPr>
        <w:tabs>
          <w:tab w:val="left" w:pos="540"/>
          <w:tab w:val="left" w:pos="569"/>
        </w:tabs>
        <w:jc w:val="both"/>
        <w:rPr>
          <w:sz w:val="22"/>
          <w:szCs w:val="22"/>
          <w:u w:val="single"/>
          <w:lang w:val="sr-Latn-ME"/>
        </w:rPr>
      </w:pPr>
      <w:r w:rsidRPr="00F65520" w:rsidDel="003A44FB">
        <w:rPr>
          <w:sz w:val="22"/>
          <w:szCs w:val="22"/>
          <w:u w:val="single"/>
          <w:lang w:val="sr-Latn-ME"/>
        </w:rPr>
        <w:t>Plodnost</w:t>
      </w:r>
    </w:p>
    <w:p w14:paraId="60424B8A" w14:textId="6218D7E6" w:rsidR="002031B3" w:rsidRPr="00F65520" w:rsidDel="003A44FB" w:rsidRDefault="002031B3" w:rsidP="00F0315A">
      <w:pPr>
        <w:tabs>
          <w:tab w:val="left" w:pos="540"/>
          <w:tab w:val="left" w:pos="569"/>
        </w:tabs>
        <w:jc w:val="both"/>
        <w:rPr>
          <w:sz w:val="22"/>
          <w:szCs w:val="22"/>
          <w:u w:val="single"/>
          <w:lang w:val="sr-Latn-ME"/>
        </w:rPr>
      </w:pPr>
    </w:p>
    <w:p w14:paraId="1233AF50" w14:textId="4422A1E5" w:rsidR="00547F89" w:rsidRPr="00F65520" w:rsidDel="003A44FB" w:rsidRDefault="00547F89" w:rsidP="00F0315A">
      <w:pPr>
        <w:tabs>
          <w:tab w:val="left" w:pos="540"/>
          <w:tab w:val="left" w:pos="569"/>
        </w:tabs>
        <w:jc w:val="both"/>
        <w:rPr>
          <w:sz w:val="22"/>
          <w:szCs w:val="22"/>
          <w:lang w:val="sr-Latn-ME"/>
        </w:rPr>
      </w:pPr>
      <w:r w:rsidRPr="00F65520" w:rsidDel="003A44FB">
        <w:rPr>
          <w:sz w:val="22"/>
          <w:szCs w:val="22"/>
          <w:lang w:val="sr-Latn-ME"/>
        </w:rPr>
        <w:t>Nema podataka o uticaju na plodnost kod ljudi. Studije na životinjama nisu pokazale neželjena dejstva benralizumaba na plodnost (vidjeti odjeljak 5.3).</w:t>
      </w:r>
    </w:p>
    <w:p w14:paraId="6809409A" w14:textId="77777777" w:rsidR="00547F89" w:rsidRPr="00F65520" w:rsidRDefault="00547F89" w:rsidP="00F0315A">
      <w:pPr>
        <w:tabs>
          <w:tab w:val="left" w:pos="540"/>
          <w:tab w:val="left" w:pos="569"/>
        </w:tabs>
        <w:jc w:val="both"/>
        <w:rPr>
          <w:sz w:val="22"/>
          <w:szCs w:val="22"/>
          <w:u w:val="single"/>
          <w:lang w:val="sr-Latn-ME"/>
        </w:rPr>
      </w:pPr>
    </w:p>
    <w:p w14:paraId="6A58CE3D" w14:textId="77777777" w:rsidR="007A3ECB" w:rsidRPr="00F65520" w:rsidRDefault="007A3ECB" w:rsidP="00F0315A">
      <w:pPr>
        <w:tabs>
          <w:tab w:val="left" w:pos="540"/>
          <w:tab w:val="left" w:pos="569"/>
        </w:tabs>
        <w:jc w:val="both"/>
        <w:rPr>
          <w:sz w:val="22"/>
          <w:szCs w:val="22"/>
          <w:u w:val="single"/>
          <w:lang w:val="sr-Latn-ME"/>
        </w:rPr>
      </w:pPr>
      <w:r w:rsidRPr="00F65520">
        <w:rPr>
          <w:sz w:val="22"/>
          <w:szCs w:val="22"/>
          <w:u w:val="single"/>
          <w:lang w:val="sr-Latn-ME"/>
        </w:rPr>
        <w:t>Trudnoća</w:t>
      </w:r>
    </w:p>
    <w:p w14:paraId="6BECE395" w14:textId="7DB75637" w:rsidR="002031B3" w:rsidRPr="00F65520" w:rsidRDefault="002031B3" w:rsidP="00F0315A">
      <w:pPr>
        <w:tabs>
          <w:tab w:val="left" w:pos="540"/>
          <w:tab w:val="left" w:pos="569"/>
        </w:tabs>
        <w:jc w:val="both"/>
        <w:rPr>
          <w:sz w:val="22"/>
          <w:szCs w:val="22"/>
          <w:u w:val="single"/>
          <w:lang w:val="sr-Latn-ME"/>
        </w:rPr>
      </w:pPr>
    </w:p>
    <w:p w14:paraId="27708E59" w14:textId="77777777" w:rsidR="002153AB" w:rsidRPr="00F65520" w:rsidRDefault="002153AB" w:rsidP="00F0315A">
      <w:pPr>
        <w:tabs>
          <w:tab w:val="left" w:pos="540"/>
          <w:tab w:val="left" w:pos="569"/>
        </w:tabs>
        <w:jc w:val="both"/>
        <w:rPr>
          <w:bCs/>
          <w:sz w:val="22"/>
          <w:szCs w:val="22"/>
          <w:lang w:val="sr-Latn-ME"/>
        </w:rPr>
      </w:pPr>
      <w:r w:rsidRPr="00F65520">
        <w:rPr>
          <w:bCs/>
          <w:sz w:val="22"/>
          <w:szCs w:val="22"/>
          <w:lang w:val="sr-Latn-ME"/>
        </w:rPr>
        <w:t>Podaci o primjeni benralizumaba kod trudnica su ograničeni (manje od 300 ishoda trudnoća).</w:t>
      </w:r>
    </w:p>
    <w:p w14:paraId="2411B3E4" w14:textId="77777777" w:rsidR="002153AB" w:rsidRPr="00F65520" w:rsidRDefault="002153AB" w:rsidP="00F0315A">
      <w:pPr>
        <w:tabs>
          <w:tab w:val="left" w:pos="540"/>
          <w:tab w:val="left" w:pos="569"/>
        </w:tabs>
        <w:jc w:val="both"/>
        <w:rPr>
          <w:bCs/>
          <w:sz w:val="22"/>
          <w:szCs w:val="22"/>
          <w:lang w:val="sr-Latn-ME"/>
        </w:rPr>
      </w:pPr>
    </w:p>
    <w:p w14:paraId="562EF736" w14:textId="77777777" w:rsidR="002153AB" w:rsidRPr="00F65520" w:rsidRDefault="002153AB" w:rsidP="00F0315A">
      <w:pPr>
        <w:tabs>
          <w:tab w:val="left" w:pos="540"/>
          <w:tab w:val="left" w:pos="569"/>
        </w:tabs>
        <w:jc w:val="both"/>
        <w:rPr>
          <w:bCs/>
          <w:sz w:val="22"/>
          <w:szCs w:val="22"/>
          <w:lang w:val="sr-Latn-ME"/>
        </w:rPr>
      </w:pPr>
      <w:r w:rsidRPr="00F65520">
        <w:rPr>
          <w:bCs/>
          <w:sz w:val="22"/>
          <w:szCs w:val="22"/>
          <w:lang w:val="sr-Latn-ME"/>
        </w:rPr>
        <w:t>Studije na životinjama ne ukazuju na direktna ili indirektna štetna dejstva u pogledu reproduktivne toksičnosti (vidjeti odjeljak 5.3).</w:t>
      </w:r>
    </w:p>
    <w:p w14:paraId="62CEB419" w14:textId="77777777" w:rsidR="002153AB" w:rsidRPr="00F65520" w:rsidRDefault="002153AB" w:rsidP="00F0315A">
      <w:pPr>
        <w:tabs>
          <w:tab w:val="left" w:pos="540"/>
          <w:tab w:val="left" w:pos="569"/>
        </w:tabs>
        <w:jc w:val="both"/>
        <w:rPr>
          <w:bCs/>
          <w:sz w:val="22"/>
          <w:szCs w:val="22"/>
          <w:lang w:val="sr-Latn-ME"/>
        </w:rPr>
      </w:pPr>
    </w:p>
    <w:p w14:paraId="2EE008FC" w14:textId="77777777" w:rsidR="002153AB" w:rsidRPr="00F65520" w:rsidRDefault="002153AB" w:rsidP="00F0315A">
      <w:pPr>
        <w:tabs>
          <w:tab w:val="left" w:pos="540"/>
          <w:tab w:val="left" w:pos="569"/>
        </w:tabs>
        <w:jc w:val="both"/>
        <w:rPr>
          <w:bCs/>
          <w:sz w:val="22"/>
          <w:szCs w:val="22"/>
          <w:lang w:val="sr-Latn-ME"/>
        </w:rPr>
      </w:pPr>
      <w:r w:rsidRPr="00F65520">
        <w:rPr>
          <w:bCs/>
          <w:sz w:val="22"/>
          <w:szCs w:val="22"/>
          <w:lang w:val="sr-Latn-ME"/>
        </w:rPr>
        <w:lastRenderedPageBreak/>
        <w:t xml:space="preserve">Monoklonska antitijela, kao što je benralizumab, linearno se prenose kroz placentu kako trudnoća odmiče; stoga će potencijalna izloženost ploda vjerovatno biti veća tokom drugog i trećeg trimestra trudnoće. </w:t>
      </w:r>
    </w:p>
    <w:p w14:paraId="63C58695" w14:textId="77777777" w:rsidR="002153AB" w:rsidRPr="00F65520" w:rsidRDefault="002153AB" w:rsidP="00F0315A">
      <w:pPr>
        <w:tabs>
          <w:tab w:val="left" w:pos="540"/>
          <w:tab w:val="left" w:pos="569"/>
        </w:tabs>
        <w:jc w:val="both"/>
        <w:rPr>
          <w:bCs/>
          <w:sz w:val="22"/>
          <w:szCs w:val="22"/>
          <w:lang w:val="sr-Latn-ME"/>
        </w:rPr>
      </w:pPr>
    </w:p>
    <w:p w14:paraId="2BC8F692" w14:textId="0D91F9BF" w:rsidR="002153AB" w:rsidRPr="00F65520" w:rsidRDefault="00676C41" w:rsidP="00F0315A">
      <w:pPr>
        <w:tabs>
          <w:tab w:val="left" w:pos="540"/>
          <w:tab w:val="left" w:pos="569"/>
        </w:tabs>
        <w:jc w:val="both"/>
        <w:rPr>
          <w:bCs/>
          <w:sz w:val="22"/>
          <w:szCs w:val="22"/>
          <w:lang w:val="sr-Latn-ME"/>
        </w:rPr>
      </w:pPr>
      <w:r w:rsidRPr="00F65520">
        <w:rPr>
          <w:bCs/>
          <w:sz w:val="22"/>
          <w:szCs w:val="22"/>
          <w:lang w:val="sr-Latn-ME"/>
        </w:rPr>
        <w:t xml:space="preserve">Kao mjera </w:t>
      </w:r>
      <w:r w:rsidR="00F65520" w:rsidRPr="00F65520">
        <w:rPr>
          <w:bCs/>
          <w:sz w:val="22"/>
          <w:szCs w:val="22"/>
          <w:lang w:val="sr-Latn-ME"/>
        </w:rPr>
        <w:t>pred</w:t>
      </w:r>
      <w:r w:rsidR="00F65520">
        <w:rPr>
          <w:bCs/>
          <w:sz w:val="22"/>
          <w:szCs w:val="22"/>
          <w:lang w:val="sr-Latn-ME"/>
        </w:rPr>
        <w:t>o</w:t>
      </w:r>
      <w:r w:rsidR="00F65520" w:rsidRPr="00F65520">
        <w:rPr>
          <w:bCs/>
          <w:sz w:val="22"/>
          <w:szCs w:val="22"/>
          <w:lang w:val="sr-Latn-ME"/>
        </w:rPr>
        <w:t xml:space="preserve">strožnosti </w:t>
      </w:r>
      <w:r w:rsidRPr="00F65520">
        <w:rPr>
          <w:bCs/>
          <w:sz w:val="22"/>
          <w:szCs w:val="22"/>
          <w:lang w:val="sr-Latn-ME"/>
        </w:rPr>
        <w:t>p</w:t>
      </w:r>
      <w:r w:rsidR="002153AB" w:rsidRPr="00F65520">
        <w:rPr>
          <w:bCs/>
          <w:sz w:val="22"/>
          <w:szCs w:val="22"/>
          <w:lang w:val="sr-Latn-ME"/>
        </w:rPr>
        <w:t>oželjno je izbjegavati primjenu lijeka Fasenra tokom trudnoće. Njegovu primjenu kod trudnica treba razmotriti samo ako je očekivana korist za majku veća od bilo kojeg mogućeg rizika za plod.</w:t>
      </w:r>
    </w:p>
    <w:p w14:paraId="4201DCF9" w14:textId="77777777" w:rsidR="00D05FBC" w:rsidRPr="00F65520" w:rsidRDefault="00D05FBC" w:rsidP="00F0315A">
      <w:pPr>
        <w:tabs>
          <w:tab w:val="left" w:pos="540"/>
          <w:tab w:val="left" w:pos="569"/>
        </w:tabs>
        <w:jc w:val="both"/>
        <w:rPr>
          <w:sz w:val="22"/>
          <w:szCs w:val="22"/>
          <w:u w:val="single"/>
          <w:lang w:val="sr-Latn-ME"/>
        </w:rPr>
      </w:pPr>
    </w:p>
    <w:p w14:paraId="79E3BAC5" w14:textId="26811B52" w:rsidR="0072020E" w:rsidRPr="00F65520" w:rsidRDefault="007A3ECB" w:rsidP="00F0315A">
      <w:pPr>
        <w:tabs>
          <w:tab w:val="left" w:pos="540"/>
          <w:tab w:val="left" w:pos="569"/>
        </w:tabs>
        <w:jc w:val="both"/>
        <w:rPr>
          <w:b/>
          <w:bCs/>
          <w:sz w:val="22"/>
          <w:szCs w:val="22"/>
          <w:lang w:val="sr-Latn-ME"/>
        </w:rPr>
      </w:pPr>
      <w:r w:rsidRPr="00F65520">
        <w:rPr>
          <w:sz w:val="22"/>
          <w:szCs w:val="22"/>
          <w:u w:val="single"/>
          <w:lang w:val="sr-Latn-ME"/>
        </w:rPr>
        <w:t xml:space="preserve">Dojenje </w:t>
      </w:r>
    </w:p>
    <w:p w14:paraId="30810A48" w14:textId="527F0030" w:rsidR="00227BDB" w:rsidRPr="00F65520" w:rsidRDefault="00227BDB" w:rsidP="00F0315A">
      <w:pPr>
        <w:tabs>
          <w:tab w:val="left" w:pos="540"/>
          <w:tab w:val="left" w:pos="569"/>
        </w:tabs>
        <w:ind w:left="540" w:hanging="540"/>
        <w:jc w:val="both"/>
        <w:rPr>
          <w:b/>
          <w:bCs/>
          <w:sz w:val="22"/>
          <w:szCs w:val="22"/>
          <w:lang w:val="sr-Latn-ME"/>
        </w:rPr>
      </w:pPr>
    </w:p>
    <w:p w14:paraId="73FA917D" w14:textId="2A29EB8A" w:rsidR="00C669CF" w:rsidRPr="00F65520" w:rsidRDefault="00C669CF" w:rsidP="00335205">
      <w:pPr>
        <w:tabs>
          <w:tab w:val="left" w:pos="284"/>
        </w:tabs>
        <w:jc w:val="both"/>
        <w:rPr>
          <w:bCs/>
          <w:sz w:val="22"/>
          <w:szCs w:val="22"/>
          <w:lang w:val="sr-Latn-ME"/>
        </w:rPr>
      </w:pPr>
      <w:r w:rsidRPr="00F65520">
        <w:rPr>
          <w:bCs/>
          <w:sz w:val="22"/>
          <w:szCs w:val="22"/>
          <w:lang w:val="sr-Latn-ME"/>
        </w:rPr>
        <w:t>Nije poznato da li se benralizumab ili njegovi metaboliti izlučuju u majčino mlijeko kod ljudi ili životinja. Ne može se isključiti rizik po odojče.</w:t>
      </w:r>
    </w:p>
    <w:p w14:paraId="6EAC562D" w14:textId="77777777" w:rsidR="00C669CF" w:rsidRPr="00F65520" w:rsidRDefault="00C669CF" w:rsidP="00452FBA">
      <w:pPr>
        <w:tabs>
          <w:tab w:val="left" w:pos="284"/>
        </w:tabs>
        <w:jc w:val="both"/>
        <w:rPr>
          <w:bCs/>
          <w:sz w:val="22"/>
          <w:szCs w:val="22"/>
          <w:lang w:val="sr-Latn-ME"/>
        </w:rPr>
      </w:pPr>
    </w:p>
    <w:p w14:paraId="2A91AD3A" w14:textId="253DCA5A" w:rsidR="003A44FB" w:rsidRPr="00F65520" w:rsidRDefault="00C669CF" w:rsidP="00EB4260">
      <w:pPr>
        <w:tabs>
          <w:tab w:val="left" w:pos="284"/>
        </w:tabs>
        <w:jc w:val="both"/>
        <w:rPr>
          <w:bCs/>
          <w:sz w:val="22"/>
          <w:szCs w:val="22"/>
          <w:lang w:val="sr-Latn-ME"/>
        </w:rPr>
      </w:pPr>
      <w:r w:rsidRPr="00F65520">
        <w:rPr>
          <w:bCs/>
          <w:sz w:val="22"/>
          <w:szCs w:val="22"/>
          <w:lang w:val="sr-Latn-ME"/>
        </w:rPr>
        <w:t>Odluka o tome da li da se prekine dojenje ili da se prekine/odloži terapija lijekom Fasenra mora se donijeti uzimajući u obzir korist od dojenja za dijete i korist od terapije za ženu.</w:t>
      </w:r>
    </w:p>
    <w:p w14:paraId="2DE1129D" w14:textId="77777777" w:rsidR="003A44FB" w:rsidRPr="00F65520" w:rsidRDefault="003A44FB" w:rsidP="004100E6">
      <w:pPr>
        <w:tabs>
          <w:tab w:val="left" w:pos="284"/>
        </w:tabs>
        <w:jc w:val="both"/>
        <w:rPr>
          <w:bCs/>
          <w:sz w:val="22"/>
          <w:szCs w:val="22"/>
          <w:lang w:val="sr-Latn-ME"/>
        </w:rPr>
      </w:pPr>
    </w:p>
    <w:p w14:paraId="61744997" w14:textId="77777777" w:rsidR="0072020E" w:rsidRPr="00F65520" w:rsidRDefault="0072020E" w:rsidP="00F0315A">
      <w:pPr>
        <w:tabs>
          <w:tab w:val="left" w:pos="540"/>
          <w:tab w:val="left" w:pos="569"/>
        </w:tabs>
        <w:ind w:left="540" w:hanging="540"/>
        <w:jc w:val="both"/>
        <w:rPr>
          <w:b/>
          <w:bCs/>
          <w:sz w:val="22"/>
          <w:szCs w:val="22"/>
          <w:lang w:val="sr-Latn-ME"/>
        </w:rPr>
      </w:pPr>
      <w:r w:rsidRPr="00F65520">
        <w:rPr>
          <w:b/>
          <w:bCs/>
          <w:sz w:val="22"/>
          <w:szCs w:val="22"/>
          <w:lang w:val="sr-Latn-ME"/>
        </w:rPr>
        <w:t xml:space="preserve">4.7. </w:t>
      </w:r>
      <w:r w:rsidR="00480FB1" w:rsidRPr="00F65520">
        <w:rPr>
          <w:b/>
          <w:bCs/>
          <w:sz w:val="22"/>
          <w:szCs w:val="22"/>
          <w:lang w:val="sr-Latn-ME"/>
        </w:rPr>
        <w:tab/>
      </w:r>
      <w:r w:rsidRPr="00F65520">
        <w:rPr>
          <w:b/>
          <w:bCs/>
          <w:sz w:val="22"/>
          <w:szCs w:val="22"/>
          <w:lang w:val="sr-Latn-ME"/>
        </w:rPr>
        <w:t xml:space="preserve">Uticaj na </w:t>
      </w:r>
      <w:r w:rsidR="002031B3" w:rsidRPr="00F65520">
        <w:rPr>
          <w:b/>
          <w:bCs/>
          <w:sz w:val="22"/>
          <w:szCs w:val="22"/>
          <w:lang w:val="sr-Latn-ME"/>
        </w:rPr>
        <w:t xml:space="preserve">sposobnost </w:t>
      </w:r>
      <w:r w:rsidR="00F34554" w:rsidRPr="00F65520">
        <w:rPr>
          <w:b/>
          <w:bCs/>
          <w:sz w:val="22"/>
          <w:szCs w:val="22"/>
          <w:lang w:val="sr-Latn-ME"/>
        </w:rPr>
        <w:t>upravljanja vozili</w:t>
      </w:r>
      <w:r w:rsidRPr="00F65520">
        <w:rPr>
          <w:b/>
          <w:bCs/>
          <w:sz w:val="22"/>
          <w:szCs w:val="22"/>
          <w:lang w:val="sr-Latn-ME"/>
        </w:rPr>
        <w:t>m</w:t>
      </w:r>
      <w:r w:rsidR="00F34554" w:rsidRPr="00F65520">
        <w:rPr>
          <w:b/>
          <w:bCs/>
          <w:sz w:val="22"/>
          <w:szCs w:val="22"/>
          <w:lang w:val="sr-Latn-ME"/>
        </w:rPr>
        <w:t>a</w:t>
      </w:r>
      <w:r w:rsidRPr="00F65520">
        <w:rPr>
          <w:b/>
          <w:bCs/>
          <w:sz w:val="22"/>
          <w:szCs w:val="22"/>
          <w:lang w:val="sr-Latn-ME"/>
        </w:rPr>
        <w:t xml:space="preserve"> i </w:t>
      </w:r>
      <w:r w:rsidR="000D3449" w:rsidRPr="00F65520">
        <w:rPr>
          <w:b/>
          <w:bCs/>
          <w:sz w:val="22"/>
          <w:szCs w:val="22"/>
          <w:lang w:val="sr-Latn-ME"/>
        </w:rPr>
        <w:t xml:space="preserve">rukovanje </w:t>
      </w:r>
      <w:r w:rsidRPr="00F65520">
        <w:rPr>
          <w:b/>
          <w:bCs/>
          <w:sz w:val="22"/>
          <w:szCs w:val="22"/>
          <w:lang w:val="sr-Latn-ME"/>
        </w:rPr>
        <w:t>mašinama</w:t>
      </w:r>
    </w:p>
    <w:p w14:paraId="4538131A" w14:textId="1E14EE5B" w:rsidR="0072020E" w:rsidRPr="00F65520" w:rsidRDefault="0072020E" w:rsidP="00F0315A">
      <w:pPr>
        <w:tabs>
          <w:tab w:val="left" w:pos="540"/>
          <w:tab w:val="left" w:pos="569"/>
        </w:tabs>
        <w:jc w:val="both"/>
        <w:rPr>
          <w:b/>
          <w:bCs/>
          <w:sz w:val="22"/>
          <w:szCs w:val="22"/>
          <w:lang w:val="sr-Latn-ME"/>
        </w:rPr>
      </w:pPr>
    </w:p>
    <w:p w14:paraId="05C0E1C9" w14:textId="77777777" w:rsidR="001E2EDA" w:rsidRPr="00F65520" w:rsidRDefault="001E2EDA" w:rsidP="00F0315A">
      <w:pPr>
        <w:tabs>
          <w:tab w:val="left" w:pos="540"/>
          <w:tab w:val="left" w:pos="569"/>
        </w:tabs>
        <w:jc w:val="both"/>
        <w:rPr>
          <w:sz w:val="22"/>
          <w:szCs w:val="22"/>
          <w:lang w:val="sr-Latn-ME"/>
        </w:rPr>
      </w:pPr>
      <w:r w:rsidRPr="00F65520">
        <w:rPr>
          <w:sz w:val="22"/>
          <w:szCs w:val="22"/>
          <w:lang w:val="sr-Latn-ME"/>
        </w:rPr>
        <w:t>Lijek Fasenra nema ili ima zanemarljiv uticaj na sposobnost upravljanja vozilima i rukovanja mašinama.</w:t>
      </w:r>
    </w:p>
    <w:p w14:paraId="2408E916" w14:textId="77777777" w:rsidR="001E2EDA" w:rsidRPr="00F65520" w:rsidRDefault="001E2EDA" w:rsidP="00F0315A">
      <w:pPr>
        <w:tabs>
          <w:tab w:val="left" w:pos="540"/>
          <w:tab w:val="left" w:pos="569"/>
        </w:tabs>
        <w:jc w:val="both"/>
        <w:rPr>
          <w:b/>
          <w:bCs/>
          <w:sz w:val="22"/>
          <w:szCs w:val="22"/>
          <w:lang w:val="sr-Latn-ME"/>
        </w:rPr>
      </w:pPr>
    </w:p>
    <w:p w14:paraId="13419FD8" w14:textId="77777777" w:rsidR="0072020E" w:rsidRPr="00F65520" w:rsidRDefault="0072020E" w:rsidP="00480FB1">
      <w:pPr>
        <w:tabs>
          <w:tab w:val="left" w:pos="540"/>
          <w:tab w:val="left" w:pos="569"/>
        </w:tabs>
        <w:rPr>
          <w:b/>
          <w:bCs/>
          <w:sz w:val="22"/>
          <w:szCs w:val="22"/>
          <w:lang w:val="sr-Latn-ME"/>
        </w:rPr>
      </w:pPr>
      <w:r w:rsidRPr="00F65520">
        <w:rPr>
          <w:b/>
          <w:bCs/>
          <w:sz w:val="22"/>
          <w:szCs w:val="22"/>
          <w:lang w:val="sr-Latn-ME"/>
        </w:rPr>
        <w:t xml:space="preserve">4.8. </w:t>
      </w:r>
      <w:r w:rsidR="00480FB1" w:rsidRPr="00F65520">
        <w:rPr>
          <w:b/>
          <w:bCs/>
          <w:sz w:val="22"/>
          <w:szCs w:val="22"/>
          <w:lang w:val="sr-Latn-ME"/>
        </w:rPr>
        <w:tab/>
      </w:r>
      <w:r w:rsidRPr="00F65520">
        <w:rPr>
          <w:b/>
          <w:bCs/>
          <w:sz w:val="22"/>
          <w:szCs w:val="22"/>
          <w:lang w:val="sr-Latn-ME"/>
        </w:rPr>
        <w:t>Neželjena dejstva</w:t>
      </w:r>
    </w:p>
    <w:p w14:paraId="579DDB50" w14:textId="1F42A8EC" w:rsidR="004E70AD" w:rsidRPr="00F65520" w:rsidRDefault="004E70AD" w:rsidP="00480FB1">
      <w:pPr>
        <w:tabs>
          <w:tab w:val="left" w:pos="540"/>
          <w:tab w:val="left" w:pos="569"/>
        </w:tabs>
        <w:rPr>
          <w:b/>
          <w:bCs/>
          <w:sz w:val="22"/>
          <w:szCs w:val="22"/>
          <w:lang w:val="sr-Latn-ME"/>
        </w:rPr>
      </w:pPr>
    </w:p>
    <w:p w14:paraId="76B5CCDC" w14:textId="77777777" w:rsidR="002D4948" w:rsidRPr="00F65520" w:rsidRDefault="002D4948" w:rsidP="00F0315A">
      <w:pPr>
        <w:tabs>
          <w:tab w:val="left" w:pos="540"/>
          <w:tab w:val="left" w:pos="569"/>
        </w:tabs>
        <w:jc w:val="both"/>
        <w:rPr>
          <w:sz w:val="22"/>
          <w:szCs w:val="22"/>
          <w:u w:val="single"/>
          <w:lang w:val="sr-Latn-ME"/>
        </w:rPr>
      </w:pPr>
      <w:r w:rsidRPr="00F65520">
        <w:rPr>
          <w:sz w:val="22"/>
          <w:szCs w:val="22"/>
          <w:u w:val="single"/>
          <w:lang w:val="sr-Latn-ME"/>
        </w:rPr>
        <w:t>Sažetak bezbjednosnog profila</w:t>
      </w:r>
    </w:p>
    <w:p w14:paraId="37811B05" w14:textId="77777777" w:rsidR="002D4948" w:rsidRPr="00F65520" w:rsidRDefault="002D4948" w:rsidP="00F0315A">
      <w:pPr>
        <w:tabs>
          <w:tab w:val="left" w:pos="540"/>
          <w:tab w:val="left" w:pos="569"/>
        </w:tabs>
        <w:jc w:val="both"/>
        <w:rPr>
          <w:sz w:val="22"/>
          <w:szCs w:val="22"/>
          <w:u w:val="single"/>
          <w:lang w:val="sr-Latn-ME"/>
        </w:rPr>
      </w:pPr>
    </w:p>
    <w:p w14:paraId="6EF65579" w14:textId="52016BC1" w:rsidR="002D4948" w:rsidRPr="00F65520" w:rsidRDefault="002D4948" w:rsidP="00F0315A">
      <w:pPr>
        <w:tabs>
          <w:tab w:val="left" w:pos="540"/>
          <w:tab w:val="left" w:pos="569"/>
        </w:tabs>
        <w:jc w:val="both"/>
        <w:rPr>
          <w:sz w:val="22"/>
          <w:szCs w:val="22"/>
          <w:lang w:val="sr-Latn-ME"/>
        </w:rPr>
      </w:pPr>
      <w:r w:rsidRPr="00F65520">
        <w:rPr>
          <w:sz w:val="22"/>
          <w:szCs w:val="22"/>
          <w:lang w:val="sr-Latn-ME"/>
        </w:rPr>
        <w:t xml:space="preserve">Najčešće prijavljene neželjene reakcije tokom liječenja su glavobolja (8%) i faringitis (3%). </w:t>
      </w:r>
      <w:r w:rsidR="00676C41" w:rsidRPr="00F65520">
        <w:rPr>
          <w:sz w:val="22"/>
          <w:szCs w:val="22"/>
          <w:lang w:val="sr-Latn-ME"/>
        </w:rPr>
        <w:t xml:space="preserve">Prijavljeni </w:t>
      </w:r>
      <w:r w:rsidRPr="00F65520">
        <w:rPr>
          <w:sz w:val="22"/>
          <w:szCs w:val="22"/>
          <w:lang w:val="sr-Latn-ME"/>
        </w:rPr>
        <w:t>su</w:t>
      </w:r>
      <w:r w:rsidR="00676C41" w:rsidRPr="00F65520">
        <w:rPr>
          <w:sz w:val="22"/>
          <w:szCs w:val="22"/>
          <w:lang w:val="sr-Latn-ME"/>
        </w:rPr>
        <w:t xml:space="preserve"> slučajevi</w:t>
      </w:r>
      <w:r w:rsidRPr="00F65520">
        <w:rPr>
          <w:sz w:val="22"/>
          <w:szCs w:val="22"/>
          <w:lang w:val="sr-Latn-ME"/>
        </w:rPr>
        <w:t xml:space="preserve"> anafilaktičke reakcije</w:t>
      </w:r>
      <w:r w:rsidR="00676C41" w:rsidRPr="00F65520">
        <w:rPr>
          <w:sz w:val="22"/>
          <w:szCs w:val="22"/>
          <w:lang w:val="sr-Latn-ME"/>
        </w:rPr>
        <w:t xml:space="preserve"> različite težine</w:t>
      </w:r>
      <w:r w:rsidRPr="00F65520">
        <w:rPr>
          <w:sz w:val="22"/>
          <w:szCs w:val="22"/>
          <w:lang w:val="sr-Latn-ME"/>
        </w:rPr>
        <w:t xml:space="preserve">. </w:t>
      </w:r>
    </w:p>
    <w:p w14:paraId="7B39E7CF" w14:textId="77777777" w:rsidR="002D4948" w:rsidRPr="00F65520" w:rsidRDefault="002D4948" w:rsidP="00F0315A">
      <w:pPr>
        <w:tabs>
          <w:tab w:val="left" w:pos="540"/>
          <w:tab w:val="left" w:pos="569"/>
        </w:tabs>
        <w:jc w:val="both"/>
        <w:rPr>
          <w:sz w:val="22"/>
          <w:szCs w:val="22"/>
          <w:lang w:val="sr-Latn-ME"/>
        </w:rPr>
      </w:pPr>
    </w:p>
    <w:p w14:paraId="777EDCEB" w14:textId="77777777" w:rsidR="002D4948" w:rsidRPr="00F65520" w:rsidRDefault="002D4948" w:rsidP="00F0315A">
      <w:pPr>
        <w:tabs>
          <w:tab w:val="left" w:pos="540"/>
          <w:tab w:val="left" w:pos="569"/>
        </w:tabs>
        <w:jc w:val="both"/>
        <w:rPr>
          <w:sz w:val="22"/>
          <w:szCs w:val="22"/>
          <w:u w:val="single"/>
          <w:lang w:val="sr-Latn-ME"/>
        </w:rPr>
      </w:pPr>
      <w:r w:rsidRPr="00F65520">
        <w:rPr>
          <w:sz w:val="22"/>
          <w:szCs w:val="22"/>
          <w:u w:val="single"/>
          <w:lang w:val="sr-Latn-ME"/>
        </w:rPr>
        <w:t>Tabelarni prikaz neželjenih reakcija</w:t>
      </w:r>
    </w:p>
    <w:p w14:paraId="58EE12CA" w14:textId="77777777" w:rsidR="002D4948" w:rsidRPr="00F65520" w:rsidRDefault="002D4948" w:rsidP="00F0315A">
      <w:pPr>
        <w:tabs>
          <w:tab w:val="left" w:pos="540"/>
          <w:tab w:val="left" w:pos="569"/>
        </w:tabs>
        <w:jc w:val="both"/>
        <w:rPr>
          <w:sz w:val="22"/>
          <w:szCs w:val="22"/>
          <w:u w:val="single"/>
          <w:lang w:val="sr-Latn-ME"/>
        </w:rPr>
      </w:pPr>
    </w:p>
    <w:p w14:paraId="4053AD1E" w14:textId="5F7BD20B" w:rsidR="002D4948" w:rsidRPr="00F65520" w:rsidRDefault="002D4948" w:rsidP="00F0315A">
      <w:pPr>
        <w:tabs>
          <w:tab w:val="left" w:pos="540"/>
          <w:tab w:val="left" w:pos="569"/>
        </w:tabs>
        <w:jc w:val="both"/>
        <w:rPr>
          <w:sz w:val="22"/>
          <w:szCs w:val="22"/>
          <w:lang w:val="sr-Latn-ME"/>
        </w:rPr>
      </w:pPr>
      <w:r w:rsidRPr="00F65520">
        <w:rPr>
          <w:sz w:val="22"/>
          <w:szCs w:val="22"/>
          <w:lang w:val="sr-Latn-ME"/>
        </w:rPr>
        <w:t>.</w:t>
      </w:r>
      <w:r w:rsidR="00676C41" w:rsidRPr="00F65520">
        <w:rPr>
          <w:sz w:val="22"/>
          <w:szCs w:val="22"/>
          <w:lang w:val="sr-Latn-ME"/>
        </w:rPr>
        <w:t xml:space="preserve"> Sledeće neželjenje reakcije prijavljene su sa benralizumabom tokom perioda kliničkih studija i u postmarketinškom periodu.</w:t>
      </w:r>
    </w:p>
    <w:p w14:paraId="65253AA7" w14:textId="77777777" w:rsidR="002D4948" w:rsidRPr="00F65520" w:rsidRDefault="002D4948" w:rsidP="00F0315A">
      <w:pPr>
        <w:tabs>
          <w:tab w:val="left" w:pos="540"/>
          <w:tab w:val="left" w:pos="569"/>
        </w:tabs>
        <w:jc w:val="both"/>
        <w:rPr>
          <w:sz w:val="22"/>
          <w:szCs w:val="22"/>
          <w:lang w:val="sr-Latn-ME"/>
        </w:rPr>
      </w:pPr>
    </w:p>
    <w:p w14:paraId="604801F1" w14:textId="77777777" w:rsidR="002D4948" w:rsidRPr="00F65520" w:rsidRDefault="002D4948" w:rsidP="00F0315A">
      <w:pPr>
        <w:tabs>
          <w:tab w:val="left" w:pos="540"/>
          <w:tab w:val="left" w:pos="569"/>
        </w:tabs>
        <w:jc w:val="both"/>
        <w:rPr>
          <w:sz w:val="22"/>
          <w:szCs w:val="22"/>
          <w:lang w:val="sr-Latn-ME"/>
        </w:rPr>
      </w:pPr>
      <w:r w:rsidRPr="00F65520">
        <w:rPr>
          <w:sz w:val="22"/>
          <w:szCs w:val="22"/>
          <w:lang w:val="sr-Latn-ME"/>
        </w:rPr>
        <w:t xml:space="preserve">Učestalost neželjenih reakcija definisana je korišćenjem sljedeće konvencije: veoma često (≥ 1/10); često (≥1/100 do &lt;1/10); povremeno (≥1/1000 do &lt;1/100); rijetko (≥1/10000 do &lt;1/1000); veoma rijetko (&lt;1/10000) i nepoznato (ne može se procijeniti na osnovu dostupnih podataka). U okviru svake grupe učestalosti, neželjene reakcije su predstavljene u opadajućem nizu prema ozbiljnosti. </w:t>
      </w:r>
    </w:p>
    <w:p w14:paraId="457F5C42" w14:textId="77777777" w:rsidR="002D4948" w:rsidRPr="00F65520" w:rsidRDefault="002D4948" w:rsidP="00F0315A">
      <w:pPr>
        <w:tabs>
          <w:tab w:val="left" w:pos="540"/>
          <w:tab w:val="left" w:pos="569"/>
        </w:tabs>
        <w:jc w:val="both"/>
        <w:rPr>
          <w:sz w:val="22"/>
          <w:szCs w:val="22"/>
          <w:lang w:val="sr-Latn-ME"/>
        </w:rPr>
      </w:pPr>
    </w:p>
    <w:p w14:paraId="4203246C" w14:textId="77777777" w:rsidR="002D4948" w:rsidRPr="00F65520" w:rsidRDefault="002D4948" w:rsidP="002D4948">
      <w:pPr>
        <w:tabs>
          <w:tab w:val="left" w:pos="540"/>
          <w:tab w:val="left" w:pos="569"/>
        </w:tabs>
        <w:rPr>
          <w:sz w:val="22"/>
          <w:szCs w:val="22"/>
          <w:lang w:val="sr-Latn-ME"/>
        </w:rPr>
      </w:pPr>
      <w:r w:rsidRPr="00F65520">
        <w:rPr>
          <w:sz w:val="22"/>
          <w:szCs w:val="22"/>
          <w:lang w:val="sr-Latn-ME"/>
        </w:rPr>
        <w:t xml:space="preserve">Tabela 1. Tabelarni prikaz neželjenih reakcija </w:t>
      </w:r>
    </w:p>
    <w:p w14:paraId="0D9911EA" w14:textId="77777777" w:rsidR="002D4948" w:rsidRPr="00F65520" w:rsidRDefault="002D4948" w:rsidP="002D4948">
      <w:pPr>
        <w:tabs>
          <w:tab w:val="left" w:pos="540"/>
          <w:tab w:val="left" w:pos="569"/>
        </w:tabs>
        <w:rPr>
          <w:sz w:val="22"/>
          <w:szCs w:val="22"/>
          <w:lang w:val="sr-Latn-ME"/>
        </w:rPr>
      </w:pPr>
    </w:p>
    <w:tbl>
      <w:tblPr>
        <w:tblStyle w:val="TableGrid"/>
        <w:tblW w:w="5000" w:type="pct"/>
        <w:tblLook w:val="04A0" w:firstRow="1" w:lastRow="0" w:firstColumn="1" w:lastColumn="0" w:noHBand="0" w:noVBand="1"/>
      </w:tblPr>
      <w:tblGrid>
        <w:gridCol w:w="3002"/>
        <w:gridCol w:w="3065"/>
        <w:gridCol w:w="2996"/>
      </w:tblGrid>
      <w:tr w:rsidR="00DC33B1" w:rsidRPr="00F65520" w14:paraId="6D4A564D" w14:textId="77777777" w:rsidTr="00D36D03">
        <w:tc>
          <w:tcPr>
            <w:tcW w:w="1656" w:type="pct"/>
          </w:tcPr>
          <w:p w14:paraId="4450E6D8" w14:textId="3300B05C" w:rsidR="002D4948" w:rsidRPr="00F65520" w:rsidRDefault="00676C41" w:rsidP="000808A1">
            <w:pPr>
              <w:tabs>
                <w:tab w:val="left" w:pos="540"/>
                <w:tab w:val="left" w:pos="569"/>
              </w:tabs>
              <w:rPr>
                <w:b/>
                <w:sz w:val="22"/>
                <w:szCs w:val="22"/>
                <w:lang w:val="sr-Latn-ME"/>
              </w:rPr>
            </w:pPr>
            <w:r w:rsidRPr="00F65520">
              <w:rPr>
                <w:b/>
                <w:sz w:val="22"/>
                <w:szCs w:val="22"/>
                <w:lang w:val="sr-Latn-ME"/>
              </w:rPr>
              <w:t xml:space="preserve">MeDRA </w:t>
            </w:r>
            <w:r w:rsidR="002D4948" w:rsidRPr="00F65520">
              <w:rPr>
                <w:b/>
                <w:sz w:val="22"/>
                <w:szCs w:val="22"/>
                <w:lang w:val="sr-Latn-ME"/>
              </w:rPr>
              <w:t>Klasa sistema organa</w:t>
            </w:r>
          </w:p>
        </w:tc>
        <w:tc>
          <w:tcPr>
            <w:tcW w:w="1691" w:type="pct"/>
          </w:tcPr>
          <w:p w14:paraId="6EB4C615" w14:textId="77777777" w:rsidR="002D4948" w:rsidRPr="00F65520" w:rsidRDefault="002D4948" w:rsidP="000808A1">
            <w:pPr>
              <w:tabs>
                <w:tab w:val="left" w:pos="540"/>
                <w:tab w:val="left" w:pos="569"/>
              </w:tabs>
              <w:rPr>
                <w:b/>
                <w:sz w:val="22"/>
                <w:szCs w:val="22"/>
                <w:lang w:val="sr-Latn-ME"/>
              </w:rPr>
            </w:pPr>
            <w:r w:rsidRPr="00F65520">
              <w:rPr>
                <w:b/>
                <w:sz w:val="22"/>
                <w:szCs w:val="22"/>
                <w:lang w:val="sr-Latn-ME"/>
              </w:rPr>
              <w:t>Neželjena reakcija</w:t>
            </w:r>
          </w:p>
        </w:tc>
        <w:tc>
          <w:tcPr>
            <w:tcW w:w="1653" w:type="pct"/>
          </w:tcPr>
          <w:p w14:paraId="281FF6C3" w14:textId="77777777" w:rsidR="002D4948" w:rsidRPr="00F65520" w:rsidRDefault="002D4948" w:rsidP="000808A1">
            <w:pPr>
              <w:tabs>
                <w:tab w:val="left" w:pos="540"/>
                <w:tab w:val="left" w:pos="569"/>
              </w:tabs>
              <w:rPr>
                <w:b/>
                <w:sz w:val="22"/>
                <w:szCs w:val="22"/>
                <w:lang w:val="sr-Latn-ME"/>
              </w:rPr>
            </w:pPr>
            <w:r w:rsidRPr="00F65520">
              <w:rPr>
                <w:b/>
                <w:sz w:val="22"/>
                <w:szCs w:val="22"/>
                <w:lang w:val="sr-Latn-ME"/>
              </w:rPr>
              <w:t>Učestalost</w:t>
            </w:r>
          </w:p>
        </w:tc>
      </w:tr>
      <w:tr w:rsidR="00DC33B1" w:rsidRPr="00F65520" w14:paraId="499500CC" w14:textId="77777777" w:rsidTr="00D36D03">
        <w:tc>
          <w:tcPr>
            <w:tcW w:w="1656" w:type="pct"/>
          </w:tcPr>
          <w:p w14:paraId="57DDC268" w14:textId="77777777" w:rsidR="002D4948" w:rsidRPr="00F65520" w:rsidRDefault="002D4948" w:rsidP="000808A1">
            <w:pPr>
              <w:tabs>
                <w:tab w:val="left" w:pos="540"/>
                <w:tab w:val="left" w:pos="569"/>
              </w:tabs>
              <w:rPr>
                <w:sz w:val="22"/>
                <w:szCs w:val="22"/>
                <w:lang w:val="sr-Latn-ME"/>
              </w:rPr>
            </w:pPr>
            <w:r w:rsidRPr="00F65520">
              <w:rPr>
                <w:sz w:val="22"/>
                <w:szCs w:val="22"/>
                <w:lang w:val="sr-Latn-ME"/>
              </w:rPr>
              <w:t>Infekcije i infestacije</w:t>
            </w:r>
          </w:p>
        </w:tc>
        <w:tc>
          <w:tcPr>
            <w:tcW w:w="1691" w:type="pct"/>
          </w:tcPr>
          <w:p w14:paraId="7177E220" w14:textId="77777777" w:rsidR="002D4948" w:rsidRPr="00F65520" w:rsidRDefault="002D4948" w:rsidP="000808A1">
            <w:pPr>
              <w:tabs>
                <w:tab w:val="left" w:pos="540"/>
                <w:tab w:val="left" w:pos="569"/>
              </w:tabs>
              <w:rPr>
                <w:sz w:val="22"/>
                <w:szCs w:val="22"/>
                <w:lang w:val="sr-Latn-ME"/>
              </w:rPr>
            </w:pPr>
            <w:r w:rsidRPr="00F65520">
              <w:rPr>
                <w:sz w:val="22"/>
                <w:szCs w:val="22"/>
                <w:lang w:val="sr-Latn-ME"/>
              </w:rPr>
              <w:t>Faringitis*</w:t>
            </w:r>
          </w:p>
        </w:tc>
        <w:tc>
          <w:tcPr>
            <w:tcW w:w="1653" w:type="pct"/>
          </w:tcPr>
          <w:p w14:paraId="1F2AD75E" w14:textId="77777777" w:rsidR="002D4948" w:rsidRPr="00F65520" w:rsidRDefault="002D4948" w:rsidP="000808A1">
            <w:pPr>
              <w:tabs>
                <w:tab w:val="left" w:pos="540"/>
                <w:tab w:val="left" w:pos="569"/>
              </w:tabs>
              <w:rPr>
                <w:sz w:val="22"/>
                <w:szCs w:val="22"/>
                <w:lang w:val="sr-Latn-ME"/>
              </w:rPr>
            </w:pPr>
            <w:r w:rsidRPr="00F65520">
              <w:rPr>
                <w:sz w:val="22"/>
                <w:szCs w:val="22"/>
                <w:lang w:val="sr-Latn-ME"/>
              </w:rPr>
              <w:t>Često</w:t>
            </w:r>
          </w:p>
        </w:tc>
      </w:tr>
      <w:tr w:rsidR="00DC33B1" w:rsidRPr="00F65520" w14:paraId="0B5B20FD" w14:textId="77777777" w:rsidTr="00D36D03">
        <w:tc>
          <w:tcPr>
            <w:tcW w:w="1656" w:type="pct"/>
          </w:tcPr>
          <w:p w14:paraId="744C6F2B" w14:textId="412ECD8F" w:rsidR="002D4948" w:rsidRPr="00F65520" w:rsidRDefault="002D4948" w:rsidP="000808A1">
            <w:pPr>
              <w:tabs>
                <w:tab w:val="left" w:pos="540"/>
                <w:tab w:val="left" w:pos="569"/>
              </w:tabs>
              <w:rPr>
                <w:sz w:val="22"/>
                <w:szCs w:val="22"/>
                <w:lang w:val="sr-Latn-ME"/>
              </w:rPr>
            </w:pPr>
            <w:r w:rsidRPr="00F65520">
              <w:rPr>
                <w:sz w:val="22"/>
                <w:szCs w:val="22"/>
                <w:lang w:val="sr-Latn-ME"/>
              </w:rPr>
              <w:t>Poremećaji imu</w:t>
            </w:r>
            <w:r w:rsidR="009D3478" w:rsidRPr="00F65520">
              <w:rPr>
                <w:sz w:val="22"/>
                <w:szCs w:val="22"/>
                <w:lang w:val="sr-Latn-ME"/>
              </w:rPr>
              <w:t>n</w:t>
            </w:r>
            <w:r w:rsidRPr="00F65520">
              <w:rPr>
                <w:sz w:val="22"/>
                <w:szCs w:val="22"/>
                <w:lang w:val="sr-Latn-ME"/>
              </w:rPr>
              <w:t>og sistema</w:t>
            </w:r>
          </w:p>
        </w:tc>
        <w:tc>
          <w:tcPr>
            <w:tcW w:w="1691" w:type="pct"/>
          </w:tcPr>
          <w:p w14:paraId="3351B564" w14:textId="437C68AC" w:rsidR="002D4948" w:rsidRPr="00F65520" w:rsidRDefault="002D4948" w:rsidP="000808A1">
            <w:pPr>
              <w:tabs>
                <w:tab w:val="left" w:pos="540"/>
                <w:tab w:val="left" w:pos="569"/>
              </w:tabs>
              <w:rPr>
                <w:sz w:val="22"/>
                <w:szCs w:val="22"/>
                <w:lang w:val="sr-Latn-ME"/>
              </w:rPr>
            </w:pPr>
            <w:r w:rsidRPr="00F65520">
              <w:rPr>
                <w:sz w:val="22"/>
                <w:szCs w:val="22"/>
                <w:lang w:val="sr-Latn-ME"/>
              </w:rPr>
              <w:t>Reakcije preos</w:t>
            </w:r>
            <w:r w:rsidR="002318F3" w:rsidRPr="00F65520">
              <w:rPr>
                <w:sz w:val="22"/>
                <w:szCs w:val="22"/>
                <w:lang w:val="sr-Latn-ME"/>
              </w:rPr>
              <w:t>j</w:t>
            </w:r>
            <w:r w:rsidRPr="00F65520">
              <w:rPr>
                <w:sz w:val="22"/>
                <w:szCs w:val="22"/>
                <w:lang w:val="sr-Latn-ME"/>
              </w:rPr>
              <w:t>etljivosti**</w:t>
            </w:r>
          </w:p>
          <w:p w14:paraId="60A87F0A" w14:textId="77777777" w:rsidR="002D4948" w:rsidRPr="00F65520" w:rsidRDefault="002D4948" w:rsidP="000808A1">
            <w:pPr>
              <w:tabs>
                <w:tab w:val="left" w:pos="540"/>
                <w:tab w:val="left" w:pos="569"/>
              </w:tabs>
              <w:rPr>
                <w:sz w:val="22"/>
                <w:szCs w:val="22"/>
                <w:lang w:val="sr-Latn-ME"/>
              </w:rPr>
            </w:pPr>
            <w:r w:rsidRPr="00F65520">
              <w:rPr>
                <w:sz w:val="22"/>
                <w:szCs w:val="22"/>
                <w:lang w:val="sr-Latn-ME"/>
              </w:rPr>
              <w:t>Anafilaktička reakcija</w:t>
            </w:r>
          </w:p>
        </w:tc>
        <w:tc>
          <w:tcPr>
            <w:tcW w:w="1653" w:type="pct"/>
          </w:tcPr>
          <w:p w14:paraId="3B1E87F0" w14:textId="77777777" w:rsidR="002D4948" w:rsidRPr="00F65520" w:rsidRDefault="002D4948" w:rsidP="000808A1">
            <w:pPr>
              <w:tabs>
                <w:tab w:val="left" w:pos="540"/>
                <w:tab w:val="left" w:pos="569"/>
              </w:tabs>
              <w:rPr>
                <w:sz w:val="22"/>
                <w:szCs w:val="22"/>
                <w:lang w:val="sr-Latn-ME"/>
              </w:rPr>
            </w:pPr>
            <w:r w:rsidRPr="00F65520">
              <w:rPr>
                <w:sz w:val="22"/>
                <w:szCs w:val="22"/>
                <w:lang w:val="sr-Latn-ME"/>
              </w:rPr>
              <w:t>Često</w:t>
            </w:r>
          </w:p>
          <w:p w14:paraId="6605E626" w14:textId="77777777" w:rsidR="002D4948" w:rsidRPr="00F65520" w:rsidRDefault="002D4948" w:rsidP="000808A1">
            <w:pPr>
              <w:tabs>
                <w:tab w:val="left" w:pos="540"/>
                <w:tab w:val="left" w:pos="569"/>
              </w:tabs>
              <w:rPr>
                <w:sz w:val="22"/>
                <w:szCs w:val="22"/>
                <w:u w:val="single"/>
                <w:lang w:val="sr-Latn-ME"/>
              </w:rPr>
            </w:pPr>
            <w:r w:rsidRPr="00F65520">
              <w:rPr>
                <w:sz w:val="22"/>
                <w:szCs w:val="22"/>
                <w:u w:val="single"/>
                <w:lang w:val="sr-Latn-ME"/>
              </w:rPr>
              <w:t>Nepoznato</w:t>
            </w:r>
          </w:p>
        </w:tc>
      </w:tr>
      <w:tr w:rsidR="00DC33B1" w:rsidRPr="00F65520" w14:paraId="15B81392" w14:textId="77777777" w:rsidTr="00D36D03">
        <w:tc>
          <w:tcPr>
            <w:tcW w:w="1656" w:type="pct"/>
          </w:tcPr>
          <w:p w14:paraId="420D53F1" w14:textId="77777777" w:rsidR="002D4948" w:rsidRPr="00F65520" w:rsidRDefault="002D4948" w:rsidP="000808A1">
            <w:pPr>
              <w:tabs>
                <w:tab w:val="left" w:pos="540"/>
                <w:tab w:val="left" w:pos="569"/>
              </w:tabs>
              <w:rPr>
                <w:sz w:val="22"/>
                <w:szCs w:val="22"/>
                <w:lang w:val="sr-Latn-ME"/>
              </w:rPr>
            </w:pPr>
            <w:r w:rsidRPr="00F65520">
              <w:rPr>
                <w:sz w:val="22"/>
                <w:szCs w:val="22"/>
                <w:lang w:val="sr-Latn-ME"/>
              </w:rPr>
              <w:t>Poremećaji nervnog sistema</w:t>
            </w:r>
          </w:p>
        </w:tc>
        <w:tc>
          <w:tcPr>
            <w:tcW w:w="1691" w:type="pct"/>
          </w:tcPr>
          <w:p w14:paraId="145A09B6" w14:textId="77777777" w:rsidR="002D4948" w:rsidRPr="00F65520" w:rsidRDefault="002D4948" w:rsidP="000808A1">
            <w:pPr>
              <w:tabs>
                <w:tab w:val="left" w:pos="540"/>
                <w:tab w:val="left" w:pos="569"/>
              </w:tabs>
              <w:rPr>
                <w:sz w:val="22"/>
                <w:szCs w:val="22"/>
                <w:lang w:val="sr-Latn-ME"/>
              </w:rPr>
            </w:pPr>
            <w:r w:rsidRPr="00F65520">
              <w:rPr>
                <w:sz w:val="22"/>
                <w:szCs w:val="22"/>
                <w:lang w:val="sr-Latn-ME"/>
              </w:rPr>
              <w:t>Glavobolja</w:t>
            </w:r>
          </w:p>
        </w:tc>
        <w:tc>
          <w:tcPr>
            <w:tcW w:w="1653" w:type="pct"/>
          </w:tcPr>
          <w:p w14:paraId="5D3357B1" w14:textId="77777777" w:rsidR="002D4948" w:rsidRPr="00F65520" w:rsidRDefault="002D4948" w:rsidP="000808A1">
            <w:pPr>
              <w:tabs>
                <w:tab w:val="left" w:pos="540"/>
                <w:tab w:val="left" w:pos="569"/>
              </w:tabs>
              <w:rPr>
                <w:sz w:val="22"/>
                <w:szCs w:val="22"/>
                <w:lang w:val="sr-Latn-ME"/>
              </w:rPr>
            </w:pPr>
            <w:r w:rsidRPr="00F65520">
              <w:rPr>
                <w:sz w:val="22"/>
                <w:szCs w:val="22"/>
                <w:lang w:val="sr-Latn-ME"/>
              </w:rPr>
              <w:t>Često</w:t>
            </w:r>
          </w:p>
        </w:tc>
      </w:tr>
      <w:tr w:rsidR="00DC33B1" w:rsidRPr="00F65520" w14:paraId="1DCF18D6" w14:textId="77777777" w:rsidTr="00D36D03">
        <w:tc>
          <w:tcPr>
            <w:tcW w:w="1656" w:type="pct"/>
          </w:tcPr>
          <w:p w14:paraId="51D37B97" w14:textId="77777777" w:rsidR="002D4948" w:rsidRPr="00F65520" w:rsidRDefault="002D4948" w:rsidP="000808A1">
            <w:pPr>
              <w:tabs>
                <w:tab w:val="left" w:pos="540"/>
                <w:tab w:val="left" w:pos="569"/>
              </w:tabs>
              <w:rPr>
                <w:sz w:val="22"/>
                <w:szCs w:val="22"/>
                <w:lang w:val="sr-Latn-ME"/>
              </w:rPr>
            </w:pPr>
            <w:r w:rsidRPr="00F65520">
              <w:rPr>
                <w:sz w:val="22"/>
                <w:szCs w:val="22"/>
                <w:lang w:val="sr-Latn-ME"/>
              </w:rPr>
              <w:t>Opšti poremećaji i reakcije na mjestu primjene</w:t>
            </w:r>
          </w:p>
        </w:tc>
        <w:tc>
          <w:tcPr>
            <w:tcW w:w="1691" w:type="pct"/>
          </w:tcPr>
          <w:p w14:paraId="3939287F" w14:textId="77777777" w:rsidR="002D4948" w:rsidRPr="00F65520" w:rsidRDefault="002D4948" w:rsidP="000808A1">
            <w:pPr>
              <w:tabs>
                <w:tab w:val="left" w:pos="540"/>
                <w:tab w:val="left" w:pos="569"/>
              </w:tabs>
              <w:rPr>
                <w:sz w:val="22"/>
                <w:szCs w:val="22"/>
                <w:lang w:val="sr-Latn-ME"/>
              </w:rPr>
            </w:pPr>
            <w:r w:rsidRPr="00F65520">
              <w:rPr>
                <w:sz w:val="22"/>
                <w:szCs w:val="22"/>
                <w:lang w:val="sr-Latn-ME"/>
              </w:rPr>
              <w:t>Pireksija</w:t>
            </w:r>
          </w:p>
          <w:p w14:paraId="60D36567" w14:textId="7D45C47C" w:rsidR="002D4948" w:rsidRPr="00F65520" w:rsidRDefault="002D4948" w:rsidP="000808A1">
            <w:pPr>
              <w:tabs>
                <w:tab w:val="left" w:pos="540"/>
                <w:tab w:val="left" w:pos="569"/>
              </w:tabs>
              <w:rPr>
                <w:sz w:val="22"/>
                <w:szCs w:val="22"/>
                <w:lang w:val="sr-Latn-ME"/>
              </w:rPr>
            </w:pPr>
            <w:r w:rsidRPr="00F65520">
              <w:rPr>
                <w:sz w:val="22"/>
                <w:szCs w:val="22"/>
                <w:lang w:val="sr-Latn-ME"/>
              </w:rPr>
              <w:t>Reakcija na mjestu primjene injekcije</w:t>
            </w:r>
            <w:r w:rsidR="00676C41" w:rsidRPr="00F65520">
              <w:rPr>
                <w:sz w:val="22"/>
                <w:szCs w:val="22"/>
                <w:lang w:val="sr-Latn-ME"/>
              </w:rPr>
              <w:t>***</w:t>
            </w:r>
          </w:p>
        </w:tc>
        <w:tc>
          <w:tcPr>
            <w:tcW w:w="1653" w:type="pct"/>
          </w:tcPr>
          <w:p w14:paraId="28E61562" w14:textId="77777777" w:rsidR="002D4948" w:rsidRPr="00F65520" w:rsidRDefault="002D4948" w:rsidP="000808A1">
            <w:pPr>
              <w:tabs>
                <w:tab w:val="left" w:pos="540"/>
                <w:tab w:val="left" w:pos="569"/>
              </w:tabs>
              <w:rPr>
                <w:sz w:val="22"/>
                <w:szCs w:val="22"/>
                <w:lang w:val="sr-Latn-ME"/>
              </w:rPr>
            </w:pPr>
            <w:r w:rsidRPr="00F65520">
              <w:rPr>
                <w:sz w:val="22"/>
                <w:szCs w:val="22"/>
                <w:lang w:val="sr-Latn-ME"/>
              </w:rPr>
              <w:t>Često</w:t>
            </w:r>
          </w:p>
        </w:tc>
      </w:tr>
    </w:tbl>
    <w:p w14:paraId="2CF8811E" w14:textId="77777777" w:rsidR="002D4948" w:rsidRPr="00F65520" w:rsidRDefault="002D4948" w:rsidP="002D4948">
      <w:pPr>
        <w:tabs>
          <w:tab w:val="left" w:pos="540"/>
          <w:tab w:val="left" w:pos="569"/>
        </w:tabs>
        <w:rPr>
          <w:sz w:val="22"/>
          <w:szCs w:val="22"/>
          <w:lang w:val="sr-Latn-ME"/>
        </w:rPr>
      </w:pPr>
      <w:r w:rsidRPr="00F65520">
        <w:rPr>
          <w:sz w:val="22"/>
          <w:szCs w:val="22"/>
          <w:lang w:val="sr-Latn-ME"/>
        </w:rPr>
        <w:t>*Pojam faringitis obuhvatao je sljedeće grupisane preporučene pojmove: 'faringitis', 'bakterijski faringitis', 'virusni faringitis', 'streptokokni faringitis</w:t>
      </w:r>
      <w:bookmarkStart w:id="2" w:name="_Hlk524000512"/>
      <w:r w:rsidRPr="00F65520">
        <w:rPr>
          <w:sz w:val="22"/>
          <w:szCs w:val="22"/>
          <w:lang w:val="sr-Latn-ME"/>
        </w:rPr>
        <w:t>'</w:t>
      </w:r>
      <w:bookmarkEnd w:id="2"/>
      <w:r w:rsidRPr="00F65520">
        <w:rPr>
          <w:sz w:val="22"/>
          <w:szCs w:val="22"/>
          <w:lang w:val="sr-Latn-ME"/>
        </w:rPr>
        <w:t>.</w:t>
      </w:r>
    </w:p>
    <w:p w14:paraId="547E184A" w14:textId="77777777" w:rsidR="002D4948" w:rsidRPr="00F65520" w:rsidRDefault="002D4948" w:rsidP="002D4948">
      <w:pPr>
        <w:tabs>
          <w:tab w:val="left" w:pos="540"/>
          <w:tab w:val="left" w:pos="569"/>
        </w:tabs>
        <w:rPr>
          <w:sz w:val="22"/>
          <w:szCs w:val="22"/>
          <w:lang w:val="sr-Latn-ME"/>
        </w:rPr>
      </w:pPr>
      <w:r w:rsidRPr="00F65520">
        <w:rPr>
          <w:sz w:val="22"/>
          <w:szCs w:val="22"/>
          <w:lang w:val="sr-Latn-ME"/>
        </w:rPr>
        <w:t>**Pojam reakcije preosjetljivosti obuhvatao je sljedeće grupisane preporučene pojmove: 'urtikarija', 'papulozna urtikarija' i 'osip'. Za primjere prijavljivanja manifestacija povezanih sa lijekom i opis vremena do pojave, vidjeti odjeljak 4.4.</w:t>
      </w:r>
    </w:p>
    <w:p w14:paraId="476244D8" w14:textId="081FAA1D" w:rsidR="00676C41" w:rsidRPr="00F65520" w:rsidRDefault="00676C41" w:rsidP="00676C41">
      <w:pPr>
        <w:rPr>
          <w:sz w:val="22"/>
          <w:szCs w:val="22"/>
          <w:lang w:val="sr-Latn-ME"/>
        </w:rPr>
      </w:pPr>
      <w:r w:rsidRPr="00F65520">
        <w:rPr>
          <w:sz w:val="22"/>
          <w:szCs w:val="22"/>
          <w:lang w:val="sr-Latn-ME"/>
        </w:rPr>
        <w:t>***Vidjeti „Opis odabranih neželjenih reakcija”.</w:t>
      </w:r>
    </w:p>
    <w:p w14:paraId="0476B829" w14:textId="77777777" w:rsidR="002D4948" w:rsidRPr="00F65520" w:rsidRDefault="002D4948" w:rsidP="002D4948">
      <w:pPr>
        <w:tabs>
          <w:tab w:val="left" w:pos="540"/>
          <w:tab w:val="left" w:pos="569"/>
        </w:tabs>
        <w:rPr>
          <w:sz w:val="22"/>
          <w:szCs w:val="22"/>
          <w:lang w:val="sr-Latn-ME"/>
        </w:rPr>
      </w:pPr>
    </w:p>
    <w:p w14:paraId="5983B83D" w14:textId="77777777" w:rsidR="002D4948" w:rsidRPr="00F65520" w:rsidRDefault="002D4948" w:rsidP="00F0315A">
      <w:pPr>
        <w:tabs>
          <w:tab w:val="left" w:pos="540"/>
          <w:tab w:val="left" w:pos="569"/>
        </w:tabs>
        <w:jc w:val="both"/>
        <w:rPr>
          <w:sz w:val="22"/>
          <w:szCs w:val="22"/>
          <w:u w:val="single"/>
          <w:lang w:val="sr-Latn-ME"/>
        </w:rPr>
      </w:pPr>
      <w:r w:rsidRPr="00F65520">
        <w:rPr>
          <w:sz w:val="22"/>
          <w:szCs w:val="22"/>
          <w:u w:val="single"/>
          <w:lang w:val="sr-Latn-ME"/>
        </w:rPr>
        <w:t>Opis odabranih neželjenih reakcija</w:t>
      </w:r>
    </w:p>
    <w:p w14:paraId="2D3FD09B" w14:textId="77777777" w:rsidR="002D4948" w:rsidRPr="00F65520" w:rsidRDefault="002D4948" w:rsidP="00F0315A">
      <w:pPr>
        <w:tabs>
          <w:tab w:val="left" w:pos="540"/>
          <w:tab w:val="left" w:pos="569"/>
        </w:tabs>
        <w:jc w:val="both"/>
        <w:rPr>
          <w:sz w:val="22"/>
          <w:szCs w:val="22"/>
          <w:u w:val="single"/>
          <w:lang w:val="sr-Latn-ME"/>
        </w:rPr>
      </w:pPr>
    </w:p>
    <w:p w14:paraId="043298FD" w14:textId="77777777" w:rsidR="002D4948" w:rsidRPr="00F65520" w:rsidRDefault="002D4948" w:rsidP="00F0315A">
      <w:pPr>
        <w:tabs>
          <w:tab w:val="left" w:pos="540"/>
          <w:tab w:val="left" w:pos="569"/>
        </w:tabs>
        <w:jc w:val="both"/>
        <w:rPr>
          <w:i/>
          <w:sz w:val="22"/>
          <w:szCs w:val="22"/>
          <w:lang w:val="sr-Latn-ME"/>
        </w:rPr>
      </w:pPr>
      <w:r w:rsidRPr="00F65520">
        <w:rPr>
          <w:i/>
          <w:sz w:val="22"/>
          <w:szCs w:val="22"/>
          <w:lang w:val="sr-Latn-ME"/>
        </w:rPr>
        <w:lastRenderedPageBreak/>
        <w:t>Reakcije na mjestu primjene injekcije</w:t>
      </w:r>
    </w:p>
    <w:p w14:paraId="1B87236C" w14:textId="3ED5B943" w:rsidR="00676C41" w:rsidRPr="00F65520" w:rsidRDefault="002D4948" w:rsidP="00676C41">
      <w:pPr>
        <w:rPr>
          <w:sz w:val="22"/>
          <w:szCs w:val="22"/>
          <w:lang w:val="sr-Latn-ME"/>
        </w:rPr>
      </w:pPr>
      <w:r w:rsidRPr="00F65520">
        <w:rPr>
          <w:sz w:val="22"/>
          <w:szCs w:val="22"/>
          <w:lang w:val="sr-Latn-ME"/>
        </w:rPr>
        <w:t>U placebo kontrolisanim ispitivanjima, reakcije na mjestu primjene injekcije (npr. bol, eritem, pruritus, papule) javile su se kod 2,2% pacijenata liječenih preporučenom dozom benralizumaba u poređenju sa 1,9% onih koji su primali placebo.</w:t>
      </w:r>
      <w:r w:rsidR="00676C41" w:rsidRPr="00F65520">
        <w:rPr>
          <w:sz w:val="22"/>
          <w:szCs w:val="22"/>
          <w:lang w:val="sr-Latn-ME"/>
        </w:rPr>
        <w:t xml:space="preserve"> Događaji su bili prolazne prirode.</w:t>
      </w:r>
    </w:p>
    <w:p w14:paraId="234F7222" w14:textId="77777777" w:rsidR="002D4948" w:rsidRPr="00F65520" w:rsidRDefault="002D4948" w:rsidP="00F0315A">
      <w:pPr>
        <w:tabs>
          <w:tab w:val="left" w:pos="540"/>
          <w:tab w:val="left" w:pos="569"/>
        </w:tabs>
        <w:jc w:val="both"/>
        <w:rPr>
          <w:sz w:val="22"/>
          <w:szCs w:val="22"/>
          <w:u w:val="single"/>
          <w:lang w:val="sr-Latn-ME"/>
        </w:rPr>
      </w:pPr>
      <w:r w:rsidRPr="00F65520">
        <w:rPr>
          <w:sz w:val="22"/>
          <w:szCs w:val="22"/>
          <w:u w:val="single"/>
          <w:lang w:val="sr-Latn-ME"/>
        </w:rPr>
        <w:t>Dugoročna bezbjednost</w:t>
      </w:r>
    </w:p>
    <w:p w14:paraId="39DA41BE" w14:textId="77777777" w:rsidR="002D4948" w:rsidRPr="00F65520" w:rsidRDefault="002D4948" w:rsidP="00F0315A">
      <w:pPr>
        <w:tabs>
          <w:tab w:val="left" w:pos="540"/>
          <w:tab w:val="left" w:pos="569"/>
        </w:tabs>
        <w:jc w:val="both"/>
        <w:rPr>
          <w:sz w:val="22"/>
          <w:szCs w:val="22"/>
          <w:lang w:val="sr-Latn-ME"/>
        </w:rPr>
      </w:pPr>
    </w:p>
    <w:p w14:paraId="0A0304C5" w14:textId="37F11D91" w:rsidR="008216D0" w:rsidRPr="00F65520" w:rsidRDefault="002D4948" w:rsidP="008216D0">
      <w:pPr>
        <w:tabs>
          <w:tab w:val="left" w:pos="540"/>
          <w:tab w:val="left" w:pos="569"/>
        </w:tabs>
        <w:jc w:val="both"/>
        <w:rPr>
          <w:sz w:val="22"/>
          <w:szCs w:val="22"/>
          <w:lang w:val="sr-Latn-ME"/>
        </w:rPr>
      </w:pPr>
      <w:r w:rsidRPr="00F65520">
        <w:rPr>
          <w:sz w:val="22"/>
          <w:szCs w:val="22"/>
          <w:lang w:val="sr-Latn-ME"/>
        </w:rPr>
        <w:t xml:space="preserve">U 56-nedjeljnom produženom ispitivanju </w:t>
      </w:r>
      <w:r w:rsidR="008216D0" w:rsidRPr="00F65520">
        <w:rPr>
          <w:sz w:val="22"/>
          <w:szCs w:val="22"/>
          <w:lang w:val="sr-Latn-ME"/>
        </w:rPr>
        <w:t xml:space="preserve">(ispitivanje 4) </w:t>
      </w:r>
      <w:r w:rsidRPr="00F65520">
        <w:rPr>
          <w:sz w:val="22"/>
          <w:szCs w:val="22"/>
          <w:lang w:val="sr-Latn-ME"/>
        </w:rPr>
        <w:t xml:space="preserve">kod pacijenata sa astmom iz ispitivanja 1, 2 i 3, 842 ispitanika bila su liječena preporučenom dozom lijeka Fasenra i ostali su u ispitivanju. Ukupni profil </w:t>
      </w:r>
      <w:r w:rsidR="00AD50F9" w:rsidRPr="00F65520">
        <w:rPr>
          <w:sz w:val="22"/>
          <w:szCs w:val="22"/>
          <w:lang w:val="sr-Latn-ME"/>
        </w:rPr>
        <w:t xml:space="preserve">neželjenih </w:t>
      </w:r>
      <w:r w:rsidRPr="00F65520">
        <w:rPr>
          <w:sz w:val="22"/>
          <w:szCs w:val="22"/>
          <w:lang w:val="sr-Latn-ME"/>
        </w:rPr>
        <w:t xml:space="preserve">događaja bio je sličan kao i kod gore opisanih ispitivanja kod astme. </w:t>
      </w:r>
      <w:r w:rsidR="00361600" w:rsidRPr="00F65520">
        <w:rPr>
          <w:sz w:val="22"/>
          <w:szCs w:val="22"/>
          <w:lang w:val="sr-Latn-ME"/>
        </w:rPr>
        <w:t>Dodatno</w:t>
      </w:r>
      <w:r w:rsidR="008216D0" w:rsidRPr="00F65520">
        <w:rPr>
          <w:sz w:val="22"/>
          <w:szCs w:val="22"/>
          <w:lang w:val="sr-Latn-ME"/>
        </w:rPr>
        <w:t>, u otvoreno</w:t>
      </w:r>
      <w:r w:rsidR="00493FBB" w:rsidRPr="00F65520">
        <w:rPr>
          <w:sz w:val="22"/>
          <w:szCs w:val="22"/>
          <w:lang w:val="sr-Latn-ME"/>
        </w:rPr>
        <w:t>m</w:t>
      </w:r>
      <w:r w:rsidR="008216D0" w:rsidRPr="00F65520">
        <w:rPr>
          <w:sz w:val="22"/>
          <w:szCs w:val="22"/>
          <w:lang w:val="sr-Latn-ME"/>
        </w:rPr>
        <w:t xml:space="preserve"> </w:t>
      </w:r>
      <w:r w:rsidR="00361600" w:rsidRPr="00F65520">
        <w:rPr>
          <w:sz w:val="22"/>
          <w:szCs w:val="22"/>
          <w:lang w:val="sr-Latn-ME"/>
        </w:rPr>
        <w:t xml:space="preserve">nastavku </w:t>
      </w:r>
      <w:r w:rsidR="008216D0" w:rsidRPr="00F65520">
        <w:rPr>
          <w:sz w:val="22"/>
          <w:szCs w:val="22"/>
          <w:lang w:val="sr-Latn-ME"/>
        </w:rPr>
        <w:t>bezb</w:t>
      </w:r>
      <w:r w:rsidR="00AA4022" w:rsidRPr="00F65520">
        <w:rPr>
          <w:sz w:val="22"/>
          <w:szCs w:val="22"/>
          <w:lang w:val="sr-Latn-ME"/>
        </w:rPr>
        <w:t>j</w:t>
      </w:r>
      <w:r w:rsidR="008216D0" w:rsidRPr="00F65520">
        <w:rPr>
          <w:sz w:val="22"/>
          <w:szCs w:val="22"/>
          <w:lang w:val="sr-Latn-ME"/>
        </w:rPr>
        <w:t>ednos</w:t>
      </w:r>
      <w:r w:rsidR="00493FBB" w:rsidRPr="00F65520">
        <w:rPr>
          <w:sz w:val="22"/>
          <w:szCs w:val="22"/>
          <w:lang w:val="sr-Latn-ME"/>
        </w:rPr>
        <w:t xml:space="preserve">nom </w:t>
      </w:r>
      <w:r w:rsidR="008216D0" w:rsidRPr="00F65520">
        <w:rPr>
          <w:sz w:val="22"/>
          <w:szCs w:val="22"/>
          <w:lang w:val="sr-Latn-ME"/>
        </w:rPr>
        <w:t>ispitivanj</w:t>
      </w:r>
      <w:r w:rsidR="00361600" w:rsidRPr="00F65520">
        <w:rPr>
          <w:sz w:val="22"/>
          <w:szCs w:val="22"/>
          <w:lang w:val="sr-Latn-ME"/>
        </w:rPr>
        <w:t>u</w:t>
      </w:r>
      <w:r w:rsidR="008216D0" w:rsidRPr="00F65520">
        <w:rPr>
          <w:sz w:val="22"/>
          <w:szCs w:val="22"/>
          <w:lang w:val="sr-Latn-ME"/>
        </w:rPr>
        <w:t xml:space="preserve"> (</w:t>
      </w:r>
      <w:r w:rsidR="00361600" w:rsidRPr="00F65520">
        <w:rPr>
          <w:sz w:val="22"/>
          <w:szCs w:val="22"/>
          <w:lang w:val="sr-Latn-ME"/>
        </w:rPr>
        <w:t>Ispitivanje</w:t>
      </w:r>
      <w:r w:rsidR="008216D0" w:rsidRPr="00F65520">
        <w:rPr>
          <w:sz w:val="22"/>
          <w:szCs w:val="22"/>
          <w:lang w:val="sr-Latn-ME"/>
        </w:rPr>
        <w:t xml:space="preserve"> 5) kod pacijenata sa astmom iz prethodnih ispitivanja, 226 pacijenata l</w:t>
      </w:r>
      <w:r w:rsidR="00AA4022" w:rsidRPr="00F65520">
        <w:rPr>
          <w:sz w:val="22"/>
          <w:szCs w:val="22"/>
          <w:lang w:val="sr-Latn-ME"/>
        </w:rPr>
        <w:t>ij</w:t>
      </w:r>
      <w:r w:rsidR="008216D0" w:rsidRPr="00F65520">
        <w:rPr>
          <w:sz w:val="22"/>
          <w:szCs w:val="22"/>
          <w:lang w:val="sr-Latn-ME"/>
        </w:rPr>
        <w:t>ečeno</w:t>
      </w:r>
      <w:r w:rsidR="00361600" w:rsidRPr="00F65520">
        <w:rPr>
          <w:sz w:val="22"/>
          <w:szCs w:val="22"/>
          <w:lang w:val="sr-Latn-ME"/>
        </w:rPr>
        <w:t xml:space="preserve"> </w:t>
      </w:r>
      <w:r w:rsidR="003E6B00" w:rsidRPr="00F65520">
        <w:rPr>
          <w:sz w:val="22"/>
          <w:szCs w:val="22"/>
          <w:lang w:val="sr-Latn-ME"/>
        </w:rPr>
        <w:t>je preporučenom dozom l</w:t>
      </w:r>
      <w:r w:rsidR="00AA4022" w:rsidRPr="00F65520">
        <w:rPr>
          <w:sz w:val="22"/>
          <w:szCs w:val="22"/>
          <w:lang w:val="sr-Latn-ME"/>
        </w:rPr>
        <w:t>ij</w:t>
      </w:r>
      <w:r w:rsidR="003E6B00" w:rsidRPr="00F65520">
        <w:rPr>
          <w:sz w:val="22"/>
          <w:szCs w:val="22"/>
          <w:lang w:val="sr-Latn-ME"/>
        </w:rPr>
        <w:t xml:space="preserve">ekom </w:t>
      </w:r>
      <w:r w:rsidR="008216D0" w:rsidRPr="00F65520">
        <w:rPr>
          <w:sz w:val="22"/>
          <w:szCs w:val="22"/>
          <w:lang w:val="sr-Latn-ME"/>
        </w:rPr>
        <w:t>Fasenra do 43 m</w:t>
      </w:r>
      <w:r w:rsidR="00AA4022" w:rsidRPr="00F65520">
        <w:rPr>
          <w:sz w:val="22"/>
          <w:szCs w:val="22"/>
          <w:lang w:val="sr-Latn-ME"/>
        </w:rPr>
        <w:t>j</w:t>
      </w:r>
      <w:r w:rsidR="008216D0" w:rsidRPr="00F65520">
        <w:rPr>
          <w:sz w:val="22"/>
          <w:szCs w:val="22"/>
          <w:lang w:val="sr-Latn-ME"/>
        </w:rPr>
        <w:t>eseca. U kombinaciji sa periodom l</w:t>
      </w:r>
      <w:r w:rsidR="00AA4022" w:rsidRPr="00F65520">
        <w:rPr>
          <w:sz w:val="22"/>
          <w:szCs w:val="22"/>
          <w:lang w:val="sr-Latn-ME"/>
        </w:rPr>
        <w:t>ij</w:t>
      </w:r>
      <w:r w:rsidR="008216D0" w:rsidRPr="00F65520">
        <w:rPr>
          <w:sz w:val="22"/>
          <w:szCs w:val="22"/>
          <w:lang w:val="sr-Latn-ME"/>
        </w:rPr>
        <w:t>ečenja u</w:t>
      </w:r>
      <w:r w:rsidR="003E6B00" w:rsidRPr="00F65520">
        <w:rPr>
          <w:sz w:val="22"/>
          <w:szCs w:val="22"/>
          <w:lang w:val="sr-Latn-ME"/>
        </w:rPr>
        <w:t xml:space="preserve"> </w:t>
      </w:r>
      <w:r w:rsidR="008216D0" w:rsidRPr="00F65520">
        <w:rPr>
          <w:sz w:val="22"/>
          <w:szCs w:val="22"/>
          <w:lang w:val="sr-Latn-ME"/>
        </w:rPr>
        <w:t>prethodn</w:t>
      </w:r>
      <w:r w:rsidR="003E6B00" w:rsidRPr="00F65520">
        <w:rPr>
          <w:sz w:val="22"/>
          <w:szCs w:val="22"/>
          <w:lang w:val="sr-Latn-ME"/>
        </w:rPr>
        <w:t>im</w:t>
      </w:r>
      <w:r w:rsidR="008216D0" w:rsidRPr="00F65520">
        <w:rPr>
          <w:sz w:val="22"/>
          <w:szCs w:val="22"/>
          <w:lang w:val="sr-Latn-ME"/>
        </w:rPr>
        <w:t xml:space="preserve"> studij</w:t>
      </w:r>
      <w:r w:rsidR="003E6B00" w:rsidRPr="00F65520">
        <w:rPr>
          <w:sz w:val="22"/>
          <w:szCs w:val="22"/>
          <w:lang w:val="sr-Latn-ME"/>
        </w:rPr>
        <w:t>ama</w:t>
      </w:r>
      <w:r w:rsidR="008216D0" w:rsidRPr="00F65520">
        <w:rPr>
          <w:sz w:val="22"/>
          <w:szCs w:val="22"/>
          <w:lang w:val="sr-Latn-ME"/>
        </w:rPr>
        <w:t>, ovo odgovara srednjem praćenju od 3,4 godine (raspon 8,5 m</w:t>
      </w:r>
      <w:r w:rsidR="00AA4022" w:rsidRPr="00F65520">
        <w:rPr>
          <w:sz w:val="22"/>
          <w:szCs w:val="22"/>
          <w:lang w:val="sr-Latn-ME"/>
        </w:rPr>
        <w:t>j</w:t>
      </w:r>
      <w:r w:rsidR="008216D0" w:rsidRPr="00F65520">
        <w:rPr>
          <w:sz w:val="22"/>
          <w:szCs w:val="22"/>
          <w:lang w:val="sr-Latn-ME"/>
        </w:rPr>
        <w:t>eseci – 5,3 godine).</w:t>
      </w:r>
    </w:p>
    <w:p w14:paraId="30DA9CEF" w14:textId="76DE0C4B" w:rsidR="008216D0" w:rsidRPr="00F65520" w:rsidRDefault="008216D0" w:rsidP="008216D0">
      <w:pPr>
        <w:tabs>
          <w:tab w:val="left" w:pos="540"/>
          <w:tab w:val="left" w:pos="569"/>
        </w:tabs>
        <w:jc w:val="both"/>
        <w:rPr>
          <w:sz w:val="22"/>
          <w:szCs w:val="22"/>
          <w:lang w:val="sr-Latn-ME"/>
        </w:rPr>
      </w:pPr>
      <w:r w:rsidRPr="00F65520">
        <w:rPr>
          <w:sz w:val="22"/>
          <w:szCs w:val="22"/>
          <w:lang w:val="sr-Latn-ME"/>
        </w:rPr>
        <w:t>Bezb</w:t>
      </w:r>
      <w:r w:rsidR="00AA4022" w:rsidRPr="00F65520">
        <w:rPr>
          <w:sz w:val="22"/>
          <w:szCs w:val="22"/>
          <w:lang w:val="sr-Latn-ME"/>
        </w:rPr>
        <w:t>j</w:t>
      </w:r>
      <w:r w:rsidRPr="00F65520">
        <w:rPr>
          <w:sz w:val="22"/>
          <w:szCs w:val="22"/>
          <w:lang w:val="sr-Latn-ME"/>
        </w:rPr>
        <w:t>ednosni profil tokom ovog perioda praćenja bio je u skladu sa poznatim bezb</w:t>
      </w:r>
      <w:r w:rsidR="00AA4022" w:rsidRPr="00F65520">
        <w:rPr>
          <w:sz w:val="22"/>
          <w:szCs w:val="22"/>
          <w:lang w:val="sr-Latn-ME"/>
        </w:rPr>
        <w:t>j</w:t>
      </w:r>
      <w:r w:rsidRPr="00F65520">
        <w:rPr>
          <w:sz w:val="22"/>
          <w:szCs w:val="22"/>
          <w:lang w:val="sr-Latn-ME"/>
        </w:rPr>
        <w:t>ednosnim profilom</w:t>
      </w:r>
    </w:p>
    <w:p w14:paraId="0518E321" w14:textId="3F1FF149" w:rsidR="002D4948" w:rsidRPr="00F65520" w:rsidRDefault="003E6B00" w:rsidP="008216D0">
      <w:pPr>
        <w:tabs>
          <w:tab w:val="left" w:pos="540"/>
          <w:tab w:val="left" w:pos="569"/>
        </w:tabs>
        <w:jc w:val="both"/>
        <w:rPr>
          <w:sz w:val="22"/>
          <w:szCs w:val="22"/>
          <w:lang w:val="sr-Latn-ME"/>
        </w:rPr>
      </w:pPr>
      <w:r w:rsidRPr="00F65520">
        <w:rPr>
          <w:sz w:val="22"/>
          <w:szCs w:val="22"/>
          <w:lang w:val="sr-Latn-ME"/>
        </w:rPr>
        <w:t>l</w:t>
      </w:r>
      <w:r w:rsidR="00AA4022" w:rsidRPr="00F65520">
        <w:rPr>
          <w:sz w:val="22"/>
          <w:szCs w:val="22"/>
          <w:lang w:val="sr-Latn-ME"/>
        </w:rPr>
        <w:t>ij</w:t>
      </w:r>
      <w:r w:rsidRPr="00F65520">
        <w:rPr>
          <w:sz w:val="22"/>
          <w:szCs w:val="22"/>
          <w:lang w:val="sr-Latn-ME"/>
        </w:rPr>
        <w:t xml:space="preserve">eka </w:t>
      </w:r>
      <w:r w:rsidR="008216D0" w:rsidRPr="00F65520">
        <w:rPr>
          <w:sz w:val="22"/>
          <w:szCs w:val="22"/>
          <w:lang w:val="sr-Latn-ME"/>
        </w:rPr>
        <w:t>Fasenra.</w:t>
      </w:r>
    </w:p>
    <w:p w14:paraId="26CE18F2" w14:textId="77777777" w:rsidR="002D4948" w:rsidRPr="00F65520" w:rsidRDefault="002D4948" w:rsidP="00F0315A">
      <w:pPr>
        <w:tabs>
          <w:tab w:val="left" w:pos="540"/>
          <w:tab w:val="left" w:pos="569"/>
        </w:tabs>
        <w:jc w:val="both"/>
        <w:rPr>
          <w:sz w:val="22"/>
          <w:szCs w:val="22"/>
          <w:lang w:val="sr-Latn-ME"/>
        </w:rPr>
      </w:pPr>
    </w:p>
    <w:p w14:paraId="4B9FB8FB" w14:textId="77777777" w:rsidR="002D4948" w:rsidRPr="00F65520" w:rsidRDefault="002D4948" w:rsidP="00F0315A">
      <w:pPr>
        <w:tabs>
          <w:tab w:val="left" w:pos="540"/>
          <w:tab w:val="left" w:pos="569"/>
        </w:tabs>
        <w:jc w:val="both"/>
        <w:rPr>
          <w:sz w:val="22"/>
          <w:szCs w:val="22"/>
          <w:u w:val="single"/>
          <w:lang w:val="sr-Latn-ME"/>
        </w:rPr>
      </w:pPr>
      <w:r w:rsidRPr="00F65520">
        <w:rPr>
          <w:sz w:val="22"/>
          <w:szCs w:val="22"/>
          <w:u w:val="single"/>
          <w:lang w:val="sr-Latn-ME"/>
        </w:rPr>
        <w:t>Pedijatrijska populacija</w:t>
      </w:r>
    </w:p>
    <w:p w14:paraId="49885072" w14:textId="77777777" w:rsidR="002D4948" w:rsidRPr="00F65520" w:rsidRDefault="002D4948" w:rsidP="00F0315A">
      <w:pPr>
        <w:tabs>
          <w:tab w:val="left" w:pos="540"/>
          <w:tab w:val="left" w:pos="569"/>
        </w:tabs>
        <w:jc w:val="both"/>
        <w:rPr>
          <w:sz w:val="22"/>
          <w:szCs w:val="22"/>
          <w:u w:val="single"/>
          <w:lang w:val="sr-Latn-ME"/>
        </w:rPr>
      </w:pPr>
    </w:p>
    <w:p w14:paraId="0D830866" w14:textId="28EB6D21" w:rsidR="002D4948" w:rsidRDefault="002D4948" w:rsidP="00F0315A">
      <w:pPr>
        <w:tabs>
          <w:tab w:val="left" w:pos="540"/>
          <w:tab w:val="left" w:pos="569"/>
        </w:tabs>
        <w:jc w:val="both"/>
        <w:rPr>
          <w:sz w:val="22"/>
          <w:szCs w:val="22"/>
          <w:lang w:val="sr-Latn-ME"/>
        </w:rPr>
      </w:pPr>
      <w:r w:rsidRPr="00F65520">
        <w:rPr>
          <w:sz w:val="22"/>
          <w:szCs w:val="22"/>
          <w:lang w:val="sr-Latn-ME"/>
        </w:rPr>
        <w:t xml:space="preserve">Postoje ograničeni podaci o primjeni kod pedijatrijskih pacijenata. </w:t>
      </w:r>
      <w:r w:rsidR="00676C41" w:rsidRPr="00F65520">
        <w:rPr>
          <w:sz w:val="22"/>
          <w:szCs w:val="22"/>
          <w:lang w:val="sr-Latn-ME"/>
        </w:rPr>
        <w:t xml:space="preserve">Bilo je 108 adolescenata uzrasta od 12 do 17 sa astmom uključeno u ispitivanje faze 3 (Ispitivanje 1: n=53, Ispitivanje 2: n=55). Od toga je 46 ispitanika primilo placebo, 40 je primalo benralizumab svake 4 nedelje po 3 doze, a zatim svakih 8 nedelja, a 22 je primalo benralizumab svake 4 nedelje. Adolescentni pacijenti uzrasta od 12 do 17 godina (n=86) iz ispitivanja 1 i 2 su nastavili lečenje benralizumabom u ispitivanju 4 do 108 nedelja. </w:t>
      </w:r>
      <w:r w:rsidRPr="00F65520">
        <w:rPr>
          <w:sz w:val="22"/>
          <w:szCs w:val="22"/>
          <w:lang w:val="sr-Latn-ME"/>
        </w:rPr>
        <w:t>Prim</w:t>
      </w:r>
      <w:r w:rsidR="004E63B0" w:rsidRPr="00F65520">
        <w:rPr>
          <w:sz w:val="22"/>
          <w:szCs w:val="22"/>
          <w:lang w:val="sr-Latn-ME"/>
        </w:rPr>
        <w:t>i</w:t>
      </w:r>
      <w:r w:rsidRPr="00F65520">
        <w:rPr>
          <w:sz w:val="22"/>
          <w:szCs w:val="22"/>
          <w:lang w:val="sr-Latn-ME"/>
        </w:rPr>
        <w:t>jećeno je da su učestalost, vrsta i težina neželjenih reakcija u adolescentnoj populaciji bile slične onima koje su uočene kod odraslih.</w:t>
      </w:r>
    </w:p>
    <w:p w14:paraId="0534280C" w14:textId="77777777" w:rsidR="0076003A" w:rsidRDefault="0076003A" w:rsidP="00F0315A">
      <w:pPr>
        <w:tabs>
          <w:tab w:val="left" w:pos="540"/>
          <w:tab w:val="left" w:pos="569"/>
        </w:tabs>
        <w:jc w:val="both"/>
        <w:rPr>
          <w:sz w:val="22"/>
          <w:szCs w:val="22"/>
          <w:lang w:val="sr-Latn-ME"/>
        </w:rPr>
      </w:pPr>
    </w:p>
    <w:p w14:paraId="5F78C9CC" w14:textId="713710C4" w:rsidR="0076003A" w:rsidRPr="00F65520" w:rsidRDefault="0076003A" w:rsidP="00F0315A">
      <w:pPr>
        <w:tabs>
          <w:tab w:val="left" w:pos="540"/>
          <w:tab w:val="left" w:pos="569"/>
        </w:tabs>
        <w:jc w:val="both"/>
        <w:rPr>
          <w:sz w:val="22"/>
          <w:szCs w:val="22"/>
          <w:lang w:val="sr-Latn-ME"/>
        </w:rPr>
      </w:pPr>
      <w:r w:rsidRPr="0076003A">
        <w:rPr>
          <w:sz w:val="22"/>
          <w:szCs w:val="22"/>
          <w:lang w:val="sr-Latn-ME"/>
        </w:rPr>
        <w:t>U otvorenoj, nekontrolisanoj farmakokinetičkoj i farmakodinamičkoj studiji u trajanju od 48 ned</w:t>
      </w:r>
      <w:r>
        <w:rPr>
          <w:sz w:val="22"/>
          <w:szCs w:val="22"/>
          <w:lang w:val="sr-Latn-ME"/>
        </w:rPr>
        <w:t>j</w:t>
      </w:r>
      <w:r w:rsidRPr="0076003A">
        <w:rPr>
          <w:sz w:val="22"/>
          <w:szCs w:val="22"/>
          <w:lang w:val="sr-Latn-ME"/>
        </w:rPr>
        <w:t>elja na ograničenom broju pedijatrijskih pacijenata (n=28) sa nekontrolisanom teškom astmom, bezb</w:t>
      </w:r>
      <w:r>
        <w:rPr>
          <w:sz w:val="22"/>
          <w:szCs w:val="22"/>
          <w:lang w:val="sr-Latn-ME"/>
        </w:rPr>
        <w:t>j</w:t>
      </w:r>
      <w:r w:rsidRPr="0076003A">
        <w:rPr>
          <w:sz w:val="22"/>
          <w:szCs w:val="22"/>
          <w:lang w:val="sr-Latn-ME"/>
        </w:rPr>
        <w:t xml:space="preserve">ednosni profil za pacijente uzrasta od 6 do 11 godina bio je sličan </w:t>
      </w:r>
      <w:r w:rsidR="00F90221">
        <w:rPr>
          <w:sz w:val="22"/>
          <w:szCs w:val="22"/>
          <w:lang w:val="sr-Latn-ME"/>
        </w:rPr>
        <w:t>populaciji</w:t>
      </w:r>
      <w:r w:rsidRPr="0076003A">
        <w:rPr>
          <w:sz w:val="22"/>
          <w:szCs w:val="22"/>
          <w:lang w:val="sr-Latn-ME"/>
        </w:rPr>
        <w:t xml:space="preserve"> odraslih i adolescenata. (vid</w:t>
      </w:r>
      <w:r>
        <w:rPr>
          <w:sz w:val="22"/>
          <w:szCs w:val="22"/>
          <w:lang w:val="sr-Latn-ME"/>
        </w:rPr>
        <w:t>j</w:t>
      </w:r>
      <w:r w:rsidRPr="0076003A">
        <w:rPr>
          <w:sz w:val="22"/>
          <w:szCs w:val="22"/>
          <w:lang w:val="sr-Latn-ME"/>
        </w:rPr>
        <w:t xml:space="preserve">eti </w:t>
      </w:r>
      <w:r>
        <w:rPr>
          <w:sz w:val="22"/>
          <w:szCs w:val="22"/>
          <w:lang w:val="sr-Latn-ME"/>
        </w:rPr>
        <w:t>dio</w:t>
      </w:r>
      <w:r w:rsidRPr="0076003A">
        <w:rPr>
          <w:sz w:val="22"/>
          <w:szCs w:val="22"/>
          <w:lang w:val="sr-Latn-ME"/>
        </w:rPr>
        <w:t xml:space="preserve"> 4.2).</w:t>
      </w:r>
    </w:p>
    <w:p w14:paraId="5B571B4F" w14:textId="77777777" w:rsidR="002D4948" w:rsidRPr="00F65520" w:rsidRDefault="002D4948" w:rsidP="00F0315A">
      <w:pPr>
        <w:tabs>
          <w:tab w:val="left" w:pos="540"/>
          <w:tab w:val="left" w:pos="569"/>
        </w:tabs>
        <w:jc w:val="both"/>
        <w:rPr>
          <w:b/>
          <w:bCs/>
          <w:sz w:val="22"/>
          <w:szCs w:val="22"/>
          <w:lang w:val="sr-Latn-ME"/>
        </w:rPr>
      </w:pPr>
    </w:p>
    <w:p w14:paraId="5DF36E97" w14:textId="77777777" w:rsidR="005A23D2" w:rsidRPr="00F65520" w:rsidRDefault="005A23D2" w:rsidP="00F0315A">
      <w:pPr>
        <w:spacing w:after="200" w:line="276" w:lineRule="auto"/>
        <w:jc w:val="both"/>
        <w:rPr>
          <w:rFonts w:eastAsia="Calibri"/>
          <w:sz w:val="22"/>
          <w:szCs w:val="22"/>
          <w:u w:val="single"/>
          <w:lang w:val="sr-Latn-ME"/>
        </w:rPr>
      </w:pPr>
      <w:r w:rsidRPr="00F65520">
        <w:rPr>
          <w:rFonts w:eastAsia="Calibri"/>
          <w:sz w:val="22"/>
          <w:szCs w:val="22"/>
          <w:u w:val="single"/>
          <w:lang w:val="sr-Latn-ME"/>
        </w:rPr>
        <w:t>Prijavljivanje sumnji na neželjena dejstva</w:t>
      </w:r>
    </w:p>
    <w:p w14:paraId="5EE69196" w14:textId="77777777" w:rsidR="005A23D2" w:rsidRPr="00F65520" w:rsidRDefault="005A23D2">
      <w:pPr>
        <w:spacing w:after="200"/>
        <w:jc w:val="both"/>
        <w:rPr>
          <w:rFonts w:eastAsia="Calibri"/>
          <w:sz w:val="22"/>
          <w:szCs w:val="22"/>
          <w:lang w:val="sr-Latn-ME"/>
        </w:rPr>
      </w:pPr>
      <w:r w:rsidRPr="00F65520">
        <w:rPr>
          <w:rFonts w:eastAsia="Calibri"/>
          <w:sz w:val="22"/>
          <w:szCs w:val="22"/>
          <w:lang w:val="sr-Latn-ME"/>
        </w:rPr>
        <w:t>Prijavljivanje neželjenih dejstava nakon dobijanja dozvole je od velikog značaja jer obezbjeđuje kont</w:t>
      </w:r>
      <w:r w:rsidR="00EA5765" w:rsidRPr="00F65520">
        <w:rPr>
          <w:rFonts w:eastAsia="Calibri"/>
          <w:sz w:val="22"/>
          <w:szCs w:val="22"/>
          <w:lang w:val="sr-Latn-ME"/>
        </w:rPr>
        <w:t>inuirano praćenje odnosa korist</w:t>
      </w:r>
      <w:r w:rsidRPr="00F65520">
        <w:rPr>
          <w:rFonts w:eastAsia="Calibri"/>
          <w:sz w:val="22"/>
          <w:szCs w:val="22"/>
          <w:lang w:val="sr-Latn-ME"/>
        </w:rPr>
        <w:t>/rizik primjene lijeka. Zdravstveni radnici treba da prijave svaku sumnju na neželjeno</w:t>
      </w:r>
      <w:r w:rsidR="009B062A" w:rsidRPr="00F65520">
        <w:rPr>
          <w:rFonts w:eastAsia="Calibri"/>
          <w:sz w:val="22"/>
          <w:szCs w:val="22"/>
          <w:lang w:val="sr-Latn-ME"/>
        </w:rPr>
        <w:t xml:space="preserve"> </w:t>
      </w:r>
      <w:r w:rsidRPr="00F65520">
        <w:rPr>
          <w:rFonts w:eastAsia="Calibri"/>
          <w:sz w:val="22"/>
          <w:szCs w:val="22"/>
          <w:lang w:val="sr-Latn-ME"/>
        </w:rPr>
        <w:t xml:space="preserve">dejstvo ovog lijeka </w:t>
      </w:r>
      <w:r w:rsidR="004E70AD" w:rsidRPr="00F65520">
        <w:rPr>
          <w:rFonts w:eastAsia="Calibri"/>
          <w:sz w:val="22"/>
          <w:szCs w:val="22"/>
          <w:lang w:val="sr-Latn-ME"/>
        </w:rPr>
        <w:t>Institutu</w:t>
      </w:r>
      <w:r w:rsidRPr="00F65520">
        <w:rPr>
          <w:rFonts w:eastAsia="Calibri"/>
          <w:sz w:val="22"/>
          <w:szCs w:val="22"/>
          <w:lang w:val="sr-Latn-ME"/>
        </w:rPr>
        <w:t xml:space="preserve"> za ljekove i medicinska sredstva</w:t>
      </w:r>
      <w:r w:rsidR="004E70AD" w:rsidRPr="00F65520">
        <w:rPr>
          <w:rFonts w:eastAsia="Calibri"/>
          <w:sz w:val="22"/>
          <w:szCs w:val="22"/>
          <w:lang w:val="sr-Latn-ME"/>
        </w:rPr>
        <w:t xml:space="preserve"> </w:t>
      </w:r>
      <w:r w:rsidRPr="00F65520">
        <w:rPr>
          <w:rFonts w:eastAsia="Calibri"/>
          <w:sz w:val="22"/>
          <w:szCs w:val="22"/>
          <w:lang w:val="sr-Latn-ME"/>
        </w:rPr>
        <w:t>(</w:t>
      </w:r>
      <w:r w:rsidR="004E70AD" w:rsidRPr="00F65520">
        <w:rPr>
          <w:rFonts w:eastAsia="Calibri"/>
          <w:sz w:val="22"/>
          <w:szCs w:val="22"/>
          <w:lang w:val="sr-Latn-ME"/>
        </w:rPr>
        <w:t>CInMED</w:t>
      </w:r>
      <w:r w:rsidRPr="00F65520">
        <w:rPr>
          <w:rFonts w:eastAsia="Calibri"/>
          <w:sz w:val="22"/>
          <w:szCs w:val="22"/>
          <w:lang w:val="sr-Latn-ME"/>
        </w:rPr>
        <w:t>):</w:t>
      </w:r>
    </w:p>
    <w:p w14:paraId="4E6C1590" w14:textId="77777777" w:rsidR="005A23D2" w:rsidRPr="00F65520" w:rsidRDefault="004E70AD">
      <w:pPr>
        <w:pStyle w:val="NoSpacing"/>
        <w:jc w:val="both"/>
        <w:rPr>
          <w:rFonts w:eastAsia="Calibri"/>
          <w:sz w:val="22"/>
          <w:szCs w:val="22"/>
          <w:lang w:val="sr-Latn-ME"/>
        </w:rPr>
      </w:pPr>
      <w:r w:rsidRPr="00F65520">
        <w:rPr>
          <w:rFonts w:eastAsia="Calibri"/>
          <w:sz w:val="22"/>
          <w:szCs w:val="22"/>
          <w:lang w:val="sr-Latn-ME"/>
        </w:rPr>
        <w:t xml:space="preserve">Institut </w:t>
      </w:r>
      <w:r w:rsidR="005A23D2" w:rsidRPr="00F65520">
        <w:rPr>
          <w:rFonts w:eastAsia="Calibri"/>
          <w:sz w:val="22"/>
          <w:szCs w:val="22"/>
          <w:lang w:val="sr-Latn-ME"/>
        </w:rPr>
        <w:t xml:space="preserve">za ljekove i medicinska sredstva </w:t>
      </w:r>
    </w:p>
    <w:p w14:paraId="238408A3" w14:textId="77777777" w:rsidR="005A23D2" w:rsidRPr="00F65520" w:rsidRDefault="005A23D2">
      <w:pPr>
        <w:pStyle w:val="NoSpacing"/>
        <w:jc w:val="both"/>
        <w:rPr>
          <w:rFonts w:eastAsia="Calibri"/>
          <w:sz w:val="22"/>
          <w:szCs w:val="22"/>
          <w:lang w:val="sr-Latn-ME"/>
        </w:rPr>
      </w:pPr>
      <w:r w:rsidRPr="00F65520">
        <w:rPr>
          <w:rFonts w:eastAsia="Calibri"/>
          <w:sz w:val="22"/>
          <w:szCs w:val="22"/>
          <w:lang w:val="sr-Latn-ME"/>
        </w:rPr>
        <w:t>Odjeljenje za farmakovigilancu</w:t>
      </w:r>
    </w:p>
    <w:p w14:paraId="1B4C0818" w14:textId="77777777" w:rsidR="00EA5765" w:rsidRPr="00F65520" w:rsidRDefault="005A23D2">
      <w:pPr>
        <w:pStyle w:val="NoSpacing"/>
        <w:jc w:val="both"/>
        <w:rPr>
          <w:rFonts w:eastAsia="Calibri"/>
          <w:sz w:val="22"/>
          <w:szCs w:val="22"/>
          <w:lang w:val="sr-Latn-ME"/>
        </w:rPr>
      </w:pPr>
      <w:r w:rsidRPr="00F65520">
        <w:rPr>
          <w:rFonts w:eastAsia="Calibri"/>
          <w:sz w:val="22"/>
          <w:szCs w:val="22"/>
          <w:lang w:val="sr-Latn-ME"/>
        </w:rPr>
        <w:t>Bulevar Ivana Crnojevića 64a, 81000 Podgorica</w:t>
      </w:r>
    </w:p>
    <w:p w14:paraId="4EDF4102" w14:textId="77777777" w:rsidR="00EA5765" w:rsidRPr="00F65520" w:rsidRDefault="00EA5765" w:rsidP="00F0315A">
      <w:pPr>
        <w:pStyle w:val="NoSpacing"/>
        <w:jc w:val="both"/>
        <w:rPr>
          <w:rFonts w:eastAsia="Calibri"/>
          <w:sz w:val="22"/>
          <w:szCs w:val="22"/>
          <w:lang w:val="sr-Latn-ME"/>
        </w:rPr>
      </w:pPr>
    </w:p>
    <w:p w14:paraId="65CDBDB8" w14:textId="77777777" w:rsidR="005A23D2" w:rsidRPr="00F65520" w:rsidRDefault="005A23D2">
      <w:pPr>
        <w:pStyle w:val="NoSpacing"/>
        <w:jc w:val="both"/>
        <w:rPr>
          <w:rFonts w:eastAsia="Calibri"/>
          <w:sz w:val="22"/>
          <w:szCs w:val="22"/>
          <w:lang w:val="sr-Latn-ME"/>
        </w:rPr>
      </w:pPr>
      <w:r w:rsidRPr="00F65520">
        <w:rPr>
          <w:rFonts w:eastAsia="Calibri"/>
          <w:sz w:val="22"/>
          <w:szCs w:val="22"/>
          <w:lang w:val="sr-Latn-ME"/>
        </w:rPr>
        <w:t>tel: +382 (0) 20 310 280</w:t>
      </w:r>
    </w:p>
    <w:p w14:paraId="20F42D70" w14:textId="77777777" w:rsidR="00EA5765" w:rsidRPr="00F65520" w:rsidRDefault="005A23D2">
      <w:pPr>
        <w:pStyle w:val="NoSpacing"/>
        <w:jc w:val="both"/>
        <w:rPr>
          <w:rFonts w:eastAsia="Calibri"/>
          <w:sz w:val="22"/>
          <w:szCs w:val="22"/>
          <w:lang w:val="sr-Latn-ME"/>
        </w:rPr>
      </w:pPr>
      <w:r w:rsidRPr="00F65520">
        <w:rPr>
          <w:rFonts w:eastAsia="Calibri"/>
          <w:sz w:val="22"/>
          <w:szCs w:val="22"/>
          <w:lang w:val="sr-Latn-ME"/>
        </w:rPr>
        <w:t>fax:</w:t>
      </w:r>
      <w:r w:rsidR="00EA5765" w:rsidRPr="00F65520">
        <w:rPr>
          <w:rFonts w:eastAsia="Calibri"/>
          <w:sz w:val="22"/>
          <w:szCs w:val="22"/>
          <w:lang w:val="sr-Latn-ME"/>
        </w:rPr>
        <w:t xml:space="preserve"> </w:t>
      </w:r>
      <w:r w:rsidRPr="00F65520">
        <w:rPr>
          <w:rFonts w:eastAsia="Calibri"/>
          <w:sz w:val="22"/>
          <w:szCs w:val="22"/>
          <w:lang w:val="sr-Latn-ME"/>
        </w:rPr>
        <w:t>+382 (0) 20 310 581</w:t>
      </w:r>
    </w:p>
    <w:p w14:paraId="01482C37" w14:textId="77777777" w:rsidR="0060055A" w:rsidRDefault="00ED116A" w:rsidP="0060055A">
      <w:pPr>
        <w:pStyle w:val="NoSpacing"/>
        <w:jc w:val="both"/>
        <w:rPr>
          <w:rFonts w:eastAsia="Calibri"/>
          <w:sz w:val="22"/>
          <w:szCs w:val="22"/>
          <w:lang w:val="sr-Latn-RS"/>
        </w:rPr>
      </w:pPr>
      <w:hyperlink r:id="rId8" w:history="1">
        <w:r w:rsidR="0060055A">
          <w:rPr>
            <w:rStyle w:val="Hyperlink"/>
            <w:rFonts w:eastAsia="Calibri"/>
            <w:sz w:val="22"/>
            <w:szCs w:val="22"/>
            <w:lang w:val="sr-Latn-RS"/>
          </w:rPr>
          <w:t>www.cinmed.me</w:t>
        </w:r>
      </w:hyperlink>
    </w:p>
    <w:p w14:paraId="48D4DF98" w14:textId="77777777" w:rsidR="0060055A" w:rsidRDefault="00ED116A" w:rsidP="0060055A">
      <w:pPr>
        <w:pStyle w:val="NoSpacing"/>
        <w:jc w:val="both"/>
        <w:rPr>
          <w:rFonts w:eastAsia="Calibri"/>
          <w:color w:val="0000FF"/>
          <w:sz w:val="22"/>
          <w:szCs w:val="22"/>
          <w:u w:val="single"/>
          <w:lang w:val="sr-Latn-RS"/>
        </w:rPr>
      </w:pPr>
      <w:hyperlink r:id="rId9" w:history="1">
        <w:r w:rsidR="0060055A">
          <w:rPr>
            <w:rStyle w:val="Hyperlink"/>
            <w:rFonts w:eastAsia="Calibri"/>
            <w:sz w:val="22"/>
            <w:szCs w:val="22"/>
            <w:lang w:val="sr-Latn-RS"/>
          </w:rPr>
          <w:t>nezeljenadejstva@cinmed.me</w:t>
        </w:r>
      </w:hyperlink>
    </w:p>
    <w:p w14:paraId="549EB04B" w14:textId="1D416B9F" w:rsidR="005A23D2" w:rsidRDefault="005A23D2">
      <w:pPr>
        <w:pStyle w:val="NoSpacing"/>
        <w:jc w:val="both"/>
        <w:rPr>
          <w:rFonts w:eastAsia="Calibri"/>
          <w:sz w:val="22"/>
          <w:szCs w:val="22"/>
          <w:lang w:val="sr-Latn-ME"/>
        </w:rPr>
      </w:pPr>
      <w:r w:rsidRPr="00F65520">
        <w:rPr>
          <w:rFonts w:eastAsia="Calibri"/>
          <w:sz w:val="22"/>
          <w:szCs w:val="22"/>
          <w:lang w:val="sr-Latn-ME"/>
        </w:rPr>
        <w:t>putem IS zdravstvene zaštite</w:t>
      </w:r>
    </w:p>
    <w:p w14:paraId="532CA96D" w14:textId="1D43911E" w:rsidR="0060055A" w:rsidRDefault="0060055A" w:rsidP="0060055A">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4422E080" w14:textId="77777777" w:rsidR="0060055A" w:rsidRDefault="0060055A" w:rsidP="0060055A">
      <w:pPr>
        <w:pStyle w:val="NoSpacing"/>
        <w:jc w:val="both"/>
        <w:rPr>
          <w:rFonts w:eastAsia="Calibri"/>
          <w:sz w:val="22"/>
          <w:szCs w:val="22"/>
          <w:lang w:val="sr-Latn-RS"/>
        </w:rPr>
      </w:pPr>
    </w:p>
    <w:p w14:paraId="71CA657C" w14:textId="49A48FD1" w:rsidR="0060055A" w:rsidRPr="00F65520" w:rsidRDefault="00DC02B7">
      <w:pPr>
        <w:pStyle w:val="NoSpacing"/>
        <w:jc w:val="both"/>
        <w:rPr>
          <w:rFonts w:eastAsia="Calibri"/>
          <w:sz w:val="22"/>
          <w:szCs w:val="22"/>
          <w:lang w:val="sr-Latn-ME"/>
        </w:rPr>
      </w:pPr>
      <w:r w:rsidRPr="007F661E">
        <w:rPr>
          <w:b/>
          <w:bCs/>
          <w:noProof/>
          <w:sz w:val="22"/>
          <w:szCs w:val="22"/>
        </w:rPr>
        <w:drawing>
          <wp:inline distT="0" distB="0" distL="0" distR="0" wp14:anchorId="492E2AE7" wp14:editId="0B30C1ED">
            <wp:extent cx="980796" cy="972000"/>
            <wp:effectExtent l="0" t="0" r="0" b="0"/>
            <wp:docPr id="12"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6DE1B8A" w14:textId="77777777" w:rsidR="00836B35" w:rsidRPr="00F65520" w:rsidRDefault="00836B35" w:rsidP="00480FB1">
      <w:pPr>
        <w:tabs>
          <w:tab w:val="left" w:pos="540"/>
          <w:tab w:val="left" w:pos="569"/>
        </w:tabs>
        <w:rPr>
          <w:b/>
          <w:bCs/>
          <w:sz w:val="22"/>
          <w:szCs w:val="22"/>
          <w:lang w:val="sr-Latn-ME"/>
        </w:rPr>
      </w:pPr>
    </w:p>
    <w:p w14:paraId="71D3655B" w14:textId="77777777" w:rsidR="00CD6F02" w:rsidRPr="00F65520" w:rsidRDefault="0072020E" w:rsidP="00F0315A">
      <w:pPr>
        <w:tabs>
          <w:tab w:val="left" w:pos="540"/>
          <w:tab w:val="left" w:pos="569"/>
        </w:tabs>
        <w:jc w:val="both"/>
        <w:rPr>
          <w:b/>
          <w:bCs/>
          <w:sz w:val="22"/>
          <w:szCs w:val="22"/>
          <w:lang w:val="sr-Latn-ME"/>
        </w:rPr>
      </w:pPr>
      <w:r w:rsidRPr="00F65520">
        <w:rPr>
          <w:b/>
          <w:bCs/>
          <w:sz w:val="22"/>
          <w:szCs w:val="22"/>
          <w:lang w:val="sr-Latn-ME"/>
        </w:rPr>
        <w:t xml:space="preserve">4.9. </w:t>
      </w:r>
      <w:r w:rsidR="00480FB1" w:rsidRPr="00F65520">
        <w:rPr>
          <w:b/>
          <w:bCs/>
          <w:sz w:val="22"/>
          <w:szCs w:val="22"/>
          <w:lang w:val="sr-Latn-ME"/>
        </w:rPr>
        <w:tab/>
      </w:r>
      <w:r w:rsidRPr="00F65520">
        <w:rPr>
          <w:b/>
          <w:bCs/>
          <w:sz w:val="22"/>
          <w:szCs w:val="22"/>
          <w:lang w:val="sr-Latn-ME"/>
        </w:rPr>
        <w:t>Predoziranje</w:t>
      </w:r>
      <w:r w:rsidR="002846DB" w:rsidRPr="00F65520">
        <w:rPr>
          <w:b/>
          <w:bCs/>
          <w:sz w:val="22"/>
          <w:szCs w:val="22"/>
          <w:lang w:val="sr-Latn-ME"/>
        </w:rPr>
        <w:t xml:space="preserve"> </w:t>
      </w:r>
    </w:p>
    <w:p w14:paraId="55E4474C" w14:textId="77777777" w:rsidR="00CD6F02" w:rsidRPr="00F65520" w:rsidRDefault="00CD6F02" w:rsidP="00F0315A">
      <w:pPr>
        <w:tabs>
          <w:tab w:val="left" w:pos="540"/>
          <w:tab w:val="left" w:pos="569"/>
        </w:tabs>
        <w:jc w:val="both"/>
        <w:rPr>
          <w:b/>
          <w:bCs/>
          <w:sz w:val="22"/>
          <w:szCs w:val="22"/>
          <w:lang w:val="sr-Latn-ME"/>
        </w:rPr>
      </w:pPr>
    </w:p>
    <w:p w14:paraId="53F5F826" w14:textId="5088E70A" w:rsidR="00ED3E9F" w:rsidRPr="00F65520" w:rsidRDefault="00ED3E9F" w:rsidP="00BC602E">
      <w:pPr>
        <w:tabs>
          <w:tab w:val="left" w:pos="284"/>
        </w:tabs>
        <w:jc w:val="both"/>
        <w:rPr>
          <w:sz w:val="22"/>
          <w:szCs w:val="22"/>
          <w:lang w:val="sr-Latn-ME"/>
        </w:rPr>
      </w:pPr>
      <w:r w:rsidRPr="00F65520">
        <w:rPr>
          <w:sz w:val="22"/>
          <w:szCs w:val="22"/>
          <w:lang w:val="sr-Latn-ME"/>
        </w:rPr>
        <w:lastRenderedPageBreak/>
        <w:t xml:space="preserve">U kliničkim ispitivanjima pacijentima sa eozinofilnom </w:t>
      </w:r>
      <w:r w:rsidR="00533AC7" w:rsidRPr="00F65520">
        <w:rPr>
          <w:sz w:val="22"/>
          <w:szCs w:val="22"/>
          <w:lang w:val="sr-Latn-ME"/>
        </w:rPr>
        <w:t xml:space="preserve">astmom date su </w:t>
      </w:r>
      <w:r w:rsidR="00F65520" w:rsidRPr="00F65520">
        <w:rPr>
          <w:sz w:val="22"/>
          <w:szCs w:val="22"/>
          <w:lang w:val="sr-Latn-ME"/>
        </w:rPr>
        <w:t>su</w:t>
      </w:r>
      <w:r w:rsidR="00F65520">
        <w:rPr>
          <w:sz w:val="22"/>
          <w:szCs w:val="22"/>
          <w:lang w:val="sr-Latn-ME"/>
        </w:rPr>
        <w:t>p</w:t>
      </w:r>
      <w:r w:rsidR="00F65520" w:rsidRPr="00F65520">
        <w:rPr>
          <w:sz w:val="22"/>
          <w:szCs w:val="22"/>
          <w:lang w:val="sr-Latn-ME"/>
        </w:rPr>
        <w:t xml:space="preserve">kutane </w:t>
      </w:r>
      <w:r w:rsidRPr="00F65520">
        <w:rPr>
          <w:sz w:val="22"/>
          <w:szCs w:val="22"/>
          <w:lang w:val="sr-Latn-ME"/>
        </w:rPr>
        <w:t>doze do 200 mg bez znakova toksičnosti povezane sa dozom.</w:t>
      </w:r>
    </w:p>
    <w:p w14:paraId="1E3DB10F" w14:textId="77777777" w:rsidR="00ED3E9F" w:rsidRPr="00F65520" w:rsidRDefault="00ED3E9F" w:rsidP="00452FBA">
      <w:pPr>
        <w:tabs>
          <w:tab w:val="left" w:pos="284"/>
        </w:tabs>
        <w:jc w:val="both"/>
        <w:rPr>
          <w:sz w:val="22"/>
          <w:szCs w:val="22"/>
          <w:lang w:val="sr-Latn-ME"/>
        </w:rPr>
      </w:pPr>
    </w:p>
    <w:p w14:paraId="3FBE4B77" w14:textId="77777777" w:rsidR="00ED3E9F" w:rsidRPr="00F65520" w:rsidRDefault="00ED3E9F" w:rsidP="00EB4260">
      <w:pPr>
        <w:tabs>
          <w:tab w:val="left" w:pos="284"/>
        </w:tabs>
        <w:jc w:val="both"/>
        <w:rPr>
          <w:sz w:val="22"/>
          <w:szCs w:val="22"/>
          <w:lang w:val="sr-Latn-ME"/>
        </w:rPr>
      </w:pPr>
      <w:r w:rsidRPr="00F65520">
        <w:rPr>
          <w:sz w:val="22"/>
          <w:szCs w:val="22"/>
          <w:lang w:val="sr-Latn-ME"/>
        </w:rPr>
        <w:t xml:space="preserve">Nema specifičnog liječenja za predoziranje benralizumabom. Ako dođe do predoziranja, pacijenta treba liječiti adekvatnom suportivnom terapijom sa odgovarajućim nadzorom, ako je potreban. </w:t>
      </w:r>
    </w:p>
    <w:p w14:paraId="31901689" w14:textId="77777777" w:rsidR="00227BDB" w:rsidRPr="00F65520" w:rsidRDefault="00227BDB" w:rsidP="00F0315A">
      <w:pPr>
        <w:tabs>
          <w:tab w:val="left" w:pos="540"/>
          <w:tab w:val="left" w:pos="569"/>
        </w:tabs>
        <w:jc w:val="both"/>
        <w:rPr>
          <w:b/>
          <w:bCs/>
          <w:sz w:val="22"/>
          <w:szCs w:val="22"/>
          <w:lang w:val="sr-Latn-ME"/>
        </w:rPr>
      </w:pPr>
    </w:p>
    <w:p w14:paraId="6F6C3E4F" w14:textId="77777777" w:rsidR="00D05FBC" w:rsidRPr="00F65520" w:rsidRDefault="00D05FBC" w:rsidP="00F0315A">
      <w:pPr>
        <w:tabs>
          <w:tab w:val="left" w:pos="540"/>
          <w:tab w:val="left" w:pos="569"/>
        </w:tabs>
        <w:jc w:val="both"/>
        <w:rPr>
          <w:b/>
          <w:bCs/>
          <w:sz w:val="22"/>
          <w:szCs w:val="22"/>
          <w:lang w:val="sr-Latn-ME"/>
        </w:rPr>
      </w:pPr>
    </w:p>
    <w:p w14:paraId="7FBD5D22" w14:textId="6A26D953" w:rsidR="0072020E" w:rsidRPr="00F65520" w:rsidRDefault="0072020E" w:rsidP="00F0315A">
      <w:pPr>
        <w:tabs>
          <w:tab w:val="left" w:pos="540"/>
          <w:tab w:val="left" w:pos="569"/>
        </w:tabs>
        <w:jc w:val="both"/>
        <w:rPr>
          <w:b/>
          <w:bCs/>
          <w:sz w:val="22"/>
          <w:szCs w:val="22"/>
          <w:lang w:val="sr-Latn-ME"/>
        </w:rPr>
      </w:pPr>
      <w:r w:rsidRPr="00F65520">
        <w:rPr>
          <w:b/>
          <w:bCs/>
          <w:sz w:val="22"/>
          <w:szCs w:val="22"/>
          <w:lang w:val="sr-Latn-ME"/>
        </w:rPr>
        <w:t xml:space="preserve">5. </w:t>
      </w:r>
      <w:r w:rsidR="00480FB1" w:rsidRPr="00F65520">
        <w:rPr>
          <w:b/>
          <w:bCs/>
          <w:sz w:val="22"/>
          <w:szCs w:val="22"/>
          <w:lang w:val="sr-Latn-ME"/>
        </w:rPr>
        <w:tab/>
      </w:r>
      <w:r w:rsidRPr="00F65520">
        <w:rPr>
          <w:b/>
          <w:bCs/>
          <w:sz w:val="22"/>
          <w:szCs w:val="22"/>
          <w:lang w:val="sr-Latn-ME"/>
        </w:rPr>
        <w:t>FARMAKOLOŠK</w:t>
      </w:r>
      <w:r w:rsidR="000D425A" w:rsidRPr="00F65520">
        <w:rPr>
          <w:b/>
          <w:bCs/>
          <w:sz w:val="22"/>
          <w:szCs w:val="22"/>
          <w:lang w:val="sr-Latn-ME"/>
        </w:rPr>
        <w:t>I</w:t>
      </w:r>
      <w:r w:rsidRPr="00F65520">
        <w:rPr>
          <w:b/>
          <w:bCs/>
          <w:sz w:val="22"/>
          <w:szCs w:val="22"/>
          <w:lang w:val="sr-Latn-ME"/>
        </w:rPr>
        <w:t xml:space="preserve"> PODACI</w:t>
      </w:r>
    </w:p>
    <w:p w14:paraId="1EAAD99D" w14:textId="77777777" w:rsidR="0072020E" w:rsidRPr="00F65520" w:rsidRDefault="0072020E" w:rsidP="00F0315A">
      <w:pPr>
        <w:tabs>
          <w:tab w:val="left" w:pos="540"/>
          <w:tab w:val="left" w:pos="569"/>
        </w:tabs>
        <w:jc w:val="both"/>
        <w:rPr>
          <w:b/>
          <w:bCs/>
          <w:sz w:val="22"/>
          <w:szCs w:val="22"/>
          <w:lang w:val="sr-Latn-ME"/>
        </w:rPr>
      </w:pPr>
    </w:p>
    <w:p w14:paraId="1B6B240B" w14:textId="77777777" w:rsidR="0072020E" w:rsidRPr="00F65520" w:rsidRDefault="0072020E" w:rsidP="00F0315A">
      <w:pPr>
        <w:tabs>
          <w:tab w:val="left" w:pos="540"/>
          <w:tab w:val="left" w:pos="569"/>
        </w:tabs>
        <w:jc w:val="both"/>
        <w:rPr>
          <w:b/>
          <w:bCs/>
          <w:sz w:val="22"/>
          <w:szCs w:val="22"/>
          <w:lang w:val="sr-Latn-ME"/>
        </w:rPr>
      </w:pPr>
      <w:r w:rsidRPr="00F65520">
        <w:rPr>
          <w:b/>
          <w:bCs/>
          <w:sz w:val="22"/>
          <w:szCs w:val="22"/>
          <w:lang w:val="sr-Latn-ME"/>
        </w:rPr>
        <w:t xml:space="preserve">5.1. </w:t>
      </w:r>
      <w:r w:rsidR="00480FB1" w:rsidRPr="00F65520">
        <w:rPr>
          <w:b/>
          <w:bCs/>
          <w:sz w:val="22"/>
          <w:szCs w:val="22"/>
          <w:lang w:val="sr-Latn-ME"/>
        </w:rPr>
        <w:tab/>
      </w:r>
      <w:r w:rsidRPr="00F65520">
        <w:rPr>
          <w:b/>
          <w:bCs/>
          <w:sz w:val="22"/>
          <w:szCs w:val="22"/>
          <w:lang w:val="sr-Latn-ME"/>
        </w:rPr>
        <w:t>Farmakodinamski podaci</w:t>
      </w:r>
      <w:r w:rsidR="003A7059" w:rsidRPr="00F65520">
        <w:rPr>
          <w:b/>
          <w:bCs/>
          <w:sz w:val="22"/>
          <w:szCs w:val="22"/>
          <w:lang w:val="sr-Latn-ME"/>
        </w:rPr>
        <w:t xml:space="preserve"> </w:t>
      </w:r>
    </w:p>
    <w:p w14:paraId="785282D3" w14:textId="77777777" w:rsidR="00F45F77" w:rsidRPr="00F65520" w:rsidRDefault="00F45F77" w:rsidP="00F0315A">
      <w:pPr>
        <w:tabs>
          <w:tab w:val="left" w:pos="540"/>
          <w:tab w:val="left" w:pos="569"/>
        </w:tabs>
        <w:jc w:val="both"/>
        <w:rPr>
          <w:b/>
          <w:bCs/>
          <w:sz w:val="22"/>
          <w:szCs w:val="22"/>
          <w:lang w:val="sr-Latn-ME"/>
        </w:rPr>
      </w:pPr>
    </w:p>
    <w:p w14:paraId="1071C7C6" w14:textId="1F6E623C" w:rsidR="0072020E" w:rsidRPr="00F65520" w:rsidRDefault="0072020E" w:rsidP="00F0315A">
      <w:pPr>
        <w:tabs>
          <w:tab w:val="left" w:pos="540"/>
          <w:tab w:val="left" w:pos="569"/>
        </w:tabs>
        <w:jc w:val="both"/>
        <w:rPr>
          <w:bCs/>
          <w:sz w:val="22"/>
          <w:szCs w:val="22"/>
          <w:lang w:val="sr-Latn-ME"/>
        </w:rPr>
      </w:pPr>
      <w:r w:rsidRPr="00F65520">
        <w:rPr>
          <w:bCs/>
          <w:sz w:val="22"/>
          <w:szCs w:val="22"/>
          <w:lang w:val="sr-Latn-ME"/>
        </w:rPr>
        <w:t>Farmakoterapijska grupa:</w:t>
      </w:r>
      <w:r w:rsidR="00DB6A81" w:rsidRPr="00F65520">
        <w:rPr>
          <w:bCs/>
          <w:sz w:val="22"/>
          <w:szCs w:val="22"/>
          <w:lang w:val="sr-Latn-ME"/>
        </w:rPr>
        <w:t xml:space="preserve"> ljekovi koji se primjenjuju u opstruktivnim bolestima disajnih puteva; ostali ljekovi za sistemsku primjenu u opstruktivnim bolestima disajnih puteva</w:t>
      </w:r>
    </w:p>
    <w:p w14:paraId="7809B8CA" w14:textId="77777777" w:rsidR="0072020E" w:rsidRPr="00F65520" w:rsidRDefault="0072020E" w:rsidP="00F0315A">
      <w:pPr>
        <w:tabs>
          <w:tab w:val="left" w:pos="540"/>
          <w:tab w:val="left" w:pos="569"/>
        </w:tabs>
        <w:jc w:val="both"/>
        <w:rPr>
          <w:bCs/>
          <w:sz w:val="22"/>
          <w:szCs w:val="22"/>
          <w:lang w:val="sr-Latn-ME"/>
        </w:rPr>
      </w:pPr>
    </w:p>
    <w:p w14:paraId="280310A0" w14:textId="0F9AFF1E" w:rsidR="0072020E" w:rsidRPr="00F65520" w:rsidRDefault="0072020E" w:rsidP="00F0315A">
      <w:pPr>
        <w:tabs>
          <w:tab w:val="left" w:pos="540"/>
          <w:tab w:val="left" w:pos="569"/>
        </w:tabs>
        <w:jc w:val="both"/>
        <w:rPr>
          <w:bCs/>
          <w:sz w:val="22"/>
          <w:szCs w:val="22"/>
          <w:lang w:val="sr-Latn-ME"/>
        </w:rPr>
      </w:pPr>
      <w:r w:rsidRPr="00F65520">
        <w:rPr>
          <w:bCs/>
          <w:sz w:val="22"/>
          <w:szCs w:val="22"/>
          <w:lang w:val="sr-Latn-ME"/>
        </w:rPr>
        <w:t>ATC kod:</w:t>
      </w:r>
      <w:r w:rsidR="00DB6A81" w:rsidRPr="00F65520">
        <w:rPr>
          <w:bCs/>
          <w:sz w:val="22"/>
          <w:szCs w:val="22"/>
          <w:lang w:val="sr-Latn-ME"/>
        </w:rPr>
        <w:t xml:space="preserve"> R03DX10</w:t>
      </w:r>
    </w:p>
    <w:p w14:paraId="4839E136" w14:textId="6F81C11C" w:rsidR="00DB6A81" w:rsidRPr="00F65520" w:rsidRDefault="00DB6A81" w:rsidP="00F0315A">
      <w:pPr>
        <w:tabs>
          <w:tab w:val="left" w:pos="540"/>
          <w:tab w:val="left" w:pos="569"/>
        </w:tabs>
        <w:jc w:val="both"/>
        <w:rPr>
          <w:bCs/>
          <w:sz w:val="22"/>
          <w:szCs w:val="22"/>
          <w:lang w:val="sr-Latn-ME"/>
        </w:rPr>
      </w:pPr>
    </w:p>
    <w:p w14:paraId="3347B0FD" w14:textId="77777777" w:rsidR="00D109D4" w:rsidRPr="00F65520" w:rsidRDefault="00D109D4" w:rsidP="00BC602E">
      <w:pPr>
        <w:tabs>
          <w:tab w:val="left" w:pos="284"/>
        </w:tabs>
        <w:jc w:val="both"/>
        <w:rPr>
          <w:sz w:val="22"/>
          <w:szCs w:val="22"/>
          <w:u w:val="single"/>
          <w:lang w:val="sr-Latn-ME"/>
        </w:rPr>
      </w:pPr>
      <w:r w:rsidRPr="00F65520">
        <w:rPr>
          <w:sz w:val="22"/>
          <w:szCs w:val="22"/>
          <w:u w:val="single"/>
          <w:lang w:val="sr-Latn-ME"/>
        </w:rPr>
        <w:t>Mehanizam dejstva</w:t>
      </w:r>
    </w:p>
    <w:p w14:paraId="605D9C38" w14:textId="77777777" w:rsidR="00D109D4" w:rsidRPr="00F65520" w:rsidRDefault="00D109D4" w:rsidP="00452FBA">
      <w:pPr>
        <w:tabs>
          <w:tab w:val="left" w:pos="284"/>
        </w:tabs>
        <w:jc w:val="both"/>
        <w:rPr>
          <w:sz w:val="22"/>
          <w:szCs w:val="22"/>
          <w:u w:val="single"/>
          <w:lang w:val="sr-Latn-ME"/>
        </w:rPr>
      </w:pPr>
    </w:p>
    <w:p w14:paraId="023F0709" w14:textId="54317790" w:rsidR="00D109D4" w:rsidRPr="00F65520" w:rsidRDefault="00D109D4" w:rsidP="00EB4260">
      <w:pPr>
        <w:tabs>
          <w:tab w:val="left" w:pos="284"/>
        </w:tabs>
        <w:jc w:val="both"/>
        <w:rPr>
          <w:rFonts w:eastAsia="TimesNewRoman"/>
          <w:sz w:val="22"/>
          <w:szCs w:val="22"/>
          <w:lang w:val="sr-Latn-ME"/>
        </w:rPr>
      </w:pPr>
      <w:r w:rsidRPr="00F65520">
        <w:rPr>
          <w:sz w:val="22"/>
          <w:szCs w:val="22"/>
          <w:lang w:val="sr-Latn-ME"/>
        </w:rPr>
        <w:t xml:space="preserve">Benralizumab je humanizovano, afukozilirano, monoklonsko antitijelo koje djeluje protiv eozinofila (IgG1, kapa). </w:t>
      </w:r>
      <w:r w:rsidR="00676C41" w:rsidRPr="00F65520">
        <w:rPr>
          <w:sz w:val="22"/>
          <w:szCs w:val="22"/>
          <w:lang w:val="sr-Latn-ME"/>
        </w:rPr>
        <w:t xml:space="preserve"> Specifično se </w:t>
      </w:r>
      <w:r w:rsidRPr="00F65520">
        <w:rPr>
          <w:sz w:val="22"/>
          <w:szCs w:val="22"/>
          <w:lang w:val="sr-Latn-ME"/>
        </w:rPr>
        <w:t xml:space="preserve">vezuje za alfa podjedinicu humanog receptora inteleukina-5 (IL-5Rα). Receptor IL-5 specifično se eksprimira na površini eozinofila i bazofila. Odsutnost fukoze u Fc domenu benralizumaba dovodi do većeg afiniteta za </w:t>
      </w:r>
      <w:r w:rsidRPr="00F65520">
        <w:rPr>
          <w:rFonts w:eastAsia="TimesNewRoman"/>
          <w:sz w:val="22"/>
          <w:szCs w:val="22"/>
          <w:lang w:val="sr-Latn-ME"/>
        </w:rPr>
        <w:t xml:space="preserve">FcɣRIII receptore na imunim ćelijama “ubicama”, kao što su NK (engl. </w:t>
      </w:r>
      <w:r w:rsidRPr="00F65520">
        <w:rPr>
          <w:rFonts w:eastAsia="TimesNewRoman"/>
          <w:i/>
          <w:sz w:val="22"/>
          <w:szCs w:val="22"/>
          <w:lang w:val="sr-Latn-ME"/>
        </w:rPr>
        <w:t xml:space="preserve">natural killer) </w:t>
      </w:r>
      <w:r w:rsidRPr="00F65520">
        <w:rPr>
          <w:rFonts w:eastAsia="TimesNewRoman"/>
          <w:sz w:val="22"/>
          <w:szCs w:val="22"/>
          <w:lang w:val="sr-Latn-ME"/>
        </w:rPr>
        <w:t>ćelije. To dovodi do apoptoze eozinofila i bazofila putem pojačane ćelijske citotoksičnosti zavisne od antit</w:t>
      </w:r>
      <w:r w:rsidR="00E838CE" w:rsidRPr="00F65520">
        <w:rPr>
          <w:rFonts w:eastAsia="TimesNewRoman"/>
          <w:sz w:val="22"/>
          <w:szCs w:val="22"/>
          <w:lang w:val="sr-Latn-ME"/>
        </w:rPr>
        <w:t>ij</w:t>
      </w:r>
      <w:r w:rsidRPr="00F65520">
        <w:rPr>
          <w:rFonts w:eastAsia="TimesNewRoman"/>
          <w:sz w:val="22"/>
          <w:szCs w:val="22"/>
          <w:lang w:val="sr-Latn-ME"/>
        </w:rPr>
        <w:t xml:space="preserve">ela (engl. </w:t>
      </w:r>
      <w:r w:rsidRPr="00F65520">
        <w:rPr>
          <w:rFonts w:eastAsia="TimesNewRoman,Italic"/>
          <w:i/>
          <w:iCs/>
          <w:sz w:val="22"/>
          <w:szCs w:val="22"/>
          <w:lang w:val="sr-Latn-ME"/>
        </w:rPr>
        <w:t>antibody-dependent cell-mediated cytotoxicity</w:t>
      </w:r>
      <w:r w:rsidRPr="00F65520">
        <w:rPr>
          <w:rFonts w:eastAsia="TimesNewRoman"/>
          <w:sz w:val="22"/>
          <w:szCs w:val="22"/>
          <w:lang w:val="sr-Latn-ME"/>
        </w:rPr>
        <w:t xml:space="preserve">, ADCC), koja smanjuje eozinofilno zapaljenje. </w:t>
      </w:r>
    </w:p>
    <w:p w14:paraId="46FD8CF5" w14:textId="77777777" w:rsidR="00D109D4" w:rsidRPr="00F65520" w:rsidRDefault="00D109D4" w:rsidP="004100E6">
      <w:pPr>
        <w:tabs>
          <w:tab w:val="left" w:pos="284"/>
        </w:tabs>
        <w:jc w:val="both"/>
        <w:rPr>
          <w:rFonts w:eastAsia="TimesNewRoman"/>
          <w:sz w:val="22"/>
          <w:szCs w:val="22"/>
          <w:lang w:val="sr-Latn-ME"/>
        </w:rPr>
      </w:pPr>
    </w:p>
    <w:p w14:paraId="08155EB0" w14:textId="77777777" w:rsidR="00D109D4" w:rsidRPr="00F65520" w:rsidRDefault="00D109D4">
      <w:pPr>
        <w:tabs>
          <w:tab w:val="left" w:pos="284"/>
        </w:tabs>
        <w:jc w:val="both"/>
        <w:rPr>
          <w:rFonts w:eastAsia="TimesNewRoman"/>
          <w:sz w:val="22"/>
          <w:szCs w:val="22"/>
          <w:u w:val="single"/>
          <w:lang w:val="sr-Latn-ME"/>
        </w:rPr>
      </w:pPr>
      <w:r w:rsidRPr="00F65520">
        <w:rPr>
          <w:rFonts w:eastAsia="TimesNewRoman"/>
          <w:sz w:val="22"/>
          <w:szCs w:val="22"/>
          <w:u w:val="single"/>
          <w:lang w:val="sr-Latn-ME"/>
        </w:rPr>
        <w:t>Farmakodinamska dejstva</w:t>
      </w:r>
    </w:p>
    <w:p w14:paraId="36DE3B96" w14:textId="77777777" w:rsidR="00D109D4" w:rsidRPr="00F65520" w:rsidRDefault="00D109D4">
      <w:pPr>
        <w:tabs>
          <w:tab w:val="left" w:pos="284"/>
        </w:tabs>
        <w:jc w:val="both"/>
        <w:rPr>
          <w:rFonts w:eastAsia="TimesNewRoman"/>
          <w:sz w:val="22"/>
          <w:szCs w:val="22"/>
          <w:u w:val="single"/>
          <w:lang w:val="sr-Latn-ME"/>
        </w:rPr>
      </w:pPr>
    </w:p>
    <w:p w14:paraId="06A0C56F" w14:textId="77777777" w:rsidR="00D109D4" w:rsidRPr="00F65520" w:rsidRDefault="00D109D4">
      <w:pPr>
        <w:tabs>
          <w:tab w:val="left" w:pos="284"/>
        </w:tabs>
        <w:jc w:val="both"/>
        <w:rPr>
          <w:rFonts w:eastAsia="TimesNewRoman"/>
          <w:i/>
          <w:sz w:val="22"/>
          <w:szCs w:val="22"/>
          <w:lang w:val="sr-Latn-ME"/>
        </w:rPr>
      </w:pPr>
      <w:r w:rsidRPr="00F65520">
        <w:rPr>
          <w:rFonts w:eastAsia="TimesNewRoman"/>
          <w:i/>
          <w:sz w:val="22"/>
          <w:szCs w:val="22"/>
          <w:lang w:val="sr-Latn-ME"/>
        </w:rPr>
        <w:t>Dejstvo na eozinofile u krvi</w:t>
      </w:r>
    </w:p>
    <w:p w14:paraId="60C2E1EE" w14:textId="5D5EA970" w:rsidR="00D109D4" w:rsidRPr="00F65520" w:rsidRDefault="00D109D4" w:rsidP="00F0315A">
      <w:pPr>
        <w:autoSpaceDE w:val="0"/>
        <w:autoSpaceDN w:val="0"/>
        <w:adjustRightInd w:val="0"/>
        <w:jc w:val="both"/>
        <w:rPr>
          <w:rFonts w:eastAsia="TimesNewRoman,Italic"/>
          <w:i/>
          <w:iCs/>
          <w:sz w:val="22"/>
          <w:szCs w:val="22"/>
          <w:lang w:val="sr-Latn-ME"/>
        </w:rPr>
      </w:pPr>
      <w:r w:rsidRPr="00F65520">
        <w:rPr>
          <w:rFonts w:eastAsia="TimesNewRoman"/>
          <w:sz w:val="22"/>
          <w:szCs w:val="22"/>
          <w:lang w:val="sr-Latn-ME"/>
        </w:rPr>
        <w:t xml:space="preserve">Liječenje benralizumabom dovodi do gotovo potpune deplecije eozinofila u krvi </w:t>
      </w:r>
      <w:r w:rsidR="00846E02" w:rsidRPr="00F65520">
        <w:rPr>
          <w:rFonts w:eastAsia="TimesNewRoman"/>
          <w:sz w:val="22"/>
          <w:szCs w:val="22"/>
          <w:lang w:val="sr-Latn-ME"/>
        </w:rPr>
        <w:t xml:space="preserve">unutar </w:t>
      </w:r>
      <w:r w:rsidRPr="00F65520">
        <w:rPr>
          <w:rFonts w:eastAsia="TimesNewRoman"/>
          <w:sz w:val="22"/>
          <w:szCs w:val="22"/>
          <w:lang w:val="sr-Latn-ME"/>
        </w:rPr>
        <w:t xml:space="preserve">24 sata nakon prve doze, koja se zatim održava tokom cijelog perioda liječenja. Depleciju eozinofila u krvi prati smanjenje serumskih eozinofilnih granularnih proteina, eozinofilnog neurotoksina (engl. </w:t>
      </w:r>
      <w:r w:rsidRPr="00F65520">
        <w:rPr>
          <w:rFonts w:eastAsia="TimesNewRoman,Italic"/>
          <w:i/>
          <w:iCs/>
          <w:sz w:val="22"/>
          <w:szCs w:val="22"/>
          <w:lang w:val="sr-Latn-ME"/>
        </w:rPr>
        <w:t>eosinophil derived neurotoxin</w:t>
      </w:r>
      <w:r w:rsidRPr="00F65520">
        <w:rPr>
          <w:rFonts w:eastAsia="TimesNewRoman"/>
          <w:sz w:val="22"/>
          <w:szCs w:val="22"/>
          <w:lang w:val="sr-Latn-ME"/>
        </w:rPr>
        <w:t>, EDN) i eozinofilnog katj</w:t>
      </w:r>
      <w:r w:rsidR="00E838CE" w:rsidRPr="00F65520">
        <w:rPr>
          <w:rFonts w:eastAsia="TimesNewRoman"/>
          <w:sz w:val="22"/>
          <w:szCs w:val="22"/>
          <w:lang w:val="sr-Latn-ME"/>
        </w:rPr>
        <w:t>o</w:t>
      </w:r>
      <w:r w:rsidRPr="00F65520">
        <w:rPr>
          <w:rFonts w:eastAsia="TimesNewRoman"/>
          <w:sz w:val="22"/>
          <w:szCs w:val="22"/>
          <w:lang w:val="sr-Latn-ME"/>
        </w:rPr>
        <w:t xml:space="preserve">nskog proteina (engl. </w:t>
      </w:r>
      <w:r w:rsidRPr="00F65520">
        <w:rPr>
          <w:rFonts w:eastAsia="TimesNewRoman"/>
          <w:i/>
          <w:sz w:val="22"/>
          <w:szCs w:val="22"/>
          <w:lang w:val="sr-Latn-ME"/>
        </w:rPr>
        <w:t>e</w:t>
      </w:r>
      <w:r w:rsidRPr="00F65520">
        <w:rPr>
          <w:rFonts w:eastAsia="TimesNewRoman,Italic"/>
          <w:i/>
          <w:iCs/>
          <w:sz w:val="22"/>
          <w:szCs w:val="22"/>
          <w:lang w:val="sr-Latn-ME"/>
        </w:rPr>
        <w:t>osinophil cationic protein</w:t>
      </w:r>
      <w:r w:rsidRPr="00F65520">
        <w:rPr>
          <w:rFonts w:eastAsia="TimesNewRoman"/>
          <w:sz w:val="22"/>
          <w:szCs w:val="22"/>
          <w:lang w:val="sr-Latn-ME"/>
        </w:rPr>
        <w:t>, ECP), kao i smanjenje broja bazofila u krvi.</w:t>
      </w:r>
    </w:p>
    <w:p w14:paraId="2F62408D" w14:textId="77777777" w:rsidR="00D109D4" w:rsidRPr="00F65520" w:rsidRDefault="00D109D4" w:rsidP="00BC602E">
      <w:pPr>
        <w:tabs>
          <w:tab w:val="left" w:pos="284"/>
        </w:tabs>
        <w:jc w:val="both"/>
        <w:rPr>
          <w:sz w:val="22"/>
          <w:szCs w:val="22"/>
          <w:lang w:val="sr-Latn-ME"/>
        </w:rPr>
      </w:pPr>
    </w:p>
    <w:p w14:paraId="675339F0" w14:textId="77777777" w:rsidR="00D109D4" w:rsidRPr="00F65520" w:rsidRDefault="00D109D4" w:rsidP="00452FBA">
      <w:pPr>
        <w:tabs>
          <w:tab w:val="left" w:pos="284"/>
        </w:tabs>
        <w:jc w:val="both"/>
        <w:rPr>
          <w:i/>
          <w:sz w:val="22"/>
          <w:szCs w:val="22"/>
          <w:lang w:val="sr-Latn-ME"/>
        </w:rPr>
      </w:pPr>
      <w:r w:rsidRPr="00F65520">
        <w:rPr>
          <w:i/>
          <w:sz w:val="22"/>
          <w:szCs w:val="22"/>
          <w:lang w:val="sr-Latn-ME"/>
        </w:rPr>
        <w:t>Dejstvo na eozinofile u sluzokoži disajnih puteva</w:t>
      </w:r>
    </w:p>
    <w:p w14:paraId="7EE2886C" w14:textId="3A230A25" w:rsidR="00D109D4" w:rsidRPr="00F65520" w:rsidRDefault="00D109D4" w:rsidP="00EB4260">
      <w:pPr>
        <w:tabs>
          <w:tab w:val="left" w:pos="284"/>
        </w:tabs>
        <w:jc w:val="both"/>
        <w:rPr>
          <w:sz w:val="22"/>
          <w:szCs w:val="22"/>
          <w:lang w:val="sr-Latn-ME"/>
        </w:rPr>
      </w:pPr>
      <w:r w:rsidRPr="00F65520">
        <w:rPr>
          <w:sz w:val="22"/>
          <w:szCs w:val="22"/>
          <w:lang w:val="sr-Latn-ME"/>
        </w:rPr>
        <w:t xml:space="preserve">Dejstvo benralizumaba na eozinofile u sluzokoži disajnih puteva pacijenata sa astmom koji imaju povećan broj eozinofila u sputumu (najmanje 2,5%) procjenjivano je u 12-nedjeljnoj randomizovanoj, dvostruko slijepoj, placebo kontrolisanoj kliničkoj studiji faze 1, u </w:t>
      </w:r>
      <w:r w:rsidR="000875F9" w:rsidRPr="00F65520">
        <w:rPr>
          <w:sz w:val="22"/>
          <w:szCs w:val="22"/>
          <w:lang w:val="sr-Latn-ME"/>
        </w:rPr>
        <w:t xml:space="preserve">kojoj </w:t>
      </w:r>
      <w:r w:rsidRPr="00F65520">
        <w:rPr>
          <w:sz w:val="22"/>
          <w:szCs w:val="22"/>
          <w:lang w:val="sr-Latn-ME"/>
        </w:rPr>
        <w:t>se benralizumab primj</w:t>
      </w:r>
      <w:r w:rsidR="00533AC7" w:rsidRPr="00F65520">
        <w:rPr>
          <w:sz w:val="22"/>
          <w:szCs w:val="22"/>
          <w:lang w:val="sr-Latn-ME"/>
        </w:rPr>
        <w:t xml:space="preserve">enjivao u </w:t>
      </w:r>
      <w:r w:rsidR="00F65520" w:rsidRPr="00F65520">
        <w:rPr>
          <w:sz w:val="22"/>
          <w:szCs w:val="22"/>
          <w:lang w:val="sr-Latn-ME"/>
        </w:rPr>
        <w:t>su</w:t>
      </w:r>
      <w:r w:rsidR="00F65520">
        <w:rPr>
          <w:sz w:val="22"/>
          <w:szCs w:val="22"/>
          <w:lang w:val="sr-Latn-ME"/>
        </w:rPr>
        <w:t>p</w:t>
      </w:r>
      <w:r w:rsidR="00F65520" w:rsidRPr="00F65520">
        <w:rPr>
          <w:sz w:val="22"/>
          <w:szCs w:val="22"/>
          <w:lang w:val="sr-Latn-ME"/>
        </w:rPr>
        <w:t xml:space="preserve">kutanoj </w:t>
      </w:r>
      <w:r w:rsidRPr="00F65520">
        <w:rPr>
          <w:sz w:val="22"/>
          <w:szCs w:val="22"/>
          <w:lang w:val="sr-Latn-ME"/>
        </w:rPr>
        <w:t>dozi od 100 mg ili 200 mg. U toj studiji</w:t>
      </w:r>
      <w:r w:rsidR="000875F9" w:rsidRPr="00F65520">
        <w:rPr>
          <w:sz w:val="22"/>
          <w:szCs w:val="22"/>
          <w:lang w:val="sr-Latn-ME"/>
        </w:rPr>
        <w:t>,</w:t>
      </w:r>
      <w:r w:rsidRPr="00F65520">
        <w:rPr>
          <w:sz w:val="22"/>
          <w:szCs w:val="22"/>
          <w:lang w:val="sr-Latn-ME"/>
        </w:rPr>
        <w:t xml:space="preserve"> medijana smanjenja početnog broja eozinofila u sluzokoži disajnih puteva je iznosila 96% u grupi liječenoj benralizumabom</w:t>
      </w:r>
      <w:r w:rsidR="000875F9" w:rsidRPr="00F65520">
        <w:rPr>
          <w:sz w:val="22"/>
          <w:szCs w:val="22"/>
          <w:lang w:val="sr-Latn-ME"/>
        </w:rPr>
        <w:t>,</w:t>
      </w:r>
      <w:r w:rsidRPr="00F65520">
        <w:rPr>
          <w:sz w:val="22"/>
          <w:szCs w:val="22"/>
          <w:lang w:val="sr-Latn-ME"/>
        </w:rPr>
        <w:t xml:space="preserve"> u poređenju sa 47% smanjenja u grupi koja je primala placebo (p=0,039).</w:t>
      </w:r>
    </w:p>
    <w:p w14:paraId="53988813" w14:textId="77777777" w:rsidR="00D109D4" w:rsidRPr="00F65520" w:rsidRDefault="00D109D4" w:rsidP="004100E6">
      <w:pPr>
        <w:tabs>
          <w:tab w:val="left" w:pos="284"/>
        </w:tabs>
        <w:jc w:val="both"/>
        <w:rPr>
          <w:sz w:val="22"/>
          <w:szCs w:val="22"/>
          <w:lang w:val="sr-Latn-ME"/>
        </w:rPr>
      </w:pPr>
    </w:p>
    <w:p w14:paraId="1DA93006" w14:textId="77777777" w:rsidR="00D109D4" w:rsidRPr="00F65520" w:rsidRDefault="00D109D4">
      <w:pPr>
        <w:tabs>
          <w:tab w:val="left" w:pos="284"/>
        </w:tabs>
        <w:jc w:val="both"/>
        <w:rPr>
          <w:sz w:val="22"/>
          <w:szCs w:val="22"/>
          <w:u w:val="single"/>
          <w:lang w:val="sr-Latn-ME"/>
        </w:rPr>
      </w:pPr>
      <w:r w:rsidRPr="00F65520">
        <w:rPr>
          <w:sz w:val="22"/>
          <w:szCs w:val="22"/>
          <w:u w:val="single"/>
          <w:lang w:val="sr-Latn-ME"/>
        </w:rPr>
        <w:t>Klinička efikasnost</w:t>
      </w:r>
    </w:p>
    <w:p w14:paraId="7EA417F7" w14:textId="77777777" w:rsidR="00D109D4" w:rsidRPr="00F65520" w:rsidRDefault="00D109D4">
      <w:pPr>
        <w:tabs>
          <w:tab w:val="left" w:pos="284"/>
        </w:tabs>
        <w:jc w:val="both"/>
        <w:rPr>
          <w:sz w:val="22"/>
          <w:szCs w:val="22"/>
          <w:lang w:val="sr-Latn-ME"/>
        </w:rPr>
      </w:pPr>
    </w:p>
    <w:p w14:paraId="78384B00" w14:textId="7D20FD40" w:rsidR="00D109D4" w:rsidRPr="00F65520" w:rsidRDefault="00D109D4">
      <w:pPr>
        <w:tabs>
          <w:tab w:val="left" w:pos="284"/>
        </w:tabs>
        <w:jc w:val="both"/>
        <w:rPr>
          <w:sz w:val="22"/>
          <w:szCs w:val="22"/>
          <w:lang w:val="sr-Latn-ME"/>
        </w:rPr>
      </w:pPr>
      <w:r w:rsidRPr="00F65520">
        <w:rPr>
          <w:sz w:val="22"/>
          <w:szCs w:val="22"/>
          <w:lang w:val="sr-Latn-ME"/>
        </w:rPr>
        <w:t xml:space="preserve">Efikasnost </w:t>
      </w:r>
      <w:r w:rsidR="00676C41" w:rsidRPr="00F65520">
        <w:rPr>
          <w:sz w:val="22"/>
          <w:szCs w:val="22"/>
          <w:lang w:val="sr-Latn-ME"/>
        </w:rPr>
        <w:t xml:space="preserve">benralizumaba </w:t>
      </w:r>
      <w:r w:rsidRPr="00F65520">
        <w:rPr>
          <w:sz w:val="22"/>
          <w:szCs w:val="22"/>
          <w:lang w:val="sr-Latn-ME"/>
        </w:rPr>
        <w:t xml:space="preserve">procjenjivala se u 3 randomizovana, dvostruko slijepa, placebom kontrolisana klinička ispitivanja sa paralelnom grupom u trajanju od 28 do 56 nedjelja, koja su sprovedena kod pacijenata u </w:t>
      </w:r>
      <w:r w:rsidR="000875F9" w:rsidRPr="00F65520">
        <w:rPr>
          <w:sz w:val="22"/>
          <w:szCs w:val="22"/>
          <w:lang w:val="sr-Latn-ME"/>
        </w:rPr>
        <w:t xml:space="preserve">životnom dobu </w:t>
      </w:r>
      <w:r w:rsidRPr="00F65520">
        <w:rPr>
          <w:sz w:val="22"/>
          <w:szCs w:val="22"/>
          <w:lang w:val="sr-Latn-ME"/>
        </w:rPr>
        <w:t>od 12 do 75 godina.</w:t>
      </w:r>
    </w:p>
    <w:p w14:paraId="22A22AF9" w14:textId="77777777" w:rsidR="00D109D4" w:rsidRPr="00F65520" w:rsidRDefault="00D109D4">
      <w:pPr>
        <w:tabs>
          <w:tab w:val="left" w:pos="284"/>
        </w:tabs>
        <w:jc w:val="both"/>
        <w:rPr>
          <w:sz w:val="22"/>
          <w:szCs w:val="22"/>
          <w:lang w:val="sr-Latn-ME"/>
        </w:rPr>
      </w:pPr>
    </w:p>
    <w:p w14:paraId="4257628E" w14:textId="25DA9D04" w:rsidR="00D109D4" w:rsidRPr="00F65520" w:rsidRDefault="00D109D4">
      <w:pPr>
        <w:tabs>
          <w:tab w:val="left" w:pos="284"/>
        </w:tabs>
        <w:jc w:val="both"/>
        <w:rPr>
          <w:sz w:val="22"/>
          <w:szCs w:val="22"/>
          <w:lang w:val="sr-Latn-ME"/>
        </w:rPr>
      </w:pPr>
      <w:r w:rsidRPr="00F65520">
        <w:rPr>
          <w:sz w:val="22"/>
          <w:szCs w:val="22"/>
          <w:lang w:val="sr-Latn-ME"/>
        </w:rPr>
        <w:t xml:space="preserve">U tim studijama, </w:t>
      </w:r>
      <w:r w:rsidR="00676C41" w:rsidRPr="00F65520">
        <w:rPr>
          <w:sz w:val="22"/>
          <w:szCs w:val="22"/>
          <w:lang w:val="sr-Latn-ME"/>
        </w:rPr>
        <w:t xml:space="preserve">benralizumab </w:t>
      </w:r>
      <w:r w:rsidRPr="00F65520">
        <w:rPr>
          <w:sz w:val="22"/>
          <w:szCs w:val="22"/>
          <w:lang w:val="sr-Latn-ME"/>
        </w:rPr>
        <w:t>primjenjivao se kao dodatak osnovnoj terapiji u dozi od 30 mg jedanput svake 4 nedjelje za prve 3 doze, a zatim na svakih 4 ili 8 nedjelja, a procjenjivao se u odnosu na placebo.</w:t>
      </w:r>
    </w:p>
    <w:p w14:paraId="2D6CC218" w14:textId="77777777" w:rsidR="00D109D4" w:rsidRPr="00F65520" w:rsidRDefault="00D109D4">
      <w:pPr>
        <w:tabs>
          <w:tab w:val="left" w:pos="284"/>
        </w:tabs>
        <w:jc w:val="both"/>
        <w:rPr>
          <w:sz w:val="22"/>
          <w:szCs w:val="22"/>
          <w:lang w:val="sr-Latn-ME"/>
        </w:rPr>
      </w:pPr>
    </w:p>
    <w:p w14:paraId="405EEAC3" w14:textId="585DB534" w:rsidR="00D109D4" w:rsidRPr="00F65520" w:rsidRDefault="00D109D4" w:rsidP="00F0315A">
      <w:pPr>
        <w:autoSpaceDE w:val="0"/>
        <w:autoSpaceDN w:val="0"/>
        <w:adjustRightInd w:val="0"/>
        <w:jc w:val="both"/>
        <w:rPr>
          <w:rFonts w:eastAsia="TimesNewRoman"/>
          <w:sz w:val="22"/>
          <w:szCs w:val="22"/>
          <w:lang w:val="sr-Latn-ME"/>
        </w:rPr>
      </w:pPr>
      <w:r w:rsidRPr="00F65520">
        <w:rPr>
          <w:sz w:val="22"/>
          <w:szCs w:val="22"/>
          <w:lang w:val="sr-Latn-ME"/>
        </w:rPr>
        <w:t>Dva ispitivanja dejstava na egzacerbaciju, SIROCCO (Ispitivanje 1) i CALIMA (Ispitivanje 2), uključila su ukupno 2510 pacijenata sa teškom nekontrolisanom astmom; 64% pacijenata bile su žene, a srednja vrijednost uzrasta iznosila je 49 godina. Pacijenti su imali 2 ili više egzacerbacije astme</w:t>
      </w:r>
      <w:r w:rsidR="00E92357" w:rsidRPr="00F65520">
        <w:rPr>
          <w:sz w:val="22"/>
          <w:szCs w:val="22"/>
          <w:lang w:val="sr-Latn-ME"/>
        </w:rPr>
        <w:t xml:space="preserve"> u istoriji bolesti </w:t>
      </w:r>
      <w:r w:rsidRPr="00F65520">
        <w:rPr>
          <w:sz w:val="22"/>
          <w:szCs w:val="22"/>
          <w:lang w:val="sr-Latn-ME"/>
        </w:rPr>
        <w:t xml:space="preserve">(srednja vrijednost je 3) koje su zahtijevale primjenu oralnih ili sistemskih kortikosterida tokom proteklih 12 mjeseci, 1,5 ili više bodova na Upitniku za ocjenu kontrole astme (engl. </w:t>
      </w:r>
      <w:r w:rsidRPr="00F65520">
        <w:rPr>
          <w:rFonts w:eastAsia="TimesNewRoman,Italic"/>
          <w:i/>
          <w:iCs/>
          <w:sz w:val="22"/>
          <w:szCs w:val="22"/>
          <w:lang w:val="sr-Latn-ME"/>
        </w:rPr>
        <w:t xml:space="preserve">Asthma Control </w:t>
      </w:r>
      <w:r w:rsidRPr="00F65520">
        <w:rPr>
          <w:rFonts w:eastAsia="TimesNewRoman,Italic"/>
          <w:i/>
          <w:iCs/>
          <w:sz w:val="22"/>
          <w:szCs w:val="22"/>
          <w:lang w:val="sr-Latn-ME"/>
        </w:rPr>
        <w:lastRenderedPageBreak/>
        <w:t>Questionnaire-6</w:t>
      </w:r>
      <w:r w:rsidRPr="00F65520">
        <w:rPr>
          <w:rFonts w:eastAsia="TimesNewRoman"/>
          <w:sz w:val="22"/>
          <w:szCs w:val="22"/>
          <w:lang w:val="sr-Latn-ME"/>
        </w:rPr>
        <w:t>, ACQ-6) i smanjenje funkcije pluća</w:t>
      </w:r>
      <w:r w:rsidRPr="00F65520">
        <w:rPr>
          <w:sz w:val="22"/>
          <w:szCs w:val="22"/>
          <w:lang w:val="sr-Latn-ME"/>
        </w:rPr>
        <w:t xml:space="preserve"> na početku ispitivanja (srednja vrijednost proc</w:t>
      </w:r>
      <w:r w:rsidR="007A472A" w:rsidRPr="00F65520">
        <w:rPr>
          <w:sz w:val="22"/>
          <w:szCs w:val="22"/>
          <w:lang w:val="sr-Latn-ME"/>
        </w:rPr>
        <w:t>ij</w:t>
      </w:r>
      <w:r w:rsidRPr="00F65520">
        <w:rPr>
          <w:sz w:val="22"/>
          <w:szCs w:val="22"/>
          <w:lang w:val="sr-Latn-ME"/>
        </w:rPr>
        <w:t xml:space="preserve">enjenog forsiranog izdisajnog volumena u 1 sekundi </w:t>
      </w:r>
      <w:r w:rsidRPr="00F65520">
        <w:rPr>
          <w:rFonts w:eastAsia="TimesNewRoman"/>
          <w:sz w:val="22"/>
          <w:szCs w:val="22"/>
          <w:lang w:val="sr-Latn-ME"/>
        </w:rPr>
        <w:t xml:space="preserve">[FEV1] prije primjene bronhodilatatora bila je 57,5%), uprkos redovnom liječenju velikim dozama inhalacionih kortikosteroida (IKS) (Ispitivanje 1), odnosno sa umjerenim do velikim dozama IKS-a (Ispitivanje 2) i sa dugodjelujućim β-agonistom (engl. </w:t>
      </w:r>
      <w:r w:rsidRPr="00F65520">
        <w:rPr>
          <w:rFonts w:eastAsia="TimesNewRoman,Italic"/>
          <w:i/>
          <w:iCs/>
          <w:sz w:val="22"/>
          <w:szCs w:val="22"/>
          <w:lang w:val="sr-Latn-ME"/>
        </w:rPr>
        <w:t>long-acting β-agonist</w:t>
      </w:r>
      <w:r w:rsidRPr="00F65520">
        <w:rPr>
          <w:rFonts w:eastAsia="TimesNewRoman"/>
          <w:sz w:val="22"/>
          <w:szCs w:val="22"/>
          <w:lang w:val="sr-Latn-ME"/>
        </w:rPr>
        <w:t>, LABA); prim</w:t>
      </w:r>
      <w:r w:rsidR="000875F9" w:rsidRPr="00F65520">
        <w:rPr>
          <w:rFonts w:eastAsia="TimesNewRoman"/>
          <w:sz w:val="22"/>
          <w:szCs w:val="22"/>
          <w:lang w:val="sr-Latn-ME"/>
        </w:rPr>
        <w:t>i</w:t>
      </w:r>
      <w:r w:rsidRPr="00F65520">
        <w:rPr>
          <w:rFonts w:eastAsia="TimesNewRoman"/>
          <w:sz w:val="22"/>
          <w:szCs w:val="22"/>
          <w:lang w:val="sr-Latn-ME"/>
        </w:rPr>
        <w:t xml:space="preserve">jenjen je najmanje jedan dodatni lijek za terapiju održavanja kod 51% pacijenata u Ispitivanju 1 i 41% u Ispitivanju 2. </w:t>
      </w:r>
    </w:p>
    <w:p w14:paraId="1460FEBA" w14:textId="77777777" w:rsidR="00D109D4" w:rsidRPr="00F65520" w:rsidRDefault="00D109D4" w:rsidP="00BC602E">
      <w:pPr>
        <w:tabs>
          <w:tab w:val="left" w:pos="284"/>
        </w:tabs>
        <w:jc w:val="both"/>
        <w:rPr>
          <w:rFonts w:eastAsia="TimesNewRoman"/>
          <w:sz w:val="22"/>
          <w:szCs w:val="22"/>
          <w:lang w:val="sr-Latn-ME"/>
        </w:rPr>
      </w:pPr>
    </w:p>
    <w:p w14:paraId="6818EEC6" w14:textId="34A958CB" w:rsidR="00D109D4" w:rsidRPr="00F65520" w:rsidRDefault="00D109D4" w:rsidP="00452FBA">
      <w:pPr>
        <w:tabs>
          <w:tab w:val="left" w:pos="284"/>
        </w:tabs>
        <w:jc w:val="both"/>
        <w:rPr>
          <w:rFonts w:eastAsia="TimesNewRoman"/>
          <w:sz w:val="22"/>
          <w:szCs w:val="22"/>
          <w:lang w:val="sr-Latn-ME"/>
        </w:rPr>
      </w:pPr>
      <w:r w:rsidRPr="00F65520">
        <w:rPr>
          <w:rFonts w:eastAsia="TimesNewRoman"/>
          <w:sz w:val="22"/>
          <w:szCs w:val="22"/>
          <w:lang w:val="sr-Latn-ME"/>
        </w:rPr>
        <w:t xml:space="preserve">U ispitivanju smanjenja primjene oralnih kortikosteroida (OKS) pod nazivom ZONDA (Ispitivanje 3) bilo je uključeno ukupno 220 pacijenata sa astmom (61% žene, a srednja vrijednost </w:t>
      </w:r>
      <w:r w:rsidR="000875F9" w:rsidRPr="00F65520">
        <w:rPr>
          <w:rFonts w:eastAsia="TimesNewRoman"/>
          <w:sz w:val="22"/>
          <w:szCs w:val="22"/>
          <w:lang w:val="sr-Latn-ME"/>
        </w:rPr>
        <w:t xml:space="preserve">životnog doba </w:t>
      </w:r>
      <w:r w:rsidRPr="00F65520">
        <w:rPr>
          <w:rFonts w:eastAsia="TimesNewRoman"/>
          <w:sz w:val="22"/>
          <w:szCs w:val="22"/>
          <w:lang w:val="sr-Latn-ME"/>
        </w:rPr>
        <w:t xml:space="preserve">iznosila je 51 godinu); svakodnevno su primali OKS (u dozi od 8 do 40 mg na dan; medijana 10 mg) kao dodatak redovnoj terapiji velikim dozama IKS-a i LABA, u kombinaciji sa najmanje jednim dodatnim lijekom za održavanje kontrole astme u 53% slučajeva. Ispitivanje je uključivalo 8-nedjeljni uvodni period, tokom koga se doza OKS-a titrirala do minimalne efektivne doze kojom se ne gubi kontrola astme. Pacijenti su imali broj eozinofila u krvi ≥ 150 ćelija/mikrolitar i najmanje jednu egzacerbaciju u proteklih 12 mjeseci. </w:t>
      </w:r>
    </w:p>
    <w:p w14:paraId="1F8D0D87" w14:textId="77777777" w:rsidR="00D109D4" w:rsidRPr="00F65520" w:rsidRDefault="00D109D4" w:rsidP="00EB4260">
      <w:pPr>
        <w:tabs>
          <w:tab w:val="left" w:pos="284"/>
        </w:tabs>
        <w:jc w:val="both"/>
        <w:rPr>
          <w:rFonts w:eastAsia="TimesNewRoman"/>
          <w:sz w:val="22"/>
          <w:szCs w:val="22"/>
          <w:lang w:val="sr-Latn-ME"/>
        </w:rPr>
      </w:pPr>
    </w:p>
    <w:p w14:paraId="014CC798" w14:textId="2BC40726" w:rsidR="00D109D4" w:rsidRPr="00F65520" w:rsidRDefault="00D109D4" w:rsidP="004100E6">
      <w:pPr>
        <w:tabs>
          <w:tab w:val="left" w:pos="284"/>
        </w:tabs>
        <w:jc w:val="both"/>
        <w:rPr>
          <w:rFonts w:eastAsia="TimesNewRoman"/>
          <w:sz w:val="22"/>
          <w:szCs w:val="22"/>
          <w:lang w:val="sr-Latn-ME"/>
        </w:rPr>
      </w:pPr>
      <w:r w:rsidRPr="00F65520">
        <w:rPr>
          <w:rFonts w:eastAsia="TimesNewRoman"/>
          <w:sz w:val="22"/>
          <w:szCs w:val="22"/>
          <w:lang w:val="sr-Latn-ME"/>
        </w:rPr>
        <w:t>Iako su se u ispitivanjima 1, 2 i 3 proc</w:t>
      </w:r>
      <w:r w:rsidR="000875F9" w:rsidRPr="00F65520">
        <w:rPr>
          <w:rFonts w:eastAsia="TimesNewRoman"/>
          <w:sz w:val="22"/>
          <w:szCs w:val="22"/>
          <w:lang w:val="sr-Latn-ME"/>
        </w:rPr>
        <w:t>j</w:t>
      </w:r>
      <w:r w:rsidRPr="00F65520">
        <w:rPr>
          <w:rFonts w:eastAsia="TimesNewRoman"/>
          <w:sz w:val="22"/>
          <w:szCs w:val="22"/>
          <w:lang w:val="sr-Latn-ME"/>
        </w:rPr>
        <w:t xml:space="preserve">enjivala 2 režima doziranja, preporučeni režim doziranja za primjenu </w:t>
      </w:r>
      <w:r w:rsidR="00676C41" w:rsidRPr="00F65520">
        <w:rPr>
          <w:rFonts w:eastAsia="TimesNewRoman"/>
          <w:sz w:val="22"/>
          <w:szCs w:val="22"/>
          <w:lang w:val="sr-Latn-ME"/>
        </w:rPr>
        <w:t xml:space="preserve"> </w:t>
      </w:r>
      <w:r w:rsidR="00676C41" w:rsidRPr="00F65520">
        <w:rPr>
          <w:sz w:val="22"/>
          <w:szCs w:val="22"/>
          <w:lang w:val="sr-Latn-ME"/>
        </w:rPr>
        <w:t>benralizumaba</w:t>
      </w:r>
      <w:r w:rsidR="00676C41" w:rsidRPr="00F65520">
        <w:rPr>
          <w:rFonts w:eastAsia="TimesNewRoman"/>
          <w:sz w:val="22"/>
          <w:szCs w:val="22"/>
          <w:lang w:val="sr-Latn-ME"/>
        </w:rPr>
        <w:t xml:space="preserve"> </w:t>
      </w:r>
      <w:r w:rsidR="000875F9" w:rsidRPr="00F65520">
        <w:rPr>
          <w:rFonts w:eastAsia="TimesNewRoman"/>
          <w:sz w:val="22"/>
          <w:szCs w:val="22"/>
          <w:lang w:val="sr-Latn-ME"/>
        </w:rPr>
        <w:t>je</w:t>
      </w:r>
      <w:r w:rsidRPr="00F65520">
        <w:rPr>
          <w:rFonts w:eastAsia="TimesNewRoman"/>
          <w:sz w:val="22"/>
          <w:szCs w:val="22"/>
          <w:lang w:val="sr-Latn-ME"/>
        </w:rPr>
        <w:t xml:space="preserve"> svake 4. </w:t>
      </w:r>
      <w:r w:rsidR="00223F96" w:rsidRPr="00F65520">
        <w:rPr>
          <w:rFonts w:eastAsia="TimesNewRoman"/>
          <w:sz w:val="22"/>
          <w:szCs w:val="22"/>
          <w:lang w:val="sr-Latn-ME"/>
        </w:rPr>
        <w:t>n</w:t>
      </w:r>
      <w:r w:rsidRPr="00F65520">
        <w:rPr>
          <w:rFonts w:eastAsia="TimesNewRoman"/>
          <w:sz w:val="22"/>
          <w:szCs w:val="22"/>
          <w:lang w:val="sr-Latn-ME"/>
        </w:rPr>
        <w:t>edjelje za prve 3 doze, a zatim na svakih 8 nedjelja (vidjeti odjeljak 4.2), jer od učestalije primjene nije prim</w:t>
      </w:r>
      <w:r w:rsidR="000875F9" w:rsidRPr="00F65520">
        <w:rPr>
          <w:rFonts w:eastAsia="TimesNewRoman"/>
          <w:sz w:val="22"/>
          <w:szCs w:val="22"/>
          <w:lang w:val="sr-Latn-ME"/>
        </w:rPr>
        <w:t>i</w:t>
      </w:r>
      <w:r w:rsidRPr="00F65520">
        <w:rPr>
          <w:rFonts w:eastAsia="TimesNewRoman"/>
          <w:sz w:val="22"/>
          <w:szCs w:val="22"/>
          <w:lang w:val="sr-Latn-ME"/>
        </w:rPr>
        <w:t>jećena dodatna korist. Sažeti rezultati u tekstu u nastavku odnose se na preporučeni režim doziranja.</w:t>
      </w:r>
    </w:p>
    <w:p w14:paraId="7991B3A2" w14:textId="77777777" w:rsidR="00D109D4" w:rsidRPr="00F65520" w:rsidRDefault="00D109D4">
      <w:pPr>
        <w:tabs>
          <w:tab w:val="left" w:pos="284"/>
        </w:tabs>
        <w:jc w:val="both"/>
        <w:rPr>
          <w:rFonts w:eastAsia="TimesNewRoman"/>
          <w:sz w:val="22"/>
          <w:szCs w:val="22"/>
          <w:lang w:val="sr-Latn-ME"/>
        </w:rPr>
      </w:pPr>
    </w:p>
    <w:p w14:paraId="65A54E81" w14:textId="77777777" w:rsidR="00D109D4" w:rsidRPr="00F65520" w:rsidRDefault="00D109D4">
      <w:pPr>
        <w:tabs>
          <w:tab w:val="left" w:pos="284"/>
        </w:tabs>
        <w:jc w:val="both"/>
        <w:rPr>
          <w:rFonts w:eastAsia="TimesNewRoman"/>
          <w:i/>
          <w:sz w:val="22"/>
          <w:szCs w:val="22"/>
          <w:u w:val="single"/>
          <w:lang w:val="sr-Latn-ME"/>
        </w:rPr>
      </w:pPr>
      <w:r w:rsidRPr="00F65520">
        <w:rPr>
          <w:rFonts w:eastAsia="TimesNewRoman"/>
          <w:i/>
          <w:sz w:val="22"/>
          <w:szCs w:val="22"/>
          <w:u w:val="single"/>
          <w:lang w:val="sr-Latn-ME"/>
        </w:rPr>
        <w:t>Ispitivanja egzacerbacije</w:t>
      </w:r>
    </w:p>
    <w:p w14:paraId="11C18B99" w14:textId="77777777" w:rsidR="00D109D4" w:rsidRPr="00F65520" w:rsidRDefault="00D109D4">
      <w:pPr>
        <w:tabs>
          <w:tab w:val="left" w:pos="284"/>
        </w:tabs>
        <w:jc w:val="both"/>
        <w:rPr>
          <w:rFonts w:eastAsia="TimesNewRoman"/>
          <w:i/>
          <w:sz w:val="22"/>
          <w:szCs w:val="22"/>
          <w:u w:val="single"/>
          <w:lang w:val="sr-Latn-ME"/>
        </w:rPr>
      </w:pPr>
    </w:p>
    <w:p w14:paraId="4915332A" w14:textId="5FC02E39" w:rsidR="00D109D4" w:rsidRPr="00F65520" w:rsidRDefault="00D109D4">
      <w:pPr>
        <w:tabs>
          <w:tab w:val="left" w:pos="284"/>
        </w:tabs>
        <w:jc w:val="both"/>
        <w:rPr>
          <w:rFonts w:eastAsia="TimesNewRoman"/>
          <w:sz w:val="22"/>
          <w:szCs w:val="22"/>
          <w:lang w:val="sr-Latn-ME"/>
        </w:rPr>
      </w:pPr>
      <w:r w:rsidRPr="00F65520">
        <w:rPr>
          <w:rFonts w:eastAsia="TimesNewRoman"/>
          <w:sz w:val="22"/>
          <w:szCs w:val="22"/>
          <w:lang w:val="sr-Latn-ME"/>
        </w:rPr>
        <w:t xml:space="preserve">Primarni parametar efikasnosti bio je godišnja stopa klinički značajnih egzacerbacija astme kod pacijenata kojima je broj eozinofila u krvi na početku ispitivanja iznosio ≥ 300 ćelija/mikrolitar i koji su uzimali velike doze IKS-a kao i LABA. Klinički značajna egzacerbacija astme definisana je kao pogoršanje astme koje je zahtijevalo primjenu oralnih/sistemskih kortikosteroida tokom najmanje 3 dana i/ili javljanje hitnoj službi </w:t>
      </w:r>
      <w:r w:rsidR="007A472A" w:rsidRPr="00F65520">
        <w:rPr>
          <w:rFonts w:eastAsia="TimesNewRoman"/>
          <w:sz w:val="22"/>
          <w:szCs w:val="22"/>
          <w:lang w:val="sr-Latn-ME"/>
        </w:rPr>
        <w:t xml:space="preserve">koje </w:t>
      </w:r>
      <w:r w:rsidRPr="00F65520">
        <w:rPr>
          <w:rFonts w:eastAsia="TimesNewRoman"/>
          <w:sz w:val="22"/>
          <w:szCs w:val="22"/>
          <w:lang w:val="sr-Latn-ME"/>
        </w:rPr>
        <w:t>je zaht</w:t>
      </w:r>
      <w:r w:rsidR="007A472A" w:rsidRPr="00F65520">
        <w:rPr>
          <w:rFonts w:eastAsia="TimesNewRoman"/>
          <w:sz w:val="22"/>
          <w:szCs w:val="22"/>
          <w:lang w:val="sr-Latn-ME"/>
        </w:rPr>
        <w:t>ij</w:t>
      </w:r>
      <w:r w:rsidRPr="00F65520">
        <w:rPr>
          <w:rFonts w:eastAsia="TimesNewRoman"/>
          <w:sz w:val="22"/>
          <w:szCs w:val="22"/>
          <w:lang w:val="sr-Latn-ME"/>
        </w:rPr>
        <w:t>eva</w:t>
      </w:r>
      <w:r w:rsidR="007A472A" w:rsidRPr="00F65520">
        <w:rPr>
          <w:rFonts w:eastAsia="TimesNewRoman"/>
          <w:sz w:val="22"/>
          <w:szCs w:val="22"/>
          <w:lang w:val="sr-Latn-ME"/>
        </w:rPr>
        <w:t>l</w:t>
      </w:r>
      <w:r w:rsidRPr="00F65520">
        <w:rPr>
          <w:rFonts w:eastAsia="TimesNewRoman"/>
          <w:sz w:val="22"/>
          <w:szCs w:val="22"/>
          <w:lang w:val="sr-Latn-ME"/>
        </w:rPr>
        <w:t xml:space="preserve">o primjenu oralnih/sistemskih kortikosteroida i/ili hospitalizaciju. Kod pacijenata na terapiji održavanja oralnim kortikosteroidima, definisano je kao privremeno povećanje stabilne doze oralnih/sistemskih kortikosteroida tokom najmanje 3 dana ili injekcija jedne doze depo kortikosteroida. </w:t>
      </w:r>
    </w:p>
    <w:p w14:paraId="4D58B024" w14:textId="77777777" w:rsidR="00D109D4" w:rsidRPr="00F65520" w:rsidRDefault="00D109D4">
      <w:pPr>
        <w:tabs>
          <w:tab w:val="left" w:pos="284"/>
        </w:tabs>
        <w:jc w:val="both"/>
        <w:rPr>
          <w:rFonts w:eastAsia="TimesNewRoman"/>
          <w:sz w:val="22"/>
          <w:szCs w:val="22"/>
          <w:lang w:val="sr-Latn-ME"/>
        </w:rPr>
      </w:pPr>
    </w:p>
    <w:p w14:paraId="5E6A45C5" w14:textId="7F061BB7" w:rsidR="00D109D4" w:rsidRPr="00F65520" w:rsidRDefault="00D109D4">
      <w:pPr>
        <w:tabs>
          <w:tab w:val="left" w:pos="284"/>
        </w:tabs>
        <w:jc w:val="both"/>
        <w:rPr>
          <w:rFonts w:eastAsia="TimesNewRoman"/>
          <w:sz w:val="22"/>
          <w:szCs w:val="22"/>
          <w:lang w:val="sr-Latn-ME"/>
        </w:rPr>
      </w:pPr>
      <w:r w:rsidRPr="00F65520">
        <w:rPr>
          <w:rFonts w:eastAsia="TimesNewRoman"/>
          <w:sz w:val="22"/>
          <w:szCs w:val="22"/>
          <w:lang w:val="sr-Latn-ME"/>
        </w:rPr>
        <w:t xml:space="preserve">U oba ispitivanja, pacijenti koji su imali vrijednost eozinofila u krvi </w:t>
      </w:r>
      <w:bookmarkStart w:id="3" w:name="_Hlk525048275"/>
      <w:r w:rsidRPr="00F65520">
        <w:rPr>
          <w:rFonts w:eastAsia="TimesNewRoman"/>
          <w:sz w:val="22"/>
          <w:szCs w:val="22"/>
          <w:lang w:val="sr-Latn-ME"/>
        </w:rPr>
        <w:t>≥ 300 ćelija/mikrolitar</w:t>
      </w:r>
      <w:bookmarkEnd w:id="3"/>
      <w:r w:rsidRPr="00F65520">
        <w:rPr>
          <w:rFonts w:eastAsia="TimesNewRoman"/>
          <w:sz w:val="22"/>
          <w:szCs w:val="22"/>
          <w:lang w:val="sr-Latn-ME"/>
        </w:rPr>
        <w:t xml:space="preserve"> i koji su primali </w:t>
      </w:r>
      <w:r w:rsidR="00676C41" w:rsidRPr="00F65520">
        <w:rPr>
          <w:sz w:val="22"/>
          <w:szCs w:val="22"/>
          <w:lang w:val="sr-Latn-ME"/>
        </w:rPr>
        <w:t xml:space="preserve">benralizumab </w:t>
      </w:r>
      <w:r w:rsidRPr="00F65520">
        <w:rPr>
          <w:rFonts w:eastAsia="TimesNewRoman"/>
          <w:sz w:val="22"/>
          <w:szCs w:val="22"/>
          <w:lang w:val="sr-Latn-ME"/>
        </w:rPr>
        <w:t>doživjeli su značajna smanjenja godišnjih stopa egzacerbacija u odnosu na pacijente koji su primali placebo. Nadalje, promjena srednje vrijednosti FEV</w:t>
      </w:r>
      <w:r w:rsidRPr="00F65520">
        <w:rPr>
          <w:rFonts w:eastAsia="TimesNewRoman"/>
          <w:sz w:val="22"/>
          <w:szCs w:val="22"/>
          <w:vertAlign w:val="subscript"/>
          <w:lang w:val="sr-Latn-ME"/>
        </w:rPr>
        <w:t>1</w:t>
      </w:r>
      <w:r w:rsidRPr="00F65520">
        <w:rPr>
          <w:rFonts w:eastAsia="TimesNewRoman"/>
          <w:sz w:val="22"/>
          <w:szCs w:val="22"/>
          <w:lang w:val="sr-Latn-ME"/>
        </w:rPr>
        <w:t xml:space="preserve"> u odnosu na početnu vrijednost pokazala je korisna dejstva počevši već od 4. nedjelje, što se održalo sve do kraja liječenja (</w:t>
      </w:r>
      <w:r w:rsidRPr="00F65520">
        <w:rPr>
          <w:rFonts w:eastAsia="TimesNewRoman"/>
          <w:b/>
          <w:sz w:val="22"/>
          <w:szCs w:val="22"/>
          <w:lang w:val="sr-Latn-ME"/>
        </w:rPr>
        <w:t>Tabela 2</w:t>
      </w:r>
      <w:r w:rsidRPr="00F65520">
        <w:rPr>
          <w:rFonts w:eastAsia="TimesNewRoman"/>
          <w:sz w:val="22"/>
          <w:szCs w:val="22"/>
          <w:lang w:val="sr-Latn-ME"/>
        </w:rPr>
        <w:t>).</w:t>
      </w:r>
    </w:p>
    <w:p w14:paraId="2E03779A" w14:textId="77777777" w:rsidR="00D109D4" w:rsidRPr="00F65520" w:rsidRDefault="00D109D4">
      <w:pPr>
        <w:tabs>
          <w:tab w:val="left" w:pos="284"/>
        </w:tabs>
        <w:jc w:val="both"/>
        <w:rPr>
          <w:rFonts w:eastAsia="TimesNewRoman"/>
          <w:sz w:val="22"/>
          <w:szCs w:val="22"/>
          <w:lang w:val="sr-Latn-ME"/>
        </w:rPr>
      </w:pPr>
    </w:p>
    <w:p w14:paraId="56100B09" w14:textId="6ABA2FAC" w:rsidR="00D109D4" w:rsidRPr="00F65520" w:rsidRDefault="00D109D4">
      <w:pPr>
        <w:tabs>
          <w:tab w:val="left" w:pos="284"/>
        </w:tabs>
        <w:jc w:val="both"/>
        <w:rPr>
          <w:rFonts w:eastAsia="TimesNewRoman"/>
          <w:sz w:val="22"/>
          <w:szCs w:val="22"/>
          <w:lang w:val="sr-Latn-ME"/>
        </w:rPr>
      </w:pPr>
      <w:r w:rsidRPr="00F65520">
        <w:rPr>
          <w:rFonts w:eastAsia="TimesNewRoman"/>
          <w:sz w:val="22"/>
          <w:szCs w:val="22"/>
          <w:lang w:val="sr-Latn-ME"/>
        </w:rPr>
        <w:t>Smanjena stopa egzacerbacija prim</w:t>
      </w:r>
      <w:r w:rsidR="005E45C1" w:rsidRPr="00F65520">
        <w:rPr>
          <w:rFonts w:eastAsia="TimesNewRoman"/>
          <w:sz w:val="22"/>
          <w:szCs w:val="22"/>
          <w:lang w:val="sr-Latn-ME"/>
        </w:rPr>
        <w:t>i</w:t>
      </w:r>
      <w:r w:rsidRPr="00F65520">
        <w:rPr>
          <w:rFonts w:eastAsia="TimesNewRoman"/>
          <w:sz w:val="22"/>
          <w:szCs w:val="22"/>
          <w:lang w:val="sr-Latn-ME"/>
        </w:rPr>
        <w:t>jećena je nezavisno od početnog broja eozinofila; međutim, veći broj eozinofila na početku liječenja utvrđen je kao potencijalni pokazatelj boljeg odgovora na liječenje, posebno za FEV</w:t>
      </w:r>
      <w:r w:rsidRPr="00F65520">
        <w:rPr>
          <w:rFonts w:eastAsia="TimesNewRoman"/>
          <w:sz w:val="22"/>
          <w:szCs w:val="22"/>
          <w:vertAlign w:val="subscript"/>
          <w:lang w:val="sr-Latn-ME"/>
        </w:rPr>
        <w:t>1.</w:t>
      </w:r>
    </w:p>
    <w:p w14:paraId="5FDA4FF9" w14:textId="77777777" w:rsidR="00DB6A81" w:rsidRPr="00F65520" w:rsidRDefault="00DB6A81" w:rsidP="00480FB1">
      <w:pPr>
        <w:tabs>
          <w:tab w:val="left" w:pos="540"/>
          <w:tab w:val="left" w:pos="569"/>
        </w:tabs>
        <w:rPr>
          <w:bCs/>
          <w:sz w:val="22"/>
          <w:szCs w:val="22"/>
          <w:lang w:val="sr-Latn-ME"/>
        </w:rPr>
      </w:pPr>
    </w:p>
    <w:p w14:paraId="284D1D57" w14:textId="03C3DA11" w:rsidR="00D17E13" w:rsidRPr="00F65520" w:rsidRDefault="00D17E13" w:rsidP="00D17E13">
      <w:pPr>
        <w:tabs>
          <w:tab w:val="left" w:pos="284"/>
        </w:tabs>
        <w:jc w:val="both"/>
        <w:rPr>
          <w:b/>
          <w:bCs/>
          <w:sz w:val="22"/>
          <w:szCs w:val="22"/>
          <w:lang w:val="sr-Latn-ME"/>
        </w:rPr>
      </w:pPr>
      <w:r w:rsidRPr="00F65520">
        <w:rPr>
          <w:b/>
          <w:bCs/>
          <w:sz w:val="22"/>
          <w:szCs w:val="22"/>
          <w:lang w:val="sr-Latn-ME"/>
        </w:rPr>
        <w:t>Tabela 2. Rezultati za godišnju stopu egzacerbacija i plućnu funkciju na kraju liječenja u Ispitivanjima 1 i 2 prema broju eozinofila</w:t>
      </w:r>
    </w:p>
    <w:p w14:paraId="18A18BB1" w14:textId="5A65DF69" w:rsidR="002E37A5" w:rsidRPr="00F65520" w:rsidRDefault="002E37A5" w:rsidP="00480FB1">
      <w:pPr>
        <w:tabs>
          <w:tab w:val="left" w:pos="540"/>
          <w:tab w:val="left" w:pos="569"/>
        </w:tabs>
        <w:rPr>
          <w:b/>
          <w:bCs/>
          <w:sz w:val="22"/>
          <w:szCs w:val="22"/>
          <w:lang w:val="sr-Latn-ME"/>
        </w:rPr>
      </w:pPr>
    </w:p>
    <w:tbl>
      <w:tblPr>
        <w:tblStyle w:val="TableGrid0"/>
        <w:tblW w:w="5000" w:type="pct"/>
        <w:tblInd w:w="0" w:type="dxa"/>
        <w:tblCellMar>
          <w:top w:w="5" w:type="dxa"/>
          <w:left w:w="110" w:type="dxa"/>
          <w:right w:w="115" w:type="dxa"/>
        </w:tblCellMar>
        <w:tblLook w:val="04A0" w:firstRow="1" w:lastRow="0" w:firstColumn="1" w:lastColumn="0" w:noHBand="0" w:noVBand="1"/>
      </w:tblPr>
      <w:tblGrid>
        <w:gridCol w:w="2493"/>
        <w:gridCol w:w="2260"/>
        <w:gridCol w:w="1401"/>
        <w:gridCol w:w="1452"/>
        <w:gridCol w:w="1457"/>
      </w:tblGrid>
      <w:tr w:rsidR="00DC33B1" w:rsidRPr="00F65520" w14:paraId="4CCD1F87" w14:textId="77777777" w:rsidTr="00873FC3">
        <w:trPr>
          <w:trHeight w:val="384"/>
        </w:trPr>
        <w:tc>
          <w:tcPr>
            <w:tcW w:w="1413" w:type="pct"/>
            <w:vMerge w:val="restart"/>
            <w:tcBorders>
              <w:top w:val="single" w:sz="4" w:space="0" w:color="000000"/>
              <w:left w:val="single" w:sz="4" w:space="0" w:color="000000"/>
              <w:bottom w:val="single" w:sz="4" w:space="0" w:color="000000"/>
              <w:right w:val="single" w:sz="4" w:space="0" w:color="000000"/>
            </w:tcBorders>
          </w:tcPr>
          <w:p w14:paraId="462ECC3E" w14:textId="77777777" w:rsidR="00D17E13" w:rsidRPr="00F65520" w:rsidRDefault="00D17E13" w:rsidP="000808A1">
            <w:pPr>
              <w:tabs>
                <w:tab w:val="left" w:pos="284"/>
              </w:tabs>
              <w:spacing w:after="160" w:line="259" w:lineRule="auto"/>
              <w:jc w:val="both"/>
              <w:rPr>
                <w:rFonts w:ascii="Times New Roman" w:hAnsi="Times New Roman"/>
                <w:sz w:val="22"/>
                <w:szCs w:val="22"/>
                <w:lang w:val="sr-Latn-ME"/>
              </w:rPr>
            </w:pPr>
          </w:p>
        </w:tc>
        <w:tc>
          <w:tcPr>
            <w:tcW w:w="2094" w:type="pct"/>
            <w:gridSpan w:val="2"/>
            <w:tcBorders>
              <w:top w:val="single" w:sz="4" w:space="0" w:color="000000"/>
              <w:left w:val="single" w:sz="4" w:space="0" w:color="000000"/>
              <w:bottom w:val="single" w:sz="4" w:space="0" w:color="000000"/>
              <w:right w:val="single" w:sz="4" w:space="0" w:color="000000"/>
            </w:tcBorders>
          </w:tcPr>
          <w:p w14:paraId="0C5E30DB" w14:textId="77777777" w:rsidR="00D17E13" w:rsidRPr="00F65520" w:rsidRDefault="00D17E13" w:rsidP="000808A1">
            <w:pPr>
              <w:tabs>
                <w:tab w:val="left" w:pos="284"/>
              </w:tabs>
              <w:spacing w:line="259" w:lineRule="auto"/>
              <w:jc w:val="center"/>
              <w:rPr>
                <w:rFonts w:ascii="Times New Roman" w:hAnsi="Times New Roman"/>
                <w:sz w:val="22"/>
                <w:szCs w:val="22"/>
                <w:lang w:val="sr-Latn-ME"/>
              </w:rPr>
            </w:pPr>
            <w:r w:rsidRPr="00F65520">
              <w:rPr>
                <w:rFonts w:ascii="Times New Roman" w:hAnsi="Times New Roman"/>
                <w:b/>
                <w:sz w:val="22"/>
                <w:szCs w:val="22"/>
                <w:lang w:val="sr-Latn-ME"/>
              </w:rPr>
              <w:t>Ispitivanje 1</w:t>
            </w:r>
          </w:p>
        </w:tc>
        <w:tc>
          <w:tcPr>
            <w:tcW w:w="1493" w:type="pct"/>
            <w:gridSpan w:val="2"/>
            <w:tcBorders>
              <w:top w:val="single" w:sz="4" w:space="0" w:color="000000"/>
              <w:left w:val="single" w:sz="4" w:space="0" w:color="000000"/>
              <w:bottom w:val="single" w:sz="4" w:space="0" w:color="000000"/>
              <w:right w:val="single" w:sz="4" w:space="0" w:color="000000"/>
            </w:tcBorders>
          </w:tcPr>
          <w:p w14:paraId="1484FC3B" w14:textId="77777777" w:rsidR="00D17E13" w:rsidRPr="00F65520" w:rsidRDefault="00D17E13" w:rsidP="000808A1">
            <w:pPr>
              <w:tabs>
                <w:tab w:val="left" w:pos="284"/>
              </w:tabs>
              <w:spacing w:line="259" w:lineRule="auto"/>
              <w:jc w:val="center"/>
              <w:rPr>
                <w:rFonts w:ascii="Times New Roman" w:hAnsi="Times New Roman"/>
                <w:sz w:val="22"/>
                <w:szCs w:val="22"/>
                <w:lang w:val="sr-Latn-ME"/>
              </w:rPr>
            </w:pPr>
            <w:r w:rsidRPr="00F65520">
              <w:rPr>
                <w:rFonts w:ascii="Times New Roman" w:hAnsi="Times New Roman"/>
                <w:b/>
                <w:sz w:val="22"/>
                <w:szCs w:val="22"/>
                <w:lang w:val="sr-Latn-ME"/>
              </w:rPr>
              <w:t>Ispitivanje 2</w:t>
            </w:r>
          </w:p>
        </w:tc>
      </w:tr>
      <w:tr w:rsidR="00DC33B1" w:rsidRPr="00F65520" w14:paraId="2BD6E6D7" w14:textId="77777777" w:rsidTr="00873FC3">
        <w:trPr>
          <w:trHeight w:val="379"/>
        </w:trPr>
        <w:tc>
          <w:tcPr>
            <w:tcW w:w="1413" w:type="pct"/>
            <w:vMerge/>
            <w:tcBorders>
              <w:top w:val="nil"/>
              <w:left w:val="single" w:sz="4" w:space="0" w:color="000000"/>
              <w:bottom w:val="single" w:sz="4" w:space="0" w:color="000000"/>
              <w:right w:val="single" w:sz="4" w:space="0" w:color="000000"/>
            </w:tcBorders>
          </w:tcPr>
          <w:p w14:paraId="743F4B71" w14:textId="77777777" w:rsidR="00873FC3" w:rsidRPr="00F65520" w:rsidRDefault="00873FC3" w:rsidP="00873FC3">
            <w:pPr>
              <w:tabs>
                <w:tab w:val="left" w:pos="284"/>
              </w:tabs>
              <w:spacing w:after="160" w:line="259" w:lineRule="auto"/>
              <w:jc w:val="both"/>
              <w:rPr>
                <w:rFonts w:ascii="Times New Roman" w:hAnsi="Times New Roman"/>
                <w:sz w:val="22"/>
                <w:szCs w:val="22"/>
                <w:lang w:val="sr-Latn-ME"/>
              </w:rPr>
            </w:pPr>
          </w:p>
        </w:tc>
        <w:tc>
          <w:tcPr>
            <w:tcW w:w="1284" w:type="pct"/>
            <w:tcBorders>
              <w:top w:val="single" w:sz="4" w:space="0" w:color="000000"/>
              <w:left w:val="single" w:sz="4" w:space="0" w:color="000000"/>
              <w:bottom w:val="single" w:sz="4" w:space="0" w:color="000000"/>
              <w:right w:val="single" w:sz="4" w:space="0" w:color="000000"/>
            </w:tcBorders>
          </w:tcPr>
          <w:p w14:paraId="3B3E203E" w14:textId="28623CBC"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sz w:val="22"/>
                <w:szCs w:val="22"/>
                <w:lang w:val="sr-Latn-ME"/>
              </w:rPr>
              <w:t>Benralizumab</w:t>
            </w:r>
          </w:p>
        </w:tc>
        <w:tc>
          <w:tcPr>
            <w:tcW w:w="810" w:type="pct"/>
            <w:tcBorders>
              <w:top w:val="single" w:sz="4" w:space="0" w:color="000000"/>
              <w:left w:val="single" w:sz="4" w:space="0" w:color="000000"/>
              <w:bottom w:val="single" w:sz="4" w:space="0" w:color="000000"/>
              <w:right w:val="single" w:sz="4" w:space="0" w:color="000000"/>
            </w:tcBorders>
          </w:tcPr>
          <w:p w14:paraId="5967BD78"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b/>
                <w:sz w:val="22"/>
                <w:szCs w:val="22"/>
                <w:lang w:val="sr-Latn-ME"/>
              </w:rPr>
              <w:t>Placebo</w:t>
            </w:r>
          </w:p>
        </w:tc>
        <w:tc>
          <w:tcPr>
            <w:tcW w:w="652" w:type="pct"/>
            <w:tcBorders>
              <w:top w:val="single" w:sz="4" w:space="0" w:color="000000"/>
              <w:left w:val="single" w:sz="4" w:space="0" w:color="000000"/>
              <w:bottom w:val="single" w:sz="4" w:space="0" w:color="000000"/>
              <w:right w:val="single" w:sz="4" w:space="0" w:color="000000"/>
            </w:tcBorders>
          </w:tcPr>
          <w:p w14:paraId="7BDC815A" w14:textId="5BC0B882"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sz w:val="22"/>
                <w:szCs w:val="22"/>
                <w:lang w:val="sr-Latn-ME"/>
              </w:rPr>
              <w:t>Benralizumab</w:t>
            </w:r>
          </w:p>
        </w:tc>
        <w:tc>
          <w:tcPr>
            <w:tcW w:w="842" w:type="pct"/>
            <w:tcBorders>
              <w:top w:val="single" w:sz="4" w:space="0" w:color="000000"/>
              <w:left w:val="single" w:sz="4" w:space="0" w:color="000000"/>
              <w:bottom w:val="single" w:sz="4" w:space="0" w:color="000000"/>
              <w:right w:val="single" w:sz="4" w:space="0" w:color="000000"/>
            </w:tcBorders>
          </w:tcPr>
          <w:p w14:paraId="555B54F4"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b/>
                <w:sz w:val="22"/>
                <w:szCs w:val="22"/>
                <w:lang w:val="sr-Latn-ME"/>
              </w:rPr>
              <w:t>Placebo</w:t>
            </w:r>
          </w:p>
        </w:tc>
      </w:tr>
      <w:tr w:rsidR="00DC33B1" w:rsidRPr="00F65520" w14:paraId="550BA3B5" w14:textId="77777777" w:rsidTr="00873FC3">
        <w:trPr>
          <w:trHeight w:val="638"/>
        </w:trPr>
        <w:tc>
          <w:tcPr>
            <w:tcW w:w="1413" w:type="pct"/>
            <w:tcBorders>
              <w:top w:val="single" w:sz="4" w:space="0" w:color="000000"/>
              <w:left w:val="single" w:sz="4" w:space="0" w:color="000000"/>
              <w:bottom w:val="single" w:sz="4" w:space="0" w:color="000000"/>
              <w:right w:val="single" w:sz="4" w:space="0" w:color="000000"/>
            </w:tcBorders>
          </w:tcPr>
          <w:p w14:paraId="6E62838B" w14:textId="77777777" w:rsidR="00873FC3" w:rsidRPr="00F65520" w:rsidRDefault="00873FC3" w:rsidP="00873FC3">
            <w:pPr>
              <w:tabs>
                <w:tab w:val="left" w:pos="284"/>
              </w:tabs>
              <w:spacing w:after="5" w:line="259" w:lineRule="auto"/>
              <w:jc w:val="both"/>
              <w:rPr>
                <w:rFonts w:ascii="Times New Roman" w:hAnsi="Times New Roman"/>
                <w:sz w:val="22"/>
                <w:szCs w:val="22"/>
                <w:lang w:val="sr-Latn-ME"/>
              </w:rPr>
            </w:pPr>
            <w:r w:rsidRPr="00F65520">
              <w:rPr>
                <w:rFonts w:ascii="Times New Roman" w:hAnsi="Times New Roman"/>
                <w:b/>
                <w:sz w:val="22"/>
                <w:szCs w:val="22"/>
                <w:lang w:val="sr-Latn-ME"/>
              </w:rPr>
              <w:t>Broj eozinofila u krvi</w:t>
            </w:r>
          </w:p>
          <w:p w14:paraId="545D6999" w14:textId="5E462083" w:rsidR="00873FC3" w:rsidRPr="00F65520" w:rsidRDefault="00873FC3" w:rsidP="00873FC3">
            <w:pPr>
              <w:tabs>
                <w:tab w:val="left" w:pos="284"/>
              </w:tabs>
              <w:spacing w:line="259" w:lineRule="auto"/>
              <w:jc w:val="both"/>
              <w:rPr>
                <w:rFonts w:ascii="Times New Roman" w:hAnsi="Times New Roman"/>
                <w:sz w:val="22"/>
                <w:szCs w:val="22"/>
                <w:lang w:val="sr-Latn-ME"/>
              </w:rPr>
            </w:pPr>
            <w:r w:rsidRPr="00F65520">
              <w:rPr>
                <w:rFonts w:ascii="Times New Roman" w:hAnsi="Times New Roman"/>
                <w:b/>
                <w:sz w:val="22"/>
                <w:szCs w:val="22"/>
                <w:lang w:val="sr-Latn-ME"/>
              </w:rPr>
              <w:t>≥ 300 ćelija/µl</w:t>
            </w:r>
            <w:r w:rsidRPr="00F65520">
              <w:rPr>
                <w:rFonts w:ascii="Times New Roman" w:hAnsi="Times New Roman"/>
                <w:b/>
                <w:sz w:val="22"/>
                <w:szCs w:val="22"/>
                <w:vertAlign w:val="superscript"/>
                <w:lang w:val="sr-Latn-ME"/>
              </w:rPr>
              <w:t>a</w:t>
            </w:r>
          </w:p>
        </w:tc>
        <w:tc>
          <w:tcPr>
            <w:tcW w:w="1284" w:type="pct"/>
            <w:tcBorders>
              <w:top w:val="single" w:sz="4" w:space="0" w:color="000000"/>
              <w:left w:val="single" w:sz="4" w:space="0" w:color="000000"/>
              <w:bottom w:val="single" w:sz="4" w:space="0" w:color="000000"/>
              <w:right w:val="single" w:sz="4" w:space="0" w:color="000000"/>
            </w:tcBorders>
          </w:tcPr>
          <w:p w14:paraId="1EA90766"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n = 267</w:t>
            </w:r>
          </w:p>
        </w:tc>
        <w:tc>
          <w:tcPr>
            <w:tcW w:w="810" w:type="pct"/>
            <w:tcBorders>
              <w:top w:val="single" w:sz="4" w:space="0" w:color="000000"/>
              <w:left w:val="single" w:sz="4" w:space="0" w:color="000000"/>
              <w:bottom w:val="single" w:sz="4" w:space="0" w:color="000000"/>
              <w:right w:val="single" w:sz="4" w:space="0" w:color="000000"/>
            </w:tcBorders>
          </w:tcPr>
          <w:p w14:paraId="558D8E59"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n = 267</w:t>
            </w:r>
          </w:p>
        </w:tc>
        <w:tc>
          <w:tcPr>
            <w:tcW w:w="652" w:type="pct"/>
            <w:tcBorders>
              <w:top w:val="single" w:sz="4" w:space="0" w:color="000000"/>
              <w:left w:val="single" w:sz="4" w:space="0" w:color="000000"/>
              <w:bottom w:val="single" w:sz="4" w:space="0" w:color="000000"/>
              <w:right w:val="single" w:sz="4" w:space="0" w:color="000000"/>
            </w:tcBorders>
          </w:tcPr>
          <w:p w14:paraId="329AD250"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n = 239</w:t>
            </w:r>
          </w:p>
        </w:tc>
        <w:tc>
          <w:tcPr>
            <w:tcW w:w="842" w:type="pct"/>
            <w:tcBorders>
              <w:top w:val="single" w:sz="4" w:space="0" w:color="000000"/>
              <w:left w:val="single" w:sz="4" w:space="0" w:color="000000"/>
              <w:bottom w:val="single" w:sz="4" w:space="0" w:color="000000"/>
              <w:right w:val="single" w:sz="4" w:space="0" w:color="000000"/>
            </w:tcBorders>
          </w:tcPr>
          <w:p w14:paraId="788302B4"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n = 248</w:t>
            </w:r>
          </w:p>
        </w:tc>
      </w:tr>
      <w:tr w:rsidR="00DC33B1" w:rsidRPr="00F65520" w14:paraId="7D127C78" w14:textId="77777777" w:rsidTr="00873FC3">
        <w:trPr>
          <w:trHeight w:val="384"/>
        </w:trPr>
        <w:tc>
          <w:tcPr>
            <w:tcW w:w="3507" w:type="pct"/>
            <w:gridSpan w:val="3"/>
            <w:tcBorders>
              <w:top w:val="single" w:sz="4" w:space="0" w:color="000000"/>
              <w:left w:val="single" w:sz="4" w:space="0" w:color="000000"/>
              <w:bottom w:val="single" w:sz="4" w:space="0" w:color="000000"/>
              <w:right w:val="nil"/>
            </w:tcBorders>
          </w:tcPr>
          <w:p w14:paraId="3A943B62" w14:textId="77777777" w:rsidR="00873FC3" w:rsidRPr="00F65520" w:rsidRDefault="00873FC3" w:rsidP="00873FC3">
            <w:pPr>
              <w:tabs>
                <w:tab w:val="left" w:pos="284"/>
              </w:tabs>
              <w:spacing w:line="259" w:lineRule="auto"/>
              <w:jc w:val="both"/>
              <w:rPr>
                <w:rFonts w:ascii="Times New Roman" w:hAnsi="Times New Roman"/>
                <w:sz w:val="22"/>
                <w:szCs w:val="22"/>
                <w:lang w:val="sr-Latn-ME"/>
              </w:rPr>
            </w:pPr>
            <w:r w:rsidRPr="00F65520">
              <w:rPr>
                <w:rFonts w:ascii="Times New Roman" w:hAnsi="Times New Roman"/>
                <w:b/>
                <w:sz w:val="22"/>
                <w:szCs w:val="22"/>
                <w:lang w:val="sr-Latn-ME"/>
              </w:rPr>
              <w:t>Klinički značajne egzacerbacije</w:t>
            </w:r>
          </w:p>
        </w:tc>
        <w:tc>
          <w:tcPr>
            <w:tcW w:w="1493" w:type="pct"/>
            <w:gridSpan w:val="2"/>
            <w:tcBorders>
              <w:top w:val="single" w:sz="4" w:space="0" w:color="000000"/>
              <w:left w:val="nil"/>
              <w:bottom w:val="single" w:sz="4" w:space="0" w:color="000000"/>
              <w:right w:val="single" w:sz="4" w:space="0" w:color="000000"/>
            </w:tcBorders>
          </w:tcPr>
          <w:p w14:paraId="63B6F644" w14:textId="77777777" w:rsidR="00873FC3" w:rsidRPr="00F65520" w:rsidRDefault="00873FC3" w:rsidP="00873FC3">
            <w:pPr>
              <w:tabs>
                <w:tab w:val="left" w:pos="284"/>
              </w:tabs>
              <w:spacing w:after="160" w:line="259" w:lineRule="auto"/>
              <w:jc w:val="both"/>
              <w:rPr>
                <w:rFonts w:ascii="Times New Roman" w:hAnsi="Times New Roman"/>
                <w:sz w:val="22"/>
                <w:szCs w:val="22"/>
                <w:lang w:val="sr-Latn-ME"/>
              </w:rPr>
            </w:pPr>
          </w:p>
        </w:tc>
      </w:tr>
      <w:tr w:rsidR="00DC33B1" w:rsidRPr="00F65520" w14:paraId="2BE3AAB0" w14:textId="77777777" w:rsidTr="00873FC3">
        <w:trPr>
          <w:trHeight w:val="379"/>
        </w:trPr>
        <w:tc>
          <w:tcPr>
            <w:tcW w:w="1413" w:type="pct"/>
            <w:tcBorders>
              <w:top w:val="single" w:sz="4" w:space="0" w:color="000000"/>
              <w:left w:val="single" w:sz="4" w:space="0" w:color="000000"/>
              <w:bottom w:val="single" w:sz="4" w:space="0" w:color="000000"/>
              <w:right w:val="single" w:sz="4" w:space="0" w:color="000000"/>
            </w:tcBorders>
          </w:tcPr>
          <w:p w14:paraId="493E0BC4" w14:textId="77777777" w:rsidR="00873FC3" w:rsidRPr="00F65520" w:rsidRDefault="00873FC3" w:rsidP="00873FC3">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Stopa</w:t>
            </w:r>
          </w:p>
        </w:tc>
        <w:tc>
          <w:tcPr>
            <w:tcW w:w="1284" w:type="pct"/>
            <w:tcBorders>
              <w:top w:val="single" w:sz="4" w:space="0" w:color="000000"/>
              <w:left w:val="single" w:sz="4" w:space="0" w:color="000000"/>
              <w:bottom w:val="single" w:sz="4" w:space="0" w:color="000000"/>
              <w:right w:val="single" w:sz="4" w:space="0" w:color="000000"/>
            </w:tcBorders>
          </w:tcPr>
          <w:p w14:paraId="6C5647ED"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0,74</w:t>
            </w:r>
          </w:p>
        </w:tc>
        <w:tc>
          <w:tcPr>
            <w:tcW w:w="810" w:type="pct"/>
            <w:tcBorders>
              <w:top w:val="single" w:sz="4" w:space="0" w:color="000000"/>
              <w:left w:val="single" w:sz="4" w:space="0" w:color="000000"/>
              <w:bottom w:val="single" w:sz="4" w:space="0" w:color="000000"/>
              <w:right w:val="single" w:sz="4" w:space="0" w:color="000000"/>
            </w:tcBorders>
          </w:tcPr>
          <w:p w14:paraId="45123440"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1,52</w:t>
            </w:r>
          </w:p>
        </w:tc>
        <w:tc>
          <w:tcPr>
            <w:tcW w:w="652" w:type="pct"/>
            <w:tcBorders>
              <w:top w:val="single" w:sz="4" w:space="0" w:color="000000"/>
              <w:left w:val="single" w:sz="4" w:space="0" w:color="000000"/>
              <w:bottom w:val="single" w:sz="4" w:space="0" w:color="000000"/>
              <w:right w:val="single" w:sz="4" w:space="0" w:color="000000"/>
            </w:tcBorders>
          </w:tcPr>
          <w:p w14:paraId="666B5D7B"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0,73</w:t>
            </w:r>
          </w:p>
        </w:tc>
        <w:tc>
          <w:tcPr>
            <w:tcW w:w="842" w:type="pct"/>
            <w:tcBorders>
              <w:top w:val="single" w:sz="4" w:space="0" w:color="000000"/>
              <w:left w:val="single" w:sz="4" w:space="0" w:color="000000"/>
              <w:bottom w:val="single" w:sz="4" w:space="0" w:color="000000"/>
              <w:right w:val="single" w:sz="4" w:space="0" w:color="000000"/>
            </w:tcBorders>
          </w:tcPr>
          <w:p w14:paraId="3FEE168B"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1,01</w:t>
            </w:r>
          </w:p>
        </w:tc>
      </w:tr>
      <w:tr w:rsidR="00DC33B1" w:rsidRPr="00F65520" w14:paraId="437818CA" w14:textId="77777777" w:rsidTr="00873FC3">
        <w:trPr>
          <w:trHeight w:val="384"/>
        </w:trPr>
        <w:tc>
          <w:tcPr>
            <w:tcW w:w="1413" w:type="pct"/>
            <w:tcBorders>
              <w:top w:val="single" w:sz="4" w:space="0" w:color="000000"/>
              <w:left w:val="single" w:sz="4" w:space="0" w:color="000000"/>
              <w:bottom w:val="single" w:sz="4" w:space="0" w:color="000000"/>
              <w:right w:val="single" w:sz="4" w:space="0" w:color="000000"/>
            </w:tcBorders>
          </w:tcPr>
          <w:p w14:paraId="5817F3C2" w14:textId="77777777" w:rsidR="00873FC3" w:rsidRPr="00F65520" w:rsidRDefault="00873FC3" w:rsidP="00873FC3">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Razlika</w:t>
            </w:r>
          </w:p>
        </w:tc>
        <w:tc>
          <w:tcPr>
            <w:tcW w:w="2094" w:type="pct"/>
            <w:gridSpan w:val="2"/>
            <w:tcBorders>
              <w:top w:val="single" w:sz="4" w:space="0" w:color="000000"/>
              <w:left w:val="single" w:sz="4" w:space="0" w:color="000000"/>
              <w:bottom w:val="single" w:sz="4" w:space="0" w:color="000000"/>
              <w:right w:val="single" w:sz="4" w:space="0" w:color="000000"/>
            </w:tcBorders>
          </w:tcPr>
          <w:p w14:paraId="29EF40CE"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-0,78</w:t>
            </w:r>
          </w:p>
        </w:tc>
        <w:tc>
          <w:tcPr>
            <w:tcW w:w="1493" w:type="pct"/>
            <w:gridSpan w:val="2"/>
            <w:tcBorders>
              <w:top w:val="single" w:sz="4" w:space="0" w:color="000000"/>
              <w:left w:val="single" w:sz="4" w:space="0" w:color="000000"/>
              <w:bottom w:val="single" w:sz="4" w:space="0" w:color="000000"/>
              <w:right w:val="single" w:sz="4" w:space="0" w:color="000000"/>
            </w:tcBorders>
          </w:tcPr>
          <w:p w14:paraId="5A95E4D1"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-0,29</w:t>
            </w:r>
          </w:p>
        </w:tc>
      </w:tr>
      <w:tr w:rsidR="00DC33B1" w:rsidRPr="00F65520" w14:paraId="5D8FD6E7" w14:textId="77777777" w:rsidTr="00873FC3">
        <w:trPr>
          <w:trHeight w:val="384"/>
        </w:trPr>
        <w:tc>
          <w:tcPr>
            <w:tcW w:w="1413" w:type="pct"/>
            <w:tcBorders>
              <w:top w:val="single" w:sz="4" w:space="0" w:color="000000"/>
              <w:left w:val="single" w:sz="4" w:space="0" w:color="000000"/>
              <w:bottom w:val="single" w:sz="4" w:space="0" w:color="000000"/>
              <w:right w:val="single" w:sz="4" w:space="0" w:color="000000"/>
            </w:tcBorders>
          </w:tcPr>
          <w:p w14:paraId="715BE8AD" w14:textId="77777777" w:rsidR="00873FC3" w:rsidRPr="00F65520" w:rsidRDefault="00873FC3" w:rsidP="00873FC3">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Odnos stopa (95% CI)</w:t>
            </w:r>
          </w:p>
        </w:tc>
        <w:tc>
          <w:tcPr>
            <w:tcW w:w="2094" w:type="pct"/>
            <w:gridSpan w:val="2"/>
            <w:tcBorders>
              <w:top w:val="single" w:sz="4" w:space="0" w:color="000000"/>
              <w:left w:val="single" w:sz="4" w:space="0" w:color="000000"/>
              <w:bottom w:val="single" w:sz="4" w:space="0" w:color="000000"/>
              <w:right w:val="single" w:sz="4" w:space="0" w:color="000000"/>
            </w:tcBorders>
          </w:tcPr>
          <w:p w14:paraId="6DFA393E"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0,49 (0,37; 0,64)</w:t>
            </w:r>
          </w:p>
        </w:tc>
        <w:tc>
          <w:tcPr>
            <w:tcW w:w="1493" w:type="pct"/>
            <w:gridSpan w:val="2"/>
            <w:tcBorders>
              <w:top w:val="single" w:sz="4" w:space="0" w:color="000000"/>
              <w:left w:val="single" w:sz="4" w:space="0" w:color="000000"/>
              <w:bottom w:val="single" w:sz="4" w:space="0" w:color="000000"/>
              <w:right w:val="single" w:sz="4" w:space="0" w:color="000000"/>
            </w:tcBorders>
          </w:tcPr>
          <w:p w14:paraId="3372FE3A"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0,72 (0,54; 0,95)</w:t>
            </w:r>
          </w:p>
        </w:tc>
      </w:tr>
      <w:tr w:rsidR="00DC33B1" w:rsidRPr="00F65520" w14:paraId="5BB1C94F" w14:textId="77777777" w:rsidTr="00873FC3">
        <w:trPr>
          <w:trHeight w:val="384"/>
        </w:trPr>
        <w:tc>
          <w:tcPr>
            <w:tcW w:w="1413" w:type="pct"/>
            <w:tcBorders>
              <w:top w:val="single" w:sz="4" w:space="0" w:color="000000"/>
              <w:left w:val="single" w:sz="4" w:space="0" w:color="000000"/>
              <w:bottom w:val="single" w:sz="4" w:space="0" w:color="000000"/>
              <w:right w:val="single" w:sz="4" w:space="0" w:color="000000"/>
            </w:tcBorders>
          </w:tcPr>
          <w:p w14:paraId="723441F8" w14:textId="77777777" w:rsidR="00873FC3" w:rsidRPr="00F65520" w:rsidRDefault="00873FC3" w:rsidP="00873FC3">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lastRenderedPageBreak/>
              <w:t>p-vrijednost</w:t>
            </w:r>
          </w:p>
        </w:tc>
        <w:tc>
          <w:tcPr>
            <w:tcW w:w="2094" w:type="pct"/>
            <w:gridSpan w:val="2"/>
            <w:tcBorders>
              <w:top w:val="single" w:sz="4" w:space="0" w:color="000000"/>
              <w:left w:val="single" w:sz="4" w:space="0" w:color="000000"/>
              <w:bottom w:val="single" w:sz="4" w:space="0" w:color="000000"/>
              <w:right w:val="single" w:sz="4" w:space="0" w:color="000000"/>
            </w:tcBorders>
          </w:tcPr>
          <w:p w14:paraId="59D3B011"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&lt; 0,001</w:t>
            </w:r>
          </w:p>
        </w:tc>
        <w:tc>
          <w:tcPr>
            <w:tcW w:w="1493" w:type="pct"/>
            <w:gridSpan w:val="2"/>
            <w:tcBorders>
              <w:top w:val="single" w:sz="4" w:space="0" w:color="000000"/>
              <w:left w:val="single" w:sz="4" w:space="0" w:color="000000"/>
              <w:bottom w:val="single" w:sz="4" w:space="0" w:color="000000"/>
              <w:right w:val="single" w:sz="4" w:space="0" w:color="000000"/>
            </w:tcBorders>
          </w:tcPr>
          <w:p w14:paraId="29166873"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0,019</w:t>
            </w:r>
          </w:p>
        </w:tc>
      </w:tr>
      <w:tr w:rsidR="00DC33B1" w:rsidRPr="00F65520" w14:paraId="293B18BD" w14:textId="77777777" w:rsidTr="00873FC3">
        <w:trPr>
          <w:trHeight w:val="384"/>
        </w:trPr>
        <w:tc>
          <w:tcPr>
            <w:tcW w:w="3507" w:type="pct"/>
            <w:gridSpan w:val="3"/>
            <w:tcBorders>
              <w:top w:val="single" w:sz="4" w:space="0" w:color="000000"/>
              <w:left w:val="single" w:sz="4" w:space="0" w:color="000000"/>
              <w:bottom w:val="single" w:sz="4" w:space="0" w:color="000000"/>
              <w:right w:val="nil"/>
            </w:tcBorders>
          </w:tcPr>
          <w:p w14:paraId="4E84CB1E" w14:textId="435A18A8" w:rsidR="00873FC3" w:rsidRPr="00F65520" w:rsidRDefault="00873FC3" w:rsidP="00873FC3">
            <w:pPr>
              <w:tabs>
                <w:tab w:val="left" w:pos="284"/>
              </w:tabs>
              <w:spacing w:line="259" w:lineRule="auto"/>
              <w:jc w:val="both"/>
              <w:rPr>
                <w:rFonts w:ascii="Times New Roman" w:hAnsi="Times New Roman"/>
                <w:sz w:val="22"/>
                <w:szCs w:val="22"/>
                <w:lang w:val="sr-Latn-ME"/>
              </w:rPr>
            </w:pPr>
            <w:r w:rsidRPr="00F65520">
              <w:rPr>
                <w:rFonts w:ascii="Times New Roman" w:hAnsi="Times New Roman"/>
                <w:b/>
                <w:sz w:val="22"/>
                <w:szCs w:val="22"/>
                <w:lang w:val="sr-Latn-ME"/>
              </w:rPr>
              <w:t>FEV</w:t>
            </w:r>
            <w:r w:rsidRPr="00F65520">
              <w:rPr>
                <w:rFonts w:ascii="Times New Roman" w:hAnsi="Times New Roman"/>
                <w:b/>
                <w:sz w:val="22"/>
                <w:szCs w:val="22"/>
                <w:vertAlign w:val="subscript"/>
                <w:lang w:val="sr-Latn-ME"/>
              </w:rPr>
              <w:t xml:space="preserve">1 </w:t>
            </w:r>
            <w:r w:rsidRPr="00F65520">
              <w:rPr>
                <w:rFonts w:ascii="Times New Roman" w:hAnsi="Times New Roman"/>
                <w:b/>
                <w:sz w:val="22"/>
                <w:szCs w:val="22"/>
                <w:lang w:val="sr-Latn-ME"/>
              </w:rPr>
              <w:t xml:space="preserve">prije primjene bronhodilatatora (l) </w:t>
            </w:r>
          </w:p>
        </w:tc>
        <w:tc>
          <w:tcPr>
            <w:tcW w:w="1493" w:type="pct"/>
            <w:gridSpan w:val="2"/>
            <w:tcBorders>
              <w:top w:val="single" w:sz="4" w:space="0" w:color="000000"/>
              <w:left w:val="nil"/>
              <w:bottom w:val="single" w:sz="4" w:space="0" w:color="000000"/>
              <w:right w:val="single" w:sz="4" w:space="0" w:color="000000"/>
            </w:tcBorders>
          </w:tcPr>
          <w:p w14:paraId="57711B8F" w14:textId="77777777" w:rsidR="00873FC3" w:rsidRPr="00F65520" w:rsidRDefault="00873FC3" w:rsidP="00873FC3">
            <w:pPr>
              <w:tabs>
                <w:tab w:val="left" w:pos="284"/>
              </w:tabs>
              <w:spacing w:after="160" w:line="259" w:lineRule="auto"/>
              <w:jc w:val="both"/>
              <w:rPr>
                <w:rFonts w:ascii="Times New Roman" w:hAnsi="Times New Roman"/>
                <w:sz w:val="22"/>
                <w:szCs w:val="22"/>
                <w:lang w:val="sr-Latn-ME"/>
              </w:rPr>
            </w:pPr>
          </w:p>
        </w:tc>
      </w:tr>
      <w:tr w:rsidR="00DC33B1" w:rsidRPr="00F65520" w14:paraId="60B6B9C5" w14:textId="77777777" w:rsidTr="00873FC3">
        <w:trPr>
          <w:trHeight w:val="379"/>
        </w:trPr>
        <w:tc>
          <w:tcPr>
            <w:tcW w:w="1413" w:type="pct"/>
            <w:tcBorders>
              <w:top w:val="single" w:sz="4" w:space="0" w:color="000000"/>
              <w:left w:val="single" w:sz="4" w:space="0" w:color="000000"/>
              <w:bottom w:val="single" w:sz="4" w:space="0" w:color="000000"/>
              <w:right w:val="single" w:sz="4" w:space="0" w:color="000000"/>
            </w:tcBorders>
          </w:tcPr>
          <w:p w14:paraId="5B30D1B1" w14:textId="77777777" w:rsidR="00873FC3" w:rsidRPr="00F65520" w:rsidRDefault="00873FC3" w:rsidP="00873FC3">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Srednja početna vrijednost</w:t>
            </w:r>
          </w:p>
        </w:tc>
        <w:tc>
          <w:tcPr>
            <w:tcW w:w="1284" w:type="pct"/>
            <w:tcBorders>
              <w:top w:val="single" w:sz="4" w:space="0" w:color="000000"/>
              <w:left w:val="single" w:sz="4" w:space="0" w:color="000000"/>
              <w:bottom w:val="single" w:sz="4" w:space="0" w:color="000000"/>
              <w:right w:val="single" w:sz="4" w:space="0" w:color="000000"/>
            </w:tcBorders>
          </w:tcPr>
          <w:p w14:paraId="7AE954A1"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1,660</w:t>
            </w:r>
          </w:p>
        </w:tc>
        <w:tc>
          <w:tcPr>
            <w:tcW w:w="810" w:type="pct"/>
            <w:tcBorders>
              <w:top w:val="single" w:sz="4" w:space="0" w:color="000000"/>
              <w:left w:val="single" w:sz="4" w:space="0" w:color="000000"/>
              <w:bottom w:val="single" w:sz="4" w:space="0" w:color="000000"/>
              <w:right w:val="single" w:sz="4" w:space="0" w:color="000000"/>
            </w:tcBorders>
          </w:tcPr>
          <w:p w14:paraId="6460A2D1"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1,654</w:t>
            </w:r>
          </w:p>
        </w:tc>
        <w:tc>
          <w:tcPr>
            <w:tcW w:w="652" w:type="pct"/>
            <w:tcBorders>
              <w:top w:val="single" w:sz="4" w:space="0" w:color="000000"/>
              <w:left w:val="single" w:sz="4" w:space="0" w:color="000000"/>
              <w:bottom w:val="single" w:sz="4" w:space="0" w:color="000000"/>
              <w:right w:val="single" w:sz="4" w:space="0" w:color="000000"/>
            </w:tcBorders>
          </w:tcPr>
          <w:p w14:paraId="6A530F5A"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1,758</w:t>
            </w:r>
          </w:p>
        </w:tc>
        <w:tc>
          <w:tcPr>
            <w:tcW w:w="842" w:type="pct"/>
            <w:tcBorders>
              <w:top w:val="single" w:sz="4" w:space="0" w:color="000000"/>
              <w:left w:val="single" w:sz="4" w:space="0" w:color="000000"/>
              <w:bottom w:val="single" w:sz="4" w:space="0" w:color="000000"/>
              <w:right w:val="single" w:sz="4" w:space="0" w:color="000000"/>
            </w:tcBorders>
          </w:tcPr>
          <w:p w14:paraId="0F80F153"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1,815</w:t>
            </w:r>
          </w:p>
        </w:tc>
      </w:tr>
      <w:tr w:rsidR="00DC33B1" w:rsidRPr="00F65520" w14:paraId="44B5AAD0" w14:textId="77777777" w:rsidTr="00873FC3">
        <w:trPr>
          <w:trHeight w:val="638"/>
        </w:trPr>
        <w:tc>
          <w:tcPr>
            <w:tcW w:w="1413" w:type="pct"/>
            <w:tcBorders>
              <w:top w:val="single" w:sz="4" w:space="0" w:color="000000"/>
              <w:left w:val="single" w:sz="4" w:space="0" w:color="000000"/>
              <w:bottom w:val="single" w:sz="4" w:space="0" w:color="000000"/>
              <w:right w:val="single" w:sz="4" w:space="0" w:color="000000"/>
            </w:tcBorders>
          </w:tcPr>
          <w:p w14:paraId="5D019262" w14:textId="77777777" w:rsidR="00873FC3" w:rsidRPr="00F65520" w:rsidRDefault="00873FC3" w:rsidP="00873FC3">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Poboljšanje od početne vrijednosti</w:t>
            </w:r>
          </w:p>
        </w:tc>
        <w:tc>
          <w:tcPr>
            <w:tcW w:w="1284" w:type="pct"/>
            <w:tcBorders>
              <w:top w:val="single" w:sz="4" w:space="0" w:color="000000"/>
              <w:left w:val="single" w:sz="4" w:space="0" w:color="000000"/>
              <w:bottom w:val="single" w:sz="4" w:space="0" w:color="000000"/>
              <w:right w:val="single" w:sz="4" w:space="0" w:color="000000"/>
            </w:tcBorders>
          </w:tcPr>
          <w:p w14:paraId="20598EF2"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0,398</w:t>
            </w:r>
          </w:p>
        </w:tc>
        <w:tc>
          <w:tcPr>
            <w:tcW w:w="810" w:type="pct"/>
            <w:tcBorders>
              <w:top w:val="single" w:sz="4" w:space="0" w:color="000000"/>
              <w:left w:val="single" w:sz="4" w:space="0" w:color="000000"/>
              <w:bottom w:val="single" w:sz="4" w:space="0" w:color="000000"/>
              <w:right w:val="single" w:sz="4" w:space="0" w:color="000000"/>
            </w:tcBorders>
          </w:tcPr>
          <w:p w14:paraId="26CDAF7C"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0,239</w:t>
            </w:r>
          </w:p>
        </w:tc>
        <w:tc>
          <w:tcPr>
            <w:tcW w:w="652" w:type="pct"/>
            <w:tcBorders>
              <w:top w:val="single" w:sz="4" w:space="0" w:color="000000"/>
              <w:left w:val="single" w:sz="4" w:space="0" w:color="000000"/>
              <w:bottom w:val="single" w:sz="4" w:space="0" w:color="000000"/>
              <w:right w:val="single" w:sz="4" w:space="0" w:color="000000"/>
            </w:tcBorders>
          </w:tcPr>
          <w:p w14:paraId="3BD1EC28"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0,330</w:t>
            </w:r>
          </w:p>
        </w:tc>
        <w:tc>
          <w:tcPr>
            <w:tcW w:w="842" w:type="pct"/>
            <w:tcBorders>
              <w:top w:val="single" w:sz="4" w:space="0" w:color="000000"/>
              <w:left w:val="single" w:sz="4" w:space="0" w:color="000000"/>
              <w:bottom w:val="single" w:sz="4" w:space="0" w:color="000000"/>
              <w:right w:val="single" w:sz="4" w:space="0" w:color="000000"/>
            </w:tcBorders>
          </w:tcPr>
          <w:p w14:paraId="7F5D98A3"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0,215</w:t>
            </w:r>
          </w:p>
        </w:tc>
      </w:tr>
      <w:tr w:rsidR="00DC33B1" w:rsidRPr="00F65520" w14:paraId="19974AD4" w14:textId="77777777" w:rsidTr="00873FC3">
        <w:trPr>
          <w:trHeight w:val="384"/>
        </w:trPr>
        <w:tc>
          <w:tcPr>
            <w:tcW w:w="1413" w:type="pct"/>
            <w:tcBorders>
              <w:top w:val="single" w:sz="4" w:space="0" w:color="000000"/>
              <w:left w:val="single" w:sz="4" w:space="0" w:color="000000"/>
              <w:bottom w:val="single" w:sz="4" w:space="0" w:color="000000"/>
              <w:right w:val="single" w:sz="4" w:space="0" w:color="000000"/>
            </w:tcBorders>
          </w:tcPr>
          <w:p w14:paraId="0866C24F" w14:textId="77777777" w:rsidR="00873FC3" w:rsidRPr="00F65520" w:rsidRDefault="00873FC3" w:rsidP="00873FC3">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Razlika (95% CI)</w:t>
            </w:r>
          </w:p>
        </w:tc>
        <w:tc>
          <w:tcPr>
            <w:tcW w:w="2094" w:type="pct"/>
            <w:gridSpan w:val="2"/>
            <w:tcBorders>
              <w:top w:val="single" w:sz="4" w:space="0" w:color="000000"/>
              <w:left w:val="single" w:sz="4" w:space="0" w:color="000000"/>
              <w:bottom w:val="single" w:sz="4" w:space="0" w:color="000000"/>
              <w:right w:val="single" w:sz="4" w:space="0" w:color="000000"/>
            </w:tcBorders>
          </w:tcPr>
          <w:p w14:paraId="693914E2"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0,159 (0,068; 0,249)</w:t>
            </w:r>
          </w:p>
        </w:tc>
        <w:tc>
          <w:tcPr>
            <w:tcW w:w="1493" w:type="pct"/>
            <w:gridSpan w:val="2"/>
            <w:tcBorders>
              <w:top w:val="single" w:sz="4" w:space="0" w:color="000000"/>
              <w:left w:val="single" w:sz="4" w:space="0" w:color="000000"/>
              <w:bottom w:val="single" w:sz="4" w:space="0" w:color="000000"/>
              <w:right w:val="single" w:sz="4" w:space="0" w:color="000000"/>
            </w:tcBorders>
          </w:tcPr>
          <w:p w14:paraId="4DE3072E"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0,116 (0,028; 0,204)</w:t>
            </w:r>
          </w:p>
        </w:tc>
      </w:tr>
      <w:tr w:rsidR="00DC33B1" w:rsidRPr="00F65520" w14:paraId="043D6317" w14:textId="77777777" w:rsidTr="00873FC3">
        <w:trPr>
          <w:trHeight w:val="379"/>
        </w:trPr>
        <w:tc>
          <w:tcPr>
            <w:tcW w:w="1413" w:type="pct"/>
            <w:tcBorders>
              <w:top w:val="single" w:sz="4" w:space="0" w:color="000000"/>
              <w:left w:val="single" w:sz="4" w:space="0" w:color="000000"/>
              <w:bottom w:val="single" w:sz="4" w:space="0" w:color="000000"/>
              <w:right w:val="single" w:sz="4" w:space="0" w:color="000000"/>
            </w:tcBorders>
          </w:tcPr>
          <w:p w14:paraId="5C1E55B2" w14:textId="77777777" w:rsidR="00873FC3" w:rsidRPr="00F65520" w:rsidRDefault="00873FC3" w:rsidP="00873FC3">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p-vrijednost</w:t>
            </w:r>
          </w:p>
        </w:tc>
        <w:tc>
          <w:tcPr>
            <w:tcW w:w="2094" w:type="pct"/>
            <w:gridSpan w:val="2"/>
            <w:tcBorders>
              <w:top w:val="single" w:sz="4" w:space="0" w:color="000000"/>
              <w:left w:val="single" w:sz="4" w:space="0" w:color="000000"/>
              <w:bottom w:val="single" w:sz="4" w:space="0" w:color="000000"/>
              <w:right w:val="single" w:sz="4" w:space="0" w:color="000000"/>
            </w:tcBorders>
          </w:tcPr>
          <w:p w14:paraId="12CA6DBA"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0,001</w:t>
            </w:r>
          </w:p>
        </w:tc>
        <w:tc>
          <w:tcPr>
            <w:tcW w:w="1493" w:type="pct"/>
            <w:gridSpan w:val="2"/>
            <w:tcBorders>
              <w:top w:val="single" w:sz="4" w:space="0" w:color="000000"/>
              <w:left w:val="single" w:sz="4" w:space="0" w:color="000000"/>
              <w:bottom w:val="single" w:sz="4" w:space="0" w:color="000000"/>
              <w:right w:val="single" w:sz="4" w:space="0" w:color="000000"/>
            </w:tcBorders>
          </w:tcPr>
          <w:p w14:paraId="7AE026CC"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0,010</w:t>
            </w:r>
          </w:p>
        </w:tc>
      </w:tr>
      <w:tr w:rsidR="00DC33B1" w:rsidRPr="00F65520" w14:paraId="74F8A1FE" w14:textId="77777777" w:rsidTr="00873FC3">
        <w:trPr>
          <w:trHeight w:val="638"/>
        </w:trPr>
        <w:tc>
          <w:tcPr>
            <w:tcW w:w="1413" w:type="pct"/>
            <w:tcBorders>
              <w:top w:val="single" w:sz="4" w:space="0" w:color="000000"/>
              <w:left w:val="single" w:sz="4" w:space="0" w:color="000000"/>
              <w:bottom w:val="single" w:sz="4" w:space="0" w:color="000000"/>
              <w:right w:val="single" w:sz="4" w:space="0" w:color="000000"/>
            </w:tcBorders>
          </w:tcPr>
          <w:p w14:paraId="420F09F3" w14:textId="77777777" w:rsidR="00873FC3" w:rsidRPr="00F65520" w:rsidRDefault="00873FC3" w:rsidP="00873FC3">
            <w:pPr>
              <w:tabs>
                <w:tab w:val="left" w:pos="284"/>
              </w:tabs>
              <w:spacing w:line="259" w:lineRule="auto"/>
              <w:jc w:val="both"/>
              <w:rPr>
                <w:rFonts w:ascii="Times New Roman" w:hAnsi="Times New Roman"/>
                <w:sz w:val="22"/>
                <w:szCs w:val="22"/>
                <w:lang w:val="sr-Latn-ME"/>
              </w:rPr>
            </w:pPr>
            <w:r w:rsidRPr="00F65520">
              <w:rPr>
                <w:rFonts w:ascii="Times New Roman" w:hAnsi="Times New Roman"/>
                <w:b/>
                <w:sz w:val="22"/>
                <w:szCs w:val="22"/>
                <w:lang w:val="sr-Latn-ME"/>
              </w:rPr>
              <w:t>Broj eozinofila u krvi</w:t>
            </w:r>
          </w:p>
          <w:p w14:paraId="55FD89A4" w14:textId="7270C16A" w:rsidR="00873FC3" w:rsidRPr="00F65520" w:rsidRDefault="00873FC3" w:rsidP="00873FC3">
            <w:pPr>
              <w:tabs>
                <w:tab w:val="left" w:pos="284"/>
              </w:tabs>
              <w:spacing w:line="259" w:lineRule="auto"/>
              <w:jc w:val="both"/>
              <w:rPr>
                <w:rFonts w:ascii="Times New Roman" w:hAnsi="Times New Roman"/>
                <w:sz w:val="22"/>
                <w:szCs w:val="22"/>
                <w:lang w:val="sr-Latn-ME"/>
              </w:rPr>
            </w:pPr>
            <w:r w:rsidRPr="00F65520">
              <w:rPr>
                <w:rFonts w:ascii="Times New Roman" w:hAnsi="Times New Roman"/>
                <w:b/>
                <w:sz w:val="22"/>
                <w:szCs w:val="22"/>
                <w:lang w:val="sr-Latn-ME"/>
              </w:rPr>
              <w:t>&lt; 300 ćelija/µl</w:t>
            </w:r>
            <w:r w:rsidRPr="00F65520">
              <w:rPr>
                <w:rFonts w:ascii="Times New Roman" w:hAnsi="Times New Roman"/>
                <w:b/>
                <w:sz w:val="22"/>
                <w:szCs w:val="22"/>
                <w:vertAlign w:val="superscript"/>
                <w:lang w:val="sr-Latn-ME"/>
              </w:rPr>
              <w:t>b</w:t>
            </w:r>
          </w:p>
        </w:tc>
        <w:tc>
          <w:tcPr>
            <w:tcW w:w="1284" w:type="pct"/>
            <w:tcBorders>
              <w:top w:val="single" w:sz="4" w:space="0" w:color="000000"/>
              <w:left w:val="single" w:sz="4" w:space="0" w:color="000000"/>
              <w:bottom w:val="single" w:sz="4" w:space="0" w:color="000000"/>
              <w:right w:val="single" w:sz="4" w:space="0" w:color="000000"/>
            </w:tcBorders>
          </w:tcPr>
          <w:p w14:paraId="7A9634A9"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n = 131</w:t>
            </w:r>
          </w:p>
        </w:tc>
        <w:tc>
          <w:tcPr>
            <w:tcW w:w="810" w:type="pct"/>
            <w:tcBorders>
              <w:top w:val="single" w:sz="4" w:space="0" w:color="000000"/>
              <w:left w:val="single" w:sz="4" w:space="0" w:color="000000"/>
              <w:bottom w:val="single" w:sz="4" w:space="0" w:color="000000"/>
              <w:right w:val="single" w:sz="4" w:space="0" w:color="000000"/>
            </w:tcBorders>
          </w:tcPr>
          <w:p w14:paraId="6F6F40A9"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n = 140</w:t>
            </w:r>
          </w:p>
        </w:tc>
        <w:tc>
          <w:tcPr>
            <w:tcW w:w="652" w:type="pct"/>
            <w:tcBorders>
              <w:top w:val="single" w:sz="4" w:space="0" w:color="000000"/>
              <w:left w:val="single" w:sz="4" w:space="0" w:color="000000"/>
              <w:bottom w:val="single" w:sz="4" w:space="0" w:color="000000"/>
              <w:right w:val="single" w:sz="4" w:space="0" w:color="000000"/>
            </w:tcBorders>
          </w:tcPr>
          <w:p w14:paraId="1A108A9C"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n = 125</w:t>
            </w:r>
          </w:p>
        </w:tc>
        <w:tc>
          <w:tcPr>
            <w:tcW w:w="842" w:type="pct"/>
            <w:tcBorders>
              <w:top w:val="single" w:sz="4" w:space="0" w:color="000000"/>
              <w:left w:val="single" w:sz="4" w:space="0" w:color="000000"/>
              <w:bottom w:val="single" w:sz="4" w:space="0" w:color="000000"/>
              <w:right w:val="single" w:sz="4" w:space="0" w:color="000000"/>
            </w:tcBorders>
          </w:tcPr>
          <w:p w14:paraId="07A235DA"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n = 122</w:t>
            </w:r>
          </w:p>
        </w:tc>
      </w:tr>
      <w:tr w:rsidR="00DC33B1" w:rsidRPr="00F65520" w14:paraId="6CCB501D" w14:textId="77777777" w:rsidTr="00873FC3">
        <w:trPr>
          <w:trHeight w:val="384"/>
        </w:trPr>
        <w:tc>
          <w:tcPr>
            <w:tcW w:w="3507" w:type="pct"/>
            <w:gridSpan w:val="3"/>
            <w:tcBorders>
              <w:top w:val="single" w:sz="4" w:space="0" w:color="000000"/>
              <w:left w:val="single" w:sz="4" w:space="0" w:color="000000"/>
              <w:bottom w:val="single" w:sz="4" w:space="0" w:color="000000"/>
              <w:right w:val="nil"/>
            </w:tcBorders>
          </w:tcPr>
          <w:p w14:paraId="016B7727" w14:textId="77777777" w:rsidR="00873FC3" w:rsidRPr="00F65520" w:rsidRDefault="00873FC3" w:rsidP="00873FC3">
            <w:pPr>
              <w:tabs>
                <w:tab w:val="left" w:pos="284"/>
              </w:tabs>
              <w:spacing w:line="259" w:lineRule="auto"/>
              <w:jc w:val="both"/>
              <w:rPr>
                <w:rFonts w:ascii="Times New Roman" w:hAnsi="Times New Roman"/>
                <w:sz w:val="22"/>
                <w:szCs w:val="22"/>
                <w:lang w:val="sr-Latn-ME"/>
              </w:rPr>
            </w:pPr>
            <w:r w:rsidRPr="00F65520">
              <w:rPr>
                <w:rFonts w:ascii="Times New Roman" w:hAnsi="Times New Roman"/>
                <w:b/>
                <w:sz w:val="22"/>
                <w:szCs w:val="22"/>
                <w:lang w:val="sr-Latn-ME"/>
              </w:rPr>
              <w:t>Klinički značajne egzacerbacije</w:t>
            </w:r>
          </w:p>
        </w:tc>
        <w:tc>
          <w:tcPr>
            <w:tcW w:w="1493" w:type="pct"/>
            <w:gridSpan w:val="2"/>
            <w:tcBorders>
              <w:top w:val="single" w:sz="4" w:space="0" w:color="000000"/>
              <w:left w:val="nil"/>
              <w:bottom w:val="single" w:sz="4" w:space="0" w:color="000000"/>
              <w:right w:val="single" w:sz="4" w:space="0" w:color="000000"/>
            </w:tcBorders>
          </w:tcPr>
          <w:p w14:paraId="12C6B99C" w14:textId="77777777" w:rsidR="00873FC3" w:rsidRPr="00F65520" w:rsidRDefault="00873FC3" w:rsidP="00873FC3">
            <w:pPr>
              <w:tabs>
                <w:tab w:val="left" w:pos="284"/>
              </w:tabs>
              <w:spacing w:after="160" w:line="259" w:lineRule="auto"/>
              <w:jc w:val="both"/>
              <w:rPr>
                <w:rFonts w:ascii="Times New Roman" w:hAnsi="Times New Roman"/>
                <w:sz w:val="22"/>
                <w:szCs w:val="22"/>
                <w:lang w:val="sr-Latn-ME"/>
              </w:rPr>
            </w:pPr>
          </w:p>
        </w:tc>
      </w:tr>
      <w:tr w:rsidR="00DC33B1" w:rsidRPr="00F65520" w14:paraId="69A63C83" w14:textId="77777777" w:rsidTr="00873FC3">
        <w:trPr>
          <w:trHeight w:val="384"/>
        </w:trPr>
        <w:tc>
          <w:tcPr>
            <w:tcW w:w="1413" w:type="pct"/>
            <w:tcBorders>
              <w:top w:val="single" w:sz="4" w:space="0" w:color="000000"/>
              <w:left w:val="single" w:sz="4" w:space="0" w:color="000000"/>
              <w:bottom w:val="single" w:sz="4" w:space="0" w:color="000000"/>
              <w:right w:val="single" w:sz="4" w:space="0" w:color="000000"/>
            </w:tcBorders>
          </w:tcPr>
          <w:p w14:paraId="4ECD67F3" w14:textId="77777777" w:rsidR="00873FC3" w:rsidRPr="00F65520" w:rsidRDefault="00873FC3" w:rsidP="00873FC3">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Stopa</w:t>
            </w:r>
          </w:p>
        </w:tc>
        <w:tc>
          <w:tcPr>
            <w:tcW w:w="1284" w:type="pct"/>
            <w:tcBorders>
              <w:top w:val="single" w:sz="4" w:space="0" w:color="000000"/>
              <w:left w:val="single" w:sz="4" w:space="0" w:color="000000"/>
              <w:bottom w:val="single" w:sz="4" w:space="0" w:color="000000"/>
              <w:right w:val="single" w:sz="4" w:space="0" w:color="000000"/>
            </w:tcBorders>
          </w:tcPr>
          <w:p w14:paraId="3919BDCE"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1,11</w:t>
            </w:r>
          </w:p>
        </w:tc>
        <w:tc>
          <w:tcPr>
            <w:tcW w:w="810" w:type="pct"/>
            <w:tcBorders>
              <w:top w:val="single" w:sz="4" w:space="0" w:color="000000"/>
              <w:left w:val="single" w:sz="4" w:space="0" w:color="000000"/>
              <w:bottom w:val="single" w:sz="4" w:space="0" w:color="000000"/>
              <w:right w:val="single" w:sz="4" w:space="0" w:color="000000"/>
            </w:tcBorders>
          </w:tcPr>
          <w:p w14:paraId="2B934A39"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1,34</w:t>
            </w:r>
          </w:p>
        </w:tc>
        <w:tc>
          <w:tcPr>
            <w:tcW w:w="652" w:type="pct"/>
            <w:tcBorders>
              <w:top w:val="single" w:sz="4" w:space="0" w:color="000000"/>
              <w:left w:val="single" w:sz="4" w:space="0" w:color="000000"/>
              <w:bottom w:val="single" w:sz="4" w:space="0" w:color="000000"/>
              <w:right w:val="single" w:sz="4" w:space="0" w:color="000000"/>
            </w:tcBorders>
          </w:tcPr>
          <w:p w14:paraId="4C934400"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0,83</w:t>
            </w:r>
          </w:p>
        </w:tc>
        <w:tc>
          <w:tcPr>
            <w:tcW w:w="842" w:type="pct"/>
            <w:tcBorders>
              <w:top w:val="single" w:sz="4" w:space="0" w:color="000000"/>
              <w:left w:val="single" w:sz="4" w:space="0" w:color="000000"/>
              <w:bottom w:val="single" w:sz="4" w:space="0" w:color="000000"/>
              <w:right w:val="single" w:sz="4" w:space="0" w:color="000000"/>
            </w:tcBorders>
          </w:tcPr>
          <w:p w14:paraId="48A47EEE"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1,38</w:t>
            </w:r>
          </w:p>
        </w:tc>
      </w:tr>
      <w:tr w:rsidR="00DC33B1" w:rsidRPr="00F65520" w14:paraId="2D8126AB" w14:textId="77777777" w:rsidTr="00873FC3">
        <w:trPr>
          <w:trHeight w:val="379"/>
        </w:trPr>
        <w:tc>
          <w:tcPr>
            <w:tcW w:w="1413" w:type="pct"/>
            <w:tcBorders>
              <w:top w:val="single" w:sz="4" w:space="0" w:color="000000"/>
              <w:left w:val="single" w:sz="4" w:space="0" w:color="000000"/>
              <w:bottom w:val="single" w:sz="4" w:space="0" w:color="000000"/>
              <w:right w:val="single" w:sz="4" w:space="0" w:color="000000"/>
            </w:tcBorders>
          </w:tcPr>
          <w:p w14:paraId="296C5571" w14:textId="77777777" w:rsidR="00873FC3" w:rsidRPr="00F65520" w:rsidRDefault="00873FC3" w:rsidP="00873FC3">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Razlika</w:t>
            </w:r>
          </w:p>
        </w:tc>
        <w:tc>
          <w:tcPr>
            <w:tcW w:w="2094" w:type="pct"/>
            <w:gridSpan w:val="2"/>
            <w:tcBorders>
              <w:top w:val="single" w:sz="4" w:space="0" w:color="000000"/>
              <w:left w:val="single" w:sz="4" w:space="0" w:color="000000"/>
              <w:bottom w:val="single" w:sz="4" w:space="0" w:color="000000"/>
              <w:right w:val="single" w:sz="4" w:space="0" w:color="000000"/>
            </w:tcBorders>
          </w:tcPr>
          <w:p w14:paraId="3C16A073"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 xml:space="preserve">-0,23 </w:t>
            </w:r>
          </w:p>
        </w:tc>
        <w:tc>
          <w:tcPr>
            <w:tcW w:w="1493" w:type="pct"/>
            <w:gridSpan w:val="2"/>
            <w:tcBorders>
              <w:top w:val="single" w:sz="4" w:space="0" w:color="000000"/>
              <w:left w:val="single" w:sz="4" w:space="0" w:color="000000"/>
              <w:bottom w:val="single" w:sz="4" w:space="0" w:color="000000"/>
              <w:right w:val="single" w:sz="4" w:space="0" w:color="000000"/>
            </w:tcBorders>
          </w:tcPr>
          <w:p w14:paraId="4B1631CB"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 xml:space="preserve">-0,55 </w:t>
            </w:r>
          </w:p>
        </w:tc>
      </w:tr>
      <w:tr w:rsidR="00DC33B1" w:rsidRPr="00F65520" w14:paraId="53504C0C" w14:textId="77777777" w:rsidTr="00873FC3">
        <w:trPr>
          <w:trHeight w:val="384"/>
        </w:trPr>
        <w:tc>
          <w:tcPr>
            <w:tcW w:w="1413" w:type="pct"/>
            <w:tcBorders>
              <w:top w:val="single" w:sz="4" w:space="0" w:color="000000"/>
              <w:left w:val="single" w:sz="4" w:space="0" w:color="000000"/>
              <w:bottom w:val="single" w:sz="4" w:space="0" w:color="000000"/>
              <w:right w:val="single" w:sz="4" w:space="0" w:color="000000"/>
            </w:tcBorders>
          </w:tcPr>
          <w:p w14:paraId="4EB53381" w14:textId="77777777" w:rsidR="00873FC3" w:rsidRPr="00F65520" w:rsidRDefault="00873FC3" w:rsidP="00873FC3">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Odnos stopa (95% CI)</w:t>
            </w:r>
          </w:p>
        </w:tc>
        <w:tc>
          <w:tcPr>
            <w:tcW w:w="2094" w:type="pct"/>
            <w:gridSpan w:val="2"/>
            <w:tcBorders>
              <w:top w:val="single" w:sz="4" w:space="0" w:color="000000"/>
              <w:left w:val="single" w:sz="4" w:space="0" w:color="000000"/>
              <w:bottom w:val="single" w:sz="4" w:space="0" w:color="000000"/>
              <w:right w:val="single" w:sz="4" w:space="0" w:color="000000"/>
            </w:tcBorders>
          </w:tcPr>
          <w:p w14:paraId="1885BD59"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0,83 (0,59; 1,16)</w:t>
            </w:r>
          </w:p>
        </w:tc>
        <w:tc>
          <w:tcPr>
            <w:tcW w:w="1493" w:type="pct"/>
            <w:gridSpan w:val="2"/>
            <w:tcBorders>
              <w:top w:val="single" w:sz="4" w:space="0" w:color="000000"/>
              <w:left w:val="single" w:sz="4" w:space="0" w:color="000000"/>
              <w:bottom w:val="single" w:sz="4" w:space="0" w:color="000000"/>
              <w:right w:val="single" w:sz="4" w:space="0" w:color="000000"/>
            </w:tcBorders>
          </w:tcPr>
          <w:p w14:paraId="5DBDBEDF"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0,60 (0,42; 0,86)</w:t>
            </w:r>
          </w:p>
        </w:tc>
      </w:tr>
      <w:tr w:rsidR="00DC33B1" w:rsidRPr="00F65520" w14:paraId="4FAC051A" w14:textId="77777777" w:rsidTr="00873FC3">
        <w:trPr>
          <w:trHeight w:val="384"/>
        </w:trPr>
        <w:tc>
          <w:tcPr>
            <w:tcW w:w="3507" w:type="pct"/>
            <w:gridSpan w:val="3"/>
            <w:tcBorders>
              <w:top w:val="single" w:sz="4" w:space="0" w:color="000000"/>
              <w:left w:val="single" w:sz="4" w:space="0" w:color="000000"/>
              <w:bottom w:val="single" w:sz="4" w:space="0" w:color="000000"/>
              <w:right w:val="nil"/>
            </w:tcBorders>
          </w:tcPr>
          <w:p w14:paraId="4A825CCC" w14:textId="6AB8FE49" w:rsidR="00873FC3" w:rsidRPr="00F65520" w:rsidRDefault="00873FC3" w:rsidP="00873FC3">
            <w:pPr>
              <w:tabs>
                <w:tab w:val="left" w:pos="284"/>
              </w:tabs>
              <w:spacing w:line="259" w:lineRule="auto"/>
              <w:jc w:val="both"/>
              <w:rPr>
                <w:rFonts w:ascii="Times New Roman" w:hAnsi="Times New Roman"/>
                <w:sz w:val="22"/>
                <w:szCs w:val="22"/>
                <w:lang w:val="sr-Latn-ME"/>
              </w:rPr>
            </w:pPr>
            <w:r w:rsidRPr="00F65520">
              <w:rPr>
                <w:rFonts w:ascii="Times New Roman" w:hAnsi="Times New Roman"/>
                <w:b/>
                <w:sz w:val="22"/>
                <w:szCs w:val="22"/>
                <w:lang w:val="sr-Latn-ME"/>
              </w:rPr>
              <w:t>FEV</w:t>
            </w:r>
            <w:r w:rsidRPr="00F65520">
              <w:rPr>
                <w:rFonts w:ascii="Times New Roman" w:hAnsi="Times New Roman"/>
                <w:b/>
                <w:sz w:val="22"/>
                <w:szCs w:val="22"/>
                <w:vertAlign w:val="subscript"/>
                <w:lang w:val="sr-Latn-ME"/>
              </w:rPr>
              <w:t xml:space="preserve">1 </w:t>
            </w:r>
            <w:r w:rsidRPr="00F65520">
              <w:rPr>
                <w:rFonts w:ascii="Times New Roman" w:hAnsi="Times New Roman"/>
                <w:b/>
                <w:sz w:val="22"/>
                <w:szCs w:val="22"/>
                <w:lang w:val="sr-Latn-ME"/>
              </w:rPr>
              <w:t>prije primjene bronhodilatatora (l)</w:t>
            </w:r>
          </w:p>
        </w:tc>
        <w:tc>
          <w:tcPr>
            <w:tcW w:w="1493" w:type="pct"/>
            <w:gridSpan w:val="2"/>
            <w:tcBorders>
              <w:top w:val="single" w:sz="4" w:space="0" w:color="000000"/>
              <w:left w:val="nil"/>
              <w:bottom w:val="single" w:sz="4" w:space="0" w:color="000000"/>
              <w:right w:val="single" w:sz="4" w:space="0" w:color="000000"/>
            </w:tcBorders>
          </w:tcPr>
          <w:p w14:paraId="062EE24B" w14:textId="77777777" w:rsidR="00873FC3" w:rsidRPr="00F65520" w:rsidRDefault="00873FC3" w:rsidP="00873FC3">
            <w:pPr>
              <w:tabs>
                <w:tab w:val="left" w:pos="284"/>
              </w:tabs>
              <w:spacing w:after="160" w:line="259" w:lineRule="auto"/>
              <w:jc w:val="both"/>
              <w:rPr>
                <w:rFonts w:ascii="Times New Roman" w:hAnsi="Times New Roman"/>
                <w:sz w:val="22"/>
                <w:szCs w:val="22"/>
                <w:lang w:val="sr-Latn-ME"/>
              </w:rPr>
            </w:pPr>
          </w:p>
        </w:tc>
      </w:tr>
      <w:tr w:rsidR="00DC33B1" w:rsidRPr="00F65520" w14:paraId="7E9A660E" w14:textId="77777777" w:rsidTr="00873FC3">
        <w:trPr>
          <w:trHeight w:val="384"/>
        </w:trPr>
        <w:tc>
          <w:tcPr>
            <w:tcW w:w="1413" w:type="pct"/>
            <w:tcBorders>
              <w:top w:val="single" w:sz="4" w:space="0" w:color="000000"/>
              <w:left w:val="single" w:sz="4" w:space="0" w:color="000000"/>
              <w:bottom w:val="single" w:sz="4" w:space="0" w:color="000000"/>
              <w:right w:val="single" w:sz="4" w:space="0" w:color="000000"/>
            </w:tcBorders>
          </w:tcPr>
          <w:p w14:paraId="154C9695" w14:textId="77777777" w:rsidR="00873FC3" w:rsidRPr="00F65520" w:rsidRDefault="00873FC3" w:rsidP="00873FC3">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Srednja vrijednost promjene</w:t>
            </w:r>
          </w:p>
        </w:tc>
        <w:tc>
          <w:tcPr>
            <w:tcW w:w="2094" w:type="pct"/>
            <w:gridSpan w:val="2"/>
            <w:tcBorders>
              <w:top w:val="single" w:sz="4" w:space="0" w:color="000000"/>
              <w:left w:val="single" w:sz="4" w:space="0" w:color="000000"/>
              <w:bottom w:val="single" w:sz="4" w:space="0" w:color="000000"/>
              <w:right w:val="single" w:sz="4" w:space="0" w:color="000000"/>
            </w:tcBorders>
          </w:tcPr>
          <w:p w14:paraId="36398754" w14:textId="77777777" w:rsidR="00873FC3" w:rsidRPr="00F65520" w:rsidRDefault="00873FC3" w:rsidP="00873FC3">
            <w:pPr>
              <w:tabs>
                <w:tab w:val="left" w:pos="284"/>
                <w:tab w:val="center" w:pos="600"/>
                <w:tab w:val="center" w:pos="1306"/>
                <w:tab w:val="center" w:pos="2160"/>
              </w:tabs>
              <w:spacing w:line="259" w:lineRule="auto"/>
              <w:jc w:val="both"/>
              <w:rPr>
                <w:rFonts w:ascii="Times New Roman" w:hAnsi="Times New Roman"/>
                <w:sz w:val="22"/>
                <w:szCs w:val="22"/>
                <w:lang w:val="sr-Latn-ME"/>
              </w:rPr>
            </w:pPr>
            <w:r w:rsidRPr="00F65520">
              <w:rPr>
                <w:rFonts w:ascii="Times New Roman" w:eastAsia="Calibri" w:hAnsi="Times New Roman"/>
                <w:sz w:val="22"/>
                <w:szCs w:val="22"/>
                <w:lang w:val="sr-Latn-ME"/>
              </w:rPr>
              <w:tab/>
            </w:r>
            <w:r w:rsidRPr="00F65520">
              <w:rPr>
                <w:rFonts w:ascii="Times New Roman" w:hAnsi="Times New Roman"/>
                <w:sz w:val="22"/>
                <w:szCs w:val="22"/>
                <w:lang w:val="sr-Latn-ME"/>
              </w:rPr>
              <w:t>0,248</w:t>
            </w:r>
            <w:r w:rsidRPr="00F65520">
              <w:rPr>
                <w:rFonts w:ascii="Times New Roman" w:hAnsi="Times New Roman"/>
                <w:sz w:val="22"/>
                <w:szCs w:val="22"/>
                <w:lang w:val="sr-Latn-ME"/>
              </w:rPr>
              <w:tab/>
            </w:r>
            <w:r w:rsidRPr="00F65520">
              <w:rPr>
                <w:noProof/>
                <w:sz w:val="22"/>
                <w:szCs w:val="22"/>
              </w:rPr>
              <mc:AlternateContent>
                <mc:Choice Requires="wpg">
                  <w:drawing>
                    <wp:inline distT="0" distB="0" distL="0" distR="0" wp14:anchorId="6F17D1A1" wp14:editId="7FD1EF7E">
                      <wp:extent cx="6350" cy="237490"/>
                      <wp:effectExtent l="0" t="0" r="5080" b="63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37490"/>
                                <a:chOff x="0" y="0"/>
                                <a:chExt cx="6096" cy="237744"/>
                              </a:xfrm>
                            </wpg:grpSpPr>
                            <wps:wsp>
                              <wps:cNvPr id="11" name="Shape 46103"/>
                              <wps:cNvSpPr>
                                <a:spLocks/>
                              </wps:cNvSpPr>
                              <wps:spPr bwMode="auto">
                                <a:xfrm>
                                  <a:off x="0" y="0"/>
                                  <a:ext cx="9144" cy="237744"/>
                                </a:xfrm>
                                <a:custGeom>
                                  <a:avLst/>
                                  <a:gdLst>
                                    <a:gd name="T0" fmla="*/ 0 w 9144"/>
                                    <a:gd name="T1" fmla="*/ 0 h 237744"/>
                                    <a:gd name="T2" fmla="*/ 9144 w 9144"/>
                                    <a:gd name="T3" fmla="*/ 0 h 237744"/>
                                    <a:gd name="T4" fmla="*/ 9144 w 9144"/>
                                    <a:gd name="T5" fmla="*/ 237744 h 237744"/>
                                    <a:gd name="T6" fmla="*/ 0 w 9144"/>
                                    <a:gd name="T7" fmla="*/ 237744 h 237744"/>
                                    <a:gd name="T8" fmla="*/ 0 w 9144"/>
                                    <a:gd name="T9" fmla="*/ 0 h 237744"/>
                                    <a:gd name="T10" fmla="*/ 0 w 9144"/>
                                    <a:gd name="T11" fmla="*/ 0 h 237744"/>
                                    <a:gd name="T12" fmla="*/ 9144 w 9144"/>
                                    <a:gd name="T13" fmla="*/ 237744 h 237744"/>
                                  </a:gdLst>
                                  <a:ahLst/>
                                  <a:cxnLst>
                                    <a:cxn ang="0">
                                      <a:pos x="T0" y="T1"/>
                                    </a:cxn>
                                    <a:cxn ang="0">
                                      <a:pos x="T2" y="T3"/>
                                    </a:cxn>
                                    <a:cxn ang="0">
                                      <a:pos x="T4" y="T5"/>
                                    </a:cxn>
                                    <a:cxn ang="0">
                                      <a:pos x="T6" y="T7"/>
                                    </a:cxn>
                                    <a:cxn ang="0">
                                      <a:pos x="T8" y="T9"/>
                                    </a:cxn>
                                  </a:cxnLst>
                                  <a:rect l="T10" t="T11" r="T12" b="T13"/>
                                  <a:pathLst>
                                    <a:path w="9144" h="237744">
                                      <a:moveTo>
                                        <a:pt x="0" y="0"/>
                                      </a:moveTo>
                                      <a:lnTo>
                                        <a:pt x="9144" y="0"/>
                                      </a:lnTo>
                                      <a:lnTo>
                                        <a:pt x="9144" y="237744"/>
                                      </a:lnTo>
                                      <a:lnTo>
                                        <a:pt x="0" y="2377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F62284" id="Group 10" o:spid="_x0000_s1026" style="width:.5pt;height:18.7pt;mso-position-horizontal-relative:char;mso-position-vertical-relative:line" coordsize="6096,237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">
                      <v:shape id="Shape 46103" o:spid="_x0000_s1027" style="position:absolute;width:9144;height:237744;visibility:visible;mso-wrap-style:square;v-text-anchor:top" coordsize="9144,23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" path="m,l9144,r,237744l,237744,,e" fillcolor="black" stroked="f" strokeweight="0">
                        <v:stroke miterlimit="83231f" joinstyle="miter"/>
                        <v:path arrowok="t" o:connecttype="custom" o:connectlocs="0,0;9144,0;9144,237744;0,237744;0,0" o:connectangles="0,0,0,0,0" textboxrect="0,0,9144,237744"/>
                      </v:shape>
                      <w10:anchorlock/>
                    </v:group>
                  </w:pict>
                </mc:Fallback>
              </mc:AlternateContent>
            </w:r>
            <w:r w:rsidRPr="00F65520">
              <w:rPr>
                <w:rFonts w:ascii="Times New Roman" w:hAnsi="Times New Roman"/>
                <w:sz w:val="22"/>
                <w:szCs w:val="22"/>
                <w:lang w:val="sr-Latn-ME"/>
              </w:rPr>
              <w:tab/>
              <w:t>0,145</w:t>
            </w:r>
          </w:p>
        </w:tc>
        <w:tc>
          <w:tcPr>
            <w:tcW w:w="1493" w:type="pct"/>
            <w:gridSpan w:val="2"/>
            <w:tcBorders>
              <w:top w:val="single" w:sz="4" w:space="0" w:color="000000"/>
              <w:left w:val="single" w:sz="4" w:space="0" w:color="000000"/>
              <w:bottom w:val="single" w:sz="4" w:space="0" w:color="000000"/>
              <w:right w:val="single" w:sz="4" w:space="0" w:color="000000"/>
            </w:tcBorders>
          </w:tcPr>
          <w:p w14:paraId="58097A01" w14:textId="77777777" w:rsidR="00873FC3" w:rsidRPr="00F65520" w:rsidRDefault="00873FC3" w:rsidP="00873FC3">
            <w:pPr>
              <w:tabs>
                <w:tab w:val="left" w:pos="284"/>
                <w:tab w:val="center" w:pos="600"/>
                <w:tab w:val="center" w:pos="1306"/>
                <w:tab w:val="center" w:pos="2194"/>
              </w:tabs>
              <w:spacing w:line="259" w:lineRule="auto"/>
              <w:jc w:val="both"/>
              <w:rPr>
                <w:rFonts w:ascii="Times New Roman" w:hAnsi="Times New Roman"/>
                <w:sz w:val="22"/>
                <w:szCs w:val="22"/>
                <w:lang w:val="sr-Latn-ME"/>
              </w:rPr>
            </w:pPr>
            <w:r w:rsidRPr="00F65520">
              <w:rPr>
                <w:rFonts w:ascii="Times New Roman" w:eastAsia="Calibri" w:hAnsi="Times New Roman"/>
                <w:sz w:val="22"/>
                <w:szCs w:val="22"/>
                <w:lang w:val="sr-Latn-ME"/>
              </w:rPr>
              <w:tab/>
            </w:r>
            <w:r w:rsidRPr="00F65520">
              <w:rPr>
                <w:rFonts w:ascii="Times New Roman" w:hAnsi="Times New Roman"/>
                <w:sz w:val="22"/>
                <w:szCs w:val="22"/>
                <w:lang w:val="sr-Latn-ME"/>
              </w:rPr>
              <w:t>0,140</w:t>
            </w:r>
            <w:r w:rsidRPr="00F65520">
              <w:rPr>
                <w:rFonts w:ascii="Times New Roman" w:hAnsi="Times New Roman"/>
                <w:sz w:val="22"/>
                <w:szCs w:val="22"/>
                <w:lang w:val="sr-Latn-ME"/>
              </w:rPr>
              <w:tab/>
            </w:r>
            <w:r w:rsidRPr="00F65520">
              <w:rPr>
                <w:noProof/>
                <w:sz w:val="22"/>
                <w:szCs w:val="22"/>
              </w:rPr>
              <mc:AlternateContent>
                <mc:Choice Requires="wpg">
                  <w:drawing>
                    <wp:inline distT="0" distB="0" distL="0" distR="0" wp14:anchorId="33DDA518" wp14:editId="591347FC">
                      <wp:extent cx="6350" cy="237490"/>
                      <wp:effectExtent l="0" t="0" r="5080" b="63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37490"/>
                                <a:chOff x="0" y="0"/>
                                <a:chExt cx="6096" cy="237744"/>
                              </a:xfrm>
                            </wpg:grpSpPr>
                            <wps:wsp>
                              <wps:cNvPr id="9" name="Shape 46105"/>
                              <wps:cNvSpPr>
                                <a:spLocks/>
                              </wps:cNvSpPr>
                              <wps:spPr bwMode="auto">
                                <a:xfrm>
                                  <a:off x="0" y="0"/>
                                  <a:ext cx="9144" cy="237744"/>
                                </a:xfrm>
                                <a:custGeom>
                                  <a:avLst/>
                                  <a:gdLst>
                                    <a:gd name="T0" fmla="*/ 0 w 9144"/>
                                    <a:gd name="T1" fmla="*/ 0 h 237744"/>
                                    <a:gd name="T2" fmla="*/ 9144 w 9144"/>
                                    <a:gd name="T3" fmla="*/ 0 h 237744"/>
                                    <a:gd name="T4" fmla="*/ 9144 w 9144"/>
                                    <a:gd name="T5" fmla="*/ 237744 h 237744"/>
                                    <a:gd name="T6" fmla="*/ 0 w 9144"/>
                                    <a:gd name="T7" fmla="*/ 237744 h 237744"/>
                                    <a:gd name="T8" fmla="*/ 0 w 9144"/>
                                    <a:gd name="T9" fmla="*/ 0 h 237744"/>
                                    <a:gd name="T10" fmla="*/ 0 w 9144"/>
                                    <a:gd name="T11" fmla="*/ 0 h 237744"/>
                                    <a:gd name="T12" fmla="*/ 9144 w 9144"/>
                                    <a:gd name="T13" fmla="*/ 237744 h 237744"/>
                                  </a:gdLst>
                                  <a:ahLst/>
                                  <a:cxnLst>
                                    <a:cxn ang="0">
                                      <a:pos x="T0" y="T1"/>
                                    </a:cxn>
                                    <a:cxn ang="0">
                                      <a:pos x="T2" y="T3"/>
                                    </a:cxn>
                                    <a:cxn ang="0">
                                      <a:pos x="T4" y="T5"/>
                                    </a:cxn>
                                    <a:cxn ang="0">
                                      <a:pos x="T6" y="T7"/>
                                    </a:cxn>
                                    <a:cxn ang="0">
                                      <a:pos x="T8" y="T9"/>
                                    </a:cxn>
                                  </a:cxnLst>
                                  <a:rect l="T10" t="T11" r="T12" b="T13"/>
                                  <a:pathLst>
                                    <a:path w="9144" h="237744">
                                      <a:moveTo>
                                        <a:pt x="0" y="0"/>
                                      </a:moveTo>
                                      <a:lnTo>
                                        <a:pt x="9144" y="0"/>
                                      </a:lnTo>
                                      <a:lnTo>
                                        <a:pt x="9144" y="237744"/>
                                      </a:lnTo>
                                      <a:lnTo>
                                        <a:pt x="0" y="2377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67A52E3" id="Group 8" o:spid="_x0000_s1026" style="width:.5pt;height:18.7pt;mso-position-horizontal-relative:char;mso-position-vertical-relative:line" coordsize="6096,237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">
                      <v:shape id="Shape 46105" o:spid="_x0000_s1027" style="position:absolute;width:9144;height:237744;visibility:visible;mso-wrap-style:square;v-text-anchor:top" coordsize="9144,23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" path="m,l9144,r,237744l,237744,,e" fillcolor="black" stroked="f" strokeweight="0">
                        <v:stroke miterlimit="83231f" joinstyle="miter"/>
                        <v:path arrowok="t" o:connecttype="custom" o:connectlocs="0,0;9144,0;9144,237744;0,237744;0,0" o:connectangles="0,0,0,0,0" textboxrect="0,0,9144,237744"/>
                      </v:shape>
                      <w10:anchorlock/>
                    </v:group>
                  </w:pict>
                </mc:Fallback>
              </mc:AlternateContent>
            </w:r>
            <w:r w:rsidRPr="00F65520">
              <w:rPr>
                <w:rFonts w:ascii="Times New Roman" w:hAnsi="Times New Roman"/>
                <w:sz w:val="22"/>
                <w:szCs w:val="22"/>
                <w:lang w:val="sr-Latn-ME"/>
              </w:rPr>
              <w:tab/>
              <w:t>0,156</w:t>
            </w:r>
          </w:p>
        </w:tc>
      </w:tr>
      <w:tr w:rsidR="00DC33B1" w:rsidRPr="00F65520" w14:paraId="1EA9B1D4" w14:textId="77777777" w:rsidTr="00873FC3">
        <w:trPr>
          <w:trHeight w:val="384"/>
        </w:trPr>
        <w:tc>
          <w:tcPr>
            <w:tcW w:w="1413" w:type="pct"/>
            <w:tcBorders>
              <w:top w:val="single" w:sz="4" w:space="0" w:color="000000"/>
              <w:left w:val="single" w:sz="4" w:space="0" w:color="000000"/>
              <w:bottom w:val="single" w:sz="4" w:space="0" w:color="000000"/>
              <w:right w:val="single" w:sz="4" w:space="0" w:color="000000"/>
            </w:tcBorders>
          </w:tcPr>
          <w:p w14:paraId="044A244C" w14:textId="77777777" w:rsidR="00873FC3" w:rsidRPr="00F65520" w:rsidRDefault="00873FC3" w:rsidP="00873FC3">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Razlika (95% CI)</w:t>
            </w:r>
          </w:p>
        </w:tc>
        <w:tc>
          <w:tcPr>
            <w:tcW w:w="2094" w:type="pct"/>
            <w:gridSpan w:val="2"/>
            <w:tcBorders>
              <w:top w:val="single" w:sz="4" w:space="0" w:color="000000"/>
              <w:left w:val="single" w:sz="4" w:space="0" w:color="000000"/>
              <w:bottom w:val="single" w:sz="4" w:space="0" w:color="000000"/>
              <w:right w:val="single" w:sz="4" w:space="0" w:color="000000"/>
            </w:tcBorders>
          </w:tcPr>
          <w:p w14:paraId="2B5F18CE"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0,102 (-0,003; 0,208)</w:t>
            </w:r>
          </w:p>
        </w:tc>
        <w:tc>
          <w:tcPr>
            <w:tcW w:w="1493" w:type="pct"/>
            <w:gridSpan w:val="2"/>
            <w:tcBorders>
              <w:top w:val="single" w:sz="4" w:space="0" w:color="000000"/>
              <w:left w:val="single" w:sz="4" w:space="0" w:color="000000"/>
              <w:bottom w:val="single" w:sz="4" w:space="0" w:color="000000"/>
              <w:right w:val="single" w:sz="4" w:space="0" w:color="000000"/>
            </w:tcBorders>
          </w:tcPr>
          <w:p w14:paraId="7A475C37" w14:textId="77777777" w:rsidR="00873FC3" w:rsidRPr="00F65520" w:rsidRDefault="00873FC3" w:rsidP="00873FC3">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-0,015 (-0,127; 0,096)</w:t>
            </w:r>
          </w:p>
        </w:tc>
      </w:tr>
    </w:tbl>
    <w:p w14:paraId="1A567BEA" w14:textId="77777777" w:rsidR="00B6401C" w:rsidRPr="00F65520" w:rsidRDefault="00B6401C" w:rsidP="00B6401C">
      <w:pPr>
        <w:tabs>
          <w:tab w:val="left" w:pos="284"/>
        </w:tabs>
        <w:jc w:val="both"/>
        <w:rPr>
          <w:rFonts w:eastAsia="TimesNewRoman"/>
          <w:sz w:val="22"/>
          <w:szCs w:val="22"/>
          <w:lang w:val="sr-Latn-ME"/>
        </w:rPr>
      </w:pPr>
      <w:r w:rsidRPr="00F65520">
        <w:rPr>
          <w:bCs/>
          <w:sz w:val="22"/>
          <w:szCs w:val="22"/>
          <w:vertAlign w:val="superscript"/>
          <w:lang w:val="sr-Latn-ME"/>
        </w:rPr>
        <w:t>a</w:t>
      </w:r>
      <w:r w:rsidRPr="00F65520">
        <w:rPr>
          <w:bCs/>
          <w:sz w:val="22"/>
          <w:szCs w:val="22"/>
          <w:lang w:val="sr-Latn-ME"/>
        </w:rPr>
        <w:t xml:space="preserve"> Populacija predviđena za liječenje (pacijenti liječeni velikim dozama IKS-a kojima je broj eozinofila u krvi iznosio </w:t>
      </w:r>
      <w:r w:rsidRPr="00F65520">
        <w:rPr>
          <w:rFonts w:eastAsia="TimesNewRoman"/>
          <w:sz w:val="22"/>
          <w:szCs w:val="22"/>
          <w:lang w:val="sr-Latn-ME"/>
        </w:rPr>
        <w:t>≥ 300 ćelija/mikrolitar).</w:t>
      </w:r>
    </w:p>
    <w:p w14:paraId="02DC7B48" w14:textId="56001D3F" w:rsidR="00B6401C" w:rsidRPr="00F65520" w:rsidRDefault="00B6401C" w:rsidP="00B6401C">
      <w:pPr>
        <w:tabs>
          <w:tab w:val="left" w:pos="284"/>
        </w:tabs>
        <w:jc w:val="both"/>
        <w:rPr>
          <w:rFonts w:eastAsia="TimesNewRoman"/>
          <w:sz w:val="22"/>
          <w:szCs w:val="22"/>
          <w:lang w:val="sr-Latn-ME"/>
        </w:rPr>
      </w:pPr>
      <w:r w:rsidRPr="00F65520">
        <w:rPr>
          <w:rFonts w:eastAsia="TimesNewRoman"/>
          <w:sz w:val="22"/>
          <w:szCs w:val="22"/>
          <w:vertAlign w:val="superscript"/>
          <w:lang w:val="sr-Latn-ME"/>
        </w:rPr>
        <w:t>b</w:t>
      </w:r>
      <w:r w:rsidRPr="00F65520">
        <w:rPr>
          <w:rFonts w:eastAsia="TimesNewRoman"/>
          <w:sz w:val="22"/>
          <w:szCs w:val="22"/>
          <w:lang w:val="sr-Latn-ME"/>
        </w:rPr>
        <w:t xml:space="preserve"> Nema statističku snagu za otkrivanje razlike između liječenja kod pacijenata kojima je broj eozinofila &lt; 300 ćelija/</w:t>
      </w:r>
      <w:r w:rsidR="000A1A76" w:rsidRPr="00F65520">
        <w:rPr>
          <w:rFonts w:eastAsia="TimesNewRoman"/>
          <w:sz w:val="22"/>
          <w:szCs w:val="22"/>
          <w:lang w:val="sr-Latn-ME"/>
        </w:rPr>
        <w:t>µl</w:t>
      </w:r>
      <w:r w:rsidRPr="00F65520">
        <w:rPr>
          <w:rFonts w:eastAsia="TimesNewRoman"/>
          <w:sz w:val="22"/>
          <w:szCs w:val="22"/>
          <w:lang w:val="sr-Latn-ME"/>
        </w:rPr>
        <w:t>.</w:t>
      </w:r>
    </w:p>
    <w:p w14:paraId="5F722044" w14:textId="77777777" w:rsidR="00B6401C" w:rsidRPr="00F65520" w:rsidRDefault="00B6401C" w:rsidP="00B6401C">
      <w:pPr>
        <w:tabs>
          <w:tab w:val="left" w:pos="284"/>
        </w:tabs>
        <w:jc w:val="both"/>
        <w:rPr>
          <w:rFonts w:eastAsia="TimesNewRoman"/>
          <w:sz w:val="22"/>
          <w:szCs w:val="22"/>
          <w:lang w:val="sr-Latn-ME"/>
        </w:rPr>
      </w:pPr>
    </w:p>
    <w:p w14:paraId="384CC9DE" w14:textId="77777777" w:rsidR="00B6401C" w:rsidRPr="00F65520" w:rsidRDefault="00B6401C" w:rsidP="00B6401C">
      <w:pPr>
        <w:tabs>
          <w:tab w:val="left" w:pos="284"/>
        </w:tabs>
        <w:jc w:val="both"/>
        <w:rPr>
          <w:rFonts w:eastAsia="TimesNewRoman"/>
          <w:sz w:val="22"/>
          <w:szCs w:val="22"/>
          <w:lang w:val="sr-Latn-ME"/>
        </w:rPr>
      </w:pPr>
      <w:r w:rsidRPr="00F65520">
        <w:rPr>
          <w:bCs/>
          <w:sz w:val="22"/>
          <w:szCs w:val="22"/>
          <w:lang w:val="sr-Latn-ME"/>
        </w:rPr>
        <w:t xml:space="preserve">Objedinjeni podaci iz ispitivanja 1 i 2 pokazali su brojčano veće smanjenje stope egzacerbacija i veća poboljšanja vrijednosti </w:t>
      </w:r>
      <w:r w:rsidRPr="00F65520">
        <w:rPr>
          <w:rFonts w:eastAsia="TimesNewRoman"/>
          <w:sz w:val="22"/>
          <w:szCs w:val="22"/>
          <w:lang w:val="sr-Latn-ME"/>
        </w:rPr>
        <w:t>FEV</w:t>
      </w:r>
      <w:r w:rsidRPr="00F65520">
        <w:rPr>
          <w:rFonts w:eastAsia="TimesNewRoman"/>
          <w:sz w:val="22"/>
          <w:szCs w:val="22"/>
          <w:vertAlign w:val="subscript"/>
          <w:lang w:val="sr-Latn-ME"/>
        </w:rPr>
        <w:t xml:space="preserve">1 </w:t>
      </w:r>
      <w:r w:rsidRPr="00F65520">
        <w:rPr>
          <w:rFonts w:eastAsia="TimesNewRoman"/>
          <w:sz w:val="22"/>
          <w:szCs w:val="22"/>
          <w:lang w:val="sr-Latn-ME"/>
        </w:rPr>
        <w:t xml:space="preserve">kod većih početnih vrijednosti eozinofila u krvi. </w:t>
      </w:r>
    </w:p>
    <w:p w14:paraId="74E9091C" w14:textId="77777777" w:rsidR="00B6401C" w:rsidRPr="00F65520" w:rsidRDefault="00B6401C" w:rsidP="00B6401C">
      <w:pPr>
        <w:tabs>
          <w:tab w:val="left" w:pos="284"/>
        </w:tabs>
        <w:jc w:val="both"/>
        <w:rPr>
          <w:rFonts w:eastAsia="TimesNewRoman"/>
          <w:sz w:val="22"/>
          <w:szCs w:val="22"/>
          <w:lang w:val="sr-Latn-ME"/>
        </w:rPr>
      </w:pPr>
    </w:p>
    <w:p w14:paraId="2B0F719B" w14:textId="6068EABF" w:rsidR="00B6401C" w:rsidRPr="00F65520" w:rsidRDefault="00B6401C" w:rsidP="00B6401C">
      <w:pPr>
        <w:tabs>
          <w:tab w:val="left" w:pos="284"/>
        </w:tabs>
        <w:jc w:val="both"/>
        <w:rPr>
          <w:rFonts w:eastAsia="TimesNewRoman"/>
          <w:sz w:val="22"/>
          <w:szCs w:val="22"/>
          <w:lang w:val="sr-Latn-ME"/>
        </w:rPr>
      </w:pPr>
      <w:r w:rsidRPr="00F65520">
        <w:rPr>
          <w:rFonts w:eastAsia="TimesNewRoman"/>
          <w:sz w:val="22"/>
          <w:szCs w:val="22"/>
          <w:lang w:val="sr-Latn-ME"/>
        </w:rPr>
        <w:t xml:space="preserve">Stopa egzacerbacija koje su zahtijevale hospitalizaciju i/ili posjetu hitnoj službi među pacijentima liječenim </w:t>
      </w:r>
      <w:r w:rsidR="00873FC3" w:rsidRPr="00F65520">
        <w:rPr>
          <w:rFonts w:eastAsia="TimesNewRoman"/>
          <w:sz w:val="22"/>
          <w:szCs w:val="22"/>
          <w:lang w:val="sr-Latn-ME"/>
        </w:rPr>
        <w:t xml:space="preserve">benralizumabom </w:t>
      </w:r>
      <w:r w:rsidRPr="00F65520">
        <w:rPr>
          <w:rFonts w:eastAsia="TimesNewRoman"/>
          <w:sz w:val="22"/>
          <w:szCs w:val="22"/>
          <w:lang w:val="sr-Latn-ME"/>
        </w:rPr>
        <w:t>u odnosu na one koji su primali placebo u Ispitivanju 1 iznosila je 0,09 naspram 0,25 (odnos stopa: 0,37%; 95% CI: 0,20; 0,67, p &lt; 0,001), dok je u Ispitivanju 2 iznosila 0,12 naspram 0,10 (odnos stopa: 1,23; 95% CI: 0,64; 2,35, p = 0,538). U ispitivanju 2 zabilježen je premali broj događaja u grupi koja je primala placebo da bi se mogli don</w:t>
      </w:r>
      <w:r w:rsidR="005E45C1" w:rsidRPr="00F65520">
        <w:rPr>
          <w:rFonts w:eastAsia="TimesNewRoman"/>
          <w:sz w:val="22"/>
          <w:szCs w:val="22"/>
          <w:lang w:val="sr-Latn-ME"/>
        </w:rPr>
        <w:t>ij</w:t>
      </w:r>
      <w:r w:rsidRPr="00F65520">
        <w:rPr>
          <w:rFonts w:eastAsia="TimesNewRoman"/>
          <w:sz w:val="22"/>
          <w:szCs w:val="22"/>
          <w:lang w:val="sr-Latn-ME"/>
        </w:rPr>
        <w:t xml:space="preserve">eti zaključci o egzacerbacijama koje su zahtijevale hospitalizaciju ili posjetu hitnoj službi. </w:t>
      </w:r>
    </w:p>
    <w:p w14:paraId="0A8619A9" w14:textId="77777777" w:rsidR="00B6401C" w:rsidRPr="00F65520" w:rsidRDefault="00B6401C" w:rsidP="00B6401C">
      <w:pPr>
        <w:tabs>
          <w:tab w:val="left" w:pos="284"/>
        </w:tabs>
        <w:jc w:val="both"/>
        <w:rPr>
          <w:rFonts w:eastAsia="TimesNewRoman"/>
          <w:sz w:val="22"/>
          <w:szCs w:val="22"/>
          <w:lang w:val="sr-Latn-ME"/>
        </w:rPr>
      </w:pPr>
    </w:p>
    <w:p w14:paraId="55930D68" w14:textId="12AC75BB" w:rsidR="00B6401C" w:rsidRPr="00F65520" w:rsidRDefault="00B6401C" w:rsidP="00B6401C">
      <w:pPr>
        <w:tabs>
          <w:tab w:val="left" w:pos="284"/>
        </w:tabs>
        <w:jc w:val="both"/>
        <w:rPr>
          <w:rFonts w:eastAsia="TimesNewRoman"/>
          <w:sz w:val="22"/>
          <w:szCs w:val="22"/>
          <w:lang w:val="sr-Latn-ME"/>
        </w:rPr>
      </w:pPr>
      <w:r w:rsidRPr="00F65520">
        <w:rPr>
          <w:rFonts w:eastAsia="TimesNewRoman"/>
          <w:sz w:val="22"/>
          <w:szCs w:val="22"/>
          <w:lang w:val="sr-Latn-ME"/>
        </w:rPr>
        <w:t>I u ispitivanju 1 i u ispitiva</w:t>
      </w:r>
      <w:r w:rsidR="005E45C1" w:rsidRPr="00F65520">
        <w:rPr>
          <w:rFonts w:eastAsia="TimesNewRoman"/>
          <w:sz w:val="22"/>
          <w:szCs w:val="22"/>
          <w:lang w:val="sr-Latn-ME"/>
        </w:rPr>
        <w:t>n</w:t>
      </w:r>
      <w:r w:rsidRPr="00F65520">
        <w:rPr>
          <w:rFonts w:eastAsia="TimesNewRoman"/>
          <w:sz w:val="22"/>
          <w:szCs w:val="22"/>
          <w:lang w:val="sr-Latn-ME"/>
        </w:rPr>
        <w:t xml:space="preserve">ju 2, pacijenti koji su primali </w:t>
      </w:r>
      <w:r w:rsidR="00E87787" w:rsidRPr="00F65520">
        <w:rPr>
          <w:rFonts w:eastAsia="TimesNewRoman"/>
          <w:sz w:val="22"/>
          <w:szCs w:val="22"/>
          <w:lang w:val="sr-Latn-ME"/>
        </w:rPr>
        <w:t xml:space="preserve">benralizumab </w:t>
      </w:r>
      <w:r w:rsidR="005E45C1" w:rsidRPr="00F65520">
        <w:rPr>
          <w:rFonts w:eastAsia="TimesNewRoman"/>
          <w:sz w:val="22"/>
          <w:szCs w:val="22"/>
          <w:lang w:val="sr-Latn-ME"/>
        </w:rPr>
        <w:t xml:space="preserve">su </w:t>
      </w:r>
      <w:r w:rsidRPr="00F65520">
        <w:rPr>
          <w:rFonts w:eastAsia="TimesNewRoman"/>
          <w:sz w:val="22"/>
          <w:szCs w:val="22"/>
          <w:lang w:val="sr-Latn-ME"/>
        </w:rPr>
        <w:t xml:space="preserve">doživjeli statistički značajna smanjenja simptoma astme (ukupan rezultat za astmu) u odnosu na pacijente koji su primali placebo. Slična poboljšanja u korist </w:t>
      </w:r>
      <w:r w:rsidR="00E87787" w:rsidRPr="00F65520">
        <w:rPr>
          <w:rFonts w:eastAsia="TimesNewRoman"/>
          <w:sz w:val="22"/>
          <w:szCs w:val="22"/>
          <w:lang w:val="sr-Latn-ME"/>
        </w:rPr>
        <w:t xml:space="preserve">benralizumaba </w:t>
      </w:r>
      <w:r w:rsidRPr="00F65520">
        <w:rPr>
          <w:rFonts w:eastAsia="TimesNewRoman"/>
          <w:sz w:val="22"/>
          <w:szCs w:val="22"/>
          <w:lang w:val="sr-Latn-ME"/>
        </w:rPr>
        <w:t>prim</w:t>
      </w:r>
      <w:r w:rsidR="005E45C1" w:rsidRPr="00F65520">
        <w:rPr>
          <w:rFonts w:eastAsia="TimesNewRoman"/>
          <w:sz w:val="22"/>
          <w:szCs w:val="22"/>
          <w:lang w:val="sr-Latn-ME"/>
        </w:rPr>
        <w:t>i</w:t>
      </w:r>
      <w:r w:rsidRPr="00F65520">
        <w:rPr>
          <w:rFonts w:eastAsia="TimesNewRoman"/>
          <w:sz w:val="22"/>
          <w:szCs w:val="22"/>
          <w:lang w:val="sr-Latn-ME"/>
        </w:rPr>
        <w:t xml:space="preserve">jećena su i za rezultat ACQ-6, </w:t>
      </w:r>
      <w:r w:rsidR="00EB4260" w:rsidRPr="00F65520">
        <w:rPr>
          <w:rFonts w:eastAsia="TimesNewRoman"/>
          <w:sz w:val="22"/>
          <w:szCs w:val="22"/>
          <w:lang w:val="sr-Latn-ME"/>
        </w:rPr>
        <w:t>i</w:t>
      </w:r>
      <w:r w:rsidRPr="00F65520">
        <w:rPr>
          <w:rFonts w:eastAsia="TimesNewRoman"/>
          <w:sz w:val="22"/>
          <w:szCs w:val="22"/>
          <w:lang w:val="sr-Latn-ME"/>
        </w:rPr>
        <w:t xml:space="preserve"> rezultat Standardizovanog upitnika o kvalitetu života kod astme za osobe uzrasta od 12 i više godina (engl. </w:t>
      </w:r>
      <w:r w:rsidRPr="00F65520">
        <w:rPr>
          <w:rFonts w:eastAsia="TimesNewRoman"/>
          <w:i/>
          <w:sz w:val="22"/>
          <w:szCs w:val="22"/>
          <w:lang w:val="sr-Latn-ME"/>
        </w:rPr>
        <w:t>Standardised Asthma Quality of Life Questionnaire for 12 Years and Older</w:t>
      </w:r>
      <w:r w:rsidRPr="00F65520">
        <w:rPr>
          <w:rFonts w:eastAsia="TimesNewRoman"/>
          <w:sz w:val="22"/>
          <w:szCs w:val="22"/>
          <w:lang w:val="sr-Latn-ME"/>
        </w:rPr>
        <w:t>, AQLQ(S) +12) (</w:t>
      </w:r>
      <w:r w:rsidRPr="00F65520">
        <w:rPr>
          <w:rFonts w:eastAsia="TimesNewRoman"/>
          <w:b/>
          <w:sz w:val="22"/>
          <w:szCs w:val="22"/>
          <w:lang w:val="sr-Latn-ME"/>
        </w:rPr>
        <w:t>Tabela 3</w:t>
      </w:r>
      <w:r w:rsidRPr="00F65520">
        <w:rPr>
          <w:rFonts w:eastAsia="TimesNewRoman"/>
          <w:sz w:val="22"/>
          <w:szCs w:val="22"/>
          <w:lang w:val="sr-Latn-ME"/>
        </w:rPr>
        <w:t>).</w:t>
      </w:r>
    </w:p>
    <w:p w14:paraId="057644A6" w14:textId="77777777" w:rsidR="00B6401C" w:rsidRPr="00F65520" w:rsidRDefault="00B6401C" w:rsidP="00B6401C">
      <w:pPr>
        <w:tabs>
          <w:tab w:val="left" w:pos="284"/>
        </w:tabs>
        <w:jc w:val="both"/>
        <w:rPr>
          <w:rFonts w:eastAsia="TimesNewRoman"/>
          <w:sz w:val="22"/>
          <w:szCs w:val="22"/>
          <w:lang w:val="sr-Latn-ME"/>
        </w:rPr>
      </w:pPr>
    </w:p>
    <w:p w14:paraId="25343D11" w14:textId="62F46CD8" w:rsidR="00B6401C" w:rsidRPr="00F65520" w:rsidRDefault="00B6401C" w:rsidP="00B6401C">
      <w:pPr>
        <w:tabs>
          <w:tab w:val="left" w:pos="284"/>
        </w:tabs>
        <w:jc w:val="both"/>
        <w:rPr>
          <w:rFonts w:eastAsia="TimesNewRoman"/>
          <w:b/>
          <w:sz w:val="22"/>
          <w:szCs w:val="22"/>
          <w:lang w:val="sr-Latn-ME"/>
        </w:rPr>
      </w:pPr>
      <w:r w:rsidRPr="00F65520">
        <w:rPr>
          <w:rFonts w:eastAsia="TimesNewRoman"/>
          <w:b/>
          <w:sz w:val="22"/>
          <w:szCs w:val="22"/>
          <w:lang w:val="sr-Latn-ME"/>
        </w:rPr>
        <w:t>Tabela 3. Razlika između liječenja s obzirom na srednju vrijednost prom</w:t>
      </w:r>
      <w:r w:rsidR="00EB4260" w:rsidRPr="00F65520">
        <w:rPr>
          <w:rFonts w:eastAsia="TimesNewRoman"/>
          <w:b/>
          <w:sz w:val="22"/>
          <w:szCs w:val="22"/>
          <w:lang w:val="sr-Latn-ME"/>
        </w:rPr>
        <w:t>j</w:t>
      </w:r>
      <w:r w:rsidRPr="00F65520">
        <w:rPr>
          <w:rFonts w:eastAsia="TimesNewRoman"/>
          <w:b/>
          <w:sz w:val="22"/>
          <w:szCs w:val="22"/>
          <w:lang w:val="sr-Latn-ME"/>
        </w:rPr>
        <w:t>ena ukupnih rezultata za simptome astme (ACQ-6 i AQLQ(s)+12) od početka ispitivanja do kraja liječenja - pacijenti liječeni velikim dozama IKS-a kojima je broj eozinofila u krvi iznosio ≥ 300 ćelija/</w:t>
      </w:r>
      <w:r w:rsidR="00EB4260" w:rsidRPr="00F65520">
        <w:rPr>
          <w:rFonts w:eastAsia="TimesNewRoman"/>
          <w:b/>
          <w:sz w:val="22"/>
          <w:szCs w:val="22"/>
          <w:lang w:val="sr-Latn-ME"/>
        </w:rPr>
        <w:t>μ</w:t>
      </w:r>
      <w:r w:rsidR="00F61E80" w:rsidRPr="00F65520">
        <w:rPr>
          <w:rFonts w:eastAsia="TimesNewRoman"/>
          <w:b/>
          <w:sz w:val="22"/>
          <w:szCs w:val="22"/>
          <w:lang w:val="sr-Latn-ME"/>
        </w:rPr>
        <w:t>l</w:t>
      </w:r>
    </w:p>
    <w:p w14:paraId="601787D2" w14:textId="77777777" w:rsidR="00B6401C" w:rsidRPr="00F65520" w:rsidRDefault="00B6401C" w:rsidP="00B6401C">
      <w:pPr>
        <w:tabs>
          <w:tab w:val="left" w:pos="284"/>
        </w:tabs>
        <w:jc w:val="both"/>
        <w:rPr>
          <w:rFonts w:eastAsia="TimesNewRoman"/>
          <w:b/>
          <w:sz w:val="22"/>
          <w:szCs w:val="22"/>
          <w:lang w:val="sr-Latn-ME"/>
        </w:rPr>
      </w:pPr>
    </w:p>
    <w:tbl>
      <w:tblPr>
        <w:tblStyle w:val="TableGrid0"/>
        <w:tblW w:w="5000" w:type="pct"/>
        <w:tblInd w:w="0" w:type="dxa"/>
        <w:tblCellMar>
          <w:top w:w="57" w:type="dxa"/>
          <w:left w:w="110" w:type="dxa"/>
          <w:right w:w="115" w:type="dxa"/>
        </w:tblCellMar>
        <w:tblLook w:val="04A0" w:firstRow="1" w:lastRow="0" w:firstColumn="1" w:lastColumn="0" w:noHBand="0" w:noVBand="1"/>
      </w:tblPr>
      <w:tblGrid>
        <w:gridCol w:w="2307"/>
        <w:gridCol w:w="1800"/>
        <w:gridCol w:w="1588"/>
        <w:gridCol w:w="1800"/>
        <w:gridCol w:w="1568"/>
      </w:tblGrid>
      <w:tr w:rsidR="00DC33B1" w:rsidRPr="00F65520" w14:paraId="382AF61B" w14:textId="77777777" w:rsidTr="000808A1">
        <w:trPr>
          <w:trHeight w:val="264"/>
        </w:trPr>
        <w:tc>
          <w:tcPr>
            <w:tcW w:w="1336" w:type="pct"/>
            <w:vMerge w:val="restart"/>
            <w:tcBorders>
              <w:top w:val="single" w:sz="4" w:space="0" w:color="000000"/>
              <w:left w:val="single" w:sz="4" w:space="0" w:color="000000"/>
              <w:bottom w:val="single" w:sz="4" w:space="0" w:color="000000"/>
              <w:right w:val="single" w:sz="4" w:space="0" w:color="000000"/>
            </w:tcBorders>
          </w:tcPr>
          <w:p w14:paraId="7CC16B3E" w14:textId="77777777" w:rsidR="00CC3207" w:rsidRPr="00F65520" w:rsidRDefault="00CC3207" w:rsidP="000808A1">
            <w:pPr>
              <w:tabs>
                <w:tab w:val="left" w:pos="284"/>
              </w:tabs>
              <w:spacing w:after="160" w:line="259" w:lineRule="auto"/>
              <w:jc w:val="both"/>
              <w:rPr>
                <w:rFonts w:ascii="Times New Roman" w:hAnsi="Times New Roman"/>
                <w:sz w:val="22"/>
                <w:szCs w:val="22"/>
                <w:lang w:val="sr-Latn-ME"/>
              </w:rPr>
            </w:pPr>
          </w:p>
        </w:tc>
        <w:tc>
          <w:tcPr>
            <w:tcW w:w="1832" w:type="pct"/>
            <w:gridSpan w:val="2"/>
            <w:tcBorders>
              <w:top w:val="single" w:sz="4" w:space="0" w:color="000000"/>
              <w:left w:val="single" w:sz="4" w:space="0" w:color="000000"/>
              <w:bottom w:val="single" w:sz="4" w:space="0" w:color="000000"/>
              <w:right w:val="single" w:sz="4" w:space="0" w:color="000000"/>
            </w:tcBorders>
          </w:tcPr>
          <w:p w14:paraId="233C3737" w14:textId="77777777" w:rsidR="00CC3207" w:rsidRPr="00F65520" w:rsidRDefault="00CC3207" w:rsidP="000808A1">
            <w:pPr>
              <w:tabs>
                <w:tab w:val="left" w:pos="284"/>
              </w:tabs>
              <w:spacing w:line="259" w:lineRule="auto"/>
              <w:jc w:val="center"/>
              <w:rPr>
                <w:rFonts w:ascii="Times New Roman" w:hAnsi="Times New Roman"/>
                <w:sz w:val="22"/>
                <w:szCs w:val="22"/>
                <w:lang w:val="sr-Latn-ME"/>
              </w:rPr>
            </w:pPr>
            <w:r w:rsidRPr="00F65520">
              <w:rPr>
                <w:rFonts w:ascii="Times New Roman" w:hAnsi="Times New Roman"/>
                <w:b/>
                <w:sz w:val="22"/>
                <w:szCs w:val="22"/>
                <w:lang w:val="sr-Latn-ME"/>
              </w:rPr>
              <w:t>Ispitivanje 1</w:t>
            </w:r>
          </w:p>
        </w:tc>
        <w:tc>
          <w:tcPr>
            <w:tcW w:w="1832" w:type="pct"/>
            <w:gridSpan w:val="2"/>
            <w:tcBorders>
              <w:top w:val="single" w:sz="4" w:space="0" w:color="000000"/>
              <w:left w:val="single" w:sz="4" w:space="0" w:color="000000"/>
              <w:bottom w:val="single" w:sz="4" w:space="0" w:color="000000"/>
              <w:right w:val="single" w:sz="4" w:space="0" w:color="000000"/>
            </w:tcBorders>
          </w:tcPr>
          <w:p w14:paraId="581EFF0A" w14:textId="77777777" w:rsidR="00CC3207" w:rsidRPr="00F65520" w:rsidRDefault="00CC3207" w:rsidP="000808A1">
            <w:pPr>
              <w:tabs>
                <w:tab w:val="left" w:pos="284"/>
              </w:tabs>
              <w:spacing w:line="259" w:lineRule="auto"/>
              <w:jc w:val="center"/>
              <w:rPr>
                <w:rFonts w:ascii="Times New Roman" w:hAnsi="Times New Roman"/>
                <w:sz w:val="22"/>
                <w:szCs w:val="22"/>
                <w:lang w:val="sr-Latn-ME"/>
              </w:rPr>
            </w:pPr>
            <w:r w:rsidRPr="00F65520">
              <w:rPr>
                <w:rFonts w:ascii="Times New Roman" w:hAnsi="Times New Roman"/>
                <w:b/>
                <w:sz w:val="22"/>
                <w:szCs w:val="22"/>
                <w:lang w:val="sr-Latn-ME"/>
              </w:rPr>
              <w:t>Ispitivanje 2</w:t>
            </w:r>
          </w:p>
        </w:tc>
      </w:tr>
      <w:tr w:rsidR="00DC33B1" w:rsidRPr="00F65520" w14:paraId="4E2132EF" w14:textId="77777777" w:rsidTr="00403080">
        <w:trPr>
          <w:trHeight w:val="634"/>
        </w:trPr>
        <w:tc>
          <w:tcPr>
            <w:tcW w:w="1336" w:type="pct"/>
            <w:vMerge/>
            <w:tcBorders>
              <w:top w:val="nil"/>
              <w:left w:val="single" w:sz="4" w:space="0" w:color="000000"/>
              <w:bottom w:val="single" w:sz="4" w:space="0" w:color="000000"/>
              <w:right w:val="single" w:sz="4" w:space="0" w:color="000000"/>
            </w:tcBorders>
          </w:tcPr>
          <w:p w14:paraId="63302A9F" w14:textId="77777777" w:rsidR="00CC3207" w:rsidRPr="00F65520" w:rsidRDefault="00CC3207" w:rsidP="000808A1">
            <w:pPr>
              <w:tabs>
                <w:tab w:val="left" w:pos="284"/>
              </w:tabs>
              <w:spacing w:after="160" w:line="259" w:lineRule="auto"/>
              <w:jc w:val="both"/>
              <w:rPr>
                <w:rFonts w:ascii="Times New Roman" w:hAnsi="Times New Roman"/>
                <w:sz w:val="22"/>
                <w:szCs w:val="22"/>
                <w:lang w:val="sr-Latn-ME"/>
              </w:rPr>
            </w:pPr>
          </w:p>
        </w:tc>
        <w:tc>
          <w:tcPr>
            <w:tcW w:w="893" w:type="pct"/>
            <w:tcBorders>
              <w:top w:val="single" w:sz="4" w:space="0" w:color="000000"/>
              <w:left w:val="single" w:sz="4" w:space="0" w:color="000000"/>
              <w:bottom w:val="single" w:sz="4" w:space="0" w:color="000000"/>
              <w:right w:val="single" w:sz="4" w:space="0" w:color="000000"/>
            </w:tcBorders>
          </w:tcPr>
          <w:p w14:paraId="292B6752" w14:textId="77777777" w:rsidR="00E87787" w:rsidRPr="00F65520" w:rsidRDefault="00E87787" w:rsidP="00E87787">
            <w:pPr>
              <w:spacing w:line="259" w:lineRule="auto"/>
              <w:ind w:left="179" w:right="169"/>
              <w:jc w:val="center"/>
              <w:rPr>
                <w:rFonts w:ascii="Times New Roman" w:eastAsia="TimesNewRoman" w:hAnsi="Times New Roman"/>
                <w:sz w:val="22"/>
                <w:szCs w:val="22"/>
                <w:lang w:val="sr-Latn-ME"/>
              </w:rPr>
            </w:pPr>
            <w:r w:rsidRPr="00F65520">
              <w:rPr>
                <w:rFonts w:eastAsia="TimesNewRoman"/>
                <w:sz w:val="22"/>
                <w:szCs w:val="22"/>
                <w:lang w:val="sr-Latn-ME"/>
              </w:rPr>
              <w:t>Benralizumab</w:t>
            </w:r>
          </w:p>
          <w:p w14:paraId="0E8B38A8" w14:textId="7D2D4CEA" w:rsidR="00EB4260" w:rsidRPr="00F65520" w:rsidRDefault="00CC3207" w:rsidP="000808A1">
            <w:pPr>
              <w:tabs>
                <w:tab w:val="left" w:pos="284"/>
              </w:tabs>
              <w:spacing w:line="259" w:lineRule="auto"/>
              <w:ind w:right="169"/>
              <w:jc w:val="center"/>
              <w:rPr>
                <w:rFonts w:ascii="Times New Roman" w:eastAsia="TimesNewRoman" w:hAnsi="Times New Roman"/>
                <w:sz w:val="22"/>
                <w:szCs w:val="22"/>
                <w:lang w:val="sr-Latn-ME"/>
              </w:rPr>
            </w:pPr>
            <w:r w:rsidRPr="00F65520">
              <w:rPr>
                <w:rFonts w:eastAsia="TimesNewRoman"/>
                <w:sz w:val="22"/>
                <w:szCs w:val="22"/>
                <w:lang w:val="sr-Latn-ME"/>
              </w:rPr>
              <w:t xml:space="preserve"> </w:t>
            </w:r>
          </w:p>
          <w:p w14:paraId="49DFF42C" w14:textId="750CFE78" w:rsidR="00CC3207" w:rsidRPr="00F65520" w:rsidRDefault="00CC3207" w:rsidP="000808A1">
            <w:pPr>
              <w:tabs>
                <w:tab w:val="left" w:pos="284"/>
              </w:tabs>
              <w:spacing w:line="259" w:lineRule="auto"/>
              <w:ind w:right="169"/>
              <w:jc w:val="center"/>
              <w:rPr>
                <w:rFonts w:ascii="Times New Roman" w:eastAsia="TimesNewRoman" w:hAnsi="Times New Roman"/>
                <w:sz w:val="22"/>
                <w:szCs w:val="22"/>
                <w:lang w:val="sr-Latn-ME"/>
              </w:rPr>
            </w:pPr>
            <w:r w:rsidRPr="00F65520">
              <w:rPr>
                <w:rFonts w:eastAsia="TimesNewRoman"/>
                <w:sz w:val="22"/>
                <w:szCs w:val="22"/>
                <w:lang w:val="sr-Latn-ME"/>
              </w:rPr>
              <w:t>(na = 267)</w:t>
            </w:r>
          </w:p>
        </w:tc>
        <w:tc>
          <w:tcPr>
            <w:tcW w:w="939" w:type="pct"/>
            <w:tcBorders>
              <w:top w:val="single" w:sz="4" w:space="0" w:color="000000"/>
              <w:left w:val="single" w:sz="4" w:space="0" w:color="000000"/>
              <w:bottom w:val="single" w:sz="4" w:space="0" w:color="000000"/>
              <w:right w:val="single" w:sz="4" w:space="0" w:color="000000"/>
            </w:tcBorders>
          </w:tcPr>
          <w:p w14:paraId="48877630" w14:textId="77777777" w:rsidR="00EB4260" w:rsidRPr="00F65520" w:rsidRDefault="00CC3207" w:rsidP="000808A1">
            <w:pPr>
              <w:tabs>
                <w:tab w:val="left" w:pos="284"/>
              </w:tabs>
              <w:spacing w:line="259" w:lineRule="auto"/>
              <w:ind w:right="232"/>
              <w:jc w:val="center"/>
              <w:rPr>
                <w:rFonts w:ascii="Times New Roman" w:hAnsi="Times New Roman"/>
                <w:b/>
                <w:sz w:val="22"/>
                <w:szCs w:val="22"/>
                <w:lang w:val="sr-Latn-ME"/>
              </w:rPr>
            </w:pPr>
            <w:r w:rsidRPr="00F65520">
              <w:rPr>
                <w:rFonts w:ascii="Times New Roman" w:hAnsi="Times New Roman"/>
                <w:b/>
                <w:sz w:val="22"/>
                <w:szCs w:val="22"/>
                <w:lang w:val="sr-Latn-ME"/>
              </w:rPr>
              <w:t xml:space="preserve">Placebo </w:t>
            </w:r>
          </w:p>
          <w:p w14:paraId="2FA710BB" w14:textId="1D7C66FB" w:rsidR="00CC3207" w:rsidRPr="00F65520" w:rsidRDefault="00CC3207" w:rsidP="000808A1">
            <w:pPr>
              <w:tabs>
                <w:tab w:val="left" w:pos="284"/>
              </w:tabs>
              <w:spacing w:line="259" w:lineRule="auto"/>
              <w:ind w:right="232"/>
              <w:jc w:val="center"/>
              <w:rPr>
                <w:rFonts w:ascii="Times New Roman" w:hAnsi="Times New Roman"/>
                <w:sz w:val="22"/>
                <w:szCs w:val="22"/>
                <w:lang w:val="sr-Latn-ME"/>
              </w:rPr>
            </w:pPr>
            <w:r w:rsidRPr="00F65520">
              <w:rPr>
                <w:rFonts w:ascii="Times New Roman" w:hAnsi="Times New Roman"/>
                <w:sz w:val="22"/>
                <w:szCs w:val="22"/>
                <w:lang w:val="sr-Latn-ME"/>
              </w:rPr>
              <w:t>(n</w:t>
            </w:r>
            <w:r w:rsidRPr="00F65520">
              <w:rPr>
                <w:rFonts w:ascii="Times New Roman" w:hAnsi="Times New Roman"/>
                <w:i/>
                <w:sz w:val="22"/>
                <w:szCs w:val="22"/>
                <w:vertAlign w:val="superscript"/>
                <w:lang w:val="sr-Latn-ME"/>
              </w:rPr>
              <w:t xml:space="preserve">a </w:t>
            </w:r>
            <w:r w:rsidRPr="00F65520">
              <w:rPr>
                <w:rFonts w:ascii="Times New Roman" w:hAnsi="Times New Roman"/>
                <w:sz w:val="22"/>
                <w:szCs w:val="22"/>
                <w:lang w:val="sr-Latn-ME"/>
              </w:rPr>
              <w:t>= 267)</w:t>
            </w:r>
          </w:p>
        </w:tc>
        <w:tc>
          <w:tcPr>
            <w:tcW w:w="904" w:type="pct"/>
            <w:tcBorders>
              <w:top w:val="single" w:sz="4" w:space="0" w:color="000000"/>
              <w:left w:val="single" w:sz="4" w:space="0" w:color="000000"/>
              <w:bottom w:val="single" w:sz="4" w:space="0" w:color="000000"/>
              <w:right w:val="single" w:sz="4" w:space="0" w:color="000000"/>
            </w:tcBorders>
          </w:tcPr>
          <w:p w14:paraId="337AE57A" w14:textId="4DEC9FDF" w:rsidR="00EB4260" w:rsidRPr="00F65520" w:rsidRDefault="00E87787" w:rsidP="00DC33B1">
            <w:pPr>
              <w:spacing w:line="259" w:lineRule="auto"/>
              <w:ind w:left="179" w:right="169"/>
              <w:jc w:val="center"/>
              <w:rPr>
                <w:rFonts w:ascii="Times New Roman" w:eastAsia="TimesNewRoman" w:hAnsi="Times New Roman"/>
                <w:sz w:val="22"/>
                <w:szCs w:val="22"/>
                <w:lang w:val="sr-Latn-ME"/>
              </w:rPr>
            </w:pPr>
            <w:r w:rsidRPr="00F65520">
              <w:rPr>
                <w:rFonts w:eastAsia="TimesNewRoman"/>
                <w:sz w:val="22"/>
                <w:szCs w:val="22"/>
                <w:lang w:val="sr-Latn-ME"/>
              </w:rPr>
              <w:t>Benralizumab</w:t>
            </w:r>
            <w:r w:rsidR="00CC3207" w:rsidRPr="00F65520">
              <w:rPr>
                <w:rFonts w:eastAsia="TimesNewRoman"/>
                <w:sz w:val="22"/>
                <w:szCs w:val="22"/>
                <w:lang w:val="sr-Latn-ME"/>
              </w:rPr>
              <w:t xml:space="preserve"> </w:t>
            </w:r>
          </w:p>
          <w:p w14:paraId="37399A1F" w14:textId="24718EAA" w:rsidR="00CC3207" w:rsidRPr="00F65520" w:rsidRDefault="00CC3207" w:rsidP="000808A1">
            <w:pPr>
              <w:tabs>
                <w:tab w:val="left" w:pos="284"/>
              </w:tabs>
              <w:spacing w:line="259" w:lineRule="auto"/>
              <w:ind w:right="179"/>
              <w:jc w:val="center"/>
              <w:rPr>
                <w:rFonts w:ascii="Times New Roman" w:hAnsi="Times New Roman"/>
                <w:sz w:val="22"/>
                <w:szCs w:val="22"/>
                <w:lang w:val="sr-Latn-ME"/>
              </w:rPr>
            </w:pPr>
            <w:r w:rsidRPr="00F65520">
              <w:rPr>
                <w:rFonts w:ascii="Times New Roman" w:hAnsi="Times New Roman"/>
                <w:sz w:val="22"/>
                <w:szCs w:val="22"/>
                <w:lang w:val="sr-Latn-ME"/>
              </w:rPr>
              <w:t>(n</w:t>
            </w:r>
            <w:r w:rsidRPr="00F65520">
              <w:rPr>
                <w:rFonts w:ascii="Times New Roman" w:hAnsi="Times New Roman"/>
                <w:i/>
                <w:sz w:val="22"/>
                <w:szCs w:val="22"/>
                <w:vertAlign w:val="superscript"/>
                <w:lang w:val="sr-Latn-ME"/>
              </w:rPr>
              <w:t xml:space="preserve">a </w:t>
            </w:r>
            <w:r w:rsidRPr="00F65520">
              <w:rPr>
                <w:rFonts w:ascii="Times New Roman" w:hAnsi="Times New Roman"/>
                <w:sz w:val="22"/>
                <w:szCs w:val="22"/>
                <w:lang w:val="sr-Latn-ME"/>
              </w:rPr>
              <w:t>= 239)</w:t>
            </w:r>
          </w:p>
        </w:tc>
        <w:tc>
          <w:tcPr>
            <w:tcW w:w="928" w:type="pct"/>
            <w:tcBorders>
              <w:top w:val="single" w:sz="4" w:space="0" w:color="000000"/>
              <w:left w:val="single" w:sz="4" w:space="0" w:color="000000"/>
              <w:bottom w:val="single" w:sz="4" w:space="0" w:color="000000"/>
              <w:right w:val="single" w:sz="4" w:space="0" w:color="000000"/>
            </w:tcBorders>
          </w:tcPr>
          <w:p w14:paraId="62162B0C" w14:textId="77777777" w:rsidR="00EB4260" w:rsidRPr="00F65520" w:rsidRDefault="00CC3207" w:rsidP="000808A1">
            <w:pPr>
              <w:tabs>
                <w:tab w:val="left" w:pos="284"/>
              </w:tabs>
              <w:spacing w:line="259" w:lineRule="auto"/>
              <w:ind w:right="217"/>
              <w:jc w:val="center"/>
              <w:rPr>
                <w:rFonts w:ascii="Times New Roman" w:hAnsi="Times New Roman"/>
                <w:b/>
                <w:sz w:val="22"/>
                <w:szCs w:val="22"/>
                <w:lang w:val="sr-Latn-ME"/>
              </w:rPr>
            </w:pPr>
            <w:r w:rsidRPr="00F65520">
              <w:rPr>
                <w:rFonts w:ascii="Times New Roman" w:hAnsi="Times New Roman"/>
                <w:b/>
                <w:sz w:val="22"/>
                <w:szCs w:val="22"/>
                <w:lang w:val="sr-Latn-ME"/>
              </w:rPr>
              <w:t xml:space="preserve">Placebo </w:t>
            </w:r>
          </w:p>
          <w:p w14:paraId="37DA55FA" w14:textId="1B1DD236" w:rsidR="00CC3207" w:rsidRPr="00F65520" w:rsidRDefault="00CC3207" w:rsidP="000808A1">
            <w:pPr>
              <w:tabs>
                <w:tab w:val="left" w:pos="284"/>
              </w:tabs>
              <w:spacing w:line="259" w:lineRule="auto"/>
              <w:ind w:right="217"/>
              <w:jc w:val="center"/>
              <w:rPr>
                <w:rFonts w:ascii="Times New Roman" w:hAnsi="Times New Roman"/>
                <w:sz w:val="22"/>
                <w:szCs w:val="22"/>
                <w:lang w:val="sr-Latn-ME"/>
              </w:rPr>
            </w:pPr>
            <w:r w:rsidRPr="00F65520">
              <w:rPr>
                <w:rFonts w:ascii="Times New Roman" w:hAnsi="Times New Roman"/>
                <w:sz w:val="22"/>
                <w:szCs w:val="22"/>
                <w:lang w:val="sr-Latn-ME"/>
              </w:rPr>
              <w:t>(n</w:t>
            </w:r>
            <w:r w:rsidRPr="00F65520">
              <w:rPr>
                <w:rFonts w:ascii="Times New Roman" w:hAnsi="Times New Roman"/>
                <w:i/>
                <w:sz w:val="22"/>
                <w:szCs w:val="22"/>
                <w:vertAlign w:val="superscript"/>
                <w:lang w:val="sr-Latn-ME"/>
              </w:rPr>
              <w:t xml:space="preserve">a </w:t>
            </w:r>
            <w:r w:rsidRPr="00F65520">
              <w:rPr>
                <w:rFonts w:ascii="Times New Roman" w:hAnsi="Times New Roman"/>
                <w:sz w:val="22"/>
                <w:szCs w:val="22"/>
                <w:lang w:val="sr-Latn-ME"/>
              </w:rPr>
              <w:t>= 248)</w:t>
            </w:r>
          </w:p>
        </w:tc>
      </w:tr>
      <w:tr w:rsidR="00DC33B1" w:rsidRPr="00F65520" w14:paraId="5DFB8F59" w14:textId="77777777" w:rsidTr="000808A1">
        <w:trPr>
          <w:trHeight w:val="384"/>
        </w:trPr>
        <w:tc>
          <w:tcPr>
            <w:tcW w:w="3168" w:type="pct"/>
            <w:gridSpan w:val="3"/>
            <w:tcBorders>
              <w:top w:val="single" w:sz="4" w:space="0" w:color="000000"/>
              <w:left w:val="single" w:sz="4" w:space="0" w:color="000000"/>
              <w:bottom w:val="single" w:sz="4" w:space="0" w:color="000000"/>
              <w:right w:val="nil"/>
            </w:tcBorders>
          </w:tcPr>
          <w:p w14:paraId="6AABCFDE" w14:textId="77777777" w:rsidR="00CC3207" w:rsidRPr="00F65520" w:rsidRDefault="00CC3207"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b/>
                <w:sz w:val="22"/>
                <w:szCs w:val="22"/>
                <w:lang w:val="sr-Latn-ME"/>
              </w:rPr>
              <w:lastRenderedPageBreak/>
              <w:t>Ukupan rezultat za simptome astme</w:t>
            </w:r>
            <w:r w:rsidRPr="00F65520">
              <w:rPr>
                <w:rFonts w:ascii="Times New Roman" w:hAnsi="Times New Roman"/>
                <w:b/>
                <w:sz w:val="22"/>
                <w:szCs w:val="22"/>
                <w:vertAlign w:val="superscript"/>
                <w:lang w:val="sr-Latn-ME"/>
              </w:rPr>
              <w:t>b</w:t>
            </w:r>
          </w:p>
        </w:tc>
        <w:tc>
          <w:tcPr>
            <w:tcW w:w="1832" w:type="pct"/>
            <w:gridSpan w:val="2"/>
            <w:tcBorders>
              <w:top w:val="single" w:sz="4" w:space="0" w:color="000000"/>
              <w:left w:val="nil"/>
              <w:bottom w:val="single" w:sz="4" w:space="0" w:color="000000"/>
              <w:right w:val="single" w:sz="4" w:space="0" w:color="000000"/>
            </w:tcBorders>
          </w:tcPr>
          <w:p w14:paraId="5C5257B5" w14:textId="77777777" w:rsidR="00CC3207" w:rsidRPr="00F65520" w:rsidRDefault="00CC3207" w:rsidP="000808A1">
            <w:pPr>
              <w:tabs>
                <w:tab w:val="left" w:pos="284"/>
              </w:tabs>
              <w:spacing w:after="160" w:line="259" w:lineRule="auto"/>
              <w:jc w:val="both"/>
              <w:rPr>
                <w:rFonts w:ascii="Times New Roman" w:hAnsi="Times New Roman"/>
                <w:sz w:val="22"/>
                <w:szCs w:val="22"/>
                <w:lang w:val="sr-Latn-ME"/>
              </w:rPr>
            </w:pPr>
          </w:p>
        </w:tc>
      </w:tr>
      <w:tr w:rsidR="00DC33B1" w:rsidRPr="00F65520" w14:paraId="6D6B8046" w14:textId="77777777" w:rsidTr="00403080">
        <w:trPr>
          <w:trHeight w:val="638"/>
        </w:trPr>
        <w:tc>
          <w:tcPr>
            <w:tcW w:w="1336" w:type="pct"/>
            <w:tcBorders>
              <w:top w:val="single" w:sz="4" w:space="0" w:color="000000"/>
              <w:left w:val="single" w:sz="4" w:space="0" w:color="000000"/>
              <w:bottom w:val="single" w:sz="4" w:space="0" w:color="000000"/>
              <w:right w:val="single" w:sz="4" w:space="0" w:color="000000"/>
            </w:tcBorders>
          </w:tcPr>
          <w:p w14:paraId="16B725F2" w14:textId="77777777" w:rsidR="00CC3207" w:rsidRPr="00F65520" w:rsidRDefault="00CC3207" w:rsidP="00437B73">
            <w:pPr>
              <w:tabs>
                <w:tab w:val="left" w:pos="284"/>
              </w:tabs>
              <w:spacing w:line="259" w:lineRule="auto"/>
              <w:rPr>
                <w:rFonts w:ascii="Times New Roman" w:hAnsi="Times New Roman"/>
                <w:sz w:val="22"/>
                <w:szCs w:val="22"/>
                <w:lang w:val="sr-Latn-ME"/>
              </w:rPr>
            </w:pPr>
            <w:r w:rsidRPr="00F65520">
              <w:rPr>
                <w:rFonts w:ascii="Times New Roman" w:hAnsi="Times New Roman"/>
                <w:sz w:val="22"/>
                <w:szCs w:val="22"/>
                <w:lang w:val="sr-Latn-ME"/>
              </w:rPr>
              <w:t>Srednja početna vrijednost</w:t>
            </w:r>
          </w:p>
        </w:tc>
        <w:tc>
          <w:tcPr>
            <w:tcW w:w="893" w:type="pct"/>
            <w:tcBorders>
              <w:top w:val="single" w:sz="4" w:space="0" w:color="000000"/>
              <w:left w:val="single" w:sz="4" w:space="0" w:color="000000"/>
              <w:bottom w:val="single" w:sz="4" w:space="0" w:color="000000"/>
              <w:right w:val="single" w:sz="4" w:space="0" w:color="000000"/>
            </w:tcBorders>
          </w:tcPr>
          <w:p w14:paraId="0B377BE0" w14:textId="77777777" w:rsidR="00CC3207" w:rsidRPr="00F65520" w:rsidRDefault="00CC3207" w:rsidP="000808A1">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2,68</w:t>
            </w:r>
          </w:p>
        </w:tc>
        <w:tc>
          <w:tcPr>
            <w:tcW w:w="939" w:type="pct"/>
            <w:tcBorders>
              <w:top w:val="single" w:sz="4" w:space="0" w:color="000000"/>
              <w:left w:val="single" w:sz="4" w:space="0" w:color="000000"/>
              <w:bottom w:val="single" w:sz="4" w:space="0" w:color="000000"/>
              <w:right w:val="single" w:sz="4" w:space="0" w:color="000000"/>
            </w:tcBorders>
          </w:tcPr>
          <w:p w14:paraId="6A97F45F" w14:textId="77777777" w:rsidR="00CC3207" w:rsidRPr="00F65520" w:rsidRDefault="00CC3207" w:rsidP="000808A1">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2,74</w:t>
            </w:r>
          </w:p>
        </w:tc>
        <w:tc>
          <w:tcPr>
            <w:tcW w:w="904" w:type="pct"/>
            <w:tcBorders>
              <w:top w:val="single" w:sz="4" w:space="0" w:color="000000"/>
              <w:left w:val="single" w:sz="4" w:space="0" w:color="000000"/>
              <w:bottom w:val="single" w:sz="4" w:space="0" w:color="000000"/>
              <w:right w:val="single" w:sz="4" w:space="0" w:color="000000"/>
            </w:tcBorders>
          </w:tcPr>
          <w:p w14:paraId="6286E2F6" w14:textId="77777777" w:rsidR="00CC3207" w:rsidRPr="00F65520" w:rsidRDefault="00CC3207" w:rsidP="000808A1">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2,76</w:t>
            </w:r>
          </w:p>
        </w:tc>
        <w:tc>
          <w:tcPr>
            <w:tcW w:w="928" w:type="pct"/>
            <w:tcBorders>
              <w:top w:val="single" w:sz="4" w:space="0" w:color="000000"/>
              <w:left w:val="single" w:sz="4" w:space="0" w:color="000000"/>
              <w:bottom w:val="single" w:sz="4" w:space="0" w:color="000000"/>
              <w:right w:val="single" w:sz="4" w:space="0" w:color="000000"/>
            </w:tcBorders>
          </w:tcPr>
          <w:p w14:paraId="6BBDDA45" w14:textId="77777777" w:rsidR="00CC3207" w:rsidRPr="00F65520" w:rsidRDefault="00CC3207" w:rsidP="000808A1">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2,71</w:t>
            </w:r>
          </w:p>
        </w:tc>
      </w:tr>
      <w:tr w:rsidR="00DC33B1" w:rsidRPr="00F65520" w14:paraId="250187BA" w14:textId="77777777" w:rsidTr="00403080">
        <w:trPr>
          <w:trHeight w:val="634"/>
        </w:trPr>
        <w:tc>
          <w:tcPr>
            <w:tcW w:w="1336" w:type="pct"/>
            <w:tcBorders>
              <w:top w:val="single" w:sz="4" w:space="0" w:color="000000"/>
              <w:left w:val="single" w:sz="4" w:space="0" w:color="000000"/>
              <w:bottom w:val="single" w:sz="4" w:space="0" w:color="000000"/>
              <w:right w:val="single" w:sz="4" w:space="0" w:color="000000"/>
            </w:tcBorders>
          </w:tcPr>
          <w:p w14:paraId="5024FD55" w14:textId="77777777" w:rsidR="00CC3207" w:rsidRPr="00F65520" w:rsidRDefault="00CC3207" w:rsidP="00437B73">
            <w:pPr>
              <w:tabs>
                <w:tab w:val="left" w:pos="284"/>
              </w:tabs>
              <w:spacing w:line="259" w:lineRule="auto"/>
              <w:rPr>
                <w:rFonts w:ascii="Times New Roman" w:hAnsi="Times New Roman"/>
                <w:sz w:val="22"/>
                <w:szCs w:val="22"/>
                <w:lang w:val="sr-Latn-ME"/>
              </w:rPr>
            </w:pPr>
            <w:r w:rsidRPr="00F65520">
              <w:rPr>
                <w:rFonts w:ascii="Times New Roman" w:hAnsi="Times New Roman"/>
                <w:sz w:val="22"/>
                <w:szCs w:val="22"/>
                <w:lang w:val="sr-Latn-ME"/>
              </w:rPr>
              <w:t>Poboljšanje od početne vrijednosti</w:t>
            </w:r>
          </w:p>
        </w:tc>
        <w:tc>
          <w:tcPr>
            <w:tcW w:w="893" w:type="pct"/>
            <w:tcBorders>
              <w:top w:val="single" w:sz="4" w:space="0" w:color="000000"/>
              <w:left w:val="single" w:sz="4" w:space="0" w:color="000000"/>
              <w:bottom w:val="single" w:sz="4" w:space="0" w:color="000000"/>
              <w:right w:val="single" w:sz="4" w:space="0" w:color="000000"/>
            </w:tcBorders>
          </w:tcPr>
          <w:p w14:paraId="3617821E" w14:textId="77777777" w:rsidR="00CC3207" w:rsidRPr="00F65520" w:rsidRDefault="00CC3207" w:rsidP="000808A1">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-1,30</w:t>
            </w:r>
          </w:p>
        </w:tc>
        <w:tc>
          <w:tcPr>
            <w:tcW w:w="939" w:type="pct"/>
            <w:tcBorders>
              <w:top w:val="single" w:sz="4" w:space="0" w:color="000000"/>
              <w:left w:val="single" w:sz="4" w:space="0" w:color="000000"/>
              <w:bottom w:val="single" w:sz="4" w:space="0" w:color="000000"/>
              <w:right w:val="single" w:sz="4" w:space="0" w:color="000000"/>
            </w:tcBorders>
          </w:tcPr>
          <w:p w14:paraId="3EE78361" w14:textId="77777777" w:rsidR="00CC3207" w:rsidRPr="00F65520" w:rsidRDefault="00CC3207" w:rsidP="000808A1">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-1,04</w:t>
            </w:r>
          </w:p>
        </w:tc>
        <w:tc>
          <w:tcPr>
            <w:tcW w:w="904" w:type="pct"/>
            <w:tcBorders>
              <w:top w:val="single" w:sz="4" w:space="0" w:color="000000"/>
              <w:left w:val="single" w:sz="4" w:space="0" w:color="000000"/>
              <w:bottom w:val="single" w:sz="4" w:space="0" w:color="000000"/>
              <w:right w:val="single" w:sz="4" w:space="0" w:color="000000"/>
            </w:tcBorders>
          </w:tcPr>
          <w:p w14:paraId="52A7E8D8" w14:textId="77777777" w:rsidR="00CC3207" w:rsidRPr="00F65520" w:rsidRDefault="00CC3207" w:rsidP="000808A1">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-1,40</w:t>
            </w:r>
          </w:p>
        </w:tc>
        <w:tc>
          <w:tcPr>
            <w:tcW w:w="928" w:type="pct"/>
            <w:tcBorders>
              <w:top w:val="single" w:sz="4" w:space="0" w:color="000000"/>
              <w:left w:val="single" w:sz="4" w:space="0" w:color="000000"/>
              <w:bottom w:val="single" w:sz="4" w:space="0" w:color="000000"/>
              <w:right w:val="single" w:sz="4" w:space="0" w:color="000000"/>
            </w:tcBorders>
          </w:tcPr>
          <w:p w14:paraId="0E9C80B0" w14:textId="77777777" w:rsidR="00CC3207" w:rsidRPr="00F65520" w:rsidRDefault="00CC3207" w:rsidP="000808A1">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-1,16</w:t>
            </w:r>
          </w:p>
        </w:tc>
      </w:tr>
      <w:tr w:rsidR="00DC33B1" w:rsidRPr="00F65520" w14:paraId="012A10AD" w14:textId="77777777" w:rsidTr="000808A1">
        <w:trPr>
          <w:trHeight w:val="384"/>
        </w:trPr>
        <w:tc>
          <w:tcPr>
            <w:tcW w:w="1336" w:type="pct"/>
            <w:tcBorders>
              <w:top w:val="single" w:sz="4" w:space="0" w:color="000000"/>
              <w:left w:val="single" w:sz="4" w:space="0" w:color="000000"/>
              <w:bottom w:val="single" w:sz="4" w:space="0" w:color="000000"/>
              <w:right w:val="single" w:sz="4" w:space="0" w:color="000000"/>
            </w:tcBorders>
          </w:tcPr>
          <w:p w14:paraId="46C0AF5B" w14:textId="77777777" w:rsidR="00CC3207" w:rsidRPr="00F65520" w:rsidRDefault="00CC3207"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Razlika (95% CI)</w:t>
            </w:r>
          </w:p>
        </w:tc>
        <w:tc>
          <w:tcPr>
            <w:tcW w:w="1832" w:type="pct"/>
            <w:gridSpan w:val="2"/>
            <w:tcBorders>
              <w:top w:val="single" w:sz="4" w:space="0" w:color="000000"/>
              <w:left w:val="single" w:sz="4" w:space="0" w:color="000000"/>
              <w:bottom w:val="single" w:sz="4" w:space="0" w:color="000000"/>
              <w:right w:val="single" w:sz="4" w:space="0" w:color="000000"/>
            </w:tcBorders>
          </w:tcPr>
          <w:p w14:paraId="69140628" w14:textId="77777777" w:rsidR="00CC3207" w:rsidRPr="00F65520" w:rsidRDefault="00CC3207" w:rsidP="000808A1">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-0,25 (-0,45; -0,06)</w:t>
            </w:r>
          </w:p>
        </w:tc>
        <w:tc>
          <w:tcPr>
            <w:tcW w:w="1832" w:type="pct"/>
            <w:gridSpan w:val="2"/>
            <w:tcBorders>
              <w:top w:val="single" w:sz="4" w:space="0" w:color="000000"/>
              <w:left w:val="single" w:sz="4" w:space="0" w:color="000000"/>
              <w:bottom w:val="single" w:sz="4" w:space="0" w:color="000000"/>
              <w:right w:val="single" w:sz="4" w:space="0" w:color="000000"/>
            </w:tcBorders>
          </w:tcPr>
          <w:p w14:paraId="403D0D0A" w14:textId="77777777" w:rsidR="00CC3207" w:rsidRPr="00F65520" w:rsidRDefault="00CC3207" w:rsidP="000808A1">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-0,23 (-0,43; -0,04)</w:t>
            </w:r>
          </w:p>
        </w:tc>
      </w:tr>
      <w:tr w:rsidR="00DC33B1" w:rsidRPr="00F65520" w14:paraId="475FADD7" w14:textId="77777777" w:rsidTr="000808A1">
        <w:trPr>
          <w:trHeight w:val="384"/>
        </w:trPr>
        <w:tc>
          <w:tcPr>
            <w:tcW w:w="1336" w:type="pct"/>
            <w:tcBorders>
              <w:top w:val="single" w:sz="4" w:space="0" w:color="000000"/>
              <w:left w:val="single" w:sz="4" w:space="0" w:color="000000"/>
              <w:bottom w:val="single" w:sz="4" w:space="0" w:color="000000"/>
              <w:right w:val="single" w:sz="4" w:space="0" w:color="000000"/>
            </w:tcBorders>
          </w:tcPr>
          <w:p w14:paraId="45CE80BC" w14:textId="77777777" w:rsidR="00CC3207" w:rsidRPr="00F65520" w:rsidRDefault="00CC3207"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p-vrijednost</w:t>
            </w:r>
          </w:p>
        </w:tc>
        <w:tc>
          <w:tcPr>
            <w:tcW w:w="1832" w:type="pct"/>
            <w:gridSpan w:val="2"/>
            <w:tcBorders>
              <w:top w:val="single" w:sz="4" w:space="0" w:color="000000"/>
              <w:left w:val="single" w:sz="4" w:space="0" w:color="000000"/>
              <w:bottom w:val="single" w:sz="4" w:space="0" w:color="000000"/>
              <w:right w:val="single" w:sz="4" w:space="0" w:color="000000"/>
            </w:tcBorders>
          </w:tcPr>
          <w:p w14:paraId="1E2D7581" w14:textId="77777777" w:rsidR="00CC3207" w:rsidRPr="00F65520" w:rsidRDefault="00CC3207" w:rsidP="000808A1">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0,012</w:t>
            </w:r>
          </w:p>
        </w:tc>
        <w:tc>
          <w:tcPr>
            <w:tcW w:w="1832" w:type="pct"/>
            <w:gridSpan w:val="2"/>
            <w:tcBorders>
              <w:top w:val="single" w:sz="4" w:space="0" w:color="000000"/>
              <w:left w:val="single" w:sz="4" w:space="0" w:color="000000"/>
              <w:bottom w:val="single" w:sz="4" w:space="0" w:color="000000"/>
              <w:right w:val="single" w:sz="4" w:space="0" w:color="000000"/>
            </w:tcBorders>
          </w:tcPr>
          <w:p w14:paraId="5101A68F" w14:textId="77777777" w:rsidR="00CC3207" w:rsidRPr="00F65520" w:rsidRDefault="00CC3207" w:rsidP="000808A1">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0,019</w:t>
            </w:r>
          </w:p>
        </w:tc>
      </w:tr>
      <w:tr w:rsidR="00DC33B1" w:rsidRPr="00F65520" w14:paraId="783F89A1" w14:textId="77777777" w:rsidTr="000808A1">
        <w:trPr>
          <w:trHeight w:val="379"/>
        </w:trPr>
        <w:tc>
          <w:tcPr>
            <w:tcW w:w="3168" w:type="pct"/>
            <w:gridSpan w:val="3"/>
            <w:tcBorders>
              <w:top w:val="single" w:sz="4" w:space="0" w:color="000000"/>
              <w:left w:val="single" w:sz="4" w:space="0" w:color="000000"/>
              <w:bottom w:val="single" w:sz="4" w:space="0" w:color="000000"/>
              <w:right w:val="nil"/>
            </w:tcBorders>
          </w:tcPr>
          <w:p w14:paraId="3C9CEE8B" w14:textId="77777777" w:rsidR="00CC3207" w:rsidRPr="00F65520" w:rsidRDefault="00CC3207"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b/>
                <w:sz w:val="22"/>
                <w:szCs w:val="22"/>
                <w:lang w:val="sr-Latn-ME"/>
              </w:rPr>
              <w:t>ACQ-6</w:t>
            </w:r>
          </w:p>
        </w:tc>
        <w:tc>
          <w:tcPr>
            <w:tcW w:w="1832" w:type="pct"/>
            <w:gridSpan w:val="2"/>
            <w:tcBorders>
              <w:top w:val="single" w:sz="4" w:space="0" w:color="000000"/>
              <w:left w:val="nil"/>
              <w:bottom w:val="single" w:sz="4" w:space="0" w:color="000000"/>
              <w:right w:val="single" w:sz="4" w:space="0" w:color="000000"/>
            </w:tcBorders>
          </w:tcPr>
          <w:p w14:paraId="6B781160" w14:textId="77777777" w:rsidR="00CC3207" w:rsidRPr="00F65520" w:rsidRDefault="00CC3207" w:rsidP="000808A1">
            <w:pPr>
              <w:tabs>
                <w:tab w:val="left" w:pos="284"/>
              </w:tabs>
              <w:spacing w:after="160" w:line="259" w:lineRule="auto"/>
              <w:jc w:val="both"/>
              <w:rPr>
                <w:rFonts w:ascii="Times New Roman" w:hAnsi="Times New Roman"/>
                <w:sz w:val="22"/>
                <w:szCs w:val="22"/>
                <w:lang w:val="sr-Latn-ME"/>
              </w:rPr>
            </w:pPr>
          </w:p>
        </w:tc>
      </w:tr>
      <w:tr w:rsidR="00DC33B1" w:rsidRPr="00F65520" w14:paraId="4F8AE731" w14:textId="77777777" w:rsidTr="00403080">
        <w:trPr>
          <w:trHeight w:val="638"/>
        </w:trPr>
        <w:tc>
          <w:tcPr>
            <w:tcW w:w="1336" w:type="pct"/>
            <w:tcBorders>
              <w:top w:val="single" w:sz="4" w:space="0" w:color="000000"/>
              <w:left w:val="single" w:sz="4" w:space="0" w:color="000000"/>
              <w:bottom w:val="single" w:sz="4" w:space="0" w:color="000000"/>
              <w:right w:val="single" w:sz="4" w:space="0" w:color="000000"/>
            </w:tcBorders>
          </w:tcPr>
          <w:p w14:paraId="388FEC23" w14:textId="77777777" w:rsidR="00CC3207" w:rsidRPr="00F65520" w:rsidRDefault="00CC3207" w:rsidP="00437B73">
            <w:pPr>
              <w:tabs>
                <w:tab w:val="left" w:pos="284"/>
              </w:tabs>
              <w:spacing w:line="259" w:lineRule="auto"/>
              <w:rPr>
                <w:rFonts w:ascii="Times New Roman" w:hAnsi="Times New Roman"/>
                <w:sz w:val="22"/>
                <w:szCs w:val="22"/>
                <w:lang w:val="sr-Latn-ME"/>
              </w:rPr>
            </w:pPr>
            <w:r w:rsidRPr="00F65520">
              <w:rPr>
                <w:rFonts w:ascii="Times New Roman" w:hAnsi="Times New Roman"/>
                <w:sz w:val="22"/>
                <w:szCs w:val="22"/>
                <w:lang w:val="sr-Latn-ME"/>
              </w:rPr>
              <w:t>Srednja početna vrijednost</w:t>
            </w:r>
          </w:p>
        </w:tc>
        <w:tc>
          <w:tcPr>
            <w:tcW w:w="893" w:type="pct"/>
            <w:tcBorders>
              <w:top w:val="single" w:sz="4" w:space="0" w:color="000000"/>
              <w:left w:val="single" w:sz="4" w:space="0" w:color="000000"/>
              <w:bottom w:val="single" w:sz="4" w:space="0" w:color="000000"/>
              <w:right w:val="single" w:sz="4" w:space="0" w:color="000000"/>
            </w:tcBorders>
          </w:tcPr>
          <w:p w14:paraId="0462BDEE" w14:textId="77777777" w:rsidR="00CC3207" w:rsidRPr="00F65520" w:rsidRDefault="00CC3207" w:rsidP="000808A1">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2,81</w:t>
            </w:r>
          </w:p>
        </w:tc>
        <w:tc>
          <w:tcPr>
            <w:tcW w:w="939" w:type="pct"/>
            <w:tcBorders>
              <w:top w:val="single" w:sz="4" w:space="0" w:color="000000"/>
              <w:left w:val="single" w:sz="4" w:space="0" w:color="000000"/>
              <w:bottom w:val="single" w:sz="4" w:space="0" w:color="000000"/>
              <w:right w:val="single" w:sz="4" w:space="0" w:color="000000"/>
            </w:tcBorders>
          </w:tcPr>
          <w:p w14:paraId="5B1D0450" w14:textId="77777777" w:rsidR="00CC3207" w:rsidRPr="00F65520" w:rsidRDefault="00CC3207" w:rsidP="000808A1">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2,90</w:t>
            </w:r>
          </w:p>
        </w:tc>
        <w:tc>
          <w:tcPr>
            <w:tcW w:w="904" w:type="pct"/>
            <w:tcBorders>
              <w:top w:val="single" w:sz="4" w:space="0" w:color="000000"/>
              <w:left w:val="single" w:sz="4" w:space="0" w:color="000000"/>
              <w:bottom w:val="single" w:sz="4" w:space="0" w:color="000000"/>
              <w:right w:val="single" w:sz="4" w:space="0" w:color="000000"/>
            </w:tcBorders>
          </w:tcPr>
          <w:p w14:paraId="033B5B64" w14:textId="77777777" w:rsidR="00CC3207" w:rsidRPr="00F65520" w:rsidRDefault="00CC3207" w:rsidP="000808A1">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2,80</w:t>
            </w:r>
          </w:p>
        </w:tc>
        <w:tc>
          <w:tcPr>
            <w:tcW w:w="928" w:type="pct"/>
            <w:tcBorders>
              <w:top w:val="single" w:sz="4" w:space="0" w:color="000000"/>
              <w:left w:val="single" w:sz="4" w:space="0" w:color="000000"/>
              <w:bottom w:val="single" w:sz="4" w:space="0" w:color="000000"/>
              <w:right w:val="single" w:sz="4" w:space="0" w:color="000000"/>
            </w:tcBorders>
          </w:tcPr>
          <w:p w14:paraId="172DB524" w14:textId="77777777" w:rsidR="00CC3207" w:rsidRPr="00F65520" w:rsidRDefault="00CC3207" w:rsidP="000808A1">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2,75</w:t>
            </w:r>
          </w:p>
        </w:tc>
      </w:tr>
      <w:tr w:rsidR="00DC33B1" w:rsidRPr="00F65520" w14:paraId="434E7F80" w14:textId="77777777" w:rsidTr="00403080">
        <w:trPr>
          <w:trHeight w:val="634"/>
        </w:trPr>
        <w:tc>
          <w:tcPr>
            <w:tcW w:w="1336" w:type="pct"/>
            <w:tcBorders>
              <w:top w:val="single" w:sz="4" w:space="0" w:color="000000"/>
              <w:left w:val="single" w:sz="4" w:space="0" w:color="000000"/>
              <w:bottom w:val="single" w:sz="4" w:space="0" w:color="000000"/>
              <w:right w:val="single" w:sz="4" w:space="0" w:color="000000"/>
            </w:tcBorders>
          </w:tcPr>
          <w:p w14:paraId="1ED42DBA" w14:textId="77777777" w:rsidR="00CC3207" w:rsidRPr="00F65520" w:rsidRDefault="00CC3207" w:rsidP="00437B73">
            <w:pPr>
              <w:tabs>
                <w:tab w:val="left" w:pos="284"/>
              </w:tabs>
              <w:spacing w:line="259" w:lineRule="auto"/>
              <w:rPr>
                <w:rFonts w:ascii="Times New Roman" w:hAnsi="Times New Roman"/>
                <w:sz w:val="22"/>
                <w:szCs w:val="22"/>
                <w:lang w:val="sr-Latn-ME"/>
              </w:rPr>
            </w:pPr>
            <w:r w:rsidRPr="00F65520">
              <w:rPr>
                <w:rFonts w:ascii="Times New Roman" w:hAnsi="Times New Roman"/>
                <w:sz w:val="22"/>
                <w:szCs w:val="22"/>
                <w:lang w:val="sr-Latn-ME"/>
              </w:rPr>
              <w:t>Poboljšanje od početne vrijednosti</w:t>
            </w:r>
          </w:p>
        </w:tc>
        <w:tc>
          <w:tcPr>
            <w:tcW w:w="893" w:type="pct"/>
            <w:tcBorders>
              <w:top w:val="single" w:sz="4" w:space="0" w:color="000000"/>
              <w:left w:val="single" w:sz="4" w:space="0" w:color="000000"/>
              <w:bottom w:val="single" w:sz="4" w:space="0" w:color="000000"/>
              <w:right w:val="single" w:sz="4" w:space="0" w:color="000000"/>
            </w:tcBorders>
          </w:tcPr>
          <w:p w14:paraId="4CEAF3C3" w14:textId="77777777" w:rsidR="00CC3207" w:rsidRPr="00F65520" w:rsidRDefault="00CC3207" w:rsidP="000808A1">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-1,46</w:t>
            </w:r>
          </w:p>
        </w:tc>
        <w:tc>
          <w:tcPr>
            <w:tcW w:w="939" w:type="pct"/>
            <w:tcBorders>
              <w:top w:val="single" w:sz="4" w:space="0" w:color="000000"/>
              <w:left w:val="single" w:sz="4" w:space="0" w:color="000000"/>
              <w:bottom w:val="single" w:sz="4" w:space="0" w:color="000000"/>
              <w:right w:val="single" w:sz="4" w:space="0" w:color="000000"/>
            </w:tcBorders>
          </w:tcPr>
          <w:p w14:paraId="6C966CB5" w14:textId="77777777" w:rsidR="00CC3207" w:rsidRPr="00F65520" w:rsidRDefault="00CC3207" w:rsidP="000808A1">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-1,17</w:t>
            </w:r>
          </w:p>
        </w:tc>
        <w:tc>
          <w:tcPr>
            <w:tcW w:w="904" w:type="pct"/>
            <w:tcBorders>
              <w:top w:val="single" w:sz="4" w:space="0" w:color="000000"/>
              <w:left w:val="single" w:sz="4" w:space="0" w:color="000000"/>
              <w:bottom w:val="single" w:sz="4" w:space="0" w:color="000000"/>
              <w:right w:val="single" w:sz="4" w:space="0" w:color="000000"/>
            </w:tcBorders>
          </w:tcPr>
          <w:p w14:paraId="61D55908" w14:textId="77777777" w:rsidR="00CC3207" w:rsidRPr="00F65520" w:rsidRDefault="00CC3207" w:rsidP="000808A1">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-1,44</w:t>
            </w:r>
          </w:p>
        </w:tc>
        <w:tc>
          <w:tcPr>
            <w:tcW w:w="928" w:type="pct"/>
            <w:tcBorders>
              <w:top w:val="single" w:sz="4" w:space="0" w:color="000000"/>
              <w:left w:val="single" w:sz="4" w:space="0" w:color="000000"/>
              <w:bottom w:val="single" w:sz="4" w:space="0" w:color="000000"/>
              <w:right w:val="single" w:sz="4" w:space="0" w:color="000000"/>
            </w:tcBorders>
          </w:tcPr>
          <w:p w14:paraId="50C57CB8" w14:textId="77777777" w:rsidR="00CC3207" w:rsidRPr="00F65520" w:rsidRDefault="00CC3207" w:rsidP="000808A1">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-1,19</w:t>
            </w:r>
          </w:p>
        </w:tc>
      </w:tr>
      <w:tr w:rsidR="00DC33B1" w:rsidRPr="00F65520" w14:paraId="567FCD25" w14:textId="77777777" w:rsidTr="000808A1">
        <w:trPr>
          <w:trHeight w:val="384"/>
        </w:trPr>
        <w:tc>
          <w:tcPr>
            <w:tcW w:w="1336" w:type="pct"/>
            <w:tcBorders>
              <w:top w:val="single" w:sz="4" w:space="0" w:color="000000"/>
              <w:left w:val="single" w:sz="4" w:space="0" w:color="000000"/>
              <w:bottom w:val="single" w:sz="4" w:space="0" w:color="000000"/>
              <w:right w:val="single" w:sz="4" w:space="0" w:color="000000"/>
            </w:tcBorders>
          </w:tcPr>
          <w:p w14:paraId="357E377A" w14:textId="77777777" w:rsidR="00CC3207" w:rsidRPr="00F65520" w:rsidRDefault="00CC3207"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Razlika (95% CI)</w:t>
            </w:r>
          </w:p>
        </w:tc>
        <w:tc>
          <w:tcPr>
            <w:tcW w:w="1832" w:type="pct"/>
            <w:gridSpan w:val="2"/>
            <w:tcBorders>
              <w:top w:val="single" w:sz="4" w:space="0" w:color="000000"/>
              <w:left w:val="single" w:sz="4" w:space="0" w:color="000000"/>
              <w:bottom w:val="single" w:sz="4" w:space="0" w:color="000000"/>
              <w:right w:val="single" w:sz="4" w:space="0" w:color="000000"/>
            </w:tcBorders>
          </w:tcPr>
          <w:p w14:paraId="46232554" w14:textId="77777777" w:rsidR="00CC3207" w:rsidRPr="00F65520" w:rsidRDefault="00CC3207" w:rsidP="000808A1">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-0,29 (-0,48; -0,10)</w:t>
            </w:r>
          </w:p>
        </w:tc>
        <w:tc>
          <w:tcPr>
            <w:tcW w:w="1832" w:type="pct"/>
            <w:gridSpan w:val="2"/>
            <w:tcBorders>
              <w:top w:val="single" w:sz="4" w:space="0" w:color="000000"/>
              <w:left w:val="single" w:sz="4" w:space="0" w:color="000000"/>
              <w:bottom w:val="single" w:sz="4" w:space="0" w:color="000000"/>
              <w:right w:val="single" w:sz="4" w:space="0" w:color="000000"/>
            </w:tcBorders>
          </w:tcPr>
          <w:p w14:paraId="4D5BD178" w14:textId="77777777" w:rsidR="00CC3207" w:rsidRPr="00F65520" w:rsidRDefault="00CC3207" w:rsidP="000808A1">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-0,25 (-0,44; -0,07)</w:t>
            </w:r>
          </w:p>
        </w:tc>
      </w:tr>
      <w:tr w:rsidR="00DC33B1" w:rsidRPr="00F65520" w14:paraId="23B08CC4" w14:textId="77777777" w:rsidTr="000808A1">
        <w:trPr>
          <w:trHeight w:val="384"/>
        </w:trPr>
        <w:tc>
          <w:tcPr>
            <w:tcW w:w="3168" w:type="pct"/>
            <w:gridSpan w:val="3"/>
            <w:tcBorders>
              <w:top w:val="single" w:sz="4" w:space="0" w:color="000000"/>
              <w:left w:val="single" w:sz="4" w:space="0" w:color="000000"/>
              <w:bottom w:val="single" w:sz="4" w:space="0" w:color="000000"/>
              <w:right w:val="nil"/>
            </w:tcBorders>
          </w:tcPr>
          <w:p w14:paraId="7FEDFB80" w14:textId="77777777" w:rsidR="00CC3207" w:rsidRPr="00F65520" w:rsidRDefault="00CC3207"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b/>
                <w:sz w:val="22"/>
                <w:szCs w:val="22"/>
                <w:lang w:val="sr-Latn-ME"/>
              </w:rPr>
              <w:t>AQLQ(S)+12</w:t>
            </w:r>
          </w:p>
        </w:tc>
        <w:tc>
          <w:tcPr>
            <w:tcW w:w="1832" w:type="pct"/>
            <w:gridSpan w:val="2"/>
            <w:tcBorders>
              <w:top w:val="single" w:sz="4" w:space="0" w:color="000000"/>
              <w:left w:val="nil"/>
              <w:bottom w:val="single" w:sz="4" w:space="0" w:color="000000"/>
              <w:right w:val="single" w:sz="4" w:space="0" w:color="000000"/>
            </w:tcBorders>
          </w:tcPr>
          <w:p w14:paraId="67D64F64" w14:textId="77777777" w:rsidR="00CC3207" w:rsidRPr="00F65520" w:rsidRDefault="00CC3207" w:rsidP="000808A1">
            <w:pPr>
              <w:tabs>
                <w:tab w:val="left" w:pos="284"/>
              </w:tabs>
              <w:spacing w:after="160" w:line="259" w:lineRule="auto"/>
              <w:jc w:val="both"/>
              <w:rPr>
                <w:rFonts w:ascii="Times New Roman" w:hAnsi="Times New Roman"/>
                <w:sz w:val="22"/>
                <w:szCs w:val="22"/>
                <w:lang w:val="sr-Latn-ME"/>
              </w:rPr>
            </w:pPr>
          </w:p>
        </w:tc>
      </w:tr>
      <w:tr w:rsidR="00DC33B1" w:rsidRPr="00F65520" w14:paraId="32BE64DC" w14:textId="77777777" w:rsidTr="00403080">
        <w:trPr>
          <w:trHeight w:val="634"/>
        </w:trPr>
        <w:tc>
          <w:tcPr>
            <w:tcW w:w="1336" w:type="pct"/>
            <w:tcBorders>
              <w:top w:val="single" w:sz="4" w:space="0" w:color="000000"/>
              <w:left w:val="single" w:sz="4" w:space="0" w:color="000000"/>
              <w:bottom w:val="single" w:sz="4" w:space="0" w:color="000000"/>
              <w:right w:val="single" w:sz="4" w:space="0" w:color="000000"/>
            </w:tcBorders>
          </w:tcPr>
          <w:p w14:paraId="47150216" w14:textId="77777777" w:rsidR="00CC3207" w:rsidRPr="00F65520" w:rsidRDefault="00CC3207" w:rsidP="00437B73">
            <w:pPr>
              <w:tabs>
                <w:tab w:val="left" w:pos="284"/>
              </w:tabs>
              <w:spacing w:line="259" w:lineRule="auto"/>
              <w:rPr>
                <w:rFonts w:ascii="Times New Roman" w:hAnsi="Times New Roman"/>
                <w:sz w:val="22"/>
                <w:szCs w:val="22"/>
                <w:lang w:val="sr-Latn-ME"/>
              </w:rPr>
            </w:pPr>
            <w:r w:rsidRPr="00F65520">
              <w:rPr>
                <w:rFonts w:ascii="Times New Roman" w:hAnsi="Times New Roman"/>
                <w:sz w:val="22"/>
                <w:szCs w:val="22"/>
                <w:lang w:val="sr-Latn-ME"/>
              </w:rPr>
              <w:t>Srednja početna vrijednost</w:t>
            </w:r>
          </w:p>
        </w:tc>
        <w:tc>
          <w:tcPr>
            <w:tcW w:w="893" w:type="pct"/>
            <w:tcBorders>
              <w:top w:val="single" w:sz="4" w:space="0" w:color="000000"/>
              <w:left w:val="single" w:sz="4" w:space="0" w:color="000000"/>
              <w:bottom w:val="single" w:sz="4" w:space="0" w:color="000000"/>
              <w:right w:val="single" w:sz="4" w:space="0" w:color="000000"/>
            </w:tcBorders>
          </w:tcPr>
          <w:p w14:paraId="0BFDD964" w14:textId="77777777" w:rsidR="00CC3207" w:rsidRPr="00F65520" w:rsidRDefault="00CC3207" w:rsidP="000808A1">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3,93</w:t>
            </w:r>
          </w:p>
        </w:tc>
        <w:tc>
          <w:tcPr>
            <w:tcW w:w="939" w:type="pct"/>
            <w:tcBorders>
              <w:top w:val="single" w:sz="4" w:space="0" w:color="000000"/>
              <w:left w:val="single" w:sz="4" w:space="0" w:color="000000"/>
              <w:bottom w:val="single" w:sz="4" w:space="0" w:color="000000"/>
              <w:right w:val="single" w:sz="4" w:space="0" w:color="000000"/>
            </w:tcBorders>
          </w:tcPr>
          <w:p w14:paraId="24898B2D" w14:textId="77777777" w:rsidR="00CC3207" w:rsidRPr="00F65520" w:rsidRDefault="00CC3207" w:rsidP="000808A1">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3,87</w:t>
            </w:r>
          </w:p>
        </w:tc>
        <w:tc>
          <w:tcPr>
            <w:tcW w:w="904" w:type="pct"/>
            <w:tcBorders>
              <w:top w:val="single" w:sz="4" w:space="0" w:color="000000"/>
              <w:left w:val="single" w:sz="4" w:space="0" w:color="000000"/>
              <w:bottom w:val="single" w:sz="4" w:space="0" w:color="000000"/>
              <w:right w:val="single" w:sz="4" w:space="0" w:color="000000"/>
            </w:tcBorders>
          </w:tcPr>
          <w:p w14:paraId="4BACF984" w14:textId="77777777" w:rsidR="00CC3207" w:rsidRPr="00F65520" w:rsidRDefault="00CC3207" w:rsidP="000808A1">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3,87</w:t>
            </w:r>
          </w:p>
        </w:tc>
        <w:tc>
          <w:tcPr>
            <w:tcW w:w="928" w:type="pct"/>
            <w:tcBorders>
              <w:top w:val="single" w:sz="4" w:space="0" w:color="000000"/>
              <w:left w:val="single" w:sz="4" w:space="0" w:color="000000"/>
              <w:bottom w:val="single" w:sz="4" w:space="0" w:color="000000"/>
              <w:right w:val="single" w:sz="4" w:space="0" w:color="000000"/>
            </w:tcBorders>
          </w:tcPr>
          <w:p w14:paraId="45ED1153" w14:textId="77777777" w:rsidR="00CC3207" w:rsidRPr="00F65520" w:rsidRDefault="00CC3207" w:rsidP="000808A1">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3,93</w:t>
            </w:r>
          </w:p>
        </w:tc>
      </w:tr>
      <w:tr w:rsidR="00DC33B1" w:rsidRPr="00F65520" w14:paraId="4176418B" w14:textId="77777777" w:rsidTr="00403080">
        <w:trPr>
          <w:trHeight w:val="638"/>
        </w:trPr>
        <w:tc>
          <w:tcPr>
            <w:tcW w:w="1336" w:type="pct"/>
            <w:tcBorders>
              <w:top w:val="single" w:sz="4" w:space="0" w:color="000000"/>
              <w:left w:val="single" w:sz="4" w:space="0" w:color="000000"/>
              <w:bottom w:val="single" w:sz="4" w:space="0" w:color="000000"/>
              <w:right w:val="single" w:sz="4" w:space="0" w:color="000000"/>
            </w:tcBorders>
          </w:tcPr>
          <w:p w14:paraId="4D301F3E" w14:textId="77777777" w:rsidR="00CC3207" w:rsidRPr="00F65520" w:rsidRDefault="00CC3207" w:rsidP="00437B73">
            <w:pPr>
              <w:tabs>
                <w:tab w:val="left" w:pos="284"/>
              </w:tabs>
              <w:spacing w:line="259" w:lineRule="auto"/>
              <w:rPr>
                <w:rFonts w:ascii="Times New Roman" w:hAnsi="Times New Roman"/>
                <w:sz w:val="22"/>
                <w:szCs w:val="22"/>
                <w:lang w:val="sr-Latn-ME"/>
              </w:rPr>
            </w:pPr>
            <w:r w:rsidRPr="00F65520">
              <w:rPr>
                <w:rFonts w:ascii="Times New Roman" w:hAnsi="Times New Roman"/>
                <w:sz w:val="22"/>
                <w:szCs w:val="22"/>
                <w:lang w:val="sr-Latn-ME"/>
              </w:rPr>
              <w:t>Poboljšanje od početne vrijednosti</w:t>
            </w:r>
          </w:p>
        </w:tc>
        <w:tc>
          <w:tcPr>
            <w:tcW w:w="893" w:type="pct"/>
            <w:tcBorders>
              <w:top w:val="single" w:sz="4" w:space="0" w:color="000000"/>
              <w:left w:val="single" w:sz="4" w:space="0" w:color="000000"/>
              <w:bottom w:val="single" w:sz="4" w:space="0" w:color="000000"/>
              <w:right w:val="single" w:sz="4" w:space="0" w:color="000000"/>
            </w:tcBorders>
          </w:tcPr>
          <w:p w14:paraId="4A2B66C3" w14:textId="77777777" w:rsidR="00CC3207" w:rsidRPr="00F65520" w:rsidRDefault="00CC3207" w:rsidP="000808A1">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1,56</w:t>
            </w:r>
          </w:p>
        </w:tc>
        <w:tc>
          <w:tcPr>
            <w:tcW w:w="939" w:type="pct"/>
            <w:tcBorders>
              <w:top w:val="single" w:sz="4" w:space="0" w:color="000000"/>
              <w:left w:val="single" w:sz="4" w:space="0" w:color="000000"/>
              <w:bottom w:val="single" w:sz="4" w:space="0" w:color="000000"/>
              <w:right w:val="single" w:sz="4" w:space="0" w:color="000000"/>
            </w:tcBorders>
          </w:tcPr>
          <w:p w14:paraId="7E122D7D" w14:textId="77777777" w:rsidR="00CC3207" w:rsidRPr="00F65520" w:rsidRDefault="00CC3207" w:rsidP="000808A1">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1,26</w:t>
            </w:r>
          </w:p>
        </w:tc>
        <w:tc>
          <w:tcPr>
            <w:tcW w:w="904" w:type="pct"/>
            <w:tcBorders>
              <w:top w:val="single" w:sz="4" w:space="0" w:color="000000"/>
              <w:left w:val="single" w:sz="4" w:space="0" w:color="000000"/>
              <w:bottom w:val="single" w:sz="4" w:space="0" w:color="000000"/>
              <w:right w:val="single" w:sz="4" w:space="0" w:color="000000"/>
            </w:tcBorders>
          </w:tcPr>
          <w:p w14:paraId="1A680EC5" w14:textId="77777777" w:rsidR="00CC3207" w:rsidRPr="00F65520" w:rsidRDefault="00CC3207" w:rsidP="000808A1">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1,56</w:t>
            </w:r>
          </w:p>
        </w:tc>
        <w:tc>
          <w:tcPr>
            <w:tcW w:w="928" w:type="pct"/>
            <w:tcBorders>
              <w:top w:val="single" w:sz="4" w:space="0" w:color="000000"/>
              <w:left w:val="single" w:sz="4" w:space="0" w:color="000000"/>
              <w:bottom w:val="single" w:sz="4" w:space="0" w:color="000000"/>
              <w:right w:val="single" w:sz="4" w:space="0" w:color="000000"/>
            </w:tcBorders>
          </w:tcPr>
          <w:p w14:paraId="250B66DF" w14:textId="77777777" w:rsidR="00CC3207" w:rsidRPr="00F65520" w:rsidRDefault="00CC3207" w:rsidP="000808A1">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1,31</w:t>
            </w:r>
          </w:p>
        </w:tc>
      </w:tr>
      <w:tr w:rsidR="00DC33B1" w:rsidRPr="00F65520" w14:paraId="6A67122D" w14:textId="77777777" w:rsidTr="000808A1">
        <w:trPr>
          <w:trHeight w:val="384"/>
        </w:trPr>
        <w:tc>
          <w:tcPr>
            <w:tcW w:w="1336" w:type="pct"/>
            <w:tcBorders>
              <w:top w:val="single" w:sz="4" w:space="0" w:color="000000"/>
              <w:left w:val="single" w:sz="4" w:space="0" w:color="000000"/>
              <w:bottom w:val="single" w:sz="4" w:space="0" w:color="000000"/>
              <w:right w:val="single" w:sz="4" w:space="0" w:color="000000"/>
            </w:tcBorders>
          </w:tcPr>
          <w:p w14:paraId="70BD44BD" w14:textId="77777777" w:rsidR="00CC3207" w:rsidRPr="00F65520" w:rsidRDefault="00CC3207"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Razlika (95% CI)</w:t>
            </w:r>
          </w:p>
        </w:tc>
        <w:tc>
          <w:tcPr>
            <w:tcW w:w="1832" w:type="pct"/>
            <w:gridSpan w:val="2"/>
            <w:tcBorders>
              <w:top w:val="single" w:sz="4" w:space="0" w:color="000000"/>
              <w:left w:val="single" w:sz="4" w:space="0" w:color="000000"/>
              <w:bottom w:val="single" w:sz="4" w:space="0" w:color="000000"/>
              <w:right w:val="single" w:sz="4" w:space="0" w:color="000000"/>
            </w:tcBorders>
          </w:tcPr>
          <w:p w14:paraId="2802FF4C" w14:textId="77777777" w:rsidR="00CC3207" w:rsidRPr="00F65520" w:rsidRDefault="00CC3207" w:rsidP="000808A1">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0,30 (0,10; 0,50)</w:t>
            </w:r>
          </w:p>
        </w:tc>
        <w:tc>
          <w:tcPr>
            <w:tcW w:w="1832" w:type="pct"/>
            <w:gridSpan w:val="2"/>
            <w:tcBorders>
              <w:top w:val="single" w:sz="4" w:space="0" w:color="000000"/>
              <w:left w:val="single" w:sz="4" w:space="0" w:color="000000"/>
              <w:bottom w:val="single" w:sz="4" w:space="0" w:color="000000"/>
              <w:right w:val="single" w:sz="4" w:space="0" w:color="000000"/>
            </w:tcBorders>
          </w:tcPr>
          <w:p w14:paraId="1608CB2C" w14:textId="77777777" w:rsidR="00CC3207" w:rsidRPr="00F65520" w:rsidRDefault="00CC3207" w:rsidP="000808A1">
            <w:pPr>
              <w:tabs>
                <w:tab w:val="left" w:pos="284"/>
              </w:tabs>
              <w:spacing w:line="259" w:lineRule="auto"/>
              <w:jc w:val="center"/>
              <w:rPr>
                <w:rFonts w:ascii="Times New Roman" w:hAnsi="Times New Roman"/>
                <w:sz w:val="22"/>
                <w:szCs w:val="22"/>
                <w:lang w:val="sr-Latn-ME"/>
              </w:rPr>
            </w:pPr>
            <w:r w:rsidRPr="00F65520">
              <w:rPr>
                <w:rFonts w:ascii="Times New Roman" w:hAnsi="Times New Roman"/>
                <w:sz w:val="22"/>
                <w:szCs w:val="22"/>
                <w:lang w:val="sr-Latn-ME"/>
              </w:rPr>
              <w:t>0,24 (0,04; 0,45)</w:t>
            </w:r>
          </w:p>
        </w:tc>
      </w:tr>
    </w:tbl>
    <w:p w14:paraId="1919D6CC" w14:textId="64017983" w:rsidR="00403080" w:rsidRPr="00F65520" w:rsidRDefault="00403080" w:rsidP="00403080">
      <w:pPr>
        <w:tabs>
          <w:tab w:val="left" w:pos="284"/>
        </w:tabs>
        <w:jc w:val="both"/>
        <w:rPr>
          <w:bCs/>
          <w:sz w:val="22"/>
          <w:szCs w:val="22"/>
          <w:lang w:val="sr-Latn-ME"/>
        </w:rPr>
      </w:pPr>
      <w:r w:rsidRPr="00F65520">
        <w:rPr>
          <w:bCs/>
          <w:sz w:val="22"/>
          <w:szCs w:val="22"/>
          <w:vertAlign w:val="superscript"/>
          <w:lang w:val="sr-Latn-ME"/>
        </w:rPr>
        <w:t>a</w:t>
      </w:r>
      <w:r w:rsidRPr="00F65520">
        <w:rPr>
          <w:bCs/>
          <w:sz w:val="22"/>
          <w:szCs w:val="22"/>
          <w:lang w:val="sr-Latn-ME"/>
        </w:rPr>
        <w:t xml:space="preserve"> Broj pacijenata (n) neznatno se razlikuje zbog broja pacijenata za koje su bili dostupni podaci za svaku pojedinu varijablu. Navedeni </w:t>
      </w:r>
      <w:r w:rsidR="006D56C5" w:rsidRPr="00F65520">
        <w:rPr>
          <w:bCs/>
          <w:sz w:val="22"/>
          <w:szCs w:val="22"/>
          <w:lang w:val="sr-Latn-ME"/>
        </w:rPr>
        <w:t xml:space="preserve">rezultati </w:t>
      </w:r>
      <w:r w:rsidRPr="00F65520">
        <w:rPr>
          <w:bCs/>
          <w:sz w:val="22"/>
          <w:szCs w:val="22"/>
          <w:lang w:val="sr-Latn-ME"/>
        </w:rPr>
        <w:t>zasnovani su na posl</w:t>
      </w:r>
      <w:r w:rsidR="00EB4260" w:rsidRPr="00F65520">
        <w:rPr>
          <w:bCs/>
          <w:sz w:val="22"/>
          <w:szCs w:val="22"/>
          <w:lang w:val="sr-Latn-ME"/>
        </w:rPr>
        <w:t>j</w:t>
      </w:r>
      <w:r w:rsidRPr="00F65520">
        <w:rPr>
          <w:bCs/>
          <w:sz w:val="22"/>
          <w:szCs w:val="22"/>
          <w:lang w:val="sr-Latn-ME"/>
        </w:rPr>
        <w:t>ednjim dostupnim podacima za svaku varijablu.</w:t>
      </w:r>
    </w:p>
    <w:p w14:paraId="0F521DBD" w14:textId="77777777" w:rsidR="00403080" w:rsidRPr="00F65520" w:rsidRDefault="00403080" w:rsidP="00403080">
      <w:pPr>
        <w:tabs>
          <w:tab w:val="left" w:pos="284"/>
        </w:tabs>
        <w:jc w:val="both"/>
        <w:rPr>
          <w:bCs/>
          <w:sz w:val="22"/>
          <w:szCs w:val="22"/>
          <w:lang w:val="sr-Latn-ME"/>
        </w:rPr>
      </w:pPr>
      <w:r w:rsidRPr="00F65520">
        <w:rPr>
          <w:bCs/>
          <w:sz w:val="22"/>
          <w:szCs w:val="22"/>
          <w:vertAlign w:val="superscript"/>
          <w:lang w:val="sr-Latn-ME"/>
        </w:rPr>
        <w:t>b</w:t>
      </w:r>
      <w:r w:rsidRPr="00F65520">
        <w:rPr>
          <w:bCs/>
          <w:sz w:val="22"/>
          <w:szCs w:val="22"/>
          <w:lang w:val="sr-Latn-ME"/>
        </w:rPr>
        <w:t xml:space="preserve"> Skala za ocjenjivanje simptoma astme: ukupan rezultat kreće se od 0 (najmanje) do 6 (najviše), dok se rezultat za dnevne i noćne simptome astme kreće od 0 (najmanje) do 3 (najviše). Pojedinačni rezultati za dnevne i noćne simptome bili su slični. </w:t>
      </w:r>
    </w:p>
    <w:p w14:paraId="5C4B9607" w14:textId="77777777" w:rsidR="00403080" w:rsidRPr="00F65520" w:rsidRDefault="00403080" w:rsidP="00403080">
      <w:pPr>
        <w:tabs>
          <w:tab w:val="left" w:pos="284"/>
        </w:tabs>
        <w:jc w:val="both"/>
        <w:rPr>
          <w:b/>
          <w:bCs/>
          <w:sz w:val="22"/>
          <w:szCs w:val="22"/>
          <w:lang w:val="sr-Latn-ME"/>
        </w:rPr>
      </w:pPr>
    </w:p>
    <w:p w14:paraId="5AC7777D" w14:textId="44491383" w:rsidR="00403080" w:rsidRPr="00F65520" w:rsidRDefault="00403080" w:rsidP="00403080">
      <w:pPr>
        <w:tabs>
          <w:tab w:val="left" w:pos="284"/>
        </w:tabs>
        <w:jc w:val="both"/>
        <w:rPr>
          <w:bCs/>
          <w:sz w:val="22"/>
          <w:szCs w:val="22"/>
          <w:lang w:val="sr-Latn-ME"/>
        </w:rPr>
      </w:pPr>
      <w:r w:rsidRPr="00F65520">
        <w:rPr>
          <w:bCs/>
          <w:sz w:val="22"/>
          <w:szCs w:val="22"/>
          <w:lang w:val="sr-Latn-ME"/>
        </w:rPr>
        <w:t xml:space="preserve">Analiza podgrupe prema egzacerbacijama u </w:t>
      </w:r>
      <w:r w:rsidR="003A219E" w:rsidRPr="00F65520">
        <w:rPr>
          <w:bCs/>
          <w:sz w:val="22"/>
          <w:szCs w:val="22"/>
          <w:lang w:val="sr-Latn-ME"/>
        </w:rPr>
        <w:t>anamnezi</w:t>
      </w:r>
    </w:p>
    <w:p w14:paraId="313FD44C" w14:textId="77777777" w:rsidR="00403080" w:rsidRPr="00F65520" w:rsidRDefault="00403080" w:rsidP="00403080">
      <w:pPr>
        <w:tabs>
          <w:tab w:val="left" w:pos="284"/>
        </w:tabs>
        <w:jc w:val="both"/>
        <w:rPr>
          <w:bCs/>
          <w:sz w:val="22"/>
          <w:szCs w:val="22"/>
          <w:lang w:val="sr-Latn-ME"/>
        </w:rPr>
      </w:pPr>
    </w:p>
    <w:p w14:paraId="78C031EF" w14:textId="279F8D0E" w:rsidR="00403080" w:rsidRPr="00F65520" w:rsidRDefault="006D56C5" w:rsidP="00403080">
      <w:pPr>
        <w:tabs>
          <w:tab w:val="left" w:pos="284"/>
        </w:tabs>
        <w:jc w:val="both"/>
        <w:rPr>
          <w:bCs/>
          <w:sz w:val="22"/>
          <w:szCs w:val="22"/>
          <w:lang w:val="sr-Latn-ME"/>
        </w:rPr>
      </w:pPr>
      <w:r w:rsidRPr="00F65520">
        <w:rPr>
          <w:bCs/>
          <w:sz w:val="22"/>
          <w:szCs w:val="22"/>
          <w:lang w:val="sr-Latn-ME"/>
        </w:rPr>
        <w:t xml:space="preserve">Analize </w:t>
      </w:r>
      <w:r w:rsidR="00403080" w:rsidRPr="00F65520">
        <w:rPr>
          <w:bCs/>
          <w:sz w:val="22"/>
          <w:szCs w:val="22"/>
          <w:lang w:val="sr-Latn-ME"/>
        </w:rPr>
        <w:t xml:space="preserve">podgrupe iz Ispitivanja 1 i 2 pokazale su da je veći broj egzacerbacija u </w:t>
      </w:r>
      <w:r w:rsidR="009130F5" w:rsidRPr="00F65520">
        <w:rPr>
          <w:bCs/>
          <w:sz w:val="22"/>
          <w:szCs w:val="22"/>
          <w:lang w:val="sr-Latn-ME"/>
        </w:rPr>
        <w:t xml:space="preserve">anamnezi </w:t>
      </w:r>
      <w:r w:rsidR="00403080" w:rsidRPr="00F65520">
        <w:rPr>
          <w:bCs/>
          <w:sz w:val="22"/>
          <w:szCs w:val="22"/>
          <w:lang w:val="sr-Latn-ME"/>
        </w:rPr>
        <w:t>pacijenata potencijalni prediktor boljeg odgovora na liječenje. Kada se razmatraju samostalno ili u kombinaciji sa početnim brojem eozinofila u krvi, ti faktori mogu dodatno ukazati na pacijente koji bi mogli ostvariti bolji odgovor na liječenje benralizumabom (</w:t>
      </w:r>
      <w:r w:rsidR="00403080" w:rsidRPr="00F65520">
        <w:rPr>
          <w:b/>
          <w:bCs/>
          <w:sz w:val="22"/>
          <w:szCs w:val="22"/>
          <w:lang w:val="sr-Latn-ME"/>
        </w:rPr>
        <w:t>Tabela 4</w:t>
      </w:r>
      <w:r w:rsidR="00403080" w:rsidRPr="00F65520">
        <w:rPr>
          <w:bCs/>
          <w:sz w:val="22"/>
          <w:szCs w:val="22"/>
          <w:lang w:val="sr-Latn-ME"/>
        </w:rPr>
        <w:t>).</w:t>
      </w:r>
    </w:p>
    <w:p w14:paraId="0048A539" w14:textId="77777777" w:rsidR="00403080" w:rsidRPr="00F65520" w:rsidRDefault="00403080" w:rsidP="00403080">
      <w:pPr>
        <w:tabs>
          <w:tab w:val="left" w:pos="284"/>
        </w:tabs>
        <w:jc w:val="both"/>
        <w:rPr>
          <w:bCs/>
          <w:sz w:val="22"/>
          <w:szCs w:val="22"/>
          <w:lang w:val="sr-Latn-ME"/>
        </w:rPr>
      </w:pPr>
    </w:p>
    <w:p w14:paraId="7DF737DF" w14:textId="35B68C3D" w:rsidR="00403080" w:rsidRPr="00F65520" w:rsidRDefault="00403080" w:rsidP="00403080">
      <w:pPr>
        <w:tabs>
          <w:tab w:val="left" w:pos="284"/>
        </w:tabs>
        <w:jc w:val="both"/>
        <w:rPr>
          <w:rFonts w:eastAsia="TimesNewRoman"/>
          <w:b/>
          <w:sz w:val="22"/>
          <w:szCs w:val="22"/>
          <w:lang w:val="sr-Latn-ME"/>
        </w:rPr>
      </w:pPr>
      <w:r w:rsidRPr="00F65520">
        <w:rPr>
          <w:b/>
          <w:bCs/>
          <w:sz w:val="22"/>
          <w:szCs w:val="22"/>
          <w:lang w:val="sr-Latn-ME"/>
        </w:rPr>
        <w:t>Tabela 4. Stopa egzacerbacija i plućna funkcija (FEV</w:t>
      </w:r>
      <w:r w:rsidRPr="00F65520">
        <w:rPr>
          <w:b/>
          <w:bCs/>
          <w:sz w:val="22"/>
          <w:szCs w:val="22"/>
          <w:vertAlign w:val="subscript"/>
          <w:lang w:val="sr-Latn-ME"/>
        </w:rPr>
        <w:t>1</w:t>
      </w:r>
      <w:r w:rsidRPr="00F65520">
        <w:rPr>
          <w:b/>
          <w:bCs/>
          <w:sz w:val="22"/>
          <w:szCs w:val="22"/>
          <w:lang w:val="sr-Latn-ME"/>
        </w:rPr>
        <w:t xml:space="preserve">) na kraju liječenja prema broju egzacerbacija u prethodnih godinu dana - pacijenti liječeni velikim dozama IKS-a kojima je broj eozinofila u krvi iznosio </w:t>
      </w:r>
      <w:r w:rsidRPr="00F65520">
        <w:rPr>
          <w:rFonts w:eastAsia="TimesNewRoman"/>
          <w:b/>
          <w:sz w:val="22"/>
          <w:szCs w:val="22"/>
          <w:lang w:val="sr-Latn-ME"/>
        </w:rPr>
        <w:t>≥ 300 ćelija/</w:t>
      </w:r>
      <w:r w:rsidR="00504100" w:rsidRPr="00F65520">
        <w:rPr>
          <w:rFonts w:eastAsia="TimesNewRoman"/>
          <w:b/>
          <w:sz w:val="22"/>
          <w:szCs w:val="22"/>
          <w:lang w:val="sr-Latn-ME"/>
        </w:rPr>
        <w:t>μ</w:t>
      </w:r>
      <w:r w:rsidR="00F61E80" w:rsidRPr="00F65520">
        <w:rPr>
          <w:rFonts w:eastAsia="TimesNewRoman"/>
          <w:b/>
          <w:sz w:val="22"/>
          <w:szCs w:val="22"/>
          <w:lang w:val="sr-Latn-ME"/>
        </w:rPr>
        <w:t>l</w:t>
      </w:r>
    </w:p>
    <w:p w14:paraId="102760C0" w14:textId="77777777" w:rsidR="00403080" w:rsidRPr="00F65520" w:rsidRDefault="00403080" w:rsidP="00403080">
      <w:pPr>
        <w:tabs>
          <w:tab w:val="left" w:pos="284"/>
        </w:tabs>
        <w:jc w:val="both"/>
        <w:rPr>
          <w:rFonts w:eastAsia="TimesNewRoman"/>
          <w:b/>
          <w:sz w:val="22"/>
          <w:szCs w:val="22"/>
          <w:lang w:val="sr-Latn-ME"/>
        </w:rPr>
      </w:pPr>
    </w:p>
    <w:tbl>
      <w:tblPr>
        <w:tblStyle w:val="TableGrid0"/>
        <w:tblW w:w="5000" w:type="pct"/>
        <w:tblInd w:w="0" w:type="dxa"/>
        <w:tblCellMar>
          <w:top w:w="49" w:type="dxa"/>
          <w:left w:w="110" w:type="dxa"/>
          <w:right w:w="24" w:type="dxa"/>
        </w:tblCellMar>
        <w:tblLook w:val="04A0" w:firstRow="1" w:lastRow="0" w:firstColumn="1" w:lastColumn="0" w:noHBand="0" w:noVBand="1"/>
      </w:tblPr>
      <w:tblGrid>
        <w:gridCol w:w="2060"/>
        <w:gridCol w:w="1713"/>
        <w:gridCol w:w="167"/>
        <w:gridCol w:w="1494"/>
        <w:gridCol w:w="1813"/>
        <w:gridCol w:w="1816"/>
      </w:tblGrid>
      <w:tr w:rsidR="00DC33B1" w:rsidRPr="00F65520" w14:paraId="4A5D9F98" w14:textId="77777777" w:rsidTr="000808A1">
        <w:trPr>
          <w:trHeight w:val="293"/>
        </w:trPr>
        <w:tc>
          <w:tcPr>
            <w:tcW w:w="1137" w:type="pct"/>
            <w:vMerge w:val="restart"/>
            <w:tcBorders>
              <w:top w:val="single" w:sz="4" w:space="0" w:color="000000"/>
              <w:left w:val="single" w:sz="4" w:space="0" w:color="000000"/>
              <w:bottom w:val="single" w:sz="4" w:space="0" w:color="000000"/>
              <w:right w:val="single" w:sz="4" w:space="0" w:color="000000"/>
            </w:tcBorders>
          </w:tcPr>
          <w:p w14:paraId="51B7557B" w14:textId="77777777" w:rsidR="00403080" w:rsidRPr="00F65520" w:rsidRDefault="00403080" w:rsidP="000808A1">
            <w:pPr>
              <w:tabs>
                <w:tab w:val="left" w:pos="284"/>
              </w:tabs>
              <w:spacing w:after="160" w:line="259" w:lineRule="auto"/>
              <w:jc w:val="both"/>
              <w:rPr>
                <w:rFonts w:ascii="Times New Roman" w:hAnsi="Times New Roman"/>
                <w:sz w:val="22"/>
                <w:szCs w:val="22"/>
                <w:lang w:val="sr-Latn-ME"/>
              </w:rPr>
            </w:pPr>
          </w:p>
        </w:tc>
        <w:tc>
          <w:tcPr>
            <w:tcW w:w="1861" w:type="pct"/>
            <w:gridSpan w:val="3"/>
            <w:tcBorders>
              <w:top w:val="single" w:sz="4" w:space="0" w:color="000000"/>
              <w:left w:val="single" w:sz="4" w:space="0" w:color="000000"/>
              <w:bottom w:val="single" w:sz="4" w:space="0" w:color="000000"/>
              <w:right w:val="single" w:sz="4" w:space="0" w:color="000000"/>
            </w:tcBorders>
          </w:tcPr>
          <w:p w14:paraId="01571E36" w14:textId="77777777" w:rsidR="00403080" w:rsidRPr="00F65520" w:rsidRDefault="00403080" w:rsidP="000808A1">
            <w:pPr>
              <w:tabs>
                <w:tab w:val="left" w:pos="284"/>
              </w:tabs>
              <w:spacing w:line="259" w:lineRule="auto"/>
              <w:ind w:right="87"/>
              <w:jc w:val="center"/>
              <w:rPr>
                <w:rFonts w:ascii="Times New Roman" w:hAnsi="Times New Roman"/>
                <w:sz w:val="22"/>
                <w:szCs w:val="22"/>
                <w:lang w:val="sr-Latn-ME"/>
              </w:rPr>
            </w:pPr>
            <w:r w:rsidRPr="00F65520">
              <w:rPr>
                <w:rFonts w:ascii="Times New Roman" w:hAnsi="Times New Roman"/>
                <w:b/>
                <w:sz w:val="22"/>
                <w:szCs w:val="22"/>
                <w:lang w:val="sr-Latn-ME"/>
              </w:rPr>
              <w:t>Ispitivanje 1</w:t>
            </w:r>
          </w:p>
        </w:tc>
        <w:tc>
          <w:tcPr>
            <w:tcW w:w="2003" w:type="pct"/>
            <w:gridSpan w:val="2"/>
            <w:tcBorders>
              <w:top w:val="single" w:sz="4" w:space="0" w:color="000000"/>
              <w:left w:val="single" w:sz="4" w:space="0" w:color="000000"/>
              <w:bottom w:val="single" w:sz="4" w:space="0" w:color="000000"/>
              <w:right w:val="single" w:sz="4" w:space="0" w:color="000000"/>
            </w:tcBorders>
          </w:tcPr>
          <w:p w14:paraId="062EBEE2" w14:textId="77777777" w:rsidR="00403080" w:rsidRPr="00F65520" w:rsidRDefault="00403080" w:rsidP="000808A1">
            <w:pPr>
              <w:tabs>
                <w:tab w:val="left" w:pos="284"/>
              </w:tabs>
              <w:spacing w:line="259" w:lineRule="auto"/>
              <w:ind w:right="87"/>
              <w:jc w:val="center"/>
              <w:rPr>
                <w:rFonts w:ascii="Times New Roman" w:hAnsi="Times New Roman"/>
                <w:sz w:val="22"/>
                <w:szCs w:val="22"/>
                <w:lang w:val="sr-Latn-ME"/>
              </w:rPr>
            </w:pPr>
            <w:r w:rsidRPr="00F65520">
              <w:rPr>
                <w:rFonts w:ascii="Times New Roman" w:hAnsi="Times New Roman"/>
                <w:b/>
                <w:sz w:val="22"/>
                <w:szCs w:val="22"/>
                <w:lang w:val="sr-Latn-ME"/>
              </w:rPr>
              <w:t>Ispitivanje 2</w:t>
            </w:r>
          </w:p>
        </w:tc>
      </w:tr>
      <w:tr w:rsidR="00DC33B1" w:rsidRPr="00F65520" w14:paraId="3FE88C34" w14:textId="77777777" w:rsidTr="000808A1">
        <w:trPr>
          <w:trHeight w:val="518"/>
        </w:trPr>
        <w:tc>
          <w:tcPr>
            <w:tcW w:w="1137" w:type="pct"/>
            <w:vMerge/>
            <w:tcBorders>
              <w:top w:val="nil"/>
              <w:left w:val="single" w:sz="4" w:space="0" w:color="000000"/>
              <w:bottom w:val="single" w:sz="4" w:space="0" w:color="000000"/>
              <w:right w:val="single" w:sz="4" w:space="0" w:color="000000"/>
            </w:tcBorders>
          </w:tcPr>
          <w:p w14:paraId="04C0781A" w14:textId="77777777" w:rsidR="00403080" w:rsidRPr="00F65520" w:rsidRDefault="00403080" w:rsidP="000808A1">
            <w:pPr>
              <w:tabs>
                <w:tab w:val="left" w:pos="284"/>
              </w:tabs>
              <w:spacing w:after="160" w:line="259" w:lineRule="auto"/>
              <w:jc w:val="both"/>
              <w:rPr>
                <w:rFonts w:ascii="Times New Roman" w:hAnsi="Times New Roman"/>
                <w:sz w:val="22"/>
                <w:szCs w:val="22"/>
                <w:lang w:val="sr-Latn-ME"/>
              </w:rPr>
            </w:pPr>
          </w:p>
        </w:tc>
        <w:tc>
          <w:tcPr>
            <w:tcW w:w="945" w:type="pct"/>
            <w:tcBorders>
              <w:top w:val="single" w:sz="4" w:space="0" w:color="000000"/>
              <w:left w:val="single" w:sz="4" w:space="0" w:color="000000"/>
              <w:bottom w:val="single" w:sz="4" w:space="0" w:color="000000"/>
              <w:right w:val="single" w:sz="4" w:space="0" w:color="000000"/>
            </w:tcBorders>
          </w:tcPr>
          <w:p w14:paraId="40A354BF" w14:textId="5CE0A99A" w:rsidR="00403080" w:rsidRPr="00F65520" w:rsidRDefault="00E87787" w:rsidP="000808A1">
            <w:pPr>
              <w:tabs>
                <w:tab w:val="left" w:pos="284"/>
              </w:tabs>
              <w:spacing w:line="259" w:lineRule="auto"/>
              <w:ind w:right="80"/>
              <w:jc w:val="center"/>
              <w:rPr>
                <w:rFonts w:ascii="Times New Roman" w:hAnsi="Times New Roman"/>
                <w:sz w:val="22"/>
                <w:szCs w:val="22"/>
                <w:lang w:val="sr-Latn-ME"/>
              </w:rPr>
            </w:pPr>
            <w:r w:rsidRPr="00F65520">
              <w:rPr>
                <w:rFonts w:eastAsia="TimesNewRoman"/>
                <w:sz w:val="22"/>
                <w:szCs w:val="22"/>
                <w:lang w:val="sr-Latn-ME"/>
              </w:rPr>
              <w:t>Benralizumab</w:t>
            </w:r>
            <w:r w:rsidRPr="00F65520" w:rsidDel="00E87787">
              <w:rPr>
                <w:rFonts w:eastAsia="TimesNewRoman"/>
                <w:sz w:val="22"/>
                <w:szCs w:val="22"/>
                <w:lang w:val="sr-Latn-ME"/>
              </w:rPr>
              <w:t xml:space="preserve"> </w:t>
            </w:r>
            <w:r w:rsidR="00403080" w:rsidRPr="00F65520">
              <w:rPr>
                <w:rFonts w:ascii="Times New Roman" w:hAnsi="Times New Roman"/>
                <w:sz w:val="22"/>
                <w:szCs w:val="22"/>
                <w:lang w:val="sr-Latn-ME"/>
              </w:rPr>
              <w:t>(N = 267)</w:t>
            </w:r>
          </w:p>
        </w:tc>
        <w:tc>
          <w:tcPr>
            <w:tcW w:w="916" w:type="pct"/>
            <w:gridSpan w:val="2"/>
            <w:tcBorders>
              <w:top w:val="single" w:sz="4" w:space="0" w:color="000000"/>
              <w:left w:val="single" w:sz="4" w:space="0" w:color="000000"/>
              <w:bottom w:val="single" w:sz="4" w:space="0" w:color="000000"/>
              <w:right w:val="single" w:sz="4" w:space="0" w:color="000000"/>
            </w:tcBorders>
          </w:tcPr>
          <w:p w14:paraId="54F6F236" w14:textId="77777777" w:rsidR="00403080" w:rsidRPr="00F65520" w:rsidRDefault="00403080" w:rsidP="000808A1">
            <w:pPr>
              <w:tabs>
                <w:tab w:val="left" w:pos="284"/>
              </w:tabs>
              <w:spacing w:after="5" w:line="259" w:lineRule="auto"/>
              <w:ind w:right="82"/>
              <w:jc w:val="center"/>
              <w:rPr>
                <w:rFonts w:ascii="Times New Roman" w:hAnsi="Times New Roman"/>
                <w:b/>
                <w:sz w:val="22"/>
                <w:szCs w:val="22"/>
                <w:lang w:val="sr-Latn-ME"/>
              </w:rPr>
            </w:pPr>
            <w:r w:rsidRPr="00F65520">
              <w:rPr>
                <w:rFonts w:ascii="Times New Roman" w:hAnsi="Times New Roman"/>
                <w:b/>
                <w:sz w:val="22"/>
                <w:szCs w:val="22"/>
                <w:lang w:val="sr-Latn-ME"/>
              </w:rPr>
              <w:t>Placebo</w:t>
            </w:r>
          </w:p>
          <w:p w14:paraId="20B6DEC1" w14:textId="77777777" w:rsidR="00403080" w:rsidRPr="00F65520" w:rsidRDefault="00403080" w:rsidP="000808A1">
            <w:pPr>
              <w:tabs>
                <w:tab w:val="left" w:pos="284"/>
              </w:tabs>
              <w:spacing w:line="259" w:lineRule="auto"/>
              <w:ind w:right="75"/>
              <w:jc w:val="center"/>
              <w:rPr>
                <w:rFonts w:ascii="Times New Roman" w:hAnsi="Times New Roman"/>
                <w:sz w:val="22"/>
                <w:szCs w:val="22"/>
                <w:lang w:val="sr-Latn-ME"/>
              </w:rPr>
            </w:pPr>
            <w:r w:rsidRPr="00F65520">
              <w:rPr>
                <w:rFonts w:ascii="Times New Roman" w:hAnsi="Times New Roman"/>
                <w:sz w:val="22"/>
                <w:szCs w:val="22"/>
                <w:lang w:val="sr-Latn-ME"/>
              </w:rPr>
              <w:t>(N = 267)</w:t>
            </w:r>
          </w:p>
        </w:tc>
        <w:tc>
          <w:tcPr>
            <w:tcW w:w="1000" w:type="pct"/>
            <w:tcBorders>
              <w:top w:val="single" w:sz="4" w:space="0" w:color="000000"/>
              <w:left w:val="single" w:sz="4" w:space="0" w:color="000000"/>
              <w:bottom w:val="single" w:sz="4" w:space="0" w:color="000000"/>
              <w:right w:val="single" w:sz="4" w:space="0" w:color="000000"/>
            </w:tcBorders>
          </w:tcPr>
          <w:p w14:paraId="7ED16FEC" w14:textId="3175024E" w:rsidR="00403080" w:rsidRPr="00F65520" w:rsidRDefault="00E87787" w:rsidP="000808A1">
            <w:pPr>
              <w:tabs>
                <w:tab w:val="left" w:pos="284"/>
              </w:tabs>
              <w:spacing w:line="259" w:lineRule="auto"/>
              <w:ind w:right="75"/>
              <w:jc w:val="center"/>
              <w:rPr>
                <w:rFonts w:ascii="Times New Roman" w:hAnsi="Times New Roman"/>
                <w:sz w:val="22"/>
                <w:szCs w:val="22"/>
                <w:lang w:val="sr-Latn-ME"/>
              </w:rPr>
            </w:pPr>
            <w:r w:rsidRPr="00F65520">
              <w:rPr>
                <w:rFonts w:eastAsia="TimesNewRoman"/>
                <w:sz w:val="22"/>
                <w:szCs w:val="22"/>
                <w:lang w:val="sr-Latn-ME"/>
              </w:rPr>
              <w:t>Benralizumab</w:t>
            </w:r>
            <w:r w:rsidRPr="00F65520" w:rsidDel="00E87787">
              <w:rPr>
                <w:rFonts w:eastAsia="TimesNewRoman"/>
                <w:sz w:val="22"/>
                <w:szCs w:val="22"/>
                <w:lang w:val="sr-Latn-ME"/>
              </w:rPr>
              <w:t xml:space="preserve"> </w:t>
            </w:r>
            <w:r w:rsidR="00403080" w:rsidRPr="00F65520">
              <w:rPr>
                <w:rFonts w:ascii="Times New Roman" w:hAnsi="Times New Roman"/>
                <w:sz w:val="22"/>
                <w:szCs w:val="22"/>
                <w:lang w:val="sr-Latn-ME"/>
              </w:rPr>
              <w:t>(N = 239)</w:t>
            </w:r>
          </w:p>
        </w:tc>
        <w:tc>
          <w:tcPr>
            <w:tcW w:w="1003" w:type="pct"/>
            <w:tcBorders>
              <w:top w:val="single" w:sz="4" w:space="0" w:color="000000"/>
              <w:left w:val="single" w:sz="4" w:space="0" w:color="000000"/>
              <w:bottom w:val="single" w:sz="4" w:space="0" w:color="000000"/>
              <w:right w:val="single" w:sz="4" w:space="0" w:color="000000"/>
            </w:tcBorders>
          </w:tcPr>
          <w:p w14:paraId="43BFB5CF" w14:textId="77777777" w:rsidR="00403080" w:rsidRPr="00F65520" w:rsidRDefault="00403080" w:rsidP="000808A1">
            <w:pPr>
              <w:tabs>
                <w:tab w:val="left" w:pos="284"/>
              </w:tabs>
              <w:spacing w:after="5" w:line="259" w:lineRule="auto"/>
              <w:ind w:right="86"/>
              <w:jc w:val="center"/>
              <w:rPr>
                <w:rFonts w:ascii="Times New Roman" w:hAnsi="Times New Roman"/>
                <w:b/>
                <w:sz w:val="22"/>
                <w:szCs w:val="22"/>
                <w:lang w:val="sr-Latn-ME"/>
              </w:rPr>
            </w:pPr>
            <w:r w:rsidRPr="00F65520">
              <w:rPr>
                <w:rFonts w:ascii="Times New Roman" w:hAnsi="Times New Roman"/>
                <w:b/>
                <w:sz w:val="22"/>
                <w:szCs w:val="22"/>
                <w:lang w:val="sr-Latn-ME"/>
              </w:rPr>
              <w:t>Placebo</w:t>
            </w:r>
          </w:p>
          <w:p w14:paraId="2CAE9074" w14:textId="77777777" w:rsidR="00403080" w:rsidRPr="00F65520" w:rsidRDefault="00403080" w:rsidP="000808A1">
            <w:pPr>
              <w:tabs>
                <w:tab w:val="left" w:pos="284"/>
              </w:tabs>
              <w:spacing w:line="259" w:lineRule="auto"/>
              <w:ind w:right="80"/>
              <w:jc w:val="center"/>
              <w:rPr>
                <w:rFonts w:ascii="Times New Roman" w:hAnsi="Times New Roman"/>
                <w:sz w:val="22"/>
                <w:szCs w:val="22"/>
                <w:lang w:val="sr-Latn-ME"/>
              </w:rPr>
            </w:pPr>
            <w:r w:rsidRPr="00F65520">
              <w:rPr>
                <w:rFonts w:ascii="Times New Roman" w:hAnsi="Times New Roman"/>
                <w:sz w:val="22"/>
                <w:szCs w:val="22"/>
                <w:lang w:val="sr-Latn-ME"/>
              </w:rPr>
              <w:t>(N = 248)</w:t>
            </w:r>
          </w:p>
        </w:tc>
      </w:tr>
      <w:tr w:rsidR="00DC33B1" w:rsidRPr="00F65520" w14:paraId="70DA001C" w14:textId="77777777" w:rsidTr="000808A1">
        <w:trPr>
          <w:trHeight w:val="269"/>
        </w:trPr>
        <w:tc>
          <w:tcPr>
            <w:tcW w:w="2997" w:type="pct"/>
            <w:gridSpan w:val="4"/>
            <w:tcBorders>
              <w:top w:val="single" w:sz="4" w:space="0" w:color="000000"/>
              <w:left w:val="single" w:sz="4" w:space="0" w:color="000000"/>
              <w:bottom w:val="single" w:sz="4" w:space="0" w:color="000000"/>
              <w:right w:val="nil"/>
            </w:tcBorders>
          </w:tcPr>
          <w:p w14:paraId="57578D77"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b/>
                <w:sz w:val="22"/>
                <w:szCs w:val="22"/>
                <w:lang w:val="sr-Latn-ME"/>
              </w:rPr>
              <w:t>2 prethodne egzacerbacije na početku ispitivanja</w:t>
            </w:r>
          </w:p>
        </w:tc>
        <w:tc>
          <w:tcPr>
            <w:tcW w:w="2003" w:type="pct"/>
            <w:gridSpan w:val="2"/>
            <w:tcBorders>
              <w:top w:val="single" w:sz="4" w:space="0" w:color="000000"/>
              <w:left w:val="nil"/>
              <w:bottom w:val="single" w:sz="4" w:space="0" w:color="000000"/>
              <w:right w:val="single" w:sz="4" w:space="0" w:color="000000"/>
            </w:tcBorders>
          </w:tcPr>
          <w:p w14:paraId="54DB019E" w14:textId="77777777" w:rsidR="00403080" w:rsidRPr="00F65520" w:rsidRDefault="00403080" w:rsidP="000808A1">
            <w:pPr>
              <w:tabs>
                <w:tab w:val="left" w:pos="284"/>
              </w:tabs>
              <w:spacing w:after="160" w:line="259" w:lineRule="auto"/>
              <w:jc w:val="both"/>
              <w:rPr>
                <w:rFonts w:ascii="Times New Roman" w:hAnsi="Times New Roman"/>
                <w:sz w:val="22"/>
                <w:szCs w:val="22"/>
                <w:lang w:val="sr-Latn-ME"/>
              </w:rPr>
            </w:pPr>
          </w:p>
        </w:tc>
      </w:tr>
      <w:tr w:rsidR="00DC33B1" w:rsidRPr="00F65520" w14:paraId="54F21A9A" w14:textId="77777777" w:rsidTr="000808A1">
        <w:trPr>
          <w:trHeight w:val="283"/>
        </w:trPr>
        <w:tc>
          <w:tcPr>
            <w:tcW w:w="1137" w:type="pct"/>
            <w:tcBorders>
              <w:top w:val="single" w:sz="4" w:space="0" w:color="000000"/>
              <w:left w:val="single" w:sz="4" w:space="0" w:color="000000"/>
              <w:bottom w:val="single" w:sz="4" w:space="0" w:color="000000"/>
              <w:right w:val="single" w:sz="4" w:space="0" w:color="000000"/>
            </w:tcBorders>
          </w:tcPr>
          <w:p w14:paraId="764319B8"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n</w:t>
            </w:r>
          </w:p>
        </w:tc>
        <w:tc>
          <w:tcPr>
            <w:tcW w:w="1037" w:type="pct"/>
            <w:gridSpan w:val="2"/>
            <w:tcBorders>
              <w:top w:val="single" w:sz="4" w:space="0" w:color="000000"/>
              <w:left w:val="single" w:sz="4" w:space="0" w:color="000000"/>
              <w:bottom w:val="single" w:sz="4" w:space="0" w:color="000000"/>
              <w:right w:val="single" w:sz="4" w:space="0" w:color="000000"/>
            </w:tcBorders>
          </w:tcPr>
          <w:p w14:paraId="073EA940" w14:textId="77777777" w:rsidR="00403080" w:rsidRPr="00F65520" w:rsidRDefault="00403080" w:rsidP="000808A1">
            <w:pPr>
              <w:tabs>
                <w:tab w:val="left" w:pos="284"/>
              </w:tabs>
              <w:spacing w:line="259" w:lineRule="auto"/>
              <w:ind w:right="82"/>
              <w:jc w:val="center"/>
              <w:rPr>
                <w:rFonts w:ascii="Times New Roman" w:hAnsi="Times New Roman"/>
                <w:sz w:val="22"/>
                <w:szCs w:val="22"/>
                <w:lang w:val="sr-Latn-ME"/>
              </w:rPr>
            </w:pPr>
            <w:r w:rsidRPr="00F65520">
              <w:rPr>
                <w:rFonts w:ascii="Times New Roman" w:hAnsi="Times New Roman"/>
                <w:sz w:val="22"/>
                <w:szCs w:val="22"/>
                <w:lang w:val="sr-Latn-ME"/>
              </w:rPr>
              <w:t>164</w:t>
            </w:r>
          </w:p>
        </w:tc>
        <w:tc>
          <w:tcPr>
            <w:tcW w:w="824" w:type="pct"/>
            <w:tcBorders>
              <w:top w:val="single" w:sz="4" w:space="0" w:color="000000"/>
              <w:left w:val="single" w:sz="4" w:space="0" w:color="000000"/>
              <w:bottom w:val="single" w:sz="4" w:space="0" w:color="000000"/>
              <w:right w:val="single" w:sz="4" w:space="0" w:color="000000"/>
            </w:tcBorders>
          </w:tcPr>
          <w:p w14:paraId="09EFA40A" w14:textId="77777777" w:rsidR="00403080" w:rsidRPr="00F65520" w:rsidRDefault="00403080" w:rsidP="000808A1">
            <w:pPr>
              <w:tabs>
                <w:tab w:val="left" w:pos="284"/>
              </w:tabs>
              <w:spacing w:line="259" w:lineRule="auto"/>
              <w:ind w:right="87"/>
              <w:jc w:val="center"/>
              <w:rPr>
                <w:rFonts w:ascii="Times New Roman" w:hAnsi="Times New Roman"/>
                <w:sz w:val="22"/>
                <w:szCs w:val="22"/>
                <w:lang w:val="sr-Latn-ME"/>
              </w:rPr>
            </w:pPr>
            <w:r w:rsidRPr="00F65520">
              <w:rPr>
                <w:rFonts w:ascii="Times New Roman" w:hAnsi="Times New Roman"/>
                <w:sz w:val="22"/>
                <w:szCs w:val="22"/>
                <w:lang w:val="sr-Latn-ME"/>
              </w:rPr>
              <w:t>149</w:t>
            </w:r>
          </w:p>
        </w:tc>
        <w:tc>
          <w:tcPr>
            <w:tcW w:w="1000" w:type="pct"/>
            <w:tcBorders>
              <w:top w:val="single" w:sz="4" w:space="0" w:color="000000"/>
              <w:left w:val="single" w:sz="4" w:space="0" w:color="000000"/>
              <w:bottom w:val="single" w:sz="4" w:space="0" w:color="000000"/>
              <w:right w:val="single" w:sz="4" w:space="0" w:color="000000"/>
            </w:tcBorders>
          </w:tcPr>
          <w:p w14:paraId="4974D86B" w14:textId="77777777" w:rsidR="00403080" w:rsidRPr="00F65520" w:rsidRDefault="00403080" w:rsidP="000808A1">
            <w:pPr>
              <w:tabs>
                <w:tab w:val="left" w:pos="284"/>
              </w:tabs>
              <w:spacing w:line="259" w:lineRule="auto"/>
              <w:ind w:right="82"/>
              <w:jc w:val="center"/>
              <w:rPr>
                <w:rFonts w:ascii="Times New Roman" w:hAnsi="Times New Roman"/>
                <w:sz w:val="22"/>
                <w:szCs w:val="22"/>
                <w:lang w:val="sr-Latn-ME"/>
              </w:rPr>
            </w:pPr>
            <w:r w:rsidRPr="00F65520">
              <w:rPr>
                <w:rFonts w:ascii="Times New Roman" w:hAnsi="Times New Roman"/>
                <w:sz w:val="22"/>
                <w:szCs w:val="22"/>
                <w:lang w:val="sr-Latn-ME"/>
              </w:rPr>
              <w:t>144</w:t>
            </w:r>
          </w:p>
        </w:tc>
        <w:tc>
          <w:tcPr>
            <w:tcW w:w="1003" w:type="pct"/>
            <w:tcBorders>
              <w:top w:val="single" w:sz="4" w:space="0" w:color="000000"/>
              <w:left w:val="single" w:sz="4" w:space="0" w:color="000000"/>
              <w:bottom w:val="single" w:sz="4" w:space="0" w:color="000000"/>
              <w:right w:val="single" w:sz="4" w:space="0" w:color="000000"/>
            </w:tcBorders>
          </w:tcPr>
          <w:p w14:paraId="229F50F9" w14:textId="77777777" w:rsidR="00403080" w:rsidRPr="00F65520" w:rsidRDefault="00403080" w:rsidP="000808A1">
            <w:pPr>
              <w:tabs>
                <w:tab w:val="left" w:pos="284"/>
              </w:tabs>
              <w:spacing w:line="259" w:lineRule="auto"/>
              <w:ind w:right="87"/>
              <w:jc w:val="center"/>
              <w:rPr>
                <w:rFonts w:ascii="Times New Roman" w:hAnsi="Times New Roman"/>
                <w:sz w:val="22"/>
                <w:szCs w:val="22"/>
                <w:lang w:val="sr-Latn-ME"/>
              </w:rPr>
            </w:pPr>
            <w:r w:rsidRPr="00F65520">
              <w:rPr>
                <w:rFonts w:ascii="Times New Roman" w:hAnsi="Times New Roman"/>
                <w:sz w:val="22"/>
                <w:szCs w:val="22"/>
                <w:lang w:val="sr-Latn-ME"/>
              </w:rPr>
              <w:t>151</w:t>
            </w:r>
          </w:p>
        </w:tc>
      </w:tr>
      <w:tr w:rsidR="00DC33B1" w:rsidRPr="00F65520" w14:paraId="410AF855" w14:textId="77777777" w:rsidTr="000808A1">
        <w:trPr>
          <w:trHeight w:val="288"/>
        </w:trPr>
        <w:tc>
          <w:tcPr>
            <w:tcW w:w="1137" w:type="pct"/>
            <w:tcBorders>
              <w:top w:val="single" w:sz="4" w:space="0" w:color="000000"/>
              <w:left w:val="single" w:sz="4" w:space="0" w:color="000000"/>
              <w:bottom w:val="single" w:sz="4" w:space="0" w:color="000000"/>
              <w:right w:val="single" w:sz="4" w:space="0" w:color="000000"/>
            </w:tcBorders>
          </w:tcPr>
          <w:p w14:paraId="66F35DFC" w14:textId="77777777" w:rsidR="00403080" w:rsidRPr="00F65520" w:rsidRDefault="00403080" w:rsidP="00437B73">
            <w:pPr>
              <w:tabs>
                <w:tab w:val="left" w:pos="284"/>
              </w:tabs>
              <w:spacing w:line="259" w:lineRule="auto"/>
              <w:rPr>
                <w:rFonts w:ascii="Times New Roman" w:hAnsi="Times New Roman"/>
                <w:sz w:val="22"/>
                <w:szCs w:val="22"/>
                <w:lang w:val="sr-Latn-ME"/>
              </w:rPr>
            </w:pPr>
            <w:r w:rsidRPr="00F65520">
              <w:rPr>
                <w:rFonts w:ascii="Times New Roman" w:hAnsi="Times New Roman"/>
                <w:sz w:val="22"/>
                <w:szCs w:val="22"/>
                <w:lang w:val="sr-Latn-ME"/>
              </w:rPr>
              <w:t xml:space="preserve">Stopa egzacerbacija </w:t>
            </w:r>
          </w:p>
        </w:tc>
        <w:tc>
          <w:tcPr>
            <w:tcW w:w="1037" w:type="pct"/>
            <w:gridSpan w:val="2"/>
            <w:tcBorders>
              <w:top w:val="single" w:sz="4" w:space="0" w:color="000000"/>
              <w:left w:val="single" w:sz="4" w:space="0" w:color="000000"/>
              <w:bottom w:val="single" w:sz="4" w:space="0" w:color="000000"/>
              <w:right w:val="single" w:sz="4" w:space="0" w:color="000000"/>
            </w:tcBorders>
          </w:tcPr>
          <w:p w14:paraId="216976CC" w14:textId="77777777" w:rsidR="00403080" w:rsidRPr="00F65520" w:rsidRDefault="00403080" w:rsidP="000808A1">
            <w:pPr>
              <w:tabs>
                <w:tab w:val="left" w:pos="284"/>
              </w:tabs>
              <w:spacing w:line="259" w:lineRule="auto"/>
              <w:ind w:right="82"/>
              <w:jc w:val="center"/>
              <w:rPr>
                <w:rFonts w:ascii="Times New Roman" w:hAnsi="Times New Roman"/>
                <w:sz w:val="22"/>
                <w:szCs w:val="22"/>
                <w:lang w:val="sr-Latn-ME"/>
              </w:rPr>
            </w:pPr>
            <w:r w:rsidRPr="00F65520">
              <w:rPr>
                <w:rFonts w:ascii="Times New Roman" w:hAnsi="Times New Roman"/>
                <w:sz w:val="22"/>
                <w:szCs w:val="22"/>
                <w:lang w:val="sr-Latn-ME"/>
              </w:rPr>
              <w:t xml:space="preserve">0,57 </w:t>
            </w:r>
          </w:p>
        </w:tc>
        <w:tc>
          <w:tcPr>
            <w:tcW w:w="824" w:type="pct"/>
            <w:tcBorders>
              <w:top w:val="single" w:sz="4" w:space="0" w:color="000000"/>
              <w:left w:val="single" w:sz="4" w:space="0" w:color="000000"/>
              <w:bottom w:val="single" w:sz="4" w:space="0" w:color="000000"/>
              <w:right w:val="single" w:sz="4" w:space="0" w:color="000000"/>
            </w:tcBorders>
          </w:tcPr>
          <w:p w14:paraId="65FF3950" w14:textId="77777777" w:rsidR="00403080" w:rsidRPr="00F65520" w:rsidRDefault="00403080" w:rsidP="000808A1">
            <w:pPr>
              <w:tabs>
                <w:tab w:val="left" w:pos="284"/>
              </w:tabs>
              <w:spacing w:line="259" w:lineRule="auto"/>
              <w:ind w:right="77"/>
              <w:jc w:val="center"/>
              <w:rPr>
                <w:rFonts w:ascii="Times New Roman" w:hAnsi="Times New Roman"/>
                <w:sz w:val="22"/>
                <w:szCs w:val="22"/>
                <w:lang w:val="sr-Latn-ME"/>
              </w:rPr>
            </w:pPr>
            <w:r w:rsidRPr="00F65520">
              <w:rPr>
                <w:rFonts w:ascii="Times New Roman" w:hAnsi="Times New Roman"/>
                <w:sz w:val="22"/>
                <w:szCs w:val="22"/>
                <w:lang w:val="sr-Latn-ME"/>
              </w:rPr>
              <w:t>1,04</w:t>
            </w:r>
          </w:p>
        </w:tc>
        <w:tc>
          <w:tcPr>
            <w:tcW w:w="1000" w:type="pct"/>
            <w:tcBorders>
              <w:top w:val="single" w:sz="4" w:space="0" w:color="000000"/>
              <w:left w:val="single" w:sz="4" w:space="0" w:color="000000"/>
              <w:bottom w:val="single" w:sz="4" w:space="0" w:color="000000"/>
              <w:right w:val="single" w:sz="4" w:space="0" w:color="000000"/>
            </w:tcBorders>
          </w:tcPr>
          <w:p w14:paraId="0B469DAA" w14:textId="77777777" w:rsidR="00403080" w:rsidRPr="00F65520" w:rsidRDefault="00403080" w:rsidP="000808A1">
            <w:pPr>
              <w:tabs>
                <w:tab w:val="left" w:pos="284"/>
              </w:tabs>
              <w:spacing w:line="259" w:lineRule="auto"/>
              <w:ind w:right="82"/>
              <w:jc w:val="center"/>
              <w:rPr>
                <w:rFonts w:ascii="Times New Roman" w:hAnsi="Times New Roman"/>
                <w:sz w:val="22"/>
                <w:szCs w:val="22"/>
                <w:lang w:val="sr-Latn-ME"/>
              </w:rPr>
            </w:pPr>
            <w:r w:rsidRPr="00F65520">
              <w:rPr>
                <w:rFonts w:ascii="Times New Roman" w:hAnsi="Times New Roman"/>
                <w:sz w:val="22"/>
                <w:szCs w:val="22"/>
                <w:lang w:val="sr-Latn-ME"/>
              </w:rPr>
              <w:t xml:space="preserve">0,63 </w:t>
            </w:r>
          </w:p>
        </w:tc>
        <w:tc>
          <w:tcPr>
            <w:tcW w:w="1003" w:type="pct"/>
            <w:tcBorders>
              <w:top w:val="single" w:sz="4" w:space="0" w:color="000000"/>
              <w:left w:val="single" w:sz="4" w:space="0" w:color="000000"/>
              <w:bottom w:val="single" w:sz="4" w:space="0" w:color="000000"/>
              <w:right w:val="single" w:sz="4" w:space="0" w:color="000000"/>
            </w:tcBorders>
          </w:tcPr>
          <w:p w14:paraId="2F1B2FF1" w14:textId="77777777" w:rsidR="00403080" w:rsidRPr="00F65520" w:rsidRDefault="00403080" w:rsidP="000808A1">
            <w:pPr>
              <w:tabs>
                <w:tab w:val="left" w:pos="284"/>
              </w:tabs>
              <w:spacing w:line="259" w:lineRule="auto"/>
              <w:ind w:right="77"/>
              <w:jc w:val="center"/>
              <w:rPr>
                <w:rFonts w:ascii="Times New Roman" w:hAnsi="Times New Roman"/>
                <w:sz w:val="22"/>
                <w:szCs w:val="22"/>
                <w:lang w:val="sr-Latn-ME"/>
              </w:rPr>
            </w:pPr>
            <w:r w:rsidRPr="00F65520">
              <w:rPr>
                <w:rFonts w:ascii="Times New Roman" w:hAnsi="Times New Roman"/>
                <w:sz w:val="22"/>
                <w:szCs w:val="22"/>
                <w:lang w:val="sr-Latn-ME"/>
              </w:rPr>
              <w:t>0,62</w:t>
            </w:r>
          </w:p>
        </w:tc>
      </w:tr>
      <w:tr w:rsidR="00DC33B1" w:rsidRPr="00F65520" w14:paraId="4C9B467C" w14:textId="77777777" w:rsidTr="000808A1">
        <w:trPr>
          <w:trHeight w:val="264"/>
        </w:trPr>
        <w:tc>
          <w:tcPr>
            <w:tcW w:w="1137" w:type="pct"/>
            <w:tcBorders>
              <w:top w:val="single" w:sz="4" w:space="0" w:color="000000"/>
              <w:left w:val="single" w:sz="4" w:space="0" w:color="000000"/>
              <w:bottom w:val="single" w:sz="4" w:space="0" w:color="000000"/>
              <w:right w:val="single" w:sz="4" w:space="0" w:color="000000"/>
            </w:tcBorders>
          </w:tcPr>
          <w:p w14:paraId="5CE5AF2B" w14:textId="77777777" w:rsidR="00403080" w:rsidRPr="00F65520" w:rsidRDefault="00403080" w:rsidP="00437B73">
            <w:pPr>
              <w:tabs>
                <w:tab w:val="left" w:pos="284"/>
              </w:tabs>
              <w:spacing w:line="259" w:lineRule="auto"/>
              <w:rPr>
                <w:rFonts w:ascii="Times New Roman" w:hAnsi="Times New Roman"/>
                <w:sz w:val="22"/>
                <w:szCs w:val="22"/>
                <w:lang w:val="sr-Latn-ME"/>
              </w:rPr>
            </w:pPr>
            <w:r w:rsidRPr="00F65520">
              <w:rPr>
                <w:rFonts w:ascii="Times New Roman" w:hAnsi="Times New Roman"/>
                <w:sz w:val="22"/>
                <w:szCs w:val="22"/>
                <w:lang w:val="sr-Latn-ME"/>
              </w:rPr>
              <w:lastRenderedPageBreak/>
              <w:t>Razlika</w:t>
            </w:r>
          </w:p>
        </w:tc>
        <w:tc>
          <w:tcPr>
            <w:tcW w:w="1861" w:type="pct"/>
            <w:gridSpan w:val="3"/>
            <w:tcBorders>
              <w:top w:val="single" w:sz="4" w:space="0" w:color="000000"/>
              <w:left w:val="single" w:sz="4" w:space="0" w:color="000000"/>
              <w:bottom w:val="single" w:sz="4" w:space="0" w:color="000000"/>
              <w:right w:val="single" w:sz="4" w:space="0" w:color="000000"/>
            </w:tcBorders>
          </w:tcPr>
          <w:p w14:paraId="727DD9BD" w14:textId="77777777" w:rsidR="00403080" w:rsidRPr="00F65520" w:rsidRDefault="00403080" w:rsidP="000808A1">
            <w:pPr>
              <w:tabs>
                <w:tab w:val="left" w:pos="284"/>
              </w:tabs>
              <w:spacing w:line="259" w:lineRule="auto"/>
              <w:ind w:right="82"/>
              <w:jc w:val="center"/>
              <w:rPr>
                <w:rFonts w:ascii="Times New Roman" w:hAnsi="Times New Roman"/>
                <w:sz w:val="22"/>
                <w:szCs w:val="22"/>
                <w:lang w:val="sr-Latn-ME"/>
              </w:rPr>
            </w:pPr>
            <w:r w:rsidRPr="00F65520">
              <w:rPr>
                <w:rFonts w:ascii="Times New Roman" w:hAnsi="Times New Roman"/>
                <w:sz w:val="22"/>
                <w:szCs w:val="22"/>
                <w:lang w:val="sr-Latn-ME"/>
              </w:rPr>
              <w:t>-0,47</w:t>
            </w:r>
          </w:p>
        </w:tc>
        <w:tc>
          <w:tcPr>
            <w:tcW w:w="2003" w:type="pct"/>
            <w:gridSpan w:val="2"/>
            <w:tcBorders>
              <w:top w:val="single" w:sz="4" w:space="0" w:color="000000"/>
              <w:left w:val="single" w:sz="4" w:space="0" w:color="000000"/>
              <w:bottom w:val="single" w:sz="4" w:space="0" w:color="000000"/>
              <w:right w:val="single" w:sz="4" w:space="0" w:color="000000"/>
            </w:tcBorders>
          </w:tcPr>
          <w:p w14:paraId="61170EAF" w14:textId="77777777" w:rsidR="00403080" w:rsidRPr="00F65520" w:rsidRDefault="00403080" w:rsidP="000808A1">
            <w:pPr>
              <w:tabs>
                <w:tab w:val="left" w:pos="284"/>
              </w:tabs>
              <w:spacing w:line="259" w:lineRule="auto"/>
              <w:ind w:right="87"/>
              <w:jc w:val="center"/>
              <w:rPr>
                <w:rFonts w:ascii="Times New Roman" w:hAnsi="Times New Roman"/>
                <w:sz w:val="22"/>
                <w:szCs w:val="22"/>
                <w:lang w:val="sr-Latn-ME"/>
              </w:rPr>
            </w:pPr>
            <w:r w:rsidRPr="00F65520">
              <w:rPr>
                <w:rFonts w:ascii="Times New Roman" w:hAnsi="Times New Roman"/>
                <w:sz w:val="22"/>
                <w:szCs w:val="22"/>
                <w:lang w:val="sr-Latn-ME"/>
              </w:rPr>
              <w:t>0,01</w:t>
            </w:r>
          </w:p>
        </w:tc>
      </w:tr>
      <w:tr w:rsidR="00DC33B1" w:rsidRPr="00F65520" w14:paraId="76B40F46" w14:textId="77777777" w:rsidTr="000808A1">
        <w:trPr>
          <w:trHeight w:val="514"/>
        </w:trPr>
        <w:tc>
          <w:tcPr>
            <w:tcW w:w="1137" w:type="pct"/>
            <w:tcBorders>
              <w:top w:val="single" w:sz="4" w:space="0" w:color="000000"/>
              <w:left w:val="single" w:sz="4" w:space="0" w:color="000000"/>
              <w:bottom w:val="single" w:sz="4" w:space="0" w:color="000000"/>
              <w:right w:val="single" w:sz="4" w:space="0" w:color="000000"/>
            </w:tcBorders>
          </w:tcPr>
          <w:p w14:paraId="7BEBE6FF" w14:textId="77777777" w:rsidR="00403080" w:rsidRPr="00F65520" w:rsidRDefault="00403080" w:rsidP="00437B73">
            <w:pPr>
              <w:tabs>
                <w:tab w:val="left" w:pos="284"/>
              </w:tabs>
              <w:spacing w:line="259" w:lineRule="auto"/>
              <w:rPr>
                <w:rFonts w:ascii="Times New Roman" w:hAnsi="Times New Roman"/>
                <w:sz w:val="22"/>
                <w:szCs w:val="22"/>
                <w:lang w:val="sr-Latn-ME"/>
              </w:rPr>
            </w:pPr>
            <w:r w:rsidRPr="00F65520">
              <w:rPr>
                <w:rFonts w:ascii="Times New Roman" w:hAnsi="Times New Roman"/>
                <w:sz w:val="22"/>
                <w:szCs w:val="22"/>
                <w:lang w:val="sr-Latn-ME"/>
              </w:rPr>
              <w:t>Odnos stopa (95% CI)</w:t>
            </w:r>
          </w:p>
        </w:tc>
        <w:tc>
          <w:tcPr>
            <w:tcW w:w="1861" w:type="pct"/>
            <w:gridSpan w:val="3"/>
            <w:tcBorders>
              <w:top w:val="single" w:sz="4" w:space="0" w:color="000000"/>
              <w:left w:val="single" w:sz="4" w:space="0" w:color="000000"/>
              <w:bottom w:val="single" w:sz="4" w:space="0" w:color="000000"/>
              <w:right w:val="single" w:sz="4" w:space="0" w:color="000000"/>
            </w:tcBorders>
          </w:tcPr>
          <w:p w14:paraId="2409D0AE" w14:textId="77777777" w:rsidR="00403080" w:rsidRPr="00F65520" w:rsidRDefault="00403080" w:rsidP="000808A1">
            <w:pPr>
              <w:tabs>
                <w:tab w:val="left" w:pos="284"/>
              </w:tabs>
              <w:spacing w:line="259" w:lineRule="auto"/>
              <w:ind w:right="85"/>
              <w:jc w:val="center"/>
              <w:rPr>
                <w:rFonts w:ascii="Times New Roman" w:hAnsi="Times New Roman"/>
                <w:sz w:val="22"/>
                <w:szCs w:val="22"/>
                <w:lang w:val="sr-Latn-ME"/>
              </w:rPr>
            </w:pPr>
            <w:r w:rsidRPr="00F65520">
              <w:rPr>
                <w:rFonts w:ascii="Times New Roman" w:hAnsi="Times New Roman"/>
                <w:sz w:val="22"/>
                <w:szCs w:val="22"/>
                <w:lang w:val="sr-Latn-ME"/>
              </w:rPr>
              <w:t>0,55 (0,37; 0,80)</w:t>
            </w:r>
          </w:p>
        </w:tc>
        <w:tc>
          <w:tcPr>
            <w:tcW w:w="2003" w:type="pct"/>
            <w:gridSpan w:val="2"/>
            <w:tcBorders>
              <w:top w:val="single" w:sz="4" w:space="0" w:color="000000"/>
              <w:left w:val="single" w:sz="4" w:space="0" w:color="000000"/>
              <w:bottom w:val="single" w:sz="4" w:space="0" w:color="000000"/>
              <w:right w:val="single" w:sz="4" w:space="0" w:color="000000"/>
            </w:tcBorders>
          </w:tcPr>
          <w:p w14:paraId="2797696C" w14:textId="77777777" w:rsidR="00403080" w:rsidRPr="00F65520" w:rsidRDefault="00403080" w:rsidP="000808A1">
            <w:pPr>
              <w:tabs>
                <w:tab w:val="left" w:pos="284"/>
              </w:tabs>
              <w:spacing w:line="259" w:lineRule="auto"/>
              <w:ind w:right="85"/>
              <w:jc w:val="center"/>
              <w:rPr>
                <w:rFonts w:ascii="Times New Roman" w:hAnsi="Times New Roman"/>
                <w:sz w:val="22"/>
                <w:szCs w:val="22"/>
                <w:lang w:val="sr-Latn-ME"/>
              </w:rPr>
            </w:pPr>
            <w:r w:rsidRPr="00F65520">
              <w:rPr>
                <w:rFonts w:ascii="Times New Roman" w:hAnsi="Times New Roman"/>
                <w:sz w:val="22"/>
                <w:szCs w:val="22"/>
                <w:lang w:val="sr-Latn-ME"/>
              </w:rPr>
              <w:t>1,01 (0,70; 1,46)</w:t>
            </w:r>
          </w:p>
        </w:tc>
      </w:tr>
      <w:tr w:rsidR="00DC33B1" w:rsidRPr="00F65520" w14:paraId="6ED920C6" w14:textId="77777777" w:rsidTr="000808A1">
        <w:trPr>
          <w:trHeight w:val="1022"/>
        </w:trPr>
        <w:tc>
          <w:tcPr>
            <w:tcW w:w="1137" w:type="pct"/>
            <w:tcBorders>
              <w:top w:val="single" w:sz="4" w:space="0" w:color="000000"/>
              <w:left w:val="single" w:sz="4" w:space="0" w:color="000000"/>
              <w:bottom w:val="single" w:sz="4" w:space="0" w:color="000000"/>
              <w:right w:val="single" w:sz="4" w:space="0" w:color="000000"/>
            </w:tcBorders>
          </w:tcPr>
          <w:p w14:paraId="74BAF5B9" w14:textId="326E206B" w:rsidR="00403080" w:rsidRPr="00F65520" w:rsidRDefault="00403080" w:rsidP="00437B73">
            <w:pPr>
              <w:tabs>
                <w:tab w:val="left" w:pos="284"/>
              </w:tabs>
              <w:spacing w:line="250" w:lineRule="auto"/>
              <w:rPr>
                <w:rFonts w:ascii="Times New Roman" w:hAnsi="Times New Roman"/>
                <w:sz w:val="22"/>
                <w:szCs w:val="22"/>
                <w:lang w:val="sr-Latn-ME"/>
              </w:rPr>
            </w:pPr>
            <w:r w:rsidRPr="00F65520">
              <w:rPr>
                <w:rFonts w:ascii="Times New Roman" w:hAnsi="Times New Roman"/>
                <w:sz w:val="22"/>
                <w:szCs w:val="22"/>
                <w:lang w:val="sr-Latn-ME"/>
              </w:rPr>
              <w:t>Srednja vrijednost promjene FEV</w:t>
            </w:r>
            <w:r w:rsidRPr="00F65520">
              <w:rPr>
                <w:rFonts w:ascii="Times New Roman" w:hAnsi="Times New Roman"/>
                <w:sz w:val="22"/>
                <w:szCs w:val="22"/>
                <w:vertAlign w:val="subscript"/>
                <w:lang w:val="sr-Latn-ME"/>
              </w:rPr>
              <w:t xml:space="preserve">1 </w:t>
            </w:r>
            <w:r w:rsidRPr="00F65520">
              <w:rPr>
                <w:rFonts w:ascii="Times New Roman" w:hAnsi="Times New Roman"/>
                <w:sz w:val="22"/>
                <w:szCs w:val="22"/>
                <w:lang w:val="sr-Latn-ME"/>
              </w:rPr>
              <w:t>pr</w:t>
            </w:r>
            <w:r w:rsidR="008B54C6" w:rsidRPr="00F65520">
              <w:rPr>
                <w:rFonts w:ascii="Times New Roman" w:hAnsi="Times New Roman"/>
                <w:sz w:val="22"/>
                <w:szCs w:val="22"/>
                <w:lang w:val="sr-Latn-ME"/>
              </w:rPr>
              <w:t>ij</w:t>
            </w:r>
            <w:r w:rsidRPr="00F65520">
              <w:rPr>
                <w:rFonts w:ascii="Times New Roman" w:hAnsi="Times New Roman"/>
                <w:sz w:val="22"/>
                <w:szCs w:val="22"/>
                <w:lang w:val="sr-Latn-ME"/>
              </w:rPr>
              <w:t xml:space="preserve">e </w:t>
            </w:r>
          </w:p>
          <w:p w14:paraId="4371BFCE" w14:textId="77777777" w:rsidR="00403080" w:rsidRPr="00F65520" w:rsidRDefault="00403080" w:rsidP="00437B73">
            <w:pPr>
              <w:tabs>
                <w:tab w:val="left" w:pos="284"/>
              </w:tabs>
              <w:spacing w:line="259" w:lineRule="auto"/>
              <w:rPr>
                <w:rFonts w:ascii="Times New Roman" w:hAnsi="Times New Roman"/>
                <w:sz w:val="22"/>
                <w:szCs w:val="22"/>
                <w:lang w:val="sr-Latn-ME"/>
              </w:rPr>
            </w:pPr>
            <w:r w:rsidRPr="00F65520">
              <w:rPr>
                <w:rFonts w:ascii="Times New Roman" w:hAnsi="Times New Roman"/>
                <w:sz w:val="22"/>
                <w:szCs w:val="22"/>
                <w:lang w:val="sr-Latn-ME"/>
              </w:rPr>
              <w:t>primjene bronhodilatatora</w:t>
            </w:r>
          </w:p>
        </w:tc>
        <w:tc>
          <w:tcPr>
            <w:tcW w:w="1037" w:type="pct"/>
            <w:gridSpan w:val="2"/>
            <w:tcBorders>
              <w:top w:val="single" w:sz="4" w:space="0" w:color="000000"/>
              <w:left w:val="single" w:sz="4" w:space="0" w:color="000000"/>
              <w:bottom w:val="single" w:sz="4" w:space="0" w:color="000000"/>
              <w:right w:val="single" w:sz="4" w:space="0" w:color="000000"/>
            </w:tcBorders>
          </w:tcPr>
          <w:p w14:paraId="7DD81694" w14:textId="77777777" w:rsidR="00403080" w:rsidRPr="00F65520" w:rsidRDefault="00403080" w:rsidP="000808A1">
            <w:pPr>
              <w:tabs>
                <w:tab w:val="left" w:pos="284"/>
              </w:tabs>
              <w:spacing w:line="259" w:lineRule="auto"/>
              <w:ind w:right="77"/>
              <w:jc w:val="center"/>
              <w:rPr>
                <w:rFonts w:ascii="Times New Roman" w:hAnsi="Times New Roman"/>
                <w:sz w:val="22"/>
                <w:szCs w:val="22"/>
                <w:lang w:val="sr-Latn-ME"/>
              </w:rPr>
            </w:pPr>
            <w:r w:rsidRPr="00F65520">
              <w:rPr>
                <w:rFonts w:ascii="Times New Roman" w:hAnsi="Times New Roman"/>
                <w:sz w:val="22"/>
                <w:szCs w:val="22"/>
                <w:lang w:val="sr-Latn-ME"/>
              </w:rPr>
              <w:t>0,343</w:t>
            </w:r>
          </w:p>
        </w:tc>
        <w:tc>
          <w:tcPr>
            <w:tcW w:w="824" w:type="pct"/>
            <w:tcBorders>
              <w:top w:val="single" w:sz="4" w:space="0" w:color="000000"/>
              <w:left w:val="single" w:sz="4" w:space="0" w:color="000000"/>
              <w:bottom w:val="single" w:sz="4" w:space="0" w:color="000000"/>
              <w:right w:val="single" w:sz="4" w:space="0" w:color="000000"/>
            </w:tcBorders>
          </w:tcPr>
          <w:p w14:paraId="65E71650" w14:textId="77777777" w:rsidR="00403080" w:rsidRPr="00F65520" w:rsidRDefault="00403080" w:rsidP="000808A1">
            <w:pPr>
              <w:tabs>
                <w:tab w:val="left" w:pos="284"/>
              </w:tabs>
              <w:spacing w:line="259" w:lineRule="auto"/>
              <w:ind w:right="82"/>
              <w:jc w:val="center"/>
              <w:rPr>
                <w:rFonts w:ascii="Times New Roman" w:hAnsi="Times New Roman"/>
                <w:sz w:val="22"/>
                <w:szCs w:val="22"/>
                <w:lang w:val="sr-Latn-ME"/>
              </w:rPr>
            </w:pPr>
            <w:r w:rsidRPr="00F65520">
              <w:rPr>
                <w:rFonts w:ascii="Times New Roman" w:hAnsi="Times New Roman"/>
                <w:sz w:val="22"/>
                <w:szCs w:val="22"/>
                <w:lang w:val="sr-Latn-ME"/>
              </w:rPr>
              <w:t>0,230</w:t>
            </w:r>
          </w:p>
        </w:tc>
        <w:tc>
          <w:tcPr>
            <w:tcW w:w="1000" w:type="pct"/>
            <w:tcBorders>
              <w:top w:val="single" w:sz="4" w:space="0" w:color="000000"/>
              <w:left w:val="single" w:sz="4" w:space="0" w:color="000000"/>
              <w:bottom w:val="single" w:sz="4" w:space="0" w:color="000000"/>
              <w:right w:val="single" w:sz="4" w:space="0" w:color="000000"/>
            </w:tcBorders>
          </w:tcPr>
          <w:p w14:paraId="6D4FE04A" w14:textId="77777777" w:rsidR="00403080" w:rsidRPr="00F65520" w:rsidRDefault="00403080" w:rsidP="000808A1">
            <w:pPr>
              <w:tabs>
                <w:tab w:val="left" w:pos="284"/>
              </w:tabs>
              <w:spacing w:line="259" w:lineRule="auto"/>
              <w:ind w:right="77"/>
              <w:jc w:val="center"/>
              <w:rPr>
                <w:rFonts w:ascii="Times New Roman" w:hAnsi="Times New Roman"/>
                <w:sz w:val="22"/>
                <w:szCs w:val="22"/>
                <w:lang w:val="sr-Latn-ME"/>
              </w:rPr>
            </w:pPr>
            <w:r w:rsidRPr="00F65520">
              <w:rPr>
                <w:rFonts w:ascii="Times New Roman" w:hAnsi="Times New Roman"/>
                <w:sz w:val="22"/>
                <w:szCs w:val="22"/>
                <w:lang w:val="sr-Latn-ME"/>
              </w:rPr>
              <w:t>0,266</w:t>
            </w:r>
          </w:p>
        </w:tc>
        <w:tc>
          <w:tcPr>
            <w:tcW w:w="1003" w:type="pct"/>
            <w:tcBorders>
              <w:top w:val="single" w:sz="4" w:space="0" w:color="000000"/>
              <w:left w:val="single" w:sz="4" w:space="0" w:color="000000"/>
              <w:bottom w:val="single" w:sz="4" w:space="0" w:color="000000"/>
              <w:right w:val="single" w:sz="4" w:space="0" w:color="000000"/>
            </w:tcBorders>
          </w:tcPr>
          <w:p w14:paraId="2C5C5FEF" w14:textId="77777777" w:rsidR="00403080" w:rsidRPr="00F65520" w:rsidRDefault="00403080" w:rsidP="000808A1">
            <w:pPr>
              <w:tabs>
                <w:tab w:val="left" w:pos="284"/>
              </w:tabs>
              <w:spacing w:line="259" w:lineRule="auto"/>
              <w:ind w:right="82"/>
              <w:jc w:val="center"/>
              <w:rPr>
                <w:rFonts w:ascii="Times New Roman" w:hAnsi="Times New Roman"/>
                <w:sz w:val="22"/>
                <w:szCs w:val="22"/>
                <w:lang w:val="sr-Latn-ME"/>
              </w:rPr>
            </w:pPr>
            <w:r w:rsidRPr="00F65520">
              <w:rPr>
                <w:rFonts w:ascii="Times New Roman" w:hAnsi="Times New Roman"/>
                <w:sz w:val="22"/>
                <w:szCs w:val="22"/>
                <w:lang w:val="sr-Latn-ME"/>
              </w:rPr>
              <w:t>0,236</w:t>
            </w:r>
          </w:p>
        </w:tc>
      </w:tr>
      <w:tr w:rsidR="00DC33B1" w:rsidRPr="00F65520" w14:paraId="63BE1CCD" w14:textId="77777777" w:rsidTr="000808A1">
        <w:trPr>
          <w:trHeight w:val="288"/>
        </w:trPr>
        <w:tc>
          <w:tcPr>
            <w:tcW w:w="1137" w:type="pct"/>
            <w:tcBorders>
              <w:top w:val="single" w:sz="4" w:space="0" w:color="000000"/>
              <w:left w:val="single" w:sz="4" w:space="0" w:color="000000"/>
              <w:bottom w:val="single" w:sz="4" w:space="0" w:color="000000"/>
              <w:right w:val="single" w:sz="4" w:space="0" w:color="000000"/>
            </w:tcBorders>
          </w:tcPr>
          <w:p w14:paraId="1ACB3AAD"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Razlika (95% CI)</w:t>
            </w:r>
          </w:p>
        </w:tc>
        <w:tc>
          <w:tcPr>
            <w:tcW w:w="1861" w:type="pct"/>
            <w:gridSpan w:val="3"/>
            <w:tcBorders>
              <w:top w:val="single" w:sz="4" w:space="0" w:color="000000"/>
              <w:left w:val="single" w:sz="4" w:space="0" w:color="000000"/>
              <w:bottom w:val="single" w:sz="4" w:space="0" w:color="000000"/>
              <w:right w:val="single" w:sz="4" w:space="0" w:color="000000"/>
            </w:tcBorders>
          </w:tcPr>
          <w:p w14:paraId="0196C44F" w14:textId="77777777" w:rsidR="00403080" w:rsidRPr="00F65520" w:rsidRDefault="00403080" w:rsidP="000808A1">
            <w:pPr>
              <w:tabs>
                <w:tab w:val="left" w:pos="284"/>
              </w:tabs>
              <w:spacing w:line="259" w:lineRule="auto"/>
              <w:ind w:right="85"/>
              <w:jc w:val="center"/>
              <w:rPr>
                <w:rFonts w:ascii="Times New Roman" w:hAnsi="Times New Roman"/>
                <w:sz w:val="22"/>
                <w:szCs w:val="22"/>
                <w:lang w:val="sr-Latn-ME"/>
              </w:rPr>
            </w:pPr>
            <w:r w:rsidRPr="00F65520">
              <w:rPr>
                <w:rFonts w:ascii="Times New Roman" w:hAnsi="Times New Roman"/>
                <w:sz w:val="22"/>
                <w:szCs w:val="22"/>
                <w:lang w:val="sr-Latn-ME"/>
              </w:rPr>
              <w:t>0,113 (-0,002; 0,228)</w:t>
            </w:r>
          </w:p>
        </w:tc>
        <w:tc>
          <w:tcPr>
            <w:tcW w:w="2003" w:type="pct"/>
            <w:gridSpan w:val="2"/>
            <w:tcBorders>
              <w:top w:val="single" w:sz="4" w:space="0" w:color="000000"/>
              <w:left w:val="single" w:sz="4" w:space="0" w:color="000000"/>
              <w:bottom w:val="single" w:sz="4" w:space="0" w:color="000000"/>
              <w:right w:val="single" w:sz="4" w:space="0" w:color="000000"/>
            </w:tcBorders>
          </w:tcPr>
          <w:p w14:paraId="0FF5CCCA" w14:textId="77777777" w:rsidR="00403080" w:rsidRPr="00F65520" w:rsidRDefault="00403080" w:rsidP="000808A1">
            <w:pPr>
              <w:tabs>
                <w:tab w:val="left" w:pos="284"/>
              </w:tabs>
              <w:spacing w:line="259" w:lineRule="auto"/>
              <w:ind w:right="85"/>
              <w:jc w:val="center"/>
              <w:rPr>
                <w:rFonts w:ascii="Times New Roman" w:hAnsi="Times New Roman"/>
                <w:sz w:val="22"/>
                <w:szCs w:val="22"/>
                <w:lang w:val="sr-Latn-ME"/>
              </w:rPr>
            </w:pPr>
            <w:r w:rsidRPr="00F65520">
              <w:rPr>
                <w:rFonts w:ascii="Times New Roman" w:hAnsi="Times New Roman"/>
                <w:sz w:val="22"/>
                <w:szCs w:val="22"/>
                <w:lang w:val="sr-Latn-ME"/>
              </w:rPr>
              <w:t>0,029 (-0,079; 0,137)</w:t>
            </w:r>
          </w:p>
        </w:tc>
      </w:tr>
      <w:tr w:rsidR="00DC33B1" w:rsidRPr="00F65520" w14:paraId="4753C7AC" w14:textId="77777777" w:rsidTr="000808A1">
        <w:trPr>
          <w:trHeight w:val="293"/>
        </w:trPr>
        <w:tc>
          <w:tcPr>
            <w:tcW w:w="2997" w:type="pct"/>
            <w:gridSpan w:val="4"/>
            <w:tcBorders>
              <w:top w:val="single" w:sz="4" w:space="0" w:color="000000"/>
              <w:left w:val="single" w:sz="4" w:space="0" w:color="000000"/>
              <w:bottom w:val="single" w:sz="4" w:space="0" w:color="000000"/>
              <w:right w:val="nil"/>
            </w:tcBorders>
          </w:tcPr>
          <w:p w14:paraId="0F63CB64"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b/>
                <w:sz w:val="22"/>
                <w:szCs w:val="22"/>
                <w:lang w:val="sr-Latn-ME"/>
              </w:rPr>
              <w:t>3 ili više prethodnih egzacerbacija na početku ispitivanja</w:t>
            </w:r>
          </w:p>
        </w:tc>
        <w:tc>
          <w:tcPr>
            <w:tcW w:w="2003" w:type="pct"/>
            <w:gridSpan w:val="2"/>
            <w:tcBorders>
              <w:top w:val="single" w:sz="4" w:space="0" w:color="000000"/>
              <w:left w:val="nil"/>
              <w:bottom w:val="single" w:sz="4" w:space="0" w:color="000000"/>
              <w:right w:val="single" w:sz="4" w:space="0" w:color="000000"/>
            </w:tcBorders>
          </w:tcPr>
          <w:p w14:paraId="027E6E22" w14:textId="77777777" w:rsidR="00403080" w:rsidRPr="00F65520" w:rsidRDefault="00403080" w:rsidP="000808A1">
            <w:pPr>
              <w:tabs>
                <w:tab w:val="left" w:pos="284"/>
              </w:tabs>
              <w:spacing w:after="160" w:line="259" w:lineRule="auto"/>
              <w:jc w:val="both"/>
              <w:rPr>
                <w:rFonts w:ascii="Times New Roman" w:hAnsi="Times New Roman"/>
                <w:sz w:val="22"/>
                <w:szCs w:val="22"/>
                <w:lang w:val="sr-Latn-ME"/>
              </w:rPr>
            </w:pPr>
          </w:p>
        </w:tc>
      </w:tr>
      <w:tr w:rsidR="00DC33B1" w:rsidRPr="00F65520" w14:paraId="4D6EA8AF" w14:textId="77777777" w:rsidTr="000808A1">
        <w:trPr>
          <w:trHeight w:val="288"/>
        </w:trPr>
        <w:tc>
          <w:tcPr>
            <w:tcW w:w="1137" w:type="pct"/>
            <w:tcBorders>
              <w:top w:val="single" w:sz="4" w:space="0" w:color="000000"/>
              <w:left w:val="single" w:sz="4" w:space="0" w:color="000000"/>
              <w:bottom w:val="single" w:sz="4" w:space="0" w:color="000000"/>
              <w:right w:val="single" w:sz="4" w:space="0" w:color="000000"/>
            </w:tcBorders>
          </w:tcPr>
          <w:p w14:paraId="741FE999"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n</w:t>
            </w:r>
          </w:p>
        </w:tc>
        <w:tc>
          <w:tcPr>
            <w:tcW w:w="1037" w:type="pct"/>
            <w:gridSpan w:val="2"/>
            <w:tcBorders>
              <w:top w:val="single" w:sz="4" w:space="0" w:color="000000"/>
              <w:left w:val="single" w:sz="4" w:space="0" w:color="000000"/>
              <w:bottom w:val="single" w:sz="4" w:space="0" w:color="000000"/>
              <w:right w:val="single" w:sz="4" w:space="0" w:color="000000"/>
            </w:tcBorders>
          </w:tcPr>
          <w:p w14:paraId="07519ACE" w14:textId="77777777" w:rsidR="00403080" w:rsidRPr="00F65520" w:rsidRDefault="00403080" w:rsidP="000808A1">
            <w:pPr>
              <w:tabs>
                <w:tab w:val="left" w:pos="284"/>
              </w:tabs>
              <w:spacing w:line="259" w:lineRule="auto"/>
              <w:ind w:right="82"/>
              <w:jc w:val="center"/>
              <w:rPr>
                <w:rFonts w:ascii="Times New Roman" w:hAnsi="Times New Roman"/>
                <w:sz w:val="22"/>
                <w:szCs w:val="22"/>
                <w:lang w:val="sr-Latn-ME"/>
              </w:rPr>
            </w:pPr>
            <w:r w:rsidRPr="00F65520">
              <w:rPr>
                <w:rFonts w:ascii="Times New Roman" w:hAnsi="Times New Roman"/>
                <w:sz w:val="22"/>
                <w:szCs w:val="22"/>
                <w:lang w:val="sr-Latn-ME"/>
              </w:rPr>
              <w:t>103</w:t>
            </w:r>
          </w:p>
        </w:tc>
        <w:tc>
          <w:tcPr>
            <w:tcW w:w="824" w:type="pct"/>
            <w:tcBorders>
              <w:top w:val="single" w:sz="4" w:space="0" w:color="000000"/>
              <w:left w:val="single" w:sz="4" w:space="0" w:color="000000"/>
              <w:bottom w:val="single" w:sz="4" w:space="0" w:color="000000"/>
              <w:right w:val="single" w:sz="4" w:space="0" w:color="000000"/>
            </w:tcBorders>
          </w:tcPr>
          <w:p w14:paraId="60AC8D00" w14:textId="77777777" w:rsidR="00403080" w:rsidRPr="00F65520" w:rsidRDefault="00403080" w:rsidP="000808A1">
            <w:pPr>
              <w:tabs>
                <w:tab w:val="left" w:pos="284"/>
              </w:tabs>
              <w:spacing w:line="259" w:lineRule="auto"/>
              <w:ind w:right="87"/>
              <w:jc w:val="center"/>
              <w:rPr>
                <w:rFonts w:ascii="Times New Roman" w:hAnsi="Times New Roman"/>
                <w:sz w:val="22"/>
                <w:szCs w:val="22"/>
                <w:lang w:val="sr-Latn-ME"/>
              </w:rPr>
            </w:pPr>
            <w:r w:rsidRPr="00F65520">
              <w:rPr>
                <w:rFonts w:ascii="Times New Roman" w:hAnsi="Times New Roman"/>
                <w:sz w:val="22"/>
                <w:szCs w:val="22"/>
                <w:lang w:val="sr-Latn-ME"/>
              </w:rPr>
              <w:t>118</w:t>
            </w:r>
          </w:p>
        </w:tc>
        <w:tc>
          <w:tcPr>
            <w:tcW w:w="1000" w:type="pct"/>
            <w:tcBorders>
              <w:top w:val="single" w:sz="4" w:space="0" w:color="000000"/>
              <w:left w:val="single" w:sz="4" w:space="0" w:color="000000"/>
              <w:bottom w:val="single" w:sz="4" w:space="0" w:color="000000"/>
              <w:right w:val="single" w:sz="4" w:space="0" w:color="000000"/>
            </w:tcBorders>
          </w:tcPr>
          <w:p w14:paraId="56AA33BB" w14:textId="77777777" w:rsidR="00403080" w:rsidRPr="00F65520" w:rsidRDefault="00403080" w:rsidP="000808A1">
            <w:pPr>
              <w:tabs>
                <w:tab w:val="left" w:pos="284"/>
              </w:tabs>
              <w:spacing w:line="259" w:lineRule="auto"/>
              <w:ind w:right="87"/>
              <w:jc w:val="center"/>
              <w:rPr>
                <w:rFonts w:ascii="Times New Roman" w:hAnsi="Times New Roman"/>
                <w:sz w:val="22"/>
                <w:szCs w:val="22"/>
                <w:lang w:val="sr-Latn-ME"/>
              </w:rPr>
            </w:pPr>
            <w:r w:rsidRPr="00F65520">
              <w:rPr>
                <w:rFonts w:ascii="Times New Roman" w:hAnsi="Times New Roman"/>
                <w:sz w:val="22"/>
                <w:szCs w:val="22"/>
                <w:lang w:val="sr-Latn-ME"/>
              </w:rPr>
              <w:t>95</w:t>
            </w:r>
          </w:p>
        </w:tc>
        <w:tc>
          <w:tcPr>
            <w:tcW w:w="1003" w:type="pct"/>
            <w:tcBorders>
              <w:top w:val="single" w:sz="4" w:space="0" w:color="000000"/>
              <w:left w:val="single" w:sz="4" w:space="0" w:color="000000"/>
              <w:bottom w:val="single" w:sz="4" w:space="0" w:color="000000"/>
              <w:right w:val="single" w:sz="4" w:space="0" w:color="000000"/>
            </w:tcBorders>
          </w:tcPr>
          <w:p w14:paraId="5A8F7B01" w14:textId="77777777" w:rsidR="00403080" w:rsidRPr="00F65520" w:rsidRDefault="00403080" w:rsidP="000808A1">
            <w:pPr>
              <w:tabs>
                <w:tab w:val="left" w:pos="284"/>
              </w:tabs>
              <w:spacing w:line="259" w:lineRule="auto"/>
              <w:ind w:right="82"/>
              <w:jc w:val="center"/>
              <w:rPr>
                <w:rFonts w:ascii="Times New Roman" w:hAnsi="Times New Roman"/>
                <w:sz w:val="22"/>
                <w:szCs w:val="22"/>
                <w:lang w:val="sr-Latn-ME"/>
              </w:rPr>
            </w:pPr>
            <w:r w:rsidRPr="00F65520">
              <w:rPr>
                <w:rFonts w:ascii="Times New Roman" w:hAnsi="Times New Roman"/>
                <w:sz w:val="22"/>
                <w:szCs w:val="22"/>
                <w:lang w:val="sr-Latn-ME"/>
              </w:rPr>
              <w:t>97</w:t>
            </w:r>
          </w:p>
        </w:tc>
      </w:tr>
      <w:tr w:rsidR="00DC33B1" w:rsidRPr="00F65520" w14:paraId="4BF316E3" w14:textId="77777777" w:rsidTr="000808A1">
        <w:trPr>
          <w:trHeight w:val="283"/>
        </w:trPr>
        <w:tc>
          <w:tcPr>
            <w:tcW w:w="1137" w:type="pct"/>
            <w:tcBorders>
              <w:top w:val="single" w:sz="4" w:space="0" w:color="000000"/>
              <w:left w:val="single" w:sz="4" w:space="0" w:color="000000"/>
              <w:bottom w:val="single" w:sz="4" w:space="0" w:color="000000"/>
              <w:right w:val="single" w:sz="4" w:space="0" w:color="000000"/>
            </w:tcBorders>
          </w:tcPr>
          <w:p w14:paraId="294A1AD1" w14:textId="77777777" w:rsidR="00403080" w:rsidRPr="00F65520" w:rsidRDefault="00403080" w:rsidP="00437B73">
            <w:pPr>
              <w:tabs>
                <w:tab w:val="left" w:pos="284"/>
              </w:tabs>
              <w:spacing w:line="259" w:lineRule="auto"/>
              <w:rPr>
                <w:rFonts w:ascii="Times New Roman" w:hAnsi="Times New Roman"/>
                <w:sz w:val="22"/>
                <w:szCs w:val="22"/>
                <w:lang w:val="sr-Latn-ME"/>
              </w:rPr>
            </w:pPr>
            <w:r w:rsidRPr="00F65520">
              <w:rPr>
                <w:rFonts w:ascii="Times New Roman" w:hAnsi="Times New Roman"/>
                <w:sz w:val="22"/>
                <w:szCs w:val="22"/>
                <w:lang w:val="sr-Latn-ME"/>
              </w:rPr>
              <w:t xml:space="preserve">Stopa egzacerbacija </w:t>
            </w:r>
          </w:p>
        </w:tc>
        <w:tc>
          <w:tcPr>
            <w:tcW w:w="1037" w:type="pct"/>
            <w:gridSpan w:val="2"/>
            <w:tcBorders>
              <w:top w:val="single" w:sz="4" w:space="0" w:color="000000"/>
              <w:left w:val="single" w:sz="4" w:space="0" w:color="000000"/>
              <w:bottom w:val="single" w:sz="4" w:space="0" w:color="000000"/>
              <w:right w:val="single" w:sz="4" w:space="0" w:color="000000"/>
            </w:tcBorders>
          </w:tcPr>
          <w:p w14:paraId="1AF38438" w14:textId="77777777" w:rsidR="00403080" w:rsidRPr="00F65520" w:rsidRDefault="00403080" w:rsidP="000808A1">
            <w:pPr>
              <w:tabs>
                <w:tab w:val="left" w:pos="284"/>
              </w:tabs>
              <w:spacing w:line="259" w:lineRule="auto"/>
              <w:ind w:right="82"/>
              <w:jc w:val="center"/>
              <w:rPr>
                <w:rFonts w:ascii="Times New Roman" w:hAnsi="Times New Roman"/>
                <w:sz w:val="22"/>
                <w:szCs w:val="22"/>
                <w:lang w:val="sr-Latn-ME"/>
              </w:rPr>
            </w:pPr>
            <w:r w:rsidRPr="00F65520">
              <w:rPr>
                <w:rFonts w:ascii="Times New Roman" w:hAnsi="Times New Roman"/>
                <w:sz w:val="22"/>
                <w:szCs w:val="22"/>
                <w:lang w:val="sr-Latn-ME"/>
              </w:rPr>
              <w:t>0,95</w:t>
            </w:r>
          </w:p>
        </w:tc>
        <w:tc>
          <w:tcPr>
            <w:tcW w:w="824" w:type="pct"/>
            <w:tcBorders>
              <w:top w:val="single" w:sz="4" w:space="0" w:color="000000"/>
              <w:left w:val="single" w:sz="4" w:space="0" w:color="000000"/>
              <w:bottom w:val="single" w:sz="4" w:space="0" w:color="000000"/>
              <w:right w:val="single" w:sz="4" w:space="0" w:color="000000"/>
            </w:tcBorders>
          </w:tcPr>
          <w:p w14:paraId="0B2405FB" w14:textId="77777777" w:rsidR="00403080" w:rsidRPr="00F65520" w:rsidRDefault="00403080" w:rsidP="000808A1">
            <w:pPr>
              <w:tabs>
                <w:tab w:val="left" w:pos="284"/>
              </w:tabs>
              <w:spacing w:line="259" w:lineRule="auto"/>
              <w:ind w:right="77"/>
              <w:jc w:val="center"/>
              <w:rPr>
                <w:rFonts w:ascii="Times New Roman" w:hAnsi="Times New Roman"/>
                <w:sz w:val="22"/>
                <w:szCs w:val="22"/>
                <w:lang w:val="sr-Latn-ME"/>
              </w:rPr>
            </w:pPr>
            <w:r w:rsidRPr="00F65520">
              <w:rPr>
                <w:rFonts w:ascii="Times New Roman" w:hAnsi="Times New Roman"/>
                <w:sz w:val="22"/>
                <w:szCs w:val="22"/>
                <w:lang w:val="sr-Latn-ME"/>
              </w:rPr>
              <w:t>2,23</w:t>
            </w:r>
          </w:p>
        </w:tc>
        <w:tc>
          <w:tcPr>
            <w:tcW w:w="1000" w:type="pct"/>
            <w:tcBorders>
              <w:top w:val="single" w:sz="4" w:space="0" w:color="000000"/>
              <w:left w:val="single" w:sz="4" w:space="0" w:color="000000"/>
              <w:bottom w:val="single" w:sz="4" w:space="0" w:color="000000"/>
              <w:right w:val="single" w:sz="4" w:space="0" w:color="000000"/>
            </w:tcBorders>
          </w:tcPr>
          <w:p w14:paraId="0006130D" w14:textId="77777777" w:rsidR="00403080" w:rsidRPr="00F65520" w:rsidRDefault="00403080" w:rsidP="000808A1">
            <w:pPr>
              <w:tabs>
                <w:tab w:val="left" w:pos="284"/>
              </w:tabs>
              <w:spacing w:line="259" w:lineRule="auto"/>
              <w:ind w:right="82"/>
              <w:jc w:val="center"/>
              <w:rPr>
                <w:rFonts w:ascii="Times New Roman" w:hAnsi="Times New Roman"/>
                <w:sz w:val="22"/>
                <w:szCs w:val="22"/>
                <w:lang w:val="sr-Latn-ME"/>
              </w:rPr>
            </w:pPr>
            <w:r w:rsidRPr="00F65520">
              <w:rPr>
                <w:rFonts w:ascii="Times New Roman" w:hAnsi="Times New Roman"/>
                <w:sz w:val="22"/>
                <w:szCs w:val="22"/>
                <w:lang w:val="sr-Latn-ME"/>
              </w:rPr>
              <w:t>0,82</w:t>
            </w:r>
          </w:p>
        </w:tc>
        <w:tc>
          <w:tcPr>
            <w:tcW w:w="1003" w:type="pct"/>
            <w:tcBorders>
              <w:top w:val="single" w:sz="4" w:space="0" w:color="000000"/>
              <w:left w:val="single" w:sz="4" w:space="0" w:color="000000"/>
              <w:bottom w:val="single" w:sz="4" w:space="0" w:color="000000"/>
              <w:right w:val="single" w:sz="4" w:space="0" w:color="000000"/>
            </w:tcBorders>
          </w:tcPr>
          <w:p w14:paraId="04159B4A" w14:textId="77777777" w:rsidR="00403080" w:rsidRPr="00F65520" w:rsidRDefault="00403080" w:rsidP="000808A1">
            <w:pPr>
              <w:tabs>
                <w:tab w:val="left" w:pos="284"/>
              </w:tabs>
              <w:spacing w:line="259" w:lineRule="auto"/>
              <w:ind w:right="77"/>
              <w:jc w:val="center"/>
              <w:rPr>
                <w:rFonts w:ascii="Times New Roman" w:hAnsi="Times New Roman"/>
                <w:sz w:val="22"/>
                <w:szCs w:val="22"/>
                <w:lang w:val="sr-Latn-ME"/>
              </w:rPr>
            </w:pPr>
            <w:r w:rsidRPr="00F65520">
              <w:rPr>
                <w:rFonts w:ascii="Times New Roman" w:hAnsi="Times New Roman"/>
                <w:sz w:val="22"/>
                <w:szCs w:val="22"/>
                <w:lang w:val="sr-Latn-ME"/>
              </w:rPr>
              <w:t>1,65</w:t>
            </w:r>
          </w:p>
        </w:tc>
      </w:tr>
      <w:tr w:rsidR="00DC33B1" w:rsidRPr="00F65520" w14:paraId="6D46C21C" w14:textId="77777777" w:rsidTr="000808A1">
        <w:trPr>
          <w:trHeight w:val="288"/>
        </w:trPr>
        <w:tc>
          <w:tcPr>
            <w:tcW w:w="1137" w:type="pct"/>
            <w:tcBorders>
              <w:top w:val="single" w:sz="4" w:space="0" w:color="000000"/>
              <w:left w:val="single" w:sz="4" w:space="0" w:color="000000"/>
              <w:bottom w:val="single" w:sz="4" w:space="0" w:color="000000"/>
              <w:right w:val="single" w:sz="4" w:space="0" w:color="000000"/>
            </w:tcBorders>
          </w:tcPr>
          <w:p w14:paraId="47C1E204" w14:textId="77777777" w:rsidR="00403080" w:rsidRPr="00F65520" w:rsidRDefault="00403080" w:rsidP="00437B73">
            <w:pPr>
              <w:tabs>
                <w:tab w:val="left" w:pos="284"/>
              </w:tabs>
              <w:spacing w:line="259" w:lineRule="auto"/>
              <w:rPr>
                <w:rFonts w:ascii="Times New Roman" w:hAnsi="Times New Roman"/>
                <w:sz w:val="22"/>
                <w:szCs w:val="22"/>
                <w:lang w:val="sr-Latn-ME"/>
              </w:rPr>
            </w:pPr>
            <w:r w:rsidRPr="00F65520">
              <w:rPr>
                <w:rFonts w:ascii="Times New Roman" w:hAnsi="Times New Roman"/>
                <w:sz w:val="22"/>
                <w:szCs w:val="22"/>
                <w:lang w:val="sr-Latn-ME"/>
              </w:rPr>
              <w:t>Razlika</w:t>
            </w:r>
          </w:p>
        </w:tc>
        <w:tc>
          <w:tcPr>
            <w:tcW w:w="1861" w:type="pct"/>
            <w:gridSpan w:val="3"/>
            <w:tcBorders>
              <w:top w:val="single" w:sz="4" w:space="0" w:color="000000"/>
              <w:left w:val="single" w:sz="4" w:space="0" w:color="000000"/>
              <w:bottom w:val="single" w:sz="4" w:space="0" w:color="000000"/>
              <w:right w:val="single" w:sz="4" w:space="0" w:color="000000"/>
            </w:tcBorders>
          </w:tcPr>
          <w:p w14:paraId="74089C20" w14:textId="77777777" w:rsidR="00403080" w:rsidRPr="00F65520" w:rsidRDefault="00403080" w:rsidP="000808A1">
            <w:pPr>
              <w:tabs>
                <w:tab w:val="left" w:pos="284"/>
              </w:tabs>
              <w:spacing w:line="259" w:lineRule="auto"/>
              <w:ind w:right="82"/>
              <w:jc w:val="center"/>
              <w:rPr>
                <w:rFonts w:ascii="Times New Roman" w:hAnsi="Times New Roman"/>
                <w:sz w:val="22"/>
                <w:szCs w:val="22"/>
                <w:lang w:val="sr-Latn-ME"/>
              </w:rPr>
            </w:pPr>
            <w:r w:rsidRPr="00F65520">
              <w:rPr>
                <w:rFonts w:ascii="Times New Roman" w:hAnsi="Times New Roman"/>
                <w:sz w:val="22"/>
                <w:szCs w:val="22"/>
                <w:lang w:val="sr-Latn-ME"/>
              </w:rPr>
              <w:t>-1,28</w:t>
            </w:r>
          </w:p>
        </w:tc>
        <w:tc>
          <w:tcPr>
            <w:tcW w:w="2003" w:type="pct"/>
            <w:gridSpan w:val="2"/>
            <w:tcBorders>
              <w:top w:val="single" w:sz="4" w:space="0" w:color="000000"/>
              <w:left w:val="single" w:sz="4" w:space="0" w:color="000000"/>
              <w:bottom w:val="single" w:sz="4" w:space="0" w:color="000000"/>
              <w:right w:val="single" w:sz="4" w:space="0" w:color="000000"/>
            </w:tcBorders>
          </w:tcPr>
          <w:p w14:paraId="095A6E51" w14:textId="77777777" w:rsidR="00403080" w:rsidRPr="00F65520" w:rsidRDefault="00403080" w:rsidP="000808A1">
            <w:pPr>
              <w:tabs>
                <w:tab w:val="left" w:pos="284"/>
              </w:tabs>
              <w:spacing w:line="259" w:lineRule="auto"/>
              <w:ind w:right="82"/>
              <w:jc w:val="center"/>
              <w:rPr>
                <w:rFonts w:ascii="Times New Roman" w:hAnsi="Times New Roman"/>
                <w:sz w:val="22"/>
                <w:szCs w:val="22"/>
                <w:lang w:val="sr-Latn-ME"/>
              </w:rPr>
            </w:pPr>
            <w:r w:rsidRPr="00F65520">
              <w:rPr>
                <w:rFonts w:ascii="Times New Roman" w:hAnsi="Times New Roman"/>
                <w:sz w:val="22"/>
                <w:szCs w:val="22"/>
                <w:lang w:val="sr-Latn-ME"/>
              </w:rPr>
              <w:t>-0,84</w:t>
            </w:r>
          </w:p>
        </w:tc>
      </w:tr>
      <w:tr w:rsidR="00DC33B1" w:rsidRPr="00F65520" w14:paraId="2E0636EF" w14:textId="77777777" w:rsidTr="000808A1">
        <w:trPr>
          <w:trHeight w:val="518"/>
        </w:trPr>
        <w:tc>
          <w:tcPr>
            <w:tcW w:w="1137" w:type="pct"/>
            <w:tcBorders>
              <w:top w:val="single" w:sz="4" w:space="0" w:color="000000"/>
              <w:left w:val="single" w:sz="4" w:space="0" w:color="000000"/>
              <w:bottom w:val="single" w:sz="4" w:space="0" w:color="000000"/>
              <w:right w:val="single" w:sz="4" w:space="0" w:color="000000"/>
            </w:tcBorders>
          </w:tcPr>
          <w:p w14:paraId="4E919E36" w14:textId="77777777" w:rsidR="00403080" w:rsidRPr="00F65520" w:rsidRDefault="00403080" w:rsidP="00437B73">
            <w:pPr>
              <w:tabs>
                <w:tab w:val="left" w:pos="284"/>
              </w:tabs>
              <w:spacing w:line="259" w:lineRule="auto"/>
              <w:rPr>
                <w:rFonts w:ascii="Times New Roman" w:hAnsi="Times New Roman"/>
                <w:sz w:val="22"/>
                <w:szCs w:val="22"/>
                <w:lang w:val="sr-Latn-ME"/>
              </w:rPr>
            </w:pPr>
            <w:r w:rsidRPr="00F65520">
              <w:rPr>
                <w:rFonts w:ascii="Times New Roman" w:hAnsi="Times New Roman"/>
                <w:sz w:val="22"/>
                <w:szCs w:val="22"/>
                <w:lang w:val="sr-Latn-ME"/>
              </w:rPr>
              <w:t>Odnos stopa (95% CI)</w:t>
            </w:r>
          </w:p>
        </w:tc>
        <w:tc>
          <w:tcPr>
            <w:tcW w:w="1861" w:type="pct"/>
            <w:gridSpan w:val="3"/>
            <w:tcBorders>
              <w:top w:val="single" w:sz="4" w:space="0" w:color="000000"/>
              <w:left w:val="single" w:sz="4" w:space="0" w:color="000000"/>
              <w:bottom w:val="single" w:sz="4" w:space="0" w:color="000000"/>
              <w:right w:val="single" w:sz="4" w:space="0" w:color="000000"/>
            </w:tcBorders>
          </w:tcPr>
          <w:p w14:paraId="436F6924" w14:textId="77777777" w:rsidR="00403080" w:rsidRPr="00F65520" w:rsidRDefault="00403080" w:rsidP="000808A1">
            <w:pPr>
              <w:tabs>
                <w:tab w:val="left" w:pos="284"/>
              </w:tabs>
              <w:spacing w:line="259" w:lineRule="auto"/>
              <w:ind w:right="85"/>
              <w:jc w:val="center"/>
              <w:rPr>
                <w:rFonts w:ascii="Times New Roman" w:hAnsi="Times New Roman"/>
                <w:sz w:val="22"/>
                <w:szCs w:val="22"/>
                <w:lang w:val="sr-Latn-ME"/>
              </w:rPr>
            </w:pPr>
            <w:r w:rsidRPr="00F65520">
              <w:rPr>
                <w:rFonts w:ascii="Times New Roman" w:hAnsi="Times New Roman"/>
                <w:sz w:val="22"/>
                <w:szCs w:val="22"/>
                <w:lang w:val="sr-Latn-ME"/>
              </w:rPr>
              <w:t>0,43 (0,29; 0,63)</w:t>
            </w:r>
          </w:p>
        </w:tc>
        <w:tc>
          <w:tcPr>
            <w:tcW w:w="2003" w:type="pct"/>
            <w:gridSpan w:val="2"/>
            <w:tcBorders>
              <w:top w:val="single" w:sz="4" w:space="0" w:color="000000"/>
              <w:left w:val="single" w:sz="4" w:space="0" w:color="000000"/>
              <w:bottom w:val="single" w:sz="4" w:space="0" w:color="000000"/>
              <w:right w:val="single" w:sz="4" w:space="0" w:color="000000"/>
            </w:tcBorders>
          </w:tcPr>
          <w:p w14:paraId="242156A8" w14:textId="77777777" w:rsidR="00403080" w:rsidRPr="00F65520" w:rsidRDefault="00403080" w:rsidP="000808A1">
            <w:pPr>
              <w:tabs>
                <w:tab w:val="left" w:pos="284"/>
              </w:tabs>
              <w:spacing w:line="259" w:lineRule="auto"/>
              <w:ind w:right="85"/>
              <w:jc w:val="center"/>
              <w:rPr>
                <w:rFonts w:ascii="Times New Roman" w:hAnsi="Times New Roman"/>
                <w:sz w:val="22"/>
                <w:szCs w:val="22"/>
                <w:lang w:val="sr-Latn-ME"/>
              </w:rPr>
            </w:pPr>
            <w:r w:rsidRPr="00F65520">
              <w:rPr>
                <w:rFonts w:ascii="Times New Roman" w:hAnsi="Times New Roman"/>
                <w:sz w:val="22"/>
                <w:szCs w:val="22"/>
                <w:lang w:val="sr-Latn-ME"/>
              </w:rPr>
              <w:t>0,49 (0,33; 0,74)</w:t>
            </w:r>
          </w:p>
        </w:tc>
      </w:tr>
      <w:tr w:rsidR="00DC33B1" w:rsidRPr="00F65520" w14:paraId="1B176AE5" w14:textId="77777777" w:rsidTr="000808A1">
        <w:trPr>
          <w:trHeight w:val="1018"/>
        </w:trPr>
        <w:tc>
          <w:tcPr>
            <w:tcW w:w="1137" w:type="pct"/>
            <w:tcBorders>
              <w:top w:val="single" w:sz="4" w:space="0" w:color="000000"/>
              <w:left w:val="single" w:sz="4" w:space="0" w:color="000000"/>
              <w:bottom w:val="single" w:sz="4" w:space="0" w:color="000000"/>
              <w:right w:val="single" w:sz="4" w:space="0" w:color="000000"/>
            </w:tcBorders>
          </w:tcPr>
          <w:p w14:paraId="3F7648BD" w14:textId="77777777" w:rsidR="00403080" w:rsidRPr="00F65520" w:rsidRDefault="00403080" w:rsidP="00437B73">
            <w:pPr>
              <w:tabs>
                <w:tab w:val="left" w:pos="284"/>
              </w:tabs>
              <w:spacing w:line="246" w:lineRule="auto"/>
              <w:rPr>
                <w:rFonts w:ascii="Times New Roman" w:hAnsi="Times New Roman"/>
                <w:sz w:val="22"/>
                <w:szCs w:val="22"/>
                <w:lang w:val="sr-Latn-ME"/>
              </w:rPr>
            </w:pPr>
            <w:r w:rsidRPr="00F65520">
              <w:rPr>
                <w:rFonts w:ascii="Times New Roman" w:hAnsi="Times New Roman"/>
                <w:sz w:val="22"/>
                <w:szCs w:val="22"/>
                <w:lang w:val="sr-Latn-ME"/>
              </w:rPr>
              <w:t>Srednja vrijednost promjene FEV</w:t>
            </w:r>
            <w:r w:rsidRPr="00F65520">
              <w:rPr>
                <w:rFonts w:ascii="Times New Roman" w:hAnsi="Times New Roman"/>
                <w:sz w:val="22"/>
                <w:szCs w:val="22"/>
                <w:vertAlign w:val="subscript"/>
                <w:lang w:val="sr-Latn-ME"/>
              </w:rPr>
              <w:t xml:space="preserve">1 </w:t>
            </w:r>
            <w:r w:rsidRPr="00F65520">
              <w:rPr>
                <w:rFonts w:ascii="Times New Roman" w:hAnsi="Times New Roman"/>
                <w:sz w:val="22"/>
                <w:szCs w:val="22"/>
                <w:lang w:val="sr-Latn-ME"/>
              </w:rPr>
              <w:t xml:space="preserve">prije </w:t>
            </w:r>
          </w:p>
          <w:p w14:paraId="37D1534D" w14:textId="77777777" w:rsidR="00403080" w:rsidRPr="00F65520" w:rsidRDefault="00403080" w:rsidP="00437B73">
            <w:pPr>
              <w:tabs>
                <w:tab w:val="left" w:pos="284"/>
              </w:tabs>
              <w:spacing w:line="259" w:lineRule="auto"/>
              <w:rPr>
                <w:rFonts w:ascii="Times New Roman" w:hAnsi="Times New Roman"/>
                <w:sz w:val="22"/>
                <w:szCs w:val="22"/>
                <w:lang w:val="sr-Latn-ME"/>
              </w:rPr>
            </w:pPr>
            <w:r w:rsidRPr="00F65520">
              <w:rPr>
                <w:rFonts w:ascii="Times New Roman" w:hAnsi="Times New Roman"/>
                <w:sz w:val="22"/>
                <w:szCs w:val="22"/>
                <w:lang w:val="sr-Latn-ME"/>
              </w:rPr>
              <w:t>primjene bronhodilatatora</w:t>
            </w:r>
          </w:p>
        </w:tc>
        <w:tc>
          <w:tcPr>
            <w:tcW w:w="1037" w:type="pct"/>
            <w:gridSpan w:val="2"/>
            <w:tcBorders>
              <w:top w:val="single" w:sz="4" w:space="0" w:color="000000"/>
              <w:left w:val="single" w:sz="4" w:space="0" w:color="000000"/>
              <w:bottom w:val="single" w:sz="4" w:space="0" w:color="000000"/>
              <w:right w:val="single" w:sz="4" w:space="0" w:color="000000"/>
            </w:tcBorders>
          </w:tcPr>
          <w:p w14:paraId="7475863D" w14:textId="77777777" w:rsidR="00403080" w:rsidRPr="00F65520" w:rsidRDefault="00403080" w:rsidP="000808A1">
            <w:pPr>
              <w:tabs>
                <w:tab w:val="left" w:pos="284"/>
              </w:tabs>
              <w:spacing w:line="259" w:lineRule="auto"/>
              <w:ind w:right="77"/>
              <w:jc w:val="center"/>
              <w:rPr>
                <w:rFonts w:ascii="Times New Roman" w:hAnsi="Times New Roman"/>
                <w:sz w:val="22"/>
                <w:szCs w:val="22"/>
                <w:lang w:val="sr-Latn-ME"/>
              </w:rPr>
            </w:pPr>
            <w:r w:rsidRPr="00F65520">
              <w:rPr>
                <w:rFonts w:ascii="Times New Roman" w:hAnsi="Times New Roman"/>
                <w:sz w:val="22"/>
                <w:szCs w:val="22"/>
                <w:lang w:val="sr-Latn-ME"/>
              </w:rPr>
              <w:t>0,486</w:t>
            </w:r>
          </w:p>
        </w:tc>
        <w:tc>
          <w:tcPr>
            <w:tcW w:w="824" w:type="pct"/>
            <w:tcBorders>
              <w:top w:val="single" w:sz="4" w:space="0" w:color="000000"/>
              <w:left w:val="single" w:sz="4" w:space="0" w:color="000000"/>
              <w:bottom w:val="single" w:sz="4" w:space="0" w:color="000000"/>
              <w:right w:val="single" w:sz="4" w:space="0" w:color="000000"/>
            </w:tcBorders>
          </w:tcPr>
          <w:p w14:paraId="5BABC71F" w14:textId="77777777" w:rsidR="00403080" w:rsidRPr="00F65520" w:rsidRDefault="00403080" w:rsidP="000808A1">
            <w:pPr>
              <w:tabs>
                <w:tab w:val="left" w:pos="284"/>
              </w:tabs>
              <w:spacing w:line="259" w:lineRule="auto"/>
              <w:ind w:right="82"/>
              <w:jc w:val="center"/>
              <w:rPr>
                <w:rFonts w:ascii="Times New Roman" w:hAnsi="Times New Roman"/>
                <w:sz w:val="22"/>
                <w:szCs w:val="22"/>
                <w:lang w:val="sr-Latn-ME"/>
              </w:rPr>
            </w:pPr>
            <w:r w:rsidRPr="00F65520">
              <w:rPr>
                <w:rFonts w:ascii="Times New Roman" w:hAnsi="Times New Roman"/>
                <w:sz w:val="22"/>
                <w:szCs w:val="22"/>
                <w:lang w:val="sr-Latn-ME"/>
              </w:rPr>
              <w:t>0,251</w:t>
            </w:r>
          </w:p>
        </w:tc>
        <w:tc>
          <w:tcPr>
            <w:tcW w:w="1000" w:type="pct"/>
            <w:tcBorders>
              <w:top w:val="single" w:sz="4" w:space="0" w:color="000000"/>
              <w:left w:val="single" w:sz="4" w:space="0" w:color="000000"/>
              <w:bottom w:val="single" w:sz="4" w:space="0" w:color="000000"/>
              <w:right w:val="single" w:sz="4" w:space="0" w:color="000000"/>
            </w:tcBorders>
          </w:tcPr>
          <w:p w14:paraId="6802DEEE" w14:textId="77777777" w:rsidR="00403080" w:rsidRPr="00F65520" w:rsidRDefault="00403080" w:rsidP="000808A1">
            <w:pPr>
              <w:tabs>
                <w:tab w:val="left" w:pos="284"/>
              </w:tabs>
              <w:spacing w:line="259" w:lineRule="auto"/>
              <w:ind w:right="77"/>
              <w:jc w:val="center"/>
              <w:rPr>
                <w:rFonts w:ascii="Times New Roman" w:hAnsi="Times New Roman"/>
                <w:sz w:val="22"/>
                <w:szCs w:val="22"/>
                <w:lang w:val="sr-Latn-ME"/>
              </w:rPr>
            </w:pPr>
            <w:r w:rsidRPr="00F65520">
              <w:rPr>
                <w:rFonts w:ascii="Times New Roman" w:hAnsi="Times New Roman"/>
                <w:sz w:val="22"/>
                <w:szCs w:val="22"/>
                <w:lang w:val="sr-Latn-ME"/>
              </w:rPr>
              <w:t>0,440</w:t>
            </w:r>
          </w:p>
        </w:tc>
        <w:tc>
          <w:tcPr>
            <w:tcW w:w="1003" w:type="pct"/>
            <w:tcBorders>
              <w:top w:val="single" w:sz="4" w:space="0" w:color="000000"/>
              <w:left w:val="single" w:sz="4" w:space="0" w:color="000000"/>
              <w:bottom w:val="single" w:sz="4" w:space="0" w:color="000000"/>
              <w:right w:val="single" w:sz="4" w:space="0" w:color="000000"/>
            </w:tcBorders>
          </w:tcPr>
          <w:p w14:paraId="512F352A" w14:textId="77777777" w:rsidR="00403080" w:rsidRPr="00F65520" w:rsidRDefault="00403080" w:rsidP="000808A1">
            <w:pPr>
              <w:tabs>
                <w:tab w:val="left" w:pos="284"/>
              </w:tabs>
              <w:spacing w:line="259" w:lineRule="auto"/>
              <w:ind w:right="82"/>
              <w:jc w:val="center"/>
              <w:rPr>
                <w:rFonts w:ascii="Times New Roman" w:hAnsi="Times New Roman"/>
                <w:sz w:val="22"/>
                <w:szCs w:val="22"/>
                <w:lang w:val="sr-Latn-ME"/>
              </w:rPr>
            </w:pPr>
            <w:r w:rsidRPr="00F65520">
              <w:rPr>
                <w:rFonts w:ascii="Times New Roman" w:hAnsi="Times New Roman"/>
                <w:sz w:val="22"/>
                <w:szCs w:val="22"/>
                <w:lang w:val="sr-Latn-ME"/>
              </w:rPr>
              <w:t>0,174</w:t>
            </w:r>
          </w:p>
        </w:tc>
      </w:tr>
      <w:tr w:rsidR="00403080" w:rsidRPr="00F65520" w14:paraId="785B6F97" w14:textId="77777777" w:rsidTr="000808A1">
        <w:trPr>
          <w:trHeight w:val="298"/>
        </w:trPr>
        <w:tc>
          <w:tcPr>
            <w:tcW w:w="1137" w:type="pct"/>
            <w:tcBorders>
              <w:top w:val="single" w:sz="4" w:space="0" w:color="000000"/>
              <w:left w:val="single" w:sz="4" w:space="0" w:color="000000"/>
              <w:bottom w:val="single" w:sz="4" w:space="0" w:color="000000"/>
              <w:right w:val="single" w:sz="4" w:space="0" w:color="000000"/>
            </w:tcBorders>
          </w:tcPr>
          <w:p w14:paraId="6C6C967A" w14:textId="77777777" w:rsidR="00403080" w:rsidRPr="00F65520" w:rsidRDefault="00403080" w:rsidP="00437B73">
            <w:pPr>
              <w:tabs>
                <w:tab w:val="left" w:pos="284"/>
              </w:tabs>
              <w:spacing w:line="259" w:lineRule="auto"/>
              <w:rPr>
                <w:rFonts w:ascii="Times New Roman" w:hAnsi="Times New Roman"/>
                <w:sz w:val="22"/>
                <w:szCs w:val="22"/>
                <w:lang w:val="sr-Latn-ME"/>
              </w:rPr>
            </w:pPr>
            <w:r w:rsidRPr="00F65520">
              <w:rPr>
                <w:rFonts w:ascii="Times New Roman" w:hAnsi="Times New Roman"/>
                <w:sz w:val="22"/>
                <w:szCs w:val="22"/>
                <w:lang w:val="sr-Latn-ME"/>
              </w:rPr>
              <w:t>Razlika (95% CI)</w:t>
            </w:r>
          </w:p>
        </w:tc>
        <w:tc>
          <w:tcPr>
            <w:tcW w:w="1861" w:type="pct"/>
            <w:gridSpan w:val="3"/>
            <w:tcBorders>
              <w:top w:val="single" w:sz="4" w:space="0" w:color="000000"/>
              <w:left w:val="single" w:sz="4" w:space="0" w:color="000000"/>
              <w:bottom w:val="single" w:sz="4" w:space="0" w:color="000000"/>
              <w:right w:val="single" w:sz="4" w:space="0" w:color="000000"/>
            </w:tcBorders>
          </w:tcPr>
          <w:p w14:paraId="1CD5A482" w14:textId="77777777" w:rsidR="00403080" w:rsidRPr="00F65520" w:rsidRDefault="00403080" w:rsidP="000808A1">
            <w:pPr>
              <w:tabs>
                <w:tab w:val="left" w:pos="284"/>
              </w:tabs>
              <w:spacing w:line="259" w:lineRule="auto"/>
              <w:ind w:right="80"/>
              <w:jc w:val="center"/>
              <w:rPr>
                <w:rFonts w:ascii="Times New Roman" w:hAnsi="Times New Roman"/>
                <w:sz w:val="22"/>
                <w:szCs w:val="22"/>
                <w:lang w:val="sr-Latn-ME"/>
              </w:rPr>
            </w:pPr>
            <w:r w:rsidRPr="00F65520">
              <w:rPr>
                <w:rFonts w:ascii="Times New Roman" w:hAnsi="Times New Roman"/>
                <w:sz w:val="22"/>
                <w:szCs w:val="22"/>
                <w:lang w:val="sr-Latn-ME"/>
              </w:rPr>
              <w:t>0,235 (0,088; 0,382)</w:t>
            </w:r>
          </w:p>
        </w:tc>
        <w:tc>
          <w:tcPr>
            <w:tcW w:w="2003" w:type="pct"/>
            <w:gridSpan w:val="2"/>
            <w:tcBorders>
              <w:top w:val="single" w:sz="4" w:space="0" w:color="000000"/>
              <w:left w:val="single" w:sz="4" w:space="0" w:color="000000"/>
              <w:bottom w:val="single" w:sz="4" w:space="0" w:color="000000"/>
              <w:right w:val="single" w:sz="4" w:space="0" w:color="000000"/>
            </w:tcBorders>
          </w:tcPr>
          <w:p w14:paraId="4B14CF24" w14:textId="77777777" w:rsidR="00403080" w:rsidRPr="00F65520" w:rsidRDefault="00403080" w:rsidP="000808A1">
            <w:pPr>
              <w:tabs>
                <w:tab w:val="left" w:pos="284"/>
              </w:tabs>
              <w:spacing w:line="259" w:lineRule="auto"/>
              <w:ind w:right="80"/>
              <w:jc w:val="center"/>
              <w:rPr>
                <w:rFonts w:ascii="Times New Roman" w:hAnsi="Times New Roman"/>
                <w:sz w:val="22"/>
                <w:szCs w:val="22"/>
                <w:lang w:val="sr-Latn-ME"/>
              </w:rPr>
            </w:pPr>
            <w:r w:rsidRPr="00F65520">
              <w:rPr>
                <w:rFonts w:ascii="Times New Roman" w:hAnsi="Times New Roman"/>
                <w:sz w:val="22"/>
                <w:szCs w:val="22"/>
                <w:lang w:val="sr-Latn-ME"/>
              </w:rPr>
              <w:t>0,265 (0,115; 0,415)</w:t>
            </w:r>
          </w:p>
        </w:tc>
      </w:tr>
    </w:tbl>
    <w:p w14:paraId="66D4FA0D" w14:textId="77777777" w:rsidR="00403080" w:rsidRPr="00F65520" w:rsidRDefault="00403080" w:rsidP="00403080">
      <w:pPr>
        <w:tabs>
          <w:tab w:val="left" w:pos="284"/>
        </w:tabs>
        <w:jc w:val="both"/>
        <w:rPr>
          <w:b/>
          <w:bCs/>
          <w:sz w:val="22"/>
          <w:szCs w:val="22"/>
          <w:lang w:val="sr-Latn-ME"/>
        </w:rPr>
      </w:pPr>
    </w:p>
    <w:p w14:paraId="1389AADA" w14:textId="77777777" w:rsidR="00403080" w:rsidRPr="00F65520" w:rsidRDefault="00403080" w:rsidP="00403080">
      <w:pPr>
        <w:tabs>
          <w:tab w:val="left" w:pos="284"/>
        </w:tabs>
        <w:jc w:val="both"/>
        <w:rPr>
          <w:bCs/>
          <w:i/>
          <w:sz w:val="22"/>
          <w:szCs w:val="22"/>
          <w:u w:val="single"/>
          <w:lang w:val="sr-Latn-ME"/>
        </w:rPr>
      </w:pPr>
      <w:r w:rsidRPr="00F65520">
        <w:rPr>
          <w:bCs/>
          <w:i/>
          <w:sz w:val="22"/>
          <w:szCs w:val="22"/>
          <w:u w:val="single"/>
          <w:lang w:val="sr-Latn-ME"/>
        </w:rPr>
        <w:t xml:space="preserve">Ispitivanje smanjenja doze oralnih kortikosteroida </w:t>
      </w:r>
    </w:p>
    <w:p w14:paraId="236C36C7" w14:textId="77777777" w:rsidR="00403080" w:rsidRPr="00F65520" w:rsidRDefault="00403080" w:rsidP="00403080">
      <w:pPr>
        <w:tabs>
          <w:tab w:val="left" w:pos="284"/>
        </w:tabs>
        <w:jc w:val="both"/>
        <w:rPr>
          <w:bCs/>
          <w:i/>
          <w:sz w:val="22"/>
          <w:szCs w:val="22"/>
          <w:u w:val="single"/>
          <w:lang w:val="sr-Latn-ME"/>
        </w:rPr>
      </w:pPr>
    </w:p>
    <w:p w14:paraId="7B1E3395" w14:textId="4DB279EE" w:rsidR="00E87787" w:rsidRPr="00F65520" w:rsidRDefault="00E87787" w:rsidP="00E87787">
      <w:pPr>
        <w:rPr>
          <w:bCs/>
          <w:iCs/>
          <w:sz w:val="22"/>
          <w:szCs w:val="22"/>
          <w:lang w:val="sr-Latn-ME"/>
        </w:rPr>
      </w:pPr>
      <w:r w:rsidRPr="00F65520">
        <w:rPr>
          <w:bCs/>
          <w:iCs/>
          <w:sz w:val="22"/>
          <w:szCs w:val="22"/>
          <w:lang w:val="sr-Latn-ME"/>
        </w:rPr>
        <w:t>ZONDA (ispitivanje 3), placebo kontrolisana studija, i PONENTE (ispitivanje 6), otvorena studija sa jednom grupom, procenio uticaj benralizumaba na smanjenje upotrebe oralnih kortikosteroida u terapiji održavanja.</w:t>
      </w:r>
    </w:p>
    <w:p w14:paraId="43E31356" w14:textId="77777777" w:rsidR="00E87787" w:rsidRPr="00F65520" w:rsidRDefault="00E87787" w:rsidP="00403080">
      <w:pPr>
        <w:tabs>
          <w:tab w:val="left" w:pos="284"/>
        </w:tabs>
        <w:jc w:val="both"/>
        <w:rPr>
          <w:bCs/>
          <w:i/>
          <w:sz w:val="22"/>
          <w:szCs w:val="22"/>
          <w:u w:val="single"/>
          <w:lang w:val="sr-Latn-ME"/>
        </w:rPr>
      </w:pPr>
    </w:p>
    <w:p w14:paraId="097E3202" w14:textId="56245819" w:rsidR="00403080" w:rsidRPr="00F65520" w:rsidRDefault="00403080" w:rsidP="00403080">
      <w:pPr>
        <w:tabs>
          <w:tab w:val="left" w:pos="284"/>
        </w:tabs>
        <w:jc w:val="both"/>
        <w:rPr>
          <w:bCs/>
          <w:sz w:val="22"/>
          <w:szCs w:val="22"/>
          <w:lang w:val="sr-Latn-ME"/>
        </w:rPr>
      </w:pPr>
      <w:r w:rsidRPr="00F65520">
        <w:rPr>
          <w:bCs/>
          <w:sz w:val="22"/>
          <w:szCs w:val="22"/>
          <w:lang w:val="sr-Latn-ME"/>
        </w:rPr>
        <w:t xml:space="preserve">Ispitivanju 3 </w:t>
      </w:r>
      <w:r w:rsidR="00E87787" w:rsidRPr="00F65520">
        <w:rPr>
          <w:bCs/>
          <w:sz w:val="22"/>
          <w:szCs w:val="22"/>
          <w:lang w:val="sr-Latn-ME"/>
        </w:rPr>
        <w:t>p</w:t>
      </w:r>
      <w:r w:rsidRPr="00F65520">
        <w:rPr>
          <w:bCs/>
          <w:sz w:val="22"/>
          <w:szCs w:val="22"/>
          <w:lang w:val="sr-Latn-ME"/>
        </w:rPr>
        <w:t xml:space="preserve">rimarni parametar efikasnosti bio je procentno smanjenje od početne do završne doze OKS-a tokom 24. – 28. nedjelje, uz održanu kontrolu astme. Rezultati Ispitivanja 3 sažeto su prikazani u </w:t>
      </w:r>
      <w:r w:rsidRPr="00F65520">
        <w:rPr>
          <w:b/>
          <w:bCs/>
          <w:sz w:val="22"/>
          <w:szCs w:val="22"/>
          <w:lang w:val="sr-Latn-ME"/>
        </w:rPr>
        <w:t>Tabeli 5</w:t>
      </w:r>
      <w:r w:rsidRPr="00F65520">
        <w:rPr>
          <w:bCs/>
          <w:sz w:val="22"/>
          <w:szCs w:val="22"/>
          <w:lang w:val="sr-Latn-ME"/>
        </w:rPr>
        <w:t>.</w:t>
      </w:r>
    </w:p>
    <w:p w14:paraId="21C558CE" w14:textId="77777777" w:rsidR="00437B73" w:rsidRPr="00F65520" w:rsidRDefault="00437B73" w:rsidP="00403080">
      <w:pPr>
        <w:tabs>
          <w:tab w:val="left" w:pos="284"/>
        </w:tabs>
        <w:jc w:val="both"/>
        <w:rPr>
          <w:b/>
          <w:bCs/>
          <w:sz w:val="22"/>
          <w:szCs w:val="22"/>
          <w:lang w:val="sr-Latn-ME"/>
        </w:rPr>
      </w:pPr>
    </w:p>
    <w:p w14:paraId="4B84AAC6" w14:textId="4B54A0F5" w:rsidR="00403080" w:rsidRPr="00F65520" w:rsidRDefault="00403080" w:rsidP="00403080">
      <w:pPr>
        <w:tabs>
          <w:tab w:val="left" w:pos="284"/>
        </w:tabs>
        <w:jc w:val="both"/>
        <w:rPr>
          <w:b/>
          <w:bCs/>
          <w:sz w:val="22"/>
          <w:szCs w:val="22"/>
          <w:lang w:val="sr-Latn-ME"/>
        </w:rPr>
      </w:pPr>
      <w:r w:rsidRPr="00F65520">
        <w:rPr>
          <w:b/>
          <w:bCs/>
          <w:sz w:val="22"/>
          <w:szCs w:val="22"/>
          <w:lang w:val="sr-Latn-ME"/>
        </w:rPr>
        <w:t xml:space="preserve">Tabela 5. Dejstvo </w:t>
      </w:r>
      <w:r w:rsidR="00E87787" w:rsidRPr="0060055A">
        <w:rPr>
          <w:rFonts w:eastAsia="TimesNewRoman"/>
          <w:b/>
          <w:sz w:val="22"/>
          <w:szCs w:val="22"/>
          <w:lang w:val="sr-Latn-ME"/>
        </w:rPr>
        <w:t>benralizumaba</w:t>
      </w:r>
      <w:r w:rsidRPr="00F65520">
        <w:rPr>
          <w:b/>
          <w:bCs/>
          <w:sz w:val="22"/>
          <w:szCs w:val="22"/>
          <w:lang w:val="sr-Latn-ME"/>
        </w:rPr>
        <w:t xml:space="preserve"> na smanjenje doze OKS-a, Ispitivanje 3</w:t>
      </w:r>
    </w:p>
    <w:p w14:paraId="3B985CF9" w14:textId="77777777" w:rsidR="00403080" w:rsidRPr="00F65520" w:rsidRDefault="00403080" w:rsidP="00403080">
      <w:pPr>
        <w:tabs>
          <w:tab w:val="left" w:pos="284"/>
        </w:tabs>
        <w:jc w:val="both"/>
        <w:rPr>
          <w:b/>
          <w:bCs/>
          <w:sz w:val="22"/>
          <w:szCs w:val="22"/>
          <w:lang w:val="sr-Latn-ME"/>
        </w:rPr>
      </w:pPr>
    </w:p>
    <w:tbl>
      <w:tblPr>
        <w:tblStyle w:val="TableGrid0"/>
        <w:tblW w:w="5000" w:type="pct"/>
        <w:tblInd w:w="0" w:type="dxa"/>
        <w:tblCellMar>
          <w:top w:w="106" w:type="dxa"/>
          <w:left w:w="110" w:type="dxa"/>
          <w:right w:w="104" w:type="dxa"/>
        </w:tblCellMar>
        <w:tblLook w:val="04A0" w:firstRow="1" w:lastRow="0" w:firstColumn="1" w:lastColumn="0" w:noHBand="0" w:noVBand="1"/>
      </w:tblPr>
      <w:tblGrid>
        <w:gridCol w:w="5914"/>
        <w:gridCol w:w="1793"/>
        <w:gridCol w:w="1356"/>
      </w:tblGrid>
      <w:tr w:rsidR="00DC33B1" w:rsidRPr="00F65520" w14:paraId="0D4B91B3" w14:textId="77777777" w:rsidTr="000808A1">
        <w:trPr>
          <w:trHeight w:val="696"/>
        </w:trPr>
        <w:tc>
          <w:tcPr>
            <w:tcW w:w="3263" w:type="pct"/>
            <w:tcBorders>
              <w:top w:val="single" w:sz="4" w:space="0" w:color="000000"/>
              <w:left w:val="single" w:sz="4" w:space="0" w:color="000000"/>
              <w:bottom w:val="single" w:sz="4" w:space="0" w:color="000000"/>
              <w:right w:val="single" w:sz="4" w:space="0" w:color="000000"/>
            </w:tcBorders>
          </w:tcPr>
          <w:p w14:paraId="5F339DA3" w14:textId="77777777" w:rsidR="00403080" w:rsidRPr="00F65520" w:rsidRDefault="00403080" w:rsidP="000808A1">
            <w:pPr>
              <w:tabs>
                <w:tab w:val="left" w:pos="284"/>
              </w:tabs>
              <w:spacing w:after="160" w:line="259" w:lineRule="auto"/>
              <w:jc w:val="both"/>
              <w:rPr>
                <w:rFonts w:ascii="Times New Roman" w:hAnsi="Times New Roman"/>
                <w:sz w:val="22"/>
                <w:szCs w:val="22"/>
                <w:lang w:val="sr-Latn-ME"/>
              </w:rPr>
            </w:pPr>
          </w:p>
        </w:tc>
        <w:tc>
          <w:tcPr>
            <w:tcW w:w="988" w:type="pct"/>
            <w:tcBorders>
              <w:top w:val="single" w:sz="4" w:space="0" w:color="000000"/>
              <w:left w:val="single" w:sz="4" w:space="0" w:color="000000"/>
              <w:bottom w:val="single" w:sz="4" w:space="0" w:color="000000"/>
              <w:right w:val="single" w:sz="4" w:space="0" w:color="000000"/>
            </w:tcBorders>
          </w:tcPr>
          <w:p w14:paraId="00F433D6" w14:textId="552916C6" w:rsidR="00403080" w:rsidRPr="00F65520" w:rsidRDefault="00E87787" w:rsidP="000808A1">
            <w:pPr>
              <w:tabs>
                <w:tab w:val="left" w:pos="284"/>
              </w:tabs>
              <w:spacing w:line="259" w:lineRule="auto"/>
              <w:jc w:val="both"/>
              <w:rPr>
                <w:rFonts w:ascii="Times New Roman" w:hAnsi="Times New Roman"/>
                <w:sz w:val="22"/>
                <w:szCs w:val="22"/>
                <w:lang w:val="sr-Latn-ME"/>
              </w:rPr>
            </w:pPr>
            <w:r w:rsidRPr="00F65520">
              <w:rPr>
                <w:rFonts w:eastAsia="TimesNewRoman"/>
                <w:sz w:val="22"/>
                <w:szCs w:val="22"/>
                <w:lang w:val="sr-Latn-ME"/>
              </w:rPr>
              <w:t>benralizumaba</w:t>
            </w:r>
            <w:r w:rsidRPr="00F65520" w:rsidDel="00E87787">
              <w:rPr>
                <w:rFonts w:eastAsia="TimesNewRoman"/>
                <w:sz w:val="22"/>
                <w:szCs w:val="22"/>
                <w:lang w:val="sr-Latn-ME"/>
              </w:rPr>
              <w:t xml:space="preserve"> </w:t>
            </w:r>
            <w:r w:rsidR="00403080" w:rsidRPr="00F65520">
              <w:rPr>
                <w:rFonts w:ascii="Times New Roman" w:hAnsi="Times New Roman"/>
                <w:b/>
                <w:sz w:val="22"/>
                <w:szCs w:val="22"/>
                <w:lang w:val="sr-Latn-ME"/>
              </w:rPr>
              <w:t>(N=73)</w:t>
            </w:r>
          </w:p>
        </w:tc>
        <w:tc>
          <w:tcPr>
            <w:tcW w:w="748" w:type="pct"/>
            <w:tcBorders>
              <w:top w:val="single" w:sz="4" w:space="0" w:color="000000"/>
              <w:left w:val="single" w:sz="4" w:space="0" w:color="000000"/>
              <w:bottom w:val="single" w:sz="4" w:space="0" w:color="000000"/>
              <w:right w:val="single" w:sz="4" w:space="0" w:color="000000"/>
            </w:tcBorders>
          </w:tcPr>
          <w:p w14:paraId="33753EF5" w14:textId="77777777" w:rsidR="00403080" w:rsidRPr="00F65520" w:rsidRDefault="00403080" w:rsidP="000808A1">
            <w:pPr>
              <w:tabs>
                <w:tab w:val="left" w:pos="284"/>
              </w:tabs>
              <w:spacing w:after="36" w:line="259" w:lineRule="auto"/>
              <w:jc w:val="both"/>
              <w:rPr>
                <w:rFonts w:ascii="Times New Roman" w:hAnsi="Times New Roman"/>
                <w:sz w:val="22"/>
                <w:szCs w:val="22"/>
                <w:lang w:val="sr-Latn-ME"/>
              </w:rPr>
            </w:pPr>
            <w:r w:rsidRPr="00F65520">
              <w:rPr>
                <w:rFonts w:ascii="Times New Roman" w:hAnsi="Times New Roman"/>
                <w:b/>
                <w:sz w:val="22"/>
                <w:szCs w:val="22"/>
                <w:lang w:val="sr-Latn-ME"/>
              </w:rPr>
              <w:t>Placebo</w:t>
            </w:r>
          </w:p>
          <w:p w14:paraId="33FD08E9"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b/>
                <w:sz w:val="22"/>
                <w:szCs w:val="22"/>
                <w:lang w:val="sr-Latn-ME"/>
              </w:rPr>
              <w:t>(N=75)</w:t>
            </w:r>
          </w:p>
        </w:tc>
      </w:tr>
      <w:tr w:rsidR="00DC33B1" w:rsidRPr="00F65520" w14:paraId="568A7988" w14:textId="77777777" w:rsidTr="000808A1">
        <w:trPr>
          <w:trHeight w:val="379"/>
        </w:trPr>
        <w:tc>
          <w:tcPr>
            <w:tcW w:w="4252" w:type="pct"/>
            <w:gridSpan w:val="2"/>
            <w:tcBorders>
              <w:top w:val="single" w:sz="4" w:space="0" w:color="000000"/>
              <w:left w:val="single" w:sz="4" w:space="0" w:color="000000"/>
              <w:bottom w:val="single" w:sz="4" w:space="0" w:color="000000"/>
              <w:right w:val="nil"/>
            </w:tcBorders>
          </w:tcPr>
          <w:p w14:paraId="272140F4"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b/>
                <w:i/>
                <w:sz w:val="22"/>
                <w:szCs w:val="22"/>
                <w:lang w:val="sr-Latn-ME"/>
              </w:rPr>
              <w:t>Wilcoxon rank sum test</w:t>
            </w:r>
            <w:r w:rsidRPr="00F65520">
              <w:rPr>
                <w:rFonts w:ascii="Times New Roman" w:hAnsi="Times New Roman"/>
                <w:b/>
                <w:sz w:val="22"/>
                <w:szCs w:val="22"/>
                <w:lang w:val="sr-Latn-ME"/>
              </w:rPr>
              <w:t xml:space="preserve"> (metoda za primarnu analizu)</w:t>
            </w:r>
          </w:p>
        </w:tc>
        <w:tc>
          <w:tcPr>
            <w:tcW w:w="748" w:type="pct"/>
            <w:tcBorders>
              <w:top w:val="single" w:sz="4" w:space="0" w:color="000000"/>
              <w:left w:val="nil"/>
              <w:bottom w:val="single" w:sz="4" w:space="0" w:color="000000"/>
              <w:right w:val="single" w:sz="4" w:space="0" w:color="000000"/>
            </w:tcBorders>
          </w:tcPr>
          <w:p w14:paraId="41C5A652" w14:textId="77777777" w:rsidR="00403080" w:rsidRPr="00F65520" w:rsidRDefault="00403080" w:rsidP="000808A1">
            <w:pPr>
              <w:tabs>
                <w:tab w:val="left" w:pos="284"/>
              </w:tabs>
              <w:spacing w:after="160" w:line="259" w:lineRule="auto"/>
              <w:jc w:val="both"/>
              <w:rPr>
                <w:rFonts w:ascii="Times New Roman" w:hAnsi="Times New Roman"/>
                <w:sz w:val="22"/>
                <w:szCs w:val="22"/>
                <w:lang w:val="sr-Latn-ME"/>
              </w:rPr>
            </w:pPr>
          </w:p>
        </w:tc>
      </w:tr>
      <w:tr w:rsidR="00DC33B1" w:rsidRPr="00F65520" w14:paraId="14A1C3AC" w14:textId="77777777" w:rsidTr="000808A1">
        <w:trPr>
          <w:trHeight w:val="638"/>
        </w:trPr>
        <w:tc>
          <w:tcPr>
            <w:tcW w:w="3263" w:type="pct"/>
            <w:tcBorders>
              <w:top w:val="single" w:sz="4" w:space="0" w:color="000000"/>
              <w:left w:val="single" w:sz="4" w:space="0" w:color="000000"/>
              <w:bottom w:val="single" w:sz="4" w:space="0" w:color="000000"/>
              <w:right w:val="single" w:sz="4" w:space="0" w:color="000000"/>
            </w:tcBorders>
          </w:tcPr>
          <w:p w14:paraId="1965418E" w14:textId="77777777" w:rsidR="00403080" w:rsidRPr="00F65520" w:rsidRDefault="00403080" w:rsidP="000808A1">
            <w:pPr>
              <w:tabs>
                <w:tab w:val="left" w:pos="284"/>
              </w:tabs>
              <w:spacing w:line="259" w:lineRule="auto"/>
              <w:ind w:right="29"/>
              <w:jc w:val="both"/>
              <w:rPr>
                <w:rFonts w:ascii="Times New Roman" w:hAnsi="Times New Roman"/>
                <w:sz w:val="22"/>
                <w:szCs w:val="22"/>
                <w:lang w:val="sr-Latn-ME"/>
              </w:rPr>
            </w:pPr>
            <w:r w:rsidRPr="00F65520">
              <w:rPr>
                <w:rFonts w:ascii="Times New Roman" w:hAnsi="Times New Roman"/>
                <w:sz w:val="22"/>
                <w:szCs w:val="22"/>
                <w:lang w:val="sr-Latn-ME"/>
              </w:rPr>
              <w:t>Medijana % smanjenja dnevne doze OKS-a od početne vrijednosti (95% CI)</w:t>
            </w:r>
          </w:p>
        </w:tc>
        <w:tc>
          <w:tcPr>
            <w:tcW w:w="988" w:type="pct"/>
            <w:tcBorders>
              <w:top w:val="single" w:sz="4" w:space="0" w:color="000000"/>
              <w:left w:val="single" w:sz="4" w:space="0" w:color="000000"/>
              <w:bottom w:val="single" w:sz="4" w:space="0" w:color="000000"/>
              <w:right w:val="single" w:sz="4" w:space="0" w:color="000000"/>
            </w:tcBorders>
            <w:vAlign w:val="center"/>
          </w:tcPr>
          <w:p w14:paraId="5C90B4AF"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75 (60; 88)</w:t>
            </w:r>
          </w:p>
        </w:tc>
        <w:tc>
          <w:tcPr>
            <w:tcW w:w="748" w:type="pct"/>
            <w:tcBorders>
              <w:top w:val="single" w:sz="4" w:space="0" w:color="000000"/>
              <w:left w:val="single" w:sz="4" w:space="0" w:color="000000"/>
              <w:bottom w:val="single" w:sz="4" w:space="0" w:color="000000"/>
              <w:right w:val="single" w:sz="4" w:space="0" w:color="000000"/>
            </w:tcBorders>
            <w:vAlign w:val="center"/>
          </w:tcPr>
          <w:p w14:paraId="36707E15"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25 (0; 33)</w:t>
            </w:r>
          </w:p>
        </w:tc>
      </w:tr>
      <w:tr w:rsidR="00DC33B1" w:rsidRPr="00F65520" w14:paraId="1AC59CD0" w14:textId="77777777" w:rsidTr="000808A1">
        <w:trPr>
          <w:trHeight w:val="384"/>
        </w:trPr>
        <w:tc>
          <w:tcPr>
            <w:tcW w:w="3263" w:type="pct"/>
            <w:tcBorders>
              <w:top w:val="single" w:sz="4" w:space="0" w:color="000000"/>
              <w:left w:val="single" w:sz="4" w:space="0" w:color="000000"/>
              <w:bottom w:val="single" w:sz="4" w:space="0" w:color="000000"/>
              <w:right w:val="single" w:sz="4" w:space="0" w:color="000000"/>
            </w:tcBorders>
          </w:tcPr>
          <w:p w14:paraId="1CDC615F"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 xml:space="preserve">p-vrijednost za </w:t>
            </w:r>
            <w:r w:rsidRPr="00F65520">
              <w:rPr>
                <w:rFonts w:ascii="Times New Roman" w:hAnsi="Times New Roman"/>
                <w:i/>
                <w:sz w:val="22"/>
                <w:szCs w:val="22"/>
                <w:lang w:val="sr-Latn-ME"/>
              </w:rPr>
              <w:t>Wilcoxon rank sum test</w:t>
            </w:r>
          </w:p>
        </w:tc>
        <w:tc>
          <w:tcPr>
            <w:tcW w:w="988" w:type="pct"/>
            <w:tcBorders>
              <w:top w:val="single" w:sz="4" w:space="0" w:color="000000"/>
              <w:left w:val="single" w:sz="4" w:space="0" w:color="000000"/>
              <w:bottom w:val="single" w:sz="4" w:space="0" w:color="000000"/>
              <w:right w:val="single" w:sz="4" w:space="0" w:color="000000"/>
            </w:tcBorders>
          </w:tcPr>
          <w:p w14:paraId="4D9042B7"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&lt; 0,001</w:t>
            </w:r>
          </w:p>
        </w:tc>
        <w:tc>
          <w:tcPr>
            <w:tcW w:w="748" w:type="pct"/>
            <w:tcBorders>
              <w:top w:val="single" w:sz="4" w:space="0" w:color="000000"/>
              <w:left w:val="single" w:sz="4" w:space="0" w:color="000000"/>
              <w:bottom w:val="single" w:sz="4" w:space="0" w:color="000000"/>
              <w:right w:val="single" w:sz="4" w:space="0" w:color="000000"/>
            </w:tcBorders>
          </w:tcPr>
          <w:p w14:paraId="325C5214" w14:textId="77777777" w:rsidR="00403080" w:rsidRPr="00F65520" w:rsidRDefault="00403080" w:rsidP="000808A1">
            <w:pPr>
              <w:tabs>
                <w:tab w:val="left" w:pos="284"/>
              </w:tabs>
              <w:spacing w:after="160" w:line="259" w:lineRule="auto"/>
              <w:jc w:val="both"/>
              <w:rPr>
                <w:rFonts w:ascii="Times New Roman" w:hAnsi="Times New Roman"/>
                <w:sz w:val="22"/>
                <w:szCs w:val="22"/>
                <w:lang w:val="sr-Latn-ME"/>
              </w:rPr>
            </w:pPr>
          </w:p>
        </w:tc>
      </w:tr>
      <w:tr w:rsidR="00DC33B1" w:rsidRPr="00F65520" w14:paraId="61AD3218" w14:textId="77777777" w:rsidTr="000808A1">
        <w:trPr>
          <w:trHeight w:val="384"/>
        </w:trPr>
        <w:tc>
          <w:tcPr>
            <w:tcW w:w="4252" w:type="pct"/>
            <w:gridSpan w:val="2"/>
            <w:tcBorders>
              <w:top w:val="single" w:sz="4" w:space="0" w:color="000000"/>
              <w:left w:val="single" w:sz="4" w:space="0" w:color="000000"/>
              <w:bottom w:val="single" w:sz="4" w:space="0" w:color="000000"/>
              <w:right w:val="nil"/>
            </w:tcBorders>
          </w:tcPr>
          <w:p w14:paraId="2A1D9F58"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b/>
                <w:sz w:val="22"/>
                <w:szCs w:val="22"/>
                <w:lang w:val="sr-Latn-ME"/>
              </w:rPr>
              <w:t>Model proporcionalnih vjerovatnoća (analiza osjetljivosti)</w:t>
            </w:r>
          </w:p>
        </w:tc>
        <w:tc>
          <w:tcPr>
            <w:tcW w:w="748" w:type="pct"/>
            <w:tcBorders>
              <w:top w:val="single" w:sz="4" w:space="0" w:color="000000"/>
              <w:left w:val="nil"/>
              <w:bottom w:val="single" w:sz="4" w:space="0" w:color="000000"/>
              <w:right w:val="single" w:sz="4" w:space="0" w:color="000000"/>
            </w:tcBorders>
          </w:tcPr>
          <w:p w14:paraId="4D76CD42" w14:textId="77777777" w:rsidR="00403080" w:rsidRPr="00F65520" w:rsidRDefault="00403080" w:rsidP="000808A1">
            <w:pPr>
              <w:tabs>
                <w:tab w:val="left" w:pos="284"/>
              </w:tabs>
              <w:spacing w:after="160" w:line="259" w:lineRule="auto"/>
              <w:jc w:val="both"/>
              <w:rPr>
                <w:rFonts w:ascii="Times New Roman" w:hAnsi="Times New Roman"/>
                <w:sz w:val="22"/>
                <w:szCs w:val="22"/>
                <w:lang w:val="sr-Latn-ME"/>
              </w:rPr>
            </w:pPr>
          </w:p>
        </w:tc>
      </w:tr>
      <w:tr w:rsidR="00DC33B1" w:rsidRPr="00F65520" w14:paraId="3BDDD8E9" w14:textId="77777777" w:rsidTr="000808A1">
        <w:trPr>
          <w:trHeight w:val="379"/>
        </w:trPr>
        <w:tc>
          <w:tcPr>
            <w:tcW w:w="4252" w:type="pct"/>
            <w:gridSpan w:val="2"/>
            <w:tcBorders>
              <w:top w:val="single" w:sz="4" w:space="0" w:color="000000"/>
              <w:left w:val="single" w:sz="4" w:space="0" w:color="000000"/>
              <w:bottom w:val="single" w:sz="4" w:space="0" w:color="000000"/>
              <w:right w:val="nil"/>
            </w:tcBorders>
          </w:tcPr>
          <w:p w14:paraId="4C67A9BF" w14:textId="6AAA0B34" w:rsidR="00403080" w:rsidRPr="00F65520" w:rsidRDefault="00403080" w:rsidP="007A15CF">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 xml:space="preserve">Procentno smanjenje doze OKS-a od početka ispitivanja do 28. </w:t>
            </w:r>
            <w:r w:rsidR="007A15CF" w:rsidRPr="00F65520">
              <w:rPr>
                <w:rFonts w:ascii="Times New Roman" w:hAnsi="Times New Roman"/>
                <w:sz w:val="22"/>
                <w:szCs w:val="22"/>
                <w:lang w:val="sr-Latn-ME"/>
              </w:rPr>
              <w:t>nedjelje</w:t>
            </w:r>
          </w:p>
        </w:tc>
        <w:tc>
          <w:tcPr>
            <w:tcW w:w="748" w:type="pct"/>
            <w:tcBorders>
              <w:top w:val="single" w:sz="4" w:space="0" w:color="000000"/>
              <w:left w:val="nil"/>
              <w:bottom w:val="single" w:sz="4" w:space="0" w:color="000000"/>
              <w:right w:val="single" w:sz="4" w:space="0" w:color="000000"/>
            </w:tcBorders>
          </w:tcPr>
          <w:p w14:paraId="3FE7D4DC" w14:textId="77777777" w:rsidR="00403080" w:rsidRPr="00F65520" w:rsidRDefault="00403080" w:rsidP="000808A1">
            <w:pPr>
              <w:tabs>
                <w:tab w:val="left" w:pos="284"/>
              </w:tabs>
              <w:spacing w:after="160" w:line="259" w:lineRule="auto"/>
              <w:jc w:val="both"/>
              <w:rPr>
                <w:rFonts w:ascii="Times New Roman" w:hAnsi="Times New Roman"/>
                <w:sz w:val="22"/>
                <w:szCs w:val="22"/>
                <w:lang w:val="sr-Latn-ME"/>
              </w:rPr>
            </w:pPr>
          </w:p>
        </w:tc>
      </w:tr>
      <w:tr w:rsidR="00DC33B1" w:rsidRPr="00F65520" w14:paraId="39B49D66" w14:textId="77777777" w:rsidTr="000808A1">
        <w:trPr>
          <w:trHeight w:val="384"/>
        </w:trPr>
        <w:tc>
          <w:tcPr>
            <w:tcW w:w="3263" w:type="pct"/>
            <w:tcBorders>
              <w:top w:val="single" w:sz="4" w:space="0" w:color="000000"/>
              <w:left w:val="single" w:sz="4" w:space="0" w:color="000000"/>
              <w:bottom w:val="single" w:sz="4" w:space="0" w:color="000000"/>
              <w:right w:val="single" w:sz="4" w:space="0" w:color="000000"/>
            </w:tcBorders>
          </w:tcPr>
          <w:p w14:paraId="48D72614"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Smanjenje za ≥ 90%</w:t>
            </w:r>
          </w:p>
        </w:tc>
        <w:tc>
          <w:tcPr>
            <w:tcW w:w="988" w:type="pct"/>
            <w:tcBorders>
              <w:top w:val="single" w:sz="4" w:space="0" w:color="000000"/>
              <w:left w:val="single" w:sz="4" w:space="0" w:color="000000"/>
              <w:bottom w:val="single" w:sz="4" w:space="0" w:color="000000"/>
              <w:right w:val="single" w:sz="4" w:space="0" w:color="000000"/>
            </w:tcBorders>
          </w:tcPr>
          <w:p w14:paraId="00DCB964"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27 (37%)</w:t>
            </w:r>
          </w:p>
        </w:tc>
        <w:tc>
          <w:tcPr>
            <w:tcW w:w="748" w:type="pct"/>
            <w:tcBorders>
              <w:top w:val="single" w:sz="4" w:space="0" w:color="000000"/>
              <w:left w:val="single" w:sz="4" w:space="0" w:color="000000"/>
              <w:bottom w:val="single" w:sz="4" w:space="0" w:color="000000"/>
              <w:right w:val="single" w:sz="4" w:space="0" w:color="000000"/>
            </w:tcBorders>
          </w:tcPr>
          <w:p w14:paraId="2EC0E8ED"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9 (12%)</w:t>
            </w:r>
          </w:p>
        </w:tc>
      </w:tr>
      <w:tr w:rsidR="00DC33B1" w:rsidRPr="00F65520" w14:paraId="311251C0" w14:textId="77777777" w:rsidTr="000808A1">
        <w:trPr>
          <w:trHeight w:val="384"/>
        </w:trPr>
        <w:tc>
          <w:tcPr>
            <w:tcW w:w="3263" w:type="pct"/>
            <w:tcBorders>
              <w:top w:val="single" w:sz="4" w:space="0" w:color="000000"/>
              <w:left w:val="single" w:sz="4" w:space="0" w:color="000000"/>
              <w:bottom w:val="single" w:sz="4" w:space="0" w:color="000000"/>
              <w:right w:val="single" w:sz="4" w:space="0" w:color="000000"/>
            </w:tcBorders>
          </w:tcPr>
          <w:p w14:paraId="6107141A"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Smanjenje za ≥ 75%</w:t>
            </w:r>
          </w:p>
        </w:tc>
        <w:tc>
          <w:tcPr>
            <w:tcW w:w="988" w:type="pct"/>
            <w:tcBorders>
              <w:top w:val="single" w:sz="4" w:space="0" w:color="000000"/>
              <w:left w:val="single" w:sz="4" w:space="0" w:color="000000"/>
              <w:bottom w:val="single" w:sz="4" w:space="0" w:color="000000"/>
              <w:right w:val="single" w:sz="4" w:space="0" w:color="000000"/>
            </w:tcBorders>
          </w:tcPr>
          <w:p w14:paraId="679B1AE2"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37 (51%)</w:t>
            </w:r>
          </w:p>
        </w:tc>
        <w:tc>
          <w:tcPr>
            <w:tcW w:w="748" w:type="pct"/>
            <w:tcBorders>
              <w:top w:val="single" w:sz="4" w:space="0" w:color="000000"/>
              <w:left w:val="single" w:sz="4" w:space="0" w:color="000000"/>
              <w:bottom w:val="single" w:sz="4" w:space="0" w:color="000000"/>
              <w:right w:val="single" w:sz="4" w:space="0" w:color="000000"/>
            </w:tcBorders>
          </w:tcPr>
          <w:p w14:paraId="44635074"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15 (20%)</w:t>
            </w:r>
          </w:p>
        </w:tc>
      </w:tr>
      <w:tr w:rsidR="00DC33B1" w:rsidRPr="00F65520" w14:paraId="10171B08" w14:textId="77777777" w:rsidTr="000808A1">
        <w:trPr>
          <w:trHeight w:val="384"/>
        </w:trPr>
        <w:tc>
          <w:tcPr>
            <w:tcW w:w="3263" w:type="pct"/>
            <w:tcBorders>
              <w:top w:val="single" w:sz="4" w:space="0" w:color="000000"/>
              <w:left w:val="single" w:sz="4" w:space="0" w:color="000000"/>
              <w:bottom w:val="single" w:sz="4" w:space="0" w:color="000000"/>
              <w:right w:val="single" w:sz="4" w:space="0" w:color="000000"/>
            </w:tcBorders>
          </w:tcPr>
          <w:p w14:paraId="26D703E6"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lastRenderedPageBreak/>
              <w:t>Smanjenje za ≥ 50%</w:t>
            </w:r>
          </w:p>
        </w:tc>
        <w:tc>
          <w:tcPr>
            <w:tcW w:w="988" w:type="pct"/>
            <w:tcBorders>
              <w:top w:val="single" w:sz="4" w:space="0" w:color="000000"/>
              <w:left w:val="single" w:sz="4" w:space="0" w:color="000000"/>
              <w:bottom w:val="single" w:sz="4" w:space="0" w:color="000000"/>
              <w:right w:val="single" w:sz="4" w:space="0" w:color="000000"/>
            </w:tcBorders>
          </w:tcPr>
          <w:p w14:paraId="21BD5D88"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48 (66%)</w:t>
            </w:r>
          </w:p>
        </w:tc>
        <w:tc>
          <w:tcPr>
            <w:tcW w:w="748" w:type="pct"/>
            <w:tcBorders>
              <w:top w:val="single" w:sz="4" w:space="0" w:color="000000"/>
              <w:left w:val="single" w:sz="4" w:space="0" w:color="000000"/>
              <w:bottom w:val="single" w:sz="4" w:space="0" w:color="000000"/>
              <w:right w:val="single" w:sz="4" w:space="0" w:color="000000"/>
            </w:tcBorders>
          </w:tcPr>
          <w:p w14:paraId="78B9EF1D"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28 (37%)</w:t>
            </w:r>
          </w:p>
        </w:tc>
      </w:tr>
      <w:tr w:rsidR="00DC33B1" w:rsidRPr="00F65520" w14:paraId="5DDC73B6" w14:textId="77777777" w:rsidTr="000808A1">
        <w:trPr>
          <w:trHeight w:val="379"/>
        </w:trPr>
        <w:tc>
          <w:tcPr>
            <w:tcW w:w="3263" w:type="pct"/>
            <w:tcBorders>
              <w:top w:val="single" w:sz="4" w:space="0" w:color="000000"/>
              <w:left w:val="single" w:sz="4" w:space="0" w:color="000000"/>
              <w:bottom w:val="single" w:sz="4" w:space="0" w:color="000000"/>
              <w:right w:val="single" w:sz="4" w:space="0" w:color="000000"/>
            </w:tcBorders>
          </w:tcPr>
          <w:p w14:paraId="6174C02C"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Smanjenje za &gt; 0%</w:t>
            </w:r>
          </w:p>
        </w:tc>
        <w:tc>
          <w:tcPr>
            <w:tcW w:w="988" w:type="pct"/>
            <w:tcBorders>
              <w:top w:val="single" w:sz="4" w:space="0" w:color="000000"/>
              <w:left w:val="single" w:sz="4" w:space="0" w:color="000000"/>
              <w:bottom w:val="single" w:sz="4" w:space="0" w:color="000000"/>
              <w:right w:val="single" w:sz="4" w:space="0" w:color="000000"/>
            </w:tcBorders>
          </w:tcPr>
          <w:p w14:paraId="56FD2FA6"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58 (79%)</w:t>
            </w:r>
          </w:p>
        </w:tc>
        <w:tc>
          <w:tcPr>
            <w:tcW w:w="748" w:type="pct"/>
            <w:tcBorders>
              <w:top w:val="single" w:sz="4" w:space="0" w:color="000000"/>
              <w:left w:val="single" w:sz="4" w:space="0" w:color="000000"/>
              <w:bottom w:val="single" w:sz="4" w:space="0" w:color="000000"/>
              <w:right w:val="single" w:sz="4" w:space="0" w:color="000000"/>
            </w:tcBorders>
          </w:tcPr>
          <w:p w14:paraId="4A19E113"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40 (53%)</w:t>
            </w:r>
          </w:p>
        </w:tc>
      </w:tr>
      <w:tr w:rsidR="00DC33B1" w:rsidRPr="00F65520" w14:paraId="7853511C" w14:textId="77777777" w:rsidTr="000808A1">
        <w:trPr>
          <w:trHeight w:val="384"/>
        </w:trPr>
        <w:tc>
          <w:tcPr>
            <w:tcW w:w="3263" w:type="pct"/>
            <w:tcBorders>
              <w:top w:val="single" w:sz="4" w:space="0" w:color="000000"/>
              <w:left w:val="single" w:sz="4" w:space="0" w:color="000000"/>
              <w:bottom w:val="single" w:sz="4" w:space="0" w:color="000000"/>
              <w:right w:val="single" w:sz="4" w:space="0" w:color="000000"/>
            </w:tcBorders>
          </w:tcPr>
          <w:p w14:paraId="6D4FF6D7"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 xml:space="preserve">Nema promjene ili nema smanjenja doze OKS-a </w:t>
            </w:r>
          </w:p>
        </w:tc>
        <w:tc>
          <w:tcPr>
            <w:tcW w:w="988" w:type="pct"/>
            <w:tcBorders>
              <w:top w:val="single" w:sz="4" w:space="0" w:color="000000"/>
              <w:left w:val="single" w:sz="4" w:space="0" w:color="000000"/>
              <w:bottom w:val="single" w:sz="4" w:space="0" w:color="000000"/>
              <w:right w:val="single" w:sz="4" w:space="0" w:color="000000"/>
            </w:tcBorders>
          </w:tcPr>
          <w:p w14:paraId="2FBD7B43"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15 (21%)</w:t>
            </w:r>
          </w:p>
        </w:tc>
        <w:tc>
          <w:tcPr>
            <w:tcW w:w="748" w:type="pct"/>
            <w:tcBorders>
              <w:top w:val="single" w:sz="4" w:space="0" w:color="000000"/>
              <w:left w:val="single" w:sz="4" w:space="0" w:color="000000"/>
              <w:bottom w:val="single" w:sz="4" w:space="0" w:color="000000"/>
              <w:right w:val="single" w:sz="4" w:space="0" w:color="000000"/>
            </w:tcBorders>
          </w:tcPr>
          <w:p w14:paraId="132E7536"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35 (47%)</w:t>
            </w:r>
          </w:p>
        </w:tc>
      </w:tr>
      <w:tr w:rsidR="00DC33B1" w:rsidRPr="00F65520" w14:paraId="5951DDE7" w14:textId="77777777" w:rsidTr="000808A1">
        <w:trPr>
          <w:trHeight w:val="384"/>
        </w:trPr>
        <w:tc>
          <w:tcPr>
            <w:tcW w:w="3263" w:type="pct"/>
            <w:tcBorders>
              <w:top w:val="single" w:sz="4" w:space="0" w:color="000000"/>
              <w:left w:val="single" w:sz="4" w:space="0" w:color="000000"/>
              <w:bottom w:val="single" w:sz="4" w:space="0" w:color="000000"/>
              <w:right w:val="single" w:sz="4" w:space="0" w:color="000000"/>
            </w:tcBorders>
          </w:tcPr>
          <w:p w14:paraId="2F5B9DBA"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Odnos vjerovatnoća (95% CI)</w:t>
            </w:r>
          </w:p>
        </w:tc>
        <w:tc>
          <w:tcPr>
            <w:tcW w:w="988" w:type="pct"/>
            <w:tcBorders>
              <w:top w:val="single" w:sz="4" w:space="0" w:color="000000"/>
              <w:left w:val="single" w:sz="4" w:space="0" w:color="000000"/>
              <w:bottom w:val="single" w:sz="4" w:space="0" w:color="000000"/>
              <w:right w:val="single" w:sz="4" w:space="0" w:color="000000"/>
            </w:tcBorders>
          </w:tcPr>
          <w:p w14:paraId="68BEBA77"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4,12 (2,22; 7,63)</w:t>
            </w:r>
          </w:p>
        </w:tc>
        <w:tc>
          <w:tcPr>
            <w:tcW w:w="748" w:type="pct"/>
            <w:tcBorders>
              <w:top w:val="single" w:sz="4" w:space="0" w:color="000000"/>
              <w:left w:val="single" w:sz="4" w:space="0" w:color="000000"/>
              <w:bottom w:val="single" w:sz="4" w:space="0" w:color="000000"/>
              <w:right w:val="single" w:sz="4" w:space="0" w:color="000000"/>
            </w:tcBorders>
          </w:tcPr>
          <w:p w14:paraId="78045586" w14:textId="77777777" w:rsidR="00403080" w:rsidRPr="00F65520" w:rsidRDefault="00403080" w:rsidP="000808A1">
            <w:pPr>
              <w:tabs>
                <w:tab w:val="left" w:pos="284"/>
              </w:tabs>
              <w:spacing w:after="160" w:line="259" w:lineRule="auto"/>
              <w:jc w:val="both"/>
              <w:rPr>
                <w:rFonts w:ascii="Times New Roman" w:hAnsi="Times New Roman"/>
                <w:sz w:val="22"/>
                <w:szCs w:val="22"/>
                <w:lang w:val="sr-Latn-ME"/>
              </w:rPr>
            </w:pPr>
          </w:p>
        </w:tc>
      </w:tr>
      <w:tr w:rsidR="00DC33B1" w:rsidRPr="00F65520" w14:paraId="1DAB1468" w14:textId="77777777" w:rsidTr="000808A1">
        <w:trPr>
          <w:trHeight w:val="384"/>
        </w:trPr>
        <w:tc>
          <w:tcPr>
            <w:tcW w:w="3263" w:type="pct"/>
            <w:tcBorders>
              <w:top w:val="single" w:sz="4" w:space="0" w:color="000000"/>
              <w:left w:val="single" w:sz="4" w:space="0" w:color="000000"/>
              <w:bottom w:val="single" w:sz="4" w:space="0" w:color="000000"/>
              <w:right w:val="single" w:sz="4" w:space="0" w:color="000000"/>
            </w:tcBorders>
          </w:tcPr>
          <w:p w14:paraId="34BADA3C"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Smanjenje dnevne doze OKS-a na 0 mg na dan*</w:t>
            </w:r>
          </w:p>
        </w:tc>
        <w:tc>
          <w:tcPr>
            <w:tcW w:w="988" w:type="pct"/>
            <w:tcBorders>
              <w:top w:val="single" w:sz="4" w:space="0" w:color="000000"/>
              <w:left w:val="single" w:sz="4" w:space="0" w:color="000000"/>
              <w:bottom w:val="single" w:sz="4" w:space="0" w:color="000000"/>
              <w:right w:val="single" w:sz="4" w:space="0" w:color="000000"/>
            </w:tcBorders>
          </w:tcPr>
          <w:p w14:paraId="7F52F82D"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22 (52%)</w:t>
            </w:r>
          </w:p>
        </w:tc>
        <w:tc>
          <w:tcPr>
            <w:tcW w:w="748" w:type="pct"/>
            <w:tcBorders>
              <w:top w:val="single" w:sz="4" w:space="0" w:color="000000"/>
              <w:left w:val="single" w:sz="4" w:space="0" w:color="000000"/>
              <w:bottom w:val="single" w:sz="4" w:space="0" w:color="000000"/>
              <w:right w:val="single" w:sz="4" w:space="0" w:color="000000"/>
            </w:tcBorders>
          </w:tcPr>
          <w:p w14:paraId="2D07C205"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8 (19%)</w:t>
            </w:r>
          </w:p>
        </w:tc>
      </w:tr>
      <w:tr w:rsidR="00DC33B1" w:rsidRPr="00F65520" w14:paraId="79305C8A" w14:textId="77777777" w:rsidTr="000808A1">
        <w:trPr>
          <w:trHeight w:val="384"/>
        </w:trPr>
        <w:tc>
          <w:tcPr>
            <w:tcW w:w="3263" w:type="pct"/>
            <w:tcBorders>
              <w:top w:val="single" w:sz="4" w:space="0" w:color="000000"/>
              <w:left w:val="single" w:sz="4" w:space="0" w:color="000000"/>
              <w:bottom w:val="single" w:sz="4" w:space="0" w:color="000000"/>
              <w:right w:val="single" w:sz="4" w:space="0" w:color="000000"/>
            </w:tcBorders>
          </w:tcPr>
          <w:p w14:paraId="473AA469"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Odnos vjerovatnoća (95% CI)</w:t>
            </w:r>
          </w:p>
        </w:tc>
        <w:tc>
          <w:tcPr>
            <w:tcW w:w="988" w:type="pct"/>
            <w:tcBorders>
              <w:top w:val="single" w:sz="4" w:space="0" w:color="000000"/>
              <w:left w:val="single" w:sz="4" w:space="0" w:color="000000"/>
              <w:bottom w:val="single" w:sz="4" w:space="0" w:color="000000"/>
              <w:right w:val="single" w:sz="4" w:space="0" w:color="000000"/>
            </w:tcBorders>
          </w:tcPr>
          <w:p w14:paraId="2FC226B0"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4,19 (1,58; 11,12)</w:t>
            </w:r>
          </w:p>
        </w:tc>
        <w:tc>
          <w:tcPr>
            <w:tcW w:w="748" w:type="pct"/>
            <w:tcBorders>
              <w:top w:val="single" w:sz="4" w:space="0" w:color="000000"/>
              <w:left w:val="single" w:sz="4" w:space="0" w:color="000000"/>
              <w:bottom w:val="single" w:sz="4" w:space="0" w:color="000000"/>
              <w:right w:val="single" w:sz="4" w:space="0" w:color="000000"/>
            </w:tcBorders>
          </w:tcPr>
          <w:p w14:paraId="4652FFE9" w14:textId="77777777" w:rsidR="00403080" w:rsidRPr="00F65520" w:rsidRDefault="00403080" w:rsidP="000808A1">
            <w:pPr>
              <w:tabs>
                <w:tab w:val="left" w:pos="284"/>
              </w:tabs>
              <w:spacing w:after="160" w:line="259" w:lineRule="auto"/>
              <w:jc w:val="both"/>
              <w:rPr>
                <w:rFonts w:ascii="Times New Roman" w:hAnsi="Times New Roman"/>
                <w:sz w:val="22"/>
                <w:szCs w:val="22"/>
                <w:lang w:val="sr-Latn-ME"/>
              </w:rPr>
            </w:pPr>
          </w:p>
        </w:tc>
      </w:tr>
      <w:tr w:rsidR="00DC33B1" w:rsidRPr="00F65520" w14:paraId="1040DB36" w14:textId="77777777" w:rsidTr="000808A1">
        <w:trPr>
          <w:trHeight w:val="379"/>
        </w:trPr>
        <w:tc>
          <w:tcPr>
            <w:tcW w:w="3263" w:type="pct"/>
            <w:tcBorders>
              <w:top w:val="single" w:sz="4" w:space="0" w:color="000000"/>
              <w:left w:val="single" w:sz="4" w:space="0" w:color="000000"/>
              <w:bottom w:val="single" w:sz="4" w:space="0" w:color="000000"/>
              <w:right w:val="single" w:sz="4" w:space="0" w:color="000000"/>
            </w:tcBorders>
          </w:tcPr>
          <w:p w14:paraId="4F5B249A"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Smanjenje dnevne doze OKS-a na ≤ 5 mg na dan</w:t>
            </w:r>
          </w:p>
        </w:tc>
        <w:tc>
          <w:tcPr>
            <w:tcW w:w="988" w:type="pct"/>
            <w:tcBorders>
              <w:top w:val="single" w:sz="4" w:space="0" w:color="000000"/>
              <w:left w:val="single" w:sz="4" w:space="0" w:color="000000"/>
              <w:bottom w:val="single" w:sz="4" w:space="0" w:color="000000"/>
              <w:right w:val="single" w:sz="4" w:space="0" w:color="000000"/>
            </w:tcBorders>
          </w:tcPr>
          <w:p w14:paraId="7697F532"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43 (59%)</w:t>
            </w:r>
          </w:p>
        </w:tc>
        <w:tc>
          <w:tcPr>
            <w:tcW w:w="748" w:type="pct"/>
            <w:tcBorders>
              <w:top w:val="single" w:sz="4" w:space="0" w:color="000000"/>
              <w:left w:val="single" w:sz="4" w:space="0" w:color="000000"/>
              <w:bottom w:val="single" w:sz="4" w:space="0" w:color="000000"/>
              <w:right w:val="single" w:sz="4" w:space="0" w:color="000000"/>
            </w:tcBorders>
          </w:tcPr>
          <w:p w14:paraId="3EA6636B"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25 (33%)</w:t>
            </w:r>
          </w:p>
        </w:tc>
      </w:tr>
      <w:tr w:rsidR="00DC33B1" w:rsidRPr="00F65520" w14:paraId="232F19AA" w14:textId="77777777" w:rsidTr="000808A1">
        <w:trPr>
          <w:trHeight w:val="384"/>
        </w:trPr>
        <w:tc>
          <w:tcPr>
            <w:tcW w:w="3263" w:type="pct"/>
            <w:tcBorders>
              <w:top w:val="single" w:sz="4" w:space="0" w:color="000000"/>
              <w:left w:val="single" w:sz="4" w:space="0" w:color="000000"/>
              <w:bottom w:val="single" w:sz="4" w:space="0" w:color="000000"/>
              <w:right w:val="single" w:sz="4" w:space="0" w:color="000000"/>
            </w:tcBorders>
          </w:tcPr>
          <w:p w14:paraId="23266A34"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Odnos vjerovatnoća (95% CI)</w:t>
            </w:r>
          </w:p>
        </w:tc>
        <w:tc>
          <w:tcPr>
            <w:tcW w:w="988" w:type="pct"/>
            <w:tcBorders>
              <w:top w:val="single" w:sz="4" w:space="0" w:color="000000"/>
              <w:left w:val="single" w:sz="4" w:space="0" w:color="000000"/>
              <w:bottom w:val="single" w:sz="4" w:space="0" w:color="000000"/>
              <w:right w:val="single" w:sz="4" w:space="0" w:color="000000"/>
            </w:tcBorders>
          </w:tcPr>
          <w:p w14:paraId="13C52097"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2,74 (1,41; 5,31)</w:t>
            </w:r>
          </w:p>
        </w:tc>
        <w:tc>
          <w:tcPr>
            <w:tcW w:w="748" w:type="pct"/>
            <w:tcBorders>
              <w:top w:val="single" w:sz="4" w:space="0" w:color="000000"/>
              <w:left w:val="single" w:sz="4" w:space="0" w:color="000000"/>
              <w:bottom w:val="single" w:sz="4" w:space="0" w:color="000000"/>
              <w:right w:val="single" w:sz="4" w:space="0" w:color="000000"/>
            </w:tcBorders>
          </w:tcPr>
          <w:p w14:paraId="0C7FF037" w14:textId="77777777" w:rsidR="00403080" w:rsidRPr="00F65520" w:rsidRDefault="00403080" w:rsidP="000808A1">
            <w:pPr>
              <w:tabs>
                <w:tab w:val="left" w:pos="284"/>
              </w:tabs>
              <w:spacing w:after="160" w:line="259" w:lineRule="auto"/>
              <w:jc w:val="both"/>
              <w:rPr>
                <w:rFonts w:ascii="Times New Roman" w:hAnsi="Times New Roman"/>
                <w:sz w:val="22"/>
                <w:szCs w:val="22"/>
                <w:lang w:val="sr-Latn-ME"/>
              </w:rPr>
            </w:pPr>
          </w:p>
        </w:tc>
      </w:tr>
      <w:tr w:rsidR="00DC33B1" w:rsidRPr="00F65520" w14:paraId="000D33D9" w14:textId="77777777" w:rsidTr="000808A1">
        <w:trPr>
          <w:trHeight w:val="384"/>
        </w:trPr>
        <w:tc>
          <w:tcPr>
            <w:tcW w:w="3263" w:type="pct"/>
            <w:tcBorders>
              <w:top w:val="single" w:sz="4" w:space="0" w:color="000000"/>
              <w:left w:val="single" w:sz="4" w:space="0" w:color="000000"/>
              <w:bottom w:val="single" w:sz="4" w:space="0" w:color="000000"/>
              <w:right w:val="single" w:sz="4" w:space="0" w:color="000000"/>
            </w:tcBorders>
          </w:tcPr>
          <w:p w14:paraId="60F864A0"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Stopa egzacerbacija</w:t>
            </w:r>
          </w:p>
        </w:tc>
        <w:tc>
          <w:tcPr>
            <w:tcW w:w="988" w:type="pct"/>
            <w:tcBorders>
              <w:top w:val="single" w:sz="4" w:space="0" w:color="000000"/>
              <w:left w:val="single" w:sz="4" w:space="0" w:color="000000"/>
              <w:bottom w:val="single" w:sz="4" w:space="0" w:color="000000"/>
              <w:right w:val="single" w:sz="4" w:space="0" w:color="000000"/>
            </w:tcBorders>
          </w:tcPr>
          <w:p w14:paraId="34392E1C"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0,54</w:t>
            </w:r>
          </w:p>
        </w:tc>
        <w:tc>
          <w:tcPr>
            <w:tcW w:w="748" w:type="pct"/>
            <w:tcBorders>
              <w:top w:val="single" w:sz="4" w:space="0" w:color="000000"/>
              <w:left w:val="single" w:sz="4" w:space="0" w:color="000000"/>
              <w:bottom w:val="single" w:sz="4" w:space="0" w:color="000000"/>
              <w:right w:val="single" w:sz="4" w:space="0" w:color="000000"/>
            </w:tcBorders>
          </w:tcPr>
          <w:p w14:paraId="10AAB5CD"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1,83</w:t>
            </w:r>
          </w:p>
        </w:tc>
      </w:tr>
      <w:tr w:rsidR="00DC33B1" w:rsidRPr="00F65520" w14:paraId="3BE50C77" w14:textId="77777777" w:rsidTr="000808A1">
        <w:trPr>
          <w:trHeight w:val="384"/>
        </w:trPr>
        <w:tc>
          <w:tcPr>
            <w:tcW w:w="3263" w:type="pct"/>
            <w:tcBorders>
              <w:top w:val="single" w:sz="4" w:space="0" w:color="000000"/>
              <w:left w:val="single" w:sz="4" w:space="0" w:color="000000"/>
              <w:bottom w:val="single" w:sz="4" w:space="0" w:color="000000"/>
              <w:right w:val="single" w:sz="4" w:space="0" w:color="000000"/>
            </w:tcBorders>
          </w:tcPr>
          <w:p w14:paraId="158AAC0E"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Odnos stopa (95% CI)</w:t>
            </w:r>
          </w:p>
        </w:tc>
        <w:tc>
          <w:tcPr>
            <w:tcW w:w="988" w:type="pct"/>
            <w:tcBorders>
              <w:top w:val="single" w:sz="4" w:space="0" w:color="000000"/>
              <w:left w:val="single" w:sz="4" w:space="0" w:color="000000"/>
              <w:bottom w:val="single" w:sz="4" w:space="0" w:color="000000"/>
              <w:right w:val="single" w:sz="4" w:space="0" w:color="000000"/>
            </w:tcBorders>
          </w:tcPr>
          <w:p w14:paraId="03F74C9D"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0,30 (0,17; 0,53)</w:t>
            </w:r>
          </w:p>
        </w:tc>
        <w:tc>
          <w:tcPr>
            <w:tcW w:w="748" w:type="pct"/>
            <w:tcBorders>
              <w:top w:val="single" w:sz="4" w:space="0" w:color="000000"/>
              <w:left w:val="single" w:sz="4" w:space="0" w:color="000000"/>
              <w:bottom w:val="single" w:sz="4" w:space="0" w:color="000000"/>
              <w:right w:val="single" w:sz="4" w:space="0" w:color="000000"/>
            </w:tcBorders>
          </w:tcPr>
          <w:p w14:paraId="4142D4A8" w14:textId="77777777" w:rsidR="00403080" w:rsidRPr="00F65520" w:rsidRDefault="00403080" w:rsidP="000808A1">
            <w:pPr>
              <w:tabs>
                <w:tab w:val="left" w:pos="284"/>
              </w:tabs>
              <w:spacing w:after="160" w:line="259" w:lineRule="auto"/>
              <w:jc w:val="both"/>
              <w:rPr>
                <w:rFonts w:ascii="Times New Roman" w:hAnsi="Times New Roman"/>
                <w:sz w:val="22"/>
                <w:szCs w:val="22"/>
                <w:lang w:val="sr-Latn-ME"/>
              </w:rPr>
            </w:pPr>
          </w:p>
        </w:tc>
      </w:tr>
      <w:tr w:rsidR="00DC33B1" w:rsidRPr="00F65520" w14:paraId="0D18B44D" w14:textId="77777777" w:rsidTr="000808A1">
        <w:trPr>
          <w:trHeight w:val="634"/>
        </w:trPr>
        <w:tc>
          <w:tcPr>
            <w:tcW w:w="3263" w:type="pct"/>
            <w:tcBorders>
              <w:top w:val="single" w:sz="4" w:space="0" w:color="000000"/>
              <w:left w:val="single" w:sz="4" w:space="0" w:color="000000"/>
              <w:bottom w:val="single" w:sz="4" w:space="0" w:color="000000"/>
              <w:right w:val="single" w:sz="4" w:space="0" w:color="000000"/>
            </w:tcBorders>
          </w:tcPr>
          <w:p w14:paraId="5D1BF3EA" w14:textId="4394FBB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Stopa egzacerbacija koje su zahtijevale hospitalizaciju/pos</w:t>
            </w:r>
            <w:r w:rsidR="007A15CF" w:rsidRPr="00F65520">
              <w:rPr>
                <w:rFonts w:ascii="Times New Roman" w:hAnsi="Times New Roman"/>
                <w:sz w:val="22"/>
                <w:szCs w:val="22"/>
                <w:lang w:val="sr-Latn-ME"/>
              </w:rPr>
              <w:t>j</w:t>
            </w:r>
            <w:r w:rsidRPr="00F65520">
              <w:rPr>
                <w:rFonts w:ascii="Times New Roman" w:hAnsi="Times New Roman"/>
                <w:sz w:val="22"/>
                <w:szCs w:val="22"/>
                <w:lang w:val="sr-Latn-ME"/>
              </w:rPr>
              <w:t>etu hitnoj službi</w:t>
            </w:r>
          </w:p>
        </w:tc>
        <w:tc>
          <w:tcPr>
            <w:tcW w:w="988" w:type="pct"/>
            <w:tcBorders>
              <w:top w:val="single" w:sz="4" w:space="0" w:color="000000"/>
              <w:left w:val="single" w:sz="4" w:space="0" w:color="000000"/>
              <w:bottom w:val="single" w:sz="4" w:space="0" w:color="000000"/>
              <w:right w:val="single" w:sz="4" w:space="0" w:color="000000"/>
            </w:tcBorders>
            <w:vAlign w:val="center"/>
          </w:tcPr>
          <w:p w14:paraId="14694B2D"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0,02</w:t>
            </w:r>
          </w:p>
        </w:tc>
        <w:tc>
          <w:tcPr>
            <w:tcW w:w="748" w:type="pct"/>
            <w:tcBorders>
              <w:top w:val="single" w:sz="4" w:space="0" w:color="000000"/>
              <w:left w:val="single" w:sz="4" w:space="0" w:color="000000"/>
              <w:bottom w:val="single" w:sz="4" w:space="0" w:color="000000"/>
              <w:right w:val="single" w:sz="4" w:space="0" w:color="000000"/>
            </w:tcBorders>
            <w:vAlign w:val="center"/>
          </w:tcPr>
          <w:p w14:paraId="2675B7CB"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0,32</w:t>
            </w:r>
          </w:p>
        </w:tc>
      </w:tr>
      <w:tr w:rsidR="00DC33B1" w:rsidRPr="00F65520" w14:paraId="75BBEAA4" w14:textId="77777777" w:rsidTr="000808A1">
        <w:trPr>
          <w:trHeight w:val="384"/>
        </w:trPr>
        <w:tc>
          <w:tcPr>
            <w:tcW w:w="3263" w:type="pct"/>
            <w:tcBorders>
              <w:top w:val="single" w:sz="4" w:space="0" w:color="000000"/>
              <w:left w:val="single" w:sz="4" w:space="0" w:color="000000"/>
              <w:bottom w:val="single" w:sz="4" w:space="0" w:color="000000"/>
              <w:right w:val="single" w:sz="4" w:space="0" w:color="000000"/>
            </w:tcBorders>
          </w:tcPr>
          <w:p w14:paraId="07C9A161"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Odnos stopa (95% CI)</w:t>
            </w:r>
          </w:p>
        </w:tc>
        <w:tc>
          <w:tcPr>
            <w:tcW w:w="988" w:type="pct"/>
            <w:tcBorders>
              <w:top w:val="single" w:sz="4" w:space="0" w:color="000000"/>
              <w:left w:val="single" w:sz="4" w:space="0" w:color="000000"/>
              <w:bottom w:val="single" w:sz="4" w:space="0" w:color="000000"/>
              <w:right w:val="single" w:sz="4" w:space="0" w:color="000000"/>
            </w:tcBorders>
          </w:tcPr>
          <w:p w14:paraId="5D40AA94" w14:textId="77777777" w:rsidR="00403080" w:rsidRPr="00F65520" w:rsidRDefault="00403080" w:rsidP="000808A1">
            <w:pPr>
              <w:tabs>
                <w:tab w:val="left" w:pos="284"/>
              </w:tabs>
              <w:spacing w:line="259" w:lineRule="auto"/>
              <w:jc w:val="both"/>
              <w:rPr>
                <w:rFonts w:ascii="Times New Roman" w:hAnsi="Times New Roman"/>
                <w:sz w:val="22"/>
                <w:szCs w:val="22"/>
                <w:lang w:val="sr-Latn-ME"/>
              </w:rPr>
            </w:pPr>
            <w:r w:rsidRPr="00F65520">
              <w:rPr>
                <w:rFonts w:ascii="Times New Roman" w:hAnsi="Times New Roman"/>
                <w:sz w:val="22"/>
                <w:szCs w:val="22"/>
                <w:lang w:val="sr-Latn-ME"/>
              </w:rPr>
              <w:t>0,07 (0,01; 0,63)</w:t>
            </w:r>
          </w:p>
        </w:tc>
        <w:tc>
          <w:tcPr>
            <w:tcW w:w="748" w:type="pct"/>
            <w:tcBorders>
              <w:top w:val="single" w:sz="4" w:space="0" w:color="000000"/>
              <w:left w:val="single" w:sz="4" w:space="0" w:color="000000"/>
              <w:bottom w:val="single" w:sz="4" w:space="0" w:color="000000"/>
              <w:right w:val="single" w:sz="4" w:space="0" w:color="000000"/>
            </w:tcBorders>
          </w:tcPr>
          <w:p w14:paraId="14DCCD47" w14:textId="77777777" w:rsidR="00403080" w:rsidRPr="00F65520" w:rsidRDefault="00403080" w:rsidP="000808A1">
            <w:pPr>
              <w:tabs>
                <w:tab w:val="left" w:pos="284"/>
              </w:tabs>
              <w:spacing w:after="160" w:line="259" w:lineRule="auto"/>
              <w:jc w:val="both"/>
              <w:rPr>
                <w:rFonts w:ascii="Times New Roman" w:hAnsi="Times New Roman"/>
                <w:sz w:val="22"/>
                <w:szCs w:val="22"/>
                <w:lang w:val="sr-Latn-ME"/>
              </w:rPr>
            </w:pPr>
          </w:p>
        </w:tc>
      </w:tr>
    </w:tbl>
    <w:p w14:paraId="45258B37" w14:textId="426B8B4C" w:rsidR="00403080" w:rsidRPr="00F65520" w:rsidRDefault="00403080" w:rsidP="00403080">
      <w:pPr>
        <w:tabs>
          <w:tab w:val="left" w:pos="284"/>
        </w:tabs>
        <w:jc w:val="both"/>
        <w:rPr>
          <w:bCs/>
          <w:sz w:val="22"/>
          <w:szCs w:val="22"/>
          <w:lang w:val="sr-Latn-ME"/>
        </w:rPr>
      </w:pPr>
      <w:r w:rsidRPr="00F65520">
        <w:rPr>
          <w:b/>
          <w:bCs/>
          <w:sz w:val="22"/>
          <w:szCs w:val="22"/>
          <w:vertAlign w:val="superscript"/>
          <w:lang w:val="sr-Latn-ME"/>
        </w:rPr>
        <w:t>*</w:t>
      </w:r>
      <w:r w:rsidRPr="00F65520">
        <w:rPr>
          <w:bCs/>
          <w:sz w:val="22"/>
          <w:szCs w:val="22"/>
          <w:lang w:val="sr-Latn-ME"/>
        </w:rPr>
        <w:t xml:space="preserve"> Samo pacijenti sa optimizovanom početnom dozom OKS-a od 12,5 mg ili manje bili su kandidati za 100%-tno smanjenje doze OKS-a tokom ispitivanja.</w:t>
      </w:r>
    </w:p>
    <w:p w14:paraId="4C5A9DB6" w14:textId="77777777" w:rsidR="00403080" w:rsidRPr="00F65520" w:rsidRDefault="00403080" w:rsidP="00403080">
      <w:pPr>
        <w:tabs>
          <w:tab w:val="left" w:pos="284"/>
        </w:tabs>
        <w:jc w:val="both"/>
        <w:rPr>
          <w:bCs/>
          <w:sz w:val="22"/>
          <w:szCs w:val="22"/>
          <w:lang w:val="sr-Latn-ME"/>
        </w:rPr>
      </w:pPr>
    </w:p>
    <w:p w14:paraId="4B613C10" w14:textId="77777777" w:rsidR="00403080" w:rsidRPr="00F65520" w:rsidRDefault="00403080" w:rsidP="00403080">
      <w:pPr>
        <w:tabs>
          <w:tab w:val="left" w:pos="284"/>
        </w:tabs>
        <w:jc w:val="both"/>
        <w:rPr>
          <w:bCs/>
          <w:sz w:val="22"/>
          <w:szCs w:val="22"/>
          <w:lang w:val="sr-Latn-ME"/>
        </w:rPr>
      </w:pPr>
      <w:r w:rsidRPr="00F65520">
        <w:rPr>
          <w:bCs/>
          <w:sz w:val="22"/>
          <w:szCs w:val="22"/>
          <w:lang w:val="sr-Latn-ME"/>
        </w:rPr>
        <w:t>U Ispitivanju 3 takođe su se procjenjivali plućna funkcija, rezultati za simptome astme, kao i rezultati upitnika ACQ-6 i AQLQ(S)+12 i rezultati su bili slični onima iz Ispitivanja 1 i 2.</w:t>
      </w:r>
    </w:p>
    <w:p w14:paraId="6C4A0FB2" w14:textId="77777777" w:rsidR="00403080" w:rsidRPr="00F65520" w:rsidRDefault="00403080" w:rsidP="00403080">
      <w:pPr>
        <w:tabs>
          <w:tab w:val="left" w:pos="284"/>
        </w:tabs>
        <w:jc w:val="both"/>
        <w:rPr>
          <w:bCs/>
          <w:sz w:val="22"/>
          <w:szCs w:val="22"/>
          <w:lang w:val="sr-Latn-ME"/>
        </w:rPr>
      </w:pPr>
    </w:p>
    <w:p w14:paraId="3F2D3604" w14:textId="142A12C2" w:rsidR="00E87787" w:rsidRPr="00F65520" w:rsidRDefault="00E87787" w:rsidP="00E87787">
      <w:pPr>
        <w:rPr>
          <w:bCs/>
          <w:sz w:val="22"/>
          <w:szCs w:val="22"/>
          <w:lang w:val="sr-Latn-ME"/>
        </w:rPr>
      </w:pPr>
      <w:r w:rsidRPr="00F65520">
        <w:rPr>
          <w:bCs/>
          <w:sz w:val="22"/>
          <w:szCs w:val="22"/>
          <w:lang w:val="sr-Latn-ME"/>
        </w:rPr>
        <w:t xml:space="preserve">Ispitivanje 6 uključilo je 598 odraslih pacijenata sa teškom astmom (pri uključivanju u studiju broj eozinofila u krvi ≥150 ćelija/mL pri uključivanju ili ≥300 ćelija/ml tokom prethodnih 12 mjeseci ako je broj pri u studiju bio &lt;150 ćelija/ml) koji su bili oralni zavisni od kortikosteroida. Primarni cilj ispitivanja bio je procenat pacijenata koji su eliminisali oralne kortikosteroide uz održavanje kontrole astme i proporcije pacijenata koji su postigli konačnu dozu OKS </w:t>
      </w:r>
      <w:r w:rsidRPr="00F65520">
        <w:rPr>
          <w:sz w:val="22"/>
          <w:szCs w:val="22"/>
          <w:lang w:val="sr-Latn-ME"/>
        </w:rPr>
        <w:t>≤</w:t>
      </w:r>
      <w:r w:rsidRPr="00F65520">
        <w:rPr>
          <w:bCs/>
          <w:sz w:val="22"/>
          <w:szCs w:val="22"/>
          <w:lang w:val="sr-Latn-ME"/>
        </w:rPr>
        <w:t xml:space="preserve"> 5 mg uz održavanje kontrole astme i uzimajući u obzir funkciju nadbubrežne žlijezde. Procenat pacijenata koji su eliminisali održavanje OKS je 62,9%. Udio pacijenata koji postigao OKS dozu </w:t>
      </w:r>
      <w:r w:rsidRPr="00F65520">
        <w:rPr>
          <w:sz w:val="22"/>
          <w:szCs w:val="22"/>
          <w:lang w:val="sr-Latn-ME"/>
        </w:rPr>
        <w:t>≤</w:t>
      </w:r>
      <w:r w:rsidRPr="00F65520">
        <w:rPr>
          <w:bCs/>
          <w:sz w:val="22"/>
          <w:szCs w:val="22"/>
          <w:lang w:val="sr-Latn-ME"/>
        </w:rPr>
        <w:t xml:space="preserve"> 5 mg (uz održavanje kontrole astme i bez ograničenja zbog funkcije nadbubrežne žlijezde) iznosila je 81,9%. Efekti na smanjenje OKS bili su slični nezavisno od broja eozinofila u krvi pri uključivanju u  studiju (uključujući pacijente sa eozinofilima u krvi &lt;150 ćelija/mL) i održavan tokom dodatnog perioda od 24 do 32 nedelja. Godišnja stopa pogoršanja u ispitivanju 6 bila je uporediva sa onom koja je prijavljena u prethodnim ispitivanjima. </w:t>
      </w:r>
    </w:p>
    <w:p w14:paraId="16BA4525" w14:textId="77777777" w:rsidR="00E87787" w:rsidRPr="00F65520" w:rsidRDefault="00E87787" w:rsidP="00403080">
      <w:pPr>
        <w:tabs>
          <w:tab w:val="left" w:pos="284"/>
        </w:tabs>
        <w:jc w:val="both"/>
        <w:rPr>
          <w:bCs/>
          <w:sz w:val="22"/>
          <w:szCs w:val="22"/>
          <w:lang w:val="sr-Latn-ME"/>
        </w:rPr>
      </w:pPr>
    </w:p>
    <w:p w14:paraId="7049105B" w14:textId="77777777" w:rsidR="00403080" w:rsidRPr="00F65520" w:rsidRDefault="00403080" w:rsidP="00403080">
      <w:pPr>
        <w:tabs>
          <w:tab w:val="left" w:pos="284"/>
        </w:tabs>
        <w:jc w:val="both"/>
        <w:rPr>
          <w:bCs/>
          <w:sz w:val="22"/>
          <w:szCs w:val="22"/>
          <w:u w:val="single"/>
          <w:lang w:val="sr-Latn-ME"/>
        </w:rPr>
      </w:pPr>
      <w:r w:rsidRPr="00F65520">
        <w:rPr>
          <w:bCs/>
          <w:sz w:val="22"/>
          <w:szCs w:val="22"/>
          <w:u w:val="single"/>
          <w:lang w:val="sr-Latn-ME"/>
        </w:rPr>
        <w:t>Dugoročni produžetak ispitivanja</w:t>
      </w:r>
    </w:p>
    <w:p w14:paraId="3E055417" w14:textId="77777777" w:rsidR="00403080" w:rsidRPr="00F65520" w:rsidRDefault="00403080" w:rsidP="00403080">
      <w:pPr>
        <w:tabs>
          <w:tab w:val="left" w:pos="284"/>
        </w:tabs>
        <w:jc w:val="both"/>
        <w:rPr>
          <w:bCs/>
          <w:sz w:val="22"/>
          <w:szCs w:val="22"/>
          <w:lang w:val="sr-Latn-ME"/>
        </w:rPr>
      </w:pPr>
    </w:p>
    <w:p w14:paraId="6D77D8E2" w14:textId="26F75D78" w:rsidR="00403080" w:rsidRPr="00F65520" w:rsidRDefault="00403080" w:rsidP="00403080">
      <w:pPr>
        <w:tabs>
          <w:tab w:val="left" w:pos="284"/>
        </w:tabs>
        <w:jc w:val="both"/>
        <w:rPr>
          <w:bCs/>
          <w:sz w:val="22"/>
          <w:szCs w:val="22"/>
          <w:lang w:val="sr-Latn-ME"/>
        </w:rPr>
      </w:pPr>
      <w:r w:rsidRPr="00F65520">
        <w:rPr>
          <w:bCs/>
          <w:sz w:val="22"/>
          <w:szCs w:val="22"/>
          <w:lang w:val="sr-Latn-ME"/>
        </w:rPr>
        <w:t xml:space="preserve">Dugoročna efikasnost i bezbjednost </w:t>
      </w:r>
      <w:r w:rsidR="00E87787" w:rsidRPr="00F65520">
        <w:rPr>
          <w:rFonts w:eastAsia="TimesNewRoman"/>
          <w:sz w:val="22"/>
          <w:szCs w:val="22"/>
          <w:lang w:val="sr-Latn-ME"/>
        </w:rPr>
        <w:t>benralizumaba</w:t>
      </w:r>
      <w:r w:rsidRPr="00F65520">
        <w:rPr>
          <w:bCs/>
          <w:sz w:val="22"/>
          <w:szCs w:val="22"/>
          <w:lang w:val="sr-Latn-ME"/>
        </w:rPr>
        <w:t>ocjenjivale su se u 56-</w:t>
      </w:r>
      <w:r w:rsidR="007A15CF" w:rsidRPr="00F65520">
        <w:rPr>
          <w:bCs/>
          <w:sz w:val="22"/>
          <w:szCs w:val="22"/>
          <w:lang w:val="sr-Latn-ME"/>
        </w:rPr>
        <w:t xml:space="preserve">nedjeljnom </w:t>
      </w:r>
      <w:r w:rsidRPr="00F65520">
        <w:rPr>
          <w:bCs/>
          <w:sz w:val="22"/>
          <w:szCs w:val="22"/>
          <w:lang w:val="sr-Latn-ME"/>
        </w:rPr>
        <w:t xml:space="preserve">produženom ispitivanju faze 3 pod nazivom BORA (Ispitivanje 4). U </w:t>
      </w:r>
      <w:r w:rsidR="007A15CF" w:rsidRPr="00F65520">
        <w:rPr>
          <w:bCs/>
          <w:sz w:val="22"/>
          <w:szCs w:val="22"/>
          <w:lang w:val="sr-Latn-ME"/>
        </w:rPr>
        <w:t xml:space="preserve">ispitivanje </w:t>
      </w:r>
      <w:r w:rsidRPr="00F65520">
        <w:rPr>
          <w:bCs/>
          <w:sz w:val="22"/>
          <w:szCs w:val="22"/>
          <w:lang w:val="sr-Latn-ME"/>
        </w:rPr>
        <w:t>su bila uključena 2123 pacijenta iz Ispitivanja 1, 2 i 3, od kojih su 2037 pacijenta bile odrasle osobe, a njih 86 adolescenata (</w:t>
      </w:r>
      <w:r w:rsidR="007A15CF" w:rsidRPr="00F65520">
        <w:rPr>
          <w:bCs/>
          <w:sz w:val="22"/>
          <w:szCs w:val="22"/>
          <w:lang w:val="sr-Latn-ME"/>
        </w:rPr>
        <w:t>uzrasta</w:t>
      </w:r>
      <w:r w:rsidRPr="00F65520">
        <w:rPr>
          <w:bCs/>
          <w:sz w:val="22"/>
          <w:szCs w:val="22"/>
          <w:lang w:val="sr-Latn-ME"/>
        </w:rPr>
        <w:t xml:space="preserve"> od 12 ili više godina). U ispitivanju 4 procjenjivali su se dugoročni efekti </w:t>
      </w:r>
      <w:r w:rsidR="00E87787" w:rsidRPr="00F65520">
        <w:rPr>
          <w:rFonts w:eastAsia="TimesNewRoman"/>
          <w:sz w:val="22"/>
          <w:szCs w:val="22"/>
          <w:lang w:val="sr-Latn-ME"/>
        </w:rPr>
        <w:t>benralizumaba</w:t>
      </w:r>
      <w:r w:rsidRPr="00F65520">
        <w:rPr>
          <w:bCs/>
          <w:sz w:val="22"/>
          <w:szCs w:val="22"/>
          <w:lang w:val="sr-Latn-ME"/>
        </w:rPr>
        <w:t xml:space="preserve"> na godišnju stopu egzacerbacije, plućnu funkciju, rezultate upitnika ACQ-6 i AQLQ(S)+12, kao i odražavanje smanjenja doze OKS-a uz dva režima doziranja koja su se ispitivala u prethodnim ispitivanjima. </w:t>
      </w:r>
    </w:p>
    <w:p w14:paraId="29C850D6" w14:textId="77777777" w:rsidR="00403080" w:rsidRPr="00F65520" w:rsidRDefault="00403080" w:rsidP="00403080">
      <w:pPr>
        <w:tabs>
          <w:tab w:val="left" w:pos="284"/>
        </w:tabs>
        <w:jc w:val="both"/>
        <w:rPr>
          <w:bCs/>
          <w:sz w:val="22"/>
          <w:szCs w:val="22"/>
          <w:lang w:val="sr-Latn-ME"/>
        </w:rPr>
      </w:pPr>
    </w:p>
    <w:p w14:paraId="04D1E99A" w14:textId="46BD97E5" w:rsidR="00403080" w:rsidRPr="00F65520" w:rsidRDefault="00403080" w:rsidP="00403080">
      <w:pPr>
        <w:tabs>
          <w:tab w:val="left" w:pos="284"/>
        </w:tabs>
        <w:jc w:val="both"/>
        <w:rPr>
          <w:bCs/>
          <w:sz w:val="22"/>
          <w:szCs w:val="22"/>
          <w:lang w:val="sr-Latn-ME"/>
        </w:rPr>
      </w:pPr>
      <w:r w:rsidRPr="00F65520">
        <w:rPr>
          <w:bCs/>
          <w:sz w:val="22"/>
          <w:szCs w:val="22"/>
          <w:lang w:val="sr-Latn-ME"/>
        </w:rPr>
        <w:t>Uz preporučeni režim doziranja smanjenje godišnje stope egzacerbacije koja je opažena u pretho</w:t>
      </w:r>
      <w:r w:rsidR="007A15CF" w:rsidRPr="00F65520">
        <w:rPr>
          <w:bCs/>
          <w:sz w:val="22"/>
          <w:szCs w:val="22"/>
          <w:lang w:val="sr-Latn-ME"/>
        </w:rPr>
        <w:t>d</w:t>
      </w:r>
      <w:r w:rsidRPr="00F65520">
        <w:rPr>
          <w:bCs/>
          <w:sz w:val="22"/>
          <w:szCs w:val="22"/>
          <w:lang w:val="sr-Latn-ME"/>
        </w:rPr>
        <w:t>nim placebo kontrolisanim Ispitivanjima 1 i 2 (sprovedena kod pacijen</w:t>
      </w:r>
      <w:r w:rsidR="00987B80" w:rsidRPr="00F65520">
        <w:rPr>
          <w:bCs/>
          <w:sz w:val="22"/>
          <w:szCs w:val="22"/>
          <w:lang w:val="sr-Latn-ME"/>
        </w:rPr>
        <w:t>a</w:t>
      </w:r>
      <w:r w:rsidRPr="00F65520">
        <w:rPr>
          <w:bCs/>
          <w:sz w:val="22"/>
          <w:szCs w:val="22"/>
          <w:lang w:val="sr-Latn-ME"/>
        </w:rPr>
        <w:t xml:space="preserve">ta sa početnim brojem eozinofila u krvi ≥ 300 ćelija/µl koji su uzimali visoke doze IKS-a) održalo se i tokom druge godine liječenja (Tabela </w:t>
      </w:r>
      <w:r w:rsidRPr="00F65520">
        <w:rPr>
          <w:bCs/>
          <w:sz w:val="22"/>
          <w:szCs w:val="22"/>
          <w:lang w:val="sr-Latn-ME"/>
        </w:rPr>
        <w:lastRenderedPageBreak/>
        <w:t>6). Među pacijentima koji su primali lijek Fasenra u prethodnim ispitivanjima 1 i 2, njih 73% nije doživ</w:t>
      </w:r>
      <w:r w:rsidR="007A15CF" w:rsidRPr="00F65520">
        <w:rPr>
          <w:bCs/>
          <w:sz w:val="22"/>
          <w:szCs w:val="22"/>
          <w:lang w:val="sr-Latn-ME"/>
        </w:rPr>
        <w:t>j</w:t>
      </w:r>
      <w:r w:rsidRPr="00F65520">
        <w:rPr>
          <w:bCs/>
          <w:sz w:val="22"/>
          <w:szCs w:val="22"/>
          <w:lang w:val="sr-Latn-ME"/>
        </w:rPr>
        <w:t xml:space="preserve">elo egzacerbaciju u Ispitivanju 4. </w:t>
      </w:r>
    </w:p>
    <w:p w14:paraId="03FB73D8" w14:textId="77777777" w:rsidR="00403080" w:rsidRPr="00F65520" w:rsidRDefault="00403080" w:rsidP="00403080">
      <w:pPr>
        <w:tabs>
          <w:tab w:val="left" w:pos="284"/>
        </w:tabs>
        <w:jc w:val="both"/>
        <w:rPr>
          <w:bCs/>
          <w:sz w:val="22"/>
          <w:szCs w:val="22"/>
          <w:lang w:val="sr-Latn-ME"/>
        </w:rPr>
      </w:pPr>
    </w:p>
    <w:p w14:paraId="6097D01A" w14:textId="77777777" w:rsidR="00403080" w:rsidRPr="0060055A" w:rsidRDefault="00403080" w:rsidP="00403080">
      <w:pPr>
        <w:tabs>
          <w:tab w:val="left" w:pos="284"/>
        </w:tabs>
        <w:jc w:val="both"/>
        <w:rPr>
          <w:b/>
          <w:bCs/>
          <w:sz w:val="22"/>
          <w:szCs w:val="22"/>
          <w:vertAlign w:val="superscript"/>
          <w:lang w:val="sr-Latn-ME"/>
        </w:rPr>
      </w:pPr>
      <w:r w:rsidRPr="0060055A">
        <w:rPr>
          <w:b/>
          <w:bCs/>
          <w:sz w:val="22"/>
          <w:szCs w:val="22"/>
          <w:lang w:val="sr-Latn-ME"/>
        </w:rPr>
        <w:t>Tabela 6. Egzacerbacije tokom produženog perioda liječenja</w:t>
      </w:r>
      <w:r w:rsidRPr="0060055A">
        <w:rPr>
          <w:b/>
          <w:bCs/>
          <w:sz w:val="22"/>
          <w:szCs w:val="22"/>
          <w:vertAlign w:val="superscript"/>
          <w:lang w:val="sr-Latn-ME"/>
        </w:rPr>
        <w:t>a</w:t>
      </w:r>
    </w:p>
    <w:p w14:paraId="3B175CD9" w14:textId="77777777" w:rsidR="00403080" w:rsidRPr="00F65520" w:rsidRDefault="00403080" w:rsidP="00403080">
      <w:pPr>
        <w:tabs>
          <w:tab w:val="left" w:pos="284"/>
        </w:tabs>
        <w:jc w:val="both"/>
        <w:rPr>
          <w:bCs/>
          <w:sz w:val="22"/>
          <w:szCs w:val="22"/>
          <w:vertAlign w:val="superscript"/>
          <w:lang w:val="sr-Latn-ME"/>
        </w:rPr>
      </w:pPr>
    </w:p>
    <w:tbl>
      <w:tblPr>
        <w:tblStyle w:val="TableGrid"/>
        <w:tblW w:w="0" w:type="auto"/>
        <w:tblLook w:val="04A0" w:firstRow="1" w:lastRow="0" w:firstColumn="1" w:lastColumn="0" w:noHBand="0" w:noVBand="1"/>
      </w:tblPr>
      <w:tblGrid>
        <w:gridCol w:w="1754"/>
        <w:gridCol w:w="1828"/>
        <w:gridCol w:w="1827"/>
        <w:gridCol w:w="1827"/>
        <w:gridCol w:w="1827"/>
      </w:tblGrid>
      <w:tr w:rsidR="00DC33B1" w:rsidRPr="00F65520" w14:paraId="32645C39" w14:textId="77777777" w:rsidTr="000808A1">
        <w:tc>
          <w:tcPr>
            <w:tcW w:w="1971" w:type="dxa"/>
            <w:vMerge w:val="restart"/>
          </w:tcPr>
          <w:p w14:paraId="0A51BDC9" w14:textId="77777777" w:rsidR="00403080" w:rsidRPr="00F65520" w:rsidRDefault="00403080" w:rsidP="000808A1">
            <w:pPr>
              <w:tabs>
                <w:tab w:val="left" w:pos="284"/>
              </w:tabs>
              <w:jc w:val="both"/>
              <w:rPr>
                <w:bCs/>
                <w:sz w:val="22"/>
                <w:szCs w:val="22"/>
                <w:lang w:val="sr-Latn-ME"/>
              </w:rPr>
            </w:pPr>
          </w:p>
        </w:tc>
        <w:tc>
          <w:tcPr>
            <w:tcW w:w="1971" w:type="dxa"/>
          </w:tcPr>
          <w:p w14:paraId="7CEA9066" w14:textId="77777777" w:rsidR="00403080" w:rsidRPr="00F65520" w:rsidRDefault="00403080" w:rsidP="000808A1">
            <w:pPr>
              <w:tabs>
                <w:tab w:val="left" w:pos="284"/>
              </w:tabs>
              <w:jc w:val="center"/>
              <w:rPr>
                <w:bCs/>
                <w:sz w:val="22"/>
                <w:szCs w:val="22"/>
                <w:vertAlign w:val="superscript"/>
                <w:lang w:val="sr-Latn-ME"/>
              </w:rPr>
            </w:pPr>
            <w:r w:rsidRPr="00F65520">
              <w:rPr>
                <w:bCs/>
                <w:sz w:val="22"/>
                <w:szCs w:val="22"/>
                <w:lang w:val="sr-Latn-ME"/>
              </w:rPr>
              <w:t>Placebo</w:t>
            </w:r>
            <w:r w:rsidRPr="00F65520">
              <w:rPr>
                <w:bCs/>
                <w:sz w:val="22"/>
                <w:szCs w:val="22"/>
                <w:vertAlign w:val="superscript"/>
                <w:lang w:val="sr-Latn-ME"/>
              </w:rPr>
              <w:t>b</w:t>
            </w:r>
          </w:p>
          <w:p w14:paraId="4DB284BA" w14:textId="77777777" w:rsidR="00403080" w:rsidRPr="00F65520" w:rsidRDefault="00403080" w:rsidP="000808A1">
            <w:pPr>
              <w:tabs>
                <w:tab w:val="left" w:pos="284"/>
              </w:tabs>
              <w:jc w:val="center"/>
              <w:rPr>
                <w:bCs/>
                <w:sz w:val="22"/>
                <w:szCs w:val="22"/>
                <w:lang w:val="sr-Latn-ME"/>
              </w:rPr>
            </w:pPr>
            <w:r w:rsidRPr="00F65520">
              <w:rPr>
                <w:bCs/>
                <w:sz w:val="22"/>
                <w:szCs w:val="22"/>
                <w:lang w:val="sr-Latn-ME"/>
              </w:rPr>
              <w:t>(N=338)</w:t>
            </w:r>
          </w:p>
        </w:tc>
        <w:tc>
          <w:tcPr>
            <w:tcW w:w="5913" w:type="dxa"/>
            <w:gridSpan w:val="3"/>
          </w:tcPr>
          <w:p w14:paraId="4D182586" w14:textId="21B37250" w:rsidR="00403080" w:rsidRPr="00F65520" w:rsidRDefault="00E87787" w:rsidP="000808A1">
            <w:pPr>
              <w:tabs>
                <w:tab w:val="left" w:pos="284"/>
              </w:tabs>
              <w:jc w:val="center"/>
              <w:rPr>
                <w:bCs/>
                <w:sz w:val="22"/>
                <w:szCs w:val="22"/>
                <w:lang w:val="sr-Latn-ME"/>
              </w:rPr>
            </w:pPr>
            <w:r w:rsidRPr="00F65520">
              <w:rPr>
                <w:bCs/>
                <w:sz w:val="22"/>
                <w:szCs w:val="22"/>
                <w:lang w:val="sr-Latn-ME"/>
              </w:rPr>
              <w:t>Benralizumab</w:t>
            </w:r>
            <w:r w:rsidRPr="00F65520" w:rsidDel="00E87787">
              <w:rPr>
                <w:bCs/>
                <w:sz w:val="22"/>
                <w:szCs w:val="22"/>
                <w:lang w:val="sr-Latn-ME"/>
              </w:rPr>
              <w:t xml:space="preserve"> </w:t>
            </w:r>
            <w:r w:rsidR="00403080" w:rsidRPr="00F65520">
              <w:rPr>
                <w:bCs/>
                <w:sz w:val="22"/>
                <w:szCs w:val="22"/>
                <w:lang w:val="sr-Latn-ME"/>
              </w:rPr>
              <w:t>(N=318)</w:t>
            </w:r>
          </w:p>
        </w:tc>
      </w:tr>
      <w:tr w:rsidR="00DC33B1" w:rsidRPr="00F65520" w14:paraId="1E7455C7" w14:textId="77777777" w:rsidTr="000808A1">
        <w:tc>
          <w:tcPr>
            <w:tcW w:w="1971" w:type="dxa"/>
            <w:vMerge/>
          </w:tcPr>
          <w:p w14:paraId="4F32C8AE" w14:textId="77777777" w:rsidR="00403080" w:rsidRPr="00F65520" w:rsidRDefault="00403080" w:rsidP="000808A1">
            <w:pPr>
              <w:tabs>
                <w:tab w:val="left" w:pos="284"/>
              </w:tabs>
              <w:jc w:val="both"/>
              <w:rPr>
                <w:bCs/>
                <w:sz w:val="22"/>
                <w:szCs w:val="22"/>
                <w:lang w:val="sr-Latn-ME"/>
              </w:rPr>
            </w:pPr>
          </w:p>
        </w:tc>
        <w:tc>
          <w:tcPr>
            <w:tcW w:w="1971" w:type="dxa"/>
          </w:tcPr>
          <w:p w14:paraId="6A498A1C" w14:textId="77777777" w:rsidR="00403080" w:rsidRPr="00F65520" w:rsidRDefault="00403080" w:rsidP="000808A1">
            <w:pPr>
              <w:tabs>
                <w:tab w:val="left" w:pos="284"/>
              </w:tabs>
              <w:jc w:val="center"/>
              <w:rPr>
                <w:bCs/>
                <w:sz w:val="22"/>
                <w:szCs w:val="22"/>
                <w:lang w:val="sr-Latn-ME"/>
              </w:rPr>
            </w:pPr>
            <w:r w:rsidRPr="00F65520">
              <w:rPr>
                <w:bCs/>
                <w:sz w:val="22"/>
                <w:szCs w:val="22"/>
                <w:lang w:val="sr-Latn-ME"/>
              </w:rPr>
              <w:t>Ispitivanja 1 i 2</w:t>
            </w:r>
          </w:p>
        </w:tc>
        <w:tc>
          <w:tcPr>
            <w:tcW w:w="1971" w:type="dxa"/>
          </w:tcPr>
          <w:p w14:paraId="22443847" w14:textId="77777777" w:rsidR="00403080" w:rsidRPr="00F65520" w:rsidRDefault="00403080" w:rsidP="000808A1">
            <w:pPr>
              <w:tabs>
                <w:tab w:val="left" w:pos="284"/>
              </w:tabs>
              <w:jc w:val="center"/>
              <w:rPr>
                <w:bCs/>
                <w:sz w:val="22"/>
                <w:szCs w:val="22"/>
                <w:lang w:val="sr-Latn-ME"/>
              </w:rPr>
            </w:pPr>
            <w:r w:rsidRPr="00F65520">
              <w:rPr>
                <w:bCs/>
                <w:sz w:val="22"/>
                <w:szCs w:val="22"/>
                <w:lang w:val="sr-Latn-ME"/>
              </w:rPr>
              <w:t>Ispitivanja 1 i 2</w:t>
            </w:r>
          </w:p>
        </w:tc>
        <w:tc>
          <w:tcPr>
            <w:tcW w:w="1971" w:type="dxa"/>
          </w:tcPr>
          <w:p w14:paraId="2E2FC90C" w14:textId="77777777" w:rsidR="00403080" w:rsidRPr="00F65520" w:rsidRDefault="00403080" w:rsidP="000808A1">
            <w:pPr>
              <w:tabs>
                <w:tab w:val="left" w:pos="284"/>
              </w:tabs>
              <w:jc w:val="center"/>
              <w:rPr>
                <w:bCs/>
                <w:sz w:val="22"/>
                <w:szCs w:val="22"/>
                <w:lang w:val="sr-Latn-ME"/>
              </w:rPr>
            </w:pPr>
            <w:r w:rsidRPr="00F65520">
              <w:rPr>
                <w:bCs/>
                <w:sz w:val="22"/>
                <w:szCs w:val="22"/>
                <w:lang w:val="sr-Latn-ME"/>
              </w:rPr>
              <w:t>Ispitivanje 4</w:t>
            </w:r>
          </w:p>
        </w:tc>
        <w:tc>
          <w:tcPr>
            <w:tcW w:w="1971" w:type="dxa"/>
          </w:tcPr>
          <w:p w14:paraId="7A408F3F" w14:textId="28D2D667" w:rsidR="00403080" w:rsidRPr="00F65520" w:rsidRDefault="003D0856" w:rsidP="000808A1">
            <w:pPr>
              <w:tabs>
                <w:tab w:val="left" w:pos="284"/>
              </w:tabs>
              <w:jc w:val="center"/>
              <w:rPr>
                <w:bCs/>
                <w:sz w:val="22"/>
                <w:szCs w:val="22"/>
                <w:lang w:val="sr-Latn-ME"/>
              </w:rPr>
            </w:pPr>
            <w:r w:rsidRPr="00F65520">
              <w:rPr>
                <w:bCs/>
                <w:sz w:val="22"/>
                <w:szCs w:val="22"/>
                <w:lang w:val="sr-Latn-ME"/>
              </w:rPr>
              <w:t>Ispitivanja</w:t>
            </w:r>
          </w:p>
          <w:p w14:paraId="19C46571" w14:textId="77777777" w:rsidR="00403080" w:rsidRPr="00F65520" w:rsidRDefault="00403080" w:rsidP="000808A1">
            <w:pPr>
              <w:tabs>
                <w:tab w:val="left" w:pos="284"/>
              </w:tabs>
              <w:jc w:val="center"/>
              <w:rPr>
                <w:bCs/>
                <w:sz w:val="22"/>
                <w:szCs w:val="22"/>
                <w:vertAlign w:val="superscript"/>
                <w:lang w:val="sr-Latn-ME"/>
              </w:rPr>
            </w:pPr>
            <w:r w:rsidRPr="00F65520">
              <w:rPr>
                <w:bCs/>
                <w:sz w:val="22"/>
                <w:szCs w:val="22"/>
                <w:lang w:val="sr-Latn-ME"/>
              </w:rPr>
              <w:t>1, 2 i 4</w:t>
            </w:r>
            <w:r w:rsidRPr="00F65520">
              <w:rPr>
                <w:bCs/>
                <w:sz w:val="22"/>
                <w:szCs w:val="22"/>
                <w:vertAlign w:val="superscript"/>
                <w:lang w:val="sr-Latn-ME"/>
              </w:rPr>
              <w:t>c</w:t>
            </w:r>
          </w:p>
        </w:tc>
      </w:tr>
      <w:tr w:rsidR="00DC33B1" w:rsidRPr="00F65520" w14:paraId="155D2D91" w14:textId="77777777" w:rsidTr="000808A1">
        <w:tc>
          <w:tcPr>
            <w:tcW w:w="1971" w:type="dxa"/>
          </w:tcPr>
          <w:p w14:paraId="700B6FD5" w14:textId="77777777" w:rsidR="00403080" w:rsidRPr="00F65520" w:rsidRDefault="00403080" w:rsidP="000808A1">
            <w:pPr>
              <w:tabs>
                <w:tab w:val="left" w:pos="284"/>
              </w:tabs>
              <w:jc w:val="both"/>
              <w:rPr>
                <w:bCs/>
                <w:sz w:val="22"/>
                <w:szCs w:val="22"/>
                <w:lang w:val="sr-Latn-ME"/>
              </w:rPr>
            </w:pPr>
            <w:r w:rsidRPr="00F65520">
              <w:rPr>
                <w:bCs/>
                <w:sz w:val="22"/>
                <w:szCs w:val="22"/>
                <w:lang w:val="sr-Latn-ME"/>
              </w:rPr>
              <w:t>Stopa</w:t>
            </w:r>
          </w:p>
        </w:tc>
        <w:tc>
          <w:tcPr>
            <w:tcW w:w="1971" w:type="dxa"/>
          </w:tcPr>
          <w:p w14:paraId="01CE3598" w14:textId="77777777" w:rsidR="00403080" w:rsidRPr="00F65520" w:rsidRDefault="00403080" w:rsidP="000808A1">
            <w:pPr>
              <w:tabs>
                <w:tab w:val="left" w:pos="284"/>
              </w:tabs>
              <w:jc w:val="center"/>
              <w:rPr>
                <w:bCs/>
                <w:sz w:val="22"/>
                <w:szCs w:val="22"/>
                <w:lang w:val="sr-Latn-ME"/>
              </w:rPr>
            </w:pPr>
            <w:r w:rsidRPr="00F65520">
              <w:rPr>
                <w:bCs/>
                <w:sz w:val="22"/>
                <w:szCs w:val="22"/>
                <w:lang w:val="sr-Latn-ME"/>
              </w:rPr>
              <w:t>1,23</w:t>
            </w:r>
          </w:p>
        </w:tc>
        <w:tc>
          <w:tcPr>
            <w:tcW w:w="1971" w:type="dxa"/>
          </w:tcPr>
          <w:p w14:paraId="5EEABB65" w14:textId="77777777" w:rsidR="00403080" w:rsidRPr="00F65520" w:rsidRDefault="00403080" w:rsidP="000808A1">
            <w:pPr>
              <w:tabs>
                <w:tab w:val="left" w:pos="284"/>
              </w:tabs>
              <w:jc w:val="center"/>
              <w:rPr>
                <w:bCs/>
                <w:sz w:val="22"/>
                <w:szCs w:val="22"/>
                <w:lang w:val="sr-Latn-ME"/>
              </w:rPr>
            </w:pPr>
            <w:r w:rsidRPr="00F65520">
              <w:rPr>
                <w:bCs/>
                <w:sz w:val="22"/>
                <w:szCs w:val="22"/>
                <w:lang w:val="sr-Latn-ME"/>
              </w:rPr>
              <w:t>0,65</w:t>
            </w:r>
          </w:p>
        </w:tc>
        <w:tc>
          <w:tcPr>
            <w:tcW w:w="1971" w:type="dxa"/>
          </w:tcPr>
          <w:p w14:paraId="6E23EDDA" w14:textId="77777777" w:rsidR="00403080" w:rsidRPr="00F65520" w:rsidRDefault="00403080" w:rsidP="000808A1">
            <w:pPr>
              <w:tabs>
                <w:tab w:val="left" w:pos="284"/>
              </w:tabs>
              <w:jc w:val="center"/>
              <w:rPr>
                <w:bCs/>
                <w:sz w:val="22"/>
                <w:szCs w:val="22"/>
                <w:lang w:val="sr-Latn-ME"/>
              </w:rPr>
            </w:pPr>
            <w:r w:rsidRPr="00F65520">
              <w:rPr>
                <w:bCs/>
                <w:sz w:val="22"/>
                <w:szCs w:val="22"/>
                <w:lang w:val="sr-Latn-ME"/>
              </w:rPr>
              <w:t>0,48</w:t>
            </w:r>
          </w:p>
        </w:tc>
        <w:tc>
          <w:tcPr>
            <w:tcW w:w="1971" w:type="dxa"/>
          </w:tcPr>
          <w:p w14:paraId="7368C512" w14:textId="77777777" w:rsidR="00403080" w:rsidRPr="00F65520" w:rsidRDefault="00403080" w:rsidP="000808A1">
            <w:pPr>
              <w:tabs>
                <w:tab w:val="left" w:pos="284"/>
              </w:tabs>
              <w:jc w:val="center"/>
              <w:rPr>
                <w:bCs/>
                <w:sz w:val="22"/>
                <w:szCs w:val="22"/>
                <w:lang w:val="sr-Latn-ME"/>
              </w:rPr>
            </w:pPr>
            <w:r w:rsidRPr="00F65520">
              <w:rPr>
                <w:bCs/>
                <w:sz w:val="22"/>
                <w:szCs w:val="22"/>
                <w:lang w:val="sr-Latn-ME"/>
              </w:rPr>
              <w:t>0,56</w:t>
            </w:r>
          </w:p>
        </w:tc>
      </w:tr>
    </w:tbl>
    <w:p w14:paraId="32A9C80D" w14:textId="77777777" w:rsidR="00403080" w:rsidRPr="00F65520" w:rsidRDefault="00403080" w:rsidP="00403080">
      <w:pPr>
        <w:tabs>
          <w:tab w:val="left" w:pos="284"/>
        </w:tabs>
        <w:jc w:val="both"/>
        <w:rPr>
          <w:bCs/>
          <w:sz w:val="22"/>
          <w:szCs w:val="22"/>
          <w:lang w:val="sr-Latn-ME"/>
        </w:rPr>
      </w:pPr>
      <w:r w:rsidRPr="00F65520">
        <w:rPr>
          <w:bCs/>
          <w:sz w:val="22"/>
          <w:szCs w:val="22"/>
          <w:vertAlign w:val="superscript"/>
          <w:lang w:val="sr-Latn-ME"/>
        </w:rPr>
        <w:t>a.</w:t>
      </w:r>
      <w:r w:rsidRPr="00F65520">
        <w:rPr>
          <w:bCs/>
          <w:sz w:val="22"/>
          <w:szCs w:val="22"/>
          <w:lang w:val="sr-Latn-ME"/>
        </w:rPr>
        <w:t xml:space="preserve"> Pacijenti uključeni u Ispitivanje 4 iz prethodnih Ispitivanja 1 i 2 koji su imali početni broj eozinofila u krvi ≥ 300 ćelija/µl i uzimali visoke doze IKS-a.</w:t>
      </w:r>
    </w:p>
    <w:p w14:paraId="366C734A" w14:textId="77777777" w:rsidR="00403080" w:rsidRPr="00F65520" w:rsidRDefault="00403080" w:rsidP="00403080">
      <w:pPr>
        <w:tabs>
          <w:tab w:val="left" w:pos="284"/>
        </w:tabs>
        <w:jc w:val="both"/>
        <w:rPr>
          <w:bCs/>
          <w:sz w:val="22"/>
          <w:szCs w:val="22"/>
          <w:lang w:val="sr-Latn-ME"/>
        </w:rPr>
      </w:pPr>
      <w:r w:rsidRPr="00F65520">
        <w:rPr>
          <w:bCs/>
          <w:sz w:val="22"/>
          <w:szCs w:val="22"/>
          <w:vertAlign w:val="superscript"/>
          <w:lang w:val="sr-Latn-ME"/>
        </w:rPr>
        <w:t xml:space="preserve">b. </w:t>
      </w:r>
      <w:r w:rsidRPr="00F65520">
        <w:rPr>
          <w:bCs/>
          <w:sz w:val="22"/>
          <w:szCs w:val="22"/>
          <w:lang w:val="sr-Latn-ME"/>
        </w:rPr>
        <w:t>Pacijenti koji su primali placebo u Ispitivanjima 1 i 2 uključivali su se do kraja ovih prethodnih ispitivanja (48. nedjelja u Ispitivanju 1, 56. nedjelja u Ispitivanju 2).</w:t>
      </w:r>
    </w:p>
    <w:p w14:paraId="798FAC2E" w14:textId="77777777" w:rsidR="00403080" w:rsidRPr="00F65520" w:rsidRDefault="00403080" w:rsidP="00403080">
      <w:pPr>
        <w:tabs>
          <w:tab w:val="left" w:pos="284"/>
        </w:tabs>
        <w:jc w:val="both"/>
        <w:rPr>
          <w:bCs/>
          <w:sz w:val="22"/>
          <w:szCs w:val="22"/>
          <w:lang w:val="sr-Latn-ME"/>
        </w:rPr>
      </w:pPr>
      <w:r w:rsidRPr="00F65520">
        <w:rPr>
          <w:bCs/>
          <w:sz w:val="22"/>
          <w:szCs w:val="22"/>
          <w:vertAlign w:val="superscript"/>
          <w:lang w:val="sr-Latn-ME"/>
        </w:rPr>
        <w:t>c.</w:t>
      </w:r>
      <w:r w:rsidRPr="00F65520">
        <w:rPr>
          <w:bCs/>
          <w:sz w:val="22"/>
          <w:szCs w:val="22"/>
          <w:lang w:val="sr-Latn-ME"/>
        </w:rPr>
        <w:t xml:space="preserve"> Ukupno trajanje liječenja: 104 – 112 nedjelja</w:t>
      </w:r>
    </w:p>
    <w:p w14:paraId="17CD59CC" w14:textId="77777777" w:rsidR="00403080" w:rsidRPr="00F65520" w:rsidRDefault="00403080" w:rsidP="00403080">
      <w:pPr>
        <w:tabs>
          <w:tab w:val="left" w:pos="284"/>
        </w:tabs>
        <w:jc w:val="both"/>
        <w:rPr>
          <w:bCs/>
          <w:sz w:val="22"/>
          <w:szCs w:val="22"/>
          <w:lang w:val="sr-Latn-ME"/>
        </w:rPr>
      </w:pPr>
    </w:p>
    <w:p w14:paraId="3BFAAEF7" w14:textId="3B77F0DB" w:rsidR="00403080" w:rsidRPr="00F65520" w:rsidRDefault="00403080" w:rsidP="00403080">
      <w:pPr>
        <w:tabs>
          <w:tab w:val="left" w:pos="284"/>
        </w:tabs>
        <w:jc w:val="both"/>
        <w:rPr>
          <w:bCs/>
          <w:sz w:val="22"/>
          <w:szCs w:val="22"/>
          <w:lang w:val="sr-Latn-ME"/>
        </w:rPr>
      </w:pPr>
      <w:r w:rsidRPr="00F65520">
        <w:rPr>
          <w:bCs/>
          <w:sz w:val="22"/>
          <w:szCs w:val="22"/>
          <w:lang w:val="sr-Latn-ME"/>
        </w:rPr>
        <w:t>Slično održavanje efekta tokom c</w:t>
      </w:r>
      <w:r w:rsidR="003D0856" w:rsidRPr="00F65520">
        <w:rPr>
          <w:bCs/>
          <w:sz w:val="22"/>
          <w:szCs w:val="22"/>
          <w:lang w:val="sr-Latn-ME"/>
        </w:rPr>
        <w:t>ij</w:t>
      </w:r>
      <w:r w:rsidRPr="00F65520">
        <w:rPr>
          <w:bCs/>
          <w:sz w:val="22"/>
          <w:szCs w:val="22"/>
          <w:lang w:val="sr-Latn-ME"/>
        </w:rPr>
        <w:t xml:space="preserve">elog Ispitivanja 4 </w:t>
      </w:r>
      <w:r w:rsidR="00736E78" w:rsidRPr="00F65520">
        <w:rPr>
          <w:bCs/>
          <w:sz w:val="22"/>
          <w:szCs w:val="22"/>
          <w:lang w:val="sr-Latn-ME"/>
        </w:rPr>
        <w:t xml:space="preserve">zabilježeno </w:t>
      </w:r>
      <w:r w:rsidRPr="00F65520">
        <w:rPr>
          <w:bCs/>
          <w:sz w:val="22"/>
          <w:szCs w:val="22"/>
          <w:lang w:val="sr-Latn-ME"/>
        </w:rPr>
        <w:t xml:space="preserve">je za plućnu funkciju, rezultate upitnika ACQ-6 i AQLQ(S)+12 (Tabela 7). </w:t>
      </w:r>
    </w:p>
    <w:p w14:paraId="1B171AFD" w14:textId="77777777" w:rsidR="00403080" w:rsidRPr="00F65520" w:rsidRDefault="00403080" w:rsidP="00403080">
      <w:pPr>
        <w:tabs>
          <w:tab w:val="left" w:pos="284"/>
        </w:tabs>
        <w:jc w:val="both"/>
        <w:rPr>
          <w:bCs/>
          <w:sz w:val="22"/>
          <w:szCs w:val="22"/>
          <w:lang w:val="sr-Latn-ME"/>
        </w:rPr>
      </w:pPr>
    </w:p>
    <w:p w14:paraId="60732CE8" w14:textId="77777777" w:rsidR="00403080" w:rsidRPr="00F65520" w:rsidRDefault="00403080" w:rsidP="00403080">
      <w:pPr>
        <w:tabs>
          <w:tab w:val="left" w:pos="284"/>
        </w:tabs>
        <w:jc w:val="both"/>
        <w:rPr>
          <w:bCs/>
          <w:sz w:val="22"/>
          <w:szCs w:val="22"/>
          <w:lang w:val="sr-Latn-ME"/>
        </w:rPr>
      </w:pPr>
      <w:r w:rsidRPr="0060055A">
        <w:rPr>
          <w:b/>
          <w:bCs/>
          <w:sz w:val="22"/>
          <w:szCs w:val="22"/>
          <w:lang w:val="sr-Latn-ME"/>
        </w:rPr>
        <w:t>Tabela 7. Promjena plućne funkcije, rezultata upitnika ACQ-6 i AQLQ(S)+12 u odnosu na početne</w:t>
      </w:r>
      <w:r w:rsidRPr="00F65520">
        <w:rPr>
          <w:bCs/>
          <w:sz w:val="22"/>
          <w:szCs w:val="22"/>
          <w:lang w:val="sr-Latn-ME"/>
        </w:rPr>
        <w:t xml:space="preserve"> </w:t>
      </w:r>
      <w:r w:rsidRPr="0060055A">
        <w:rPr>
          <w:b/>
          <w:bCs/>
          <w:sz w:val="22"/>
          <w:szCs w:val="22"/>
          <w:lang w:val="sr-Latn-ME"/>
        </w:rPr>
        <w:t>vrijednosti</w:t>
      </w:r>
      <w:r w:rsidRPr="0060055A">
        <w:rPr>
          <w:b/>
          <w:bCs/>
          <w:sz w:val="22"/>
          <w:szCs w:val="22"/>
          <w:vertAlign w:val="superscript"/>
          <w:lang w:val="sr-Latn-ME"/>
        </w:rPr>
        <w:t>a</w:t>
      </w:r>
    </w:p>
    <w:p w14:paraId="3D8EA7AF" w14:textId="77777777" w:rsidR="00403080" w:rsidRPr="00F65520" w:rsidRDefault="00403080" w:rsidP="00403080">
      <w:pPr>
        <w:tabs>
          <w:tab w:val="left" w:pos="284"/>
        </w:tabs>
        <w:jc w:val="both"/>
        <w:rPr>
          <w:bCs/>
          <w:sz w:val="22"/>
          <w:szCs w:val="22"/>
          <w:lang w:val="sr-Latn-ME"/>
        </w:rPr>
      </w:pPr>
    </w:p>
    <w:tbl>
      <w:tblPr>
        <w:tblStyle w:val="TableGrid"/>
        <w:tblW w:w="5000" w:type="pct"/>
        <w:tblLook w:val="04A0" w:firstRow="1" w:lastRow="0" w:firstColumn="1" w:lastColumn="0" w:noHBand="0" w:noVBand="1"/>
      </w:tblPr>
      <w:tblGrid>
        <w:gridCol w:w="2247"/>
        <w:gridCol w:w="2284"/>
        <w:gridCol w:w="2284"/>
        <w:gridCol w:w="2248"/>
      </w:tblGrid>
      <w:tr w:rsidR="00DC33B1" w:rsidRPr="00F65520" w14:paraId="63EECCC5" w14:textId="77777777" w:rsidTr="00AF2AD7">
        <w:tc>
          <w:tcPr>
            <w:tcW w:w="1240" w:type="pct"/>
          </w:tcPr>
          <w:p w14:paraId="24C3B187" w14:textId="77777777" w:rsidR="00403080" w:rsidRPr="00F65520" w:rsidRDefault="00403080" w:rsidP="000808A1">
            <w:pPr>
              <w:tabs>
                <w:tab w:val="left" w:pos="284"/>
              </w:tabs>
              <w:jc w:val="both"/>
              <w:rPr>
                <w:bCs/>
                <w:sz w:val="22"/>
                <w:szCs w:val="22"/>
                <w:lang w:val="sr-Latn-ME"/>
              </w:rPr>
            </w:pPr>
          </w:p>
        </w:tc>
        <w:tc>
          <w:tcPr>
            <w:tcW w:w="1260" w:type="pct"/>
          </w:tcPr>
          <w:p w14:paraId="027E506E" w14:textId="77777777" w:rsidR="00403080" w:rsidRPr="00F65520" w:rsidRDefault="00403080" w:rsidP="000808A1">
            <w:pPr>
              <w:tabs>
                <w:tab w:val="left" w:pos="284"/>
              </w:tabs>
              <w:jc w:val="center"/>
              <w:rPr>
                <w:bCs/>
                <w:sz w:val="22"/>
                <w:szCs w:val="22"/>
                <w:vertAlign w:val="superscript"/>
                <w:lang w:val="sr-Latn-ME"/>
              </w:rPr>
            </w:pPr>
            <w:r w:rsidRPr="00F65520">
              <w:rPr>
                <w:bCs/>
                <w:sz w:val="22"/>
                <w:szCs w:val="22"/>
                <w:lang w:val="sr-Latn-ME"/>
              </w:rPr>
              <w:t>Početna vrijednost u Ispitivanjima 1 i 2</w:t>
            </w:r>
            <w:r w:rsidRPr="00F65520">
              <w:rPr>
                <w:bCs/>
                <w:sz w:val="22"/>
                <w:szCs w:val="22"/>
                <w:vertAlign w:val="superscript"/>
                <w:lang w:val="sr-Latn-ME"/>
              </w:rPr>
              <w:t>b</w:t>
            </w:r>
          </w:p>
        </w:tc>
        <w:tc>
          <w:tcPr>
            <w:tcW w:w="1260" w:type="pct"/>
          </w:tcPr>
          <w:p w14:paraId="42E02AE8" w14:textId="77777777" w:rsidR="00403080" w:rsidRPr="00F65520" w:rsidRDefault="00403080" w:rsidP="000808A1">
            <w:pPr>
              <w:tabs>
                <w:tab w:val="left" w:pos="284"/>
              </w:tabs>
              <w:jc w:val="center"/>
              <w:rPr>
                <w:bCs/>
                <w:sz w:val="22"/>
                <w:szCs w:val="22"/>
                <w:vertAlign w:val="superscript"/>
                <w:lang w:val="sr-Latn-ME"/>
              </w:rPr>
            </w:pPr>
            <w:r w:rsidRPr="00F65520">
              <w:rPr>
                <w:bCs/>
                <w:sz w:val="22"/>
                <w:szCs w:val="22"/>
                <w:lang w:val="sr-Latn-ME"/>
              </w:rPr>
              <w:t>Vrijednost na kraju liječenja u Ispitivanjima 1 i 2</w:t>
            </w:r>
            <w:r w:rsidRPr="00F65520">
              <w:rPr>
                <w:bCs/>
                <w:sz w:val="22"/>
                <w:szCs w:val="22"/>
                <w:vertAlign w:val="superscript"/>
                <w:lang w:val="sr-Latn-ME"/>
              </w:rPr>
              <w:t>c</w:t>
            </w:r>
          </w:p>
        </w:tc>
        <w:tc>
          <w:tcPr>
            <w:tcW w:w="1240" w:type="pct"/>
          </w:tcPr>
          <w:p w14:paraId="2CDAE0CC" w14:textId="77777777" w:rsidR="00403080" w:rsidRPr="00F65520" w:rsidRDefault="00403080" w:rsidP="000808A1">
            <w:pPr>
              <w:tabs>
                <w:tab w:val="left" w:pos="284"/>
              </w:tabs>
              <w:jc w:val="center"/>
              <w:rPr>
                <w:bCs/>
                <w:sz w:val="22"/>
                <w:szCs w:val="22"/>
                <w:vertAlign w:val="superscript"/>
                <w:lang w:val="sr-Latn-ME"/>
              </w:rPr>
            </w:pPr>
            <w:r w:rsidRPr="00F65520">
              <w:rPr>
                <w:bCs/>
                <w:sz w:val="22"/>
                <w:szCs w:val="22"/>
                <w:lang w:val="sr-Latn-ME"/>
              </w:rPr>
              <w:t>Vrijednost na kraju liječenja u Ispitivanju 4</w:t>
            </w:r>
            <w:r w:rsidRPr="00F65520">
              <w:rPr>
                <w:bCs/>
                <w:sz w:val="22"/>
                <w:szCs w:val="22"/>
                <w:vertAlign w:val="superscript"/>
                <w:lang w:val="sr-Latn-ME"/>
              </w:rPr>
              <w:t>d</w:t>
            </w:r>
          </w:p>
        </w:tc>
      </w:tr>
      <w:tr w:rsidR="00DC33B1" w:rsidRPr="00F65520" w14:paraId="3F38A277" w14:textId="77777777" w:rsidTr="00AF2AD7">
        <w:tc>
          <w:tcPr>
            <w:tcW w:w="5000" w:type="pct"/>
            <w:gridSpan w:val="4"/>
          </w:tcPr>
          <w:p w14:paraId="5B329986" w14:textId="77777777" w:rsidR="00403080" w:rsidRPr="00F65520" w:rsidRDefault="00403080" w:rsidP="000808A1">
            <w:pPr>
              <w:tabs>
                <w:tab w:val="left" w:pos="284"/>
              </w:tabs>
              <w:jc w:val="both"/>
              <w:rPr>
                <w:bCs/>
                <w:sz w:val="22"/>
                <w:szCs w:val="22"/>
                <w:lang w:val="sr-Latn-ME"/>
              </w:rPr>
            </w:pPr>
            <w:r w:rsidRPr="00F65520">
              <w:rPr>
                <w:bCs/>
                <w:sz w:val="22"/>
                <w:szCs w:val="22"/>
                <w:lang w:val="sr-Latn-ME"/>
              </w:rPr>
              <w:t>FEV</w:t>
            </w:r>
            <w:r w:rsidRPr="00F65520">
              <w:rPr>
                <w:bCs/>
                <w:sz w:val="22"/>
                <w:szCs w:val="22"/>
                <w:vertAlign w:val="subscript"/>
                <w:lang w:val="sr-Latn-ME"/>
              </w:rPr>
              <w:t xml:space="preserve">1 </w:t>
            </w:r>
            <w:r w:rsidRPr="00F65520">
              <w:rPr>
                <w:bCs/>
                <w:sz w:val="22"/>
                <w:szCs w:val="22"/>
                <w:lang w:val="sr-Latn-ME"/>
              </w:rPr>
              <w:t>prije primjene bronhodilatora (l)</w:t>
            </w:r>
          </w:p>
        </w:tc>
      </w:tr>
      <w:tr w:rsidR="00DC33B1" w:rsidRPr="00F65520" w14:paraId="38302747" w14:textId="77777777" w:rsidTr="00AF2AD7">
        <w:tc>
          <w:tcPr>
            <w:tcW w:w="1240" w:type="pct"/>
          </w:tcPr>
          <w:p w14:paraId="7ABD8193" w14:textId="77777777" w:rsidR="00403080" w:rsidRPr="00F65520" w:rsidRDefault="00403080" w:rsidP="000808A1">
            <w:pPr>
              <w:tabs>
                <w:tab w:val="left" w:pos="284"/>
              </w:tabs>
              <w:jc w:val="both"/>
              <w:rPr>
                <w:bCs/>
                <w:sz w:val="22"/>
                <w:szCs w:val="22"/>
                <w:lang w:val="sr-Latn-ME"/>
              </w:rPr>
            </w:pPr>
            <w:r w:rsidRPr="00F65520">
              <w:rPr>
                <w:bCs/>
                <w:sz w:val="22"/>
                <w:szCs w:val="22"/>
                <w:lang w:val="sr-Latn-ME"/>
              </w:rPr>
              <w:t>n</w:t>
            </w:r>
          </w:p>
        </w:tc>
        <w:tc>
          <w:tcPr>
            <w:tcW w:w="1260" w:type="pct"/>
          </w:tcPr>
          <w:p w14:paraId="5320D625" w14:textId="77777777" w:rsidR="00403080" w:rsidRPr="00F65520" w:rsidRDefault="00403080" w:rsidP="000808A1">
            <w:pPr>
              <w:tabs>
                <w:tab w:val="left" w:pos="284"/>
              </w:tabs>
              <w:jc w:val="center"/>
              <w:rPr>
                <w:bCs/>
                <w:sz w:val="22"/>
                <w:szCs w:val="22"/>
                <w:lang w:val="sr-Latn-ME"/>
              </w:rPr>
            </w:pPr>
            <w:r w:rsidRPr="00F65520">
              <w:rPr>
                <w:bCs/>
                <w:sz w:val="22"/>
                <w:szCs w:val="22"/>
                <w:lang w:val="sr-Latn-ME"/>
              </w:rPr>
              <w:t>318</w:t>
            </w:r>
          </w:p>
        </w:tc>
        <w:tc>
          <w:tcPr>
            <w:tcW w:w="1260" w:type="pct"/>
          </w:tcPr>
          <w:p w14:paraId="2DC41917" w14:textId="77777777" w:rsidR="00403080" w:rsidRPr="00F65520" w:rsidRDefault="00403080" w:rsidP="000808A1">
            <w:pPr>
              <w:tabs>
                <w:tab w:val="left" w:pos="284"/>
              </w:tabs>
              <w:jc w:val="center"/>
              <w:rPr>
                <w:bCs/>
                <w:sz w:val="22"/>
                <w:szCs w:val="22"/>
                <w:lang w:val="sr-Latn-ME"/>
              </w:rPr>
            </w:pPr>
            <w:r w:rsidRPr="00F65520">
              <w:rPr>
                <w:bCs/>
                <w:sz w:val="22"/>
                <w:szCs w:val="22"/>
                <w:lang w:val="sr-Latn-ME"/>
              </w:rPr>
              <w:t>305</w:t>
            </w:r>
          </w:p>
        </w:tc>
        <w:tc>
          <w:tcPr>
            <w:tcW w:w="1240" w:type="pct"/>
          </w:tcPr>
          <w:p w14:paraId="5703646A" w14:textId="77777777" w:rsidR="00403080" w:rsidRPr="00F65520" w:rsidRDefault="00403080" w:rsidP="000808A1">
            <w:pPr>
              <w:tabs>
                <w:tab w:val="left" w:pos="284"/>
              </w:tabs>
              <w:jc w:val="center"/>
              <w:rPr>
                <w:bCs/>
                <w:sz w:val="22"/>
                <w:szCs w:val="22"/>
                <w:lang w:val="sr-Latn-ME"/>
              </w:rPr>
            </w:pPr>
            <w:r w:rsidRPr="00F65520">
              <w:rPr>
                <w:bCs/>
                <w:sz w:val="22"/>
                <w:szCs w:val="22"/>
                <w:lang w:val="sr-Latn-ME"/>
              </w:rPr>
              <w:t>290</w:t>
            </w:r>
          </w:p>
        </w:tc>
      </w:tr>
      <w:tr w:rsidR="00DC33B1" w:rsidRPr="00F65520" w14:paraId="3ED7A034" w14:textId="77777777" w:rsidTr="00AF2AD7">
        <w:tc>
          <w:tcPr>
            <w:tcW w:w="1240" w:type="pct"/>
          </w:tcPr>
          <w:p w14:paraId="2A5F906F" w14:textId="77777777" w:rsidR="00403080" w:rsidRPr="00F65520" w:rsidRDefault="00403080" w:rsidP="000808A1">
            <w:pPr>
              <w:tabs>
                <w:tab w:val="left" w:pos="284"/>
              </w:tabs>
              <w:jc w:val="both"/>
              <w:rPr>
                <w:bCs/>
                <w:sz w:val="22"/>
                <w:szCs w:val="22"/>
                <w:lang w:val="sr-Latn-ME"/>
              </w:rPr>
            </w:pPr>
            <w:r w:rsidRPr="00F65520">
              <w:rPr>
                <w:bCs/>
                <w:sz w:val="22"/>
                <w:szCs w:val="22"/>
                <w:lang w:val="sr-Latn-ME"/>
              </w:rPr>
              <w:t xml:space="preserve">Srednja početna vrijednost </w:t>
            </w:r>
          </w:p>
          <w:p w14:paraId="2F34AA4C" w14:textId="77777777" w:rsidR="00403080" w:rsidRPr="00F65520" w:rsidRDefault="00403080" w:rsidP="000808A1">
            <w:pPr>
              <w:tabs>
                <w:tab w:val="left" w:pos="284"/>
              </w:tabs>
              <w:jc w:val="both"/>
              <w:rPr>
                <w:bCs/>
                <w:sz w:val="22"/>
                <w:szCs w:val="22"/>
                <w:lang w:val="sr-Latn-ME"/>
              </w:rPr>
            </w:pPr>
            <w:r w:rsidRPr="00F65520">
              <w:rPr>
                <w:bCs/>
                <w:sz w:val="22"/>
                <w:szCs w:val="22"/>
                <w:lang w:val="sr-Latn-ME"/>
              </w:rPr>
              <w:t>(SD)</w:t>
            </w:r>
            <w:r w:rsidRPr="00F65520">
              <w:rPr>
                <w:bCs/>
                <w:sz w:val="22"/>
                <w:szCs w:val="22"/>
                <w:vertAlign w:val="superscript"/>
                <w:lang w:val="sr-Latn-ME"/>
              </w:rPr>
              <w:t>e</w:t>
            </w:r>
          </w:p>
        </w:tc>
        <w:tc>
          <w:tcPr>
            <w:tcW w:w="1260" w:type="pct"/>
          </w:tcPr>
          <w:p w14:paraId="1275F363" w14:textId="77777777" w:rsidR="00403080" w:rsidRPr="00F65520" w:rsidRDefault="00403080" w:rsidP="000808A1">
            <w:pPr>
              <w:tabs>
                <w:tab w:val="left" w:pos="284"/>
              </w:tabs>
              <w:jc w:val="center"/>
              <w:rPr>
                <w:bCs/>
                <w:sz w:val="22"/>
                <w:szCs w:val="22"/>
                <w:lang w:val="sr-Latn-ME"/>
              </w:rPr>
            </w:pPr>
            <w:r w:rsidRPr="00F65520">
              <w:rPr>
                <w:sz w:val="22"/>
                <w:szCs w:val="22"/>
                <w:lang w:val="sr-Latn-ME"/>
              </w:rPr>
              <w:t>1,741 (0,621)</w:t>
            </w:r>
          </w:p>
        </w:tc>
        <w:tc>
          <w:tcPr>
            <w:tcW w:w="1260" w:type="pct"/>
          </w:tcPr>
          <w:p w14:paraId="5206E545" w14:textId="77777777" w:rsidR="00403080" w:rsidRPr="00F65520" w:rsidRDefault="00403080" w:rsidP="000808A1">
            <w:pPr>
              <w:tabs>
                <w:tab w:val="left" w:pos="284"/>
              </w:tabs>
              <w:jc w:val="center"/>
              <w:rPr>
                <w:bCs/>
                <w:sz w:val="22"/>
                <w:szCs w:val="22"/>
                <w:lang w:val="sr-Latn-ME"/>
              </w:rPr>
            </w:pPr>
            <w:r w:rsidRPr="00F65520">
              <w:rPr>
                <w:bCs/>
                <w:sz w:val="22"/>
                <w:szCs w:val="22"/>
                <w:lang w:val="sr-Latn-ME"/>
              </w:rPr>
              <w:t>--</w:t>
            </w:r>
          </w:p>
        </w:tc>
        <w:tc>
          <w:tcPr>
            <w:tcW w:w="1240" w:type="pct"/>
          </w:tcPr>
          <w:p w14:paraId="6D966CC4" w14:textId="77777777" w:rsidR="00403080" w:rsidRPr="00F65520" w:rsidRDefault="00403080" w:rsidP="000808A1">
            <w:pPr>
              <w:tabs>
                <w:tab w:val="left" w:pos="284"/>
              </w:tabs>
              <w:jc w:val="center"/>
              <w:rPr>
                <w:bCs/>
                <w:sz w:val="22"/>
                <w:szCs w:val="22"/>
                <w:lang w:val="sr-Latn-ME"/>
              </w:rPr>
            </w:pPr>
            <w:r w:rsidRPr="00F65520">
              <w:rPr>
                <w:bCs/>
                <w:sz w:val="22"/>
                <w:szCs w:val="22"/>
                <w:lang w:val="sr-Latn-ME"/>
              </w:rPr>
              <w:t>--</w:t>
            </w:r>
          </w:p>
        </w:tc>
      </w:tr>
      <w:tr w:rsidR="00DC33B1" w:rsidRPr="00F65520" w14:paraId="66859972" w14:textId="77777777" w:rsidTr="00AF2AD7">
        <w:tc>
          <w:tcPr>
            <w:tcW w:w="1240" w:type="pct"/>
          </w:tcPr>
          <w:p w14:paraId="7129AE40" w14:textId="77777777" w:rsidR="00403080" w:rsidRPr="00F65520" w:rsidRDefault="00403080" w:rsidP="000808A1">
            <w:pPr>
              <w:tabs>
                <w:tab w:val="left" w:pos="284"/>
              </w:tabs>
              <w:jc w:val="both"/>
              <w:rPr>
                <w:bCs/>
                <w:sz w:val="22"/>
                <w:szCs w:val="22"/>
                <w:lang w:val="sr-Latn-ME"/>
              </w:rPr>
            </w:pPr>
            <w:r w:rsidRPr="00F65520">
              <w:rPr>
                <w:bCs/>
                <w:sz w:val="22"/>
                <w:szCs w:val="22"/>
                <w:lang w:val="sr-Latn-ME"/>
              </w:rPr>
              <w:t>Promjena od početne vrijednosti (SD)</w:t>
            </w:r>
            <w:r w:rsidRPr="00F65520">
              <w:rPr>
                <w:bCs/>
                <w:sz w:val="22"/>
                <w:szCs w:val="22"/>
                <w:vertAlign w:val="superscript"/>
                <w:lang w:val="sr-Latn-ME"/>
              </w:rPr>
              <w:t>e</w:t>
            </w:r>
          </w:p>
        </w:tc>
        <w:tc>
          <w:tcPr>
            <w:tcW w:w="1260" w:type="pct"/>
          </w:tcPr>
          <w:p w14:paraId="670EB267" w14:textId="77777777" w:rsidR="00403080" w:rsidRPr="00F65520" w:rsidRDefault="00403080" w:rsidP="000808A1">
            <w:pPr>
              <w:tabs>
                <w:tab w:val="left" w:pos="284"/>
              </w:tabs>
              <w:jc w:val="center"/>
              <w:rPr>
                <w:sz w:val="22"/>
                <w:szCs w:val="22"/>
                <w:lang w:val="sr-Latn-ME"/>
              </w:rPr>
            </w:pPr>
            <w:r w:rsidRPr="00F65520">
              <w:rPr>
                <w:bCs/>
                <w:sz w:val="22"/>
                <w:szCs w:val="22"/>
                <w:lang w:val="sr-Latn-ME"/>
              </w:rPr>
              <w:t>--</w:t>
            </w:r>
          </w:p>
        </w:tc>
        <w:tc>
          <w:tcPr>
            <w:tcW w:w="1260" w:type="pct"/>
          </w:tcPr>
          <w:p w14:paraId="39DEFBA6" w14:textId="77777777" w:rsidR="00403080" w:rsidRPr="00F65520" w:rsidRDefault="00403080" w:rsidP="000808A1">
            <w:pPr>
              <w:tabs>
                <w:tab w:val="left" w:pos="284"/>
              </w:tabs>
              <w:jc w:val="center"/>
              <w:rPr>
                <w:bCs/>
                <w:sz w:val="22"/>
                <w:szCs w:val="22"/>
                <w:lang w:val="sr-Latn-ME"/>
              </w:rPr>
            </w:pPr>
            <w:r w:rsidRPr="00F65520">
              <w:rPr>
                <w:sz w:val="22"/>
                <w:szCs w:val="22"/>
                <w:lang w:val="sr-Latn-ME"/>
              </w:rPr>
              <w:t>0,343 (0,507)</w:t>
            </w:r>
          </w:p>
        </w:tc>
        <w:tc>
          <w:tcPr>
            <w:tcW w:w="1240" w:type="pct"/>
          </w:tcPr>
          <w:p w14:paraId="3A68EE2A" w14:textId="77777777" w:rsidR="00403080" w:rsidRPr="00F65520" w:rsidRDefault="00403080" w:rsidP="000808A1">
            <w:pPr>
              <w:tabs>
                <w:tab w:val="left" w:pos="284"/>
              </w:tabs>
              <w:jc w:val="center"/>
              <w:rPr>
                <w:bCs/>
                <w:sz w:val="22"/>
                <w:szCs w:val="22"/>
                <w:lang w:val="sr-Latn-ME"/>
              </w:rPr>
            </w:pPr>
            <w:r w:rsidRPr="00F65520">
              <w:rPr>
                <w:sz w:val="22"/>
                <w:szCs w:val="22"/>
                <w:lang w:val="sr-Latn-ME"/>
              </w:rPr>
              <w:t>0,404 (0,555)</w:t>
            </w:r>
          </w:p>
        </w:tc>
      </w:tr>
      <w:tr w:rsidR="00DC33B1" w:rsidRPr="00F65520" w14:paraId="32D6AEE9" w14:textId="77777777" w:rsidTr="00AF2AD7">
        <w:tc>
          <w:tcPr>
            <w:tcW w:w="5000" w:type="pct"/>
            <w:gridSpan w:val="4"/>
          </w:tcPr>
          <w:p w14:paraId="2E5CA29A" w14:textId="77777777" w:rsidR="00403080" w:rsidRPr="00F65520" w:rsidRDefault="00403080" w:rsidP="000808A1">
            <w:pPr>
              <w:tabs>
                <w:tab w:val="left" w:pos="284"/>
              </w:tabs>
              <w:jc w:val="both"/>
              <w:rPr>
                <w:bCs/>
                <w:sz w:val="22"/>
                <w:szCs w:val="22"/>
                <w:lang w:val="sr-Latn-ME"/>
              </w:rPr>
            </w:pPr>
            <w:r w:rsidRPr="00F65520">
              <w:rPr>
                <w:b/>
                <w:bCs/>
                <w:sz w:val="22"/>
                <w:szCs w:val="22"/>
                <w:lang w:val="sr-Latn-ME"/>
              </w:rPr>
              <w:t>ACQ-6</w:t>
            </w:r>
          </w:p>
        </w:tc>
      </w:tr>
      <w:tr w:rsidR="00DC33B1" w:rsidRPr="00F65520" w14:paraId="06302B0B" w14:textId="77777777" w:rsidTr="00AF2AD7">
        <w:tc>
          <w:tcPr>
            <w:tcW w:w="1240" w:type="pct"/>
          </w:tcPr>
          <w:p w14:paraId="7100E6A0" w14:textId="77777777" w:rsidR="00403080" w:rsidRPr="00F65520" w:rsidRDefault="00403080" w:rsidP="000808A1">
            <w:pPr>
              <w:tabs>
                <w:tab w:val="left" w:pos="284"/>
              </w:tabs>
              <w:jc w:val="both"/>
              <w:rPr>
                <w:bCs/>
                <w:sz w:val="22"/>
                <w:szCs w:val="22"/>
                <w:lang w:val="sr-Latn-ME"/>
              </w:rPr>
            </w:pPr>
            <w:r w:rsidRPr="00F65520">
              <w:rPr>
                <w:bCs/>
                <w:sz w:val="22"/>
                <w:szCs w:val="22"/>
                <w:lang w:val="sr-Latn-ME"/>
              </w:rPr>
              <w:t>n</w:t>
            </w:r>
          </w:p>
        </w:tc>
        <w:tc>
          <w:tcPr>
            <w:tcW w:w="1260" w:type="pct"/>
          </w:tcPr>
          <w:p w14:paraId="4A9C7AFD" w14:textId="77777777" w:rsidR="00403080" w:rsidRPr="00F65520" w:rsidRDefault="00403080" w:rsidP="000808A1">
            <w:pPr>
              <w:tabs>
                <w:tab w:val="left" w:pos="284"/>
              </w:tabs>
              <w:jc w:val="center"/>
              <w:rPr>
                <w:bCs/>
                <w:sz w:val="22"/>
                <w:szCs w:val="22"/>
                <w:lang w:val="sr-Latn-ME"/>
              </w:rPr>
            </w:pPr>
            <w:r w:rsidRPr="00F65520">
              <w:rPr>
                <w:sz w:val="22"/>
                <w:szCs w:val="22"/>
                <w:lang w:val="sr-Latn-ME"/>
              </w:rPr>
              <w:t>318</w:t>
            </w:r>
          </w:p>
        </w:tc>
        <w:tc>
          <w:tcPr>
            <w:tcW w:w="1260" w:type="pct"/>
          </w:tcPr>
          <w:p w14:paraId="70272748" w14:textId="77777777" w:rsidR="00403080" w:rsidRPr="00F65520" w:rsidRDefault="00403080" w:rsidP="000808A1">
            <w:pPr>
              <w:tabs>
                <w:tab w:val="left" w:pos="284"/>
              </w:tabs>
              <w:jc w:val="center"/>
              <w:rPr>
                <w:bCs/>
                <w:sz w:val="22"/>
                <w:szCs w:val="22"/>
                <w:lang w:val="sr-Latn-ME"/>
              </w:rPr>
            </w:pPr>
            <w:r w:rsidRPr="00F65520">
              <w:rPr>
                <w:sz w:val="22"/>
                <w:szCs w:val="22"/>
                <w:lang w:val="sr-Latn-ME"/>
              </w:rPr>
              <w:t>315</w:t>
            </w:r>
          </w:p>
        </w:tc>
        <w:tc>
          <w:tcPr>
            <w:tcW w:w="1240" w:type="pct"/>
          </w:tcPr>
          <w:p w14:paraId="291ADA29" w14:textId="77777777" w:rsidR="00403080" w:rsidRPr="00F65520" w:rsidRDefault="00403080" w:rsidP="000808A1">
            <w:pPr>
              <w:tabs>
                <w:tab w:val="left" w:pos="284"/>
              </w:tabs>
              <w:jc w:val="center"/>
              <w:rPr>
                <w:bCs/>
                <w:sz w:val="22"/>
                <w:szCs w:val="22"/>
                <w:lang w:val="sr-Latn-ME"/>
              </w:rPr>
            </w:pPr>
            <w:r w:rsidRPr="00F65520">
              <w:rPr>
                <w:sz w:val="22"/>
                <w:szCs w:val="22"/>
                <w:lang w:val="sr-Latn-ME"/>
              </w:rPr>
              <w:t>296</w:t>
            </w:r>
          </w:p>
        </w:tc>
      </w:tr>
      <w:tr w:rsidR="00DC33B1" w:rsidRPr="00F65520" w14:paraId="24DBFD16" w14:textId="77777777" w:rsidTr="00AF2AD7">
        <w:tc>
          <w:tcPr>
            <w:tcW w:w="1240" w:type="pct"/>
          </w:tcPr>
          <w:p w14:paraId="00EFF7CD" w14:textId="77777777" w:rsidR="00403080" w:rsidRPr="00F65520" w:rsidRDefault="00403080" w:rsidP="000808A1">
            <w:pPr>
              <w:tabs>
                <w:tab w:val="left" w:pos="284"/>
              </w:tabs>
              <w:jc w:val="both"/>
              <w:rPr>
                <w:bCs/>
                <w:sz w:val="22"/>
                <w:szCs w:val="22"/>
                <w:lang w:val="sr-Latn-ME"/>
              </w:rPr>
            </w:pPr>
            <w:r w:rsidRPr="00F65520">
              <w:rPr>
                <w:bCs/>
                <w:sz w:val="22"/>
                <w:szCs w:val="22"/>
                <w:lang w:val="sr-Latn-ME"/>
              </w:rPr>
              <w:t xml:space="preserve">Srednja početna vrijednost </w:t>
            </w:r>
          </w:p>
          <w:p w14:paraId="11022CCC" w14:textId="77777777" w:rsidR="00403080" w:rsidRPr="00F65520" w:rsidRDefault="00403080" w:rsidP="000808A1">
            <w:pPr>
              <w:tabs>
                <w:tab w:val="left" w:pos="284"/>
              </w:tabs>
              <w:jc w:val="both"/>
              <w:rPr>
                <w:bCs/>
                <w:sz w:val="22"/>
                <w:szCs w:val="22"/>
                <w:lang w:val="sr-Latn-ME"/>
              </w:rPr>
            </w:pPr>
            <w:r w:rsidRPr="00F65520">
              <w:rPr>
                <w:bCs/>
                <w:sz w:val="22"/>
                <w:szCs w:val="22"/>
                <w:lang w:val="sr-Latn-ME"/>
              </w:rPr>
              <w:t>(SD)</w:t>
            </w:r>
            <w:r w:rsidRPr="00F65520">
              <w:rPr>
                <w:bCs/>
                <w:sz w:val="22"/>
                <w:szCs w:val="22"/>
                <w:vertAlign w:val="superscript"/>
                <w:lang w:val="sr-Latn-ME"/>
              </w:rPr>
              <w:t>e</w:t>
            </w:r>
          </w:p>
        </w:tc>
        <w:tc>
          <w:tcPr>
            <w:tcW w:w="1260" w:type="pct"/>
          </w:tcPr>
          <w:p w14:paraId="1B7D3FDE" w14:textId="77777777" w:rsidR="00403080" w:rsidRPr="00F65520" w:rsidRDefault="00403080" w:rsidP="000808A1">
            <w:pPr>
              <w:tabs>
                <w:tab w:val="left" w:pos="284"/>
              </w:tabs>
              <w:jc w:val="center"/>
              <w:rPr>
                <w:bCs/>
                <w:sz w:val="22"/>
                <w:szCs w:val="22"/>
                <w:lang w:val="sr-Latn-ME"/>
              </w:rPr>
            </w:pPr>
            <w:r w:rsidRPr="00F65520">
              <w:rPr>
                <w:sz w:val="22"/>
                <w:szCs w:val="22"/>
                <w:lang w:val="sr-Latn-ME"/>
              </w:rPr>
              <w:t>2,74 (0,90)</w:t>
            </w:r>
          </w:p>
        </w:tc>
        <w:tc>
          <w:tcPr>
            <w:tcW w:w="1260" w:type="pct"/>
          </w:tcPr>
          <w:p w14:paraId="2F07D7A4" w14:textId="77777777" w:rsidR="00403080" w:rsidRPr="00F65520" w:rsidRDefault="00403080" w:rsidP="000808A1">
            <w:pPr>
              <w:tabs>
                <w:tab w:val="left" w:pos="284"/>
              </w:tabs>
              <w:jc w:val="center"/>
              <w:rPr>
                <w:bCs/>
                <w:sz w:val="22"/>
                <w:szCs w:val="22"/>
                <w:lang w:val="sr-Latn-ME"/>
              </w:rPr>
            </w:pPr>
            <w:r w:rsidRPr="00F65520">
              <w:rPr>
                <w:bCs/>
                <w:sz w:val="22"/>
                <w:szCs w:val="22"/>
                <w:lang w:val="sr-Latn-ME"/>
              </w:rPr>
              <w:t>--</w:t>
            </w:r>
          </w:p>
        </w:tc>
        <w:tc>
          <w:tcPr>
            <w:tcW w:w="1240" w:type="pct"/>
          </w:tcPr>
          <w:p w14:paraId="5AE8824F" w14:textId="77777777" w:rsidR="00403080" w:rsidRPr="00F65520" w:rsidRDefault="00403080" w:rsidP="000808A1">
            <w:pPr>
              <w:tabs>
                <w:tab w:val="left" w:pos="284"/>
              </w:tabs>
              <w:jc w:val="center"/>
              <w:rPr>
                <w:bCs/>
                <w:sz w:val="22"/>
                <w:szCs w:val="22"/>
                <w:lang w:val="sr-Latn-ME"/>
              </w:rPr>
            </w:pPr>
            <w:r w:rsidRPr="00F65520">
              <w:rPr>
                <w:bCs/>
                <w:sz w:val="22"/>
                <w:szCs w:val="22"/>
                <w:lang w:val="sr-Latn-ME"/>
              </w:rPr>
              <w:t>--</w:t>
            </w:r>
          </w:p>
        </w:tc>
      </w:tr>
      <w:tr w:rsidR="00DC33B1" w:rsidRPr="00F65520" w14:paraId="73314988" w14:textId="77777777" w:rsidTr="00AF2AD7">
        <w:tc>
          <w:tcPr>
            <w:tcW w:w="1240" w:type="pct"/>
          </w:tcPr>
          <w:p w14:paraId="2688F1D6" w14:textId="77777777" w:rsidR="00403080" w:rsidRPr="00F65520" w:rsidRDefault="00403080" w:rsidP="000808A1">
            <w:pPr>
              <w:tabs>
                <w:tab w:val="left" w:pos="284"/>
              </w:tabs>
              <w:jc w:val="both"/>
              <w:rPr>
                <w:bCs/>
                <w:sz w:val="22"/>
                <w:szCs w:val="22"/>
                <w:lang w:val="sr-Latn-ME"/>
              </w:rPr>
            </w:pPr>
            <w:r w:rsidRPr="00F65520">
              <w:rPr>
                <w:bCs/>
                <w:sz w:val="22"/>
                <w:szCs w:val="22"/>
                <w:lang w:val="sr-Latn-ME"/>
              </w:rPr>
              <w:t>Promjena od početne vrijednosti (SD)</w:t>
            </w:r>
            <w:r w:rsidRPr="00F65520">
              <w:rPr>
                <w:bCs/>
                <w:sz w:val="22"/>
                <w:szCs w:val="22"/>
                <w:vertAlign w:val="superscript"/>
                <w:lang w:val="sr-Latn-ME"/>
              </w:rPr>
              <w:t>e</w:t>
            </w:r>
          </w:p>
        </w:tc>
        <w:tc>
          <w:tcPr>
            <w:tcW w:w="1260" w:type="pct"/>
          </w:tcPr>
          <w:p w14:paraId="6EB26519" w14:textId="77777777" w:rsidR="00403080" w:rsidRPr="00F65520" w:rsidRDefault="00403080" w:rsidP="000808A1">
            <w:pPr>
              <w:tabs>
                <w:tab w:val="left" w:pos="284"/>
              </w:tabs>
              <w:jc w:val="center"/>
              <w:rPr>
                <w:bCs/>
                <w:sz w:val="22"/>
                <w:szCs w:val="22"/>
                <w:lang w:val="sr-Latn-ME"/>
              </w:rPr>
            </w:pPr>
            <w:r w:rsidRPr="00F65520">
              <w:rPr>
                <w:bCs/>
                <w:sz w:val="22"/>
                <w:szCs w:val="22"/>
                <w:lang w:val="sr-Latn-ME"/>
              </w:rPr>
              <w:t>--</w:t>
            </w:r>
          </w:p>
        </w:tc>
        <w:tc>
          <w:tcPr>
            <w:tcW w:w="1260" w:type="pct"/>
          </w:tcPr>
          <w:p w14:paraId="4CDD5F6D" w14:textId="77777777" w:rsidR="00403080" w:rsidRPr="00F65520" w:rsidRDefault="00403080" w:rsidP="000808A1">
            <w:pPr>
              <w:tabs>
                <w:tab w:val="left" w:pos="284"/>
              </w:tabs>
              <w:jc w:val="center"/>
              <w:rPr>
                <w:bCs/>
                <w:sz w:val="22"/>
                <w:szCs w:val="22"/>
                <w:lang w:val="sr-Latn-ME"/>
              </w:rPr>
            </w:pPr>
            <w:r w:rsidRPr="00F65520">
              <w:rPr>
                <w:sz w:val="22"/>
                <w:szCs w:val="22"/>
                <w:lang w:val="sr-Latn-ME"/>
              </w:rPr>
              <w:t>-1,44 (1,13)</w:t>
            </w:r>
          </w:p>
        </w:tc>
        <w:tc>
          <w:tcPr>
            <w:tcW w:w="1240" w:type="pct"/>
          </w:tcPr>
          <w:p w14:paraId="63A2AF70" w14:textId="77777777" w:rsidR="00403080" w:rsidRPr="00F65520" w:rsidRDefault="00403080" w:rsidP="000808A1">
            <w:pPr>
              <w:tabs>
                <w:tab w:val="left" w:pos="284"/>
              </w:tabs>
              <w:jc w:val="center"/>
              <w:rPr>
                <w:bCs/>
                <w:sz w:val="22"/>
                <w:szCs w:val="22"/>
                <w:lang w:val="sr-Latn-ME"/>
              </w:rPr>
            </w:pPr>
            <w:r w:rsidRPr="00F65520">
              <w:rPr>
                <w:sz w:val="22"/>
                <w:szCs w:val="22"/>
                <w:lang w:val="sr-Latn-ME"/>
              </w:rPr>
              <w:t>-1,47 (1,05)</w:t>
            </w:r>
          </w:p>
        </w:tc>
      </w:tr>
      <w:tr w:rsidR="00DC33B1" w:rsidRPr="00F65520" w14:paraId="3225AFC1" w14:textId="77777777" w:rsidTr="00AF2AD7">
        <w:tc>
          <w:tcPr>
            <w:tcW w:w="5000" w:type="pct"/>
            <w:gridSpan w:val="4"/>
          </w:tcPr>
          <w:p w14:paraId="44DECB2F" w14:textId="77777777" w:rsidR="00403080" w:rsidRPr="00F65520" w:rsidRDefault="00403080" w:rsidP="000808A1">
            <w:pPr>
              <w:tabs>
                <w:tab w:val="left" w:pos="284"/>
              </w:tabs>
              <w:jc w:val="both"/>
              <w:rPr>
                <w:b/>
                <w:bCs/>
                <w:sz w:val="22"/>
                <w:szCs w:val="22"/>
                <w:lang w:val="sr-Latn-ME"/>
              </w:rPr>
            </w:pPr>
            <w:r w:rsidRPr="00F65520">
              <w:rPr>
                <w:b/>
                <w:bCs/>
                <w:sz w:val="22"/>
                <w:szCs w:val="22"/>
                <w:lang w:val="sr-Latn-ME"/>
              </w:rPr>
              <w:t>AQLQ(S)+12</w:t>
            </w:r>
          </w:p>
        </w:tc>
      </w:tr>
      <w:tr w:rsidR="00DC33B1" w:rsidRPr="00F65520" w14:paraId="5F07219D" w14:textId="77777777" w:rsidTr="00AF2AD7">
        <w:tc>
          <w:tcPr>
            <w:tcW w:w="1240" w:type="pct"/>
          </w:tcPr>
          <w:p w14:paraId="6AD4453E" w14:textId="77777777" w:rsidR="00403080" w:rsidRPr="00F65520" w:rsidRDefault="00403080" w:rsidP="000808A1">
            <w:pPr>
              <w:tabs>
                <w:tab w:val="left" w:pos="284"/>
              </w:tabs>
              <w:jc w:val="both"/>
              <w:rPr>
                <w:bCs/>
                <w:sz w:val="22"/>
                <w:szCs w:val="22"/>
                <w:lang w:val="sr-Latn-ME"/>
              </w:rPr>
            </w:pPr>
            <w:r w:rsidRPr="00F65520">
              <w:rPr>
                <w:bCs/>
                <w:sz w:val="22"/>
                <w:szCs w:val="22"/>
                <w:lang w:val="sr-Latn-ME"/>
              </w:rPr>
              <w:t>n</w:t>
            </w:r>
          </w:p>
        </w:tc>
        <w:tc>
          <w:tcPr>
            <w:tcW w:w="1260" w:type="pct"/>
          </w:tcPr>
          <w:p w14:paraId="6C715C53" w14:textId="77777777" w:rsidR="00403080" w:rsidRPr="00F65520" w:rsidRDefault="00403080" w:rsidP="000808A1">
            <w:pPr>
              <w:tabs>
                <w:tab w:val="left" w:pos="284"/>
              </w:tabs>
              <w:jc w:val="center"/>
              <w:rPr>
                <w:bCs/>
                <w:sz w:val="22"/>
                <w:szCs w:val="22"/>
                <w:lang w:val="sr-Latn-ME"/>
              </w:rPr>
            </w:pPr>
            <w:r w:rsidRPr="00F65520">
              <w:rPr>
                <w:bCs/>
                <w:sz w:val="22"/>
                <w:szCs w:val="22"/>
                <w:lang w:val="sr-Latn-ME"/>
              </w:rPr>
              <w:t>307</w:t>
            </w:r>
          </w:p>
        </w:tc>
        <w:tc>
          <w:tcPr>
            <w:tcW w:w="1260" w:type="pct"/>
          </w:tcPr>
          <w:p w14:paraId="53EFBF48" w14:textId="77777777" w:rsidR="00403080" w:rsidRPr="00F65520" w:rsidRDefault="00403080" w:rsidP="000808A1">
            <w:pPr>
              <w:tabs>
                <w:tab w:val="left" w:pos="284"/>
              </w:tabs>
              <w:jc w:val="center"/>
              <w:rPr>
                <w:bCs/>
                <w:sz w:val="22"/>
                <w:szCs w:val="22"/>
                <w:lang w:val="sr-Latn-ME"/>
              </w:rPr>
            </w:pPr>
            <w:r w:rsidRPr="00F65520">
              <w:rPr>
                <w:bCs/>
                <w:sz w:val="22"/>
                <w:szCs w:val="22"/>
                <w:lang w:val="sr-Latn-ME"/>
              </w:rPr>
              <w:t>306</w:t>
            </w:r>
          </w:p>
        </w:tc>
        <w:tc>
          <w:tcPr>
            <w:tcW w:w="1240" w:type="pct"/>
          </w:tcPr>
          <w:p w14:paraId="2F8A12FC" w14:textId="77777777" w:rsidR="00403080" w:rsidRPr="00F65520" w:rsidRDefault="00403080" w:rsidP="000808A1">
            <w:pPr>
              <w:tabs>
                <w:tab w:val="left" w:pos="284"/>
              </w:tabs>
              <w:jc w:val="center"/>
              <w:rPr>
                <w:bCs/>
                <w:sz w:val="22"/>
                <w:szCs w:val="22"/>
                <w:lang w:val="sr-Latn-ME"/>
              </w:rPr>
            </w:pPr>
            <w:r w:rsidRPr="00F65520">
              <w:rPr>
                <w:bCs/>
                <w:sz w:val="22"/>
                <w:szCs w:val="22"/>
                <w:lang w:val="sr-Latn-ME"/>
              </w:rPr>
              <w:t>287</w:t>
            </w:r>
          </w:p>
        </w:tc>
      </w:tr>
      <w:tr w:rsidR="00DC33B1" w:rsidRPr="00F65520" w14:paraId="18B78519" w14:textId="77777777" w:rsidTr="00AF2AD7">
        <w:tc>
          <w:tcPr>
            <w:tcW w:w="1240" w:type="pct"/>
          </w:tcPr>
          <w:p w14:paraId="2FA17C99" w14:textId="77777777" w:rsidR="00403080" w:rsidRPr="00F65520" w:rsidRDefault="00403080" w:rsidP="000808A1">
            <w:pPr>
              <w:tabs>
                <w:tab w:val="left" w:pos="284"/>
              </w:tabs>
              <w:jc w:val="both"/>
              <w:rPr>
                <w:bCs/>
                <w:sz w:val="22"/>
                <w:szCs w:val="22"/>
                <w:lang w:val="sr-Latn-ME"/>
              </w:rPr>
            </w:pPr>
            <w:r w:rsidRPr="00F65520">
              <w:rPr>
                <w:bCs/>
                <w:sz w:val="22"/>
                <w:szCs w:val="22"/>
                <w:lang w:val="sr-Latn-ME"/>
              </w:rPr>
              <w:t xml:space="preserve">Srednja početna vrijednost </w:t>
            </w:r>
          </w:p>
          <w:p w14:paraId="6135B706" w14:textId="77777777" w:rsidR="00403080" w:rsidRPr="00F65520" w:rsidRDefault="00403080" w:rsidP="000808A1">
            <w:pPr>
              <w:tabs>
                <w:tab w:val="left" w:pos="284"/>
              </w:tabs>
              <w:jc w:val="both"/>
              <w:rPr>
                <w:bCs/>
                <w:sz w:val="22"/>
                <w:szCs w:val="22"/>
                <w:lang w:val="sr-Latn-ME"/>
              </w:rPr>
            </w:pPr>
            <w:r w:rsidRPr="00F65520">
              <w:rPr>
                <w:bCs/>
                <w:sz w:val="22"/>
                <w:szCs w:val="22"/>
                <w:lang w:val="sr-Latn-ME"/>
              </w:rPr>
              <w:t>(SD)</w:t>
            </w:r>
            <w:r w:rsidRPr="00F65520">
              <w:rPr>
                <w:bCs/>
                <w:sz w:val="22"/>
                <w:szCs w:val="22"/>
                <w:vertAlign w:val="superscript"/>
                <w:lang w:val="sr-Latn-ME"/>
              </w:rPr>
              <w:t>e</w:t>
            </w:r>
          </w:p>
        </w:tc>
        <w:tc>
          <w:tcPr>
            <w:tcW w:w="1260" w:type="pct"/>
          </w:tcPr>
          <w:p w14:paraId="64BB38EB" w14:textId="77777777" w:rsidR="00403080" w:rsidRPr="00F65520" w:rsidRDefault="00403080" w:rsidP="000808A1">
            <w:pPr>
              <w:tabs>
                <w:tab w:val="left" w:pos="284"/>
              </w:tabs>
              <w:jc w:val="center"/>
              <w:rPr>
                <w:bCs/>
                <w:sz w:val="22"/>
                <w:szCs w:val="22"/>
                <w:lang w:val="sr-Latn-ME"/>
              </w:rPr>
            </w:pPr>
            <w:r w:rsidRPr="00F65520">
              <w:rPr>
                <w:sz w:val="22"/>
                <w:szCs w:val="22"/>
                <w:lang w:val="sr-Latn-ME"/>
              </w:rPr>
              <w:t>3,90 (0,99)</w:t>
            </w:r>
          </w:p>
        </w:tc>
        <w:tc>
          <w:tcPr>
            <w:tcW w:w="1260" w:type="pct"/>
          </w:tcPr>
          <w:p w14:paraId="7D83841B" w14:textId="77777777" w:rsidR="00403080" w:rsidRPr="00F65520" w:rsidRDefault="00403080" w:rsidP="000808A1">
            <w:pPr>
              <w:tabs>
                <w:tab w:val="left" w:pos="284"/>
              </w:tabs>
              <w:jc w:val="center"/>
              <w:rPr>
                <w:bCs/>
                <w:sz w:val="22"/>
                <w:szCs w:val="22"/>
                <w:lang w:val="sr-Latn-ME"/>
              </w:rPr>
            </w:pPr>
            <w:r w:rsidRPr="00F65520">
              <w:rPr>
                <w:bCs/>
                <w:sz w:val="22"/>
                <w:szCs w:val="22"/>
                <w:lang w:val="sr-Latn-ME"/>
              </w:rPr>
              <w:t>--</w:t>
            </w:r>
          </w:p>
        </w:tc>
        <w:tc>
          <w:tcPr>
            <w:tcW w:w="1240" w:type="pct"/>
          </w:tcPr>
          <w:p w14:paraId="396FFFDD" w14:textId="77777777" w:rsidR="00403080" w:rsidRPr="00F65520" w:rsidRDefault="00403080" w:rsidP="000808A1">
            <w:pPr>
              <w:tabs>
                <w:tab w:val="left" w:pos="284"/>
              </w:tabs>
              <w:jc w:val="center"/>
              <w:rPr>
                <w:bCs/>
                <w:sz w:val="22"/>
                <w:szCs w:val="22"/>
                <w:lang w:val="sr-Latn-ME"/>
              </w:rPr>
            </w:pPr>
            <w:r w:rsidRPr="00F65520">
              <w:rPr>
                <w:bCs/>
                <w:sz w:val="22"/>
                <w:szCs w:val="22"/>
                <w:lang w:val="sr-Latn-ME"/>
              </w:rPr>
              <w:t>--</w:t>
            </w:r>
          </w:p>
        </w:tc>
      </w:tr>
      <w:tr w:rsidR="00403080" w:rsidRPr="00F65520" w14:paraId="7F913B22" w14:textId="77777777" w:rsidTr="00AF2AD7">
        <w:tc>
          <w:tcPr>
            <w:tcW w:w="1240" w:type="pct"/>
          </w:tcPr>
          <w:p w14:paraId="5379D251" w14:textId="77777777" w:rsidR="00403080" w:rsidRPr="00F65520" w:rsidRDefault="00403080" w:rsidP="000808A1">
            <w:pPr>
              <w:tabs>
                <w:tab w:val="left" w:pos="284"/>
              </w:tabs>
              <w:jc w:val="both"/>
              <w:rPr>
                <w:bCs/>
                <w:sz w:val="22"/>
                <w:szCs w:val="22"/>
                <w:lang w:val="sr-Latn-ME"/>
              </w:rPr>
            </w:pPr>
            <w:r w:rsidRPr="00F65520">
              <w:rPr>
                <w:bCs/>
                <w:sz w:val="22"/>
                <w:szCs w:val="22"/>
                <w:lang w:val="sr-Latn-ME"/>
              </w:rPr>
              <w:t>Promjena od početne vrijednosti (SD)</w:t>
            </w:r>
            <w:r w:rsidRPr="00F65520">
              <w:rPr>
                <w:bCs/>
                <w:sz w:val="22"/>
                <w:szCs w:val="22"/>
                <w:vertAlign w:val="superscript"/>
                <w:lang w:val="sr-Latn-ME"/>
              </w:rPr>
              <w:t>e</w:t>
            </w:r>
          </w:p>
        </w:tc>
        <w:tc>
          <w:tcPr>
            <w:tcW w:w="1260" w:type="pct"/>
          </w:tcPr>
          <w:p w14:paraId="03865D26" w14:textId="77777777" w:rsidR="00403080" w:rsidRPr="00F65520" w:rsidRDefault="00403080" w:rsidP="000808A1">
            <w:pPr>
              <w:tabs>
                <w:tab w:val="left" w:pos="284"/>
              </w:tabs>
              <w:jc w:val="center"/>
              <w:rPr>
                <w:bCs/>
                <w:sz w:val="22"/>
                <w:szCs w:val="22"/>
                <w:lang w:val="sr-Latn-ME"/>
              </w:rPr>
            </w:pPr>
            <w:r w:rsidRPr="00F65520">
              <w:rPr>
                <w:bCs/>
                <w:sz w:val="22"/>
                <w:szCs w:val="22"/>
                <w:lang w:val="sr-Latn-ME"/>
              </w:rPr>
              <w:t>--</w:t>
            </w:r>
          </w:p>
        </w:tc>
        <w:tc>
          <w:tcPr>
            <w:tcW w:w="1260" w:type="pct"/>
          </w:tcPr>
          <w:p w14:paraId="54B0279C" w14:textId="77777777" w:rsidR="00403080" w:rsidRPr="00F65520" w:rsidRDefault="00403080" w:rsidP="000808A1">
            <w:pPr>
              <w:tabs>
                <w:tab w:val="left" w:pos="284"/>
              </w:tabs>
              <w:jc w:val="center"/>
              <w:rPr>
                <w:bCs/>
                <w:sz w:val="22"/>
                <w:szCs w:val="22"/>
                <w:lang w:val="sr-Latn-ME"/>
              </w:rPr>
            </w:pPr>
            <w:r w:rsidRPr="00F65520">
              <w:rPr>
                <w:sz w:val="22"/>
                <w:szCs w:val="22"/>
                <w:lang w:val="sr-Latn-ME"/>
              </w:rPr>
              <w:t>1,58 (1,23)</w:t>
            </w:r>
          </w:p>
        </w:tc>
        <w:tc>
          <w:tcPr>
            <w:tcW w:w="1240" w:type="pct"/>
          </w:tcPr>
          <w:p w14:paraId="04EC7D58" w14:textId="77777777" w:rsidR="00403080" w:rsidRPr="00F65520" w:rsidRDefault="00403080" w:rsidP="000808A1">
            <w:pPr>
              <w:tabs>
                <w:tab w:val="left" w:pos="284"/>
              </w:tabs>
              <w:jc w:val="center"/>
              <w:rPr>
                <w:bCs/>
                <w:sz w:val="22"/>
                <w:szCs w:val="22"/>
                <w:lang w:val="sr-Latn-ME"/>
              </w:rPr>
            </w:pPr>
            <w:r w:rsidRPr="00F65520">
              <w:rPr>
                <w:sz w:val="22"/>
                <w:szCs w:val="22"/>
                <w:lang w:val="sr-Latn-ME"/>
              </w:rPr>
              <w:t>1,61 (1,21)</w:t>
            </w:r>
          </w:p>
        </w:tc>
      </w:tr>
    </w:tbl>
    <w:p w14:paraId="019680F7" w14:textId="77777777" w:rsidR="00403080" w:rsidRPr="00F65520" w:rsidRDefault="00403080" w:rsidP="00403080">
      <w:pPr>
        <w:tabs>
          <w:tab w:val="left" w:pos="284"/>
        </w:tabs>
        <w:jc w:val="both"/>
        <w:rPr>
          <w:bCs/>
          <w:sz w:val="22"/>
          <w:szCs w:val="22"/>
          <w:lang w:val="sr-Latn-ME"/>
        </w:rPr>
      </w:pPr>
    </w:p>
    <w:p w14:paraId="05DE2FB8" w14:textId="323B0015" w:rsidR="00403080" w:rsidRPr="00F65520" w:rsidRDefault="00403080" w:rsidP="00403080">
      <w:pPr>
        <w:tabs>
          <w:tab w:val="left" w:pos="284"/>
        </w:tabs>
        <w:jc w:val="both"/>
        <w:rPr>
          <w:bCs/>
          <w:sz w:val="22"/>
          <w:szCs w:val="22"/>
          <w:lang w:val="sr-Latn-ME"/>
        </w:rPr>
      </w:pPr>
      <w:r w:rsidRPr="00F65520">
        <w:rPr>
          <w:bCs/>
          <w:sz w:val="22"/>
          <w:szCs w:val="22"/>
          <w:lang w:val="sr-Latn-ME"/>
        </w:rPr>
        <w:t>n= broj pacijenata za koje su bili dostu</w:t>
      </w:r>
      <w:r w:rsidR="00F7408B" w:rsidRPr="00F65520">
        <w:rPr>
          <w:bCs/>
          <w:sz w:val="22"/>
          <w:szCs w:val="22"/>
          <w:lang w:val="sr-Latn-ME"/>
        </w:rPr>
        <w:t>p</w:t>
      </w:r>
      <w:r w:rsidRPr="00F65520">
        <w:rPr>
          <w:bCs/>
          <w:sz w:val="22"/>
          <w:szCs w:val="22"/>
          <w:lang w:val="sr-Latn-ME"/>
        </w:rPr>
        <w:t xml:space="preserve">ni podaci u navedenoj vremenskoj tački. SD = </w:t>
      </w:r>
      <w:r w:rsidR="00657A44" w:rsidRPr="00F65520">
        <w:rPr>
          <w:bCs/>
          <w:sz w:val="22"/>
          <w:szCs w:val="22"/>
          <w:lang w:val="sr-Latn-ME"/>
        </w:rPr>
        <w:t>standardna devijacija</w:t>
      </w:r>
    </w:p>
    <w:p w14:paraId="37D94ADC" w14:textId="1D5BE564" w:rsidR="00403080" w:rsidRPr="00F65520" w:rsidRDefault="00403080" w:rsidP="00403080">
      <w:pPr>
        <w:numPr>
          <w:ilvl w:val="0"/>
          <w:numId w:val="12"/>
        </w:numPr>
        <w:tabs>
          <w:tab w:val="left" w:pos="284"/>
        </w:tabs>
        <w:contextualSpacing/>
        <w:jc w:val="both"/>
        <w:rPr>
          <w:bCs/>
          <w:sz w:val="22"/>
          <w:szCs w:val="22"/>
          <w:lang w:val="sr-Latn-ME"/>
        </w:rPr>
      </w:pPr>
      <w:r w:rsidRPr="00F65520">
        <w:rPr>
          <w:bCs/>
          <w:sz w:val="22"/>
          <w:szCs w:val="22"/>
          <w:lang w:val="sr-Latn-ME"/>
        </w:rPr>
        <w:t xml:space="preserve">Početni broj eozinofila u krvi ≥ 300 ćelija/µl i primjena visokih doza IKS-a: </w:t>
      </w:r>
      <w:r w:rsidR="00272E45" w:rsidRPr="00F65520">
        <w:rPr>
          <w:bCs/>
          <w:sz w:val="22"/>
          <w:szCs w:val="22"/>
          <w:lang w:val="sr-Latn-ME"/>
        </w:rPr>
        <w:t>benralizumab</w:t>
      </w:r>
      <w:r w:rsidRPr="00F65520">
        <w:rPr>
          <w:bCs/>
          <w:sz w:val="22"/>
          <w:szCs w:val="22"/>
          <w:lang w:val="sr-Latn-ME"/>
        </w:rPr>
        <w:t>prim</w:t>
      </w:r>
      <w:r w:rsidR="004830F6" w:rsidRPr="00F65520">
        <w:rPr>
          <w:bCs/>
          <w:sz w:val="22"/>
          <w:szCs w:val="22"/>
          <w:lang w:val="sr-Latn-ME"/>
        </w:rPr>
        <w:t>i</w:t>
      </w:r>
      <w:r w:rsidRPr="00F65520">
        <w:rPr>
          <w:bCs/>
          <w:sz w:val="22"/>
          <w:szCs w:val="22"/>
          <w:lang w:val="sr-Latn-ME"/>
        </w:rPr>
        <w:t xml:space="preserve">jenjen prema preporučenom režimu doziranja. </w:t>
      </w:r>
    </w:p>
    <w:p w14:paraId="2619B4EB" w14:textId="34D41FBF" w:rsidR="00403080" w:rsidRPr="00F65520" w:rsidRDefault="00403080" w:rsidP="00403080">
      <w:pPr>
        <w:numPr>
          <w:ilvl w:val="0"/>
          <w:numId w:val="12"/>
        </w:numPr>
        <w:tabs>
          <w:tab w:val="left" w:pos="284"/>
        </w:tabs>
        <w:contextualSpacing/>
        <w:jc w:val="both"/>
        <w:rPr>
          <w:bCs/>
          <w:sz w:val="22"/>
          <w:szCs w:val="22"/>
          <w:lang w:val="sr-Latn-ME"/>
        </w:rPr>
      </w:pPr>
      <w:r w:rsidRPr="00F65520">
        <w:rPr>
          <w:bCs/>
          <w:sz w:val="22"/>
          <w:szCs w:val="22"/>
          <w:lang w:val="sr-Latn-ME"/>
        </w:rPr>
        <w:t>Objedinjena analiza početnih podataka iz Ispitivanja 1 i 2</w:t>
      </w:r>
      <w:r w:rsidR="00261BCD" w:rsidRPr="00F65520">
        <w:rPr>
          <w:bCs/>
          <w:sz w:val="22"/>
          <w:szCs w:val="22"/>
          <w:lang w:val="sr-Latn-ME"/>
        </w:rPr>
        <w:t xml:space="preserve"> obuhvatila je</w:t>
      </w:r>
      <w:r w:rsidRPr="00F65520">
        <w:rPr>
          <w:bCs/>
          <w:sz w:val="22"/>
          <w:szCs w:val="22"/>
          <w:lang w:val="sr-Latn-ME"/>
        </w:rPr>
        <w:t xml:space="preserve"> odrasle i adolescente.</w:t>
      </w:r>
    </w:p>
    <w:p w14:paraId="433E718A" w14:textId="185F0946" w:rsidR="00403080" w:rsidRPr="00F65520" w:rsidRDefault="00403080" w:rsidP="00403080">
      <w:pPr>
        <w:numPr>
          <w:ilvl w:val="0"/>
          <w:numId w:val="12"/>
        </w:numPr>
        <w:tabs>
          <w:tab w:val="left" w:pos="284"/>
        </w:tabs>
        <w:contextualSpacing/>
        <w:jc w:val="both"/>
        <w:rPr>
          <w:bCs/>
          <w:sz w:val="22"/>
          <w:szCs w:val="22"/>
          <w:lang w:val="sr-Latn-ME"/>
        </w:rPr>
      </w:pPr>
      <w:r w:rsidRPr="00F65520">
        <w:rPr>
          <w:bCs/>
          <w:sz w:val="22"/>
          <w:szCs w:val="22"/>
          <w:lang w:val="sr-Latn-ME"/>
        </w:rPr>
        <w:t>Objedinjena anal</w:t>
      </w:r>
      <w:r w:rsidR="004830F6" w:rsidRPr="00F65520">
        <w:rPr>
          <w:bCs/>
          <w:sz w:val="22"/>
          <w:szCs w:val="22"/>
          <w:lang w:val="sr-Latn-ME"/>
        </w:rPr>
        <w:t>i</w:t>
      </w:r>
      <w:r w:rsidRPr="00F65520">
        <w:rPr>
          <w:bCs/>
          <w:sz w:val="22"/>
          <w:szCs w:val="22"/>
          <w:lang w:val="sr-Latn-ME"/>
        </w:rPr>
        <w:t>za podataka na kraju liječenja u Ispitivanju 1 (48. nedjelja) i Ispitivanju (56. nedjelja).</w:t>
      </w:r>
    </w:p>
    <w:p w14:paraId="4D9690A0" w14:textId="296B2EEF" w:rsidR="00403080" w:rsidRPr="00F65520" w:rsidRDefault="00403080" w:rsidP="00403080">
      <w:pPr>
        <w:numPr>
          <w:ilvl w:val="0"/>
          <w:numId w:val="12"/>
        </w:numPr>
        <w:tabs>
          <w:tab w:val="left" w:pos="284"/>
        </w:tabs>
        <w:contextualSpacing/>
        <w:jc w:val="both"/>
        <w:rPr>
          <w:bCs/>
          <w:sz w:val="22"/>
          <w:szCs w:val="22"/>
          <w:lang w:val="sr-Latn-ME"/>
        </w:rPr>
      </w:pPr>
      <w:r w:rsidRPr="00F65520">
        <w:rPr>
          <w:bCs/>
          <w:sz w:val="22"/>
          <w:szCs w:val="22"/>
          <w:lang w:val="sr-Latn-ME"/>
        </w:rPr>
        <w:t>Kraj liječenja u Ispitivanju 4 bio je 48. nedjelja (posl</w:t>
      </w:r>
      <w:r w:rsidR="004830F6" w:rsidRPr="00F65520">
        <w:rPr>
          <w:bCs/>
          <w:sz w:val="22"/>
          <w:szCs w:val="22"/>
          <w:lang w:val="sr-Latn-ME"/>
        </w:rPr>
        <w:t>j</w:t>
      </w:r>
      <w:r w:rsidRPr="00F65520">
        <w:rPr>
          <w:bCs/>
          <w:sz w:val="22"/>
          <w:szCs w:val="22"/>
          <w:lang w:val="sr-Latn-ME"/>
        </w:rPr>
        <w:t xml:space="preserve">ednja vremenska tačka </w:t>
      </w:r>
      <w:r w:rsidR="00657A44" w:rsidRPr="00F65520">
        <w:rPr>
          <w:bCs/>
          <w:sz w:val="22"/>
          <w:szCs w:val="22"/>
          <w:lang w:val="sr-Latn-ME"/>
        </w:rPr>
        <w:t>za</w:t>
      </w:r>
      <w:r w:rsidRPr="00F65520">
        <w:rPr>
          <w:bCs/>
          <w:sz w:val="22"/>
          <w:szCs w:val="22"/>
          <w:lang w:val="sr-Latn-ME"/>
        </w:rPr>
        <w:t xml:space="preserve"> </w:t>
      </w:r>
      <w:r w:rsidR="00657A44" w:rsidRPr="00F65520">
        <w:rPr>
          <w:bCs/>
          <w:sz w:val="22"/>
          <w:szCs w:val="22"/>
          <w:lang w:val="sr-Latn-ME"/>
        </w:rPr>
        <w:t xml:space="preserve">podatke </w:t>
      </w:r>
      <w:r w:rsidRPr="00F65520">
        <w:rPr>
          <w:bCs/>
          <w:sz w:val="22"/>
          <w:szCs w:val="22"/>
          <w:lang w:val="sr-Latn-ME"/>
        </w:rPr>
        <w:t xml:space="preserve">za odrasle i </w:t>
      </w:r>
      <w:r w:rsidR="00657A44" w:rsidRPr="00F65520">
        <w:rPr>
          <w:bCs/>
          <w:sz w:val="22"/>
          <w:szCs w:val="22"/>
          <w:lang w:val="sr-Latn-ME"/>
        </w:rPr>
        <w:t>adolescente</w:t>
      </w:r>
      <w:r w:rsidRPr="00F65520">
        <w:rPr>
          <w:bCs/>
          <w:sz w:val="22"/>
          <w:szCs w:val="22"/>
          <w:lang w:val="sr-Latn-ME"/>
        </w:rPr>
        <w:t xml:space="preserve">). </w:t>
      </w:r>
    </w:p>
    <w:p w14:paraId="24372DA2" w14:textId="697BFAE0" w:rsidR="00403080" w:rsidRPr="00F65520" w:rsidRDefault="00403080" w:rsidP="00403080">
      <w:pPr>
        <w:numPr>
          <w:ilvl w:val="0"/>
          <w:numId w:val="12"/>
        </w:numPr>
        <w:tabs>
          <w:tab w:val="left" w:pos="284"/>
        </w:tabs>
        <w:contextualSpacing/>
        <w:jc w:val="both"/>
        <w:rPr>
          <w:bCs/>
          <w:sz w:val="22"/>
          <w:szCs w:val="22"/>
          <w:lang w:val="sr-Latn-ME"/>
        </w:rPr>
      </w:pPr>
      <w:r w:rsidRPr="00F65520">
        <w:rPr>
          <w:bCs/>
          <w:sz w:val="22"/>
          <w:szCs w:val="22"/>
          <w:lang w:val="sr-Latn-ME"/>
        </w:rPr>
        <w:lastRenderedPageBreak/>
        <w:t xml:space="preserve">Početna vrijednost odnosi se na vrijednost prije liječenja </w:t>
      </w:r>
      <w:r w:rsidR="00272E45" w:rsidRPr="00F65520">
        <w:rPr>
          <w:bCs/>
          <w:sz w:val="22"/>
          <w:szCs w:val="22"/>
          <w:lang w:val="sr-Latn-ME"/>
        </w:rPr>
        <w:t>benralizumabom</w:t>
      </w:r>
      <w:r w:rsidRPr="00F65520">
        <w:rPr>
          <w:bCs/>
          <w:sz w:val="22"/>
          <w:szCs w:val="22"/>
          <w:lang w:val="sr-Latn-ME"/>
        </w:rPr>
        <w:t xml:space="preserve"> u Ispitivanjima 1 i 2. </w:t>
      </w:r>
    </w:p>
    <w:p w14:paraId="73DE5BB7" w14:textId="77777777" w:rsidR="00403080" w:rsidRPr="00F65520" w:rsidRDefault="00403080" w:rsidP="00403080">
      <w:pPr>
        <w:tabs>
          <w:tab w:val="left" w:pos="284"/>
        </w:tabs>
        <w:jc w:val="both"/>
        <w:rPr>
          <w:bCs/>
          <w:sz w:val="22"/>
          <w:szCs w:val="22"/>
          <w:lang w:val="sr-Latn-ME"/>
        </w:rPr>
      </w:pPr>
    </w:p>
    <w:p w14:paraId="347180B4" w14:textId="0FF45A39" w:rsidR="00403080" w:rsidRPr="00F65520" w:rsidRDefault="00403080" w:rsidP="00403080">
      <w:pPr>
        <w:tabs>
          <w:tab w:val="left" w:pos="284"/>
        </w:tabs>
        <w:jc w:val="both"/>
        <w:rPr>
          <w:bCs/>
          <w:sz w:val="22"/>
          <w:szCs w:val="22"/>
          <w:lang w:val="sr-Latn-ME"/>
        </w:rPr>
      </w:pPr>
      <w:r w:rsidRPr="00F65520">
        <w:rPr>
          <w:bCs/>
          <w:sz w:val="22"/>
          <w:szCs w:val="22"/>
          <w:lang w:val="sr-Latn-ME"/>
        </w:rPr>
        <w:t xml:space="preserve">U </w:t>
      </w:r>
      <w:r w:rsidR="004830F6" w:rsidRPr="00F65520">
        <w:rPr>
          <w:bCs/>
          <w:sz w:val="22"/>
          <w:szCs w:val="22"/>
          <w:lang w:val="sr-Latn-ME"/>
        </w:rPr>
        <w:t xml:space="preserve">Ispitivanju </w:t>
      </w:r>
      <w:r w:rsidRPr="00F65520">
        <w:rPr>
          <w:bCs/>
          <w:sz w:val="22"/>
          <w:szCs w:val="22"/>
          <w:lang w:val="sr-Latn-ME"/>
        </w:rPr>
        <w:t xml:space="preserve">4 efikasnost se procjenjivala i kod pacijenata sa početnim brojem eozinofila u krvi &lt; 300 ćelija/µl i odgovarala je onoj zabilježenoj u Ispitivanjima 1 i 2. </w:t>
      </w:r>
    </w:p>
    <w:p w14:paraId="016351BC" w14:textId="77777777" w:rsidR="00403080" w:rsidRPr="00F65520" w:rsidRDefault="00403080" w:rsidP="00403080">
      <w:pPr>
        <w:tabs>
          <w:tab w:val="left" w:pos="284"/>
        </w:tabs>
        <w:jc w:val="both"/>
        <w:rPr>
          <w:bCs/>
          <w:sz w:val="22"/>
          <w:szCs w:val="22"/>
          <w:lang w:val="sr-Latn-ME"/>
        </w:rPr>
      </w:pPr>
    </w:p>
    <w:p w14:paraId="5A4352B1" w14:textId="2C35F68E" w:rsidR="00403080" w:rsidRPr="00F65520" w:rsidRDefault="00403080" w:rsidP="00403080">
      <w:pPr>
        <w:tabs>
          <w:tab w:val="left" w:pos="284"/>
        </w:tabs>
        <w:jc w:val="both"/>
        <w:rPr>
          <w:bCs/>
          <w:sz w:val="22"/>
          <w:szCs w:val="22"/>
          <w:lang w:val="sr-Latn-ME"/>
        </w:rPr>
      </w:pPr>
      <w:r w:rsidRPr="00F65520">
        <w:rPr>
          <w:bCs/>
          <w:sz w:val="22"/>
          <w:szCs w:val="22"/>
          <w:lang w:val="sr-Latn-ME"/>
        </w:rPr>
        <w:t>Kod pacijenata uključenih iz Ispitivanja 3 je tokom cijelog produžetka ispitivanja zabilježeno i održano smanjenje dnevne doze OKS-a (Slika 1).</w:t>
      </w:r>
    </w:p>
    <w:p w14:paraId="63C82F62" w14:textId="77777777" w:rsidR="00403080" w:rsidRPr="00F65520" w:rsidRDefault="00403080" w:rsidP="00403080">
      <w:pPr>
        <w:tabs>
          <w:tab w:val="left" w:pos="284"/>
        </w:tabs>
        <w:jc w:val="both"/>
        <w:rPr>
          <w:bCs/>
          <w:sz w:val="22"/>
          <w:szCs w:val="22"/>
          <w:lang w:val="sr-Latn-ME"/>
        </w:rPr>
      </w:pPr>
    </w:p>
    <w:p w14:paraId="11CEBB2A" w14:textId="2D4061C1" w:rsidR="00403080" w:rsidRPr="00F65520" w:rsidRDefault="00403080" w:rsidP="00403080">
      <w:pPr>
        <w:tabs>
          <w:tab w:val="left" w:pos="284"/>
        </w:tabs>
        <w:jc w:val="both"/>
        <w:rPr>
          <w:bCs/>
          <w:sz w:val="22"/>
          <w:szCs w:val="22"/>
          <w:vertAlign w:val="superscript"/>
          <w:lang w:val="sr-Latn-ME"/>
        </w:rPr>
      </w:pPr>
      <w:r w:rsidRPr="00F65520">
        <w:rPr>
          <w:bCs/>
          <w:sz w:val="22"/>
          <w:szCs w:val="22"/>
          <w:lang w:val="sr-Latn-ME"/>
        </w:rPr>
        <w:t>Slika 1. Medijani procentnog smanjenja dnevne doze OKS-a tokom vremena (</w:t>
      </w:r>
      <w:r w:rsidR="004830F6" w:rsidRPr="00F65520">
        <w:rPr>
          <w:bCs/>
          <w:sz w:val="22"/>
          <w:szCs w:val="22"/>
          <w:lang w:val="sr-Latn-ME"/>
        </w:rPr>
        <w:t xml:space="preserve">Ispitivanja </w:t>
      </w:r>
      <w:r w:rsidRPr="00F65520">
        <w:rPr>
          <w:bCs/>
          <w:sz w:val="22"/>
          <w:szCs w:val="22"/>
          <w:lang w:val="sr-Latn-ME"/>
        </w:rPr>
        <w:t>3 i 4)</w:t>
      </w:r>
      <w:r w:rsidRPr="00F65520">
        <w:rPr>
          <w:bCs/>
          <w:sz w:val="22"/>
          <w:szCs w:val="22"/>
          <w:vertAlign w:val="superscript"/>
          <w:lang w:val="sr-Latn-ME"/>
        </w:rPr>
        <w:t>a</w:t>
      </w:r>
    </w:p>
    <w:p w14:paraId="42EEF7B3" w14:textId="77777777" w:rsidR="00403080" w:rsidRPr="00F65520" w:rsidRDefault="00403080" w:rsidP="00403080">
      <w:pPr>
        <w:tabs>
          <w:tab w:val="left" w:pos="284"/>
        </w:tabs>
        <w:jc w:val="both"/>
        <w:rPr>
          <w:bCs/>
          <w:sz w:val="22"/>
          <w:szCs w:val="22"/>
          <w:vertAlign w:val="superscript"/>
          <w:lang w:val="sr-Latn-ME"/>
        </w:rPr>
      </w:pPr>
    </w:p>
    <w:p w14:paraId="64A165C4" w14:textId="77777777" w:rsidR="00403080" w:rsidRPr="00F65520" w:rsidRDefault="00403080" w:rsidP="00403080">
      <w:pPr>
        <w:tabs>
          <w:tab w:val="left" w:pos="284"/>
        </w:tabs>
        <w:jc w:val="both"/>
        <w:rPr>
          <w:bCs/>
          <w:sz w:val="22"/>
          <w:szCs w:val="22"/>
          <w:lang w:val="sr-Latn-ME"/>
        </w:rPr>
      </w:pPr>
      <w:r w:rsidRPr="00F65520">
        <w:rPr>
          <w:bCs/>
          <w:noProof/>
          <w:sz w:val="22"/>
          <w:szCs w:val="22"/>
        </w:rPr>
        <mc:AlternateContent>
          <mc:Choice Requires="wps">
            <w:drawing>
              <wp:anchor distT="45720" distB="45720" distL="114300" distR="114300" simplePos="0" relativeHeight="251665408" behindDoc="0" locked="0" layoutInCell="1" allowOverlap="1" wp14:anchorId="3604AA39" wp14:editId="6C031FBA">
                <wp:simplePos x="0" y="0"/>
                <wp:positionH relativeFrom="column">
                  <wp:posOffset>533400</wp:posOffset>
                </wp:positionH>
                <wp:positionV relativeFrom="paragraph">
                  <wp:posOffset>64135</wp:posOffset>
                </wp:positionV>
                <wp:extent cx="1966595" cy="26797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FB370" w14:textId="41AFE01E" w:rsidR="0060055A" w:rsidRPr="00951D54" w:rsidRDefault="0060055A" w:rsidP="00403080">
                            <w:pPr>
                              <w:rPr>
                                <w:sz w:val="16"/>
                                <w:szCs w:val="16"/>
                                <w:lang w:val="sr-Latn-RS"/>
                              </w:rPr>
                            </w:pPr>
                            <w:r>
                              <w:rPr>
                                <w:sz w:val="16"/>
                                <w:szCs w:val="16"/>
                                <w:lang w:val="sr-Latn-RS"/>
                              </w:rPr>
                              <w:t>Benralizumab 30 mg svakih 8 nedjelja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04AA39" id="_x0000_t202" coordsize="21600,21600" o:spt="202" path="m,l,21600r21600,l21600,xe">
                <v:stroke joinstyle="miter"/>
                <v:path gradientshapeok="t" o:connecttype="rect"/>
              </v:shapetype>
              <v:shape id="Text Box 27" o:spid="_x0000_s1026" type="#_x0000_t202" style="position:absolute;left:0;text-align:left;margin-left:42pt;margin-top:5.05pt;width:154.85pt;height:21.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" filled="f" stroked="f">
                <v:textbox>
                  <w:txbxContent>
                    <w:p w14:paraId="6E8FB370" w14:textId="41AFE01E" w:rsidR="0060055A" w:rsidRPr="00951D54" w:rsidRDefault="0060055A" w:rsidP="00403080">
                      <w:pPr>
                        <w:rPr>
                          <w:sz w:val="16"/>
                          <w:szCs w:val="16"/>
                          <w:lang w:val="sr-Latn-RS"/>
                        </w:rPr>
                      </w:pPr>
                      <w:r>
                        <w:rPr>
                          <w:sz w:val="16"/>
                          <w:szCs w:val="16"/>
                          <w:lang w:val="sr-Latn-RS"/>
                        </w:rPr>
                        <w:t>Benralizumab 30 mg svakih 8 nedjelja</w:t>
                      </w:r>
                    </w:p>
                  </w:txbxContent>
                </v:textbox>
              </v:shape>
            </w:pict>
          </mc:Fallback>
        </mc:AlternateContent>
      </w:r>
      <w:r w:rsidRPr="00F65520">
        <w:rPr>
          <w:bCs/>
          <w:noProof/>
          <w:sz w:val="22"/>
          <w:szCs w:val="22"/>
        </w:rPr>
        <mc:AlternateContent>
          <mc:Choice Requires="wps">
            <w:drawing>
              <wp:anchor distT="45720" distB="45720" distL="114300" distR="114300" simplePos="0" relativeHeight="251659264" behindDoc="0" locked="0" layoutInCell="1" allowOverlap="1" wp14:anchorId="4EE5064D" wp14:editId="432F88D2">
                <wp:simplePos x="0" y="0"/>
                <wp:positionH relativeFrom="column">
                  <wp:posOffset>3053715</wp:posOffset>
                </wp:positionH>
                <wp:positionV relativeFrom="paragraph">
                  <wp:posOffset>2139950</wp:posOffset>
                </wp:positionV>
                <wp:extent cx="1477010" cy="30988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D4232" w14:textId="77777777" w:rsidR="0060055A" w:rsidRPr="00951D54" w:rsidRDefault="0060055A" w:rsidP="00403080">
                            <w:pPr>
                              <w:rPr>
                                <w:sz w:val="16"/>
                                <w:lang w:val="sr-Latn-RS"/>
                              </w:rPr>
                            </w:pPr>
                            <w:r>
                              <w:rPr>
                                <w:sz w:val="16"/>
                                <w:lang w:val="sr-Latn-RS"/>
                              </w:rPr>
                              <w:t>Ispitivanje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E5064D" id="Text Box 7" o:spid="_x0000_s1027" type="#_x0000_t202" style="position:absolute;left:0;text-align:left;margin-left:240.45pt;margin-top:168.5pt;width:116.3pt;height:24.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" filled="f" stroked="f">
                <v:textbox>
                  <w:txbxContent>
                    <w:p w14:paraId="520D4232" w14:textId="77777777" w:rsidR="0060055A" w:rsidRPr="00951D54" w:rsidRDefault="0060055A" w:rsidP="00403080">
                      <w:pPr>
                        <w:rPr>
                          <w:sz w:val="16"/>
                          <w:lang w:val="sr-Latn-RS"/>
                        </w:rPr>
                      </w:pPr>
                      <w:r>
                        <w:rPr>
                          <w:sz w:val="16"/>
                          <w:lang w:val="sr-Latn-RS"/>
                        </w:rPr>
                        <w:t>Ispitivanje 4</w:t>
                      </w:r>
                    </w:p>
                  </w:txbxContent>
                </v:textbox>
              </v:shape>
            </w:pict>
          </mc:Fallback>
        </mc:AlternateContent>
      </w:r>
      <w:r w:rsidRPr="00F65520">
        <w:rPr>
          <w:bCs/>
          <w:noProof/>
          <w:sz w:val="22"/>
          <w:szCs w:val="22"/>
        </w:rPr>
        <mc:AlternateContent>
          <mc:Choice Requires="wps">
            <w:drawing>
              <wp:anchor distT="0" distB="0" distL="114300" distR="114300" simplePos="0" relativeHeight="251660288" behindDoc="0" locked="0" layoutInCell="1" allowOverlap="1" wp14:anchorId="11A0B9C2" wp14:editId="5E02F64E">
                <wp:simplePos x="0" y="0"/>
                <wp:positionH relativeFrom="column">
                  <wp:posOffset>3197225</wp:posOffset>
                </wp:positionH>
                <wp:positionV relativeFrom="paragraph">
                  <wp:posOffset>1096010</wp:posOffset>
                </wp:positionV>
                <wp:extent cx="140335" cy="2700020"/>
                <wp:effectExtent l="8890" t="10795" r="5715" b="10795"/>
                <wp:wrapNone/>
                <wp:docPr id="6" name="Righ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40335" cy="2700020"/>
                        </a:xfrm>
                        <a:prstGeom prst="rightBrace">
                          <a:avLst>
                            <a:gd name="adj1" fmla="val 16033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FAF0EE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26" type="#_x0000_t88" style="position:absolute;margin-left:251.75pt;margin-top:86.3pt;width:11.05pt;height:212.6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"/>
            </w:pict>
          </mc:Fallback>
        </mc:AlternateContent>
      </w:r>
      <w:r w:rsidRPr="00F65520">
        <w:rPr>
          <w:bCs/>
          <w:noProof/>
          <w:sz w:val="22"/>
          <w:szCs w:val="22"/>
        </w:rPr>
        <mc:AlternateContent>
          <mc:Choice Requires="wps">
            <w:drawing>
              <wp:anchor distT="45720" distB="45720" distL="114300" distR="114300" simplePos="0" relativeHeight="251664384" behindDoc="0" locked="0" layoutInCell="1" allowOverlap="1" wp14:anchorId="32AFFC55" wp14:editId="2470153C">
                <wp:simplePos x="0" y="0"/>
                <wp:positionH relativeFrom="column">
                  <wp:posOffset>2352040</wp:posOffset>
                </wp:positionH>
                <wp:positionV relativeFrom="paragraph">
                  <wp:posOffset>2823845</wp:posOffset>
                </wp:positionV>
                <wp:extent cx="1365885" cy="3098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FB7BE" w14:textId="77777777" w:rsidR="0060055A" w:rsidRDefault="0060055A" w:rsidP="00403080">
                            <w:r>
                              <w:rPr>
                                <w:b/>
                                <w:sz w:val="20"/>
                              </w:rPr>
                              <w:t>Nedjelje</w:t>
                            </w: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AFFC55" id="Text Box 5" o:spid="_x0000_s1028" type="#_x0000_t202" style="position:absolute;left:0;text-align:left;margin-left:185.2pt;margin-top:222.35pt;width:107.55pt;height:24.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" filled="f" stroked="f">
                <v:textbox>
                  <w:txbxContent>
                    <w:p w14:paraId="6E4FB7BE" w14:textId="77777777" w:rsidR="0060055A" w:rsidRDefault="0060055A" w:rsidP="00403080">
                      <w:r>
                        <w:rPr>
                          <w:b/>
                          <w:sz w:val="20"/>
                        </w:rPr>
                        <w:t>Nedjelje</w:t>
                      </w:r>
                      <w:r>
                        <w:t xml:space="preserve"> </w:t>
                      </w:r>
                    </w:p>
                  </w:txbxContent>
                </v:textbox>
              </v:shape>
            </w:pict>
          </mc:Fallback>
        </mc:AlternateContent>
      </w:r>
      <w:r w:rsidRPr="00F65520">
        <w:rPr>
          <w:bCs/>
          <w:noProof/>
          <w:sz w:val="22"/>
          <w:szCs w:val="22"/>
        </w:rPr>
        <mc:AlternateContent>
          <mc:Choice Requires="wps">
            <w:drawing>
              <wp:anchor distT="45720" distB="45720" distL="114300" distR="114300" simplePos="0" relativeHeight="251662336" behindDoc="0" locked="0" layoutInCell="1" allowOverlap="1" wp14:anchorId="7AEB55CA" wp14:editId="31473306">
                <wp:simplePos x="0" y="0"/>
                <wp:positionH relativeFrom="column">
                  <wp:posOffset>915035</wp:posOffset>
                </wp:positionH>
                <wp:positionV relativeFrom="paragraph">
                  <wp:posOffset>2149475</wp:posOffset>
                </wp:positionV>
                <wp:extent cx="1477010" cy="30988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20FED" w14:textId="77777777" w:rsidR="0060055A" w:rsidRPr="00951D54" w:rsidRDefault="0060055A" w:rsidP="00403080">
                            <w:pPr>
                              <w:rPr>
                                <w:sz w:val="16"/>
                                <w:lang w:val="sr-Latn-RS"/>
                              </w:rPr>
                            </w:pPr>
                            <w:r>
                              <w:rPr>
                                <w:sz w:val="16"/>
                                <w:lang w:val="sr-Latn-RS"/>
                              </w:rPr>
                              <w:t>Ispitivanje 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EB55CA" id="Text Box 4" o:spid="_x0000_s1029" type="#_x0000_t202" style="position:absolute;left:0;text-align:left;margin-left:72.05pt;margin-top:169.25pt;width:116.3pt;height:24.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" filled="f" stroked="f">
                <v:textbox>
                  <w:txbxContent>
                    <w:p w14:paraId="20020FED" w14:textId="77777777" w:rsidR="0060055A" w:rsidRPr="00951D54" w:rsidRDefault="0060055A" w:rsidP="00403080">
                      <w:pPr>
                        <w:rPr>
                          <w:sz w:val="16"/>
                          <w:lang w:val="sr-Latn-RS"/>
                        </w:rPr>
                      </w:pPr>
                      <w:r>
                        <w:rPr>
                          <w:sz w:val="16"/>
                          <w:lang w:val="sr-Latn-RS"/>
                        </w:rPr>
                        <w:t>Ispitivanje 3</w:t>
                      </w:r>
                    </w:p>
                  </w:txbxContent>
                </v:textbox>
              </v:shape>
            </w:pict>
          </mc:Fallback>
        </mc:AlternateContent>
      </w:r>
      <w:r w:rsidRPr="00F65520">
        <w:rPr>
          <w:bCs/>
          <w:noProof/>
          <w:sz w:val="22"/>
          <w:szCs w:val="22"/>
        </w:rPr>
        <mc:AlternateContent>
          <mc:Choice Requires="wps">
            <w:drawing>
              <wp:anchor distT="45720" distB="45720" distL="114300" distR="114300" simplePos="0" relativeHeight="251666432" behindDoc="0" locked="0" layoutInCell="1" allowOverlap="1" wp14:anchorId="137D44C6" wp14:editId="47C4205E">
                <wp:simplePos x="0" y="0"/>
                <wp:positionH relativeFrom="column">
                  <wp:posOffset>4617720</wp:posOffset>
                </wp:positionH>
                <wp:positionV relativeFrom="paragraph">
                  <wp:posOffset>2444750</wp:posOffset>
                </wp:positionV>
                <wp:extent cx="1477010" cy="30988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B2956" w14:textId="77777777" w:rsidR="0060055A" w:rsidRPr="00894F5A" w:rsidRDefault="0060055A" w:rsidP="00403080">
                            <w:pPr>
                              <w:rPr>
                                <w:sz w:val="14"/>
                              </w:rPr>
                            </w:pPr>
                            <w:r w:rsidRPr="00894F5A">
                              <w:rPr>
                                <w:sz w:val="14"/>
                              </w:rPr>
                              <w:t>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7D44C6" id="Text Box 26" o:spid="_x0000_s1030" type="#_x0000_t202" style="position:absolute;left:0;text-align:left;margin-left:363.6pt;margin-top:192.5pt;width:116.3pt;height:24.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" filled="f" stroked="f">
                <v:textbox>
                  <w:txbxContent>
                    <w:p w14:paraId="7F0B2956" w14:textId="77777777" w:rsidR="0060055A" w:rsidRPr="00894F5A" w:rsidRDefault="0060055A" w:rsidP="00403080">
                      <w:pPr>
                        <w:rPr>
                          <w:sz w:val="14"/>
                        </w:rPr>
                      </w:pPr>
                      <w:r w:rsidRPr="00894F5A">
                        <w:rPr>
                          <w:sz w:val="14"/>
                        </w:rPr>
                        <w:t>n =</w:t>
                      </w:r>
                    </w:p>
                  </w:txbxContent>
                </v:textbox>
              </v:shape>
            </w:pict>
          </mc:Fallback>
        </mc:AlternateContent>
      </w:r>
      <w:r w:rsidRPr="00F65520">
        <w:rPr>
          <w:bCs/>
          <w:noProof/>
          <w:sz w:val="22"/>
          <w:szCs w:val="22"/>
        </w:rPr>
        <mc:AlternateContent>
          <mc:Choice Requires="wps">
            <w:drawing>
              <wp:anchor distT="0" distB="0" distL="114300" distR="114300" simplePos="0" relativeHeight="251661312" behindDoc="0" locked="0" layoutInCell="1" allowOverlap="1" wp14:anchorId="4A1A9814" wp14:editId="7949209D">
                <wp:simplePos x="0" y="0"/>
                <wp:positionH relativeFrom="column">
                  <wp:posOffset>1076960</wp:posOffset>
                </wp:positionH>
                <wp:positionV relativeFrom="paragraph">
                  <wp:posOffset>1769110</wp:posOffset>
                </wp:positionV>
                <wp:extent cx="149860" cy="1362075"/>
                <wp:effectExtent l="9525" t="10795" r="9525" b="10795"/>
                <wp:wrapNone/>
                <wp:docPr id="2"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49860" cy="1362075"/>
                        </a:xfrm>
                        <a:prstGeom prst="rightBrace">
                          <a:avLst>
                            <a:gd name="adj1" fmla="val 7574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207E5B" id="Right Brace 2" o:spid="_x0000_s1026" type="#_x0000_t88" style="position:absolute;margin-left:84.8pt;margin-top:139.3pt;width:11.8pt;height:107.2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"/>
            </w:pict>
          </mc:Fallback>
        </mc:AlternateContent>
      </w:r>
      <w:r w:rsidRPr="00F65520">
        <w:rPr>
          <w:bCs/>
          <w:noProof/>
          <w:sz w:val="22"/>
          <w:szCs w:val="22"/>
        </w:rPr>
        <mc:AlternateContent>
          <mc:Choice Requires="wps">
            <w:drawing>
              <wp:anchor distT="45720" distB="45720" distL="114300" distR="114300" simplePos="0" relativeHeight="251663360" behindDoc="0" locked="0" layoutInCell="1" allowOverlap="1" wp14:anchorId="05750FB7" wp14:editId="76E88983">
                <wp:simplePos x="0" y="0"/>
                <wp:positionH relativeFrom="column">
                  <wp:posOffset>-269875</wp:posOffset>
                </wp:positionH>
                <wp:positionV relativeFrom="paragraph">
                  <wp:posOffset>518795</wp:posOffset>
                </wp:positionV>
                <wp:extent cx="518795" cy="1577340"/>
                <wp:effectExtent l="0" t="0" r="0" b="381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157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114DA" w14:textId="77777777" w:rsidR="0060055A" w:rsidRPr="00951D54" w:rsidRDefault="0060055A" w:rsidP="00403080">
                            <w:pPr>
                              <w:rPr>
                                <w:b/>
                                <w:sz w:val="20"/>
                                <w:lang w:val="sr-Latn-RS"/>
                              </w:rPr>
                            </w:pPr>
                            <w:r>
                              <w:rPr>
                                <w:b/>
                                <w:sz w:val="20"/>
                                <w:lang w:val="sr-Latn-RS"/>
                              </w:rPr>
                              <w:t>Medijana procentnog smanjenja</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750FB7" id="Text Box 38" o:spid="_x0000_s1031" type="#_x0000_t202" style="position:absolute;left:0;text-align:left;margin-left:-21.25pt;margin-top:40.85pt;width:40.85pt;height:124.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" filled="f" stroked="f">
                <v:textbox style="layout-flow:vertical;mso-layout-flow-alt:bottom-to-top">
                  <w:txbxContent>
                    <w:p w14:paraId="5EC114DA" w14:textId="77777777" w:rsidR="0060055A" w:rsidRPr="00951D54" w:rsidRDefault="0060055A" w:rsidP="00403080">
                      <w:pPr>
                        <w:rPr>
                          <w:b/>
                          <w:sz w:val="20"/>
                          <w:lang w:val="sr-Latn-RS"/>
                        </w:rPr>
                      </w:pPr>
                      <w:r>
                        <w:rPr>
                          <w:b/>
                          <w:sz w:val="20"/>
                          <w:lang w:val="sr-Latn-RS"/>
                        </w:rPr>
                        <w:t>Medijana procentnog smanjenja</w:t>
                      </w:r>
                    </w:p>
                  </w:txbxContent>
                </v:textbox>
              </v:shape>
            </w:pict>
          </mc:Fallback>
        </mc:AlternateContent>
      </w:r>
      <w:r w:rsidRPr="00F65520">
        <w:rPr>
          <w:bCs/>
          <w:noProof/>
          <w:sz w:val="22"/>
          <w:szCs w:val="22"/>
        </w:rPr>
        <w:drawing>
          <wp:inline distT="0" distB="0" distL="0" distR="0" wp14:anchorId="51F062F8" wp14:editId="0E11B204">
            <wp:extent cx="5381625" cy="2943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1625" cy="2943225"/>
                    </a:xfrm>
                    <a:prstGeom prst="rect">
                      <a:avLst/>
                    </a:prstGeom>
                    <a:noFill/>
                    <a:ln>
                      <a:noFill/>
                    </a:ln>
                  </pic:spPr>
                </pic:pic>
              </a:graphicData>
            </a:graphic>
          </wp:inline>
        </w:drawing>
      </w:r>
    </w:p>
    <w:p w14:paraId="1ECA04F2" w14:textId="77777777" w:rsidR="00403080" w:rsidRPr="00F65520" w:rsidRDefault="00403080" w:rsidP="00403080">
      <w:pPr>
        <w:tabs>
          <w:tab w:val="left" w:pos="284"/>
        </w:tabs>
        <w:jc w:val="both"/>
        <w:rPr>
          <w:bCs/>
          <w:sz w:val="22"/>
          <w:szCs w:val="22"/>
          <w:lang w:val="sr-Latn-ME"/>
        </w:rPr>
      </w:pPr>
    </w:p>
    <w:p w14:paraId="472C6B3D" w14:textId="447A1691" w:rsidR="00403080" w:rsidRPr="00F65520" w:rsidRDefault="00403080" w:rsidP="00403080">
      <w:pPr>
        <w:numPr>
          <w:ilvl w:val="0"/>
          <w:numId w:val="13"/>
        </w:numPr>
        <w:tabs>
          <w:tab w:val="left" w:pos="284"/>
        </w:tabs>
        <w:contextualSpacing/>
        <w:jc w:val="both"/>
        <w:rPr>
          <w:bCs/>
          <w:sz w:val="22"/>
          <w:szCs w:val="22"/>
          <w:vertAlign w:val="superscript"/>
          <w:lang w:val="sr-Latn-ME"/>
        </w:rPr>
      </w:pPr>
      <w:r w:rsidRPr="00F65520">
        <w:rPr>
          <w:bCs/>
          <w:sz w:val="22"/>
          <w:szCs w:val="22"/>
          <w:lang w:val="sr-Latn-ME"/>
        </w:rPr>
        <w:t xml:space="preserve">Pacijentni iz prethodnog Ispitivanja 3 koji su nastavili liječenje </w:t>
      </w:r>
      <w:r w:rsidR="00272E45" w:rsidRPr="00F65520">
        <w:rPr>
          <w:bCs/>
          <w:sz w:val="22"/>
          <w:szCs w:val="22"/>
          <w:lang w:val="sr-Latn-ME"/>
        </w:rPr>
        <w:t>benralizumabom</w:t>
      </w:r>
      <w:r w:rsidRPr="00F65520">
        <w:rPr>
          <w:bCs/>
          <w:sz w:val="22"/>
          <w:szCs w:val="22"/>
          <w:lang w:val="sr-Latn-ME"/>
        </w:rPr>
        <w:t xml:space="preserve"> i u Ispitivanju 4. Pacijenti su mogli ući u drugi produžetak ispitivanja nakon najmanje 8 nedjelja učestvovanja u Ispitivanju 4, a da nisu dovršili 56-</w:t>
      </w:r>
      <w:r w:rsidR="00902C57" w:rsidRPr="00F65520">
        <w:rPr>
          <w:bCs/>
          <w:sz w:val="22"/>
          <w:szCs w:val="22"/>
          <w:lang w:val="sr-Latn-ME"/>
        </w:rPr>
        <w:t xml:space="preserve">nedjeljni </w:t>
      </w:r>
      <w:r w:rsidRPr="00F65520">
        <w:rPr>
          <w:bCs/>
          <w:sz w:val="22"/>
          <w:szCs w:val="22"/>
          <w:lang w:val="sr-Latn-ME"/>
        </w:rPr>
        <w:t xml:space="preserve">period produžetka. </w:t>
      </w:r>
    </w:p>
    <w:p w14:paraId="0E1AED43" w14:textId="77777777" w:rsidR="00403080" w:rsidRPr="00F65520" w:rsidRDefault="00403080" w:rsidP="00403080">
      <w:pPr>
        <w:tabs>
          <w:tab w:val="left" w:pos="284"/>
        </w:tabs>
        <w:jc w:val="both"/>
        <w:rPr>
          <w:bCs/>
          <w:sz w:val="22"/>
          <w:szCs w:val="22"/>
          <w:lang w:val="sr-Latn-ME"/>
        </w:rPr>
      </w:pPr>
    </w:p>
    <w:p w14:paraId="4DBFA1C9" w14:textId="5A520287" w:rsidR="00C76E0E" w:rsidRPr="00F65520" w:rsidRDefault="00C76E0E" w:rsidP="00403080">
      <w:pPr>
        <w:tabs>
          <w:tab w:val="left" w:pos="284"/>
        </w:tabs>
        <w:jc w:val="both"/>
        <w:rPr>
          <w:bCs/>
          <w:sz w:val="22"/>
          <w:szCs w:val="22"/>
          <w:lang w:val="sr-Latn-ME"/>
        </w:rPr>
      </w:pPr>
      <w:r w:rsidRPr="00F65520">
        <w:rPr>
          <w:bCs/>
          <w:sz w:val="22"/>
          <w:szCs w:val="22"/>
          <w:lang w:val="sr-Latn-ME"/>
        </w:rPr>
        <w:t xml:space="preserve">U Ispitivanju 5, drugom </w:t>
      </w:r>
      <w:r w:rsidR="00B540B3" w:rsidRPr="00F65520">
        <w:rPr>
          <w:bCs/>
          <w:sz w:val="22"/>
          <w:szCs w:val="22"/>
          <w:lang w:val="sr-Latn-ME"/>
        </w:rPr>
        <w:t>dugoročnom produžetku ispitivanju bezb</w:t>
      </w:r>
      <w:r w:rsidR="00AA4022" w:rsidRPr="00F65520">
        <w:rPr>
          <w:bCs/>
          <w:sz w:val="22"/>
          <w:szCs w:val="22"/>
          <w:lang w:val="sr-Latn-ME"/>
        </w:rPr>
        <w:t>j</w:t>
      </w:r>
      <w:r w:rsidR="00B540B3" w:rsidRPr="00F65520">
        <w:rPr>
          <w:bCs/>
          <w:sz w:val="22"/>
          <w:szCs w:val="22"/>
          <w:lang w:val="sr-Latn-ME"/>
        </w:rPr>
        <w:t>ednosti (vid</w:t>
      </w:r>
      <w:r w:rsidR="00AA4022" w:rsidRPr="00F65520">
        <w:rPr>
          <w:bCs/>
          <w:sz w:val="22"/>
          <w:szCs w:val="22"/>
          <w:lang w:val="sr-Latn-ME"/>
        </w:rPr>
        <w:t>j</w:t>
      </w:r>
      <w:r w:rsidR="00B540B3" w:rsidRPr="00F65520">
        <w:rPr>
          <w:bCs/>
          <w:sz w:val="22"/>
          <w:szCs w:val="22"/>
          <w:lang w:val="sr-Latn-ME"/>
        </w:rPr>
        <w:t>eti od</w:t>
      </w:r>
      <w:r w:rsidR="00AA4022" w:rsidRPr="00F65520">
        <w:rPr>
          <w:bCs/>
          <w:sz w:val="22"/>
          <w:szCs w:val="22"/>
          <w:lang w:val="sr-Latn-ME"/>
        </w:rPr>
        <w:t>j</w:t>
      </w:r>
      <w:r w:rsidR="00B540B3" w:rsidRPr="00F65520">
        <w:rPr>
          <w:bCs/>
          <w:sz w:val="22"/>
          <w:szCs w:val="22"/>
          <w:lang w:val="sr-Latn-ME"/>
        </w:rPr>
        <w:t>eljak 4.8), analizirana stopa egzacerbacije (0,47) kod pacijenata koji su primali odobreni režim doziranja l</w:t>
      </w:r>
      <w:r w:rsidR="00AA4022" w:rsidRPr="00F65520">
        <w:rPr>
          <w:bCs/>
          <w:sz w:val="22"/>
          <w:szCs w:val="22"/>
          <w:lang w:val="sr-Latn-ME"/>
        </w:rPr>
        <w:t>ij</w:t>
      </w:r>
      <w:r w:rsidR="00B540B3" w:rsidRPr="00F65520">
        <w:rPr>
          <w:bCs/>
          <w:sz w:val="22"/>
          <w:szCs w:val="22"/>
          <w:lang w:val="sr-Latn-ME"/>
        </w:rPr>
        <w:t>eka bila je uporediva sa onom koja je prijavljena u prethodnim ispitivanjima 1, 2 (0,65) i 4 (0,48)</w:t>
      </w:r>
    </w:p>
    <w:p w14:paraId="006186C5" w14:textId="77777777" w:rsidR="00C76E0E" w:rsidRPr="00F65520" w:rsidRDefault="00C76E0E" w:rsidP="00403080">
      <w:pPr>
        <w:tabs>
          <w:tab w:val="left" w:pos="284"/>
        </w:tabs>
        <w:jc w:val="both"/>
        <w:rPr>
          <w:bCs/>
          <w:sz w:val="22"/>
          <w:szCs w:val="22"/>
          <w:u w:val="single"/>
          <w:lang w:val="sr-Latn-ME"/>
        </w:rPr>
      </w:pPr>
    </w:p>
    <w:p w14:paraId="3A0CDE9C" w14:textId="4BAE7F96" w:rsidR="00403080" w:rsidRPr="00F65520" w:rsidRDefault="00403080" w:rsidP="00403080">
      <w:pPr>
        <w:tabs>
          <w:tab w:val="left" w:pos="284"/>
        </w:tabs>
        <w:jc w:val="both"/>
        <w:rPr>
          <w:bCs/>
          <w:sz w:val="22"/>
          <w:szCs w:val="22"/>
          <w:u w:val="single"/>
          <w:lang w:val="sr-Latn-ME"/>
        </w:rPr>
      </w:pPr>
      <w:r w:rsidRPr="00F65520">
        <w:rPr>
          <w:bCs/>
          <w:sz w:val="22"/>
          <w:szCs w:val="22"/>
          <w:u w:val="single"/>
          <w:lang w:val="sr-Latn-ME"/>
        </w:rPr>
        <w:t>Imunogenost</w:t>
      </w:r>
    </w:p>
    <w:p w14:paraId="1AC4D426" w14:textId="77777777" w:rsidR="00403080" w:rsidRPr="00F65520" w:rsidRDefault="00403080" w:rsidP="00403080">
      <w:pPr>
        <w:tabs>
          <w:tab w:val="left" w:pos="284"/>
        </w:tabs>
        <w:jc w:val="both"/>
        <w:rPr>
          <w:bCs/>
          <w:sz w:val="22"/>
          <w:szCs w:val="22"/>
          <w:u w:val="single"/>
          <w:lang w:val="sr-Latn-ME"/>
        </w:rPr>
      </w:pPr>
    </w:p>
    <w:p w14:paraId="0C0B889B" w14:textId="1AC09630" w:rsidR="00403080" w:rsidRPr="00F65520" w:rsidRDefault="00403080" w:rsidP="00403080">
      <w:pPr>
        <w:tabs>
          <w:tab w:val="left" w:pos="284"/>
        </w:tabs>
        <w:jc w:val="both"/>
        <w:rPr>
          <w:bCs/>
          <w:sz w:val="22"/>
          <w:szCs w:val="22"/>
          <w:lang w:val="sr-Latn-ME"/>
        </w:rPr>
      </w:pPr>
      <w:r w:rsidRPr="00F65520">
        <w:rPr>
          <w:bCs/>
          <w:sz w:val="22"/>
          <w:szCs w:val="22"/>
          <w:lang w:val="sr-Latn-ME"/>
        </w:rPr>
        <w:t xml:space="preserve">Sveukupno su se antitijela na lijek, koja se javljaju tokom liječenja, razvila kod 107 od 809 (13%) pacijenata liječenih preporučenim režimom primjene </w:t>
      </w:r>
      <w:r w:rsidR="00272E45" w:rsidRPr="00F65520">
        <w:rPr>
          <w:bCs/>
          <w:sz w:val="22"/>
          <w:szCs w:val="22"/>
          <w:lang w:val="sr-Latn-ME"/>
        </w:rPr>
        <w:t>benralizumaba</w:t>
      </w:r>
      <w:r w:rsidRPr="00F65520">
        <w:rPr>
          <w:bCs/>
          <w:sz w:val="22"/>
          <w:szCs w:val="22"/>
          <w:lang w:val="sr-Latn-ME"/>
        </w:rPr>
        <w:t xml:space="preserve"> tokom perioda liječenja u trajanju od 48 do 56 nedjelja u placebo kontrolisanim ispitivanjima faze 3 egzacerbacije. Većina antitijela bila je neutralna i perzistentna. Kod pacijenata sa visokim titrom antitijela na lijek, antitijela na benralizumab bila su povezana sa povećanim klirensom benralizumaba i povećanim brojem eozinofila u krvi u odnosu na pacijente koji su bili negativni na antitijela; u r</w:t>
      </w:r>
      <w:r w:rsidR="00B322C9" w:rsidRPr="00F65520">
        <w:rPr>
          <w:bCs/>
          <w:sz w:val="22"/>
          <w:szCs w:val="22"/>
          <w:lang w:val="sr-Latn-ME"/>
        </w:rPr>
        <w:t>ij</w:t>
      </w:r>
      <w:r w:rsidRPr="00F65520">
        <w:rPr>
          <w:bCs/>
          <w:sz w:val="22"/>
          <w:szCs w:val="22"/>
          <w:lang w:val="sr-Latn-ME"/>
        </w:rPr>
        <w:t xml:space="preserve">etkim slučajevima, </w:t>
      </w:r>
      <w:r w:rsidR="00B322C9" w:rsidRPr="00F65520">
        <w:rPr>
          <w:bCs/>
          <w:sz w:val="22"/>
          <w:szCs w:val="22"/>
          <w:lang w:val="sr-Latn-ME"/>
        </w:rPr>
        <w:t>vrijednosti</w:t>
      </w:r>
      <w:r w:rsidRPr="00F65520">
        <w:rPr>
          <w:bCs/>
          <w:sz w:val="22"/>
          <w:szCs w:val="22"/>
          <w:lang w:val="sr-Latn-ME"/>
        </w:rPr>
        <w:t xml:space="preserve"> eozinofila </w:t>
      </w:r>
      <w:r w:rsidR="00B322C9" w:rsidRPr="00F65520">
        <w:rPr>
          <w:bCs/>
          <w:sz w:val="22"/>
          <w:szCs w:val="22"/>
          <w:lang w:val="sr-Latn-ME"/>
        </w:rPr>
        <w:t xml:space="preserve">u krvi </w:t>
      </w:r>
      <w:r w:rsidRPr="00F65520">
        <w:rPr>
          <w:bCs/>
          <w:sz w:val="22"/>
          <w:szCs w:val="22"/>
          <w:lang w:val="sr-Latn-ME"/>
        </w:rPr>
        <w:t xml:space="preserve">vratile su se na broj ćelija koji je bio prije liječenja. Na osnovu dosadašnjeg praćenja pacijenata, nisu pronađeni dokazi veze između antitijela na lijek i efikasnosti ili bezbjednosti. </w:t>
      </w:r>
    </w:p>
    <w:p w14:paraId="31844AC5" w14:textId="77777777" w:rsidR="00403080" w:rsidRPr="00F65520" w:rsidRDefault="00403080" w:rsidP="00403080">
      <w:pPr>
        <w:tabs>
          <w:tab w:val="left" w:pos="284"/>
        </w:tabs>
        <w:jc w:val="both"/>
        <w:rPr>
          <w:bCs/>
          <w:sz w:val="22"/>
          <w:szCs w:val="22"/>
          <w:lang w:val="sr-Latn-ME"/>
        </w:rPr>
      </w:pPr>
    </w:p>
    <w:p w14:paraId="3B3544B4" w14:textId="1F50680A" w:rsidR="00403080" w:rsidRPr="00F65520" w:rsidRDefault="00403080" w:rsidP="00403080">
      <w:pPr>
        <w:tabs>
          <w:tab w:val="left" w:pos="284"/>
        </w:tabs>
        <w:jc w:val="both"/>
        <w:rPr>
          <w:bCs/>
          <w:sz w:val="22"/>
          <w:szCs w:val="22"/>
          <w:lang w:val="sr-Latn-ME"/>
        </w:rPr>
      </w:pPr>
      <w:r w:rsidRPr="00F65520">
        <w:rPr>
          <w:bCs/>
          <w:sz w:val="22"/>
          <w:szCs w:val="22"/>
          <w:lang w:val="sr-Latn-ME"/>
        </w:rPr>
        <w:t xml:space="preserve">Nakon druge godine liječenja tih pacijenata iz placebom kontrolisanih ispitivanja faze 3, kod dodatnih 18 od 510 (4%) pacijenata su se </w:t>
      </w:r>
      <w:r w:rsidR="00A63A59" w:rsidRPr="00F65520">
        <w:rPr>
          <w:bCs/>
          <w:sz w:val="22"/>
          <w:szCs w:val="22"/>
          <w:lang w:val="sr-Latn-ME"/>
        </w:rPr>
        <w:t>pojavila</w:t>
      </w:r>
      <w:r w:rsidRPr="00F65520">
        <w:rPr>
          <w:bCs/>
          <w:sz w:val="22"/>
          <w:szCs w:val="22"/>
          <w:lang w:val="sr-Latn-ME"/>
        </w:rPr>
        <w:t xml:space="preserve"> </w:t>
      </w:r>
      <w:r w:rsidR="00A63A59" w:rsidRPr="00F65520">
        <w:rPr>
          <w:bCs/>
          <w:sz w:val="22"/>
          <w:szCs w:val="22"/>
          <w:lang w:val="sr-Latn-ME"/>
        </w:rPr>
        <w:t xml:space="preserve">novorazvijena </w:t>
      </w:r>
      <w:r w:rsidRPr="00F65520">
        <w:rPr>
          <w:bCs/>
          <w:sz w:val="22"/>
          <w:szCs w:val="22"/>
          <w:lang w:val="sr-Latn-ME"/>
        </w:rPr>
        <w:t>antitijela na lijek. Sveukupno, kod pacijenata koji su bili pozitivni na antit</w:t>
      </w:r>
      <w:r w:rsidR="00B322C9" w:rsidRPr="00F65520">
        <w:rPr>
          <w:bCs/>
          <w:sz w:val="22"/>
          <w:szCs w:val="22"/>
          <w:lang w:val="sr-Latn-ME"/>
        </w:rPr>
        <w:t>ij</w:t>
      </w:r>
      <w:r w:rsidRPr="00F65520">
        <w:rPr>
          <w:bCs/>
          <w:sz w:val="22"/>
          <w:szCs w:val="22"/>
          <w:lang w:val="sr-Latn-ME"/>
        </w:rPr>
        <w:t>ela na lijek u prethodnim ispitivanjima, titri antitijela ostali su stabilni ili su se smanjili u drugoj godini liječenja. Nisu pronađeni dokazi povezanosti između antitijela na lijek i efikasnost</w:t>
      </w:r>
      <w:r w:rsidR="00A63A59" w:rsidRPr="00F65520">
        <w:rPr>
          <w:bCs/>
          <w:sz w:val="22"/>
          <w:szCs w:val="22"/>
          <w:lang w:val="sr-Latn-ME"/>
        </w:rPr>
        <w:t>i</w:t>
      </w:r>
      <w:r w:rsidRPr="00F65520">
        <w:rPr>
          <w:bCs/>
          <w:sz w:val="22"/>
          <w:szCs w:val="22"/>
          <w:lang w:val="sr-Latn-ME"/>
        </w:rPr>
        <w:t xml:space="preserve"> ili bezbjednost</w:t>
      </w:r>
      <w:r w:rsidR="00A63A59" w:rsidRPr="00F65520">
        <w:rPr>
          <w:bCs/>
          <w:sz w:val="22"/>
          <w:szCs w:val="22"/>
          <w:lang w:val="sr-Latn-ME"/>
        </w:rPr>
        <w:t>i</w:t>
      </w:r>
      <w:r w:rsidRPr="00F65520">
        <w:rPr>
          <w:bCs/>
          <w:sz w:val="22"/>
          <w:szCs w:val="22"/>
          <w:lang w:val="sr-Latn-ME"/>
        </w:rPr>
        <w:t>.</w:t>
      </w:r>
    </w:p>
    <w:p w14:paraId="05997EC4" w14:textId="77777777" w:rsidR="00403080" w:rsidRPr="00F65520" w:rsidRDefault="00403080" w:rsidP="00403080">
      <w:pPr>
        <w:tabs>
          <w:tab w:val="left" w:pos="284"/>
        </w:tabs>
        <w:jc w:val="both"/>
        <w:rPr>
          <w:bCs/>
          <w:sz w:val="22"/>
          <w:szCs w:val="22"/>
          <w:lang w:val="sr-Latn-ME"/>
        </w:rPr>
      </w:pPr>
    </w:p>
    <w:p w14:paraId="6CA0E2B8" w14:textId="77777777" w:rsidR="00403080" w:rsidRPr="00F65520" w:rsidRDefault="00403080" w:rsidP="00403080">
      <w:pPr>
        <w:tabs>
          <w:tab w:val="left" w:pos="284"/>
        </w:tabs>
        <w:jc w:val="both"/>
        <w:rPr>
          <w:bCs/>
          <w:sz w:val="22"/>
          <w:szCs w:val="22"/>
          <w:u w:val="single"/>
          <w:lang w:val="sr-Latn-ME"/>
        </w:rPr>
      </w:pPr>
      <w:r w:rsidRPr="00F65520">
        <w:rPr>
          <w:bCs/>
          <w:sz w:val="22"/>
          <w:szCs w:val="22"/>
          <w:u w:val="single"/>
          <w:lang w:val="sr-Latn-ME"/>
        </w:rPr>
        <w:t xml:space="preserve">Pedijatrijska populacija </w:t>
      </w:r>
    </w:p>
    <w:p w14:paraId="73268B8D" w14:textId="77777777" w:rsidR="00403080" w:rsidRPr="00F65520" w:rsidRDefault="00403080" w:rsidP="00403080">
      <w:pPr>
        <w:tabs>
          <w:tab w:val="left" w:pos="284"/>
        </w:tabs>
        <w:jc w:val="both"/>
        <w:rPr>
          <w:bCs/>
          <w:sz w:val="22"/>
          <w:szCs w:val="22"/>
          <w:u w:val="single"/>
          <w:lang w:val="sr-Latn-ME"/>
        </w:rPr>
      </w:pPr>
    </w:p>
    <w:p w14:paraId="28C490D7" w14:textId="02876EA1" w:rsidR="00403080" w:rsidRPr="00F65520" w:rsidRDefault="00403080" w:rsidP="00403080">
      <w:pPr>
        <w:tabs>
          <w:tab w:val="left" w:pos="284"/>
        </w:tabs>
        <w:jc w:val="both"/>
        <w:rPr>
          <w:bCs/>
          <w:strike/>
          <w:sz w:val="22"/>
          <w:szCs w:val="22"/>
          <w:lang w:val="sr-Latn-ME"/>
        </w:rPr>
      </w:pPr>
      <w:r w:rsidRPr="00F65520">
        <w:rPr>
          <w:bCs/>
          <w:sz w:val="22"/>
          <w:szCs w:val="22"/>
          <w:lang w:val="sr-Latn-ME"/>
        </w:rPr>
        <w:lastRenderedPageBreak/>
        <w:t xml:space="preserve">U ispitivanjima faze 3 učestvovalo je 108 adolescenata sa astmom uzrasta od 12 do 17 godina (Ispitivanje 1: n = 53; Ispitivanje 2: n = 55). Među njima je njih 46 primilo placebo, 40 je primalo </w:t>
      </w:r>
      <w:r w:rsidR="00272E45" w:rsidRPr="00F65520">
        <w:rPr>
          <w:bCs/>
          <w:sz w:val="22"/>
          <w:szCs w:val="22"/>
          <w:lang w:val="sr-Latn-ME"/>
        </w:rPr>
        <w:t>benralizumabom</w:t>
      </w:r>
      <w:r w:rsidR="00272E45" w:rsidRPr="00F65520" w:rsidDel="00272E45">
        <w:rPr>
          <w:bCs/>
          <w:sz w:val="22"/>
          <w:szCs w:val="22"/>
          <w:lang w:val="sr-Latn-ME"/>
        </w:rPr>
        <w:t xml:space="preserve"> </w:t>
      </w:r>
      <w:r w:rsidRPr="00F65520">
        <w:rPr>
          <w:bCs/>
          <w:sz w:val="22"/>
          <w:szCs w:val="22"/>
          <w:lang w:val="sr-Latn-ME"/>
        </w:rPr>
        <w:t xml:space="preserve">svake 4. nedjelje za prve 3 doze, a zatim svakih 8 nedjelja, dok su 22 pacijenta primala </w:t>
      </w:r>
      <w:r w:rsidR="00272E45" w:rsidRPr="00F65520">
        <w:rPr>
          <w:bCs/>
          <w:sz w:val="22"/>
          <w:szCs w:val="22"/>
          <w:lang w:val="sr-Latn-ME"/>
        </w:rPr>
        <w:t>benralizumab</w:t>
      </w:r>
      <w:r w:rsidRPr="00F65520">
        <w:rPr>
          <w:bCs/>
          <w:sz w:val="22"/>
          <w:szCs w:val="22"/>
          <w:lang w:val="sr-Latn-ME"/>
        </w:rPr>
        <w:t>svake 4. nedjelje. U tim ispitivanjima</w:t>
      </w:r>
      <w:r w:rsidR="00A63A59" w:rsidRPr="00F65520">
        <w:rPr>
          <w:bCs/>
          <w:sz w:val="22"/>
          <w:szCs w:val="22"/>
          <w:lang w:val="sr-Latn-ME"/>
        </w:rPr>
        <w:t>,</w:t>
      </w:r>
      <w:r w:rsidRPr="00F65520">
        <w:rPr>
          <w:bCs/>
          <w:sz w:val="22"/>
          <w:szCs w:val="22"/>
          <w:lang w:val="sr-Latn-ME"/>
        </w:rPr>
        <w:t xml:space="preserve"> stopa egzacerbacija astme kod adolescentnih pacijenata liječenih preporučenim režimom doziranja </w:t>
      </w:r>
      <w:r w:rsidR="00272E45" w:rsidRPr="00F65520">
        <w:rPr>
          <w:bCs/>
          <w:sz w:val="22"/>
          <w:szCs w:val="22"/>
          <w:lang w:val="sr-Latn-ME"/>
        </w:rPr>
        <w:t>benralizumabom</w:t>
      </w:r>
      <w:r w:rsidRPr="00F65520">
        <w:rPr>
          <w:bCs/>
          <w:sz w:val="22"/>
          <w:szCs w:val="22"/>
          <w:lang w:val="sr-Latn-ME"/>
        </w:rPr>
        <w:t xml:space="preserve"> iznosila</w:t>
      </w:r>
      <w:r w:rsidR="00EC24B1" w:rsidRPr="00F65520">
        <w:rPr>
          <w:bCs/>
          <w:sz w:val="22"/>
          <w:szCs w:val="22"/>
          <w:lang w:val="sr-Latn-ME"/>
        </w:rPr>
        <w:t xml:space="preserve"> </w:t>
      </w:r>
      <w:r w:rsidR="00A63A59" w:rsidRPr="00F65520">
        <w:rPr>
          <w:bCs/>
          <w:sz w:val="22"/>
          <w:szCs w:val="22"/>
          <w:lang w:val="sr-Latn-ME"/>
        </w:rPr>
        <w:t xml:space="preserve">je </w:t>
      </w:r>
      <w:r w:rsidRPr="00F65520">
        <w:rPr>
          <w:bCs/>
          <w:sz w:val="22"/>
          <w:szCs w:val="22"/>
          <w:lang w:val="sr-Latn-ME"/>
        </w:rPr>
        <w:t xml:space="preserve">0,70 (n = 40; 95% CI: 0,42; 1,18), u poređenju sa placebom gdje je iznosila 0,41 (n = 46; 95% CI: 0,23; 0,73) [odnos stopa: 1,70; 95% CI: 0,78; 3,69]. </w:t>
      </w:r>
    </w:p>
    <w:p w14:paraId="17F5623F" w14:textId="77777777" w:rsidR="00403080" w:rsidRPr="00F65520" w:rsidRDefault="00403080" w:rsidP="00403080">
      <w:pPr>
        <w:tabs>
          <w:tab w:val="left" w:pos="284"/>
        </w:tabs>
        <w:jc w:val="both"/>
        <w:rPr>
          <w:bCs/>
          <w:strike/>
          <w:sz w:val="22"/>
          <w:szCs w:val="22"/>
          <w:lang w:val="sr-Latn-ME"/>
        </w:rPr>
      </w:pPr>
    </w:p>
    <w:p w14:paraId="3BC6D212" w14:textId="7B6403E6" w:rsidR="00403080" w:rsidRPr="00F65520" w:rsidRDefault="00403080" w:rsidP="00403080">
      <w:pPr>
        <w:tabs>
          <w:tab w:val="left" w:pos="284"/>
        </w:tabs>
        <w:jc w:val="both"/>
        <w:rPr>
          <w:bCs/>
          <w:sz w:val="22"/>
          <w:szCs w:val="22"/>
          <w:lang w:val="sr-Latn-ME"/>
        </w:rPr>
      </w:pPr>
      <w:r w:rsidRPr="00F65520">
        <w:rPr>
          <w:bCs/>
          <w:sz w:val="22"/>
          <w:szCs w:val="22"/>
          <w:lang w:val="sr-Latn-ME"/>
        </w:rPr>
        <w:t xml:space="preserve">Adolescenti uzrasta od 12 do 17 godina (n=86) iz Ispitivanja 1 i 2 nastavili su liječenje </w:t>
      </w:r>
      <w:r w:rsidR="00272E45" w:rsidRPr="00F65520">
        <w:rPr>
          <w:bCs/>
          <w:sz w:val="22"/>
          <w:szCs w:val="22"/>
          <w:lang w:val="sr-Latn-ME"/>
        </w:rPr>
        <w:t>benralizumabom</w:t>
      </w:r>
      <w:r w:rsidR="00272E45" w:rsidRPr="00F65520" w:rsidDel="00272E45">
        <w:rPr>
          <w:bCs/>
          <w:sz w:val="22"/>
          <w:szCs w:val="22"/>
          <w:lang w:val="sr-Latn-ME"/>
        </w:rPr>
        <w:t xml:space="preserve"> </w:t>
      </w:r>
      <w:r w:rsidRPr="00F65520">
        <w:rPr>
          <w:bCs/>
          <w:sz w:val="22"/>
          <w:szCs w:val="22"/>
          <w:lang w:val="sr-Latn-ME"/>
        </w:rPr>
        <w:t xml:space="preserve">u Ispitivanju 4 </w:t>
      </w:r>
      <w:r w:rsidR="003A1563" w:rsidRPr="00F65520">
        <w:rPr>
          <w:bCs/>
          <w:sz w:val="22"/>
          <w:szCs w:val="22"/>
          <w:lang w:val="sr-Latn-ME"/>
        </w:rPr>
        <w:t>do</w:t>
      </w:r>
      <w:r w:rsidRPr="00F65520">
        <w:rPr>
          <w:bCs/>
          <w:sz w:val="22"/>
          <w:szCs w:val="22"/>
          <w:lang w:val="sr-Latn-ME"/>
        </w:rPr>
        <w:t xml:space="preserve"> 108 nedjelja. Efikasno</w:t>
      </w:r>
      <w:r w:rsidR="004F0241" w:rsidRPr="00F65520">
        <w:rPr>
          <w:bCs/>
          <w:sz w:val="22"/>
          <w:szCs w:val="22"/>
          <w:lang w:val="sr-Latn-ME"/>
        </w:rPr>
        <w:t>s</w:t>
      </w:r>
      <w:r w:rsidRPr="00F65520">
        <w:rPr>
          <w:bCs/>
          <w:sz w:val="22"/>
          <w:szCs w:val="22"/>
          <w:lang w:val="sr-Latn-ME"/>
        </w:rPr>
        <w:t>t i bezbjednost bile su u skladu sa onima iz prethodnih ispitivanja.</w:t>
      </w:r>
    </w:p>
    <w:p w14:paraId="5937EA3E" w14:textId="77777777" w:rsidR="0076003A" w:rsidRDefault="0076003A" w:rsidP="00403080">
      <w:pPr>
        <w:tabs>
          <w:tab w:val="left" w:pos="284"/>
        </w:tabs>
        <w:jc w:val="both"/>
        <w:rPr>
          <w:bCs/>
          <w:sz w:val="22"/>
          <w:szCs w:val="22"/>
          <w:lang w:val="sr-Latn-ME"/>
        </w:rPr>
      </w:pPr>
    </w:p>
    <w:p w14:paraId="5F89A0E1" w14:textId="754F8D2F" w:rsidR="0076003A" w:rsidRDefault="0076003A" w:rsidP="00403080">
      <w:pPr>
        <w:tabs>
          <w:tab w:val="left" w:pos="284"/>
        </w:tabs>
        <w:jc w:val="both"/>
        <w:rPr>
          <w:bCs/>
          <w:sz w:val="22"/>
          <w:szCs w:val="22"/>
          <w:lang w:val="sr-Latn-ME"/>
        </w:rPr>
      </w:pPr>
      <w:r w:rsidRPr="0076003A">
        <w:rPr>
          <w:bCs/>
          <w:sz w:val="22"/>
          <w:szCs w:val="22"/>
          <w:lang w:val="sr-Latn-ME"/>
        </w:rPr>
        <w:t>U otvorenoj, nekontrolisanoj farmakokinetičkoj i farmakodinamičkoj studiji u trajanju od 48 ned</w:t>
      </w:r>
      <w:r>
        <w:rPr>
          <w:bCs/>
          <w:sz w:val="22"/>
          <w:szCs w:val="22"/>
          <w:lang w:val="sr-Latn-ME"/>
        </w:rPr>
        <w:t>j</w:t>
      </w:r>
      <w:r w:rsidRPr="0076003A">
        <w:rPr>
          <w:bCs/>
          <w:sz w:val="22"/>
          <w:szCs w:val="22"/>
          <w:lang w:val="sr-Latn-ME"/>
        </w:rPr>
        <w:t xml:space="preserve">elja kod ograničenog broja pacijenata od 6 do 11 godina (n=28) sa nekontrolisanom teškom astmom, </w:t>
      </w:r>
      <w:r w:rsidR="008437DF">
        <w:rPr>
          <w:bCs/>
          <w:sz w:val="22"/>
          <w:szCs w:val="22"/>
          <w:lang w:val="sr-Latn-ME"/>
        </w:rPr>
        <w:t xml:space="preserve">veličina </w:t>
      </w:r>
      <w:r w:rsidRPr="0076003A">
        <w:rPr>
          <w:bCs/>
          <w:sz w:val="22"/>
          <w:szCs w:val="22"/>
          <w:lang w:val="sr-Latn-ME"/>
        </w:rPr>
        <w:t>smanjenja eozinofila u krvi bila je slična kao kod odraslih i adolescenata.</w:t>
      </w:r>
    </w:p>
    <w:p w14:paraId="43AB05DE" w14:textId="77777777" w:rsidR="0076003A" w:rsidRDefault="0076003A" w:rsidP="00403080">
      <w:pPr>
        <w:tabs>
          <w:tab w:val="left" w:pos="284"/>
        </w:tabs>
        <w:jc w:val="both"/>
        <w:rPr>
          <w:bCs/>
          <w:sz w:val="22"/>
          <w:szCs w:val="22"/>
          <w:lang w:val="sr-Latn-ME"/>
        </w:rPr>
      </w:pPr>
    </w:p>
    <w:p w14:paraId="22247624" w14:textId="333D5EA3" w:rsidR="00403080" w:rsidRPr="00F65520" w:rsidRDefault="00403080" w:rsidP="00403080">
      <w:pPr>
        <w:tabs>
          <w:tab w:val="left" w:pos="284"/>
        </w:tabs>
        <w:jc w:val="both"/>
        <w:rPr>
          <w:bCs/>
          <w:sz w:val="22"/>
          <w:szCs w:val="22"/>
          <w:lang w:val="sr-Latn-ME"/>
        </w:rPr>
      </w:pPr>
      <w:r w:rsidRPr="00F65520">
        <w:rPr>
          <w:bCs/>
          <w:sz w:val="22"/>
          <w:szCs w:val="22"/>
          <w:lang w:val="sr-Latn-ME"/>
        </w:rPr>
        <w:t>Nije moguće don</w:t>
      </w:r>
      <w:r w:rsidR="00A63A59" w:rsidRPr="00F65520">
        <w:rPr>
          <w:bCs/>
          <w:sz w:val="22"/>
          <w:szCs w:val="22"/>
          <w:lang w:val="sr-Latn-ME"/>
        </w:rPr>
        <w:t>ij</w:t>
      </w:r>
      <w:r w:rsidRPr="00F65520">
        <w:rPr>
          <w:bCs/>
          <w:sz w:val="22"/>
          <w:szCs w:val="22"/>
          <w:lang w:val="sr-Latn-ME"/>
        </w:rPr>
        <w:t>eti zaključke o efikasnosti kod pedijatrijske populacije sa astmom</w:t>
      </w:r>
      <w:r w:rsidR="008437DF">
        <w:rPr>
          <w:bCs/>
          <w:sz w:val="22"/>
          <w:szCs w:val="22"/>
          <w:lang w:val="sr-Latn-ME"/>
        </w:rPr>
        <w:t xml:space="preserve"> (vidjeti dio 4.2)</w:t>
      </w:r>
      <w:r w:rsidRPr="00F65520">
        <w:rPr>
          <w:bCs/>
          <w:sz w:val="22"/>
          <w:szCs w:val="22"/>
          <w:lang w:val="sr-Latn-ME"/>
        </w:rPr>
        <w:t>.</w:t>
      </w:r>
    </w:p>
    <w:p w14:paraId="096B39A6" w14:textId="77777777" w:rsidR="00403080" w:rsidRPr="00F65520" w:rsidRDefault="00403080" w:rsidP="00403080">
      <w:pPr>
        <w:tabs>
          <w:tab w:val="left" w:pos="284"/>
        </w:tabs>
        <w:jc w:val="both"/>
        <w:rPr>
          <w:bCs/>
          <w:sz w:val="22"/>
          <w:szCs w:val="22"/>
          <w:lang w:val="sr-Latn-ME"/>
        </w:rPr>
      </w:pPr>
    </w:p>
    <w:p w14:paraId="718F57B0" w14:textId="52B088CE" w:rsidR="00403080" w:rsidRPr="00F65520" w:rsidRDefault="00403080" w:rsidP="00403080">
      <w:pPr>
        <w:tabs>
          <w:tab w:val="left" w:pos="284"/>
        </w:tabs>
        <w:jc w:val="both"/>
        <w:rPr>
          <w:bCs/>
          <w:sz w:val="22"/>
          <w:szCs w:val="22"/>
          <w:lang w:val="sr-Latn-ME"/>
        </w:rPr>
      </w:pPr>
      <w:r w:rsidRPr="00F65520">
        <w:rPr>
          <w:bCs/>
          <w:sz w:val="22"/>
          <w:szCs w:val="22"/>
          <w:lang w:val="sr-Latn-ME"/>
        </w:rPr>
        <w:t xml:space="preserve">Evropska agencija za ljekove odložila je obavezu podnošenja rezultata ispitivanja </w:t>
      </w:r>
      <w:r w:rsidR="00272E45" w:rsidRPr="00F65520">
        <w:rPr>
          <w:bCs/>
          <w:sz w:val="22"/>
          <w:szCs w:val="22"/>
          <w:lang w:val="sr-Latn-ME"/>
        </w:rPr>
        <w:t xml:space="preserve">benralizumaba </w:t>
      </w:r>
      <w:r w:rsidRPr="00F65520">
        <w:rPr>
          <w:bCs/>
          <w:sz w:val="22"/>
          <w:szCs w:val="22"/>
          <w:lang w:val="sr-Latn-ME"/>
        </w:rPr>
        <w:t>u jednoj ili više podgrupa pedijatrijske populacije za astmu (vidjeti odjeljak 4.2 za informacije o upotrebi u pedijatrijskoj populaciji).</w:t>
      </w:r>
    </w:p>
    <w:p w14:paraId="1138AC18" w14:textId="77777777" w:rsidR="00D17E13" w:rsidRPr="00F65520" w:rsidRDefault="00D17E13" w:rsidP="00480FB1">
      <w:pPr>
        <w:tabs>
          <w:tab w:val="left" w:pos="540"/>
          <w:tab w:val="left" w:pos="569"/>
        </w:tabs>
        <w:rPr>
          <w:b/>
          <w:bCs/>
          <w:sz w:val="22"/>
          <w:szCs w:val="22"/>
          <w:lang w:val="sr-Latn-ME"/>
        </w:rPr>
      </w:pPr>
    </w:p>
    <w:p w14:paraId="0878B64F" w14:textId="77777777" w:rsidR="0072020E" w:rsidRPr="00F65520" w:rsidRDefault="0072020E" w:rsidP="00480FB1">
      <w:pPr>
        <w:tabs>
          <w:tab w:val="left" w:pos="540"/>
          <w:tab w:val="left" w:pos="569"/>
        </w:tabs>
        <w:rPr>
          <w:b/>
          <w:bCs/>
          <w:sz w:val="22"/>
          <w:szCs w:val="22"/>
          <w:lang w:val="sr-Latn-ME"/>
        </w:rPr>
      </w:pPr>
      <w:r w:rsidRPr="00F65520">
        <w:rPr>
          <w:b/>
          <w:bCs/>
          <w:sz w:val="22"/>
          <w:szCs w:val="22"/>
          <w:lang w:val="sr-Latn-ME"/>
        </w:rPr>
        <w:t xml:space="preserve">5.2. </w:t>
      </w:r>
      <w:r w:rsidR="00480FB1" w:rsidRPr="00F65520">
        <w:rPr>
          <w:b/>
          <w:bCs/>
          <w:sz w:val="22"/>
          <w:szCs w:val="22"/>
          <w:lang w:val="sr-Latn-ME"/>
        </w:rPr>
        <w:tab/>
      </w:r>
      <w:r w:rsidRPr="00F65520">
        <w:rPr>
          <w:b/>
          <w:bCs/>
          <w:sz w:val="22"/>
          <w:szCs w:val="22"/>
          <w:lang w:val="sr-Latn-ME"/>
        </w:rPr>
        <w:t>Farmakokinetički podaci</w:t>
      </w:r>
      <w:r w:rsidR="003A7059" w:rsidRPr="00F65520">
        <w:rPr>
          <w:b/>
          <w:bCs/>
          <w:sz w:val="22"/>
          <w:szCs w:val="22"/>
          <w:lang w:val="sr-Latn-ME"/>
        </w:rPr>
        <w:t xml:space="preserve"> </w:t>
      </w:r>
    </w:p>
    <w:p w14:paraId="19F6A03C" w14:textId="225FA314" w:rsidR="0072020E" w:rsidRPr="00F65520" w:rsidRDefault="0072020E" w:rsidP="00480FB1">
      <w:pPr>
        <w:tabs>
          <w:tab w:val="left" w:pos="540"/>
          <w:tab w:val="left" w:pos="569"/>
        </w:tabs>
        <w:rPr>
          <w:bCs/>
          <w:sz w:val="22"/>
          <w:szCs w:val="22"/>
          <w:lang w:val="sr-Latn-ME"/>
        </w:rPr>
      </w:pPr>
    </w:p>
    <w:p w14:paraId="37ED3731" w14:textId="424CB49D" w:rsidR="00404C17" w:rsidRPr="00F65520" w:rsidRDefault="00404C17" w:rsidP="00404C17">
      <w:pPr>
        <w:tabs>
          <w:tab w:val="left" w:pos="284"/>
        </w:tabs>
        <w:jc w:val="both"/>
        <w:rPr>
          <w:bCs/>
          <w:sz w:val="22"/>
          <w:szCs w:val="22"/>
          <w:lang w:val="sr-Latn-ME"/>
        </w:rPr>
      </w:pPr>
      <w:r w:rsidRPr="00F65520">
        <w:rPr>
          <w:bCs/>
          <w:sz w:val="22"/>
          <w:szCs w:val="22"/>
          <w:lang w:val="sr-Latn-ME"/>
        </w:rPr>
        <w:t>Farmakokinetika benralizumaba ko</w:t>
      </w:r>
      <w:r w:rsidR="00533AC7" w:rsidRPr="00F65520">
        <w:rPr>
          <w:bCs/>
          <w:sz w:val="22"/>
          <w:szCs w:val="22"/>
          <w:lang w:val="sr-Latn-ME"/>
        </w:rPr>
        <w:t xml:space="preserve">d pacijenata sa astmom nakon </w:t>
      </w:r>
      <w:r w:rsidR="00F65520" w:rsidRPr="00F65520">
        <w:rPr>
          <w:bCs/>
          <w:sz w:val="22"/>
          <w:szCs w:val="22"/>
          <w:lang w:val="sr-Latn-ME"/>
        </w:rPr>
        <w:t>su</w:t>
      </w:r>
      <w:r w:rsidR="00F65520">
        <w:rPr>
          <w:bCs/>
          <w:sz w:val="22"/>
          <w:szCs w:val="22"/>
          <w:lang w:val="sr-Latn-ME"/>
        </w:rPr>
        <w:t>p</w:t>
      </w:r>
      <w:r w:rsidR="00F65520" w:rsidRPr="00F65520">
        <w:rPr>
          <w:bCs/>
          <w:sz w:val="22"/>
          <w:szCs w:val="22"/>
          <w:lang w:val="sr-Latn-ME"/>
        </w:rPr>
        <w:t xml:space="preserve">kutane </w:t>
      </w:r>
      <w:r w:rsidRPr="00F65520">
        <w:rPr>
          <w:bCs/>
          <w:sz w:val="22"/>
          <w:szCs w:val="22"/>
          <w:lang w:val="sr-Latn-ME"/>
        </w:rPr>
        <w:t xml:space="preserve">primjene doza u rasponu od 2 do 200 mg bila je proporcionalna dozi. </w:t>
      </w:r>
    </w:p>
    <w:p w14:paraId="226B16FD" w14:textId="77777777" w:rsidR="00404C17" w:rsidRPr="00F65520" w:rsidRDefault="00404C17" w:rsidP="00404C17">
      <w:pPr>
        <w:tabs>
          <w:tab w:val="left" w:pos="284"/>
        </w:tabs>
        <w:jc w:val="both"/>
        <w:rPr>
          <w:bCs/>
          <w:sz w:val="22"/>
          <w:szCs w:val="22"/>
          <w:lang w:val="sr-Latn-ME"/>
        </w:rPr>
      </w:pPr>
    </w:p>
    <w:p w14:paraId="015DA6A1" w14:textId="77777777" w:rsidR="00404C17" w:rsidRPr="00F65520" w:rsidRDefault="00404C17" w:rsidP="00404C17">
      <w:pPr>
        <w:tabs>
          <w:tab w:val="left" w:pos="284"/>
        </w:tabs>
        <w:jc w:val="both"/>
        <w:rPr>
          <w:bCs/>
          <w:sz w:val="22"/>
          <w:szCs w:val="22"/>
          <w:u w:val="single"/>
          <w:lang w:val="sr-Latn-ME"/>
        </w:rPr>
      </w:pPr>
      <w:r w:rsidRPr="00F65520">
        <w:rPr>
          <w:bCs/>
          <w:sz w:val="22"/>
          <w:szCs w:val="22"/>
          <w:u w:val="single"/>
          <w:lang w:val="sr-Latn-ME"/>
        </w:rPr>
        <w:t>Resorpcija</w:t>
      </w:r>
    </w:p>
    <w:p w14:paraId="00CE233E" w14:textId="77777777" w:rsidR="00404C17" w:rsidRPr="00F65520" w:rsidRDefault="00404C17" w:rsidP="00404C17">
      <w:pPr>
        <w:tabs>
          <w:tab w:val="left" w:pos="284"/>
        </w:tabs>
        <w:jc w:val="both"/>
        <w:rPr>
          <w:bCs/>
          <w:sz w:val="22"/>
          <w:szCs w:val="22"/>
          <w:u w:val="single"/>
          <w:lang w:val="sr-Latn-ME"/>
        </w:rPr>
      </w:pPr>
    </w:p>
    <w:p w14:paraId="7F2AB034" w14:textId="13B9CBB2" w:rsidR="00404C17" w:rsidRPr="00F65520" w:rsidRDefault="00533AC7" w:rsidP="00404C17">
      <w:pPr>
        <w:tabs>
          <w:tab w:val="left" w:pos="284"/>
        </w:tabs>
        <w:jc w:val="both"/>
        <w:rPr>
          <w:bCs/>
          <w:sz w:val="22"/>
          <w:szCs w:val="22"/>
          <w:lang w:val="sr-Latn-ME"/>
        </w:rPr>
      </w:pPr>
      <w:r w:rsidRPr="00F65520">
        <w:rPr>
          <w:bCs/>
          <w:sz w:val="22"/>
          <w:szCs w:val="22"/>
          <w:lang w:val="sr-Latn-ME"/>
        </w:rPr>
        <w:t>Nakon su</w:t>
      </w:r>
      <w:r w:rsidR="00F65520">
        <w:rPr>
          <w:bCs/>
          <w:sz w:val="22"/>
          <w:szCs w:val="22"/>
          <w:lang w:val="sr-Latn-ME"/>
        </w:rPr>
        <w:t>p</w:t>
      </w:r>
      <w:r w:rsidR="00404C17" w:rsidRPr="00F65520">
        <w:rPr>
          <w:bCs/>
          <w:sz w:val="22"/>
          <w:szCs w:val="22"/>
          <w:lang w:val="sr-Latn-ME"/>
        </w:rPr>
        <w:t>kutane primjene pacijentima sa astmom, poluvrijeme resorpcije iznosilo je 3,5 dana. Prema populacionoj farmakokinetičkoj analizi, proc</w:t>
      </w:r>
      <w:r w:rsidR="00F9414B" w:rsidRPr="00F65520">
        <w:rPr>
          <w:bCs/>
          <w:sz w:val="22"/>
          <w:szCs w:val="22"/>
          <w:lang w:val="sr-Latn-ME"/>
        </w:rPr>
        <w:t>i</w:t>
      </w:r>
      <w:r w:rsidR="00404C17" w:rsidRPr="00F65520">
        <w:rPr>
          <w:bCs/>
          <w:sz w:val="22"/>
          <w:szCs w:val="22"/>
          <w:lang w:val="sr-Latn-ME"/>
        </w:rPr>
        <w:t>jenjena apsolutna bioraspoloživost iznosila je približno 59%, a nije bilo klinički značajne razlike u relativnoj bioraspoloživosti kada se lijek prim</w:t>
      </w:r>
      <w:r w:rsidR="00F9414B" w:rsidRPr="00F65520">
        <w:rPr>
          <w:bCs/>
          <w:sz w:val="22"/>
          <w:szCs w:val="22"/>
          <w:lang w:val="sr-Latn-ME"/>
        </w:rPr>
        <w:t>ij</w:t>
      </w:r>
      <w:r w:rsidR="00404C17" w:rsidRPr="00F65520">
        <w:rPr>
          <w:bCs/>
          <w:sz w:val="22"/>
          <w:szCs w:val="22"/>
          <w:lang w:val="sr-Latn-ME"/>
        </w:rPr>
        <w:t>enio u abdomen, bedro ili nadlakticu.</w:t>
      </w:r>
    </w:p>
    <w:p w14:paraId="23B6A673" w14:textId="77777777" w:rsidR="00404C17" w:rsidRPr="00F65520" w:rsidRDefault="00404C17" w:rsidP="00404C17">
      <w:pPr>
        <w:tabs>
          <w:tab w:val="left" w:pos="284"/>
        </w:tabs>
        <w:jc w:val="both"/>
        <w:rPr>
          <w:bCs/>
          <w:sz w:val="22"/>
          <w:szCs w:val="22"/>
          <w:lang w:val="sr-Latn-ME"/>
        </w:rPr>
      </w:pPr>
    </w:p>
    <w:p w14:paraId="311C5621" w14:textId="77777777" w:rsidR="00404C17" w:rsidRPr="00F65520" w:rsidRDefault="00404C17" w:rsidP="00404C17">
      <w:pPr>
        <w:tabs>
          <w:tab w:val="left" w:pos="284"/>
        </w:tabs>
        <w:jc w:val="both"/>
        <w:rPr>
          <w:bCs/>
          <w:sz w:val="22"/>
          <w:szCs w:val="22"/>
          <w:u w:val="single"/>
          <w:lang w:val="sr-Latn-ME"/>
        </w:rPr>
      </w:pPr>
      <w:r w:rsidRPr="00F65520">
        <w:rPr>
          <w:bCs/>
          <w:sz w:val="22"/>
          <w:szCs w:val="22"/>
          <w:u w:val="single"/>
          <w:lang w:val="sr-Latn-ME"/>
        </w:rPr>
        <w:t>Distribucija</w:t>
      </w:r>
    </w:p>
    <w:p w14:paraId="27210D5A" w14:textId="77777777" w:rsidR="00404C17" w:rsidRPr="00F65520" w:rsidRDefault="00404C17" w:rsidP="00404C17">
      <w:pPr>
        <w:tabs>
          <w:tab w:val="left" w:pos="284"/>
        </w:tabs>
        <w:jc w:val="both"/>
        <w:rPr>
          <w:bCs/>
          <w:sz w:val="22"/>
          <w:szCs w:val="22"/>
          <w:u w:val="single"/>
          <w:lang w:val="sr-Latn-ME"/>
        </w:rPr>
      </w:pPr>
    </w:p>
    <w:p w14:paraId="3A09F59C" w14:textId="2C58BB78" w:rsidR="00404C17" w:rsidRPr="00F65520" w:rsidRDefault="00404C17" w:rsidP="00404C17">
      <w:pPr>
        <w:tabs>
          <w:tab w:val="left" w:pos="284"/>
        </w:tabs>
        <w:jc w:val="both"/>
        <w:rPr>
          <w:bCs/>
          <w:sz w:val="22"/>
          <w:szCs w:val="22"/>
          <w:lang w:val="sr-Latn-ME"/>
        </w:rPr>
      </w:pPr>
      <w:r w:rsidRPr="00F65520">
        <w:rPr>
          <w:bCs/>
          <w:sz w:val="22"/>
          <w:szCs w:val="22"/>
          <w:lang w:val="sr-Latn-ME"/>
        </w:rPr>
        <w:t xml:space="preserve">Prema populacionoj farmakokinetičkoj analizi, centralni i periferni volumen distribucije benralizumaba kod osobe tjelesne mase 70 kg iznosio je 3,1 </w:t>
      </w:r>
      <w:r w:rsidR="00F9414B" w:rsidRPr="00F65520">
        <w:rPr>
          <w:bCs/>
          <w:sz w:val="22"/>
          <w:szCs w:val="22"/>
          <w:lang w:val="sr-Latn-ME"/>
        </w:rPr>
        <w:t>l</w:t>
      </w:r>
      <w:r w:rsidRPr="00F65520">
        <w:rPr>
          <w:bCs/>
          <w:sz w:val="22"/>
          <w:szCs w:val="22"/>
          <w:lang w:val="sr-Latn-ME"/>
        </w:rPr>
        <w:t xml:space="preserve">, odnosno 2,5 </w:t>
      </w:r>
      <w:r w:rsidR="00F9414B" w:rsidRPr="00F65520">
        <w:rPr>
          <w:bCs/>
          <w:sz w:val="22"/>
          <w:szCs w:val="22"/>
          <w:lang w:val="sr-Latn-ME"/>
        </w:rPr>
        <w:t>l</w:t>
      </w:r>
      <w:r w:rsidRPr="00F65520">
        <w:rPr>
          <w:bCs/>
          <w:sz w:val="22"/>
          <w:szCs w:val="22"/>
          <w:lang w:val="sr-Latn-ME"/>
        </w:rPr>
        <w:t>.</w:t>
      </w:r>
    </w:p>
    <w:p w14:paraId="2B203931" w14:textId="77777777" w:rsidR="00404C17" w:rsidRPr="00F65520" w:rsidRDefault="00404C17" w:rsidP="00404C17">
      <w:pPr>
        <w:tabs>
          <w:tab w:val="left" w:pos="284"/>
        </w:tabs>
        <w:jc w:val="both"/>
        <w:rPr>
          <w:bCs/>
          <w:sz w:val="22"/>
          <w:szCs w:val="22"/>
          <w:lang w:val="sr-Latn-ME"/>
        </w:rPr>
      </w:pPr>
    </w:p>
    <w:p w14:paraId="0E3EC646" w14:textId="77777777" w:rsidR="00404C17" w:rsidRPr="00F65520" w:rsidRDefault="00404C17" w:rsidP="00404C17">
      <w:pPr>
        <w:tabs>
          <w:tab w:val="left" w:pos="284"/>
        </w:tabs>
        <w:jc w:val="both"/>
        <w:rPr>
          <w:bCs/>
          <w:sz w:val="22"/>
          <w:szCs w:val="22"/>
          <w:u w:val="single"/>
          <w:lang w:val="sr-Latn-ME"/>
        </w:rPr>
      </w:pPr>
      <w:r w:rsidRPr="00F65520">
        <w:rPr>
          <w:bCs/>
          <w:sz w:val="22"/>
          <w:szCs w:val="22"/>
          <w:u w:val="single"/>
          <w:lang w:val="sr-Latn-ME"/>
        </w:rPr>
        <w:t>Biotransformacija</w:t>
      </w:r>
    </w:p>
    <w:p w14:paraId="19492B1F" w14:textId="77777777" w:rsidR="00404C17" w:rsidRPr="00F65520" w:rsidRDefault="00404C17" w:rsidP="00404C17">
      <w:pPr>
        <w:tabs>
          <w:tab w:val="left" w:pos="284"/>
        </w:tabs>
        <w:jc w:val="both"/>
        <w:rPr>
          <w:bCs/>
          <w:sz w:val="22"/>
          <w:szCs w:val="22"/>
          <w:u w:val="single"/>
          <w:lang w:val="sr-Latn-ME"/>
        </w:rPr>
      </w:pPr>
    </w:p>
    <w:p w14:paraId="270806E0" w14:textId="77777777" w:rsidR="00404C17" w:rsidRPr="00F65520" w:rsidRDefault="00404C17" w:rsidP="00404C17">
      <w:pPr>
        <w:tabs>
          <w:tab w:val="left" w:pos="284"/>
        </w:tabs>
        <w:jc w:val="both"/>
        <w:rPr>
          <w:bCs/>
          <w:sz w:val="22"/>
          <w:szCs w:val="22"/>
          <w:lang w:val="sr-Latn-ME"/>
        </w:rPr>
      </w:pPr>
      <w:r w:rsidRPr="00F65520">
        <w:rPr>
          <w:bCs/>
          <w:sz w:val="22"/>
          <w:szCs w:val="22"/>
          <w:lang w:val="sr-Latn-ME"/>
        </w:rPr>
        <w:t>Benralizumab je humanizovano IgG1 monoklonsko antitijelo koje razgrađuju proteolitički enzimi koji su rasprostranjeni po cijelom tijelu i nisu ograničeni na tkivo jetre.</w:t>
      </w:r>
    </w:p>
    <w:p w14:paraId="79FC8534" w14:textId="77777777" w:rsidR="00404C17" w:rsidRPr="00F65520" w:rsidRDefault="00404C17" w:rsidP="00404C17">
      <w:pPr>
        <w:tabs>
          <w:tab w:val="left" w:pos="284"/>
        </w:tabs>
        <w:jc w:val="both"/>
        <w:rPr>
          <w:bCs/>
          <w:sz w:val="22"/>
          <w:szCs w:val="22"/>
          <w:lang w:val="sr-Latn-ME"/>
        </w:rPr>
      </w:pPr>
    </w:p>
    <w:p w14:paraId="678F272E" w14:textId="77777777" w:rsidR="00404C17" w:rsidRPr="00F65520" w:rsidRDefault="00404C17" w:rsidP="00404C17">
      <w:pPr>
        <w:tabs>
          <w:tab w:val="left" w:pos="284"/>
        </w:tabs>
        <w:jc w:val="both"/>
        <w:rPr>
          <w:bCs/>
          <w:sz w:val="22"/>
          <w:szCs w:val="22"/>
          <w:u w:val="single"/>
          <w:lang w:val="sr-Latn-ME"/>
        </w:rPr>
      </w:pPr>
      <w:r w:rsidRPr="00F65520">
        <w:rPr>
          <w:bCs/>
          <w:sz w:val="22"/>
          <w:szCs w:val="22"/>
          <w:u w:val="single"/>
          <w:lang w:val="sr-Latn-ME"/>
        </w:rPr>
        <w:t>Eliminacija</w:t>
      </w:r>
    </w:p>
    <w:p w14:paraId="79DF0352" w14:textId="77777777" w:rsidR="00404C17" w:rsidRPr="00F65520" w:rsidRDefault="00404C17" w:rsidP="00404C17">
      <w:pPr>
        <w:tabs>
          <w:tab w:val="left" w:pos="284"/>
        </w:tabs>
        <w:jc w:val="both"/>
        <w:rPr>
          <w:bCs/>
          <w:sz w:val="22"/>
          <w:szCs w:val="22"/>
          <w:u w:val="single"/>
          <w:lang w:val="sr-Latn-ME"/>
        </w:rPr>
      </w:pPr>
    </w:p>
    <w:p w14:paraId="7B8F6B67" w14:textId="6F3124CC" w:rsidR="00404C17" w:rsidRPr="00F65520" w:rsidRDefault="00404C17" w:rsidP="00404C17">
      <w:pPr>
        <w:tabs>
          <w:tab w:val="left" w:pos="284"/>
        </w:tabs>
        <w:jc w:val="both"/>
        <w:rPr>
          <w:bCs/>
          <w:sz w:val="22"/>
          <w:szCs w:val="22"/>
          <w:lang w:val="sr-Latn-ME"/>
        </w:rPr>
      </w:pPr>
      <w:r w:rsidRPr="00F65520">
        <w:rPr>
          <w:bCs/>
          <w:sz w:val="22"/>
          <w:szCs w:val="22"/>
          <w:lang w:val="sr-Latn-ME"/>
        </w:rPr>
        <w:t xml:space="preserve">Prema populacionoj farmakokinetičkoj analizi, benralizumab je pokazivao linearnu farmakokinetiku, bez dokaza klirensa posredovanog ciljnim receptorom. Procijenjeni sistemski klirens benralizumaba iznosio je 0,29 </w:t>
      </w:r>
      <w:r w:rsidR="00E96328" w:rsidRPr="00F65520">
        <w:rPr>
          <w:bCs/>
          <w:sz w:val="22"/>
          <w:szCs w:val="22"/>
          <w:lang w:val="sr-Latn-ME"/>
        </w:rPr>
        <w:t xml:space="preserve">l </w:t>
      </w:r>
      <w:r w:rsidRPr="00F65520">
        <w:rPr>
          <w:bCs/>
          <w:sz w:val="22"/>
          <w:szCs w:val="22"/>
          <w:lang w:val="sr-Latn-ME"/>
        </w:rPr>
        <w:t>na dan. P</w:t>
      </w:r>
      <w:r w:rsidR="00533AC7" w:rsidRPr="00F65520">
        <w:rPr>
          <w:bCs/>
          <w:sz w:val="22"/>
          <w:szCs w:val="22"/>
          <w:lang w:val="sr-Latn-ME"/>
        </w:rPr>
        <w:t xml:space="preserve">oluvrijeme eliminacije nakon </w:t>
      </w:r>
      <w:r w:rsidR="00F65520" w:rsidRPr="00F65520">
        <w:rPr>
          <w:bCs/>
          <w:sz w:val="22"/>
          <w:szCs w:val="22"/>
          <w:lang w:val="sr-Latn-ME"/>
        </w:rPr>
        <w:t>su</w:t>
      </w:r>
      <w:r w:rsidR="00F65520">
        <w:rPr>
          <w:bCs/>
          <w:sz w:val="22"/>
          <w:szCs w:val="22"/>
          <w:lang w:val="sr-Latn-ME"/>
        </w:rPr>
        <w:t>p</w:t>
      </w:r>
      <w:r w:rsidR="00F65520" w:rsidRPr="00F65520">
        <w:rPr>
          <w:bCs/>
          <w:sz w:val="22"/>
          <w:szCs w:val="22"/>
          <w:lang w:val="sr-Latn-ME"/>
        </w:rPr>
        <w:t xml:space="preserve">kutane </w:t>
      </w:r>
      <w:r w:rsidRPr="00F65520">
        <w:rPr>
          <w:bCs/>
          <w:sz w:val="22"/>
          <w:szCs w:val="22"/>
          <w:lang w:val="sr-Latn-ME"/>
        </w:rPr>
        <w:t xml:space="preserve">primjene iznosilo je približno 15,5 dana. </w:t>
      </w:r>
    </w:p>
    <w:p w14:paraId="4818501E" w14:textId="77777777" w:rsidR="00404C17" w:rsidRPr="00F65520" w:rsidRDefault="00404C17" w:rsidP="00404C17">
      <w:pPr>
        <w:tabs>
          <w:tab w:val="left" w:pos="284"/>
        </w:tabs>
        <w:jc w:val="both"/>
        <w:rPr>
          <w:bCs/>
          <w:sz w:val="22"/>
          <w:szCs w:val="22"/>
          <w:lang w:val="sr-Latn-ME"/>
        </w:rPr>
      </w:pPr>
    </w:p>
    <w:p w14:paraId="67C678EB" w14:textId="77777777" w:rsidR="00404C17" w:rsidRPr="00F65520" w:rsidRDefault="00404C17" w:rsidP="00404C17">
      <w:pPr>
        <w:tabs>
          <w:tab w:val="left" w:pos="284"/>
        </w:tabs>
        <w:jc w:val="both"/>
        <w:rPr>
          <w:bCs/>
          <w:sz w:val="22"/>
          <w:szCs w:val="22"/>
          <w:u w:val="single"/>
          <w:lang w:val="sr-Latn-ME"/>
        </w:rPr>
      </w:pPr>
      <w:r w:rsidRPr="00F65520">
        <w:rPr>
          <w:bCs/>
          <w:sz w:val="22"/>
          <w:szCs w:val="22"/>
          <w:u w:val="single"/>
          <w:lang w:val="sr-Latn-ME"/>
        </w:rPr>
        <w:t>Posebne populacije</w:t>
      </w:r>
    </w:p>
    <w:p w14:paraId="4419D066" w14:textId="77777777" w:rsidR="00404C17" w:rsidRPr="00F65520" w:rsidRDefault="00404C17" w:rsidP="00404C17">
      <w:pPr>
        <w:tabs>
          <w:tab w:val="left" w:pos="284"/>
        </w:tabs>
        <w:jc w:val="both"/>
        <w:rPr>
          <w:bCs/>
          <w:sz w:val="22"/>
          <w:szCs w:val="22"/>
          <w:u w:val="single"/>
          <w:lang w:val="sr-Latn-ME"/>
        </w:rPr>
      </w:pPr>
    </w:p>
    <w:p w14:paraId="2D5CAAA7" w14:textId="32AB83E1" w:rsidR="00404C17" w:rsidRPr="00F65520" w:rsidRDefault="00404C17" w:rsidP="00404C17">
      <w:pPr>
        <w:tabs>
          <w:tab w:val="left" w:pos="284"/>
        </w:tabs>
        <w:jc w:val="both"/>
        <w:rPr>
          <w:bCs/>
          <w:i/>
          <w:sz w:val="22"/>
          <w:szCs w:val="22"/>
          <w:lang w:val="sr-Latn-ME"/>
        </w:rPr>
      </w:pPr>
      <w:r w:rsidRPr="00F65520">
        <w:rPr>
          <w:bCs/>
          <w:i/>
          <w:sz w:val="22"/>
          <w:szCs w:val="22"/>
          <w:lang w:val="sr-Latn-ME"/>
        </w:rPr>
        <w:t>Stariji (≥ 65 godina)</w:t>
      </w:r>
    </w:p>
    <w:p w14:paraId="570B9B17" w14:textId="463D5E04" w:rsidR="00404C17" w:rsidRPr="00F65520" w:rsidRDefault="00404C17" w:rsidP="00404C17">
      <w:pPr>
        <w:tabs>
          <w:tab w:val="left" w:pos="284"/>
        </w:tabs>
        <w:jc w:val="both"/>
        <w:rPr>
          <w:bCs/>
          <w:sz w:val="22"/>
          <w:szCs w:val="22"/>
          <w:lang w:val="sr-Latn-ME"/>
        </w:rPr>
      </w:pPr>
      <w:r w:rsidRPr="00F65520">
        <w:rPr>
          <w:bCs/>
          <w:sz w:val="22"/>
          <w:szCs w:val="22"/>
          <w:lang w:val="sr-Latn-ME"/>
        </w:rPr>
        <w:t xml:space="preserve">Prema populacionoj farmakokinetičkoj analizi, </w:t>
      </w:r>
      <w:r w:rsidR="00E96328" w:rsidRPr="00F65520">
        <w:rPr>
          <w:bCs/>
          <w:sz w:val="22"/>
          <w:szCs w:val="22"/>
          <w:lang w:val="sr-Latn-ME"/>
        </w:rPr>
        <w:t xml:space="preserve"> životno doba </w:t>
      </w:r>
      <w:r w:rsidRPr="00F65520">
        <w:rPr>
          <w:bCs/>
          <w:sz w:val="22"/>
          <w:szCs w:val="22"/>
          <w:lang w:val="sr-Latn-ME"/>
        </w:rPr>
        <w:t>ne utiče na klirens benralizumaba. Međutim, nema dostupnih podataka za pacijente starije od 75 godina.</w:t>
      </w:r>
    </w:p>
    <w:p w14:paraId="734993B3" w14:textId="77777777" w:rsidR="00404C17" w:rsidRPr="00F65520" w:rsidRDefault="00404C17" w:rsidP="00404C17">
      <w:pPr>
        <w:tabs>
          <w:tab w:val="left" w:pos="284"/>
        </w:tabs>
        <w:jc w:val="both"/>
        <w:rPr>
          <w:bCs/>
          <w:sz w:val="22"/>
          <w:szCs w:val="22"/>
          <w:lang w:val="sr-Latn-ME"/>
        </w:rPr>
      </w:pPr>
    </w:p>
    <w:p w14:paraId="68B42BC4" w14:textId="77777777" w:rsidR="00404C17" w:rsidRPr="00F65520" w:rsidRDefault="00404C17" w:rsidP="00404C17">
      <w:pPr>
        <w:tabs>
          <w:tab w:val="left" w:pos="284"/>
        </w:tabs>
        <w:jc w:val="both"/>
        <w:rPr>
          <w:bCs/>
          <w:i/>
          <w:sz w:val="22"/>
          <w:szCs w:val="22"/>
          <w:lang w:val="sr-Latn-ME"/>
        </w:rPr>
      </w:pPr>
      <w:r w:rsidRPr="00F65520">
        <w:rPr>
          <w:bCs/>
          <w:i/>
          <w:sz w:val="22"/>
          <w:szCs w:val="22"/>
          <w:lang w:val="sr-Latn-ME"/>
        </w:rPr>
        <w:lastRenderedPageBreak/>
        <w:t>Pedijatrijska populacija</w:t>
      </w:r>
    </w:p>
    <w:p w14:paraId="62FFF437" w14:textId="26AB8AFD" w:rsidR="00404C17" w:rsidRPr="00F65520" w:rsidRDefault="00404C17" w:rsidP="00404C17">
      <w:pPr>
        <w:tabs>
          <w:tab w:val="left" w:pos="284"/>
        </w:tabs>
        <w:jc w:val="both"/>
        <w:rPr>
          <w:bCs/>
          <w:sz w:val="22"/>
          <w:szCs w:val="22"/>
          <w:lang w:val="sr-Latn-ME"/>
        </w:rPr>
      </w:pPr>
      <w:r w:rsidRPr="00F65520">
        <w:rPr>
          <w:bCs/>
          <w:sz w:val="22"/>
          <w:szCs w:val="22"/>
          <w:lang w:val="sr-Latn-ME"/>
        </w:rPr>
        <w:t>Prema populacionoj farmakokinetičkoj analizi</w:t>
      </w:r>
      <w:r w:rsidR="008437DF">
        <w:rPr>
          <w:bCs/>
          <w:sz w:val="22"/>
          <w:szCs w:val="22"/>
          <w:lang w:val="sr-Latn-ME"/>
        </w:rPr>
        <w:t xml:space="preserve"> i podacima iz kliničkih studija</w:t>
      </w:r>
      <w:r w:rsidRPr="00F65520">
        <w:rPr>
          <w:bCs/>
          <w:sz w:val="22"/>
          <w:szCs w:val="22"/>
          <w:lang w:val="sr-Latn-ME"/>
        </w:rPr>
        <w:t xml:space="preserve">, farmakokinetika benralizumaba kod </w:t>
      </w:r>
      <w:r w:rsidR="008437DF">
        <w:rPr>
          <w:bCs/>
          <w:sz w:val="22"/>
          <w:szCs w:val="22"/>
          <w:lang w:val="sr-Latn-ME"/>
        </w:rPr>
        <w:t xml:space="preserve">djece i </w:t>
      </w:r>
      <w:r w:rsidRPr="00F65520">
        <w:rPr>
          <w:bCs/>
          <w:sz w:val="22"/>
          <w:szCs w:val="22"/>
          <w:lang w:val="sr-Latn-ME"/>
        </w:rPr>
        <w:t xml:space="preserve">adolescenata uzrasta od </w:t>
      </w:r>
      <w:r w:rsidR="008437DF">
        <w:rPr>
          <w:bCs/>
          <w:sz w:val="22"/>
          <w:szCs w:val="22"/>
          <w:lang w:val="sr-Latn-ME"/>
        </w:rPr>
        <w:t>6</w:t>
      </w:r>
      <w:r w:rsidR="008437DF" w:rsidRPr="00F65520">
        <w:rPr>
          <w:bCs/>
          <w:sz w:val="22"/>
          <w:szCs w:val="22"/>
          <w:lang w:val="sr-Latn-ME"/>
        </w:rPr>
        <w:t xml:space="preserve"> </w:t>
      </w:r>
      <w:r w:rsidRPr="00F65520">
        <w:rPr>
          <w:bCs/>
          <w:sz w:val="22"/>
          <w:szCs w:val="22"/>
          <w:lang w:val="sr-Latn-ME"/>
        </w:rPr>
        <w:t>do 17 godina bila je u skladu sa onom koja je prim</w:t>
      </w:r>
      <w:r w:rsidR="00E96328" w:rsidRPr="00F65520">
        <w:rPr>
          <w:bCs/>
          <w:sz w:val="22"/>
          <w:szCs w:val="22"/>
          <w:lang w:val="sr-Latn-ME"/>
        </w:rPr>
        <w:t>i</w:t>
      </w:r>
      <w:r w:rsidRPr="00F65520">
        <w:rPr>
          <w:bCs/>
          <w:sz w:val="22"/>
          <w:szCs w:val="22"/>
          <w:lang w:val="sr-Latn-ME"/>
        </w:rPr>
        <w:t>jećena kod odraslih</w:t>
      </w:r>
      <w:r w:rsidR="008437DF">
        <w:rPr>
          <w:bCs/>
          <w:sz w:val="22"/>
          <w:szCs w:val="22"/>
          <w:lang w:val="sr-Latn-ME"/>
        </w:rPr>
        <w:t xml:space="preserve"> </w:t>
      </w:r>
      <w:r w:rsidR="008437DF" w:rsidRPr="008437DF">
        <w:rPr>
          <w:bCs/>
          <w:sz w:val="22"/>
          <w:szCs w:val="22"/>
          <w:lang w:val="sr-Latn-ME"/>
        </w:rPr>
        <w:t>nakon uzimanja u obzir tjelesn</w:t>
      </w:r>
      <w:r w:rsidR="00F90221">
        <w:rPr>
          <w:bCs/>
          <w:sz w:val="22"/>
          <w:szCs w:val="22"/>
          <w:lang w:val="sr-Latn-ME"/>
        </w:rPr>
        <w:t>e</w:t>
      </w:r>
      <w:r w:rsidR="008437DF" w:rsidRPr="008437DF">
        <w:rPr>
          <w:bCs/>
          <w:sz w:val="22"/>
          <w:szCs w:val="22"/>
          <w:lang w:val="sr-Latn-ME"/>
        </w:rPr>
        <w:t xml:space="preserve"> težine prema potrebi</w:t>
      </w:r>
      <w:r w:rsidR="008437DF">
        <w:rPr>
          <w:bCs/>
          <w:sz w:val="22"/>
          <w:szCs w:val="22"/>
          <w:lang w:val="sr-Latn-ME"/>
        </w:rPr>
        <w:t xml:space="preserve"> </w:t>
      </w:r>
      <w:r w:rsidRPr="00F65520">
        <w:rPr>
          <w:bCs/>
          <w:sz w:val="22"/>
          <w:szCs w:val="22"/>
          <w:lang w:val="sr-Latn-ME"/>
        </w:rPr>
        <w:t>(vidjeti odjeljak 4.2).</w:t>
      </w:r>
    </w:p>
    <w:p w14:paraId="1048BF0B" w14:textId="77777777" w:rsidR="00404C17" w:rsidRPr="00F65520" w:rsidRDefault="00404C17" w:rsidP="00404C17">
      <w:pPr>
        <w:tabs>
          <w:tab w:val="left" w:pos="284"/>
        </w:tabs>
        <w:jc w:val="both"/>
        <w:rPr>
          <w:bCs/>
          <w:sz w:val="22"/>
          <w:szCs w:val="22"/>
          <w:lang w:val="sr-Latn-ME"/>
        </w:rPr>
      </w:pPr>
    </w:p>
    <w:p w14:paraId="51D5D366" w14:textId="77777777" w:rsidR="00404C17" w:rsidRPr="00F65520" w:rsidRDefault="00404C17" w:rsidP="00404C17">
      <w:pPr>
        <w:tabs>
          <w:tab w:val="left" w:pos="284"/>
        </w:tabs>
        <w:jc w:val="both"/>
        <w:rPr>
          <w:bCs/>
          <w:i/>
          <w:sz w:val="22"/>
          <w:szCs w:val="22"/>
          <w:lang w:val="sr-Latn-ME"/>
        </w:rPr>
      </w:pPr>
      <w:r w:rsidRPr="00F65520">
        <w:rPr>
          <w:bCs/>
          <w:i/>
          <w:sz w:val="22"/>
          <w:szCs w:val="22"/>
          <w:lang w:val="sr-Latn-ME"/>
        </w:rPr>
        <w:t>Pol, rasa</w:t>
      </w:r>
    </w:p>
    <w:p w14:paraId="131BD80F" w14:textId="77777777" w:rsidR="00404C17" w:rsidRPr="00F65520" w:rsidRDefault="00404C17" w:rsidP="00404C17">
      <w:pPr>
        <w:tabs>
          <w:tab w:val="left" w:pos="284"/>
        </w:tabs>
        <w:jc w:val="both"/>
        <w:rPr>
          <w:bCs/>
          <w:sz w:val="22"/>
          <w:szCs w:val="22"/>
          <w:lang w:val="sr-Latn-ME"/>
        </w:rPr>
      </w:pPr>
      <w:r w:rsidRPr="00F65520">
        <w:rPr>
          <w:bCs/>
          <w:sz w:val="22"/>
          <w:szCs w:val="22"/>
          <w:lang w:val="sr-Latn-ME"/>
        </w:rPr>
        <w:t>Populaciona farmakokinetička analiza pokazala je da pol i rasa ne utiču značajno na klirens benralizumaba.</w:t>
      </w:r>
    </w:p>
    <w:p w14:paraId="2E3C6F6C" w14:textId="77777777" w:rsidR="00404C17" w:rsidRPr="00F65520" w:rsidRDefault="00404C17" w:rsidP="00404C17">
      <w:pPr>
        <w:tabs>
          <w:tab w:val="left" w:pos="284"/>
        </w:tabs>
        <w:jc w:val="both"/>
        <w:rPr>
          <w:bCs/>
          <w:sz w:val="22"/>
          <w:szCs w:val="22"/>
          <w:lang w:val="sr-Latn-ME"/>
        </w:rPr>
      </w:pPr>
    </w:p>
    <w:p w14:paraId="5F8B5002" w14:textId="77777777" w:rsidR="00404C17" w:rsidRPr="00F65520" w:rsidRDefault="00404C17" w:rsidP="00404C17">
      <w:pPr>
        <w:tabs>
          <w:tab w:val="left" w:pos="284"/>
        </w:tabs>
        <w:jc w:val="both"/>
        <w:rPr>
          <w:bCs/>
          <w:i/>
          <w:sz w:val="22"/>
          <w:szCs w:val="22"/>
          <w:lang w:val="sr-Latn-ME"/>
        </w:rPr>
      </w:pPr>
      <w:r w:rsidRPr="00F65520">
        <w:rPr>
          <w:bCs/>
          <w:i/>
          <w:sz w:val="22"/>
          <w:szCs w:val="22"/>
          <w:lang w:val="sr-Latn-ME"/>
        </w:rPr>
        <w:t>Oštećenje funkcije bubrega</w:t>
      </w:r>
    </w:p>
    <w:p w14:paraId="7E894B64" w14:textId="71DDB1B4" w:rsidR="00404C17" w:rsidRPr="00F65520" w:rsidRDefault="00404C17" w:rsidP="00404C17">
      <w:pPr>
        <w:tabs>
          <w:tab w:val="left" w:pos="284"/>
        </w:tabs>
        <w:jc w:val="both"/>
        <w:rPr>
          <w:bCs/>
          <w:sz w:val="22"/>
          <w:szCs w:val="22"/>
          <w:lang w:val="sr-Latn-ME"/>
        </w:rPr>
      </w:pPr>
      <w:r w:rsidRPr="00F65520">
        <w:rPr>
          <w:bCs/>
          <w:sz w:val="22"/>
          <w:szCs w:val="22"/>
          <w:lang w:val="sr-Latn-ME"/>
        </w:rPr>
        <w:t xml:space="preserve">Nisu sprovedene formalne kliničke studije koje bi ocijenila uticaj benralizumaba na oštećenje funkcije bubrega. Prema populacionoj farmakokinetičkoj analizi, klirens benralizumaba bio je uporediv kod ispitanika kojima je klirens kreatinina iznosio 30 i 80 </w:t>
      </w:r>
      <w:r w:rsidR="00E96328" w:rsidRPr="00F65520">
        <w:rPr>
          <w:bCs/>
          <w:sz w:val="22"/>
          <w:szCs w:val="22"/>
          <w:lang w:val="sr-Latn-ME"/>
        </w:rPr>
        <w:t>ml</w:t>
      </w:r>
      <w:r w:rsidRPr="00F65520">
        <w:rPr>
          <w:bCs/>
          <w:sz w:val="22"/>
          <w:szCs w:val="22"/>
          <w:lang w:val="sr-Latn-ME"/>
        </w:rPr>
        <w:t>/min i onih sa normalnom funkcijom bubrega. Dostupni su ograničeni podaci o prim</w:t>
      </w:r>
      <w:r w:rsidR="006D14DF" w:rsidRPr="00F65520">
        <w:rPr>
          <w:bCs/>
          <w:sz w:val="22"/>
          <w:szCs w:val="22"/>
          <w:lang w:val="sr-Latn-ME"/>
        </w:rPr>
        <w:t>j</w:t>
      </w:r>
      <w:r w:rsidRPr="00F65520">
        <w:rPr>
          <w:bCs/>
          <w:sz w:val="22"/>
          <w:szCs w:val="22"/>
          <w:lang w:val="sr-Latn-ME"/>
        </w:rPr>
        <w:t xml:space="preserve">eni kod ispitanika sa klirensom kreatinina manjim od 30 </w:t>
      </w:r>
      <w:r w:rsidR="009D7318" w:rsidRPr="00F65520">
        <w:rPr>
          <w:bCs/>
          <w:sz w:val="22"/>
          <w:szCs w:val="22"/>
          <w:lang w:val="sr-Latn-ME"/>
        </w:rPr>
        <w:t>ml</w:t>
      </w:r>
      <w:r w:rsidRPr="00F65520">
        <w:rPr>
          <w:bCs/>
          <w:sz w:val="22"/>
          <w:szCs w:val="22"/>
          <w:lang w:val="sr-Latn-ME"/>
        </w:rPr>
        <w:t>/min; međutim, klirens benralizumaba ne odvija se putem bubrega.</w:t>
      </w:r>
    </w:p>
    <w:p w14:paraId="741E4664" w14:textId="77777777" w:rsidR="00404C17" w:rsidRPr="00F65520" w:rsidRDefault="00404C17" w:rsidP="00404C17">
      <w:pPr>
        <w:tabs>
          <w:tab w:val="left" w:pos="284"/>
        </w:tabs>
        <w:jc w:val="both"/>
        <w:rPr>
          <w:bCs/>
          <w:sz w:val="22"/>
          <w:szCs w:val="22"/>
          <w:lang w:val="sr-Latn-ME"/>
        </w:rPr>
      </w:pPr>
    </w:p>
    <w:p w14:paraId="487F6F53" w14:textId="77777777" w:rsidR="00404C17" w:rsidRPr="00F65520" w:rsidRDefault="00404C17" w:rsidP="00404C17">
      <w:pPr>
        <w:tabs>
          <w:tab w:val="left" w:pos="284"/>
        </w:tabs>
        <w:jc w:val="both"/>
        <w:rPr>
          <w:bCs/>
          <w:i/>
          <w:sz w:val="22"/>
          <w:szCs w:val="22"/>
          <w:lang w:val="sr-Latn-ME"/>
        </w:rPr>
      </w:pPr>
      <w:r w:rsidRPr="00F65520">
        <w:rPr>
          <w:bCs/>
          <w:i/>
          <w:sz w:val="22"/>
          <w:szCs w:val="22"/>
          <w:lang w:val="sr-Latn-ME"/>
        </w:rPr>
        <w:t>Oštećenje funkcije jetre</w:t>
      </w:r>
    </w:p>
    <w:p w14:paraId="5BDEACE0" w14:textId="53CA2F39" w:rsidR="00404C17" w:rsidRPr="00F65520" w:rsidRDefault="00404C17" w:rsidP="00404C17">
      <w:pPr>
        <w:tabs>
          <w:tab w:val="left" w:pos="284"/>
        </w:tabs>
        <w:jc w:val="both"/>
        <w:rPr>
          <w:bCs/>
          <w:sz w:val="22"/>
          <w:szCs w:val="22"/>
          <w:lang w:val="sr-Latn-ME"/>
        </w:rPr>
      </w:pPr>
      <w:r w:rsidRPr="00F65520">
        <w:rPr>
          <w:bCs/>
          <w:sz w:val="22"/>
          <w:szCs w:val="22"/>
          <w:lang w:val="sr-Latn-ME"/>
        </w:rPr>
        <w:t xml:space="preserve">Nisu sprovedene formalne kliničke studije koje bi </w:t>
      </w:r>
      <w:r w:rsidR="000C06C6" w:rsidRPr="00F65520">
        <w:rPr>
          <w:bCs/>
          <w:sz w:val="22"/>
          <w:szCs w:val="22"/>
          <w:lang w:val="sr-Latn-ME"/>
        </w:rPr>
        <w:t xml:space="preserve">ocijenile </w:t>
      </w:r>
      <w:r w:rsidRPr="00F65520">
        <w:rPr>
          <w:bCs/>
          <w:sz w:val="22"/>
          <w:szCs w:val="22"/>
          <w:lang w:val="sr-Latn-ME"/>
        </w:rPr>
        <w:t xml:space="preserve">uticaj benralizumaba na oštećenje funkcije jetre. Budući da se klirens IgG monoklonskih antitijela ne odvija primarno putem jetre, ne očekuje se da će promjena funkcije jetre uticati na klirens benralizumaba. </w:t>
      </w:r>
      <w:bookmarkStart w:id="4" w:name="_Hlk525134042"/>
      <w:r w:rsidRPr="00F65520">
        <w:rPr>
          <w:bCs/>
          <w:sz w:val="22"/>
          <w:szCs w:val="22"/>
          <w:lang w:val="sr-Latn-ME"/>
        </w:rPr>
        <w:t xml:space="preserve">Prema populacionoj farmakokinetičkoj analizi, </w:t>
      </w:r>
      <w:bookmarkEnd w:id="4"/>
      <w:r w:rsidRPr="00F65520">
        <w:rPr>
          <w:bCs/>
          <w:sz w:val="22"/>
          <w:szCs w:val="22"/>
          <w:lang w:val="sr-Latn-ME"/>
        </w:rPr>
        <w:t>početne vrijednosti biomarkera funkcije jetre (ALT, AST i bilirubin) nisu imale klinički značajni efekat na klirens benralizumaba.</w:t>
      </w:r>
    </w:p>
    <w:p w14:paraId="089AF288" w14:textId="77777777" w:rsidR="00404C17" w:rsidRPr="00F65520" w:rsidRDefault="00404C17" w:rsidP="00404C17">
      <w:pPr>
        <w:tabs>
          <w:tab w:val="left" w:pos="284"/>
        </w:tabs>
        <w:jc w:val="both"/>
        <w:rPr>
          <w:bCs/>
          <w:sz w:val="22"/>
          <w:szCs w:val="22"/>
          <w:lang w:val="sr-Latn-ME"/>
        </w:rPr>
      </w:pPr>
    </w:p>
    <w:p w14:paraId="14B9278D" w14:textId="46FF10C7" w:rsidR="00404C17" w:rsidRPr="00F65520" w:rsidRDefault="00404C17" w:rsidP="00272E45">
      <w:pPr>
        <w:tabs>
          <w:tab w:val="left" w:pos="284"/>
        </w:tabs>
        <w:jc w:val="both"/>
        <w:rPr>
          <w:bCs/>
          <w:sz w:val="22"/>
          <w:szCs w:val="22"/>
          <w:lang w:val="sr-Latn-ME"/>
        </w:rPr>
      </w:pPr>
      <w:r w:rsidRPr="00F65520">
        <w:rPr>
          <w:bCs/>
          <w:i/>
          <w:sz w:val="22"/>
          <w:szCs w:val="22"/>
          <w:lang w:val="sr-Latn-ME"/>
        </w:rPr>
        <w:t>Interakcije</w:t>
      </w:r>
      <w:r w:rsidRPr="00F65520">
        <w:rPr>
          <w:bCs/>
          <w:sz w:val="22"/>
          <w:szCs w:val="22"/>
          <w:lang w:val="sr-Latn-ME"/>
        </w:rPr>
        <w:t xml:space="preserve">. Prema populacionoj farmakokinetičkoj analizi, ljekovi koji se često primjenjuju istovremeno (montelukast, paracetamol, inhibitori protonske pumpe, makrolidi i teofilin/aminofilin) ne utiču na klirens benralizumaba kod pacijenata sa astmom. </w:t>
      </w:r>
    </w:p>
    <w:p w14:paraId="49FFF98D" w14:textId="77777777" w:rsidR="00B6401C" w:rsidRPr="00F65520" w:rsidRDefault="00B6401C" w:rsidP="00480FB1">
      <w:pPr>
        <w:tabs>
          <w:tab w:val="left" w:pos="540"/>
          <w:tab w:val="left" w:pos="569"/>
        </w:tabs>
        <w:rPr>
          <w:bCs/>
          <w:sz w:val="22"/>
          <w:szCs w:val="22"/>
          <w:lang w:val="sr-Latn-ME"/>
        </w:rPr>
      </w:pPr>
    </w:p>
    <w:p w14:paraId="256DE5BB" w14:textId="77777777" w:rsidR="0072020E" w:rsidRPr="00F65520" w:rsidRDefault="0072020E" w:rsidP="00480FB1">
      <w:pPr>
        <w:tabs>
          <w:tab w:val="left" w:pos="540"/>
          <w:tab w:val="left" w:pos="569"/>
        </w:tabs>
        <w:rPr>
          <w:b/>
          <w:bCs/>
          <w:sz w:val="22"/>
          <w:szCs w:val="22"/>
          <w:lang w:val="sr-Latn-ME"/>
        </w:rPr>
      </w:pPr>
      <w:r w:rsidRPr="00F65520">
        <w:rPr>
          <w:b/>
          <w:bCs/>
          <w:sz w:val="22"/>
          <w:szCs w:val="22"/>
          <w:lang w:val="sr-Latn-ME"/>
        </w:rPr>
        <w:t xml:space="preserve">5.3. </w:t>
      </w:r>
      <w:r w:rsidR="00480FB1" w:rsidRPr="00F65520">
        <w:rPr>
          <w:b/>
          <w:bCs/>
          <w:sz w:val="22"/>
          <w:szCs w:val="22"/>
          <w:lang w:val="sr-Latn-ME"/>
        </w:rPr>
        <w:tab/>
      </w:r>
      <w:r w:rsidRPr="00F65520">
        <w:rPr>
          <w:b/>
          <w:bCs/>
          <w:sz w:val="22"/>
          <w:szCs w:val="22"/>
          <w:lang w:val="sr-Latn-ME"/>
        </w:rPr>
        <w:t xml:space="preserve">Pretklinički podaci o bezbjednosti </w:t>
      </w:r>
    </w:p>
    <w:p w14:paraId="0412F8CD" w14:textId="77777777" w:rsidR="00836B35" w:rsidRPr="00F65520" w:rsidRDefault="00836B35" w:rsidP="00480FB1">
      <w:pPr>
        <w:tabs>
          <w:tab w:val="left" w:pos="540"/>
          <w:tab w:val="left" w:pos="569"/>
        </w:tabs>
        <w:rPr>
          <w:bCs/>
          <w:sz w:val="22"/>
          <w:szCs w:val="22"/>
          <w:lang w:val="sr-Latn-ME"/>
        </w:rPr>
      </w:pPr>
    </w:p>
    <w:p w14:paraId="54840292" w14:textId="77777777" w:rsidR="00DB2BBB" w:rsidRPr="00F65520" w:rsidRDefault="00DB2BBB" w:rsidP="00DB2BBB">
      <w:pPr>
        <w:tabs>
          <w:tab w:val="left" w:pos="284"/>
        </w:tabs>
        <w:jc w:val="both"/>
        <w:rPr>
          <w:bCs/>
          <w:sz w:val="22"/>
          <w:szCs w:val="22"/>
          <w:lang w:val="sr-Latn-ME"/>
        </w:rPr>
      </w:pPr>
      <w:r w:rsidRPr="00F65520">
        <w:rPr>
          <w:bCs/>
          <w:sz w:val="22"/>
          <w:szCs w:val="22"/>
          <w:lang w:val="sr-Latn-ME"/>
        </w:rPr>
        <w:t>Budući da je benralizumab monoklonsko antitijelo, nisu sprovedene studije genotoksičnosti ni karcinogenosti.</w:t>
      </w:r>
    </w:p>
    <w:p w14:paraId="67636BCF" w14:textId="77777777" w:rsidR="00DB2BBB" w:rsidRPr="00F65520" w:rsidRDefault="00DB2BBB" w:rsidP="00DB2BBB">
      <w:pPr>
        <w:tabs>
          <w:tab w:val="left" w:pos="284"/>
        </w:tabs>
        <w:jc w:val="both"/>
        <w:rPr>
          <w:bCs/>
          <w:sz w:val="22"/>
          <w:szCs w:val="22"/>
          <w:lang w:val="sr-Latn-ME"/>
        </w:rPr>
      </w:pPr>
    </w:p>
    <w:p w14:paraId="6C2BDD0E" w14:textId="77777777" w:rsidR="00DB2BBB" w:rsidRPr="00F65520" w:rsidRDefault="00DB2BBB" w:rsidP="00DB2BBB">
      <w:pPr>
        <w:tabs>
          <w:tab w:val="left" w:pos="284"/>
        </w:tabs>
        <w:jc w:val="both"/>
        <w:rPr>
          <w:bCs/>
          <w:sz w:val="22"/>
          <w:szCs w:val="22"/>
          <w:u w:val="single"/>
          <w:lang w:val="sr-Latn-ME"/>
        </w:rPr>
      </w:pPr>
      <w:r w:rsidRPr="00F65520">
        <w:rPr>
          <w:bCs/>
          <w:sz w:val="22"/>
          <w:szCs w:val="22"/>
          <w:u w:val="single"/>
          <w:lang w:val="sr-Latn-ME"/>
        </w:rPr>
        <w:t>Toksikologija i/ili farmakologija kod životinja</w:t>
      </w:r>
    </w:p>
    <w:p w14:paraId="69CC61C3" w14:textId="77777777" w:rsidR="00DB2BBB" w:rsidRPr="00F65520" w:rsidRDefault="00DB2BBB" w:rsidP="00DB2BBB">
      <w:pPr>
        <w:tabs>
          <w:tab w:val="left" w:pos="284"/>
        </w:tabs>
        <w:jc w:val="both"/>
        <w:rPr>
          <w:bCs/>
          <w:sz w:val="22"/>
          <w:szCs w:val="22"/>
          <w:u w:val="single"/>
          <w:lang w:val="sr-Latn-ME"/>
        </w:rPr>
      </w:pPr>
    </w:p>
    <w:p w14:paraId="60CF6375" w14:textId="6060B83A" w:rsidR="00DB2BBB" w:rsidRPr="00F65520" w:rsidRDefault="00DB2BBB" w:rsidP="00DB2BBB">
      <w:pPr>
        <w:tabs>
          <w:tab w:val="left" w:pos="284"/>
        </w:tabs>
        <w:jc w:val="both"/>
        <w:rPr>
          <w:bCs/>
          <w:sz w:val="22"/>
          <w:szCs w:val="22"/>
          <w:lang w:val="sr-Latn-ME"/>
        </w:rPr>
      </w:pPr>
      <w:r w:rsidRPr="00F65520">
        <w:rPr>
          <w:bCs/>
          <w:sz w:val="22"/>
          <w:szCs w:val="22"/>
          <w:lang w:val="sr-Latn-ME"/>
        </w:rPr>
        <w:t>Pretklinički podaci ne ukazuju na poseban rizik za ljude na osnovu konvencionalnih studija bezbjednosne farmakologije ili toksičnosti ponovljenih doza</w:t>
      </w:r>
      <w:r w:rsidR="00533AC7" w:rsidRPr="00F65520">
        <w:rPr>
          <w:bCs/>
          <w:sz w:val="22"/>
          <w:szCs w:val="22"/>
          <w:lang w:val="sr-Latn-ME"/>
        </w:rPr>
        <w:t xml:space="preserve"> na majmunima. Intravenska i </w:t>
      </w:r>
      <w:r w:rsidR="00F65520" w:rsidRPr="00F65520">
        <w:rPr>
          <w:bCs/>
          <w:sz w:val="22"/>
          <w:szCs w:val="22"/>
          <w:lang w:val="sr-Latn-ME"/>
        </w:rPr>
        <w:t>su</w:t>
      </w:r>
      <w:r w:rsidR="00F65520">
        <w:rPr>
          <w:bCs/>
          <w:sz w:val="22"/>
          <w:szCs w:val="22"/>
          <w:lang w:val="sr-Latn-ME"/>
        </w:rPr>
        <w:t>p</w:t>
      </w:r>
      <w:r w:rsidR="00F65520" w:rsidRPr="00F65520">
        <w:rPr>
          <w:bCs/>
          <w:sz w:val="22"/>
          <w:szCs w:val="22"/>
          <w:lang w:val="sr-Latn-ME"/>
        </w:rPr>
        <w:t xml:space="preserve">kutana </w:t>
      </w:r>
      <w:r w:rsidRPr="00F65520">
        <w:rPr>
          <w:bCs/>
          <w:sz w:val="22"/>
          <w:szCs w:val="22"/>
          <w:lang w:val="sr-Latn-ME"/>
        </w:rPr>
        <w:t xml:space="preserve">primjena kod makaki majmuna bila je povezana sa smanjenjem broja eozinofila u perifernoj krvi i </w:t>
      </w:r>
      <w:r w:rsidR="008454A4" w:rsidRPr="00F65520">
        <w:rPr>
          <w:bCs/>
          <w:sz w:val="22"/>
          <w:szCs w:val="22"/>
          <w:lang w:val="sr-Latn-ME"/>
        </w:rPr>
        <w:t xml:space="preserve">kostnoj </w:t>
      </w:r>
      <w:r w:rsidRPr="00F65520">
        <w:rPr>
          <w:bCs/>
          <w:sz w:val="22"/>
          <w:szCs w:val="22"/>
          <w:lang w:val="sr-Latn-ME"/>
        </w:rPr>
        <w:t>srži, ali nisu pronađeni znakovi toksičnosti.</w:t>
      </w:r>
    </w:p>
    <w:p w14:paraId="0F2775BE" w14:textId="77777777" w:rsidR="00DB2BBB" w:rsidRPr="00F65520" w:rsidRDefault="00DB2BBB" w:rsidP="00DB2BBB">
      <w:pPr>
        <w:tabs>
          <w:tab w:val="left" w:pos="284"/>
        </w:tabs>
        <w:jc w:val="both"/>
        <w:rPr>
          <w:bCs/>
          <w:sz w:val="22"/>
          <w:szCs w:val="22"/>
          <w:lang w:val="sr-Latn-ME"/>
        </w:rPr>
      </w:pPr>
    </w:p>
    <w:p w14:paraId="77DCC59F" w14:textId="412225A6" w:rsidR="00DB2BBB" w:rsidRPr="00F65520" w:rsidRDefault="00E92590" w:rsidP="00DB2BBB">
      <w:pPr>
        <w:tabs>
          <w:tab w:val="left" w:pos="284"/>
        </w:tabs>
        <w:jc w:val="both"/>
        <w:rPr>
          <w:bCs/>
          <w:sz w:val="22"/>
          <w:szCs w:val="22"/>
          <w:u w:val="single"/>
          <w:lang w:val="sr-Latn-ME"/>
        </w:rPr>
      </w:pPr>
      <w:r w:rsidRPr="00F65520">
        <w:rPr>
          <w:bCs/>
          <w:sz w:val="22"/>
          <w:szCs w:val="22"/>
          <w:u w:val="single"/>
          <w:lang w:val="sr-Latn-ME"/>
        </w:rPr>
        <w:t>Skotnost</w:t>
      </w:r>
    </w:p>
    <w:p w14:paraId="6B966F87" w14:textId="77777777" w:rsidR="00DB2BBB" w:rsidRPr="00F65520" w:rsidRDefault="00DB2BBB" w:rsidP="00DB2BBB">
      <w:pPr>
        <w:tabs>
          <w:tab w:val="left" w:pos="284"/>
        </w:tabs>
        <w:jc w:val="both"/>
        <w:rPr>
          <w:bCs/>
          <w:sz w:val="22"/>
          <w:szCs w:val="22"/>
          <w:u w:val="single"/>
          <w:lang w:val="sr-Latn-ME"/>
        </w:rPr>
      </w:pPr>
    </w:p>
    <w:p w14:paraId="0541772C" w14:textId="049D0677" w:rsidR="00DB2BBB" w:rsidRPr="00F65520" w:rsidRDefault="00DB2BBB" w:rsidP="00DB2BBB">
      <w:pPr>
        <w:tabs>
          <w:tab w:val="left" w:pos="284"/>
        </w:tabs>
        <w:jc w:val="both"/>
        <w:rPr>
          <w:bCs/>
          <w:sz w:val="22"/>
          <w:szCs w:val="22"/>
          <w:lang w:val="sr-Latn-ME"/>
        </w:rPr>
      </w:pPr>
      <w:r w:rsidRPr="00F65520">
        <w:rPr>
          <w:bCs/>
          <w:sz w:val="22"/>
          <w:szCs w:val="22"/>
          <w:lang w:val="sr-Latn-ME"/>
        </w:rPr>
        <w:t xml:space="preserve">U ispitivanju prenatalnog i postnatalnog razvoja sprovedenom na </w:t>
      </w:r>
      <w:r w:rsidR="00E92590" w:rsidRPr="00F65520">
        <w:rPr>
          <w:bCs/>
          <w:sz w:val="22"/>
          <w:szCs w:val="22"/>
          <w:lang w:val="sr-Latn-ME"/>
        </w:rPr>
        <w:t xml:space="preserve">skotnim </w:t>
      </w:r>
      <w:r w:rsidRPr="00F65520">
        <w:rPr>
          <w:bCs/>
          <w:sz w:val="22"/>
          <w:szCs w:val="22"/>
          <w:lang w:val="sr-Latn-ME"/>
        </w:rPr>
        <w:t xml:space="preserve">ženkama makaki majmuna nisu </w:t>
      </w:r>
      <w:r w:rsidR="008454A4" w:rsidRPr="00F65520">
        <w:rPr>
          <w:bCs/>
          <w:sz w:val="22"/>
          <w:szCs w:val="22"/>
          <w:lang w:val="sr-Latn-ME"/>
        </w:rPr>
        <w:t xml:space="preserve">primijećena </w:t>
      </w:r>
      <w:r w:rsidRPr="00F65520">
        <w:rPr>
          <w:bCs/>
          <w:sz w:val="22"/>
          <w:szCs w:val="22"/>
          <w:lang w:val="sr-Latn-ME"/>
        </w:rPr>
        <w:t>štetna dejstva benralizumaba na majku, embrion, plod ni postnatalni razvoj.</w:t>
      </w:r>
    </w:p>
    <w:p w14:paraId="3B858077" w14:textId="77777777" w:rsidR="00DB2BBB" w:rsidRPr="00F65520" w:rsidRDefault="00DB2BBB" w:rsidP="00DB2BBB">
      <w:pPr>
        <w:tabs>
          <w:tab w:val="left" w:pos="284"/>
        </w:tabs>
        <w:jc w:val="both"/>
        <w:rPr>
          <w:bCs/>
          <w:sz w:val="22"/>
          <w:szCs w:val="22"/>
          <w:lang w:val="sr-Latn-ME"/>
        </w:rPr>
      </w:pPr>
    </w:p>
    <w:p w14:paraId="0B9E38E3" w14:textId="77777777" w:rsidR="00DB2BBB" w:rsidRPr="00F65520" w:rsidRDefault="00DB2BBB" w:rsidP="00DB2BBB">
      <w:pPr>
        <w:tabs>
          <w:tab w:val="left" w:pos="284"/>
        </w:tabs>
        <w:jc w:val="both"/>
        <w:rPr>
          <w:bCs/>
          <w:sz w:val="22"/>
          <w:szCs w:val="22"/>
          <w:u w:val="single"/>
          <w:lang w:val="sr-Latn-ME"/>
        </w:rPr>
      </w:pPr>
      <w:r w:rsidRPr="00F65520">
        <w:rPr>
          <w:bCs/>
          <w:sz w:val="22"/>
          <w:szCs w:val="22"/>
          <w:u w:val="single"/>
          <w:lang w:val="sr-Latn-ME"/>
        </w:rPr>
        <w:t>Plodnost</w:t>
      </w:r>
    </w:p>
    <w:p w14:paraId="4FF92645" w14:textId="77777777" w:rsidR="00DB2BBB" w:rsidRPr="00F65520" w:rsidRDefault="00DB2BBB" w:rsidP="00DB2BBB">
      <w:pPr>
        <w:tabs>
          <w:tab w:val="left" w:pos="284"/>
        </w:tabs>
        <w:jc w:val="both"/>
        <w:rPr>
          <w:bCs/>
          <w:sz w:val="22"/>
          <w:szCs w:val="22"/>
          <w:u w:val="single"/>
          <w:lang w:val="sr-Latn-ME"/>
        </w:rPr>
      </w:pPr>
    </w:p>
    <w:p w14:paraId="243DFBAF" w14:textId="170DA6AD" w:rsidR="00DB2BBB" w:rsidRPr="00F65520" w:rsidRDefault="00DB2BBB" w:rsidP="00DB2BBB">
      <w:pPr>
        <w:tabs>
          <w:tab w:val="left" w:pos="284"/>
        </w:tabs>
        <w:jc w:val="both"/>
        <w:rPr>
          <w:bCs/>
          <w:sz w:val="22"/>
          <w:szCs w:val="22"/>
          <w:lang w:val="sr-Latn-ME"/>
        </w:rPr>
      </w:pPr>
      <w:r w:rsidRPr="00F65520">
        <w:rPr>
          <w:bCs/>
          <w:sz w:val="22"/>
          <w:szCs w:val="22"/>
          <w:lang w:val="sr-Latn-ME"/>
        </w:rPr>
        <w:t>Nisu sprovedene posebne studije na životinjama. Nisu prim</w:t>
      </w:r>
      <w:r w:rsidR="008454A4" w:rsidRPr="00F65520">
        <w:rPr>
          <w:bCs/>
          <w:sz w:val="22"/>
          <w:szCs w:val="22"/>
          <w:lang w:val="sr-Latn-ME"/>
        </w:rPr>
        <w:t>i</w:t>
      </w:r>
      <w:r w:rsidRPr="00F65520">
        <w:rPr>
          <w:bCs/>
          <w:sz w:val="22"/>
          <w:szCs w:val="22"/>
          <w:lang w:val="sr-Latn-ME"/>
        </w:rPr>
        <w:t xml:space="preserve">jećena štetna dejstva benralizumaba na parametre reprodukcije kod mužjaka i ženki makaki majmuna. Ispitivanje na surogat markere plodnosti (uključujući težinu organa i histopatologiju reproduktivnih tkiva) kod životinja na terapiji benralizumabom ne ukazuje na smanjenje plodnosti. Međutim, kod mladunaca ženki majmuna kojima je davan lijek za vrijeme </w:t>
      </w:r>
      <w:r w:rsidR="003B6604" w:rsidRPr="00F65520">
        <w:rPr>
          <w:bCs/>
          <w:sz w:val="22"/>
          <w:szCs w:val="22"/>
          <w:lang w:val="sr-Latn-ME"/>
        </w:rPr>
        <w:t>skotnosti</w:t>
      </w:r>
      <w:r w:rsidRPr="00F65520">
        <w:rPr>
          <w:bCs/>
          <w:sz w:val="22"/>
          <w:szCs w:val="22"/>
          <w:lang w:val="sr-Latn-ME"/>
        </w:rPr>
        <w:t>, prim</w:t>
      </w:r>
      <w:r w:rsidR="003B6604" w:rsidRPr="00F65520">
        <w:rPr>
          <w:bCs/>
          <w:sz w:val="22"/>
          <w:szCs w:val="22"/>
          <w:lang w:val="sr-Latn-ME"/>
        </w:rPr>
        <w:t>i</w:t>
      </w:r>
      <w:r w:rsidRPr="00F65520">
        <w:rPr>
          <w:bCs/>
          <w:sz w:val="22"/>
          <w:szCs w:val="22"/>
          <w:lang w:val="sr-Latn-ME"/>
        </w:rPr>
        <w:t>jećeno je smanjenje eozinofila.</w:t>
      </w:r>
    </w:p>
    <w:p w14:paraId="66DF76FC" w14:textId="5394EB3B" w:rsidR="00396DFD" w:rsidRPr="00F65520" w:rsidRDefault="00396DFD" w:rsidP="00480FB1">
      <w:pPr>
        <w:tabs>
          <w:tab w:val="left" w:pos="540"/>
          <w:tab w:val="left" w:pos="569"/>
        </w:tabs>
        <w:rPr>
          <w:b/>
          <w:bCs/>
          <w:sz w:val="22"/>
          <w:szCs w:val="22"/>
          <w:lang w:val="sr-Latn-ME"/>
        </w:rPr>
      </w:pPr>
    </w:p>
    <w:p w14:paraId="131111A9" w14:textId="77777777" w:rsidR="00981921" w:rsidRPr="00F65520" w:rsidRDefault="00981921" w:rsidP="00480FB1">
      <w:pPr>
        <w:tabs>
          <w:tab w:val="left" w:pos="540"/>
          <w:tab w:val="left" w:pos="569"/>
        </w:tabs>
        <w:rPr>
          <w:b/>
          <w:bCs/>
          <w:sz w:val="22"/>
          <w:szCs w:val="22"/>
          <w:lang w:val="sr-Latn-ME"/>
        </w:rPr>
      </w:pPr>
    </w:p>
    <w:p w14:paraId="25E48953" w14:textId="77777777" w:rsidR="0072020E" w:rsidRPr="00F65520" w:rsidRDefault="0072020E" w:rsidP="00480FB1">
      <w:pPr>
        <w:tabs>
          <w:tab w:val="left" w:pos="540"/>
          <w:tab w:val="left" w:pos="569"/>
        </w:tabs>
        <w:rPr>
          <w:b/>
          <w:bCs/>
          <w:sz w:val="22"/>
          <w:szCs w:val="22"/>
          <w:lang w:val="sr-Latn-ME"/>
        </w:rPr>
      </w:pPr>
      <w:r w:rsidRPr="00F65520">
        <w:rPr>
          <w:b/>
          <w:bCs/>
          <w:sz w:val="22"/>
          <w:szCs w:val="22"/>
          <w:lang w:val="sr-Latn-ME"/>
        </w:rPr>
        <w:t xml:space="preserve">6. </w:t>
      </w:r>
      <w:r w:rsidR="00480FB1" w:rsidRPr="00F65520">
        <w:rPr>
          <w:b/>
          <w:bCs/>
          <w:sz w:val="22"/>
          <w:szCs w:val="22"/>
          <w:lang w:val="sr-Latn-ME"/>
        </w:rPr>
        <w:tab/>
      </w:r>
      <w:r w:rsidRPr="00F65520">
        <w:rPr>
          <w:b/>
          <w:bCs/>
          <w:sz w:val="22"/>
          <w:szCs w:val="22"/>
          <w:lang w:val="sr-Latn-ME"/>
        </w:rPr>
        <w:t>FARMACEUTSKI PODACI</w:t>
      </w:r>
    </w:p>
    <w:p w14:paraId="4B74FE95" w14:textId="77777777" w:rsidR="00836B35" w:rsidRPr="00F65520" w:rsidRDefault="00836B35" w:rsidP="00480FB1">
      <w:pPr>
        <w:tabs>
          <w:tab w:val="left" w:pos="540"/>
          <w:tab w:val="left" w:pos="569"/>
        </w:tabs>
        <w:rPr>
          <w:bCs/>
          <w:sz w:val="22"/>
          <w:szCs w:val="22"/>
          <w:lang w:val="sr-Latn-ME"/>
        </w:rPr>
      </w:pPr>
    </w:p>
    <w:p w14:paraId="62577444" w14:textId="77777777" w:rsidR="0072020E" w:rsidRPr="00F65520" w:rsidRDefault="0072020E" w:rsidP="00480FB1">
      <w:pPr>
        <w:tabs>
          <w:tab w:val="left" w:pos="540"/>
          <w:tab w:val="left" w:pos="569"/>
        </w:tabs>
        <w:rPr>
          <w:b/>
          <w:bCs/>
          <w:sz w:val="22"/>
          <w:szCs w:val="22"/>
          <w:lang w:val="sr-Latn-ME"/>
        </w:rPr>
      </w:pPr>
      <w:r w:rsidRPr="00F65520">
        <w:rPr>
          <w:b/>
          <w:bCs/>
          <w:sz w:val="22"/>
          <w:szCs w:val="22"/>
          <w:lang w:val="sr-Latn-ME"/>
        </w:rPr>
        <w:t xml:space="preserve">6.1. </w:t>
      </w:r>
      <w:r w:rsidR="00480FB1" w:rsidRPr="00F65520">
        <w:rPr>
          <w:b/>
          <w:bCs/>
          <w:sz w:val="22"/>
          <w:szCs w:val="22"/>
          <w:lang w:val="sr-Latn-ME"/>
        </w:rPr>
        <w:tab/>
      </w:r>
      <w:r w:rsidRPr="00F65520">
        <w:rPr>
          <w:b/>
          <w:bCs/>
          <w:sz w:val="22"/>
          <w:szCs w:val="22"/>
          <w:lang w:val="sr-Latn-ME"/>
        </w:rPr>
        <w:t>Lista pomoćnih supstanci</w:t>
      </w:r>
      <w:r w:rsidR="002E0135" w:rsidRPr="00F65520">
        <w:rPr>
          <w:b/>
          <w:bCs/>
          <w:sz w:val="22"/>
          <w:szCs w:val="22"/>
          <w:lang w:val="sr-Latn-ME"/>
        </w:rPr>
        <w:t xml:space="preserve"> (ekscipijenasa)</w:t>
      </w:r>
    </w:p>
    <w:p w14:paraId="5014423F" w14:textId="29792CFC" w:rsidR="0072020E" w:rsidRPr="00F65520" w:rsidRDefault="0072020E" w:rsidP="00480FB1">
      <w:pPr>
        <w:tabs>
          <w:tab w:val="left" w:pos="540"/>
          <w:tab w:val="left" w:pos="569"/>
        </w:tabs>
        <w:rPr>
          <w:bCs/>
          <w:sz w:val="22"/>
          <w:szCs w:val="22"/>
          <w:lang w:val="sr-Latn-ME"/>
        </w:rPr>
      </w:pPr>
    </w:p>
    <w:p w14:paraId="261D13FC" w14:textId="2EF7B58E" w:rsidR="00E240DF" w:rsidRPr="00F65520" w:rsidRDefault="005D05EF" w:rsidP="00E240DF">
      <w:pPr>
        <w:tabs>
          <w:tab w:val="left" w:pos="284"/>
        </w:tabs>
        <w:jc w:val="both"/>
        <w:rPr>
          <w:bCs/>
          <w:sz w:val="22"/>
          <w:szCs w:val="22"/>
          <w:lang w:val="sr-Latn-ME"/>
        </w:rPr>
      </w:pPr>
      <w:r>
        <w:rPr>
          <w:bCs/>
          <w:sz w:val="22"/>
          <w:szCs w:val="22"/>
          <w:lang w:val="sr-Latn-ME"/>
        </w:rPr>
        <w:lastRenderedPageBreak/>
        <w:t xml:space="preserve">- </w:t>
      </w:r>
      <w:r w:rsidR="00E240DF" w:rsidRPr="00F65520">
        <w:rPr>
          <w:bCs/>
          <w:sz w:val="22"/>
          <w:szCs w:val="22"/>
          <w:lang w:val="sr-Latn-ME"/>
        </w:rPr>
        <w:t>Histidin</w:t>
      </w:r>
      <w:r>
        <w:rPr>
          <w:bCs/>
          <w:sz w:val="22"/>
          <w:szCs w:val="22"/>
          <w:lang w:val="sr-Latn-ME"/>
        </w:rPr>
        <w:t>;</w:t>
      </w:r>
    </w:p>
    <w:p w14:paraId="44945E66" w14:textId="31334672" w:rsidR="00E240DF" w:rsidRPr="00F65520" w:rsidRDefault="005D05EF" w:rsidP="00E240DF">
      <w:pPr>
        <w:tabs>
          <w:tab w:val="left" w:pos="284"/>
        </w:tabs>
        <w:jc w:val="both"/>
        <w:rPr>
          <w:bCs/>
          <w:sz w:val="22"/>
          <w:szCs w:val="22"/>
          <w:lang w:val="sr-Latn-ME"/>
        </w:rPr>
      </w:pPr>
      <w:r>
        <w:rPr>
          <w:bCs/>
          <w:sz w:val="22"/>
          <w:szCs w:val="22"/>
          <w:lang w:val="sr-Latn-ME"/>
        </w:rPr>
        <w:t>- h</w:t>
      </w:r>
      <w:r w:rsidRPr="00F65520">
        <w:rPr>
          <w:bCs/>
          <w:sz w:val="22"/>
          <w:szCs w:val="22"/>
          <w:lang w:val="sr-Latn-ME"/>
        </w:rPr>
        <w:t xml:space="preserve">istidin </w:t>
      </w:r>
      <w:r w:rsidR="00E240DF" w:rsidRPr="00F65520">
        <w:rPr>
          <w:bCs/>
          <w:sz w:val="22"/>
          <w:szCs w:val="22"/>
          <w:lang w:val="sr-Latn-ME"/>
        </w:rPr>
        <w:t>hidrohlorid monohidrat</w:t>
      </w:r>
      <w:r>
        <w:rPr>
          <w:bCs/>
          <w:sz w:val="22"/>
          <w:szCs w:val="22"/>
          <w:lang w:val="sr-Latn-ME"/>
        </w:rPr>
        <w:t>;</w:t>
      </w:r>
    </w:p>
    <w:p w14:paraId="0AF63D35" w14:textId="17224D4C" w:rsidR="00E240DF" w:rsidRPr="00F65520" w:rsidRDefault="005D05EF" w:rsidP="00E240DF">
      <w:pPr>
        <w:tabs>
          <w:tab w:val="left" w:pos="284"/>
        </w:tabs>
        <w:jc w:val="both"/>
        <w:rPr>
          <w:bCs/>
          <w:sz w:val="22"/>
          <w:szCs w:val="22"/>
          <w:lang w:val="sr-Latn-ME"/>
        </w:rPr>
      </w:pPr>
      <w:r>
        <w:rPr>
          <w:bCs/>
          <w:sz w:val="22"/>
          <w:szCs w:val="22"/>
          <w:lang w:val="sr-Latn-ME"/>
        </w:rPr>
        <w:t>- t</w:t>
      </w:r>
      <w:r w:rsidRPr="00F65520">
        <w:rPr>
          <w:bCs/>
          <w:sz w:val="22"/>
          <w:szCs w:val="22"/>
          <w:lang w:val="sr-Latn-ME"/>
        </w:rPr>
        <w:t xml:space="preserve">rehaloza </w:t>
      </w:r>
      <w:r w:rsidR="00E240DF" w:rsidRPr="00F65520">
        <w:rPr>
          <w:bCs/>
          <w:sz w:val="22"/>
          <w:szCs w:val="22"/>
          <w:lang w:val="sr-Latn-ME"/>
        </w:rPr>
        <w:t>dihidrat</w:t>
      </w:r>
      <w:r>
        <w:rPr>
          <w:bCs/>
          <w:sz w:val="22"/>
          <w:szCs w:val="22"/>
          <w:lang w:val="sr-Latn-ME"/>
        </w:rPr>
        <w:t>;</w:t>
      </w:r>
    </w:p>
    <w:p w14:paraId="2396DF0A" w14:textId="19FC13D6" w:rsidR="00E240DF" w:rsidRPr="00F65520" w:rsidRDefault="005D05EF" w:rsidP="00E240DF">
      <w:pPr>
        <w:tabs>
          <w:tab w:val="left" w:pos="284"/>
        </w:tabs>
        <w:jc w:val="both"/>
        <w:rPr>
          <w:bCs/>
          <w:sz w:val="22"/>
          <w:szCs w:val="22"/>
          <w:lang w:val="sr-Latn-ME"/>
        </w:rPr>
      </w:pPr>
      <w:r>
        <w:rPr>
          <w:bCs/>
          <w:sz w:val="22"/>
          <w:szCs w:val="22"/>
          <w:lang w:val="sr-Latn-ME"/>
        </w:rPr>
        <w:t>- p</w:t>
      </w:r>
      <w:r w:rsidRPr="00F65520">
        <w:rPr>
          <w:bCs/>
          <w:sz w:val="22"/>
          <w:szCs w:val="22"/>
          <w:lang w:val="sr-Latn-ME"/>
        </w:rPr>
        <w:t xml:space="preserve">olisorbat </w:t>
      </w:r>
      <w:r w:rsidR="00E240DF" w:rsidRPr="00F65520">
        <w:rPr>
          <w:bCs/>
          <w:sz w:val="22"/>
          <w:szCs w:val="22"/>
          <w:lang w:val="sr-Latn-ME"/>
        </w:rPr>
        <w:t>20</w:t>
      </w:r>
      <w:r w:rsidR="00272E45" w:rsidRPr="00F65520">
        <w:rPr>
          <w:bCs/>
          <w:sz w:val="22"/>
          <w:szCs w:val="22"/>
          <w:lang w:val="sr-Latn-ME"/>
        </w:rPr>
        <w:t xml:space="preserve"> (E 432)</w:t>
      </w:r>
      <w:r>
        <w:rPr>
          <w:bCs/>
          <w:sz w:val="22"/>
          <w:szCs w:val="22"/>
          <w:lang w:val="sr-Latn-ME"/>
        </w:rPr>
        <w:t>;</w:t>
      </w:r>
    </w:p>
    <w:p w14:paraId="6DF752BB" w14:textId="7691A732" w:rsidR="00E240DF" w:rsidRPr="00F65520" w:rsidRDefault="005D05EF" w:rsidP="00E240DF">
      <w:pPr>
        <w:tabs>
          <w:tab w:val="left" w:pos="284"/>
        </w:tabs>
        <w:jc w:val="both"/>
        <w:rPr>
          <w:bCs/>
          <w:sz w:val="22"/>
          <w:szCs w:val="22"/>
          <w:lang w:val="sr-Latn-ME"/>
        </w:rPr>
      </w:pPr>
      <w:r>
        <w:rPr>
          <w:bCs/>
          <w:sz w:val="22"/>
          <w:szCs w:val="22"/>
          <w:lang w:val="sr-Latn-ME"/>
        </w:rPr>
        <w:t>- v</w:t>
      </w:r>
      <w:r w:rsidR="00E240DF" w:rsidRPr="00F65520">
        <w:rPr>
          <w:bCs/>
          <w:sz w:val="22"/>
          <w:szCs w:val="22"/>
          <w:lang w:val="sr-Latn-ME"/>
        </w:rPr>
        <w:t>oda za injekcije</w:t>
      </w:r>
      <w:r>
        <w:rPr>
          <w:bCs/>
          <w:sz w:val="22"/>
          <w:szCs w:val="22"/>
          <w:lang w:val="sr-Latn-ME"/>
        </w:rPr>
        <w:t>.</w:t>
      </w:r>
    </w:p>
    <w:p w14:paraId="28BF9A23" w14:textId="77777777" w:rsidR="006B3C76" w:rsidRPr="00F65520" w:rsidRDefault="006B3C76" w:rsidP="00480FB1">
      <w:pPr>
        <w:tabs>
          <w:tab w:val="left" w:pos="540"/>
          <w:tab w:val="left" w:pos="569"/>
        </w:tabs>
        <w:rPr>
          <w:bCs/>
          <w:sz w:val="22"/>
          <w:szCs w:val="22"/>
          <w:lang w:val="sr-Latn-ME"/>
        </w:rPr>
      </w:pPr>
    </w:p>
    <w:p w14:paraId="343E5A28" w14:textId="77777777" w:rsidR="0072020E" w:rsidRPr="00F65520" w:rsidRDefault="0072020E" w:rsidP="00480FB1">
      <w:pPr>
        <w:tabs>
          <w:tab w:val="left" w:pos="540"/>
          <w:tab w:val="left" w:pos="569"/>
        </w:tabs>
        <w:rPr>
          <w:b/>
          <w:bCs/>
          <w:sz w:val="22"/>
          <w:szCs w:val="22"/>
          <w:lang w:val="sr-Latn-ME"/>
        </w:rPr>
      </w:pPr>
      <w:r w:rsidRPr="00F65520">
        <w:rPr>
          <w:b/>
          <w:bCs/>
          <w:sz w:val="22"/>
          <w:szCs w:val="22"/>
          <w:lang w:val="sr-Latn-ME"/>
        </w:rPr>
        <w:t xml:space="preserve">6.2. </w:t>
      </w:r>
      <w:r w:rsidR="00480FB1" w:rsidRPr="00F65520">
        <w:rPr>
          <w:b/>
          <w:bCs/>
          <w:sz w:val="22"/>
          <w:szCs w:val="22"/>
          <w:lang w:val="sr-Latn-ME"/>
        </w:rPr>
        <w:tab/>
      </w:r>
      <w:r w:rsidRPr="00F65520">
        <w:rPr>
          <w:b/>
          <w:bCs/>
          <w:sz w:val="22"/>
          <w:szCs w:val="22"/>
          <w:lang w:val="sr-Latn-ME"/>
        </w:rPr>
        <w:t>Inkompatibilnost</w:t>
      </w:r>
      <w:r w:rsidR="002846DB" w:rsidRPr="00F65520">
        <w:rPr>
          <w:b/>
          <w:bCs/>
          <w:sz w:val="22"/>
          <w:szCs w:val="22"/>
          <w:lang w:val="sr-Latn-ME"/>
        </w:rPr>
        <w:t>i</w:t>
      </w:r>
    </w:p>
    <w:p w14:paraId="57158041" w14:textId="18A6E62C" w:rsidR="0072020E" w:rsidRPr="00F65520" w:rsidRDefault="0072020E" w:rsidP="00480FB1">
      <w:pPr>
        <w:tabs>
          <w:tab w:val="left" w:pos="540"/>
          <w:tab w:val="left" w:pos="569"/>
        </w:tabs>
        <w:rPr>
          <w:bCs/>
          <w:sz w:val="22"/>
          <w:szCs w:val="22"/>
          <w:lang w:val="sr-Latn-ME"/>
        </w:rPr>
      </w:pPr>
    </w:p>
    <w:p w14:paraId="638E2785" w14:textId="77777777" w:rsidR="000457DE" w:rsidRPr="00F65520" w:rsidRDefault="000457DE" w:rsidP="0035094B">
      <w:pPr>
        <w:tabs>
          <w:tab w:val="left" w:pos="540"/>
          <w:tab w:val="left" w:pos="569"/>
        </w:tabs>
        <w:jc w:val="both"/>
        <w:rPr>
          <w:bCs/>
          <w:sz w:val="22"/>
          <w:szCs w:val="22"/>
          <w:lang w:val="sr-Latn-ME"/>
        </w:rPr>
      </w:pPr>
      <w:r w:rsidRPr="00F65520">
        <w:rPr>
          <w:bCs/>
          <w:sz w:val="22"/>
          <w:szCs w:val="22"/>
          <w:lang w:val="sr-Latn-ME"/>
        </w:rPr>
        <w:t>U odsustvu ispitivanja kompatibilnosti, ovaj lijek se ne smije miješati sa drugim ljekovima.</w:t>
      </w:r>
    </w:p>
    <w:p w14:paraId="55D8DAE2" w14:textId="77777777" w:rsidR="000457DE" w:rsidRPr="00F65520" w:rsidRDefault="000457DE" w:rsidP="00480FB1">
      <w:pPr>
        <w:tabs>
          <w:tab w:val="left" w:pos="540"/>
          <w:tab w:val="left" w:pos="569"/>
        </w:tabs>
        <w:rPr>
          <w:bCs/>
          <w:sz w:val="22"/>
          <w:szCs w:val="22"/>
          <w:lang w:val="sr-Latn-ME"/>
        </w:rPr>
      </w:pPr>
    </w:p>
    <w:p w14:paraId="6EE621A4" w14:textId="77777777" w:rsidR="0072020E" w:rsidRPr="00F65520" w:rsidRDefault="0072020E" w:rsidP="00480FB1">
      <w:pPr>
        <w:tabs>
          <w:tab w:val="left" w:pos="540"/>
          <w:tab w:val="left" w:pos="569"/>
        </w:tabs>
        <w:rPr>
          <w:b/>
          <w:bCs/>
          <w:sz w:val="22"/>
          <w:szCs w:val="22"/>
          <w:lang w:val="sr-Latn-ME"/>
        </w:rPr>
      </w:pPr>
      <w:r w:rsidRPr="00F65520">
        <w:rPr>
          <w:b/>
          <w:bCs/>
          <w:sz w:val="22"/>
          <w:szCs w:val="22"/>
          <w:lang w:val="sr-Latn-ME"/>
        </w:rPr>
        <w:t>6.3.</w:t>
      </w:r>
      <w:r w:rsidR="00C05DF8" w:rsidRPr="00F65520">
        <w:rPr>
          <w:b/>
          <w:bCs/>
          <w:sz w:val="22"/>
          <w:szCs w:val="22"/>
          <w:lang w:val="sr-Latn-ME"/>
        </w:rPr>
        <w:t xml:space="preserve"> </w:t>
      </w:r>
      <w:r w:rsidR="00480FB1" w:rsidRPr="00F65520">
        <w:rPr>
          <w:b/>
          <w:bCs/>
          <w:sz w:val="22"/>
          <w:szCs w:val="22"/>
          <w:lang w:val="sr-Latn-ME"/>
        </w:rPr>
        <w:tab/>
      </w:r>
      <w:r w:rsidRPr="00F65520">
        <w:rPr>
          <w:b/>
          <w:bCs/>
          <w:sz w:val="22"/>
          <w:szCs w:val="22"/>
          <w:lang w:val="sr-Latn-ME"/>
        </w:rPr>
        <w:t>Rok upotrebe</w:t>
      </w:r>
    </w:p>
    <w:p w14:paraId="0DA57D3A" w14:textId="281585BD" w:rsidR="0072020E" w:rsidRPr="00F65520" w:rsidRDefault="0072020E" w:rsidP="00480FB1">
      <w:pPr>
        <w:tabs>
          <w:tab w:val="left" w:pos="540"/>
          <w:tab w:val="left" w:pos="569"/>
        </w:tabs>
        <w:rPr>
          <w:bCs/>
          <w:sz w:val="22"/>
          <w:szCs w:val="22"/>
          <w:lang w:val="sr-Latn-ME"/>
        </w:rPr>
      </w:pPr>
    </w:p>
    <w:p w14:paraId="302D14B5" w14:textId="56E63F3A" w:rsidR="00D746EB" w:rsidRDefault="00D746EB" w:rsidP="0035094B">
      <w:pPr>
        <w:tabs>
          <w:tab w:val="left" w:pos="540"/>
          <w:tab w:val="left" w:pos="569"/>
        </w:tabs>
        <w:jc w:val="both"/>
        <w:rPr>
          <w:bCs/>
          <w:sz w:val="22"/>
          <w:szCs w:val="22"/>
          <w:lang w:val="sr-Latn-ME"/>
        </w:rPr>
      </w:pPr>
      <w:r w:rsidRPr="00F65520">
        <w:rPr>
          <w:bCs/>
          <w:sz w:val="22"/>
          <w:szCs w:val="22"/>
          <w:lang w:val="sr-Latn-ME"/>
        </w:rPr>
        <w:t>3 godine</w:t>
      </w:r>
    </w:p>
    <w:p w14:paraId="0E2C6674" w14:textId="77777777" w:rsidR="00E15C43" w:rsidRPr="00F65520" w:rsidRDefault="00E15C43" w:rsidP="00D746EB">
      <w:pPr>
        <w:tabs>
          <w:tab w:val="left" w:pos="540"/>
          <w:tab w:val="left" w:pos="569"/>
        </w:tabs>
        <w:rPr>
          <w:bCs/>
          <w:sz w:val="22"/>
          <w:szCs w:val="22"/>
          <w:lang w:val="sr-Latn-ME"/>
        </w:rPr>
      </w:pPr>
    </w:p>
    <w:p w14:paraId="20C1DC3C" w14:textId="77777777" w:rsidR="0072020E" w:rsidRPr="00F65520" w:rsidRDefault="0072020E" w:rsidP="00480FB1">
      <w:pPr>
        <w:tabs>
          <w:tab w:val="left" w:pos="540"/>
          <w:tab w:val="left" w:pos="569"/>
        </w:tabs>
        <w:rPr>
          <w:b/>
          <w:bCs/>
          <w:sz w:val="22"/>
          <w:szCs w:val="22"/>
          <w:lang w:val="sr-Latn-ME"/>
        </w:rPr>
      </w:pPr>
      <w:r w:rsidRPr="00F65520">
        <w:rPr>
          <w:b/>
          <w:bCs/>
          <w:sz w:val="22"/>
          <w:szCs w:val="22"/>
          <w:lang w:val="sr-Latn-ME"/>
        </w:rPr>
        <w:t xml:space="preserve">6.4. </w:t>
      </w:r>
      <w:r w:rsidR="00480FB1" w:rsidRPr="00F65520">
        <w:rPr>
          <w:b/>
          <w:bCs/>
          <w:sz w:val="22"/>
          <w:szCs w:val="22"/>
          <w:lang w:val="sr-Latn-ME"/>
        </w:rPr>
        <w:tab/>
      </w:r>
      <w:r w:rsidRPr="00F65520">
        <w:rPr>
          <w:b/>
          <w:bCs/>
          <w:sz w:val="22"/>
          <w:szCs w:val="22"/>
          <w:lang w:val="sr-Latn-ME"/>
        </w:rPr>
        <w:t>Posebne mjere upozorenja pri čuvanju</w:t>
      </w:r>
      <w:r w:rsidR="00F8570A" w:rsidRPr="00F65520">
        <w:rPr>
          <w:b/>
          <w:bCs/>
          <w:sz w:val="22"/>
          <w:szCs w:val="22"/>
          <w:lang w:val="sr-Latn-ME"/>
        </w:rPr>
        <w:t xml:space="preserve"> lijeka</w:t>
      </w:r>
    </w:p>
    <w:p w14:paraId="482AAC2F" w14:textId="6F63AB0C" w:rsidR="00EC2532" w:rsidRPr="00F65520" w:rsidRDefault="00EC2532" w:rsidP="00480FB1">
      <w:pPr>
        <w:tabs>
          <w:tab w:val="left" w:pos="540"/>
          <w:tab w:val="left" w:pos="569"/>
        </w:tabs>
        <w:rPr>
          <w:bCs/>
          <w:sz w:val="22"/>
          <w:szCs w:val="22"/>
          <w:lang w:val="sr-Latn-ME"/>
        </w:rPr>
      </w:pPr>
    </w:p>
    <w:p w14:paraId="20A783D8" w14:textId="0E38E0A4" w:rsidR="00981921" w:rsidRDefault="005D068D" w:rsidP="00F0315A">
      <w:pPr>
        <w:tabs>
          <w:tab w:val="left" w:pos="540"/>
          <w:tab w:val="left" w:pos="569"/>
        </w:tabs>
        <w:jc w:val="both"/>
        <w:rPr>
          <w:bCs/>
          <w:sz w:val="22"/>
          <w:szCs w:val="22"/>
          <w:lang w:val="sr-Latn-ME"/>
        </w:rPr>
      </w:pPr>
      <w:r w:rsidRPr="00F65520">
        <w:rPr>
          <w:bCs/>
          <w:sz w:val="22"/>
          <w:szCs w:val="22"/>
          <w:lang w:val="sr-Latn-ME"/>
        </w:rPr>
        <w:t xml:space="preserve">Čuvati u frižideru (na temperaturi od 2°C do 8°C). </w:t>
      </w:r>
    </w:p>
    <w:p w14:paraId="370E9A8B" w14:textId="77777777" w:rsidR="00F501FA" w:rsidRPr="00F65520" w:rsidRDefault="00F501FA" w:rsidP="00F0315A">
      <w:pPr>
        <w:tabs>
          <w:tab w:val="left" w:pos="540"/>
          <w:tab w:val="left" w:pos="569"/>
        </w:tabs>
        <w:jc w:val="both"/>
        <w:rPr>
          <w:bCs/>
          <w:sz w:val="22"/>
          <w:szCs w:val="22"/>
          <w:lang w:val="sr-Latn-ME"/>
        </w:rPr>
      </w:pPr>
    </w:p>
    <w:p w14:paraId="72FCA36D" w14:textId="60AE8679" w:rsidR="00981921" w:rsidRPr="00F65520" w:rsidRDefault="005D068D" w:rsidP="00F0315A">
      <w:pPr>
        <w:tabs>
          <w:tab w:val="left" w:pos="540"/>
          <w:tab w:val="left" w:pos="569"/>
        </w:tabs>
        <w:jc w:val="both"/>
        <w:rPr>
          <w:bCs/>
          <w:sz w:val="22"/>
          <w:szCs w:val="22"/>
          <w:lang w:val="sr-Latn-ME"/>
        </w:rPr>
      </w:pPr>
      <w:r w:rsidRPr="00F65520">
        <w:rPr>
          <w:bCs/>
          <w:sz w:val="22"/>
          <w:szCs w:val="22"/>
          <w:lang w:val="sr-Latn-ME"/>
        </w:rPr>
        <w:t xml:space="preserve">Lijek Fasenra se može čuvati na sobnoj temperaturi </w:t>
      </w:r>
      <w:r w:rsidR="00D05FBC" w:rsidRPr="00F65520">
        <w:rPr>
          <w:bCs/>
          <w:sz w:val="22"/>
          <w:szCs w:val="22"/>
          <w:lang w:val="sr-Latn-ME"/>
        </w:rPr>
        <w:t xml:space="preserve">do </w:t>
      </w:r>
      <w:r w:rsidRPr="00F65520">
        <w:rPr>
          <w:bCs/>
          <w:sz w:val="22"/>
          <w:szCs w:val="22"/>
          <w:lang w:val="sr-Latn-ME"/>
        </w:rPr>
        <w:t>25°C  najviše 14 dana. Nakon vađenje iz frižidera lijek Fasenra se mora prim</w:t>
      </w:r>
      <w:r w:rsidR="0060055A">
        <w:rPr>
          <w:bCs/>
          <w:sz w:val="22"/>
          <w:szCs w:val="22"/>
          <w:lang w:val="sr-Latn-ME"/>
        </w:rPr>
        <w:t>i</w:t>
      </w:r>
      <w:r w:rsidRPr="00F65520">
        <w:rPr>
          <w:bCs/>
          <w:sz w:val="22"/>
          <w:szCs w:val="22"/>
          <w:lang w:val="sr-Latn-ME"/>
        </w:rPr>
        <w:t xml:space="preserve">jeniti u toku 14 dana ili baciti. </w:t>
      </w:r>
    </w:p>
    <w:p w14:paraId="1165A9E9" w14:textId="77777777" w:rsidR="00F501FA" w:rsidRDefault="00F501FA" w:rsidP="00F0315A">
      <w:pPr>
        <w:tabs>
          <w:tab w:val="left" w:pos="540"/>
          <w:tab w:val="left" w:pos="569"/>
        </w:tabs>
        <w:jc w:val="both"/>
        <w:rPr>
          <w:sz w:val="22"/>
          <w:szCs w:val="22"/>
          <w:lang w:val="sr-Latn-ME"/>
        </w:rPr>
      </w:pPr>
    </w:p>
    <w:p w14:paraId="791CCD6F" w14:textId="51A3BBBA" w:rsidR="00981921" w:rsidRPr="00F65520" w:rsidRDefault="00272E45" w:rsidP="00F0315A">
      <w:pPr>
        <w:tabs>
          <w:tab w:val="left" w:pos="540"/>
          <w:tab w:val="left" w:pos="569"/>
        </w:tabs>
        <w:jc w:val="both"/>
        <w:rPr>
          <w:bCs/>
          <w:sz w:val="22"/>
          <w:szCs w:val="22"/>
          <w:lang w:val="sr-Latn-ME"/>
        </w:rPr>
      </w:pPr>
      <w:r w:rsidRPr="00F65520">
        <w:rPr>
          <w:sz w:val="22"/>
          <w:szCs w:val="22"/>
          <w:lang w:val="sr-Latn-ME"/>
        </w:rPr>
        <w:t xml:space="preserve">Čuvati </w:t>
      </w:r>
      <w:r w:rsidR="005D068D" w:rsidRPr="00F65520">
        <w:rPr>
          <w:sz w:val="22"/>
          <w:szCs w:val="22"/>
          <w:lang w:val="sr-Latn-ME"/>
        </w:rPr>
        <w:t>u</w:t>
      </w:r>
      <w:r w:rsidR="005D068D" w:rsidRPr="00F65520">
        <w:rPr>
          <w:bCs/>
          <w:sz w:val="22"/>
          <w:szCs w:val="22"/>
          <w:lang w:val="sr-Latn-ME"/>
        </w:rPr>
        <w:t xml:space="preserve"> originalnom pakovanju radi zaštite od svjetlosti. </w:t>
      </w:r>
    </w:p>
    <w:p w14:paraId="7A154E79" w14:textId="77777777" w:rsidR="00981921" w:rsidRPr="00F65520" w:rsidRDefault="00981921" w:rsidP="00F0315A">
      <w:pPr>
        <w:tabs>
          <w:tab w:val="left" w:pos="540"/>
          <w:tab w:val="left" w:pos="569"/>
        </w:tabs>
        <w:jc w:val="both"/>
        <w:rPr>
          <w:bCs/>
          <w:sz w:val="22"/>
          <w:szCs w:val="22"/>
          <w:lang w:val="sr-Latn-ME"/>
        </w:rPr>
      </w:pPr>
    </w:p>
    <w:p w14:paraId="34E435F8" w14:textId="1926A1AE" w:rsidR="005D068D" w:rsidRPr="00F65520" w:rsidRDefault="005D068D" w:rsidP="00F0315A">
      <w:pPr>
        <w:tabs>
          <w:tab w:val="left" w:pos="540"/>
          <w:tab w:val="left" w:pos="569"/>
        </w:tabs>
        <w:jc w:val="both"/>
        <w:rPr>
          <w:bCs/>
          <w:sz w:val="22"/>
          <w:szCs w:val="22"/>
          <w:lang w:val="sr-Latn-ME"/>
        </w:rPr>
      </w:pPr>
      <w:r w:rsidRPr="00F65520">
        <w:rPr>
          <w:bCs/>
          <w:sz w:val="22"/>
          <w:szCs w:val="22"/>
          <w:lang w:val="sr-Latn-ME"/>
        </w:rPr>
        <w:t>Ne zamrzavati. Ne tresti. Ne izlagati toploti.</w:t>
      </w:r>
    </w:p>
    <w:p w14:paraId="5DA5E1BF" w14:textId="77777777" w:rsidR="005D068D" w:rsidRPr="00F65520" w:rsidRDefault="005D068D" w:rsidP="00480FB1">
      <w:pPr>
        <w:tabs>
          <w:tab w:val="left" w:pos="540"/>
          <w:tab w:val="left" w:pos="569"/>
        </w:tabs>
        <w:rPr>
          <w:bCs/>
          <w:sz w:val="22"/>
          <w:szCs w:val="22"/>
          <w:lang w:val="sr-Latn-ME"/>
        </w:rPr>
      </w:pPr>
    </w:p>
    <w:p w14:paraId="281C5E5E" w14:textId="77777777" w:rsidR="0072020E" w:rsidRPr="00F65520" w:rsidRDefault="0072020E" w:rsidP="00480FB1">
      <w:pPr>
        <w:tabs>
          <w:tab w:val="left" w:pos="540"/>
          <w:tab w:val="left" w:pos="569"/>
        </w:tabs>
        <w:rPr>
          <w:b/>
          <w:bCs/>
          <w:sz w:val="22"/>
          <w:szCs w:val="22"/>
          <w:lang w:val="sr-Latn-ME"/>
        </w:rPr>
      </w:pPr>
      <w:r w:rsidRPr="00F65520">
        <w:rPr>
          <w:b/>
          <w:bCs/>
          <w:sz w:val="22"/>
          <w:szCs w:val="22"/>
          <w:lang w:val="sr-Latn-ME"/>
        </w:rPr>
        <w:t xml:space="preserve">6.5. </w:t>
      </w:r>
      <w:r w:rsidR="00480FB1" w:rsidRPr="00F65520">
        <w:rPr>
          <w:b/>
          <w:bCs/>
          <w:sz w:val="22"/>
          <w:szCs w:val="22"/>
          <w:lang w:val="sr-Latn-ME"/>
        </w:rPr>
        <w:tab/>
      </w:r>
      <w:r w:rsidR="002846DB" w:rsidRPr="00F65520">
        <w:rPr>
          <w:b/>
          <w:bCs/>
          <w:sz w:val="22"/>
          <w:szCs w:val="22"/>
          <w:lang w:val="sr-Latn-ME"/>
        </w:rPr>
        <w:t xml:space="preserve">Vrsta i sadržaj </w:t>
      </w:r>
      <w:r w:rsidR="00F8570A" w:rsidRPr="00F65520">
        <w:rPr>
          <w:b/>
          <w:bCs/>
          <w:sz w:val="22"/>
          <w:szCs w:val="22"/>
          <w:lang w:val="sr-Latn-ME"/>
        </w:rPr>
        <w:t>pakovanja</w:t>
      </w:r>
      <w:r w:rsidR="00C06864" w:rsidRPr="00F65520">
        <w:rPr>
          <w:b/>
          <w:bCs/>
          <w:sz w:val="22"/>
          <w:szCs w:val="22"/>
          <w:lang w:val="sr-Latn-ME"/>
        </w:rPr>
        <w:t xml:space="preserve"> </w:t>
      </w:r>
    </w:p>
    <w:p w14:paraId="635D0713" w14:textId="20086411" w:rsidR="0072020E" w:rsidRPr="00F65520" w:rsidRDefault="0072020E" w:rsidP="00480FB1">
      <w:pPr>
        <w:tabs>
          <w:tab w:val="left" w:pos="540"/>
          <w:tab w:val="left" w:pos="569"/>
        </w:tabs>
        <w:rPr>
          <w:bCs/>
          <w:sz w:val="22"/>
          <w:szCs w:val="22"/>
          <w:lang w:val="sr-Latn-ME"/>
        </w:rPr>
      </w:pPr>
    </w:p>
    <w:p w14:paraId="7594210A" w14:textId="77777777" w:rsidR="00CD0522" w:rsidRPr="00F65520" w:rsidRDefault="00CD0522" w:rsidP="0035094B">
      <w:pPr>
        <w:tabs>
          <w:tab w:val="left" w:pos="540"/>
          <w:tab w:val="left" w:pos="569"/>
        </w:tabs>
        <w:jc w:val="both"/>
        <w:rPr>
          <w:bCs/>
          <w:sz w:val="22"/>
          <w:szCs w:val="22"/>
          <w:u w:val="single"/>
          <w:lang w:val="sr-Latn-ME"/>
        </w:rPr>
      </w:pPr>
      <w:r w:rsidRPr="00F65520">
        <w:rPr>
          <w:bCs/>
          <w:sz w:val="22"/>
          <w:szCs w:val="22"/>
          <w:u w:val="single"/>
          <w:lang w:val="sr-Latn-ME"/>
        </w:rPr>
        <w:t>Napunjeni injekcioni špric</w:t>
      </w:r>
    </w:p>
    <w:p w14:paraId="4EC4617C" w14:textId="77777777" w:rsidR="00CD0522" w:rsidRPr="00F65520" w:rsidRDefault="00CD0522" w:rsidP="0035094B">
      <w:pPr>
        <w:tabs>
          <w:tab w:val="left" w:pos="540"/>
          <w:tab w:val="left" w:pos="569"/>
        </w:tabs>
        <w:jc w:val="both"/>
        <w:rPr>
          <w:bCs/>
          <w:sz w:val="22"/>
          <w:szCs w:val="22"/>
          <w:u w:val="single"/>
          <w:lang w:val="sr-Latn-ME"/>
        </w:rPr>
      </w:pPr>
    </w:p>
    <w:p w14:paraId="5EDCBEC4" w14:textId="01BFEB1B" w:rsidR="00CD0522" w:rsidRPr="00F65520" w:rsidRDefault="00CD0522" w:rsidP="0035094B">
      <w:pPr>
        <w:tabs>
          <w:tab w:val="left" w:pos="540"/>
          <w:tab w:val="left" w:pos="569"/>
        </w:tabs>
        <w:jc w:val="both"/>
        <w:rPr>
          <w:bCs/>
          <w:sz w:val="22"/>
          <w:szCs w:val="22"/>
          <w:lang w:val="sr-Latn-ME"/>
        </w:rPr>
      </w:pPr>
      <w:bookmarkStart w:id="5" w:name="_Hlk40126574"/>
      <w:r w:rsidRPr="00F65520">
        <w:rPr>
          <w:bCs/>
          <w:sz w:val="22"/>
          <w:szCs w:val="22"/>
          <w:lang w:val="sr-Latn-ME"/>
        </w:rPr>
        <w:t xml:space="preserve">Unutrašnje pakovanje lijeka je napunjeni injekcioni špric </w:t>
      </w:r>
      <w:r w:rsidR="004D5ECA" w:rsidRPr="00F65520">
        <w:rPr>
          <w:bCs/>
          <w:sz w:val="22"/>
          <w:szCs w:val="22"/>
          <w:lang w:val="sr-Latn-ME"/>
        </w:rPr>
        <w:t>za jednokratnu primjenu</w:t>
      </w:r>
      <w:r w:rsidR="00044AEF" w:rsidRPr="00F65520">
        <w:rPr>
          <w:bCs/>
          <w:sz w:val="22"/>
          <w:szCs w:val="22"/>
          <w:lang w:val="sr-Latn-ME"/>
        </w:rPr>
        <w:t>,</w:t>
      </w:r>
      <w:r w:rsidR="004D5ECA" w:rsidRPr="00F65520">
        <w:rPr>
          <w:bCs/>
          <w:sz w:val="22"/>
          <w:szCs w:val="22"/>
          <w:lang w:val="sr-Latn-ME"/>
        </w:rPr>
        <w:t xml:space="preserve"> </w:t>
      </w:r>
      <w:r w:rsidRPr="00F65520">
        <w:rPr>
          <w:bCs/>
          <w:sz w:val="22"/>
          <w:szCs w:val="22"/>
          <w:lang w:val="sr-Latn-ME"/>
        </w:rPr>
        <w:t>izrađen od stakla tipa I, sa pričvršćenom iglom od nerđajućeg čelika veličine 29G i 12,7 mm (pola inča), čvrstim štitnikom za iglu i čepom klipa od brombutil gume</w:t>
      </w:r>
      <w:r w:rsidR="00044AEF" w:rsidRPr="00F65520">
        <w:rPr>
          <w:bCs/>
          <w:sz w:val="22"/>
          <w:szCs w:val="22"/>
          <w:lang w:val="sr-Latn-ME"/>
        </w:rPr>
        <w:t>,</w:t>
      </w:r>
      <w:r w:rsidRPr="00F65520">
        <w:rPr>
          <w:bCs/>
          <w:sz w:val="22"/>
          <w:szCs w:val="22"/>
          <w:lang w:val="sr-Latn-ME"/>
        </w:rPr>
        <w:t xml:space="preserve"> obložen</w:t>
      </w:r>
      <w:r w:rsidR="00044AEF" w:rsidRPr="00F65520">
        <w:rPr>
          <w:bCs/>
          <w:sz w:val="22"/>
          <w:szCs w:val="22"/>
          <w:lang w:val="sr-Latn-ME"/>
        </w:rPr>
        <w:t>im</w:t>
      </w:r>
      <w:r w:rsidRPr="00F65520">
        <w:rPr>
          <w:bCs/>
          <w:sz w:val="22"/>
          <w:szCs w:val="22"/>
          <w:lang w:val="sr-Latn-ME"/>
        </w:rPr>
        <w:t xml:space="preserve"> </w:t>
      </w:r>
      <w:r w:rsidRPr="00F65520">
        <w:rPr>
          <w:bCs/>
          <w:i/>
          <w:sz w:val="22"/>
          <w:szCs w:val="22"/>
          <w:lang w:val="sr-Latn-ME"/>
        </w:rPr>
        <w:t>FluoroTec</w:t>
      </w:r>
      <w:r w:rsidRPr="00F65520">
        <w:rPr>
          <w:bCs/>
          <w:sz w:val="22"/>
          <w:szCs w:val="22"/>
          <w:lang w:val="sr-Latn-ME"/>
        </w:rPr>
        <w:t xml:space="preserve"> filmom</w:t>
      </w:r>
      <w:bookmarkEnd w:id="5"/>
      <w:r w:rsidRPr="00F65520">
        <w:rPr>
          <w:bCs/>
          <w:sz w:val="22"/>
          <w:szCs w:val="22"/>
          <w:lang w:val="sr-Latn-ME"/>
        </w:rPr>
        <w:t>.</w:t>
      </w:r>
    </w:p>
    <w:p w14:paraId="0E3FCBA0" w14:textId="77777777" w:rsidR="00044AEF" w:rsidRPr="00F65520" w:rsidRDefault="00044AEF" w:rsidP="0035094B">
      <w:pPr>
        <w:tabs>
          <w:tab w:val="left" w:pos="540"/>
          <w:tab w:val="left" w:pos="569"/>
        </w:tabs>
        <w:jc w:val="both"/>
        <w:rPr>
          <w:bCs/>
          <w:sz w:val="22"/>
          <w:szCs w:val="22"/>
          <w:lang w:val="sr-Latn-ME"/>
        </w:rPr>
      </w:pPr>
    </w:p>
    <w:p w14:paraId="558F548C" w14:textId="256E29A1" w:rsidR="00CD0522" w:rsidRPr="00F65520" w:rsidRDefault="00CD0522" w:rsidP="0035094B">
      <w:pPr>
        <w:tabs>
          <w:tab w:val="left" w:pos="540"/>
          <w:tab w:val="left" w:pos="569"/>
        </w:tabs>
        <w:jc w:val="both"/>
        <w:rPr>
          <w:bCs/>
          <w:sz w:val="22"/>
          <w:szCs w:val="22"/>
          <w:lang w:val="sr-Latn-ME"/>
        </w:rPr>
      </w:pPr>
      <w:r w:rsidRPr="00F65520">
        <w:rPr>
          <w:bCs/>
          <w:sz w:val="22"/>
          <w:szCs w:val="22"/>
          <w:lang w:val="sr-Latn-ME"/>
        </w:rPr>
        <w:t>Spoljašnje pakovanje lijeka je složiva kartonska kutija u kojoj se nalazi 1 napunjeni injekcioni špric u blisteru i Uputstvo za lijek.</w:t>
      </w:r>
    </w:p>
    <w:p w14:paraId="76AB558C" w14:textId="77777777" w:rsidR="00CD0522" w:rsidRPr="00F65520" w:rsidRDefault="00CD0522" w:rsidP="0035094B">
      <w:pPr>
        <w:tabs>
          <w:tab w:val="left" w:pos="540"/>
          <w:tab w:val="left" w:pos="569"/>
        </w:tabs>
        <w:jc w:val="both"/>
        <w:rPr>
          <w:bCs/>
          <w:sz w:val="22"/>
          <w:szCs w:val="22"/>
          <w:lang w:val="sr-Latn-ME"/>
        </w:rPr>
      </w:pPr>
    </w:p>
    <w:p w14:paraId="25FDE222" w14:textId="77777777" w:rsidR="00CD0522" w:rsidRPr="00F65520" w:rsidRDefault="00CD0522" w:rsidP="0035094B">
      <w:pPr>
        <w:tabs>
          <w:tab w:val="left" w:pos="540"/>
          <w:tab w:val="left" w:pos="569"/>
        </w:tabs>
        <w:jc w:val="both"/>
        <w:rPr>
          <w:bCs/>
          <w:sz w:val="22"/>
          <w:szCs w:val="22"/>
          <w:u w:val="single"/>
          <w:lang w:val="sr-Latn-ME"/>
        </w:rPr>
      </w:pPr>
      <w:r w:rsidRPr="00F65520">
        <w:rPr>
          <w:bCs/>
          <w:sz w:val="22"/>
          <w:szCs w:val="22"/>
          <w:u w:val="single"/>
          <w:lang w:val="sr-Latn-ME"/>
        </w:rPr>
        <w:t>Napunjeni injekcioni pen</w:t>
      </w:r>
    </w:p>
    <w:p w14:paraId="17D8F903" w14:textId="77777777" w:rsidR="00CD0522" w:rsidRPr="00F65520" w:rsidRDefault="00CD0522" w:rsidP="0035094B">
      <w:pPr>
        <w:tabs>
          <w:tab w:val="left" w:pos="540"/>
          <w:tab w:val="left" w:pos="569"/>
        </w:tabs>
        <w:jc w:val="both"/>
        <w:rPr>
          <w:bCs/>
          <w:sz w:val="22"/>
          <w:szCs w:val="22"/>
          <w:u w:val="single"/>
          <w:lang w:val="sr-Latn-ME"/>
        </w:rPr>
      </w:pPr>
    </w:p>
    <w:p w14:paraId="79D5A694" w14:textId="065BA5F6" w:rsidR="00CD0522" w:rsidRPr="00F65520" w:rsidRDefault="00CD0522" w:rsidP="0035094B">
      <w:pPr>
        <w:tabs>
          <w:tab w:val="left" w:pos="540"/>
          <w:tab w:val="left" w:pos="569"/>
        </w:tabs>
        <w:jc w:val="both"/>
        <w:rPr>
          <w:bCs/>
          <w:sz w:val="22"/>
          <w:szCs w:val="22"/>
          <w:lang w:val="sr-Latn-ME"/>
        </w:rPr>
      </w:pPr>
      <w:r w:rsidRPr="00F65520">
        <w:rPr>
          <w:bCs/>
          <w:sz w:val="22"/>
          <w:szCs w:val="22"/>
          <w:lang w:val="sr-Latn-ME"/>
        </w:rPr>
        <w:t>Unutrašnje pakovanje lijeka je napunjeni injekcioni pen za jednokratnu primjenu</w:t>
      </w:r>
      <w:r w:rsidR="00044AEF" w:rsidRPr="00F65520">
        <w:rPr>
          <w:bCs/>
          <w:sz w:val="22"/>
          <w:szCs w:val="22"/>
          <w:lang w:val="sr-Latn-ME"/>
        </w:rPr>
        <w:t>,</w:t>
      </w:r>
      <w:r w:rsidRPr="00F65520">
        <w:rPr>
          <w:bCs/>
          <w:sz w:val="22"/>
          <w:szCs w:val="22"/>
          <w:lang w:val="sr-Latn-ME"/>
        </w:rPr>
        <w:t xml:space="preserve"> izrađen od stakla tipa I, sa pričvršćenom iglom od nerđajućeg čelika veličine 29G i 12,7 mm (pola inča), čvrstim štitnikom za iglu i čepom klipa od brombutil gume</w:t>
      </w:r>
      <w:r w:rsidR="00044AEF" w:rsidRPr="00F65520">
        <w:rPr>
          <w:bCs/>
          <w:sz w:val="22"/>
          <w:szCs w:val="22"/>
          <w:lang w:val="sr-Latn-ME"/>
        </w:rPr>
        <w:t>,</w:t>
      </w:r>
      <w:r w:rsidRPr="00F65520">
        <w:rPr>
          <w:bCs/>
          <w:sz w:val="22"/>
          <w:szCs w:val="22"/>
          <w:lang w:val="sr-Latn-ME"/>
        </w:rPr>
        <w:t xml:space="preserve"> obložen</w:t>
      </w:r>
      <w:r w:rsidR="00044AEF" w:rsidRPr="00F65520">
        <w:rPr>
          <w:bCs/>
          <w:sz w:val="22"/>
          <w:szCs w:val="22"/>
          <w:lang w:val="sr-Latn-ME"/>
        </w:rPr>
        <w:t>im</w:t>
      </w:r>
      <w:r w:rsidRPr="00F65520">
        <w:rPr>
          <w:bCs/>
          <w:sz w:val="22"/>
          <w:szCs w:val="22"/>
          <w:lang w:val="sr-Latn-ME"/>
        </w:rPr>
        <w:t xml:space="preserve"> </w:t>
      </w:r>
      <w:r w:rsidRPr="00F65520">
        <w:rPr>
          <w:bCs/>
          <w:i/>
          <w:sz w:val="22"/>
          <w:szCs w:val="22"/>
          <w:lang w:val="sr-Latn-ME"/>
        </w:rPr>
        <w:t>FluoroTec</w:t>
      </w:r>
      <w:r w:rsidRPr="00F65520">
        <w:rPr>
          <w:bCs/>
          <w:sz w:val="22"/>
          <w:szCs w:val="22"/>
          <w:lang w:val="sr-Latn-ME"/>
        </w:rPr>
        <w:t xml:space="preserve"> filmom.</w:t>
      </w:r>
    </w:p>
    <w:p w14:paraId="14646857" w14:textId="77777777" w:rsidR="00CD0522" w:rsidRPr="00F65520" w:rsidRDefault="00CD0522" w:rsidP="0035094B">
      <w:pPr>
        <w:tabs>
          <w:tab w:val="left" w:pos="540"/>
          <w:tab w:val="left" w:pos="569"/>
        </w:tabs>
        <w:jc w:val="both"/>
        <w:rPr>
          <w:bCs/>
          <w:sz w:val="22"/>
          <w:szCs w:val="22"/>
          <w:u w:val="single"/>
          <w:lang w:val="sr-Latn-ME"/>
        </w:rPr>
      </w:pPr>
    </w:p>
    <w:p w14:paraId="6B038CB9" w14:textId="6EE18F99" w:rsidR="00CD0522" w:rsidRPr="00F65520" w:rsidRDefault="00CD0522" w:rsidP="0035094B">
      <w:pPr>
        <w:tabs>
          <w:tab w:val="left" w:pos="540"/>
          <w:tab w:val="left" w:pos="569"/>
        </w:tabs>
        <w:jc w:val="both"/>
        <w:rPr>
          <w:bCs/>
          <w:sz w:val="22"/>
          <w:szCs w:val="22"/>
          <w:lang w:val="sr-Latn-ME"/>
        </w:rPr>
      </w:pPr>
      <w:r w:rsidRPr="00F65520">
        <w:rPr>
          <w:bCs/>
          <w:sz w:val="22"/>
          <w:szCs w:val="22"/>
          <w:lang w:val="sr-Latn-ME"/>
        </w:rPr>
        <w:t>Spoljašnje pakovanje lijeka je složiva kartonska kutija u kojoj se nalazi 1 napunjeni injekcioni pen u blisteru i Uputstvo za lijek</w:t>
      </w:r>
      <w:r w:rsidR="007B4278" w:rsidRPr="00F65520">
        <w:rPr>
          <w:bCs/>
          <w:sz w:val="22"/>
          <w:szCs w:val="22"/>
          <w:lang w:val="sr-Latn-ME"/>
        </w:rPr>
        <w:t xml:space="preserve"> (Fasenra Pen)</w:t>
      </w:r>
      <w:r w:rsidRPr="00F65520">
        <w:rPr>
          <w:bCs/>
          <w:sz w:val="22"/>
          <w:szCs w:val="22"/>
          <w:lang w:val="sr-Latn-ME"/>
        </w:rPr>
        <w:t>.</w:t>
      </w:r>
    </w:p>
    <w:p w14:paraId="7CF39931" w14:textId="77777777" w:rsidR="00CD0522" w:rsidRPr="00F65520" w:rsidRDefault="00CD0522" w:rsidP="00480FB1">
      <w:pPr>
        <w:tabs>
          <w:tab w:val="left" w:pos="540"/>
          <w:tab w:val="left" w:pos="569"/>
        </w:tabs>
        <w:rPr>
          <w:bCs/>
          <w:sz w:val="22"/>
          <w:szCs w:val="22"/>
          <w:lang w:val="sr-Latn-ME"/>
        </w:rPr>
      </w:pPr>
    </w:p>
    <w:p w14:paraId="02E55652" w14:textId="77777777" w:rsidR="002846DB" w:rsidRPr="00F65520" w:rsidRDefault="0072020E" w:rsidP="00480FB1">
      <w:pPr>
        <w:tabs>
          <w:tab w:val="left" w:pos="540"/>
          <w:tab w:val="left" w:pos="569"/>
        </w:tabs>
        <w:rPr>
          <w:b/>
          <w:bCs/>
          <w:sz w:val="22"/>
          <w:szCs w:val="22"/>
          <w:lang w:val="sr-Latn-ME"/>
        </w:rPr>
      </w:pPr>
      <w:r w:rsidRPr="00F65520">
        <w:rPr>
          <w:b/>
          <w:bCs/>
          <w:sz w:val="22"/>
          <w:szCs w:val="22"/>
          <w:lang w:val="sr-Latn-ME"/>
        </w:rPr>
        <w:t xml:space="preserve">6.6. </w:t>
      </w:r>
      <w:r w:rsidR="00480FB1" w:rsidRPr="00F65520">
        <w:rPr>
          <w:b/>
          <w:bCs/>
          <w:sz w:val="22"/>
          <w:szCs w:val="22"/>
          <w:lang w:val="sr-Latn-ME"/>
        </w:rPr>
        <w:tab/>
      </w:r>
      <w:r w:rsidRPr="00F65520">
        <w:rPr>
          <w:b/>
          <w:bCs/>
          <w:sz w:val="22"/>
          <w:szCs w:val="22"/>
          <w:lang w:val="sr-Latn-ME"/>
        </w:rPr>
        <w:t xml:space="preserve">Posebne mjere opreza pri odlaganju materijala koji treba odbaciti nakon primjene lijeka </w:t>
      </w:r>
      <w:r w:rsidR="00310F03" w:rsidRPr="00F65520">
        <w:rPr>
          <w:b/>
          <w:bCs/>
          <w:sz w:val="22"/>
          <w:szCs w:val="22"/>
          <w:lang w:val="sr-Latn-ME"/>
        </w:rPr>
        <w:t>(i druga uputs</w:t>
      </w:r>
      <w:r w:rsidR="004109FA" w:rsidRPr="00F65520">
        <w:rPr>
          <w:b/>
          <w:bCs/>
          <w:sz w:val="22"/>
          <w:szCs w:val="22"/>
          <w:lang w:val="sr-Latn-ME"/>
        </w:rPr>
        <w:t>t</w:t>
      </w:r>
      <w:r w:rsidR="00310F03" w:rsidRPr="00F65520">
        <w:rPr>
          <w:b/>
          <w:bCs/>
          <w:sz w:val="22"/>
          <w:szCs w:val="22"/>
          <w:lang w:val="sr-Latn-ME"/>
        </w:rPr>
        <w:t xml:space="preserve">va za rukovanje lijekom) </w:t>
      </w:r>
    </w:p>
    <w:p w14:paraId="332D4947" w14:textId="77777777" w:rsidR="00B66A70" w:rsidRPr="00F65520" w:rsidRDefault="00B66A70" w:rsidP="0035094B">
      <w:pPr>
        <w:tabs>
          <w:tab w:val="left" w:pos="540"/>
          <w:tab w:val="left" w:pos="569"/>
        </w:tabs>
        <w:jc w:val="both"/>
        <w:rPr>
          <w:b/>
          <w:bCs/>
          <w:sz w:val="22"/>
          <w:szCs w:val="22"/>
          <w:lang w:val="sr-Latn-ME"/>
        </w:rPr>
      </w:pPr>
    </w:p>
    <w:p w14:paraId="21B272C4" w14:textId="1E259AF3" w:rsidR="000578CB" w:rsidRPr="00F65520" w:rsidRDefault="000578CB">
      <w:pPr>
        <w:tabs>
          <w:tab w:val="left" w:pos="284"/>
        </w:tabs>
        <w:jc w:val="both"/>
        <w:rPr>
          <w:sz w:val="22"/>
          <w:szCs w:val="22"/>
          <w:lang w:val="sr-Latn-ME"/>
        </w:rPr>
      </w:pPr>
      <w:r w:rsidRPr="00F65520">
        <w:rPr>
          <w:sz w:val="22"/>
          <w:szCs w:val="22"/>
          <w:lang w:val="sr-Latn-ME"/>
        </w:rPr>
        <w:t xml:space="preserve">Prije primjene, ostavite </w:t>
      </w:r>
      <w:r w:rsidR="00AD4600" w:rsidRPr="00F65520">
        <w:rPr>
          <w:sz w:val="22"/>
          <w:szCs w:val="22"/>
          <w:lang w:val="sr-Latn-ME"/>
        </w:rPr>
        <w:t xml:space="preserve">pen ili špric </w:t>
      </w:r>
      <w:r w:rsidR="00272E45" w:rsidRPr="00F65520">
        <w:rPr>
          <w:sz w:val="22"/>
          <w:szCs w:val="22"/>
          <w:lang w:val="sr-Latn-ME"/>
        </w:rPr>
        <w:t xml:space="preserve">da dostigne sobnu temperaturu od 20°C do 25°C ostavljajući karton van frižidera </w:t>
      </w:r>
      <w:r w:rsidR="00AD4600" w:rsidRPr="00F65520">
        <w:rPr>
          <w:sz w:val="22"/>
          <w:szCs w:val="22"/>
          <w:lang w:val="sr-Latn-ME"/>
        </w:rPr>
        <w:t xml:space="preserve">otprilike </w:t>
      </w:r>
      <w:r w:rsidRPr="00F65520">
        <w:rPr>
          <w:sz w:val="22"/>
          <w:szCs w:val="22"/>
          <w:lang w:val="sr-Latn-ME"/>
        </w:rPr>
        <w:t xml:space="preserve">30 minuta. </w:t>
      </w:r>
    </w:p>
    <w:p w14:paraId="55E99315" w14:textId="77777777" w:rsidR="000578CB" w:rsidRPr="00F65520" w:rsidRDefault="000578CB">
      <w:pPr>
        <w:tabs>
          <w:tab w:val="left" w:pos="284"/>
        </w:tabs>
        <w:jc w:val="both"/>
        <w:rPr>
          <w:sz w:val="22"/>
          <w:szCs w:val="22"/>
          <w:lang w:val="sr-Latn-ME"/>
        </w:rPr>
      </w:pPr>
    </w:p>
    <w:p w14:paraId="7CBC6A36" w14:textId="08094003" w:rsidR="000578CB" w:rsidRPr="00F65520" w:rsidRDefault="000578CB">
      <w:pPr>
        <w:tabs>
          <w:tab w:val="left" w:pos="284"/>
        </w:tabs>
        <w:jc w:val="both"/>
        <w:rPr>
          <w:sz w:val="22"/>
          <w:szCs w:val="22"/>
          <w:lang w:val="sr-Latn-ME"/>
        </w:rPr>
      </w:pPr>
      <w:r w:rsidRPr="00F65520">
        <w:rPr>
          <w:sz w:val="22"/>
          <w:szCs w:val="22"/>
          <w:lang w:val="sr-Latn-ME"/>
        </w:rPr>
        <w:t xml:space="preserve">Prije primjene </w:t>
      </w:r>
      <w:r w:rsidR="004100E6" w:rsidRPr="00F65520">
        <w:rPr>
          <w:sz w:val="22"/>
          <w:szCs w:val="22"/>
          <w:lang w:val="sr-Latn-ME"/>
        </w:rPr>
        <w:t xml:space="preserve">vizuelno </w:t>
      </w:r>
      <w:r w:rsidRPr="00F65520">
        <w:rPr>
          <w:sz w:val="22"/>
          <w:szCs w:val="22"/>
          <w:lang w:val="sr-Latn-ME"/>
        </w:rPr>
        <w:t>pregledajte lijek Fasenra kako biste utvrdili da li sadrži čestice i da li je promijenio boju. Lijek Fasenra je bistar do opalescentan, bezbojan do žut rastvor koji može sadržati prozirne ili bijele do bjeličast</w:t>
      </w:r>
      <w:r w:rsidR="00FB7CB1" w:rsidRPr="00F65520">
        <w:rPr>
          <w:sz w:val="22"/>
          <w:szCs w:val="22"/>
          <w:lang w:val="sr-Latn-ME"/>
        </w:rPr>
        <w:t>e</w:t>
      </w:r>
      <w:r w:rsidRPr="00F65520">
        <w:rPr>
          <w:sz w:val="22"/>
          <w:szCs w:val="22"/>
          <w:lang w:val="sr-Latn-ME"/>
        </w:rPr>
        <w:t xml:space="preserve"> čestic</w:t>
      </w:r>
      <w:r w:rsidR="00FB7CB1" w:rsidRPr="00F65520">
        <w:rPr>
          <w:sz w:val="22"/>
          <w:szCs w:val="22"/>
          <w:lang w:val="sr-Latn-ME"/>
        </w:rPr>
        <w:t>e</w:t>
      </w:r>
      <w:r w:rsidRPr="00F65520">
        <w:rPr>
          <w:sz w:val="22"/>
          <w:szCs w:val="22"/>
          <w:lang w:val="sr-Latn-ME"/>
        </w:rPr>
        <w:t>. Nemojte prim</w:t>
      </w:r>
      <w:r w:rsidR="004574A8" w:rsidRPr="00F65520">
        <w:rPr>
          <w:sz w:val="22"/>
          <w:szCs w:val="22"/>
          <w:lang w:val="sr-Latn-ME"/>
        </w:rPr>
        <w:t>i</w:t>
      </w:r>
      <w:r w:rsidRPr="00F65520">
        <w:rPr>
          <w:sz w:val="22"/>
          <w:szCs w:val="22"/>
          <w:lang w:val="sr-Latn-ME"/>
        </w:rPr>
        <w:t xml:space="preserve">jeniti lijek Fasenra ako je rastvor mutan, ako je promijenio boju ili ako sadrži krupne strane čestice. </w:t>
      </w:r>
    </w:p>
    <w:p w14:paraId="634394CC" w14:textId="77777777" w:rsidR="000578CB" w:rsidRPr="00F65520" w:rsidRDefault="000578CB">
      <w:pPr>
        <w:tabs>
          <w:tab w:val="left" w:pos="284"/>
        </w:tabs>
        <w:jc w:val="both"/>
        <w:rPr>
          <w:sz w:val="22"/>
          <w:szCs w:val="22"/>
          <w:lang w:val="sr-Latn-ME"/>
        </w:rPr>
      </w:pPr>
    </w:p>
    <w:p w14:paraId="32B047A0" w14:textId="3C1FF6FA" w:rsidR="000578CB" w:rsidRPr="00F65520" w:rsidRDefault="000578CB">
      <w:pPr>
        <w:tabs>
          <w:tab w:val="left" w:pos="284"/>
        </w:tabs>
        <w:jc w:val="both"/>
        <w:rPr>
          <w:sz w:val="22"/>
          <w:szCs w:val="22"/>
          <w:lang w:val="sr-Latn-ME"/>
        </w:rPr>
      </w:pPr>
      <w:r w:rsidRPr="00F65520">
        <w:rPr>
          <w:sz w:val="22"/>
          <w:szCs w:val="22"/>
          <w:lang w:val="sr-Latn-ME"/>
        </w:rPr>
        <w:lastRenderedPageBreak/>
        <w:t xml:space="preserve">Dodatne informacije i </w:t>
      </w:r>
      <w:r w:rsidR="00F53E05" w:rsidRPr="00F65520">
        <w:rPr>
          <w:sz w:val="22"/>
          <w:szCs w:val="22"/>
          <w:lang w:val="sr-Latn-ME"/>
        </w:rPr>
        <w:t xml:space="preserve">instrukcije za pripremu i </w:t>
      </w:r>
      <w:r w:rsidRPr="00F65520">
        <w:rPr>
          <w:sz w:val="22"/>
          <w:szCs w:val="22"/>
          <w:lang w:val="sr-Latn-ME"/>
        </w:rPr>
        <w:t>upu</w:t>
      </w:r>
      <w:r w:rsidR="00FB7CB1" w:rsidRPr="00F65520">
        <w:rPr>
          <w:sz w:val="22"/>
          <w:szCs w:val="22"/>
          <w:lang w:val="sr-Latn-ME"/>
        </w:rPr>
        <w:t>t</w:t>
      </w:r>
      <w:r w:rsidRPr="00F65520">
        <w:rPr>
          <w:sz w:val="22"/>
          <w:szCs w:val="22"/>
          <w:lang w:val="sr-Latn-ME"/>
        </w:rPr>
        <w:t xml:space="preserve">stva za </w:t>
      </w:r>
      <w:r w:rsidR="00F53E05" w:rsidRPr="00F65520">
        <w:rPr>
          <w:sz w:val="22"/>
          <w:szCs w:val="22"/>
          <w:lang w:val="sr-Latn-ME"/>
        </w:rPr>
        <w:t>prim</w:t>
      </w:r>
      <w:r w:rsidR="00C71304" w:rsidRPr="00F65520">
        <w:rPr>
          <w:sz w:val="22"/>
          <w:szCs w:val="22"/>
          <w:lang w:val="sr-Latn-ME"/>
        </w:rPr>
        <w:t>j</w:t>
      </w:r>
      <w:r w:rsidR="00F53E05" w:rsidRPr="00F65520">
        <w:rPr>
          <w:sz w:val="22"/>
          <w:szCs w:val="22"/>
          <w:lang w:val="sr-Latn-ME"/>
        </w:rPr>
        <w:t>enu za korišćenje lijeka Fasenra, napunjenog injekcionog šprica ili pena (Fasenra Pen)</w:t>
      </w:r>
      <w:r w:rsidR="004574A8" w:rsidRPr="00F65520">
        <w:rPr>
          <w:sz w:val="22"/>
          <w:szCs w:val="22"/>
          <w:lang w:val="sr-Latn-ME"/>
        </w:rPr>
        <w:t xml:space="preserve"> </w:t>
      </w:r>
      <w:r w:rsidRPr="00F65520">
        <w:rPr>
          <w:sz w:val="22"/>
          <w:szCs w:val="22"/>
          <w:lang w:val="sr-Latn-ME"/>
        </w:rPr>
        <w:t>nalaze se u Upu</w:t>
      </w:r>
      <w:r w:rsidR="004574A8" w:rsidRPr="00F65520">
        <w:rPr>
          <w:sz w:val="22"/>
          <w:szCs w:val="22"/>
          <w:lang w:val="sr-Latn-ME"/>
        </w:rPr>
        <w:t>t</w:t>
      </w:r>
      <w:r w:rsidRPr="00F65520">
        <w:rPr>
          <w:sz w:val="22"/>
          <w:szCs w:val="22"/>
          <w:lang w:val="sr-Latn-ME"/>
        </w:rPr>
        <w:t>stvu za lijek i Uputstv</w:t>
      </w:r>
      <w:r w:rsidR="00C71304" w:rsidRPr="00F65520">
        <w:rPr>
          <w:sz w:val="22"/>
          <w:szCs w:val="22"/>
          <w:lang w:val="sr-Latn-ME"/>
        </w:rPr>
        <w:t>u</w:t>
      </w:r>
      <w:r w:rsidRPr="00F65520">
        <w:rPr>
          <w:sz w:val="22"/>
          <w:szCs w:val="22"/>
          <w:lang w:val="sr-Latn-ME"/>
        </w:rPr>
        <w:t xml:space="preserve"> za upotrebu. </w:t>
      </w:r>
    </w:p>
    <w:p w14:paraId="2FB8A615" w14:textId="77777777" w:rsidR="000578CB" w:rsidRPr="00F65520" w:rsidRDefault="000578CB" w:rsidP="00F501FA">
      <w:pPr>
        <w:tabs>
          <w:tab w:val="left" w:pos="284"/>
        </w:tabs>
        <w:spacing w:before="200"/>
        <w:jc w:val="both"/>
        <w:rPr>
          <w:sz w:val="22"/>
          <w:szCs w:val="22"/>
          <w:lang w:val="sr-Latn-ME"/>
        </w:rPr>
      </w:pPr>
      <w:r w:rsidRPr="00F65520">
        <w:rPr>
          <w:sz w:val="22"/>
          <w:szCs w:val="22"/>
          <w:lang w:val="sr-Latn-ME"/>
        </w:rPr>
        <w:t>Svu neiskorišćenu količinu lijeka ili otpadnog materijala nakon njegove upotrebe treba ukloniti, u skladu sa važećim propisima.</w:t>
      </w:r>
    </w:p>
    <w:p w14:paraId="6B60F931" w14:textId="0BF15C92" w:rsidR="0072020E" w:rsidRDefault="0072020E" w:rsidP="00480FB1">
      <w:pPr>
        <w:tabs>
          <w:tab w:val="left" w:pos="540"/>
          <w:tab w:val="left" w:pos="569"/>
        </w:tabs>
        <w:rPr>
          <w:bCs/>
          <w:sz w:val="22"/>
          <w:szCs w:val="22"/>
          <w:lang w:val="sr-Latn-ME"/>
        </w:rPr>
      </w:pPr>
    </w:p>
    <w:p w14:paraId="4579150C" w14:textId="77777777" w:rsidR="00F501FA" w:rsidRPr="00F65520" w:rsidRDefault="00F501FA" w:rsidP="00480FB1">
      <w:pPr>
        <w:tabs>
          <w:tab w:val="left" w:pos="540"/>
          <w:tab w:val="left" w:pos="569"/>
        </w:tabs>
        <w:rPr>
          <w:bCs/>
          <w:sz w:val="22"/>
          <w:szCs w:val="22"/>
          <w:lang w:val="sr-Latn-ME"/>
        </w:rPr>
      </w:pPr>
    </w:p>
    <w:p w14:paraId="0244B9D3" w14:textId="77777777" w:rsidR="00F8570A" w:rsidRPr="00F65520" w:rsidRDefault="0072020E" w:rsidP="00480FB1">
      <w:pPr>
        <w:tabs>
          <w:tab w:val="left" w:pos="540"/>
          <w:tab w:val="left" w:pos="569"/>
        </w:tabs>
        <w:rPr>
          <w:b/>
          <w:bCs/>
          <w:sz w:val="22"/>
          <w:szCs w:val="22"/>
          <w:lang w:val="sr-Latn-ME"/>
        </w:rPr>
      </w:pPr>
      <w:r w:rsidRPr="00F65520">
        <w:rPr>
          <w:b/>
          <w:bCs/>
          <w:sz w:val="22"/>
          <w:szCs w:val="22"/>
          <w:lang w:val="sr-Latn-ME"/>
        </w:rPr>
        <w:t xml:space="preserve">7. </w:t>
      </w:r>
      <w:r w:rsidR="00480FB1" w:rsidRPr="00F65520">
        <w:rPr>
          <w:b/>
          <w:bCs/>
          <w:sz w:val="22"/>
          <w:szCs w:val="22"/>
          <w:lang w:val="sr-Latn-ME"/>
        </w:rPr>
        <w:tab/>
      </w:r>
      <w:r w:rsidRPr="00F65520">
        <w:rPr>
          <w:b/>
          <w:bCs/>
          <w:sz w:val="22"/>
          <w:szCs w:val="22"/>
          <w:lang w:val="sr-Latn-ME"/>
        </w:rPr>
        <w:t>NOSILAC DOZVOLE</w:t>
      </w:r>
      <w:r w:rsidR="00483928" w:rsidRPr="00F65520">
        <w:rPr>
          <w:b/>
          <w:bCs/>
          <w:sz w:val="22"/>
          <w:szCs w:val="22"/>
          <w:lang w:val="sr-Latn-ME"/>
        </w:rPr>
        <w:t xml:space="preserve"> </w:t>
      </w:r>
    </w:p>
    <w:p w14:paraId="21999238" w14:textId="77777777" w:rsidR="00C61BE0" w:rsidRPr="00F65520" w:rsidRDefault="00C61BE0" w:rsidP="00480FB1">
      <w:pPr>
        <w:tabs>
          <w:tab w:val="left" w:pos="540"/>
          <w:tab w:val="left" w:pos="569"/>
        </w:tabs>
        <w:rPr>
          <w:bCs/>
          <w:sz w:val="22"/>
          <w:szCs w:val="22"/>
          <w:lang w:val="sr-Latn-ME"/>
        </w:rPr>
      </w:pPr>
    </w:p>
    <w:p w14:paraId="1B8B3B86" w14:textId="3AB1D856" w:rsidR="00C37FD7" w:rsidRPr="00F65520" w:rsidRDefault="000808A1" w:rsidP="0035094B">
      <w:pPr>
        <w:tabs>
          <w:tab w:val="left" w:pos="540"/>
          <w:tab w:val="left" w:pos="569"/>
        </w:tabs>
        <w:jc w:val="both"/>
        <w:rPr>
          <w:bCs/>
          <w:sz w:val="22"/>
          <w:szCs w:val="22"/>
          <w:lang w:val="sr-Latn-ME"/>
        </w:rPr>
      </w:pPr>
      <w:r w:rsidRPr="00F65520">
        <w:rPr>
          <w:bCs/>
          <w:sz w:val="22"/>
          <w:szCs w:val="22"/>
          <w:lang w:val="sr-Latn-ME"/>
        </w:rPr>
        <w:t>Glosarij d.o.o.</w:t>
      </w:r>
    </w:p>
    <w:p w14:paraId="53C54005" w14:textId="0473EFE1" w:rsidR="000808A1" w:rsidRPr="00F65520" w:rsidRDefault="000808A1" w:rsidP="0035094B">
      <w:pPr>
        <w:tabs>
          <w:tab w:val="left" w:pos="540"/>
          <w:tab w:val="left" w:pos="569"/>
        </w:tabs>
        <w:jc w:val="both"/>
        <w:rPr>
          <w:bCs/>
          <w:sz w:val="22"/>
          <w:szCs w:val="22"/>
          <w:lang w:val="sr-Latn-ME"/>
        </w:rPr>
      </w:pPr>
      <w:r w:rsidRPr="00F65520">
        <w:rPr>
          <w:bCs/>
          <w:sz w:val="22"/>
          <w:szCs w:val="22"/>
          <w:lang w:val="sr-Latn-ME"/>
        </w:rPr>
        <w:t>Vojislavlj</w:t>
      </w:r>
      <w:r w:rsidR="005D5249" w:rsidRPr="00F65520">
        <w:rPr>
          <w:bCs/>
          <w:sz w:val="22"/>
          <w:szCs w:val="22"/>
          <w:lang w:val="sr-Latn-ME"/>
        </w:rPr>
        <w:t>evića 76, 81000 Podgorica, Crna Gora</w:t>
      </w:r>
    </w:p>
    <w:p w14:paraId="6EC63F56" w14:textId="3544585E" w:rsidR="005D5249" w:rsidRPr="00F65520" w:rsidRDefault="005D5249" w:rsidP="00480FB1">
      <w:pPr>
        <w:tabs>
          <w:tab w:val="left" w:pos="540"/>
          <w:tab w:val="left" w:pos="569"/>
        </w:tabs>
        <w:rPr>
          <w:bCs/>
          <w:sz w:val="22"/>
          <w:szCs w:val="22"/>
          <w:lang w:val="sr-Latn-ME"/>
        </w:rPr>
      </w:pPr>
    </w:p>
    <w:p w14:paraId="19FEDBC7" w14:textId="77777777" w:rsidR="00FB7CB1" w:rsidRPr="00F65520" w:rsidRDefault="00FB7CB1" w:rsidP="00480FB1">
      <w:pPr>
        <w:tabs>
          <w:tab w:val="left" w:pos="540"/>
          <w:tab w:val="left" w:pos="569"/>
        </w:tabs>
        <w:rPr>
          <w:bCs/>
          <w:sz w:val="22"/>
          <w:szCs w:val="22"/>
          <w:lang w:val="sr-Latn-ME"/>
        </w:rPr>
      </w:pPr>
    </w:p>
    <w:p w14:paraId="4777519B" w14:textId="77777777" w:rsidR="0072020E" w:rsidRPr="00F65520" w:rsidRDefault="0072020E" w:rsidP="00480FB1">
      <w:pPr>
        <w:tabs>
          <w:tab w:val="left" w:pos="540"/>
          <w:tab w:val="left" w:pos="569"/>
        </w:tabs>
        <w:rPr>
          <w:b/>
          <w:bCs/>
          <w:sz w:val="22"/>
          <w:szCs w:val="22"/>
          <w:lang w:val="sr-Latn-ME"/>
        </w:rPr>
      </w:pPr>
      <w:r w:rsidRPr="00F65520">
        <w:rPr>
          <w:b/>
          <w:bCs/>
          <w:sz w:val="22"/>
          <w:szCs w:val="22"/>
          <w:lang w:val="sr-Latn-ME"/>
        </w:rPr>
        <w:t xml:space="preserve">8. </w:t>
      </w:r>
      <w:r w:rsidR="00480FB1" w:rsidRPr="00F65520">
        <w:rPr>
          <w:b/>
          <w:bCs/>
          <w:sz w:val="22"/>
          <w:szCs w:val="22"/>
          <w:lang w:val="sr-Latn-ME"/>
        </w:rPr>
        <w:tab/>
      </w:r>
      <w:r w:rsidRPr="00F65520">
        <w:rPr>
          <w:b/>
          <w:bCs/>
          <w:sz w:val="22"/>
          <w:szCs w:val="22"/>
          <w:lang w:val="sr-Latn-ME"/>
        </w:rPr>
        <w:t>BROJ DOZVOLE</w:t>
      </w:r>
      <w:r w:rsidR="008A6D43" w:rsidRPr="00F65520">
        <w:rPr>
          <w:b/>
          <w:bCs/>
          <w:sz w:val="22"/>
          <w:szCs w:val="22"/>
          <w:lang w:val="sr-Latn-ME"/>
        </w:rPr>
        <w:t xml:space="preserve"> ZA STAVLJANJE LIJEKA U PROMET</w:t>
      </w:r>
    </w:p>
    <w:p w14:paraId="47827D8D" w14:textId="0913E763" w:rsidR="0072020E" w:rsidRDefault="0072020E" w:rsidP="00480FB1">
      <w:pPr>
        <w:tabs>
          <w:tab w:val="left" w:pos="540"/>
          <w:tab w:val="left" w:pos="569"/>
        </w:tabs>
        <w:rPr>
          <w:bCs/>
          <w:sz w:val="22"/>
          <w:szCs w:val="22"/>
          <w:lang w:val="sr-Latn-ME"/>
        </w:rPr>
      </w:pPr>
    </w:p>
    <w:p w14:paraId="0BA9A335" w14:textId="4CC81AAE" w:rsidR="00DA51DB" w:rsidRPr="00F65520" w:rsidRDefault="00DA51DB" w:rsidP="0035094B">
      <w:pPr>
        <w:tabs>
          <w:tab w:val="left" w:pos="540"/>
          <w:tab w:val="left" w:pos="569"/>
        </w:tabs>
        <w:jc w:val="both"/>
        <w:rPr>
          <w:bCs/>
          <w:sz w:val="22"/>
          <w:szCs w:val="22"/>
          <w:lang w:val="sr-Latn-ME"/>
        </w:rPr>
      </w:pPr>
      <w:proofErr w:type="spellStart"/>
      <w:r w:rsidRPr="00F65520">
        <w:rPr>
          <w:bCs/>
          <w:sz w:val="22"/>
          <w:szCs w:val="22"/>
          <w:lang w:val="sr-Latn-ME"/>
        </w:rPr>
        <w:t>Fasenra</w:t>
      </w:r>
      <w:proofErr w:type="spellEnd"/>
      <w:r w:rsidRPr="00F65520">
        <w:rPr>
          <w:bCs/>
          <w:sz w:val="22"/>
          <w:szCs w:val="22"/>
          <w:lang w:val="sr-Latn-ME"/>
        </w:rPr>
        <w:t>, rastvor za injekciju u napunjenom injekcionom špricu</w:t>
      </w:r>
      <w:r w:rsidR="001D7BC5" w:rsidRPr="00F65520">
        <w:rPr>
          <w:bCs/>
          <w:sz w:val="22"/>
          <w:szCs w:val="22"/>
          <w:lang w:val="sr-Latn-ME"/>
        </w:rPr>
        <w:t xml:space="preserve">, 30 mg/ml, </w:t>
      </w:r>
      <w:r w:rsidR="007E2EBB" w:rsidRPr="00F65520">
        <w:rPr>
          <w:bCs/>
          <w:sz w:val="22"/>
          <w:szCs w:val="22"/>
          <w:lang w:val="sr-Latn-ME"/>
        </w:rPr>
        <w:t xml:space="preserve">napunjeni injekcioni špric, </w:t>
      </w:r>
      <w:r w:rsidR="001D7BC5" w:rsidRPr="00F65520">
        <w:rPr>
          <w:bCs/>
          <w:sz w:val="22"/>
          <w:szCs w:val="22"/>
          <w:lang w:val="sr-Latn-ME"/>
        </w:rPr>
        <w:t>1 x 1 ml:</w:t>
      </w:r>
      <w:r w:rsidR="00B71A98" w:rsidRPr="00F65520">
        <w:rPr>
          <w:bCs/>
          <w:sz w:val="22"/>
          <w:szCs w:val="22"/>
          <w:lang w:val="sr-Latn-ME"/>
        </w:rPr>
        <w:t xml:space="preserve"> 2030/21/513 - 77</w:t>
      </w:r>
    </w:p>
    <w:p w14:paraId="08AAAC90" w14:textId="77777777" w:rsidR="00F501FA" w:rsidRDefault="00F501FA" w:rsidP="0035094B">
      <w:pPr>
        <w:tabs>
          <w:tab w:val="left" w:pos="540"/>
          <w:tab w:val="left" w:pos="569"/>
        </w:tabs>
        <w:jc w:val="both"/>
        <w:rPr>
          <w:bCs/>
          <w:sz w:val="22"/>
          <w:szCs w:val="22"/>
          <w:lang w:val="sr-Latn-ME"/>
        </w:rPr>
      </w:pPr>
    </w:p>
    <w:p w14:paraId="741766AE" w14:textId="5E0F3680" w:rsidR="00F45F77" w:rsidRPr="00F65520" w:rsidRDefault="00DA51DB" w:rsidP="0035094B">
      <w:pPr>
        <w:tabs>
          <w:tab w:val="left" w:pos="540"/>
          <w:tab w:val="left" w:pos="569"/>
        </w:tabs>
        <w:jc w:val="both"/>
        <w:rPr>
          <w:bCs/>
          <w:sz w:val="22"/>
          <w:szCs w:val="22"/>
          <w:lang w:val="sr-Latn-ME"/>
        </w:rPr>
      </w:pPr>
      <w:proofErr w:type="spellStart"/>
      <w:r w:rsidRPr="00F65520">
        <w:rPr>
          <w:bCs/>
          <w:sz w:val="22"/>
          <w:szCs w:val="22"/>
          <w:lang w:val="sr-Latn-ME"/>
        </w:rPr>
        <w:t>Fasenra</w:t>
      </w:r>
      <w:proofErr w:type="spellEnd"/>
      <w:r w:rsidRPr="00F65520">
        <w:rPr>
          <w:bCs/>
          <w:sz w:val="22"/>
          <w:szCs w:val="22"/>
          <w:lang w:val="sr-Latn-ME"/>
        </w:rPr>
        <w:t>, rastvor za injekciju u napunjenom injekcionom penu</w:t>
      </w:r>
      <w:r w:rsidR="001D7BC5" w:rsidRPr="00F65520">
        <w:rPr>
          <w:bCs/>
          <w:sz w:val="22"/>
          <w:szCs w:val="22"/>
          <w:lang w:val="sr-Latn-ME"/>
        </w:rPr>
        <w:t>, 30 mg/ml, napunjeni injekcioni pen, 1 x 1 ml</w:t>
      </w:r>
      <w:r w:rsidR="007C5672" w:rsidRPr="00F65520">
        <w:rPr>
          <w:bCs/>
          <w:sz w:val="22"/>
          <w:szCs w:val="22"/>
          <w:lang w:val="sr-Latn-ME"/>
        </w:rPr>
        <w:t>:</w:t>
      </w:r>
      <w:r w:rsidR="0010433B" w:rsidRPr="00F65520">
        <w:rPr>
          <w:bCs/>
          <w:sz w:val="22"/>
          <w:szCs w:val="22"/>
          <w:lang w:val="sr-Latn-ME"/>
        </w:rPr>
        <w:t xml:space="preserve"> 2030/21/514 - 2958</w:t>
      </w:r>
    </w:p>
    <w:p w14:paraId="16931186" w14:textId="6B13E8D6" w:rsidR="00FB7CB1" w:rsidRPr="00F65520" w:rsidRDefault="00FB7CB1" w:rsidP="00480FB1">
      <w:pPr>
        <w:tabs>
          <w:tab w:val="left" w:pos="540"/>
          <w:tab w:val="left" w:pos="569"/>
        </w:tabs>
        <w:rPr>
          <w:bCs/>
          <w:sz w:val="22"/>
          <w:szCs w:val="22"/>
          <w:lang w:val="sr-Latn-ME"/>
        </w:rPr>
      </w:pPr>
    </w:p>
    <w:p w14:paraId="75D83C92" w14:textId="77777777" w:rsidR="001D7BC5" w:rsidRPr="00F65520" w:rsidRDefault="001D7BC5" w:rsidP="00480FB1">
      <w:pPr>
        <w:tabs>
          <w:tab w:val="left" w:pos="540"/>
          <w:tab w:val="left" w:pos="569"/>
        </w:tabs>
        <w:rPr>
          <w:bCs/>
          <w:sz w:val="22"/>
          <w:szCs w:val="22"/>
          <w:lang w:val="sr-Latn-ME"/>
        </w:rPr>
      </w:pPr>
    </w:p>
    <w:p w14:paraId="40CB26F5" w14:textId="77777777" w:rsidR="0072020E" w:rsidRPr="00F65520" w:rsidRDefault="0072020E" w:rsidP="00480FB1">
      <w:pPr>
        <w:tabs>
          <w:tab w:val="left" w:pos="540"/>
          <w:tab w:val="left" w:pos="569"/>
        </w:tabs>
        <w:rPr>
          <w:b/>
          <w:bCs/>
          <w:sz w:val="22"/>
          <w:szCs w:val="22"/>
          <w:lang w:val="sr-Latn-ME"/>
        </w:rPr>
      </w:pPr>
      <w:r w:rsidRPr="00F65520">
        <w:rPr>
          <w:b/>
          <w:bCs/>
          <w:sz w:val="22"/>
          <w:szCs w:val="22"/>
          <w:lang w:val="sr-Latn-ME"/>
        </w:rPr>
        <w:t xml:space="preserve">9. </w:t>
      </w:r>
      <w:r w:rsidR="00480FB1" w:rsidRPr="00F65520">
        <w:rPr>
          <w:b/>
          <w:bCs/>
          <w:sz w:val="22"/>
          <w:szCs w:val="22"/>
          <w:lang w:val="sr-Latn-ME"/>
        </w:rPr>
        <w:tab/>
      </w:r>
      <w:r w:rsidRPr="00F65520">
        <w:rPr>
          <w:b/>
          <w:bCs/>
          <w:sz w:val="22"/>
          <w:szCs w:val="22"/>
          <w:lang w:val="sr-Latn-ME"/>
        </w:rPr>
        <w:t xml:space="preserve">DATUM </w:t>
      </w:r>
      <w:r w:rsidR="00C05DF8" w:rsidRPr="00F65520">
        <w:rPr>
          <w:b/>
          <w:bCs/>
          <w:sz w:val="22"/>
          <w:szCs w:val="22"/>
          <w:lang w:val="sr-Latn-ME"/>
        </w:rPr>
        <w:t xml:space="preserve">PRVE </w:t>
      </w:r>
      <w:r w:rsidR="008A6D43" w:rsidRPr="00F65520">
        <w:rPr>
          <w:b/>
          <w:bCs/>
          <w:sz w:val="22"/>
          <w:szCs w:val="22"/>
          <w:lang w:val="sr-Latn-ME"/>
        </w:rPr>
        <w:t>DOZVOLE</w:t>
      </w:r>
      <w:r w:rsidR="00C05DF8" w:rsidRPr="00F65520">
        <w:rPr>
          <w:b/>
          <w:bCs/>
          <w:sz w:val="22"/>
          <w:szCs w:val="22"/>
          <w:lang w:val="sr-Latn-ME"/>
        </w:rPr>
        <w:t>/OBNOVE DOZVOLE</w:t>
      </w:r>
      <w:r w:rsidR="008A6D43" w:rsidRPr="00F65520">
        <w:rPr>
          <w:b/>
          <w:bCs/>
          <w:sz w:val="22"/>
          <w:szCs w:val="22"/>
          <w:lang w:val="sr-Latn-ME"/>
        </w:rPr>
        <w:t xml:space="preserve"> ZA STAVLJANJE LIJEKA U PROMET</w:t>
      </w:r>
    </w:p>
    <w:p w14:paraId="4CA267AF" w14:textId="77777777" w:rsidR="0072020E" w:rsidRPr="00F65520" w:rsidRDefault="0072020E" w:rsidP="00480FB1">
      <w:pPr>
        <w:tabs>
          <w:tab w:val="left" w:pos="540"/>
          <w:tab w:val="left" w:pos="569"/>
        </w:tabs>
        <w:rPr>
          <w:bCs/>
          <w:sz w:val="22"/>
          <w:szCs w:val="22"/>
          <w:lang w:val="sr-Latn-ME"/>
        </w:rPr>
      </w:pPr>
    </w:p>
    <w:p w14:paraId="0D7086E2" w14:textId="6BCAB6D2" w:rsidR="00836B35" w:rsidRPr="00F65520" w:rsidRDefault="00B71A98" w:rsidP="00480FB1">
      <w:pPr>
        <w:tabs>
          <w:tab w:val="left" w:pos="540"/>
          <w:tab w:val="left" w:pos="569"/>
        </w:tabs>
        <w:rPr>
          <w:bCs/>
          <w:sz w:val="22"/>
          <w:szCs w:val="22"/>
          <w:lang w:val="sr-Latn-ME"/>
        </w:rPr>
      </w:pPr>
      <w:r w:rsidRPr="00F65520">
        <w:rPr>
          <w:bCs/>
          <w:sz w:val="22"/>
          <w:szCs w:val="22"/>
          <w:lang w:val="sr-Latn-ME"/>
        </w:rPr>
        <w:t>02.04.2021. godine</w:t>
      </w:r>
    </w:p>
    <w:p w14:paraId="27C9E70E" w14:textId="7C809D10" w:rsidR="00FB7CB1" w:rsidRPr="00F65520" w:rsidRDefault="00FB7CB1" w:rsidP="00480FB1">
      <w:pPr>
        <w:tabs>
          <w:tab w:val="left" w:pos="540"/>
          <w:tab w:val="left" w:pos="569"/>
        </w:tabs>
        <w:rPr>
          <w:bCs/>
          <w:sz w:val="22"/>
          <w:szCs w:val="22"/>
          <w:lang w:val="sr-Latn-ME"/>
        </w:rPr>
      </w:pPr>
    </w:p>
    <w:p w14:paraId="6D165982" w14:textId="77777777" w:rsidR="00B71A98" w:rsidRPr="00F65520" w:rsidRDefault="00B71A98" w:rsidP="00480FB1">
      <w:pPr>
        <w:tabs>
          <w:tab w:val="left" w:pos="540"/>
          <w:tab w:val="left" w:pos="569"/>
        </w:tabs>
        <w:rPr>
          <w:bCs/>
          <w:sz w:val="22"/>
          <w:szCs w:val="22"/>
          <w:lang w:val="sr-Latn-ME"/>
        </w:rPr>
      </w:pPr>
    </w:p>
    <w:p w14:paraId="30F34B91" w14:textId="77777777" w:rsidR="003F6A59" w:rsidRPr="00F65520" w:rsidRDefault="0072020E" w:rsidP="00C05DF8">
      <w:pPr>
        <w:tabs>
          <w:tab w:val="left" w:pos="540"/>
          <w:tab w:val="left" w:pos="569"/>
        </w:tabs>
        <w:ind w:left="540" w:hanging="540"/>
        <w:rPr>
          <w:bCs/>
          <w:sz w:val="22"/>
          <w:szCs w:val="22"/>
          <w:lang w:val="sr-Latn-ME"/>
        </w:rPr>
      </w:pPr>
      <w:r w:rsidRPr="00F65520">
        <w:rPr>
          <w:b/>
          <w:bCs/>
          <w:sz w:val="22"/>
          <w:szCs w:val="22"/>
          <w:lang w:val="sr-Latn-ME"/>
        </w:rPr>
        <w:t xml:space="preserve">10. </w:t>
      </w:r>
      <w:r w:rsidR="00480FB1" w:rsidRPr="00F65520">
        <w:rPr>
          <w:b/>
          <w:bCs/>
          <w:sz w:val="22"/>
          <w:szCs w:val="22"/>
          <w:lang w:val="sr-Latn-ME"/>
        </w:rPr>
        <w:tab/>
      </w:r>
      <w:r w:rsidR="002846DB" w:rsidRPr="00F65520">
        <w:rPr>
          <w:b/>
          <w:bCs/>
          <w:sz w:val="22"/>
          <w:szCs w:val="22"/>
          <w:lang w:val="sr-Latn-ME"/>
        </w:rPr>
        <w:t>D</w:t>
      </w:r>
      <w:r w:rsidR="00EC2532" w:rsidRPr="00F65520">
        <w:rPr>
          <w:b/>
          <w:bCs/>
          <w:sz w:val="22"/>
          <w:szCs w:val="22"/>
          <w:lang w:val="sr-Latn-ME"/>
        </w:rPr>
        <w:t xml:space="preserve">ATUM REVIZIJE TEKSTA </w:t>
      </w:r>
    </w:p>
    <w:p w14:paraId="1A2FEA96" w14:textId="2D1A1711" w:rsidR="008A6D43" w:rsidRPr="00F65520" w:rsidRDefault="008A6D43" w:rsidP="00480FB1">
      <w:pPr>
        <w:tabs>
          <w:tab w:val="left" w:pos="540"/>
          <w:tab w:val="left" w:pos="569"/>
        </w:tabs>
        <w:rPr>
          <w:bCs/>
          <w:sz w:val="22"/>
          <w:szCs w:val="22"/>
          <w:lang w:val="sr-Latn-ME"/>
        </w:rPr>
      </w:pPr>
    </w:p>
    <w:p w14:paraId="370195D5" w14:textId="12F4D585" w:rsidR="003F6A59" w:rsidRPr="00F65520" w:rsidRDefault="00F501FA" w:rsidP="00DE3F5C">
      <w:pPr>
        <w:rPr>
          <w:sz w:val="22"/>
          <w:szCs w:val="22"/>
          <w:lang w:val="sr-Latn-ME"/>
        </w:rPr>
      </w:pPr>
      <w:r>
        <w:rPr>
          <w:sz w:val="22"/>
          <w:szCs w:val="22"/>
          <w:lang w:val="sr-Latn-ME"/>
        </w:rPr>
        <w:t>Januar,</w:t>
      </w:r>
      <w:r w:rsidR="0067767C">
        <w:rPr>
          <w:sz w:val="22"/>
          <w:szCs w:val="22"/>
          <w:lang w:val="sr-Latn-ME"/>
        </w:rPr>
        <w:t xml:space="preserve"> 202</w:t>
      </w:r>
      <w:r>
        <w:rPr>
          <w:sz w:val="22"/>
          <w:szCs w:val="22"/>
          <w:lang w:val="sr-Latn-ME"/>
        </w:rPr>
        <w:t>5</w:t>
      </w:r>
      <w:r w:rsidR="0067767C">
        <w:rPr>
          <w:sz w:val="22"/>
          <w:szCs w:val="22"/>
          <w:lang w:val="sr-Latn-ME"/>
        </w:rPr>
        <w:t>. godine</w:t>
      </w:r>
    </w:p>
    <w:p w14:paraId="56CE5A52" w14:textId="0B39D52E" w:rsidR="00AA4022" w:rsidRPr="00F65520" w:rsidRDefault="00AA4022" w:rsidP="00272E45">
      <w:pPr>
        <w:rPr>
          <w:sz w:val="22"/>
          <w:szCs w:val="22"/>
          <w:lang w:val="sr-Latn-ME"/>
        </w:rPr>
      </w:pPr>
    </w:p>
    <w:sectPr w:rsidR="00AA4022" w:rsidRPr="00F65520" w:rsidSect="0035094B">
      <w:footerReference w:type="default" r:id="rId13"/>
      <w:pgSz w:w="11909" w:h="16834" w:code="9"/>
      <w:pgMar w:top="1134" w:right="1418" w:bottom="1134" w:left="1418" w:header="734" w:footer="7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D8A4A" w14:textId="77777777" w:rsidR="00ED116A" w:rsidRDefault="00ED116A">
      <w:r>
        <w:separator/>
      </w:r>
    </w:p>
  </w:endnote>
  <w:endnote w:type="continuationSeparator" w:id="0">
    <w:p w14:paraId="2A8E9D90" w14:textId="77777777" w:rsidR="00ED116A" w:rsidRDefault="00ED1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Yu Gothic UI"/>
    <w:panose1 w:val="00000000000000000000"/>
    <w:charset w:val="EE"/>
    <w:family w:val="auto"/>
    <w:notTrueType/>
    <w:pitch w:val="default"/>
    <w:sig w:usb0="00000005" w:usb1="00000000" w:usb2="00000000" w:usb3="00000000" w:csb0="00000002" w:csb1="00000000"/>
  </w:font>
  <w:font w:name="TimesNewRoman,Italic">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3662" w14:textId="61ED8561" w:rsidR="0060055A" w:rsidRPr="00B444B2" w:rsidRDefault="0060055A" w:rsidP="00B23F69">
    <w:pPr>
      <w:pStyle w:val="Footer"/>
      <w:jc w:val="center"/>
      <w:rPr>
        <w:sz w:val="22"/>
        <w:szCs w:val="20"/>
      </w:rPr>
    </w:pPr>
    <w:r w:rsidRPr="00B444B2">
      <w:rPr>
        <w:sz w:val="22"/>
        <w:szCs w:val="20"/>
      </w:rPr>
      <w:fldChar w:fldCharType="begin"/>
    </w:r>
    <w:r w:rsidRPr="00B444B2">
      <w:rPr>
        <w:sz w:val="22"/>
        <w:szCs w:val="20"/>
      </w:rPr>
      <w:instrText xml:space="preserve"> PAGE </w:instrText>
    </w:r>
    <w:r w:rsidRPr="00B444B2">
      <w:rPr>
        <w:sz w:val="22"/>
        <w:szCs w:val="20"/>
      </w:rPr>
      <w:fldChar w:fldCharType="separate"/>
    </w:r>
    <w:r w:rsidR="00DC02B7">
      <w:rPr>
        <w:noProof/>
        <w:sz w:val="22"/>
        <w:szCs w:val="20"/>
      </w:rPr>
      <w:t>2</w:t>
    </w:r>
    <w:r w:rsidRPr="00B444B2">
      <w:rPr>
        <w:sz w:val="22"/>
        <w:szCs w:val="20"/>
      </w:rPr>
      <w:fldChar w:fldCharType="end"/>
    </w:r>
    <w:r w:rsidRPr="00B444B2">
      <w:rPr>
        <w:sz w:val="22"/>
        <w:szCs w:val="20"/>
      </w:rPr>
      <w:t xml:space="preserve"> / </w:t>
    </w:r>
    <w:r w:rsidRPr="00B444B2">
      <w:rPr>
        <w:sz w:val="22"/>
        <w:szCs w:val="20"/>
      </w:rPr>
      <w:fldChar w:fldCharType="begin"/>
    </w:r>
    <w:r w:rsidRPr="00B444B2">
      <w:rPr>
        <w:sz w:val="22"/>
        <w:szCs w:val="20"/>
      </w:rPr>
      <w:instrText xml:space="preserve"> NUMPAGES </w:instrText>
    </w:r>
    <w:r w:rsidRPr="00B444B2">
      <w:rPr>
        <w:sz w:val="22"/>
        <w:szCs w:val="20"/>
      </w:rPr>
      <w:fldChar w:fldCharType="separate"/>
    </w:r>
    <w:r w:rsidR="00DC02B7">
      <w:rPr>
        <w:noProof/>
        <w:sz w:val="22"/>
        <w:szCs w:val="20"/>
      </w:rPr>
      <w:t>17</w:t>
    </w:r>
    <w:r w:rsidRPr="00B444B2">
      <w:rPr>
        <w:sz w:val="22"/>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53D9E" w14:textId="77777777" w:rsidR="00ED116A" w:rsidRDefault="00ED116A">
      <w:r>
        <w:separator/>
      </w:r>
    </w:p>
  </w:footnote>
  <w:footnote w:type="continuationSeparator" w:id="0">
    <w:p w14:paraId="15EB9820" w14:textId="77777777" w:rsidR="00ED116A" w:rsidRDefault="00ED11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6pt;height:13.4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28A7641"/>
    <w:multiLevelType w:val="hybridMultilevel"/>
    <w:tmpl w:val="C108DB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14C12C4"/>
    <w:multiLevelType w:val="hybridMultilevel"/>
    <w:tmpl w:val="492221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10"/>
  </w:num>
  <w:num w:numId="5">
    <w:abstractNumId w:val="4"/>
  </w:num>
  <w:num w:numId="6">
    <w:abstractNumId w:val="1"/>
  </w:num>
  <w:num w:numId="7">
    <w:abstractNumId w:val="8"/>
  </w:num>
  <w:num w:numId="8">
    <w:abstractNumId w:val="3"/>
  </w:num>
  <w:num w:numId="9">
    <w:abstractNumId w:val="6"/>
  </w:num>
  <w:num w:numId="10">
    <w:abstractNumId w:val="12"/>
  </w:num>
  <w:num w:numId="11">
    <w:abstractNumId w:val="5"/>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26C7"/>
    <w:rsid w:val="000176CA"/>
    <w:rsid w:val="00036FA0"/>
    <w:rsid w:val="0003793F"/>
    <w:rsid w:val="00043B9D"/>
    <w:rsid w:val="00043C32"/>
    <w:rsid w:val="00044AEF"/>
    <w:rsid w:val="000457DE"/>
    <w:rsid w:val="00045D84"/>
    <w:rsid w:val="000578CB"/>
    <w:rsid w:val="00057E35"/>
    <w:rsid w:val="0007649E"/>
    <w:rsid w:val="00076726"/>
    <w:rsid w:val="00080303"/>
    <w:rsid w:val="000808A1"/>
    <w:rsid w:val="000875F9"/>
    <w:rsid w:val="000A1A76"/>
    <w:rsid w:val="000A3F58"/>
    <w:rsid w:val="000B63CD"/>
    <w:rsid w:val="000C06C6"/>
    <w:rsid w:val="000C1178"/>
    <w:rsid w:val="000D2343"/>
    <w:rsid w:val="000D3449"/>
    <w:rsid w:val="000D425A"/>
    <w:rsid w:val="000D60CC"/>
    <w:rsid w:val="000E2084"/>
    <w:rsid w:val="000E6F55"/>
    <w:rsid w:val="000F49D6"/>
    <w:rsid w:val="000F77FA"/>
    <w:rsid w:val="0010433B"/>
    <w:rsid w:val="00107BF7"/>
    <w:rsid w:val="00126F53"/>
    <w:rsid w:val="00135CA6"/>
    <w:rsid w:val="001426D9"/>
    <w:rsid w:val="0014766D"/>
    <w:rsid w:val="001536CC"/>
    <w:rsid w:val="00154565"/>
    <w:rsid w:val="001611C6"/>
    <w:rsid w:val="00175110"/>
    <w:rsid w:val="001A3FBA"/>
    <w:rsid w:val="001A5518"/>
    <w:rsid w:val="001B1C6A"/>
    <w:rsid w:val="001C1263"/>
    <w:rsid w:val="001C1417"/>
    <w:rsid w:val="001D7BC5"/>
    <w:rsid w:val="001E2EDA"/>
    <w:rsid w:val="001E390B"/>
    <w:rsid w:val="001F2A0E"/>
    <w:rsid w:val="001F42FB"/>
    <w:rsid w:val="001F719A"/>
    <w:rsid w:val="002031B3"/>
    <w:rsid w:val="002153AB"/>
    <w:rsid w:val="00215931"/>
    <w:rsid w:val="00223F96"/>
    <w:rsid w:val="00224C91"/>
    <w:rsid w:val="00227BDB"/>
    <w:rsid w:val="002318F3"/>
    <w:rsid w:val="00234CB1"/>
    <w:rsid w:val="002352F8"/>
    <w:rsid w:val="002510A5"/>
    <w:rsid w:val="00252065"/>
    <w:rsid w:val="00252719"/>
    <w:rsid w:val="00254A0A"/>
    <w:rsid w:val="00261BCD"/>
    <w:rsid w:val="00266046"/>
    <w:rsid w:val="00272E45"/>
    <w:rsid w:val="002846DB"/>
    <w:rsid w:val="00284CCD"/>
    <w:rsid w:val="002A5645"/>
    <w:rsid w:val="002C6637"/>
    <w:rsid w:val="002D2390"/>
    <w:rsid w:val="002D375B"/>
    <w:rsid w:val="002D4948"/>
    <w:rsid w:val="002E0135"/>
    <w:rsid w:val="002E37A5"/>
    <w:rsid w:val="002E7B9C"/>
    <w:rsid w:val="00304B3A"/>
    <w:rsid w:val="00310F03"/>
    <w:rsid w:val="003247D2"/>
    <w:rsid w:val="0033101C"/>
    <w:rsid w:val="00335205"/>
    <w:rsid w:val="00342467"/>
    <w:rsid w:val="003445C1"/>
    <w:rsid w:val="0035094B"/>
    <w:rsid w:val="00351079"/>
    <w:rsid w:val="00352D06"/>
    <w:rsid w:val="00355B61"/>
    <w:rsid w:val="00361600"/>
    <w:rsid w:val="00362555"/>
    <w:rsid w:val="00362686"/>
    <w:rsid w:val="003676BF"/>
    <w:rsid w:val="00371510"/>
    <w:rsid w:val="00396DFD"/>
    <w:rsid w:val="003A000E"/>
    <w:rsid w:val="003A1563"/>
    <w:rsid w:val="003A219E"/>
    <w:rsid w:val="003A44FB"/>
    <w:rsid w:val="003A7059"/>
    <w:rsid w:val="003A7B36"/>
    <w:rsid w:val="003B6604"/>
    <w:rsid w:val="003B7A36"/>
    <w:rsid w:val="003C17AB"/>
    <w:rsid w:val="003C5DE2"/>
    <w:rsid w:val="003C67B1"/>
    <w:rsid w:val="003C7823"/>
    <w:rsid w:val="003D0856"/>
    <w:rsid w:val="003E18D5"/>
    <w:rsid w:val="003E1DCC"/>
    <w:rsid w:val="003E6B00"/>
    <w:rsid w:val="003F11A1"/>
    <w:rsid w:val="003F6A59"/>
    <w:rsid w:val="00401660"/>
    <w:rsid w:val="00403080"/>
    <w:rsid w:val="00404C17"/>
    <w:rsid w:val="004065C8"/>
    <w:rsid w:val="004100E6"/>
    <w:rsid w:val="004109FA"/>
    <w:rsid w:val="00411B4B"/>
    <w:rsid w:val="00415BEE"/>
    <w:rsid w:val="00422D4C"/>
    <w:rsid w:val="0042641B"/>
    <w:rsid w:val="00427F85"/>
    <w:rsid w:val="00436F42"/>
    <w:rsid w:val="004378B4"/>
    <w:rsid w:val="00437B73"/>
    <w:rsid w:val="00451314"/>
    <w:rsid w:val="00452E9D"/>
    <w:rsid w:val="00452FBA"/>
    <w:rsid w:val="004534C7"/>
    <w:rsid w:val="00453CA7"/>
    <w:rsid w:val="004574A8"/>
    <w:rsid w:val="004671AA"/>
    <w:rsid w:val="00480FB1"/>
    <w:rsid w:val="004830F6"/>
    <w:rsid w:val="00483928"/>
    <w:rsid w:val="00493FBB"/>
    <w:rsid w:val="004A0E90"/>
    <w:rsid w:val="004A5DD2"/>
    <w:rsid w:val="004C31E5"/>
    <w:rsid w:val="004C331F"/>
    <w:rsid w:val="004D5ECA"/>
    <w:rsid w:val="004D6103"/>
    <w:rsid w:val="004E3BCE"/>
    <w:rsid w:val="004E63B0"/>
    <w:rsid w:val="004E70AD"/>
    <w:rsid w:val="004F0241"/>
    <w:rsid w:val="004F0E97"/>
    <w:rsid w:val="004F282B"/>
    <w:rsid w:val="00501DD1"/>
    <w:rsid w:val="00504100"/>
    <w:rsid w:val="00515C21"/>
    <w:rsid w:val="0052721C"/>
    <w:rsid w:val="00530BD7"/>
    <w:rsid w:val="00531849"/>
    <w:rsid w:val="00533AC7"/>
    <w:rsid w:val="00545CD2"/>
    <w:rsid w:val="005476F3"/>
    <w:rsid w:val="00547F89"/>
    <w:rsid w:val="00563989"/>
    <w:rsid w:val="00567D25"/>
    <w:rsid w:val="00572527"/>
    <w:rsid w:val="00573E40"/>
    <w:rsid w:val="00576348"/>
    <w:rsid w:val="00577176"/>
    <w:rsid w:val="005A0B2E"/>
    <w:rsid w:val="005A23D2"/>
    <w:rsid w:val="005A36CB"/>
    <w:rsid w:val="005A58B5"/>
    <w:rsid w:val="005A5E3F"/>
    <w:rsid w:val="005B49B8"/>
    <w:rsid w:val="005C0741"/>
    <w:rsid w:val="005C4B41"/>
    <w:rsid w:val="005C5EF4"/>
    <w:rsid w:val="005C7BCD"/>
    <w:rsid w:val="005D05EF"/>
    <w:rsid w:val="005D068D"/>
    <w:rsid w:val="005D5249"/>
    <w:rsid w:val="005E2E0B"/>
    <w:rsid w:val="005E45C1"/>
    <w:rsid w:val="005E7244"/>
    <w:rsid w:val="005E7A7D"/>
    <w:rsid w:val="0060055A"/>
    <w:rsid w:val="00602457"/>
    <w:rsid w:val="00644FC3"/>
    <w:rsid w:val="00646BD1"/>
    <w:rsid w:val="006561C2"/>
    <w:rsid w:val="00657A44"/>
    <w:rsid w:val="0066025C"/>
    <w:rsid w:val="00671CB3"/>
    <w:rsid w:val="00673AEF"/>
    <w:rsid w:val="00674BAF"/>
    <w:rsid w:val="00676C41"/>
    <w:rsid w:val="0067767C"/>
    <w:rsid w:val="00682200"/>
    <w:rsid w:val="00692BF6"/>
    <w:rsid w:val="006A1497"/>
    <w:rsid w:val="006B0BD1"/>
    <w:rsid w:val="006B3C76"/>
    <w:rsid w:val="006B5404"/>
    <w:rsid w:val="006C6C97"/>
    <w:rsid w:val="006D14DF"/>
    <w:rsid w:val="006D20A5"/>
    <w:rsid w:val="006D37BF"/>
    <w:rsid w:val="006D56C5"/>
    <w:rsid w:val="00702E22"/>
    <w:rsid w:val="0072020E"/>
    <w:rsid w:val="00720572"/>
    <w:rsid w:val="00735D9C"/>
    <w:rsid w:val="00736E78"/>
    <w:rsid w:val="0076003A"/>
    <w:rsid w:val="00762AF1"/>
    <w:rsid w:val="007717ED"/>
    <w:rsid w:val="007766DD"/>
    <w:rsid w:val="00783C9C"/>
    <w:rsid w:val="00786071"/>
    <w:rsid w:val="00786208"/>
    <w:rsid w:val="0079571B"/>
    <w:rsid w:val="007A15CF"/>
    <w:rsid w:val="007A3ECB"/>
    <w:rsid w:val="007A472A"/>
    <w:rsid w:val="007B4278"/>
    <w:rsid w:val="007B5F6D"/>
    <w:rsid w:val="007C5672"/>
    <w:rsid w:val="007D262E"/>
    <w:rsid w:val="007D7BB3"/>
    <w:rsid w:val="007E24A9"/>
    <w:rsid w:val="007E2EBB"/>
    <w:rsid w:val="007F355C"/>
    <w:rsid w:val="0081182B"/>
    <w:rsid w:val="008216D0"/>
    <w:rsid w:val="00824AB9"/>
    <w:rsid w:val="00836B35"/>
    <w:rsid w:val="008437DF"/>
    <w:rsid w:val="00843BDE"/>
    <w:rsid w:val="008440EC"/>
    <w:rsid w:val="008454A4"/>
    <w:rsid w:val="00846E02"/>
    <w:rsid w:val="00870DD4"/>
    <w:rsid w:val="00873FC3"/>
    <w:rsid w:val="0087588C"/>
    <w:rsid w:val="00876163"/>
    <w:rsid w:val="008872C0"/>
    <w:rsid w:val="0089705C"/>
    <w:rsid w:val="008A0121"/>
    <w:rsid w:val="008A6D43"/>
    <w:rsid w:val="008B491E"/>
    <w:rsid w:val="008B54C6"/>
    <w:rsid w:val="008C1A28"/>
    <w:rsid w:val="008C2E98"/>
    <w:rsid w:val="008C2F4A"/>
    <w:rsid w:val="008C3A76"/>
    <w:rsid w:val="008E49BD"/>
    <w:rsid w:val="008E53E9"/>
    <w:rsid w:val="008E5771"/>
    <w:rsid w:val="008F4ACF"/>
    <w:rsid w:val="00902C57"/>
    <w:rsid w:val="0090539E"/>
    <w:rsid w:val="009130F5"/>
    <w:rsid w:val="00924166"/>
    <w:rsid w:val="009325C5"/>
    <w:rsid w:val="00936C00"/>
    <w:rsid w:val="00940B9B"/>
    <w:rsid w:val="009543FE"/>
    <w:rsid w:val="0095676E"/>
    <w:rsid w:val="00956983"/>
    <w:rsid w:val="00963CF0"/>
    <w:rsid w:val="00964BB1"/>
    <w:rsid w:val="009775D9"/>
    <w:rsid w:val="00981921"/>
    <w:rsid w:val="00987B80"/>
    <w:rsid w:val="009948D2"/>
    <w:rsid w:val="00997175"/>
    <w:rsid w:val="009A1847"/>
    <w:rsid w:val="009B062A"/>
    <w:rsid w:val="009B2A59"/>
    <w:rsid w:val="009C5041"/>
    <w:rsid w:val="009D3478"/>
    <w:rsid w:val="009D7318"/>
    <w:rsid w:val="009E7C6F"/>
    <w:rsid w:val="009F1793"/>
    <w:rsid w:val="009F2D23"/>
    <w:rsid w:val="00A01871"/>
    <w:rsid w:val="00A01D69"/>
    <w:rsid w:val="00A02335"/>
    <w:rsid w:val="00A3349B"/>
    <w:rsid w:val="00A44C0E"/>
    <w:rsid w:val="00A46C9A"/>
    <w:rsid w:val="00A508CC"/>
    <w:rsid w:val="00A56B96"/>
    <w:rsid w:val="00A619F3"/>
    <w:rsid w:val="00A624F2"/>
    <w:rsid w:val="00A62A73"/>
    <w:rsid w:val="00A63A59"/>
    <w:rsid w:val="00A87FF6"/>
    <w:rsid w:val="00AA0A3B"/>
    <w:rsid w:val="00AA2763"/>
    <w:rsid w:val="00AA33B6"/>
    <w:rsid w:val="00AA4022"/>
    <w:rsid w:val="00AA7A03"/>
    <w:rsid w:val="00AB50CA"/>
    <w:rsid w:val="00AB6D64"/>
    <w:rsid w:val="00AC53CE"/>
    <w:rsid w:val="00AD2193"/>
    <w:rsid w:val="00AD4600"/>
    <w:rsid w:val="00AD50F9"/>
    <w:rsid w:val="00AF2AC7"/>
    <w:rsid w:val="00AF2AD7"/>
    <w:rsid w:val="00AF74CE"/>
    <w:rsid w:val="00B051D7"/>
    <w:rsid w:val="00B053A3"/>
    <w:rsid w:val="00B208DB"/>
    <w:rsid w:val="00B21375"/>
    <w:rsid w:val="00B23F69"/>
    <w:rsid w:val="00B26FED"/>
    <w:rsid w:val="00B30827"/>
    <w:rsid w:val="00B322C9"/>
    <w:rsid w:val="00B36CC7"/>
    <w:rsid w:val="00B444B2"/>
    <w:rsid w:val="00B540B3"/>
    <w:rsid w:val="00B60619"/>
    <w:rsid w:val="00B6401C"/>
    <w:rsid w:val="00B66A70"/>
    <w:rsid w:val="00B67366"/>
    <w:rsid w:val="00B71A98"/>
    <w:rsid w:val="00B80EE1"/>
    <w:rsid w:val="00B84135"/>
    <w:rsid w:val="00BC602E"/>
    <w:rsid w:val="00BD5D77"/>
    <w:rsid w:val="00C0368E"/>
    <w:rsid w:val="00C04D34"/>
    <w:rsid w:val="00C05DF8"/>
    <w:rsid w:val="00C06864"/>
    <w:rsid w:val="00C07AB4"/>
    <w:rsid w:val="00C10F54"/>
    <w:rsid w:val="00C23D8D"/>
    <w:rsid w:val="00C37AA3"/>
    <w:rsid w:val="00C37FD7"/>
    <w:rsid w:val="00C43419"/>
    <w:rsid w:val="00C44CF3"/>
    <w:rsid w:val="00C51BB8"/>
    <w:rsid w:val="00C61BE0"/>
    <w:rsid w:val="00C6470F"/>
    <w:rsid w:val="00C669CF"/>
    <w:rsid w:val="00C6707E"/>
    <w:rsid w:val="00C70B0E"/>
    <w:rsid w:val="00C71304"/>
    <w:rsid w:val="00C76E0E"/>
    <w:rsid w:val="00C773CA"/>
    <w:rsid w:val="00C83785"/>
    <w:rsid w:val="00C87D3A"/>
    <w:rsid w:val="00C94C0D"/>
    <w:rsid w:val="00CA1FEB"/>
    <w:rsid w:val="00CC3207"/>
    <w:rsid w:val="00CD0522"/>
    <w:rsid w:val="00CD4F85"/>
    <w:rsid w:val="00CD69F7"/>
    <w:rsid w:val="00CD6F02"/>
    <w:rsid w:val="00CE246D"/>
    <w:rsid w:val="00CF07A0"/>
    <w:rsid w:val="00CF3E03"/>
    <w:rsid w:val="00D0082A"/>
    <w:rsid w:val="00D05FBC"/>
    <w:rsid w:val="00D109D4"/>
    <w:rsid w:val="00D138E6"/>
    <w:rsid w:val="00D17E13"/>
    <w:rsid w:val="00D21455"/>
    <w:rsid w:val="00D21E7A"/>
    <w:rsid w:val="00D36D03"/>
    <w:rsid w:val="00D47634"/>
    <w:rsid w:val="00D55B7C"/>
    <w:rsid w:val="00D709B3"/>
    <w:rsid w:val="00D746EB"/>
    <w:rsid w:val="00DA1CBD"/>
    <w:rsid w:val="00DA2ED6"/>
    <w:rsid w:val="00DA51DB"/>
    <w:rsid w:val="00DA5E39"/>
    <w:rsid w:val="00DB2BBB"/>
    <w:rsid w:val="00DB6A81"/>
    <w:rsid w:val="00DB76B8"/>
    <w:rsid w:val="00DC02B7"/>
    <w:rsid w:val="00DC2EA1"/>
    <w:rsid w:val="00DC33B1"/>
    <w:rsid w:val="00DD6AAF"/>
    <w:rsid w:val="00DE3F5C"/>
    <w:rsid w:val="00DE4D43"/>
    <w:rsid w:val="00DF1D20"/>
    <w:rsid w:val="00DF6CD7"/>
    <w:rsid w:val="00E15C43"/>
    <w:rsid w:val="00E208E1"/>
    <w:rsid w:val="00E21324"/>
    <w:rsid w:val="00E240DF"/>
    <w:rsid w:val="00E246B9"/>
    <w:rsid w:val="00E31FEA"/>
    <w:rsid w:val="00E37861"/>
    <w:rsid w:val="00E45169"/>
    <w:rsid w:val="00E47787"/>
    <w:rsid w:val="00E51C30"/>
    <w:rsid w:val="00E64180"/>
    <w:rsid w:val="00E74AEE"/>
    <w:rsid w:val="00E838CE"/>
    <w:rsid w:val="00E868E5"/>
    <w:rsid w:val="00E87787"/>
    <w:rsid w:val="00E92357"/>
    <w:rsid w:val="00E9237A"/>
    <w:rsid w:val="00E92590"/>
    <w:rsid w:val="00E939FA"/>
    <w:rsid w:val="00E96328"/>
    <w:rsid w:val="00EA5765"/>
    <w:rsid w:val="00EB4260"/>
    <w:rsid w:val="00EC24B1"/>
    <w:rsid w:val="00EC2532"/>
    <w:rsid w:val="00ED116A"/>
    <w:rsid w:val="00ED3E9F"/>
    <w:rsid w:val="00ED7812"/>
    <w:rsid w:val="00EF3B86"/>
    <w:rsid w:val="00EF78D0"/>
    <w:rsid w:val="00F0315A"/>
    <w:rsid w:val="00F207D3"/>
    <w:rsid w:val="00F2279F"/>
    <w:rsid w:val="00F317E9"/>
    <w:rsid w:val="00F34554"/>
    <w:rsid w:val="00F42871"/>
    <w:rsid w:val="00F4350A"/>
    <w:rsid w:val="00F45F77"/>
    <w:rsid w:val="00F501FA"/>
    <w:rsid w:val="00F5167F"/>
    <w:rsid w:val="00F52258"/>
    <w:rsid w:val="00F53E05"/>
    <w:rsid w:val="00F56921"/>
    <w:rsid w:val="00F57159"/>
    <w:rsid w:val="00F61E80"/>
    <w:rsid w:val="00F65520"/>
    <w:rsid w:val="00F7408B"/>
    <w:rsid w:val="00F8570A"/>
    <w:rsid w:val="00F85E5A"/>
    <w:rsid w:val="00F90221"/>
    <w:rsid w:val="00F919B2"/>
    <w:rsid w:val="00F91C7B"/>
    <w:rsid w:val="00F92BAB"/>
    <w:rsid w:val="00F9414B"/>
    <w:rsid w:val="00FB7CB1"/>
    <w:rsid w:val="00FD7F47"/>
    <w:rsid w:val="00FF3D50"/>
    <w:rsid w:val="00FF5F82"/>
    <w:rsid w:val="00FF7BF1"/>
    <w:rsid w:val="00FF7EF1"/>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2C72F"/>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2D4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17E13"/>
    <w:rPr>
      <w:rFonts w:ascii="Calibri" w:hAnsi="Calibri"/>
      <w:sz w:val="22"/>
      <w:szCs w:val="22"/>
      <w:lang w:val="en-US" w:eastAsia="en-US"/>
    </w:rPr>
    <w:tblPr>
      <w:tblCellMar>
        <w:top w:w="0" w:type="dxa"/>
        <w:left w:w="0" w:type="dxa"/>
        <w:bottom w:w="0" w:type="dxa"/>
        <w:right w:w="0" w:type="dxa"/>
      </w:tblCellMar>
    </w:tblPr>
  </w:style>
  <w:style w:type="character" w:styleId="Strong">
    <w:name w:val="Strong"/>
    <w:basedOn w:val="DefaultParagraphFont"/>
    <w:qFormat/>
    <w:rsid w:val="00F919B2"/>
    <w:rPr>
      <w:b/>
      <w:bCs/>
    </w:rPr>
  </w:style>
  <w:style w:type="paragraph" w:styleId="Revision">
    <w:name w:val="Revision"/>
    <w:hidden/>
    <w:uiPriority w:val="99"/>
    <w:semiHidden/>
    <w:rsid w:val="0052721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405">
      <w:bodyDiv w:val="1"/>
      <w:marLeft w:val="0"/>
      <w:marRight w:val="0"/>
      <w:marTop w:val="0"/>
      <w:marBottom w:val="0"/>
      <w:divBdr>
        <w:top w:val="none" w:sz="0" w:space="0" w:color="auto"/>
        <w:left w:val="none" w:sz="0" w:space="0" w:color="auto"/>
        <w:bottom w:val="none" w:sz="0" w:space="0" w:color="auto"/>
        <w:right w:val="none" w:sz="0" w:space="0" w:color="auto"/>
      </w:divBdr>
    </w:div>
    <w:div w:id="154883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CE350-8A7F-48AE-A8D8-390733840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6200</Words>
  <Characters>35341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41459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Minić</cp:lastModifiedBy>
  <cp:revision>7</cp:revision>
  <dcterms:created xsi:type="dcterms:W3CDTF">2024-06-03T13:50:00Z</dcterms:created>
  <dcterms:modified xsi:type="dcterms:W3CDTF">2025-01-29T08:20:00Z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